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34425A" w14:textId="77777777" w:rsidR="00FE77AC" w:rsidRPr="003A5293" w:rsidRDefault="00FE77AC" w:rsidP="00FE77AC">
      <w:pPr>
        <w:pBdr>
          <w:bottom w:val="single" w:sz="12" w:space="1" w:color="auto"/>
        </w:pBdr>
        <w:spacing w:line="360" w:lineRule="auto"/>
        <w:jc w:val="center"/>
        <w:rPr>
          <w:rFonts w:ascii="Arial" w:hAnsi="Arial" w:cs="Arial"/>
          <w:sz w:val="40"/>
          <w:szCs w:val="40"/>
          <w:lang w:val="en-US"/>
        </w:rPr>
      </w:pPr>
    </w:p>
    <w:p w14:paraId="6DE2436B" w14:textId="77777777" w:rsidR="00FE77AC" w:rsidRPr="003265B9" w:rsidRDefault="003265B9" w:rsidP="00FE77AC">
      <w:pPr>
        <w:pBdr>
          <w:bottom w:val="single" w:sz="12" w:space="1" w:color="auto"/>
        </w:pBdr>
        <w:spacing w:line="360" w:lineRule="auto"/>
        <w:jc w:val="center"/>
        <w:rPr>
          <w:rFonts w:ascii="Arial" w:hAnsi="Arial" w:cs="Arial"/>
          <w:sz w:val="40"/>
          <w:szCs w:val="40"/>
          <w:lang w:val="en-US"/>
        </w:rPr>
      </w:pPr>
      <w:r>
        <w:rPr>
          <w:rFonts w:ascii="Arial" w:hAnsi="Arial" w:cs="Arial"/>
          <w:sz w:val="40"/>
          <w:szCs w:val="40"/>
          <w:lang w:val="en-US"/>
        </w:rPr>
        <w:t>O</w:t>
      </w:r>
      <w:r w:rsidR="00FE77AC" w:rsidRPr="003A5293">
        <w:rPr>
          <w:rFonts w:ascii="Arial" w:hAnsi="Arial" w:cs="Arial"/>
          <w:sz w:val="40"/>
          <w:szCs w:val="40"/>
          <w:lang w:val="en-US"/>
        </w:rPr>
        <w:t xml:space="preserve">ncogenic and inflammatory signaling in </w:t>
      </w:r>
      <w:r>
        <w:rPr>
          <w:rFonts w:ascii="Arial" w:hAnsi="Arial" w:cs="Arial"/>
          <w:sz w:val="40"/>
          <w:szCs w:val="40"/>
          <w:lang w:val="en-US"/>
        </w:rPr>
        <w:t xml:space="preserve">the </w:t>
      </w:r>
      <w:r w:rsidR="00FE77AC" w:rsidRPr="003A5293">
        <w:rPr>
          <w:rFonts w:ascii="Arial" w:hAnsi="Arial" w:cs="Arial"/>
          <w:sz w:val="40"/>
          <w:szCs w:val="40"/>
          <w:lang w:val="en-US"/>
        </w:rPr>
        <w:t xml:space="preserve">pathogenesis of </w:t>
      </w:r>
      <w:r>
        <w:rPr>
          <w:rFonts w:ascii="Arial" w:hAnsi="Arial" w:cs="Arial"/>
          <w:sz w:val="40"/>
          <w:szCs w:val="40"/>
          <w:lang w:val="en-US"/>
        </w:rPr>
        <w:t>m</w:t>
      </w:r>
      <w:r w:rsidRPr="003265B9">
        <w:rPr>
          <w:rFonts w:ascii="Arial" w:hAnsi="Arial" w:cs="Arial"/>
          <w:sz w:val="40"/>
          <w:szCs w:val="40"/>
          <w:lang w:val="en-US"/>
        </w:rPr>
        <w:t>y</w:t>
      </w:r>
      <w:r>
        <w:rPr>
          <w:rFonts w:ascii="Arial" w:hAnsi="Arial" w:cs="Arial"/>
          <w:sz w:val="40"/>
          <w:szCs w:val="40"/>
          <w:lang w:val="en-US"/>
        </w:rPr>
        <w:t>eloproliferative neoplasms</w:t>
      </w:r>
    </w:p>
    <w:p w14:paraId="1C416013" w14:textId="77777777" w:rsidR="00FE77AC" w:rsidRPr="003A5293" w:rsidRDefault="00FE77AC" w:rsidP="00F30EE5">
      <w:pPr>
        <w:spacing w:line="360" w:lineRule="auto"/>
        <w:jc w:val="center"/>
        <w:rPr>
          <w:rFonts w:ascii="Arial" w:hAnsi="Arial" w:cs="Arial"/>
          <w:sz w:val="16"/>
          <w:szCs w:val="16"/>
          <w:lang w:val="en-US"/>
        </w:rPr>
      </w:pPr>
    </w:p>
    <w:p w14:paraId="130F8AA7" w14:textId="77777777" w:rsidR="00E55E33" w:rsidRPr="003A5293" w:rsidRDefault="00E55E33" w:rsidP="00F30EE5">
      <w:pPr>
        <w:spacing w:line="360" w:lineRule="auto"/>
        <w:jc w:val="center"/>
        <w:rPr>
          <w:rFonts w:ascii="Arial" w:hAnsi="Arial" w:cs="Arial"/>
          <w:sz w:val="28"/>
          <w:szCs w:val="28"/>
          <w:lang w:val="en-US"/>
        </w:rPr>
      </w:pPr>
      <w:r w:rsidRPr="003A5293">
        <w:rPr>
          <w:rFonts w:ascii="Arial" w:hAnsi="Arial" w:cs="Arial"/>
          <w:sz w:val="28"/>
          <w:szCs w:val="28"/>
          <w:lang w:val="en-US"/>
        </w:rPr>
        <w:t>Ph.D. Thesis</w:t>
      </w:r>
    </w:p>
    <w:p w14:paraId="5646E2A9" w14:textId="77777777" w:rsidR="00037BC0" w:rsidRPr="003A5293" w:rsidRDefault="00037BC0" w:rsidP="00F30EE5">
      <w:pPr>
        <w:spacing w:line="360" w:lineRule="auto"/>
        <w:jc w:val="center"/>
        <w:rPr>
          <w:rFonts w:ascii="Arial" w:hAnsi="Arial" w:cs="Arial"/>
          <w:sz w:val="28"/>
          <w:szCs w:val="28"/>
          <w:lang w:val="en-US"/>
        </w:rPr>
      </w:pPr>
    </w:p>
    <w:p w14:paraId="78725DDC" w14:textId="77777777" w:rsidR="00FE77AC" w:rsidRPr="003A5293" w:rsidRDefault="00FE77AC" w:rsidP="00F30EE5">
      <w:pPr>
        <w:spacing w:line="360" w:lineRule="auto"/>
        <w:jc w:val="center"/>
        <w:rPr>
          <w:rFonts w:ascii="Arial" w:hAnsi="Arial" w:cs="Arial"/>
          <w:sz w:val="28"/>
          <w:szCs w:val="28"/>
          <w:lang w:val="en-US"/>
        </w:rPr>
      </w:pPr>
    </w:p>
    <w:p w14:paraId="5687B369" w14:textId="77777777" w:rsidR="00FE77AC" w:rsidRPr="003A5293" w:rsidRDefault="00FE77AC" w:rsidP="00F30EE5">
      <w:pPr>
        <w:spacing w:line="360" w:lineRule="auto"/>
        <w:jc w:val="center"/>
        <w:rPr>
          <w:rFonts w:ascii="Arial" w:hAnsi="Arial" w:cs="Arial"/>
          <w:sz w:val="28"/>
          <w:szCs w:val="28"/>
          <w:lang w:val="en-US"/>
        </w:rPr>
      </w:pPr>
    </w:p>
    <w:p w14:paraId="2EFAB1F7" w14:textId="77777777" w:rsidR="00FE77AC" w:rsidRPr="003A5293" w:rsidRDefault="00FE77AC" w:rsidP="00F30EE5">
      <w:pPr>
        <w:spacing w:line="360" w:lineRule="auto"/>
        <w:jc w:val="center"/>
        <w:rPr>
          <w:rFonts w:ascii="Arial" w:hAnsi="Arial" w:cs="Arial"/>
          <w:sz w:val="28"/>
          <w:szCs w:val="28"/>
          <w:lang w:val="en-US"/>
        </w:rPr>
      </w:pPr>
    </w:p>
    <w:p w14:paraId="628A1D01" w14:textId="77777777" w:rsidR="00FE77AC" w:rsidRPr="003A5293" w:rsidRDefault="00FE77AC" w:rsidP="00F30EE5">
      <w:pPr>
        <w:spacing w:line="360" w:lineRule="auto"/>
        <w:jc w:val="center"/>
        <w:rPr>
          <w:rFonts w:ascii="Arial" w:hAnsi="Arial" w:cs="Arial"/>
          <w:sz w:val="28"/>
          <w:szCs w:val="28"/>
          <w:lang w:val="en-US"/>
        </w:rPr>
      </w:pPr>
    </w:p>
    <w:p w14:paraId="6787AC1E" w14:textId="77777777" w:rsidR="00FE77AC" w:rsidRPr="003A5293" w:rsidRDefault="00FE77AC" w:rsidP="00F30EE5">
      <w:pPr>
        <w:spacing w:line="360" w:lineRule="auto"/>
        <w:jc w:val="center"/>
        <w:rPr>
          <w:rFonts w:ascii="Arial" w:hAnsi="Arial" w:cs="Arial"/>
          <w:sz w:val="28"/>
          <w:szCs w:val="28"/>
          <w:lang w:val="en-US"/>
        </w:rPr>
      </w:pPr>
    </w:p>
    <w:p w14:paraId="5AE2E54C" w14:textId="77777777" w:rsidR="00FE77AC" w:rsidRPr="003A5293" w:rsidRDefault="00FE77AC" w:rsidP="00F30EE5">
      <w:pPr>
        <w:spacing w:line="360" w:lineRule="auto"/>
        <w:jc w:val="center"/>
        <w:rPr>
          <w:rFonts w:ascii="Arial" w:hAnsi="Arial" w:cs="Arial"/>
          <w:sz w:val="28"/>
          <w:szCs w:val="28"/>
          <w:lang w:val="en-US"/>
        </w:rPr>
      </w:pPr>
    </w:p>
    <w:p w14:paraId="4D836BC0" w14:textId="77777777" w:rsidR="00E55E33" w:rsidRPr="003A5293" w:rsidRDefault="00E55E33" w:rsidP="00F30EE5">
      <w:pPr>
        <w:spacing w:line="360" w:lineRule="auto"/>
        <w:jc w:val="center"/>
        <w:rPr>
          <w:rFonts w:ascii="Arial" w:hAnsi="Arial" w:cs="Arial"/>
          <w:sz w:val="28"/>
          <w:szCs w:val="28"/>
          <w:lang w:val="en-US"/>
        </w:rPr>
      </w:pPr>
    </w:p>
    <w:p w14:paraId="45C9881B" w14:textId="77777777" w:rsidR="00E55E33" w:rsidRPr="003A5293" w:rsidRDefault="00E55E33" w:rsidP="00F30EE5">
      <w:pPr>
        <w:spacing w:line="360" w:lineRule="auto"/>
        <w:jc w:val="center"/>
        <w:rPr>
          <w:rFonts w:ascii="Arial" w:hAnsi="Arial" w:cs="Arial"/>
          <w:sz w:val="28"/>
          <w:szCs w:val="28"/>
          <w:lang w:val="en-US"/>
        </w:rPr>
      </w:pPr>
      <w:proofErr w:type="spellStart"/>
      <w:r w:rsidRPr="003A5293">
        <w:rPr>
          <w:rFonts w:ascii="Arial" w:hAnsi="Arial" w:cs="Arial"/>
          <w:sz w:val="28"/>
          <w:szCs w:val="28"/>
          <w:lang w:val="en-US"/>
        </w:rPr>
        <w:t>Ján</w:t>
      </w:r>
      <w:proofErr w:type="spellEnd"/>
      <w:r w:rsidRPr="003A5293">
        <w:rPr>
          <w:rFonts w:ascii="Arial" w:hAnsi="Arial" w:cs="Arial"/>
          <w:sz w:val="28"/>
          <w:szCs w:val="28"/>
          <w:lang w:val="en-US"/>
        </w:rPr>
        <w:t xml:space="preserve"> </w:t>
      </w:r>
      <w:proofErr w:type="spellStart"/>
      <w:r w:rsidRPr="003A5293">
        <w:rPr>
          <w:rFonts w:ascii="Arial" w:hAnsi="Arial" w:cs="Arial"/>
          <w:sz w:val="28"/>
          <w:szCs w:val="28"/>
          <w:lang w:val="en-US"/>
        </w:rPr>
        <w:t>Štetka</w:t>
      </w:r>
      <w:proofErr w:type="spellEnd"/>
    </w:p>
    <w:p w14:paraId="5F77481A" w14:textId="77777777" w:rsidR="00037BC0" w:rsidRPr="003A5293" w:rsidRDefault="00037BC0" w:rsidP="00F30EE5">
      <w:pPr>
        <w:spacing w:line="360" w:lineRule="auto"/>
        <w:jc w:val="center"/>
        <w:rPr>
          <w:rFonts w:ascii="Arial" w:hAnsi="Arial" w:cs="Arial"/>
          <w:sz w:val="28"/>
          <w:szCs w:val="28"/>
          <w:lang w:val="en-US"/>
        </w:rPr>
      </w:pPr>
    </w:p>
    <w:p w14:paraId="7E15F48B" w14:textId="77777777" w:rsidR="00037BC0" w:rsidRPr="003A5293" w:rsidRDefault="00037BC0" w:rsidP="00FE77AC">
      <w:pPr>
        <w:spacing w:line="360" w:lineRule="auto"/>
        <w:jc w:val="center"/>
        <w:rPr>
          <w:rFonts w:ascii="Arial" w:hAnsi="Arial" w:cs="Arial"/>
          <w:sz w:val="28"/>
          <w:szCs w:val="28"/>
          <w:lang w:val="en-US"/>
        </w:rPr>
      </w:pPr>
      <w:r w:rsidRPr="003A5293">
        <w:rPr>
          <w:rFonts w:ascii="Arial" w:hAnsi="Arial" w:cs="Arial"/>
          <w:sz w:val="28"/>
          <w:szCs w:val="28"/>
          <w:lang w:val="en-US"/>
        </w:rPr>
        <w:t>Department of Biology</w:t>
      </w:r>
      <w:r w:rsidR="00FE77AC" w:rsidRPr="003A5293">
        <w:rPr>
          <w:rFonts w:ascii="Arial" w:hAnsi="Arial" w:cs="Arial"/>
          <w:sz w:val="28"/>
          <w:szCs w:val="28"/>
          <w:lang w:val="en-US"/>
        </w:rPr>
        <w:t xml:space="preserve">, </w:t>
      </w:r>
      <w:r w:rsidRPr="003A5293">
        <w:rPr>
          <w:rFonts w:ascii="Arial" w:hAnsi="Arial" w:cs="Arial"/>
          <w:sz w:val="28"/>
          <w:szCs w:val="28"/>
          <w:lang w:val="en-US"/>
        </w:rPr>
        <w:t>Faculty of Medicine and Dentistry</w:t>
      </w:r>
      <w:r w:rsidR="00FE77AC" w:rsidRPr="003A5293">
        <w:rPr>
          <w:rFonts w:ascii="Arial" w:hAnsi="Arial" w:cs="Arial"/>
          <w:sz w:val="28"/>
          <w:szCs w:val="28"/>
          <w:lang w:val="en-US"/>
        </w:rPr>
        <w:t xml:space="preserve">, </w:t>
      </w:r>
      <w:proofErr w:type="spellStart"/>
      <w:r w:rsidRPr="003A5293">
        <w:rPr>
          <w:rFonts w:ascii="Arial" w:hAnsi="Arial" w:cs="Arial"/>
          <w:sz w:val="28"/>
          <w:szCs w:val="28"/>
          <w:lang w:val="en-US"/>
        </w:rPr>
        <w:t>Palacky</w:t>
      </w:r>
      <w:proofErr w:type="spellEnd"/>
      <w:r w:rsidRPr="003A5293">
        <w:rPr>
          <w:rFonts w:ascii="Arial" w:hAnsi="Arial" w:cs="Arial"/>
          <w:sz w:val="28"/>
          <w:szCs w:val="28"/>
          <w:lang w:val="en-US"/>
        </w:rPr>
        <w:t xml:space="preserve"> University Olomouc</w:t>
      </w:r>
    </w:p>
    <w:p w14:paraId="2B53764D" w14:textId="77777777" w:rsidR="00037BC0" w:rsidRPr="003A5293" w:rsidRDefault="00037BC0" w:rsidP="00F30EE5">
      <w:pPr>
        <w:spacing w:line="360" w:lineRule="auto"/>
        <w:jc w:val="center"/>
        <w:rPr>
          <w:rFonts w:ascii="Arial" w:hAnsi="Arial" w:cs="Arial"/>
          <w:sz w:val="28"/>
          <w:szCs w:val="28"/>
          <w:lang w:val="en-US"/>
        </w:rPr>
      </w:pPr>
    </w:p>
    <w:p w14:paraId="3BEE40EA" w14:textId="77777777" w:rsidR="0051325E" w:rsidRPr="003A5293" w:rsidRDefault="0051325E" w:rsidP="00FE77AC">
      <w:pPr>
        <w:spacing w:line="360" w:lineRule="auto"/>
        <w:jc w:val="center"/>
        <w:rPr>
          <w:rFonts w:ascii="Arial" w:hAnsi="Arial" w:cs="Arial"/>
          <w:sz w:val="28"/>
          <w:szCs w:val="28"/>
          <w:lang w:val="en-US"/>
        </w:rPr>
      </w:pPr>
      <w:r w:rsidRPr="003A5293">
        <w:rPr>
          <w:rFonts w:ascii="Arial" w:hAnsi="Arial" w:cs="Arial"/>
          <w:noProof/>
          <w:sz w:val="28"/>
          <w:szCs w:val="28"/>
          <w:lang w:val="cs-CZ" w:eastAsia="cs-CZ"/>
        </w:rPr>
        <w:drawing>
          <wp:inline distT="0" distB="0" distL="0" distR="0" wp14:anchorId="77335601" wp14:editId="0777580E">
            <wp:extent cx="1263650" cy="1265274"/>
            <wp:effectExtent l="0" t="0" r="0" b="508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P_logo_stred_cerna_en.png"/>
                    <pic:cNvPicPr/>
                  </pic:nvPicPr>
                  <pic:blipFill rotWithShape="1">
                    <a:blip r:embed="rId8">
                      <a:extLst>
                        <a:ext uri="{28A0092B-C50C-407E-A947-70E740481C1C}">
                          <a14:useLocalDpi xmlns:a14="http://schemas.microsoft.com/office/drawing/2010/main" val="0"/>
                        </a:ext>
                      </a:extLst>
                    </a:blip>
                    <a:srcRect l="36718" t="11356" r="36626" b="57917"/>
                    <a:stretch/>
                  </pic:blipFill>
                  <pic:spPr bwMode="auto">
                    <a:xfrm>
                      <a:off x="0" y="0"/>
                      <a:ext cx="1319872" cy="1321568"/>
                    </a:xfrm>
                    <a:prstGeom prst="rect">
                      <a:avLst/>
                    </a:prstGeom>
                    <a:ln>
                      <a:noFill/>
                    </a:ln>
                    <a:extLst>
                      <a:ext uri="{53640926-AAD7-44D8-BBD7-CCE9431645EC}">
                        <a14:shadowObscured xmlns:a14="http://schemas.microsoft.com/office/drawing/2010/main"/>
                      </a:ext>
                    </a:extLst>
                  </pic:spPr>
                </pic:pic>
              </a:graphicData>
            </a:graphic>
          </wp:inline>
        </w:drawing>
      </w:r>
    </w:p>
    <w:p w14:paraId="3E3D1BC9" w14:textId="77777777" w:rsidR="00F30EE5" w:rsidRPr="003A5293" w:rsidRDefault="00F30EE5" w:rsidP="00F30EE5">
      <w:pPr>
        <w:spacing w:line="360" w:lineRule="auto"/>
        <w:rPr>
          <w:rFonts w:ascii="Arial" w:hAnsi="Arial" w:cs="Arial"/>
          <w:sz w:val="28"/>
          <w:szCs w:val="28"/>
          <w:lang w:val="en-US"/>
        </w:rPr>
      </w:pPr>
    </w:p>
    <w:p w14:paraId="495FD280" w14:textId="77777777" w:rsidR="00037BC0" w:rsidRPr="003A5293" w:rsidRDefault="00037BC0" w:rsidP="00F30EE5">
      <w:pPr>
        <w:spacing w:line="360" w:lineRule="auto"/>
        <w:jc w:val="center"/>
        <w:rPr>
          <w:rFonts w:ascii="Arial" w:hAnsi="Arial" w:cs="Arial"/>
          <w:sz w:val="28"/>
          <w:szCs w:val="28"/>
          <w:lang w:val="en-US"/>
        </w:rPr>
      </w:pPr>
      <w:r w:rsidRPr="003A5293">
        <w:rPr>
          <w:rFonts w:ascii="Arial" w:hAnsi="Arial" w:cs="Arial"/>
          <w:sz w:val="28"/>
          <w:szCs w:val="28"/>
          <w:lang w:val="en-US"/>
        </w:rPr>
        <w:t>Olomouc 2020</w:t>
      </w:r>
    </w:p>
    <w:p w14:paraId="7C1B423A" w14:textId="77777777" w:rsidR="00037BC0" w:rsidRPr="003A5293" w:rsidRDefault="00037BC0" w:rsidP="00F30EE5">
      <w:pPr>
        <w:spacing w:line="360" w:lineRule="auto"/>
        <w:jc w:val="both"/>
        <w:rPr>
          <w:rFonts w:ascii="Arial" w:hAnsi="Arial" w:cs="Arial"/>
          <w:sz w:val="22"/>
          <w:szCs w:val="22"/>
          <w:lang w:val="en-US"/>
        </w:rPr>
      </w:pPr>
    </w:p>
    <w:p w14:paraId="3CC8A115" w14:textId="77777777" w:rsidR="00F30EE5" w:rsidRPr="003A5293" w:rsidRDefault="00683F6B" w:rsidP="00683F6B">
      <w:pPr>
        <w:rPr>
          <w:rFonts w:ascii="Arial" w:hAnsi="Arial" w:cs="Arial"/>
          <w:b/>
          <w:bCs/>
          <w:sz w:val="28"/>
          <w:szCs w:val="28"/>
          <w:lang w:val="en-US"/>
        </w:rPr>
      </w:pPr>
      <w:r w:rsidRPr="003A5293">
        <w:rPr>
          <w:rFonts w:ascii="Arial" w:hAnsi="Arial" w:cs="Arial"/>
          <w:b/>
          <w:bCs/>
          <w:sz w:val="28"/>
          <w:szCs w:val="28"/>
          <w:lang w:val="en-US"/>
        </w:rPr>
        <w:br w:type="page"/>
      </w:r>
    </w:p>
    <w:p w14:paraId="77D87FC3" w14:textId="77777777" w:rsidR="00037BC0" w:rsidRPr="003A5293" w:rsidRDefault="00D8178D" w:rsidP="00F30EE5">
      <w:pPr>
        <w:spacing w:line="360" w:lineRule="auto"/>
        <w:jc w:val="both"/>
        <w:rPr>
          <w:rFonts w:ascii="Arial" w:hAnsi="Arial" w:cs="Arial"/>
          <w:sz w:val="28"/>
          <w:szCs w:val="28"/>
          <w:lang w:val="en-US"/>
        </w:rPr>
      </w:pPr>
      <w:r w:rsidRPr="003A5293">
        <w:rPr>
          <w:rFonts w:ascii="Arial" w:eastAsia="MS Gothic" w:hAnsi="Arial" w:cs="Arial"/>
          <w:sz w:val="28"/>
          <w:szCs w:val="28"/>
          <w:lang w:val="en-US"/>
        </w:rPr>
        <w:lastRenderedPageBreak/>
        <w:t>〉</w:t>
      </w:r>
      <w:r w:rsidR="00BD15E3" w:rsidRPr="003A5293">
        <w:rPr>
          <w:rFonts w:ascii="Arial" w:hAnsi="Arial" w:cs="Arial"/>
          <w:sz w:val="28"/>
          <w:szCs w:val="28"/>
          <w:lang w:val="en-US"/>
        </w:rPr>
        <w:t>Declaration</w:t>
      </w:r>
      <w:r w:rsidRPr="003A5293">
        <w:rPr>
          <w:rFonts w:ascii="Arial" w:hAnsi="Arial" w:cs="Arial"/>
          <w:sz w:val="28"/>
          <w:szCs w:val="28"/>
          <w:lang w:val="en-US"/>
        </w:rPr>
        <w:t xml:space="preserve"> / </w:t>
      </w:r>
      <w:r w:rsidRPr="00BD15E3">
        <w:rPr>
          <w:rFonts w:ascii="Arial" w:hAnsi="Arial" w:cs="Arial"/>
          <w:sz w:val="28"/>
          <w:szCs w:val="28"/>
          <w:lang w:val="cs-CZ"/>
        </w:rPr>
        <w:t>Prohlášení</w:t>
      </w:r>
    </w:p>
    <w:p w14:paraId="47AA5393" w14:textId="77777777" w:rsidR="00D30E8B" w:rsidRPr="003A5293" w:rsidRDefault="00D30E8B" w:rsidP="00F30EE5">
      <w:pPr>
        <w:spacing w:line="360" w:lineRule="auto"/>
        <w:jc w:val="both"/>
        <w:rPr>
          <w:rFonts w:ascii="Arial" w:hAnsi="Arial" w:cs="Arial"/>
          <w:sz w:val="22"/>
          <w:szCs w:val="22"/>
          <w:lang w:val="en-US"/>
        </w:rPr>
      </w:pPr>
    </w:p>
    <w:p w14:paraId="6C55126E" w14:textId="77777777" w:rsidR="00D30E8B" w:rsidRPr="003A5293" w:rsidRDefault="00D30E8B" w:rsidP="00F30EE5">
      <w:pPr>
        <w:spacing w:line="360" w:lineRule="auto"/>
        <w:jc w:val="both"/>
        <w:rPr>
          <w:rFonts w:ascii="Arial" w:hAnsi="Arial" w:cs="Arial"/>
          <w:sz w:val="22"/>
          <w:szCs w:val="22"/>
          <w:lang w:val="en-US"/>
        </w:rPr>
      </w:pPr>
    </w:p>
    <w:p w14:paraId="16B0F29C" w14:textId="77777777" w:rsidR="00D30E8B" w:rsidRPr="003A5293" w:rsidRDefault="00D30E8B" w:rsidP="00F30EE5">
      <w:pPr>
        <w:spacing w:line="360" w:lineRule="auto"/>
        <w:jc w:val="both"/>
        <w:rPr>
          <w:rFonts w:ascii="Arial" w:hAnsi="Arial" w:cs="Arial"/>
          <w:sz w:val="22"/>
          <w:szCs w:val="22"/>
          <w:lang w:val="en-US"/>
        </w:rPr>
      </w:pPr>
    </w:p>
    <w:p w14:paraId="1D580CD6" w14:textId="77777777" w:rsidR="00D30E8B" w:rsidRPr="003A5293" w:rsidRDefault="00D30E8B" w:rsidP="00F30EE5">
      <w:pPr>
        <w:spacing w:line="360" w:lineRule="auto"/>
        <w:jc w:val="both"/>
        <w:rPr>
          <w:rFonts w:ascii="Arial" w:hAnsi="Arial" w:cs="Arial"/>
          <w:sz w:val="22"/>
          <w:szCs w:val="22"/>
          <w:lang w:val="en-US"/>
        </w:rPr>
      </w:pPr>
    </w:p>
    <w:p w14:paraId="55F13021" w14:textId="77777777" w:rsidR="00D30E8B" w:rsidRPr="003A5293" w:rsidRDefault="00D30E8B" w:rsidP="00F30EE5">
      <w:pPr>
        <w:spacing w:line="360" w:lineRule="auto"/>
        <w:jc w:val="both"/>
        <w:rPr>
          <w:rFonts w:ascii="Arial" w:hAnsi="Arial" w:cs="Arial"/>
          <w:sz w:val="22"/>
          <w:szCs w:val="22"/>
          <w:lang w:val="en-US"/>
        </w:rPr>
      </w:pPr>
    </w:p>
    <w:p w14:paraId="20D03948" w14:textId="77777777" w:rsidR="00683F6B" w:rsidRPr="003A5293" w:rsidRDefault="00683F6B" w:rsidP="00F30EE5">
      <w:pPr>
        <w:spacing w:line="360" w:lineRule="auto"/>
        <w:jc w:val="both"/>
        <w:rPr>
          <w:rFonts w:ascii="Arial" w:hAnsi="Arial" w:cs="Arial"/>
          <w:sz w:val="22"/>
          <w:szCs w:val="22"/>
          <w:lang w:val="en-US"/>
        </w:rPr>
      </w:pPr>
    </w:p>
    <w:p w14:paraId="6F324A15" w14:textId="77777777" w:rsidR="00683F6B" w:rsidRPr="003A5293" w:rsidRDefault="00683F6B" w:rsidP="00F30EE5">
      <w:pPr>
        <w:spacing w:line="360" w:lineRule="auto"/>
        <w:jc w:val="both"/>
        <w:rPr>
          <w:rFonts w:ascii="Arial" w:hAnsi="Arial" w:cs="Arial"/>
          <w:sz w:val="22"/>
          <w:szCs w:val="22"/>
          <w:lang w:val="en-US"/>
        </w:rPr>
      </w:pPr>
    </w:p>
    <w:p w14:paraId="7750FA0B" w14:textId="77777777" w:rsidR="00683F6B" w:rsidRPr="003A5293" w:rsidRDefault="00683F6B" w:rsidP="00F30EE5">
      <w:pPr>
        <w:spacing w:line="360" w:lineRule="auto"/>
        <w:jc w:val="both"/>
        <w:rPr>
          <w:rFonts w:ascii="Arial" w:hAnsi="Arial" w:cs="Arial"/>
          <w:sz w:val="22"/>
          <w:szCs w:val="22"/>
          <w:lang w:val="en-US"/>
        </w:rPr>
      </w:pPr>
    </w:p>
    <w:p w14:paraId="78955FEB" w14:textId="77777777" w:rsidR="00683F6B" w:rsidRPr="003A5293" w:rsidRDefault="00683F6B" w:rsidP="00F30EE5">
      <w:pPr>
        <w:spacing w:line="360" w:lineRule="auto"/>
        <w:jc w:val="both"/>
        <w:rPr>
          <w:rFonts w:ascii="Arial" w:hAnsi="Arial" w:cs="Arial"/>
          <w:sz w:val="22"/>
          <w:szCs w:val="22"/>
          <w:lang w:val="en-US"/>
        </w:rPr>
      </w:pPr>
    </w:p>
    <w:p w14:paraId="158DB82E" w14:textId="77777777" w:rsidR="00683F6B" w:rsidRPr="003A5293" w:rsidRDefault="00683F6B" w:rsidP="00F30EE5">
      <w:pPr>
        <w:spacing w:line="360" w:lineRule="auto"/>
        <w:jc w:val="both"/>
        <w:rPr>
          <w:rFonts w:ascii="Arial" w:hAnsi="Arial" w:cs="Arial"/>
          <w:sz w:val="22"/>
          <w:szCs w:val="22"/>
          <w:lang w:val="en-US"/>
        </w:rPr>
      </w:pPr>
    </w:p>
    <w:p w14:paraId="78DF6F49" w14:textId="77777777" w:rsidR="00683F6B" w:rsidRPr="003A5293" w:rsidRDefault="00683F6B" w:rsidP="00F30EE5">
      <w:pPr>
        <w:spacing w:line="360" w:lineRule="auto"/>
        <w:jc w:val="both"/>
        <w:rPr>
          <w:rFonts w:ascii="Arial" w:hAnsi="Arial" w:cs="Arial"/>
          <w:sz w:val="22"/>
          <w:szCs w:val="22"/>
          <w:lang w:val="en-US"/>
        </w:rPr>
      </w:pPr>
    </w:p>
    <w:p w14:paraId="2EBD34AA" w14:textId="77777777" w:rsidR="00683F6B" w:rsidRPr="003A5293" w:rsidRDefault="00683F6B" w:rsidP="00F30EE5">
      <w:pPr>
        <w:spacing w:line="360" w:lineRule="auto"/>
        <w:jc w:val="both"/>
        <w:rPr>
          <w:rFonts w:ascii="Arial" w:hAnsi="Arial" w:cs="Arial"/>
          <w:sz w:val="22"/>
          <w:szCs w:val="22"/>
          <w:lang w:val="en-US"/>
        </w:rPr>
      </w:pPr>
    </w:p>
    <w:p w14:paraId="2B9A1C06" w14:textId="77777777" w:rsidR="00683F6B" w:rsidRPr="003A5293" w:rsidRDefault="00683F6B" w:rsidP="00F30EE5">
      <w:pPr>
        <w:spacing w:line="360" w:lineRule="auto"/>
        <w:jc w:val="both"/>
        <w:rPr>
          <w:rFonts w:ascii="Arial" w:hAnsi="Arial" w:cs="Arial"/>
          <w:sz w:val="22"/>
          <w:szCs w:val="22"/>
          <w:lang w:val="en-US"/>
        </w:rPr>
      </w:pPr>
    </w:p>
    <w:p w14:paraId="5231E9D8" w14:textId="77777777" w:rsidR="00683F6B" w:rsidRPr="003A5293" w:rsidRDefault="00683F6B" w:rsidP="00F30EE5">
      <w:pPr>
        <w:spacing w:line="360" w:lineRule="auto"/>
        <w:jc w:val="both"/>
        <w:rPr>
          <w:rFonts w:ascii="Arial" w:hAnsi="Arial" w:cs="Arial"/>
          <w:sz w:val="22"/>
          <w:szCs w:val="22"/>
          <w:lang w:val="en-US"/>
        </w:rPr>
      </w:pPr>
    </w:p>
    <w:p w14:paraId="5FE4F13D" w14:textId="77777777" w:rsidR="00683F6B" w:rsidRPr="003A5293" w:rsidRDefault="00683F6B" w:rsidP="00F30EE5">
      <w:pPr>
        <w:spacing w:line="360" w:lineRule="auto"/>
        <w:jc w:val="both"/>
        <w:rPr>
          <w:rFonts w:ascii="Arial" w:hAnsi="Arial" w:cs="Arial"/>
          <w:sz w:val="22"/>
          <w:szCs w:val="22"/>
          <w:lang w:val="en-US"/>
        </w:rPr>
      </w:pPr>
    </w:p>
    <w:p w14:paraId="6D078EF8" w14:textId="77777777" w:rsidR="00683F6B" w:rsidRPr="003A5293" w:rsidRDefault="00683F6B" w:rsidP="00F30EE5">
      <w:pPr>
        <w:spacing w:line="360" w:lineRule="auto"/>
        <w:jc w:val="both"/>
        <w:rPr>
          <w:rFonts w:ascii="Arial" w:hAnsi="Arial" w:cs="Arial"/>
          <w:sz w:val="22"/>
          <w:szCs w:val="22"/>
          <w:lang w:val="en-US"/>
        </w:rPr>
      </w:pPr>
    </w:p>
    <w:p w14:paraId="5604A9D1" w14:textId="77777777" w:rsidR="00D30E8B" w:rsidRPr="003A5293" w:rsidRDefault="00D30E8B" w:rsidP="00F30EE5">
      <w:pPr>
        <w:spacing w:line="360" w:lineRule="auto"/>
        <w:jc w:val="both"/>
        <w:rPr>
          <w:rFonts w:ascii="Arial" w:hAnsi="Arial" w:cs="Arial"/>
          <w:sz w:val="22"/>
          <w:szCs w:val="22"/>
          <w:lang w:val="en-US"/>
        </w:rPr>
      </w:pPr>
    </w:p>
    <w:p w14:paraId="0BF39C28" w14:textId="77777777" w:rsidR="00D30E8B" w:rsidRPr="003A5293" w:rsidRDefault="00D30E8B" w:rsidP="00F30EE5">
      <w:pPr>
        <w:spacing w:line="360" w:lineRule="auto"/>
        <w:jc w:val="both"/>
        <w:rPr>
          <w:rFonts w:ascii="Arial" w:hAnsi="Arial" w:cs="Arial"/>
          <w:sz w:val="22"/>
          <w:szCs w:val="22"/>
          <w:lang w:val="en-US"/>
        </w:rPr>
      </w:pPr>
    </w:p>
    <w:p w14:paraId="1BBA6D38" w14:textId="77777777" w:rsidR="00905F11" w:rsidRPr="003A5293" w:rsidRDefault="00905F11" w:rsidP="00F30EE5">
      <w:pPr>
        <w:spacing w:line="360" w:lineRule="auto"/>
        <w:jc w:val="both"/>
        <w:rPr>
          <w:rFonts w:ascii="Arial" w:hAnsi="Arial" w:cs="Arial"/>
          <w:sz w:val="22"/>
          <w:szCs w:val="22"/>
          <w:lang w:val="en-US"/>
        </w:rPr>
      </w:pPr>
      <w:r w:rsidRPr="003A5293">
        <w:rPr>
          <w:rFonts w:ascii="Arial" w:hAnsi="Arial" w:cs="Arial"/>
          <w:sz w:val="22"/>
          <w:szCs w:val="22"/>
          <w:lang w:val="en-US"/>
        </w:rPr>
        <w:t>Hereby I declare that I have written this work on my own under the supervision of Assoc.</w:t>
      </w:r>
    </w:p>
    <w:p w14:paraId="59FCCA25" w14:textId="77777777" w:rsidR="00905F11" w:rsidRPr="003A5293" w:rsidRDefault="00905F11" w:rsidP="00F30EE5">
      <w:pPr>
        <w:spacing w:line="360" w:lineRule="auto"/>
        <w:jc w:val="both"/>
        <w:rPr>
          <w:rFonts w:ascii="Arial" w:hAnsi="Arial" w:cs="Arial"/>
          <w:sz w:val="22"/>
          <w:szCs w:val="22"/>
          <w:lang w:val="en-US"/>
        </w:rPr>
      </w:pPr>
      <w:r w:rsidRPr="003A5293">
        <w:rPr>
          <w:rFonts w:ascii="Arial" w:hAnsi="Arial" w:cs="Arial"/>
          <w:sz w:val="22"/>
          <w:szCs w:val="22"/>
          <w:lang w:val="en-US"/>
        </w:rPr>
        <w:t xml:space="preserve">Prof. </w:t>
      </w:r>
      <w:proofErr w:type="spellStart"/>
      <w:r w:rsidRPr="003A5293">
        <w:rPr>
          <w:rFonts w:ascii="Arial" w:hAnsi="Arial" w:cs="Arial"/>
          <w:sz w:val="22"/>
          <w:szCs w:val="22"/>
          <w:lang w:val="en-US"/>
        </w:rPr>
        <w:t>Vladimír</w:t>
      </w:r>
      <w:proofErr w:type="spellEnd"/>
      <w:r w:rsidRPr="003A5293">
        <w:rPr>
          <w:rFonts w:ascii="Arial" w:hAnsi="Arial" w:cs="Arial"/>
          <w:sz w:val="22"/>
          <w:szCs w:val="22"/>
          <w:lang w:val="en-US"/>
        </w:rPr>
        <w:t xml:space="preserve"> </w:t>
      </w:r>
      <w:proofErr w:type="spellStart"/>
      <w:r w:rsidRPr="003A5293">
        <w:rPr>
          <w:rFonts w:ascii="Arial" w:hAnsi="Arial" w:cs="Arial"/>
          <w:sz w:val="22"/>
          <w:szCs w:val="22"/>
          <w:lang w:val="en-US"/>
        </w:rPr>
        <w:t>Divoky</w:t>
      </w:r>
      <w:proofErr w:type="spellEnd"/>
      <w:r w:rsidRPr="003A5293">
        <w:rPr>
          <w:rFonts w:ascii="Arial" w:hAnsi="Arial" w:cs="Arial"/>
          <w:sz w:val="22"/>
          <w:szCs w:val="22"/>
          <w:lang w:val="en-US"/>
        </w:rPr>
        <w:t>́, Ph.D., and that all used literature is cited and mentioned in</w:t>
      </w:r>
    </w:p>
    <w:p w14:paraId="51E3CE3F" w14:textId="77777777" w:rsidR="00D30E8B" w:rsidRPr="003A5293" w:rsidRDefault="00905F11" w:rsidP="00F30EE5">
      <w:pPr>
        <w:spacing w:line="360" w:lineRule="auto"/>
        <w:jc w:val="both"/>
        <w:rPr>
          <w:rFonts w:ascii="Arial" w:hAnsi="Arial" w:cs="Arial"/>
          <w:sz w:val="22"/>
          <w:szCs w:val="22"/>
          <w:lang w:val="en-US"/>
        </w:rPr>
      </w:pPr>
      <w:r w:rsidRPr="003A5293">
        <w:rPr>
          <w:rFonts w:ascii="Arial" w:hAnsi="Arial" w:cs="Arial"/>
          <w:sz w:val="22"/>
          <w:szCs w:val="22"/>
          <w:lang w:val="en-US"/>
        </w:rPr>
        <w:t>references.</w:t>
      </w:r>
    </w:p>
    <w:p w14:paraId="2B6C3ACD" w14:textId="77777777" w:rsidR="00D30E8B" w:rsidRPr="003A5293" w:rsidRDefault="00D30E8B" w:rsidP="00F30EE5">
      <w:pPr>
        <w:spacing w:line="360" w:lineRule="auto"/>
        <w:jc w:val="both"/>
        <w:rPr>
          <w:rFonts w:ascii="Arial" w:hAnsi="Arial" w:cs="Arial"/>
          <w:sz w:val="22"/>
          <w:szCs w:val="22"/>
          <w:lang w:val="en-US"/>
        </w:rPr>
      </w:pPr>
    </w:p>
    <w:p w14:paraId="7218A43C" w14:textId="77777777" w:rsidR="00D30E8B" w:rsidRPr="003A5293" w:rsidRDefault="00D30E8B" w:rsidP="00F30EE5">
      <w:pPr>
        <w:spacing w:line="360" w:lineRule="auto"/>
        <w:jc w:val="both"/>
        <w:rPr>
          <w:rFonts w:ascii="Arial" w:hAnsi="Arial" w:cs="Arial"/>
          <w:sz w:val="22"/>
          <w:szCs w:val="22"/>
          <w:lang w:val="en-US"/>
        </w:rPr>
      </w:pPr>
    </w:p>
    <w:p w14:paraId="366182DD" w14:textId="77777777" w:rsidR="00905F11" w:rsidRPr="003A5293" w:rsidRDefault="00905F11" w:rsidP="00F30EE5">
      <w:pPr>
        <w:spacing w:line="360" w:lineRule="auto"/>
        <w:jc w:val="both"/>
        <w:rPr>
          <w:rFonts w:ascii="Arial" w:hAnsi="Arial" w:cs="Arial"/>
          <w:sz w:val="22"/>
          <w:szCs w:val="22"/>
          <w:lang w:val="cs-CZ"/>
        </w:rPr>
      </w:pPr>
      <w:r w:rsidRPr="003A5293">
        <w:rPr>
          <w:rFonts w:ascii="Arial" w:hAnsi="Arial" w:cs="Arial"/>
          <w:sz w:val="22"/>
          <w:szCs w:val="22"/>
          <w:lang w:val="cs-CZ"/>
        </w:rPr>
        <w:t>Tímto prohlašuji, že předloženou práci jsem napsal samostatně, pod vedením školitele</w:t>
      </w:r>
    </w:p>
    <w:p w14:paraId="55E635DF" w14:textId="77777777" w:rsidR="00D30E8B" w:rsidRPr="003A5293" w:rsidRDefault="00905F11" w:rsidP="00F30EE5">
      <w:pPr>
        <w:spacing w:line="360" w:lineRule="auto"/>
        <w:jc w:val="both"/>
        <w:rPr>
          <w:rFonts w:ascii="Arial" w:hAnsi="Arial" w:cs="Arial"/>
          <w:sz w:val="22"/>
          <w:szCs w:val="22"/>
          <w:lang w:val="cs-CZ"/>
        </w:rPr>
      </w:pPr>
      <w:r w:rsidRPr="003A5293">
        <w:rPr>
          <w:rFonts w:ascii="Arial" w:hAnsi="Arial" w:cs="Arial"/>
          <w:sz w:val="22"/>
          <w:szCs w:val="22"/>
          <w:lang w:val="cs-CZ"/>
        </w:rPr>
        <w:t>doc. RNDr. Vladimíra Divokého, Ph.D. a s použitím citované literatury.</w:t>
      </w:r>
    </w:p>
    <w:p w14:paraId="7BAD80D4" w14:textId="77777777" w:rsidR="00D30E8B" w:rsidRPr="003A5293" w:rsidRDefault="00D30E8B" w:rsidP="00F30EE5">
      <w:pPr>
        <w:spacing w:line="360" w:lineRule="auto"/>
        <w:jc w:val="both"/>
        <w:rPr>
          <w:rFonts w:ascii="Arial" w:hAnsi="Arial" w:cs="Arial"/>
          <w:sz w:val="22"/>
          <w:szCs w:val="22"/>
          <w:lang w:val="en-US"/>
        </w:rPr>
      </w:pPr>
    </w:p>
    <w:p w14:paraId="4A343688" w14:textId="77777777" w:rsidR="00D30E8B" w:rsidRPr="003A5293" w:rsidRDefault="00D30E8B" w:rsidP="00F30EE5">
      <w:pPr>
        <w:spacing w:line="360" w:lineRule="auto"/>
        <w:jc w:val="both"/>
        <w:rPr>
          <w:rFonts w:ascii="Arial" w:hAnsi="Arial" w:cs="Arial"/>
          <w:sz w:val="22"/>
          <w:szCs w:val="22"/>
          <w:lang w:val="en-US"/>
        </w:rPr>
      </w:pPr>
    </w:p>
    <w:p w14:paraId="501CE070" w14:textId="77777777" w:rsidR="00D30E8B" w:rsidRPr="003A5293" w:rsidRDefault="00D30E8B" w:rsidP="00F30EE5">
      <w:pPr>
        <w:spacing w:line="360" w:lineRule="auto"/>
        <w:jc w:val="both"/>
        <w:rPr>
          <w:rFonts w:ascii="Arial" w:hAnsi="Arial" w:cs="Arial"/>
          <w:sz w:val="22"/>
          <w:szCs w:val="22"/>
          <w:lang w:val="en-US"/>
        </w:rPr>
      </w:pPr>
    </w:p>
    <w:p w14:paraId="7EDB0B24" w14:textId="77777777" w:rsidR="00D30E8B" w:rsidRPr="003A5293" w:rsidRDefault="00D30E8B" w:rsidP="00F30EE5">
      <w:pPr>
        <w:spacing w:line="360" w:lineRule="auto"/>
        <w:jc w:val="both"/>
        <w:rPr>
          <w:rFonts w:ascii="Arial" w:hAnsi="Arial" w:cs="Arial"/>
          <w:sz w:val="22"/>
          <w:szCs w:val="22"/>
          <w:lang w:val="en-US"/>
        </w:rPr>
      </w:pPr>
    </w:p>
    <w:p w14:paraId="344757D8" w14:textId="77777777" w:rsidR="00D30E8B" w:rsidRPr="003A5293" w:rsidRDefault="00D30E8B" w:rsidP="00F30EE5">
      <w:pPr>
        <w:spacing w:line="360" w:lineRule="auto"/>
        <w:jc w:val="both"/>
        <w:rPr>
          <w:rFonts w:ascii="Arial" w:hAnsi="Arial" w:cs="Arial"/>
          <w:sz w:val="22"/>
          <w:szCs w:val="22"/>
          <w:lang w:val="en-US"/>
        </w:rPr>
      </w:pPr>
      <w:r w:rsidRPr="003A5293">
        <w:rPr>
          <w:rFonts w:ascii="Arial" w:hAnsi="Arial" w:cs="Arial"/>
          <w:sz w:val="22"/>
          <w:szCs w:val="22"/>
          <w:lang w:val="en-US"/>
        </w:rPr>
        <w:tab/>
      </w:r>
      <w:r w:rsidRPr="003A5293">
        <w:rPr>
          <w:rFonts w:ascii="Arial" w:hAnsi="Arial" w:cs="Arial"/>
          <w:sz w:val="22"/>
          <w:szCs w:val="22"/>
          <w:lang w:val="en-US"/>
        </w:rPr>
        <w:tab/>
      </w:r>
      <w:r w:rsidRPr="003A5293">
        <w:rPr>
          <w:rFonts w:ascii="Arial" w:hAnsi="Arial" w:cs="Arial"/>
          <w:sz w:val="22"/>
          <w:szCs w:val="22"/>
          <w:lang w:val="en-US"/>
        </w:rPr>
        <w:tab/>
      </w:r>
      <w:r w:rsidRPr="003A5293">
        <w:rPr>
          <w:rFonts w:ascii="Arial" w:hAnsi="Arial" w:cs="Arial"/>
          <w:sz w:val="22"/>
          <w:szCs w:val="22"/>
          <w:lang w:val="en-US"/>
        </w:rPr>
        <w:tab/>
      </w:r>
      <w:r w:rsidRPr="003A5293">
        <w:rPr>
          <w:rFonts w:ascii="Arial" w:hAnsi="Arial" w:cs="Arial"/>
          <w:sz w:val="22"/>
          <w:szCs w:val="22"/>
          <w:lang w:val="en-US"/>
        </w:rPr>
        <w:tab/>
      </w:r>
      <w:r w:rsidRPr="003A5293">
        <w:rPr>
          <w:rFonts w:ascii="Arial" w:hAnsi="Arial" w:cs="Arial"/>
          <w:sz w:val="22"/>
          <w:szCs w:val="22"/>
          <w:lang w:val="en-US"/>
        </w:rPr>
        <w:tab/>
        <w:t>____________________________</w:t>
      </w:r>
    </w:p>
    <w:p w14:paraId="3001C55F" w14:textId="77777777" w:rsidR="001A69CC" w:rsidRPr="003A5293" w:rsidRDefault="001A69CC" w:rsidP="00F30EE5">
      <w:pPr>
        <w:spacing w:line="360" w:lineRule="auto"/>
        <w:rPr>
          <w:rFonts w:ascii="Arial" w:hAnsi="Arial" w:cs="Arial"/>
          <w:sz w:val="22"/>
          <w:szCs w:val="22"/>
          <w:lang w:val="en-US"/>
        </w:rPr>
      </w:pPr>
      <w:r w:rsidRPr="003A5293">
        <w:rPr>
          <w:rFonts w:ascii="Arial" w:hAnsi="Arial" w:cs="Arial"/>
          <w:sz w:val="22"/>
          <w:szCs w:val="22"/>
          <w:lang w:val="en-US"/>
        </w:rPr>
        <w:br w:type="page"/>
      </w:r>
    </w:p>
    <w:p w14:paraId="4EFDA76D" w14:textId="77777777" w:rsidR="001A69CC" w:rsidRPr="003A5293" w:rsidRDefault="00D8178D" w:rsidP="00F30EE5">
      <w:pPr>
        <w:spacing w:line="360" w:lineRule="auto"/>
        <w:jc w:val="both"/>
        <w:rPr>
          <w:rFonts w:ascii="Arial" w:hAnsi="Arial" w:cs="Arial"/>
          <w:sz w:val="22"/>
          <w:szCs w:val="22"/>
          <w:lang w:val="en-US"/>
        </w:rPr>
      </w:pPr>
      <w:r w:rsidRPr="003A5293">
        <w:rPr>
          <w:rFonts w:ascii="Arial" w:eastAsia="MS Gothic" w:hAnsi="Arial" w:cs="Arial"/>
          <w:sz w:val="28"/>
          <w:szCs w:val="28"/>
          <w:lang w:val="en-US"/>
        </w:rPr>
        <w:lastRenderedPageBreak/>
        <w:t>〉</w:t>
      </w:r>
      <w:r w:rsidRPr="003A5293">
        <w:rPr>
          <w:rFonts w:ascii="Arial" w:eastAsia="MS Gothic" w:hAnsi="Arial" w:cs="Arial"/>
          <w:sz w:val="28"/>
          <w:szCs w:val="28"/>
          <w:lang w:val="en-US"/>
        </w:rPr>
        <w:t>Abstract</w:t>
      </w:r>
    </w:p>
    <w:p w14:paraId="6571BD02" w14:textId="77777777" w:rsidR="0080427B" w:rsidRDefault="0080427B" w:rsidP="000222BC">
      <w:pPr>
        <w:spacing w:line="360" w:lineRule="auto"/>
        <w:jc w:val="both"/>
        <w:rPr>
          <w:rFonts w:ascii="Arial" w:hAnsi="Arial" w:cs="Arial"/>
          <w:sz w:val="22"/>
          <w:szCs w:val="22"/>
          <w:lang w:val="en-US"/>
        </w:rPr>
      </w:pPr>
    </w:p>
    <w:p w14:paraId="740CD93C" w14:textId="128DD003" w:rsidR="00F0796C" w:rsidRDefault="00A85F6E" w:rsidP="000222BC">
      <w:pPr>
        <w:spacing w:line="360" w:lineRule="auto"/>
        <w:jc w:val="both"/>
        <w:rPr>
          <w:rFonts w:ascii="Arial" w:hAnsi="Arial" w:cs="Arial"/>
          <w:sz w:val="22"/>
          <w:szCs w:val="22"/>
          <w:lang w:val="en-US"/>
        </w:rPr>
      </w:pPr>
      <w:r w:rsidRPr="00A85F6E">
        <w:rPr>
          <w:rFonts w:ascii="Arial" w:hAnsi="Arial" w:cs="Arial"/>
          <w:sz w:val="22"/>
          <w:szCs w:val="22"/>
          <w:lang w:val="en-US"/>
        </w:rPr>
        <w:t>Myeloproliferative neoplasms (MPNs) are disorders of hematopoietic stem cells (HSCs)</w:t>
      </w:r>
      <w:r>
        <w:rPr>
          <w:rFonts w:ascii="Arial" w:hAnsi="Arial" w:cs="Arial"/>
          <w:sz w:val="22"/>
          <w:szCs w:val="22"/>
          <w:lang w:val="en-US"/>
        </w:rPr>
        <w:t xml:space="preserve">, </w:t>
      </w:r>
      <w:r w:rsidR="00554589" w:rsidRPr="00554589">
        <w:rPr>
          <w:rFonts w:ascii="Arial" w:hAnsi="Arial" w:cs="Arial"/>
          <w:sz w:val="22"/>
          <w:szCs w:val="22"/>
          <w:lang w:val="en-US"/>
        </w:rPr>
        <w:t>characterized by abnormal proliferation of one or more myeloid lineages</w:t>
      </w:r>
      <w:r w:rsidR="00554589">
        <w:rPr>
          <w:rFonts w:ascii="Arial" w:hAnsi="Arial" w:cs="Arial"/>
          <w:sz w:val="22"/>
          <w:szCs w:val="22"/>
          <w:lang w:val="en-US"/>
        </w:rPr>
        <w:t xml:space="preserve"> and</w:t>
      </w:r>
      <w:r w:rsidR="00554589" w:rsidRPr="00554589">
        <w:rPr>
          <w:rFonts w:ascii="Arial" w:hAnsi="Arial" w:cs="Arial"/>
          <w:sz w:val="22"/>
          <w:szCs w:val="22"/>
          <w:lang w:val="en-US"/>
        </w:rPr>
        <w:t xml:space="preserve"> </w:t>
      </w:r>
      <w:r>
        <w:rPr>
          <w:rFonts w:ascii="Arial" w:hAnsi="Arial" w:cs="Arial"/>
          <w:sz w:val="22"/>
          <w:szCs w:val="22"/>
          <w:lang w:val="en-US"/>
        </w:rPr>
        <w:t xml:space="preserve">driven by underling oncogenic signaling with high prevalence of </w:t>
      </w:r>
      <w:r w:rsidRPr="00A85F6E">
        <w:rPr>
          <w:rFonts w:ascii="Arial" w:hAnsi="Arial" w:cs="Arial"/>
          <w:i/>
          <w:iCs/>
          <w:sz w:val="22"/>
          <w:szCs w:val="22"/>
          <w:lang w:val="en-US"/>
        </w:rPr>
        <w:t>JAK2</w:t>
      </w:r>
      <w:r>
        <w:rPr>
          <w:rFonts w:ascii="Arial" w:hAnsi="Arial" w:cs="Arial"/>
          <w:sz w:val="22"/>
          <w:szCs w:val="22"/>
          <w:lang w:val="en-US"/>
        </w:rPr>
        <w:t xml:space="preserve"> V617F mutation. </w:t>
      </w:r>
      <w:r w:rsidRPr="006F5ABC">
        <w:rPr>
          <w:rFonts w:ascii="Arial" w:hAnsi="Arial" w:cs="Arial"/>
          <w:sz w:val="22"/>
          <w:szCs w:val="22"/>
          <w:lang w:val="en-US"/>
        </w:rPr>
        <w:t>Chronic inflammation</w:t>
      </w:r>
      <w:r w:rsidR="005C74C5">
        <w:rPr>
          <w:rFonts w:ascii="Arial" w:hAnsi="Arial" w:cs="Arial"/>
          <w:sz w:val="22"/>
          <w:szCs w:val="22"/>
          <w:lang w:val="en-US"/>
        </w:rPr>
        <w:t xml:space="preserve">, </w:t>
      </w:r>
      <w:r>
        <w:rPr>
          <w:rFonts w:ascii="Arial" w:hAnsi="Arial" w:cs="Arial"/>
          <w:sz w:val="22"/>
          <w:szCs w:val="22"/>
          <w:lang w:val="en-US"/>
        </w:rPr>
        <w:t xml:space="preserve">changes in metabolism </w:t>
      </w:r>
      <w:r w:rsidR="007359C9">
        <w:rPr>
          <w:rFonts w:ascii="Arial" w:hAnsi="Arial" w:cs="Arial"/>
          <w:sz w:val="22"/>
          <w:szCs w:val="22"/>
          <w:lang w:val="en-US"/>
        </w:rPr>
        <w:t xml:space="preserve">and DNA damage response </w:t>
      </w:r>
      <w:r w:rsidRPr="006F5ABC">
        <w:rPr>
          <w:rFonts w:ascii="Arial" w:hAnsi="Arial" w:cs="Arial"/>
          <w:sz w:val="22"/>
          <w:szCs w:val="22"/>
          <w:lang w:val="en-US"/>
        </w:rPr>
        <w:t xml:space="preserve">are major hallmarks of </w:t>
      </w:r>
      <w:r w:rsidR="0020604D">
        <w:rPr>
          <w:rFonts w:ascii="Arial" w:hAnsi="Arial" w:cs="Arial"/>
          <w:sz w:val="22"/>
          <w:szCs w:val="22"/>
          <w:lang w:val="en-US"/>
        </w:rPr>
        <w:t xml:space="preserve">MPN. </w:t>
      </w:r>
      <w:r w:rsidR="007359C9" w:rsidRPr="007359C9">
        <w:rPr>
          <w:rFonts w:ascii="Arial" w:hAnsi="Arial" w:cs="Arial"/>
          <w:sz w:val="22"/>
          <w:szCs w:val="22"/>
          <w:lang w:val="en-US"/>
        </w:rPr>
        <w:t xml:space="preserve">MPN patients with </w:t>
      </w:r>
      <w:r w:rsidR="007359C9" w:rsidRPr="007359C9">
        <w:rPr>
          <w:rFonts w:ascii="Arial" w:hAnsi="Arial" w:cs="Arial"/>
          <w:i/>
          <w:iCs/>
          <w:sz w:val="22"/>
          <w:szCs w:val="22"/>
          <w:lang w:val="en-US"/>
        </w:rPr>
        <w:t>JAK2</w:t>
      </w:r>
      <w:r w:rsidR="007359C9">
        <w:rPr>
          <w:rFonts w:ascii="Arial" w:hAnsi="Arial" w:cs="Arial"/>
          <w:sz w:val="22"/>
          <w:szCs w:val="22"/>
          <w:lang w:val="en-US"/>
        </w:rPr>
        <w:t xml:space="preserve"> </w:t>
      </w:r>
      <w:r w:rsidR="007359C9" w:rsidRPr="007359C9">
        <w:rPr>
          <w:rFonts w:ascii="Arial" w:hAnsi="Arial" w:cs="Arial"/>
          <w:sz w:val="22"/>
          <w:szCs w:val="22"/>
          <w:lang w:val="en-US"/>
        </w:rPr>
        <w:t xml:space="preserve">V617F mutation </w:t>
      </w:r>
      <w:r w:rsidR="007359C9">
        <w:rPr>
          <w:rFonts w:ascii="Arial" w:hAnsi="Arial" w:cs="Arial"/>
          <w:sz w:val="22"/>
          <w:szCs w:val="22"/>
          <w:lang w:val="en-US"/>
        </w:rPr>
        <w:t>have variable phenotype manifestation</w:t>
      </w:r>
      <w:r w:rsidR="009D5C7D">
        <w:rPr>
          <w:rFonts w:ascii="Arial" w:hAnsi="Arial" w:cs="Arial"/>
          <w:sz w:val="22"/>
          <w:szCs w:val="22"/>
          <w:lang w:val="en-US"/>
        </w:rPr>
        <w:t>, resulting in different</w:t>
      </w:r>
      <w:r w:rsidR="0034016E">
        <w:rPr>
          <w:rFonts w:ascii="Arial" w:hAnsi="Arial" w:cs="Arial"/>
          <w:sz w:val="22"/>
          <w:szCs w:val="22"/>
          <w:lang w:val="en-US"/>
        </w:rPr>
        <w:t xml:space="preserve"> </w:t>
      </w:r>
      <w:r w:rsidR="009D5C7D">
        <w:rPr>
          <w:rFonts w:ascii="Arial" w:hAnsi="Arial" w:cs="Arial"/>
          <w:sz w:val="22"/>
          <w:szCs w:val="22"/>
          <w:lang w:val="en-US"/>
        </w:rPr>
        <w:t>clinical entities.</w:t>
      </w:r>
      <w:r w:rsidR="003D7C9F" w:rsidRPr="003D7C9F">
        <w:rPr>
          <w:lang w:val="en-US"/>
        </w:rPr>
        <w:t xml:space="preserve"> </w:t>
      </w:r>
      <w:r w:rsidR="003D7C9F" w:rsidRPr="003D7C9F">
        <w:rPr>
          <w:rFonts w:ascii="Arial" w:hAnsi="Arial" w:cs="Arial"/>
          <w:sz w:val="22"/>
          <w:szCs w:val="22"/>
          <w:lang w:val="en-US"/>
        </w:rPr>
        <w:t>The two most represented are</w:t>
      </w:r>
      <w:r w:rsidR="009D5C7D">
        <w:rPr>
          <w:rFonts w:ascii="Arial" w:hAnsi="Arial" w:cs="Arial"/>
          <w:sz w:val="22"/>
          <w:szCs w:val="22"/>
          <w:lang w:val="en-US"/>
        </w:rPr>
        <w:t xml:space="preserve"> </w:t>
      </w:r>
      <w:r w:rsidR="00554589">
        <w:rPr>
          <w:rFonts w:ascii="Arial" w:hAnsi="Arial" w:cs="Arial"/>
          <w:sz w:val="22"/>
          <w:szCs w:val="22"/>
          <w:lang w:val="en-US"/>
        </w:rPr>
        <w:t>p</w:t>
      </w:r>
      <w:r w:rsidR="00554589" w:rsidRPr="007359C9">
        <w:rPr>
          <w:rFonts w:ascii="Arial" w:hAnsi="Arial" w:cs="Arial"/>
          <w:sz w:val="22"/>
          <w:szCs w:val="22"/>
          <w:lang w:val="en-US"/>
        </w:rPr>
        <w:t xml:space="preserve">olycythemia </w:t>
      </w:r>
      <w:r w:rsidR="007359C9" w:rsidRPr="007359C9">
        <w:rPr>
          <w:rFonts w:ascii="Arial" w:hAnsi="Arial" w:cs="Arial"/>
          <w:sz w:val="22"/>
          <w:szCs w:val="22"/>
          <w:lang w:val="en-US"/>
        </w:rPr>
        <w:t xml:space="preserve">vera (PV) with expansion of </w:t>
      </w:r>
      <w:r w:rsidR="009D5C7D">
        <w:rPr>
          <w:rFonts w:ascii="Arial" w:hAnsi="Arial" w:cs="Arial"/>
          <w:sz w:val="22"/>
          <w:szCs w:val="22"/>
          <w:lang w:val="en-US"/>
        </w:rPr>
        <w:t>red cell lineage</w:t>
      </w:r>
      <w:r w:rsidR="0034016E">
        <w:rPr>
          <w:rFonts w:ascii="Arial" w:hAnsi="Arial" w:cs="Arial"/>
          <w:sz w:val="22"/>
          <w:szCs w:val="22"/>
          <w:lang w:val="en-US"/>
        </w:rPr>
        <w:t xml:space="preserve"> and</w:t>
      </w:r>
      <w:r w:rsidR="007359C9" w:rsidRPr="007359C9">
        <w:rPr>
          <w:rFonts w:ascii="Arial" w:hAnsi="Arial" w:cs="Arial"/>
          <w:sz w:val="22"/>
          <w:szCs w:val="22"/>
          <w:lang w:val="en-US"/>
        </w:rPr>
        <w:t xml:space="preserve"> essential thrombocythemia (ET) with increased </w:t>
      </w:r>
      <w:proofErr w:type="spellStart"/>
      <w:r w:rsidR="009D5C7D">
        <w:rPr>
          <w:rFonts w:ascii="Arial" w:hAnsi="Arial" w:cs="Arial"/>
          <w:sz w:val="22"/>
          <w:szCs w:val="22"/>
          <w:lang w:val="en-US"/>
        </w:rPr>
        <w:t>megakaryopoiesis</w:t>
      </w:r>
      <w:proofErr w:type="spellEnd"/>
      <w:r w:rsidR="0034016E">
        <w:rPr>
          <w:rFonts w:ascii="Arial" w:hAnsi="Arial" w:cs="Arial"/>
          <w:sz w:val="22"/>
          <w:szCs w:val="22"/>
          <w:lang w:val="en-US"/>
        </w:rPr>
        <w:t>.</w:t>
      </w:r>
      <w:r w:rsidR="009D5C7D">
        <w:rPr>
          <w:rFonts w:ascii="Arial" w:hAnsi="Arial" w:cs="Arial"/>
          <w:sz w:val="22"/>
          <w:szCs w:val="22"/>
          <w:lang w:val="en-US"/>
        </w:rPr>
        <w:t xml:space="preserve"> </w:t>
      </w:r>
      <w:r w:rsidR="00554589">
        <w:rPr>
          <w:rFonts w:ascii="Arial" w:hAnsi="Arial" w:cs="Arial"/>
          <w:sz w:val="22"/>
          <w:szCs w:val="22"/>
          <w:lang w:val="en-US"/>
        </w:rPr>
        <w:t>U</w:t>
      </w:r>
      <w:r w:rsidR="009D5C7D">
        <w:rPr>
          <w:rFonts w:ascii="Arial" w:hAnsi="Arial" w:cs="Arial"/>
          <w:sz w:val="22"/>
          <w:szCs w:val="22"/>
          <w:lang w:val="en-US"/>
        </w:rPr>
        <w:t xml:space="preserve">nique disease properties </w:t>
      </w:r>
      <w:r w:rsidR="00554589">
        <w:rPr>
          <w:rFonts w:ascii="Arial" w:hAnsi="Arial" w:cs="Arial"/>
          <w:sz w:val="22"/>
          <w:szCs w:val="22"/>
          <w:lang w:val="en-US"/>
        </w:rPr>
        <w:t xml:space="preserve">of MPN, </w:t>
      </w:r>
      <w:r w:rsidR="00BF31B4">
        <w:rPr>
          <w:rFonts w:ascii="Arial" w:hAnsi="Arial" w:cs="Arial"/>
          <w:sz w:val="22"/>
          <w:szCs w:val="22"/>
          <w:lang w:val="en-US"/>
        </w:rPr>
        <w:t>including</w:t>
      </w:r>
      <w:r w:rsidR="00554589">
        <w:rPr>
          <w:rFonts w:ascii="Arial" w:hAnsi="Arial" w:cs="Arial"/>
          <w:sz w:val="22"/>
          <w:szCs w:val="22"/>
          <w:lang w:val="en-US"/>
        </w:rPr>
        <w:t xml:space="preserve"> </w:t>
      </w:r>
      <w:r w:rsidR="00554589" w:rsidRPr="00554589">
        <w:rPr>
          <w:rFonts w:ascii="Arial" w:hAnsi="Arial" w:cs="Arial"/>
          <w:sz w:val="22"/>
          <w:szCs w:val="22"/>
          <w:lang w:val="en-US"/>
        </w:rPr>
        <w:t xml:space="preserve">relatively low incidence of </w:t>
      </w:r>
      <w:r w:rsidR="00554589">
        <w:rPr>
          <w:rFonts w:ascii="Arial" w:hAnsi="Arial" w:cs="Arial"/>
          <w:sz w:val="22"/>
          <w:szCs w:val="22"/>
          <w:lang w:val="en-US"/>
        </w:rPr>
        <w:t>leukemia</w:t>
      </w:r>
      <w:r w:rsidR="00554589" w:rsidRPr="00554589">
        <w:rPr>
          <w:rFonts w:ascii="Arial" w:hAnsi="Arial" w:cs="Arial"/>
          <w:sz w:val="22"/>
          <w:szCs w:val="22"/>
          <w:lang w:val="en-US"/>
        </w:rPr>
        <w:t xml:space="preserve"> transformation</w:t>
      </w:r>
      <w:r w:rsidR="00554589">
        <w:rPr>
          <w:rFonts w:ascii="Arial" w:hAnsi="Arial" w:cs="Arial"/>
          <w:sz w:val="22"/>
          <w:szCs w:val="22"/>
          <w:lang w:val="en-US"/>
        </w:rPr>
        <w:t>,</w:t>
      </w:r>
      <w:r w:rsidR="00554589" w:rsidRPr="00554589">
        <w:rPr>
          <w:rFonts w:ascii="Arial" w:hAnsi="Arial" w:cs="Arial"/>
          <w:sz w:val="22"/>
          <w:szCs w:val="22"/>
          <w:lang w:val="en-US"/>
        </w:rPr>
        <w:t xml:space="preserve"> </w:t>
      </w:r>
      <w:r w:rsidR="009D5C7D">
        <w:rPr>
          <w:rFonts w:ascii="Arial" w:hAnsi="Arial" w:cs="Arial"/>
          <w:sz w:val="22"/>
          <w:szCs w:val="22"/>
          <w:lang w:val="en-US"/>
        </w:rPr>
        <w:t>provide</w:t>
      </w:r>
      <w:r w:rsidR="004B66B5" w:rsidRPr="006F5ABC">
        <w:rPr>
          <w:rFonts w:ascii="Arial" w:hAnsi="Arial" w:cs="Arial"/>
          <w:sz w:val="22"/>
          <w:szCs w:val="22"/>
          <w:lang w:val="en-US"/>
        </w:rPr>
        <w:t xml:space="preserve"> </w:t>
      </w:r>
      <w:r w:rsidR="00B3342C" w:rsidRPr="006F5ABC">
        <w:rPr>
          <w:rFonts w:ascii="Arial" w:hAnsi="Arial" w:cs="Arial"/>
          <w:sz w:val="22"/>
          <w:szCs w:val="22"/>
          <w:lang w:val="en-US"/>
        </w:rPr>
        <w:t xml:space="preserve">a </w:t>
      </w:r>
      <w:r w:rsidR="002E2397">
        <w:rPr>
          <w:rFonts w:ascii="Arial" w:hAnsi="Arial" w:cs="Arial"/>
          <w:sz w:val="22"/>
          <w:szCs w:val="22"/>
          <w:lang w:val="en-US"/>
        </w:rPr>
        <w:t>model</w:t>
      </w:r>
      <w:r w:rsidR="009D5C7D" w:rsidRPr="006F5ABC">
        <w:rPr>
          <w:rFonts w:ascii="Arial" w:hAnsi="Arial" w:cs="Arial"/>
          <w:sz w:val="22"/>
          <w:szCs w:val="22"/>
          <w:lang w:val="en-US"/>
        </w:rPr>
        <w:t xml:space="preserve"> </w:t>
      </w:r>
      <w:r w:rsidR="004B66B5" w:rsidRPr="006F5ABC">
        <w:rPr>
          <w:rFonts w:ascii="Arial" w:hAnsi="Arial" w:cs="Arial"/>
          <w:sz w:val="22"/>
          <w:szCs w:val="22"/>
          <w:lang w:val="en-US"/>
        </w:rPr>
        <w:t xml:space="preserve">for investigating mechanisms of </w:t>
      </w:r>
      <w:r w:rsidR="002E2397">
        <w:rPr>
          <w:rFonts w:ascii="Arial" w:hAnsi="Arial" w:cs="Arial"/>
          <w:sz w:val="22"/>
          <w:szCs w:val="22"/>
          <w:lang w:val="en-US"/>
        </w:rPr>
        <w:t xml:space="preserve">oncogene </w:t>
      </w:r>
      <w:r w:rsidR="009D5C7D">
        <w:rPr>
          <w:rFonts w:ascii="Arial" w:hAnsi="Arial" w:cs="Arial"/>
          <w:sz w:val="22"/>
          <w:szCs w:val="22"/>
          <w:lang w:val="en-US"/>
        </w:rPr>
        <w:t xml:space="preserve">interaction </w:t>
      </w:r>
      <w:r w:rsidR="002E2397">
        <w:rPr>
          <w:rFonts w:ascii="Arial" w:hAnsi="Arial" w:cs="Arial"/>
          <w:sz w:val="22"/>
          <w:szCs w:val="22"/>
          <w:lang w:val="en-US"/>
        </w:rPr>
        <w:t>with</w:t>
      </w:r>
      <w:r w:rsidR="009D5C7D">
        <w:rPr>
          <w:rFonts w:ascii="Arial" w:hAnsi="Arial" w:cs="Arial"/>
          <w:sz w:val="22"/>
          <w:szCs w:val="22"/>
          <w:lang w:val="en-US"/>
        </w:rPr>
        <w:t xml:space="preserve"> inflammation-induced DNA damage and changes in metabolism which are then </w:t>
      </w:r>
      <w:r w:rsidR="004329C8">
        <w:rPr>
          <w:rFonts w:ascii="Arial" w:hAnsi="Arial" w:cs="Arial"/>
          <w:sz w:val="22"/>
          <w:szCs w:val="22"/>
          <w:lang w:val="en-US"/>
        </w:rPr>
        <w:t xml:space="preserve">reflected in disease initiation, </w:t>
      </w:r>
      <w:r w:rsidR="009D5C7D">
        <w:rPr>
          <w:rFonts w:ascii="Arial" w:hAnsi="Arial" w:cs="Arial"/>
          <w:sz w:val="22"/>
          <w:szCs w:val="22"/>
          <w:lang w:val="en-US"/>
        </w:rPr>
        <w:t>phenotype manifestation</w:t>
      </w:r>
      <w:r w:rsidR="004329C8">
        <w:rPr>
          <w:rFonts w:ascii="Arial" w:hAnsi="Arial" w:cs="Arial"/>
          <w:sz w:val="22"/>
          <w:szCs w:val="22"/>
          <w:lang w:val="en-US"/>
        </w:rPr>
        <w:t xml:space="preserve"> and eventually disease progression</w:t>
      </w:r>
      <w:r w:rsidR="009D5C7D">
        <w:rPr>
          <w:rFonts w:ascii="Arial" w:hAnsi="Arial" w:cs="Arial"/>
          <w:sz w:val="22"/>
          <w:szCs w:val="22"/>
          <w:lang w:val="en-US"/>
        </w:rPr>
        <w:t xml:space="preserve">. </w:t>
      </w:r>
      <w:r w:rsidR="00554589">
        <w:rPr>
          <w:rFonts w:ascii="Arial" w:hAnsi="Arial" w:cs="Arial"/>
          <w:sz w:val="22"/>
          <w:szCs w:val="22"/>
          <w:lang w:val="en-US"/>
        </w:rPr>
        <w:t>In general, inflammation</w:t>
      </w:r>
      <w:r w:rsidR="00554589" w:rsidRPr="006F5ABC">
        <w:rPr>
          <w:rFonts w:ascii="Arial" w:hAnsi="Arial" w:cs="Arial"/>
          <w:sz w:val="22"/>
          <w:szCs w:val="22"/>
          <w:lang w:val="en-US"/>
        </w:rPr>
        <w:t xml:space="preserve"> </w:t>
      </w:r>
      <w:r w:rsidR="00B07DC6" w:rsidRPr="006F5ABC">
        <w:rPr>
          <w:rFonts w:ascii="Arial" w:hAnsi="Arial" w:cs="Arial"/>
          <w:sz w:val="22"/>
          <w:szCs w:val="22"/>
          <w:lang w:val="en-US"/>
        </w:rPr>
        <w:t>and gradual increase in DNA damage creates a tissue microenvironment permissive for neoplastic transformation</w:t>
      </w:r>
      <w:r w:rsidR="00553DA9" w:rsidRPr="006F5ABC">
        <w:rPr>
          <w:rFonts w:ascii="Arial" w:hAnsi="Arial" w:cs="Arial"/>
          <w:sz w:val="22"/>
          <w:szCs w:val="22"/>
          <w:lang w:val="en-US"/>
        </w:rPr>
        <w:t>,</w:t>
      </w:r>
      <w:r w:rsidR="00B07DC6" w:rsidRPr="006F5ABC">
        <w:rPr>
          <w:rFonts w:ascii="Arial" w:hAnsi="Arial" w:cs="Arial"/>
          <w:sz w:val="22"/>
          <w:szCs w:val="22"/>
          <w:lang w:val="en-US"/>
        </w:rPr>
        <w:t xml:space="preserve"> as </w:t>
      </w:r>
      <w:r w:rsidR="00863D0F">
        <w:rPr>
          <w:rFonts w:ascii="Arial" w:hAnsi="Arial" w:cs="Arial"/>
          <w:sz w:val="22"/>
          <w:szCs w:val="22"/>
          <w:lang w:val="en-US"/>
        </w:rPr>
        <w:t>discussed here</w:t>
      </w:r>
      <w:r w:rsidR="00B07DC6" w:rsidRPr="006F5ABC">
        <w:rPr>
          <w:rFonts w:ascii="Arial" w:hAnsi="Arial" w:cs="Arial"/>
          <w:sz w:val="22"/>
          <w:szCs w:val="22"/>
          <w:lang w:val="en-US"/>
        </w:rPr>
        <w:t xml:space="preserve"> </w:t>
      </w:r>
      <w:r w:rsidR="00554589">
        <w:rPr>
          <w:rFonts w:ascii="Arial" w:hAnsi="Arial" w:cs="Arial"/>
          <w:sz w:val="22"/>
          <w:szCs w:val="22"/>
          <w:lang w:val="en-US"/>
        </w:rPr>
        <w:t>in</w:t>
      </w:r>
      <w:r w:rsidR="00554589" w:rsidRPr="006F5ABC">
        <w:rPr>
          <w:rFonts w:ascii="Arial" w:hAnsi="Arial" w:cs="Arial"/>
          <w:sz w:val="22"/>
          <w:szCs w:val="22"/>
          <w:lang w:val="en-US"/>
        </w:rPr>
        <w:t xml:space="preserve"> </w:t>
      </w:r>
      <w:r w:rsidR="00B07DC6" w:rsidRPr="006F5ABC">
        <w:rPr>
          <w:rFonts w:ascii="Arial" w:hAnsi="Arial" w:cs="Arial"/>
          <w:sz w:val="22"/>
          <w:szCs w:val="22"/>
          <w:lang w:val="en-US"/>
        </w:rPr>
        <w:t>the case of</w:t>
      </w:r>
      <w:r w:rsidR="002E1766" w:rsidRPr="006F5ABC">
        <w:rPr>
          <w:rFonts w:ascii="Arial" w:hAnsi="Arial" w:cs="Arial"/>
          <w:sz w:val="22"/>
          <w:szCs w:val="22"/>
          <w:lang w:val="en-US"/>
        </w:rPr>
        <w:t xml:space="preserve"> </w:t>
      </w:r>
      <w:r w:rsidR="00274B9D" w:rsidRPr="006F5ABC">
        <w:rPr>
          <w:rFonts w:ascii="Arial" w:hAnsi="Arial" w:cs="Arial"/>
          <w:sz w:val="22"/>
          <w:szCs w:val="22"/>
          <w:lang w:val="en-US"/>
        </w:rPr>
        <w:t>preleukemia</w:t>
      </w:r>
      <w:r w:rsidR="00554589">
        <w:rPr>
          <w:rFonts w:ascii="Arial" w:hAnsi="Arial" w:cs="Arial"/>
          <w:sz w:val="22"/>
          <w:szCs w:val="22"/>
          <w:lang w:val="en-US"/>
        </w:rPr>
        <w:t xml:space="preserve"> disease states</w:t>
      </w:r>
      <w:r w:rsidR="00B07DC6" w:rsidRPr="006F5ABC">
        <w:rPr>
          <w:rFonts w:ascii="Arial" w:hAnsi="Arial" w:cs="Arial"/>
          <w:sz w:val="22"/>
          <w:szCs w:val="22"/>
          <w:lang w:val="en-US"/>
        </w:rPr>
        <w:t>. However,</w:t>
      </w:r>
      <w:r w:rsidR="002E1766" w:rsidRPr="006F5ABC">
        <w:rPr>
          <w:rFonts w:ascii="Arial" w:hAnsi="Arial" w:cs="Arial"/>
          <w:sz w:val="22"/>
          <w:szCs w:val="22"/>
          <w:lang w:val="en-US"/>
        </w:rPr>
        <w:t xml:space="preserve"> </w:t>
      </w:r>
      <w:r w:rsidR="00274B9D" w:rsidRPr="006F5ABC">
        <w:rPr>
          <w:rFonts w:ascii="Arial" w:hAnsi="Arial" w:cs="Arial"/>
          <w:sz w:val="22"/>
          <w:szCs w:val="22"/>
          <w:lang w:val="en-US"/>
        </w:rPr>
        <w:t xml:space="preserve">in </w:t>
      </w:r>
      <w:r w:rsidR="0050498A">
        <w:rPr>
          <w:rFonts w:ascii="Arial" w:hAnsi="Arial" w:cs="Arial"/>
          <w:sz w:val="22"/>
          <w:szCs w:val="22"/>
          <w:lang w:val="en-US"/>
        </w:rPr>
        <w:t xml:space="preserve">the </w:t>
      </w:r>
      <w:r w:rsidR="00274B9D" w:rsidRPr="006F5ABC">
        <w:rPr>
          <w:rFonts w:ascii="Arial" w:hAnsi="Arial" w:cs="Arial"/>
          <w:sz w:val="22"/>
          <w:szCs w:val="22"/>
          <w:lang w:val="en-US"/>
        </w:rPr>
        <w:t xml:space="preserve">case of </w:t>
      </w:r>
      <w:r w:rsidR="002E1766" w:rsidRPr="006F5ABC">
        <w:rPr>
          <w:rFonts w:ascii="Arial" w:hAnsi="Arial" w:cs="Arial"/>
          <w:i/>
          <w:iCs/>
          <w:sz w:val="22"/>
          <w:szCs w:val="22"/>
          <w:lang w:val="en-US"/>
        </w:rPr>
        <w:t>JAK2</w:t>
      </w:r>
      <w:r w:rsidR="002E1766" w:rsidRPr="006F5ABC">
        <w:rPr>
          <w:rFonts w:ascii="Arial" w:hAnsi="Arial" w:cs="Arial"/>
          <w:sz w:val="22"/>
          <w:szCs w:val="22"/>
          <w:lang w:val="en-US"/>
        </w:rPr>
        <w:t xml:space="preserve"> V617F</w:t>
      </w:r>
      <w:r w:rsidR="00274B9D" w:rsidRPr="006F5ABC">
        <w:rPr>
          <w:rFonts w:ascii="Arial" w:hAnsi="Arial" w:cs="Arial"/>
          <w:sz w:val="22"/>
          <w:szCs w:val="22"/>
          <w:lang w:val="en-US"/>
        </w:rPr>
        <w:t xml:space="preserve"> oncogene</w:t>
      </w:r>
      <w:r w:rsidR="00E6557F" w:rsidRPr="006F5ABC">
        <w:rPr>
          <w:rFonts w:ascii="Arial" w:hAnsi="Arial" w:cs="Arial"/>
          <w:sz w:val="22"/>
          <w:szCs w:val="22"/>
          <w:lang w:val="en-US"/>
        </w:rPr>
        <w:t>,</w:t>
      </w:r>
      <w:r w:rsidR="00274B9D" w:rsidRPr="006F5ABC">
        <w:rPr>
          <w:rFonts w:ascii="Arial" w:hAnsi="Arial" w:cs="Arial"/>
          <w:sz w:val="22"/>
          <w:szCs w:val="22"/>
          <w:lang w:val="en-US"/>
        </w:rPr>
        <w:t xml:space="preserve"> the disease evolution is</w:t>
      </w:r>
      <w:r w:rsidR="002E1766" w:rsidRPr="006F5ABC">
        <w:rPr>
          <w:rFonts w:ascii="Arial" w:hAnsi="Arial" w:cs="Arial"/>
          <w:sz w:val="22"/>
          <w:szCs w:val="22"/>
          <w:lang w:val="en-US"/>
        </w:rPr>
        <w:t xml:space="preserve"> characterized by long and stable latent phase.</w:t>
      </w:r>
      <w:r w:rsidR="007359C9">
        <w:rPr>
          <w:rFonts w:ascii="Arial" w:hAnsi="Arial" w:cs="Arial"/>
          <w:sz w:val="22"/>
          <w:szCs w:val="22"/>
          <w:lang w:val="en-US"/>
        </w:rPr>
        <w:t xml:space="preserve"> </w:t>
      </w:r>
      <w:r w:rsidR="00314CBA" w:rsidRPr="006F5ABC">
        <w:rPr>
          <w:rFonts w:ascii="Arial" w:hAnsi="Arial" w:cs="Arial"/>
          <w:sz w:val="22"/>
          <w:szCs w:val="22"/>
          <w:lang w:val="en-US"/>
        </w:rPr>
        <w:t>Here</w:t>
      </w:r>
      <w:r w:rsidR="00597EA6">
        <w:rPr>
          <w:rFonts w:ascii="Arial" w:hAnsi="Arial" w:cs="Arial"/>
          <w:sz w:val="22"/>
          <w:szCs w:val="22"/>
          <w:lang w:val="en-US"/>
        </w:rPr>
        <w:t>,</w:t>
      </w:r>
      <w:r w:rsidR="00314CBA" w:rsidRPr="006F5ABC">
        <w:rPr>
          <w:rFonts w:ascii="Arial" w:hAnsi="Arial" w:cs="Arial"/>
          <w:sz w:val="22"/>
          <w:szCs w:val="22"/>
          <w:lang w:val="en-US"/>
        </w:rPr>
        <w:t xml:space="preserve"> I present</w:t>
      </w:r>
      <w:r w:rsidR="00A31C9D" w:rsidRPr="006F5ABC">
        <w:rPr>
          <w:rFonts w:ascii="Arial" w:hAnsi="Arial" w:cs="Arial"/>
          <w:sz w:val="22"/>
          <w:szCs w:val="22"/>
          <w:lang w:val="en-US"/>
        </w:rPr>
        <w:t xml:space="preserve"> a</w:t>
      </w:r>
      <w:r w:rsidR="00314CBA" w:rsidRPr="006F5ABC">
        <w:rPr>
          <w:rFonts w:ascii="Arial" w:hAnsi="Arial" w:cs="Arial"/>
          <w:sz w:val="22"/>
          <w:szCs w:val="22"/>
          <w:lang w:val="en-US"/>
        </w:rPr>
        <w:t xml:space="preserve"> dataset uncovering</w:t>
      </w:r>
      <w:r w:rsidR="00A31C9D" w:rsidRPr="006F5ABC">
        <w:rPr>
          <w:rFonts w:ascii="Arial" w:hAnsi="Arial" w:cs="Arial"/>
          <w:sz w:val="22"/>
          <w:szCs w:val="22"/>
          <w:lang w:val="en-US"/>
        </w:rPr>
        <w:t xml:space="preserve"> </w:t>
      </w:r>
      <w:r w:rsidR="00A31C9D" w:rsidRPr="006F5ABC">
        <w:rPr>
          <w:rFonts w:ascii="Arial" w:hAnsi="Arial" w:cs="Arial"/>
          <w:i/>
          <w:iCs/>
          <w:sz w:val="22"/>
          <w:szCs w:val="22"/>
          <w:lang w:val="en-US"/>
        </w:rPr>
        <w:t>JAK2</w:t>
      </w:r>
      <w:r w:rsidR="00A31C9D" w:rsidRPr="006F5ABC">
        <w:rPr>
          <w:rFonts w:ascii="Arial" w:hAnsi="Arial" w:cs="Arial"/>
          <w:sz w:val="22"/>
          <w:szCs w:val="22"/>
          <w:lang w:val="en-US"/>
        </w:rPr>
        <w:t xml:space="preserve"> V617F-dependent protective mechanisms, which in </w:t>
      </w:r>
      <w:r w:rsidR="002E1766" w:rsidRPr="006F5ABC">
        <w:rPr>
          <w:rFonts w:ascii="Arial" w:hAnsi="Arial" w:cs="Arial"/>
          <w:sz w:val="22"/>
          <w:szCs w:val="22"/>
          <w:lang w:val="en-US"/>
        </w:rPr>
        <w:t>PV cells ameliorate inflammation-mediated oxidative stress and stress-activated protein kinase signaling</w:t>
      </w:r>
      <w:r w:rsidR="00A31C9D" w:rsidRPr="006F5ABC">
        <w:rPr>
          <w:rFonts w:ascii="Arial" w:hAnsi="Arial" w:cs="Arial"/>
          <w:sz w:val="22"/>
          <w:szCs w:val="22"/>
          <w:lang w:val="en-US"/>
        </w:rPr>
        <w:t xml:space="preserve">. </w:t>
      </w:r>
      <w:r w:rsidR="0069402C">
        <w:rPr>
          <w:rFonts w:ascii="Arial" w:hAnsi="Arial" w:cs="Arial"/>
          <w:sz w:val="22"/>
          <w:szCs w:val="22"/>
          <w:lang w:val="en-US"/>
        </w:rPr>
        <w:t>The</w:t>
      </w:r>
      <w:r w:rsidR="0069402C" w:rsidRPr="0069402C">
        <w:rPr>
          <w:rFonts w:ascii="Arial" w:hAnsi="Arial" w:cs="Arial"/>
          <w:sz w:val="22"/>
          <w:szCs w:val="22"/>
          <w:lang w:val="en-US"/>
        </w:rPr>
        <w:t xml:space="preserve"> fail-safe mechanism</w:t>
      </w:r>
      <w:r w:rsidR="0069402C">
        <w:rPr>
          <w:rFonts w:ascii="Arial" w:hAnsi="Arial" w:cs="Arial"/>
          <w:sz w:val="22"/>
          <w:szCs w:val="22"/>
          <w:lang w:val="en-US"/>
        </w:rPr>
        <w:t>s</w:t>
      </w:r>
      <w:r w:rsidR="0069402C" w:rsidRPr="0069402C">
        <w:rPr>
          <w:rFonts w:ascii="Arial" w:hAnsi="Arial" w:cs="Arial"/>
          <w:sz w:val="22"/>
          <w:szCs w:val="22"/>
          <w:lang w:val="en-US"/>
        </w:rPr>
        <w:t xml:space="preserve"> against inflammatory stress and DNA damage</w:t>
      </w:r>
      <w:r w:rsidR="002E1766" w:rsidRPr="006F5ABC">
        <w:rPr>
          <w:rFonts w:ascii="Arial" w:hAnsi="Arial" w:cs="Arial"/>
          <w:sz w:val="22"/>
          <w:szCs w:val="22"/>
          <w:lang w:val="en-US"/>
        </w:rPr>
        <w:t xml:space="preserve"> </w:t>
      </w:r>
      <w:r w:rsidR="0069402C">
        <w:rPr>
          <w:rFonts w:ascii="Arial" w:hAnsi="Arial" w:cs="Arial"/>
          <w:sz w:val="22"/>
          <w:szCs w:val="22"/>
          <w:lang w:val="en-US"/>
        </w:rPr>
        <w:t>are mediated by</w:t>
      </w:r>
      <w:r w:rsidR="0069402C" w:rsidRPr="006F5ABC">
        <w:rPr>
          <w:rFonts w:ascii="Arial" w:hAnsi="Arial" w:cs="Arial"/>
          <w:sz w:val="22"/>
          <w:szCs w:val="22"/>
          <w:lang w:val="en-US"/>
        </w:rPr>
        <w:t xml:space="preserve"> </w:t>
      </w:r>
      <w:r w:rsidR="002E1766" w:rsidRPr="006F5ABC">
        <w:rPr>
          <w:rFonts w:ascii="Arial" w:hAnsi="Arial" w:cs="Arial"/>
          <w:sz w:val="22"/>
          <w:szCs w:val="22"/>
          <w:lang w:val="en-US"/>
        </w:rPr>
        <w:t xml:space="preserve">up-regulation of reactive oxygen species buffering system and </w:t>
      </w:r>
      <w:r w:rsidR="0069402C">
        <w:rPr>
          <w:rFonts w:ascii="Arial" w:hAnsi="Arial" w:cs="Arial"/>
          <w:sz w:val="22"/>
          <w:szCs w:val="22"/>
          <w:lang w:val="en-US"/>
        </w:rPr>
        <w:t xml:space="preserve">through </w:t>
      </w:r>
      <w:r w:rsidR="0050498A">
        <w:rPr>
          <w:rFonts w:ascii="Arial" w:hAnsi="Arial" w:cs="Arial"/>
          <w:sz w:val="22"/>
          <w:szCs w:val="22"/>
          <w:lang w:val="en-US"/>
        </w:rPr>
        <w:t>d</w:t>
      </w:r>
      <w:r w:rsidR="0050498A" w:rsidRPr="0050498A">
        <w:rPr>
          <w:rFonts w:ascii="Arial" w:hAnsi="Arial" w:cs="Arial"/>
          <w:sz w:val="22"/>
          <w:szCs w:val="22"/>
          <w:lang w:val="en-US"/>
        </w:rPr>
        <w:t>ual-specificity phosphatase</w:t>
      </w:r>
      <w:r w:rsidR="0050498A">
        <w:rPr>
          <w:rFonts w:ascii="Arial" w:hAnsi="Arial" w:cs="Arial"/>
          <w:sz w:val="22"/>
          <w:szCs w:val="22"/>
          <w:lang w:val="en-US"/>
        </w:rPr>
        <w:t xml:space="preserve"> 1 (</w:t>
      </w:r>
      <w:r w:rsidR="002E1766" w:rsidRPr="006F5ABC">
        <w:rPr>
          <w:rFonts w:ascii="Arial" w:hAnsi="Arial" w:cs="Arial"/>
          <w:sz w:val="22"/>
          <w:szCs w:val="22"/>
          <w:lang w:val="en-US"/>
        </w:rPr>
        <w:t>DUSP1</w:t>
      </w:r>
      <w:r w:rsidR="0050498A">
        <w:rPr>
          <w:rFonts w:ascii="Arial" w:hAnsi="Arial" w:cs="Arial"/>
          <w:sz w:val="22"/>
          <w:szCs w:val="22"/>
          <w:lang w:val="en-US"/>
        </w:rPr>
        <w:t>)</w:t>
      </w:r>
      <w:r w:rsidR="002E1766" w:rsidRPr="006F5ABC">
        <w:rPr>
          <w:rFonts w:ascii="Arial" w:hAnsi="Arial" w:cs="Arial"/>
          <w:sz w:val="22"/>
          <w:szCs w:val="22"/>
          <w:lang w:val="en-US"/>
        </w:rPr>
        <w:t xml:space="preserve"> actions. These </w:t>
      </w:r>
      <w:r w:rsidR="005C74C5">
        <w:rPr>
          <w:rFonts w:ascii="Arial" w:hAnsi="Arial" w:cs="Arial"/>
          <w:sz w:val="22"/>
          <w:szCs w:val="22"/>
          <w:lang w:val="en-US"/>
        </w:rPr>
        <w:t>protection mechanisms</w:t>
      </w:r>
      <w:r w:rsidR="002E1766" w:rsidRPr="006F5ABC">
        <w:rPr>
          <w:rFonts w:ascii="Arial" w:hAnsi="Arial" w:cs="Arial"/>
          <w:sz w:val="22"/>
          <w:szCs w:val="22"/>
          <w:lang w:val="en-US"/>
        </w:rPr>
        <w:t xml:space="preserve"> then create a barrier preventing </w:t>
      </w:r>
      <w:r w:rsidR="00F0796C">
        <w:rPr>
          <w:rFonts w:ascii="Arial" w:hAnsi="Arial" w:cs="Arial"/>
          <w:sz w:val="22"/>
          <w:szCs w:val="22"/>
          <w:lang w:val="en-US"/>
        </w:rPr>
        <w:t>progression to</w:t>
      </w:r>
      <w:r w:rsidR="002E1766" w:rsidRPr="006F5ABC">
        <w:rPr>
          <w:rFonts w:ascii="Arial" w:hAnsi="Arial" w:cs="Arial"/>
          <w:sz w:val="22"/>
          <w:szCs w:val="22"/>
          <w:lang w:val="en-US"/>
        </w:rPr>
        <w:t xml:space="preserve"> myelofibrosis. </w:t>
      </w:r>
      <w:r w:rsidR="004329C8" w:rsidRPr="006F5ABC">
        <w:rPr>
          <w:rFonts w:ascii="Arial" w:hAnsi="Arial" w:cs="Arial"/>
          <w:sz w:val="22"/>
          <w:szCs w:val="22"/>
          <w:lang w:val="en-US"/>
        </w:rPr>
        <w:t xml:space="preserve">Furthermore, </w:t>
      </w:r>
      <w:r w:rsidR="005C74C5">
        <w:rPr>
          <w:rFonts w:ascii="Arial" w:hAnsi="Arial" w:cs="Arial"/>
          <w:sz w:val="22"/>
          <w:szCs w:val="22"/>
          <w:lang w:val="en-US"/>
        </w:rPr>
        <w:t xml:space="preserve">we </w:t>
      </w:r>
      <w:r w:rsidR="00FD3EA4">
        <w:rPr>
          <w:rFonts w:ascii="Arial" w:hAnsi="Arial" w:cs="Arial"/>
          <w:sz w:val="22"/>
          <w:szCs w:val="22"/>
          <w:lang w:val="en-US"/>
        </w:rPr>
        <w:t>show</w:t>
      </w:r>
      <w:r w:rsidR="004329C8" w:rsidRPr="006F5ABC">
        <w:rPr>
          <w:rFonts w:ascii="Arial" w:hAnsi="Arial" w:cs="Arial"/>
          <w:sz w:val="22"/>
          <w:szCs w:val="22"/>
          <w:lang w:val="en-US"/>
        </w:rPr>
        <w:t>, that PV progenitors are strongly dependent on DUSP1 activity</w:t>
      </w:r>
      <w:r w:rsidR="004329C8">
        <w:rPr>
          <w:rFonts w:ascii="Arial" w:hAnsi="Arial" w:cs="Arial"/>
          <w:sz w:val="22"/>
          <w:szCs w:val="22"/>
          <w:lang w:val="en-US"/>
        </w:rPr>
        <w:t xml:space="preserve">, providing a </w:t>
      </w:r>
      <w:r w:rsidR="004329C8" w:rsidRPr="006F5ABC">
        <w:rPr>
          <w:rFonts w:ascii="Arial" w:hAnsi="Arial" w:cs="Arial"/>
          <w:sz w:val="22"/>
          <w:szCs w:val="22"/>
          <w:lang w:val="en-US"/>
        </w:rPr>
        <w:t>potential therapeutic target.</w:t>
      </w:r>
      <w:r w:rsidR="004329C8">
        <w:rPr>
          <w:rFonts w:ascii="Arial" w:hAnsi="Arial" w:cs="Arial"/>
          <w:sz w:val="22"/>
          <w:szCs w:val="22"/>
          <w:lang w:val="en-US"/>
        </w:rPr>
        <w:t xml:space="preserve"> Currently the most effective treatment of MPN is a</w:t>
      </w:r>
      <w:r w:rsidR="000222BC">
        <w:rPr>
          <w:rFonts w:ascii="Arial" w:hAnsi="Arial" w:cs="Arial"/>
          <w:sz w:val="22"/>
          <w:szCs w:val="22"/>
          <w:lang w:val="en-US"/>
        </w:rPr>
        <w:t xml:space="preserve"> </w:t>
      </w:r>
      <w:r w:rsidR="00011D25">
        <w:rPr>
          <w:rFonts w:ascii="Arial" w:hAnsi="Arial" w:cs="Arial"/>
          <w:sz w:val="22"/>
          <w:szCs w:val="22"/>
          <w:lang w:val="en-US"/>
        </w:rPr>
        <w:t>therapy</w:t>
      </w:r>
      <w:r w:rsidR="000222BC">
        <w:rPr>
          <w:rFonts w:ascii="Arial" w:hAnsi="Arial" w:cs="Arial"/>
          <w:sz w:val="22"/>
          <w:szCs w:val="22"/>
          <w:lang w:val="en-US"/>
        </w:rPr>
        <w:t xml:space="preserve"> with pegylated interferon alpha (</w:t>
      </w:r>
      <w:proofErr w:type="spellStart"/>
      <w:r w:rsidR="000222BC" w:rsidRPr="00C96B8A">
        <w:rPr>
          <w:rFonts w:ascii="Arial" w:hAnsi="Arial" w:cs="Arial"/>
          <w:sz w:val="22"/>
          <w:szCs w:val="22"/>
          <w:lang w:val="en-US"/>
        </w:rPr>
        <w:t>pegIFN</w:t>
      </w:r>
      <w:proofErr w:type="spellEnd"/>
      <w:r w:rsidR="000222BC" w:rsidRPr="00C96B8A">
        <w:rPr>
          <w:rFonts w:ascii="Arial" w:hAnsi="Arial" w:cs="Arial"/>
          <w:sz w:val="22"/>
          <w:szCs w:val="22"/>
          <w:lang w:val="en-US"/>
        </w:rPr>
        <w:t>α</w:t>
      </w:r>
      <w:r w:rsidR="000144F9">
        <w:rPr>
          <w:rFonts w:ascii="Arial" w:hAnsi="Arial" w:cs="Arial"/>
          <w:sz w:val="22"/>
          <w:szCs w:val="22"/>
          <w:lang w:val="en-US"/>
        </w:rPr>
        <w:t>).</w:t>
      </w:r>
      <w:r w:rsidR="000222BC">
        <w:rPr>
          <w:rFonts w:ascii="Arial" w:hAnsi="Arial" w:cs="Arial"/>
          <w:sz w:val="22"/>
          <w:szCs w:val="22"/>
          <w:lang w:val="en-US"/>
        </w:rPr>
        <w:t xml:space="preserve"> This suggest</w:t>
      </w:r>
      <w:r w:rsidR="0050498A">
        <w:rPr>
          <w:rFonts w:ascii="Arial" w:hAnsi="Arial" w:cs="Arial"/>
          <w:sz w:val="22"/>
          <w:szCs w:val="22"/>
          <w:lang w:val="en-US"/>
        </w:rPr>
        <w:t>s</w:t>
      </w:r>
      <w:r w:rsidR="000222BC">
        <w:rPr>
          <w:rFonts w:ascii="Arial" w:hAnsi="Arial" w:cs="Arial"/>
          <w:sz w:val="22"/>
          <w:szCs w:val="22"/>
          <w:lang w:val="en-US"/>
        </w:rPr>
        <w:t xml:space="preserve"> that excess of inflammatory signaling might eventually overrun protection mechanisms in a pool of hematopoietic stem cells</w:t>
      </w:r>
      <w:r w:rsidR="002E2397">
        <w:rPr>
          <w:rFonts w:ascii="Arial" w:hAnsi="Arial" w:cs="Arial"/>
          <w:sz w:val="22"/>
          <w:szCs w:val="22"/>
          <w:lang w:val="en-US"/>
        </w:rPr>
        <w:t xml:space="preserve"> (HSCs)</w:t>
      </w:r>
      <w:r w:rsidR="000222BC">
        <w:rPr>
          <w:rFonts w:ascii="Arial" w:hAnsi="Arial" w:cs="Arial"/>
          <w:sz w:val="22"/>
          <w:szCs w:val="22"/>
          <w:lang w:val="en-US"/>
        </w:rPr>
        <w:t xml:space="preserve">. We have thus studied effects of treatment with </w:t>
      </w:r>
      <w:proofErr w:type="spellStart"/>
      <w:r w:rsidR="00F0796C" w:rsidRPr="00C96B8A">
        <w:rPr>
          <w:rFonts w:ascii="Arial" w:hAnsi="Arial" w:cs="Arial"/>
          <w:sz w:val="22"/>
          <w:szCs w:val="22"/>
          <w:lang w:val="en-US"/>
        </w:rPr>
        <w:t>pegIFN</w:t>
      </w:r>
      <w:proofErr w:type="spellEnd"/>
      <w:r w:rsidR="00F0796C" w:rsidRPr="00C96B8A">
        <w:rPr>
          <w:rFonts w:ascii="Arial" w:hAnsi="Arial" w:cs="Arial"/>
          <w:sz w:val="22"/>
          <w:szCs w:val="22"/>
          <w:lang w:val="en-US"/>
        </w:rPr>
        <w:t>α</w:t>
      </w:r>
      <w:r w:rsidR="00F0796C">
        <w:rPr>
          <w:rFonts w:ascii="Arial" w:hAnsi="Arial" w:cs="Arial"/>
          <w:sz w:val="22"/>
          <w:szCs w:val="22"/>
          <w:lang w:val="en-US"/>
        </w:rPr>
        <w:t xml:space="preserve"> </w:t>
      </w:r>
      <w:r w:rsidR="000222BC">
        <w:rPr>
          <w:rFonts w:ascii="Arial" w:hAnsi="Arial" w:cs="Arial"/>
          <w:sz w:val="22"/>
          <w:szCs w:val="22"/>
          <w:lang w:val="en-US"/>
        </w:rPr>
        <w:t>on HSCs in m</w:t>
      </w:r>
      <w:r w:rsidR="000222BC" w:rsidRPr="000222BC">
        <w:rPr>
          <w:rFonts w:ascii="Arial" w:hAnsi="Arial" w:cs="Arial"/>
          <w:sz w:val="22"/>
          <w:szCs w:val="22"/>
          <w:lang w:val="en-US"/>
        </w:rPr>
        <w:t xml:space="preserve">ouse models of </w:t>
      </w:r>
      <w:r w:rsidR="000222BC">
        <w:rPr>
          <w:rFonts w:ascii="Arial" w:hAnsi="Arial" w:cs="Arial"/>
          <w:sz w:val="22"/>
          <w:szCs w:val="22"/>
          <w:lang w:val="en-US"/>
        </w:rPr>
        <w:t>MPN. We found an increased expression of surface marker CD41 in a subset of MPN HSCs</w:t>
      </w:r>
      <w:r w:rsidR="00717111">
        <w:rPr>
          <w:rFonts w:ascii="Arial" w:hAnsi="Arial" w:cs="Arial"/>
          <w:sz w:val="22"/>
          <w:szCs w:val="22"/>
          <w:lang w:val="en-US"/>
        </w:rPr>
        <w:t xml:space="preserve"> (CD41</w:t>
      </w:r>
      <w:r w:rsidR="00717111" w:rsidRPr="00717111">
        <w:rPr>
          <w:rFonts w:ascii="Arial" w:hAnsi="Arial" w:cs="Arial"/>
          <w:sz w:val="22"/>
          <w:szCs w:val="22"/>
          <w:vertAlign w:val="superscript"/>
          <w:lang w:val="en-US"/>
        </w:rPr>
        <w:t>hi</w:t>
      </w:r>
      <w:r w:rsidR="00717111">
        <w:rPr>
          <w:rFonts w:ascii="Arial" w:hAnsi="Arial" w:cs="Arial"/>
          <w:sz w:val="22"/>
          <w:szCs w:val="22"/>
          <w:lang w:val="en-US"/>
        </w:rPr>
        <w:t xml:space="preserve"> HSC)</w:t>
      </w:r>
      <w:r w:rsidR="000222BC">
        <w:rPr>
          <w:rFonts w:ascii="Arial" w:hAnsi="Arial" w:cs="Arial"/>
          <w:sz w:val="22"/>
          <w:szCs w:val="22"/>
          <w:lang w:val="en-US"/>
        </w:rPr>
        <w:t xml:space="preserve"> which</w:t>
      </w:r>
      <w:r w:rsidR="000222BC" w:rsidRPr="000222BC">
        <w:rPr>
          <w:rFonts w:ascii="Arial" w:hAnsi="Arial" w:cs="Arial"/>
          <w:sz w:val="22"/>
          <w:szCs w:val="22"/>
          <w:lang w:val="en-US"/>
        </w:rPr>
        <w:t xml:space="preserve"> show </w:t>
      </w:r>
      <w:r w:rsidR="000222BC">
        <w:rPr>
          <w:rFonts w:ascii="Arial" w:hAnsi="Arial" w:cs="Arial"/>
          <w:sz w:val="22"/>
          <w:szCs w:val="22"/>
          <w:lang w:val="en-US"/>
        </w:rPr>
        <w:t>impaired self-renewal and repopulation capacity</w:t>
      </w:r>
      <w:r w:rsidR="000222BC" w:rsidRPr="000222BC">
        <w:rPr>
          <w:rFonts w:ascii="Arial" w:hAnsi="Arial" w:cs="Arial"/>
          <w:sz w:val="22"/>
          <w:szCs w:val="22"/>
          <w:lang w:val="en-US"/>
        </w:rPr>
        <w:t>.</w:t>
      </w:r>
      <w:r w:rsidR="000222BC" w:rsidRPr="000222BC">
        <w:rPr>
          <w:lang w:val="en-US"/>
        </w:rPr>
        <w:t xml:space="preserve"> </w:t>
      </w:r>
      <w:r w:rsidR="000222BC" w:rsidRPr="000222BC">
        <w:rPr>
          <w:rFonts w:ascii="Arial" w:hAnsi="Arial" w:cs="Arial"/>
          <w:sz w:val="22"/>
          <w:szCs w:val="22"/>
          <w:lang w:val="en-US"/>
        </w:rPr>
        <w:t xml:space="preserve">Treatment with </w:t>
      </w:r>
      <w:proofErr w:type="spellStart"/>
      <w:r w:rsidR="000222BC" w:rsidRPr="00C96B8A">
        <w:rPr>
          <w:rFonts w:ascii="Arial" w:hAnsi="Arial" w:cs="Arial"/>
          <w:sz w:val="22"/>
          <w:szCs w:val="22"/>
          <w:lang w:val="en-US"/>
        </w:rPr>
        <w:t>pegIFN</w:t>
      </w:r>
      <w:proofErr w:type="spellEnd"/>
      <w:r w:rsidR="000222BC" w:rsidRPr="00C96B8A">
        <w:rPr>
          <w:rFonts w:ascii="Arial" w:hAnsi="Arial" w:cs="Arial"/>
          <w:sz w:val="22"/>
          <w:szCs w:val="22"/>
          <w:lang w:val="en-US"/>
        </w:rPr>
        <w:t>α</w:t>
      </w:r>
      <w:r w:rsidR="002D2B93">
        <w:rPr>
          <w:rFonts w:ascii="Arial" w:hAnsi="Arial" w:cs="Arial"/>
          <w:sz w:val="22"/>
          <w:szCs w:val="22"/>
          <w:lang w:val="en-US"/>
        </w:rPr>
        <w:t xml:space="preserve"> further</w:t>
      </w:r>
      <w:r w:rsidR="00427DD3">
        <w:rPr>
          <w:rFonts w:ascii="Arial" w:hAnsi="Arial" w:cs="Arial"/>
          <w:sz w:val="22"/>
          <w:szCs w:val="22"/>
          <w:lang w:val="en-US"/>
        </w:rPr>
        <w:t xml:space="preserve"> </w:t>
      </w:r>
      <w:r w:rsidR="00366C95">
        <w:rPr>
          <w:rFonts w:ascii="Arial" w:hAnsi="Arial" w:cs="Arial"/>
          <w:sz w:val="22"/>
          <w:szCs w:val="22"/>
          <w:lang w:val="en-US"/>
        </w:rPr>
        <w:t>induced</w:t>
      </w:r>
      <w:r w:rsidR="000222BC" w:rsidRPr="000222BC">
        <w:rPr>
          <w:rFonts w:ascii="Arial" w:hAnsi="Arial" w:cs="Arial"/>
          <w:sz w:val="22"/>
          <w:szCs w:val="22"/>
          <w:lang w:val="en-US"/>
        </w:rPr>
        <w:t xml:space="preserve"> shift towards CD41</w:t>
      </w:r>
      <w:r w:rsidR="000222BC" w:rsidRPr="00717111">
        <w:rPr>
          <w:rFonts w:ascii="Arial" w:hAnsi="Arial" w:cs="Arial"/>
          <w:sz w:val="22"/>
          <w:szCs w:val="22"/>
          <w:vertAlign w:val="superscript"/>
          <w:lang w:val="en-US"/>
        </w:rPr>
        <w:t>hi</w:t>
      </w:r>
      <w:r w:rsidR="000222BC" w:rsidRPr="000222BC">
        <w:rPr>
          <w:rFonts w:ascii="Arial" w:hAnsi="Arial" w:cs="Arial"/>
          <w:sz w:val="22"/>
          <w:szCs w:val="22"/>
          <w:lang w:val="en-US"/>
        </w:rPr>
        <w:t xml:space="preserve"> </w:t>
      </w:r>
      <w:r w:rsidR="00366C95">
        <w:rPr>
          <w:rFonts w:ascii="Arial" w:hAnsi="Arial" w:cs="Arial"/>
          <w:sz w:val="22"/>
          <w:szCs w:val="22"/>
          <w:lang w:val="en-US"/>
        </w:rPr>
        <w:t xml:space="preserve">HSCs and </w:t>
      </w:r>
      <w:r w:rsidR="000222BC" w:rsidRPr="000222BC">
        <w:rPr>
          <w:rFonts w:ascii="Arial" w:hAnsi="Arial" w:cs="Arial"/>
          <w:sz w:val="22"/>
          <w:szCs w:val="22"/>
          <w:lang w:val="en-US"/>
        </w:rPr>
        <w:t>provides a possible mechanis</w:t>
      </w:r>
      <w:r w:rsidR="000222BC">
        <w:rPr>
          <w:rFonts w:ascii="Arial" w:hAnsi="Arial" w:cs="Arial"/>
          <w:sz w:val="22"/>
          <w:szCs w:val="22"/>
          <w:lang w:val="en-US"/>
        </w:rPr>
        <w:t xml:space="preserve">tic link and </w:t>
      </w:r>
      <w:r w:rsidR="00717111">
        <w:rPr>
          <w:rFonts w:ascii="Arial" w:hAnsi="Arial" w:cs="Arial"/>
          <w:sz w:val="22"/>
          <w:szCs w:val="22"/>
          <w:lang w:val="en-US"/>
        </w:rPr>
        <w:t xml:space="preserve">a </w:t>
      </w:r>
      <w:r w:rsidR="00F0796C">
        <w:rPr>
          <w:rFonts w:ascii="Arial" w:hAnsi="Arial" w:cs="Arial"/>
          <w:sz w:val="22"/>
          <w:szCs w:val="22"/>
          <w:lang w:val="en-US"/>
        </w:rPr>
        <w:t>marker</w:t>
      </w:r>
      <w:r w:rsidR="00F0796C" w:rsidRPr="000222BC">
        <w:rPr>
          <w:rFonts w:ascii="Arial" w:hAnsi="Arial" w:cs="Arial"/>
          <w:sz w:val="22"/>
          <w:szCs w:val="22"/>
          <w:lang w:val="en-US"/>
        </w:rPr>
        <w:t xml:space="preserve"> </w:t>
      </w:r>
      <w:r w:rsidR="00F0796C">
        <w:rPr>
          <w:rFonts w:ascii="Arial" w:hAnsi="Arial" w:cs="Arial"/>
          <w:sz w:val="22"/>
          <w:szCs w:val="22"/>
          <w:lang w:val="en-US"/>
        </w:rPr>
        <w:t xml:space="preserve">of </w:t>
      </w:r>
      <w:proofErr w:type="spellStart"/>
      <w:r w:rsidR="00F0796C" w:rsidRPr="00C96B8A">
        <w:rPr>
          <w:rFonts w:ascii="Arial" w:hAnsi="Arial" w:cs="Arial"/>
          <w:sz w:val="22"/>
          <w:szCs w:val="22"/>
          <w:lang w:val="en-US"/>
        </w:rPr>
        <w:t>pegIFN</w:t>
      </w:r>
      <w:proofErr w:type="spellEnd"/>
      <w:r w:rsidR="00F0796C" w:rsidRPr="00C96B8A">
        <w:rPr>
          <w:rFonts w:ascii="Arial" w:hAnsi="Arial" w:cs="Arial"/>
          <w:sz w:val="22"/>
          <w:szCs w:val="22"/>
          <w:lang w:val="en-US"/>
        </w:rPr>
        <w:t>α</w:t>
      </w:r>
      <w:r w:rsidR="000222BC" w:rsidRPr="000222BC">
        <w:rPr>
          <w:rFonts w:ascii="Arial" w:hAnsi="Arial" w:cs="Arial"/>
          <w:sz w:val="22"/>
          <w:szCs w:val="22"/>
          <w:lang w:val="en-US"/>
        </w:rPr>
        <w:t xml:space="preserve"> </w:t>
      </w:r>
      <w:r w:rsidR="00717111">
        <w:rPr>
          <w:rFonts w:ascii="Arial" w:hAnsi="Arial" w:cs="Arial"/>
          <w:sz w:val="22"/>
          <w:szCs w:val="22"/>
          <w:lang w:val="en-US"/>
        </w:rPr>
        <w:t>therapy effectiveness</w:t>
      </w:r>
      <w:r w:rsidR="000222BC" w:rsidRPr="000222BC">
        <w:rPr>
          <w:rFonts w:ascii="Arial" w:hAnsi="Arial" w:cs="Arial"/>
          <w:sz w:val="22"/>
          <w:szCs w:val="22"/>
          <w:lang w:val="en-US"/>
        </w:rPr>
        <w:t>.</w:t>
      </w:r>
      <w:r w:rsidR="00717111">
        <w:rPr>
          <w:rFonts w:ascii="Arial" w:hAnsi="Arial" w:cs="Arial"/>
          <w:sz w:val="22"/>
          <w:szCs w:val="22"/>
          <w:lang w:val="en-US"/>
        </w:rPr>
        <w:t xml:space="preserve"> Finally, w</w:t>
      </w:r>
      <w:r w:rsidR="00717111" w:rsidRPr="00717111">
        <w:rPr>
          <w:rFonts w:ascii="Arial" w:hAnsi="Arial" w:cs="Arial"/>
          <w:sz w:val="22"/>
          <w:szCs w:val="22"/>
          <w:lang w:val="en-US"/>
        </w:rPr>
        <w:t>e</w:t>
      </w:r>
      <w:r w:rsidR="00717111">
        <w:rPr>
          <w:rFonts w:ascii="Arial" w:hAnsi="Arial" w:cs="Arial"/>
          <w:sz w:val="22"/>
          <w:szCs w:val="22"/>
          <w:lang w:val="en-US"/>
        </w:rPr>
        <w:t xml:space="preserve"> also</w:t>
      </w:r>
      <w:r w:rsidR="00717111" w:rsidRPr="00717111">
        <w:rPr>
          <w:rFonts w:ascii="Arial" w:hAnsi="Arial" w:cs="Arial"/>
          <w:sz w:val="22"/>
          <w:szCs w:val="22"/>
          <w:lang w:val="en-US"/>
        </w:rPr>
        <w:t xml:space="preserve"> examined the influence of iron</w:t>
      </w:r>
      <w:r w:rsidR="00717111">
        <w:rPr>
          <w:rFonts w:ascii="Arial" w:hAnsi="Arial" w:cs="Arial"/>
          <w:sz w:val="22"/>
          <w:szCs w:val="22"/>
          <w:lang w:val="en-US"/>
        </w:rPr>
        <w:t xml:space="preserve"> metabolism</w:t>
      </w:r>
      <w:r w:rsidR="00717111" w:rsidRPr="00717111">
        <w:rPr>
          <w:rFonts w:ascii="Arial" w:hAnsi="Arial" w:cs="Arial"/>
          <w:sz w:val="22"/>
          <w:szCs w:val="22"/>
          <w:lang w:val="en-US"/>
        </w:rPr>
        <w:t xml:space="preserve"> on the </w:t>
      </w:r>
      <w:r w:rsidR="00F0796C">
        <w:rPr>
          <w:rFonts w:ascii="Arial" w:hAnsi="Arial" w:cs="Arial"/>
          <w:sz w:val="22"/>
          <w:szCs w:val="22"/>
          <w:lang w:val="en-US"/>
        </w:rPr>
        <w:t>phenotype manifestation in MPN</w:t>
      </w:r>
      <w:r w:rsidR="00717111" w:rsidRPr="00717111">
        <w:rPr>
          <w:rFonts w:ascii="Arial" w:hAnsi="Arial" w:cs="Arial"/>
          <w:sz w:val="22"/>
          <w:szCs w:val="22"/>
          <w:lang w:val="en-US"/>
        </w:rPr>
        <w:t>. Iron deficiency was shown to promote megakaryocytic commitment of megakaryocyte-erythroid progenitors (MEPs</w:t>
      </w:r>
      <w:r w:rsidR="00FD3EA4">
        <w:rPr>
          <w:rFonts w:ascii="Arial" w:hAnsi="Arial" w:cs="Arial"/>
          <w:sz w:val="22"/>
          <w:szCs w:val="22"/>
          <w:lang w:val="en-US"/>
        </w:rPr>
        <w:t>)</w:t>
      </w:r>
      <w:r w:rsidR="00717111" w:rsidRPr="00717111">
        <w:rPr>
          <w:rFonts w:ascii="Arial" w:hAnsi="Arial" w:cs="Arial"/>
          <w:sz w:val="22"/>
          <w:szCs w:val="22"/>
          <w:lang w:val="en-US"/>
        </w:rPr>
        <w:t xml:space="preserve">. We studied mice expressing </w:t>
      </w:r>
      <w:r w:rsidR="00717111" w:rsidRPr="00717111">
        <w:rPr>
          <w:rFonts w:ascii="Arial" w:hAnsi="Arial" w:cs="Arial"/>
          <w:i/>
          <w:iCs/>
          <w:sz w:val="22"/>
          <w:szCs w:val="22"/>
          <w:lang w:val="en-US"/>
        </w:rPr>
        <w:t>JAK2</w:t>
      </w:r>
      <w:r w:rsidR="00717111">
        <w:rPr>
          <w:rFonts w:ascii="Arial" w:hAnsi="Arial" w:cs="Arial"/>
          <w:sz w:val="22"/>
          <w:szCs w:val="22"/>
          <w:lang w:val="en-US"/>
        </w:rPr>
        <w:t xml:space="preserve"> </w:t>
      </w:r>
      <w:r w:rsidR="00717111" w:rsidRPr="00717111">
        <w:rPr>
          <w:rFonts w:ascii="Arial" w:hAnsi="Arial" w:cs="Arial"/>
          <w:sz w:val="22"/>
          <w:szCs w:val="22"/>
          <w:lang w:val="en-US"/>
        </w:rPr>
        <w:t xml:space="preserve">V617F and displaying pure ET or full PV phenotypes and a </w:t>
      </w:r>
      <w:r w:rsidR="00717111" w:rsidRPr="00717111">
        <w:rPr>
          <w:rFonts w:ascii="Arial" w:hAnsi="Arial" w:cs="Arial"/>
          <w:i/>
          <w:iCs/>
          <w:sz w:val="22"/>
          <w:szCs w:val="22"/>
          <w:lang w:val="en-US"/>
        </w:rPr>
        <w:t>JAK2</w:t>
      </w:r>
      <w:r w:rsidR="00717111" w:rsidRPr="00717111">
        <w:rPr>
          <w:rFonts w:ascii="Arial" w:hAnsi="Arial" w:cs="Arial"/>
          <w:sz w:val="22"/>
          <w:szCs w:val="22"/>
          <w:lang w:val="en-US"/>
        </w:rPr>
        <w:t xml:space="preserve"> exon </w:t>
      </w:r>
      <w:r w:rsidR="00717111" w:rsidRPr="00717111">
        <w:rPr>
          <w:rFonts w:ascii="Arial" w:hAnsi="Arial" w:cs="Arial"/>
          <w:sz w:val="22"/>
          <w:szCs w:val="22"/>
          <w:lang w:val="en-US"/>
        </w:rPr>
        <w:lastRenderedPageBreak/>
        <w:t>12 (</w:t>
      </w:r>
      <w:r w:rsidR="00717111" w:rsidRPr="00717111">
        <w:rPr>
          <w:rFonts w:ascii="Arial" w:hAnsi="Arial" w:cs="Arial"/>
          <w:i/>
          <w:iCs/>
          <w:sz w:val="22"/>
          <w:szCs w:val="22"/>
          <w:lang w:val="en-US"/>
        </w:rPr>
        <w:t>E12</w:t>
      </w:r>
      <w:r w:rsidR="00717111" w:rsidRPr="00717111">
        <w:rPr>
          <w:rFonts w:ascii="Arial" w:hAnsi="Arial" w:cs="Arial"/>
          <w:sz w:val="22"/>
          <w:szCs w:val="22"/>
          <w:lang w:val="en-US"/>
        </w:rPr>
        <w:t xml:space="preserve">) mouse model with erythrocytosis and exposed them to </w:t>
      </w:r>
      <w:r w:rsidR="00F0796C">
        <w:rPr>
          <w:rFonts w:ascii="Arial" w:hAnsi="Arial" w:cs="Arial"/>
          <w:sz w:val="22"/>
          <w:szCs w:val="22"/>
          <w:lang w:val="en-US"/>
        </w:rPr>
        <w:t>iron deficiency</w:t>
      </w:r>
      <w:r w:rsidR="00717111" w:rsidRPr="00717111">
        <w:rPr>
          <w:rFonts w:ascii="Arial" w:hAnsi="Arial" w:cs="Arial"/>
          <w:sz w:val="22"/>
          <w:szCs w:val="22"/>
          <w:lang w:val="en-US"/>
        </w:rPr>
        <w:t xml:space="preserve"> or </w:t>
      </w:r>
      <w:r w:rsidR="00F0796C">
        <w:rPr>
          <w:rFonts w:ascii="Arial" w:hAnsi="Arial" w:cs="Arial"/>
          <w:sz w:val="22"/>
          <w:szCs w:val="22"/>
          <w:lang w:val="en-US"/>
        </w:rPr>
        <w:t>iron supplementation</w:t>
      </w:r>
      <w:r w:rsidR="00717111" w:rsidRPr="00717111">
        <w:rPr>
          <w:rFonts w:ascii="Arial" w:hAnsi="Arial" w:cs="Arial"/>
          <w:sz w:val="22"/>
          <w:szCs w:val="22"/>
          <w:lang w:val="en-US"/>
        </w:rPr>
        <w:t xml:space="preserve">. </w:t>
      </w:r>
      <w:r w:rsidR="00764F3D">
        <w:rPr>
          <w:rFonts w:ascii="Arial" w:hAnsi="Arial" w:cs="Arial"/>
          <w:sz w:val="22"/>
          <w:szCs w:val="22"/>
          <w:lang w:val="en-US"/>
        </w:rPr>
        <w:t>Iron deficiency in</w:t>
      </w:r>
      <w:r w:rsidR="00717111" w:rsidRPr="00717111">
        <w:rPr>
          <w:rFonts w:ascii="Arial" w:hAnsi="Arial" w:cs="Arial"/>
          <w:sz w:val="22"/>
          <w:szCs w:val="22"/>
          <w:lang w:val="en-US"/>
        </w:rPr>
        <w:t xml:space="preserve"> PV models led to microcytic anemia and increased platelet counts. Conversely, </w:t>
      </w:r>
      <w:r w:rsidR="00764F3D">
        <w:rPr>
          <w:rFonts w:ascii="Arial" w:hAnsi="Arial" w:cs="Arial"/>
          <w:sz w:val="22"/>
          <w:szCs w:val="22"/>
          <w:lang w:val="en-US"/>
        </w:rPr>
        <w:t>iron injections</w:t>
      </w:r>
      <w:r w:rsidR="00717111" w:rsidRPr="00717111">
        <w:rPr>
          <w:rFonts w:ascii="Arial" w:hAnsi="Arial" w:cs="Arial"/>
          <w:sz w:val="22"/>
          <w:szCs w:val="22"/>
          <w:lang w:val="en-US"/>
        </w:rPr>
        <w:t xml:space="preserve"> lowered the platelet counts and promoted erythrocytosis. However, the </w:t>
      </w:r>
      <w:r w:rsidR="00717111" w:rsidRPr="00717111">
        <w:rPr>
          <w:rFonts w:ascii="Arial" w:hAnsi="Arial" w:cs="Arial"/>
          <w:i/>
          <w:iCs/>
          <w:sz w:val="22"/>
          <w:szCs w:val="22"/>
          <w:lang w:val="en-US"/>
        </w:rPr>
        <w:t>JAK2</w:t>
      </w:r>
      <w:r w:rsidR="00717111">
        <w:rPr>
          <w:rFonts w:ascii="Arial" w:hAnsi="Arial" w:cs="Arial"/>
          <w:sz w:val="22"/>
          <w:szCs w:val="22"/>
          <w:lang w:val="en-US"/>
        </w:rPr>
        <w:t xml:space="preserve"> </w:t>
      </w:r>
      <w:r w:rsidR="00717111" w:rsidRPr="00717111">
        <w:rPr>
          <w:rFonts w:ascii="Arial" w:hAnsi="Arial" w:cs="Arial"/>
          <w:sz w:val="22"/>
          <w:szCs w:val="22"/>
          <w:lang w:val="en-US"/>
        </w:rPr>
        <w:t xml:space="preserve">V617F ET model </w:t>
      </w:r>
      <w:r w:rsidR="00F0796C">
        <w:rPr>
          <w:rFonts w:ascii="Arial" w:hAnsi="Arial" w:cs="Arial"/>
          <w:sz w:val="22"/>
          <w:szCs w:val="22"/>
          <w:lang w:val="en-US"/>
        </w:rPr>
        <w:t>was unresponsive to changes of iron availability</w:t>
      </w:r>
      <w:r w:rsidR="00717111" w:rsidRPr="00717111">
        <w:rPr>
          <w:rFonts w:ascii="Arial" w:hAnsi="Arial" w:cs="Arial"/>
          <w:sz w:val="22"/>
          <w:szCs w:val="22"/>
          <w:lang w:val="en-US"/>
        </w:rPr>
        <w:t>.</w:t>
      </w:r>
      <w:r w:rsidR="002E2397">
        <w:rPr>
          <w:rFonts w:ascii="Arial" w:hAnsi="Arial" w:cs="Arial"/>
          <w:sz w:val="22"/>
          <w:szCs w:val="22"/>
          <w:lang w:val="en-US"/>
        </w:rPr>
        <w:t xml:space="preserve"> </w:t>
      </w:r>
      <w:r w:rsidR="00717111" w:rsidRPr="00717111">
        <w:rPr>
          <w:rFonts w:ascii="Arial" w:hAnsi="Arial" w:cs="Arial"/>
          <w:sz w:val="22"/>
          <w:szCs w:val="22"/>
          <w:lang w:val="en-US"/>
        </w:rPr>
        <w:t>Analys</w:t>
      </w:r>
      <w:r w:rsidR="00396967">
        <w:rPr>
          <w:rFonts w:ascii="Arial" w:hAnsi="Arial" w:cs="Arial"/>
          <w:sz w:val="22"/>
          <w:szCs w:val="22"/>
          <w:lang w:val="en-US"/>
        </w:rPr>
        <w:t>e</w:t>
      </w:r>
      <w:r w:rsidR="00717111" w:rsidRPr="00717111">
        <w:rPr>
          <w:rFonts w:ascii="Arial" w:hAnsi="Arial" w:cs="Arial"/>
          <w:sz w:val="22"/>
          <w:szCs w:val="22"/>
          <w:lang w:val="en-US"/>
        </w:rPr>
        <w:t xml:space="preserve">s of the stem cell and progenitor compartment </w:t>
      </w:r>
      <w:r w:rsidR="00F0796C">
        <w:rPr>
          <w:rFonts w:ascii="Arial" w:hAnsi="Arial" w:cs="Arial"/>
          <w:sz w:val="22"/>
          <w:szCs w:val="22"/>
          <w:lang w:val="en-US"/>
        </w:rPr>
        <w:t>show</w:t>
      </w:r>
      <w:r w:rsidR="00717111" w:rsidRPr="00717111">
        <w:rPr>
          <w:rFonts w:ascii="Arial" w:hAnsi="Arial" w:cs="Arial"/>
          <w:sz w:val="22"/>
          <w:szCs w:val="22"/>
          <w:lang w:val="en-US"/>
        </w:rPr>
        <w:t xml:space="preserve"> that </w:t>
      </w:r>
      <w:r w:rsidR="002E2397">
        <w:rPr>
          <w:rFonts w:ascii="Arial" w:hAnsi="Arial" w:cs="Arial"/>
          <w:sz w:val="22"/>
          <w:szCs w:val="22"/>
          <w:lang w:val="en-US"/>
        </w:rPr>
        <w:t xml:space="preserve">ET mice are feeding the </w:t>
      </w:r>
      <w:proofErr w:type="spellStart"/>
      <w:r w:rsidR="00717111" w:rsidRPr="00717111">
        <w:rPr>
          <w:rFonts w:ascii="Arial" w:hAnsi="Arial" w:cs="Arial"/>
          <w:sz w:val="22"/>
          <w:szCs w:val="22"/>
          <w:lang w:val="en-US"/>
        </w:rPr>
        <w:t>megakaryopoiesis</w:t>
      </w:r>
      <w:proofErr w:type="spellEnd"/>
      <w:r w:rsidR="00717111" w:rsidRPr="00717111">
        <w:rPr>
          <w:rFonts w:ascii="Arial" w:hAnsi="Arial" w:cs="Arial"/>
          <w:sz w:val="22"/>
          <w:szCs w:val="22"/>
          <w:lang w:val="en-US"/>
        </w:rPr>
        <w:t xml:space="preserve"> through the </w:t>
      </w:r>
      <w:r w:rsidR="002E2397">
        <w:rPr>
          <w:rFonts w:ascii="Arial" w:hAnsi="Arial" w:cs="Arial"/>
          <w:sz w:val="22"/>
          <w:szCs w:val="22"/>
          <w:lang w:val="en-US"/>
        </w:rPr>
        <w:t>megakaryocyte-biased</w:t>
      </w:r>
      <w:r w:rsidR="00717111" w:rsidRPr="00717111">
        <w:rPr>
          <w:rFonts w:ascii="Arial" w:hAnsi="Arial" w:cs="Arial"/>
          <w:sz w:val="22"/>
          <w:szCs w:val="22"/>
          <w:lang w:val="en-US"/>
        </w:rPr>
        <w:t xml:space="preserve"> </w:t>
      </w:r>
      <w:r w:rsidR="002E2397">
        <w:rPr>
          <w:rFonts w:ascii="Arial" w:hAnsi="Arial" w:cs="Arial"/>
          <w:sz w:val="22"/>
          <w:szCs w:val="22"/>
          <w:lang w:val="en-US"/>
        </w:rPr>
        <w:t>common myeloid progenitor</w:t>
      </w:r>
      <w:r w:rsidR="00717111" w:rsidRPr="00717111">
        <w:rPr>
          <w:rFonts w:ascii="Arial" w:hAnsi="Arial" w:cs="Arial"/>
          <w:sz w:val="22"/>
          <w:szCs w:val="22"/>
          <w:lang w:val="en-US"/>
        </w:rPr>
        <w:t xml:space="preserve"> </w:t>
      </w:r>
      <w:r w:rsidR="002E2397">
        <w:rPr>
          <w:rFonts w:ascii="Arial" w:hAnsi="Arial" w:cs="Arial"/>
          <w:sz w:val="22"/>
          <w:szCs w:val="22"/>
          <w:lang w:val="en-US"/>
        </w:rPr>
        <w:t xml:space="preserve">(CMP) </w:t>
      </w:r>
      <w:r w:rsidR="00717111" w:rsidRPr="00717111">
        <w:rPr>
          <w:rFonts w:ascii="Arial" w:hAnsi="Arial" w:cs="Arial"/>
          <w:sz w:val="22"/>
          <w:szCs w:val="22"/>
          <w:lang w:val="en-US"/>
        </w:rPr>
        <w:t xml:space="preserve">path. </w:t>
      </w:r>
      <w:r w:rsidR="002E2397">
        <w:rPr>
          <w:rFonts w:ascii="Arial" w:hAnsi="Arial" w:cs="Arial"/>
          <w:sz w:val="22"/>
          <w:szCs w:val="22"/>
          <w:lang w:val="en-US"/>
        </w:rPr>
        <w:t xml:space="preserve">Furthermore, PV models tend to use both iron responsive MEP and nonresponsive megakaryocytic-biased LT-HSC/CMP path. </w:t>
      </w:r>
      <w:r w:rsidR="00717111" w:rsidRPr="00717111">
        <w:rPr>
          <w:rFonts w:ascii="Arial" w:hAnsi="Arial" w:cs="Arial"/>
          <w:sz w:val="22"/>
          <w:szCs w:val="22"/>
          <w:lang w:val="en-US"/>
        </w:rPr>
        <w:t xml:space="preserve">In contrast, the mutant </w:t>
      </w:r>
      <w:r w:rsidR="00717111" w:rsidRPr="00FB4961">
        <w:rPr>
          <w:rFonts w:ascii="Arial" w:hAnsi="Arial" w:cs="Arial"/>
          <w:sz w:val="22"/>
          <w:szCs w:val="22"/>
          <w:lang w:val="en-US"/>
        </w:rPr>
        <w:t>JAK2</w:t>
      </w:r>
      <w:r w:rsidR="00717111" w:rsidRPr="00717111">
        <w:rPr>
          <w:rFonts w:ascii="Arial" w:hAnsi="Arial" w:cs="Arial"/>
          <w:sz w:val="22"/>
          <w:szCs w:val="22"/>
          <w:lang w:val="en-US"/>
        </w:rPr>
        <w:t xml:space="preserve"> exon12 protein appears to selectively </w:t>
      </w:r>
      <w:r w:rsidR="002E2397">
        <w:rPr>
          <w:rFonts w:ascii="Arial" w:hAnsi="Arial" w:cs="Arial"/>
          <w:sz w:val="22"/>
          <w:szCs w:val="22"/>
          <w:lang w:val="en-US"/>
        </w:rPr>
        <w:t>stimulat</w:t>
      </w:r>
      <w:r w:rsidR="00597EA6">
        <w:rPr>
          <w:rFonts w:ascii="Arial" w:hAnsi="Arial" w:cs="Arial"/>
          <w:sz w:val="22"/>
          <w:szCs w:val="22"/>
          <w:lang w:val="en-US"/>
        </w:rPr>
        <w:t>e</w:t>
      </w:r>
      <w:r w:rsidR="00717111" w:rsidRPr="00717111">
        <w:rPr>
          <w:rFonts w:ascii="Arial" w:hAnsi="Arial" w:cs="Arial"/>
          <w:sz w:val="22"/>
          <w:szCs w:val="22"/>
          <w:lang w:val="en-US"/>
        </w:rPr>
        <w:t xml:space="preserve"> </w:t>
      </w:r>
      <w:r w:rsidR="002E2397">
        <w:rPr>
          <w:rFonts w:ascii="Arial" w:hAnsi="Arial" w:cs="Arial"/>
          <w:sz w:val="22"/>
          <w:szCs w:val="22"/>
          <w:lang w:val="en-US"/>
        </w:rPr>
        <w:t xml:space="preserve">iron dependent stage of </w:t>
      </w:r>
      <w:r w:rsidR="00717111" w:rsidRPr="00717111">
        <w:rPr>
          <w:rFonts w:ascii="Arial" w:hAnsi="Arial" w:cs="Arial"/>
          <w:sz w:val="22"/>
          <w:szCs w:val="22"/>
          <w:lang w:val="en-US"/>
        </w:rPr>
        <w:t>MEPs resulting in erythrocytosis at the expense of platelet production.</w:t>
      </w:r>
      <w:r w:rsidR="002E2397">
        <w:rPr>
          <w:rFonts w:ascii="Arial" w:hAnsi="Arial" w:cs="Arial"/>
          <w:sz w:val="22"/>
          <w:szCs w:val="22"/>
          <w:lang w:val="en-US"/>
        </w:rPr>
        <w:t xml:space="preserve"> </w:t>
      </w:r>
      <w:r w:rsidR="00F0796C">
        <w:rPr>
          <w:rFonts w:ascii="Arial" w:hAnsi="Arial" w:cs="Arial"/>
          <w:sz w:val="22"/>
          <w:szCs w:val="22"/>
          <w:lang w:val="en-US"/>
        </w:rPr>
        <w:t>Exploring</w:t>
      </w:r>
      <w:r w:rsidR="00717111" w:rsidRPr="00717111">
        <w:rPr>
          <w:rFonts w:ascii="Arial" w:hAnsi="Arial" w:cs="Arial"/>
          <w:sz w:val="22"/>
          <w:szCs w:val="22"/>
          <w:lang w:val="en-US"/>
        </w:rPr>
        <w:t xml:space="preserve"> means of </w:t>
      </w:r>
      <w:r w:rsidR="00427DD3">
        <w:rPr>
          <w:rFonts w:ascii="Arial" w:hAnsi="Arial" w:cs="Arial"/>
          <w:sz w:val="22"/>
          <w:szCs w:val="22"/>
          <w:lang w:val="en-US"/>
        </w:rPr>
        <w:t>limiting</w:t>
      </w:r>
      <w:r w:rsidR="00717111" w:rsidRPr="00717111">
        <w:rPr>
          <w:rFonts w:ascii="Arial" w:hAnsi="Arial" w:cs="Arial"/>
          <w:sz w:val="22"/>
          <w:szCs w:val="22"/>
          <w:lang w:val="en-US"/>
        </w:rPr>
        <w:t xml:space="preserve"> erythropoiesis</w:t>
      </w:r>
      <w:r w:rsidR="00F0796C">
        <w:rPr>
          <w:rFonts w:ascii="Arial" w:hAnsi="Arial" w:cs="Arial"/>
          <w:sz w:val="22"/>
          <w:szCs w:val="22"/>
          <w:lang w:val="en-US"/>
        </w:rPr>
        <w:t xml:space="preserve"> through </w:t>
      </w:r>
      <w:r w:rsidR="00717111" w:rsidRPr="00717111">
        <w:rPr>
          <w:rFonts w:ascii="Arial" w:hAnsi="Arial" w:cs="Arial"/>
          <w:sz w:val="22"/>
          <w:szCs w:val="22"/>
          <w:lang w:val="en-US"/>
        </w:rPr>
        <w:t>iron restriction may benefit PV patients requiring repeat therapeutic phlebotomy.</w:t>
      </w:r>
      <w:r w:rsidR="00F0796C">
        <w:rPr>
          <w:rFonts w:ascii="Arial" w:hAnsi="Arial" w:cs="Arial"/>
          <w:sz w:val="22"/>
          <w:szCs w:val="22"/>
          <w:lang w:val="en-US"/>
        </w:rPr>
        <w:t xml:space="preserve"> </w:t>
      </w:r>
      <w:r w:rsidR="002E2397">
        <w:rPr>
          <w:rFonts w:ascii="Arial" w:hAnsi="Arial" w:cs="Arial"/>
          <w:sz w:val="22"/>
          <w:szCs w:val="22"/>
          <w:lang w:val="en-US"/>
        </w:rPr>
        <w:t>Overall,</w:t>
      </w:r>
      <w:r w:rsidR="00F0796C">
        <w:rPr>
          <w:rFonts w:ascii="Arial" w:hAnsi="Arial" w:cs="Arial"/>
          <w:sz w:val="22"/>
          <w:szCs w:val="22"/>
          <w:lang w:val="en-US"/>
        </w:rPr>
        <w:t xml:space="preserve"> th</w:t>
      </w:r>
      <w:r w:rsidR="00DE0B43">
        <w:rPr>
          <w:rFonts w:ascii="Arial" w:hAnsi="Arial" w:cs="Arial"/>
          <w:sz w:val="22"/>
          <w:szCs w:val="22"/>
          <w:lang w:val="en-US"/>
        </w:rPr>
        <w:t>ese</w:t>
      </w:r>
      <w:r w:rsidR="00F0796C">
        <w:rPr>
          <w:rFonts w:ascii="Arial" w:hAnsi="Arial" w:cs="Arial"/>
          <w:sz w:val="22"/>
          <w:szCs w:val="22"/>
          <w:lang w:val="en-US"/>
        </w:rPr>
        <w:t xml:space="preserve"> studies </w:t>
      </w:r>
      <w:r w:rsidR="00635852">
        <w:rPr>
          <w:rFonts w:ascii="Arial" w:hAnsi="Arial" w:cs="Arial"/>
          <w:sz w:val="22"/>
          <w:szCs w:val="22"/>
          <w:lang w:val="en-US"/>
        </w:rPr>
        <w:t>contribute</w:t>
      </w:r>
      <w:r w:rsidR="00F0796C">
        <w:rPr>
          <w:rFonts w:ascii="Arial" w:hAnsi="Arial" w:cs="Arial"/>
          <w:sz w:val="22"/>
          <w:szCs w:val="22"/>
          <w:lang w:val="en-US"/>
        </w:rPr>
        <w:t xml:space="preserve"> to better understanding of unique pathophysiology of MPN and create a platform for new therapeutic interventions.</w:t>
      </w:r>
    </w:p>
    <w:p w14:paraId="2BF6CE6E" w14:textId="77777777" w:rsidR="004329C8" w:rsidRDefault="004329C8" w:rsidP="002E1766">
      <w:pPr>
        <w:spacing w:line="360" w:lineRule="auto"/>
        <w:jc w:val="both"/>
        <w:rPr>
          <w:rFonts w:ascii="Arial" w:hAnsi="Arial" w:cs="Arial"/>
          <w:sz w:val="22"/>
          <w:szCs w:val="22"/>
          <w:lang w:val="en-US"/>
        </w:rPr>
      </w:pPr>
    </w:p>
    <w:p w14:paraId="365A20B6" w14:textId="77777777" w:rsidR="001A69CC" w:rsidRPr="003A5293" w:rsidRDefault="001A69CC" w:rsidP="00A31C9D">
      <w:pPr>
        <w:spacing w:line="360" w:lineRule="auto"/>
        <w:jc w:val="both"/>
        <w:rPr>
          <w:rFonts w:ascii="Arial" w:hAnsi="Arial" w:cs="Arial"/>
          <w:sz w:val="22"/>
          <w:szCs w:val="22"/>
          <w:lang w:val="en-US"/>
        </w:rPr>
      </w:pPr>
      <w:r w:rsidRPr="003A5293">
        <w:rPr>
          <w:rFonts w:ascii="Arial" w:hAnsi="Arial" w:cs="Arial"/>
          <w:sz w:val="22"/>
          <w:szCs w:val="22"/>
          <w:lang w:val="en-US"/>
        </w:rPr>
        <w:br w:type="page"/>
      </w:r>
    </w:p>
    <w:p w14:paraId="3AA5BC49" w14:textId="77777777" w:rsidR="001A69CC" w:rsidRPr="003A5293" w:rsidRDefault="00D8178D" w:rsidP="00F30EE5">
      <w:pPr>
        <w:spacing w:line="360" w:lineRule="auto"/>
        <w:jc w:val="both"/>
        <w:rPr>
          <w:rFonts w:ascii="Arial" w:hAnsi="Arial" w:cs="Arial"/>
          <w:sz w:val="22"/>
          <w:szCs w:val="22"/>
          <w:lang w:val="en-US"/>
        </w:rPr>
      </w:pPr>
      <w:r w:rsidRPr="003A5293">
        <w:rPr>
          <w:rFonts w:ascii="Arial" w:eastAsia="MS Gothic" w:hAnsi="Arial" w:cs="Arial"/>
          <w:sz w:val="28"/>
          <w:szCs w:val="28"/>
          <w:lang w:val="en-US"/>
        </w:rPr>
        <w:lastRenderedPageBreak/>
        <w:t>〉</w:t>
      </w:r>
      <w:proofErr w:type="spellStart"/>
      <w:r w:rsidRPr="003A5293">
        <w:rPr>
          <w:rFonts w:ascii="Arial" w:eastAsia="MS Gothic" w:hAnsi="Arial" w:cs="Arial"/>
          <w:sz w:val="28"/>
          <w:szCs w:val="28"/>
          <w:lang w:val="en-US"/>
        </w:rPr>
        <w:t>Abstrakt</w:t>
      </w:r>
      <w:proofErr w:type="spellEnd"/>
    </w:p>
    <w:p w14:paraId="03351204" w14:textId="77777777" w:rsidR="001A69CC" w:rsidRPr="003A5293" w:rsidRDefault="001A69CC" w:rsidP="00F30EE5">
      <w:pPr>
        <w:spacing w:line="360" w:lineRule="auto"/>
        <w:jc w:val="both"/>
        <w:rPr>
          <w:rFonts w:ascii="Arial" w:hAnsi="Arial" w:cs="Arial"/>
          <w:sz w:val="22"/>
          <w:szCs w:val="22"/>
          <w:lang w:val="en-US"/>
        </w:rPr>
      </w:pPr>
    </w:p>
    <w:p w14:paraId="2600E099" w14:textId="46629DE3" w:rsidR="001A69CC" w:rsidRPr="00D66707" w:rsidRDefault="00366C95" w:rsidP="001D50A9">
      <w:pPr>
        <w:spacing w:line="360" w:lineRule="auto"/>
        <w:jc w:val="both"/>
        <w:rPr>
          <w:rFonts w:ascii="Arial" w:hAnsi="Arial" w:cs="Arial"/>
          <w:sz w:val="22"/>
          <w:szCs w:val="22"/>
          <w:lang w:val="cs-CZ"/>
        </w:rPr>
      </w:pPr>
      <w:r>
        <w:rPr>
          <w:rFonts w:ascii="Arial" w:hAnsi="Arial" w:cs="Arial"/>
          <w:sz w:val="22"/>
          <w:szCs w:val="22"/>
          <w:lang w:val="cs-CZ"/>
        </w:rPr>
        <w:t>M</w:t>
      </w:r>
      <w:r w:rsidRPr="00366C95">
        <w:rPr>
          <w:rFonts w:ascii="Arial" w:hAnsi="Arial" w:cs="Arial"/>
          <w:sz w:val="22"/>
          <w:szCs w:val="22"/>
          <w:lang w:val="cs-CZ"/>
        </w:rPr>
        <w:t>yeloproliferativní onemocnění (MPN) jsou poruchy hematopoetických kmenových buněk (HSC)</w:t>
      </w:r>
      <w:r w:rsidR="00242730">
        <w:rPr>
          <w:rFonts w:ascii="Arial" w:hAnsi="Arial" w:cs="Arial"/>
          <w:sz w:val="22"/>
          <w:szCs w:val="22"/>
          <w:lang w:val="cs-CZ"/>
        </w:rPr>
        <w:t xml:space="preserve"> s nadprodukcí myeloidních krevních řad</w:t>
      </w:r>
      <w:r w:rsidRPr="00366C95">
        <w:rPr>
          <w:rFonts w:ascii="Arial" w:hAnsi="Arial" w:cs="Arial"/>
          <w:sz w:val="22"/>
          <w:szCs w:val="22"/>
          <w:lang w:val="cs-CZ"/>
        </w:rPr>
        <w:t xml:space="preserve">, které jsou způsobeny </w:t>
      </w:r>
      <w:proofErr w:type="spellStart"/>
      <w:r w:rsidRPr="00366C95">
        <w:rPr>
          <w:rFonts w:ascii="Arial" w:hAnsi="Arial" w:cs="Arial"/>
          <w:sz w:val="22"/>
          <w:szCs w:val="22"/>
          <w:lang w:val="cs-CZ"/>
        </w:rPr>
        <w:t>onkogenní</w:t>
      </w:r>
      <w:proofErr w:type="spellEnd"/>
      <w:r w:rsidRPr="00366C95">
        <w:rPr>
          <w:rFonts w:ascii="Arial" w:hAnsi="Arial" w:cs="Arial"/>
          <w:sz w:val="22"/>
          <w:szCs w:val="22"/>
          <w:lang w:val="cs-CZ"/>
        </w:rPr>
        <w:t xml:space="preserve"> signalizací </w:t>
      </w:r>
      <w:r>
        <w:rPr>
          <w:rFonts w:ascii="Arial" w:hAnsi="Arial" w:cs="Arial"/>
          <w:sz w:val="22"/>
          <w:szCs w:val="22"/>
          <w:lang w:val="cs-CZ"/>
        </w:rPr>
        <w:t xml:space="preserve">a </w:t>
      </w:r>
      <w:r w:rsidR="00242730">
        <w:rPr>
          <w:rFonts w:ascii="Arial" w:hAnsi="Arial" w:cs="Arial"/>
          <w:sz w:val="22"/>
          <w:szCs w:val="22"/>
          <w:lang w:val="cs-CZ"/>
        </w:rPr>
        <w:t xml:space="preserve">vyznačují </w:t>
      </w:r>
      <w:r>
        <w:rPr>
          <w:rFonts w:ascii="Arial" w:hAnsi="Arial" w:cs="Arial"/>
          <w:sz w:val="22"/>
          <w:szCs w:val="22"/>
          <w:lang w:val="cs-CZ"/>
        </w:rPr>
        <w:t>se</w:t>
      </w:r>
      <w:r w:rsidRPr="00366C95">
        <w:rPr>
          <w:rFonts w:ascii="Arial" w:hAnsi="Arial" w:cs="Arial"/>
          <w:sz w:val="22"/>
          <w:szCs w:val="22"/>
          <w:lang w:val="cs-CZ"/>
        </w:rPr>
        <w:t xml:space="preserve"> vysokou prevalencí mutace </w:t>
      </w:r>
      <w:r w:rsidRPr="00366C95">
        <w:rPr>
          <w:rFonts w:ascii="Arial" w:hAnsi="Arial" w:cs="Arial"/>
          <w:i/>
          <w:iCs/>
          <w:sz w:val="22"/>
          <w:szCs w:val="22"/>
          <w:lang w:val="cs-CZ"/>
        </w:rPr>
        <w:t>JAK2</w:t>
      </w:r>
      <w:r w:rsidRPr="00366C95">
        <w:rPr>
          <w:rFonts w:ascii="Arial" w:hAnsi="Arial" w:cs="Arial"/>
          <w:sz w:val="22"/>
          <w:szCs w:val="22"/>
          <w:lang w:val="cs-CZ"/>
        </w:rPr>
        <w:t xml:space="preserve"> V617F. Chronický zánět, změny</w:t>
      </w:r>
      <w:r w:rsidR="00D67DA7">
        <w:rPr>
          <w:rFonts w:ascii="Arial" w:hAnsi="Arial" w:cs="Arial"/>
          <w:sz w:val="22"/>
          <w:szCs w:val="22"/>
          <w:lang w:val="cs-CZ"/>
        </w:rPr>
        <w:t xml:space="preserve"> v</w:t>
      </w:r>
      <w:r w:rsidRPr="00366C95">
        <w:rPr>
          <w:rFonts w:ascii="Arial" w:hAnsi="Arial" w:cs="Arial"/>
          <w:sz w:val="22"/>
          <w:szCs w:val="22"/>
          <w:lang w:val="cs-CZ"/>
        </w:rPr>
        <w:t xml:space="preserve"> metabolismu a </w:t>
      </w:r>
      <w:r w:rsidR="00D67DA7">
        <w:rPr>
          <w:rFonts w:ascii="Arial" w:hAnsi="Arial" w:cs="Arial"/>
          <w:sz w:val="22"/>
          <w:szCs w:val="22"/>
          <w:lang w:val="cs-CZ"/>
        </w:rPr>
        <w:t xml:space="preserve">odpovědi na </w:t>
      </w:r>
      <w:r w:rsidRPr="00366C95">
        <w:rPr>
          <w:rFonts w:ascii="Arial" w:hAnsi="Arial" w:cs="Arial"/>
          <w:sz w:val="22"/>
          <w:szCs w:val="22"/>
          <w:lang w:val="cs-CZ"/>
        </w:rPr>
        <w:t xml:space="preserve">poškození DNA jsou </w:t>
      </w:r>
      <w:r w:rsidR="00242730">
        <w:rPr>
          <w:rFonts w:ascii="Arial" w:hAnsi="Arial" w:cs="Arial"/>
          <w:sz w:val="22"/>
          <w:szCs w:val="22"/>
          <w:lang w:val="cs-CZ"/>
        </w:rPr>
        <w:t>důležitými</w:t>
      </w:r>
      <w:r w:rsidR="00242730" w:rsidRPr="00366C95">
        <w:rPr>
          <w:rFonts w:ascii="Arial" w:hAnsi="Arial" w:cs="Arial"/>
          <w:sz w:val="22"/>
          <w:szCs w:val="22"/>
          <w:lang w:val="cs-CZ"/>
        </w:rPr>
        <w:t xml:space="preserve"> </w:t>
      </w:r>
      <w:r w:rsidRPr="00366C95">
        <w:rPr>
          <w:rFonts w:ascii="Arial" w:hAnsi="Arial" w:cs="Arial"/>
          <w:sz w:val="22"/>
          <w:szCs w:val="22"/>
          <w:lang w:val="cs-CZ"/>
        </w:rPr>
        <w:t xml:space="preserve">znaky MPN. </w:t>
      </w:r>
      <w:r w:rsidR="007E1A17">
        <w:rPr>
          <w:rFonts w:ascii="Arial" w:hAnsi="Arial" w:cs="Arial"/>
          <w:sz w:val="22"/>
          <w:szCs w:val="22"/>
          <w:lang w:val="cs-CZ"/>
        </w:rPr>
        <w:t>P</w:t>
      </w:r>
      <w:r w:rsidRPr="00366C95">
        <w:rPr>
          <w:rFonts w:ascii="Arial" w:hAnsi="Arial" w:cs="Arial"/>
          <w:sz w:val="22"/>
          <w:szCs w:val="22"/>
          <w:lang w:val="cs-CZ"/>
        </w:rPr>
        <w:t xml:space="preserve">acienti s MPN </w:t>
      </w:r>
      <w:r w:rsidR="00D67DA7">
        <w:rPr>
          <w:rFonts w:ascii="Arial" w:hAnsi="Arial" w:cs="Arial"/>
          <w:sz w:val="22"/>
          <w:szCs w:val="22"/>
          <w:lang w:val="cs-CZ"/>
        </w:rPr>
        <w:t>a</w:t>
      </w:r>
      <w:r w:rsidRPr="00366C95">
        <w:rPr>
          <w:rFonts w:ascii="Arial" w:hAnsi="Arial" w:cs="Arial"/>
          <w:sz w:val="22"/>
          <w:szCs w:val="22"/>
          <w:lang w:val="cs-CZ"/>
        </w:rPr>
        <w:t xml:space="preserve"> mutací </w:t>
      </w:r>
      <w:r w:rsidRPr="00D67DA7">
        <w:rPr>
          <w:rFonts w:ascii="Arial" w:hAnsi="Arial" w:cs="Arial"/>
          <w:i/>
          <w:iCs/>
          <w:sz w:val="22"/>
          <w:szCs w:val="22"/>
          <w:lang w:val="cs-CZ"/>
        </w:rPr>
        <w:t>JAK2</w:t>
      </w:r>
      <w:r w:rsidRPr="00366C95">
        <w:rPr>
          <w:rFonts w:ascii="Arial" w:hAnsi="Arial" w:cs="Arial"/>
          <w:sz w:val="22"/>
          <w:szCs w:val="22"/>
          <w:lang w:val="cs-CZ"/>
        </w:rPr>
        <w:t xml:space="preserve"> V617F </w:t>
      </w:r>
      <w:r w:rsidR="00D67DA7" w:rsidRPr="00D67DA7">
        <w:rPr>
          <w:rFonts w:ascii="Arial" w:hAnsi="Arial" w:cs="Arial"/>
          <w:sz w:val="22"/>
          <w:szCs w:val="22"/>
          <w:lang w:val="cs-CZ"/>
        </w:rPr>
        <w:t>tvoří několik navzájem neostře ohraničených jednote</w:t>
      </w:r>
      <w:r w:rsidR="00D67DA7">
        <w:rPr>
          <w:rFonts w:ascii="Arial" w:hAnsi="Arial" w:cs="Arial"/>
          <w:sz w:val="22"/>
          <w:szCs w:val="22"/>
          <w:lang w:val="cs-CZ"/>
        </w:rPr>
        <w:t>k s</w:t>
      </w:r>
      <w:r w:rsidR="00D67DA7" w:rsidRPr="00D67DA7">
        <w:rPr>
          <w:rFonts w:ascii="Arial" w:hAnsi="Arial" w:cs="Arial"/>
          <w:sz w:val="22"/>
          <w:szCs w:val="22"/>
          <w:lang w:val="cs-CZ"/>
        </w:rPr>
        <w:t xml:space="preserve"> </w:t>
      </w:r>
      <w:r w:rsidRPr="00366C95">
        <w:rPr>
          <w:rFonts w:ascii="Arial" w:hAnsi="Arial" w:cs="Arial"/>
          <w:sz w:val="22"/>
          <w:szCs w:val="22"/>
          <w:lang w:val="cs-CZ"/>
        </w:rPr>
        <w:t xml:space="preserve">variabilní fenotypovou </w:t>
      </w:r>
      <w:r w:rsidR="00242730" w:rsidRPr="00366C95">
        <w:rPr>
          <w:rFonts w:ascii="Arial" w:hAnsi="Arial" w:cs="Arial"/>
          <w:sz w:val="22"/>
          <w:szCs w:val="22"/>
          <w:lang w:val="cs-CZ"/>
        </w:rPr>
        <w:t>manifestac</w:t>
      </w:r>
      <w:r w:rsidR="00242730">
        <w:rPr>
          <w:rFonts w:ascii="Arial" w:hAnsi="Arial" w:cs="Arial"/>
          <w:sz w:val="22"/>
          <w:szCs w:val="22"/>
          <w:lang w:val="cs-CZ"/>
        </w:rPr>
        <w:t>í</w:t>
      </w:r>
      <w:r w:rsidRPr="00366C95">
        <w:rPr>
          <w:rFonts w:ascii="Arial" w:hAnsi="Arial" w:cs="Arial"/>
          <w:sz w:val="22"/>
          <w:szCs w:val="22"/>
          <w:lang w:val="cs-CZ"/>
        </w:rPr>
        <w:t>, což vede k</w:t>
      </w:r>
      <w:r w:rsidR="00D67DA7">
        <w:rPr>
          <w:rFonts w:ascii="Arial" w:hAnsi="Arial" w:cs="Arial"/>
          <w:sz w:val="22"/>
          <w:szCs w:val="22"/>
          <w:lang w:val="cs-CZ"/>
        </w:rPr>
        <w:t xml:space="preserve">e klasifikaci </w:t>
      </w:r>
      <w:r w:rsidRPr="00366C95">
        <w:rPr>
          <w:rFonts w:ascii="Arial" w:hAnsi="Arial" w:cs="Arial"/>
          <w:sz w:val="22"/>
          <w:szCs w:val="22"/>
          <w:lang w:val="cs-CZ"/>
        </w:rPr>
        <w:t>různý</w:t>
      </w:r>
      <w:r w:rsidR="00D67DA7">
        <w:rPr>
          <w:rFonts w:ascii="Arial" w:hAnsi="Arial" w:cs="Arial"/>
          <w:sz w:val="22"/>
          <w:szCs w:val="22"/>
          <w:lang w:val="cs-CZ"/>
        </w:rPr>
        <w:t xml:space="preserve">ch </w:t>
      </w:r>
      <w:r w:rsidRPr="00366C95">
        <w:rPr>
          <w:rFonts w:ascii="Arial" w:hAnsi="Arial" w:cs="Arial"/>
          <w:sz w:val="22"/>
          <w:szCs w:val="22"/>
          <w:lang w:val="cs-CZ"/>
        </w:rPr>
        <w:t>klinický</w:t>
      </w:r>
      <w:r w:rsidR="00D67DA7">
        <w:rPr>
          <w:rFonts w:ascii="Arial" w:hAnsi="Arial" w:cs="Arial"/>
          <w:sz w:val="22"/>
          <w:szCs w:val="22"/>
          <w:lang w:val="cs-CZ"/>
        </w:rPr>
        <w:t>ch</w:t>
      </w:r>
      <w:r w:rsidRPr="00366C95">
        <w:rPr>
          <w:rFonts w:ascii="Arial" w:hAnsi="Arial" w:cs="Arial"/>
          <w:sz w:val="22"/>
          <w:szCs w:val="22"/>
          <w:lang w:val="cs-CZ"/>
        </w:rPr>
        <w:t xml:space="preserve"> enti</w:t>
      </w:r>
      <w:r w:rsidR="00D67DA7">
        <w:rPr>
          <w:rFonts w:ascii="Arial" w:hAnsi="Arial" w:cs="Arial"/>
          <w:sz w:val="22"/>
          <w:szCs w:val="22"/>
          <w:lang w:val="cs-CZ"/>
        </w:rPr>
        <w:t>t</w:t>
      </w:r>
      <w:r w:rsidRPr="00366C95">
        <w:rPr>
          <w:rFonts w:ascii="Arial" w:hAnsi="Arial" w:cs="Arial"/>
          <w:sz w:val="22"/>
          <w:szCs w:val="22"/>
          <w:lang w:val="cs-CZ"/>
        </w:rPr>
        <w:t xml:space="preserve">. </w:t>
      </w:r>
      <w:r w:rsidR="00FB4961">
        <w:rPr>
          <w:rFonts w:ascii="Arial" w:hAnsi="Arial" w:cs="Arial"/>
          <w:sz w:val="22"/>
          <w:szCs w:val="22"/>
          <w:lang w:val="cs-CZ"/>
        </w:rPr>
        <w:t xml:space="preserve">Nejvíce zastoupené jsou </w:t>
      </w:r>
      <w:proofErr w:type="spellStart"/>
      <w:r w:rsidR="007E1A17">
        <w:rPr>
          <w:rFonts w:ascii="Arial" w:hAnsi="Arial" w:cs="Arial"/>
          <w:sz w:val="22"/>
          <w:szCs w:val="22"/>
          <w:lang w:val="cs-CZ"/>
        </w:rPr>
        <w:t>p</w:t>
      </w:r>
      <w:r w:rsidR="007E1A17" w:rsidRPr="00366C95">
        <w:rPr>
          <w:rFonts w:ascii="Arial" w:hAnsi="Arial" w:cs="Arial"/>
          <w:sz w:val="22"/>
          <w:szCs w:val="22"/>
          <w:lang w:val="cs-CZ"/>
        </w:rPr>
        <w:t>olycythemia</w:t>
      </w:r>
      <w:proofErr w:type="spellEnd"/>
      <w:r w:rsidR="007E1A17" w:rsidRPr="00366C95">
        <w:rPr>
          <w:rFonts w:ascii="Arial" w:hAnsi="Arial" w:cs="Arial"/>
          <w:sz w:val="22"/>
          <w:szCs w:val="22"/>
          <w:lang w:val="cs-CZ"/>
        </w:rPr>
        <w:t xml:space="preserve"> </w:t>
      </w:r>
      <w:r w:rsidRPr="00366C95">
        <w:rPr>
          <w:rFonts w:ascii="Arial" w:hAnsi="Arial" w:cs="Arial"/>
          <w:sz w:val="22"/>
          <w:szCs w:val="22"/>
          <w:lang w:val="cs-CZ"/>
        </w:rPr>
        <w:t xml:space="preserve">vera (PV) s </w:t>
      </w:r>
      <w:r w:rsidR="00D67DA7">
        <w:rPr>
          <w:rFonts w:ascii="Arial" w:hAnsi="Arial" w:cs="Arial"/>
          <w:sz w:val="22"/>
          <w:szCs w:val="22"/>
          <w:lang w:val="cs-CZ"/>
        </w:rPr>
        <w:t>expanzí</w:t>
      </w:r>
      <w:r w:rsidRPr="00366C95">
        <w:rPr>
          <w:rFonts w:ascii="Arial" w:hAnsi="Arial" w:cs="Arial"/>
          <w:sz w:val="22"/>
          <w:szCs w:val="22"/>
          <w:lang w:val="cs-CZ"/>
        </w:rPr>
        <w:t xml:space="preserve"> </w:t>
      </w:r>
      <w:r w:rsidR="00D67DA7" w:rsidRPr="00D67DA7">
        <w:rPr>
          <w:rFonts w:ascii="Arial" w:hAnsi="Arial" w:cs="Arial"/>
          <w:sz w:val="22"/>
          <w:szCs w:val="22"/>
          <w:lang w:val="cs-CZ"/>
        </w:rPr>
        <w:t xml:space="preserve">červené krevní řady </w:t>
      </w:r>
      <w:r w:rsidRPr="00366C95">
        <w:rPr>
          <w:rFonts w:ascii="Arial" w:hAnsi="Arial" w:cs="Arial"/>
          <w:sz w:val="22"/>
          <w:szCs w:val="22"/>
          <w:lang w:val="cs-CZ"/>
        </w:rPr>
        <w:t xml:space="preserve">a esenciální </w:t>
      </w:r>
      <w:proofErr w:type="spellStart"/>
      <w:r w:rsidRPr="00366C95">
        <w:rPr>
          <w:rFonts w:ascii="Arial" w:hAnsi="Arial" w:cs="Arial"/>
          <w:sz w:val="22"/>
          <w:szCs w:val="22"/>
          <w:lang w:val="cs-CZ"/>
        </w:rPr>
        <w:t>trombocytémie</w:t>
      </w:r>
      <w:proofErr w:type="spellEnd"/>
      <w:r w:rsidRPr="00366C95">
        <w:rPr>
          <w:rFonts w:ascii="Arial" w:hAnsi="Arial" w:cs="Arial"/>
          <w:sz w:val="22"/>
          <w:szCs w:val="22"/>
          <w:lang w:val="cs-CZ"/>
        </w:rPr>
        <w:t xml:space="preserve"> (ET) se zvýšenou </w:t>
      </w:r>
      <w:r w:rsidR="00D67DA7">
        <w:rPr>
          <w:rFonts w:ascii="Arial" w:hAnsi="Arial" w:cs="Arial"/>
          <w:sz w:val="22"/>
          <w:szCs w:val="22"/>
          <w:lang w:val="cs-CZ"/>
        </w:rPr>
        <w:t xml:space="preserve">mírou </w:t>
      </w:r>
      <w:proofErr w:type="spellStart"/>
      <w:r w:rsidRPr="00366C95">
        <w:rPr>
          <w:rFonts w:ascii="Arial" w:hAnsi="Arial" w:cs="Arial"/>
          <w:sz w:val="22"/>
          <w:szCs w:val="22"/>
          <w:lang w:val="cs-CZ"/>
        </w:rPr>
        <w:t>megakaryopoéz</w:t>
      </w:r>
      <w:r w:rsidR="00D67DA7">
        <w:rPr>
          <w:rFonts w:ascii="Arial" w:hAnsi="Arial" w:cs="Arial"/>
          <w:sz w:val="22"/>
          <w:szCs w:val="22"/>
          <w:lang w:val="cs-CZ"/>
        </w:rPr>
        <w:t>y</w:t>
      </w:r>
      <w:proofErr w:type="spellEnd"/>
      <w:r w:rsidRPr="00366C95">
        <w:rPr>
          <w:rFonts w:ascii="Arial" w:hAnsi="Arial" w:cs="Arial"/>
          <w:sz w:val="22"/>
          <w:szCs w:val="22"/>
          <w:lang w:val="cs-CZ"/>
        </w:rPr>
        <w:t xml:space="preserve">. </w:t>
      </w:r>
      <w:r w:rsidR="007E1A17">
        <w:rPr>
          <w:rFonts w:ascii="Arial" w:hAnsi="Arial" w:cs="Arial"/>
          <w:sz w:val="22"/>
          <w:szCs w:val="22"/>
          <w:lang w:val="cs-CZ"/>
        </w:rPr>
        <w:t xml:space="preserve">Díky </w:t>
      </w:r>
      <w:r w:rsidR="001C6601">
        <w:rPr>
          <w:rFonts w:ascii="Arial" w:hAnsi="Arial" w:cs="Arial"/>
          <w:sz w:val="22"/>
          <w:szCs w:val="22"/>
          <w:lang w:val="cs-CZ"/>
        </w:rPr>
        <w:t>j</w:t>
      </w:r>
      <w:r w:rsidR="001C6601" w:rsidRPr="00366C95">
        <w:rPr>
          <w:rFonts w:ascii="Arial" w:hAnsi="Arial" w:cs="Arial"/>
          <w:sz w:val="22"/>
          <w:szCs w:val="22"/>
          <w:lang w:val="cs-CZ"/>
        </w:rPr>
        <w:t>edinečn</w:t>
      </w:r>
      <w:r w:rsidR="001C6601">
        <w:rPr>
          <w:rFonts w:ascii="Arial" w:hAnsi="Arial" w:cs="Arial"/>
          <w:sz w:val="22"/>
          <w:szCs w:val="22"/>
          <w:lang w:val="cs-CZ"/>
        </w:rPr>
        <w:t>ým</w:t>
      </w:r>
      <w:r w:rsidR="001C6601" w:rsidRPr="00366C95">
        <w:rPr>
          <w:rFonts w:ascii="Arial" w:hAnsi="Arial" w:cs="Arial"/>
          <w:sz w:val="22"/>
          <w:szCs w:val="22"/>
          <w:lang w:val="cs-CZ"/>
        </w:rPr>
        <w:t xml:space="preserve"> vlastnost</w:t>
      </w:r>
      <w:r w:rsidR="001C6601">
        <w:rPr>
          <w:rFonts w:ascii="Arial" w:hAnsi="Arial" w:cs="Arial"/>
          <w:sz w:val="22"/>
          <w:szCs w:val="22"/>
          <w:lang w:val="cs-CZ"/>
        </w:rPr>
        <w:t>em</w:t>
      </w:r>
      <w:r w:rsidR="00EB6275">
        <w:rPr>
          <w:rFonts w:ascii="Arial" w:hAnsi="Arial" w:cs="Arial"/>
          <w:sz w:val="22"/>
          <w:szCs w:val="22"/>
          <w:lang w:val="cs-CZ"/>
        </w:rPr>
        <w:t>, mezi které patří relativně nízká míra leukemické transformace s dlouhou latencí,</w:t>
      </w:r>
      <w:r w:rsidR="001C6601" w:rsidRPr="00366C95">
        <w:rPr>
          <w:rFonts w:ascii="Arial" w:hAnsi="Arial" w:cs="Arial"/>
          <w:sz w:val="22"/>
          <w:szCs w:val="22"/>
          <w:lang w:val="cs-CZ"/>
        </w:rPr>
        <w:t xml:space="preserve"> </w:t>
      </w:r>
      <w:r w:rsidR="001C6601">
        <w:rPr>
          <w:rFonts w:ascii="Arial" w:hAnsi="Arial" w:cs="Arial"/>
          <w:sz w:val="22"/>
          <w:szCs w:val="22"/>
          <w:lang w:val="cs-CZ"/>
        </w:rPr>
        <w:t>slouží MPN jako</w:t>
      </w:r>
      <w:r w:rsidRPr="00366C95">
        <w:rPr>
          <w:rFonts w:ascii="Arial" w:hAnsi="Arial" w:cs="Arial"/>
          <w:sz w:val="22"/>
          <w:szCs w:val="22"/>
          <w:lang w:val="cs-CZ"/>
        </w:rPr>
        <w:t xml:space="preserve"> model pro zkoumání mechanismů interakce onkogenu </w:t>
      </w:r>
      <w:r w:rsidR="00834792">
        <w:rPr>
          <w:rFonts w:ascii="Arial" w:hAnsi="Arial" w:cs="Arial"/>
          <w:sz w:val="22"/>
          <w:szCs w:val="22"/>
          <w:lang w:val="cs-CZ"/>
        </w:rPr>
        <w:t>a </w:t>
      </w:r>
      <w:r w:rsidR="00D67DA7">
        <w:rPr>
          <w:rFonts w:ascii="Arial" w:hAnsi="Arial" w:cs="Arial"/>
          <w:sz w:val="22"/>
          <w:szCs w:val="22"/>
          <w:lang w:val="cs-CZ"/>
        </w:rPr>
        <w:t>odpověd</w:t>
      </w:r>
      <w:r w:rsidR="00834792" w:rsidRPr="00834792">
        <w:rPr>
          <w:rFonts w:ascii="Arial" w:hAnsi="Arial" w:cs="Arial"/>
          <w:sz w:val="22"/>
          <w:szCs w:val="22"/>
          <w:lang w:val="cs-CZ"/>
        </w:rPr>
        <w:t>i</w:t>
      </w:r>
      <w:r w:rsidR="00D67DA7">
        <w:rPr>
          <w:rFonts w:ascii="Arial" w:hAnsi="Arial" w:cs="Arial"/>
          <w:sz w:val="22"/>
          <w:szCs w:val="22"/>
          <w:lang w:val="cs-CZ"/>
        </w:rPr>
        <w:t xml:space="preserve"> na </w:t>
      </w:r>
      <w:r w:rsidRPr="00366C95">
        <w:rPr>
          <w:rFonts w:ascii="Arial" w:hAnsi="Arial" w:cs="Arial"/>
          <w:sz w:val="22"/>
          <w:szCs w:val="22"/>
          <w:lang w:val="cs-CZ"/>
        </w:rPr>
        <w:t>poškození DNA způsoben</w:t>
      </w:r>
      <w:r w:rsidR="00EB6275">
        <w:rPr>
          <w:rFonts w:ascii="Arial" w:hAnsi="Arial" w:cs="Arial"/>
          <w:sz w:val="22"/>
          <w:szCs w:val="22"/>
          <w:lang w:val="cs-CZ"/>
        </w:rPr>
        <w:t>é</w:t>
      </w:r>
      <w:r w:rsidRPr="00366C95">
        <w:rPr>
          <w:rFonts w:ascii="Arial" w:hAnsi="Arial" w:cs="Arial"/>
          <w:sz w:val="22"/>
          <w:szCs w:val="22"/>
          <w:lang w:val="cs-CZ"/>
        </w:rPr>
        <w:t xml:space="preserve"> zánětem a změnami v metabolismu, které se pak projeví v iniciaci nemoci, </w:t>
      </w:r>
      <w:r w:rsidR="00834792">
        <w:rPr>
          <w:rFonts w:ascii="Arial" w:hAnsi="Arial" w:cs="Arial"/>
          <w:sz w:val="22"/>
          <w:szCs w:val="22"/>
          <w:lang w:val="cs-CZ"/>
        </w:rPr>
        <w:t>fenotypovém projevu</w:t>
      </w:r>
      <w:r w:rsidRPr="00366C95">
        <w:rPr>
          <w:rFonts w:ascii="Arial" w:hAnsi="Arial" w:cs="Arial"/>
          <w:sz w:val="22"/>
          <w:szCs w:val="22"/>
          <w:lang w:val="cs-CZ"/>
        </w:rPr>
        <w:t xml:space="preserve"> a případně </w:t>
      </w:r>
      <w:r w:rsidR="00834792">
        <w:rPr>
          <w:rFonts w:ascii="Arial" w:hAnsi="Arial" w:cs="Arial"/>
          <w:sz w:val="22"/>
          <w:szCs w:val="22"/>
          <w:lang w:val="cs-CZ"/>
        </w:rPr>
        <w:t xml:space="preserve">i </w:t>
      </w:r>
      <w:r w:rsidRPr="00366C95">
        <w:rPr>
          <w:rFonts w:ascii="Arial" w:hAnsi="Arial" w:cs="Arial"/>
          <w:sz w:val="22"/>
          <w:szCs w:val="22"/>
          <w:lang w:val="cs-CZ"/>
        </w:rPr>
        <w:t xml:space="preserve">v progresi nemoci. </w:t>
      </w:r>
      <w:r w:rsidR="00EB6275">
        <w:rPr>
          <w:rFonts w:ascii="Arial" w:hAnsi="Arial" w:cs="Arial"/>
          <w:sz w:val="22"/>
          <w:szCs w:val="22"/>
          <w:lang w:val="cs-CZ"/>
        </w:rPr>
        <w:t>Obecně, z</w:t>
      </w:r>
      <w:r w:rsidR="00EB6275" w:rsidRPr="00366C95">
        <w:rPr>
          <w:rFonts w:ascii="Arial" w:hAnsi="Arial" w:cs="Arial"/>
          <w:sz w:val="22"/>
          <w:szCs w:val="22"/>
          <w:lang w:val="cs-CZ"/>
        </w:rPr>
        <w:t xml:space="preserve">ánět </w:t>
      </w:r>
      <w:r w:rsidRPr="00366C95">
        <w:rPr>
          <w:rFonts w:ascii="Arial" w:hAnsi="Arial" w:cs="Arial"/>
          <w:sz w:val="22"/>
          <w:szCs w:val="22"/>
          <w:lang w:val="cs-CZ"/>
        </w:rPr>
        <w:t>a postupn</w:t>
      </w:r>
      <w:r w:rsidR="00FB4961">
        <w:rPr>
          <w:rFonts w:ascii="Arial" w:hAnsi="Arial" w:cs="Arial"/>
          <w:sz w:val="22"/>
          <w:szCs w:val="22"/>
          <w:lang w:val="cs-CZ"/>
        </w:rPr>
        <w:t>á</w:t>
      </w:r>
      <w:r w:rsidRPr="00366C95">
        <w:rPr>
          <w:rFonts w:ascii="Arial" w:hAnsi="Arial" w:cs="Arial"/>
          <w:sz w:val="22"/>
          <w:szCs w:val="22"/>
          <w:lang w:val="cs-CZ"/>
        </w:rPr>
        <w:t xml:space="preserve"> </w:t>
      </w:r>
      <w:r w:rsidR="00FB4961">
        <w:rPr>
          <w:rFonts w:ascii="Arial" w:hAnsi="Arial" w:cs="Arial"/>
          <w:sz w:val="22"/>
          <w:szCs w:val="22"/>
          <w:lang w:val="cs-CZ"/>
        </w:rPr>
        <w:t>akumulace</w:t>
      </w:r>
      <w:r w:rsidRPr="00366C95">
        <w:rPr>
          <w:rFonts w:ascii="Arial" w:hAnsi="Arial" w:cs="Arial"/>
          <w:sz w:val="22"/>
          <w:szCs w:val="22"/>
          <w:lang w:val="cs-CZ"/>
        </w:rPr>
        <w:t xml:space="preserve"> poškození DNA vytváří mikroprostředí </w:t>
      </w:r>
      <w:r w:rsidR="00223FFF">
        <w:rPr>
          <w:rFonts w:ascii="Arial" w:hAnsi="Arial" w:cs="Arial"/>
          <w:sz w:val="22"/>
          <w:szCs w:val="22"/>
          <w:lang w:val="cs-CZ"/>
        </w:rPr>
        <w:t xml:space="preserve">krvetvorné </w:t>
      </w:r>
      <w:r w:rsidRPr="00366C95">
        <w:rPr>
          <w:rFonts w:ascii="Arial" w:hAnsi="Arial" w:cs="Arial"/>
          <w:sz w:val="22"/>
          <w:szCs w:val="22"/>
          <w:lang w:val="cs-CZ"/>
        </w:rPr>
        <w:t>tkáně</w:t>
      </w:r>
      <w:r w:rsidR="00FB4961">
        <w:rPr>
          <w:rFonts w:ascii="Arial" w:hAnsi="Arial" w:cs="Arial"/>
          <w:sz w:val="22"/>
          <w:szCs w:val="22"/>
          <w:lang w:val="cs-CZ"/>
        </w:rPr>
        <w:t>, které</w:t>
      </w:r>
      <w:r w:rsidRPr="00366C95">
        <w:rPr>
          <w:rFonts w:ascii="Arial" w:hAnsi="Arial" w:cs="Arial"/>
          <w:sz w:val="22"/>
          <w:szCs w:val="22"/>
          <w:lang w:val="cs-CZ"/>
        </w:rPr>
        <w:t xml:space="preserve"> </w:t>
      </w:r>
      <w:r w:rsidR="00FB4961">
        <w:rPr>
          <w:rFonts w:ascii="Arial" w:hAnsi="Arial" w:cs="Arial"/>
          <w:sz w:val="22"/>
          <w:szCs w:val="22"/>
          <w:lang w:val="cs-CZ"/>
        </w:rPr>
        <w:t>zvyšuje</w:t>
      </w:r>
      <w:r w:rsidR="00834792">
        <w:rPr>
          <w:rFonts w:ascii="Arial" w:hAnsi="Arial" w:cs="Arial"/>
          <w:sz w:val="22"/>
          <w:szCs w:val="22"/>
          <w:lang w:val="cs-CZ"/>
        </w:rPr>
        <w:t xml:space="preserve"> riziko</w:t>
      </w:r>
      <w:r w:rsidRPr="00366C95">
        <w:rPr>
          <w:rFonts w:ascii="Arial" w:hAnsi="Arial" w:cs="Arial"/>
          <w:sz w:val="22"/>
          <w:szCs w:val="22"/>
          <w:lang w:val="cs-CZ"/>
        </w:rPr>
        <w:t xml:space="preserve"> </w:t>
      </w:r>
      <w:proofErr w:type="spellStart"/>
      <w:r w:rsidR="00834792" w:rsidRPr="00366C95">
        <w:rPr>
          <w:rFonts w:ascii="Arial" w:hAnsi="Arial" w:cs="Arial"/>
          <w:sz w:val="22"/>
          <w:szCs w:val="22"/>
          <w:lang w:val="cs-CZ"/>
        </w:rPr>
        <w:t>ne</w:t>
      </w:r>
      <w:r w:rsidR="00834792">
        <w:rPr>
          <w:rFonts w:ascii="Arial" w:hAnsi="Arial" w:cs="Arial"/>
          <w:sz w:val="22"/>
          <w:szCs w:val="22"/>
          <w:lang w:val="cs-CZ"/>
        </w:rPr>
        <w:t>o</w:t>
      </w:r>
      <w:r w:rsidR="00834792" w:rsidRPr="00366C95">
        <w:rPr>
          <w:rFonts w:ascii="Arial" w:hAnsi="Arial" w:cs="Arial"/>
          <w:sz w:val="22"/>
          <w:szCs w:val="22"/>
          <w:lang w:val="cs-CZ"/>
        </w:rPr>
        <w:t>plastické</w:t>
      </w:r>
      <w:proofErr w:type="spellEnd"/>
      <w:r w:rsidRPr="00366C95">
        <w:rPr>
          <w:rFonts w:ascii="Arial" w:hAnsi="Arial" w:cs="Arial"/>
          <w:sz w:val="22"/>
          <w:szCs w:val="22"/>
          <w:lang w:val="cs-CZ"/>
        </w:rPr>
        <w:t xml:space="preserve"> transformac</w:t>
      </w:r>
      <w:r w:rsidR="00834792">
        <w:rPr>
          <w:rFonts w:ascii="Arial" w:hAnsi="Arial" w:cs="Arial"/>
          <w:sz w:val="22"/>
          <w:szCs w:val="22"/>
          <w:lang w:val="cs-CZ"/>
        </w:rPr>
        <w:t>e</w:t>
      </w:r>
      <w:r w:rsidRPr="00366C95">
        <w:rPr>
          <w:rFonts w:ascii="Arial" w:hAnsi="Arial" w:cs="Arial"/>
          <w:sz w:val="22"/>
          <w:szCs w:val="22"/>
          <w:lang w:val="cs-CZ"/>
        </w:rPr>
        <w:t xml:space="preserve">, jak je zde diskutováno </w:t>
      </w:r>
      <w:r w:rsidR="00223FFF">
        <w:rPr>
          <w:rFonts w:ascii="Arial" w:hAnsi="Arial" w:cs="Arial"/>
          <w:sz w:val="22"/>
          <w:szCs w:val="22"/>
          <w:lang w:val="cs-CZ"/>
        </w:rPr>
        <w:t>u</w:t>
      </w:r>
      <w:r w:rsidRPr="00366C95">
        <w:rPr>
          <w:rFonts w:ascii="Arial" w:hAnsi="Arial" w:cs="Arial"/>
          <w:sz w:val="22"/>
          <w:szCs w:val="22"/>
          <w:lang w:val="cs-CZ"/>
        </w:rPr>
        <w:t xml:space="preserve"> </w:t>
      </w:r>
      <w:proofErr w:type="spellStart"/>
      <w:r w:rsidR="00223FFF" w:rsidRPr="00366C95">
        <w:rPr>
          <w:rFonts w:ascii="Arial" w:hAnsi="Arial" w:cs="Arial"/>
          <w:sz w:val="22"/>
          <w:szCs w:val="22"/>
          <w:lang w:val="cs-CZ"/>
        </w:rPr>
        <w:t>preleuk</w:t>
      </w:r>
      <w:r w:rsidR="00223FFF">
        <w:rPr>
          <w:rFonts w:ascii="Arial" w:hAnsi="Arial" w:cs="Arial"/>
          <w:sz w:val="22"/>
          <w:szCs w:val="22"/>
          <w:lang w:val="cs-CZ"/>
        </w:rPr>
        <w:t>emických</w:t>
      </w:r>
      <w:proofErr w:type="spellEnd"/>
      <w:r w:rsidR="00223FFF">
        <w:rPr>
          <w:rFonts w:ascii="Arial" w:hAnsi="Arial" w:cs="Arial"/>
          <w:sz w:val="22"/>
          <w:szCs w:val="22"/>
          <w:lang w:val="cs-CZ"/>
        </w:rPr>
        <w:t xml:space="preserve"> stavů</w:t>
      </w:r>
      <w:r w:rsidRPr="00366C95">
        <w:rPr>
          <w:rFonts w:ascii="Arial" w:hAnsi="Arial" w:cs="Arial"/>
          <w:sz w:val="22"/>
          <w:szCs w:val="22"/>
          <w:lang w:val="cs-CZ"/>
        </w:rPr>
        <w:t xml:space="preserve">. V případě onkogenu </w:t>
      </w:r>
      <w:r w:rsidRPr="00831C6F">
        <w:rPr>
          <w:rFonts w:ascii="Arial" w:hAnsi="Arial" w:cs="Arial"/>
          <w:i/>
          <w:iCs/>
          <w:sz w:val="22"/>
          <w:szCs w:val="22"/>
          <w:lang w:val="cs-CZ"/>
        </w:rPr>
        <w:t>JAK2</w:t>
      </w:r>
      <w:r w:rsidRPr="00366C95">
        <w:rPr>
          <w:rFonts w:ascii="Arial" w:hAnsi="Arial" w:cs="Arial"/>
          <w:sz w:val="22"/>
          <w:szCs w:val="22"/>
          <w:lang w:val="cs-CZ"/>
        </w:rPr>
        <w:t xml:space="preserve"> V617F</w:t>
      </w:r>
      <w:r w:rsidR="00834792">
        <w:rPr>
          <w:rFonts w:ascii="Arial" w:hAnsi="Arial" w:cs="Arial"/>
          <w:sz w:val="22"/>
          <w:szCs w:val="22"/>
          <w:lang w:val="cs-CZ"/>
        </w:rPr>
        <w:t xml:space="preserve"> u MPN</w:t>
      </w:r>
      <w:r w:rsidRPr="00366C95">
        <w:rPr>
          <w:rFonts w:ascii="Arial" w:hAnsi="Arial" w:cs="Arial"/>
          <w:sz w:val="22"/>
          <w:szCs w:val="22"/>
          <w:lang w:val="cs-CZ"/>
        </w:rPr>
        <w:t xml:space="preserve"> je však vývoj choroby charakterizován dlouhou a stabilní latentní fází. </w:t>
      </w:r>
      <w:r w:rsidR="00831C6F">
        <w:rPr>
          <w:rFonts w:ascii="Arial" w:hAnsi="Arial" w:cs="Arial"/>
          <w:sz w:val="22"/>
          <w:szCs w:val="22"/>
          <w:lang w:val="cs-CZ"/>
        </w:rPr>
        <w:t xml:space="preserve">V </w:t>
      </w:r>
      <w:r w:rsidR="00831C6F" w:rsidRPr="00831C6F">
        <w:rPr>
          <w:rFonts w:ascii="Arial" w:hAnsi="Arial" w:cs="Arial"/>
          <w:sz w:val="22"/>
          <w:szCs w:val="22"/>
          <w:lang w:val="cs-CZ"/>
        </w:rPr>
        <w:t xml:space="preserve">této práci </w:t>
      </w:r>
      <w:r w:rsidRPr="00366C95">
        <w:rPr>
          <w:rFonts w:ascii="Arial" w:hAnsi="Arial" w:cs="Arial"/>
          <w:sz w:val="22"/>
          <w:szCs w:val="22"/>
          <w:lang w:val="cs-CZ"/>
        </w:rPr>
        <w:t xml:space="preserve">představuji </w:t>
      </w:r>
      <w:r w:rsidR="00831C6F">
        <w:rPr>
          <w:rFonts w:ascii="Arial" w:hAnsi="Arial" w:cs="Arial"/>
          <w:sz w:val="22"/>
          <w:szCs w:val="22"/>
          <w:lang w:val="cs-CZ"/>
        </w:rPr>
        <w:t>soubor dat</w:t>
      </w:r>
      <w:r w:rsidRPr="00366C95">
        <w:rPr>
          <w:rFonts w:ascii="Arial" w:hAnsi="Arial" w:cs="Arial"/>
          <w:sz w:val="22"/>
          <w:szCs w:val="22"/>
          <w:lang w:val="cs-CZ"/>
        </w:rPr>
        <w:t xml:space="preserve">, který odhaluje mechanismy závislé na </w:t>
      </w:r>
      <w:r w:rsidR="00831C6F">
        <w:rPr>
          <w:rFonts w:ascii="Arial" w:hAnsi="Arial" w:cs="Arial"/>
          <w:sz w:val="22"/>
          <w:szCs w:val="22"/>
          <w:lang w:val="cs-CZ"/>
        </w:rPr>
        <w:t xml:space="preserve">signalizaci </w:t>
      </w:r>
      <w:r w:rsidRPr="00831C6F">
        <w:rPr>
          <w:rFonts w:ascii="Arial" w:hAnsi="Arial" w:cs="Arial"/>
          <w:i/>
          <w:iCs/>
          <w:sz w:val="22"/>
          <w:szCs w:val="22"/>
          <w:lang w:val="cs-CZ"/>
        </w:rPr>
        <w:t>JAK2</w:t>
      </w:r>
      <w:r w:rsidRPr="00366C95">
        <w:rPr>
          <w:rFonts w:ascii="Arial" w:hAnsi="Arial" w:cs="Arial"/>
          <w:sz w:val="22"/>
          <w:szCs w:val="22"/>
          <w:lang w:val="cs-CZ"/>
        </w:rPr>
        <w:t xml:space="preserve"> V617F, které v</w:t>
      </w:r>
      <w:r w:rsidR="00831C6F">
        <w:rPr>
          <w:rFonts w:ascii="Arial" w:hAnsi="Arial" w:cs="Arial"/>
          <w:sz w:val="22"/>
          <w:szCs w:val="22"/>
          <w:lang w:val="cs-CZ"/>
        </w:rPr>
        <w:t> </w:t>
      </w:r>
      <w:proofErr w:type="spellStart"/>
      <w:r w:rsidR="00223FFF">
        <w:rPr>
          <w:rFonts w:ascii="Arial" w:hAnsi="Arial" w:cs="Arial"/>
          <w:sz w:val="22"/>
          <w:szCs w:val="22"/>
          <w:lang w:val="cs-CZ"/>
        </w:rPr>
        <w:t>progenitorech</w:t>
      </w:r>
      <w:proofErr w:type="spellEnd"/>
      <w:r w:rsidR="00223FFF">
        <w:rPr>
          <w:rFonts w:ascii="Arial" w:hAnsi="Arial" w:cs="Arial"/>
          <w:sz w:val="22"/>
          <w:szCs w:val="22"/>
          <w:lang w:val="cs-CZ"/>
        </w:rPr>
        <w:t xml:space="preserve"> </w:t>
      </w:r>
      <w:r w:rsidRPr="00366C95">
        <w:rPr>
          <w:rFonts w:ascii="Arial" w:hAnsi="Arial" w:cs="Arial"/>
          <w:sz w:val="22"/>
          <w:szCs w:val="22"/>
          <w:lang w:val="cs-CZ"/>
        </w:rPr>
        <w:t xml:space="preserve">PV </w:t>
      </w:r>
      <w:r w:rsidR="00834792">
        <w:rPr>
          <w:rFonts w:ascii="Arial" w:hAnsi="Arial" w:cs="Arial"/>
          <w:sz w:val="22"/>
          <w:szCs w:val="22"/>
          <w:lang w:val="cs-CZ"/>
        </w:rPr>
        <w:t>s</w:t>
      </w:r>
      <w:r w:rsidR="00834792" w:rsidRPr="00834792">
        <w:rPr>
          <w:rFonts w:ascii="Arial" w:hAnsi="Arial" w:cs="Arial"/>
          <w:sz w:val="22"/>
          <w:szCs w:val="22"/>
          <w:lang w:val="cs-CZ"/>
        </w:rPr>
        <w:t xml:space="preserve">nižují </w:t>
      </w:r>
      <w:r w:rsidR="00EB6275">
        <w:rPr>
          <w:rFonts w:ascii="Arial" w:hAnsi="Arial" w:cs="Arial"/>
          <w:sz w:val="22"/>
          <w:szCs w:val="22"/>
          <w:lang w:val="cs-CZ"/>
        </w:rPr>
        <w:t xml:space="preserve">jak </w:t>
      </w:r>
      <w:r w:rsidRPr="00366C95">
        <w:rPr>
          <w:rFonts w:ascii="Arial" w:hAnsi="Arial" w:cs="Arial"/>
          <w:sz w:val="22"/>
          <w:szCs w:val="22"/>
          <w:lang w:val="cs-CZ"/>
        </w:rPr>
        <w:t>oxidativní stres zprostředkovaný zánětem</w:t>
      </w:r>
      <w:r w:rsidR="00EB6275">
        <w:rPr>
          <w:rFonts w:ascii="Arial" w:hAnsi="Arial" w:cs="Arial"/>
          <w:sz w:val="22"/>
          <w:szCs w:val="22"/>
          <w:lang w:val="cs-CZ"/>
        </w:rPr>
        <w:t>, tak</w:t>
      </w:r>
      <w:r w:rsidRPr="00366C95">
        <w:rPr>
          <w:rFonts w:ascii="Arial" w:hAnsi="Arial" w:cs="Arial"/>
          <w:sz w:val="22"/>
          <w:szCs w:val="22"/>
          <w:lang w:val="cs-CZ"/>
        </w:rPr>
        <w:t xml:space="preserve"> stresem aktivovanou signalizaci </w:t>
      </w:r>
      <w:proofErr w:type="spellStart"/>
      <w:r w:rsidRPr="00366C95">
        <w:rPr>
          <w:rFonts w:ascii="Arial" w:hAnsi="Arial" w:cs="Arial"/>
          <w:sz w:val="22"/>
          <w:szCs w:val="22"/>
          <w:lang w:val="cs-CZ"/>
        </w:rPr>
        <w:t>proteinkináz</w:t>
      </w:r>
      <w:proofErr w:type="spellEnd"/>
      <w:r w:rsidRPr="00366C95">
        <w:rPr>
          <w:rFonts w:ascii="Arial" w:hAnsi="Arial" w:cs="Arial"/>
          <w:sz w:val="22"/>
          <w:szCs w:val="22"/>
          <w:lang w:val="cs-CZ"/>
        </w:rPr>
        <w:t xml:space="preserve">. </w:t>
      </w:r>
      <w:r w:rsidR="007B2669">
        <w:rPr>
          <w:rFonts w:ascii="Arial" w:hAnsi="Arial" w:cs="Arial"/>
          <w:sz w:val="22"/>
          <w:szCs w:val="22"/>
          <w:lang w:val="cs-CZ"/>
        </w:rPr>
        <w:t>Těmito mechanizmy jsou</w:t>
      </w:r>
      <w:r w:rsidRPr="00366C95">
        <w:rPr>
          <w:rFonts w:ascii="Arial" w:hAnsi="Arial" w:cs="Arial"/>
          <w:sz w:val="22"/>
          <w:szCs w:val="22"/>
          <w:lang w:val="cs-CZ"/>
        </w:rPr>
        <w:t xml:space="preserve"> </w:t>
      </w:r>
      <w:proofErr w:type="spellStart"/>
      <w:r w:rsidRPr="00366C95">
        <w:rPr>
          <w:rFonts w:ascii="Arial" w:hAnsi="Arial" w:cs="Arial"/>
          <w:sz w:val="22"/>
          <w:szCs w:val="22"/>
          <w:lang w:val="cs-CZ"/>
        </w:rPr>
        <w:t>upregulace</w:t>
      </w:r>
      <w:proofErr w:type="spellEnd"/>
      <w:r w:rsidRPr="00366C95">
        <w:rPr>
          <w:rFonts w:ascii="Arial" w:hAnsi="Arial" w:cs="Arial"/>
          <w:sz w:val="22"/>
          <w:szCs w:val="22"/>
          <w:lang w:val="cs-CZ"/>
        </w:rPr>
        <w:t xml:space="preserve"> systému </w:t>
      </w:r>
      <w:r w:rsidR="007B2669">
        <w:rPr>
          <w:rFonts w:ascii="Arial" w:hAnsi="Arial" w:cs="Arial"/>
          <w:sz w:val="22"/>
          <w:szCs w:val="22"/>
          <w:lang w:val="cs-CZ"/>
        </w:rPr>
        <w:t>antioxidační ochrany proti</w:t>
      </w:r>
      <w:r w:rsidR="007B2669" w:rsidRPr="00366C95">
        <w:rPr>
          <w:rFonts w:ascii="Arial" w:hAnsi="Arial" w:cs="Arial"/>
          <w:sz w:val="22"/>
          <w:szCs w:val="22"/>
          <w:lang w:val="cs-CZ"/>
        </w:rPr>
        <w:t xml:space="preserve"> </w:t>
      </w:r>
      <w:r w:rsidRPr="00366C95">
        <w:rPr>
          <w:rFonts w:ascii="Arial" w:hAnsi="Arial" w:cs="Arial"/>
          <w:sz w:val="22"/>
          <w:szCs w:val="22"/>
          <w:lang w:val="cs-CZ"/>
        </w:rPr>
        <w:t>reaktivní</w:t>
      </w:r>
      <w:r w:rsidR="007B2669">
        <w:rPr>
          <w:rFonts w:ascii="Arial" w:hAnsi="Arial" w:cs="Arial"/>
          <w:sz w:val="22"/>
          <w:szCs w:val="22"/>
          <w:lang w:val="cs-CZ"/>
        </w:rPr>
        <w:t>m</w:t>
      </w:r>
      <w:r w:rsidRPr="00366C95">
        <w:rPr>
          <w:rFonts w:ascii="Arial" w:hAnsi="Arial" w:cs="Arial"/>
          <w:sz w:val="22"/>
          <w:szCs w:val="22"/>
          <w:lang w:val="cs-CZ"/>
        </w:rPr>
        <w:t xml:space="preserve"> for</w:t>
      </w:r>
      <w:r w:rsidR="007B2669">
        <w:rPr>
          <w:rFonts w:ascii="Arial" w:hAnsi="Arial" w:cs="Arial"/>
          <w:sz w:val="22"/>
          <w:szCs w:val="22"/>
          <w:lang w:val="cs-CZ"/>
        </w:rPr>
        <w:t>mám</w:t>
      </w:r>
      <w:r w:rsidRPr="00366C95">
        <w:rPr>
          <w:rFonts w:ascii="Arial" w:hAnsi="Arial" w:cs="Arial"/>
          <w:sz w:val="22"/>
          <w:szCs w:val="22"/>
          <w:lang w:val="cs-CZ"/>
        </w:rPr>
        <w:t xml:space="preserve"> kyslíku a </w:t>
      </w:r>
      <w:r w:rsidR="007B2669">
        <w:rPr>
          <w:rFonts w:ascii="Arial" w:hAnsi="Arial" w:cs="Arial"/>
          <w:sz w:val="22"/>
          <w:szCs w:val="22"/>
          <w:lang w:val="cs-CZ"/>
        </w:rPr>
        <w:t>f</w:t>
      </w:r>
      <w:r w:rsidR="007B2669" w:rsidRPr="007B2669">
        <w:rPr>
          <w:rFonts w:ascii="Arial" w:hAnsi="Arial" w:cs="Arial"/>
          <w:sz w:val="22"/>
          <w:szCs w:val="22"/>
          <w:lang w:val="cs-CZ"/>
        </w:rPr>
        <w:t xml:space="preserve">osfatáza s dvojí specificitou </w:t>
      </w:r>
      <w:r w:rsidRPr="00366C95">
        <w:rPr>
          <w:rFonts w:ascii="Arial" w:hAnsi="Arial" w:cs="Arial"/>
          <w:sz w:val="22"/>
          <w:szCs w:val="22"/>
          <w:lang w:val="cs-CZ"/>
        </w:rPr>
        <w:t xml:space="preserve">DUSP1. Tyto ochranné mechanismy pak vytvářejí bariéru zabraňující progresi </w:t>
      </w:r>
      <w:r w:rsidR="007F4608">
        <w:rPr>
          <w:rFonts w:ascii="Arial" w:hAnsi="Arial" w:cs="Arial"/>
          <w:sz w:val="22"/>
          <w:szCs w:val="22"/>
          <w:lang w:val="cs-CZ"/>
        </w:rPr>
        <w:t>do</w:t>
      </w:r>
      <w:r w:rsidRPr="00366C95">
        <w:rPr>
          <w:rFonts w:ascii="Arial" w:hAnsi="Arial" w:cs="Arial"/>
          <w:sz w:val="22"/>
          <w:szCs w:val="22"/>
          <w:lang w:val="cs-CZ"/>
        </w:rPr>
        <w:t xml:space="preserve"> myelofibróz</w:t>
      </w:r>
      <w:r w:rsidR="007F4608">
        <w:rPr>
          <w:rFonts w:ascii="Arial" w:hAnsi="Arial" w:cs="Arial"/>
          <w:sz w:val="22"/>
          <w:szCs w:val="22"/>
          <w:lang w:val="cs-CZ"/>
        </w:rPr>
        <w:t>y</w:t>
      </w:r>
      <w:r w:rsidRPr="00366C95">
        <w:rPr>
          <w:rFonts w:ascii="Arial" w:hAnsi="Arial" w:cs="Arial"/>
          <w:sz w:val="22"/>
          <w:szCs w:val="22"/>
          <w:lang w:val="cs-CZ"/>
        </w:rPr>
        <w:t>. Dále ukazujeme, že PV</w:t>
      </w:r>
      <w:r w:rsidR="007F4608">
        <w:rPr>
          <w:rFonts w:ascii="Arial" w:hAnsi="Arial" w:cs="Arial"/>
          <w:sz w:val="22"/>
          <w:szCs w:val="22"/>
          <w:lang w:val="cs-CZ"/>
        </w:rPr>
        <w:t xml:space="preserve"> </w:t>
      </w:r>
      <w:proofErr w:type="spellStart"/>
      <w:r w:rsidR="007F4608" w:rsidRPr="00366C95">
        <w:rPr>
          <w:rFonts w:ascii="Arial" w:hAnsi="Arial" w:cs="Arial"/>
          <w:sz w:val="22"/>
          <w:szCs w:val="22"/>
          <w:lang w:val="cs-CZ"/>
        </w:rPr>
        <w:t>progenitory</w:t>
      </w:r>
      <w:proofErr w:type="spellEnd"/>
      <w:r w:rsidRPr="00366C95">
        <w:rPr>
          <w:rFonts w:ascii="Arial" w:hAnsi="Arial" w:cs="Arial"/>
          <w:sz w:val="22"/>
          <w:szCs w:val="22"/>
          <w:lang w:val="cs-CZ"/>
        </w:rPr>
        <w:t xml:space="preserve"> jsou silně závislé na aktivitě DUSP1, což poskytuje potenciální </w:t>
      </w:r>
      <w:r w:rsidR="007F4608">
        <w:rPr>
          <w:rFonts w:ascii="Arial" w:hAnsi="Arial" w:cs="Arial"/>
          <w:sz w:val="22"/>
          <w:szCs w:val="22"/>
          <w:lang w:val="cs-CZ"/>
        </w:rPr>
        <w:t>c</w:t>
      </w:r>
      <w:r w:rsidR="00A57117">
        <w:rPr>
          <w:rFonts w:ascii="Arial" w:hAnsi="Arial" w:cs="Arial"/>
          <w:sz w:val="22"/>
          <w:szCs w:val="22"/>
          <w:lang w:val="cs-CZ"/>
        </w:rPr>
        <w:t>í</w:t>
      </w:r>
      <w:r w:rsidR="007F4608">
        <w:rPr>
          <w:rFonts w:ascii="Arial" w:hAnsi="Arial" w:cs="Arial"/>
          <w:sz w:val="22"/>
          <w:szCs w:val="22"/>
          <w:lang w:val="cs-CZ"/>
        </w:rPr>
        <w:t>l pro budoucí terap</w:t>
      </w:r>
      <w:r w:rsidR="00223FFF">
        <w:rPr>
          <w:rFonts w:ascii="Arial" w:hAnsi="Arial" w:cs="Arial"/>
          <w:sz w:val="22"/>
          <w:szCs w:val="22"/>
          <w:lang w:val="cs-CZ"/>
        </w:rPr>
        <w:t>eutické přístupy</w:t>
      </w:r>
      <w:r w:rsidRPr="00366C95">
        <w:rPr>
          <w:rFonts w:ascii="Arial" w:hAnsi="Arial" w:cs="Arial"/>
          <w:sz w:val="22"/>
          <w:szCs w:val="22"/>
          <w:lang w:val="cs-CZ"/>
        </w:rPr>
        <w:t xml:space="preserve">. V současné době je </w:t>
      </w:r>
      <w:r w:rsidR="00834792" w:rsidRPr="00366C95">
        <w:rPr>
          <w:rFonts w:ascii="Arial" w:hAnsi="Arial" w:cs="Arial"/>
          <w:sz w:val="22"/>
          <w:szCs w:val="22"/>
          <w:lang w:val="cs-CZ"/>
        </w:rPr>
        <w:t xml:space="preserve">léčba </w:t>
      </w:r>
      <w:proofErr w:type="spellStart"/>
      <w:r w:rsidR="00834792" w:rsidRPr="00366C95">
        <w:rPr>
          <w:rFonts w:ascii="Arial" w:hAnsi="Arial" w:cs="Arial"/>
          <w:sz w:val="22"/>
          <w:szCs w:val="22"/>
          <w:lang w:val="cs-CZ"/>
        </w:rPr>
        <w:t>pegylovaným</w:t>
      </w:r>
      <w:proofErr w:type="spellEnd"/>
      <w:r w:rsidR="00834792" w:rsidRPr="00366C95">
        <w:rPr>
          <w:rFonts w:ascii="Arial" w:hAnsi="Arial" w:cs="Arial"/>
          <w:sz w:val="22"/>
          <w:szCs w:val="22"/>
          <w:lang w:val="cs-CZ"/>
        </w:rPr>
        <w:t xml:space="preserve"> interferonem alfa (</w:t>
      </w:r>
      <w:proofErr w:type="spellStart"/>
      <w:r w:rsidR="00834792" w:rsidRPr="00366C95">
        <w:rPr>
          <w:rFonts w:ascii="Arial" w:hAnsi="Arial" w:cs="Arial"/>
          <w:sz w:val="22"/>
          <w:szCs w:val="22"/>
          <w:lang w:val="cs-CZ"/>
        </w:rPr>
        <w:t>pegIFN</w:t>
      </w:r>
      <w:proofErr w:type="spellEnd"/>
      <w:r w:rsidR="00834792" w:rsidRPr="00366C95">
        <w:rPr>
          <w:rFonts w:ascii="Arial" w:hAnsi="Arial" w:cs="Arial"/>
          <w:sz w:val="22"/>
          <w:szCs w:val="22"/>
          <w:lang w:val="cs-CZ"/>
        </w:rPr>
        <w:t>α)</w:t>
      </w:r>
      <w:r w:rsidR="00834792">
        <w:rPr>
          <w:rFonts w:ascii="Arial" w:hAnsi="Arial" w:cs="Arial"/>
          <w:sz w:val="22"/>
          <w:szCs w:val="22"/>
          <w:lang w:val="cs-CZ"/>
        </w:rPr>
        <w:t xml:space="preserve"> </w:t>
      </w:r>
      <w:r w:rsidRPr="00366C95">
        <w:rPr>
          <w:rFonts w:ascii="Arial" w:hAnsi="Arial" w:cs="Arial"/>
          <w:sz w:val="22"/>
          <w:szCs w:val="22"/>
          <w:lang w:val="cs-CZ"/>
        </w:rPr>
        <w:t xml:space="preserve">nejúčinnější </w:t>
      </w:r>
      <w:r w:rsidR="00834792">
        <w:rPr>
          <w:rFonts w:ascii="Arial" w:hAnsi="Arial" w:cs="Arial"/>
          <w:sz w:val="22"/>
          <w:szCs w:val="22"/>
          <w:lang w:val="cs-CZ"/>
        </w:rPr>
        <w:t>terapi</w:t>
      </w:r>
      <w:r w:rsidR="00834792" w:rsidRPr="00834792">
        <w:rPr>
          <w:rFonts w:ascii="Arial" w:hAnsi="Arial" w:cs="Arial"/>
          <w:sz w:val="22"/>
          <w:szCs w:val="22"/>
          <w:lang w:val="cs-CZ"/>
        </w:rPr>
        <w:t>í</w:t>
      </w:r>
      <w:r w:rsidR="00834792">
        <w:rPr>
          <w:rFonts w:ascii="Arial" w:hAnsi="Arial" w:cs="Arial"/>
          <w:sz w:val="22"/>
          <w:szCs w:val="22"/>
          <w:lang w:val="cs-CZ"/>
        </w:rPr>
        <w:t xml:space="preserve"> u</w:t>
      </w:r>
      <w:r w:rsidRPr="00366C95">
        <w:rPr>
          <w:rFonts w:ascii="Arial" w:hAnsi="Arial" w:cs="Arial"/>
          <w:sz w:val="22"/>
          <w:szCs w:val="22"/>
          <w:lang w:val="cs-CZ"/>
        </w:rPr>
        <w:t xml:space="preserve"> MPN. To naznačuje, že </w:t>
      </w:r>
      <w:r w:rsidR="007F4608">
        <w:rPr>
          <w:rFonts w:ascii="Arial" w:hAnsi="Arial" w:cs="Arial"/>
          <w:sz w:val="22"/>
          <w:szCs w:val="22"/>
          <w:lang w:val="cs-CZ"/>
        </w:rPr>
        <w:t>nadbytek</w:t>
      </w:r>
      <w:r w:rsidRPr="00366C95">
        <w:rPr>
          <w:rFonts w:ascii="Arial" w:hAnsi="Arial" w:cs="Arial"/>
          <w:sz w:val="22"/>
          <w:szCs w:val="22"/>
          <w:lang w:val="cs-CZ"/>
        </w:rPr>
        <w:t xml:space="preserve"> </w:t>
      </w:r>
      <w:r w:rsidR="00223FFF" w:rsidRPr="00366C95">
        <w:rPr>
          <w:rFonts w:ascii="Arial" w:hAnsi="Arial" w:cs="Arial"/>
          <w:sz w:val="22"/>
          <w:szCs w:val="22"/>
          <w:lang w:val="cs-CZ"/>
        </w:rPr>
        <w:t>zánět</w:t>
      </w:r>
      <w:r w:rsidR="00223FFF">
        <w:rPr>
          <w:rFonts w:ascii="Arial" w:hAnsi="Arial" w:cs="Arial"/>
          <w:sz w:val="22"/>
          <w:szCs w:val="22"/>
          <w:lang w:val="cs-CZ"/>
        </w:rPr>
        <w:t>o</w:t>
      </w:r>
      <w:r w:rsidR="00223FFF" w:rsidRPr="00366C95">
        <w:rPr>
          <w:rFonts w:ascii="Arial" w:hAnsi="Arial" w:cs="Arial"/>
          <w:sz w:val="22"/>
          <w:szCs w:val="22"/>
          <w:lang w:val="cs-CZ"/>
        </w:rPr>
        <w:t xml:space="preserve">vé </w:t>
      </w:r>
      <w:r w:rsidRPr="00366C95">
        <w:rPr>
          <w:rFonts w:ascii="Arial" w:hAnsi="Arial" w:cs="Arial"/>
          <w:sz w:val="22"/>
          <w:szCs w:val="22"/>
          <w:lang w:val="cs-CZ"/>
        </w:rPr>
        <w:t xml:space="preserve">signalizace může nakonec překonat ochranné mechanismy </w:t>
      </w:r>
      <w:r w:rsidR="00223FFF">
        <w:rPr>
          <w:rFonts w:ascii="Arial" w:hAnsi="Arial" w:cs="Arial"/>
          <w:sz w:val="22"/>
          <w:szCs w:val="22"/>
          <w:lang w:val="cs-CZ"/>
        </w:rPr>
        <w:t>u</w:t>
      </w:r>
      <w:r w:rsidR="00223FFF" w:rsidRPr="00366C95">
        <w:rPr>
          <w:rFonts w:ascii="Arial" w:hAnsi="Arial" w:cs="Arial"/>
          <w:sz w:val="22"/>
          <w:szCs w:val="22"/>
          <w:lang w:val="cs-CZ"/>
        </w:rPr>
        <w:t xml:space="preserve"> </w:t>
      </w:r>
      <w:r w:rsidRPr="00366C95">
        <w:rPr>
          <w:rFonts w:ascii="Arial" w:hAnsi="Arial" w:cs="Arial"/>
          <w:sz w:val="22"/>
          <w:szCs w:val="22"/>
          <w:lang w:val="cs-CZ"/>
        </w:rPr>
        <w:t>hematopoetických kmenových buněk (</w:t>
      </w:r>
      <w:proofErr w:type="spellStart"/>
      <w:r w:rsidRPr="00366C95">
        <w:rPr>
          <w:rFonts w:ascii="Arial" w:hAnsi="Arial" w:cs="Arial"/>
          <w:sz w:val="22"/>
          <w:szCs w:val="22"/>
          <w:lang w:val="cs-CZ"/>
        </w:rPr>
        <w:t>HSC</w:t>
      </w:r>
      <w:r w:rsidR="00223FFF">
        <w:rPr>
          <w:rFonts w:ascii="Arial" w:hAnsi="Arial" w:cs="Arial"/>
          <w:sz w:val="22"/>
          <w:szCs w:val="22"/>
          <w:lang w:val="cs-CZ"/>
        </w:rPr>
        <w:t>s</w:t>
      </w:r>
      <w:proofErr w:type="spellEnd"/>
      <w:r w:rsidRPr="00366C95">
        <w:rPr>
          <w:rFonts w:ascii="Arial" w:hAnsi="Arial" w:cs="Arial"/>
          <w:sz w:val="22"/>
          <w:szCs w:val="22"/>
          <w:lang w:val="cs-CZ"/>
        </w:rPr>
        <w:t xml:space="preserve">). </w:t>
      </w:r>
      <w:r w:rsidR="007F4608">
        <w:rPr>
          <w:rFonts w:ascii="Arial" w:hAnsi="Arial" w:cs="Arial"/>
          <w:sz w:val="22"/>
          <w:szCs w:val="22"/>
          <w:lang w:val="cs-CZ"/>
        </w:rPr>
        <w:t>Rozhodli jsme se pr</w:t>
      </w:r>
      <w:r w:rsidR="0035179D">
        <w:rPr>
          <w:rFonts w:ascii="Arial" w:hAnsi="Arial" w:cs="Arial"/>
          <w:sz w:val="22"/>
          <w:szCs w:val="22"/>
          <w:lang w:val="cs-CZ"/>
        </w:rPr>
        <w:t>o</w:t>
      </w:r>
      <w:r w:rsidR="007F4608">
        <w:rPr>
          <w:rFonts w:ascii="Arial" w:hAnsi="Arial" w:cs="Arial"/>
          <w:sz w:val="22"/>
          <w:szCs w:val="22"/>
          <w:lang w:val="cs-CZ"/>
        </w:rPr>
        <w:t>to studovat</w:t>
      </w:r>
      <w:r w:rsidRPr="00366C95">
        <w:rPr>
          <w:rFonts w:ascii="Arial" w:hAnsi="Arial" w:cs="Arial"/>
          <w:sz w:val="22"/>
          <w:szCs w:val="22"/>
          <w:lang w:val="cs-CZ"/>
        </w:rPr>
        <w:t xml:space="preserve"> účinky </w:t>
      </w:r>
      <w:proofErr w:type="spellStart"/>
      <w:r w:rsidRPr="00366C95">
        <w:rPr>
          <w:rFonts w:ascii="Arial" w:hAnsi="Arial" w:cs="Arial"/>
          <w:sz w:val="22"/>
          <w:szCs w:val="22"/>
          <w:lang w:val="cs-CZ"/>
        </w:rPr>
        <w:t>pegIFN</w:t>
      </w:r>
      <w:proofErr w:type="spellEnd"/>
      <w:r w:rsidRPr="00366C95">
        <w:rPr>
          <w:rFonts w:ascii="Arial" w:hAnsi="Arial" w:cs="Arial"/>
          <w:sz w:val="22"/>
          <w:szCs w:val="22"/>
          <w:lang w:val="cs-CZ"/>
        </w:rPr>
        <w:t xml:space="preserve">α na </w:t>
      </w:r>
      <w:proofErr w:type="spellStart"/>
      <w:r w:rsidRPr="00366C95">
        <w:rPr>
          <w:rFonts w:ascii="Arial" w:hAnsi="Arial" w:cs="Arial"/>
          <w:sz w:val="22"/>
          <w:szCs w:val="22"/>
          <w:lang w:val="cs-CZ"/>
        </w:rPr>
        <w:t>HSC</w:t>
      </w:r>
      <w:r w:rsidR="00223FFF">
        <w:rPr>
          <w:rFonts w:ascii="Arial" w:hAnsi="Arial" w:cs="Arial"/>
          <w:sz w:val="22"/>
          <w:szCs w:val="22"/>
          <w:lang w:val="cs-CZ"/>
        </w:rPr>
        <w:t>s</w:t>
      </w:r>
      <w:proofErr w:type="spellEnd"/>
      <w:r w:rsidRPr="00366C95">
        <w:rPr>
          <w:rFonts w:ascii="Arial" w:hAnsi="Arial" w:cs="Arial"/>
          <w:sz w:val="22"/>
          <w:szCs w:val="22"/>
          <w:lang w:val="cs-CZ"/>
        </w:rPr>
        <w:t xml:space="preserve"> v myších modelech MPN. </w:t>
      </w:r>
      <w:r w:rsidR="0035179D" w:rsidRPr="0035179D">
        <w:rPr>
          <w:rFonts w:ascii="Arial" w:hAnsi="Arial" w:cs="Arial"/>
          <w:sz w:val="22"/>
          <w:szCs w:val="22"/>
          <w:lang w:val="cs-CZ"/>
        </w:rPr>
        <w:t xml:space="preserve">Naše analýza ukázala </w:t>
      </w:r>
      <w:r w:rsidRPr="00366C95">
        <w:rPr>
          <w:rFonts w:ascii="Arial" w:hAnsi="Arial" w:cs="Arial"/>
          <w:sz w:val="22"/>
          <w:szCs w:val="22"/>
          <w:lang w:val="cs-CZ"/>
        </w:rPr>
        <w:t xml:space="preserve">zvýšenou expresi povrchového </w:t>
      </w:r>
      <w:proofErr w:type="spellStart"/>
      <w:r w:rsidRPr="00366C95">
        <w:rPr>
          <w:rFonts w:ascii="Arial" w:hAnsi="Arial" w:cs="Arial"/>
          <w:sz w:val="22"/>
          <w:szCs w:val="22"/>
          <w:lang w:val="cs-CZ"/>
        </w:rPr>
        <w:t>markeru</w:t>
      </w:r>
      <w:proofErr w:type="spellEnd"/>
      <w:r w:rsidRPr="00366C95">
        <w:rPr>
          <w:rFonts w:ascii="Arial" w:hAnsi="Arial" w:cs="Arial"/>
          <w:sz w:val="22"/>
          <w:szCs w:val="22"/>
          <w:lang w:val="cs-CZ"/>
        </w:rPr>
        <w:t xml:space="preserve"> CD41 </w:t>
      </w:r>
      <w:r w:rsidR="00223FFF">
        <w:rPr>
          <w:rFonts w:ascii="Arial" w:hAnsi="Arial" w:cs="Arial"/>
          <w:sz w:val="22"/>
          <w:szCs w:val="22"/>
          <w:lang w:val="cs-CZ"/>
        </w:rPr>
        <w:t>u</w:t>
      </w:r>
      <w:r w:rsidR="00223FFF" w:rsidRPr="00366C95">
        <w:rPr>
          <w:rFonts w:ascii="Arial" w:hAnsi="Arial" w:cs="Arial"/>
          <w:sz w:val="22"/>
          <w:szCs w:val="22"/>
          <w:lang w:val="cs-CZ"/>
        </w:rPr>
        <w:t xml:space="preserve"> </w:t>
      </w:r>
      <w:r w:rsidRPr="00366C95">
        <w:rPr>
          <w:rFonts w:ascii="Arial" w:hAnsi="Arial" w:cs="Arial"/>
          <w:sz w:val="22"/>
          <w:szCs w:val="22"/>
          <w:lang w:val="cs-CZ"/>
        </w:rPr>
        <w:t xml:space="preserve">MPN </w:t>
      </w:r>
      <w:proofErr w:type="spellStart"/>
      <w:r w:rsidRPr="00366C95">
        <w:rPr>
          <w:rFonts w:ascii="Arial" w:hAnsi="Arial" w:cs="Arial"/>
          <w:sz w:val="22"/>
          <w:szCs w:val="22"/>
          <w:lang w:val="cs-CZ"/>
        </w:rPr>
        <w:t>HSC</w:t>
      </w:r>
      <w:r w:rsidR="00223FFF">
        <w:rPr>
          <w:rFonts w:ascii="Arial" w:hAnsi="Arial" w:cs="Arial"/>
          <w:sz w:val="22"/>
          <w:szCs w:val="22"/>
          <w:lang w:val="cs-CZ"/>
        </w:rPr>
        <w:t>s</w:t>
      </w:r>
      <w:proofErr w:type="spellEnd"/>
      <w:r w:rsidRPr="00366C95">
        <w:rPr>
          <w:rFonts w:ascii="Arial" w:hAnsi="Arial" w:cs="Arial"/>
          <w:sz w:val="22"/>
          <w:szCs w:val="22"/>
          <w:lang w:val="cs-CZ"/>
        </w:rPr>
        <w:t xml:space="preserve"> (CD41</w:t>
      </w:r>
      <w:r w:rsidRPr="0035179D">
        <w:rPr>
          <w:rFonts w:ascii="Arial" w:hAnsi="Arial" w:cs="Arial"/>
          <w:sz w:val="22"/>
          <w:szCs w:val="22"/>
          <w:vertAlign w:val="superscript"/>
          <w:lang w:val="cs-CZ"/>
        </w:rPr>
        <w:t>hi</w:t>
      </w:r>
      <w:r w:rsidRPr="00366C95">
        <w:rPr>
          <w:rFonts w:ascii="Arial" w:hAnsi="Arial" w:cs="Arial"/>
          <w:sz w:val="22"/>
          <w:szCs w:val="22"/>
          <w:lang w:val="cs-CZ"/>
        </w:rPr>
        <w:t xml:space="preserve"> </w:t>
      </w:r>
      <w:proofErr w:type="spellStart"/>
      <w:r w:rsidRPr="00366C95">
        <w:rPr>
          <w:rFonts w:ascii="Arial" w:hAnsi="Arial" w:cs="Arial"/>
          <w:sz w:val="22"/>
          <w:szCs w:val="22"/>
          <w:lang w:val="cs-CZ"/>
        </w:rPr>
        <w:t>HSC</w:t>
      </w:r>
      <w:r w:rsidR="00223FFF">
        <w:rPr>
          <w:rFonts w:ascii="Arial" w:hAnsi="Arial" w:cs="Arial"/>
          <w:sz w:val="22"/>
          <w:szCs w:val="22"/>
          <w:lang w:val="cs-CZ"/>
        </w:rPr>
        <w:t>s</w:t>
      </w:r>
      <w:proofErr w:type="spellEnd"/>
      <w:r w:rsidRPr="00366C95">
        <w:rPr>
          <w:rFonts w:ascii="Arial" w:hAnsi="Arial" w:cs="Arial"/>
          <w:sz w:val="22"/>
          <w:szCs w:val="22"/>
          <w:lang w:val="cs-CZ"/>
        </w:rPr>
        <w:t xml:space="preserve">), které vykazují sníženou schopnost </w:t>
      </w:r>
      <w:proofErr w:type="spellStart"/>
      <w:r w:rsidRPr="00366C95">
        <w:rPr>
          <w:rFonts w:ascii="Arial" w:hAnsi="Arial" w:cs="Arial"/>
          <w:sz w:val="22"/>
          <w:szCs w:val="22"/>
          <w:lang w:val="cs-CZ"/>
        </w:rPr>
        <w:t>samoobnovy</w:t>
      </w:r>
      <w:proofErr w:type="spellEnd"/>
      <w:r w:rsidR="007F4608">
        <w:rPr>
          <w:rFonts w:ascii="Arial" w:hAnsi="Arial" w:cs="Arial"/>
          <w:sz w:val="22"/>
          <w:szCs w:val="22"/>
          <w:lang w:val="cs-CZ"/>
        </w:rPr>
        <w:t xml:space="preserve"> </w:t>
      </w:r>
      <w:r w:rsidRPr="00366C95">
        <w:rPr>
          <w:rFonts w:ascii="Arial" w:hAnsi="Arial" w:cs="Arial"/>
          <w:sz w:val="22"/>
          <w:szCs w:val="22"/>
          <w:lang w:val="cs-CZ"/>
        </w:rPr>
        <w:t xml:space="preserve">a </w:t>
      </w:r>
      <w:proofErr w:type="spellStart"/>
      <w:r w:rsidRPr="00366C95">
        <w:rPr>
          <w:rFonts w:ascii="Arial" w:hAnsi="Arial" w:cs="Arial"/>
          <w:sz w:val="22"/>
          <w:szCs w:val="22"/>
          <w:lang w:val="cs-CZ"/>
        </w:rPr>
        <w:t>repopulace</w:t>
      </w:r>
      <w:proofErr w:type="spellEnd"/>
      <w:r w:rsidRPr="00366C95">
        <w:rPr>
          <w:rFonts w:ascii="Arial" w:hAnsi="Arial" w:cs="Arial"/>
          <w:sz w:val="22"/>
          <w:szCs w:val="22"/>
          <w:lang w:val="cs-CZ"/>
        </w:rPr>
        <w:t xml:space="preserve">. Léčba </w:t>
      </w:r>
      <w:proofErr w:type="spellStart"/>
      <w:r w:rsidRPr="00366C95">
        <w:rPr>
          <w:rFonts w:ascii="Arial" w:hAnsi="Arial" w:cs="Arial"/>
          <w:sz w:val="22"/>
          <w:szCs w:val="22"/>
          <w:lang w:val="cs-CZ"/>
        </w:rPr>
        <w:t>pegIFN</w:t>
      </w:r>
      <w:proofErr w:type="spellEnd"/>
      <w:r w:rsidRPr="00366C95">
        <w:rPr>
          <w:rFonts w:ascii="Arial" w:hAnsi="Arial" w:cs="Arial"/>
          <w:sz w:val="22"/>
          <w:szCs w:val="22"/>
          <w:lang w:val="cs-CZ"/>
        </w:rPr>
        <w:t xml:space="preserve">α </w:t>
      </w:r>
      <w:r w:rsidR="007F4608">
        <w:rPr>
          <w:rFonts w:ascii="Arial" w:hAnsi="Arial" w:cs="Arial"/>
          <w:sz w:val="22"/>
          <w:szCs w:val="22"/>
          <w:lang w:val="cs-CZ"/>
        </w:rPr>
        <w:t>následně indukuje</w:t>
      </w:r>
      <w:r w:rsidRPr="00366C95">
        <w:rPr>
          <w:rFonts w:ascii="Arial" w:hAnsi="Arial" w:cs="Arial"/>
          <w:sz w:val="22"/>
          <w:szCs w:val="22"/>
          <w:lang w:val="cs-CZ"/>
        </w:rPr>
        <w:t xml:space="preserve"> </w:t>
      </w:r>
      <w:r w:rsidR="007F4608">
        <w:rPr>
          <w:rFonts w:ascii="Arial" w:hAnsi="Arial" w:cs="Arial"/>
          <w:sz w:val="22"/>
          <w:szCs w:val="22"/>
          <w:lang w:val="cs-CZ"/>
        </w:rPr>
        <w:t xml:space="preserve">konverzi </w:t>
      </w:r>
      <w:proofErr w:type="spellStart"/>
      <w:r w:rsidR="007F4608">
        <w:rPr>
          <w:rFonts w:ascii="Arial" w:hAnsi="Arial" w:cs="Arial"/>
          <w:sz w:val="22"/>
          <w:szCs w:val="22"/>
          <w:lang w:val="cs-CZ"/>
        </w:rPr>
        <w:t>HSCs</w:t>
      </w:r>
      <w:proofErr w:type="spellEnd"/>
      <w:r w:rsidR="0035179D">
        <w:rPr>
          <w:rFonts w:ascii="Arial" w:hAnsi="Arial" w:cs="Arial"/>
          <w:sz w:val="22"/>
          <w:szCs w:val="22"/>
          <w:lang w:val="cs-CZ"/>
        </w:rPr>
        <w:t xml:space="preserve"> s nízkou expresí CD41</w:t>
      </w:r>
      <w:r w:rsidRPr="00366C95">
        <w:rPr>
          <w:rFonts w:ascii="Arial" w:hAnsi="Arial" w:cs="Arial"/>
          <w:sz w:val="22"/>
          <w:szCs w:val="22"/>
          <w:lang w:val="cs-CZ"/>
        </w:rPr>
        <w:t xml:space="preserve"> </w:t>
      </w:r>
      <w:r w:rsidR="007F4608">
        <w:rPr>
          <w:rFonts w:ascii="Arial" w:hAnsi="Arial" w:cs="Arial"/>
          <w:sz w:val="22"/>
          <w:szCs w:val="22"/>
          <w:lang w:val="cs-CZ"/>
        </w:rPr>
        <w:t>na</w:t>
      </w:r>
      <w:r w:rsidRPr="00366C95">
        <w:rPr>
          <w:rFonts w:ascii="Arial" w:hAnsi="Arial" w:cs="Arial"/>
          <w:sz w:val="22"/>
          <w:szCs w:val="22"/>
          <w:lang w:val="cs-CZ"/>
        </w:rPr>
        <w:t xml:space="preserve"> CD41</w:t>
      </w:r>
      <w:r w:rsidRPr="007F4608">
        <w:rPr>
          <w:rFonts w:ascii="Arial" w:hAnsi="Arial" w:cs="Arial"/>
          <w:sz w:val="22"/>
          <w:szCs w:val="22"/>
          <w:vertAlign w:val="superscript"/>
          <w:lang w:val="cs-CZ"/>
        </w:rPr>
        <w:t xml:space="preserve">hi </w:t>
      </w:r>
      <w:proofErr w:type="spellStart"/>
      <w:r w:rsidRPr="00366C95">
        <w:rPr>
          <w:rFonts w:ascii="Arial" w:hAnsi="Arial" w:cs="Arial"/>
          <w:sz w:val="22"/>
          <w:szCs w:val="22"/>
          <w:lang w:val="cs-CZ"/>
        </w:rPr>
        <w:t>HSC</w:t>
      </w:r>
      <w:r w:rsidR="00223FFF">
        <w:rPr>
          <w:rFonts w:ascii="Arial" w:hAnsi="Arial" w:cs="Arial"/>
          <w:sz w:val="22"/>
          <w:szCs w:val="22"/>
          <w:lang w:val="cs-CZ"/>
        </w:rPr>
        <w:t>s</w:t>
      </w:r>
      <w:proofErr w:type="spellEnd"/>
      <w:r w:rsidRPr="00366C95">
        <w:rPr>
          <w:rFonts w:ascii="Arial" w:hAnsi="Arial" w:cs="Arial"/>
          <w:sz w:val="22"/>
          <w:szCs w:val="22"/>
          <w:lang w:val="cs-CZ"/>
        </w:rPr>
        <w:t xml:space="preserve"> a poskytuje </w:t>
      </w:r>
      <w:r w:rsidR="007F4608">
        <w:rPr>
          <w:rFonts w:ascii="Arial" w:hAnsi="Arial" w:cs="Arial"/>
          <w:sz w:val="22"/>
          <w:szCs w:val="22"/>
          <w:lang w:val="cs-CZ"/>
        </w:rPr>
        <w:t>představu o možném mechanizmu</w:t>
      </w:r>
      <w:r w:rsidR="0035179D">
        <w:rPr>
          <w:rFonts w:ascii="Arial" w:hAnsi="Arial" w:cs="Arial"/>
          <w:sz w:val="22"/>
          <w:szCs w:val="22"/>
          <w:lang w:val="cs-CZ"/>
        </w:rPr>
        <w:t xml:space="preserve"> účinku </w:t>
      </w:r>
      <w:proofErr w:type="spellStart"/>
      <w:r w:rsidR="0035179D" w:rsidRPr="00366C95">
        <w:rPr>
          <w:rFonts w:ascii="Arial" w:hAnsi="Arial" w:cs="Arial"/>
          <w:sz w:val="22"/>
          <w:szCs w:val="22"/>
          <w:lang w:val="cs-CZ"/>
        </w:rPr>
        <w:t>pegIFN</w:t>
      </w:r>
      <w:proofErr w:type="spellEnd"/>
      <w:r w:rsidR="0035179D" w:rsidRPr="00366C95">
        <w:rPr>
          <w:rFonts w:ascii="Arial" w:hAnsi="Arial" w:cs="Arial"/>
          <w:sz w:val="22"/>
          <w:szCs w:val="22"/>
          <w:lang w:val="cs-CZ"/>
        </w:rPr>
        <w:t>α</w:t>
      </w:r>
      <w:r w:rsidRPr="00366C95">
        <w:rPr>
          <w:rFonts w:ascii="Arial" w:hAnsi="Arial" w:cs="Arial"/>
          <w:sz w:val="22"/>
          <w:szCs w:val="22"/>
          <w:lang w:val="cs-CZ"/>
        </w:rPr>
        <w:t xml:space="preserve"> a </w:t>
      </w:r>
      <w:proofErr w:type="spellStart"/>
      <w:r w:rsidR="007F4608">
        <w:rPr>
          <w:rFonts w:ascii="Arial" w:hAnsi="Arial" w:cs="Arial"/>
          <w:sz w:val="22"/>
          <w:szCs w:val="22"/>
          <w:lang w:val="cs-CZ"/>
        </w:rPr>
        <w:t>marker</w:t>
      </w:r>
      <w:proofErr w:type="spellEnd"/>
      <w:r w:rsidRPr="00366C95">
        <w:rPr>
          <w:rFonts w:ascii="Arial" w:hAnsi="Arial" w:cs="Arial"/>
          <w:sz w:val="22"/>
          <w:szCs w:val="22"/>
          <w:lang w:val="cs-CZ"/>
        </w:rPr>
        <w:t xml:space="preserve"> účinnosti terapie. Nakonec jsme také zkoumali vliv metabolismu železa na projev fenotypu </w:t>
      </w:r>
      <w:r w:rsidR="0035179D">
        <w:rPr>
          <w:rFonts w:ascii="Arial" w:hAnsi="Arial" w:cs="Arial"/>
          <w:sz w:val="22"/>
          <w:szCs w:val="22"/>
          <w:lang w:val="cs-CZ"/>
        </w:rPr>
        <w:t>u</w:t>
      </w:r>
      <w:r w:rsidRPr="00366C95">
        <w:rPr>
          <w:rFonts w:ascii="Arial" w:hAnsi="Arial" w:cs="Arial"/>
          <w:sz w:val="22"/>
          <w:szCs w:val="22"/>
          <w:lang w:val="cs-CZ"/>
        </w:rPr>
        <w:t xml:space="preserve"> MPN. Ukázalo se, že nedostatek železa podporuje </w:t>
      </w:r>
      <w:r w:rsidR="007F4608">
        <w:rPr>
          <w:rFonts w:ascii="Arial" w:hAnsi="Arial" w:cs="Arial"/>
          <w:sz w:val="22"/>
          <w:szCs w:val="22"/>
          <w:lang w:val="cs-CZ"/>
        </w:rPr>
        <w:t>sklon</w:t>
      </w:r>
      <w:r w:rsidRPr="00366C95">
        <w:rPr>
          <w:rFonts w:ascii="Arial" w:hAnsi="Arial" w:cs="Arial"/>
          <w:sz w:val="22"/>
          <w:szCs w:val="22"/>
          <w:lang w:val="cs-CZ"/>
        </w:rPr>
        <w:t xml:space="preserve"> </w:t>
      </w:r>
      <w:r w:rsidR="00223FFF">
        <w:rPr>
          <w:rFonts w:ascii="Arial" w:hAnsi="Arial" w:cs="Arial"/>
          <w:sz w:val="22"/>
          <w:szCs w:val="22"/>
          <w:lang w:val="cs-CZ"/>
        </w:rPr>
        <w:t xml:space="preserve">společných </w:t>
      </w:r>
      <w:proofErr w:type="spellStart"/>
      <w:r w:rsidRPr="00366C95">
        <w:rPr>
          <w:rFonts w:ascii="Arial" w:hAnsi="Arial" w:cs="Arial"/>
          <w:sz w:val="22"/>
          <w:szCs w:val="22"/>
          <w:lang w:val="cs-CZ"/>
        </w:rPr>
        <w:t>progenitorů</w:t>
      </w:r>
      <w:proofErr w:type="spellEnd"/>
      <w:r w:rsidRPr="00366C95">
        <w:rPr>
          <w:rFonts w:ascii="Arial" w:hAnsi="Arial" w:cs="Arial"/>
          <w:sz w:val="22"/>
          <w:szCs w:val="22"/>
          <w:lang w:val="cs-CZ"/>
        </w:rPr>
        <w:t xml:space="preserve"> megakaryocytů a </w:t>
      </w:r>
      <w:r w:rsidR="007F4608">
        <w:rPr>
          <w:rFonts w:ascii="Arial" w:hAnsi="Arial" w:cs="Arial"/>
          <w:sz w:val="22"/>
          <w:szCs w:val="22"/>
          <w:lang w:val="cs-CZ"/>
        </w:rPr>
        <w:t>červené krevní rady</w:t>
      </w:r>
      <w:r w:rsidRPr="00366C95">
        <w:rPr>
          <w:rFonts w:ascii="Arial" w:hAnsi="Arial" w:cs="Arial"/>
          <w:sz w:val="22"/>
          <w:szCs w:val="22"/>
          <w:lang w:val="cs-CZ"/>
        </w:rPr>
        <w:t xml:space="preserve"> (MEP)</w:t>
      </w:r>
      <w:r w:rsidR="007F4608">
        <w:rPr>
          <w:rFonts w:ascii="Arial" w:hAnsi="Arial" w:cs="Arial"/>
          <w:sz w:val="22"/>
          <w:szCs w:val="22"/>
          <w:lang w:val="cs-CZ"/>
        </w:rPr>
        <w:t xml:space="preserve"> k diferenciaci do </w:t>
      </w:r>
      <w:proofErr w:type="spellStart"/>
      <w:r w:rsidR="007F4608" w:rsidRPr="00366C95">
        <w:rPr>
          <w:rFonts w:ascii="Arial" w:hAnsi="Arial" w:cs="Arial"/>
          <w:sz w:val="22"/>
          <w:szCs w:val="22"/>
          <w:lang w:val="cs-CZ"/>
        </w:rPr>
        <w:t>progenitorů</w:t>
      </w:r>
      <w:proofErr w:type="spellEnd"/>
      <w:r w:rsidR="007F4608">
        <w:rPr>
          <w:rFonts w:ascii="Arial" w:hAnsi="Arial" w:cs="Arial"/>
          <w:sz w:val="22"/>
          <w:szCs w:val="22"/>
          <w:lang w:val="cs-CZ"/>
        </w:rPr>
        <w:t xml:space="preserve"> </w:t>
      </w:r>
      <w:r w:rsidR="007F4608" w:rsidRPr="007F4608">
        <w:rPr>
          <w:rFonts w:ascii="Arial" w:hAnsi="Arial" w:cs="Arial"/>
          <w:sz w:val="22"/>
          <w:szCs w:val="22"/>
          <w:lang w:val="cs-CZ"/>
        </w:rPr>
        <w:t>megakaryocytů</w:t>
      </w:r>
      <w:r w:rsidRPr="00366C95">
        <w:rPr>
          <w:rFonts w:ascii="Arial" w:hAnsi="Arial" w:cs="Arial"/>
          <w:sz w:val="22"/>
          <w:szCs w:val="22"/>
          <w:lang w:val="cs-CZ"/>
        </w:rPr>
        <w:t xml:space="preserve">. </w:t>
      </w:r>
      <w:r w:rsidR="007F4608">
        <w:rPr>
          <w:rFonts w:ascii="Arial" w:hAnsi="Arial" w:cs="Arial"/>
          <w:sz w:val="22"/>
          <w:szCs w:val="22"/>
          <w:lang w:val="cs-CZ"/>
        </w:rPr>
        <w:t xml:space="preserve">V této části studie </w:t>
      </w:r>
      <w:r w:rsidRPr="00366C95">
        <w:rPr>
          <w:rFonts w:ascii="Arial" w:hAnsi="Arial" w:cs="Arial"/>
          <w:sz w:val="22"/>
          <w:szCs w:val="22"/>
          <w:lang w:val="cs-CZ"/>
        </w:rPr>
        <w:t xml:space="preserve">jsme </w:t>
      </w:r>
      <w:r w:rsidR="007F4608">
        <w:rPr>
          <w:rFonts w:ascii="Arial" w:hAnsi="Arial" w:cs="Arial"/>
          <w:sz w:val="22"/>
          <w:szCs w:val="22"/>
          <w:lang w:val="cs-CZ"/>
        </w:rPr>
        <w:t xml:space="preserve">použili </w:t>
      </w:r>
      <w:r w:rsidRPr="00366C95">
        <w:rPr>
          <w:rFonts w:ascii="Arial" w:hAnsi="Arial" w:cs="Arial"/>
          <w:sz w:val="22"/>
          <w:szCs w:val="22"/>
          <w:lang w:val="cs-CZ"/>
        </w:rPr>
        <w:t xml:space="preserve">myši </w:t>
      </w:r>
      <w:proofErr w:type="spellStart"/>
      <w:r w:rsidRPr="00366C95">
        <w:rPr>
          <w:rFonts w:ascii="Arial" w:hAnsi="Arial" w:cs="Arial"/>
          <w:sz w:val="22"/>
          <w:szCs w:val="22"/>
          <w:lang w:val="cs-CZ"/>
        </w:rPr>
        <w:lastRenderedPageBreak/>
        <w:t>exprimující</w:t>
      </w:r>
      <w:proofErr w:type="spellEnd"/>
      <w:r w:rsidRPr="00366C95">
        <w:rPr>
          <w:rFonts w:ascii="Arial" w:hAnsi="Arial" w:cs="Arial"/>
          <w:sz w:val="22"/>
          <w:szCs w:val="22"/>
          <w:lang w:val="cs-CZ"/>
        </w:rPr>
        <w:t xml:space="preserve"> </w:t>
      </w:r>
      <w:r w:rsidRPr="007F4608">
        <w:rPr>
          <w:rFonts w:ascii="Arial" w:hAnsi="Arial" w:cs="Arial"/>
          <w:i/>
          <w:iCs/>
          <w:sz w:val="22"/>
          <w:szCs w:val="22"/>
          <w:lang w:val="cs-CZ"/>
        </w:rPr>
        <w:t>JAK2</w:t>
      </w:r>
      <w:r w:rsidRPr="00366C95">
        <w:rPr>
          <w:rFonts w:ascii="Arial" w:hAnsi="Arial" w:cs="Arial"/>
          <w:sz w:val="22"/>
          <w:szCs w:val="22"/>
          <w:lang w:val="cs-CZ"/>
        </w:rPr>
        <w:t xml:space="preserve"> V617F </w:t>
      </w:r>
      <w:r w:rsidR="007F4608">
        <w:rPr>
          <w:rFonts w:ascii="Arial" w:hAnsi="Arial" w:cs="Arial"/>
          <w:sz w:val="22"/>
          <w:szCs w:val="22"/>
          <w:lang w:val="cs-CZ"/>
        </w:rPr>
        <w:t xml:space="preserve">s fenotypovým projevem </w:t>
      </w:r>
      <w:r w:rsidRPr="00366C95">
        <w:rPr>
          <w:rFonts w:ascii="Arial" w:hAnsi="Arial" w:cs="Arial"/>
          <w:sz w:val="22"/>
          <w:szCs w:val="22"/>
          <w:lang w:val="cs-CZ"/>
        </w:rPr>
        <w:t xml:space="preserve">ET nebo PV a myší model </w:t>
      </w:r>
      <w:r w:rsidRPr="007F4608">
        <w:rPr>
          <w:rFonts w:ascii="Arial" w:hAnsi="Arial" w:cs="Arial"/>
          <w:i/>
          <w:iCs/>
          <w:sz w:val="22"/>
          <w:szCs w:val="22"/>
          <w:lang w:val="cs-CZ"/>
        </w:rPr>
        <w:t>JAK2</w:t>
      </w:r>
      <w:r w:rsidRPr="00366C95">
        <w:rPr>
          <w:rFonts w:ascii="Arial" w:hAnsi="Arial" w:cs="Arial"/>
          <w:sz w:val="22"/>
          <w:szCs w:val="22"/>
          <w:lang w:val="cs-CZ"/>
        </w:rPr>
        <w:t xml:space="preserve"> exon 12 (E12) s </w:t>
      </w:r>
      <w:proofErr w:type="spellStart"/>
      <w:r w:rsidRPr="00366C95">
        <w:rPr>
          <w:rFonts w:ascii="Arial" w:hAnsi="Arial" w:cs="Arial"/>
          <w:sz w:val="22"/>
          <w:szCs w:val="22"/>
          <w:lang w:val="cs-CZ"/>
        </w:rPr>
        <w:t>erytrocytózou</w:t>
      </w:r>
      <w:proofErr w:type="spellEnd"/>
      <w:r w:rsidRPr="00366C95">
        <w:rPr>
          <w:rFonts w:ascii="Arial" w:hAnsi="Arial" w:cs="Arial"/>
          <w:sz w:val="22"/>
          <w:szCs w:val="22"/>
          <w:lang w:val="cs-CZ"/>
        </w:rPr>
        <w:t xml:space="preserve"> a vystavili jsme je nedostatku železa nebo jeho</w:t>
      </w:r>
      <w:r w:rsidR="007F4608">
        <w:rPr>
          <w:rFonts w:ascii="Arial" w:hAnsi="Arial" w:cs="Arial"/>
          <w:sz w:val="22"/>
          <w:szCs w:val="22"/>
          <w:lang w:val="cs-CZ"/>
        </w:rPr>
        <w:t xml:space="preserve"> dodatečn</w:t>
      </w:r>
      <w:r w:rsidR="00A57117">
        <w:rPr>
          <w:rFonts w:ascii="Arial" w:hAnsi="Arial" w:cs="Arial"/>
          <w:sz w:val="22"/>
          <w:szCs w:val="22"/>
          <w:lang w:val="cs-CZ"/>
        </w:rPr>
        <w:t>ou</w:t>
      </w:r>
      <w:r w:rsidRPr="00366C95">
        <w:rPr>
          <w:rFonts w:ascii="Arial" w:hAnsi="Arial" w:cs="Arial"/>
          <w:sz w:val="22"/>
          <w:szCs w:val="22"/>
          <w:lang w:val="cs-CZ"/>
        </w:rPr>
        <w:t xml:space="preserve"> </w:t>
      </w:r>
      <w:proofErr w:type="spellStart"/>
      <w:r w:rsidR="007F4608">
        <w:rPr>
          <w:rFonts w:ascii="Arial" w:hAnsi="Arial" w:cs="Arial"/>
          <w:sz w:val="22"/>
          <w:szCs w:val="22"/>
          <w:lang w:val="cs-CZ"/>
        </w:rPr>
        <w:t>suplementac</w:t>
      </w:r>
      <w:r w:rsidR="00A57117">
        <w:rPr>
          <w:rFonts w:ascii="Arial" w:hAnsi="Arial" w:cs="Arial"/>
          <w:sz w:val="22"/>
          <w:szCs w:val="22"/>
          <w:lang w:val="cs-CZ"/>
        </w:rPr>
        <w:t>í</w:t>
      </w:r>
      <w:proofErr w:type="spellEnd"/>
      <w:r w:rsidRPr="00366C95">
        <w:rPr>
          <w:rFonts w:ascii="Arial" w:hAnsi="Arial" w:cs="Arial"/>
          <w:sz w:val="22"/>
          <w:szCs w:val="22"/>
          <w:lang w:val="cs-CZ"/>
        </w:rPr>
        <w:t xml:space="preserve">. Nedostatek železa v modelech </w:t>
      </w:r>
      <w:r w:rsidR="007F4608">
        <w:rPr>
          <w:rFonts w:ascii="Arial" w:hAnsi="Arial" w:cs="Arial"/>
          <w:sz w:val="22"/>
          <w:szCs w:val="22"/>
          <w:lang w:val="cs-CZ"/>
        </w:rPr>
        <w:t xml:space="preserve">PV </w:t>
      </w:r>
      <w:r w:rsidRPr="00366C95">
        <w:rPr>
          <w:rFonts w:ascii="Arial" w:hAnsi="Arial" w:cs="Arial"/>
          <w:sz w:val="22"/>
          <w:szCs w:val="22"/>
          <w:lang w:val="cs-CZ"/>
        </w:rPr>
        <w:t xml:space="preserve">vedl k </w:t>
      </w:r>
      <w:proofErr w:type="spellStart"/>
      <w:r w:rsidRPr="00366C95">
        <w:rPr>
          <w:rFonts w:ascii="Arial" w:hAnsi="Arial" w:cs="Arial"/>
          <w:sz w:val="22"/>
          <w:szCs w:val="22"/>
          <w:lang w:val="cs-CZ"/>
        </w:rPr>
        <w:t>mikrocytární</w:t>
      </w:r>
      <w:proofErr w:type="spellEnd"/>
      <w:r w:rsidRPr="00366C95">
        <w:rPr>
          <w:rFonts w:ascii="Arial" w:hAnsi="Arial" w:cs="Arial"/>
          <w:sz w:val="22"/>
          <w:szCs w:val="22"/>
          <w:lang w:val="cs-CZ"/>
        </w:rPr>
        <w:t xml:space="preserve"> anémii a zvýšenému počtu krevních destiček. Naopak </w:t>
      </w:r>
      <w:r w:rsidR="007F4608" w:rsidRPr="007F4608">
        <w:rPr>
          <w:rFonts w:ascii="Arial" w:hAnsi="Arial" w:cs="Arial"/>
          <w:sz w:val="22"/>
          <w:szCs w:val="22"/>
          <w:lang w:val="cs-CZ"/>
        </w:rPr>
        <w:t xml:space="preserve">parenterální doplnění železa </w:t>
      </w:r>
      <w:r w:rsidRPr="00366C95">
        <w:rPr>
          <w:rFonts w:ascii="Arial" w:hAnsi="Arial" w:cs="Arial"/>
          <w:sz w:val="22"/>
          <w:szCs w:val="22"/>
          <w:lang w:val="cs-CZ"/>
        </w:rPr>
        <w:t>snížil</w:t>
      </w:r>
      <w:r w:rsidR="007F4608">
        <w:rPr>
          <w:rFonts w:ascii="Arial" w:hAnsi="Arial" w:cs="Arial"/>
          <w:sz w:val="22"/>
          <w:szCs w:val="22"/>
          <w:lang w:val="cs-CZ"/>
        </w:rPr>
        <w:t>o</w:t>
      </w:r>
      <w:r w:rsidRPr="00366C95">
        <w:rPr>
          <w:rFonts w:ascii="Arial" w:hAnsi="Arial" w:cs="Arial"/>
          <w:sz w:val="22"/>
          <w:szCs w:val="22"/>
          <w:lang w:val="cs-CZ"/>
        </w:rPr>
        <w:t xml:space="preserve"> počet krevních destiček a </w:t>
      </w:r>
      <w:r w:rsidR="007F4608">
        <w:rPr>
          <w:rFonts w:ascii="Arial" w:hAnsi="Arial" w:cs="Arial"/>
          <w:sz w:val="22"/>
          <w:szCs w:val="22"/>
          <w:lang w:val="cs-CZ"/>
        </w:rPr>
        <w:t>indukovalo</w:t>
      </w:r>
      <w:r w:rsidRPr="00366C95">
        <w:rPr>
          <w:rFonts w:ascii="Arial" w:hAnsi="Arial" w:cs="Arial"/>
          <w:sz w:val="22"/>
          <w:szCs w:val="22"/>
          <w:lang w:val="cs-CZ"/>
        </w:rPr>
        <w:t xml:space="preserve"> </w:t>
      </w:r>
      <w:proofErr w:type="spellStart"/>
      <w:r w:rsidRPr="00366C95">
        <w:rPr>
          <w:rFonts w:ascii="Arial" w:hAnsi="Arial" w:cs="Arial"/>
          <w:sz w:val="22"/>
          <w:szCs w:val="22"/>
          <w:lang w:val="cs-CZ"/>
        </w:rPr>
        <w:t>erytrocytózu</w:t>
      </w:r>
      <w:proofErr w:type="spellEnd"/>
      <w:r w:rsidRPr="00366C95">
        <w:rPr>
          <w:rFonts w:ascii="Arial" w:hAnsi="Arial" w:cs="Arial"/>
          <w:sz w:val="22"/>
          <w:szCs w:val="22"/>
          <w:lang w:val="cs-CZ"/>
        </w:rPr>
        <w:t xml:space="preserve">. </w:t>
      </w:r>
      <w:r w:rsidR="007F4608">
        <w:rPr>
          <w:rFonts w:ascii="Arial" w:hAnsi="Arial" w:cs="Arial"/>
          <w:sz w:val="22"/>
          <w:szCs w:val="22"/>
          <w:lang w:val="cs-CZ"/>
        </w:rPr>
        <w:t>Avšak m</w:t>
      </w:r>
      <w:r w:rsidRPr="00366C95">
        <w:rPr>
          <w:rFonts w:ascii="Arial" w:hAnsi="Arial" w:cs="Arial"/>
          <w:sz w:val="22"/>
          <w:szCs w:val="22"/>
          <w:lang w:val="cs-CZ"/>
        </w:rPr>
        <w:t xml:space="preserve">odel </w:t>
      </w:r>
      <w:r w:rsidR="007F4608">
        <w:rPr>
          <w:rFonts w:ascii="Arial" w:hAnsi="Arial" w:cs="Arial"/>
          <w:sz w:val="22"/>
          <w:szCs w:val="22"/>
          <w:lang w:val="cs-CZ"/>
        </w:rPr>
        <w:t xml:space="preserve">ET s </w:t>
      </w:r>
      <w:r w:rsidRPr="007F4608">
        <w:rPr>
          <w:rFonts w:ascii="Arial" w:hAnsi="Arial" w:cs="Arial"/>
          <w:i/>
          <w:iCs/>
          <w:sz w:val="22"/>
          <w:szCs w:val="22"/>
          <w:lang w:val="cs-CZ"/>
        </w:rPr>
        <w:t>JAK2</w:t>
      </w:r>
      <w:r w:rsidRPr="00366C95">
        <w:rPr>
          <w:rFonts w:ascii="Arial" w:hAnsi="Arial" w:cs="Arial"/>
          <w:sz w:val="22"/>
          <w:szCs w:val="22"/>
          <w:lang w:val="cs-CZ"/>
        </w:rPr>
        <w:t xml:space="preserve"> V617F nereagoval na změny dostupnosti železa. </w:t>
      </w:r>
      <w:r w:rsidR="007F4608" w:rsidRPr="007F4608">
        <w:rPr>
          <w:rFonts w:ascii="Arial" w:hAnsi="Arial" w:cs="Arial"/>
          <w:sz w:val="22"/>
          <w:szCs w:val="22"/>
          <w:lang w:val="cs-CZ"/>
        </w:rPr>
        <w:t xml:space="preserve">Následující </w:t>
      </w:r>
      <w:r w:rsidR="007F4608">
        <w:rPr>
          <w:rFonts w:ascii="Arial" w:hAnsi="Arial" w:cs="Arial"/>
          <w:sz w:val="22"/>
          <w:szCs w:val="22"/>
          <w:lang w:val="cs-CZ"/>
        </w:rPr>
        <w:t>a</w:t>
      </w:r>
      <w:r w:rsidRPr="00366C95">
        <w:rPr>
          <w:rFonts w:ascii="Arial" w:hAnsi="Arial" w:cs="Arial"/>
          <w:sz w:val="22"/>
          <w:szCs w:val="22"/>
          <w:lang w:val="cs-CZ"/>
        </w:rPr>
        <w:t xml:space="preserve">nalýza </w:t>
      </w:r>
      <w:proofErr w:type="spellStart"/>
      <w:r w:rsidRPr="00366C95">
        <w:rPr>
          <w:rFonts w:ascii="Arial" w:hAnsi="Arial" w:cs="Arial"/>
          <w:sz w:val="22"/>
          <w:szCs w:val="22"/>
          <w:lang w:val="cs-CZ"/>
        </w:rPr>
        <w:t>kompartmentu</w:t>
      </w:r>
      <w:proofErr w:type="spellEnd"/>
      <w:r w:rsidRPr="00366C95">
        <w:rPr>
          <w:rFonts w:ascii="Arial" w:hAnsi="Arial" w:cs="Arial"/>
          <w:sz w:val="22"/>
          <w:szCs w:val="22"/>
          <w:lang w:val="cs-CZ"/>
        </w:rPr>
        <w:t xml:space="preserve"> kmenových buněk a </w:t>
      </w:r>
      <w:proofErr w:type="spellStart"/>
      <w:r w:rsidRPr="00366C95">
        <w:rPr>
          <w:rFonts w:ascii="Arial" w:hAnsi="Arial" w:cs="Arial"/>
          <w:sz w:val="22"/>
          <w:szCs w:val="22"/>
          <w:lang w:val="cs-CZ"/>
        </w:rPr>
        <w:t>progenitorů</w:t>
      </w:r>
      <w:proofErr w:type="spellEnd"/>
      <w:r w:rsidRPr="00366C95">
        <w:rPr>
          <w:rFonts w:ascii="Arial" w:hAnsi="Arial" w:cs="Arial"/>
          <w:sz w:val="22"/>
          <w:szCs w:val="22"/>
          <w:lang w:val="cs-CZ"/>
        </w:rPr>
        <w:t xml:space="preserve"> ukazuje, že</w:t>
      </w:r>
      <w:r w:rsidR="00307A57">
        <w:rPr>
          <w:rFonts w:ascii="Arial" w:hAnsi="Arial" w:cs="Arial"/>
          <w:sz w:val="22"/>
          <w:szCs w:val="22"/>
          <w:lang w:val="cs-CZ"/>
        </w:rPr>
        <w:t xml:space="preserve"> u</w:t>
      </w:r>
      <w:r w:rsidRPr="00366C95">
        <w:rPr>
          <w:rFonts w:ascii="Arial" w:hAnsi="Arial" w:cs="Arial"/>
          <w:sz w:val="22"/>
          <w:szCs w:val="22"/>
          <w:lang w:val="cs-CZ"/>
        </w:rPr>
        <w:t xml:space="preserve"> ET </w:t>
      </w:r>
      <w:r w:rsidR="00307A57">
        <w:rPr>
          <w:rFonts w:ascii="Arial" w:hAnsi="Arial" w:cs="Arial"/>
          <w:sz w:val="22"/>
          <w:szCs w:val="22"/>
          <w:lang w:val="cs-CZ"/>
        </w:rPr>
        <w:t>myšího modelu dochází k</w:t>
      </w:r>
      <w:r w:rsidRPr="00366C95">
        <w:rPr>
          <w:rFonts w:ascii="Arial" w:hAnsi="Arial" w:cs="Arial"/>
          <w:sz w:val="22"/>
          <w:szCs w:val="22"/>
          <w:lang w:val="cs-CZ"/>
        </w:rPr>
        <w:t xml:space="preserve"> </w:t>
      </w:r>
      <w:r w:rsidR="00307A57">
        <w:rPr>
          <w:rFonts w:ascii="Arial" w:hAnsi="Arial" w:cs="Arial"/>
          <w:sz w:val="22"/>
          <w:szCs w:val="22"/>
          <w:lang w:val="cs-CZ"/>
        </w:rPr>
        <w:t>zvýšené</w:t>
      </w:r>
      <w:r w:rsidRPr="00366C95">
        <w:rPr>
          <w:rFonts w:ascii="Arial" w:hAnsi="Arial" w:cs="Arial"/>
          <w:sz w:val="22"/>
          <w:szCs w:val="22"/>
          <w:lang w:val="cs-CZ"/>
        </w:rPr>
        <w:t xml:space="preserve"> </w:t>
      </w:r>
      <w:proofErr w:type="spellStart"/>
      <w:r w:rsidRPr="00366C95">
        <w:rPr>
          <w:rFonts w:ascii="Arial" w:hAnsi="Arial" w:cs="Arial"/>
          <w:sz w:val="22"/>
          <w:szCs w:val="22"/>
          <w:lang w:val="cs-CZ"/>
        </w:rPr>
        <w:t>megakaryopoéz</w:t>
      </w:r>
      <w:r w:rsidR="00307A57">
        <w:rPr>
          <w:rFonts w:ascii="Arial" w:hAnsi="Arial" w:cs="Arial"/>
          <w:sz w:val="22"/>
          <w:szCs w:val="22"/>
          <w:lang w:val="cs-CZ"/>
        </w:rPr>
        <w:t>e</w:t>
      </w:r>
      <w:proofErr w:type="spellEnd"/>
      <w:r w:rsidRPr="00366C95">
        <w:rPr>
          <w:rFonts w:ascii="Arial" w:hAnsi="Arial" w:cs="Arial"/>
          <w:sz w:val="22"/>
          <w:szCs w:val="22"/>
          <w:lang w:val="cs-CZ"/>
        </w:rPr>
        <w:t xml:space="preserve"> </w:t>
      </w:r>
      <w:r w:rsidR="0035179D">
        <w:rPr>
          <w:rFonts w:ascii="Arial" w:hAnsi="Arial" w:cs="Arial"/>
          <w:sz w:val="22"/>
          <w:szCs w:val="22"/>
          <w:lang w:val="cs-CZ"/>
        </w:rPr>
        <w:t>prostřednictvím</w:t>
      </w:r>
      <w:r w:rsidRPr="00366C95">
        <w:rPr>
          <w:rFonts w:ascii="Arial" w:hAnsi="Arial" w:cs="Arial"/>
          <w:sz w:val="22"/>
          <w:szCs w:val="22"/>
          <w:lang w:val="cs-CZ"/>
        </w:rPr>
        <w:t xml:space="preserve"> společného myeloidního </w:t>
      </w:r>
      <w:proofErr w:type="spellStart"/>
      <w:r w:rsidRPr="00366C95">
        <w:rPr>
          <w:rFonts w:ascii="Arial" w:hAnsi="Arial" w:cs="Arial"/>
          <w:sz w:val="22"/>
          <w:szCs w:val="22"/>
          <w:lang w:val="cs-CZ"/>
        </w:rPr>
        <w:t>progenitoru</w:t>
      </w:r>
      <w:proofErr w:type="spellEnd"/>
      <w:r w:rsidRPr="00366C95">
        <w:rPr>
          <w:rFonts w:ascii="Arial" w:hAnsi="Arial" w:cs="Arial"/>
          <w:sz w:val="22"/>
          <w:szCs w:val="22"/>
          <w:lang w:val="cs-CZ"/>
        </w:rPr>
        <w:t xml:space="preserve"> (CMP)</w:t>
      </w:r>
      <w:r w:rsidR="00307A57">
        <w:rPr>
          <w:rFonts w:ascii="Arial" w:hAnsi="Arial" w:cs="Arial"/>
          <w:sz w:val="22"/>
          <w:szCs w:val="22"/>
          <w:lang w:val="cs-CZ"/>
        </w:rPr>
        <w:t>, který nereaguje na dostupnost železa</w:t>
      </w:r>
      <w:r w:rsidRPr="00366C95">
        <w:rPr>
          <w:rFonts w:ascii="Arial" w:hAnsi="Arial" w:cs="Arial"/>
          <w:sz w:val="22"/>
          <w:szCs w:val="22"/>
          <w:lang w:val="cs-CZ"/>
        </w:rPr>
        <w:t>. PV modely</w:t>
      </w:r>
      <w:r w:rsidR="00307A57">
        <w:rPr>
          <w:rFonts w:ascii="Arial" w:hAnsi="Arial" w:cs="Arial"/>
          <w:sz w:val="22"/>
          <w:szCs w:val="22"/>
          <w:lang w:val="cs-CZ"/>
        </w:rPr>
        <w:t xml:space="preserve"> mají</w:t>
      </w:r>
      <w:r w:rsidRPr="00366C95">
        <w:rPr>
          <w:rFonts w:ascii="Arial" w:hAnsi="Arial" w:cs="Arial"/>
          <w:sz w:val="22"/>
          <w:szCs w:val="22"/>
          <w:lang w:val="cs-CZ"/>
        </w:rPr>
        <w:t xml:space="preserve"> tendenci používat jak MEP reagující na železo, tak nereagující cestu</w:t>
      </w:r>
      <w:r w:rsidR="00A57117">
        <w:rPr>
          <w:rFonts w:ascii="Arial" w:hAnsi="Arial" w:cs="Arial"/>
          <w:sz w:val="22"/>
          <w:szCs w:val="22"/>
          <w:lang w:val="cs-CZ"/>
        </w:rPr>
        <w:t xml:space="preserve"> prostřednictvím</w:t>
      </w:r>
      <w:r w:rsidRPr="00366C95">
        <w:rPr>
          <w:rFonts w:ascii="Arial" w:hAnsi="Arial" w:cs="Arial"/>
          <w:sz w:val="22"/>
          <w:szCs w:val="22"/>
          <w:lang w:val="cs-CZ"/>
        </w:rPr>
        <w:t xml:space="preserve"> LT-HSC / CMP s</w:t>
      </w:r>
      <w:r w:rsidR="00307A57">
        <w:rPr>
          <w:rFonts w:ascii="Arial" w:hAnsi="Arial" w:cs="Arial"/>
          <w:sz w:val="22"/>
          <w:szCs w:val="22"/>
          <w:lang w:val="cs-CZ"/>
        </w:rPr>
        <w:t xml:space="preserve">e sklonem k diferenciaci do </w:t>
      </w:r>
      <w:proofErr w:type="spellStart"/>
      <w:r w:rsidR="005D42D7" w:rsidRPr="00366C95">
        <w:rPr>
          <w:rFonts w:ascii="Arial" w:hAnsi="Arial" w:cs="Arial"/>
          <w:sz w:val="22"/>
          <w:szCs w:val="22"/>
          <w:lang w:val="cs-CZ"/>
        </w:rPr>
        <w:t>progenitorů</w:t>
      </w:r>
      <w:proofErr w:type="spellEnd"/>
      <w:r w:rsidR="005D42D7" w:rsidRPr="00366C95">
        <w:rPr>
          <w:rFonts w:ascii="Arial" w:hAnsi="Arial" w:cs="Arial"/>
          <w:sz w:val="22"/>
          <w:szCs w:val="22"/>
          <w:lang w:val="cs-CZ"/>
        </w:rPr>
        <w:t xml:space="preserve"> megakaryocytů</w:t>
      </w:r>
      <w:r w:rsidRPr="00366C95">
        <w:rPr>
          <w:rFonts w:ascii="Arial" w:hAnsi="Arial" w:cs="Arial"/>
          <w:sz w:val="22"/>
          <w:szCs w:val="22"/>
          <w:lang w:val="cs-CZ"/>
        </w:rPr>
        <w:t xml:space="preserve">. Naproti tomu se zdá, že mutantní protein </w:t>
      </w:r>
      <w:r w:rsidRPr="00A57117">
        <w:rPr>
          <w:rFonts w:ascii="Arial" w:hAnsi="Arial" w:cs="Arial"/>
          <w:sz w:val="22"/>
          <w:szCs w:val="22"/>
          <w:lang w:val="cs-CZ"/>
        </w:rPr>
        <w:t>JAK2</w:t>
      </w:r>
      <w:r w:rsidRPr="00366C95">
        <w:rPr>
          <w:rFonts w:ascii="Arial" w:hAnsi="Arial" w:cs="Arial"/>
          <w:sz w:val="22"/>
          <w:szCs w:val="22"/>
          <w:lang w:val="cs-CZ"/>
        </w:rPr>
        <w:t xml:space="preserve"> exon12 selektivně stimuluje MEP</w:t>
      </w:r>
      <w:r w:rsidR="00307A57">
        <w:rPr>
          <w:rFonts w:ascii="Arial" w:hAnsi="Arial" w:cs="Arial"/>
          <w:sz w:val="22"/>
          <w:szCs w:val="22"/>
          <w:lang w:val="cs-CZ"/>
        </w:rPr>
        <w:t>, které jsou</w:t>
      </w:r>
      <w:r w:rsidRPr="00366C95">
        <w:rPr>
          <w:rFonts w:ascii="Arial" w:hAnsi="Arial" w:cs="Arial"/>
          <w:sz w:val="22"/>
          <w:szCs w:val="22"/>
          <w:lang w:val="cs-CZ"/>
        </w:rPr>
        <w:t xml:space="preserve"> </w:t>
      </w:r>
      <w:r w:rsidR="00AC72AC" w:rsidRPr="00366C95">
        <w:rPr>
          <w:rFonts w:ascii="Arial" w:hAnsi="Arial" w:cs="Arial"/>
          <w:sz w:val="22"/>
          <w:szCs w:val="22"/>
          <w:lang w:val="cs-CZ"/>
        </w:rPr>
        <w:t>závisl</w:t>
      </w:r>
      <w:r w:rsidR="00AC72AC">
        <w:rPr>
          <w:rFonts w:ascii="Arial" w:hAnsi="Arial" w:cs="Arial"/>
          <w:sz w:val="22"/>
          <w:szCs w:val="22"/>
          <w:lang w:val="cs-CZ"/>
        </w:rPr>
        <w:t>é</w:t>
      </w:r>
      <w:r w:rsidR="00AC72AC" w:rsidRPr="00366C95">
        <w:rPr>
          <w:rFonts w:ascii="Arial" w:hAnsi="Arial" w:cs="Arial"/>
          <w:sz w:val="22"/>
          <w:szCs w:val="22"/>
          <w:lang w:val="cs-CZ"/>
        </w:rPr>
        <w:t xml:space="preserve"> </w:t>
      </w:r>
      <w:r w:rsidRPr="00366C95">
        <w:rPr>
          <w:rFonts w:ascii="Arial" w:hAnsi="Arial" w:cs="Arial"/>
          <w:sz w:val="22"/>
          <w:szCs w:val="22"/>
          <w:lang w:val="cs-CZ"/>
        </w:rPr>
        <w:t xml:space="preserve">na </w:t>
      </w:r>
      <w:r w:rsidR="00AC72AC" w:rsidRPr="00366C95">
        <w:rPr>
          <w:rFonts w:ascii="Arial" w:hAnsi="Arial" w:cs="Arial"/>
          <w:sz w:val="22"/>
          <w:szCs w:val="22"/>
          <w:lang w:val="cs-CZ"/>
        </w:rPr>
        <w:t>želez</w:t>
      </w:r>
      <w:r w:rsidR="00AC72AC">
        <w:rPr>
          <w:rFonts w:ascii="Arial" w:hAnsi="Arial" w:cs="Arial"/>
          <w:sz w:val="22"/>
          <w:szCs w:val="22"/>
          <w:lang w:val="cs-CZ"/>
        </w:rPr>
        <w:t>e</w:t>
      </w:r>
      <w:r w:rsidRPr="00366C95">
        <w:rPr>
          <w:rFonts w:ascii="Arial" w:hAnsi="Arial" w:cs="Arial"/>
          <w:sz w:val="22"/>
          <w:szCs w:val="22"/>
          <w:lang w:val="cs-CZ"/>
        </w:rPr>
        <w:t xml:space="preserve">, což vede k </w:t>
      </w:r>
      <w:proofErr w:type="spellStart"/>
      <w:r w:rsidRPr="00366C95">
        <w:rPr>
          <w:rFonts w:ascii="Arial" w:hAnsi="Arial" w:cs="Arial"/>
          <w:sz w:val="22"/>
          <w:szCs w:val="22"/>
          <w:lang w:val="cs-CZ"/>
        </w:rPr>
        <w:t>erytrocytóze</w:t>
      </w:r>
      <w:proofErr w:type="spellEnd"/>
      <w:r w:rsidRPr="00366C95">
        <w:rPr>
          <w:rFonts w:ascii="Arial" w:hAnsi="Arial" w:cs="Arial"/>
          <w:sz w:val="22"/>
          <w:szCs w:val="22"/>
          <w:lang w:val="cs-CZ"/>
        </w:rPr>
        <w:t xml:space="preserve"> na úkor produkce destiček. Zkoumání způsobů omezení erytropoézy omezením </w:t>
      </w:r>
      <w:r w:rsidR="00307A57">
        <w:rPr>
          <w:rFonts w:ascii="Arial" w:hAnsi="Arial" w:cs="Arial"/>
          <w:sz w:val="22"/>
          <w:szCs w:val="22"/>
          <w:lang w:val="cs-CZ"/>
        </w:rPr>
        <w:t xml:space="preserve">dostupnosti </w:t>
      </w:r>
      <w:r w:rsidRPr="00366C95">
        <w:rPr>
          <w:rFonts w:ascii="Arial" w:hAnsi="Arial" w:cs="Arial"/>
          <w:sz w:val="22"/>
          <w:szCs w:val="22"/>
          <w:lang w:val="cs-CZ"/>
        </w:rPr>
        <w:t>železa může prospět pacientům s PV vyžadujících opakovanou terapeutickou flebotomii. Celkově tyto studie přispívají k lepšímu pochopení jedinečné patofyziologie MPN a vytvářejí platformu pro nové terapeutické intervence.</w:t>
      </w:r>
      <w:r w:rsidR="001A69CC" w:rsidRPr="00D66707">
        <w:rPr>
          <w:rFonts w:ascii="Arial" w:hAnsi="Arial" w:cs="Arial"/>
          <w:sz w:val="22"/>
          <w:szCs w:val="22"/>
          <w:lang w:val="cs-CZ"/>
        </w:rPr>
        <w:br w:type="page"/>
      </w:r>
    </w:p>
    <w:p w14:paraId="0AB50975" w14:textId="77777777" w:rsidR="001A69CC" w:rsidRPr="003A5293" w:rsidRDefault="00D8178D" w:rsidP="00F30EE5">
      <w:pPr>
        <w:spacing w:line="360" w:lineRule="auto"/>
        <w:jc w:val="both"/>
        <w:rPr>
          <w:rFonts w:ascii="Arial" w:hAnsi="Arial" w:cs="Arial"/>
          <w:sz w:val="22"/>
          <w:szCs w:val="22"/>
          <w:lang w:val="en-US"/>
        </w:rPr>
      </w:pPr>
      <w:r w:rsidRPr="003A5293">
        <w:rPr>
          <w:rFonts w:ascii="Arial" w:eastAsia="MS Gothic" w:hAnsi="Arial" w:cs="Arial"/>
          <w:sz w:val="28"/>
          <w:szCs w:val="28"/>
          <w:lang w:val="en-US"/>
        </w:rPr>
        <w:lastRenderedPageBreak/>
        <w:t>〉</w:t>
      </w:r>
      <w:r w:rsidRPr="003A5293">
        <w:rPr>
          <w:rFonts w:ascii="Arial" w:eastAsia="MS Gothic" w:hAnsi="Arial" w:cs="Arial"/>
          <w:sz w:val="28"/>
          <w:szCs w:val="28"/>
          <w:lang w:val="en-US"/>
        </w:rPr>
        <w:t>Acknowledgement</w:t>
      </w:r>
    </w:p>
    <w:p w14:paraId="5E3876A3" w14:textId="77777777" w:rsidR="00D8178D" w:rsidRPr="003A5293" w:rsidRDefault="00D8178D" w:rsidP="00F30EE5">
      <w:pPr>
        <w:spacing w:line="360" w:lineRule="auto"/>
        <w:jc w:val="both"/>
        <w:rPr>
          <w:rFonts w:ascii="Arial" w:hAnsi="Arial" w:cs="Arial"/>
          <w:sz w:val="22"/>
          <w:szCs w:val="22"/>
          <w:lang w:val="en-US"/>
        </w:rPr>
      </w:pPr>
    </w:p>
    <w:p w14:paraId="372C40B4" w14:textId="21A08D15" w:rsidR="001A69CC" w:rsidRPr="006F5ABC" w:rsidRDefault="001A69CC" w:rsidP="00F30EE5">
      <w:pPr>
        <w:spacing w:line="360" w:lineRule="auto"/>
        <w:jc w:val="both"/>
        <w:rPr>
          <w:rFonts w:ascii="Arial" w:hAnsi="Arial" w:cs="Arial"/>
          <w:sz w:val="22"/>
          <w:szCs w:val="22"/>
          <w:lang w:val="en-US"/>
        </w:rPr>
      </w:pPr>
      <w:r w:rsidRPr="006F5ABC">
        <w:rPr>
          <w:rFonts w:ascii="Arial" w:hAnsi="Arial" w:cs="Arial"/>
          <w:sz w:val="22"/>
          <w:szCs w:val="22"/>
          <w:lang w:val="en-US"/>
        </w:rPr>
        <w:t xml:space="preserve">Firstly, I would like to express my sincere gratitude to my </w:t>
      </w:r>
      <w:r w:rsidR="00301FC2">
        <w:rPr>
          <w:rFonts w:ascii="Arial" w:hAnsi="Arial" w:cs="Arial"/>
          <w:sz w:val="22"/>
          <w:szCs w:val="22"/>
          <w:lang w:val="en-US"/>
        </w:rPr>
        <w:t>super</w:t>
      </w:r>
      <w:r w:rsidR="00301FC2" w:rsidRPr="006F5ABC">
        <w:rPr>
          <w:rFonts w:ascii="Arial" w:hAnsi="Arial" w:cs="Arial"/>
          <w:sz w:val="22"/>
          <w:szCs w:val="22"/>
          <w:lang w:val="en-US"/>
        </w:rPr>
        <w:t xml:space="preserve">visor </w:t>
      </w:r>
      <w:r w:rsidR="00301FC2">
        <w:rPr>
          <w:rFonts w:ascii="Arial" w:hAnsi="Arial" w:cs="Arial"/>
          <w:sz w:val="22"/>
          <w:szCs w:val="22"/>
          <w:lang w:val="en-US"/>
        </w:rPr>
        <w:t>Assoc. Prof</w:t>
      </w:r>
      <w:r w:rsidRPr="006F5ABC">
        <w:rPr>
          <w:rFonts w:ascii="Arial" w:hAnsi="Arial" w:cs="Arial"/>
          <w:sz w:val="22"/>
          <w:szCs w:val="22"/>
          <w:lang w:val="en-US"/>
        </w:rPr>
        <w:t xml:space="preserve">. </w:t>
      </w:r>
      <w:proofErr w:type="spellStart"/>
      <w:r w:rsidRPr="006F5ABC">
        <w:rPr>
          <w:rFonts w:ascii="Arial" w:hAnsi="Arial" w:cs="Arial"/>
          <w:sz w:val="22"/>
          <w:szCs w:val="22"/>
          <w:lang w:val="en-US"/>
        </w:rPr>
        <w:t>RNDr</w:t>
      </w:r>
      <w:proofErr w:type="spellEnd"/>
      <w:r w:rsidRPr="006F5ABC">
        <w:rPr>
          <w:rFonts w:ascii="Arial" w:hAnsi="Arial" w:cs="Arial"/>
          <w:sz w:val="22"/>
          <w:szCs w:val="22"/>
          <w:lang w:val="en-US"/>
        </w:rPr>
        <w:t xml:space="preserve">. </w:t>
      </w:r>
      <w:proofErr w:type="spellStart"/>
      <w:r w:rsidRPr="006F5ABC">
        <w:rPr>
          <w:rFonts w:ascii="Arial" w:hAnsi="Arial" w:cs="Arial"/>
          <w:sz w:val="22"/>
          <w:szCs w:val="22"/>
          <w:lang w:val="en-US"/>
        </w:rPr>
        <w:t>Vladimír</w:t>
      </w:r>
      <w:proofErr w:type="spellEnd"/>
      <w:r w:rsidRPr="006F5ABC">
        <w:rPr>
          <w:rFonts w:ascii="Arial" w:hAnsi="Arial" w:cs="Arial"/>
          <w:sz w:val="22"/>
          <w:szCs w:val="22"/>
          <w:lang w:val="en-US"/>
        </w:rPr>
        <w:t xml:space="preserve"> </w:t>
      </w:r>
      <w:proofErr w:type="spellStart"/>
      <w:r w:rsidRPr="006F5ABC">
        <w:rPr>
          <w:rFonts w:ascii="Arial" w:hAnsi="Arial" w:cs="Arial"/>
          <w:sz w:val="22"/>
          <w:szCs w:val="22"/>
          <w:lang w:val="en-US"/>
        </w:rPr>
        <w:t>Divoký</w:t>
      </w:r>
      <w:proofErr w:type="spellEnd"/>
      <w:r w:rsidRPr="006F5ABC">
        <w:rPr>
          <w:rFonts w:ascii="Arial" w:hAnsi="Arial" w:cs="Arial"/>
          <w:sz w:val="22"/>
          <w:szCs w:val="22"/>
          <w:lang w:val="en-US"/>
        </w:rPr>
        <w:t>, Ph.D.</w:t>
      </w:r>
      <w:r w:rsidR="00301FC2">
        <w:rPr>
          <w:rFonts w:ascii="Arial" w:hAnsi="Arial" w:cs="Arial"/>
          <w:sz w:val="22"/>
          <w:szCs w:val="22"/>
          <w:lang w:val="en-US"/>
        </w:rPr>
        <w:t>,</w:t>
      </w:r>
      <w:r w:rsidRPr="006F5ABC">
        <w:rPr>
          <w:rFonts w:ascii="Arial" w:hAnsi="Arial" w:cs="Arial"/>
          <w:sz w:val="22"/>
          <w:szCs w:val="22"/>
          <w:lang w:val="en-US"/>
        </w:rPr>
        <w:t xml:space="preserve"> for the continuous support of my Ph.D. study and related research</w:t>
      </w:r>
      <w:r w:rsidR="00905F11" w:rsidRPr="006F5ABC">
        <w:rPr>
          <w:rFonts w:ascii="Arial" w:hAnsi="Arial" w:cs="Arial"/>
          <w:sz w:val="22"/>
          <w:szCs w:val="22"/>
          <w:lang w:val="en-US"/>
        </w:rPr>
        <w:t>, for the excellent ideas he brought to my scientific projects and for time he spent by critically reviewing my results.</w:t>
      </w:r>
    </w:p>
    <w:p w14:paraId="37BB0C0A" w14:textId="77777777" w:rsidR="00905F11" w:rsidRPr="006F5ABC" w:rsidRDefault="00905F11" w:rsidP="00F30EE5">
      <w:pPr>
        <w:spacing w:line="360" w:lineRule="auto"/>
        <w:jc w:val="both"/>
        <w:rPr>
          <w:rFonts w:ascii="Arial" w:hAnsi="Arial" w:cs="Arial"/>
          <w:sz w:val="22"/>
          <w:szCs w:val="22"/>
          <w:lang w:val="en-US"/>
        </w:rPr>
      </w:pPr>
    </w:p>
    <w:p w14:paraId="1DC99C86" w14:textId="77777777" w:rsidR="001A69CC" w:rsidRPr="006F5ABC" w:rsidRDefault="001A69CC" w:rsidP="004F67A2">
      <w:pPr>
        <w:spacing w:line="360" w:lineRule="auto"/>
        <w:jc w:val="both"/>
        <w:rPr>
          <w:rFonts w:ascii="Arial" w:hAnsi="Arial" w:cs="Arial"/>
          <w:sz w:val="22"/>
          <w:szCs w:val="22"/>
          <w:lang w:val="en-US"/>
        </w:rPr>
      </w:pPr>
      <w:r w:rsidRPr="006F5ABC">
        <w:rPr>
          <w:rFonts w:ascii="Arial" w:hAnsi="Arial" w:cs="Arial"/>
          <w:sz w:val="22"/>
          <w:szCs w:val="22"/>
          <w:lang w:val="en-US"/>
        </w:rPr>
        <w:t>I would like to thank my</w:t>
      </w:r>
      <w:r w:rsidR="004F67A2" w:rsidRPr="006F5ABC">
        <w:rPr>
          <w:rFonts w:ascii="Arial" w:hAnsi="Arial" w:cs="Arial"/>
          <w:sz w:val="22"/>
          <w:szCs w:val="22"/>
          <w:lang w:val="en-US"/>
        </w:rPr>
        <w:t xml:space="preserve"> all</w:t>
      </w:r>
      <w:r w:rsidRPr="006F5ABC">
        <w:rPr>
          <w:rFonts w:ascii="Arial" w:hAnsi="Arial" w:cs="Arial"/>
          <w:sz w:val="22"/>
          <w:szCs w:val="22"/>
          <w:lang w:val="en-US"/>
        </w:rPr>
        <w:t xml:space="preserve"> fellow </w:t>
      </w:r>
      <w:proofErr w:type="spellStart"/>
      <w:r w:rsidRPr="006F5ABC">
        <w:rPr>
          <w:rFonts w:ascii="Arial" w:hAnsi="Arial" w:cs="Arial"/>
          <w:sz w:val="22"/>
          <w:szCs w:val="22"/>
          <w:lang w:val="en-US"/>
        </w:rPr>
        <w:t>labmates</w:t>
      </w:r>
      <w:proofErr w:type="spellEnd"/>
      <w:r w:rsidR="004F67A2" w:rsidRPr="006F5ABC">
        <w:rPr>
          <w:rFonts w:ascii="Arial" w:hAnsi="Arial" w:cs="Arial"/>
          <w:sz w:val="22"/>
          <w:szCs w:val="22"/>
          <w:lang w:val="en-US"/>
        </w:rPr>
        <w:t xml:space="preserve">, especially Dr. </w:t>
      </w:r>
      <w:proofErr w:type="spellStart"/>
      <w:r w:rsidR="004F67A2" w:rsidRPr="006F5ABC">
        <w:rPr>
          <w:rFonts w:ascii="Arial" w:hAnsi="Arial" w:cs="Arial"/>
          <w:sz w:val="22"/>
          <w:szCs w:val="22"/>
          <w:lang w:val="en-US"/>
        </w:rPr>
        <w:t>Pavla</w:t>
      </w:r>
      <w:proofErr w:type="spellEnd"/>
      <w:r w:rsidR="004F67A2" w:rsidRPr="006F5ABC">
        <w:rPr>
          <w:rFonts w:ascii="Arial" w:hAnsi="Arial" w:cs="Arial"/>
          <w:sz w:val="22"/>
          <w:szCs w:val="22"/>
          <w:lang w:val="en-US"/>
        </w:rPr>
        <w:t xml:space="preserve"> </w:t>
      </w:r>
      <w:proofErr w:type="spellStart"/>
      <w:r w:rsidR="004F67A2" w:rsidRPr="006F5ABC">
        <w:rPr>
          <w:rFonts w:ascii="Arial" w:hAnsi="Arial" w:cs="Arial"/>
          <w:sz w:val="22"/>
          <w:szCs w:val="22"/>
          <w:lang w:val="en-US"/>
        </w:rPr>
        <w:t>Kořalková</w:t>
      </w:r>
      <w:proofErr w:type="spellEnd"/>
      <w:r w:rsidR="00BA780E" w:rsidRPr="006F5ABC">
        <w:rPr>
          <w:rFonts w:ascii="Arial" w:hAnsi="Arial" w:cs="Arial"/>
          <w:sz w:val="22"/>
          <w:szCs w:val="22"/>
          <w:lang w:val="en-US"/>
        </w:rPr>
        <w:t xml:space="preserve">, </w:t>
      </w:r>
      <w:r w:rsidR="00BA780E" w:rsidRPr="006F5ABC">
        <w:rPr>
          <w:rFonts w:ascii="Arial" w:hAnsi="Arial" w:cs="Arial"/>
          <w:sz w:val="22"/>
          <w:szCs w:val="22"/>
          <w:lang w:val="en-US"/>
        </w:rPr>
        <w:br/>
      </w:r>
      <w:r w:rsidR="004F67A2" w:rsidRPr="006F5ABC">
        <w:rPr>
          <w:rFonts w:ascii="Arial" w:hAnsi="Arial" w:cs="Arial"/>
          <w:sz w:val="22"/>
          <w:szCs w:val="22"/>
          <w:lang w:val="en-US"/>
        </w:rPr>
        <w:t>Dr.</w:t>
      </w:r>
      <w:r w:rsidR="00BA780E" w:rsidRPr="006F5ABC">
        <w:rPr>
          <w:rFonts w:ascii="Arial" w:hAnsi="Arial" w:cs="Arial"/>
          <w:sz w:val="22"/>
          <w:szCs w:val="22"/>
          <w:lang w:val="en-US"/>
        </w:rPr>
        <w:t xml:space="preserve"> </w:t>
      </w:r>
      <w:r w:rsidR="004F67A2" w:rsidRPr="006F5ABC">
        <w:rPr>
          <w:rFonts w:ascii="Arial" w:hAnsi="Arial" w:cs="Arial"/>
          <w:sz w:val="22"/>
          <w:szCs w:val="22"/>
          <w:lang w:val="en-US"/>
        </w:rPr>
        <w:t xml:space="preserve">Lucie </w:t>
      </w:r>
      <w:proofErr w:type="spellStart"/>
      <w:r w:rsidR="004F67A2" w:rsidRPr="006F5ABC">
        <w:rPr>
          <w:rFonts w:ascii="Arial" w:hAnsi="Arial" w:cs="Arial"/>
          <w:sz w:val="22"/>
          <w:szCs w:val="22"/>
          <w:lang w:val="en-US"/>
        </w:rPr>
        <w:t>Láníková</w:t>
      </w:r>
      <w:proofErr w:type="spellEnd"/>
      <w:r w:rsidR="004F67A2" w:rsidRPr="006F5ABC">
        <w:rPr>
          <w:rFonts w:ascii="Arial" w:hAnsi="Arial" w:cs="Arial"/>
          <w:sz w:val="22"/>
          <w:szCs w:val="22"/>
          <w:lang w:val="en-US"/>
        </w:rPr>
        <w:t xml:space="preserve"> </w:t>
      </w:r>
      <w:r w:rsidR="009B4FA1" w:rsidRPr="006F5ABC">
        <w:rPr>
          <w:rFonts w:ascii="Arial" w:hAnsi="Arial" w:cs="Arial"/>
          <w:sz w:val="22"/>
          <w:szCs w:val="22"/>
          <w:lang w:val="en-US"/>
        </w:rPr>
        <w:t xml:space="preserve">and Dr. </w:t>
      </w:r>
      <w:proofErr w:type="spellStart"/>
      <w:r w:rsidR="009B4FA1" w:rsidRPr="006F5ABC">
        <w:rPr>
          <w:rFonts w:ascii="Arial" w:hAnsi="Arial" w:cs="Arial"/>
          <w:sz w:val="22"/>
          <w:szCs w:val="22"/>
          <w:lang w:val="en-US"/>
        </w:rPr>
        <w:t>Ján</w:t>
      </w:r>
      <w:proofErr w:type="spellEnd"/>
      <w:r w:rsidR="009B4FA1" w:rsidRPr="006F5ABC">
        <w:rPr>
          <w:rFonts w:ascii="Arial" w:hAnsi="Arial" w:cs="Arial"/>
          <w:sz w:val="22"/>
          <w:szCs w:val="22"/>
          <w:lang w:val="en-US"/>
        </w:rPr>
        <w:t xml:space="preserve"> </w:t>
      </w:r>
      <w:proofErr w:type="spellStart"/>
      <w:r w:rsidR="009B4FA1" w:rsidRPr="006F5ABC">
        <w:rPr>
          <w:rFonts w:ascii="Arial" w:hAnsi="Arial" w:cs="Arial"/>
          <w:sz w:val="22"/>
          <w:szCs w:val="22"/>
          <w:lang w:val="en-US"/>
        </w:rPr>
        <w:t>Gurský</w:t>
      </w:r>
      <w:proofErr w:type="spellEnd"/>
      <w:r w:rsidR="009B4FA1" w:rsidRPr="006F5ABC">
        <w:rPr>
          <w:rFonts w:ascii="Arial" w:hAnsi="Arial" w:cs="Arial"/>
          <w:sz w:val="22"/>
          <w:szCs w:val="22"/>
          <w:lang w:val="en-US"/>
        </w:rPr>
        <w:t xml:space="preserve"> </w:t>
      </w:r>
      <w:r w:rsidR="004F67A2" w:rsidRPr="006F5ABC">
        <w:rPr>
          <w:rFonts w:ascii="Arial" w:hAnsi="Arial" w:cs="Arial"/>
          <w:sz w:val="22"/>
          <w:szCs w:val="22"/>
          <w:lang w:val="en-US"/>
        </w:rPr>
        <w:t>for</w:t>
      </w:r>
      <w:r w:rsidRPr="006F5ABC">
        <w:rPr>
          <w:rFonts w:ascii="Arial" w:hAnsi="Arial" w:cs="Arial"/>
          <w:sz w:val="22"/>
          <w:szCs w:val="22"/>
          <w:lang w:val="en-US"/>
        </w:rPr>
        <w:t xml:space="preserve"> the stimulating discussions, for the sleepless nights we were working together, and for all the fun we have had in the last years.</w:t>
      </w:r>
    </w:p>
    <w:p w14:paraId="5A867FB1" w14:textId="77777777" w:rsidR="001A69CC" w:rsidRPr="006F5ABC" w:rsidRDefault="001A69CC" w:rsidP="00F30EE5">
      <w:pPr>
        <w:spacing w:line="360" w:lineRule="auto"/>
        <w:jc w:val="both"/>
        <w:rPr>
          <w:rFonts w:ascii="Arial" w:hAnsi="Arial" w:cs="Arial"/>
          <w:sz w:val="22"/>
          <w:szCs w:val="22"/>
          <w:lang w:val="en-US"/>
        </w:rPr>
      </w:pPr>
    </w:p>
    <w:p w14:paraId="74DDA049" w14:textId="77777777" w:rsidR="008845D9" w:rsidRPr="006F5ABC" w:rsidRDefault="008845D9" w:rsidP="008845D9">
      <w:pPr>
        <w:spacing w:line="360" w:lineRule="auto"/>
        <w:jc w:val="both"/>
        <w:rPr>
          <w:rFonts w:ascii="Arial" w:hAnsi="Arial" w:cs="Arial"/>
          <w:sz w:val="22"/>
          <w:szCs w:val="22"/>
          <w:lang w:val="en-US"/>
        </w:rPr>
      </w:pPr>
      <w:r w:rsidRPr="006F5ABC">
        <w:rPr>
          <w:rFonts w:ascii="Arial" w:hAnsi="Arial" w:cs="Arial"/>
          <w:sz w:val="22"/>
          <w:szCs w:val="22"/>
          <w:lang w:val="en-US"/>
        </w:rPr>
        <w:t>My special thanks belong also to prof. Radek C. Skoda at Department of Biomedicine, Experimental Hematology, University Hospital Basel and University of Basel and his lab members</w:t>
      </w:r>
      <w:r w:rsidR="00083948">
        <w:rPr>
          <w:rFonts w:ascii="Arial" w:hAnsi="Arial" w:cs="Arial"/>
          <w:sz w:val="22"/>
          <w:szCs w:val="22"/>
          <w:lang w:val="en-US"/>
        </w:rPr>
        <w:t xml:space="preserve"> and institute core facilities members</w:t>
      </w:r>
      <w:r w:rsidRPr="006F5ABC">
        <w:rPr>
          <w:rFonts w:ascii="Arial" w:hAnsi="Arial" w:cs="Arial"/>
          <w:sz w:val="22"/>
          <w:szCs w:val="22"/>
          <w:lang w:val="en-US"/>
        </w:rPr>
        <w:t xml:space="preserve">. During my stay in </w:t>
      </w:r>
      <w:r w:rsidR="0095026B" w:rsidRPr="006F5ABC">
        <w:rPr>
          <w:rFonts w:ascii="Arial" w:hAnsi="Arial" w:cs="Arial"/>
          <w:sz w:val="22"/>
          <w:szCs w:val="22"/>
          <w:lang w:val="en-US"/>
        </w:rPr>
        <w:t>Basel,</w:t>
      </w:r>
      <w:r w:rsidRPr="006F5ABC">
        <w:rPr>
          <w:rFonts w:ascii="Arial" w:hAnsi="Arial" w:cs="Arial"/>
          <w:sz w:val="22"/>
          <w:szCs w:val="22"/>
          <w:lang w:val="en-US"/>
        </w:rPr>
        <w:t xml:space="preserve"> I gained incredible amount of new knowledge and scientific experience.</w:t>
      </w:r>
    </w:p>
    <w:p w14:paraId="755AFB70" w14:textId="77777777" w:rsidR="008845D9" w:rsidRPr="006F5ABC" w:rsidRDefault="008845D9" w:rsidP="00F30EE5">
      <w:pPr>
        <w:spacing w:line="360" w:lineRule="auto"/>
        <w:jc w:val="both"/>
        <w:rPr>
          <w:rFonts w:ascii="Arial" w:hAnsi="Arial" w:cs="Arial"/>
          <w:sz w:val="22"/>
          <w:szCs w:val="22"/>
          <w:lang w:val="en-US"/>
        </w:rPr>
      </w:pPr>
    </w:p>
    <w:p w14:paraId="3E6CFFAF" w14:textId="77777777" w:rsidR="009B4FA1" w:rsidRPr="006F5ABC" w:rsidRDefault="009B4FA1" w:rsidP="00F30EE5">
      <w:pPr>
        <w:spacing w:line="360" w:lineRule="auto"/>
        <w:jc w:val="both"/>
        <w:rPr>
          <w:rFonts w:ascii="Arial" w:hAnsi="Arial" w:cs="Arial"/>
          <w:sz w:val="22"/>
          <w:szCs w:val="22"/>
          <w:lang w:val="en-US"/>
        </w:rPr>
      </w:pPr>
      <w:r w:rsidRPr="006F5ABC">
        <w:rPr>
          <w:rFonts w:ascii="Arial" w:hAnsi="Arial" w:cs="Arial"/>
          <w:sz w:val="22"/>
          <w:szCs w:val="22"/>
          <w:lang w:val="en-US"/>
        </w:rPr>
        <w:t xml:space="preserve">I would also like to thank all the collaborators joining our projects, mainly Prof. </w:t>
      </w:r>
      <w:proofErr w:type="spellStart"/>
      <w:r w:rsidRPr="006F5ABC">
        <w:rPr>
          <w:rFonts w:ascii="Arial" w:hAnsi="Arial" w:cs="Arial"/>
          <w:sz w:val="22"/>
          <w:szCs w:val="22"/>
          <w:lang w:val="en-US"/>
        </w:rPr>
        <w:t>Jiří</w:t>
      </w:r>
      <w:proofErr w:type="spellEnd"/>
      <w:r w:rsidRPr="006F5ABC">
        <w:rPr>
          <w:rFonts w:ascii="Arial" w:hAnsi="Arial" w:cs="Arial"/>
          <w:sz w:val="22"/>
          <w:szCs w:val="22"/>
          <w:lang w:val="en-US"/>
        </w:rPr>
        <w:t xml:space="preserve"> </w:t>
      </w:r>
      <w:proofErr w:type="spellStart"/>
      <w:r w:rsidRPr="006F5ABC">
        <w:rPr>
          <w:rFonts w:ascii="Arial" w:hAnsi="Arial" w:cs="Arial"/>
          <w:sz w:val="22"/>
          <w:szCs w:val="22"/>
          <w:lang w:val="en-US"/>
        </w:rPr>
        <w:t>Bártek</w:t>
      </w:r>
      <w:proofErr w:type="spellEnd"/>
      <w:r w:rsidRPr="006F5ABC">
        <w:rPr>
          <w:rFonts w:ascii="Arial" w:hAnsi="Arial" w:cs="Arial"/>
          <w:sz w:val="22"/>
          <w:szCs w:val="22"/>
          <w:lang w:val="en-US"/>
        </w:rPr>
        <w:t xml:space="preserve">, Dr. </w:t>
      </w:r>
      <w:proofErr w:type="spellStart"/>
      <w:r w:rsidRPr="006F5ABC">
        <w:rPr>
          <w:rFonts w:ascii="Arial" w:hAnsi="Arial" w:cs="Arial"/>
          <w:sz w:val="22"/>
          <w:szCs w:val="22"/>
          <w:lang w:val="en-US"/>
        </w:rPr>
        <w:t>Zdeněk</w:t>
      </w:r>
      <w:proofErr w:type="spellEnd"/>
      <w:r w:rsidRPr="006F5ABC">
        <w:rPr>
          <w:rFonts w:ascii="Arial" w:hAnsi="Arial" w:cs="Arial"/>
          <w:sz w:val="22"/>
          <w:szCs w:val="22"/>
          <w:lang w:val="en-US"/>
        </w:rPr>
        <w:t xml:space="preserve"> </w:t>
      </w:r>
      <w:proofErr w:type="spellStart"/>
      <w:r w:rsidRPr="006F5ABC">
        <w:rPr>
          <w:rFonts w:ascii="Arial" w:hAnsi="Arial" w:cs="Arial"/>
          <w:sz w:val="22"/>
          <w:szCs w:val="22"/>
          <w:lang w:val="en-US"/>
        </w:rPr>
        <w:t>Hodný</w:t>
      </w:r>
      <w:proofErr w:type="spellEnd"/>
      <w:r w:rsidR="00095325">
        <w:rPr>
          <w:rFonts w:ascii="Arial" w:hAnsi="Arial" w:cs="Arial"/>
          <w:sz w:val="22"/>
          <w:szCs w:val="22"/>
          <w:lang w:val="en-US"/>
        </w:rPr>
        <w:t xml:space="preserve">, </w:t>
      </w:r>
      <w:r w:rsidRPr="006F5ABC">
        <w:rPr>
          <w:rFonts w:ascii="Arial" w:hAnsi="Arial" w:cs="Arial"/>
          <w:sz w:val="22"/>
          <w:szCs w:val="22"/>
          <w:lang w:val="en-US"/>
        </w:rPr>
        <w:t>all the clinicians for collecting, evaluating and processing patients’ samples</w:t>
      </w:r>
      <w:r w:rsidR="002D2B93">
        <w:rPr>
          <w:rFonts w:ascii="Arial" w:hAnsi="Arial" w:cs="Arial"/>
          <w:sz w:val="22"/>
          <w:szCs w:val="22"/>
          <w:lang w:val="en-US"/>
        </w:rPr>
        <w:t xml:space="preserve"> and v</w:t>
      </w:r>
      <w:r w:rsidR="0015498E">
        <w:rPr>
          <w:rFonts w:ascii="Arial" w:hAnsi="Arial" w:cs="Arial"/>
          <w:sz w:val="22"/>
          <w:szCs w:val="22"/>
          <w:lang w:val="en-US"/>
        </w:rPr>
        <w:t xml:space="preserve">ice-dean </w:t>
      </w:r>
      <w:r w:rsidR="0015498E" w:rsidRPr="0015498E">
        <w:rPr>
          <w:rFonts w:ascii="Arial" w:hAnsi="Arial" w:cs="Arial"/>
          <w:sz w:val="22"/>
          <w:szCs w:val="22"/>
          <w:lang w:val="en-US"/>
        </w:rPr>
        <w:t xml:space="preserve">Prof. Mgr. Martin </w:t>
      </w:r>
      <w:proofErr w:type="spellStart"/>
      <w:r w:rsidR="0015498E" w:rsidRPr="0015498E">
        <w:rPr>
          <w:rFonts w:ascii="Arial" w:hAnsi="Arial" w:cs="Arial"/>
          <w:sz w:val="22"/>
          <w:szCs w:val="22"/>
          <w:lang w:val="en-US"/>
        </w:rPr>
        <w:t>Modrianský</w:t>
      </w:r>
      <w:proofErr w:type="spellEnd"/>
      <w:r w:rsidR="0015498E" w:rsidRPr="0015498E">
        <w:rPr>
          <w:rFonts w:ascii="Arial" w:hAnsi="Arial" w:cs="Arial"/>
          <w:sz w:val="22"/>
          <w:szCs w:val="22"/>
          <w:lang w:val="en-US"/>
        </w:rPr>
        <w:t>, Ph.D.</w:t>
      </w:r>
      <w:r w:rsidR="0015498E">
        <w:rPr>
          <w:rFonts w:ascii="Arial" w:hAnsi="Arial" w:cs="Arial"/>
          <w:sz w:val="22"/>
          <w:szCs w:val="22"/>
          <w:lang w:val="en-US"/>
        </w:rPr>
        <w:t xml:space="preserve"> for support in my studies and help with mobility in Basel.</w:t>
      </w:r>
    </w:p>
    <w:p w14:paraId="7699AA1F" w14:textId="77777777" w:rsidR="009B4FA1" w:rsidRPr="006F5ABC" w:rsidRDefault="009B4FA1" w:rsidP="00F30EE5">
      <w:pPr>
        <w:spacing w:line="360" w:lineRule="auto"/>
        <w:jc w:val="both"/>
        <w:rPr>
          <w:rFonts w:ascii="Arial" w:hAnsi="Arial" w:cs="Arial"/>
          <w:sz w:val="22"/>
          <w:szCs w:val="22"/>
          <w:lang w:val="en-US"/>
        </w:rPr>
      </w:pPr>
    </w:p>
    <w:p w14:paraId="00206765" w14:textId="77777777" w:rsidR="00FE77AC" w:rsidRPr="006F5ABC" w:rsidRDefault="001A69CC" w:rsidP="00F30EE5">
      <w:pPr>
        <w:spacing w:line="360" w:lineRule="auto"/>
        <w:jc w:val="both"/>
        <w:rPr>
          <w:rFonts w:ascii="Arial" w:hAnsi="Arial" w:cs="Arial"/>
          <w:sz w:val="22"/>
          <w:szCs w:val="22"/>
          <w:lang w:val="en-US"/>
        </w:rPr>
      </w:pPr>
      <w:r w:rsidRPr="006F5ABC">
        <w:rPr>
          <w:rFonts w:ascii="Arial" w:hAnsi="Arial" w:cs="Arial"/>
          <w:sz w:val="22"/>
          <w:szCs w:val="22"/>
          <w:lang w:val="en-US"/>
        </w:rPr>
        <w:t>Last but not the least, I would like to thank my family: my wife</w:t>
      </w:r>
      <w:r w:rsidR="00905F11" w:rsidRPr="006F5ABC">
        <w:rPr>
          <w:rFonts w:ascii="Arial" w:hAnsi="Arial" w:cs="Arial"/>
          <w:sz w:val="22"/>
          <w:szCs w:val="22"/>
          <w:lang w:val="en-US"/>
        </w:rPr>
        <w:t xml:space="preserve"> Ivanka</w:t>
      </w:r>
      <w:r w:rsidR="00C81B32">
        <w:rPr>
          <w:rFonts w:ascii="Arial" w:hAnsi="Arial" w:cs="Arial"/>
          <w:sz w:val="22"/>
          <w:szCs w:val="22"/>
          <w:lang w:val="en-US"/>
        </w:rPr>
        <w:t xml:space="preserve"> </w:t>
      </w:r>
      <w:r w:rsidR="00C81B32" w:rsidRPr="00C81B32">
        <w:rPr>
          <w:rFonts w:ascii="Arial" w:hAnsi="Arial" w:cs="Arial"/>
          <w:sz w:val="22"/>
          <w:szCs w:val="22"/>
          <w:lang w:val="en-US"/>
        </w:rPr>
        <w:t>(</w:t>
      </w:r>
      <w:r w:rsidR="00C81B32">
        <w:rPr>
          <w:rFonts w:ascii="Arial" w:hAnsi="Arial" w:cs="Arial"/>
          <w:sz w:val="22"/>
          <w:szCs w:val="22"/>
          <w:lang w:val="en-US"/>
        </w:rPr>
        <w:t>+1)</w:t>
      </w:r>
      <w:r w:rsidR="00905F11" w:rsidRPr="006F5ABC">
        <w:rPr>
          <w:rFonts w:ascii="Arial" w:hAnsi="Arial" w:cs="Arial"/>
          <w:sz w:val="22"/>
          <w:szCs w:val="22"/>
          <w:lang w:val="en-US"/>
        </w:rPr>
        <w:t>, daughter Laura and my parents</w:t>
      </w:r>
      <w:r w:rsidR="00E25BA9" w:rsidRPr="006F5ABC">
        <w:rPr>
          <w:rFonts w:ascii="Arial" w:hAnsi="Arial" w:cs="Arial"/>
          <w:sz w:val="22"/>
          <w:szCs w:val="22"/>
          <w:lang w:val="en-US"/>
        </w:rPr>
        <w:t>,</w:t>
      </w:r>
      <w:r w:rsidR="00905F11" w:rsidRPr="006F5ABC">
        <w:rPr>
          <w:rFonts w:ascii="Arial" w:hAnsi="Arial" w:cs="Arial"/>
          <w:sz w:val="22"/>
          <w:szCs w:val="22"/>
          <w:lang w:val="en-US"/>
        </w:rPr>
        <w:t xml:space="preserve"> </w:t>
      </w:r>
      <w:r w:rsidR="00E25BA9" w:rsidRPr="006F5ABC">
        <w:rPr>
          <w:rFonts w:ascii="Arial" w:hAnsi="Arial" w:cs="Arial"/>
          <w:sz w:val="22"/>
          <w:szCs w:val="22"/>
          <w:lang w:val="en-US"/>
        </w:rPr>
        <w:t>who</w:t>
      </w:r>
      <w:r w:rsidR="00905F11" w:rsidRPr="006F5ABC">
        <w:rPr>
          <w:rFonts w:ascii="Arial" w:hAnsi="Arial" w:cs="Arial"/>
          <w:sz w:val="22"/>
          <w:szCs w:val="22"/>
          <w:lang w:val="en-US"/>
        </w:rPr>
        <w:t xml:space="preserve"> supported me throughout my studies </w:t>
      </w:r>
      <w:r w:rsidRPr="006F5ABC">
        <w:rPr>
          <w:rFonts w:ascii="Arial" w:hAnsi="Arial" w:cs="Arial"/>
          <w:sz w:val="22"/>
          <w:szCs w:val="22"/>
          <w:lang w:val="en-US"/>
        </w:rPr>
        <w:t>and my life in general.</w:t>
      </w:r>
    </w:p>
    <w:p w14:paraId="762B322E" w14:textId="77777777" w:rsidR="00FD5587" w:rsidRDefault="00FD5587" w:rsidP="00F30EE5">
      <w:pPr>
        <w:spacing w:line="360" w:lineRule="auto"/>
        <w:jc w:val="both"/>
        <w:rPr>
          <w:rFonts w:ascii="Arial" w:hAnsi="Arial" w:cs="Arial"/>
          <w:sz w:val="22"/>
          <w:szCs w:val="22"/>
          <w:lang w:val="en-US"/>
        </w:rPr>
      </w:pPr>
    </w:p>
    <w:p w14:paraId="7230FA28" w14:textId="77777777" w:rsidR="00FD5587" w:rsidRDefault="00FD5587" w:rsidP="00F30EE5">
      <w:pPr>
        <w:spacing w:line="360" w:lineRule="auto"/>
        <w:jc w:val="both"/>
        <w:rPr>
          <w:rFonts w:ascii="Arial" w:hAnsi="Arial" w:cs="Arial"/>
          <w:sz w:val="22"/>
          <w:szCs w:val="22"/>
          <w:lang w:val="en-US"/>
        </w:rPr>
      </w:pPr>
    </w:p>
    <w:p w14:paraId="5BF9CAE3" w14:textId="77777777" w:rsidR="00FD5587" w:rsidRDefault="00FD5587" w:rsidP="00F30EE5">
      <w:pPr>
        <w:spacing w:line="360" w:lineRule="auto"/>
        <w:jc w:val="both"/>
        <w:rPr>
          <w:rFonts w:ascii="Arial" w:hAnsi="Arial" w:cs="Arial"/>
          <w:sz w:val="22"/>
          <w:szCs w:val="22"/>
          <w:lang w:val="en-US"/>
        </w:rPr>
      </w:pPr>
    </w:p>
    <w:p w14:paraId="18E95822" w14:textId="77777777" w:rsidR="001A69CC" w:rsidRPr="003A5293" w:rsidRDefault="00FF0C38" w:rsidP="00F30EE5">
      <w:pPr>
        <w:spacing w:line="360" w:lineRule="auto"/>
        <w:jc w:val="both"/>
        <w:rPr>
          <w:rFonts w:ascii="Arial" w:hAnsi="Arial" w:cs="Arial"/>
          <w:sz w:val="22"/>
          <w:szCs w:val="22"/>
          <w:lang w:val="en-US"/>
        </w:rPr>
      </w:pPr>
      <w:r>
        <w:rPr>
          <w:rFonts w:ascii="Arial" w:hAnsi="Arial" w:cs="Arial"/>
          <w:sz w:val="22"/>
          <w:szCs w:val="22"/>
          <w:lang w:val="en-US"/>
        </w:rPr>
        <w:t>My</w:t>
      </w:r>
      <w:r w:rsidR="00FD5587">
        <w:rPr>
          <w:rFonts w:ascii="Arial" w:hAnsi="Arial" w:cs="Arial"/>
          <w:sz w:val="22"/>
          <w:szCs w:val="22"/>
          <w:lang w:val="en-US"/>
        </w:rPr>
        <w:t xml:space="preserve"> work </w:t>
      </w:r>
      <w:r>
        <w:rPr>
          <w:rFonts w:ascii="Arial" w:hAnsi="Arial" w:cs="Arial"/>
          <w:sz w:val="22"/>
          <w:szCs w:val="22"/>
          <w:lang w:val="en-US"/>
        </w:rPr>
        <w:t xml:space="preserve">at </w:t>
      </w:r>
      <w:proofErr w:type="spellStart"/>
      <w:r>
        <w:rPr>
          <w:rFonts w:ascii="Arial" w:hAnsi="Arial" w:cs="Arial"/>
          <w:sz w:val="22"/>
          <w:szCs w:val="22"/>
          <w:lang w:val="en-US"/>
        </w:rPr>
        <w:t>Palacký</w:t>
      </w:r>
      <w:proofErr w:type="spellEnd"/>
      <w:r>
        <w:rPr>
          <w:rFonts w:ascii="Arial" w:hAnsi="Arial" w:cs="Arial"/>
          <w:sz w:val="22"/>
          <w:szCs w:val="22"/>
          <w:lang w:val="en-US"/>
        </w:rPr>
        <w:t xml:space="preserve"> University </w:t>
      </w:r>
      <w:r w:rsidR="00FD5587">
        <w:rPr>
          <w:rFonts w:ascii="Arial" w:hAnsi="Arial" w:cs="Arial"/>
          <w:sz w:val="22"/>
          <w:szCs w:val="22"/>
          <w:lang w:val="en-US"/>
        </w:rPr>
        <w:t xml:space="preserve">was supported, in whole or in part, by </w:t>
      </w:r>
      <w:r w:rsidR="00C731CD">
        <w:rPr>
          <w:rFonts w:ascii="Arial" w:hAnsi="Arial" w:cs="Arial"/>
          <w:sz w:val="22"/>
          <w:szCs w:val="22"/>
          <w:lang w:val="en-US"/>
        </w:rPr>
        <w:t xml:space="preserve">the </w:t>
      </w:r>
      <w:r w:rsidR="00C75156">
        <w:rPr>
          <w:rFonts w:ascii="Arial" w:hAnsi="Arial" w:cs="Arial"/>
          <w:sz w:val="22"/>
          <w:szCs w:val="22"/>
          <w:lang w:val="en-US"/>
        </w:rPr>
        <w:t xml:space="preserve">Czech Science Foundation </w:t>
      </w:r>
      <w:r w:rsidR="00B5123D">
        <w:rPr>
          <w:rFonts w:ascii="Arial" w:hAnsi="Arial" w:cs="Arial"/>
          <w:sz w:val="22"/>
          <w:szCs w:val="22"/>
          <w:lang w:val="en-US"/>
        </w:rPr>
        <w:t>grant</w:t>
      </w:r>
      <w:r w:rsidR="006F263B">
        <w:rPr>
          <w:rFonts w:ascii="Arial" w:hAnsi="Arial" w:cs="Arial"/>
          <w:sz w:val="22"/>
          <w:szCs w:val="22"/>
          <w:lang w:val="en-US"/>
        </w:rPr>
        <w:t>s</w:t>
      </w:r>
      <w:r w:rsidR="00FD5587">
        <w:rPr>
          <w:rFonts w:ascii="Arial" w:hAnsi="Arial" w:cs="Arial"/>
          <w:sz w:val="22"/>
          <w:szCs w:val="22"/>
          <w:lang w:val="en-US"/>
        </w:rPr>
        <w:t xml:space="preserve"> </w:t>
      </w:r>
      <w:r w:rsidR="00B5123D">
        <w:rPr>
          <w:rFonts w:ascii="Arial" w:hAnsi="Arial" w:cs="Arial"/>
          <w:sz w:val="22"/>
          <w:szCs w:val="22"/>
          <w:lang w:val="en-US"/>
        </w:rPr>
        <w:t>numbers</w:t>
      </w:r>
      <w:r w:rsidR="00C75156">
        <w:rPr>
          <w:rFonts w:ascii="Arial" w:hAnsi="Arial" w:cs="Arial"/>
          <w:sz w:val="22"/>
          <w:szCs w:val="22"/>
          <w:lang w:val="en-US"/>
        </w:rPr>
        <w:t xml:space="preserve"> </w:t>
      </w:r>
      <w:r w:rsidR="00AF235F" w:rsidRPr="00AF235F">
        <w:rPr>
          <w:rFonts w:ascii="Arial" w:hAnsi="Arial" w:cs="Arial"/>
          <w:sz w:val="22"/>
          <w:szCs w:val="22"/>
          <w:lang w:val="en-US"/>
        </w:rPr>
        <w:t xml:space="preserve">14-10687P </w:t>
      </w:r>
      <w:r w:rsidR="002A725C">
        <w:rPr>
          <w:rFonts w:ascii="Arial" w:hAnsi="Arial" w:cs="Arial"/>
          <w:sz w:val="22"/>
          <w:szCs w:val="22"/>
          <w:lang w:val="en-US"/>
        </w:rPr>
        <w:t xml:space="preserve">and </w:t>
      </w:r>
      <w:r w:rsidR="00B5123D" w:rsidRPr="00B5123D">
        <w:rPr>
          <w:rFonts w:ascii="Arial" w:hAnsi="Arial" w:cs="Arial"/>
          <w:sz w:val="22"/>
          <w:szCs w:val="22"/>
          <w:lang w:val="en-US"/>
        </w:rPr>
        <w:t>17-05988S</w:t>
      </w:r>
      <w:r w:rsidR="00AF235F">
        <w:rPr>
          <w:rFonts w:ascii="Arial" w:hAnsi="Arial" w:cs="Arial"/>
          <w:sz w:val="22"/>
          <w:szCs w:val="22"/>
          <w:lang w:val="en-US"/>
        </w:rPr>
        <w:t xml:space="preserve">, </w:t>
      </w:r>
      <w:r w:rsidR="00FD5587">
        <w:rPr>
          <w:rFonts w:ascii="Arial" w:hAnsi="Arial" w:cs="Arial"/>
          <w:sz w:val="22"/>
          <w:szCs w:val="22"/>
          <w:lang w:val="en-US"/>
        </w:rPr>
        <w:t xml:space="preserve">by </w:t>
      </w:r>
      <w:r w:rsidR="00C731CD">
        <w:rPr>
          <w:rFonts w:ascii="Arial" w:hAnsi="Arial" w:cs="Arial"/>
          <w:sz w:val="22"/>
          <w:szCs w:val="22"/>
          <w:lang w:val="en-US"/>
        </w:rPr>
        <w:t xml:space="preserve">the </w:t>
      </w:r>
      <w:r w:rsidR="00AF235F" w:rsidRPr="00AF235F">
        <w:rPr>
          <w:rFonts w:ascii="Arial" w:hAnsi="Arial" w:cs="Arial"/>
          <w:sz w:val="22"/>
          <w:szCs w:val="22"/>
          <w:lang w:val="en-US"/>
        </w:rPr>
        <w:t xml:space="preserve">LTAUSA17142 project </w:t>
      </w:r>
      <w:r w:rsidR="00AF235F">
        <w:rPr>
          <w:rFonts w:ascii="Arial" w:hAnsi="Arial" w:cs="Arial"/>
          <w:sz w:val="22"/>
          <w:szCs w:val="22"/>
          <w:lang w:val="en-US"/>
        </w:rPr>
        <w:t xml:space="preserve">from </w:t>
      </w:r>
      <w:r w:rsidR="00C731CD">
        <w:rPr>
          <w:rFonts w:ascii="Arial" w:hAnsi="Arial" w:cs="Arial"/>
          <w:sz w:val="22"/>
          <w:szCs w:val="22"/>
          <w:lang w:val="en-US"/>
        </w:rPr>
        <w:t xml:space="preserve">the </w:t>
      </w:r>
      <w:r w:rsidR="00AF235F">
        <w:rPr>
          <w:rFonts w:ascii="Arial" w:hAnsi="Arial" w:cs="Arial"/>
          <w:sz w:val="22"/>
          <w:szCs w:val="22"/>
          <w:lang w:val="en-US"/>
        </w:rPr>
        <w:t xml:space="preserve">Ministry of Education, Youth and Sports, Czech Republic, and by </w:t>
      </w:r>
      <w:r w:rsidR="00C731CD">
        <w:rPr>
          <w:rFonts w:ascii="Arial" w:hAnsi="Arial" w:cs="Arial"/>
          <w:sz w:val="22"/>
          <w:szCs w:val="22"/>
          <w:lang w:val="en-US"/>
        </w:rPr>
        <w:t xml:space="preserve">the </w:t>
      </w:r>
      <w:r w:rsidR="00C00E90" w:rsidRPr="00C00E90">
        <w:rPr>
          <w:rFonts w:ascii="Arial" w:hAnsi="Arial" w:cs="Arial"/>
          <w:sz w:val="22"/>
          <w:szCs w:val="22"/>
          <w:lang w:val="en-US"/>
        </w:rPr>
        <w:t xml:space="preserve">Internal Grant Agency of </w:t>
      </w:r>
      <w:proofErr w:type="spellStart"/>
      <w:r w:rsidR="00C00E90" w:rsidRPr="00C00E90">
        <w:rPr>
          <w:rFonts w:ascii="Arial" w:hAnsi="Arial" w:cs="Arial"/>
          <w:sz w:val="22"/>
          <w:szCs w:val="22"/>
          <w:lang w:val="en-US"/>
        </w:rPr>
        <w:t>Palacký</w:t>
      </w:r>
      <w:proofErr w:type="spellEnd"/>
      <w:r w:rsidR="00C00E90" w:rsidRPr="00C00E90">
        <w:rPr>
          <w:rFonts w:ascii="Arial" w:hAnsi="Arial" w:cs="Arial"/>
          <w:sz w:val="22"/>
          <w:szCs w:val="22"/>
          <w:lang w:val="en-US"/>
        </w:rPr>
        <w:t xml:space="preserve"> University</w:t>
      </w:r>
      <w:r w:rsidR="00AB33CF">
        <w:rPr>
          <w:rFonts w:ascii="Arial" w:hAnsi="Arial" w:cs="Arial"/>
          <w:sz w:val="22"/>
          <w:szCs w:val="22"/>
          <w:lang w:val="en-US"/>
        </w:rPr>
        <w:t>,</w:t>
      </w:r>
      <w:r w:rsidR="00C00E90" w:rsidRPr="00C00E90">
        <w:rPr>
          <w:rFonts w:ascii="Arial" w:hAnsi="Arial" w:cs="Arial"/>
          <w:sz w:val="22"/>
          <w:szCs w:val="22"/>
          <w:lang w:val="en-US"/>
        </w:rPr>
        <w:t xml:space="preserve"> </w:t>
      </w:r>
      <w:r w:rsidR="00AB33CF">
        <w:rPr>
          <w:rFonts w:ascii="Arial" w:hAnsi="Arial" w:cs="Arial"/>
          <w:sz w:val="22"/>
          <w:szCs w:val="22"/>
          <w:lang w:val="en-US"/>
        </w:rPr>
        <w:t>project</w:t>
      </w:r>
      <w:r>
        <w:rPr>
          <w:rFonts w:ascii="Arial" w:hAnsi="Arial" w:cs="Arial"/>
          <w:sz w:val="22"/>
          <w:szCs w:val="22"/>
          <w:lang w:val="en-US"/>
        </w:rPr>
        <w:t>s</w:t>
      </w:r>
      <w:r w:rsidR="00C00E90">
        <w:rPr>
          <w:rFonts w:ascii="Arial" w:hAnsi="Arial" w:cs="Arial"/>
          <w:sz w:val="22"/>
          <w:szCs w:val="22"/>
          <w:lang w:val="en-US"/>
        </w:rPr>
        <w:t xml:space="preserve"> </w:t>
      </w:r>
      <w:r w:rsidR="00AB33CF">
        <w:rPr>
          <w:rFonts w:ascii="Arial" w:hAnsi="Arial" w:cs="Arial"/>
          <w:sz w:val="22"/>
          <w:szCs w:val="22"/>
          <w:lang w:val="en-US"/>
        </w:rPr>
        <w:t>numbers</w:t>
      </w:r>
      <w:r w:rsidR="004F08BF">
        <w:rPr>
          <w:rFonts w:ascii="Arial" w:hAnsi="Arial" w:cs="Arial"/>
          <w:sz w:val="22"/>
          <w:szCs w:val="22"/>
          <w:lang w:val="en-US"/>
        </w:rPr>
        <w:t xml:space="preserve"> </w:t>
      </w:r>
      <w:r w:rsidR="0069410B">
        <w:rPr>
          <w:rFonts w:ascii="Arial" w:hAnsi="Arial" w:cs="Arial"/>
          <w:sz w:val="22"/>
          <w:szCs w:val="22"/>
          <w:lang w:val="en-US"/>
        </w:rPr>
        <w:t>IGA_LF_2017</w:t>
      </w:r>
      <w:r w:rsidR="0069410B" w:rsidRPr="0069410B">
        <w:rPr>
          <w:rFonts w:ascii="Arial" w:hAnsi="Arial" w:cs="Arial"/>
          <w:sz w:val="22"/>
          <w:szCs w:val="22"/>
          <w:lang w:val="en-US"/>
        </w:rPr>
        <w:t>_</w:t>
      </w:r>
      <w:r w:rsidR="0069410B">
        <w:rPr>
          <w:rFonts w:ascii="Arial" w:hAnsi="Arial" w:cs="Arial"/>
          <w:sz w:val="22"/>
          <w:szCs w:val="22"/>
          <w:lang w:val="en-US"/>
        </w:rPr>
        <w:t xml:space="preserve">015, </w:t>
      </w:r>
      <w:r w:rsidR="004F08BF" w:rsidRPr="004F08BF">
        <w:rPr>
          <w:rFonts w:ascii="Arial" w:hAnsi="Arial" w:cs="Arial"/>
          <w:sz w:val="22"/>
          <w:szCs w:val="22"/>
          <w:lang w:val="en-US"/>
        </w:rPr>
        <w:t>IGA_LF_2018_010</w:t>
      </w:r>
      <w:r w:rsidR="00C00E90">
        <w:rPr>
          <w:rFonts w:ascii="Arial" w:hAnsi="Arial" w:cs="Arial"/>
          <w:sz w:val="22"/>
          <w:szCs w:val="22"/>
          <w:lang w:val="en-US"/>
        </w:rPr>
        <w:t xml:space="preserve"> </w:t>
      </w:r>
      <w:r w:rsidR="00AB33CF">
        <w:rPr>
          <w:rFonts w:ascii="Arial" w:hAnsi="Arial" w:cs="Arial"/>
          <w:sz w:val="22"/>
          <w:szCs w:val="22"/>
          <w:lang w:val="en-US"/>
        </w:rPr>
        <w:t xml:space="preserve">and </w:t>
      </w:r>
      <w:r w:rsidR="00B5123D" w:rsidRPr="00B5123D">
        <w:rPr>
          <w:rFonts w:ascii="Arial" w:hAnsi="Arial" w:cs="Arial"/>
          <w:sz w:val="22"/>
          <w:szCs w:val="22"/>
          <w:lang w:val="en-US"/>
        </w:rPr>
        <w:t>IGA_LF_2019_006</w:t>
      </w:r>
      <w:r w:rsidR="00C00E90">
        <w:rPr>
          <w:rFonts w:ascii="Arial" w:hAnsi="Arial" w:cs="Arial"/>
          <w:sz w:val="22"/>
          <w:szCs w:val="22"/>
          <w:lang w:val="en-US"/>
        </w:rPr>
        <w:t xml:space="preserve">. In addition, my </w:t>
      </w:r>
      <w:r w:rsidR="00BF31B4">
        <w:rPr>
          <w:rFonts w:ascii="Arial" w:hAnsi="Arial" w:cs="Arial"/>
          <w:sz w:val="22"/>
          <w:szCs w:val="22"/>
          <w:lang w:val="en-US"/>
        </w:rPr>
        <w:t>stay</w:t>
      </w:r>
      <w:r w:rsidR="00C00E90">
        <w:rPr>
          <w:rFonts w:ascii="Arial" w:hAnsi="Arial" w:cs="Arial"/>
          <w:sz w:val="22"/>
          <w:szCs w:val="22"/>
          <w:lang w:val="en-US"/>
        </w:rPr>
        <w:t xml:space="preserve"> in Basel was partially supported by </w:t>
      </w:r>
      <w:r w:rsidR="00C731CD">
        <w:rPr>
          <w:rFonts w:ascii="Arial" w:hAnsi="Arial" w:cs="Arial"/>
          <w:sz w:val="22"/>
          <w:szCs w:val="22"/>
          <w:lang w:val="en-US"/>
        </w:rPr>
        <w:t xml:space="preserve">the </w:t>
      </w:r>
      <w:r w:rsidR="00C00E90">
        <w:rPr>
          <w:rFonts w:ascii="Arial" w:hAnsi="Arial" w:cs="Arial"/>
          <w:sz w:val="22"/>
          <w:szCs w:val="22"/>
          <w:lang w:val="en-US"/>
        </w:rPr>
        <w:t xml:space="preserve">Mobility Support on </w:t>
      </w:r>
      <w:proofErr w:type="spellStart"/>
      <w:r w:rsidR="00C00E90">
        <w:rPr>
          <w:rFonts w:ascii="Arial" w:hAnsi="Arial" w:cs="Arial"/>
          <w:sz w:val="22"/>
          <w:szCs w:val="22"/>
          <w:lang w:val="en-US"/>
        </w:rPr>
        <w:t>Palack</w:t>
      </w:r>
      <w:r w:rsidR="00C731CD">
        <w:rPr>
          <w:rFonts w:ascii="Arial" w:hAnsi="Arial" w:cs="Arial"/>
          <w:sz w:val="22"/>
          <w:szCs w:val="22"/>
          <w:lang w:val="en-US"/>
        </w:rPr>
        <w:t>ý</w:t>
      </w:r>
      <w:proofErr w:type="spellEnd"/>
      <w:r w:rsidR="00C00E90">
        <w:rPr>
          <w:rFonts w:ascii="Arial" w:hAnsi="Arial" w:cs="Arial"/>
          <w:sz w:val="22"/>
          <w:szCs w:val="22"/>
          <w:lang w:val="en-US"/>
        </w:rPr>
        <w:t xml:space="preserve"> University project no. CZ.02.2.69/0.0</w:t>
      </w:r>
      <w:r w:rsidR="00FD5587">
        <w:rPr>
          <w:rFonts w:ascii="Arial" w:hAnsi="Arial" w:cs="Arial"/>
          <w:sz w:val="22"/>
          <w:szCs w:val="22"/>
          <w:lang w:val="en-US"/>
        </w:rPr>
        <w:t>/0.0/16_027/0008482</w:t>
      </w:r>
      <w:r>
        <w:rPr>
          <w:rFonts w:ascii="Arial" w:hAnsi="Arial" w:cs="Arial"/>
          <w:sz w:val="22"/>
          <w:szCs w:val="22"/>
          <w:lang w:val="en-US"/>
        </w:rPr>
        <w:t xml:space="preserve"> and by the aforementioned </w:t>
      </w:r>
      <w:r w:rsidRPr="00FF0C38">
        <w:rPr>
          <w:rFonts w:ascii="Arial" w:hAnsi="Arial" w:cs="Arial"/>
          <w:sz w:val="22"/>
          <w:szCs w:val="22"/>
          <w:lang w:val="en-US"/>
        </w:rPr>
        <w:t>17-05988S</w:t>
      </w:r>
      <w:r>
        <w:rPr>
          <w:rFonts w:ascii="Arial" w:hAnsi="Arial" w:cs="Arial"/>
          <w:sz w:val="22"/>
          <w:szCs w:val="22"/>
          <w:lang w:val="en-US"/>
        </w:rPr>
        <w:t xml:space="preserve"> project</w:t>
      </w:r>
      <w:r w:rsidR="00C00E90">
        <w:rPr>
          <w:rFonts w:ascii="Arial" w:hAnsi="Arial" w:cs="Arial"/>
          <w:sz w:val="22"/>
          <w:szCs w:val="22"/>
          <w:lang w:val="en-US"/>
        </w:rPr>
        <w:t>.</w:t>
      </w:r>
      <w:r w:rsidR="001A69CC" w:rsidRPr="003A5293">
        <w:rPr>
          <w:rFonts w:ascii="Arial" w:hAnsi="Arial" w:cs="Arial"/>
          <w:sz w:val="22"/>
          <w:szCs w:val="22"/>
          <w:lang w:val="en-US"/>
        </w:rPr>
        <w:br w:type="page"/>
      </w:r>
    </w:p>
    <w:sdt>
      <w:sdtPr>
        <w:rPr>
          <w:rFonts w:ascii="Arial" w:eastAsiaTheme="minorHAnsi" w:hAnsi="Arial" w:cs="Arial"/>
          <w:b w:val="0"/>
          <w:bCs w:val="0"/>
          <w:color w:val="000000" w:themeColor="text1"/>
          <w:sz w:val="21"/>
          <w:szCs w:val="21"/>
          <w:lang w:val="en-US" w:eastAsia="en-US"/>
        </w:rPr>
        <w:id w:val="-687366694"/>
        <w:docPartObj>
          <w:docPartGallery w:val="Table of Contents"/>
          <w:docPartUnique/>
        </w:docPartObj>
      </w:sdtPr>
      <w:sdtEndPr>
        <w:rPr>
          <w:rFonts w:eastAsia="Times New Roman"/>
          <w:noProof/>
          <w:color w:val="auto"/>
          <w:sz w:val="24"/>
          <w:szCs w:val="24"/>
          <w:lang w:eastAsia="de-DE"/>
        </w:rPr>
      </w:sdtEndPr>
      <w:sdtContent>
        <w:p w14:paraId="4AE6D8E2" w14:textId="77777777" w:rsidR="000B22A7" w:rsidRPr="001A49B3" w:rsidRDefault="004956BF" w:rsidP="008B1BEE">
          <w:pPr>
            <w:pStyle w:val="Inhaltsverzeichnisberschrift"/>
            <w:tabs>
              <w:tab w:val="left" w:pos="3684"/>
            </w:tabs>
            <w:spacing w:before="0" w:line="360" w:lineRule="auto"/>
            <w:jc w:val="both"/>
            <w:rPr>
              <w:rFonts w:ascii="Arial" w:hAnsi="Arial" w:cs="Arial"/>
              <w:b w:val="0"/>
              <w:bCs w:val="0"/>
              <w:color w:val="000000" w:themeColor="text1"/>
              <w:sz w:val="21"/>
              <w:szCs w:val="21"/>
              <w:lang w:val="en-US"/>
            </w:rPr>
          </w:pPr>
          <w:r w:rsidRPr="001A49B3">
            <w:rPr>
              <w:rFonts w:ascii="Arial" w:eastAsia="MS Mincho" w:hAnsi="Arial" w:cs="Arial"/>
              <w:b w:val="0"/>
              <w:bCs w:val="0"/>
              <w:color w:val="000000" w:themeColor="text1"/>
              <w:sz w:val="21"/>
              <w:szCs w:val="21"/>
              <w:lang w:val="en-US"/>
            </w:rPr>
            <w:t>〉</w:t>
          </w:r>
          <w:r w:rsidR="00D8178D" w:rsidRPr="001A49B3">
            <w:rPr>
              <w:rFonts w:ascii="Arial" w:hAnsi="Arial" w:cs="Arial"/>
              <w:b w:val="0"/>
              <w:bCs w:val="0"/>
              <w:color w:val="000000" w:themeColor="text1"/>
              <w:sz w:val="21"/>
              <w:szCs w:val="21"/>
              <w:lang w:val="en-US"/>
            </w:rPr>
            <w:t>Content</w:t>
          </w:r>
          <w:r w:rsidR="00D8178D" w:rsidRPr="001A49B3">
            <w:rPr>
              <w:rFonts w:ascii="Arial" w:hAnsi="Arial" w:cs="Arial"/>
              <w:b w:val="0"/>
              <w:bCs w:val="0"/>
              <w:color w:val="000000" w:themeColor="text1"/>
              <w:sz w:val="21"/>
              <w:szCs w:val="21"/>
              <w:lang w:val="en-US"/>
            </w:rPr>
            <w:tab/>
          </w:r>
        </w:p>
        <w:p w14:paraId="151B295A" w14:textId="301FA4A9" w:rsidR="008B1BEE" w:rsidRPr="001A49B3" w:rsidRDefault="000B22A7" w:rsidP="008B1BEE">
          <w:pPr>
            <w:pStyle w:val="Verzeichnis1"/>
            <w:spacing w:before="0" w:after="0" w:line="360" w:lineRule="auto"/>
            <w:jc w:val="both"/>
            <w:rPr>
              <w:rFonts w:ascii="Arial" w:eastAsiaTheme="minorEastAsia" w:hAnsi="Arial" w:cs="Arial"/>
              <w:b w:val="0"/>
              <w:bCs w:val="0"/>
              <w:caps w:val="0"/>
              <w:noProof/>
              <w:sz w:val="21"/>
              <w:szCs w:val="21"/>
              <w:u w:val="none"/>
            </w:rPr>
          </w:pPr>
          <w:r w:rsidRPr="001A49B3">
            <w:rPr>
              <w:rFonts w:ascii="Arial" w:hAnsi="Arial" w:cs="Arial"/>
              <w:b w:val="0"/>
              <w:bCs w:val="0"/>
              <w:caps w:val="0"/>
              <w:sz w:val="21"/>
              <w:szCs w:val="21"/>
              <w:u w:val="none"/>
              <w:lang w:val="en-US"/>
            </w:rPr>
            <w:fldChar w:fldCharType="begin"/>
          </w:r>
          <w:r w:rsidRPr="001A49B3">
            <w:rPr>
              <w:rFonts w:ascii="Arial" w:hAnsi="Arial" w:cs="Arial"/>
              <w:b w:val="0"/>
              <w:bCs w:val="0"/>
              <w:caps w:val="0"/>
              <w:sz w:val="21"/>
              <w:szCs w:val="21"/>
              <w:u w:val="none"/>
              <w:lang w:val="en-US"/>
            </w:rPr>
            <w:instrText>TOC \o "1-3" \h \z \u</w:instrText>
          </w:r>
          <w:r w:rsidRPr="001A49B3">
            <w:rPr>
              <w:rFonts w:ascii="Arial" w:hAnsi="Arial" w:cs="Arial"/>
              <w:b w:val="0"/>
              <w:bCs w:val="0"/>
              <w:caps w:val="0"/>
              <w:sz w:val="21"/>
              <w:szCs w:val="21"/>
              <w:u w:val="none"/>
              <w:lang w:val="en-US"/>
            </w:rPr>
            <w:fldChar w:fldCharType="separate"/>
          </w:r>
          <w:hyperlink w:anchor="_Toc57582475" w:history="1">
            <w:r w:rsidR="008B1BEE" w:rsidRPr="001A49B3">
              <w:rPr>
                <w:rStyle w:val="Hyperlink"/>
                <w:rFonts w:ascii="Arial" w:hAnsi="Arial" w:cs="Arial"/>
                <w:b w:val="0"/>
                <w:bCs w:val="0"/>
                <w:caps w:val="0"/>
                <w:noProof/>
                <w:sz w:val="21"/>
                <w:szCs w:val="21"/>
                <w:u w:val="none"/>
              </w:rPr>
              <w:t>1. Introduction</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_Toc57582475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1</w:t>
            </w:r>
            <w:r w:rsidR="008B1BEE" w:rsidRPr="001A49B3">
              <w:rPr>
                <w:rFonts w:ascii="Arial" w:hAnsi="Arial" w:cs="Arial"/>
                <w:b w:val="0"/>
                <w:bCs w:val="0"/>
                <w:caps w:val="0"/>
                <w:noProof/>
                <w:webHidden/>
                <w:sz w:val="21"/>
                <w:szCs w:val="21"/>
                <w:u w:val="none"/>
              </w:rPr>
              <w:fldChar w:fldCharType="end"/>
            </w:r>
          </w:hyperlink>
        </w:p>
        <w:p w14:paraId="4E0E0D9A" w14:textId="1F102034" w:rsidR="008B1BEE" w:rsidRPr="001A49B3" w:rsidRDefault="009D11E3"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476" w:history="1">
            <w:r w:rsidR="008B1BEE" w:rsidRPr="001A49B3">
              <w:rPr>
                <w:rStyle w:val="Hyperlink"/>
                <w:rFonts w:ascii="Arial" w:hAnsi="Arial" w:cs="Arial"/>
                <w:b w:val="0"/>
                <w:bCs w:val="0"/>
                <w:caps w:val="0"/>
                <w:noProof/>
                <w:sz w:val="21"/>
                <w:szCs w:val="21"/>
                <w:u w:val="none"/>
              </w:rPr>
              <w:t>1.1 Role of DDR in acute leukemia development</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_Toc57582476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1</w:t>
            </w:r>
            <w:r w:rsidR="008B1BEE" w:rsidRPr="001A49B3">
              <w:rPr>
                <w:rFonts w:ascii="Arial" w:hAnsi="Arial" w:cs="Arial"/>
                <w:b w:val="0"/>
                <w:bCs w:val="0"/>
                <w:caps w:val="0"/>
                <w:noProof/>
                <w:webHidden/>
                <w:sz w:val="21"/>
                <w:szCs w:val="21"/>
                <w:u w:val="none"/>
              </w:rPr>
              <w:fldChar w:fldCharType="end"/>
            </w:r>
          </w:hyperlink>
        </w:p>
        <w:p w14:paraId="0C2CB7B9" w14:textId="274A90AB" w:rsidR="008B1BEE" w:rsidRPr="001A49B3" w:rsidRDefault="009D11E3" w:rsidP="00595734">
          <w:pPr>
            <w:pStyle w:val="Verzeichnis1"/>
            <w:spacing w:before="0" w:after="0" w:line="360" w:lineRule="auto"/>
            <w:ind w:left="2124"/>
            <w:jc w:val="both"/>
            <w:rPr>
              <w:rFonts w:ascii="Arial" w:eastAsiaTheme="minorEastAsia" w:hAnsi="Arial" w:cs="Arial"/>
              <w:b w:val="0"/>
              <w:bCs w:val="0"/>
              <w:caps w:val="0"/>
              <w:noProof/>
              <w:sz w:val="21"/>
              <w:szCs w:val="21"/>
              <w:u w:val="none"/>
            </w:rPr>
          </w:pPr>
          <w:hyperlink w:anchor="_Toc57582477" w:history="1">
            <w:r w:rsidR="008B1BEE" w:rsidRPr="001A49B3">
              <w:rPr>
                <w:rStyle w:val="Hyperlink"/>
                <w:rFonts w:ascii="Arial" w:hAnsi="Arial" w:cs="Arial"/>
                <w:b w:val="0"/>
                <w:bCs w:val="0"/>
                <w:caps w:val="0"/>
                <w:noProof/>
                <w:sz w:val="21"/>
                <w:szCs w:val="21"/>
                <w:u w:val="none"/>
              </w:rPr>
              <w:t>1.1.1 DNA damage and genomic instability in the pathogenesis of leukemia</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_Toc57582477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2</w:t>
            </w:r>
            <w:r w:rsidR="008B1BEE" w:rsidRPr="001A49B3">
              <w:rPr>
                <w:rFonts w:ascii="Arial" w:hAnsi="Arial" w:cs="Arial"/>
                <w:b w:val="0"/>
                <w:bCs w:val="0"/>
                <w:caps w:val="0"/>
                <w:noProof/>
                <w:webHidden/>
                <w:sz w:val="21"/>
                <w:szCs w:val="21"/>
                <w:u w:val="none"/>
              </w:rPr>
              <w:fldChar w:fldCharType="end"/>
            </w:r>
          </w:hyperlink>
        </w:p>
        <w:p w14:paraId="2A90E177" w14:textId="00425EFB" w:rsidR="008B1BEE" w:rsidRPr="001A49B3" w:rsidRDefault="00784D02" w:rsidP="00595734">
          <w:pPr>
            <w:pStyle w:val="Verzeichnis1"/>
            <w:spacing w:before="0" w:after="0" w:line="360" w:lineRule="auto"/>
            <w:ind w:left="2124"/>
            <w:jc w:val="both"/>
            <w:rPr>
              <w:rFonts w:ascii="Arial" w:eastAsiaTheme="minorEastAsia" w:hAnsi="Arial" w:cs="Arial"/>
              <w:b w:val="0"/>
              <w:bCs w:val="0"/>
              <w:caps w:val="0"/>
              <w:noProof/>
              <w:sz w:val="21"/>
              <w:szCs w:val="21"/>
              <w:u w:val="none"/>
            </w:rPr>
          </w:pPr>
          <w:hyperlink w:anchor="_Toc57582478" w:history="1">
            <w:r w:rsidR="008B1BEE" w:rsidRPr="001A49B3">
              <w:rPr>
                <w:rStyle w:val="Hyperlink"/>
                <w:rFonts w:ascii="Arial" w:hAnsi="Arial" w:cs="Arial"/>
                <w:b w:val="0"/>
                <w:bCs w:val="0"/>
                <w:caps w:val="0"/>
                <w:noProof/>
                <w:sz w:val="21"/>
                <w:szCs w:val="21"/>
                <w:u w:val="none"/>
              </w:rPr>
              <w:t>1.1.2 Involvement of inflammation induced-oxidative stress in leukemogenesis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_Toc57582478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3</w:t>
            </w:r>
            <w:r w:rsidR="008B1BEE" w:rsidRPr="001A49B3">
              <w:rPr>
                <w:rFonts w:ascii="Arial" w:hAnsi="Arial" w:cs="Arial"/>
                <w:b w:val="0"/>
                <w:bCs w:val="0"/>
                <w:caps w:val="0"/>
                <w:noProof/>
                <w:webHidden/>
                <w:sz w:val="21"/>
                <w:szCs w:val="21"/>
                <w:u w:val="none"/>
              </w:rPr>
              <w:fldChar w:fldCharType="end"/>
            </w:r>
          </w:hyperlink>
        </w:p>
        <w:p w14:paraId="132660FC" w14:textId="47D519D4" w:rsidR="008B1BEE" w:rsidRPr="001A49B3" w:rsidRDefault="009D11E3" w:rsidP="00595734">
          <w:pPr>
            <w:pStyle w:val="Verzeichnis1"/>
            <w:spacing w:before="0" w:after="0" w:line="360" w:lineRule="auto"/>
            <w:ind w:left="2124"/>
            <w:jc w:val="both"/>
            <w:rPr>
              <w:rFonts w:ascii="Arial" w:eastAsiaTheme="minorEastAsia" w:hAnsi="Arial" w:cs="Arial"/>
              <w:b w:val="0"/>
              <w:bCs w:val="0"/>
              <w:caps w:val="0"/>
              <w:noProof/>
              <w:sz w:val="21"/>
              <w:szCs w:val="21"/>
              <w:u w:val="none"/>
            </w:rPr>
          </w:pPr>
          <w:hyperlink w:anchor="_Toc57582479" w:history="1">
            <w:r w:rsidR="008B1BEE" w:rsidRPr="001A49B3">
              <w:rPr>
                <w:rStyle w:val="Hyperlink"/>
                <w:rFonts w:ascii="Arial" w:hAnsi="Arial" w:cs="Arial"/>
                <w:b w:val="0"/>
                <w:bCs w:val="0"/>
                <w:caps w:val="0"/>
                <w:noProof/>
                <w:sz w:val="21"/>
                <w:szCs w:val="21"/>
                <w:u w:val="none"/>
              </w:rPr>
              <w:t>1.1.3 DNA damage repair genes polymorphisms in the pathogenesis of leukemia</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_Toc57582479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4</w:t>
            </w:r>
            <w:r w:rsidR="008B1BEE" w:rsidRPr="001A49B3">
              <w:rPr>
                <w:rFonts w:ascii="Arial" w:hAnsi="Arial" w:cs="Arial"/>
                <w:b w:val="0"/>
                <w:bCs w:val="0"/>
                <w:caps w:val="0"/>
                <w:noProof/>
                <w:webHidden/>
                <w:sz w:val="21"/>
                <w:szCs w:val="21"/>
                <w:u w:val="none"/>
              </w:rPr>
              <w:fldChar w:fldCharType="end"/>
            </w:r>
          </w:hyperlink>
        </w:p>
        <w:p w14:paraId="4263535A" w14:textId="7C28FC5E" w:rsidR="008B1BEE" w:rsidRPr="001A49B3" w:rsidRDefault="009D11E3" w:rsidP="00595734">
          <w:pPr>
            <w:pStyle w:val="Verzeichnis1"/>
            <w:spacing w:before="0" w:after="0" w:line="360" w:lineRule="auto"/>
            <w:ind w:left="2124"/>
            <w:jc w:val="both"/>
            <w:rPr>
              <w:rFonts w:ascii="Arial" w:eastAsiaTheme="minorEastAsia" w:hAnsi="Arial" w:cs="Arial"/>
              <w:b w:val="0"/>
              <w:bCs w:val="0"/>
              <w:caps w:val="0"/>
              <w:noProof/>
              <w:sz w:val="21"/>
              <w:szCs w:val="21"/>
              <w:u w:val="none"/>
            </w:rPr>
          </w:pPr>
          <w:hyperlink w:anchor="_Toc57582480" w:history="1">
            <w:r w:rsidR="008B1BEE" w:rsidRPr="001A49B3">
              <w:rPr>
                <w:rStyle w:val="Hyperlink"/>
                <w:rFonts w:ascii="Arial" w:hAnsi="Arial" w:cs="Arial"/>
                <w:b w:val="0"/>
                <w:bCs w:val="0"/>
                <w:caps w:val="0"/>
                <w:noProof/>
                <w:sz w:val="21"/>
                <w:szCs w:val="21"/>
                <w:u w:val="none"/>
              </w:rPr>
              <w:t>1.1.4 DDR as a potential barrier against leukemia development</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_Toc57582480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6</w:t>
            </w:r>
            <w:r w:rsidR="008B1BEE" w:rsidRPr="001A49B3">
              <w:rPr>
                <w:rFonts w:ascii="Arial" w:hAnsi="Arial" w:cs="Arial"/>
                <w:b w:val="0"/>
                <w:bCs w:val="0"/>
                <w:caps w:val="0"/>
                <w:noProof/>
                <w:webHidden/>
                <w:sz w:val="21"/>
                <w:szCs w:val="21"/>
                <w:u w:val="none"/>
              </w:rPr>
              <w:fldChar w:fldCharType="end"/>
            </w:r>
          </w:hyperlink>
        </w:p>
        <w:p w14:paraId="7781792F" w14:textId="3C102133" w:rsidR="008B1BEE" w:rsidRPr="001A49B3" w:rsidRDefault="009D11E3" w:rsidP="00595734">
          <w:pPr>
            <w:pStyle w:val="Verzeichnis1"/>
            <w:spacing w:before="0" w:after="0" w:line="360" w:lineRule="auto"/>
            <w:ind w:firstLine="708"/>
            <w:jc w:val="both"/>
            <w:rPr>
              <w:rFonts w:ascii="Arial" w:eastAsiaTheme="minorEastAsia" w:hAnsi="Arial" w:cs="Arial"/>
              <w:b w:val="0"/>
              <w:bCs w:val="0"/>
              <w:caps w:val="0"/>
              <w:noProof/>
              <w:sz w:val="21"/>
              <w:szCs w:val="21"/>
              <w:u w:val="none"/>
            </w:rPr>
          </w:pPr>
          <w:hyperlink w:anchor="_Toc57582481" w:history="1">
            <w:r w:rsidR="008B1BEE" w:rsidRPr="001A49B3">
              <w:rPr>
                <w:rStyle w:val="Hyperlink"/>
                <w:rFonts w:ascii="Arial" w:hAnsi="Arial" w:cs="Arial"/>
                <w:b w:val="0"/>
                <w:bCs w:val="0"/>
                <w:caps w:val="0"/>
                <w:noProof/>
                <w:sz w:val="21"/>
                <w:szCs w:val="21"/>
                <w:u w:val="none"/>
              </w:rPr>
              <w:t>1.2 Role of DDR in PV disease initiation and progression</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_Toc57582481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8</w:t>
            </w:r>
            <w:r w:rsidR="008B1BEE" w:rsidRPr="001A49B3">
              <w:rPr>
                <w:rFonts w:ascii="Arial" w:hAnsi="Arial" w:cs="Arial"/>
                <w:b w:val="0"/>
                <w:bCs w:val="0"/>
                <w:caps w:val="0"/>
                <w:noProof/>
                <w:webHidden/>
                <w:sz w:val="21"/>
                <w:szCs w:val="21"/>
                <w:u w:val="none"/>
              </w:rPr>
              <w:fldChar w:fldCharType="end"/>
            </w:r>
          </w:hyperlink>
        </w:p>
        <w:p w14:paraId="3D1309F1" w14:textId="2D2AAC9B" w:rsidR="008B1BEE" w:rsidRPr="001A49B3" w:rsidRDefault="009D11E3" w:rsidP="00595734">
          <w:pPr>
            <w:pStyle w:val="Verzeichnis1"/>
            <w:spacing w:before="0" w:after="0" w:line="360" w:lineRule="auto"/>
            <w:ind w:left="2124"/>
            <w:jc w:val="both"/>
            <w:rPr>
              <w:rFonts w:ascii="Arial" w:eastAsiaTheme="minorEastAsia" w:hAnsi="Arial" w:cs="Arial"/>
              <w:b w:val="0"/>
              <w:bCs w:val="0"/>
              <w:caps w:val="0"/>
              <w:noProof/>
              <w:sz w:val="21"/>
              <w:szCs w:val="21"/>
              <w:u w:val="none"/>
            </w:rPr>
          </w:pPr>
          <w:hyperlink w:anchor="_Toc57582482" w:history="1">
            <w:r w:rsidR="008B1BEE" w:rsidRPr="001A49B3">
              <w:rPr>
                <w:rStyle w:val="Hyperlink"/>
                <w:rFonts w:ascii="Arial" w:hAnsi="Arial" w:cs="Arial"/>
                <w:b w:val="0"/>
                <w:bCs w:val="0"/>
                <w:caps w:val="0"/>
                <w:noProof/>
                <w:sz w:val="21"/>
                <w:szCs w:val="21"/>
                <w:u w:val="none"/>
              </w:rPr>
              <w:t xml:space="preserve">1.2.1 </w:t>
            </w:r>
            <w:r w:rsidR="008B1BEE" w:rsidRPr="001A49B3">
              <w:rPr>
                <w:rStyle w:val="Hyperlink"/>
                <w:rFonts w:ascii="Arial" w:hAnsi="Arial" w:cs="Arial"/>
                <w:b w:val="0"/>
                <w:bCs w:val="0"/>
                <w:i/>
                <w:iCs/>
                <w:caps w:val="0"/>
                <w:noProof/>
                <w:sz w:val="21"/>
                <w:szCs w:val="21"/>
                <w:u w:val="none"/>
              </w:rPr>
              <w:t xml:space="preserve">JAK2 </w:t>
            </w:r>
            <w:r w:rsidR="008B1BEE" w:rsidRPr="001A49B3">
              <w:rPr>
                <w:rStyle w:val="Hyperlink"/>
                <w:rFonts w:ascii="Arial" w:hAnsi="Arial" w:cs="Arial"/>
                <w:b w:val="0"/>
                <w:bCs w:val="0"/>
                <w:caps w:val="0"/>
                <w:noProof/>
                <w:sz w:val="21"/>
                <w:szCs w:val="21"/>
                <w:u w:val="none"/>
              </w:rPr>
              <w:t>V617F and DNA damage</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_Toc57582482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8</w:t>
            </w:r>
            <w:r w:rsidR="008B1BEE" w:rsidRPr="001A49B3">
              <w:rPr>
                <w:rFonts w:ascii="Arial" w:hAnsi="Arial" w:cs="Arial"/>
                <w:b w:val="0"/>
                <w:bCs w:val="0"/>
                <w:caps w:val="0"/>
                <w:noProof/>
                <w:webHidden/>
                <w:sz w:val="21"/>
                <w:szCs w:val="21"/>
                <w:u w:val="none"/>
              </w:rPr>
              <w:fldChar w:fldCharType="end"/>
            </w:r>
          </w:hyperlink>
        </w:p>
        <w:p w14:paraId="1E7144C9" w14:textId="1AC5D475" w:rsidR="008B1BEE" w:rsidRPr="001A49B3" w:rsidRDefault="009D11E3" w:rsidP="00595734">
          <w:pPr>
            <w:pStyle w:val="Verzeichnis1"/>
            <w:spacing w:before="0" w:after="0" w:line="360" w:lineRule="auto"/>
            <w:ind w:left="2124"/>
            <w:jc w:val="both"/>
            <w:rPr>
              <w:rFonts w:ascii="Arial" w:eastAsiaTheme="minorEastAsia" w:hAnsi="Arial" w:cs="Arial"/>
              <w:b w:val="0"/>
              <w:bCs w:val="0"/>
              <w:caps w:val="0"/>
              <w:noProof/>
              <w:sz w:val="21"/>
              <w:szCs w:val="21"/>
              <w:u w:val="none"/>
            </w:rPr>
          </w:pPr>
          <w:hyperlink w:anchor="_Toc57582483" w:history="1">
            <w:r w:rsidR="008B1BEE" w:rsidRPr="001A49B3">
              <w:rPr>
                <w:rStyle w:val="Hyperlink"/>
                <w:rFonts w:ascii="Arial" w:hAnsi="Arial" w:cs="Arial"/>
                <w:b w:val="0"/>
                <w:bCs w:val="0"/>
                <w:caps w:val="0"/>
                <w:noProof/>
                <w:sz w:val="21"/>
                <w:szCs w:val="21"/>
                <w:u w:val="none"/>
              </w:rPr>
              <w:t>1.2.2 Inflammation signaling and oxidative stress in PV</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_Toc57582483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9</w:t>
            </w:r>
            <w:r w:rsidR="008B1BEE" w:rsidRPr="001A49B3">
              <w:rPr>
                <w:rFonts w:ascii="Arial" w:hAnsi="Arial" w:cs="Arial"/>
                <w:b w:val="0"/>
                <w:bCs w:val="0"/>
                <w:caps w:val="0"/>
                <w:noProof/>
                <w:webHidden/>
                <w:sz w:val="21"/>
                <w:szCs w:val="21"/>
                <w:u w:val="none"/>
              </w:rPr>
              <w:fldChar w:fldCharType="end"/>
            </w:r>
          </w:hyperlink>
        </w:p>
        <w:p w14:paraId="7A688B83" w14:textId="32F7D8A3" w:rsidR="008B1BEE" w:rsidRPr="001A49B3" w:rsidRDefault="009D11E3" w:rsidP="00595734">
          <w:pPr>
            <w:pStyle w:val="Verzeichnis1"/>
            <w:spacing w:before="0" w:after="0" w:line="360" w:lineRule="auto"/>
            <w:ind w:left="2124"/>
            <w:jc w:val="both"/>
            <w:rPr>
              <w:rFonts w:ascii="Arial" w:eastAsiaTheme="minorEastAsia" w:hAnsi="Arial" w:cs="Arial"/>
              <w:b w:val="0"/>
              <w:bCs w:val="0"/>
              <w:caps w:val="0"/>
              <w:noProof/>
              <w:sz w:val="21"/>
              <w:szCs w:val="21"/>
              <w:u w:val="none"/>
            </w:rPr>
          </w:pPr>
          <w:hyperlink w:anchor="_Toc57582484" w:history="1">
            <w:r w:rsidR="008B1BEE" w:rsidRPr="001A49B3">
              <w:rPr>
                <w:rStyle w:val="Hyperlink"/>
                <w:rFonts w:ascii="Arial" w:hAnsi="Arial" w:cs="Arial"/>
                <w:b w:val="0"/>
                <w:bCs w:val="0"/>
                <w:caps w:val="0"/>
                <w:noProof/>
                <w:sz w:val="21"/>
                <w:szCs w:val="21"/>
                <w:u w:val="none"/>
              </w:rPr>
              <w:t>1.2.3 Stress-associated protein kinases and DDR in PV</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_Toc57582484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11</w:t>
            </w:r>
            <w:r w:rsidR="008B1BEE" w:rsidRPr="001A49B3">
              <w:rPr>
                <w:rFonts w:ascii="Arial" w:hAnsi="Arial" w:cs="Arial"/>
                <w:b w:val="0"/>
                <w:bCs w:val="0"/>
                <w:caps w:val="0"/>
                <w:noProof/>
                <w:webHidden/>
                <w:sz w:val="21"/>
                <w:szCs w:val="21"/>
                <w:u w:val="none"/>
              </w:rPr>
              <w:fldChar w:fldCharType="end"/>
            </w:r>
          </w:hyperlink>
        </w:p>
        <w:p w14:paraId="17BD1F26" w14:textId="2770AB0B" w:rsidR="008B1BEE" w:rsidRPr="001A49B3" w:rsidRDefault="009D11E3" w:rsidP="008B1BEE">
          <w:pPr>
            <w:pStyle w:val="Verzeichnis1"/>
            <w:spacing w:before="0" w:after="0" w:line="360" w:lineRule="auto"/>
            <w:jc w:val="both"/>
            <w:rPr>
              <w:rFonts w:ascii="Arial" w:eastAsiaTheme="minorEastAsia" w:hAnsi="Arial" w:cs="Arial"/>
              <w:b w:val="0"/>
              <w:bCs w:val="0"/>
              <w:caps w:val="0"/>
              <w:noProof/>
              <w:sz w:val="21"/>
              <w:szCs w:val="21"/>
              <w:u w:val="none"/>
            </w:rPr>
          </w:pPr>
          <w:hyperlink w:anchor="_Toc57582485" w:history="1">
            <w:r w:rsidR="008B1BEE" w:rsidRPr="001A49B3">
              <w:rPr>
                <w:rStyle w:val="Hyperlink"/>
                <w:rFonts w:ascii="Arial" w:hAnsi="Arial" w:cs="Arial"/>
                <w:b w:val="0"/>
                <w:bCs w:val="0"/>
                <w:caps w:val="0"/>
                <w:noProof/>
                <w:sz w:val="21"/>
                <w:szCs w:val="21"/>
                <w:u w:val="none"/>
                <w:lang w:val="en-US"/>
              </w:rPr>
              <w:t>2. Aims of the thesis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_Toc57582485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13</w:t>
            </w:r>
            <w:r w:rsidR="008B1BEE" w:rsidRPr="001A49B3">
              <w:rPr>
                <w:rFonts w:ascii="Arial" w:hAnsi="Arial" w:cs="Arial"/>
                <w:b w:val="0"/>
                <w:bCs w:val="0"/>
                <w:caps w:val="0"/>
                <w:noProof/>
                <w:webHidden/>
                <w:sz w:val="21"/>
                <w:szCs w:val="21"/>
                <w:u w:val="none"/>
              </w:rPr>
              <w:fldChar w:fldCharType="end"/>
            </w:r>
          </w:hyperlink>
        </w:p>
        <w:p w14:paraId="4D60A056" w14:textId="4F767B22" w:rsidR="008B1BEE" w:rsidRPr="001A49B3" w:rsidRDefault="009D11E3" w:rsidP="008B1BEE">
          <w:pPr>
            <w:pStyle w:val="Verzeichnis1"/>
            <w:spacing w:before="0" w:after="0" w:line="360" w:lineRule="auto"/>
            <w:jc w:val="both"/>
            <w:rPr>
              <w:rFonts w:ascii="Arial" w:eastAsiaTheme="minorEastAsia" w:hAnsi="Arial" w:cs="Arial"/>
              <w:b w:val="0"/>
              <w:bCs w:val="0"/>
              <w:caps w:val="0"/>
              <w:noProof/>
              <w:sz w:val="21"/>
              <w:szCs w:val="21"/>
              <w:u w:val="none"/>
            </w:rPr>
          </w:pPr>
          <w:hyperlink w:anchor="_Toc57582486" w:history="1">
            <w:r w:rsidR="008B1BEE" w:rsidRPr="001A49B3">
              <w:rPr>
                <w:rStyle w:val="Hyperlink"/>
                <w:rFonts w:ascii="Arial" w:hAnsi="Arial" w:cs="Arial"/>
                <w:b w:val="0"/>
                <w:bCs w:val="0"/>
                <w:caps w:val="0"/>
                <w:noProof/>
                <w:sz w:val="21"/>
                <w:szCs w:val="21"/>
                <w:u w:val="none"/>
                <w:lang w:val="en-US"/>
              </w:rPr>
              <w:t>3. Results and discussion</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_Toc57582486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14</w:t>
            </w:r>
            <w:r w:rsidR="008B1BEE" w:rsidRPr="001A49B3">
              <w:rPr>
                <w:rFonts w:ascii="Arial" w:hAnsi="Arial" w:cs="Arial"/>
                <w:b w:val="0"/>
                <w:bCs w:val="0"/>
                <w:caps w:val="0"/>
                <w:noProof/>
                <w:webHidden/>
                <w:sz w:val="21"/>
                <w:szCs w:val="21"/>
                <w:u w:val="none"/>
              </w:rPr>
              <w:fldChar w:fldCharType="end"/>
            </w:r>
          </w:hyperlink>
        </w:p>
        <w:p w14:paraId="0EF3F18A" w14:textId="3AA89A00" w:rsidR="008B1BEE" w:rsidRPr="001A49B3" w:rsidRDefault="009D11E3"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487" w:history="1">
            <w:r w:rsidR="008B1BEE" w:rsidRPr="001A49B3">
              <w:rPr>
                <w:rStyle w:val="Hyperlink"/>
                <w:rFonts w:ascii="Arial" w:hAnsi="Arial" w:cs="Arial"/>
                <w:b w:val="0"/>
                <w:bCs w:val="0"/>
                <w:caps w:val="0"/>
                <w:noProof/>
                <w:sz w:val="21"/>
                <w:szCs w:val="21"/>
                <w:u w:val="none"/>
              </w:rPr>
              <w:t>Aim 1 Critically review the literature concerning contribution of oncogene-induced DNA-damage response and inflammatory signaling cooperation in suppressing and promoting malignant transformation of chronic myeloid leukemia and polycythemia vera.</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_Toc57582487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14</w:t>
            </w:r>
            <w:r w:rsidR="008B1BEE" w:rsidRPr="001A49B3">
              <w:rPr>
                <w:rFonts w:ascii="Arial" w:hAnsi="Arial" w:cs="Arial"/>
                <w:b w:val="0"/>
                <w:bCs w:val="0"/>
                <w:caps w:val="0"/>
                <w:noProof/>
                <w:webHidden/>
                <w:sz w:val="21"/>
                <w:szCs w:val="21"/>
                <w:u w:val="none"/>
              </w:rPr>
              <w:fldChar w:fldCharType="end"/>
            </w:r>
          </w:hyperlink>
        </w:p>
        <w:p w14:paraId="3F85FCFF" w14:textId="46545AF0" w:rsidR="008B1BEE" w:rsidRPr="001A49B3" w:rsidRDefault="009D11E3" w:rsidP="008B1BEE">
          <w:pPr>
            <w:pStyle w:val="Verzeichnis1"/>
            <w:spacing w:before="0" w:after="0" w:line="360" w:lineRule="auto"/>
            <w:ind w:left="1416" w:firstLine="708"/>
            <w:jc w:val="both"/>
            <w:rPr>
              <w:rFonts w:ascii="Arial" w:eastAsiaTheme="minorEastAsia" w:hAnsi="Arial" w:cs="Arial"/>
              <w:b w:val="0"/>
              <w:bCs w:val="0"/>
              <w:caps w:val="0"/>
              <w:noProof/>
              <w:sz w:val="21"/>
              <w:szCs w:val="21"/>
              <w:u w:val="none"/>
            </w:rPr>
          </w:pPr>
          <w:hyperlink w:anchor="_Toc57582488" w:history="1">
            <w:r w:rsidR="008B1BEE" w:rsidRPr="001A49B3">
              <w:rPr>
                <w:rStyle w:val="Hyperlink"/>
                <w:rFonts w:ascii="Arial" w:hAnsi="Arial" w:cs="Arial"/>
                <w:b w:val="0"/>
                <w:bCs w:val="0"/>
                <w:caps w:val="0"/>
                <w:noProof/>
                <w:sz w:val="21"/>
                <w:szCs w:val="21"/>
                <w:u w:val="none"/>
              </w:rPr>
              <w:t>Publications related to this aim:</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_Toc57582488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14</w:t>
            </w:r>
            <w:r w:rsidR="008B1BEE" w:rsidRPr="001A49B3">
              <w:rPr>
                <w:rFonts w:ascii="Arial" w:hAnsi="Arial" w:cs="Arial"/>
                <w:b w:val="0"/>
                <w:bCs w:val="0"/>
                <w:caps w:val="0"/>
                <w:noProof/>
                <w:webHidden/>
                <w:sz w:val="21"/>
                <w:szCs w:val="21"/>
                <w:u w:val="none"/>
              </w:rPr>
              <w:fldChar w:fldCharType="end"/>
            </w:r>
          </w:hyperlink>
        </w:p>
        <w:p w14:paraId="12478F84" w14:textId="6256945D" w:rsidR="008B1BEE" w:rsidRPr="001A49B3" w:rsidRDefault="009D11E3"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489" w:history="1">
            <w:r w:rsidR="008B1BEE" w:rsidRPr="001A49B3">
              <w:rPr>
                <w:rStyle w:val="Hyperlink"/>
                <w:rFonts w:ascii="Arial" w:hAnsi="Arial" w:cs="Arial"/>
                <w:b w:val="0"/>
                <w:bCs w:val="0"/>
                <w:caps w:val="0"/>
                <w:noProof/>
                <w:sz w:val="21"/>
                <w:szCs w:val="21"/>
                <w:u w:val="none"/>
              </w:rPr>
              <w:t>Aim 2 Describe JAK2 V617F-driven cell autonomous and non-cell autonomous inflammatory signature of hematopoietic progenitors in PV.</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_Toc57582489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15</w:t>
            </w:r>
            <w:r w:rsidR="008B1BEE" w:rsidRPr="001A49B3">
              <w:rPr>
                <w:rFonts w:ascii="Arial" w:hAnsi="Arial" w:cs="Arial"/>
                <w:b w:val="0"/>
                <w:bCs w:val="0"/>
                <w:caps w:val="0"/>
                <w:noProof/>
                <w:webHidden/>
                <w:sz w:val="21"/>
                <w:szCs w:val="21"/>
                <w:u w:val="none"/>
              </w:rPr>
              <w:fldChar w:fldCharType="end"/>
            </w:r>
          </w:hyperlink>
        </w:p>
        <w:p w14:paraId="5E597C5D" w14:textId="7EFED63C" w:rsidR="008B1BEE" w:rsidRPr="001A49B3" w:rsidRDefault="009D11E3"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490" w:history="1">
            <w:r w:rsidR="008B1BEE" w:rsidRPr="001A49B3">
              <w:rPr>
                <w:rStyle w:val="Hyperlink"/>
                <w:rFonts w:ascii="Arial" w:hAnsi="Arial" w:cs="Arial"/>
                <w:b w:val="0"/>
                <w:bCs w:val="0"/>
                <w:i/>
                <w:iCs/>
                <w:caps w:val="0"/>
                <w:noProof/>
                <w:sz w:val="21"/>
                <w:szCs w:val="21"/>
                <w:u w:val="none"/>
              </w:rPr>
              <w:t xml:space="preserve">JAK2 </w:t>
            </w:r>
            <w:r w:rsidR="008B1BEE" w:rsidRPr="001A49B3">
              <w:rPr>
                <w:rStyle w:val="Hyperlink"/>
                <w:rFonts w:ascii="Arial" w:hAnsi="Arial" w:cs="Arial"/>
                <w:b w:val="0"/>
                <w:bCs w:val="0"/>
                <w:caps w:val="0"/>
                <w:noProof/>
                <w:sz w:val="21"/>
                <w:szCs w:val="21"/>
                <w:u w:val="none"/>
              </w:rPr>
              <w:t>V617F</w:t>
            </w:r>
            <w:r w:rsidR="008B1BEE" w:rsidRPr="001A49B3">
              <w:rPr>
                <w:rStyle w:val="Hyperlink"/>
                <w:rFonts w:ascii="Arial" w:hAnsi="Arial" w:cs="Arial"/>
                <w:b w:val="0"/>
                <w:bCs w:val="0"/>
                <w:caps w:val="0"/>
                <w:noProof/>
                <w:sz w:val="21"/>
                <w:szCs w:val="21"/>
                <w:u w:val="none"/>
                <w:vertAlign w:val="superscript"/>
              </w:rPr>
              <w:t>+</w:t>
            </w:r>
            <w:r w:rsidR="008B1BEE" w:rsidRPr="001A49B3">
              <w:rPr>
                <w:rStyle w:val="Hyperlink"/>
                <w:rFonts w:ascii="Arial" w:hAnsi="Arial" w:cs="Arial"/>
                <w:b w:val="0"/>
                <w:bCs w:val="0"/>
                <w:caps w:val="0"/>
                <w:noProof/>
                <w:sz w:val="21"/>
                <w:szCs w:val="21"/>
                <w:u w:val="none"/>
              </w:rPr>
              <w:t xml:space="preserve"> hematopoietic progenitors activate intrinsic IFNγ transcription program and its IFNγ-dependent STAT1 signaling</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_Toc57582490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15</w:t>
            </w:r>
            <w:r w:rsidR="008B1BEE" w:rsidRPr="001A49B3">
              <w:rPr>
                <w:rFonts w:ascii="Arial" w:hAnsi="Arial" w:cs="Arial"/>
                <w:b w:val="0"/>
                <w:bCs w:val="0"/>
                <w:caps w:val="0"/>
                <w:noProof/>
                <w:webHidden/>
                <w:sz w:val="21"/>
                <w:szCs w:val="21"/>
                <w:u w:val="none"/>
              </w:rPr>
              <w:fldChar w:fldCharType="end"/>
            </w:r>
          </w:hyperlink>
        </w:p>
        <w:p w14:paraId="2A04EB94" w14:textId="3BA3C8CC" w:rsidR="008B1BEE" w:rsidRPr="001A49B3" w:rsidRDefault="00CF03F3"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491" w:history="1">
            <w:r w:rsidR="008B1BEE" w:rsidRPr="001A49B3">
              <w:rPr>
                <w:rStyle w:val="Hyperlink"/>
                <w:rFonts w:ascii="Arial" w:hAnsi="Arial" w:cs="Arial"/>
                <w:b w:val="0"/>
                <w:bCs w:val="0"/>
                <w:caps w:val="0"/>
                <w:noProof/>
                <w:sz w:val="21"/>
                <w:szCs w:val="21"/>
                <w:u w:val="none"/>
              </w:rPr>
              <w:t>Description of robust inflammatory signature in PV patient</w:t>
            </w:r>
            <w:r w:rsidR="00AA2FF8">
              <w:rPr>
                <w:rStyle w:val="Hyperlink"/>
                <w:rFonts w:ascii="Arial" w:hAnsi="Arial" w:cs="Arial"/>
                <w:b w:val="0"/>
                <w:bCs w:val="0"/>
                <w:caps w:val="0"/>
                <w:noProof/>
                <w:sz w:val="21"/>
                <w:szCs w:val="21"/>
                <w:u w:val="none"/>
              </w:rPr>
              <w:t>'s</w:t>
            </w:r>
            <w:r w:rsidR="008B1BEE" w:rsidRPr="001A49B3">
              <w:rPr>
                <w:rStyle w:val="Hyperlink"/>
                <w:rFonts w:ascii="Arial" w:hAnsi="Arial" w:cs="Arial"/>
                <w:b w:val="0"/>
                <w:bCs w:val="0"/>
                <w:caps w:val="0"/>
                <w:noProof/>
                <w:sz w:val="21"/>
                <w:szCs w:val="21"/>
                <w:u w:val="none"/>
              </w:rPr>
              <w:t xml:space="preserve"> BM sections from different PV disease stages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_Toc57582491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22</w:t>
            </w:r>
            <w:r w:rsidR="008B1BEE" w:rsidRPr="001A49B3">
              <w:rPr>
                <w:rFonts w:ascii="Arial" w:hAnsi="Arial" w:cs="Arial"/>
                <w:b w:val="0"/>
                <w:bCs w:val="0"/>
                <w:caps w:val="0"/>
                <w:noProof/>
                <w:webHidden/>
                <w:sz w:val="21"/>
                <w:szCs w:val="21"/>
                <w:u w:val="none"/>
              </w:rPr>
              <w:fldChar w:fldCharType="end"/>
            </w:r>
          </w:hyperlink>
        </w:p>
        <w:p w14:paraId="19CE66E8" w14:textId="60C31256" w:rsidR="008B1BEE" w:rsidRPr="001A49B3" w:rsidRDefault="00784D02" w:rsidP="008B1BEE">
          <w:pPr>
            <w:pStyle w:val="Verzeichnis1"/>
            <w:spacing w:before="0" w:after="0" w:line="360" w:lineRule="auto"/>
            <w:ind w:left="1416" w:firstLine="708"/>
            <w:jc w:val="both"/>
            <w:rPr>
              <w:rFonts w:ascii="Arial" w:eastAsiaTheme="minorEastAsia" w:hAnsi="Arial" w:cs="Arial"/>
              <w:b w:val="0"/>
              <w:bCs w:val="0"/>
              <w:caps w:val="0"/>
              <w:noProof/>
              <w:sz w:val="21"/>
              <w:szCs w:val="21"/>
              <w:u w:val="none"/>
            </w:rPr>
          </w:pPr>
          <w:hyperlink w:anchor="_Toc57582492" w:history="1">
            <w:r w:rsidR="008B1BEE" w:rsidRPr="001A49B3">
              <w:rPr>
                <w:rStyle w:val="Hyperlink"/>
                <w:rFonts w:ascii="Arial" w:hAnsi="Arial" w:cs="Arial"/>
                <w:b w:val="0"/>
                <w:bCs w:val="0"/>
                <w:caps w:val="0"/>
                <w:noProof/>
                <w:sz w:val="21"/>
                <w:szCs w:val="21"/>
                <w:u w:val="none"/>
              </w:rPr>
              <w:t>Publications related to this aim:</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_Toc57582492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25</w:t>
            </w:r>
            <w:r w:rsidR="008B1BEE" w:rsidRPr="001A49B3">
              <w:rPr>
                <w:rFonts w:ascii="Arial" w:hAnsi="Arial" w:cs="Arial"/>
                <w:b w:val="0"/>
                <w:bCs w:val="0"/>
                <w:caps w:val="0"/>
                <w:noProof/>
                <w:webHidden/>
                <w:sz w:val="21"/>
                <w:szCs w:val="21"/>
                <w:u w:val="none"/>
              </w:rPr>
              <w:fldChar w:fldCharType="end"/>
            </w:r>
          </w:hyperlink>
        </w:p>
        <w:p w14:paraId="1E4E9977" w14:textId="355A2F38" w:rsidR="008B1BEE" w:rsidRPr="001A49B3" w:rsidRDefault="00CF03F3"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493" w:history="1">
            <w:r w:rsidR="008B1BEE" w:rsidRPr="001A49B3">
              <w:rPr>
                <w:rStyle w:val="Hyperlink"/>
                <w:rFonts w:ascii="Arial" w:hAnsi="Arial" w:cs="Arial"/>
                <w:b w:val="0"/>
                <w:bCs w:val="0"/>
                <w:caps w:val="0"/>
                <w:noProof/>
                <w:sz w:val="21"/>
                <w:szCs w:val="21"/>
                <w:u w:val="none"/>
              </w:rPr>
              <w:t xml:space="preserve">Aim 3 Characterize inflammation-induced oxidative stress and how it fosters </w:t>
            </w:r>
            <w:r w:rsidR="00AA2FF8">
              <w:rPr>
                <w:rStyle w:val="Hyperlink"/>
                <w:rFonts w:ascii="Arial" w:hAnsi="Arial" w:cs="Arial"/>
                <w:b w:val="0"/>
                <w:bCs w:val="0"/>
                <w:caps w:val="0"/>
                <w:noProof/>
                <w:sz w:val="21"/>
                <w:szCs w:val="21"/>
                <w:u w:val="none"/>
              </w:rPr>
              <w:t>DDR</w:t>
            </w:r>
            <w:r w:rsidR="008B1BEE" w:rsidRPr="001A49B3">
              <w:rPr>
                <w:rStyle w:val="Hyperlink"/>
                <w:rFonts w:ascii="Arial" w:hAnsi="Arial" w:cs="Arial"/>
                <w:b w:val="0"/>
                <w:bCs w:val="0"/>
                <w:caps w:val="0"/>
                <w:noProof/>
                <w:sz w:val="21"/>
                <w:szCs w:val="21"/>
                <w:u w:val="none"/>
              </w:rPr>
              <w:t xml:space="preserve"> activation in progression of PV.</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_Toc57582493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27</w:t>
            </w:r>
            <w:r w:rsidR="008B1BEE" w:rsidRPr="001A49B3">
              <w:rPr>
                <w:rFonts w:ascii="Arial" w:hAnsi="Arial" w:cs="Arial"/>
                <w:b w:val="0"/>
                <w:bCs w:val="0"/>
                <w:caps w:val="0"/>
                <w:noProof/>
                <w:webHidden/>
                <w:sz w:val="21"/>
                <w:szCs w:val="21"/>
                <w:u w:val="none"/>
              </w:rPr>
              <w:fldChar w:fldCharType="end"/>
            </w:r>
          </w:hyperlink>
        </w:p>
        <w:p w14:paraId="48623323" w14:textId="1FF4C71B" w:rsidR="008B1BEE" w:rsidRPr="001A49B3" w:rsidRDefault="00784D02" w:rsidP="008B1BEE">
          <w:pPr>
            <w:pStyle w:val="Verzeichnis1"/>
            <w:spacing w:before="0" w:after="0" w:line="360" w:lineRule="auto"/>
            <w:ind w:left="2124"/>
            <w:jc w:val="both"/>
            <w:rPr>
              <w:rFonts w:ascii="Arial" w:eastAsiaTheme="minorEastAsia" w:hAnsi="Arial" w:cs="Arial"/>
              <w:b w:val="0"/>
              <w:bCs w:val="0"/>
              <w:caps w:val="0"/>
              <w:noProof/>
              <w:sz w:val="21"/>
              <w:szCs w:val="21"/>
              <w:u w:val="none"/>
            </w:rPr>
          </w:pPr>
          <w:hyperlink w:anchor="_Toc57582494" w:history="1">
            <w:r w:rsidR="008B1BEE" w:rsidRPr="001A49B3">
              <w:rPr>
                <w:rStyle w:val="Hyperlink"/>
                <w:rFonts w:ascii="Arial" w:hAnsi="Arial" w:cs="Arial"/>
                <w:b w:val="0"/>
                <w:bCs w:val="0"/>
                <w:caps w:val="0"/>
                <w:noProof/>
                <w:sz w:val="21"/>
                <w:szCs w:val="21"/>
                <w:u w:val="none"/>
              </w:rPr>
              <w:t xml:space="preserve">The </w:t>
            </w:r>
            <w:r w:rsidR="008B1BEE" w:rsidRPr="001A49B3">
              <w:rPr>
                <w:rStyle w:val="Hyperlink"/>
                <w:rFonts w:ascii="Arial" w:hAnsi="Arial" w:cs="Arial"/>
                <w:b w:val="0"/>
                <w:bCs w:val="0"/>
                <w:i/>
                <w:iCs/>
                <w:caps w:val="0"/>
                <w:noProof/>
                <w:sz w:val="21"/>
                <w:szCs w:val="21"/>
                <w:u w:val="none"/>
              </w:rPr>
              <w:t>JAK2</w:t>
            </w:r>
            <w:r w:rsidR="008B1BEE" w:rsidRPr="001A49B3">
              <w:rPr>
                <w:rStyle w:val="Hyperlink"/>
                <w:rFonts w:ascii="Arial" w:hAnsi="Arial" w:cs="Arial"/>
                <w:b w:val="0"/>
                <w:bCs w:val="0"/>
                <w:caps w:val="0"/>
                <w:noProof/>
                <w:sz w:val="21"/>
                <w:szCs w:val="21"/>
                <w:u w:val="none"/>
              </w:rPr>
              <w:t xml:space="preserve"> V617F</w:t>
            </w:r>
            <w:r w:rsidR="008B1BEE" w:rsidRPr="001A49B3">
              <w:rPr>
                <w:rStyle w:val="Hyperlink"/>
                <w:rFonts w:ascii="Arial" w:hAnsi="Arial" w:cs="Arial"/>
                <w:b w:val="0"/>
                <w:bCs w:val="0"/>
                <w:caps w:val="0"/>
                <w:noProof/>
                <w:sz w:val="21"/>
                <w:szCs w:val="21"/>
                <w:u w:val="none"/>
                <w:vertAlign w:val="superscript"/>
              </w:rPr>
              <w:t>+</w:t>
            </w:r>
            <w:r w:rsidR="008B1BEE" w:rsidRPr="001A49B3">
              <w:rPr>
                <w:rStyle w:val="Hyperlink"/>
                <w:rFonts w:ascii="Arial" w:hAnsi="Arial" w:cs="Arial"/>
                <w:b w:val="0"/>
                <w:bCs w:val="0"/>
                <w:caps w:val="0"/>
                <w:noProof/>
                <w:sz w:val="21"/>
                <w:szCs w:val="21"/>
                <w:u w:val="none"/>
              </w:rPr>
              <w:t xml:space="preserve"> CD34</w:t>
            </w:r>
            <w:r w:rsidR="008B1BEE" w:rsidRPr="001A49B3">
              <w:rPr>
                <w:rStyle w:val="Hyperlink"/>
                <w:rFonts w:ascii="Arial" w:hAnsi="Arial" w:cs="Arial"/>
                <w:b w:val="0"/>
                <w:bCs w:val="0"/>
                <w:caps w:val="0"/>
                <w:noProof/>
                <w:sz w:val="21"/>
                <w:szCs w:val="21"/>
                <w:u w:val="none"/>
                <w:vertAlign w:val="superscript"/>
              </w:rPr>
              <w:t>+</w:t>
            </w:r>
            <w:r w:rsidR="008B1BEE" w:rsidRPr="001A49B3">
              <w:rPr>
                <w:rStyle w:val="Hyperlink"/>
                <w:rFonts w:ascii="Arial" w:hAnsi="Arial" w:cs="Arial"/>
                <w:b w:val="0"/>
                <w:bCs w:val="0"/>
                <w:caps w:val="0"/>
                <w:noProof/>
                <w:sz w:val="21"/>
                <w:szCs w:val="21"/>
                <w:u w:val="none"/>
              </w:rPr>
              <w:t xml:space="preserve"> P-ECs limit production of ROS and hyperactivate ROS buffering system</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_Toc57582494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27</w:t>
            </w:r>
            <w:r w:rsidR="008B1BEE" w:rsidRPr="001A49B3">
              <w:rPr>
                <w:rFonts w:ascii="Arial" w:hAnsi="Arial" w:cs="Arial"/>
                <w:b w:val="0"/>
                <w:bCs w:val="0"/>
                <w:caps w:val="0"/>
                <w:noProof/>
                <w:webHidden/>
                <w:sz w:val="21"/>
                <w:szCs w:val="21"/>
                <w:u w:val="none"/>
              </w:rPr>
              <w:fldChar w:fldCharType="end"/>
            </w:r>
          </w:hyperlink>
        </w:p>
        <w:p w14:paraId="7A50956F" w14:textId="35C76B7E" w:rsidR="008B1BEE" w:rsidRPr="001A49B3" w:rsidRDefault="00784D02" w:rsidP="008B1BEE">
          <w:pPr>
            <w:pStyle w:val="Verzeichnis1"/>
            <w:spacing w:before="0" w:after="0" w:line="360" w:lineRule="auto"/>
            <w:ind w:left="2124"/>
            <w:jc w:val="both"/>
            <w:rPr>
              <w:rFonts w:ascii="Arial" w:eastAsiaTheme="minorEastAsia" w:hAnsi="Arial" w:cs="Arial"/>
              <w:b w:val="0"/>
              <w:bCs w:val="0"/>
              <w:caps w:val="0"/>
              <w:noProof/>
              <w:sz w:val="21"/>
              <w:szCs w:val="21"/>
              <w:u w:val="none"/>
            </w:rPr>
          </w:pPr>
          <w:hyperlink w:anchor="_Toc57582495" w:history="1">
            <w:r w:rsidR="008B1BEE" w:rsidRPr="001A49B3">
              <w:rPr>
                <w:rStyle w:val="Hyperlink"/>
                <w:rFonts w:ascii="Arial" w:hAnsi="Arial" w:cs="Arial"/>
                <w:b w:val="0"/>
                <w:bCs w:val="0"/>
                <w:caps w:val="0"/>
                <w:noProof/>
                <w:sz w:val="21"/>
                <w:szCs w:val="21"/>
                <w:u w:val="none"/>
              </w:rPr>
              <w:t>PV cells are protected against accumulation of inflammation-evoked DNA damage</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_Toc57582495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31</w:t>
            </w:r>
            <w:r w:rsidR="008B1BEE" w:rsidRPr="001A49B3">
              <w:rPr>
                <w:rFonts w:ascii="Arial" w:hAnsi="Arial" w:cs="Arial"/>
                <w:b w:val="0"/>
                <w:bCs w:val="0"/>
                <w:caps w:val="0"/>
                <w:noProof/>
                <w:webHidden/>
                <w:sz w:val="21"/>
                <w:szCs w:val="21"/>
                <w:u w:val="none"/>
              </w:rPr>
              <w:fldChar w:fldCharType="end"/>
            </w:r>
          </w:hyperlink>
        </w:p>
        <w:p w14:paraId="0081CDB9" w14:textId="70F44DC0" w:rsidR="008B1BEE" w:rsidRPr="001A49B3" w:rsidRDefault="00784D02" w:rsidP="008B1BEE">
          <w:pPr>
            <w:pStyle w:val="Verzeichnis1"/>
            <w:spacing w:before="0" w:after="0" w:line="360" w:lineRule="auto"/>
            <w:ind w:left="2124"/>
            <w:jc w:val="both"/>
            <w:rPr>
              <w:rFonts w:ascii="Arial" w:eastAsiaTheme="minorEastAsia" w:hAnsi="Arial" w:cs="Arial"/>
              <w:b w:val="0"/>
              <w:bCs w:val="0"/>
              <w:caps w:val="0"/>
              <w:noProof/>
              <w:sz w:val="21"/>
              <w:szCs w:val="21"/>
              <w:u w:val="none"/>
            </w:rPr>
          </w:pPr>
          <w:hyperlink w:anchor="_Toc57582496" w:history="1">
            <w:r w:rsidR="008B1BEE" w:rsidRPr="001A49B3">
              <w:rPr>
                <w:rStyle w:val="Hyperlink"/>
                <w:rFonts w:ascii="Arial" w:hAnsi="Arial" w:cs="Arial"/>
                <w:b w:val="0"/>
                <w:bCs w:val="0"/>
                <w:caps w:val="0"/>
                <w:noProof/>
                <w:sz w:val="21"/>
                <w:szCs w:val="21"/>
                <w:u w:val="none"/>
              </w:rPr>
              <w:t xml:space="preserve">Overexpression of DUSP1 facilitates survival and proliferation of </w:t>
            </w:r>
            <w:r w:rsidR="008B1BEE" w:rsidRPr="001A49B3">
              <w:rPr>
                <w:rStyle w:val="Hyperlink"/>
                <w:rFonts w:ascii="Arial" w:hAnsi="Arial" w:cs="Arial"/>
                <w:b w:val="0"/>
                <w:bCs w:val="0"/>
                <w:i/>
                <w:iCs/>
                <w:caps w:val="0"/>
                <w:noProof/>
                <w:sz w:val="21"/>
                <w:szCs w:val="21"/>
                <w:u w:val="none"/>
              </w:rPr>
              <w:t xml:space="preserve">JAK2 </w:t>
            </w:r>
            <w:r w:rsidR="008B1BEE" w:rsidRPr="001A49B3">
              <w:rPr>
                <w:rStyle w:val="Hyperlink"/>
                <w:rFonts w:ascii="Arial" w:hAnsi="Arial" w:cs="Arial"/>
                <w:b w:val="0"/>
                <w:bCs w:val="0"/>
                <w:caps w:val="0"/>
                <w:noProof/>
                <w:sz w:val="21"/>
                <w:szCs w:val="21"/>
                <w:u w:val="none"/>
              </w:rPr>
              <w:t>V617F</w:t>
            </w:r>
            <w:r w:rsidR="008B1BEE" w:rsidRPr="001A49B3">
              <w:rPr>
                <w:rStyle w:val="Hyperlink"/>
                <w:rFonts w:ascii="Arial" w:hAnsi="Arial" w:cs="Arial"/>
                <w:b w:val="0"/>
                <w:bCs w:val="0"/>
                <w:caps w:val="0"/>
                <w:noProof/>
                <w:sz w:val="21"/>
                <w:szCs w:val="21"/>
                <w:u w:val="none"/>
                <w:vertAlign w:val="superscript"/>
              </w:rPr>
              <w:t xml:space="preserve">+ </w:t>
            </w:r>
            <w:r w:rsidR="008B1BEE" w:rsidRPr="001A49B3">
              <w:rPr>
                <w:rStyle w:val="Hyperlink"/>
                <w:rFonts w:ascii="Arial" w:hAnsi="Arial" w:cs="Arial"/>
                <w:b w:val="0"/>
                <w:bCs w:val="0"/>
                <w:caps w:val="0"/>
                <w:noProof/>
                <w:sz w:val="21"/>
                <w:szCs w:val="21"/>
                <w:u w:val="none"/>
              </w:rPr>
              <w:t>cells in inflammatory conditions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_Toc57582496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39</w:t>
            </w:r>
            <w:r w:rsidR="008B1BEE" w:rsidRPr="001A49B3">
              <w:rPr>
                <w:rFonts w:ascii="Arial" w:hAnsi="Arial" w:cs="Arial"/>
                <w:b w:val="0"/>
                <w:bCs w:val="0"/>
                <w:caps w:val="0"/>
                <w:noProof/>
                <w:webHidden/>
                <w:sz w:val="21"/>
                <w:szCs w:val="21"/>
                <w:u w:val="none"/>
              </w:rPr>
              <w:fldChar w:fldCharType="end"/>
            </w:r>
          </w:hyperlink>
        </w:p>
        <w:p w14:paraId="0EBDD234" w14:textId="2CD801DE" w:rsidR="008B1BEE" w:rsidRPr="001A49B3" w:rsidRDefault="00784D02" w:rsidP="008B1BEE">
          <w:pPr>
            <w:pStyle w:val="Verzeichnis1"/>
            <w:spacing w:before="0" w:after="0" w:line="360" w:lineRule="auto"/>
            <w:ind w:left="2124"/>
            <w:jc w:val="both"/>
            <w:rPr>
              <w:rFonts w:ascii="Arial" w:eastAsiaTheme="minorEastAsia" w:hAnsi="Arial" w:cs="Arial"/>
              <w:b w:val="0"/>
              <w:bCs w:val="0"/>
              <w:caps w:val="0"/>
              <w:noProof/>
              <w:sz w:val="21"/>
              <w:szCs w:val="21"/>
              <w:u w:val="none"/>
            </w:rPr>
          </w:pPr>
          <w:hyperlink w:anchor="_Toc57582497" w:history="1">
            <w:r w:rsidR="008B1BEE" w:rsidRPr="001A49B3">
              <w:rPr>
                <w:rStyle w:val="Hyperlink"/>
                <w:rFonts w:ascii="Arial" w:hAnsi="Arial" w:cs="Arial"/>
                <w:b w:val="0"/>
                <w:bCs w:val="0"/>
                <w:caps w:val="0"/>
                <w:noProof/>
                <w:sz w:val="21"/>
                <w:szCs w:val="21"/>
                <w:u w:val="none"/>
              </w:rPr>
              <w:t>Publications related to this aim:</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_Toc57582497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48</w:t>
            </w:r>
            <w:r w:rsidR="008B1BEE" w:rsidRPr="001A49B3">
              <w:rPr>
                <w:rFonts w:ascii="Arial" w:hAnsi="Arial" w:cs="Arial"/>
                <w:b w:val="0"/>
                <w:bCs w:val="0"/>
                <w:caps w:val="0"/>
                <w:noProof/>
                <w:webHidden/>
                <w:sz w:val="21"/>
                <w:szCs w:val="21"/>
                <w:u w:val="none"/>
              </w:rPr>
              <w:fldChar w:fldCharType="end"/>
            </w:r>
          </w:hyperlink>
        </w:p>
        <w:p w14:paraId="2335DDE0" w14:textId="3FEF647D" w:rsidR="008B1BEE" w:rsidRPr="001A49B3" w:rsidRDefault="00CF03F3"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498" w:history="1">
            <w:r w:rsidR="008B1BEE" w:rsidRPr="001A49B3">
              <w:rPr>
                <w:rStyle w:val="Hyperlink"/>
                <w:rFonts w:ascii="Arial" w:hAnsi="Arial" w:cs="Arial"/>
                <w:b w:val="0"/>
                <w:bCs w:val="0"/>
                <w:caps w:val="0"/>
                <w:noProof/>
                <w:sz w:val="21"/>
                <w:szCs w:val="21"/>
                <w:u w:val="none"/>
              </w:rPr>
              <w:t xml:space="preserve">Aim 4 Investigate the role of interferon signaling </w:t>
            </w:r>
            <w:r w:rsidR="00AA2FF8">
              <w:rPr>
                <w:rStyle w:val="Hyperlink"/>
                <w:rFonts w:ascii="Arial" w:hAnsi="Arial" w:cs="Arial"/>
                <w:b w:val="0"/>
                <w:bCs w:val="0"/>
                <w:caps w:val="0"/>
                <w:noProof/>
                <w:sz w:val="21"/>
                <w:szCs w:val="21"/>
                <w:u w:val="none"/>
              </w:rPr>
              <w:t>i</w:t>
            </w:r>
            <w:r w:rsidR="00AA2FF8" w:rsidRPr="001A49B3">
              <w:rPr>
                <w:rStyle w:val="Hyperlink"/>
                <w:rFonts w:ascii="Arial" w:hAnsi="Arial" w:cs="Arial"/>
                <w:b w:val="0"/>
                <w:bCs w:val="0"/>
                <w:caps w:val="0"/>
                <w:noProof/>
                <w:sz w:val="21"/>
                <w:szCs w:val="21"/>
                <w:u w:val="none"/>
              </w:rPr>
              <w:t xml:space="preserve">n </w:t>
            </w:r>
            <w:r w:rsidR="008B1BEE" w:rsidRPr="001A49B3">
              <w:rPr>
                <w:rStyle w:val="Hyperlink"/>
                <w:rFonts w:ascii="Arial" w:hAnsi="Arial" w:cs="Arial"/>
                <w:b w:val="0"/>
                <w:bCs w:val="0"/>
                <w:caps w:val="0"/>
                <w:noProof/>
                <w:sz w:val="21"/>
                <w:szCs w:val="21"/>
                <w:u w:val="none"/>
              </w:rPr>
              <w:t>hematopoietic stem cells heterogeneity in MPN mouse model.</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_Toc57582498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50</w:t>
            </w:r>
            <w:r w:rsidR="008B1BEE" w:rsidRPr="001A49B3">
              <w:rPr>
                <w:rFonts w:ascii="Arial" w:hAnsi="Arial" w:cs="Arial"/>
                <w:b w:val="0"/>
                <w:bCs w:val="0"/>
                <w:caps w:val="0"/>
                <w:noProof/>
                <w:webHidden/>
                <w:sz w:val="21"/>
                <w:szCs w:val="21"/>
                <w:u w:val="none"/>
              </w:rPr>
              <w:fldChar w:fldCharType="end"/>
            </w:r>
          </w:hyperlink>
        </w:p>
        <w:p w14:paraId="648D9634" w14:textId="314ECFBC" w:rsidR="008B1BEE" w:rsidRPr="001A49B3" w:rsidRDefault="00784D02" w:rsidP="008B1BEE">
          <w:pPr>
            <w:pStyle w:val="Verzeichnis1"/>
            <w:spacing w:before="0" w:after="0" w:line="360" w:lineRule="auto"/>
            <w:ind w:left="1416" w:firstLine="708"/>
            <w:jc w:val="both"/>
            <w:rPr>
              <w:rFonts w:ascii="Arial" w:eastAsiaTheme="minorEastAsia" w:hAnsi="Arial" w:cs="Arial"/>
              <w:b w:val="0"/>
              <w:bCs w:val="0"/>
              <w:caps w:val="0"/>
              <w:noProof/>
              <w:sz w:val="21"/>
              <w:szCs w:val="21"/>
              <w:u w:val="none"/>
            </w:rPr>
          </w:pPr>
          <w:hyperlink w:anchor="_Toc57582499" w:history="1">
            <w:r w:rsidR="008B1BEE" w:rsidRPr="001A49B3">
              <w:rPr>
                <w:rStyle w:val="Hyperlink"/>
                <w:rFonts w:ascii="Arial" w:hAnsi="Arial" w:cs="Arial"/>
                <w:b w:val="0"/>
                <w:bCs w:val="0"/>
                <w:caps w:val="0"/>
                <w:noProof/>
                <w:sz w:val="21"/>
                <w:szCs w:val="21"/>
                <w:u w:val="none"/>
              </w:rPr>
              <w:t>Publications related to this aim:</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_Toc57582499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59</w:t>
            </w:r>
            <w:r w:rsidR="008B1BEE" w:rsidRPr="001A49B3">
              <w:rPr>
                <w:rFonts w:ascii="Arial" w:hAnsi="Arial" w:cs="Arial"/>
                <w:b w:val="0"/>
                <w:bCs w:val="0"/>
                <w:caps w:val="0"/>
                <w:noProof/>
                <w:webHidden/>
                <w:sz w:val="21"/>
                <w:szCs w:val="21"/>
                <w:u w:val="none"/>
              </w:rPr>
              <w:fldChar w:fldCharType="end"/>
            </w:r>
          </w:hyperlink>
        </w:p>
        <w:p w14:paraId="26C83773" w14:textId="63A56702"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00" w:history="1">
            <w:r w:rsidR="008B1BEE" w:rsidRPr="001A49B3">
              <w:rPr>
                <w:rStyle w:val="Hyperlink"/>
                <w:rFonts w:ascii="Arial" w:hAnsi="Arial" w:cs="Arial"/>
                <w:b w:val="0"/>
                <w:bCs w:val="0"/>
                <w:caps w:val="0"/>
                <w:noProof/>
                <w:sz w:val="21"/>
                <w:szCs w:val="21"/>
                <w:u w:val="none"/>
              </w:rPr>
              <w:t>Aim 5 Explore role of iron availability on MPN phenotype manifestation.</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_Toc57582500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60</w:t>
            </w:r>
            <w:r w:rsidR="008B1BEE" w:rsidRPr="001A49B3">
              <w:rPr>
                <w:rFonts w:ascii="Arial" w:hAnsi="Arial" w:cs="Arial"/>
                <w:b w:val="0"/>
                <w:bCs w:val="0"/>
                <w:caps w:val="0"/>
                <w:noProof/>
                <w:webHidden/>
                <w:sz w:val="21"/>
                <w:szCs w:val="21"/>
                <w:u w:val="none"/>
              </w:rPr>
              <w:fldChar w:fldCharType="end"/>
            </w:r>
          </w:hyperlink>
        </w:p>
        <w:p w14:paraId="6A03FDCF" w14:textId="1ABD3C91" w:rsidR="008B1BEE" w:rsidRPr="001A49B3" w:rsidRDefault="00784D02" w:rsidP="008B1BEE">
          <w:pPr>
            <w:pStyle w:val="Verzeichnis1"/>
            <w:spacing w:before="0" w:after="0" w:line="360" w:lineRule="auto"/>
            <w:ind w:firstLine="1416"/>
            <w:jc w:val="both"/>
            <w:rPr>
              <w:rFonts w:ascii="Arial" w:eastAsiaTheme="minorEastAsia" w:hAnsi="Arial" w:cs="Arial"/>
              <w:b w:val="0"/>
              <w:bCs w:val="0"/>
              <w:caps w:val="0"/>
              <w:noProof/>
              <w:sz w:val="21"/>
              <w:szCs w:val="21"/>
              <w:u w:val="none"/>
            </w:rPr>
          </w:pPr>
          <w:hyperlink w:anchor="_Toc57582501" w:history="1">
            <w:r w:rsidR="008B1BEE" w:rsidRPr="001A49B3">
              <w:rPr>
                <w:rStyle w:val="Hyperlink"/>
                <w:rFonts w:ascii="Arial" w:hAnsi="Arial" w:cs="Arial"/>
                <w:b w:val="0"/>
                <w:bCs w:val="0"/>
                <w:caps w:val="0"/>
                <w:noProof/>
                <w:sz w:val="21"/>
                <w:szCs w:val="21"/>
                <w:u w:val="none"/>
              </w:rPr>
              <w:t>Publications related to this aim:</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_Toc57582501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70</w:t>
            </w:r>
            <w:r w:rsidR="008B1BEE" w:rsidRPr="001A49B3">
              <w:rPr>
                <w:rFonts w:ascii="Arial" w:hAnsi="Arial" w:cs="Arial"/>
                <w:b w:val="0"/>
                <w:bCs w:val="0"/>
                <w:caps w:val="0"/>
                <w:noProof/>
                <w:webHidden/>
                <w:sz w:val="21"/>
                <w:szCs w:val="21"/>
                <w:u w:val="none"/>
              </w:rPr>
              <w:fldChar w:fldCharType="end"/>
            </w:r>
          </w:hyperlink>
        </w:p>
        <w:p w14:paraId="362CCF88" w14:textId="0DA89ABC" w:rsidR="008B1BEE" w:rsidRPr="001A49B3" w:rsidRDefault="00784D02" w:rsidP="008B1BEE">
          <w:pPr>
            <w:pStyle w:val="Verzeichnis1"/>
            <w:spacing w:before="0" w:after="0" w:line="360" w:lineRule="auto"/>
            <w:jc w:val="both"/>
            <w:rPr>
              <w:rFonts w:ascii="Arial" w:eastAsiaTheme="minorEastAsia" w:hAnsi="Arial" w:cs="Arial"/>
              <w:b w:val="0"/>
              <w:bCs w:val="0"/>
              <w:caps w:val="0"/>
              <w:noProof/>
              <w:sz w:val="21"/>
              <w:szCs w:val="21"/>
              <w:u w:val="none"/>
            </w:rPr>
          </w:pPr>
          <w:hyperlink w:anchor="_Toc57582502" w:history="1">
            <w:r w:rsidR="008B1BEE" w:rsidRPr="001A49B3">
              <w:rPr>
                <w:rStyle w:val="Hyperlink"/>
                <w:rFonts w:ascii="Arial" w:hAnsi="Arial" w:cs="Arial"/>
                <w:b w:val="0"/>
                <w:bCs w:val="0"/>
                <w:caps w:val="0"/>
                <w:noProof/>
                <w:sz w:val="21"/>
                <w:szCs w:val="21"/>
                <w:u w:val="none"/>
                <w:lang w:val="en-US"/>
              </w:rPr>
              <w:t>4. Materials and methods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_Toc57582502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71</w:t>
            </w:r>
            <w:r w:rsidR="008B1BEE" w:rsidRPr="001A49B3">
              <w:rPr>
                <w:rFonts w:ascii="Arial" w:hAnsi="Arial" w:cs="Arial"/>
                <w:b w:val="0"/>
                <w:bCs w:val="0"/>
                <w:caps w:val="0"/>
                <w:noProof/>
                <w:webHidden/>
                <w:sz w:val="21"/>
                <w:szCs w:val="21"/>
                <w:u w:val="none"/>
              </w:rPr>
              <w:fldChar w:fldCharType="end"/>
            </w:r>
          </w:hyperlink>
        </w:p>
        <w:p w14:paraId="70226C5F" w14:textId="25FF0A46"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03" w:history="1">
            <w:r w:rsidR="008B1BEE" w:rsidRPr="001A49B3">
              <w:rPr>
                <w:rStyle w:val="Hyperlink"/>
                <w:rFonts w:ascii="Arial" w:hAnsi="Arial" w:cs="Arial"/>
                <w:b w:val="0"/>
                <w:bCs w:val="0"/>
                <w:caps w:val="0"/>
                <w:noProof/>
                <w:sz w:val="21"/>
                <w:szCs w:val="21"/>
                <w:u w:val="none"/>
              </w:rPr>
              <w:t>4.1 Laboratory equipment and software</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_Toc57582503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71</w:t>
            </w:r>
            <w:r w:rsidR="008B1BEE" w:rsidRPr="001A49B3">
              <w:rPr>
                <w:rFonts w:ascii="Arial" w:hAnsi="Arial" w:cs="Arial"/>
                <w:b w:val="0"/>
                <w:bCs w:val="0"/>
                <w:caps w:val="0"/>
                <w:noProof/>
                <w:webHidden/>
                <w:sz w:val="21"/>
                <w:szCs w:val="21"/>
                <w:u w:val="none"/>
              </w:rPr>
              <w:fldChar w:fldCharType="end"/>
            </w:r>
          </w:hyperlink>
        </w:p>
        <w:p w14:paraId="73A45BCA" w14:textId="7A205728"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04" w:history="1">
            <w:r w:rsidR="008B1BEE" w:rsidRPr="001A49B3">
              <w:rPr>
                <w:rStyle w:val="Hyperlink"/>
                <w:rFonts w:ascii="Arial" w:hAnsi="Arial" w:cs="Arial"/>
                <w:b w:val="0"/>
                <w:bCs w:val="0"/>
                <w:caps w:val="0"/>
                <w:noProof/>
                <w:sz w:val="21"/>
                <w:szCs w:val="21"/>
                <w:u w:val="none"/>
              </w:rPr>
              <w:t>4.2 Biological material</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_Toc57582504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71</w:t>
            </w:r>
            <w:r w:rsidR="008B1BEE" w:rsidRPr="001A49B3">
              <w:rPr>
                <w:rFonts w:ascii="Arial" w:hAnsi="Arial" w:cs="Arial"/>
                <w:b w:val="0"/>
                <w:bCs w:val="0"/>
                <w:caps w:val="0"/>
                <w:noProof/>
                <w:webHidden/>
                <w:sz w:val="21"/>
                <w:szCs w:val="21"/>
                <w:u w:val="none"/>
              </w:rPr>
              <w:fldChar w:fldCharType="end"/>
            </w:r>
          </w:hyperlink>
        </w:p>
        <w:p w14:paraId="03624827" w14:textId="6D90E7FE"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05" w:history="1">
            <w:r w:rsidR="008B1BEE" w:rsidRPr="001A49B3">
              <w:rPr>
                <w:rStyle w:val="Hyperlink"/>
                <w:rFonts w:ascii="Arial" w:hAnsi="Arial" w:cs="Arial"/>
                <w:b w:val="0"/>
                <w:bCs w:val="0"/>
                <w:caps w:val="0"/>
                <w:noProof/>
                <w:sz w:val="21"/>
                <w:szCs w:val="21"/>
                <w:u w:val="none"/>
              </w:rPr>
              <w:t>4.3 Other chemicals, cytokines and reagents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_Toc57582505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72</w:t>
            </w:r>
            <w:r w:rsidR="008B1BEE" w:rsidRPr="001A49B3">
              <w:rPr>
                <w:rFonts w:ascii="Arial" w:hAnsi="Arial" w:cs="Arial"/>
                <w:b w:val="0"/>
                <w:bCs w:val="0"/>
                <w:caps w:val="0"/>
                <w:noProof/>
                <w:webHidden/>
                <w:sz w:val="21"/>
                <w:szCs w:val="21"/>
                <w:u w:val="none"/>
              </w:rPr>
              <w:fldChar w:fldCharType="end"/>
            </w:r>
          </w:hyperlink>
        </w:p>
        <w:p w14:paraId="6C76A5B4" w14:textId="68E6C550"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06" w:history="1">
            <w:r w:rsidR="008B1BEE" w:rsidRPr="001A49B3">
              <w:rPr>
                <w:rStyle w:val="Hyperlink"/>
                <w:rFonts w:ascii="Arial" w:hAnsi="Arial" w:cs="Arial"/>
                <w:b w:val="0"/>
                <w:bCs w:val="0"/>
                <w:caps w:val="0"/>
                <w:noProof/>
                <w:sz w:val="21"/>
                <w:szCs w:val="21"/>
                <w:u w:val="none"/>
              </w:rPr>
              <w:t>4.4 Comercial Kits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_Toc57582506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73</w:t>
            </w:r>
            <w:r w:rsidR="008B1BEE" w:rsidRPr="001A49B3">
              <w:rPr>
                <w:rFonts w:ascii="Arial" w:hAnsi="Arial" w:cs="Arial"/>
                <w:b w:val="0"/>
                <w:bCs w:val="0"/>
                <w:caps w:val="0"/>
                <w:noProof/>
                <w:webHidden/>
                <w:sz w:val="21"/>
                <w:szCs w:val="21"/>
                <w:u w:val="none"/>
              </w:rPr>
              <w:fldChar w:fldCharType="end"/>
            </w:r>
          </w:hyperlink>
        </w:p>
        <w:p w14:paraId="1EBFEAAC" w14:textId="5D91B872"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07" w:history="1">
            <w:r w:rsidR="008B1BEE" w:rsidRPr="001A49B3">
              <w:rPr>
                <w:rStyle w:val="Hyperlink"/>
                <w:rFonts w:ascii="Arial" w:hAnsi="Arial" w:cs="Arial"/>
                <w:b w:val="0"/>
                <w:bCs w:val="0"/>
                <w:caps w:val="0"/>
                <w:noProof/>
                <w:sz w:val="21"/>
                <w:szCs w:val="21"/>
                <w:u w:val="none"/>
              </w:rPr>
              <w:t>4.5 Culture of undifferentiated iPSCs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_Toc57582507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73</w:t>
            </w:r>
            <w:r w:rsidR="008B1BEE" w:rsidRPr="001A49B3">
              <w:rPr>
                <w:rFonts w:ascii="Arial" w:hAnsi="Arial" w:cs="Arial"/>
                <w:b w:val="0"/>
                <w:bCs w:val="0"/>
                <w:caps w:val="0"/>
                <w:noProof/>
                <w:webHidden/>
                <w:sz w:val="21"/>
                <w:szCs w:val="21"/>
                <w:u w:val="none"/>
              </w:rPr>
              <w:fldChar w:fldCharType="end"/>
            </w:r>
          </w:hyperlink>
        </w:p>
        <w:p w14:paraId="439A7AC3" w14:textId="3E553062"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08" w:history="1">
            <w:r w:rsidR="008B1BEE" w:rsidRPr="001A49B3">
              <w:rPr>
                <w:rStyle w:val="Hyperlink"/>
                <w:rFonts w:ascii="Arial" w:hAnsi="Arial" w:cs="Arial"/>
                <w:b w:val="0"/>
                <w:bCs w:val="0"/>
                <w:caps w:val="0"/>
                <w:noProof/>
                <w:sz w:val="21"/>
                <w:szCs w:val="21"/>
                <w:u w:val="none"/>
              </w:rPr>
              <w:t>4.6 iPSC hematopoietic differentiation</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_Toc57582508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74</w:t>
            </w:r>
            <w:r w:rsidR="008B1BEE" w:rsidRPr="001A49B3">
              <w:rPr>
                <w:rFonts w:ascii="Arial" w:hAnsi="Arial" w:cs="Arial"/>
                <w:b w:val="0"/>
                <w:bCs w:val="0"/>
                <w:caps w:val="0"/>
                <w:noProof/>
                <w:webHidden/>
                <w:sz w:val="21"/>
                <w:szCs w:val="21"/>
                <w:u w:val="none"/>
              </w:rPr>
              <w:fldChar w:fldCharType="end"/>
            </w:r>
          </w:hyperlink>
        </w:p>
        <w:p w14:paraId="1864601C" w14:textId="30D56991"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09" w:history="1">
            <w:r w:rsidR="008B1BEE" w:rsidRPr="001A49B3">
              <w:rPr>
                <w:rStyle w:val="Hyperlink"/>
                <w:rFonts w:ascii="Arial" w:hAnsi="Arial" w:cs="Arial"/>
                <w:b w:val="0"/>
                <w:bCs w:val="0"/>
                <w:caps w:val="0"/>
                <w:noProof/>
                <w:sz w:val="21"/>
                <w:szCs w:val="21"/>
                <w:u w:val="none"/>
              </w:rPr>
              <w:t xml:space="preserve">4.7 Generation of </w:t>
            </w:r>
            <w:r w:rsidR="008B1BEE" w:rsidRPr="001A49B3">
              <w:rPr>
                <w:rStyle w:val="Hyperlink"/>
                <w:rFonts w:ascii="Arial" w:hAnsi="Arial" w:cs="Arial"/>
                <w:b w:val="0"/>
                <w:bCs w:val="0"/>
                <w:i/>
                <w:iCs/>
                <w:caps w:val="0"/>
                <w:noProof/>
                <w:sz w:val="21"/>
                <w:szCs w:val="21"/>
                <w:u w:val="none"/>
              </w:rPr>
              <w:t>JAK2</w:t>
            </w:r>
            <w:r w:rsidR="008B1BEE" w:rsidRPr="001A49B3">
              <w:rPr>
                <w:rStyle w:val="Hyperlink"/>
                <w:rFonts w:ascii="Arial" w:hAnsi="Arial" w:cs="Arial"/>
                <w:b w:val="0"/>
                <w:bCs w:val="0"/>
                <w:caps w:val="0"/>
                <w:noProof/>
                <w:sz w:val="21"/>
                <w:szCs w:val="21"/>
                <w:u w:val="none"/>
              </w:rPr>
              <w:t>-corrected (</w:t>
            </w:r>
            <w:r w:rsidR="008B1BEE" w:rsidRPr="001A49B3">
              <w:rPr>
                <w:rStyle w:val="Hyperlink"/>
                <w:rFonts w:ascii="Arial" w:hAnsi="Arial" w:cs="Arial"/>
                <w:b w:val="0"/>
                <w:bCs w:val="0"/>
                <w:i/>
                <w:iCs/>
                <w:caps w:val="0"/>
                <w:noProof/>
                <w:sz w:val="21"/>
                <w:szCs w:val="21"/>
                <w:u w:val="none"/>
              </w:rPr>
              <w:t>JAK2</w:t>
            </w:r>
            <w:r w:rsidR="008B1BEE" w:rsidRPr="001A49B3">
              <w:rPr>
                <w:rStyle w:val="Hyperlink"/>
                <w:rFonts w:ascii="Arial" w:hAnsi="Arial" w:cs="Arial"/>
                <w:b w:val="0"/>
                <w:bCs w:val="0"/>
                <w:caps w:val="0"/>
                <w:noProof/>
                <w:sz w:val="21"/>
                <w:szCs w:val="21"/>
                <w:u w:val="none"/>
              </w:rPr>
              <w:t xml:space="preserve"> wt) HEL cell line</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_Toc57582509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74</w:t>
            </w:r>
            <w:r w:rsidR="008B1BEE" w:rsidRPr="001A49B3">
              <w:rPr>
                <w:rFonts w:ascii="Arial" w:hAnsi="Arial" w:cs="Arial"/>
                <w:b w:val="0"/>
                <w:bCs w:val="0"/>
                <w:caps w:val="0"/>
                <w:noProof/>
                <w:webHidden/>
                <w:sz w:val="21"/>
                <w:szCs w:val="21"/>
                <w:u w:val="none"/>
              </w:rPr>
              <w:fldChar w:fldCharType="end"/>
            </w:r>
          </w:hyperlink>
        </w:p>
        <w:p w14:paraId="5DC7E0C5" w14:textId="551BD5DE"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10" w:history="1">
            <w:r w:rsidR="008B1BEE" w:rsidRPr="001A49B3">
              <w:rPr>
                <w:rStyle w:val="Hyperlink"/>
                <w:rFonts w:ascii="Arial" w:hAnsi="Arial" w:cs="Arial"/>
                <w:b w:val="0"/>
                <w:bCs w:val="0"/>
                <w:caps w:val="0"/>
                <w:noProof/>
                <w:sz w:val="21"/>
                <w:szCs w:val="21"/>
                <w:u w:val="none"/>
              </w:rPr>
              <w:t>4.8 Mice</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_Toc57582510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75</w:t>
            </w:r>
            <w:r w:rsidR="008B1BEE" w:rsidRPr="001A49B3">
              <w:rPr>
                <w:rFonts w:ascii="Arial" w:hAnsi="Arial" w:cs="Arial"/>
                <w:b w:val="0"/>
                <w:bCs w:val="0"/>
                <w:caps w:val="0"/>
                <w:noProof/>
                <w:webHidden/>
                <w:sz w:val="21"/>
                <w:szCs w:val="21"/>
                <w:u w:val="none"/>
              </w:rPr>
              <w:fldChar w:fldCharType="end"/>
            </w:r>
          </w:hyperlink>
        </w:p>
        <w:p w14:paraId="5806D429" w14:textId="1D756FD3"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11" w:history="1">
            <w:r w:rsidR="008B1BEE" w:rsidRPr="001A49B3">
              <w:rPr>
                <w:rStyle w:val="Hyperlink"/>
                <w:rFonts w:ascii="Arial" w:hAnsi="Arial" w:cs="Arial"/>
                <w:b w:val="0"/>
                <w:bCs w:val="0"/>
                <w:caps w:val="0"/>
                <w:noProof/>
                <w:sz w:val="21"/>
                <w:szCs w:val="21"/>
                <w:u w:val="none"/>
              </w:rPr>
              <w:t xml:space="preserve">4.9 pIpC, pegIFNα, and TPO </w:t>
            </w:r>
            <w:r w:rsidR="008B1BEE" w:rsidRPr="001A49B3">
              <w:rPr>
                <w:rStyle w:val="Hyperlink"/>
                <w:rFonts w:ascii="Arial" w:hAnsi="Arial" w:cs="Arial"/>
                <w:b w:val="0"/>
                <w:bCs w:val="0"/>
                <w:i/>
                <w:iCs/>
                <w:caps w:val="0"/>
                <w:noProof/>
                <w:sz w:val="21"/>
                <w:szCs w:val="21"/>
                <w:u w:val="none"/>
              </w:rPr>
              <w:t>in vivo</w:t>
            </w:r>
            <w:r w:rsidR="008B1BEE" w:rsidRPr="001A49B3">
              <w:rPr>
                <w:rStyle w:val="Hyperlink"/>
                <w:rFonts w:ascii="Arial" w:hAnsi="Arial" w:cs="Arial"/>
                <w:b w:val="0"/>
                <w:bCs w:val="0"/>
                <w:caps w:val="0"/>
                <w:noProof/>
                <w:sz w:val="21"/>
                <w:szCs w:val="21"/>
                <w:u w:val="none"/>
              </w:rPr>
              <w:t xml:space="preserve"> treatment</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_Toc57582511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75</w:t>
            </w:r>
            <w:r w:rsidR="008B1BEE" w:rsidRPr="001A49B3">
              <w:rPr>
                <w:rFonts w:ascii="Arial" w:hAnsi="Arial" w:cs="Arial"/>
                <w:b w:val="0"/>
                <w:bCs w:val="0"/>
                <w:caps w:val="0"/>
                <w:noProof/>
                <w:webHidden/>
                <w:sz w:val="21"/>
                <w:szCs w:val="21"/>
                <w:u w:val="none"/>
              </w:rPr>
              <w:fldChar w:fldCharType="end"/>
            </w:r>
          </w:hyperlink>
        </w:p>
        <w:p w14:paraId="190606A2" w14:textId="37F10173"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12" w:history="1">
            <w:r w:rsidR="008B1BEE" w:rsidRPr="001A49B3">
              <w:rPr>
                <w:rStyle w:val="Hyperlink"/>
                <w:rFonts w:ascii="Arial" w:hAnsi="Arial" w:cs="Arial"/>
                <w:b w:val="0"/>
                <w:bCs w:val="0"/>
                <w:caps w:val="0"/>
                <w:noProof/>
                <w:sz w:val="21"/>
                <w:szCs w:val="21"/>
                <w:u w:val="none"/>
              </w:rPr>
              <w:t>4.10 Bone marrow transplantations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_Toc57582512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75</w:t>
            </w:r>
            <w:r w:rsidR="008B1BEE" w:rsidRPr="001A49B3">
              <w:rPr>
                <w:rFonts w:ascii="Arial" w:hAnsi="Arial" w:cs="Arial"/>
                <w:b w:val="0"/>
                <w:bCs w:val="0"/>
                <w:caps w:val="0"/>
                <w:noProof/>
                <w:webHidden/>
                <w:sz w:val="21"/>
                <w:szCs w:val="21"/>
                <w:u w:val="none"/>
              </w:rPr>
              <w:fldChar w:fldCharType="end"/>
            </w:r>
          </w:hyperlink>
        </w:p>
        <w:p w14:paraId="1739313F" w14:textId="01FC4D8B"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13" w:history="1">
            <w:r w:rsidR="008B1BEE" w:rsidRPr="001A49B3">
              <w:rPr>
                <w:rStyle w:val="Hyperlink"/>
                <w:rFonts w:ascii="Arial" w:hAnsi="Arial" w:cs="Arial"/>
                <w:b w:val="0"/>
                <w:bCs w:val="0"/>
                <w:caps w:val="0"/>
                <w:noProof/>
                <w:sz w:val="21"/>
                <w:szCs w:val="21"/>
                <w:u w:val="none"/>
              </w:rPr>
              <w:t>4.11 Microarray and data analysis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_Toc57582513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76</w:t>
            </w:r>
            <w:r w:rsidR="008B1BEE" w:rsidRPr="001A49B3">
              <w:rPr>
                <w:rFonts w:ascii="Arial" w:hAnsi="Arial" w:cs="Arial"/>
                <w:b w:val="0"/>
                <w:bCs w:val="0"/>
                <w:caps w:val="0"/>
                <w:noProof/>
                <w:webHidden/>
                <w:sz w:val="21"/>
                <w:szCs w:val="21"/>
                <w:u w:val="none"/>
              </w:rPr>
              <w:fldChar w:fldCharType="end"/>
            </w:r>
          </w:hyperlink>
        </w:p>
        <w:p w14:paraId="082300CD" w14:textId="38F98F82"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14" w:history="1">
            <w:r w:rsidR="008B1BEE" w:rsidRPr="001A49B3">
              <w:rPr>
                <w:rStyle w:val="Hyperlink"/>
                <w:rFonts w:ascii="Arial" w:hAnsi="Arial" w:cs="Arial"/>
                <w:b w:val="0"/>
                <w:bCs w:val="0"/>
                <w:caps w:val="0"/>
                <w:noProof/>
                <w:sz w:val="21"/>
                <w:szCs w:val="21"/>
                <w:u w:val="none"/>
              </w:rPr>
              <w:t>4.12 Quantitative Real-Time Polymerase Chain Reaction</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_Toc57582514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76</w:t>
            </w:r>
            <w:r w:rsidR="008B1BEE" w:rsidRPr="001A49B3">
              <w:rPr>
                <w:rFonts w:ascii="Arial" w:hAnsi="Arial" w:cs="Arial"/>
                <w:b w:val="0"/>
                <w:bCs w:val="0"/>
                <w:caps w:val="0"/>
                <w:noProof/>
                <w:webHidden/>
                <w:sz w:val="21"/>
                <w:szCs w:val="21"/>
                <w:u w:val="none"/>
              </w:rPr>
              <w:fldChar w:fldCharType="end"/>
            </w:r>
          </w:hyperlink>
        </w:p>
        <w:p w14:paraId="41E273D1" w14:textId="6E9FDDF5"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15" w:history="1">
            <w:r w:rsidR="008B1BEE" w:rsidRPr="001A49B3">
              <w:rPr>
                <w:rStyle w:val="Hyperlink"/>
                <w:rFonts w:ascii="Arial" w:hAnsi="Arial" w:cs="Arial"/>
                <w:b w:val="0"/>
                <w:bCs w:val="0"/>
                <w:caps w:val="0"/>
                <w:noProof/>
                <w:sz w:val="21"/>
                <w:szCs w:val="21"/>
                <w:u w:val="none"/>
              </w:rPr>
              <w:t>4.13 Flow cytometry analysis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_Toc57582515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77</w:t>
            </w:r>
            <w:r w:rsidR="008B1BEE" w:rsidRPr="001A49B3">
              <w:rPr>
                <w:rFonts w:ascii="Arial" w:hAnsi="Arial" w:cs="Arial"/>
                <w:b w:val="0"/>
                <w:bCs w:val="0"/>
                <w:caps w:val="0"/>
                <w:noProof/>
                <w:webHidden/>
                <w:sz w:val="21"/>
                <w:szCs w:val="21"/>
                <w:u w:val="none"/>
              </w:rPr>
              <w:fldChar w:fldCharType="end"/>
            </w:r>
          </w:hyperlink>
        </w:p>
        <w:p w14:paraId="2781ED5F" w14:textId="1EBD0874" w:rsidR="008B1BEE" w:rsidRPr="001A49B3" w:rsidRDefault="00CF03F3"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16" w:history="1">
            <w:r w:rsidR="008B1BEE" w:rsidRPr="001A49B3">
              <w:rPr>
                <w:rStyle w:val="Hyperlink"/>
                <w:rFonts w:ascii="Arial" w:hAnsi="Arial" w:cs="Arial"/>
                <w:b w:val="0"/>
                <w:bCs w:val="0"/>
                <w:caps w:val="0"/>
                <w:noProof/>
                <w:sz w:val="21"/>
                <w:szCs w:val="21"/>
                <w:u w:val="none"/>
              </w:rPr>
              <w:t>4.14 Enzyme assay</w:t>
            </w:r>
            <w:r w:rsidR="00AA2FF8">
              <w:rPr>
                <w:rStyle w:val="Hyperlink"/>
                <w:rFonts w:ascii="Arial" w:hAnsi="Arial" w:cs="Arial"/>
                <w:b w:val="0"/>
                <w:bCs w:val="0"/>
                <w:caps w:val="0"/>
                <w:noProof/>
                <w:sz w:val="21"/>
                <w:szCs w:val="21"/>
                <w:u w:val="none"/>
              </w:rPr>
              <w:t>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_Toc57582516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78</w:t>
            </w:r>
            <w:r w:rsidR="008B1BEE" w:rsidRPr="001A49B3">
              <w:rPr>
                <w:rFonts w:ascii="Arial" w:hAnsi="Arial" w:cs="Arial"/>
                <w:b w:val="0"/>
                <w:bCs w:val="0"/>
                <w:caps w:val="0"/>
                <w:noProof/>
                <w:webHidden/>
                <w:sz w:val="21"/>
                <w:szCs w:val="21"/>
                <w:u w:val="none"/>
              </w:rPr>
              <w:fldChar w:fldCharType="end"/>
            </w:r>
          </w:hyperlink>
        </w:p>
        <w:p w14:paraId="3E7C2430" w14:textId="17CAEDD2"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17" w:history="1">
            <w:r w:rsidR="008B1BEE" w:rsidRPr="001A49B3">
              <w:rPr>
                <w:rStyle w:val="Hyperlink"/>
                <w:rFonts w:ascii="Arial" w:hAnsi="Arial" w:cs="Arial"/>
                <w:b w:val="0"/>
                <w:bCs w:val="0"/>
                <w:caps w:val="0"/>
                <w:noProof/>
                <w:sz w:val="21"/>
                <w:szCs w:val="21"/>
                <w:u w:val="none"/>
              </w:rPr>
              <w:t>4.15 Immunocytochemistry on EBs in agarose gel matrix saturated with paraffin</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_Toc57582517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78</w:t>
            </w:r>
            <w:r w:rsidR="008B1BEE" w:rsidRPr="001A49B3">
              <w:rPr>
                <w:rFonts w:ascii="Arial" w:hAnsi="Arial" w:cs="Arial"/>
                <w:b w:val="0"/>
                <w:bCs w:val="0"/>
                <w:caps w:val="0"/>
                <w:noProof/>
                <w:webHidden/>
                <w:sz w:val="21"/>
                <w:szCs w:val="21"/>
                <w:u w:val="none"/>
              </w:rPr>
              <w:fldChar w:fldCharType="end"/>
            </w:r>
          </w:hyperlink>
        </w:p>
        <w:p w14:paraId="3B8514A3" w14:textId="5BF038D9"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18" w:history="1">
            <w:r w:rsidR="008B1BEE" w:rsidRPr="001A49B3">
              <w:rPr>
                <w:rStyle w:val="Hyperlink"/>
                <w:rFonts w:ascii="Arial" w:hAnsi="Arial" w:cs="Arial"/>
                <w:b w:val="0"/>
                <w:bCs w:val="0"/>
                <w:caps w:val="0"/>
                <w:noProof/>
                <w:sz w:val="21"/>
                <w:szCs w:val="21"/>
                <w:u w:val="none"/>
              </w:rPr>
              <w:t>4.16 Immunocytochemistry of CD34</w:t>
            </w:r>
            <w:r w:rsidR="008B1BEE" w:rsidRPr="001A49B3">
              <w:rPr>
                <w:rStyle w:val="Hyperlink"/>
                <w:rFonts w:ascii="Arial" w:hAnsi="Arial" w:cs="Arial"/>
                <w:b w:val="0"/>
                <w:bCs w:val="0"/>
                <w:caps w:val="0"/>
                <w:noProof/>
                <w:sz w:val="21"/>
                <w:szCs w:val="21"/>
                <w:u w:val="none"/>
                <w:vertAlign w:val="superscript"/>
              </w:rPr>
              <w:t>+</w:t>
            </w:r>
            <w:r w:rsidR="008B1BEE" w:rsidRPr="001A49B3">
              <w:rPr>
                <w:rStyle w:val="Hyperlink"/>
                <w:rFonts w:ascii="Arial" w:hAnsi="Arial" w:cs="Arial"/>
                <w:b w:val="0"/>
                <w:bCs w:val="0"/>
                <w:caps w:val="0"/>
                <w:noProof/>
                <w:sz w:val="21"/>
                <w:szCs w:val="21"/>
                <w:u w:val="none"/>
              </w:rPr>
              <w:t xml:space="preserve"> P-ECs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_Toc57582518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79</w:t>
            </w:r>
            <w:r w:rsidR="008B1BEE" w:rsidRPr="001A49B3">
              <w:rPr>
                <w:rFonts w:ascii="Arial" w:hAnsi="Arial" w:cs="Arial"/>
                <w:b w:val="0"/>
                <w:bCs w:val="0"/>
                <w:caps w:val="0"/>
                <w:noProof/>
                <w:webHidden/>
                <w:sz w:val="21"/>
                <w:szCs w:val="21"/>
                <w:u w:val="none"/>
              </w:rPr>
              <w:fldChar w:fldCharType="end"/>
            </w:r>
          </w:hyperlink>
        </w:p>
        <w:p w14:paraId="7B758AD3" w14:textId="0786D64A"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19" w:history="1">
            <w:r w:rsidR="008B1BEE" w:rsidRPr="001A49B3">
              <w:rPr>
                <w:rStyle w:val="Hyperlink"/>
                <w:rFonts w:ascii="Arial" w:hAnsi="Arial" w:cs="Arial"/>
                <w:b w:val="0"/>
                <w:bCs w:val="0"/>
                <w:caps w:val="0"/>
                <w:noProof/>
                <w:sz w:val="21"/>
                <w:szCs w:val="21"/>
                <w:u w:val="none"/>
              </w:rPr>
              <w:t>4.17 Inhibition of dual-specificity phosphatases (DUSPs)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_Toc57582519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79</w:t>
            </w:r>
            <w:r w:rsidR="008B1BEE" w:rsidRPr="001A49B3">
              <w:rPr>
                <w:rFonts w:ascii="Arial" w:hAnsi="Arial" w:cs="Arial"/>
                <w:b w:val="0"/>
                <w:bCs w:val="0"/>
                <w:caps w:val="0"/>
                <w:noProof/>
                <w:webHidden/>
                <w:sz w:val="21"/>
                <w:szCs w:val="21"/>
                <w:u w:val="none"/>
              </w:rPr>
              <w:fldChar w:fldCharType="end"/>
            </w:r>
          </w:hyperlink>
        </w:p>
        <w:p w14:paraId="675BCA25" w14:textId="1A23DCC2" w:rsidR="008B1BEE" w:rsidRPr="001A49B3" w:rsidRDefault="00CF03F3"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20" w:history="1">
            <w:r w:rsidR="008B1BEE" w:rsidRPr="001A49B3">
              <w:rPr>
                <w:rStyle w:val="Hyperlink"/>
                <w:rFonts w:ascii="Arial" w:hAnsi="Arial" w:cs="Arial"/>
                <w:b w:val="0"/>
                <w:bCs w:val="0"/>
                <w:caps w:val="0"/>
                <w:noProof/>
                <w:sz w:val="21"/>
                <w:szCs w:val="21"/>
                <w:u w:val="none"/>
              </w:rPr>
              <w:t xml:space="preserve">4.18 Western </w:t>
            </w:r>
            <w:r w:rsidR="00AA2FF8">
              <w:rPr>
                <w:rStyle w:val="Hyperlink"/>
                <w:rFonts w:ascii="Arial" w:hAnsi="Arial" w:cs="Arial"/>
                <w:b w:val="0"/>
                <w:bCs w:val="0"/>
                <w:caps w:val="0"/>
                <w:noProof/>
                <w:sz w:val="21"/>
                <w:szCs w:val="21"/>
                <w:u w:val="none"/>
              </w:rPr>
              <w:t>b</w:t>
            </w:r>
            <w:r w:rsidR="00AA2FF8" w:rsidRPr="001A49B3">
              <w:rPr>
                <w:rStyle w:val="Hyperlink"/>
                <w:rFonts w:ascii="Arial" w:hAnsi="Arial" w:cs="Arial"/>
                <w:b w:val="0"/>
                <w:bCs w:val="0"/>
                <w:caps w:val="0"/>
                <w:noProof/>
                <w:sz w:val="21"/>
                <w:szCs w:val="21"/>
                <w:u w:val="none"/>
              </w:rPr>
              <w:t>lotting</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_Toc57582520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80</w:t>
            </w:r>
            <w:r w:rsidR="008B1BEE" w:rsidRPr="001A49B3">
              <w:rPr>
                <w:rFonts w:ascii="Arial" w:hAnsi="Arial" w:cs="Arial"/>
                <w:b w:val="0"/>
                <w:bCs w:val="0"/>
                <w:caps w:val="0"/>
                <w:noProof/>
                <w:webHidden/>
                <w:sz w:val="21"/>
                <w:szCs w:val="21"/>
                <w:u w:val="none"/>
              </w:rPr>
              <w:fldChar w:fldCharType="end"/>
            </w:r>
          </w:hyperlink>
        </w:p>
        <w:p w14:paraId="4766D345" w14:textId="545A1F55"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21" w:history="1">
            <w:r w:rsidR="008B1BEE" w:rsidRPr="001A49B3">
              <w:rPr>
                <w:rStyle w:val="Hyperlink"/>
                <w:rFonts w:ascii="Arial" w:hAnsi="Arial" w:cs="Arial"/>
                <w:b w:val="0"/>
                <w:bCs w:val="0"/>
                <w:caps w:val="0"/>
                <w:noProof/>
                <w:sz w:val="21"/>
                <w:szCs w:val="21"/>
                <w:u w:val="none"/>
              </w:rPr>
              <w:t>4.19 Immunohistochemistry of patient samples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_Toc57582521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80</w:t>
            </w:r>
            <w:r w:rsidR="008B1BEE" w:rsidRPr="001A49B3">
              <w:rPr>
                <w:rFonts w:ascii="Arial" w:hAnsi="Arial" w:cs="Arial"/>
                <w:b w:val="0"/>
                <w:bCs w:val="0"/>
                <w:caps w:val="0"/>
                <w:noProof/>
                <w:webHidden/>
                <w:sz w:val="21"/>
                <w:szCs w:val="21"/>
                <w:u w:val="none"/>
              </w:rPr>
              <w:fldChar w:fldCharType="end"/>
            </w:r>
          </w:hyperlink>
        </w:p>
        <w:p w14:paraId="4EC3D223" w14:textId="25267077" w:rsidR="008B1BEE" w:rsidRPr="001A49B3" w:rsidRDefault="00CF03F3"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22" w:history="1">
            <w:r w:rsidR="008B1BEE" w:rsidRPr="001A49B3">
              <w:rPr>
                <w:rStyle w:val="Hyperlink"/>
                <w:rFonts w:ascii="Arial" w:hAnsi="Arial" w:cs="Arial"/>
                <w:b w:val="0"/>
                <w:bCs w:val="0"/>
                <w:caps w:val="0"/>
                <w:noProof/>
                <w:sz w:val="21"/>
                <w:szCs w:val="21"/>
                <w:u w:val="none"/>
              </w:rPr>
              <w:t xml:space="preserve">4.20 Iron deficient </w:t>
            </w:r>
            <w:r w:rsidR="00AA2FF8" w:rsidRPr="001A49B3">
              <w:rPr>
                <w:rStyle w:val="Hyperlink"/>
                <w:rFonts w:ascii="Arial" w:hAnsi="Arial" w:cs="Arial"/>
                <w:b w:val="0"/>
                <w:bCs w:val="0"/>
                <w:caps w:val="0"/>
                <w:noProof/>
                <w:sz w:val="21"/>
                <w:szCs w:val="21"/>
                <w:u w:val="none"/>
              </w:rPr>
              <w:t>die</w:t>
            </w:r>
            <w:r w:rsidR="00AA2FF8">
              <w:rPr>
                <w:rStyle w:val="Hyperlink"/>
                <w:rFonts w:ascii="Arial" w:hAnsi="Arial" w:cs="Arial"/>
                <w:b w:val="0"/>
                <w:bCs w:val="0"/>
                <w:caps w:val="0"/>
                <w:noProof/>
                <w:sz w:val="21"/>
                <w:szCs w:val="21"/>
                <w:u w:val="none"/>
              </w:rPr>
              <w:t>t</w:t>
            </w:r>
            <w:r w:rsidR="00AA2FF8" w:rsidRPr="001A49B3">
              <w:rPr>
                <w:rStyle w:val="Hyperlink"/>
                <w:rFonts w:ascii="Arial" w:hAnsi="Arial" w:cs="Arial"/>
                <w:b w:val="0"/>
                <w:bCs w:val="0"/>
                <w:caps w:val="0"/>
                <w:noProof/>
                <w:sz w:val="21"/>
                <w:szCs w:val="21"/>
                <w:u w:val="none"/>
              </w:rPr>
              <w:t xml:space="preserve"> </w:t>
            </w:r>
            <w:r w:rsidR="008B1BEE" w:rsidRPr="001A49B3">
              <w:rPr>
                <w:rStyle w:val="Hyperlink"/>
                <w:rFonts w:ascii="Arial" w:hAnsi="Arial" w:cs="Arial"/>
                <w:b w:val="0"/>
                <w:bCs w:val="0"/>
                <w:caps w:val="0"/>
                <w:noProof/>
                <w:sz w:val="21"/>
                <w:szCs w:val="21"/>
                <w:u w:val="none"/>
              </w:rPr>
              <w:t>and iron injections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_Toc57582522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81</w:t>
            </w:r>
            <w:r w:rsidR="008B1BEE" w:rsidRPr="001A49B3">
              <w:rPr>
                <w:rFonts w:ascii="Arial" w:hAnsi="Arial" w:cs="Arial"/>
                <w:b w:val="0"/>
                <w:bCs w:val="0"/>
                <w:caps w:val="0"/>
                <w:noProof/>
                <w:webHidden/>
                <w:sz w:val="21"/>
                <w:szCs w:val="21"/>
                <w:u w:val="none"/>
              </w:rPr>
              <w:fldChar w:fldCharType="end"/>
            </w:r>
          </w:hyperlink>
        </w:p>
        <w:p w14:paraId="49615AE9" w14:textId="1BFF2A64"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23" w:history="1">
            <w:r w:rsidR="008B1BEE" w:rsidRPr="001A49B3">
              <w:rPr>
                <w:rStyle w:val="Hyperlink"/>
                <w:rFonts w:ascii="Arial" w:hAnsi="Arial" w:cs="Arial"/>
                <w:b w:val="0"/>
                <w:bCs w:val="0"/>
                <w:caps w:val="0"/>
                <w:noProof/>
                <w:sz w:val="21"/>
                <w:szCs w:val="21"/>
                <w:u w:val="none"/>
              </w:rPr>
              <w:t>4.21 Liver iron content</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_Toc57582523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81</w:t>
            </w:r>
            <w:r w:rsidR="008B1BEE" w:rsidRPr="001A49B3">
              <w:rPr>
                <w:rFonts w:ascii="Arial" w:hAnsi="Arial" w:cs="Arial"/>
                <w:b w:val="0"/>
                <w:bCs w:val="0"/>
                <w:caps w:val="0"/>
                <w:noProof/>
                <w:webHidden/>
                <w:sz w:val="21"/>
                <w:szCs w:val="21"/>
                <w:u w:val="none"/>
              </w:rPr>
              <w:fldChar w:fldCharType="end"/>
            </w:r>
          </w:hyperlink>
        </w:p>
        <w:p w14:paraId="36E98073" w14:textId="44BEEFCD"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24" w:history="1">
            <w:r w:rsidR="008B1BEE" w:rsidRPr="001A49B3">
              <w:rPr>
                <w:rStyle w:val="Hyperlink"/>
                <w:rFonts w:ascii="Arial" w:hAnsi="Arial" w:cs="Arial"/>
                <w:b w:val="0"/>
                <w:bCs w:val="0"/>
                <w:caps w:val="0"/>
                <w:noProof/>
                <w:sz w:val="21"/>
                <w:szCs w:val="21"/>
                <w:u w:val="none"/>
              </w:rPr>
              <w:t>4.22 Iron parameters and regulatory cytokines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_Toc57582524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82</w:t>
            </w:r>
            <w:r w:rsidR="008B1BEE" w:rsidRPr="001A49B3">
              <w:rPr>
                <w:rFonts w:ascii="Arial" w:hAnsi="Arial" w:cs="Arial"/>
                <w:b w:val="0"/>
                <w:bCs w:val="0"/>
                <w:caps w:val="0"/>
                <w:noProof/>
                <w:webHidden/>
                <w:sz w:val="21"/>
                <w:szCs w:val="21"/>
                <w:u w:val="none"/>
              </w:rPr>
              <w:fldChar w:fldCharType="end"/>
            </w:r>
          </w:hyperlink>
        </w:p>
        <w:p w14:paraId="36F19385" w14:textId="30AB1A1E" w:rsidR="008B1BEE" w:rsidRPr="001A49B3" w:rsidRDefault="00784D02" w:rsidP="008B1BEE">
          <w:pPr>
            <w:pStyle w:val="Verzeichnis1"/>
            <w:spacing w:before="0" w:after="0" w:line="360" w:lineRule="auto"/>
            <w:ind w:left="1416"/>
            <w:jc w:val="both"/>
            <w:rPr>
              <w:rFonts w:ascii="Arial" w:eastAsiaTheme="minorEastAsia" w:hAnsi="Arial" w:cs="Arial"/>
              <w:b w:val="0"/>
              <w:bCs w:val="0"/>
              <w:caps w:val="0"/>
              <w:noProof/>
              <w:sz w:val="21"/>
              <w:szCs w:val="21"/>
              <w:u w:val="none"/>
            </w:rPr>
          </w:pPr>
          <w:hyperlink w:anchor="_Toc57582525" w:history="1">
            <w:r w:rsidR="008B1BEE" w:rsidRPr="001A49B3">
              <w:rPr>
                <w:rStyle w:val="Hyperlink"/>
                <w:rFonts w:ascii="Arial" w:hAnsi="Arial" w:cs="Arial"/>
                <w:b w:val="0"/>
                <w:bCs w:val="0"/>
                <w:caps w:val="0"/>
                <w:noProof/>
                <w:sz w:val="21"/>
                <w:szCs w:val="21"/>
                <w:u w:val="none"/>
              </w:rPr>
              <w:t>4.23 Statistical analysis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_Toc57582525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82</w:t>
            </w:r>
            <w:r w:rsidR="008B1BEE" w:rsidRPr="001A49B3">
              <w:rPr>
                <w:rFonts w:ascii="Arial" w:hAnsi="Arial" w:cs="Arial"/>
                <w:b w:val="0"/>
                <w:bCs w:val="0"/>
                <w:caps w:val="0"/>
                <w:noProof/>
                <w:webHidden/>
                <w:sz w:val="21"/>
                <w:szCs w:val="21"/>
                <w:u w:val="none"/>
              </w:rPr>
              <w:fldChar w:fldCharType="end"/>
            </w:r>
          </w:hyperlink>
        </w:p>
        <w:p w14:paraId="6CB523B0" w14:textId="71858C89" w:rsidR="008B1BEE" w:rsidRPr="001A49B3" w:rsidRDefault="00784D02" w:rsidP="008B1BEE">
          <w:pPr>
            <w:pStyle w:val="Verzeichnis1"/>
            <w:spacing w:before="0" w:after="0" w:line="360" w:lineRule="auto"/>
            <w:jc w:val="both"/>
            <w:rPr>
              <w:rFonts w:ascii="Arial" w:eastAsiaTheme="minorEastAsia" w:hAnsi="Arial" w:cs="Arial"/>
              <w:b w:val="0"/>
              <w:bCs w:val="0"/>
              <w:caps w:val="0"/>
              <w:noProof/>
              <w:sz w:val="21"/>
              <w:szCs w:val="21"/>
              <w:u w:val="none"/>
            </w:rPr>
          </w:pPr>
          <w:hyperlink w:anchor="_Toc57582526" w:history="1">
            <w:r w:rsidR="008B1BEE" w:rsidRPr="001A49B3">
              <w:rPr>
                <w:rStyle w:val="Hyperlink"/>
                <w:rFonts w:ascii="Arial" w:hAnsi="Arial" w:cs="Arial"/>
                <w:b w:val="0"/>
                <w:bCs w:val="0"/>
                <w:caps w:val="0"/>
                <w:noProof/>
                <w:sz w:val="21"/>
                <w:szCs w:val="21"/>
                <w:u w:val="none"/>
                <w:lang w:val="en-US"/>
              </w:rPr>
              <w:t>5. Summary</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_Toc57582526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83</w:t>
            </w:r>
            <w:r w:rsidR="008B1BEE" w:rsidRPr="001A49B3">
              <w:rPr>
                <w:rFonts w:ascii="Arial" w:hAnsi="Arial" w:cs="Arial"/>
                <w:b w:val="0"/>
                <w:bCs w:val="0"/>
                <w:caps w:val="0"/>
                <w:noProof/>
                <w:webHidden/>
                <w:sz w:val="21"/>
                <w:szCs w:val="21"/>
                <w:u w:val="none"/>
              </w:rPr>
              <w:fldChar w:fldCharType="end"/>
            </w:r>
          </w:hyperlink>
        </w:p>
        <w:p w14:paraId="7C2716FD" w14:textId="1F75CFA3" w:rsidR="008B1BEE" w:rsidRPr="001A49B3" w:rsidRDefault="00784D02" w:rsidP="008B1BEE">
          <w:pPr>
            <w:pStyle w:val="Verzeichnis1"/>
            <w:spacing w:before="0" w:after="0" w:line="360" w:lineRule="auto"/>
            <w:jc w:val="both"/>
            <w:rPr>
              <w:rFonts w:ascii="Arial" w:eastAsiaTheme="minorEastAsia" w:hAnsi="Arial" w:cs="Arial"/>
              <w:b w:val="0"/>
              <w:bCs w:val="0"/>
              <w:caps w:val="0"/>
              <w:noProof/>
              <w:sz w:val="21"/>
              <w:szCs w:val="21"/>
              <w:u w:val="none"/>
            </w:rPr>
          </w:pPr>
          <w:hyperlink w:anchor="_Toc57582527" w:history="1">
            <w:r w:rsidR="008B1BEE" w:rsidRPr="001A49B3">
              <w:rPr>
                <w:rStyle w:val="Hyperlink"/>
                <w:rFonts w:ascii="Arial" w:hAnsi="Arial" w:cs="Arial"/>
                <w:b w:val="0"/>
                <w:bCs w:val="0"/>
                <w:caps w:val="0"/>
                <w:noProof/>
                <w:sz w:val="21"/>
                <w:szCs w:val="21"/>
                <w:u w:val="none"/>
                <w:lang w:val="en-US"/>
              </w:rPr>
              <w:t>6. References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_Toc57582527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85</w:t>
            </w:r>
            <w:r w:rsidR="008B1BEE" w:rsidRPr="001A49B3">
              <w:rPr>
                <w:rFonts w:ascii="Arial" w:hAnsi="Arial" w:cs="Arial"/>
                <w:b w:val="0"/>
                <w:bCs w:val="0"/>
                <w:caps w:val="0"/>
                <w:noProof/>
                <w:webHidden/>
                <w:sz w:val="21"/>
                <w:szCs w:val="21"/>
                <w:u w:val="none"/>
              </w:rPr>
              <w:fldChar w:fldCharType="end"/>
            </w:r>
          </w:hyperlink>
        </w:p>
        <w:p w14:paraId="02A9D216" w14:textId="19FB505D" w:rsidR="008B1BEE" w:rsidRPr="001A49B3" w:rsidRDefault="00CF03F3" w:rsidP="008B1BEE">
          <w:pPr>
            <w:pStyle w:val="Verzeichnis1"/>
            <w:spacing w:before="0" w:after="0" w:line="360" w:lineRule="auto"/>
            <w:jc w:val="both"/>
            <w:rPr>
              <w:rFonts w:ascii="Arial" w:eastAsiaTheme="minorEastAsia" w:hAnsi="Arial" w:cs="Arial"/>
              <w:b w:val="0"/>
              <w:bCs w:val="0"/>
              <w:caps w:val="0"/>
              <w:noProof/>
              <w:sz w:val="21"/>
              <w:szCs w:val="21"/>
              <w:u w:val="none"/>
            </w:rPr>
          </w:pPr>
          <w:hyperlink w:anchor="_Toc57582528" w:history="1">
            <w:r w:rsidR="008B1BEE" w:rsidRPr="001A49B3">
              <w:rPr>
                <w:rStyle w:val="Hyperlink"/>
                <w:rFonts w:ascii="Arial" w:hAnsi="Arial" w:cs="Arial"/>
                <w:b w:val="0"/>
                <w:bCs w:val="0"/>
                <w:caps w:val="0"/>
                <w:noProof/>
                <w:sz w:val="21"/>
                <w:szCs w:val="21"/>
                <w:u w:val="none"/>
                <w:lang w:val="en-US"/>
              </w:rPr>
              <w:t xml:space="preserve">7. </w:t>
            </w:r>
            <w:r w:rsidR="00AA2FF8">
              <w:rPr>
                <w:rStyle w:val="Hyperlink"/>
                <w:rFonts w:ascii="Arial" w:hAnsi="Arial" w:cs="Arial"/>
                <w:b w:val="0"/>
                <w:bCs w:val="0"/>
                <w:caps w:val="0"/>
                <w:noProof/>
                <w:sz w:val="21"/>
                <w:szCs w:val="21"/>
                <w:u w:val="none"/>
                <w:lang w:val="en-US"/>
              </w:rPr>
              <w:t>S</w:t>
            </w:r>
            <w:r w:rsidR="00AA2FF8" w:rsidRPr="001A49B3">
              <w:rPr>
                <w:rStyle w:val="Hyperlink"/>
                <w:rFonts w:ascii="Arial" w:hAnsi="Arial" w:cs="Arial"/>
                <w:b w:val="0"/>
                <w:bCs w:val="0"/>
                <w:caps w:val="0"/>
                <w:noProof/>
                <w:sz w:val="21"/>
                <w:szCs w:val="21"/>
                <w:u w:val="none"/>
                <w:lang w:val="en-US"/>
              </w:rPr>
              <w:t>upplements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_Toc57582528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102</w:t>
            </w:r>
            <w:r w:rsidR="008B1BEE" w:rsidRPr="001A49B3">
              <w:rPr>
                <w:rFonts w:ascii="Arial" w:hAnsi="Arial" w:cs="Arial"/>
                <w:b w:val="0"/>
                <w:bCs w:val="0"/>
                <w:caps w:val="0"/>
                <w:noProof/>
                <w:webHidden/>
                <w:sz w:val="21"/>
                <w:szCs w:val="21"/>
                <w:u w:val="none"/>
              </w:rPr>
              <w:fldChar w:fldCharType="end"/>
            </w:r>
          </w:hyperlink>
        </w:p>
        <w:p w14:paraId="47ED584E" w14:textId="077A8CF9" w:rsidR="008B1BEE" w:rsidRPr="001A49B3" w:rsidRDefault="00784D02" w:rsidP="008B1BEE">
          <w:pPr>
            <w:pStyle w:val="Verzeichnis1"/>
            <w:spacing w:before="0" w:after="0" w:line="360" w:lineRule="auto"/>
            <w:jc w:val="both"/>
            <w:rPr>
              <w:rFonts w:ascii="Arial" w:eastAsiaTheme="minorEastAsia" w:hAnsi="Arial" w:cs="Arial"/>
              <w:b w:val="0"/>
              <w:bCs w:val="0"/>
              <w:caps w:val="0"/>
              <w:noProof/>
              <w:sz w:val="21"/>
              <w:szCs w:val="21"/>
              <w:u w:val="none"/>
            </w:rPr>
          </w:pPr>
          <w:hyperlink w:anchor="_Toc57582529" w:history="1">
            <w:r w:rsidR="008B1BEE" w:rsidRPr="001A49B3">
              <w:rPr>
                <w:rStyle w:val="Hyperlink"/>
                <w:rFonts w:ascii="Arial" w:hAnsi="Arial" w:cs="Arial"/>
                <w:b w:val="0"/>
                <w:bCs w:val="0"/>
                <w:caps w:val="0"/>
                <w:noProof/>
                <w:sz w:val="21"/>
                <w:szCs w:val="21"/>
                <w:u w:val="none"/>
                <w:lang w:val="en-US"/>
              </w:rPr>
              <w:t>8. Acronyms and abbreviations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_Toc57582529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105</w:t>
            </w:r>
            <w:r w:rsidR="008B1BEE" w:rsidRPr="001A49B3">
              <w:rPr>
                <w:rFonts w:ascii="Arial" w:hAnsi="Arial" w:cs="Arial"/>
                <w:b w:val="0"/>
                <w:bCs w:val="0"/>
                <w:caps w:val="0"/>
                <w:noProof/>
                <w:webHidden/>
                <w:sz w:val="21"/>
                <w:szCs w:val="21"/>
                <w:u w:val="none"/>
              </w:rPr>
              <w:fldChar w:fldCharType="end"/>
            </w:r>
          </w:hyperlink>
        </w:p>
        <w:p w14:paraId="776178A9" w14:textId="36DFF44C" w:rsidR="008B1BEE" w:rsidRPr="001A49B3" w:rsidRDefault="00784D02" w:rsidP="008B1BEE">
          <w:pPr>
            <w:pStyle w:val="Verzeichnis1"/>
            <w:spacing w:before="0" w:after="0" w:line="360" w:lineRule="auto"/>
            <w:jc w:val="both"/>
            <w:rPr>
              <w:rFonts w:ascii="Arial" w:eastAsiaTheme="minorEastAsia" w:hAnsi="Arial" w:cs="Arial"/>
              <w:b w:val="0"/>
              <w:bCs w:val="0"/>
              <w:caps w:val="0"/>
              <w:noProof/>
              <w:sz w:val="21"/>
              <w:szCs w:val="21"/>
              <w:u w:val="none"/>
            </w:rPr>
          </w:pPr>
          <w:hyperlink w:anchor="_Toc57582530" w:history="1">
            <w:r w:rsidR="008B1BEE" w:rsidRPr="001A49B3">
              <w:rPr>
                <w:rStyle w:val="Hyperlink"/>
                <w:rFonts w:ascii="Arial" w:hAnsi="Arial" w:cs="Arial"/>
                <w:b w:val="0"/>
                <w:bCs w:val="0"/>
                <w:caps w:val="0"/>
                <w:noProof/>
                <w:sz w:val="21"/>
                <w:szCs w:val="21"/>
                <w:u w:val="none"/>
                <w:lang w:val="en-US"/>
              </w:rPr>
              <w:t>9. List of publications</w:t>
            </w:r>
            <w:r w:rsidR="008B1BEE" w:rsidRPr="001A49B3">
              <w:rPr>
                <w:rFonts w:ascii="Arial" w:hAnsi="Arial" w:cs="Arial"/>
                <w:b w:val="0"/>
                <w:bCs w:val="0"/>
                <w:caps w:val="0"/>
                <w:noProof/>
                <w:webHidden/>
                <w:sz w:val="21"/>
                <w:szCs w:val="21"/>
                <w:u w:val="none"/>
              </w:rPr>
              <w:tab/>
            </w:r>
            <w:r w:rsidR="008B1BEE" w:rsidRPr="001A49B3">
              <w:rPr>
                <w:rFonts w:ascii="Arial" w:hAnsi="Arial" w:cs="Arial"/>
                <w:b w:val="0"/>
                <w:bCs w:val="0"/>
                <w:caps w:val="0"/>
                <w:noProof/>
                <w:webHidden/>
                <w:sz w:val="21"/>
                <w:szCs w:val="21"/>
                <w:u w:val="none"/>
              </w:rPr>
              <w:fldChar w:fldCharType="begin"/>
            </w:r>
            <w:r w:rsidR="008B1BEE" w:rsidRPr="001A49B3">
              <w:rPr>
                <w:rFonts w:ascii="Arial" w:hAnsi="Arial" w:cs="Arial"/>
                <w:b w:val="0"/>
                <w:bCs w:val="0"/>
                <w:caps w:val="0"/>
                <w:noProof/>
                <w:webHidden/>
                <w:sz w:val="21"/>
                <w:szCs w:val="21"/>
                <w:u w:val="none"/>
              </w:rPr>
              <w:instrText xml:space="preserve"> PAGEREF _Toc57582530 \h </w:instrText>
            </w:r>
            <w:r w:rsidR="008B1BEE" w:rsidRPr="001A49B3">
              <w:rPr>
                <w:rFonts w:ascii="Arial" w:hAnsi="Arial" w:cs="Arial"/>
                <w:b w:val="0"/>
                <w:bCs w:val="0"/>
                <w:caps w:val="0"/>
                <w:noProof/>
                <w:webHidden/>
                <w:sz w:val="21"/>
                <w:szCs w:val="21"/>
                <w:u w:val="none"/>
              </w:rPr>
            </w:r>
            <w:r w:rsidR="008B1BEE" w:rsidRPr="001A49B3">
              <w:rPr>
                <w:rFonts w:ascii="Arial" w:hAnsi="Arial" w:cs="Arial"/>
                <w:b w:val="0"/>
                <w:bCs w:val="0"/>
                <w:caps w:val="0"/>
                <w:noProof/>
                <w:webHidden/>
                <w:sz w:val="21"/>
                <w:szCs w:val="21"/>
                <w:u w:val="none"/>
              </w:rPr>
              <w:fldChar w:fldCharType="separate"/>
            </w:r>
            <w:r w:rsidR="00EA3756">
              <w:rPr>
                <w:rFonts w:ascii="Arial" w:hAnsi="Arial" w:cs="Arial"/>
                <w:b w:val="0"/>
                <w:bCs w:val="0"/>
                <w:caps w:val="0"/>
                <w:noProof/>
                <w:webHidden/>
                <w:sz w:val="21"/>
                <w:szCs w:val="21"/>
                <w:u w:val="none"/>
              </w:rPr>
              <w:t>110</w:t>
            </w:r>
            <w:r w:rsidR="008B1BEE" w:rsidRPr="001A49B3">
              <w:rPr>
                <w:rFonts w:ascii="Arial" w:hAnsi="Arial" w:cs="Arial"/>
                <w:b w:val="0"/>
                <w:bCs w:val="0"/>
                <w:caps w:val="0"/>
                <w:noProof/>
                <w:webHidden/>
                <w:sz w:val="21"/>
                <w:szCs w:val="21"/>
                <w:u w:val="none"/>
              </w:rPr>
              <w:fldChar w:fldCharType="end"/>
            </w:r>
          </w:hyperlink>
        </w:p>
        <w:p w14:paraId="715ED172" w14:textId="77777777" w:rsidR="000B22A7" w:rsidRPr="003A5293" w:rsidRDefault="000B22A7" w:rsidP="008B1BEE">
          <w:pPr>
            <w:spacing w:line="360" w:lineRule="auto"/>
            <w:jc w:val="both"/>
            <w:rPr>
              <w:rFonts w:ascii="Arial" w:hAnsi="Arial" w:cs="Arial"/>
              <w:lang w:val="en-US"/>
            </w:rPr>
          </w:pPr>
          <w:r w:rsidRPr="001A49B3">
            <w:rPr>
              <w:rFonts w:ascii="Arial" w:hAnsi="Arial" w:cs="Arial"/>
              <w:noProof/>
              <w:sz w:val="21"/>
              <w:szCs w:val="21"/>
              <w:lang w:val="en-US"/>
            </w:rPr>
            <w:fldChar w:fldCharType="end"/>
          </w:r>
        </w:p>
      </w:sdtContent>
    </w:sdt>
    <w:p w14:paraId="5B79E0FA" w14:textId="77777777" w:rsidR="00B67A7A" w:rsidRPr="003A5293" w:rsidRDefault="00B67A7A" w:rsidP="00F30EE5">
      <w:pPr>
        <w:spacing w:line="360" w:lineRule="auto"/>
        <w:jc w:val="both"/>
        <w:rPr>
          <w:rFonts w:ascii="Arial" w:hAnsi="Arial" w:cs="Arial"/>
          <w:sz w:val="22"/>
          <w:szCs w:val="22"/>
          <w:lang w:val="en-US"/>
        </w:rPr>
        <w:sectPr w:rsidR="00B67A7A" w:rsidRPr="003A5293" w:rsidSect="00E75293">
          <w:footerReference w:type="even" r:id="rId9"/>
          <w:footerReference w:type="default" r:id="rId10"/>
          <w:pgSz w:w="11900" w:h="16840"/>
          <w:pgMar w:top="1418" w:right="1418" w:bottom="1418" w:left="1985" w:header="709" w:footer="709" w:gutter="0"/>
          <w:pgNumType w:start="1" w:chapStyle="2"/>
          <w:cols w:space="708"/>
          <w:docGrid w:linePitch="360"/>
        </w:sectPr>
      </w:pPr>
    </w:p>
    <w:p w14:paraId="6DB8BA79" w14:textId="52742DE4" w:rsidR="00E75293" w:rsidRPr="003A5293" w:rsidRDefault="00F30EE5" w:rsidP="000B22A7">
      <w:pPr>
        <w:pStyle w:val="MainHeading"/>
        <w:rPr>
          <w:b w:val="0"/>
          <w:bCs w:val="0"/>
        </w:rPr>
      </w:pPr>
      <w:bookmarkStart w:id="0" w:name="_Toc57582475"/>
      <w:r w:rsidRPr="003A5293">
        <w:rPr>
          <w:b w:val="0"/>
          <w:bCs w:val="0"/>
          <w:sz w:val="48"/>
          <w:szCs w:val="48"/>
        </w:rPr>
        <w:lastRenderedPageBreak/>
        <w:t>1.</w:t>
      </w:r>
      <w:r w:rsidRPr="003A5293">
        <w:t xml:space="preserve"> </w:t>
      </w:r>
      <w:r w:rsidR="004956BF" w:rsidRPr="003A5293">
        <w:t>Introduction</w:t>
      </w:r>
      <w:bookmarkEnd w:id="0"/>
    </w:p>
    <w:p w14:paraId="62D6A41F" w14:textId="039CEF33" w:rsidR="003C54D7" w:rsidRPr="003A5293" w:rsidRDefault="004C0B28" w:rsidP="0080427B">
      <w:pPr>
        <w:spacing w:line="360" w:lineRule="auto"/>
        <w:jc w:val="both"/>
        <w:rPr>
          <w:rFonts w:ascii="Arial" w:hAnsi="Arial" w:cs="Arial"/>
          <w:sz w:val="22"/>
          <w:szCs w:val="22"/>
          <w:lang w:val="en-US"/>
        </w:rPr>
      </w:pPr>
      <w:r>
        <w:rPr>
          <w:rFonts w:ascii="Arial" w:hAnsi="Arial" w:cs="Arial"/>
          <w:sz w:val="22"/>
          <w:szCs w:val="22"/>
          <w:lang w:val="en-US"/>
        </w:rPr>
        <w:tab/>
        <w:t xml:space="preserve">This part of the thesis </w:t>
      </w:r>
      <w:r w:rsidR="003C54D7">
        <w:rPr>
          <w:rFonts w:ascii="Arial" w:hAnsi="Arial" w:cs="Arial"/>
          <w:sz w:val="22"/>
          <w:szCs w:val="22"/>
          <w:lang w:val="en-US"/>
        </w:rPr>
        <w:t>elaborates</w:t>
      </w:r>
      <w:r>
        <w:rPr>
          <w:rFonts w:ascii="Arial" w:hAnsi="Arial" w:cs="Arial"/>
          <w:sz w:val="22"/>
          <w:szCs w:val="22"/>
          <w:lang w:val="en-US"/>
        </w:rPr>
        <w:t xml:space="preserve"> on </w:t>
      </w:r>
      <w:r w:rsidR="003C54D7">
        <w:rPr>
          <w:rFonts w:ascii="Arial" w:hAnsi="Arial" w:cs="Arial"/>
          <w:sz w:val="22"/>
          <w:szCs w:val="22"/>
          <w:lang w:val="en-US"/>
        </w:rPr>
        <w:t xml:space="preserve">DNA damage response </w:t>
      </w:r>
      <w:r w:rsidR="005976E1">
        <w:rPr>
          <w:rFonts w:ascii="Arial" w:hAnsi="Arial" w:cs="Arial"/>
          <w:sz w:val="22"/>
          <w:szCs w:val="22"/>
          <w:lang w:val="en-US"/>
        </w:rPr>
        <w:t xml:space="preserve">(DDR) </w:t>
      </w:r>
      <w:r w:rsidR="003C54D7" w:rsidRPr="003A5293">
        <w:rPr>
          <w:rFonts w:ascii="Arial" w:hAnsi="Arial" w:cs="Arial"/>
          <w:sz w:val="22"/>
          <w:szCs w:val="22"/>
          <w:lang w:val="en-US"/>
        </w:rPr>
        <w:t xml:space="preserve">alterations within inflammatory </w:t>
      </w:r>
      <w:r w:rsidR="00364670">
        <w:rPr>
          <w:rFonts w:ascii="Arial" w:hAnsi="Arial" w:cs="Arial"/>
          <w:sz w:val="22"/>
          <w:szCs w:val="22"/>
          <w:lang w:val="en-US"/>
        </w:rPr>
        <w:t>bone marrow (</w:t>
      </w:r>
      <w:r w:rsidR="003C54D7" w:rsidRPr="003A5293">
        <w:rPr>
          <w:rFonts w:ascii="Arial" w:hAnsi="Arial" w:cs="Arial"/>
          <w:sz w:val="22"/>
          <w:szCs w:val="22"/>
          <w:lang w:val="en-US"/>
        </w:rPr>
        <w:t>BM</w:t>
      </w:r>
      <w:r w:rsidR="00364670">
        <w:rPr>
          <w:rFonts w:ascii="Arial" w:hAnsi="Arial" w:cs="Arial"/>
          <w:sz w:val="22"/>
          <w:szCs w:val="22"/>
          <w:lang w:val="en-US"/>
        </w:rPr>
        <w:t>)</w:t>
      </w:r>
      <w:r w:rsidR="003C54D7" w:rsidRPr="003A5293">
        <w:rPr>
          <w:rFonts w:ascii="Arial" w:hAnsi="Arial" w:cs="Arial"/>
          <w:sz w:val="22"/>
          <w:szCs w:val="22"/>
          <w:lang w:val="en-US"/>
        </w:rPr>
        <w:t xml:space="preserve"> milieu and how these alterations</w:t>
      </w:r>
      <w:r w:rsidR="003C54D7">
        <w:rPr>
          <w:rFonts w:ascii="Arial" w:hAnsi="Arial" w:cs="Arial"/>
          <w:sz w:val="22"/>
          <w:szCs w:val="22"/>
          <w:lang w:val="en-US"/>
        </w:rPr>
        <w:t xml:space="preserve"> attenuate or</w:t>
      </w:r>
      <w:r w:rsidR="003C54D7" w:rsidRPr="003A5293">
        <w:rPr>
          <w:rFonts w:ascii="Arial" w:hAnsi="Arial" w:cs="Arial"/>
          <w:sz w:val="22"/>
          <w:szCs w:val="22"/>
          <w:lang w:val="en-US"/>
        </w:rPr>
        <w:t xml:space="preserve"> promote </w:t>
      </w:r>
      <w:r w:rsidR="003C54D7">
        <w:rPr>
          <w:rFonts w:ascii="Arial" w:hAnsi="Arial" w:cs="Arial"/>
          <w:sz w:val="22"/>
          <w:szCs w:val="22"/>
          <w:lang w:val="en-US"/>
        </w:rPr>
        <w:t>disease progression</w:t>
      </w:r>
      <w:r w:rsidR="002312A0">
        <w:rPr>
          <w:rFonts w:ascii="Arial" w:hAnsi="Arial" w:cs="Arial"/>
          <w:sz w:val="22"/>
          <w:szCs w:val="22"/>
          <w:lang w:val="en-US"/>
        </w:rPr>
        <w:t xml:space="preserve"> in myeloproliferative neoplasms </w:t>
      </w:r>
      <w:r w:rsidR="00364670">
        <w:rPr>
          <w:rFonts w:ascii="Arial" w:hAnsi="Arial" w:cs="Arial"/>
          <w:sz w:val="22"/>
          <w:szCs w:val="22"/>
          <w:lang w:val="en-US"/>
        </w:rPr>
        <w:t xml:space="preserve">(MPNs) </w:t>
      </w:r>
      <w:r w:rsidR="002312A0">
        <w:rPr>
          <w:rFonts w:ascii="Arial" w:hAnsi="Arial" w:cs="Arial"/>
          <w:sz w:val="22"/>
          <w:szCs w:val="22"/>
          <w:lang w:val="en-US"/>
        </w:rPr>
        <w:t xml:space="preserve">and pre-leukemia (relates to the </w:t>
      </w:r>
      <w:r w:rsidR="009A6274">
        <w:rPr>
          <w:rFonts w:ascii="Arial" w:hAnsi="Arial" w:cs="Arial"/>
          <w:sz w:val="22"/>
          <w:szCs w:val="22"/>
          <w:lang w:val="en-US"/>
        </w:rPr>
        <w:t xml:space="preserve">Aims </w:t>
      </w:r>
      <w:r w:rsidR="002312A0">
        <w:rPr>
          <w:rFonts w:ascii="Arial" w:hAnsi="Arial" w:cs="Arial"/>
          <w:sz w:val="22"/>
          <w:szCs w:val="22"/>
          <w:lang w:val="en-US"/>
        </w:rPr>
        <w:t xml:space="preserve">1-3). Theoretical background for </w:t>
      </w:r>
      <w:r w:rsidR="009A6274">
        <w:rPr>
          <w:rFonts w:ascii="Arial" w:hAnsi="Arial" w:cs="Arial"/>
          <w:sz w:val="22"/>
          <w:szCs w:val="22"/>
          <w:lang w:val="en-US"/>
        </w:rPr>
        <w:t xml:space="preserve">Aims </w:t>
      </w:r>
      <w:r w:rsidR="002312A0">
        <w:rPr>
          <w:rFonts w:ascii="Arial" w:hAnsi="Arial" w:cs="Arial"/>
          <w:sz w:val="22"/>
          <w:szCs w:val="22"/>
          <w:lang w:val="en-US"/>
        </w:rPr>
        <w:t xml:space="preserve">4-5 </w:t>
      </w:r>
      <w:r w:rsidR="00364670">
        <w:rPr>
          <w:rFonts w:ascii="Arial" w:hAnsi="Arial" w:cs="Arial"/>
          <w:sz w:val="22"/>
          <w:szCs w:val="22"/>
          <w:lang w:val="en-US"/>
        </w:rPr>
        <w:t xml:space="preserve">is </w:t>
      </w:r>
      <w:r w:rsidR="00C81B32">
        <w:rPr>
          <w:rFonts w:ascii="Arial" w:hAnsi="Arial" w:cs="Arial"/>
          <w:sz w:val="22"/>
          <w:szCs w:val="22"/>
          <w:lang w:val="en-US"/>
        </w:rPr>
        <w:t xml:space="preserve">briefly </w:t>
      </w:r>
      <w:r w:rsidR="00364670">
        <w:rPr>
          <w:rFonts w:ascii="Arial" w:hAnsi="Arial" w:cs="Arial"/>
          <w:sz w:val="22"/>
          <w:szCs w:val="22"/>
          <w:lang w:val="en-US"/>
        </w:rPr>
        <w:t xml:space="preserve">introduced at </w:t>
      </w:r>
      <w:r w:rsidR="002312A0">
        <w:rPr>
          <w:rFonts w:ascii="Arial" w:hAnsi="Arial" w:cs="Arial"/>
          <w:sz w:val="22"/>
          <w:szCs w:val="22"/>
          <w:lang w:val="en-US"/>
        </w:rPr>
        <w:t xml:space="preserve">the </w:t>
      </w:r>
      <w:r w:rsidR="00364670">
        <w:rPr>
          <w:rFonts w:ascii="Arial" w:hAnsi="Arial" w:cs="Arial"/>
          <w:sz w:val="22"/>
          <w:szCs w:val="22"/>
          <w:lang w:val="en-US"/>
        </w:rPr>
        <w:t xml:space="preserve">beginning </w:t>
      </w:r>
      <w:r w:rsidR="002312A0">
        <w:rPr>
          <w:rFonts w:ascii="Arial" w:hAnsi="Arial" w:cs="Arial"/>
          <w:sz w:val="22"/>
          <w:szCs w:val="22"/>
          <w:lang w:val="en-US"/>
        </w:rPr>
        <w:t>of each aim.</w:t>
      </w:r>
    </w:p>
    <w:p w14:paraId="5F633651" w14:textId="4949E243" w:rsidR="006B77C3" w:rsidRPr="003A5293" w:rsidRDefault="00787044" w:rsidP="00787044">
      <w:pPr>
        <w:pStyle w:val="Formatvorlage1"/>
        <w:rPr>
          <w:rFonts w:cs="Arial"/>
        </w:rPr>
      </w:pPr>
      <w:bookmarkStart w:id="1" w:name="_Toc57582476"/>
      <w:r w:rsidRPr="003A5293">
        <w:rPr>
          <w:rFonts w:cs="Arial"/>
        </w:rPr>
        <w:t xml:space="preserve">1.1 </w:t>
      </w:r>
      <w:r w:rsidR="006B77C3" w:rsidRPr="003A5293">
        <w:rPr>
          <w:rFonts w:cs="Arial"/>
        </w:rPr>
        <w:t xml:space="preserve">Role of DDR in </w:t>
      </w:r>
      <w:r w:rsidR="00C45D32" w:rsidRPr="003A5293">
        <w:rPr>
          <w:rFonts w:cs="Arial"/>
        </w:rPr>
        <w:t xml:space="preserve">acute </w:t>
      </w:r>
      <w:r w:rsidR="008D5700" w:rsidRPr="003A5293">
        <w:rPr>
          <w:rFonts w:cs="Arial"/>
        </w:rPr>
        <w:t>leukemia</w:t>
      </w:r>
      <w:r w:rsidR="006B77C3" w:rsidRPr="003A5293">
        <w:rPr>
          <w:rFonts w:cs="Arial"/>
        </w:rPr>
        <w:t xml:space="preserve"> development</w:t>
      </w:r>
      <w:bookmarkEnd w:id="1"/>
    </w:p>
    <w:p w14:paraId="7C27A155" w14:textId="77777777" w:rsidR="00507F6B" w:rsidRPr="003A5293" w:rsidRDefault="00507F6B" w:rsidP="00C45D32">
      <w:pPr>
        <w:spacing w:line="360" w:lineRule="auto"/>
        <w:ind w:firstLine="708"/>
        <w:jc w:val="both"/>
        <w:rPr>
          <w:rFonts w:ascii="Arial" w:hAnsi="Arial" w:cs="Arial"/>
          <w:sz w:val="22"/>
          <w:szCs w:val="22"/>
          <w:lang w:val="en-US"/>
        </w:rPr>
      </w:pPr>
    </w:p>
    <w:p w14:paraId="176526E7" w14:textId="662539AE" w:rsidR="00787044" w:rsidRPr="006F5ABC" w:rsidRDefault="00C45D32" w:rsidP="00C45D32">
      <w:pPr>
        <w:spacing w:line="360" w:lineRule="auto"/>
        <w:ind w:firstLine="708"/>
        <w:jc w:val="both"/>
        <w:rPr>
          <w:rFonts w:ascii="Arial" w:hAnsi="Arial" w:cs="Arial"/>
          <w:sz w:val="22"/>
          <w:szCs w:val="22"/>
          <w:lang w:val="en-US"/>
        </w:rPr>
      </w:pPr>
      <w:r w:rsidRPr="006F5ABC">
        <w:rPr>
          <w:rFonts w:ascii="Arial" w:hAnsi="Arial" w:cs="Arial"/>
          <w:sz w:val="22"/>
          <w:szCs w:val="22"/>
          <w:lang w:val="en-US"/>
        </w:rPr>
        <w:t>Acute leukemias</w:t>
      </w:r>
      <w:r w:rsidR="008F04B3" w:rsidRPr="006F5ABC">
        <w:rPr>
          <w:rFonts w:ascii="Arial" w:hAnsi="Arial" w:cs="Arial"/>
          <w:sz w:val="22"/>
          <w:szCs w:val="22"/>
          <w:lang w:val="en-US"/>
        </w:rPr>
        <w:t xml:space="preserve">, with the most </w:t>
      </w:r>
      <w:r w:rsidR="00B034CE" w:rsidRPr="006F5ABC">
        <w:rPr>
          <w:rFonts w:ascii="Arial" w:hAnsi="Arial" w:cs="Arial"/>
          <w:sz w:val="22"/>
          <w:szCs w:val="22"/>
          <w:lang w:val="en-US"/>
        </w:rPr>
        <w:t>prevalent</w:t>
      </w:r>
      <w:r w:rsidR="008F04B3" w:rsidRPr="006F5ABC">
        <w:rPr>
          <w:rFonts w:ascii="Arial" w:hAnsi="Arial" w:cs="Arial"/>
          <w:sz w:val="22"/>
          <w:szCs w:val="22"/>
          <w:lang w:val="en-US"/>
        </w:rPr>
        <w:t xml:space="preserve"> </w:t>
      </w:r>
      <w:r w:rsidR="00290B27" w:rsidRPr="006F5ABC">
        <w:rPr>
          <w:rFonts w:ascii="Arial" w:hAnsi="Arial" w:cs="Arial"/>
          <w:sz w:val="22"/>
          <w:szCs w:val="22"/>
          <w:lang w:val="en-US"/>
        </w:rPr>
        <w:t>acute myeloid leukemia (</w:t>
      </w:r>
      <w:r w:rsidR="008F04B3" w:rsidRPr="006F5ABC">
        <w:rPr>
          <w:rFonts w:ascii="Arial" w:hAnsi="Arial" w:cs="Arial"/>
          <w:sz w:val="22"/>
          <w:szCs w:val="22"/>
          <w:lang w:val="en-US"/>
        </w:rPr>
        <w:t>AML</w:t>
      </w:r>
      <w:r w:rsidR="00290B27" w:rsidRPr="006F5ABC">
        <w:rPr>
          <w:rFonts w:ascii="Arial" w:hAnsi="Arial" w:cs="Arial"/>
          <w:sz w:val="22"/>
          <w:szCs w:val="22"/>
          <w:lang w:val="en-US"/>
        </w:rPr>
        <w:t>)</w:t>
      </w:r>
      <w:r w:rsidR="008F04B3" w:rsidRPr="006F5ABC">
        <w:rPr>
          <w:rFonts w:ascii="Arial" w:hAnsi="Arial" w:cs="Arial"/>
          <w:sz w:val="22"/>
          <w:szCs w:val="22"/>
          <w:lang w:val="en-US"/>
        </w:rPr>
        <w:t>,</w:t>
      </w:r>
      <w:r w:rsidRPr="006F5ABC">
        <w:rPr>
          <w:rFonts w:ascii="Arial" w:hAnsi="Arial" w:cs="Arial"/>
          <w:sz w:val="22"/>
          <w:szCs w:val="22"/>
          <w:lang w:val="en-US"/>
        </w:rPr>
        <w:t xml:space="preserve"> are multistep transforming disease</w:t>
      </w:r>
      <w:r w:rsidR="00364670">
        <w:rPr>
          <w:rFonts w:ascii="Arial" w:hAnsi="Arial" w:cs="Arial"/>
          <w:sz w:val="22"/>
          <w:szCs w:val="22"/>
          <w:lang w:val="en-US"/>
        </w:rPr>
        <w:t>s</w:t>
      </w:r>
      <w:r w:rsidRPr="006F5ABC">
        <w:rPr>
          <w:rFonts w:ascii="Arial" w:hAnsi="Arial" w:cs="Arial"/>
          <w:sz w:val="22"/>
          <w:szCs w:val="22"/>
          <w:lang w:val="en-US"/>
        </w:rPr>
        <w:t xml:space="preserve">, which evolve from former preleukemic phase characterized by genetic and epigenetic changes in hematopoietic stem cells (HSCs), establishing pre-leukemia stem cells (pre-LSCs), </w:t>
      </w:r>
      <w:r w:rsidR="00421C0B" w:rsidRPr="006F5ABC">
        <w:rPr>
          <w:rFonts w:ascii="Arial" w:hAnsi="Arial" w:cs="Arial"/>
          <w:sz w:val="22"/>
          <w:szCs w:val="22"/>
          <w:lang w:val="en-US"/>
        </w:rPr>
        <w:t>which drive</w:t>
      </w:r>
      <w:r w:rsidRPr="006F5ABC">
        <w:rPr>
          <w:rFonts w:ascii="Arial" w:hAnsi="Arial" w:cs="Arial"/>
          <w:sz w:val="22"/>
          <w:szCs w:val="22"/>
          <w:lang w:val="en-US"/>
        </w:rPr>
        <w:t xml:space="preserve"> clonal hematopoiesis and myeloid linage expansion </w:t>
      </w:r>
      <w:r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{"citationID":"5D4GTTAp","properties":{"formattedCitation":"(Pandolfi et al., 2013)","plainCitation":"(Pandolfi et al., 2013)","noteIndex":0},"citationItems":[{"id":207,"uris":["http://zotero.org/users/2484452/items/DQESSQPP"],"uri":["http://zotero.org/users/2484452/items/DQESSQPP"],"itemData":{"id":207,"type":"article-journal","abstract":"Despite the established use of poly-chemotherapy, relapse continues to be the most common cause of death in acute myeloid leukemia (AML) and myelodysplastic syndromes (MDS). The therapeutic elimination of all leukemia stem cells (LSC) and pre-LSC will be essential for achieving lasting cures. This article reviews recent and ongoing advances in understanding the roles of pre-LSC, and the aberrations that lead to pre-LSC formation and subsequent LSC transformation., Recent experimental evidence has shown that acute myeloid leukemia (AML) and myelodysplastic syndromes (MDS) arise from transformed immature hematopoietic cells following the accumulation of multiple stepwise genetic and epigenetic changes in hematopoietic stem cells and committed progenitors. The series of transforming events initially gives rise to preleukemic stem cells (pre-LSC), preceding the formation of fully transformed leukemia stem cells (LSC). Despite the established use of poly-chemotherapy, relapse continues to be the most common cause of death in AML and MDS. The therapeutic elimination of all LSC, as well as pre-LSC, which provide a silent reservoir for the re-formation of LSC, will be essential for achieving lasting cures. Conventional sequencing and next-generation genome sequencing have allowed us to describe many of the recurrent mutations in the bulk cell populations in AML and MDS, and recent work has also focused on identifying the initial molecular changes contributing to leukemogenesis. Here we review recent and ongoing advances in understanding the roles of pre-LSC, and the aberrations that lead to pre-LSC formation and subsequent LSC transformation.","container-title":"Stem Cells Translational Medicine","DOI":"10.5966/sctm.2012-0109","ISSN":"2157-6564","issue":"2","journalAbbreviation":"Stem Cells Transl Med","note":"PMID: 23349328\nPMCID: PMC3659760","page":"143-150","source":"PubMed Central","title":"Concise Review: Preleukemic Stem Cells: Molecular Biology and Clinical Implications of the Precursors to Leukemia Stem Cells","title-short":"Concise Review","volume":"2","author":[{"family":"Pandolfi","given":"Ashley"},{"family":"Barreyro","given":"Laura"},{"family":"Steidl","given":"Ulrich"}],"issued":{"date-parts":[["2013",2]]}}}],"schema":"https://github.com/citation-style-language/schema/raw/master/csl-citation.json"} </w:instrText>
      </w:r>
      <w:r w:rsidRPr="006F5ABC">
        <w:rPr>
          <w:rFonts w:ascii="Arial" w:hAnsi="Arial" w:cs="Arial"/>
          <w:sz w:val="22"/>
          <w:szCs w:val="22"/>
          <w:lang w:val="en-US"/>
        </w:rPr>
        <w:fldChar w:fldCharType="separate"/>
      </w:r>
      <w:r w:rsidRPr="006F5ABC">
        <w:rPr>
          <w:rFonts w:ascii="Arial" w:hAnsi="Arial" w:cs="Arial"/>
          <w:noProof/>
          <w:sz w:val="22"/>
          <w:szCs w:val="22"/>
          <w:lang w:val="en-US"/>
        </w:rPr>
        <w:t>(Pandolfi et al., 2013)</w:t>
      </w:r>
      <w:r w:rsidRPr="006F5ABC">
        <w:rPr>
          <w:rFonts w:ascii="Arial" w:hAnsi="Arial" w:cs="Arial"/>
          <w:sz w:val="22"/>
          <w:szCs w:val="22"/>
          <w:lang w:val="en-US"/>
        </w:rPr>
        <w:fldChar w:fldCharType="end"/>
      </w:r>
      <w:r w:rsidRPr="006F5ABC">
        <w:rPr>
          <w:rFonts w:ascii="Arial" w:hAnsi="Arial" w:cs="Arial"/>
          <w:sz w:val="22"/>
          <w:szCs w:val="22"/>
          <w:lang w:val="en-US"/>
        </w:rPr>
        <w:t>. Eventually, through the process of clonal evolution</w:t>
      </w:r>
      <w:r w:rsidR="00364670">
        <w:rPr>
          <w:rFonts w:ascii="Arial" w:hAnsi="Arial" w:cs="Arial"/>
          <w:sz w:val="22"/>
          <w:szCs w:val="22"/>
          <w:lang w:val="en-US"/>
        </w:rPr>
        <w:t>,</w:t>
      </w:r>
      <w:r w:rsidRPr="006F5ABC">
        <w:rPr>
          <w:rFonts w:ascii="Arial" w:hAnsi="Arial" w:cs="Arial"/>
          <w:sz w:val="22"/>
          <w:szCs w:val="22"/>
          <w:lang w:val="en-US"/>
        </w:rPr>
        <w:t xml:space="preserve"> pre-LSCs transform to leukemia stem cells (LSCs), defined by their capacity to induce aggressive, short-onset leukemias with clonal expansion of immature hematopoietic cells </w:t>
      </w:r>
      <w:r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{"citationID":"nK3rDEFL","properties":{"formattedCitation":"(Pandolfi et al., 2013)","plainCitation":"(Pandolfi et al., 2013)","noteIndex":0},"citationItems":[{"id":207,"uris":["http://zotero.org/users/2484452/items/DQESSQPP"],"uri":["http://zotero.org/users/2484452/items/DQESSQPP"],"itemData":{"id":207,"type":"article-journal","abstract":"Despite the established use of poly-chemotherapy, relapse continues to be the most common cause of death in acute myeloid leukemia (AML) and myelodysplastic syndromes (MDS). The therapeutic elimination of all leukemia stem cells (LSC) and pre-LSC will be essential for achieving lasting cures. This article reviews recent and ongoing advances in understanding the roles of pre-LSC, and the aberrations that lead to pre-LSC formation and subsequent LSC transformation., Recent experimental evidence has shown that acute myeloid leukemia (AML) and myelodysplastic syndromes (MDS) arise from transformed immature hematopoietic cells following the accumulation of multiple stepwise genetic and epigenetic changes in hematopoietic stem cells and committed progenitors. The series of transforming events initially gives rise to preleukemic stem cells (pre-LSC), preceding the formation of fully transformed leukemia stem cells (LSC). Despite the established use of poly-chemotherapy, relapse continues to be the most common cause of death in AML and MDS. The therapeutic elimination of all LSC, as well as pre-LSC, which provide a silent reservoir for the re-formation of LSC, will be essential for achieving lasting cures. Conventional sequencing and next-generation genome sequencing have allowed us to describe many of the recurrent mutations in the bulk cell populations in AML and MDS, and recent work has also focused on identifying the initial molecular changes contributing to leukemogenesis. Here we review recent and ongoing advances in understanding the roles of pre-LSC, and the aberrations that lead to pre-LSC formation and subsequent LSC transformation.","container-title":"Stem Cells Translational Medicine","DOI":"10.5966/sctm.2012-0109","ISSN":"2157-6564","issue":"2","journalAbbreviation":"Stem Cells Transl Med","note":"PMID: 23349328\nPMCID: PMC3659760","page":"143-150","source":"PubMed Central","title":"Concise Review: Preleukemic Stem Cells: Molecular Biology and Clinical Implications of the Precursors to Leukemia Stem Cells","title-short":"Concise Review","volume":"2","author":[{"family":"Pandolfi","given":"Ashley"},{"family":"Barreyro","given":"Laura"},{"family":"Steidl","given":"Ulrich"}],"issued":{"date-parts":[["2013",2]]}}}],"schema":"https://github.com/citation-style-language/schema/raw/master/csl-citation.json"} </w:instrText>
      </w:r>
      <w:r w:rsidRPr="006F5ABC">
        <w:rPr>
          <w:rFonts w:ascii="Arial" w:hAnsi="Arial" w:cs="Arial"/>
          <w:sz w:val="22"/>
          <w:szCs w:val="22"/>
          <w:lang w:val="en-US"/>
        </w:rPr>
        <w:fldChar w:fldCharType="separate"/>
      </w:r>
      <w:r w:rsidRPr="006F5ABC">
        <w:rPr>
          <w:rFonts w:ascii="Arial" w:hAnsi="Arial" w:cs="Arial"/>
          <w:noProof/>
          <w:sz w:val="22"/>
          <w:szCs w:val="22"/>
          <w:lang w:val="en-US"/>
        </w:rPr>
        <w:t>(Pandolfi et al., 2013)</w:t>
      </w:r>
      <w:r w:rsidRPr="006F5ABC">
        <w:rPr>
          <w:rFonts w:ascii="Arial" w:hAnsi="Arial" w:cs="Arial"/>
          <w:sz w:val="22"/>
          <w:szCs w:val="22"/>
          <w:lang w:val="en-US"/>
        </w:rPr>
        <w:fldChar w:fldCharType="end"/>
      </w:r>
      <w:r w:rsidRPr="006F5ABC">
        <w:rPr>
          <w:rFonts w:ascii="Arial" w:hAnsi="Arial" w:cs="Arial"/>
          <w:sz w:val="22"/>
          <w:szCs w:val="22"/>
          <w:lang w:val="en-US"/>
        </w:rPr>
        <w:t>.</w:t>
      </w:r>
      <w:r w:rsidR="00B956E3" w:rsidRPr="006F5ABC">
        <w:rPr>
          <w:rFonts w:ascii="Arial" w:hAnsi="Arial" w:cs="Arial"/>
          <w:sz w:val="22"/>
          <w:szCs w:val="22"/>
          <w:lang w:val="en-US"/>
        </w:rPr>
        <w:t xml:space="preserve"> AML-associated mutations in preleukemia phase create substantial mutational landscape, with several mutations </w:t>
      </w:r>
      <w:r w:rsidR="0055374D" w:rsidRPr="006F5ABC">
        <w:rPr>
          <w:rFonts w:ascii="Arial" w:hAnsi="Arial" w:cs="Arial"/>
          <w:sz w:val="22"/>
          <w:szCs w:val="22"/>
          <w:lang w:val="en-US"/>
        </w:rPr>
        <w:t xml:space="preserve">frequent also in aging hematopoiesis, which </w:t>
      </w:r>
      <w:r w:rsidR="00B956E3" w:rsidRPr="006F5ABC">
        <w:rPr>
          <w:rFonts w:ascii="Arial" w:hAnsi="Arial" w:cs="Arial"/>
          <w:sz w:val="22"/>
          <w:szCs w:val="22"/>
          <w:lang w:val="en-US"/>
        </w:rPr>
        <w:t>modulat</w:t>
      </w:r>
      <w:r w:rsidR="0055374D" w:rsidRPr="006F5ABC">
        <w:rPr>
          <w:rFonts w:ascii="Arial" w:hAnsi="Arial" w:cs="Arial"/>
          <w:sz w:val="22"/>
          <w:szCs w:val="22"/>
          <w:lang w:val="en-US"/>
        </w:rPr>
        <w:t>e</w:t>
      </w:r>
      <w:r w:rsidR="00B956E3" w:rsidRPr="006F5ABC">
        <w:rPr>
          <w:rFonts w:ascii="Arial" w:hAnsi="Arial" w:cs="Arial"/>
          <w:sz w:val="22"/>
          <w:szCs w:val="22"/>
          <w:lang w:val="en-US"/>
        </w:rPr>
        <w:t xml:space="preserve"> epigenome activities, self-renewal, proliferation and activation of DDR</w:t>
      </w:r>
      <w:r w:rsidR="0055374D" w:rsidRPr="006F5ABC">
        <w:rPr>
          <w:rFonts w:ascii="Arial" w:hAnsi="Arial" w:cs="Arial"/>
          <w:sz w:val="22"/>
          <w:szCs w:val="22"/>
          <w:lang w:val="en-US"/>
        </w:rPr>
        <w:t xml:space="preserve"> </w:t>
      </w:r>
      <w:r w:rsidR="0055374D"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{"citationID":"HTjazs4o","properties":{"formattedCitation":"(Busque et al., 2018; Jaiswal and Ebert, 2019)","plainCitation":"(Busque et al., 2018; Jaiswal and Ebert, 2019)","noteIndex":0},"citationItems":[{"id":903,"uris":["http://zotero.org/users/2484452/items/4R57NG7C"],"uri":["http://zotero.org/users/2484452/items/4R57NG7C"],"itemData":{"id":903,"type":"article-journal","abstract":"The recent characterization of clonal hematopoiesis in a large segment of the aging population has raised tremendous interest and concern alike. Mutations have been documented in genes associated with hematological cancers and in non-driver candidates. These mutations are present at low frequency in the majority of individuals after middle-age, and principally affect the epigenetic modifiers DNMT3A and TET2. In 10%-40% of cases, the clone will progress to meet the diagnostic criteria for Clonal Hematopoiesis of Indeterminate Potential, which is associated with an increased risk of hematological cancer and cardiovascular mortality. Blood cell parameters appear unmodified in these individuals, but a minority of them will develop a hematologic malignancy. At this time, the factors put forward as potentially influencing the risk of cancer development are clone size, specific gene, specific mutation, and the number of mutations. Specific stress on hematopoiesis also gives rise to clonal expansion. Genotoxic exposure (such as chemotherapy), or immune attack (as in aplastic anemia) selects/provides a fitness advantage to clones with a context-specific signature. Clonal hematopoiesis offers a new opportunity to understand the biology and adaptation mechanisms of aging hematopoiesis and provides insight into the mechanisms underlying malignant transformation. Furthermore, it might shed light on common denominators of age-associated medical conditions and help devise global strategies that will impact the prevention of hematologic cancers and promote healthy aging. Stem Cells 2018;36:1287-1294.","container-title":"Stem Cells (Dayton, Ohio)","DOI":"10.1002/stem.2845","ISSN":"1549-4918","issue":"9","journalAbbreviation":"Stem Cells","language":"eng","note":"PMID: 29883022\nPMCID: PMC6125185","page":"1287-1294","source":"PubMed","title":"Concise Review: Age-Related Clonal Hematopoiesis: Stem Cells Tempting the Devil","title-short":"Concise Review","volume":"36","author":[{"family":"Busque","given":"Lambert"},{"family":"Buscarlet","given":"Manuel"},{"family":"Mollica","given":"Luigina"},{"family":"Levine","given":"Ross L."}],"issued":{"date-parts":[["2018"]]}}},{"id":906,"uris":["http://zotero.org/users/2484452/items/IEHB2MFD"],"uri":["http://zotero.org/users/2484452/items/IEHB2MFD"],"itemData":{"id":906,"type":"article-journal","abstract":"As people age, their tissues accumulate an increasing number of somatic mutations. Although most of these mutations are of little or no functional consequence, a mutation may arise that confers a fitness advantage on a cell. When this process happens in the hematopoietic system, a substantial proportion of circulating blood cells may derive from a single mutated stem cell. This outgrowth, called \"clonal hematopoiesis,\" is highly prevalent in the elderly population. Here we discuss recent advances in our knowledge of clonal hematopoiesis, its relationship to malignancies, its link to nonmalignant diseases of aging, and its potential impact on immune function. Clonal hematopoiesis provides a glimpse into the process of mutation and selection that likely occurs in all somatic tissues.","container-title":"Science (New York, N.Y.)","DOI":"10.1126/science.aan4673","ISSN":"1095-9203","issue":"6465","journalAbbreviation":"Science","language":"eng","note":"PMID: 31672865","source":"PubMed","title":"Clonal hematopoiesis in human aging and disease","volume":"366","author":[{"family":"Jaiswal","given":"Siddhartha"},{"family":"Ebert","given":"Benjamin L."}],"issued":{"date-parts":[["2019"]],"season":"01"}}}],"schema":"https://github.com/citation-style-language/schema/raw/master/csl-citation.json"} </w:instrText>
      </w:r>
      <w:r w:rsidR="0055374D" w:rsidRPr="006F5ABC">
        <w:rPr>
          <w:rFonts w:ascii="Arial" w:hAnsi="Arial" w:cs="Arial"/>
          <w:sz w:val="22"/>
          <w:szCs w:val="22"/>
          <w:lang w:val="en-US"/>
        </w:rPr>
        <w:fldChar w:fldCharType="separate"/>
      </w:r>
      <w:r w:rsidR="0030798E" w:rsidRPr="006F5ABC">
        <w:rPr>
          <w:rFonts w:ascii="Arial" w:hAnsi="Arial" w:cs="Arial"/>
          <w:noProof/>
          <w:sz w:val="22"/>
          <w:szCs w:val="22"/>
          <w:lang w:val="en-US"/>
        </w:rPr>
        <w:t>(Busque et al., 2018; Jaiswal and Ebert, 2019)</w:t>
      </w:r>
      <w:r w:rsidR="0055374D" w:rsidRPr="006F5ABC">
        <w:rPr>
          <w:rFonts w:ascii="Arial" w:hAnsi="Arial" w:cs="Arial"/>
          <w:sz w:val="22"/>
          <w:szCs w:val="22"/>
          <w:lang w:val="en-US"/>
        </w:rPr>
        <w:fldChar w:fldCharType="end"/>
      </w:r>
      <w:r w:rsidR="00B956E3" w:rsidRPr="006F5ABC">
        <w:rPr>
          <w:rFonts w:ascii="Arial" w:hAnsi="Arial" w:cs="Arial"/>
          <w:sz w:val="22"/>
          <w:szCs w:val="22"/>
          <w:lang w:val="en-US"/>
        </w:rPr>
        <w:t>.</w:t>
      </w:r>
      <w:r w:rsidR="0055374D" w:rsidRPr="006F5ABC">
        <w:rPr>
          <w:rFonts w:ascii="Arial" w:hAnsi="Arial" w:cs="Arial"/>
          <w:sz w:val="22"/>
          <w:szCs w:val="22"/>
          <w:lang w:val="en-US"/>
        </w:rPr>
        <w:t xml:space="preserve"> Besides important predisposing mutations in </w:t>
      </w:r>
      <w:r w:rsidR="00B034CE" w:rsidRPr="006F5ABC">
        <w:rPr>
          <w:rFonts w:ascii="Arial" w:hAnsi="Arial" w:cs="Arial"/>
          <w:sz w:val="22"/>
          <w:szCs w:val="22"/>
          <w:lang w:val="en-US"/>
        </w:rPr>
        <w:t>epigenome modifiers</w:t>
      </w:r>
      <w:r w:rsidR="0055374D" w:rsidRPr="006F5ABC">
        <w:rPr>
          <w:rFonts w:ascii="Arial" w:hAnsi="Arial" w:cs="Arial"/>
          <w:sz w:val="22"/>
          <w:szCs w:val="22"/>
          <w:lang w:val="en-US"/>
        </w:rPr>
        <w:t xml:space="preserve"> like </w:t>
      </w:r>
      <w:r w:rsidR="0055374D" w:rsidRPr="006F5ABC">
        <w:rPr>
          <w:rFonts w:ascii="Arial" w:hAnsi="Arial" w:cs="Arial"/>
          <w:i/>
          <w:iCs/>
          <w:sz w:val="22"/>
          <w:szCs w:val="22"/>
          <w:lang w:val="en-US"/>
        </w:rPr>
        <w:t>DNMT3A</w:t>
      </w:r>
      <w:r w:rsidR="0055374D" w:rsidRPr="006F5ABC">
        <w:rPr>
          <w:rFonts w:ascii="Arial" w:hAnsi="Arial" w:cs="Arial"/>
          <w:sz w:val="22"/>
          <w:szCs w:val="22"/>
          <w:lang w:val="en-US"/>
        </w:rPr>
        <w:t xml:space="preserve">, </w:t>
      </w:r>
      <w:r w:rsidR="0055374D" w:rsidRPr="006F5ABC">
        <w:rPr>
          <w:rFonts w:ascii="Arial" w:hAnsi="Arial" w:cs="Arial"/>
          <w:i/>
          <w:iCs/>
          <w:sz w:val="22"/>
          <w:szCs w:val="22"/>
          <w:lang w:val="en-US"/>
        </w:rPr>
        <w:t>TET2</w:t>
      </w:r>
      <w:r w:rsidR="0055374D" w:rsidRPr="006F5ABC">
        <w:rPr>
          <w:rFonts w:ascii="Arial" w:hAnsi="Arial" w:cs="Arial"/>
          <w:sz w:val="22"/>
          <w:szCs w:val="22"/>
          <w:lang w:val="en-US"/>
        </w:rPr>
        <w:t xml:space="preserve"> or </w:t>
      </w:r>
      <w:r w:rsidR="0055374D" w:rsidRPr="006F5ABC">
        <w:rPr>
          <w:rFonts w:ascii="Arial" w:hAnsi="Arial" w:cs="Arial"/>
          <w:i/>
          <w:iCs/>
          <w:sz w:val="22"/>
          <w:szCs w:val="22"/>
          <w:lang w:val="en-US"/>
        </w:rPr>
        <w:t>EZH2</w:t>
      </w:r>
      <w:r w:rsidR="0055374D" w:rsidRPr="006F5ABC">
        <w:rPr>
          <w:rFonts w:ascii="Arial" w:hAnsi="Arial" w:cs="Arial"/>
          <w:sz w:val="22"/>
          <w:szCs w:val="22"/>
          <w:lang w:val="en-US"/>
        </w:rPr>
        <w:t xml:space="preserve">, some mutations present in preleukemic phase of AML are high risk mutations, significantly associated with AML transformation. These includes classical oncogenes like </w:t>
      </w:r>
      <w:r w:rsidR="0055374D" w:rsidRPr="006F5ABC">
        <w:rPr>
          <w:rFonts w:ascii="Arial" w:hAnsi="Arial" w:cs="Arial"/>
          <w:i/>
          <w:iCs/>
          <w:sz w:val="22"/>
          <w:szCs w:val="22"/>
          <w:lang w:val="en-US"/>
        </w:rPr>
        <w:t>FLT3</w:t>
      </w:r>
      <w:r w:rsidR="0055374D" w:rsidRPr="006F5ABC">
        <w:rPr>
          <w:rFonts w:ascii="Arial" w:hAnsi="Arial" w:cs="Arial"/>
          <w:sz w:val="22"/>
          <w:szCs w:val="22"/>
          <w:lang w:val="en-US"/>
        </w:rPr>
        <w:t xml:space="preserve">, </w:t>
      </w:r>
      <w:r w:rsidR="0055374D" w:rsidRPr="006F5ABC">
        <w:rPr>
          <w:rFonts w:ascii="Arial" w:hAnsi="Arial" w:cs="Arial"/>
          <w:i/>
          <w:iCs/>
          <w:sz w:val="22"/>
          <w:szCs w:val="22"/>
          <w:lang w:val="en-US"/>
        </w:rPr>
        <w:t>RAS</w:t>
      </w:r>
      <w:r w:rsidR="0055374D" w:rsidRPr="006F5ABC">
        <w:rPr>
          <w:rFonts w:ascii="Arial" w:hAnsi="Arial" w:cs="Arial"/>
          <w:sz w:val="22"/>
          <w:szCs w:val="22"/>
          <w:lang w:val="en-US"/>
        </w:rPr>
        <w:t xml:space="preserve"> or </w:t>
      </w:r>
      <w:r w:rsidR="0055374D" w:rsidRPr="006F5ABC">
        <w:rPr>
          <w:rFonts w:ascii="Arial" w:hAnsi="Arial" w:cs="Arial"/>
          <w:i/>
          <w:iCs/>
          <w:sz w:val="22"/>
          <w:szCs w:val="22"/>
          <w:lang w:val="en-US"/>
        </w:rPr>
        <w:t>KIT</w:t>
      </w:r>
      <w:r w:rsidR="0055374D" w:rsidRPr="006F5ABC">
        <w:rPr>
          <w:rFonts w:ascii="Arial" w:hAnsi="Arial" w:cs="Arial"/>
          <w:sz w:val="22"/>
          <w:szCs w:val="22"/>
          <w:lang w:val="en-US"/>
        </w:rPr>
        <w:t xml:space="preserve">, but also important DDR components like </w:t>
      </w:r>
      <w:r w:rsidR="0055374D" w:rsidRPr="006F5ABC">
        <w:rPr>
          <w:rFonts w:ascii="Arial" w:hAnsi="Arial" w:cs="Arial"/>
          <w:i/>
          <w:iCs/>
          <w:sz w:val="22"/>
          <w:szCs w:val="22"/>
          <w:lang w:val="en-US"/>
        </w:rPr>
        <w:t>TP53</w:t>
      </w:r>
      <w:r w:rsidR="0055374D" w:rsidRPr="006F5ABC">
        <w:rPr>
          <w:rFonts w:ascii="Arial" w:hAnsi="Arial" w:cs="Arial"/>
          <w:sz w:val="22"/>
          <w:szCs w:val="22"/>
          <w:lang w:val="en-US"/>
        </w:rPr>
        <w:t xml:space="preserve">, </w:t>
      </w:r>
      <w:r w:rsidR="0055374D" w:rsidRPr="006F5ABC">
        <w:rPr>
          <w:rFonts w:ascii="Arial" w:hAnsi="Arial" w:cs="Arial"/>
          <w:i/>
          <w:iCs/>
          <w:sz w:val="22"/>
          <w:szCs w:val="22"/>
          <w:lang w:val="en-US"/>
        </w:rPr>
        <w:t>CHEK2</w:t>
      </w:r>
      <w:r w:rsidR="0055374D" w:rsidRPr="006F5ABC">
        <w:rPr>
          <w:rFonts w:ascii="Arial" w:hAnsi="Arial" w:cs="Arial"/>
          <w:sz w:val="22"/>
          <w:szCs w:val="22"/>
          <w:lang w:val="en-US"/>
        </w:rPr>
        <w:t xml:space="preserve"> and </w:t>
      </w:r>
      <w:r w:rsidR="0055374D" w:rsidRPr="006F5ABC">
        <w:rPr>
          <w:rFonts w:ascii="Arial" w:hAnsi="Arial" w:cs="Arial"/>
          <w:i/>
          <w:iCs/>
          <w:sz w:val="22"/>
          <w:szCs w:val="22"/>
          <w:lang w:val="en-US"/>
        </w:rPr>
        <w:t>IDH1/2</w:t>
      </w:r>
      <w:r w:rsidR="0055374D" w:rsidRPr="006F5ABC">
        <w:rPr>
          <w:rFonts w:ascii="Arial" w:hAnsi="Arial" w:cs="Arial"/>
          <w:sz w:val="22"/>
          <w:szCs w:val="22"/>
          <w:lang w:val="en-US"/>
        </w:rPr>
        <w:t xml:space="preserve"> </w:t>
      </w:r>
      <w:r w:rsidR="00F914BE"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{"citationID":"GYdaYMag","properties":{"formattedCitation":"(Corces-Zimmerman et al., 2014; Desai et al., 2018; Haferlach et al., 2014; Zhou et al., 2015)","plainCitation":"(Corces-Zimmerman et al., 2014; Desai et al., 2018; Haferlach et al., 2014; Zhou et al., 2015)","noteIndex":0},"citationItems":[{"id":910,"uris":["http://zotero.org/users/2484452/items/B4KNDRVE"],"uri":["http://zotero.org/users/2484452/items/B4KNDRVE"],"itemData":{"id":910,"type":"article-journal","abstract":"Cancer is widely characterized by the sequential acquisition of genetic lesions in a single lineage of cells. Our previous studies have shown that, in acute myeloid leukemia (AML), mutation acquisition occurs in functionally normal hematopoietic stem cells (HSCs). These preleukemic HSCs harbor some, but not all, of the mutations found in the leukemic cells. We report here the identification of patterns of mutation acquisition in human AML. Our findings support a model in which mutations in “landscaping” genes, involved in global chromatin changes such as DNA methylation, histone modification, and chromatin looping, occur early in the evolution of AML, whereas mutations in “proliferative” genes occur late. Additionally, we analyze the persistence of preleukemic mutations in patients in remission and find CD34+ progenitor cells and various mature cells that harbor preleukemic mutations. These findings indicate that preleukemic HSCs can survive induction chemotherapy, identifying these cells as a reservoir for the reevolution of relapsed disease. Finally, through the study of several cases of relapsed AML, we demonstrate various evolutionary patterns for the generation of relapsed disease and show that some of these patterns are consistent with involvement of preleukemic HSCs. These findings provide key insights into the monitoring of minimal residual disease and the identification of therapeutic targets in human AML.","container-title":"Proceedings of the National Academy of Sciences","DOI":"10.1073/pnas.1324297111","ISSN":"0027-8424, 1091-6490","issue":"7","journalAbbreviation":"PNAS","language":"en","note":"PMID: 24550281","page":"2548-2553","source":"www.pnas.org","title":"Preleukemic mutations in human acute myeloid leukemia affect epigenetic regulators and persist in remission","volume":"111","author":[{"family":"Corces-Zimmerman","given":"M. Ryan"},{"family":"Hong","given":"Wan-Jen"},{"family":"Weissman","given":"Irving L."},{"family":"Medeiros","given":"Bruno C."},{"family":"Majeti","given":"Ravindra"}],"issued":{"date-parts":[["2014",2,18]]}}},{"id":908,"uris":["http://zotero.org/users/2484452/items/SDRYTLUE"],"uri":["http://zotero.org/users/2484452/items/SDRYTLUE"],"itemData":{"id":908,"type":"article-journal","abstract":"The pattern of somatic mutations observed at diagnosis of acute myeloid leukemia (AML) has been well-characterized. However, the premalignant mutational landscape of AML and its impact on risk and time to diagnosis is unknown. Here we identified 212 women from the Women's Health Initiative who were healthy at study baseline, but eventually developed AML during follow-up (median time: 9.6 years). Deep sequencing was performed on peripheral blood DNA of these cases and compared to age-matched controls that did not develop AML. We discovered that mutations in IDH1, IDH2, TP53, DNMT3A, TET2 and spliceosome genes significantly increased the odds of developing AML. All subjects with TP53 mutations (n = 21 out of 21 patients) and IDH1 and IDH2 (n = 15 out of 15 patients) mutations eventually developed AML in our study. The presence of detectable mutations years before diagnosis suggests that there is a period of latency that precedes AML during which early detection, monitoring and interventional studies should be considered.","container-title":"Nature Medicine","DOI":"10.1038/s41591-018-0081-z","ISSN":"1546-170X","issue":"7","journalAbbreviation":"Nat. Med.","language":"eng","note":"PMID: 29988143\nPMCID: PMC6849383","page":"1015-1023","source":"PubMed","title":"Somatic mutations precede acute myeloid leukemia years before diagnosis","volume":"24","author":[{"family":"Desai","given":"Pinkal"},{"family":"Mencia-Trinchant","given":"Nuria"},{"family":"Savenkov","given":"Oleksandr"},{"family":"Simon","given":"Michael S."},{"family":"Cheang","given":"Gloria"},{"family":"Lee","given":"Sangmin"},{"family":"Samuel","given":"Michael"},{"family":"Ritchie","given":"Ellen K."},{"family":"Guzman","given":"Monica L."},{"family":"Ballman","given":"Karla V."},{"family":"Roboz","given":"Gail J."},{"family":"Hassane","given":"Duane C."}],"issued":{"date-parts":[["2018"]]}}},{"id":204,"uris":["http://zotero.org/users/2484452/items/ZG673QUU"],"uri":["http://zotero.org/users/2484452/items/ZG673QUU"],"itemData":{"id":204,"type":"article-journal","abstract":"High-throughput DNA sequencing significantly contributed to diagnosis and prognostication in patients with myelodysplastic syndromes (MDS). We determined the biological and prognostic significance of genetic aberrations in MDS. In total, 944 patients with various MDS subtypes were screened for known/putative mutations/deletions in 104 genes using targeted deep sequencing and array-based genomic hybridization. In total, 845/944 patients (89.5%) harbored at least one mutation (median, 3 per patient; range, 0-12). Forty-seven genes were significantly mutated with TET2, SF3B1, ASXL1, SRSF2, DNMT3A, and RUNX1 mutated in &gt;10% of cases. Many mutations were associated with higher risk groups and/or blast elevation. Survival was investigated in 875 patients. By univariate analysis, 25/48 genes (resulting from 47 genes tested significantly plus PRPF8) affected survival (P&lt;0.05). The status of 14 genes combined with conventional factors revealed a novel prognostic model ('Model-1') separating patients into four risk groups ('low', 'intermediate', 'high', 'very high risk') with 3-year survival of 95.2, 69.3, 32.8, and 5.3% (P&lt;0.001). Subsequently, a 'gene-only model' ('Model-2') was constructed based on 14 genes also yielding four significant risk groups (P&lt;0.001). Both models were reproducible in the validation cohort (n=175 patients; P&lt;0.001 each). Thus, large-scale genetic and molecular profiling of multiple target genes is invaluable for subclassification and prognostication in MDS patients.","container-title":"Leukemia","DOI":"10.1038/leu.2013.336","ISSN":"1476-5551","issue":"2","journalAbbreviation":"Leukemia","language":"eng","note":"PMID: 24220272\nPMCID: PMC3918868","page":"241-247","source":"PubMed","title":"Landscape of genetic lesions in 944 patients with myelodysplastic syndromes","volume":"28","author":[{"family":"Haferlach","given":"T."},{"family":"Nagata","given":"Y."},{"family":"Grossmann","given":"V."},{"family":"Okuno","given":"Y."},{"family":"Bacher","given":"U."},{"family":"Nagae","given":"G."},{"family":"Schnittger","given":"S."},{"family":"Sanada","given":"M."},{"family":"Kon","given":"A."},{"family":"Alpermann","given":"T."},{"family":"Yoshida","given":"K."},{"family":"Roller","given":"A."},{"family":"Nadarajah","given":"N."},{"family":"Shiraishi","given":"Y."},{"family":"Shiozawa","given":"Y."},{"family":"Chiba","given":"K."},{"family":"Tanaka","given":"H."},{"family":"Koeffler","given":"H. P."},{"family":"Klein","given":"H.-U."},{"family":"Dugas","given":"M."},{"family":"Aburatani","given":"H."},{"family":"Kohlmann","given":"A."},{"family":"Miyano","given":"S."},{"family":"Haferlach","given":"C."},{"family":"Kern","given":"W."},{"family":"Ogawa","given":"S."}],"issued":{"date-parts":[["2014",2]]}}},{"id":209,"uris":["http://zotero.org/users/2484452/items/6VYNGHRD"],"uri":["http://zotero.org/users/2484452/items/6VYNGHRD"],"itemData":{"id":209,"type":"article-journal","abstract":"Hematopoietic stem cells (HSCs) are responsible for the continuous regeneration of all types of blood cells, including themselves. To ensure the functional and genomic integrity of blood tissue, a network of regulatory pathways tightly controls the proliferative status of HSCs. Nevertheless, normal HSC aging is associated with a noticeable decline in regenerative potential and possible changes in other functions. Myelodysplastic syndrome (MDS) is an age-associated hematopoietic malignancy, characterized by abnormal blood cell maturation and a high propensity for leukemic transformation. It is furthermore thought to originate in a HSC and to be associated with the accrual of multiple genetic and epigenetic aberrations. This raises the question whether MDS is, in part, related to an inability to adequately cope with DNA damage. Here we discuss the various components of the cellular response to DNA damage. For each component, we evaluate related studies that may shed light on a potential relationship between MDS development and aberrant DNA damage response/repair.","container-title":"International Journal of Molecular Sciences","DOI":"10.3390/ijms16010966","ISSN":"1422-0067","issue":"1","journalAbbreviation":"Int J Mol Sci","note":"PMID: 25569081\nPMCID: PMC4307285","page":"966-989","source":"PubMed Central","title":"Potential Relationship between Inadequate Response to DNA Damage and Development of Myelodysplastic Syndrome","volume":"16","author":[{"family":"Zhou","given":"Ting"},{"family":"Chen","given":"Peishuai"},{"family":"Gu","given":"Jian"},{"family":"Bishop","given":"Alexander J. R."},{"family":"Scott","given":"Linda M."},{"family":"Hasty","given":"Paul"},{"family":"Rebel","given":"Vivienne I."}],"issued":{"date-parts":[["2015",1,5]]}}}],"schema":"https://github.com/citation-style-language/schema/raw/master/csl-citation.json"} </w:instrText>
      </w:r>
      <w:r w:rsidR="00F914BE" w:rsidRPr="006F5ABC">
        <w:rPr>
          <w:rFonts w:ascii="Arial" w:hAnsi="Arial" w:cs="Arial"/>
          <w:sz w:val="22"/>
          <w:szCs w:val="22"/>
          <w:lang w:val="en-US"/>
        </w:rPr>
        <w:fldChar w:fldCharType="separate"/>
      </w:r>
      <w:r w:rsidR="00F914BE" w:rsidRPr="006F5ABC">
        <w:rPr>
          <w:rFonts w:ascii="Arial" w:hAnsi="Arial" w:cs="Arial"/>
          <w:noProof/>
          <w:sz w:val="22"/>
          <w:szCs w:val="22"/>
          <w:lang w:val="en-US"/>
        </w:rPr>
        <w:t>(Corces-Zimmerman et al., 2014; Desai et al., 2018; Haferlach et al., 2014; Zhou et al., 2015)</w:t>
      </w:r>
      <w:r w:rsidR="00F914BE" w:rsidRPr="006F5ABC">
        <w:rPr>
          <w:rFonts w:ascii="Arial" w:hAnsi="Arial" w:cs="Arial"/>
          <w:sz w:val="22"/>
          <w:szCs w:val="22"/>
          <w:lang w:val="en-US"/>
        </w:rPr>
        <w:fldChar w:fldCharType="end"/>
      </w:r>
      <w:r w:rsidR="00477A90" w:rsidRPr="006F5ABC">
        <w:rPr>
          <w:rFonts w:ascii="Arial" w:hAnsi="Arial" w:cs="Arial"/>
          <w:sz w:val="22"/>
          <w:szCs w:val="22"/>
          <w:lang w:val="en-US"/>
        </w:rPr>
        <w:t xml:space="preserve"> (</w:t>
      </w:r>
      <w:r w:rsidR="0025520C" w:rsidRPr="006F5ABC">
        <w:rPr>
          <w:rFonts w:ascii="Arial" w:hAnsi="Arial" w:cs="Arial"/>
          <w:sz w:val="22"/>
          <w:szCs w:val="22"/>
          <w:lang w:val="en-US"/>
        </w:rPr>
        <w:t xml:space="preserve">for more DDR genes </w:t>
      </w:r>
      <w:r w:rsidR="00477A90" w:rsidRPr="006F5ABC">
        <w:rPr>
          <w:rFonts w:ascii="Arial" w:hAnsi="Arial" w:cs="Arial"/>
          <w:sz w:val="22"/>
          <w:szCs w:val="22"/>
          <w:lang w:val="en-US"/>
        </w:rPr>
        <w:t>see Figure 1)</w:t>
      </w:r>
      <w:r w:rsidR="0055374D" w:rsidRPr="006F5ABC">
        <w:rPr>
          <w:rFonts w:ascii="Arial" w:hAnsi="Arial" w:cs="Arial"/>
          <w:sz w:val="22"/>
          <w:szCs w:val="22"/>
          <w:lang w:val="en-US"/>
        </w:rPr>
        <w:t>.</w:t>
      </w:r>
      <w:r w:rsidR="00B46070" w:rsidRPr="006F5ABC">
        <w:rPr>
          <w:rFonts w:ascii="Arial" w:hAnsi="Arial" w:cs="Arial"/>
          <w:sz w:val="22"/>
          <w:szCs w:val="22"/>
          <w:lang w:val="en-US"/>
        </w:rPr>
        <w:t xml:space="preserve"> Besides generally appreciated functions of IDH1 and 2 in modulation of global DNA methylation, it was recently shown to play a critical role in downregulating ATM expression, significantly impairing DNA damage response and homeostasis of HSCs </w:t>
      </w:r>
      <w:r w:rsidR="00B46070"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{"citationID":"LeloYqWu","properties":{"formattedCitation":"(Inoue et al., 2016)","plainCitation":"(Inoue et al., 2016)","noteIndex":0},"citationItems":[{"id":916,"uris":["http://zotero.org/users/2484452/items/6TFG2IDV"],"uri":["http://zotero.org/users/2484452/items/6TFG2IDV"],"itemData":{"id":916,"type":"article-journal","abstract":"Mutations in the isocitrate dehydrogenase-1 gene (IDH1) are common drivers of acute myeloid leukemia (AML) but their mechanism is not fully understood. It is thought that IDH1 mutants act by inhibiting TET2 to alter DNA methylation, but there are significant unexplained clinical differences between IDH1- and TET2-mutant diseases. We have discovered that mice expressing endogenous mutant IDH1 have reduced numbers of hematopoietic stem cells (HSCs), in contrast to Tet2 knockout (TET2-KO) mice. Mutant IDH1 downregulates the DNA damage (DD) sensor ATM by altering histone methylation, leading to impaired DNA repair, increased sensitivity to DD, and reduced HSC self-renewal, independent of TET2. ATM expression is also decreased in human IDH1-mutated AML. These findings may have implications for treatment of IDH-mutant leukemia.","container-title":"Cancer Cell","DOI":"10.1016/j.ccell.2016.05.018","ISSN":"1878-3686","issue":"2","journalAbbreviation":"Cancer Cell","language":"eng","note":"PMID: 27424808\nPMCID: PMC5022794","page":"337-348","source":"PubMed","title":"Mutant IDH1 Downregulates ATM and Alters DNA Repair and Sensitivity to DNA Damage Independent of TET2","volume":"30","author":[{"family":"Inoue","given":"Satoshi"},{"family":"Li","given":"Wanda Y."},{"family":"Tseng","given":"Alan"},{"family":"Beerman","given":"Isabel"},{"family":"Elia","given":"Andrew J."},{"family":"Bendall","given":"Sean C."},{"family":"Lemonnier","given":"François"},{"family":"Kron","given":"Ken J."},{"family":"Cescon","given":"David W."},{"family":"Hao","given":"Zhenyue"},{"family":"Lind","given":"Evan F."},{"family":"Takayama","given":"Naoya"},{"family":"Planello","given":"Aline C."},{"family":"Shen","given":"Shu Yi"},{"family":"Shih","given":"Alan H."},{"family":"Larsen","given":"Dana M."},{"family":"Li","given":"Qinxi"},{"family":"Snow","given":"Bryan E."},{"family":"Wakeham","given":"Andrew"},{"family":"Haight","given":"Jillian"},{"family":"Gorrini","given":"Chiara"},{"family":"Bassi","given":"Christian"},{"family":"Thu","given":"Kelsie L."},{"family":"Murakami","given":"Kiichi"},{"family":"Elford","given":"Alisha R."},{"family":"Ueda","given":"Takeshi"},{"family":"Straley","given":"Kimberly"},{"family":"Yen","given":"Katharine E."},{"family":"Melino","given":"Gerry"},{"family":"Cimmino","given":"Luisa"},{"family":"Aifantis","given":"Iannis"},{"family":"Levine","given":"Ross L."},{"family":"De Carvalho","given":"Daniel D."},{"family":"Lupien","given":"Mathieu"},{"family":"Rossi","given":"Derrick J."},{"family":"Nolan","given":"Garry P."},{"family":"Cairns","given":"Rob A."},{"family":"Mak","given":"Tak W."}],"issued":{"date-parts":[["2016"]],"season":"08"}}}],"schema":"https://github.com/citation-style-language/schema/raw/master/csl-citation.json"} </w:instrText>
      </w:r>
      <w:r w:rsidR="00B46070" w:rsidRPr="006F5ABC">
        <w:rPr>
          <w:rFonts w:ascii="Arial" w:hAnsi="Arial" w:cs="Arial"/>
          <w:sz w:val="22"/>
          <w:szCs w:val="22"/>
          <w:lang w:val="en-US"/>
        </w:rPr>
        <w:fldChar w:fldCharType="separate"/>
      </w:r>
      <w:r w:rsidR="00B46070" w:rsidRPr="006F5ABC">
        <w:rPr>
          <w:rFonts w:ascii="Arial" w:hAnsi="Arial" w:cs="Arial"/>
          <w:noProof/>
          <w:sz w:val="22"/>
          <w:szCs w:val="22"/>
          <w:lang w:val="en-US"/>
        </w:rPr>
        <w:t>(Inoue et al., 2016)</w:t>
      </w:r>
      <w:r w:rsidR="00B46070" w:rsidRPr="006F5ABC">
        <w:rPr>
          <w:rFonts w:ascii="Arial" w:hAnsi="Arial" w:cs="Arial"/>
          <w:sz w:val="22"/>
          <w:szCs w:val="22"/>
          <w:lang w:val="en-US"/>
        </w:rPr>
        <w:fldChar w:fldCharType="end"/>
      </w:r>
      <w:r w:rsidR="00B46070" w:rsidRPr="006F5ABC">
        <w:rPr>
          <w:rFonts w:ascii="Arial" w:hAnsi="Arial" w:cs="Arial"/>
          <w:sz w:val="22"/>
          <w:szCs w:val="22"/>
          <w:lang w:val="en-US"/>
        </w:rPr>
        <w:t>.</w:t>
      </w:r>
      <w:r w:rsidR="00BA558C" w:rsidRPr="006F5ABC">
        <w:rPr>
          <w:rFonts w:ascii="Arial" w:hAnsi="Arial" w:cs="Arial"/>
          <w:sz w:val="22"/>
          <w:szCs w:val="22"/>
          <w:lang w:val="en-US"/>
        </w:rPr>
        <w:t xml:space="preserve"> Importantly</w:t>
      </w:r>
      <w:r w:rsidR="00032173">
        <w:rPr>
          <w:rFonts w:ascii="Arial" w:hAnsi="Arial" w:cs="Arial"/>
          <w:sz w:val="22"/>
          <w:szCs w:val="22"/>
          <w:lang w:val="en-US"/>
        </w:rPr>
        <w:t>,</w:t>
      </w:r>
      <w:r w:rsidR="00BA558C" w:rsidRPr="006F5ABC">
        <w:rPr>
          <w:rFonts w:ascii="Arial" w:hAnsi="Arial" w:cs="Arial"/>
          <w:sz w:val="22"/>
          <w:szCs w:val="22"/>
          <w:lang w:val="en-US"/>
        </w:rPr>
        <w:t xml:space="preserve"> a long follow-up</w:t>
      </w:r>
      <w:r w:rsidR="00B46070" w:rsidRPr="006F5ABC">
        <w:rPr>
          <w:rFonts w:ascii="Arial" w:hAnsi="Arial" w:cs="Arial"/>
          <w:sz w:val="22"/>
          <w:szCs w:val="22"/>
          <w:lang w:val="en-US"/>
        </w:rPr>
        <w:t xml:space="preserve"> </w:t>
      </w:r>
      <w:r w:rsidR="00BA558C" w:rsidRPr="006F5ABC">
        <w:rPr>
          <w:rFonts w:ascii="Arial" w:hAnsi="Arial" w:cs="Arial"/>
          <w:sz w:val="22"/>
          <w:szCs w:val="22"/>
          <w:lang w:val="en-US"/>
        </w:rPr>
        <w:t xml:space="preserve">study on peripheral blood samples collected years before AML diagnosis showed that </w:t>
      </w:r>
      <w:r w:rsidR="00227F91" w:rsidRPr="006F5ABC">
        <w:rPr>
          <w:rFonts w:ascii="Arial" w:hAnsi="Arial" w:cs="Arial"/>
          <w:sz w:val="22"/>
          <w:szCs w:val="22"/>
          <w:lang w:val="en-US"/>
        </w:rPr>
        <w:t>patients</w:t>
      </w:r>
      <w:r w:rsidR="00BA558C" w:rsidRPr="006F5ABC">
        <w:rPr>
          <w:rFonts w:ascii="Arial" w:hAnsi="Arial" w:cs="Arial"/>
          <w:sz w:val="22"/>
          <w:szCs w:val="22"/>
          <w:lang w:val="en-US"/>
        </w:rPr>
        <w:t xml:space="preserve"> with </w:t>
      </w:r>
      <w:r w:rsidR="00BA558C" w:rsidRPr="006F5ABC">
        <w:rPr>
          <w:rFonts w:ascii="Arial" w:hAnsi="Arial" w:cs="Arial"/>
          <w:i/>
          <w:iCs/>
          <w:sz w:val="22"/>
          <w:szCs w:val="22"/>
          <w:lang w:val="en-US"/>
        </w:rPr>
        <w:t>TP53</w:t>
      </w:r>
      <w:r w:rsidR="00BA558C" w:rsidRPr="006F5ABC">
        <w:rPr>
          <w:rFonts w:ascii="Arial" w:hAnsi="Arial" w:cs="Arial"/>
          <w:sz w:val="22"/>
          <w:szCs w:val="22"/>
          <w:lang w:val="en-US"/>
        </w:rPr>
        <w:t xml:space="preserve"> and </w:t>
      </w:r>
      <w:r w:rsidR="00BA558C" w:rsidRPr="006F5ABC">
        <w:rPr>
          <w:rFonts w:ascii="Arial" w:hAnsi="Arial" w:cs="Arial"/>
          <w:i/>
          <w:iCs/>
          <w:sz w:val="22"/>
          <w:szCs w:val="22"/>
          <w:lang w:val="en-US"/>
        </w:rPr>
        <w:t>IDH</w:t>
      </w:r>
      <w:r w:rsidR="00BA558C" w:rsidRPr="006F5ABC">
        <w:rPr>
          <w:rFonts w:ascii="Arial" w:hAnsi="Arial" w:cs="Arial"/>
          <w:sz w:val="22"/>
          <w:szCs w:val="22"/>
          <w:lang w:val="en-US"/>
        </w:rPr>
        <w:t xml:space="preserve"> mutations at the baseline eventually all developed AML </w:t>
      </w:r>
      <w:r w:rsidR="00BA558C"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{"citationID":"YNefTReM","properties":{"formattedCitation":"(Desai et al., 2018)","plainCitation":"(Desai et al., 2018)","noteIndex":0},"citationItems":[{"id":908,"uris":["http://zotero.org/users/2484452/items/SDRYTLUE"],"uri":["http://zotero.org/users/2484452/items/SDRYTLUE"],"itemData":{"id":908,"type":"article-journal","abstract":"The pattern of somatic mutations observed at diagnosis of acute myeloid leukemia (AML) has been well-characterized. However, the premalignant mutational landscape of AML and its impact on risk and time to diagnosis is unknown. Here we identified 212 women from the Women's Health Initiative who were healthy at study baseline, but eventually developed AML during follow-up (median time: 9.6 years). Deep sequencing was performed on peripheral blood DNA of these cases and compared to age-matched controls that did not develop AML. We discovered that mutations in IDH1, IDH2, TP53, DNMT3A, TET2 and spliceosome genes significantly increased the odds of developing AML. All subjects with TP53 mutations (n = 21 out of 21 patients) and IDH1 and IDH2 (n = 15 out of 15 patients) mutations eventually developed AML in our study. The presence of detectable mutations years before diagnosis suggests that there is a period of latency that precedes AML during which early detection, monitoring and interventional studies should be considered.","container-title":"Nature Medicine","DOI":"10.1038/s41591-018-0081-z","ISSN":"1546-170X","issue":"7","journalAbbreviation":"Nat. Med.","language":"eng","note":"PMID: 29988143\nPMCID: PMC6849383","page":"1015-1023","source":"PubMed","title":"Somatic mutations precede acute myeloid leukemia years before diagnosis","volume":"24","author":[{"family":"Desai","given":"Pinkal"},{"family":"Mencia-Trinchant","given":"Nuria"},{"family":"Savenkov","given":"Oleksandr"},{"family":"Simon","given":"Michael S."},{"family":"Cheang","given":"Gloria"},{"family":"Lee","given":"Sangmin"},{"family":"Samuel","given":"Michael"},{"family":"Ritchie","given":"Ellen K."},{"family":"Guzman","given":"Monica L."},{"family":"Ballman","given":"Karla V."},{"family":"Roboz","given":"Gail J."},{"family":"Hassane","given":"Duane C."}],"issued":{"date-parts":[["2018"]]}}}],"schema":"https://github.com/citation-style-language/schema/raw/master/csl-citation.json"} </w:instrText>
      </w:r>
      <w:r w:rsidR="00BA558C" w:rsidRPr="006F5ABC">
        <w:rPr>
          <w:rFonts w:ascii="Arial" w:hAnsi="Arial" w:cs="Arial"/>
          <w:sz w:val="22"/>
          <w:szCs w:val="22"/>
          <w:lang w:val="en-US"/>
        </w:rPr>
        <w:fldChar w:fldCharType="separate"/>
      </w:r>
      <w:r w:rsidR="00BA558C" w:rsidRPr="006F5ABC">
        <w:rPr>
          <w:rFonts w:ascii="Arial" w:hAnsi="Arial" w:cs="Arial"/>
          <w:noProof/>
          <w:sz w:val="22"/>
          <w:szCs w:val="22"/>
          <w:lang w:val="en-US"/>
        </w:rPr>
        <w:t>(Desai et al., 2018)</w:t>
      </w:r>
      <w:r w:rsidR="00BA558C" w:rsidRPr="006F5ABC">
        <w:rPr>
          <w:rFonts w:ascii="Arial" w:hAnsi="Arial" w:cs="Arial"/>
          <w:sz w:val="22"/>
          <w:szCs w:val="22"/>
          <w:lang w:val="en-US"/>
        </w:rPr>
        <w:fldChar w:fldCharType="end"/>
      </w:r>
      <w:r w:rsidR="00BA558C" w:rsidRPr="006F5ABC">
        <w:rPr>
          <w:rFonts w:ascii="Arial" w:hAnsi="Arial" w:cs="Arial"/>
          <w:sz w:val="22"/>
          <w:szCs w:val="22"/>
          <w:lang w:val="en-US"/>
        </w:rPr>
        <w:t>.</w:t>
      </w:r>
      <w:r w:rsidR="00622D71" w:rsidRPr="006F5ABC">
        <w:rPr>
          <w:rFonts w:ascii="Arial" w:hAnsi="Arial" w:cs="Arial"/>
          <w:sz w:val="22"/>
          <w:szCs w:val="22"/>
          <w:lang w:val="en-US"/>
        </w:rPr>
        <w:t xml:space="preserve"> </w:t>
      </w:r>
      <w:r w:rsidR="003B3A8C" w:rsidRPr="006F5ABC">
        <w:rPr>
          <w:rFonts w:ascii="Arial" w:hAnsi="Arial" w:cs="Arial"/>
          <w:sz w:val="22"/>
          <w:szCs w:val="22"/>
          <w:lang w:val="en-US"/>
        </w:rPr>
        <w:t>In addition</w:t>
      </w:r>
      <w:r w:rsidR="00D51EC3" w:rsidRPr="006F5ABC">
        <w:rPr>
          <w:rFonts w:ascii="Arial" w:hAnsi="Arial" w:cs="Arial"/>
          <w:sz w:val="22"/>
          <w:szCs w:val="22"/>
          <w:lang w:val="en-US"/>
        </w:rPr>
        <w:t>,</w:t>
      </w:r>
      <w:r w:rsidR="003B3A8C" w:rsidRPr="006F5ABC">
        <w:rPr>
          <w:rFonts w:ascii="Arial" w:hAnsi="Arial" w:cs="Arial"/>
          <w:sz w:val="22"/>
          <w:szCs w:val="22"/>
          <w:lang w:val="en-US"/>
        </w:rPr>
        <w:t xml:space="preserve"> syndromes with mutations in genes encoding important DNA repair genes, such as Fanconi Anemia, Werner, Bloom and Down Syndrome have inherited tendency for developing AML</w:t>
      </w:r>
      <w:r w:rsidR="00D51EC3" w:rsidRPr="006F5ABC">
        <w:rPr>
          <w:rFonts w:ascii="Arial" w:hAnsi="Arial" w:cs="Arial"/>
          <w:sz w:val="22"/>
          <w:szCs w:val="22"/>
          <w:lang w:val="en-US"/>
        </w:rPr>
        <w:t xml:space="preserve"> </w:t>
      </w:r>
      <w:r w:rsidR="00D51EC3"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{"citationID":"qHY0nid6","properties":{"formattedCitation":"(Auerbach, 1992; Poppe et al., 2001; Tao et al., 1971; Xavier and Taub, 2010)","plainCitation":"(Auerbach, 1992; Poppe et al., 2001; Tao et al., 1971; Xavier and Taub, 2010)","noteIndex":0},"citationItems":[{"id":964,"uris":["http://zotero.org/users/2484452/items/2AIS3X2Q"],"uri":["http://zotero.org/users/2484452/items/2AIS3X2Q"],"itemData":{"id":964,"type":"article-journal","abstract":"A review of all of the cases of Fanconi anemia (FA) reported to the International Fanconi Anemia Registry (IFAR) indicates that at least 15% manifest acute myelogenous leukemia (AML) or preleukemia. These patients usually have karyotypically abnormal bone marrow clones, but do not exhibit chromosomal translocations involving breakpoints associated with specific oncogenes; leukemia in FA is more likely to be a multi-step process than a single step transformation. The cellular defect in FA results in chromosomal instability, hypersensitivity to DNA damage, and hypermutability for allele-loss mutations. An update of current research to identify the molecular defect in FA is presented. Characterization of the FA genes should further our understanding of the etiology of leukemia.","container-title":"Leukemia","ISSN":"0887-6924","journalAbbreviation":"Leukemia","language":"eng","note":"PMID: 1548931","page":"1-4","source":"PubMed","title":"Fanconi anemia and leukemia: tracking the genes","title-short":"Fanconi anemia and leukemia","volume":"6 Suppl 1","author":[{"family":"Auerbach","given":"A. D."}],"issued":{"date-parts":[["1992"]]}}},{"id":962,"uris":["http://zotero.org/users/2484452/items/F8UXV8UY"],"uri":["http://zotero.org/users/2484452/items/F8UXV8UY"],"itemData":{"id":962,"type":"article-journal","abstract":"Bloom syndrome (BS) predisposes affected individuals to a wide variety of neoplasms including hematological malignancies. Thus far, cytogenetic findings in hematological neoplasms have been reported in only a few BS patients. We present the karyotypic findings in a BS patient diagnosed with acute myeloid leukemia (AML), FAB subtype M1, and a review of the literature, showing the preferential occurrence of total or partial loss of chromosome 7 in BS patients with AML or myelodysplastic syndromes (MDS).","container-title":"Cancer Genetics and Cytogenetics","DOI":"10.1016/s0165-4608(01)00392-2","ISSN":"0165-4608","issue":"1","journalAbbreviation":"Cancer Genet. Cytogenet.","language":"eng","note":"PMID: 11454428","page":"39-42","source":"PubMed","title":"Chromosomal aberrations in Bloom syndrome patients with myeloid malignancies","volume":"128","author":[{"family":"Poppe","given":"B."},{"family":"Van Limbergen","given":"H."},{"family":"Van Roy","give</w:instrText>
      </w:r>
      <w:r w:rsidR="00B703ED" w:rsidRPr="006F5ABC">
        <w:rPr>
          <w:rFonts w:ascii="Arial" w:hAnsi="Arial" w:cs="Arial"/>
          <w:sz w:val="22"/>
          <w:szCs w:val="22"/>
        </w:rPr>
        <w:instrText xml:space="preserve">n":"N."},{"family":"Vandecruys","given":"E."},{"family":"De Paepe","given":"A."},{"family":"Benoit","given":"Y."},{"family":"Speleman","given":"F."}],"issued":{"date-parts":[["2001",7,1]]}}},{"id":960,"uris":["http://zotero.org/users/2484452/items/BQFWCUUG"],"uri":["http://zotero.org/users/2484452/items/BQFWCUUG"],"itemData":{"id":960,"type":"article-journal","container-title":"Canadian Medical Association Journal","ISSN":"0008-4409","issue":"9","journalAbbreviation":"Can Med Assoc J","language":"eng","note":"PMID: 5292079\nPMCID: PMC1931737","page":"951 passim","source":"PubMed","title":"Werner's syndrome and acute myeloid leukemia","volume":"105","author":[{"family":"Tao","given":"L. C."},{"family":"Stecker","given":"E."},{"family":"Gardner","given":"H. A."}],"issued":{"date-parts":[["1971",11]]}}},{"id":957,"uris":["http://zotero.org/users/2484452/items/YYKCDYGX"],"uri":["http://zotero.org/users/2484452/items/YYKCDYGX"],"itemData":{"id":957,"type":"article-journal","container-title":"Haematologica","DOI":"10.3324/haematol.2010.024968","ISSN":"0390-6078","issue":"7","journalAbbreviation":"Haematologica","note":"PMID: 20595099\nPMCID: PMC2895024","page":"1043-1045","source":"PubMed Central","title":"Acute leukemia in children with Down syndrome","volume":"95","author":[{"family":"Xavier","given":"Ana C."},{"family":"Taub","given":"Jeffrey W."}],"issued":{"date-parts":[["2010",7]]}}}],"schema":"https://github.com/citation-style-language/schema/raw/master/csl-citation.json"} </w:instrText>
      </w:r>
      <w:r w:rsidR="00D51EC3" w:rsidRPr="006F5ABC">
        <w:rPr>
          <w:rFonts w:ascii="Arial" w:hAnsi="Arial" w:cs="Arial"/>
          <w:sz w:val="22"/>
          <w:szCs w:val="22"/>
          <w:lang w:val="en-US"/>
        </w:rPr>
        <w:fldChar w:fldCharType="separate"/>
      </w:r>
      <w:r w:rsidR="00D51EC3" w:rsidRPr="006F5ABC">
        <w:rPr>
          <w:rFonts w:ascii="Arial" w:hAnsi="Arial" w:cs="Arial"/>
          <w:noProof/>
          <w:sz w:val="22"/>
          <w:szCs w:val="22"/>
        </w:rPr>
        <w:t>(Auerbach, 1992; Poppe et al., 2001; Tao et al., 1971; Xavier and Taub, 2010)</w:t>
      </w:r>
      <w:r w:rsidR="00D51EC3" w:rsidRPr="006F5ABC">
        <w:rPr>
          <w:rFonts w:ascii="Arial" w:hAnsi="Arial" w:cs="Arial"/>
          <w:sz w:val="22"/>
          <w:szCs w:val="22"/>
          <w:lang w:val="en-US"/>
        </w:rPr>
        <w:fldChar w:fldCharType="end"/>
      </w:r>
      <w:r w:rsidR="00D20AAD" w:rsidRPr="006F5ABC">
        <w:rPr>
          <w:rFonts w:ascii="Arial" w:hAnsi="Arial" w:cs="Arial"/>
          <w:sz w:val="22"/>
          <w:szCs w:val="22"/>
        </w:rPr>
        <w:t>.</w:t>
      </w:r>
      <w:r w:rsidR="003B3A8C" w:rsidRPr="006F5ABC">
        <w:rPr>
          <w:rFonts w:ascii="Arial" w:hAnsi="Arial" w:cs="Arial"/>
          <w:sz w:val="22"/>
          <w:szCs w:val="22"/>
        </w:rPr>
        <w:t xml:space="preserve"> </w:t>
      </w:r>
      <w:r w:rsidR="00736101" w:rsidRPr="006F5ABC">
        <w:rPr>
          <w:rFonts w:ascii="Arial" w:hAnsi="Arial" w:cs="Arial"/>
          <w:sz w:val="22"/>
          <w:szCs w:val="22"/>
          <w:lang w:val="en-US"/>
        </w:rPr>
        <w:t xml:space="preserve">Significance of functional DNA repair and ability to actively </w:t>
      </w:r>
      <w:r w:rsidR="00736101" w:rsidRPr="006F5ABC">
        <w:rPr>
          <w:rFonts w:ascii="Arial" w:hAnsi="Arial" w:cs="Arial"/>
          <w:sz w:val="22"/>
          <w:szCs w:val="22"/>
          <w:lang w:val="en-US"/>
        </w:rPr>
        <w:lastRenderedPageBreak/>
        <w:t>resolve accumulation of DNA damage in hematopoietic compartment is further highlighted by development of therapy-related AML in patients with prior cytotoxic and/or radiation therapy for a primary malignancy or autoimmune disease</w:t>
      </w:r>
      <w:r w:rsidR="00DD6DCE" w:rsidRPr="006F5ABC">
        <w:rPr>
          <w:rFonts w:ascii="Arial" w:hAnsi="Arial" w:cs="Arial"/>
          <w:sz w:val="22"/>
          <w:szCs w:val="22"/>
          <w:lang w:val="en-US"/>
        </w:rPr>
        <w:t xml:space="preserve"> </w:t>
      </w:r>
      <w:r w:rsidR="00DD6DCE"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{"citationID":"qEXVi1OU","properties":{"formattedCitation":"(Borthakur and Estey, 2007; Godley and Larson, 2008)","plainCitation":"(Borthakur and Estey, 2007; Godley and Larson, 2008)","noteIndex":0},"citationItems":[{"id":966,"uris":["http://zotero.org/users/2484452/items/FTT4YB8S"],"uri":["http://zotero.org/users/2484452/items/FTT4YB8S"],"itemData":{"id":966,"type":"article-journal","abstract":"Therapy-related acute myelogenous leukemia and myelodysplastic syndrome (t-AML/MDS) are increasing in prevalence with aging of the population and improved survival of patients treated with chemotherapy or radiotherapy for other malignancies. Research focused on the pathogenesis of t-AML/MDS will provide insight into the pathogenesis of de novo AML/MDS. Participation in clinical trials should be encouraged for this patient population because results with available treatment options are clearly suboptimal.","container-title":"Current Oncology Reports","DOI":"10.1007/s11912-007-0050-z","ISSN":"1523-3790","issue":"5","journalAbbreviation":"Curr Oncol Rep","language":"eng","note":"PMID: 17706165","page":"373-377","source":"PubMed","title":"Therapy-related acute myelogenous leukemia and myelodysplastic syndrome","volume":"9","author":[{"family":"Borthakur","given":"Gautam"},{"family":"Estey","given":"And Elihu E."}],"issued":{"date-parts":[["2007",9]]}}},{"id":968,"uris":["http://zotero.org/users/2484452/items/2F7EDG96"],"uri":["http://zotero.org/users/2484452/items/2F7EDG96"],"itemData":{"id":968,"type":"article-journal","abstract":"Therapy-related myelodysplastic syndrome and acute myeloid leukemia (t-MDS/t-AML) are thought to be the direct consequence of mutational events induced by chemotherapy, radiation therapy, immunosuppressive therapy, or a combination of these modalities, given for a pre-existing condition. The outcomes for these patients have been poor historically compared to people who develop de novo AML. The spectrum of cytogenetic abnormalities in t-AML is similar to de novo AML, but the frequency of unfavorable cytogenetics, such as a complex karyotype or deletion or loss of chromosomes 5 and/or 7, is considerably higher in t-AML. Survival varies according to cytogenetic risk group in t-AML patients, with better outcomes being observed in those with favorable-risk karyotypes. Treatment recommendations should be based on performance status and karyotype. A deeper understanding of the factors that predispose patients to the development of therapy-related myeloid leukemia would help clinicians monitor patients more carefully after treatment for a primary condition. Ultimately, this knowledge could influence initial treatment strategies with the goal of decreasing the incidence of this serious complication.","container-title":"Seminars in oncology","DOI":"10.1053/j.seminoncol.2008.04.012","ISSN":"0093-7754","issue":"4","journalAbbreviation":"Semin Oncol","note":"PMID: 18692692\nPMCID: PMC2600445","page":"418-429","source":"PubMed Central","title":"Therapy-related Myeloid Leukemia","volume":"35","author":[{"family":"Godley","given":"Lucy A."},{"family":"Larson","given":"Richard A."}],"issued":{"date-parts":[["2008",8]]}}}],"schema":"https://github.com/citation-style-language/schema/raw/master/csl-citation.json"} </w:instrText>
      </w:r>
      <w:r w:rsidR="00DD6DCE" w:rsidRPr="006F5ABC">
        <w:rPr>
          <w:rFonts w:ascii="Arial" w:hAnsi="Arial" w:cs="Arial"/>
          <w:sz w:val="22"/>
          <w:szCs w:val="22"/>
          <w:lang w:val="en-US"/>
        </w:rPr>
        <w:fldChar w:fldCharType="separate"/>
      </w:r>
      <w:r w:rsidR="00DD6DCE" w:rsidRPr="006F5ABC">
        <w:rPr>
          <w:rFonts w:ascii="Arial" w:hAnsi="Arial" w:cs="Arial"/>
          <w:noProof/>
          <w:sz w:val="22"/>
          <w:szCs w:val="22"/>
          <w:lang w:val="en-US"/>
        </w:rPr>
        <w:t>(Borthakur and Estey, 2007; Godley and Larson, 2008)</w:t>
      </w:r>
      <w:r w:rsidR="00DD6DCE" w:rsidRPr="006F5ABC">
        <w:rPr>
          <w:rFonts w:ascii="Arial" w:hAnsi="Arial" w:cs="Arial"/>
          <w:sz w:val="22"/>
          <w:szCs w:val="22"/>
          <w:lang w:val="en-US"/>
        </w:rPr>
        <w:fldChar w:fldCharType="end"/>
      </w:r>
      <w:r w:rsidR="00736101" w:rsidRPr="006F5ABC">
        <w:rPr>
          <w:rFonts w:ascii="Arial" w:hAnsi="Arial" w:cs="Arial"/>
          <w:sz w:val="22"/>
          <w:szCs w:val="22"/>
          <w:lang w:val="en-US"/>
        </w:rPr>
        <w:t xml:space="preserve">. </w:t>
      </w:r>
      <w:r w:rsidR="005413BF" w:rsidRPr="006F5ABC">
        <w:rPr>
          <w:rFonts w:ascii="Arial" w:hAnsi="Arial" w:cs="Arial"/>
          <w:sz w:val="22"/>
          <w:szCs w:val="22"/>
          <w:lang w:val="en-US"/>
        </w:rPr>
        <w:t>Thus,</w:t>
      </w:r>
      <w:r w:rsidR="00622D71" w:rsidRPr="006F5ABC">
        <w:rPr>
          <w:rFonts w:ascii="Arial" w:hAnsi="Arial" w:cs="Arial"/>
          <w:sz w:val="22"/>
          <w:szCs w:val="22"/>
          <w:lang w:val="en-US"/>
        </w:rPr>
        <w:t xml:space="preserve"> this growing body of literature supports </w:t>
      </w:r>
      <w:r w:rsidR="006A40E8">
        <w:rPr>
          <w:rFonts w:ascii="Arial" w:hAnsi="Arial" w:cs="Arial"/>
          <w:sz w:val="22"/>
          <w:szCs w:val="22"/>
          <w:lang w:val="en-US"/>
        </w:rPr>
        <w:t>the</w:t>
      </w:r>
      <w:r w:rsidR="006A40E8" w:rsidRPr="006F5ABC">
        <w:rPr>
          <w:rFonts w:ascii="Arial" w:hAnsi="Arial" w:cs="Arial"/>
          <w:sz w:val="22"/>
          <w:szCs w:val="22"/>
          <w:lang w:val="en-US"/>
        </w:rPr>
        <w:t xml:space="preserve"> </w:t>
      </w:r>
      <w:r w:rsidR="00622D71" w:rsidRPr="006F5ABC">
        <w:rPr>
          <w:rFonts w:ascii="Arial" w:hAnsi="Arial" w:cs="Arial"/>
          <w:sz w:val="22"/>
          <w:szCs w:val="22"/>
          <w:lang w:val="en-US"/>
        </w:rPr>
        <w:t>notion that impaired DNA damage response at least in subset of early pre-leukemic HSC clones drives biological changes leading inevitably later</w:t>
      </w:r>
      <w:r w:rsidR="005413BF" w:rsidRPr="006F5ABC">
        <w:rPr>
          <w:rFonts w:ascii="Arial" w:hAnsi="Arial" w:cs="Arial"/>
          <w:sz w:val="22"/>
          <w:szCs w:val="22"/>
          <w:lang w:val="en-US"/>
        </w:rPr>
        <w:t xml:space="preserve"> in life to</w:t>
      </w:r>
      <w:r w:rsidR="00622D71" w:rsidRPr="006F5ABC">
        <w:rPr>
          <w:rFonts w:ascii="Arial" w:hAnsi="Arial" w:cs="Arial"/>
          <w:sz w:val="22"/>
          <w:szCs w:val="22"/>
          <w:lang w:val="en-US"/>
        </w:rPr>
        <w:t xml:space="preserve"> onset of acute leukemias</w:t>
      </w:r>
      <w:r w:rsidR="000F4ADA" w:rsidRPr="006F5ABC">
        <w:rPr>
          <w:rFonts w:ascii="Arial" w:hAnsi="Arial" w:cs="Arial"/>
          <w:sz w:val="22"/>
          <w:szCs w:val="22"/>
          <w:lang w:val="en-US"/>
        </w:rPr>
        <w:t>.</w:t>
      </w:r>
    </w:p>
    <w:p w14:paraId="1E922A7C" w14:textId="77777777" w:rsidR="009C5861" w:rsidRPr="003A5293" w:rsidRDefault="00EF0E59" w:rsidP="00F708A8">
      <w:pPr>
        <w:spacing w:line="360" w:lineRule="auto"/>
        <w:jc w:val="both"/>
        <w:rPr>
          <w:rFonts w:ascii="Arial" w:hAnsi="Arial" w:cs="Arial"/>
          <w:sz w:val="22"/>
          <w:szCs w:val="22"/>
          <w:lang w:val="en-US"/>
        </w:rPr>
      </w:pPr>
      <w:r w:rsidRPr="003A5293">
        <w:rPr>
          <w:rFonts w:ascii="Arial" w:hAnsi="Arial" w:cs="Arial"/>
          <w:noProof/>
          <w:sz w:val="22"/>
          <w:szCs w:val="22"/>
          <w:lang w:val="cs-CZ" w:eastAsia="cs-CZ"/>
        </w:rPr>
        <w:drawing>
          <wp:inline distT="0" distB="0" distL="0" distR="0" wp14:anchorId="0879D5F3" wp14:editId="45117BFB">
            <wp:extent cx="5400000" cy="3352630"/>
            <wp:effectExtent l="0" t="0" r="0" b="63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1.jpg"/>
                    <pic:cNvPicPr/>
                  </pic:nvPicPr>
                  <pic:blipFill rotWithShape="1">
                    <a:blip r:embed="rId11" cstate="print">
                      <a:extLst>
                        <a:ext uri="{28A0092B-C50C-407E-A947-70E740481C1C}">
                          <a14:useLocalDpi xmlns:a14="http://schemas.microsoft.com/office/drawing/2010/main" val="0"/>
                        </a:ext>
                      </a:extLst>
                    </a:blip>
                    <a:srcRect l="5202" r="4189"/>
                    <a:stretch/>
                  </pic:blipFill>
                  <pic:spPr bwMode="auto">
                    <a:xfrm>
                      <a:off x="0" y="0"/>
                      <a:ext cx="5400000" cy="3352630"/>
                    </a:xfrm>
                    <a:prstGeom prst="rect">
                      <a:avLst/>
                    </a:prstGeom>
                    <a:ln>
                      <a:noFill/>
                    </a:ln>
                    <a:extLst>
                      <a:ext uri="{53640926-AAD7-44D8-BBD7-CCE9431645EC}">
                        <a14:shadowObscured xmlns:a14="http://schemas.microsoft.com/office/drawing/2010/main"/>
                      </a:ext>
                    </a:extLst>
                  </pic:spPr>
                </pic:pic>
              </a:graphicData>
            </a:graphic>
          </wp:inline>
        </w:drawing>
      </w:r>
    </w:p>
    <w:p w14:paraId="6874A439" w14:textId="77777777" w:rsidR="00187E2C" w:rsidRPr="006F5ABC" w:rsidRDefault="00477A90" w:rsidP="00B703ED">
      <w:pPr>
        <w:spacing w:line="360" w:lineRule="auto"/>
        <w:jc w:val="both"/>
        <w:rPr>
          <w:rFonts w:ascii="Arial" w:hAnsi="Arial" w:cs="Arial"/>
          <w:sz w:val="22"/>
          <w:szCs w:val="22"/>
          <w:lang w:val="en-US"/>
        </w:rPr>
      </w:pPr>
      <w:r w:rsidRPr="006F5ABC">
        <w:rPr>
          <w:rFonts w:ascii="Arial" w:hAnsi="Arial" w:cs="Arial"/>
          <w:b/>
          <w:bCs/>
          <w:sz w:val="22"/>
          <w:szCs w:val="22"/>
          <w:lang w:val="en-US"/>
        </w:rPr>
        <w:t>Figure 1:</w:t>
      </w:r>
      <w:r w:rsidRPr="006F5ABC">
        <w:rPr>
          <w:rFonts w:ascii="Arial" w:hAnsi="Arial" w:cs="Arial"/>
          <w:sz w:val="22"/>
          <w:szCs w:val="22"/>
          <w:lang w:val="en-US"/>
        </w:rPr>
        <w:t xml:space="preserve"> </w:t>
      </w:r>
      <w:r w:rsidR="00B703ED" w:rsidRPr="006F5ABC">
        <w:rPr>
          <w:rFonts w:ascii="Arial" w:hAnsi="Arial" w:cs="Arial"/>
          <w:sz w:val="22"/>
          <w:szCs w:val="22"/>
          <w:lang w:val="en-US"/>
        </w:rPr>
        <w:t>Important components of DNA damage response</w:t>
      </w:r>
      <w:r w:rsidR="005B694D" w:rsidRPr="006F5ABC">
        <w:rPr>
          <w:rFonts w:ascii="Arial" w:hAnsi="Arial" w:cs="Arial"/>
          <w:sz w:val="22"/>
          <w:szCs w:val="22"/>
          <w:lang w:val="en-US"/>
        </w:rPr>
        <w:t xml:space="preserve"> (</w:t>
      </w:r>
      <w:r w:rsidR="005B694D" w:rsidRPr="006F5ABC">
        <w:rPr>
          <w:rFonts w:ascii="Arial" w:hAnsi="Arial" w:cs="Arial"/>
          <w:i/>
          <w:iCs/>
          <w:sz w:val="22"/>
          <w:szCs w:val="22"/>
          <w:lang w:val="en-US"/>
        </w:rPr>
        <w:t>left</w:t>
      </w:r>
      <w:r w:rsidR="005B694D" w:rsidRPr="006F5ABC">
        <w:rPr>
          <w:rFonts w:ascii="Arial" w:hAnsi="Arial" w:cs="Arial"/>
          <w:sz w:val="22"/>
          <w:szCs w:val="22"/>
          <w:lang w:val="en-US"/>
        </w:rPr>
        <w:t>)</w:t>
      </w:r>
      <w:r w:rsidR="00B703ED" w:rsidRPr="006F5ABC">
        <w:rPr>
          <w:rFonts w:ascii="Arial" w:hAnsi="Arial" w:cs="Arial"/>
          <w:sz w:val="22"/>
          <w:szCs w:val="22"/>
          <w:lang w:val="en-US"/>
        </w:rPr>
        <w:t xml:space="preserve"> are depicted with genes</w:t>
      </w:r>
      <w:r w:rsidR="005B694D" w:rsidRPr="006F5ABC">
        <w:rPr>
          <w:rFonts w:ascii="Arial" w:hAnsi="Arial" w:cs="Arial"/>
          <w:sz w:val="22"/>
          <w:szCs w:val="22"/>
          <w:lang w:val="en-US"/>
        </w:rPr>
        <w:t xml:space="preserve"> (</w:t>
      </w:r>
      <w:r w:rsidR="005B694D" w:rsidRPr="006F5ABC">
        <w:rPr>
          <w:rFonts w:ascii="Arial" w:hAnsi="Arial" w:cs="Arial"/>
          <w:i/>
          <w:iCs/>
          <w:sz w:val="22"/>
          <w:szCs w:val="22"/>
          <w:lang w:val="en-US"/>
        </w:rPr>
        <w:t>right</w:t>
      </w:r>
      <w:r w:rsidR="005B694D" w:rsidRPr="006F5ABC">
        <w:rPr>
          <w:rFonts w:ascii="Arial" w:hAnsi="Arial" w:cs="Arial"/>
          <w:sz w:val="22"/>
          <w:szCs w:val="22"/>
          <w:lang w:val="en-US"/>
        </w:rPr>
        <w:t>)</w:t>
      </w:r>
      <w:r w:rsidR="00B703ED" w:rsidRPr="006F5ABC">
        <w:rPr>
          <w:rFonts w:ascii="Arial" w:hAnsi="Arial" w:cs="Arial"/>
          <w:sz w:val="22"/>
          <w:szCs w:val="22"/>
          <w:lang w:val="en-US"/>
        </w:rPr>
        <w:t xml:space="preserve"> playing important roles in individual signaling nodes of DDR, which were found to be mutated or aberrantly expressed in preleukemia </w:t>
      </w:r>
      <w:r w:rsidR="00B703ED" w:rsidRPr="006F5ABC">
        <w:rPr>
          <w:rFonts w:ascii="Arial" w:hAnsi="Arial" w:cs="Arial"/>
          <w:sz w:val="22"/>
          <w:szCs w:val="22"/>
          <w:lang w:val="en-US"/>
        </w:rPr>
        <w:fldChar w:fldCharType="begin"/>
      </w:r>
      <w:r w:rsidR="00EF0E59" w:rsidRPr="006F5ABC">
        <w:rPr>
          <w:rFonts w:ascii="Arial" w:hAnsi="Arial" w:cs="Arial"/>
          <w:sz w:val="22"/>
          <w:szCs w:val="22"/>
          <w:lang w:val="en-US"/>
        </w:rPr>
        <w:instrText xml:space="preserve"> ADDIN ZOTERO_ITEM CSL_CITATION {"citationID":"HTky0avG","properties":{"formattedCitation":"(Allan et al., 2004; B\\uc0\\u259{}nescu et al., 2014; Jankowska et al., 2008; Jawad et al., 2006; Kuramoto et al., 2002; Mao et al., 2008; Sheikhha et al., 2002; Strom et al., 2010; Zhou et al., 2015; Zhu et al., 1999)","plainCitation":"(Allan et al., 2004; Bănescu et al., 2014; Jankowska et al., 2008; Jawad et al., 2006; Kuramoto et al., 2002; Mao et al., 2008; Sheikhha et al., 2002; Strom et al., 2010; Zhou et al., 2015; Zhu et al., 1999)","noteIndex":0},"citationItems":[{"id":1065,"uris":["http://zotero.org/users/2484452/items/94Y9G7G7"],"uri":["http://zotero.org/users/2484452/items/94Y9G7G7"],"itemData":{"id":1065,"type":"article-journal","abstract":"The xeroderma pigmentosum group D (XPD) gene encodes a DNA helicase that functions in nucleotide excision repair of chemotherapy-induced DNA damage, the efficiency of which is predicted to be affected by a lysine to glutamine variant at codon 751. We hypothesized that this constitutive genetic variant may modify clinical response to chemotherapy, and we have examined its association with outcome following chemotherapy for acute myeloid leukemia (AML) in 341 elderly patients entered into the United Kingdom Medical Research Council AML 11 trial, and with the risk of developing chemotherapy-related AML. Among subjects treated for AML, disease-free survival at one year was 44% for lysine homozygotes, compared with 36% for heterozygotes and 16% for glutamine homozygotes (hazard ratio [HR], 1.30; 95% confidence interval [CI], 1.01-1.70; P = .04). Similarly, overall survival at one year was 38% for lysine homozygotes, 35% for heterozygotes, and 23% for glutamine homozygotes (HR, 1.18; 95% CI, 0.99-1.41; P = .07). Furthermore, homozygosity for the XPD codon 751 glutamine variant was associated with a significantly increased risk of developing AML after chemotherapy (odds ratio, 2.22 for Gln/Gln vs Lys/Lys; 95% CI, 1.04-4.74). These data suggest that the XPD codon 751 glutamine variant protects against myeloid cell death after chemotherapy.","container-title":"Blood","DOI":"10.1182/blood-2004-06-2161","ISSN":"0006-4971","issue":"13","journalAbbreviation":"Blood","language":"eng","note":"PMID: 15339847","page":"3872-3877","source":"PubMed","title":"Genetic variation in XPD predicts treatment outcome and risk of acute myeloid leukemia following chemotherapy","volume":"104","author":[{"family":"Allan","given":"James M."},{"family":"Smith","given":"Alexandra G."},{"family":"Wheatley","given":"Keith"},{"family":"Hills","given":"Robert K."},{"family":"Travis","given":"Lois B."},{"family":"Hill","given":"Deirdre A."},{"family":"Swirsky","given":"David M."},{"family":"Morgan","given":"Gareth J."},{"family":"Wild","given":"Christopher P."}],"issued":{"date-parts":[["2004",12,15]]}}},{"id":1061,"uris":["http://zotero.org/users/2484452/items/VYRT3UYK"],"uri":["http://zotero.org/users/2484452/items/VYRT3UYK"],"itemData":{"id":1061,"type":"article-journal","abstract":"In the base excision repair pathway, the predominant DNA damage repair mechanism, X-ray repair cross-complementing group 1 (XRCC1) gene, has a crucial role. Defects in repair pathways are involved in cancer pathogenesis. Therefore, DNA repair genes might be involved in acute myeloid leukemia (AML) susceptibility. Our study aimed to evaluate the relationship between XRCC1 Arg194Trp, Arg280His and Arg399Gln polymorphisms and AML. Sixty-nine patients with AML and 147 healthy controls were included. We noted a significant association between the polymorphisms Arg194Trp (p-value = 0.0002 for Trp allele) and Arg399Gln (p-value = 0.003 for Gln allele) and AML risk. There was a significantly better overall survival among patients with AML with wild-type homozygous compared to those with at least one variant allele in the case of Arg194Trp (p-value = 0.0019) and Arg399Gln polymorphisms (p-value = 0.049). Our study suggests the involvement of XRCC1 Arg194Trp and Arg399Gln polymorphisms in the genetic predisposition to AML. These two XRCC1 polymorphisms could also be prognostic markers in AML as they were significantly associated with overall survival.","container-title":"Leukemia &amp; Lymphoma","DOI":"10.3109/10428194.2013.802781","ISSN":"1029-2403","issue":"2","journalAbbreviation":"Leuk. Lymphoma","language":"eng","note":"PMID: 23662987","page":"365-370","source":"PubMed","title":"XRCC1 Arg194Trp and Arg399Gln polymorphisms are significantly associated with shorter survival in acute myeloid leukemia","volume":"55","author":[{"family":"Bănescu","given":"Claudia"},{"family":"Duicu","given":"Carmen"},{"family":"Trifa","given":"Adrian P."},{"family":"Dobreanu","given":"Minodora"}],"issued":{"date-parts":[["2014",2]]}}},{"id":195,"uris":["http://zotero.org/users/2484452/items/BU8FQP77"],"uri":["http://zotero.org/users/2484452/items/BU8FQP77"],"itemData":{"id":195,"type":"article-journal","abstract":"In myelodysplastic syndromes (MDS) increased chromosomal breaks point toward defects in DNA repair machinery including base excision repair (BER) pathway involved in handling of oxidative DNA damage. We investigated whether defects in this pathway can be found in MDS. Elevated levels of 8-oxoguanine (8-OG) were found in a significant proportion of MDS patients, indicating increased oxidative DNA damage or defective handling of oxidative load. In a distinct subgroup of patients, increased 8-OG content was associated with increased hOGG1 mRNA expression and activity. In some patients, increased numbers of abasic sites (AP sites) correlated with low levels of POLbeta. To further investigate the nature of this defect, we examined genetic lesions potentially explaining accumulation of 8-OG and AP sites. We genotyped a large cohort of MDS patients and found a correlation between increased oxidative damage and the presence of the hOGG1-Cys326 allele suggesting inadequate compensatory feedback. Overall, this hOGG1 variant was more frequent in MDS, particularly in advanced forms, as compared to controls. In summary, we demonstrated that BER dysfunction in some MDS patients may be responsible for the increased 8-OG incorporation and explains one aspect of the propensity to chromosomal breaks in MDS but other mechanisms may also be involved.","container-title":"Leukemia","DOI":"10.1038/sj.leu.2405055","ISSN":"1476-5551","issue":"3","journalAbbreviation":"Leukemia","language":"eng","note":"PMID: 18059482","page":"551-558","source":"PubMed","title":"Base excision repair dysfunction in a subgroup of patients with myelodysplastic syndrome","volume":"22","author":[{"family":"Jankowska","given":"A. M."},{"family":"Gondek","given":"L. P."},{"family":"Szpurka","given":"H."},{"family":"Nearman","given":"Z. P."},{"family":"Tiu","given":"R. V."},{"family":"Maciejewski","given":"J. P."}],"issued":{"date-parts":[["2008",3]]}}},{"id":1051,"uris":["http://zotero.org/users/2484452/items/GYXZ5YUI"],"uri":["http://zotero.org/users/2484452/items/GYXZ5YUI"],"itemData":{"id":1051,"type":"article-journal","abstract":"Studies of radiation-induced acute myeloid leukemia (AML) in mice suggest that the number of target stem cells is a risk factor, and the HLX1 homeobox gene, which is important for hematopoietic development, is a candidate gene. The distribution of the C/T-3' untranslated region (UTR) polymorphism in HLX1 in patients with AML and therapy-related AML (t-AML) compared with controls was therefore determined. The presence of the variant HLX1 allele significantly increases the risk of t-AML (OR = 3.36, 95% CI, 1.65-6.84). The DNA repair gene RAD51 (135G/C-5' UTR) polymorphism also increases t-AML risk, and when combined analysis was performed on both RAD51 and HLX1 variant alleles, a synergistic 9.5-fold increase (95% CI, 2.22-40.64) in the risk of t-AML was observed. We suggest that the HLX1 polymorphism has an effect on stem cell numbers, whereas an increased DNA repair capacity (RAD51) will suppress apoptosis, a genetic interaction that may increase the number of genomes at risk during cancer therapy.","container-title":"Blood","DOI":"10.1182/blood-2006-05-022921","ISSN":"0006-4971","issue":"12","journalAbbreviation":"Blood","language":"eng","note":"PMID: 16902145","page":"3916-3918","source":"PubMed","title":"Polymorphisms in human homeobox HLX1 and DNA repair RAD51 genes increase the risk of therapy-related acute myeloid leukemia","volume":"108","author":[{"family":"Jawad","given":"Mays"},{"family":"Seedhouse","given":"Claire Helen"},{"family":"Russell","given":"Nigel"},{"family":"Plumb","given":"Mark"}],"issued":{"date-parts":[["2006",12,1]]}}},{"id":202,"uris":["http://zotero.org/users/2484452/items/DC94XMBW"],"uri":["http://zotero.org/users/2484452/items/DC94XMBW"],"itemData":{"id":202,"type":"article-journal","abstract":"Myelodysplastic syndrome (MDS) is a clonal disorder of hematopoietic stem cells. To investigate whether chromosomal instability and/or DNA repair defects are involved in the development of MDS, we measured the micronucleus (MN) frequency in peripheral blood lymphocytes exposed to various doses of X-rays, using a cytokinesis-block micronucleus assay. The spontaneous MN frequencies in RAEB and RAEB-T patients were significantly higher than those in normal individuals (P = 0.0224, P = 0.008, respectively). Also, the X-ray-induced MN frequencies in RA/RARS, RAEB, and RAEB-T patients were significantly higher than those in normal individuals (P = 0.007, P = 0.003, P = 0.003, respectively, at 2 Gy). In order to elucidate the cause of unusual radiosensitivity, we measured the expression levels of nucleotide excision repair (NER) genes in peripheral blood mononuclear cells using a RT-PCR method. Reduction of NER gene expression was found in only one of 10 patients with low risk MDS, but in four of 11 patients with high risk MDS. Our data suggest that chromosomal instability and DNA repair defects may be involved in the pathophysiology of disease progression of MDS.","container-title":"Leukemia","DOI":"10.1038/sj.leu.2402703","ISSN":"0887-6924","issue":"11","journalAbbreviation":"Leukemia","language":"eng","note":"PMID: 12399970","page":"2253-2258","source":"PubMed","title":"Chromosomal instability and radiosensitivity in myelodysplastic syndrome cells","volume":"16","author":[{"family":"Kuramoto","given":"K."},{"family":"Ban","given":"S."},{"family":"Oda","given":"K."},{"family":"Tanaka","given":"H."},{"family":"Kimura","given":"A."},{"family":"Suzuki","given":"G."}],"issued":{"date-parts":[["2002",11]]}}},{"id":1072,"uris":["http://zotero.org/users/2484452/items/KYRE8LUT"],"uri":["http://zotero.org/users/2484452/items/KYRE8LUT"],"itemData":{"id":1072,"type":"article-journal","abstract":"Defects in DNA mismatch repair (MMR) are the molecular basis of certain cancers, including hematological malignancies. The defects are often caused by mutations in coding regions of MMR genes or promoter methylation of the genes. However, in many cases, despite that a hypermutable phenotype is detected in a patient, no mutations/hypermethylations of MMR genes can be detected. We report here a novel mechanism that a mutation in the MLH1 3'-untranslated region (3'-UTR) leads to MMR deficiency. A relapsed leukemia patient displayed microsatellite instability, but no genetic and epigenetic alterations in key MMR genes were identifiable. Instead, a 3-nucleotide (TTC) deletion in the MLH1 3'-UTR was found in the patient's blood sample. The mutant MLH1 3'-UTR was found to significantly reduce the expressions of both a firefly luciferase reporter gene and an ectopic MLH1 gene in model cell lines. Consistent with these observations, a significant reduction in the steady-state level of MLH1 mRNA was observed in white blood cells of the patient. These findings suggest that the mutant MLH1 3'-UTR can cause a severely reduced/defective MMR activity conferring leukemia relapse, likely by down-regulating MLH1 expression at the mRNA level. Although the exact mechanism by which the mutant 3'-UTR down-regulates the MLH1 mRNA is not known, our findings provide a novel marker for cancers with MMR defects.","container-title":"The Journal of Biological Chemistry","DOI":"10.1074/jbc.M709276200","ISSN":"0021-9258","issue":"6","journalAbbreviation":"J. Biol. Chem.","language":"eng","note":"PMID: 18056700","page":"3211-3216","source":"PubMed","title":"Evidence that a mutation in the MLH1 3'-untranslated region confers a mutator phenotype and mismatch repair deficiency in patients with relapsed leukemia","volume":"283","author":[{"family":"Mao","given":"Guogen"},{"family":"Pan","given":"Xiaoyu"},{"family":"Gu","given":"Liya"}],"issued":{"date-parts":[["2008",2,8]]}}},{"id":1070,"uris":["http://zotero.org/users/2484452/items/2IT6LI2Q"],"uri":["http://zotero.org/users/2484452/items/2IT6LI2Q"],"itemData":{"id":1070,"type":"article-journal","abstract":"Microsatellite instability (MSI) is associated with defects in the DNA mismatch repair (MMR) system, such as mutation or epigenetic silencing of the genes by promoter hypermethylation. We investigated the presence of MSI and promoter hypermethylation of hMLH1 and hMSH2 genes in 82 patients (68 acute myeloid leukaemia, AML; 14 myelodysplastic syndromes, MDS). Twelve separate microsatellite loci, including three mononucleotide repeat markers, were used. Mutator phenotype (RER+) was detected in 20 AML (29.4%) and 3 MDS (21.4%) patients. RER+ rate was much higher in the therapy-related and secondary cases compared with the de novo cases. Three out of 7 (42.9%) secondary (s-AML) and 8 out of 17 (47.1%) therapy-related (t-AML) showed RER+ in comparison with 9 out of 44 (20.5%) de novo cases. Similar rates were detected in MDS patients (2/2 therapy-related and 1/12 de novo). The promoter hypermethylation was found in three hMLH1 (3.7%) and two hMSH2 (2.4%) genes. All these five patients had AML and were older than 60 years of age. Two of them had s-AML and one had t-AML. RER+ was detected in three of these five patients. Our data suggest that genetic instability is associated with AML and MDS, especially t-AML and s-AML. In addition, our results indicate that the hMSH2 and hMLH1 promoter hypermethylation is not a common event in these malignancies, but may play a role in the development of AML in elderly patients.","container-title":"British Journal of Haematology","DOI":"10.1046/j.1365-2141.2002.03458.x","ISSN":"0007-1048","issue":"2","journalAbbreviation":"Br. J. Haematol.","language":"eng","note":"PMID: 11972518","page":"359-365","source":"PubMed","title":"High level of microsatellite instability but not hypermethylation of mismatch repair genes in therapy-related and secondary acute myeloid leukaemia and myelodysplastic syndrome","volume":"117","author":[{"family":"Sheikhha","given":"Mohammad H."},{"family":"Tobal","given":"Khalid"},{"family":"Liu Yin","given":"John A."}],"issued":{"date-parts":[["2002",5]]}}},{"id":1067,"uris":["http://zotero.org/users/2484452/items/IE625BWP"],"uri":["http://zotero.org/users/2484452/items/IE625BWP"],"itemData":{"id":1067,"type":"article-journal","abstract":"In acute myeloid leukemia (AML), cytogenetics predicts treatment outcome for the favorable and poor subgroups but not for the intermediate subgroup. Polymorphisms within the nucleotide excision repair (NER) pathway may lead to interindividual differences in DNA repair capacity, influencing outcome. We studied the role of six polymorphisms (ERCC1 Gln504Lys, XPD Lys751Gln, XPC Ala499Val, XPC Lys939Gln, XPG Asp1104His, and CCNH Val270Ala) in overall and disease-free survival among 170 adult de novo patients with intermediate cytogenetics (diploid [n = 117]; non-diploid [n = 53]), treated with induction chemotherapy. Kaplan-Meier and Cox proportional hazards models were performed. Diploid patients with the XPD AC/CC genotype survived shorter than those with the wild-type genotype (median survival 22 vs. 40 months, p = 0.03). Diploid patients with XPC CT/TT genotype survived shorter than those with the wild-type genotype (median survival 15 vs. 30 months, p = 0.02). After adjusting for clinical and sociodemographic variables, patients carrying both XPD AC/CC and XPC CT/TT had a greater than two-fold increased risk of dying, compared to those with the wild-type genotypes (HR = 2.49; 95% CI: 1.06-5.85). No associations were observed for disease-free survival. This combined genotype may modulate treatment effect, decreasing overall survival. These findings could in the future help select treatments for patients with normal cytogenetics.","container-title":"Leukemia &amp; Lymphoma","DOI":"10.3109/10428190903582804","ISSN":"1029-2403","issue":"4","journalAbbreviation":"Leuk. Lymphoma","language":"eng","note":"PMID: 20141440\nPMCID: PMC2918264","page":"598-605","source":"PubMed","title":"Acute myeloid leukemia outcome: role of nucleotide excision repair polymorphisms in intermediate risk patients","title-short":"Acute myeloid leukemia outcome","volume":"51","author":[{"family":"Strom","given":"Sara S."},{"family":"Estey","given":"Elihu"},{"family":"Outschoorn","given":"Ubaldo Martinez"},{"family":"Garcia-Manero","given":"Guillermo"}],"issued":{"date-parts":[["2010",4]]}}},{"id":209,"uris":["http://zotero.org/users/2484452/items/6VYNGHRD"],"uri":["http://zotero.org/users/2484452/items/6VYNGHRD"],"itemData":{"id":209,"type":"article-journal","abstract":"Hematopoietic stem cells (HSCs) are responsible for the continuous regeneration of all types of blood cells, including themselves. To ensure the functional and genomic integrity of blood tissue, a network of regulatory pathways tightly controls the proliferative status of HSCs. Nevertheless, normal HSC aging is associated with a noticeable decline in regenerative potential and possible changes in other functions. Myelodysplastic syndrome (MDS) is an age-associated hematopoietic malignancy, characterized by abnormal blood cell maturation and a high propensity for leukemic transformation. It is furthermore thought to originate in a HSC and to be associated with the accrual of multiple genetic and epigenetic aberrations. This raises the question whether MDS is, in part, related to an inability to adequately cope with DNA damage. Here we discuss the various components of the cellular response to DNA damage. For each component, we evaluate related studies that may shed light on a potential relationship between MDS development and aberrant DNA damage response/repair.","container-title":"International Journal of Molecular Sciences","DOI":"10.3390/ijms16010966","ISSN":"1422-0067","issue":"1","journalAbbreviation":"Int J Mol Sci","note":"PMID: 25569081\nPMCID: PMC4307285","page":"966-989","source":"PubMed Central","title":"Potential Relationship between Inadequate Response to DNA Damage and Development of Myelodysplastic Syndrome","volume":"16","author":[{"family":"Zhou","given":"Ting"},{"family":"Chen","given":"Peishuai"},{"family":"Gu","given":"Jian"},{"family":"Bishop","given":"Alexander J. R."},{"family":"Scott","given":"Linda M."},{"family":"Hasty","given":"Paul"},{"family":"Rebel","given":"Vivienne I."}],"issued":{"date-parts":[["2015",1,5]]}}},{"id":1075,"uris":["http://zotero.org/users/2484452/items/HQ8VW8YS"],"uri":["http://zotero.org/users/2484452/items/HQ8VW8YS"],"itemData":{"id":1075,"type":"article-journal","abstract":"Microsatellite instability (MSI) and p53 mutations have been reported to occur in a significant proportion of patients with therapy-related acute myeloid leukemia (AML). MSH2 is one of the genes involved in DNA mismatch repair to maintain fidelity of genomic replication, and defects of MSH2 are directly involved in MSI in hereditary nonpolyposis colorectal tumors and other human tumors. We have examined the expression of MSH2 protein by Western blotting in 43 adult leukemia samples, including 42 AML and 1 acute lymphoblastic leukemia (ALL) using the antibody MSH2 (Ab-1) (Calbiochem, La Jolla, CA). Abnormal expression of MSH2 protein was found in 14 of 43 (32.6%) cases; a control antibody to actin was always positive. Of the 14 patients that had abnormal expression of MSH2, 2 had therapy-related acute leukemia and 9 were elderly patients (&gt;60 years of age). Expression of MSH2 mRNA was further examined by reverse transcriptase-polymerase chain reaction (RT-PCR). Deletion of MSH2 mRNA was found in 1 of 14 cases with deficient MSH2 protein expression. This group of patients was also screened for loss of heterozygosity (LOH) at the MSH2 locus using a panel 4 microsatellite markers (D2S367, D2S288, D2S391, and D2S2294). LOH was found in 5 of 11 cases examined. There was no evidence of LOH in 14 patients with normal MSH2 expression who were examined using the same markers. Functional evidence for defective DNA mismatch repair in leukemic cells lacking MSH2 as manifest by MSI was found in 7 of 11 cases studied. Mutations of the p53 gene in these 43 samples were also investigated by direct sequencing of full-length p53 cDNA. Mutations of p53 were found in 6 of 43 cases, including 5 of the 14 (35.7%) cases that did not express MSH2 protein. In contrast, mutation of p53 was only found in 1 of 29 (3.4%) cases with normal MSH2 protein expression (chi2 = 5.720, P &lt;.02). These results suggest that abnormalities of DNA mismatch repair due to defective MSH2 expression could play a key role in leukemogenesis, in particular in AML arising in elderly patients or secondary to previous chemotherapy.","container-title":"Blood","ISSN":"0006-4971","issue":"2","journalAbbreviation":"Blood","language":"eng","note":"PMID: 10397740","page":"733-740","source":"PubMed","title":"Microsatellite instability and p53 mutations are associated with abnormal expression of the MSH2 gene in adult acute leukemia","volume":"94","author":[{"family":"Zhu","given":"Y. M."},{"family":"Das-Gupta","given":"E. P."},{"family":"Russell","given":"N. H."}],"issued":{"date-parts":[["1999",7,15]]}}}],"schema":"https://github.com/citation-style-language/schema/raw/master/csl-citation.json"} </w:instrText>
      </w:r>
      <w:r w:rsidR="00B703ED" w:rsidRPr="006F5ABC">
        <w:rPr>
          <w:rFonts w:ascii="Arial" w:hAnsi="Arial" w:cs="Arial"/>
          <w:sz w:val="22"/>
          <w:szCs w:val="22"/>
          <w:lang w:val="en-US"/>
        </w:rPr>
        <w:fldChar w:fldCharType="separate"/>
      </w:r>
      <w:r w:rsidR="00EF0E59" w:rsidRPr="006F5ABC">
        <w:rPr>
          <w:rFonts w:ascii="Arial" w:hAnsi="Arial" w:cs="Arial"/>
          <w:sz w:val="22"/>
          <w:szCs w:val="22"/>
          <w:lang w:val="en-US"/>
        </w:rPr>
        <w:t>(Allan et al., 2004; Bănescu et al., 2014; Jankowska et al., 2008; Jawad et al., 2006; Kuramoto et al., 2002; Mao et al., 2008; Sheikhha et al., 2002; Strom et al., 2010; Zhou et al., 2015; Zhu et al., 1999)</w:t>
      </w:r>
      <w:r w:rsidR="00B703ED" w:rsidRPr="006F5ABC">
        <w:rPr>
          <w:rFonts w:ascii="Arial" w:hAnsi="Arial" w:cs="Arial"/>
          <w:sz w:val="22"/>
          <w:szCs w:val="22"/>
          <w:lang w:val="en-US"/>
        </w:rPr>
        <w:fldChar w:fldCharType="end"/>
      </w:r>
      <w:r w:rsidR="00B703ED" w:rsidRPr="006F5ABC">
        <w:rPr>
          <w:rFonts w:ascii="Arial" w:hAnsi="Arial" w:cs="Arial"/>
          <w:sz w:val="22"/>
          <w:szCs w:val="22"/>
          <w:lang w:val="en-US"/>
        </w:rPr>
        <w:t>.</w:t>
      </w:r>
    </w:p>
    <w:p w14:paraId="5DCCFBFE" w14:textId="200DB797" w:rsidR="006B77C3" w:rsidRPr="003A5293" w:rsidRDefault="00787044" w:rsidP="00787044">
      <w:pPr>
        <w:pStyle w:val="Formatvorlage1"/>
        <w:rPr>
          <w:rFonts w:cs="Arial"/>
        </w:rPr>
      </w:pPr>
      <w:bookmarkStart w:id="2" w:name="_Toc57582477"/>
      <w:r w:rsidRPr="003A5293">
        <w:rPr>
          <w:rFonts w:cs="Arial"/>
        </w:rPr>
        <w:t xml:space="preserve">1.1.1 </w:t>
      </w:r>
      <w:r w:rsidR="008D5700" w:rsidRPr="003A5293">
        <w:rPr>
          <w:rFonts w:cs="Arial"/>
        </w:rPr>
        <w:t>DNA damage and g</w:t>
      </w:r>
      <w:r w:rsidR="006B77C3" w:rsidRPr="003A5293">
        <w:rPr>
          <w:rFonts w:cs="Arial"/>
        </w:rPr>
        <w:t xml:space="preserve">enomic </w:t>
      </w:r>
      <w:r w:rsidR="005B694D">
        <w:rPr>
          <w:rFonts w:cs="Arial"/>
        </w:rPr>
        <w:t>in</w:t>
      </w:r>
      <w:r w:rsidR="006B77C3" w:rsidRPr="003A5293">
        <w:rPr>
          <w:rFonts w:cs="Arial"/>
        </w:rPr>
        <w:t>stability in</w:t>
      </w:r>
      <w:r w:rsidR="0072378E" w:rsidRPr="003A5293">
        <w:rPr>
          <w:rFonts w:cs="Arial"/>
        </w:rPr>
        <w:t xml:space="preserve"> the pathogenesis of </w:t>
      </w:r>
      <w:r w:rsidR="008D5700" w:rsidRPr="003A5293">
        <w:rPr>
          <w:rFonts w:cs="Arial"/>
        </w:rPr>
        <w:t>leukemia</w:t>
      </w:r>
      <w:bookmarkEnd w:id="2"/>
    </w:p>
    <w:p w14:paraId="1BEC1E96" w14:textId="77777777" w:rsidR="00507F6B" w:rsidRPr="003A5293" w:rsidRDefault="00EA7716" w:rsidP="00815B8B">
      <w:pPr>
        <w:spacing w:line="360" w:lineRule="auto"/>
        <w:jc w:val="both"/>
        <w:rPr>
          <w:rFonts w:ascii="Arial" w:hAnsi="Arial" w:cs="Arial"/>
          <w:sz w:val="22"/>
          <w:szCs w:val="22"/>
          <w:lang w:val="en-US"/>
        </w:rPr>
      </w:pPr>
      <w:r w:rsidRPr="003A5293">
        <w:rPr>
          <w:rFonts w:ascii="Arial" w:hAnsi="Arial" w:cs="Arial"/>
          <w:sz w:val="22"/>
          <w:szCs w:val="22"/>
          <w:lang w:val="en-US"/>
        </w:rPr>
        <w:tab/>
        <w:t xml:space="preserve"> </w:t>
      </w:r>
    </w:p>
    <w:p w14:paraId="4C5E15C4" w14:textId="59299E95" w:rsidR="00787044" w:rsidRPr="006F5ABC" w:rsidRDefault="005B694D" w:rsidP="00507F6B">
      <w:pPr>
        <w:spacing w:line="360" w:lineRule="auto"/>
        <w:ind w:firstLine="708"/>
        <w:jc w:val="both"/>
        <w:rPr>
          <w:rFonts w:ascii="Arial" w:hAnsi="Arial" w:cs="Arial"/>
          <w:sz w:val="22"/>
          <w:szCs w:val="22"/>
          <w:lang w:val="en-US"/>
        </w:rPr>
      </w:pPr>
      <w:r w:rsidRPr="006F5ABC">
        <w:rPr>
          <w:rFonts w:ascii="Arial" w:hAnsi="Arial" w:cs="Arial"/>
          <w:sz w:val="22"/>
          <w:szCs w:val="22"/>
          <w:lang w:val="en-US"/>
        </w:rPr>
        <w:t xml:space="preserve">The prevalence of myeloid leukemias is increasing with age of individuals and was previously attributed to accumulation of </w:t>
      </w:r>
      <w:r w:rsidR="00A2001F" w:rsidRPr="006F5ABC">
        <w:rPr>
          <w:rFonts w:ascii="Arial" w:hAnsi="Arial" w:cs="Arial"/>
          <w:sz w:val="22"/>
          <w:szCs w:val="22"/>
          <w:lang w:val="en-US"/>
        </w:rPr>
        <w:t>age-</w:t>
      </w:r>
      <w:r w:rsidRPr="006F5ABC">
        <w:rPr>
          <w:rFonts w:ascii="Arial" w:hAnsi="Arial" w:cs="Arial"/>
          <w:sz w:val="22"/>
          <w:szCs w:val="22"/>
          <w:lang w:val="en-US"/>
        </w:rPr>
        <w:t>selected mutations</w:t>
      </w:r>
      <w:r w:rsidR="00A2001F" w:rsidRPr="006F5ABC">
        <w:rPr>
          <w:rFonts w:ascii="Arial" w:hAnsi="Arial" w:cs="Arial"/>
          <w:sz w:val="22"/>
          <w:szCs w:val="22"/>
          <w:lang w:val="en-US"/>
        </w:rPr>
        <w:t xml:space="preserve"> </w:t>
      </w:r>
      <w:r w:rsidR="00A2001F" w:rsidRPr="006F5ABC">
        <w:rPr>
          <w:rFonts w:ascii="Arial" w:hAnsi="Arial" w:cs="Arial"/>
          <w:sz w:val="22"/>
          <w:szCs w:val="22"/>
          <w:lang w:val="en-US"/>
        </w:rPr>
        <w:fldChar w:fldCharType="begin"/>
      </w:r>
      <w:r w:rsidR="00A2001F" w:rsidRPr="006F5ABC">
        <w:rPr>
          <w:rFonts w:ascii="Arial" w:hAnsi="Arial" w:cs="Arial"/>
          <w:sz w:val="22"/>
          <w:szCs w:val="22"/>
          <w:lang w:val="en-US"/>
        </w:rPr>
        <w:instrText xml:space="preserve"> ADDIN ZOTERO_ITEM CSL_CITATION {"citationID":"hHAYmEgE","properties":{"formattedCitation":"(Genovese et al., 2014; Jaiswal et al., 2014; Steensma et al., 2015; Xie et al., 2014; Young et al., 2016)","plainCitation":"(Genovese et al., 2014; Jaiswal et al., 2014; Steensma et al., 2015; Xie et al., 2014; Young et al., 2016)","noteIndex":0},"citationItems":[{"id":869,"uris":["http://zotero.org/users/2484452/items/GFJTJSZP"],"uri":["http://zotero.org/users/2484452/items/GFJTJSZP"],"itemData":{"id":869,"type":"article-journal","abstract":"BACKGROUND: Cancers arise from multiple acquired mutations, which presumably occur over many years. Early stages in cancer development might be present years before cancers become clinically apparent.\nMETHODS: We analyzed data from whole-exome sequencing of DNA in peripheral-blood cells from 12,380 persons, unselected for cancer or hematologic phenotypes. We identified somatic mutations on the basis of unusual allelic fractions. We used data from Swedish national patient registers to follow health outcomes for 2 to 7 years after DNA sampling.\nRESULTS: Clonal hematopoiesis with somatic mutations was observed in 10% of persons older than 65 years of age but in only 1% of those younger than 50 years of age. Detectable clonal expansions most frequently involved somatic mutations in three genes (DNMT3A, ASXL1, and TET2) that have previously been implicated in hematologic cancers. Clonal hematopoiesis was a strong risk factor for subsequent hematologic cancer (hazard ratio, 12.9; 95% confidence interval, 5.8 to 28.7). Approximately 42% of hematologic cancers in this cohort arose in persons who had clonality at the time of DNA sampling, more than 6 months before a first diagnosis of cancer. Analysis of bone marrow-biopsy specimens obtained from two patients at the time of diagnosis of acute myeloid leukemia revealed that their cancers arose from the earlier clones.\nCONCLUSIONS: Clonal hematopoiesis with somatic mutations is readily detected by means of DNA sequencing, is increasingly common as people age, and is associated with increased risks of hematologic cancer and death. A subset of the genes that are mutated in patients with myeloid cancers is frequently mutated in apparently healthy persons; these mutations may represent characteristic early events in the development of hematologic cancers. (Funded by the National Human Genome Research Institute and others.).","container-title":"The New England Journal of Medicine","DOI":"10.1056/NEJMoa1409405","ISSN":"1533-4406","issue":"26","journalAbbreviation":"N. Engl. J. Med.","language":"eng","note":"PMID: 25426838\nPMCID: PMC4290021","page":"2477-2487","source":"PubMed","title":"Clonal hematopoiesis and blood-cancer risk inferred from blood DNA sequence","volume":"371","author":[{"family":"Genovese","given":"Giulio"},{"family":"Kähler","given":"Anna K."},{"family":"Handsaker","given":"Robert E."},{"family":"Lindberg","given":"Johan"},{"family":"Rose","given":"Samuel A."},{"family":"Bakhoum","given":"Samuel F."},{"family":"Chambert","given":"Kimberly"},{"family":"Mick","given":"Eran"},{"family":"Neale","given":"Benjamin M."},{"family":"Fromer","given":"Menachem"},{"family":"Purcell","given":"Shaun M."},{"family":"Svantesson","given":"Oscar"},{"family":"Landén","given":"Mikael"},{"family":"Höglund","given":"Martin"},{"family":"Lehmann","given":"Sören"},{"family":"Gabriel","given":"Stacey B."},{"family":"Moran","given":"Jennifer L."},{"family":"Lander","given":"Eric S."},{"family":"Sullivan","given":"Patrick F."},{"family":"Sklar","given":"Pamela"},{"family":"Grönberg","given":"Henrik"},{"family":"Hultman","given":"Christina M."},{"family":"McCarroll","given":"Steven A."}],"issued":{"date-parts":[["2014",12,25]]}}},{"id":872,"uris":["http://zotero.org/users/2484452/items/8P25GC9F"],"uri":["http://zotero.org/users/2484452/items/8P25GC9F"],"itemData":{"id":872,"type":"article-journal","abstract":"BACKGROUND: The incidence of hematologic cancers increases with age. These cancers are associated with recurrent somatic mutations in specific genes. We hypothesized that such mutations would be detectable in the blood of some persons who are not known to have hematologic disorders.\nMETHODS: We analyzed whole-exome sequencing data from DNA in the peripheral-blood cells of 17,182 persons who were unselected for hematologic phenotypes. We looked for somatic mutations by identifying previously characterized single-nucleotide variants and small insertions or deletions in 160 genes that are recurrently mutated in hematologic cancers. The presence of mutations was analyzed for an association with hematologic phenotypes, survival, and cardiovascular events.\nRESULTS: Detectable somatic mutations were rare in persons younger than 40 years of age but rose appreciably in frequency with age. Among persons 70 to 79 years of age, 80 to 89 years of age, and 90 to 108 years of age, these clonal mutations were observed in 9.5% (219 of 2300 persons), 11.7% (37 of 317), and 18.4% (19 of 103), respectively. The majority of the variants occurred in three genes: DNMT3A, TET2, and ASXL1. The presence of a somatic mutation was associated with an increase in the risk of hematologic cancer (hazard ratio, 11.1; 95% confidence interval [CI], 3.9 to 32.6), an increase in all-cause mortality (hazard ratio, 1.4; 95% CI, 1.1 to 1.8), and increases in the risks of incident coronary heart disease (hazard ratio, 2.0; 95% CI, 1.2 to 3.4) and ischemic stroke (hazard ratio, 2.6; 95% CI, 1.4 to 4.8).\nCONCLUSIONS: Age-related clonal hematopoiesis is a common condition that is associated with increases in the risk of hematologic cancer and in all-cause mortality, with the latter possibly due to an increased risk of cardiovascular disease. (Funded by the National Institutes of Health and others.).","container-title":"The New England Journal of Medicine","DOI":"10.1056/NEJMoa1408617","ISSN":"1533-4406","issue":"26","journalAbbreviation":"N. Engl. J. Med.","language":"eng","note":"PMID: 25426837\nPMCID: PMC4306669","page":"2488-2498","source":"PubMed","title":"Age-related clonal hematopoiesis associated with adverse outcomes","volume":"371","author":[{"family":"Jaiswal","given":"Siddhartha"},{"family":"Fontanillas","given":"Pierre"},{"family":"Flannick","given":"Jason"},{"family":"Manning","given":"Alisa"},{"family":"Grauman","given":"Peter V."},{"family":"Mar","given":"Brenton G."},{"family":"Lindsley","given":"R. Coleman"},{"family":"Mermel","given":"Craig H."},{"family":"Burtt","given":"Noel"},{"family":"Chavez","given":"Alejandro"},{"family":"Higgins","given":"John M."},{"family":"Moltchanov","given":"Vladislav"},{"family":"Kuo","given":"Frank C."},{"family":"Kluk","given":"Michael J."},{"family":"Henderson","given":"Brian"},{"family":"Kinnunen","given":"Leena"},{"family":"Koistinen","given":"Heikki A."},{"family":"Ladenvall","given":"Claes"},{"family":"Getz","given":"Gad"},{"family":"Correa","given":"Adolfo"},{"family":"Banahan","given":"Benjamin F."},{"family":"Gabriel","given":"Stacey"},{"family":"Kathiresan","given":"Sekar"},{"family":"Stringham","given":"Heather M."},{"family":"McCarthy","given":"Mark I."},{"family":"Boehnke","given":"Michael"},{"family":"Tuomilehto","given":"Jaakko"},{"family":"Haiman","given":"Christopher"},{"family":"Groop","given":"Leif"},{"family":"Atzmon","given":"Gil"},{"family":"Wilson","given":"James G."},{"family":"Neuberg","given":"Donna"},{"family":"Altshuler","given":"David"},{"family":"Ebert","given":"Benjamin L."}],"issued":{"date-parts":[["2014",12,25]]}}},{"id":878,"uris":["http://zotero.org/users/2484452/items/VKF58DUV"],"uri":["http://zotero.org/users/2484452/items/VKF58DUV"],"itemData":{"id":878,"type":"article-journal","abstract":"Recent genetic analyses of large populations have revealed that somatic mutations in hematopoietic cells leading to clonal expansion are commonly acquired during human aging. Clonally restricted hematopoiesis is associated with an increased risk of subsequent diagnosis of myeloid or lymphoid neoplasia and increased all-cause mortality. Although myelodysplastic syndromes (MDS) are defined by cytopenias, dysplastic morphology of blood and marrow cells, and clonal hematopoiesis, most individuals who acquire clonal hematopoiesis during aging will never develop MDS. Therefore, acquisition of somatic mutations that drive clonal expansion in the absence of cytopenias and dysplastic hematopoiesis can be considered clonal hematopoiesis of indeterminate potential (CHIP), analogous to monoclonal gammopathy of undetermined significance and monoclonal B-cell lymphocytosis, which are precursor states for hematologic neoplasms but are usually benign and do not progress. Because mutations are frequently observed in healthy older persons, detection of an MDS-associated somatic mutation in a cytopenic patient without other evidence of MDS may cause diagnostic uncertainty. Here we discuss the nature and prevalence of CHIP, distinction of this state from MDS, and current areas of uncertainty regarding diagnostic criteria for myeloid malignancies.","container-title":"Blood","DOI":"10.1182/blood-2015-03-631747","ISSN":"1528-0020","issue":"1","journalAbbreviation":"Blood","language":"eng","note":"PMID: 25931582\nPMCID: PMC4624443","page":"9-16","source":"PubMed","title":"Clonal hematopoiesis of indeterminate potential and its distinction from myelodysplastic syndromes","volume":"126","author":[{"family":"Steensma","given":"David P."},{"family":"Bejar","given":"Rafael"},{"family":"Jaiswal","given":"Siddhartha"},{"family":"Lindsley","given":"R. Coleman"},{"family":"Sekeres","given":"Mikkael A."},{"family":"Hasserjian","given":"Robert P."},{"family":"Ebert","given":"Benjamin L."}],"issued":{"date-parts":[["2015",7,2]]}}},{"id":224,"uris":["http://zotero.org/users/2484452/items/HDGURK68"],"uri":["http://zotero.org/users/2484452/items/HDGURK68"],"itemData":{"id":224,"type":"article-journal","abstract":"Several genetic alterations characteristic of leukemia and lymphoma have been detected in the blood of individuals without apparent hematological malignancies. The Cancer Genome Atlas (TCGA) provides a unique resource for comprehensive discovery of mutations and genes in blood that may contribute to the clonal expansion of hematopoietic stem/progenitor cells. Here, we analyzed blood-derived sequence data from 2,728 individuals from TCGA and discovered 77 blood-specific mutations in cancer-associated genes, the majority being associated with advanced age. Remarkably, 83% of these mutations were from 19 leukemia and/or lymphoma-associated genes, and nine were recurrently mutated (DNMT3A, TET2, JAK2, ASXL1, TP53, GNAS, PPM1D, BCORL1 and SF3B1). We identified 14 additional mutations in a very small fraction of blood cells, possibly representing the earliest stages of clonal expansion in hematopoietic stem cells. Comparison of these findings to mutations in hematological malignancies identified several recurrently mutated genes that may be disease initiators. Our analyses show that the blood cells of more than 2% of individuals (5-6% of people older than 70 years) contain mutations that may represent premalignant events that cause clonal hematopoietic expansion.","container-title":"Nature Medicine","DOI":"10.1038/nm.3733","ISSN":"1546-170X","issue":"12","journalAbbreviation":"Nat. Med.","language":"eng","note":"PMID: 25326804\nPMCID: PMC4313872","page":"1472-1478","source":"PubMed","title":"Age-related mutations associated with clonal hematopoietic expansion and malignancies","volume":"20","author":[{"family":"Xie","given":"Mingchao"},{"family":"Lu","given":"Charles"},{"family":"Wang","given":"Jiayin"},{"family":"McLellan","given":"Michael D."},{"family":"Johnson","given":"Kimberly J."},{"family":"Wendl","given":"Michael C."},{"family":"McMichael","given":"Joshua F."},{"family":"Schmidt","given":"Heather K."},{"family":"Yellapantula","given":"Venkata"},{"family":"Miller","given":"Christopher A."},{"family":"Ozenberger","given":"Bradley A."},{"family":"Welch","given":"John S."},{"family":"Link","given":"Daniel C."},{"family":"Walter","given":"Matthew J."},{"family":"Mardis","given":"Elaine R."},{"family":"Dipersio","given":"John F."},{"family":"Chen","given":"Feng"},{"family":"Wilson","given":"Richard K."},{"family":"Ley","given":"Timothy J."},{"family":"Ding","given":"Li"}],"issued":{"date-parts":[["2014",12]]}}},{"id":226,"uris":["http://zotero.org/users/2484452/items/Y8U6WDZJ"],"uri":["http://zotero.org/users/2484452/items/Y8U6WDZJ"],"itemData":{"id":226,"type":"article-journal","abstract":"Clonal haematopoiesis is thought to be a rare condition that increases in frequency with age and predisposes individuals to haematological malignancy. Recent studies, utilizing next-generation sequencing (NGS), observed haematopoietic clones in 10% of 70-year olds and rarely in younger individuals. However, these studies could only detect common haematopoietic clones-&gt;0.02 variant allele fraction (VAF)-due to the error rate of NGS. To identify and characterize clonal mutations below this threshold, here we develop methods for targeted error-corrected sequencing, which enable the accurate detection of clonal mutations as rare as 0.0003 VAF. We apply these methods to study serially banked peripheral blood samples from healthy 50-60-year-old participants in the Nurses' Health Study. We observe clonal haematopoiesis, frequently harbouring mutations in DNMT3A and TET2, in 95% of individuals studied. These clonal mutations are often stable longitudinally and present in multiple haematopoietic compartments, suggesting a long-lived haematopoietic stem and progenitor cell of origin.","container-title":"Nature Communications","DOI":"10.1038/ncomms12484","ISSN":"2041-1723","journalAbbreviation":"Nat Commun","language":"eng","note":"PMID: 27546487\nPMCID: PMC4996934","page":"12484","source":"PubMed","title":"Clonal haematopoiesis harbouring AML-associated mutations is ubiquitous in healthy adults","volume":"7","author":[{"family":"Young","given":"Andrew L."},{"family":"Challen","given":"Grant A."},{"family":"Birmann","given":"Brenda M."},{"family":"Druley","given":"Todd E."}],"issued":{"date-parts":[["2016"]],"season":"22"}}}],"schema":"https://github.com/citation-style-language/schema/raw/master/csl-citation.json"} </w:instrText>
      </w:r>
      <w:r w:rsidR="00A2001F" w:rsidRPr="006F5ABC">
        <w:rPr>
          <w:rFonts w:ascii="Arial" w:hAnsi="Arial" w:cs="Arial"/>
          <w:sz w:val="22"/>
          <w:szCs w:val="22"/>
          <w:lang w:val="en-US"/>
        </w:rPr>
        <w:fldChar w:fldCharType="separate"/>
      </w:r>
      <w:r w:rsidR="00A2001F" w:rsidRPr="006F5ABC">
        <w:rPr>
          <w:rFonts w:ascii="Arial" w:hAnsi="Arial" w:cs="Arial"/>
          <w:noProof/>
          <w:sz w:val="22"/>
          <w:szCs w:val="22"/>
          <w:lang w:val="en-US"/>
        </w:rPr>
        <w:t>(Genovese et al., 2014; Jaiswal et al., 2014; Steensma et al., 2015; Xie et al., 2014; Young et al., 2016)</w:t>
      </w:r>
      <w:r w:rsidR="00A2001F" w:rsidRPr="006F5ABC">
        <w:rPr>
          <w:rFonts w:ascii="Arial" w:hAnsi="Arial" w:cs="Arial"/>
          <w:sz w:val="22"/>
          <w:szCs w:val="22"/>
          <w:lang w:val="en-US"/>
        </w:rPr>
        <w:fldChar w:fldCharType="end"/>
      </w:r>
      <w:r w:rsidR="006D410E" w:rsidRPr="006F5ABC">
        <w:rPr>
          <w:rFonts w:ascii="Arial" w:hAnsi="Arial" w:cs="Arial"/>
          <w:sz w:val="22"/>
          <w:szCs w:val="22"/>
          <w:lang w:val="en-US"/>
        </w:rPr>
        <w:t xml:space="preserve"> and </w:t>
      </w:r>
      <w:r w:rsidRPr="006F5ABC">
        <w:rPr>
          <w:rFonts w:ascii="Arial" w:hAnsi="Arial" w:cs="Arial"/>
          <w:sz w:val="22"/>
          <w:szCs w:val="22"/>
          <w:lang w:val="en-US"/>
        </w:rPr>
        <w:t xml:space="preserve">development of </w:t>
      </w:r>
      <w:r w:rsidR="00A2001F" w:rsidRPr="006F5ABC">
        <w:rPr>
          <w:rFonts w:ascii="Arial" w:hAnsi="Arial" w:cs="Arial"/>
          <w:sz w:val="22"/>
          <w:szCs w:val="22"/>
          <w:lang w:val="en-US"/>
        </w:rPr>
        <w:t xml:space="preserve">chronic inflammation </w:t>
      </w:r>
      <w:r w:rsidR="00A2001F" w:rsidRPr="006F5ABC">
        <w:rPr>
          <w:rFonts w:ascii="Arial" w:hAnsi="Arial" w:cs="Arial"/>
          <w:sz w:val="22"/>
          <w:szCs w:val="22"/>
          <w:lang w:val="en-US"/>
        </w:rPr>
        <w:fldChar w:fldCharType="begin"/>
      </w:r>
      <w:r w:rsidR="00A2001F" w:rsidRPr="006F5ABC">
        <w:rPr>
          <w:rFonts w:ascii="Arial" w:hAnsi="Arial" w:cs="Arial"/>
          <w:sz w:val="22"/>
          <w:szCs w:val="22"/>
          <w:lang w:val="en-US"/>
        </w:rPr>
        <w:instrText xml:space="preserve"> ADDIN ZOTERO_ITEM CSL_CITATION {"citationID":"mAtMc4b4","properties":{"formattedCitation":"(Busque et al., 2018; Steensma, 2018)","plainCitation":"(Busque et al., 2018; Steensma, 2018)","noteIndex":0},"citationItems":[{"id":903,"uris":["http://zotero.org/users/2484452/items/4R57NG7C"],"uri":["http://zotero.org/users/2484452/items/4R57NG7C"],"itemData":{"id":903,"type":"article-journal","abstract":"The recent characterization of clonal hematopoiesis in a large segment of the aging population has raised tremendous interest and concern alike. Mutations have been documented in genes associated with hematological cancers and in non-driver candidates. These mutations are present at low frequency in the majority of individuals after middle-age, and principally affect the epigenetic modifiers DNMT3A and TET2. In 10%-40% of cases, the clone will progress to meet the diagnostic criteria for Clonal Hematopoiesis of Indeterminate Potential, which is associated with an increased risk of hematological cancer and cardiovascular mortality. Blood cell parameters appear unmodified in these individuals, but a minority of them will develop a hematologic malignancy. At this time, the factors put forward as potentially influencing the risk of cancer development are clone size, specific gene, specific mutation, and the number of mutations. Specific stress on hematopoiesis also gives rise to clonal expansion. Genotoxic exposure (such as chemotherapy), or immune attack (as in aplastic anemia) selects/provides a fitness advantage to clones with a context-specific signature. Clonal hematopoiesis offers a new opportunity to understand the biology and adaptation mechanisms of aging hematopoiesis and provides insight into the mechanisms underlying malignant transformation. Furthermore, it might shed light on common denominators of age-associated medical conditions and help devise global strategies that will impact the prevention of hematologic cancers and promote healthy aging. Stem Cells 2018;36:1287-1294.","container-title":"Stem Cells (Dayton, Ohio)","DOI":"10.1002/stem.2845","ISSN":"1549-4918","issue":"9","journalAbbreviation":"Stem Cells","language":"eng","note":"PMID: 29883022\nPMCID: PMC6125185","page":"1287-1294","source":"PubMed","title":"Concise Review: Age-Related Clonal Hematopoiesis: Stem Cells Tempting the Devil","title-short":"Concise Review","volume":"36","author":[{"family":"Busque","given":"Lambert"},{"family":"Buscarlet","given":"Manuel"},{"family":"Mollica","given":"Luigina"},{"family":"Levine","given":"Ross L."}],"issued":{"date-parts":[["2018"]]}}},{"id":1361,"uris":["http://zotero.org/users/2484452/items/JB4FK64E"],"uri":["http://zotero.org/users/2484452/items/JB4FK64E"],"itemData":{"id":1361,"type":"article-journal","abstract":"Clonally restricted hematopoiesis is a common aging-associated biological state that predisposes to subsequent development of a hematological malignancy or cardiovascular death. Clonal expansion driven by leukemia-associated somatic mutations, such as DNMT3A, ASXL1, or TET2, is best characterized, but oligoclonality can also emerge without recognized leukemia-driver mutations, perhaps as a result of stochastic neutral drift. Murine models provide compelling evidence that a major mechanism of increased cardiovascular mortality in the context of clonal hematopoiesis is accelerated atherogenesis driven by inflammasome-mediated endothelial injury, resulting from proinflammatory interactions between endothelium and macrophages derived from circulating clonal monocytes. Altered inflammation likely influences other biological processes as well. The rate of development of overt neoplasia in patients with clonal hematopoiesis of indeterminate potential (CHIP), as currently defined, is 0.5% to 1% per year. Contributing factors to clonal progression other than acquisition of secondary mutations in hematopoietic cells (ie, stronger leukemia drivers) are incompletely understood. Disordered endogenous immunity in the context of increased proliferative pressure, short telomeres leading to chromosomal instability, an unhealthy marrow microenvironment that favors expansion of clonal stem cells and acquisition of new mutations while failing to support healthy hematopoiesis, and aging-associated changes in hematopoietic stem cells, including altered DNA damage response, an altered transcriptional program, and consequences of epigenetic alterations, are all potential contributors to clonal progression. Clinical management of patients with CHIP includes monitoring for hematological changes and reduction of modifiable cardiovascular risk factors; eventually, it will also likely include anti-inflammatory therapies and targeted approaches to prune emergent dangerous clones.","container-title":"Blood Advances","DOI":"10.1182/bloodadvances.2018020222","ISSN":"2473-9529","issue":"22","journalAbbreviation":"Blood Adv","note":"PMID: 30482770\nPMCID: PMC6258914","page":"3404-3410","source":"PubMed Central","title":"Clinical consequences of clonal hematopoiesis of indeterminate potential","volume":"2","author":[{"family":"Steensma","given":"David P."}],"issued":{"date-parts":[["2018",11,27]]}}}],"schema":"https://github.com/citation-style-language/schema/raw/master/csl-citation.json"} </w:instrText>
      </w:r>
      <w:r w:rsidR="00A2001F" w:rsidRPr="006F5ABC">
        <w:rPr>
          <w:rFonts w:ascii="Arial" w:hAnsi="Arial" w:cs="Arial"/>
          <w:sz w:val="22"/>
          <w:szCs w:val="22"/>
          <w:lang w:val="en-US"/>
        </w:rPr>
        <w:fldChar w:fldCharType="separate"/>
      </w:r>
      <w:r w:rsidR="00A2001F" w:rsidRPr="006F5ABC">
        <w:rPr>
          <w:rFonts w:ascii="Arial" w:hAnsi="Arial" w:cs="Arial"/>
          <w:noProof/>
          <w:sz w:val="22"/>
          <w:szCs w:val="22"/>
          <w:lang w:val="en-US"/>
        </w:rPr>
        <w:t>(Busque et al., 2018; Steensma, 2018)</w:t>
      </w:r>
      <w:r w:rsidR="00A2001F" w:rsidRPr="006F5ABC">
        <w:rPr>
          <w:rFonts w:ascii="Arial" w:hAnsi="Arial" w:cs="Arial"/>
          <w:sz w:val="22"/>
          <w:szCs w:val="22"/>
          <w:lang w:val="en-US"/>
        </w:rPr>
        <w:fldChar w:fldCharType="end"/>
      </w:r>
      <w:r w:rsidR="006D410E" w:rsidRPr="006F5ABC">
        <w:rPr>
          <w:rFonts w:ascii="Arial" w:hAnsi="Arial" w:cs="Arial"/>
          <w:sz w:val="22"/>
          <w:szCs w:val="22"/>
          <w:lang w:val="en-US"/>
        </w:rPr>
        <w:t xml:space="preserve">, </w:t>
      </w:r>
      <w:r w:rsidR="00F70A71" w:rsidRPr="006F5ABC">
        <w:rPr>
          <w:rFonts w:ascii="Arial" w:hAnsi="Arial" w:cs="Arial"/>
          <w:sz w:val="22"/>
          <w:szCs w:val="22"/>
          <w:lang w:val="en-US"/>
        </w:rPr>
        <w:t xml:space="preserve">associated increase </w:t>
      </w:r>
      <w:r w:rsidR="00227F91" w:rsidRPr="006F5ABC">
        <w:rPr>
          <w:rFonts w:ascii="Arial" w:hAnsi="Arial" w:cs="Arial"/>
          <w:sz w:val="22"/>
          <w:szCs w:val="22"/>
          <w:lang w:val="en-US"/>
        </w:rPr>
        <w:t>of</w:t>
      </w:r>
      <w:r w:rsidR="00F70A71" w:rsidRPr="006F5ABC">
        <w:rPr>
          <w:rFonts w:ascii="Arial" w:hAnsi="Arial" w:cs="Arial"/>
          <w:sz w:val="22"/>
          <w:szCs w:val="22"/>
          <w:lang w:val="en-US"/>
        </w:rPr>
        <w:t xml:space="preserve"> </w:t>
      </w:r>
      <w:r w:rsidR="005976E1" w:rsidRPr="005976E1">
        <w:rPr>
          <w:rFonts w:ascii="Arial" w:hAnsi="Arial" w:cs="Arial"/>
          <w:sz w:val="22"/>
          <w:szCs w:val="22"/>
          <w:lang w:val="en-US"/>
        </w:rPr>
        <w:t xml:space="preserve">reactive oxygen species </w:t>
      </w:r>
      <w:r w:rsidR="005976E1">
        <w:rPr>
          <w:rFonts w:ascii="Arial" w:hAnsi="Arial" w:cs="Arial"/>
          <w:sz w:val="22"/>
          <w:szCs w:val="22"/>
          <w:lang w:val="en-US"/>
        </w:rPr>
        <w:t>(</w:t>
      </w:r>
      <w:r w:rsidR="00F70A71" w:rsidRPr="006F5ABC">
        <w:rPr>
          <w:rFonts w:ascii="Arial" w:hAnsi="Arial" w:cs="Arial"/>
          <w:sz w:val="22"/>
          <w:szCs w:val="22"/>
          <w:lang w:val="en-US"/>
        </w:rPr>
        <w:t>ROS</w:t>
      </w:r>
      <w:r w:rsidR="005976E1">
        <w:rPr>
          <w:rFonts w:ascii="Arial" w:hAnsi="Arial" w:cs="Arial"/>
          <w:sz w:val="22"/>
          <w:szCs w:val="22"/>
          <w:lang w:val="en-US"/>
        </w:rPr>
        <w:t>)</w:t>
      </w:r>
      <w:r w:rsidR="00F70A71" w:rsidRPr="006F5ABC">
        <w:rPr>
          <w:rFonts w:ascii="Arial" w:hAnsi="Arial" w:cs="Arial"/>
          <w:sz w:val="22"/>
          <w:szCs w:val="22"/>
          <w:lang w:val="en-US"/>
        </w:rPr>
        <w:t xml:space="preserve"> </w:t>
      </w:r>
      <w:r w:rsidR="00F70A71" w:rsidRPr="006F5ABC">
        <w:rPr>
          <w:rFonts w:ascii="Arial" w:hAnsi="Arial" w:cs="Arial"/>
          <w:sz w:val="22"/>
          <w:szCs w:val="22"/>
          <w:lang w:val="en-US"/>
        </w:rPr>
        <w:fldChar w:fldCharType="begin"/>
      </w:r>
      <w:r w:rsidR="00F70A71" w:rsidRPr="006F5ABC">
        <w:rPr>
          <w:rFonts w:ascii="Arial" w:hAnsi="Arial" w:cs="Arial"/>
          <w:sz w:val="22"/>
          <w:szCs w:val="22"/>
          <w:lang w:val="en-US"/>
        </w:rPr>
        <w:instrText xml:space="preserve"> ADDIN ZOTERO_ITEM CSL_CITATION {"citationID":"MN6lNDfD","properties":{"formattedCitation":"(Yahata et al., 2011)","plainCitation":"(Yahata et al., 2011)","noteIndex":0},"citationItems":[{"id":1377,"uris":["http://zotero.org/users/2484452/items/EUNQ97CT"],"uri":["http://zotero.org/users/2484452/items/EUNQ97CT"],"itemData":{"id":1377,"type":"article-journal","abstract":"Stem cells of highly regenerative organs including blood are susceptible to endogenous DNA damage caused by both intrinsic and extrinsic stress. Response mechanisms to such stress equipped in hematopoietic stem cells (HSCs) are crucial in sustaining hematopoietic homeostasis but remain largely unknown. In this study, we demonstrate that serial transplantation of human HSCs into immunodeficient mice triggers replication stress that induces incremental elevation of intracellular reactive oxygen species (ROS) levels and the accumulation of persistent DNA damage within the human HSCs. This accumulation of DNA damage is also detected in HSCs of clinical HSC transplant patients and elderly individuals. A forced increase of intracellular levels of ROS by treatment with a glutathione synthetase inhibitor aggravates the extent of DNA damage, resulting in the functional impairment of HSCs in vivo. The oxidative DNA damage activates the expression of cell-cycle inhibitors in a HSC specific manner, leading to the premature senescence among HSCs, and ultimately to the loss of stem cell function. Importantly, treatment with an antioxidant can antagonize the oxidative DNA damage and eventual HSC dysfunction. The study reveals that ROS play a causative role for DNA damage and the regulation of ROS have a major influence on human HSC aging.","container-title":"Blood","DOI":"10.1182/blood-2011-01-330050","ISSN":"1528-0020","issue":"11","journalAbbreviation":"Blood","language":"eng","note":"PMID: 21734240","page":"2941-2950","source":"PubMed","title":"Accumulation of oxidative DNA damage restricts the self-renewal capacity of human hematopoietic stem cells","volume":"118","author":[{"family":"Yahata","given":"Takashi"},{"family":"Takanashi","given":"Tomomi"},{"family":"Muguruma","given":"Yukari"},{"family":"Ibrahim","given":"Abd Aziz"},{"family":"Matsuzawa","given":"Hideyuki"},{"family":"Uno","given":"Tomoko"},{"family":"Sheng","given":"Yin"},{"family":"Onizuka","given":"Makoto"},{"family":"Ito","given":"Mamoru"},{"family":"Kato","given":"Shunichi"},{"family":"Ando","given":"Kiyoshi"}],"issued":{"date-parts":[["2011",9,15]]}}}],"schema":"https://github.com/citation-style-language/schema/raw/master/csl-citation.json"} </w:instrText>
      </w:r>
      <w:r w:rsidR="00F70A71" w:rsidRPr="006F5ABC">
        <w:rPr>
          <w:rFonts w:ascii="Arial" w:hAnsi="Arial" w:cs="Arial"/>
          <w:sz w:val="22"/>
          <w:szCs w:val="22"/>
          <w:lang w:val="en-US"/>
        </w:rPr>
        <w:fldChar w:fldCharType="separate"/>
      </w:r>
      <w:r w:rsidR="00F70A71" w:rsidRPr="006F5ABC">
        <w:rPr>
          <w:rFonts w:ascii="Arial" w:hAnsi="Arial" w:cs="Arial"/>
          <w:noProof/>
          <w:sz w:val="22"/>
          <w:szCs w:val="22"/>
          <w:lang w:val="en-US"/>
        </w:rPr>
        <w:t>(Yahata et al., 2011)</w:t>
      </w:r>
      <w:r w:rsidR="00F70A71" w:rsidRPr="006F5ABC">
        <w:rPr>
          <w:rFonts w:ascii="Arial" w:hAnsi="Arial" w:cs="Arial"/>
          <w:sz w:val="22"/>
          <w:szCs w:val="22"/>
          <w:lang w:val="en-US"/>
        </w:rPr>
        <w:fldChar w:fldCharType="end"/>
      </w:r>
      <w:r w:rsidR="00F70A71" w:rsidRPr="006F5ABC">
        <w:rPr>
          <w:rFonts w:ascii="Arial" w:hAnsi="Arial" w:cs="Arial"/>
          <w:sz w:val="22"/>
          <w:szCs w:val="22"/>
          <w:lang w:val="en-US"/>
        </w:rPr>
        <w:t xml:space="preserve"> and DNA damage </w:t>
      </w:r>
      <w:r w:rsidR="00F70A71" w:rsidRPr="006F5ABC">
        <w:rPr>
          <w:rFonts w:ascii="Arial" w:hAnsi="Arial" w:cs="Arial"/>
          <w:sz w:val="22"/>
          <w:szCs w:val="22"/>
          <w:lang w:val="en-US"/>
        </w:rPr>
        <w:fldChar w:fldCharType="begin"/>
      </w:r>
      <w:r w:rsidR="00F70A71" w:rsidRPr="006F5ABC">
        <w:rPr>
          <w:rFonts w:ascii="Arial" w:hAnsi="Arial" w:cs="Arial"/>
          <w:sz w:val="22"/>
          <w:szCs w:val="22"/>
          <w:lang w:val="en-US"/>
        </w:rPr>
        <w:instrText xml:space="preserve"> ADDIN ZOTERO_ITEM CSL_CITATION {"citationID":"gWWhCFkD","properties":{"formattedCitation":"(Flach et al., 2014)","plainCitation":"(Flach et al., 2014)","noteIndex":0},"citationItems":[{"id":1379,"uris":["http://zotero.org/users/2484452/items/37KCQE6F"],"uri":["http://zotero.org/users/2484452/items/37KCQE6F"],"itemData":{"id":1379,"type":"article-journal","abstract":"Haematopoietic stem cells (HSCs) self-renew for life, thereby making them one of the few blood cells that truly age. Paradoxically, although HSCs numerically expand with age, their functional activity declines over time, resulting in degraded blood production and impaired engraftment following transplantation. While many drivers of HSC ageing have been proposed, the reason why HSC function degrades with age remains unknown. Here we show that cycling old HSCs in mice have heightened levels of replication stress associated with cell cycle defects and chromosome gaps or breaks, which are due to decreased expression of mini-chromosome maintenance (MCM) helicase components and altered dynamics of DNA replication forks. Nonetheless, old HSCs survive replication unless confronted with a strong replication challenge, such as transplantation. Moreover, once old HSCs re-establish quiescence, residual replication stress on ribosomal DNA (rDNA) genes leads to the formation of nucleolar-associated γH2AX signals, which persist owing to ineffective H2AX dephosphorylation by mislocalized PP4c phosphatase rather than ongoing DNA damage. Persistent nucleolar γH2AX also acts as a histone modification marking the transcriptional silencing of rDNA genes and decreased ribosome biogenesis in quiescent old HSCs. Our results identify replication stress as a potent driver of functional decline in old HSCs, and highlight the MCM DNA helicase as a potential molecular target for rejuvenation therapies.","container-title":"Nature","DOI":"10.1038/nature13619","ISSN":"1476-4687","issue":"7513","journalAbbreviation":"Nature","language":"eng","note":"PMID: 25079315\nPMCID: PMC4456040","page":"198-202","source":"PubMed","title":"Replication stress is a potent driver of functional decline in ageing haematopoietic stem cells","volume":"512","author":[{"family":"Flach","given":"Johanna"},{"family":"Bakker","given":"Sietske T."},{"family":"Mohrin","given":"Mary"},{"family":"Conroy","given":"Pauline C."},{"family":"Pietras","given":"Eric M."},{"family":"Reynaud","given":"Damien"},{"family":"Alvarez","given":"Silvia"},{"family":"Diolaiti","given":"Morgan E."},{"family":"Ugarte","given":"Fernando"},{"family":"Forsberg","given":"E. Camilla"},{"family":"Le Beau","given":"Michelle M."},{"family":"Stohr","given":"Bradley A."},{"family":"Méndez","given":"Juan"},{"family":"Morrison","given":"Ciaran G."},{"family":"Passegué","given":"Emmanuelle"}],"issued":{"date-parts":[["2014",8,14]]}}}],"schema":"https://github.com/citation-style-language/schema/raw/master/csl-citation.json"} </w:instrText>
      </w:r>
      <w:r w:rsidR="00F70A71" w:rsidRPr="006F5ABC">
        <w:rPr>
          <w:rFonts w:ascii="Arial" w:hAnsi="Arial" w:cs="Arial"/>
          <w:sz w:val="22"/>
          <w:szCs w:val="22"/>
          <w:lang w:val="en-US"/>
        </w:rPr>
        <w:fldChar w:fldCharType="separate"/>
      </w:r>
      <w:r w:rsidR="00F70A71" w:rsidRPr="006F5ABC">
        <w:rPr>
          <w:rFonts w:ascii="Arial" w:hAnsi="Arial" w:cs="Arial"/>
          <w:noProof/>
          <w:sz w:val="22"/>
          <w:szCs w:val="22"/>
          <w:lang w:val="en-US"/>
        </w:rPr>
        <w:t>(Flach et al., 2014)</w:t>
      </w:r>
      <w:r w:rsidR="00F70A71" w:rsidRPr="006F5ABC">
        <w:rPr>
          <w:rFonts w:ascii="Arial" w:hAnsi="Arial" w:cs="Arial"/>
          <w:sz w:val="22"/>
          <w:szCs w:val="22"/>
          <w:lang w:val="en-US"/>
        </w:rPr>
        <w:fldChar w:fldCharType="end"/>
      </w:r>
      <w:r w:rsidR="00A2001F" w:rsidRPr="006F5ABC">
        <w:rPr>
          <w:rFonts w:ascii="Arial" w:hAnsi="Arial" w:cs="Arial"/>
          <w:sz w:val="22"/>
          <w:szCs w:val="22"/>
          <w:lang w:val="en-US"/>
        </w:rPr>
        <w:t>.</w:t>
      </w:r>
      <w:r w:rsidR="00747BF2" w:rsidRPr="006F5ABC">
        <w:rPr>
          <w:rFonts w:ascii="Arial" w:hAnsi="Arial" w:cs="Arial"/>
          <w:sz w:val="22"/>
          <w:szCs w:val="22"/>
          <w:lang w:val="en-US"/>
        </w:rPr>
        <w:t xml:space="preserve"> Previous work has also </w:t>
      </w:r>
      <w:r w:rsidR="00032173" w:rsidRPr="006F5ABC">
        <w:rPr>
          <w:rFonts w:ascii="Arial" w:hAnsi="Arial" w:cs="Arial"/>
          <w:sz w:val="22"/>
          <w:szCs w:val="22"/>
          <w:lang w:val="en-US"/>
        </w:rPr>
        <w:t>show</w:t>
      </w:r>
      <w:r w:rsidR="00032173">
        <w:rPr>
          <w:rFonts w:ascii="Arial" w:hAnsi="Arial" w:cs="Arial"/>
          <w:sz w:val="22"/>
          <w:szCs w:val="22"/>
          <w:lang w:val="en-US"/>
        </w:rPr>
        <w:t>n</w:t>
      </w:r>
      <w:r w:rsidR="00032173" w:rsidRPr="006F5ABC">
        <w:rPr>
          <w:rFonts w:ascii="Arial" w:hAnsi="Arial" w:cs="Arial"/>
          <w:sz w:val="22"/>
          <w:szCs w:val="22"/>
          <w:lang w:val="en-US"/>
        </w:rPr>
        <w:t xml:space="preserve"> </w:t>
      </w:r>
      <w:r w:rsidR="00747BF2" w:rsidRPr="006F5ABC">
        <w:rPr>
          <w:rFonts w:ascii="Arial" w:hAnsi="Arial" w:cs="Arial"/>
          <w:sz w:val="22"/>
          <w:szCs w:val="22"/>
          <w:lang w:val="en-US"/>
        </w:rPr>
        <w:t xml:space="preserve">that aged HSCs are more prone to proliferate and expand </w:t>
      </w:r>
      <w:r w:rsidR="00747BF2" w:rsidRPr="006F5ABC">
        <w:rPr>
          <w:rFonts w:ascii="Arial" w:hAnsi="Arial" w:cs="Arial"/>
          <w:sz w:val="22"/>
          <w:szCs w:val="22"/>
          <w:lang w:val="en-US"/>
        </w:rPr>
        <w:fldChar w:fldCharType="begin"/>
      </w:r>
      <w:r w:rsidR="00747BF2" w:rsidRPr="006F5ABC">
        <w:rPr>
          <w:rFonts w:ascii="Arial" w:hAnsi="Arial" w:cs="Arial"/>
          <w:sz w:val="22"/>
          <w:szCs w:val="22"/>
          <w:lang w:val="en-US"/>
        </w:rPr>
        <w:instrText xml:space="preserve"> ADDIN ZOTERO_ITEM CSL_CITATION {"citationID":"obmuSJvf","properties":{"formattedCitation":"(Pang et al., 2011)","plainCitation":"(Pang et al., 2011)","noteIndex":0},"citationItems":[{"id":1371,"uris":["http://zotero.org/users/2484452/items/EXU4GJXE"],"uri":["http://zotero.org/users/2484452/items/EXU4GJXE"],"itemData":{"id":1371,"type":"article-journal","abstract":"In the human hematopoietic system, aging is associated with decreased bone marrow cellularity, decreased adaptive immune system function, and increased incidence of anemia and other hematological disorders and malignancies. Recent studies in mice suggest that changes within the hematopoietic stem cell (HSC) population during aging contribute significantly to the manifestation of these age-associated hematopoietic pathologies. Though the mouse HSC population has been shown to change both quantitatively and functionally with age, changes in the human HSC and progenitor cell populations during aging have been incompletely characterized. To elucidate the properties of an aged human hematopoietic system that may predispose to age-associated hematopoietic dysfunction, we evaluated immunophenotypic HSC and other hematopoietic progenitor populations from healthy, hematologically normal young and elderly human bone marrow samples. We found that aged immunophenotypic human HSC increase in frequency, are less quiescent, and exhibit myeloid-biased differentiation potential compared with young HSC. Gene expression profiling revealed that aged immunophenotypic human HSC transcriptionally up-regulate genes associated with cell cycle, myeloid lineage specification, and myeloid malignancies. These age-associated alterations in the frequency, developmental potential, and gene expression profile of human HSC are similar to those changes observed in mouse HSC, suggesting that hematopoietic aging is an evolutionarily conserved process.","container-title":"Proceedings of the National Academy of Sciences of the United States of America","DOI":"10.1073/pnas.1116110108","ISSN":"1091-6490","issue":"50","journalAbbreviation":"Proc. Natl. Acad. Sci. U.S.A.","language":"eng","note":"PMID: 22123971\nPMCID: PMC3250139","page":"20012-20017","source":"PubMed","title":"Human bone marrow hematopoietic stem cells are increased in frequency and myeloid-biased with age","volume":"108","author":[{"family":"Pang","given":"Wendy W."},{"family":"Price","given":"Elizabeth A."},{"family":"Sahoo","given":"Debashis"},{"family":"Beerman","given":"Isabel"},{"family":"Maloney","given":"William J."},{"family":"Rossi","given":"Derrick J."},{"family":"Schrier","given":"Stanley L."},{"family":"Weissman","given":"Irving L."}],"issued":{"date-parts":[["2011",12,13]]}}}],"schema":"https://github.com/citation-style-language/schema/raw/master/csl-citation.json"} </w:instrText>
      </w:r>
      <w:r w:rsidR="00747BF2" w:rsidRPr="006F5ABC">
        <w:rPr>
          <w:rFonts w:ascii="Arial" w:hAnsi="Arial" w:cs="Arial"/>
          <w:sz w:val="22"/>
          <w:szCs w:val="22"/>
          <w:lang w:val="en-US"/>
        </w:rPr>
        <w:fldChar w:fldCharType="separate"/>
      </w:r>
      <w:r w:rsidR="00747BF2" w:rsidRPr="006F5ABC">
        <w:rPr>
          <w:rFonts w:ascii="Arial" w:hAnsi="Arial" w:cs="Arial"/>
          <w:noProof/>
          <w:sz w:val="22"/>
          <w:szCs w:val="22"/>
          <w:lang w:val="en-US"/>
        </w:rPr>
        <w:t>(Pang et al., 2011)</w:t>
      </w:r>
      <w:r w:rsidR="00747BF2" w:rsidRPr="006F5ABC">
        <w:rPr>
          <w:rFonts w:ascii="Arial" w:hAnsi="Arial" w:cs="Arial"/>
          <w:sz w:val="22"/>
          <w:szCs w:val="22"/>
          <w:lang w:val="en-US"/>
        </w:rPr>
        <w:fldChar w:fldCharType="end"/>
      </w:r>
      <w:r w:rsidR="00747BF2" w:rsidRPr="006F5ABC">
        <w:rPr>
          <w:rFonts w:ascii="Arial" w:hAnsi="Arial" w:cs="Arial"/>
          <w:sz w:val="22"/>
          <w:szCs w:val="22"/>
          <w:lang w:val="en-US"/>
        </w:rPr>
        <w:t>, however they have decrease</w:t>
      </w:r>
      <w:r w:rsidR="00032173">
        <w:rPr>
          <w:rFonts w:ascii="Arial" w:hAnsi="Arial" w:cs="Arial"/>
          <w:sz w:val="22"/>
          <w:szCs w:val="22"/>
          <w:lang w:val="en-US"/>
        </w:rPr>
        <w:t>d</w:t>
      </w:r>
      <w:r w:rsidR="00747BF2" w:rsidRPr="006F5ABC">
        <w:rPr>
          <w:rFonts w:ascii="Arial" w:hAnsi="Arial" w:cs="Arial"/>
          <w:sz w:val="22"/>
          <w:szCs w:val="22"/>
          <w:lang w:val="en-US"/>
        </w:rPr>
        <w:t xml:space="preserve"> engraftment potential </w:t>
      </w:r>
      <w:r w:rsidR="00747BF2" w:rsidRPr="006F5ABC">
        <w:rPr>
          <w:rFonts w:ascii="Arial" w:hAnsi="Arial" w:cs="Arial"/>
          <w:sz w:val="22"/>
          <w:szCs w:val="22"/>
          <w:lang w:val="en-US"/>
        </w:rPr>
        <w:fldChar w:fldCharType="begin"/>
      </w:r>
      <w:r w:rsidR="00747BF2" w:rsidRPr="006F5ABC">
        <w:rPr>
          <w:rFonts w:ascii="Arial" w:hAnsi="Arial" w:cs="Arial"/>
          <w:sz w:val="22"/>
          <w:szCs w:val="22"/>
          <w:lang w:val="en-US"/>
        </w:rPr>
        <w:instrText xml:space="preserve"> ADDIN ZOTERO_ITEM CSL_CITATION {"citationID":"NYJx7glh","properties":{"formattedCitation":"(Kuranda et al., 2011)","plainCitation":"(Kuranda et al., 2011)","noteIndex":0},"citationItems":[{"id":1369,"uris":["http://zotero.org/users/2484452/items/ZTAFLVIS"],"uri":["http://zotero.org/users/2484452/items/ZTAFLVIS"],"itemData":{"id":1369,"type":"article-journal","abstract":"Adult stem cells are critical for maintaining cellular homeostasis throughout life, yet the effects of age on their regenerative capacity are poorly understood. All lymphoid and myeloid blood cell lineages are continuously generated from hematopoietic stem cells present in human bone marrow. With age, significant changes in the function and composition of mature blood cells are observed. In this study, we report that age-related changes also occur in the human hematopoietic stem cell compartment. We find that the proportion of multipotent CD34(+) CD38(-) cells increases in the bone marrow of elderly (&gt;70 years) individuals. CD34(+) CD38(+) CD90(-) CD45RA(+/-) CD10(-) and CD34(+) CD33(+) myeloid progenitors persist at the same level in the bone marrow, while the frequency of early CD34(+) CD38(+) CD90(-) CD45RA(+) CD10(+) and committed CD34(+) CD19(+) B-lymphoid progenitors decreases with age. In contrast to mice models of aging, transplantation experiments with immunodeficient NOD/SCID/IL-2Rγ null (NSG) mice showed that the frequency of NSG repopulating cells does not change significantly with age, and there is a decrease in myeloid lineage reconstitution. An age-related decrease in the capacity of CD34(+) cells to generate myeloid cells was also seen in colony-forming assays in vitro. Thus, with increasing age, human hematopoietic stem/progenitor cells undergo quantitative changes as well as functional modifications.","container-title":"Aging Cell","DOI":"10.1111/j.1474-9726.2011.00675.x","ISSN":"1474-9726","issue":"3","journalAbbreviation":"Aging Cell","language":"eng","note":"PMID: 21418508","page":"542-546","source":"PubMed","title":"Age-related changes in human hematopoietic stem/progenitor cells","volume":"10","author":[{"family":"Kuranda","given":"Klaudia"},{"family":"Vargaftig","given":"Jacques"},{"family":"Rochere","given":"Philippe","non-dropping-particle":"de la"},{"family":"Dosquet","given":"Christine"},{"family":"Charron","given":"Dominique"},{"family":"Bardin","given":"Florence"},{"family":"Tonnelle","given":"Cecile"},{"family":"Bonnet","given":"Dominique"},{"family":"Goodhardt","given":"Michele"}],"issued":{"date-parts":[["2011",6]]}}}],"schema":"https://github.com/citation-style-language/schema/raw/master/csl-citation.json"} </w:instrText>
      </w:r>
      <w:r w:rsidR="00747BF2" w:rsidRPr="006F5ABC">
        <w:rPr>
          <w:rFonts w:ascii="Arial" w:hAnsi="Arial" w:cs="Arial"/>
          <w:sz w:val="22"/>
          <w:szCs w:val="22"/>
          <w:lang w:val="en-US"/>
        </w:rPr>
        <w:fldChar w:fldCharType="separate"/>
      </w:r>
      <w:r w:rsidR="00747BF2" w:rsidRPr="006F5ABC">
        <w:rPr>
          <w:rFonts w:ascii="Arial" w:hAnsi="Arial" w:cs="Arial"/>
          <w:noProof/>
          <w:sz w:val="22"/>
          <w:szCs w:val="22"/>
          <w:lang w:val="en-US"/>
        </w:rPr>
        <w:t>(Kuranda et al., 2011)</w:t>
      </w:r>
      <w:r w:rsidR="00747BF2" w:rsidRPr="006F5ABC">
        <w:rPr>
          <w:rFonts w:ascii="Arial" w:hAnsi="Arial" w:cs="Arial"/>
          <w:sz w:val="22"/>
          <w:szCs w:val="22"/>
          <w:lang w:val="en-US"/>
        </w:rPr>
        <w:fldChar w:fldCharType="end"/>
      </w:r>
      <w:r w:rsidR="00747BF2" w:rsidRPr="006F5ABC">
        <w:rPr>
          <w:rFonts w:ascii="Arial" w:hAnsi="Arial" w:cs="Arial"/>
          <w:sz w:val="22"/>
          <w:szCs w:val="22"/>
          <w:lang w:val="en-US"/>
        </w:rPr>
        <w:t xml:space="preserve">. </w:t>
      </w:r>
      <w:r w:rsidR="003663C0" w:rsidRPr="006F5ABC">
        <w:rPr>
          <w:rFonts w:ascii="Arial" w:hAnsi="Arial" w:cs="Arial"/>
          <w:sz w:val="22"/>
          <w:szCs w:val="22"/>
          <w:lang w:val="en-US"/>
        </w:rPr>
        <w:t>Additionally</w:t>
      </w:r>
      <w:r w:rsidR="00032173">
        <w:rPr>
          <w:rFonts w:ascii="Arial" w:hAnsi="Arial" w:cs="Arial"/>
          <w:sz w:val="22"/>
          <w:szCs w:val="22"/>
          <w:lang w:val="en-US"/>
        </w:rPr>
        <w:t>,</w:t>
      </w:r>
      <w:r w:rsidR="00747BF2" w:rsidRPr="006F5ABC">
        <w:rPr>
          <w:rFonts w:ascii="Arial" w:hAnsi="Arial" w:cs="Arial"/>
          <w:sz w:val="22"/>
          <w:szCs w:val="22"/>
          <w:lang w:val="en-US"/>
        </w:rPr>
        <w:t xml:space="preserve"> if HSCs are pushed towards exit of the dormancy they are much more prone to accumulate excessive DNA damage, </w:t>
      </w:r>
      <w:r w:rsidR="00747BF2" w:rsidRPr="006F5ABC">
        <w:rPr>
          <w:rFonts w:ascii="Arial" w:hAnsi="Arial" w:cs="Arial"/>
          <w:sz w:val="22"/>
          <w:szCs w:val="22"/>
          <w:lang w:val="en-US"/>
        </w:rPr>
        <w:lastRenderedPageBreak/>
        <w:t xml:space="preserve">especially under the prolonged stress hematopoiesis and inflammation </w:t>
      </w:r>
      <w:r w:rsidR="00747BF2" w:rsidRPr="006F5ABC">
        <w:rPr>
          <w:rFonts w:ascii="Arial" w:hAnsi="Arial" w:cs="Arial"/>
          <w:sz w:val="22"/>
          <w:szCs w:val="22"/>
          <w:lang w:val="en-US"/>
        </w:rPr>
        <w:fldChar w:fldCharType="begin"/>
      </w:r>
      <w:r w:rsidR="00747BF2" w:rsidRPr="006F5ABC">
        <w:rPr>
          <w:rFonts w:ascii="Arial" w:hAnsi="Arial" w:cs="Arial"/>
          <w:sz w:val="22"/>
          <w:szCs w:val="22"/>
          <w:lang w:val="en-US"/>
        </w:rPr>
        <w:instrText xml:space="preserve"> ADDIN ZOTERO_ITEM CSL_CITATION {"citationID":"0WeZwfOP","properties":{"formattedCitation":"(Walter et al., 2015)","plainCitation":"(Walter et al., 2015)","noteIndex":0},"citationItems":[{"id":94,"uris":["http://zotero.org/users/2484452/items/CHAN8ZE3"],"uri":["http://zotero.org/users/2484452/items/CHAN8ZE3"],"itemData":{"id":94,"type":"article-journal","abstract":"Haematopoietic stem cells (HSCs) are responsible for the lifelong production of blood cells. The accumulation of DNA damage in HSCs is a hallmark of ageing and is probably a major contributing factor in age-related tissue degeneration and malignant transformation. A number of accelerated ageing syndromes are associated with defective DNA repair and genomic instability, including the most common inherited bone marrow failure syndrome, Fanconi anaemia. However, the physiological source of DNA damage in HSCs from both normal and diseased individuals remains unclear. Here we show in mice that DNA damage is a direct consequence of inducing HSCs to exit their homeostatic quiescent state in response to conditions that model physiological stress, such as infection or chronic blood loss. Repeated activation of HSCs out of their dormant state provoked the attrition of normal HSCs and, in the case of mice with a non-functional Fanconi anaemia DNA repair pathway, led to a complete collapse of the haematopoietic system, which phenocopied the highly penetrant bone marrow failure seen in Fanconi anaemia patients. Our findings establish a novel link between physiological stress and DNA damage in normal HSCs and provide a mechanistic explanation for the universal accumulation of DNA damage in HSCs during ageing and the accelerated failure of the haematopoietic system in Fanconi anaemia patients.","container-title":"Nature","DOI":"10.1038/nature14131","ISSN":"1476-4687","issue":"7548","journalAbbreviation":"Nature","language":"eng","note":"PMID: 25707806","page":"549-552","source":"PubMed","title":"Exit from dormancy provokes DNA-damage-induced attrition in haematopoietic stem cells","volume":"520","author":[{"family":"Walter","given":"Dagmar"},{"family":"Lier","given":"Amelie"},{"family":"Geiselhart","given":"Anja"},{"family":"Thalheimer","given":"Frederic B."},{"family":"Huntscha","given":"Sina"},{"family":"Sobotta","given":"Mirko C."},{"family":"Moehrle","given":"Bettina"},{"family":"Brocks","given":"David"},{"family":"Bayindir","given":"Irem"},{"family":"Kaschutnig","given":"Paul"},{"family":"Muedder","given":"Katja"},{"family":"Klein","given":"Corinna"},{"family":"Jauch","given":"Anna"},{"family":"Schroeder","given":"Timm"},{"family":"Geiger","given":"Hartmut"},{"family":"Dick","given":"Tobias P."},{"family":"Holland-Letz","given":"Tim"},{"family":"Schmezer","given":"Peter"},{"family":"Lane","given":"Steven W."},{"family":"Rieger","given":"Michael A."},{"family":"Essers","given":"Marieke A. G."},{"family":"Williams","given":"David A."},{"family":"Trumpp","given":"Andreas"},{"family":"Milsom","given":"Michael D."}],"issued":{"date-parts":[["2015",4,23]]}}}],"schema":"https://github.com/citation-style-language/schema/raw/master/csl-citation.json"} </w:instrText>
      </w:r>
      <w:r w:rsidR="00747BF2" w:rsidRPr="006F5ABC">
        <w:rPr>
          <w:rFonts w:ascii="Arial" w:hAnsi="Arial" w:cs="Arial"/>
          <w:sz w:val="22"/>
          <w:szCs w:val="22"/>
          <w:lang w:val="en-US"/>
        </w:rPr>
        <w:fldChar w:fldCharType="separate"/>
      </w:r>
      <w:r w:rsidR="00747BF2" w:rsidRPr="006F5ABC">
        <w:rPr>
          <w:rFonts w:ascii="Arial" w:hAnsi="Arial" w:cs="Arial"/>
          <w:noProof/>
          <w:sz w:val="22"/>
          <w:szCs w:val="22"/>
          <w:lang w:val="en-US"/>
        </w:rPr>
        <w:t>(Walter et al., 2015)</w:t>
      </w:r>
      <w:r w:rsidR="00747BF2" w:rsidRPr="006F5ABC">
        <w:rPr>
          <w:rFonts w:ascii="Arial" w:hAnsi="Arial" w:cs="Arial"/>
          <w:sz w:val="22"/>
          <w:szCs w:val="22"/>
          <w:lang w:val="en-US"/>
        </w:rPr>
        <w:fldChar w:fldCharType="end"/>
      </w:r>
      <w:r w:rsidR="00747BF2" w:rsidRPr="006F5ABC">
        <w:rPr>
          <w:rFonts w:ascii="Arial" w:hAnsi="Arial" w:cs="Arial"/>
          <w:sz w:val="22"/>
          <w:szCs w:val="22"/>
          <w:lang w:val="en-US"/>
        </w:rPr>
        <w:t xml:space="preserve">. These cell-intrinsic changes thus create a functional landscape influencing fitness of HSCs such that the best </w:t>
      </w:r>
      <w:r w:rsidR="006A40E8">
        <w:rPr>
          <w:rFonts w:ascii="Arial" w:hAnsi="Arial" w:cs="Arial"/>
          <w:sz w:val="22"/>
          <w:szCs w:val="22"/>
          <w:lang w:val="en-US"/>
        </w:rPr>
        <w:t xml:space="preserve">ones </w:t>
      </w:r>
      <w:r w:rsidR="00747BF2" w:rsidRPr="006F5ABC">
        <w:rPr>
          <w:rFonts w:ascii="Arial" w:hAnsi="Arial" w:cs="Arial"/>
          <w:sz w:val="22"/>
          <w:szCs w:val="22"/>
          <w:lang w:val="en-US"/>
        </w:rPr>
        <w:t xml:space="preserve">retain their self-renewal and differentiation capacity </w:t>
      </w:r>
      <w:r w:rsidR="006D410E" w:rsidRPr="006F5ABC">
        <w:rPr>
          <w:rFonts w:ascii="Arial" w:hAnsi="Arial" w:cs="Arial"/>
          <w:sz w:val="22"/>
          <w:szCs w:val="22"/>
          <w:lang w:val="en-US"/>
        </w:rPr>
        <w:t xml:space="preserve">and </w:t>
      </w:r>
      <w:r w:rsidR="00747BF2" w:rsidRPr="006F5ABC">
        <w:rPr>
          <w:rFonts w:ascii="Arial" w:hAnsi="Arial" w:cs="Arial"/>
          <w:sz w:val="22"/>
          <w:szCs w:val="22"/>
          <w:lang w:val="en-US"/>
        </w:rPr>
        <w:t xml:space="preserve">are most likely to expand </w:t>
      </w:r>
      <w:r w:rsidR="0004078E" w:rsidRPr="006F5ABC">
        <w:rPr>
          <w:rFonts w:ascii="Arial" w:hAnsi="Arial" w:cs="Arial"/>
          <w:sz w:val="22"/>
          <w:szCs w:val="22"/>
          <w:lang w:val="en-US"/>
        </w:rPr>
        <w:t xml:space="preserve">over prolonged time/aging </w:t>
      </w:r>
      <w:r w:rsidR="00747BF2" w:rsidRPr="006F5ABC">
        <w:rPr>
          <w:rFonts w:ascii="Arial" w:hAnsi="Arial" w:cs="Arial"/>
          <w:sz w:val="22"/>
          <w:szCs w:val="22"/>
          <w:lang w:val="en-US"/>
        </w:rPr>
        <w:fldChar w:fldCharType="begin"/>
      </w:r>
      <w:r w:rsidR="00747BF2" w:rsidRPr="006F5ABC">
        <w:rPr>
          <w:rFonts w:ascii="Arial" w:hAnsi="Arial" w:cs="Arial"/>
          <w:sz w:val="22"/>
          <w:szCs w:val="22"/>
          <w:lang w:val="en-US"/>
        </w:rPr>
        <w:instrText xml:space="preserve"> ADDIN ZOTERO_ITEM CSL_CITATION {"citationID":"SdDUZ96i","properties":{"formattedCitation":"(Bowman et al., 2018)","plainCitation":"(Bowman et al., 2018)","noteIndex":0},"citationItems":[{"id":1374,"uris":["http://zotero.org/users/2484452/items/X5CQTX48"],"uri":["http://zotero.org/users/2484452/items/X5CQTX48"],"itemData":{"id":1374,"type":"article-journal","abstract":"Clonal hematopoiesis (CH) broadly describes the expansion of a clonal population of blood cells with one or more somatic mutations. Individuals with CH are at greater risk for hematological malignancies, cardiovascular disease, and increased mortality from non-hematological cancers. Understanding the causes of CH and how these mutant cells interact with cells of other tissues will provide critical insights into preleukemic development, stem cell biology, host-immune interactions, and cancer evolution. Here we discuss the clinical manifestations of CH, mechanisms contributing to its development, the role of CH in clonal evolution toward leukemia, and the contribution of CH to non-hematological disease states.","container-title":"Cell stem cell","DOI":"10.1016/j.stem.2018.01.011","ISSN":"1934-5909","issue":"2","journalAbbreviation":"Cell Stem Cell","note":"PMID: 29395053\nPMCID: PMC5804896","page":"157-170","source":"PubMed Central","title":"Clonal Hematopoiesis and Evolution to Hematopoietic Malignancies","volume":"22","author":[{"family":"Bowman","given":"Robert L."},{"family":"Busque","given":"Lambert"},{"family":"Levine","given":"Ross L."}],"issued":{"date-parts":[["2018",2,1]]}}}],"schema":"https://github.com/citation-style-language/schema/raw/master/csl-citation.json"} </w:instrText>
      </w:r>
      <w:r w:rsidR="00747BF2" w:rsidRPr="006F5ABC">
        <w:rPr>
          <w:rFonts w:ascii="Arial" w:hAnsi="Arial" w:cs="Arial"/>
          <w:sz w:val="22"/>
          <w:szCs w:val="22"/>
          <w:lang w:val="en-US"/>
        </w:rPr>
        <w:fldChar w:fldCharType="separate"/>
      </w:r>
      <w:r w:rsidR="00747BF2" w:rsidRPr="006F5ABC">
        <w:rPr>
          <w:rFonts w:ascii="Arial" w:hAnsi="Arial" w:cs="Arial"/>
          <w:noProof/>
          <w:sz w:val="22"/>
          <w:szCs w:val="22"/>
          <w:lang w:val="en-US"/>
        </w:rPr>
        <w:t>(Bowman et al., 2018)</w:t>
      </w:r>
      <w:r w:rsidR="00747BF2" w:rsidRPr="006F5ABC">
        <w:rPr>
          <w:rFonts w:ascii="Arial" w:hAnsi="Arial" w:cs="Arial"/>
          <w:sz w:val="22"/>
          <w:szCs w:val="22"/>
          <w:lang w:val="en-US"/>
        </w:rPr>
        <w:fldChar w:fldCharType="end"/>
      </w:r>
      <w:r w:rsidR="00747BF2" w:rsidRPr="006F5ABC">
        <w:rPr>
          <w:rFonts w:ascii="Arial" w:hAnsi="Arial" w:cs="Arial"/>
          <w:sz w:val="22"/>
          <w:szCs w:val="22"/>
          <w:lang w:val="en-US"/>
        </w:rPr>
        <w:t>.</w:t>
      </w:r>
      <w:r w:rsidR="0004078E" w:rsidRPr="006F5ABC">
        <w:rPr>
          <w:rFonts w:ascii="Arial" w:hAnsi="Arial" w:cs="Arial"/>
          <w:sz w:val="22"/>
          <w:szCs w:val="22"/>
          <w:lang w:val="en-US"/>
        </w:rPr>
        <w:t xml:space="preserve"> However, contribution of gradual DNA damage accumulation has so far not been very well characterized in preleukemia and clonal hematopoiesis. On the other side of the spectr</w:t>
      </w:r>
      <w:r w:rsidR="00032173">
        <w:rPr>
          <w:rFonts w:ascii="Arial" w:hAnsi="Arial" w:cs="Arial"/>
          <w:sz w:val="22"/>
          <w:szCs w:val="22"/>
          <w:lang w:val="en-US"/>
        </w:rPr>
        <w:t>um</w:t>
      </w:r>
      <w:r w:rsidR="0004078E" w:rsidRPr="006F5ABC">
        <w:rPr>
          <w:rFonts w:ascii="Arial" w:hAnsi="Arial" w:cs="Arial"/>
          <w:sz w:val="22"/>
          <w:szCs w:val="22"/>
          <w:lang w:val="en-US"/>
        </w:rPr>
        <w:t xml:space="preserve"> with </w:t>
      </w:r>
      <w:r w:rsidR="00D33DD2" w:rsidRPr="006F5ABC">
        <w:rPr>
          <w:rFonts w:ascii="Arial" w:hAnsi="Arial" w:cs="Arial"/>
          <w:sz w:val="22"/>
          <w:szCs w:val="22"/>
          <w:lang w:val="en-US"/>
        </w:rPr>
        <w:t>increased</w:t>
      </w:r>
      <w:r w:rsidR="0004078E" w:rsidRPr="006F5ABC">
        <w:rPr>
          <w:rFonts w:ascii="Arial" w:hAnsi="Arial" w:cs="Arial"/>
          <w:sz w:val="22"/>
          <w:szCs w:val="22"/>
          <w:lang w:val="en-US"/>
        </w:rPr>
        <w:t xml:space="preserve"> DNA damage</w:t>
      </w:r>
      <w:r w:rsidR="00D33DD2" w:rsidRPr="006F5ABC">
        <w:rPr>
          <w:rFonts w:ascii="Arial" w:hAnsi="Arial" w:cs="Arial"/>
          <w:sz w:val="22"/>
          <w:szCs w:val="22"/>
          <w:lang w:val="en-US"/>
        </w:rPr>
        <w:t xml:space="preserve"> and cytogenetic instability</w:t>
      </w:r>
      <w:r w:rsidR="00032173">
        <w:rPr>
          <w:rFonts w:ascii="Arial" w:hAnsi="Arial" w:cs="Arial"/>
          <w:sz w:val="22"/>
          <w:szCs w:val="22"/>
          <w:lang w:val="en-US"/>
        </w:rPr>
        <w:t>,</w:t>
      </w:r>
      <w:r w:rsidR="0004078E" w:rsidRPr="006F5ABC">
        <w:rPr>
          <w:rFonts w:ascii="Arial" w:hAnsi="Arial" w:cs="Arial"/>
          <w:sz w:val="22"/>
          <w:szCs w:val="22"/>
          <w:lang w:val="en-US"/>
        </w:rPr>
        <w:t xml:space="preserve"> we have myelodysplastic syndromes (MDS), which </w:t>
      </w:r>
      <w:r w:rsidR="003663C0" w:rsidRPr="006F5ABC">
        <w:rPr>
          <w:rFonts w:ascii="Arial" w:hAnsi="Arial" w:cs="Arial"/>
          <w:sz w:val="22"/>
          <w:szCs w:val="22"/>
          <w:lang w:val="en-US"/>
        </w:rPr>
        <w:t>were</w:t>
      </w:r>
      <w:r w:rsidR="00B034CE" w:rsidRPr="006F5ABC">
        <w:rPr>
          <w:rFonts w:ascii="Arial" w:hAnsi="Arial" w:cs="Arial"/>
          <w:sz w:val="22"/>
          <w:szCs w:val="22"/>
          <w:lang w:val="en-US"/>
        </w:rPr>
        <w:t xml:space="preserve"> </w:t>
      </w:r>
      <w:r w:rsidR="00815B8B" w:rsidRPr="006F5ABC">
        <w:rPr>
          <w:rFonts w:ascii="Arial" w:hAnsi="Arial" w:cs="Arial"/>
          <w:sz w:val="22"/>
          <w:szCs w:val="22"/>
          <w:lang w:val="en-US"/>
        </w:rPr>
        <w:t>established</w:t>
      </w:r>
      <w:r w:rsidR="00B034CE" w:rsidRPr="006F5ABC">
        <w:rPr>
          <w:rFonts w:ascii="Arial" w:hAnsi="Arial" w:cs="Arial"/>
          <w:sz w:val="22"/>
          <w:szCs w:val="22"/>
          <w:lang w:val="en-US"/>
        </w:rPr>
        <w:t xml:space="preserve"> by </w:t>
      </w:r>
      <w:r w:rsidR="00B034CE"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{"citationID":"MAGY8UpI","properties":{"formattedCitation":"(Block et al., 1953)","plainCitation":"(Block et al., 1953)","dontUpdate":true,"noteIndex":0},"citationItems":[{"id":971,"uris":["http://zotero.org/users/2484452/items/2CLIEPCM"],"uri":["http://zotero.org/users/2484452/items/2CLIEPCM"],"itemData":{"id":971,"type":"article-journal","container-title":"Journal of the American Medical Association","DOI":"10.1001/jama.1953.03690110032010","ISSN":"0002-9955","issue":"11","journalAbbreviation":"J Am Med Assoc","language":"eng","note":"PMID: 13052490","page":"1018-1028","source":"PubMed","title":"Preleukemic acute human leukemia","volume":"152","author":[{"family":"Block","given":"M."},{"family":"Jacobson","given":"L. O."},{"family":"Bethard","given":"W. F."}],"issued":{"date-parts":[["1953",7,11]]}}}],"schema":"https://github.com/citation-style-language/schema/raw/master/csl-citation.json"} </w:instrText>
      </w:r>
      <w:r w:rsidR="00B034CE" w:rsidRPr="006F5ABC">
        <w:rPr>
          <w:rFonts w:ascii="Arial" w:hAnsi="Arial" w:cs="Arial"/>
          <w:sz w:val="22"/>
          <w:szCs w:val="22"/>
          <w:lang w:val="en-US"/>
        </w:rPr>
        <w:fldChar w:fldCharType="separate"/>
      </w:r>
      <w:r w:rsidR="00B034CE" w:rsidRPr="006F5ABC">
        <w:rPr>
          <w:rFonts w:ascii="Arial" w:hAnsi="Arial" w:cs="Arial"/>
          <w:noProof/>
          <w:sz w:val="22"/>
          <w:szCs w:val="22"/>
          <w:lang w:val="en-US"/>
        </w:rPr>
        <w:t>Block et al. in 1953</w:t>
      </w:r>
      <w:r w:rsidR="00B034CE" w:rsidRPr="006F5ABC">
        <w:rPr>
          <w:rFonts w:ascii="Arial" w:hAnsi="Arial" w:cs="Arial"/>
          <w:sz w:val="22"/>
          <w:szCs w:val="22"/>
          <w:lang w:val="en-US"/>
        </w:rPr>
        <w:fldChar w:fldCharType="end"/>
      </w:r>
      <w:r w:rsidR="00815B8B" w:rsidRPr="006F5ABC">
        <w:rPr>
          <w:rFonts w:ascii="Arial" w:hAnsi="Arial" w:cs="Arial"/>
          <w:sz w:val="22"/>
          <w:szCs w:val="22"/>
          <w:lang w:val="en-US"/>
        </w:rPr>
        <w:t xml:space="preserve"> </w:t>
      </w:r>
      <w:r w:rsidR="0004078E" w:rsidRPr="006F5ABC">
        <w:rPr>
          <w:rFonts w:ascii="Arial" w:hAnsi="Arial" w:cs="Arial"/>
          <w:sz w:val="22"/>
          <w:szCs w:val="22"/>
          <w:lang w:val="en-US"/>
        </w:rPr>
        <w:t>as a</w:t>
      </w:r>
      <w:r w:rsidR="00815B8B" w:rsidRPr="006F5ABC">
        <w:rPr>
          <w:rFonts w:ascii="Arial" w:hAnsi="Arial" w:cs="Arial"/>
          <w:sz w:val="22"/>
          <w:szCs w:val="22"/>
          <w:lang w:val="en-US"/>
        </w:rPr>
        <w:t xml:space="preserve"> heterogeneous group of hematopoietic disorders with high </w:t>
      </w:r>
      <w:r w:rsidR="00E50697" w:rsidRPr="006F5ABC">
        <w:rPr>
          <w:rFonts w:ascii="Arial" w:hAnsi="Arial" w:cs="Arial"/>
          <w:sz w:val="22"/>
          <w:szCs w:val="22"/>
          <w:lang w:val="en-US"/>
        </w:rPr>
        <w:t>rate</w:t>
      </w:r>
      <w:r w:rsidR="00815B8B" w:rsidRPr="006F5ABC">
        <w:rPr>
          <w:rFonts w:ascii="Arial" w:hAnsi="Arial" w:cs="Arial"/>
          <w:sz w:val="22"/>
          <w:szCs w:val="22"/>
          <w:lang w:val="en-US"/>
        </w:rPr>
        <w:t xml:space="preserve"> of transformation to acute leukemias. </w:t>
      </w:r>
      <w:r w:rsidR="0004078E" w:rsidRPr="006F5ABC">
        <w:rPr>
          <w:rFonts w:ascii="Arial" w:hAnsi="Arial" w:cs="Arial"/>
          <w:sz w:val="22"/>
          <w:szCs w:val="22"/>
          <w:lang w:val="en-US"/>
        </w:rPr>
        <w:t xml:space="preserve">Thus, originally </w:t>
      </w:r>
      <w:r w:rsidR="00815B8B" w:rsidRPr="006F5ABC">
        <w:rPr>
          <w:rFonts w:ascii="Arial" w:hAnsi="Arial" w:cs="Arial"/>
          <w:sz w:val="22"/>
          <w:szCs w:val="22"/>
          <w:lang w:val="en-US"/>
        </w:rPr>
        <w:t xml:space="preserve">preleukemia phase </w:t>
      </w:r>
      <w:r w:rsidR="0004078E" w:rsidRPr="006F5ABC">
        <w:rPr>
          <w:rFonts w:ascii="Arial" w:hAnsi="Arial" w:cs="Arial"/>
          <w:sz w:val="22"/>
          <w:szCs w:val="22"/>
          <w:lang w:val="en-US"/>
        </w:rPr>
        <w:t>was</w:t>
      </w:r>
      <w:r w:rsidR="00815B8B" w:rsidRPr="006F5ABC">
        <w:rPr>
          <w:rFonts w:ascii="Arial" w:hAnsi="Arial" w:cs="Arial"/>
          <w:sz w:val="22"/>
          <w:szCs w:val="22"/>
          <w:lang w:val="en-US"/>
        </w:rPr>
        <w:t xml:space="preserve"> mainly covered by classification of </w:t>
      </w:r>
      <w:r w:rsidR="006D410E" w:rsidRPr="006F5ABC">
        <w:rPr>
          <w:rFonts w:ascii="Arial" w:hAnsi="Arial" w:cs="Arial"/>
          <w:sz w:val="22"/>
          <w:szCs w:val="22"/>
          <w:lang w:val="en-US"/>
        </w:rPr>
        <w:t>MDS</w:t>
      </w:r>
      <w:r w:rsidR="00815B8B" w:rsidRPr="006F5ABC">
        <w:rPr>
          <w:rFonts w:ascii="Arial" w:hAnsi="Arial" w:cs="Arial"/>
          <w:sz w:val="22"/>
          <w:szCs w:val="22"/>
          <w:lang w:val="en-US"/>
        </w:rPr>
        <w:t xml:space="preserve"> </w:t>
      </w:r>
      <w:r w:rsidR="00815B8B"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{"citationID":"5p2oL2sa","properties":{"formattedCitation":"(Cazzola et al., 2011; Haferlach et al., 2014)","plainCitation":"(Cazzola et al., 2011; Haferlach et al., 2014)","noteIndex":0},"citationItems":[{"id":973,"uris":["http://zotero.org/users/2484452/items/WUZ2NV4M"],"uri":["http://zotero.org/users/2484452/items/WUZ2NV4M"],"itemData":{"id":973,"type":"article-journal","abstract":"Myelodysplastic syndromes (MDS) are myeloid neoplasms characterized by dysplasia in one or more cell lines and increased risk of development of acute myeloid leukemia (AML). The current diagnostic approach to MDS includes peripheral blood and bone marrow morphology to evaluate abnormalities of peripheral blood cells and hematopoietic precursors; bone marrow biopsy to assess marrow cellularity, fibrosis, and topography; and cytogenetics to identify non-random chromosomal abnormalities. The 2008 World Health Organization (WHO) classification currently provides the best diagnostic approach to MDS and also has considerable prognostic relevance. The WHO classification-based prognostic scoring system (WPSS) is able to classify MDS patients into five risk groups showing different survivals and probabilities of leukemic evolution. The WPSS is able to predict survival and leukemia progression at any time during follow-up, and can therefore be used for implementing risk-adapted treatment strategies in patients with primary MDS. Since comorbidities have a significant impact on the outcome of patients with MDS, accounting for both disease status and comorbid conditions considerably improves risk stratification.","container-title":"Seminars in Oncology","DOI":"10.1053/j.seminoncol.2011.04.007","ISSN":"1532-8708","issue":"5","journalAbbreviation":"Semin. Oncol.","language":"eng","note":"PMID: 21943669","page":"627-634","source":"PubMed","title":"Classification and prognostic evaluation of myelodysplastic syndromes","volume":"38","author":[{"family":"Cazzola","given":"Mario"},{"family":"Della Porta","given":"Matteo G."},{"family":"Travaglino","given":"Erica"},{"family":"Malcovati","given":"Luca"}],"issued":{"date-parts":[["2011",10]]}}},{"id":204,"uris":["http://zotero.org/users/2484452/items/ZG673QUU"],"uri":["http://zotero.org/users/2484452/items/ZG673QUU"],"itemData":{"id":204,"type":"article-journal","abstract":"High-throughput DNA sequencing significantly contributed to diagnosis and prognostication in patients with myelodysplastic syndromes (MDS). We determined the biological and prognostic significance of genetic aberrations in MDS. In total, 944 patients with various MDS subtypes were screened for known/putative mutations/deletions in 104 genes using targeted deep sequencing and array-based genomic hybridization. In total, 845/944 patients (89.5%) harbored at least one mutation (median, 3 per patient; range, 0-12). Forty-seven genes were significantly mutated with TET2, SF3B1, ASXL1, SRSF2, DNMT3A, and RUNX1 mutated in &gt;10% of cases. Many mutations were associated with higher risk groups and/or blast elevation. Survival was investigated in 875 patients. By univariate analysis, 25/48 genes (resulting from 47 genes tested significantly plus PRPF8) affected survival (P&lt;0.05). The status of 14 genes combined with conventional factors revealed a novel prognostic model ('Model-1') separating patients into four risk groups ('low', 'intermediate', 'high', 'very high risk') with 3-year survival of 95.2, 69.3, 32.8, and 5.3% (P&lt;0.001). Subsequently, a 'gene-only model' ('Model-2') was constructed based on 14 genes also yielding four significant risk groups (P&lt;0.001). Both models were reproducible in the validation cohort (n=175 patients; P&lt;0.001 each). Thus, large-scale genetic and molecular profiling of multiple target genes is invaluable for subclassification and prognostication in MDS patients.","container-title":"Leukemia","DOI":"10.1038/leu.2013.336","ISSN":"1476-5551","issue":"2","journalAbbreviation":"Leukemia","language":"eng","note":"PMID: 24220272\nPMCID: PMC3918868","page":"241-247","source":"PubMed","title":"Landscape of genetic lesions in 944 patients with myelodysplastic syndromes","volume":"28","author":[{"family":"Haferlach","given":"T."},{"family":"Nagata","given":"Y."},{"family":"Grossmann","given":"V."},{"family":"Okuno","given":"Y."},{"family":"Bacher","given":"U."},{"family":"Nagae","given":"G."},{"family":"Schnittger","given":"S."},{"family":"Sanada","given":"M."},{"family":"Kon","given":"A."},{"family":"Alpermann","given":"T."},{"family":"Yoshida","given":"K."},{"family":"Roller","given":"A."},{"family":"Nadarajah","given":"N."},{"family":"Shiraishi","given":"Y."},{"family":"Shiozawa","given":"Y."},{"family":"Chiba","given":"K."},{"family":"Tanaka","given":"H."},{"family":"Koeffler","given":"H. P."},{"family":"Klein","given":"H.-U."},{"family":"Dugas","given":"M."},{"family":"Aburatani","given":"H."},{"family":"Kohlmann","given":"A."},{"family":"Miyano","given":"S."},{"family":"Haferlach","given":"C."},{"family":"Kern","given":"W."},{"family":"Ogawa","given":"S."}],"issued":{"date-parts":[["2014",2]]}}}],"schema":"https://github.com/citation-style-language/schema/raw/master/csl-citation.json"} </w:instrText>
      </w:r>
      <w:r w:rsidR="00815B8B" w:rsidRPr="006F5ABC">
        <w:rPr>
          <w:rFonts w:ascii="Arial" w:hAnsi="Arial" w:cs="Arial"/>
          <w:sz w:val="22"/>
          <w:szCs w:val="22"/>
          <w:lang w:val="en-US"/>
        </w:rPr>
        <w:fldChar w:fldCharType="separate"/>
      </w:r>
      <w:r w:rsidR="00815B8B" w:rsidRPr="006F5ABC">
        <w:rPr>
          <w:rFonts w:ascii="Arial" w:hAnsi="Arial" w:cs="Arial"/>
          <w:noProof/>
          <w:sz w:val="22"/>
          <w:szCs w:val="22"/>
          <w:lang w:val="en-US"/>
        </w:rPr>
        <w:t>(Cazzola et al., 2011; Haferlach et al., 2014)</w:t>
      </w:r>
      <w:r w:rsidR="00815B8B" w:rsidRPr="006F5ABC">
        <w:rPr>
          <w:rFonts w:ascii="Arial" w:hAnsi="Arial" w:cs="Arial"/>
          <w:sz w:val="22"/>
          <w:szCs w:val="22"/>
          <w:lang w:val="en-US"/>
        </w:rPr>
        <w:fldChar w:fldCharType="end"/>
      </w:r>
      <w:r w:rsidR="00815B8B" w:rsidRPr="006F5ABC">
        <w:rPr>
          <w:rFonts w:ascii="Arial" w:hAnsi="Arial" w:cs="Arial"/>
          <w:sz w:val="22"/>
          <w:szCs w:val="22"/>
          <w:lang w:val="en-US"/>
        </w:rPr>
        <w:t>.</w:t>
      </w:r>
      <w:r w:rsidR="00040B33" w:rsidRPr="006F5ABC">
        <w:rPr>
          <w:rFonts w:ascii="Arial" w:hAnsi="Arial" w:cs="Arial"/>
          <w:sz w:val="22"/>
          <w:szCs w:val="22"/>
          <w:lang w:val="en-US"/>
        </w:rPr>
        <w:t xml:space="preserve"> </w:t>
      </w:r>
      <w:r w:rsidR="0004078E" w:rsidRPr="006F5ABC">
        <w:rPr>
          <w:rFonts w:ascii="Arial" w:hAnsi="Arial" w:cs="Arial"/>
          <w:sz w:val="22"/>
          <w:szCs w:val="22"/>
          <w:lang w:val="en-US"/>
        </w:rPr>
        <w:t>J</w:t>
      </w:r>
      <w:r w:rsidR="003B145B" w:rsidRPr="006F5ABC">
        <w:rPr>
          <w:rFonts w:ascii="Arial" w:hAnsi="Arial" w:cs="Arial"/>
          <w:sz w:val="22"/>
          <w:szCs w:val="22"/>
          <w:lang w:val="en-US"/>
        </w:rPr>
        <w:t>eopardized genomic stability is a major hallmark of preleukemic MDS, with</w:t>
      </w:r>
      <w:r w:rsidR="00040B33" w:rsidRPr="006F5ABC">
        <w:rPr>
          <w:rFonts w:ascii="Arial" w:hAnsi="Arial" w:cs="Arial"/>
          <w:sz w:val="22"/>
          <w:szCs w:val="22"/>
          <w:lang w:val="en-US"/>
        </w:rPr>
        <w:t xml:space="preserve"> around half </w:t>
      </w:r>
      <w:r w:rsidR="003B145B" w:rsidRPr="006F5ABC">
        <w:rPr>
          <w:rFonts w:ascii="Arial" w:hAnsi="Arial" w:cs="Arial"/>
          <w:sz w:val="22"/>
          <w:szCs w:val="22"/>
          <w:lang w:val="en-US"/>
        </w:rPr>
        <w:t xml:space="preserve">of the </w:t>
      </w:r>
      <w:r w:rsidR="00040B33" w:rsidRPr="006F5ABC">
        <w:rPr>
          <w:rFonts w:ascii="Arial" w:hAnsi="Arial" w:cs="Arial"/>
          <w:sz w:val="22"/>
          <w:szCs w:val="22"/>
          <w:lang w:val="en-US"/>
        </w:rPr>
        <w:t xml:space="preserve">patients </w:t>
      </w:r>
      <w:r w:rsidR="003B145B" w:rsidRPr="006F5ABC">
        <w:rPr>
          <w:rFonts w:ascii="Arial" w:hAnsi="Arial" w:cs="Arial"/>
          <w:sz w:val="22"/>
          <w:szCs w:val="22"/>
          <w:lang w:val="en-US"/>
        </w:rPr>
        <w:t>having</w:t>
      </w:r>
      <w:r w:rsidR="00040B33" w:rsidRPr="006F5ABC">
        <w:rPr>
          <w:rFonts w:ascii="Arial" w:hAnsi="Arial" w:cs="Arial"/>
          <w:sz w:val="22"/>
          <w:szCs w:val="22"/>
          <w:lang w:val="en-US"/>
        </w:rPr>
        <w:t xml:space="preserve"> clonal cytogenetic abnormalities</w:t>
      </w:r>
      <w:r w:rsidR="00187E2C" w:rsidRPr="006F5ABC">
        <w:rPr>
          <w:rFonts w:ascii="Arial" w:hAnsi="Arial" w:cs="Arial"/>
          <w:sz w:val="22"/>
          <w:szCs w:val="22"/>
          <w:lang w:val="en-US"/>
        </w:rPr>
        <w:t xml:space="preserve"> in </w:t>
      </w:r>
      <w:r w:rsidR="00187E2C" w:rsidRPr="006F5ABC">
        <w:rPr>
          <w:rFonts w:ascii="Arial" w:hAnsi="Arial" w:cs="Arial"/>
          <w:i/>
          <w:iCs/>
          <w:sz w:val="22"/>
          <w:szCs w:val="22"/>
          <w:lang w:val="en-US"/>
        </w:rPr>
        <w:t>de novo</w:t>
      </w:r>
      <w:r w:rsidR="00187E2C" w:rsidRPr="006F5ABC">
        <w:rPr>
          <w:rFonts w:ascii="Arial" w:hAnsi="Arial" w:cs="Arial"/>
          <w:sz w:val="22"/>
          <w:szCs w:val="22"/>
          <w:lang w:val="en-US"/>
        </w:rPr>
        <w:t xml:space="preserve"> MDS</w:t>
      </w:r>
      <w:r w:rsidR="00040B33" w:rsidRPr="006F5ABC">
        <w:rPr>
          <w:rFonts w:ascii="Arial" w:hAnsi="Arial" w:cs="Arial"/>
          <w:sz w:val="22"/>
          <w:szCs w:val="22"/>
          <w:lang w:val="en-US"/>
        </w:rPr>
        <w:t xml:space="preserve"> </w:t>
      </w:r>
      <w:r w:rsidR="00187E2C" w:rsidRPr="006F5ABC">
        <w:rPr>
          <w:rFonts w:ascii="Arial" w:hAnsi="Arial" w:cs="Arial"/>
          <w:sz w:val="22"/>
          <w:szCs w:val="22"/>
          <w:lang w:val="en-US"/>
        </w:rPr>
        <w:t xml:space="preserve">and in up to 80% patients with therapy induced MDS </w:t>
      </w:r>
      <w:r w:rsidR="00040B33"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{"citationID":"EnPAFCNv","properties":{"formattedCitation":"(Haase et al., 2007; Sol\\uc0\\u233{} et al., 2005; Toyama et al., 1993)","plainCitation":"(Haase et al., 2007; Solé et al., 2005; Toyama et al., 1993)","noteIndex":0},"citationItems":[{"id":203,"uris":["http://zotero.org/users/2484452/items/NYXA9P4M"],"uri":["http://zotero.org/users/2484452/items/NYXA9P4M"],"itemData":{"id":203,"type":"article-journal","abstract":"We have generated a large, unique database that includes morphologic, clinical, cytogenetic, and follow-up data from 2124 patients with myelodysplastic syndromes (MDSs) at 4 institutions in Austria and 4 in Germany. Cytogenetic analyses were successfully performed in 2072 (97.6%) patients, revealing clonal abnormalities in 1084 (52.3%) patients. Numeric and structural chromosomal abnormalities were documented for each patient and subdivided further according to the number of additional abnormalities. Thus, 684 different cytogenetic categories were identified. The impact of the karyotype on the natural course of the disease was studied in 1286 patients treated with supportive care only. Median survival was 53.4 months for patients with normal karyotypes (n = 612) and 8.7 months for those with complex anomalies (n = 166). A total of 13 rare abnormalities were identified with good (+1/+1q, t(1q), t(7q), del(9q), del(12p), chromosome 15 anomalies, t(17q), monosomy 21, trisomy 21, and -X), intermediate (del(11q), chromosome 19 anomalies), or poor (t(5q)) prognostic impact, respectively. The prognostic relevance of additional abnormalities varied considerably depending on the chromosomes affected. For all World Health Organization (WHO) and French-American-British (FAB) classification system subtypes, the karyotype provided additional prognostic information. Our analyses offer new insights into the prognostic significance of rare chromosomal abnormalities and specific karyotypic combinations in MDS.","container-title":"Blood","DOI":"10.1182/blood-2007-03-082404","ISSN":"0006-4971","issue":"13","journalAbbreviation":"Blood","language":"eng","note":"PMID: 17726160","page":"4385-4395","source":"PubMed","title":"New insights into the prognostic impact of the karyotype in MDS and correlation with subtypes: evidence from a core dataset of 2124 patients","title-short":"New insights into the prognostic impact of the karyotype in MDS and correlation with subtypes","volume":"110","author":[{"family":"Haase","given":"Detlef"},{"family":"Germing","given":"Ulrich"},{"family":"Schanz","given":"Julie"},{"family":"Pfeilstöcker","given":"Michael"},{"family":"Nösslinger","given":"Thomas"},{"family":"Hildebrandt","given":"Barbara"},{"family":"Kundgen","given":"Andrea"},{"family":"Lübbert","given":"Michael"},{"family":"Kunzmann","given":"Regina"},{"family":"Giagounidis","given":"Aristoteles A. N."},{"family":"Aul","given":"Carlo"},{"family":"Trümper","given":"Lorenz"},{"family":"Krieger","given":"Otto"},{"family":"Stauder","given":"Reinhard"},{"family":"Müller","given":"Thomas H."},{"family":"Wimazal","given":"Friedrich"},{"family":"Valent","given":"Peter"},{"family":"Fonatsch","given":"Christa"},{"family":"Steidl","given":"Christian"}],"issued":{"date-parts":[["2007",12,15]]}}},{"id":983,"uris":["http://zotero.org/users/2484452/items/ASC4JQRF"],"uri":["http://zotero.org/users/2484452/items/ASC4JQRF"],"itemData":{"id":983,"type":"article-journal","abstract":"BACKGROUND AND OBJECTIVES: The main prognostic factors in myelodysplastic syndromes (MDS) are chromosomal abnormalities, the proportion of blasts in bone marrow and number and degree of cytopenias. A consensus-defined International Prognostic Scoring System (IPSS) for predicting outcome and planning therapy in MDS has been developed, but its prognostic value in a large and independent series remains unproven. Furthermore, the intermediate-risk cytogenetic subgroup defined by the IPSS includes a miscellaneous number of different single abnormalities of uncertain prognostic significance at present. The main aim of the present study was to identify chromosomal abnormalities with a previously unrecognized good or poor prognosis in order to find new cytogenetic markers with predictive value.\nDESIGN AND METHODS: We report the cytogenetic findings in a series of 968 patients with primary MDS from the Spanish Cytogenetics Working Group, Grupo Cooperativo Español de Citogenética Hematológica (GCECGH).\nRESULTS: In this series of 968 MDS patients, we found various cytogenetic aberrations with a new prognostic impact. Complex karyotype, -7/7q- and i(17q) had a poor prognosis; normal karyotype, loss of Y chromosome, deletion 11q, deletion 12p and deletion 20q as single alterations had a good prognosis. Intermediate prognosis aberrations were rearrangements of 3q21q26, trisomy 8, trisomy 9, translocations of 11q and del(17p). Finally, a new group of single or double cytogenetic abnormalities, most of which are considered rare cytogenetic events and are usually included in the intermediate category of the IPSS, showed a trend to poor prognosis.\nINTERPRETATION AND CONCLUSIONS: This study suggests that some specific chromosomal abnormalities could be segregated from the IPSS intermediate-risk cytogenetic prognostic subgroup and included in the low risk or in the poor risk groups.","container-title":"Haematologica","ISSN":"1592-8721","issue":"9","journalAbbreviation":"Haematologica","language":"eng","note":"PMID: 16154839","page":"1168-1178","source":"PubMed","title":"Identification of novel cytogenetic markers with prognostic significance in a series of 968 patients with primary myelodysplastic syndromes","volume":"90","author":[{"family":"Solé","given":"Francesc"},{"family":"Luño","given":"Elisa"},{"family":"Sanzo","given":"Carmen"},{"family":"Espinet","given":"Blanca"},{"family":"Sanz","given":"Guillermo F."},{"family":"Cervera","given":"José"},{"family":"Calasanz","given":"María José"},{"family":"Cigudosa","given":"Juan Cruz"},{"family":"Millà","given":"Fuensanta"},{"family":"Ribera","given":"Josep Maria"},{"family":"Bureo","given":"Encarna"},{"family":"Marquez","given":"Maria Luisa"},{"family":"Arranz","given":"Eva"},{"family":"Florensa","given":"Lourdes"}],"issued":{"date-parts":[["2005",9]]}}},{"id":981,"uris":["http://zotero.org/users/2484452/items/JWEF2B7G"],"uri":["http://zotero.org/users/2484452/items/JWEF2B7G"],"itemData":{"id":981,"type":"article-journal","abstract":"It is well known that cytogenetic analysis in patients with myelodysplastic syndrome (MDS) provides information useful in determining their prognosis. Based on the chromosomal results obtained from 401 MDS patients by a multicentric study in Japan, we studied correlations between chromosomal findings and prognosis or leukemic transformation in MDS patients. Patients with complex aberrations (cytogenetic abnormalities at more than three chromosomes), of any subtype, had a poor prognosis; for example, &gt; 60% of patients with refractory anemia (RA) showing complex aberrations died within one year, but only 11% of them developed leukemia. In patients with RA with ringed sideroblasts (RARS), &gt; 70% of those with complex aberrations evolved into the leukemic phase and survived for less than one year, suggesting a biologic heterogeneity in RARS patients. By contrast, about 5% of patients with RA or RARS exhibiting chromosomal findings other than -7/7q-, +8, two aberrations, and complex aberrations, developed leukemia and had a favorable prognosis. Therefore, the presence of chromosome abnormalities alone in patients with RA or RARS is not a factor in predicting leukemic transformation or poor prognosis. In patients with refractory anemia with an excess of blasts (RAEB), the presence of chromosome aberrations at MDS diagnosis affected the occurrence of leukemic transformation (24% versus 43%), however, no particular difference was noted in patients with RAEB in transformation with regard to whether they had chromosome changes or not, and about 60% of them evolved into leukemia. The poor prognosis related to complex aberrations was consistently noted in all MDS subtypes or age-matched groups, indicating that this cytogenetic anomaly is an independent risk factor for a poor prognosis in MDS patients. The duration between MDS diagnosis and development of the leukemic phase and that between the latter and death were significantly shorter in patients with complex aberrations than those without this change. Although the clinical significance of certain chromosomal abnormalities differs among subtypes of MDS, a new scoring system for predicting prognosis by cytogenetic changes, in combination with hematologic parameters, was proposed.","container-title":"Leukemia","ISSN":"0887-6924","issue":"4","journalAbbreviation":"Leukemia","language":"eng","note":"PMID: 8464227","page":"499-508","source":"PubMed","title":"Clinical implications of chromosomal abnormalities in 401 patients with myelodysplastic syndromes: a multicentric study in Japan","title-short":"Clinical implications of chromosomal abnormalities in 401 patients with myelodysplastic syndromes","volume":"7","author":[{"family":"Toyama","given":"K."},{"family":"Ohyashiki","given":"K."},{"family":"Yoshida","given":"Y."},{"family":"Abe","given":"T."},{"family":"Asano","given":"S."},{"family":"Hirai","given":"H."},{"family":"Hirashima","given":"K."},{"family":"Hotta","given":"T."},{"family":"Kuramoto","given":"A."},{"family":"Kuriya","given":"S."}],"issued":{"date-parts":[["1993",4]]}}}],"schema":"https://github.com/citation-style-language/schema/raw/master/csl-citation.json"} </w:instrText>
      </w:r>
      <w:r w:rsidR="00040B33" w:rsidRPr="006F5ABC">
        <w:rPr>
          <w:rFonts w:ascii="Arial" w:hAnsi="Arial" w:cs="Arial"/>
          <w:sz w:val="22"/>
          <w:szCs w:val="22"/>
          <w:lang w:val="en-US"/>
        </w:rPr>
        <w:fldChar w:fldCharType="separate"/>
      </w:r>
      <w:r w:rsidR="003B145B" w:rsidRPr="006F5ABC">
        <w:rPr>
          <w:rFonts w:ascii="Arial" w:hAnsi="Arial" w:cs="Arial"/>
          <w:sz w:val="22"/>
          <w:szCs w:val="22"/>
          <w:lang w:val="en-US"/>
        </w:rPr>
        <w:t>(Haase et al., 2007; Solé et al., 2005; Toyama et al., 1993)</w:t>
      </w:r>
      <w:r w:rsidR="00040B33" w:rsidRPr="006F5ABC">
        <w:rPr>
          <w:rFonts w:ascii="Arial" w:hAnsi="Arial" w:cs="Arial"/>
          <w:sz w:val="22"/>
          <w:szCs w:val="22"/>
          <w:lang w:val="en-US"/>
        </w:rPr>
        <w:fldChar w:fldCharType="end"/>
      </w:r>
      <w:r w:rsidR="00040B33" w:rsidRPr="006F5ABC">
        <w:rPr>
          <w:rFonts w:ascii="Arial" w:hAnsi="Arial" w:cs="Arial"/>
          <w:sz w:val="22"/>
          <w:szCs w:val="22"/>
          <w:lang w:val="en-US"/>
        </w:rPr>
        <w:t>.</w:t>
      </w:r>
      <w:r w:rsidR="00187E2C" w:rsidRPr="006F5ABC">
        <w:rPr>
          <w:rFonts w:ascii="Arial" w:hAnsi="Arial" w:cs="Arial"/>
          <w:sz w:val="22"/>
          <w:szCs w:val="22"/>
          <w:lang w:val="en-US"/>
        </w:rPr>
        <w:t xml:space="preserve"> Unbalanced chromosomal abnormalities reflecting a gain or loss of chromosomal material </w:t>
      </w:r>
      <w:r w:rsidR="00187E2C"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{"citationID":"1CYXoppk","properties":{"formattedCitation":"(Haase et al., 2007)","plainCitation":"(Haase et al., 2007)","noteIndex":0},"citationItems":[{"id":203,"uris":["http://zotero.org/users/2484452/items/NYXA9P4M"],"uri":["http://zotero.org/users/2484452/items/NYXA9P4M"],"itemData":{"id":203,"type":"article-journal","abstract":"We have generated a large, unique database that includes morphologic, clinical, cytogenetic, and follow-up data from 2124 patients with myelodysplastic syndromes (MDSs) at 4 institutions in Austria and 4 in Germany. Cytogenetic analyses were successfully performed in 2072 (97.6%) patients, revealing clonal abnormalities in 1084 (52.3%) patients. Numeric and structural chromosomal abnormalities were documented for each patient and subdivided further according to the number of additional abnormalities. Thus, 684 different cytogenetic categories were identified. The impact of the karyotype on the natural course of the disease was studied in 1286 patients treated with supportive care only. Median survival was 53.4 months for patients with normal karyotypes (n = 612) and 8.7 months for those with complex anomalies (n = 166). A total of 13 rare abnormalities were identified with good (+1/+1q, t(1q), t(7q), del(9q), del(12p), chromosome 15 anomalies, t(17q), monosomy 21, trisomy 21, and -X), intermediate (del(11q), chromosome 19 anomalies), or poor (t(5q)) prognostic impact, respectively. The prognostic relevance of additional abnormalities varied considerably depending on the chromosomes affected. For all World Health Organization (WHO) and French-American-British (FAB) classification system subtypes, the karyotype provided additional prognostic information. Our analyses offer new insights into the prognostic significance of rare chromosomal abnormalities and specific karyotypic combinations in MDS.","container-title":"Blood","DOI":"10.1182/blood-2007-03-082404","ISSN":"0006-4971","issue":"13","journalAbbreviation":"Blood","language":"eng","note":"PMID: 17726160","page":"4385-4395","source":"PubMed","title":"New insights into the prognostic impact of the karyotype in MDS and correlation with subtypes: evidence from a core dataset of 2124 patients","title-short":"New insights into the prognostic impact of the karyotype in MDS and correlation with subtypes","volume":"110","author":[{"family":"Haase","given":"Detlef"},{"family":"Germing","given":"Ulrich"},{"family":"Schanz","given":"Julie"},{"family":"Pfeilstöcker","given":"Michael"},{"family":"Nösslinger","given":"Thomas"},{"family":"Hildebrandt","given":"Barbara"},{"family":"Kundgen","given":"Andrea"},{"family":"Lübbert","given":"Michael"},{"family":"Kunzmann","given":"Regina"},{"family":"Giagounidis","given":"Aristoteles A. N."},{"family":"Aul","given":"Carlo"},{"family":"Trümper","given":"Lorenz"},{"family":"Krieger","given":"Otto"},{"family":"Stauder","given":"Reinhard"},{"family":"Müller","given":"Thomas H."},{"family":"Wimazal","given":"Friedrich"},{"family":"Valent","given":"Peter"},{"family":"Fonatsch","given":"Christa"},{"family":"Steidl","given":"Christian"}],"issued":{"date-parts":[["2007",12,15]]}}}],"schema":"https://github.com/citation-style-language/schema/raw/master/csl-citation.json"} </w:instrText>
      </w:r>
      <w:r w:rsidR="00187E2C" w:rsidRPr="006F5ABC">
        <w:rPr>
          <w:rFonts w:ascii="Arial" w:hAnsi="Arial" w:cs="Arial"/>
          <w:sz w:val="22"/>
          <w:szCs w:val="22"/>
          <w:lang w:val="en-US"/>
        </w:rPr>
        <w:fldChar w:fldCharType="separate"/>
      </w:r>
      <w:r w:rsidR="00187E2C" w:rsidRPr="006F5ABC">
        <w:rPr>
          <w:rFonts w:ascii="Arial" w:hAnsi="Arial" w:cs="Arial"/>
          <w:noProof/>
          <w:sz w:val="22"/>
          <w:szCs w:val="22"/>
          <w:lang w:val="en-US"/>
        </w:rPr>
        <w:t>(Haase et al., 2007)</w:t>
      </w:r>
      <w:r w:rsidR="00187E2C" w:rsidRPr="006F5ABC">
        <w:rPr>
          <w:rFonts w:ascii="Arial" w:hAnsi="Arial" w:cs="Arial"/>
          <w:sz w:val="22"/>
          <w:szCs w:val="22"/>
          <w:lang w:val="en-US"/>
        </w:rPr>
        <w:fldChar w:fldCharType="end"/>
      </w:r>
      <w:r w:rsidR="00187E2C" w:rsidRPr="006F5ABC">
        <w:rPr>
          <w:rFonts w:ascii="Arial" w:hAnsi="Arial" w:cs="Arial"/>
          <w:sz w:val="22"/>
          <w:szCs w:val="22"/>
          <w:lang w:val="en-US"/>
        </w:rPr>
        <w:t>, m</w:t>
      </w:r>
      <w:r w:rsidR="003B145B" w:rsidRPr="006F5ABC">
        <w:rPr>
          <w:rFonts w:ascii="Arial" w:hAnsi="Arial" w:cs="Arial"/>
          <w:sz w:val="22"/>
          <w:szCs w:val="22"/>
          <w:lang w:val="en-US"/>
        </w:rPr>
        <w:t xml:space="preserve">icrosatellite instability </w:t>
      </w:r>
      <w:r w:rsidR="003B145B"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{"citationID":"iL1eoQW3","properties":{"formattedCitation":"(Ben-Yehuda et al., 1996; Casorelli et al., 2003; Olipitz et al., 2002)","plainCitation":"(Ben-Yehuda et al., 1996; Casorelli et al., 2003; Olipitz et al., 2002)","noteIndex":0},"citationItems":[{"id":201,"uris":["http://zotero.org/users/2484452/items/C58R7HSF"],"uri":["http://zotero.org/users/2484452/items/C58R7HSF"],"itemData":{"id":201,"type":"article-journal","abstract":"During the last decade the frequency of therapy-related acute leukemia (t-leuk) and myelodysplastic syndrome (t-MDS) has been increasingly observed. Over the past 15 years, we treated 56 patients with t-leuk who had received prior chemotherapy (39%), radiotherapy (11%), or both (45%). The drugs received included alkylating agents and topoisomerase II inhibitors. The primary tumors included hematological malignancies (49%) and solid tumors such as breast or ovarian cancer. The median age at diagnosis of the primary tumor was relatively young (43 years +/- 18). Twelve patients had more than one primary tumor and 31 patients had a family history of malignancy. Karyotypic abnormalities were found in 91% of the patients. Prognosis was uniformly poor, with an overall median survival of 10 months. Twelve of the 18 patients examined (67%) had a multidrug resistance phenotype. P53 genes of the leukemic cells, as well as the original tumors, were analyzed in 21 patients using polymerase chain reaction (PCR) with single-stranded conformation polymorphism analysis followed by sequencing. P53 mutations were identified in 38% of these patients, a relatively high prevalence compared with other forms of MDS or de novo acute myeloid leukemia. Mutations were nongermline and restricted to the leukemic cells. We identified different p53 mutations in the various primary tumors of individual patients. The presence of a mutator phenotype was assessed by PCR analysis of microsatellites in eight loci (one trinucleotide repeat sequence, four dinucleotide, and three mononuclear repeat sequences). Microsatellite instability in two to seven loci were found in 15 of 16 (94%) of the patients. This instability is compatible with a mutator phenotype, which predisposes the patients to the development of malignancies including t-leuk.","container-title":"Blood","ISSN":"0006-4971","issue":"11","journalAbbreviation":"Blood","language":"eng","note":"PMID: 8943866","page":"4296-4303","source":"PubMed","title":"Microsatellite instability and p53 mutations in therapy-related leukemia suggest mutator phenotype","volume":"88","author":[{"family":"Ben-Yehuda","given":"D."},{"family":"Krichevsky","given":"S."},{"family":"Caspi","given":"O."},{"family":"Rund","given":"D."},{"family":"Polliack","given":"A."},{"family":"Abeliovich","given":"D."},{"family":"Zelig","given":"O."},{"family":"Yahalom","given":"V."},{"family":"Paltiel","given":"O."},{"family":"Or","given":"R."},{"family":"Peretz","given":"T."},{"family":"Ben-Neriah","given":"S."},{"family":"Yehuda","given":"O."},{"family":"Rachmilewitz","given":"E. A."}],"issued":{"date-parts":[["1996",12,1]]}}},{"id":200,"uris":["http://zotero.org/users/2484452/items/GKFCTIFN"],"uri":["http://zotero.org/users/2484452/items/GKFCTIFN"],"itemData":{"id":200,"type":"article-journal","abstract":"DNA from therapy-related acute leukemia/myelodysplastic syndrome cases (tAL/MDS) from the GIMEMA [Gruppo Italiano Malattie Ematologiche Maligne dell'Adulto] Archive was examined for the microsatellite instability (MSI(+)) phenotype that is diagnostic for defective DNA mismatch repair. More than 60% (16/25) of tAL/MDS cases were MSI(+) in contrast to &lt;4% (0/28) of de novo cases. hMLH1 gene silencing was rare and evidence of promoter methylation was found in less than one-third of the MSI(+) cases. Among the GIMEMA patients who had been treated for breast cancer there was an apparent trend towards early onset primary breast disease. This suggests that there might be common predisposing factors for breast cancer and tAL/MDS. There were also three examples of mutations in the MRE11 gene among the 25 tAL/MDS cases suggesting that defective recombinational DNA repair may promote the development of secondary malignancy. MSI(+) tAL/MDS was significantly associated with previous chemotherapy and the frequency of MSI(+) among radiotherapy patients was considerably lower. In view of the established relationship between drug resistance and mismatch repair defects, we suggest that selection for therapeutic drug resistance may contribute to the incidence of MSI(+) tAL/MDS.","container-title":"DNA repair","ISSN":"1568-7864","issue":"5","journalAbbreviation":"DNA Repair (Amst.)","language":"eng","note":"PMID: 12713812","page":"547-559","source":"PubMed","title":"Drug treatment in the development of mismatch repair defective acute leukemia and myelodysplastic syndrome","volume":"2","author":[{"family":"Casorelli","given":"Ida"},{"family":"Offman","given":"Judith"},{"family":"Mele","given":"Luca"},{"family":"Pagano","given":"Livio"},{"family":"Sica","given":"Simona"},{"family":"D'Errico","given":"Mariarosaria"},{"family":"Giannini","given":"Giuseppe"},{"family":"Leone","given":"Giuseppe"},{"family":"Bignami","given":"Margherita"},{"family":"Karran","given":"Peter"}],"issued":{"date-parts":[["2003",5,13]]}}},{"id":199,"uris":["http://zotero.org/users/2484452/items/QSUJLSEW"],"uri":["http://zotero.org/users/2484452/items/QSUJLSEW"],"itemData":{"id":199,"type":"article-journal","abstract":"We investigated the potential role of defective DNA-mismatch repair (MMR) as a mediator of leukemogenic susceptibility in patients with therapy-related myelodysplasia (t-MDS) and leukemia (t-leuk). Thirty-seven individuals with t-MDS/t-leuk were analyzed for microsatellite instability (MSI), the hallmark of defective DNA-MMR. Using standardized international criteria, 5/37 (14%) patients displayed high MSI, whereas 3 other patients had low MSI (8%). To determine the stage at which MSI had developed, we analyzed the primary tumors of 12 patients. Three of 4 patients with high MSI t-MDS/t-leuk also had microsatellite unstable primary tumors. Conversely, MSI was not detected in any primary malignancy of patients with low MSI or microsatellite stable t-MDS/t-leuk (P = 0.0182). In the high MSI group, we further investigated genes targeted by defective DNA-MMR (BAX, TGFBRII, IGFIIR, Caspase-5, APC, PTEN, E2F4, MBD4, MSH6, and MSH3) in both primary tumor and t-MDS/t-leuk. However, no mutation was found in any gene. The significant association of MSI in t-MDS/t-leuk and corresponding primary tumors suggests that defective DNA-MMR confers leukemogenic susceptibility to this cohort of patients.","container-title":"Genes, Chromosomes &amp; Cancer","DOI":"10.1002/gcc.10059","ISSN":"1045-2257","issue":"2","journalAbbreviation":"Genes Chromosomes Cancer","language":"eng","note":"PMID: 11979558","page":"243-248","source":"PubMed","title":"Defective DNA-mismatch repair: a potential mediator of leukemogenic susceptibility in therapy-related myelodysplasia and leukemia","title-short":"Defective DNA-mismatch repair","volume":"34","author":[{"family":"Olipitz","given":"Werner"},{"family":"Hopfinger","given":"Georg"},{"family":"Aguiar","given":"Ricardo C. T."},{"family":"Gunsilius","given":"Eberhard"},{"family":"Girschikofsky","given":"Michael"},{"family":"Bodner","given":"Claudia"},{"family":"Hiden","given":"Karin"},{"family":"Linkesch","given":"Werner"},{"family":"Hoefler","given":"Gerald"},{"family":"Sill","given":"Heinz"}],"issued":{"date-parts":[["2002",6]]}}}],"schema":"https://github.com/citation-style-language/schema/raw/master/csl-citation.json"} </w:instrText>
      </w:r>
      <w:r w:rsidR="003B145B" w:rsidRPr="006F5ABC">
        <w:rPr>
          <w:rFonts w:ascii="Arial" w:hAnsi="Arial" w:cs="Arial"/>
          <w:sz w:val="22"/>
          <w:szCs w:val="22"/>
          <w:lang w:val="en-US"/>
        </w:rPr>
        <w:fldChar w:fldCharType="separate"/>
      </w:r>
      <w:r w:rsidR="003B145B" w:rsidRPr="006F5ABC">
        <w:rPr>
          <w:rFonts w:ascii="Arial" w:hAnsi="Arial" w:cs="Arial"/>
          <w:noProof/>
          <w:sz w:val="22"/>
          <w:szCs w:val="22"/>
          <w:lang w:val="en-US"/>
        </w:rPr>
        <w:t>(Ben-Yehuda et al., 1996; Casorelli et al., 2003; Olipitz et al., 2002)</w:t>
      </w:r>
      <w:r w:rsidR="003B145B" w:rsidRPr="006F5ABC">
        <w:rPr>
          <w:rFonts w:ascii="Arial" w:hAnsi="Arial" w:cs="Arial"/>
          <w:sz w:val="22"/>
          <w:szCs w:val="22"/>
          <w:lang w:val="en-US"/>
        </w:rPr>
        <w:fldChar w:fldCharType="end"/>
      </w:r>
      <w:r w:rsidR="003B145B" w:rsidRPr="006F5ABC">
        <w:rPr>
          <w:rFonts w:ascii="Arial" w:hAnsi="Arial" w:cs="Arial"/>
          <w:sz w:val="22"/>
          <w:szCs w:val="22"/>
          <w:lang w:val="en-US"/>
        </w:rPr>
        <w:t xml:space="preserve"> and increased number of micronuclei </w:t>
      </w:r>
      <w:r w:rsidR="003B145B"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{"citationID":"R6p9zaHL","properties":{"formattedCitation":"(Kuramoto et al., 2002)","plainCitation":"(Kuramoto et al., 2002)","noteIndex":0},"citationItems":[{"id":202,"uris":["http://zotero.org/users/2484452/items/DC94XMBW"],"uri":["http://zotero.org/users/2484452/items/DC94XMBW"],"itemData":{"id":202,"type":"article-journal","abstract":"Myelodysplastic syndrome (MDS) is a clonal disorder of hematopoietic stem cells. To investigate whether chromosomal instability and/or DNA repair defects are involved in the development of MDS, we measured the micronucleus (MN) frequency in peripheral blood lymphocytes exposed to various doses of X-rays, using a cytokinesis-block micronucleus assay. The spontaneous MN frequencies in RAEB and RAEB-T patients were significantly higher than those in normal individuals (P = 0.0224, P = 0.008, respectively). Also, the X-ray-induced MN frequencies in RA/RARS, RAEB, and RAEB-T patients were significantly higher than those in normal individuals (P = 0.007, P = 0.003, P = 0.003, respectively, at 2 Gy). In order to elucidate the cause of unusual radiosensitivity, we measured the expression levels of nucleotide excision repair (NER) genes in peripheral blood mononuclear cells using a RT-PCR method. Reduction of NER gene expression was found in only one of 10 patients with low risk MDS, but in four of 11 patients with high risk MDS. Our data suggest that chromosomal instability and DNA repair defects may be involved in the pathophysiology of disease progression of MDS.","container-title":"Leukemia","DOI":"10.1038/sj.leu.2402703","ISSN":"0887-6924","issue":"11","journalAbbreviation":"Leukemia","language":"eng","note":"PMID: 12399970","page":"2253-2258","source":"PubMed","title":"Chromosomal instability and radiosensitivity in myelodysplastic syndrome cells","volume":"16","author":[{"family":"Kuramoto","given":"K."},{"family":"Ban","given":"S."},{"family":"Oda","given":"K."},{"family":"Tanaka","given":"H."},{"family":"Kimura","given":"A."},{"family":"Suzuki","given":"G."}],"issued":{"date-parts":[["2002",11]]}}}],"schema":"https://github.com/citation-style-language/schema/raw/master/csl-citation.json"} </w:instrText>
      </w:r>
      <w:r w:rsidR="003B145B" w:rsidRPr="006F5ABC">
        <w:rPr>
          <w:rFonts w:ascii="Arial" w:hAnsi="Arial" w:cs="Arial"/>
          <w:sz w:val="22"/>
          <w:szCs w:val="22"/>
          <w:lang w:val="en-US"/>
        </w:rPr>
        <w:fldChar w:fldCharType="separate"/>
      </w:r>
      <w:r w:rsidR="003B145B" w:rsidRPr="006F5ABC">
        <w:rPr>
          <w:rFonts w:ascii="Arial" w:hAnsi="Arial" w:cs="Arial"/>
          <w:noProof/>
          <w:sz w:val="22"/>
          <w:szCs w:val="22"/>
          <w:lang w:val="en-US"/>
        </w:rPr>
        <w:t>(Kuramoto et al., 2002)</w:t>
      </w:r>
      <w:r w:rsidR="003B145B" w:rsidRPr="006F5ABC">
        <w:rPr>
          <w:rFonts w:ascii="Arial" w:hAnsi="Arial" w:cs="Arial"/>
          <w:sz w:val="22"/>
          <w:szCs w:val="22"/>
          <w:lang w:val="en-US"/>
        </w:rPr>
        <w:fldChar w:fldCharType="end"/>
      </w:r>
      <w:r w:rsidR="003B145B" w:rsidRPr="006F5ABC">
        <w:rPr>
          <w:rFonts w:ascii="Arial" w:hAnsi="Arial" w:cs="Arial"/>
          <w:sz w:val="22"/>
          <w:szCs w:val="22"/>
          <w:lang w:val="en-US"/>
        </w:rPr>
        <w:t xml:space="preserve"> further support development of strong mutator phenotype of MDS hematopoietic progenitors.</w:t>
      </w:r>
      <w:r w:rsidR="00691CF3" w:rsidRPr="006F5ABC">
        <w:rPr>
          <w:rFonts w:ascii="Arial" w:hAnsi="Arial" w:cs="Arial"/>
          <w:sz w:val="22"/>
          <w:szCs w:val="22"/>
          <w:lang w:val="en-US"/>
        </w:rPr>
        <w:t xml:space="preserve"> These data also points to aberrant regulation of DNA repair, with microsatellites being a major hallmark of ineffective mismatch repair (MMR), which helps to recognize and correct errors that occur during DNA replication and recombination </w:t>
      </w:r>
      <w:r w:rsidR="00691CF3"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{"citationID":"Et1Lw8jC","properties":{"formattedCitation":"(Li, 2008)","plainCitation":"(Li, 2008)","noteIndex":0},"citationItems":[{"id":987,"uris":["http://zotero.org/users/2484452/items/UZX25P9X"],"uri":["http://zotero.org/users/2484452/items/UZX25P9X"],"itemData":{"id":987,"type":"article-journal","abstract":"DNA mismatch repair (MMR) is a highly conserved biological pathway that plays a key role in maintaining genomic stability. The specificity of MMR is primarily for base-base mismatches and insertion/deletion mispairs generated during DNA replication and recombination. MMR also suppresses homeologous recombination and was recently shown to play a role in DNA damage signaling in eukaryotic cells. Escherichia coli MutS and MutL and their eukaryotic homologs, MutSα and MutLα, respectively, are key players in MMR-associated genome maintenance. Many other protein components that participate in various DNA metabolic pathways, such as PCNA and RPA, are also essential for MMR. Defects in MMR are associated with genome-wide instability, predisposition to certain types of cancer including hereditary non-polyposis colorectal cancer, resistance to certain chemotherapeutic agents, and abnormalities in meiosis and sterility in mammalian systems.","container-title":"Cell Research","DOI":"10.1038/cr.2007.115","ISSN":"1748-7838","issue":"1","language":"en","page":"85-98","source":"www.nature.com","title":"Mechanisms and functions of DNA mismatch repair","volume":"18","author":[{"family":"Li","given":"Guo-Min"}],"issued":{"date-parts":[["2008",1]]}}}],"schema":"https://github.com/citation-style-language/schema/raw/master/csl-citation.json"} </w:instrText>
      </w:r>
      <w:r w:rsidR="00691CF3" w:rsidRPr="006F5ABC">
        <w:rPr>
          <w:rFonts w:ascii="Arial" w:hAnsi="Arial" w:cs="Arial"/>
          <w:sz w:val="22"/>
          <w:szCs w:val="22"/>
          <w:lang w:val="en-US"/>
        </w:rPr>
        <w:fldChar w:fldCharType="separate"/>
      </w:r>
      <w:r w:rsidR="00691CF3" w:rsidRPr="006F5ABC">
        <w:rPr>
          <w:rFonts w:ascii="Arial" w:hAnsi="Arial" w:cs="Arial"/>
          <w:noProof/>
          <w:sz w:val="22"/>
          <w:szCs w:val="22"/>
          <w:lang w:val="en-US"/>
        </w:rPr>
        <w:t>(Li, 2008)</w:t>
      </w:r>
      <w:r w:rsidR="00691CF3" w:rsidRPr="006F5ABC">
        <w:rPr>
          <w:rFonts w:ascii="Arial" w:hAnsi="Arial" w:cs="Arial"/>
          <w:sz w:val="22"/>
          <w:szCs w:val="22"/>
          <w:lang w:val="en-US"/>
        </w:rPr>
        <w:fldChar w:fldCharType="end"/>
      </w:r>
      <w:r w:rsidR="00691CF3" w:rsidRPr="006F5ABC">
        <w:rPr>
          <w:rFonts w:ascii="Arial" w:hAnsi="Arial" w:cs="Arial"/>
          <w:sz w:val="22"/>
          <w:szCs w:val="22"/>
          <w:lang w:val="en-US"/>
        </w:rPr>
        <w:t xml:space="preserve">. </w:t>
      </w:r>
      <w:r w:rsidR="000902E8" w:rsidRPr="006F5ABC">
        <w:rPr>
          <w:rFonts w:ascii="Arial" w:hAnsi="Arial" w:cs="Arial"/>
          <w:sz w:val="22"/>
          <w:szCs w:val="22"/>
          <w:lang w:val="en-US"/>
        </w:rPr>
        <w:t>Low expression</w:t>
      </w:r>
      <w:r w:rsidR="00691CF3" w:rsidRPr="006F5ABC">
        <w:rPr>
          <w:rFonts w:ascii="Arial" w:hAnsi="Arial" w:cs="Arial"/>
          <w:sz w:val="22"/>
          <w:szCs w:val="22"/>
          <w:lang w:val="en-US"/>
        </w:rPr>
        <w:t xml:space="preserve"> of </w:t>
      </w:r>
      <w:r w:rsidR="00691CF3" w:rsidRPr="006F5ABC">
        <w:rPr>
          <w:rFonts w:ascii="Arial" w:hAnsi="Arial" w:cs="Arial"/>
          <w:i/>
          <w:iCs/>
          <w:sz w:val="22"/>
          <w:szCs w:val="22"/>
          <w:lang w:val="en-US"/>
        </w:rPr>
        <w:t>XPC</w:t>
      </w:r>
      <w:r w:rsidR="00691CF3" w:rsidRPr="006F5ABC">
        <w:rPr>
          <w:rFonts w:ascii="Arial" w:hAnsi="Arial" w:cs="Arial"/>
          <w:sz w:val="22"/>
          <w:szCs w:val="22"/>
          <w:lang w:val="en-US"/>
        </w:rPr>
        <w:t xml:space="preserve">, </w:t>
      </w:r>
      <w:r w:rsidR="00691CF3" w:rsidRPr="006F5ABC">
        <w:rPr>
          <w:rFonts w:ascii="Arial" w:hAnsi="Arial" w:cs="Arial"/>
          <w:i/>
          <w:iCs/>
          <w:sz w:val="22"/>
          <w:szCs w:val="22"/>
          <w:lang w:val="en-US"/>
        </w:rPr>
        <w:t>ERCC3</w:t>
      </w:r>
      <w:r w:rsidR="00691CF3" w:rsidRPr="006F5ABC">
        <w:rPr>
          <w:rFonts w:ascii="Arial" w:hAnsi="Arial" w:cs="Arial"/>
          <w:sz w:val="22"/>
          <w:szCs w:val="22"/>
          <w:lang w:val="en-US"/>
        </w:rPr>
        <w:t xml:space="preserve"> and </w:t>
      </w:r>
      <w:r w:rsidR="00691CF3" w:rsidRPr="006F5ABC">
        <w:rPr>
          <w:rFonts w:ascii="Arial" w:hAnsi="Arial" w:cs="Arial"/>
          <w:i/>
          <w:iCs/>
          <w:sz w:val="22"/>
          <w:szCs w:val="22"/>
          <w:lang w:val="en-US"/>
        </w:rPr>
        <w:t>ERCC5</w:t>
      </w:r>
      <w:r w:rsidR="00691CF3" w:rsidRPr="006F5ABC">
        <w:rPr>
          <w:rFonts w:ascii="Arial" w:hAnsi="Arial" w:cs="Arial"/>
          <w:sz w:val="22"/>
          <w:szCs w:val="22"/>
          <w:lang w:val="en-US"/>
        </w:rPr>
        <w:t xml:space="preserve">, important genes in nucleotide excision repair, that removes a range of bulky DNA lesions, </w:t>
      </w:r>
      <w:r w:rsidR="000902E8" w:rsidRPr="006F5ABC">
        <w:rPr>
          <w:rFonts w:ascii="Arial" w:hAnsi="Arial" w:cs="Arial"/>
          <w:sz w:val="22"/>
          <w:szCs w:val="22"/>
          <w:lang w:val="en-US"/>
        </w:rPr>
        <w:t>were</w:t>
      </w:r>
      <w:r w:rsidR="00691CF3" w:rsidRPr="006F5ABC">
        <w:rPr>
          <w:rFonts w:ascii="Arial" w:hAnsi="Arial" w:cs="Arial"/>
          <w:sz w:val="22"/>
          <w:szCs w:val="22"/>
          <w:lang w:val="en-US"/>
        </w:rPr>
        <w:t xml:space="preserve"> </w:t>
      </w:r>
      <w:r w:rsidR="000902E8" w:rsidRPr="006F5ABC">
        <w:rPr>
          <w:rFonts w:ascii="Arial" w:hAnsi="Arial" w:cs="Arial"/>
          <w:sz w:val="22"/>
          <w:szCs w:val="22"/>
          <w:lang w:val="en-US"/>
        </w:rPr>
        <w:t xml:space="preserve">also </w:t>
      </w:r>
      <w:r w:rsidR="00691CF3" w:rsidRPr="006F5ABC">
        <w:rPr>
          <w:rFonts w:ascii="Arial" w:hAnsi="Arial" w:cs="Arial"/>
          <w:sz w:val="22"/>
          <w:szCs w:val="22"/>
          <w:lang w:val="en-US"/>
        </w:rPr>
        <w:t xml:space="preserve">shown to be decreased in 40% of patients in high-risk group for AML transformation </w:t>
      </w:r>
      <w:r w:rsidR="00691CF3"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{"citationID":"XFXMxCW4","properties":{"formattedCitation":"(Kuramoto et al., 2002)","plainCitation":"(Kuramoto et al., 2002)","noteIndex":0},"citationItems":[{"id":202,"uris":["http://zotero.org/users/2484452/items/DC94XMBW"],"uri":["http://zotero.org/users/2484452/items/DC94XMBW"],"itemData":{"id":202,"type":"article-journal","abstract":"Myelodysplastic syndrome (MDS) is a clonal disorder of hematopoietic stem cells. To investigate whether chromosomal instability and/or DNA repair defects are involved in the development of MDS, we measured the micronucleus (MN) frequency in peripheral blood lymphocytes exposed to various doses of X-rays, using a cytokinesis-block micronucleus assay. The spontaneous MN frequencies in RAEB and RAEB-T patients were significantly higher than those in normal individuals (P = 0.0224, P = 0.008, respectively). Also, the X-ray-induced MN frequencies in RA/RARS, RAEB, and RAEB-T patients were significantly higher than those in normal individuals (P = 0.007, P = 0.003, P = 0.003, respectively, at 2 Gy). In order to elucidate the cause of unusual radiosensitivity, we measured the expression levels of nucleotide excision repair (NER) genes in peripheral blood mononuclear cells using a RT-PCR method. Reduction of NER gene expression was found in only one of 10 patients with low risk MDS, but in four of 11 patients with high risk MDS. Our data suggest that chromosomal instability and DNA repair defects may be involved in the pathophysiology of disease progression of MDS.","container-title":"Leukemia","DOI":"10.1038/sj.leu.2402703","ISSN":"0887-6924","issue":"11","journalAbbreviation":"Leukemia","language":"eng","note":"PMID: 12399970","page":"2253-2258","source":"PubMed","title":"Chromosomal instability and radiosensitivity in myelodysplastic syndrome cells","volume":"16","author":[{"family":"Kuramoto","given":"K."},{"family":"Ban","given":"S."},{"family":"Oda","given":"K."},{"family":"Tanaka","given":"H."},{"family":"Kimura","given":"A."},{"family":"Suzuki","given":"G."}],"issued":{"date-parts":[["2002",11]]}}}],"schema":"https://github.com/citation-style-language/schema/raw/master/csl-citation.json"} </w:instrText>
      </w:r>
      <w:r w:rsidR="00691CF3" w:rsidRPr="006F5ABC">
        <w:rPr>
          <w:rFonts w:ascii="Arial" w:hAnsi="Arial" w:cs="Arial"/>
          <w:sz w:val="22"/>
          <w:szCs w:val="22"/>
          <w:lang w:val="en-US"/>
        </w:rPr>
        <w:fldChar w:fldCharType="separate"/>
      </w:r>
      <w:r w:rsidR="00691CF3" w:rsidRPr="006F5ABC">
        <w:rPr>
          <w:rFonts w:ascii="Arial" w:hAnsi="Arial" w:cs="Arial"/>
          <w:noProof/>
          <w:sz w:val="22"/>
          <w:szCs w:val="22"/>
          <w:lang w:val="en-US"/>
        </w:rPr>
        <w:t>(Kuramoto et al., 2002)</w:t>
      </w:r>
      <w:r w:rsidR="00691CF3" w:rsidRPr="006F5ABC">
        <w:rPr>
          <w:rFonts w:ascii="Arial" w:hAnsi="Arial" w:cs="Arial"/>
          <w:sz w:val="22"/>
          <w:szCs w:val="22"/>
          <w:lang w:val="en-US"/>
        </w:rPr>
        <w:fldChar w:fldCharType="end"/>
      </w:r>
      <w:r w:rsidR="00691CF3" w:rsidRPr="006F5ABC">
        <w:rPr>
          <w:rFonts w:ascii="Arial" w:hAnsi="Arial" w:cs="Arial"/>
          <w:sz w:val="22"/>
          <w:szCs w:val="22"/>
          <w:lang w:val="en-US"/>
        </w:rPr>
        <w:t>.</w:t>
      </w:r>
      <w:r w:rsidR="000902E8" w:rsidRPr="006F5ABC">
        <w:rPr>
          <w:rFonts w:ascii="Arial" w:hAnsi="Arial" w:cs="Arial"/>
          <w:sz w:val="22"/>
          <w:szCs w:val="22"/>
          <w:lang w:val="en-US"/>
        </w:rPr>
        <w:t xml:space="preserve"> Furthermore, aberrant processing of double strand breaks and </w:t>
      </w:r>
      <w:r w:rsidR="00187E2C" w:rsidRPr="006F5ABC">
        <w:rPr>
          <w:rFonts w:ascii="Arial" w:hAnsi="Arial" w:cs="Arial"/>
          <w:sz w:val="22"/>
          <w:szCs w:val="22"/>
          <w:lang w:val="en-US"/>
        </w:rPr>
        <w:t xml:space="preserve">gradual </w:t>
      </w:r>
      <w:r w:rsidR="000902E8" w:rsidRPr="006F5ABC">
        <w:rPr>
          <w:rFonts w:ascii="Arial" w:hAnsi="Arial" w:cs="Arial"/>
          <w:sz w:val="22"/>
          <w:szCs w:val="22"/>
          <w:lang w:val="en-US"/>
        </w:rPr>
        <w:t>accumulation of DNA damage</w:t>
      </w:r>
      <w:r w:rsidR="00187E2C" w:rsidRPr="006F5ABC">
        <w:rPr>
          <w:rFonts w:ascii="Arial" w:hAnsi="Arial" w:cs="Arial"/>
          <w:sz w:val="22"/>
          <w:szCs w:val="22"/>
          <w:lang w:val="en-US"/>
        </w:rPr>
        <w:t xml:space="preserve"> over progression of preleukemia to leukemia</w:t>
      </w:r>
      <w:r w:rsidR="000902E8" w:rsidRPr="006F5ABC">
        <w:rPr>
          <w:rFonts w:ascii="Arial" w:hAnsi="Arial" w:cs="Arial"/>
          <w:sz w:val="22"/>
          <w:szCs w:val="22"/>
          <w:lang w:val="en-US"/>
        </w:rPr>
        <w:t xml:space="preserve"> has been observed in various preleukemic mouse models </w:t>
      </w:r>
      <w:r w:rsidR="000902E8"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{"citationID":"ClD8T8Ll","properties":{"formattedCitation":"(Lin et al., 2005; Lutzmann et al., 2019; Omidvar et al., 2007; Puthiyaveetil et al., 2013)","plainCitation":"(Lin et al., 2005; Lutzmann et al., 2019; Omidvar et al., 2007; Puthiyaveetil et al., 2013)","noteIndex":0},"citationItems":[{"id":990,"uris":["http://zotero.org/users/2484452/items/BBSEILLF"],"uri":["http://zotero.org/users/2484452/items/BBSEILLF"],"itemData":{"id":990,"type":"article-journal","abstract":"The myelodysplastic syndromes (MDSs) are a group of clonal hematopoietic stem-cell disorders characterized by ineffective hematopoiesis and dysplasia. A wide spectrum of genetic aberrations has been associated with MDS, including chromosomal translocations involving the NUP98 gene. Using a NUP98-HOXD13 fusion gene, we have developed a mouse model that faithfully recapitulates all of the key features of MDS, including peripheral blood cytopenias, bone marrow dysplasia, and apoptosis, and transformation to acute leukemia. The MDS that develops in NUP98-HOXD13 transgenic mice is uniformly fatal. Within 14 months, all of the mice died of either leukemic transformation or severe anemia and leucopenia as a result of progressive MDS. The NUP98-HOXD13 fusion gene inhibits megakaryocytic differentiation and increases apoptosis in the bone marrow, suggesting a mechanism leading to ineffective hematopoiesis in the presence of a hypercellular bone marrow. These mice provide an accurate preclinical model that can be used for the evaluation of MDS therapy and biology.","container-title":"Blood","DOI":"10.1182/blood-2004-12-4794","ISSN":"0006-4971","issue":"1","journalAbbreviation":"Blood","language":"eng","note":"PMID: 15755899\nPMCID: PMC1201424","page":"287-295","source":"PubMed","title":"NUP98-HOXD13 transgenic mice develop a highly penetrant, severe myelodysplastic syndrome that progresses to acute leukemia","volume":"106","author":[{"family":"Lin","given":"Ying-Wei"},{"family":"Slape","given":"Christopher"},{"family":"Zhang","given":"Zhenhua"},{"family":"Aplan","given":"Peter D."}],"issued":{"date-parts":[["2005",7,1]]}}},{"id":999,"uris":["http://zotero.org/users/2484452/items/SEKDU6P8"],"uri":["http://zotero.org/users/2484452/items/SEKDU6P8"],"itemData":{"id":999,"type":"article-journal","abstract":"Hematopoiesis is particularly sensitive to DNA damage. Myeloid tumor incidence increases in patients with DNA repair defects and after chemotherapy. It is not known why hematopoietic cells are highly vulnerable to DNA damage. Addressing this question is complicated by the paucity of mouse models of hematopoietic malignancies due to defective DNA repair. We show that DNA repair-deficient Mcm8- and Mcm9-knockout mice develop myeloid tumors, phenocopying prevalent myelodysplastic syndromes. We demonstrate that these tumors are preceded by a lifelong DNA damage burden in bone marrow and that they acquire proliferative capacity by suppressing signaling of the tumor suppressor and cell cycle controller RB, as often seen in patients. Finally, we found that absence of MCM9 and the tumor suppressor Tp53 switches tumorigenesis to lymphoid tumors without precedent myeloid malignancy. Our results demonstrate that MCM8/9 deficiency drives myeloid tumor development and establishes a DNA damage burdened mouse model for hematopoietic malignancies.","container-title":"Cell Reports","DOI":"10.1016/j.celrep.2019.07.095","ISSN":"2211-1247","issue":"11","journalAbbreviation":"Cell Rep","language":"eng","note":"PMID: 31509747","page":"2851-2865.e4","source":"PubMed","title":"MCM8- and MCM9 Deficiencies Cause Lifelong Increased Hematopoietic DNA Damage Driving p53-Dependent Myeloid Tumors","volume":"28","author":[{"family":"Lutzmann","given":"Malik"},{"family":"Bernex","given":"Florence"},{"family":"Costa de Jesus","given":"Cindy","non-dropping-particle":"da"},{"family":"Hodroj","given":"Dana"},{"family":"Marty","given":"Caroline"},{"family":"Plo","given":"Isabelle"},{"family":"Vainchenker","given":"William"},{"family":"Tosolini","given":"Marie"},{"family":"Forichon","given":"Luc"},{"family":"Bret","given":"Caroline"},{"family":"Queille","given":"Sophie"},{"family":"Marchive","given":"Candice"},{"family":"Hoffmann","given":"Jean-Sébastien"},{"family":"Méchali","given":"Marcel"}],"issued":{"date-parts":[["2019",9,10]]}}},{"id":992,"uris":["http://zotero.org/users/2484452/items/HRJNMP34"],"uri":["http://zotero.org/users/2484452/items/HRJNMP34"],"itemData":{"id":992,"type":"article-journal","abstract":"Myelodysplastic syndromes (MDS) are clonal stem cell hematologic disorders that evolve to acute myeloid leukemia (AML) and thus model multistep leukemogenesis. Activating RAS mutations and overexpression of BCL-2 are prognostic features of MDS/AML transformation. Using NRASD12 and BCL-2, we created two distinct models of MDS and AML, where human (h)BCL-2 is conditionally or constitutively expressed. Our novel transplantable in vivo models show that expression of hBCL-2 in a primitive compartment by mouse mammary tumor virus-long terminal repeat results in a disease resembling human MDS, whereas the myeloid MRP8 promoter induces a disease with characteristics of human AML. Expanded leukemic stem cell (Lin(-)/Sca-1(+)/c-Kit(+)) populations and hBCL-2 in the increased RAS-GTP complex within the expanded Sca-1(+) compartment are described in both MDS/AML-like diseases. Furthermore, the oncogenic compartmentalizations provide the proapoptotic versus antiapoptotic mechanisms, by activating extracellular signal-regulated kinase and AKT signaling, in determination of the neoplastic phenotype. When hBCL-2 is switched off with doxycycline in the MDS mice, partial reversal of the phenotype was observed with persistence of bone marrow blasts and tissue infiltration as RAS recruits endogenous mouse (m)BCL-2 to remain active, thus demonstrating the role of the complex in the disease. This represents the first in vivo progression model of MDS/AML dependent on the formation of a BCL-2:RAS-GTP complex. The colocalization of BCL-2 and RAS in the bone marrow of MDS/AML patients offers targeting either oncogene as a therapeutic strategy.","container-title":"Cancer Research","DOI":"10.1158/0008-5472.CAN-07-0196","ISSN":"1538-7445","issue":"24","journalAbbreviation":"Cancer Res.","language":"eng","note":"PMID: 18089795","page":"11657-11667","source":"PubMed","title":"BCL-2 and mutant NRAS interact physically and functionally in a mouse model of progressive myelodysplasia","volume":"67","author":[{"family":"Omidvar","given":"Nader"},{"family":"Kogan","given":"Scott"},{"family":"Beurlet","given":"Stephanie"},{"family":"Pogam","given":"Carole","non-dropping-particle":"le"},{"family":"Janin","given":"Anne"},{"family":"West","given":"Robert"},{"family":"Noguera","given":"Maria-Elena"},{"family":"Reboul","given":"Murielle"},{"family":"Soulie","given":"Annie"},{"family":"Leboeuf","given":"Christophe"},{"family":"Setterblad","given":"Niclas"},{"family":"Felsher","given":"Dean"},{"family":"Lagasse","given":"Eric"},{"family":"Mohamedali","given":"Azim"},{"family":"Thomas","given":"N. Shaun B."},{"family":"Fenaux","given":"Pierre"},{"family":"Fontenay","given":"Michaela"},{"family":"Pla","given":"Marika"},{"family":"Mufti","given":"Ghulam J."},{"family":"Weissman","given":"Irving"},{"family":"Chomienne","given":"Christine"},{"family":"Padua","given":"Rose Ann"}],"issued":{"date-parts":[["2007",12,15]]}}},{"id":994,"uris":["http://zotero.org/users/2484452/items/WIVSLCTW"],"uri":["http://zotero.org/users/2484452/items/WIVSLCTW"],"itemData":{"id":994,"type":"article-journal","abstract":"Chromosomal translocations typically impair cell differentiation and often require secondary mutations for malignant transformation. However, the role of a primary translocation in the development of collaborating mutations is debatable. To delineate the role of leukemic translocation NUP98-HOXD13 (NHD13) in secondary mutagenesis, DNA break and repair mechanisms in stimulated mouse B lymphocytes expressing NHD13 were analyzed. Our results showed significantly reduced expression of non-homologous end joining (NHEJ)-mediated DNA repair genes, DNA Pkcs, DNA ligase4, and Xrcc4 leading to cell cycle arrest at G2/M phase. Our results showed that expression of NHD13 fusion gene resulted in impaired NHEJ-mediated DNA break repair.","container-title":"Leukemia Research","DOI":"10.1016/j.leukres.2012.10.012","ISSN":"1873-5835","issue":"1","journalAbbreviation":"Leuk. Res.","language":"eng","note":"PMID: 23131583\nPMCID: PMC4881388","page":"112-116","source":"PubMed","title":"Non-homologous end joining mediated DNA repair is impaired in the NUP98-HOXD13 mouse model for myelodysplastic syndrome","volume":"37","author":[{"family":"Puthiyaveetil","given":"Abdul Gafoor"},{"family":"Reilly","given":"Christopher M."},{"family":"Pardee","given":"Timothy S."},{"family":"Caudell","given":"David L."}],"issued":{"date-parts":[["2013",1]]}}}],"schema":"https://github.com/citation-style-language/schema/raw/master/csl-citation.json"} </w:instrText>
      </w:r>
      <w:r w:rsidR="000902E8" w:rsidRPr="006F5ABC">
        <w:rPr>
          <w:rFonts w:ascii="Arial" w:hAnsi="Arial" w:cs="Arial"/>
          <w:sz w:val="22"/>
          <w:szCs w:val="22"/>
          <w:lang w:val="en-US"/>
        </w:rPr>
        <w:fldChar w:fldCharType="separate"/>
      </w:r>
      <w:r w:rsidR="000902E8" w:rsidRPr="006F5ABC">
        <w:rPr>
          <w:rFonts w:ascii="Arial" w:hAnsi="Arial" w:cs="Arial"/>
          <w:noProof/>
          <w:sz w:val="22"/>
          <w:szCs w:val="22"/>
          <w:lang w:val="en-US"/>
        </w:rPr>
        <w:t>(Lin et al., 2005; Lutzmann et al., 2019; Omidvar et al., 2007; Puthiyaveetil et al., 2013)</w:t>
      </w:r>
      <w:r w:rsidR="000902E8" w:rsidRPr="006F5ABC">
        <w:rPr>
          <w:rFonts w:ascii="Arial" w:hAnsi="Arial" w:cs="Arial"/>
          <w:sz w:val="22"/>
          <w:szCs w:val="22"/>
          <w:lang w:val="en-US"/>
        </w:rPr>
        <w:fldChar w:fldCharType="end"/>
      </w:r>
      <w:r w:rsidR="000902E8" w:rsidRPr="006F5ABC">
        <w:rPr>
          <w:rFonts w:ascii="Arial" w:hAnsi="Arial" w:cs="Arial"/>
          <w:sz w:val="22"/>
          <w:szCs w:val="22"/>
          <w:lang w:val="en-US"/>
        </w:rPr>
        <w:t xml:space="preserve"> and patient samples </w:t>
      </w:r>
      <w:r w:rsidR="000902E8" w:rsidRPr="006F5ABC">
        <w:rPr>
          <w:rFonts w:ascii="Arial" w:hAnsi="Arial" w:cs="Arial"/>
          <w:sz w:val="22"/>
          <w:szCs w:val="22"/>
          <w:lang w:val="en-US"/>
        </w:rPr>
        <w:fldChar w:fldCharType="begin"/>
      </w:r>
      <w:r w:rsidR="00B703ED" w:rsidRPr="006F5ABC">
        <w:rPr>
          <w:rFonts w:ascii="Arial" w:hAnsi="Arial" w:cs="Arial"/>
          <w:sz w:val="22"/>
          <w:szCs w:val="22"/>
          <w:lang w:val="en-US"/>
        </w:rPr>
        <w:instrText xml:space="preserve"> ADDIN ZOTERO_ITEM CSL_CITATION {"citationID":"U9V8mwpB","properties":{"formattedCitation":"(Popp et al., 2017; Valka et al., 2017)","plainCitation":"(Popp et al., 2017; Valka et al., 2017)","noteIndex":0},"citationItems":[{"id":208,"uris":["http://zotero.org/users/2484452/items/RHVAANJP"],"uri":["http://zotero.org/users/2484452/items/RHVAANJP"],"itemData":{"id":208,"type":"article-journal","abstract":"Increased DNA damage and alteration of the DNA damage response (DDR) are critical features of genetic instability presumably implicated in pathogenesis of myelodysplastic syndromes (MDS) and acute myeloid leukemias (AML). We used immunofluorescence staining of γH2AX and 53BP1 for analyzing DNA double-strand breaks (DSB) in MDS and AML cell lines, in CD34+ selected cells of normal and MDS bone marrow (including three cases of chronic myelomonocytic leukemias) and in blasts of AML bone marrow. In addition, we screened for activation of the DDR by immunoblotting of p-ATM, p-ATR, p-CHK1, p-CHK2 and p-TP53. As compared to γH2AX foci levels in normal bone marrow samples (0.2 focus per CD34+ cell±0.0; mean±standard error of mean), increased levels of γH2AX foci were detected in 16/16 MDS bone marrow samples (2.8 foci per CD34+ cell±0.5), 18/18 AML bone marrow samples (5.5 foci per blast±0.5), 1/1 MDS cell line (6.4 foci per cell) and 6/6 AML cell lines (12.0 foci per cell±0.6). γH2AX and 53BP1 co-localized in all tested samples forming diffuse, clustered and marginal patterns. Further, DDR proteins were expressed heterogeneously suggesting impairment of the DDR. In summary, our results provide evidence for a continuous increase of DSB across the spectrum from MDS to AML in conjunction with an impaired DDR. Co-localization of γH2AX and 53BP1 indicates promotion of (in)effective nonhomologous end-joining repair mechanisms at sites of DSB. Moreover, γH2AX/53BP1 foci distribution presumably reveals a non-random spatial organization of the genome in MDS and AML.","container-title":"Leukemia Research","DOI":"10.1016/j.leukres.2017.03.011","ISSN":"0145-2126","journalAbbreviation":"Leukemia Research","page":"112-118","source":"ScienceDirect","title":"Increase of DNA damage and alteration of the DNA damage response in myelodysplastic syndromes and acute myeloid leukemias","volume":"57","author":[{"family":"Popp","given":"Henning D."},{"family":"Naumann","given":"Nicole"},{"family":"Brendel","given":"Susanne"},{"family":"Henzler","given":"Thomas"},{"family":"Weiss","given":"Christel"},{"family":"Hofmann","given":"Wolf-Karsten"},{"family":"Fabarius","given":"Alice"}],"issued":{"date-parts":[["2017",6,1]]}}},{"id":185,"uris":["http://zotero.org/users/2484452/items/7R5G6KF3"],"uri":["http://zotero.org/users/2484452/items/7R5G6KF3"],"itemData":{"id":185,"type":"article-journal","abstract":"Background The high incidence of mutations and cytogenetic abnormalities in patients with myelodysplastic syndrome (MDS) suggests that defects in DNA repair mechanisms. We monitored DNA repair pathways in MDS and their alterations during disease progression. Methods Expression profiling of DNA repair genes was performed on CD34+ cells, and paired samples were used for monitoring of RAD51 and XRCC2 gene expression during disease progression. Immunohistochemical staining for RAD51 was done on histology samples. Results RAD51 and XRCC2 showed differential expression between low-risk and high-risk MDS (P&lt;.0001), whereas RPA3 was generally decreased among the entire cohort (FC=−2.65, P&lt;.0001). We demonstrated that RAD51 and XRCC2 expression gradually decreased during the progression of MDS. Down-regulation of XRCC2 and RAD51 expression was connected with abnormalities on chromosome 7 (P=.0858, P=.0457). Immunohistochemical staining revealed the presence of RAD51 only in the cytoplasm in low-risk MDS, while in both the cytoplasm and nucleus in high-risk MDS. The multivariate analysis identified RAD51 expression level (HR 0.49; P=.01) as significant prognostic factor for overall survival of patients with MDS. Conclusions Our study demonstrates that the expression of DNA repair factors, primarily RAD51 and XRCC2, is deregulated in patients with MDS and presents a specific pattern with respect to prognostic categories.","container-title":"European Journal of Haematology","DOI":"10.1111/ejh.12920","ISSN":"1600-0609","issue":"4","language":"en","page":"323-331","source":"Wiley Online Library","title":"Differential expression of homologous recombination DNA repair genes in the early and advanced stages of myelodysplastic syndrome","volume":"99","author":[{"family":"Valka","given":"Jan"},{"family":"Vesela","given":"Jitka"},{"family":"Votavova","given":"Hana"},{"family":"Dostalova</w:instrText>
      </w:r>
      <w:r w:rsidR="00B703ED" w:rsidRPr="006F5ABC">
        <w:rPr>
          <w:rFonts w:ascii="Cambria Math" w:hAnsi="Cambria Math" w:cs="Cambria Math"/>
          <w:sz w:val="22"/>
          <w:szCs w:val="22"/>
          <w:lang w:val="en-US"/>
        </w:rPr>
        <w:instrText>‐</w:instrText>
      </w:r>
      <w:r w:rsidR="00B703ED" w:rsidRPr="006F5ABC">
        <w:rPr>
          <w:rFonts w:ascii="Arial" w:hAnsi="Arial" w:cs="Arial"/>
          <w:sz w:val="22"/>
          <w:szCs w:val="22"/>
          <w:lang w:val="en-US"/>
        </w:rPr>
        <w:instrText xml:space="preserve">Merkerova","given":"Michaela"},{"family":"Horakova","given":"Zuzana"},{"family":"Campr","given":"Vit"},{"family":"Brezinova","given":"Jana"},{"family":"Zemanova","given":"Zuzana"},{"family":"Jonasova","given":"Anna"},{"family":"Cermak","given":"Jaroslav"},{"family":"Belickova","given":"Monika"}],"issued":{"date-parts":[["2017"]]}}}],"schema":"https://github.com/citation-style-language/schema/raw/master/csl-citation.json"} </w:instrText>
      </w:r>
      <w:r w:rsidR="000902E8" w:rsidRPr="006F5ABC">
        <w:rPr>
          <w:rFonts w:ascii="Arial" w:hAnsi="Arial" w:cs="Arial"/>
          <w:sz w:val="22"/>
          <w:szCs w:val="22"/>
          <w:lang w:val="en-US"/>
        </w:rPr>
        <w:fldChar w:fldCharType="separate"/>
      </w:r>
      <w:r w:rsidR="003701A2" w:rsidRPr="006F5ABC">
        <w:rPr>
          <w:rFonts w:ascii="Arial" w:hAnsi="Arial" w:cs="Arial"/>
          <w:noProof/>
          <w:sz w:val="22"/>
          <w:szCs w:val="22"/>
          <w:lang w:val="en-US"/>
        </w:rPr>
        <w:t>(Popp et al., 2017; Valka et al., 2017)</w:t>
      </w:r>
      <w:r w:rsidR="000902E8" w:rsidRPr="006F5ABC">
        <w:rPr>
          <w:rFonts w:ascii="Arial" w:hAnsi="Arial" w:cs="Arial"/>
          <w:sz w:val="22"/>
          <w:szCs w:val="22"/>
          <w:lang w:val="en-US"/>
        </w:rPr>
        <w:fldChar w:fldCharType="end"/>
      </w:r>
      <w:r w:rsidR="003701A2" w:rsidRPr="006F5ABC">
        <w:rPr>
          <w:rFonts w:ascii="Arial" w:hAnsi="Arial" w:cs="Arial"/>
          <w:sz w:val="22"/>
          <w:szCs w:val="22"/>
          <w:lang w:val="en-US"/>
        </w:rPr>
        <w:t>.</w:t>
      </w:r>
      <w:r w:rsidR="004A5FDB" w:rsidRPr="006F5ABC">
        <w:rPr>
          <w:rFonts w:ascii="Arial" w:hAnsi="Arial" w:cs="Arial"/>
          <w:sz w:val="22"/>
          <w:szCs w:val="22"/>
          <w:lang w:val="en-US"/>
        </w:rPr>
        <w:t xml:space="preserve"> Taken together, increased DNA damage and alteration of the DDR are closely linked to </w:t>
      </w:r>
      <w:r w:rsidR="0025520C" w:rsidRPr="006F5ABC">
        <w:rPr>
          <w:rFonts w:ascii="Arial" w:hAnsi="Arial" w:cs="Arial"/>
          <w:sz w:val="22"/>
          <w:szCs w:val="22"/>
          <w:lang w:val="en-US"/>
        </w:rPr>
        <w:t>cytogenetic instability</w:t>
      </w:r>
      <w:r w:rsidR="004A5FDB" w:rsidRPr="006F5ABC">
        <w:rPr>
          <w:rFonts w:ascii="Arial" w:hAnsi="Arial" w:cs="Arial"/>
          <w:sz w:val="22"/>
          <w:szCs w:val="22"/>
          <w:lang w:val="en-US"/>
        </w:rPr>
        <w:t xml:space="preserve"> and progression of preleukemia</w:t>
      </w:r>
      <w:r w:rsidR="006123CE" w:rsidRPr="006F5ABC">
        <w:rPr>
          <w:rFonts w:ascii="Arial" w:hAnsi="Arial" w:cs="Arial"/>
          <w:sz w:val="22"/>
          <w:szCs w:val="22"/>
          <w:lang w:val="en-US"/>
        </w:rPr>
        <w:t xml:space="preserve">, creating </w:t>
      </w:r>
      <w:r w:rsidR="004A5FDB" w:rsidRPr="006F5ABC">
        <w:rPr>
          <w:rFonts w:ascii="Arial" w:hAnsi="Arial" w:cs="Arial"/>
          <w:sz w:val="22"/>
          <w:szCs w:val="22"/>
          <w:lang w:val="en-US"/>
        </w:rPr>
        <w:t>essential driving force of clonal evolution towards full-blown leukemia</w:t>
      </w:r>
      <w:r w:rsidR="0004078E" w:rsidRPr="006F5ABC">
        <w:rPr>
          <w:rFonts w:ascii="Arial" w:hAnsi="Arial" w:cs="Arial"/>
          <w:sz w:val="22"/>
          <w:szCs w:val="22"/>
          <w:lang w:val="en-US"/>
        </w:rPr>
        <w:t xml:space="preserve"> across the pre-leukemia disease entities</w:t>
      </w:r>
      <w:r w:rsidR="004A5FDB" w:rsidRPr="006F5ABC">
        <w:rPr>
          <w:rFonts w:ascii="Arial" w:hAnsi="Arial" w:cs="Arial"/>
          <w:sz w:val="22"/>
          <w:szCs w:val="22"/>
          <w:lang w:val="en-US"/>
        </w:rPr>
        <w:t>.</w:t>
      </w:r>
    </w:p>
    <w:p w14:paraId="5075DFA9" w14:textId="16C0792F" w:rsidR="006B77C3" w:rsidRPr="003A5293" w:rsidRDefault="00787044" w:rsidP="00787044">
      <w:pPr>
        <w:pStyle w:val="Formatvorlage1"/>
        <w:rPr>
          <w:rFonts w:cs="Arial"/>
        </w:rPr>
      </w:pPr>
      <w:bookmarkStart w:id="3" w:name="_Toc57582478"/>
      <w:r w:rsidRPr="003A5293">
        <w:rPr>
          <w:rFonts w:cs="Arial"/>
        </w:rPr>
        <w:t xml:space="preserve">1.1.2 </w:t>
      </w:r>
      <w:r w:rsidR="0072378E" w:rsidRPr="003A5293">
        <w:rPr>
          <w:rFonts w:cs="Arial"/>
        </w:rPr>
        <w:t>Involvement of inflammation induced-oxidative stress in leukemogenesis</w:t>
      </w:r>
      <w:bookmarkEnd w:id="3"/>
    </w:p>
    <w:p w14:paraId="55123FF8" w14:textId="77777777" w:rsidR="00507F6B" w:rsidRPr="003A5293" w:rsidRDefault="00507F6B" w:rsidP="0007282F">
      <w:pPr>
        <w:spacing w:line="360" w:lineRule="auto"/>
        <w:ind w:firstLine="708"/>
        <w:jc w:val="both"/>
        <w:rPr>
          <w:rFonts w:ascii="Arial" w:hAnsi="Arial" w:cs="Arial"/>
          <w:sz w:val="22"/>
          <w:szCs w:val="22"/>
          <w:lang w:val="en-US"/>
        </w:rPr>
      </w:pPr>
    </w:p>
    <w:p w14:paraId="382CE450" w14:textId="52524DF0" w:rsidR="00F31110" w:rsidRPr="006F5ABC" w:rsidRDefault="00060030" w:rsidP="0007282F">
      <w:pPr>
        <w:spacing w:line="360" w:lineRule="auto"/>
        <w:ind w:firstLine="708"/>
        <w:jc w:val="both"/>
        <w:rPr>
          <w:rFonts w:ascii="Arial" w:hAnsi="Arial" w:cs="Arial"/>
          <w:sz w:val="22"/>
          <w:szCs w:val="22"/>
          <w:lang w:val="en-US"/>
        </w:rPr>
      </w:pPr>
      <w:r w:rsidRPr="006F5ABC">
        <w:rPr>
          <w:rFonts w:ascii="Arial" w:hAnsi="Arial" w:cs="Arial"/>
          <w:sz w:val="22"/>
          <w:szCs w:val="22"/>
          <w:lang w:val="en-US"/>
        </w:rPr>
        <w:t>Inflammation has been long recognized as an essential part of preleukemia niche</w:t>
      </w:r>
      <w:r w:rsidR="00A24C47" w:rsidRPr="006F5ABC">
        <w:rPr>
          <w:rFonts w:ascii="Arial" w:hAnsi="Arial" w:cs="Arial"/>
          <w:sz w:val="22"/>
          <w:szCs w:val="22"/>
          <w:lang w:val="en-US"/>
        </w:rPr>
        <w:t xml:space="preserve"> in clonal hematopoiesis harboring recurrent preleukemic mutations and</w:t>
      </w:r>
      <w:r w:rsidR="003663C0" w:rsidRPr="006F5ABC">
        <w:rPr>
          <w:rFonts w:ascii="Arial" w:hAnsi="Arial" w:cs="Arial"/>
          <w:sz w:val="22"/>
          <w:szCs w:val="22"/>
          <w:lang w:val="en-US"/>
        </w:rPr>
        <w:t xml:space="preserve"> also in</w:t>
      </w:r>
      <w:r w:rsidR="00A24C47" w:rsidRPr="006F5ABC">
        <w:rPr>
          <w:rFonts w:ascii="Arial" w:hAnsi="Arial" w:cs="Arial"/>
          <w:sz w:val="22"/>
          <w:szCs w:val="22"/>
          <w:lang w:val="en-US"/>
        </w:rPr>
        <w:t xml:space="preserve"> MDS </w:t>
      </w:r>
      <w:r w:rsidR="00A24C47" w:rsidRPr="006F5ABC">
        <w:rPr>
          <w:rFonts w:ascii="Arial" w:hAnsi="Arial" w:cs="Arial"/>
          <w:sz w:val="22"/>
          <w:szCs w:val="22"/>
          <w:lang w:val="en-US"/>
        </w:rPr>
        <w:lastRenderedPageBreak/>
        <w:fldChar w:fldCharType="begin"/>
      </w:r>
      <w:r w:rsidR="006D0E3F" w:rsidRPr="006F5ABC">
        <w:rPr>
          <w:rFonts w:ascii="Arial" w:hAnsi="Arial" w:cs="Arial"/>
          <w:sz w:val="22"/>
          <w:szCs w:val="22"/>
          <w:lang w:val="en-US"/>
        </w:rPr>
        <w:instrText xml:space="preserve"> ADDIN ZOTERO_ITEM CSL_CITATION {"citationID":"7bNKjRYd","properties":{"formattedCitation":"(Jaiswal and Ebert, 2019; Sallman and List, 2019)","plainCitation":"(Jaiswal and Ebert, 2019; Sallman and List, 2019)","noteIndex":0},"citationItems":[{"id":906,"uris":["http://zotero.org/users/2484452/items/IEHB2MFD"],"uri":["http://zotero.org/users/2484452/items/IEHB2MFD"],"itemData":{"id":906,"type":"article-journal","abstract":"As people age, their tissues accumulate an increasing number of somatic mutations. Although most of these mutations are of little or no functional consequence, a mutation may arise that confers a fitness advantage on a cell. When this process happens in the hematopoietic system, a substantial proportion of circulating blood cells may derive from a single mutated stem cell. This outgrowth, called \"clonal hematopoiesis,\" is highly prevalent in the elderly population. Here we discuss recent advances in our knowledge of clonal hematopoiesis, its relationship to malignancies, its link to nonmalignant diseases of aging, and its potential impact on immune function. Clonal hematopoiesis provides a glimpse into the process of mutation and selection that likely occurs in all somatic tissues.","container-title":"Science (New York, N.Y.)","DOI":"10.1126/science.aan4673","ISSN":"1095-9203","issue":"6465","journalAbbreviation":"Science","language":"eng","note":"PMID: 31672865","source":"PubMed","title":"Clonal hematopoiesis in human aging and disease","volume":"366","author":[{"family":"Jaiswal","given":"Siddhartha"},{"family":"Ebert","given":"Benjamin L."}],"issued":{"date-parts":[["2019"]],"season":"01"}}},{"id":1006,"uris":["http://zotero.org/users/2484452/items/TQSLUBHA"],"uri":["http://zotero.org/users/2484452/items/TQSLUBHA"],"itemData":{"id":1006,"type":"article-journal","abstract":"In cancer biology, tumor-promoting inflammation and an inflammatory microenvironment play a vital role in disease pathogenesis. In the past decade, aberrant innate immune activation and proinflammatory signaling within the malignant clone and the bone marrow (BM) microenvironment were identified as key pathogenic drivers of myelodysplastic syndromes (MDS). In particular, S100A9-mediated NOD-like receptor protein 3 (NLRP3) inflammasome activation directs an inflammatory, lytic form of cell death termed pyroptosis that underlies many of the hallmark features of the disease. This circuit and accompanying release of other danger-associated molecular patterns expands BM myeloid-derived suppressor cells, creating a feed-forward process propagating inflammasome activation. Furthermore, somatic gene mutations of varied functional classes license the NLRP3 inflammasome to generate a common phenotype with excess reactive oxygen species generation, Wnt/β-catenin-induced proliferation, cation flux-induced cell swelling, and caspase-1 activation. Recent investigations have shown that activation of the NLRP3 inflammasome complex has more broad-reaching importance, particularly as a possible disease-specific biomarker for MDS, and, mechanistically, as a driver of cardiovascular morbidity/mortality in individuals with age-related, clonal hematopoiesis. Recognition of the mechanistic role of aberrant innate immune activation in MDS provides a new perspective for therapeutic development that could usher in a novel class of disease-modifying agents.","container-title":"Blood","DOI":"10.1182/blood-2018-10-844654","ISSN":"1528-0020","issue":"10","journalAbbreviation":"Blood","language":"eng","note":"PMID: 30670444","page":"1039-1048","source":"PubMed","title":"The central role of inflammatory signaling in the pathogenesis of myelodysplastic syndromes","volume":"133","author":[{"family":"Sallman","given":"David A."},{"family":"List","given":"Alan"}],"issued":{"date-parts":[["2019"]],"season":"07"}}}],"schema":"https://github.com/citation-style-language/schema/raw/master/csl-citation.json"} </w:instrText>
      </w:r>
      <w:r w:rsidR="00A24C47" w:rsidRPr="006F5ABC">
        <w:rPr>
          <w:rFonts w:ascii="Arial" w:hAnsi="Arial" w:cs="Arial"/>
          <w:sz w:val="22"/>
          <w:szCs w:val="22"/>
          <w:lang w:val="en-US"/>
        </w:rPr>
        <w:fldChar w:fldCharType="separate"/>
      </w:r>
      <w:r w:rsidR="006D0E3F" w:rsidRPr="006F5ABC">
        <w:rPr>
          <w:rFonts w:ascii="Arial" w:hAnsi="Arial" w:cs="Arial"/>
          <w:noProof/>
          <w:sz w:val="22"/>
          <w:szCs w:val="22"/>
          <w:lang w:val="en-US"/>
        </w:rPr>
        <w:t>(Jaiswal and Ebert, 2019; Sallman and List, 2019)</w:t>
      </w:r>
      <w:r w:rsidR="00A24C47" w:rsidRPr="006F5ABC">
        <w:rPr>
          <w:rFonts w:ascii="Arial" w:hAnsi="Arial" w:cs="Arial"/>
          <w:sz w:val="22"/>
          <w:szCs w:val="22"/>
          <w:lang w:val="en-US"/>
        </w:rPr>
        <w:fldChar w:fldCharType="end"/>
      </w:r>
      <w:r w:rsidR="00A24C47" w:rsidRPr="006F5ABC">
        <w:rPr>
          <w:rFonts w:ascii="Arial" w:hAnsi="Arial" w:cs="Arial"/>
          <w:sz w:val="22"/>
          <w:szCs w:val="22"/>
          <w:lang w:val="en-US"/>
        </w:rPr>
        <w:t xml:space="preserve">. </w:t>
      </w:r>
      <w:r w:rsidR="009033ED" w:rsidRPr="006F5ABC">
        <w:rPr>
          <w:rFonts w:ascii="Arial" w:hAnsi="Arial" w:cs="Arial"/>
          <w:sz w:val="22"/>
          <w:szCs w:val="22"/>
          <w:lang w:val="en-US"/>
        </w:rPr>
        <w:t xml:space="preserve">Patients with mutated versions of </w:t>
      </w:r>
      <w:r w:rsidR="006D0E3F" w:rsidRPr="006F5ABC">
        <w:rPr>
          <w:rFonts w:ascii="Arial" w:hAnsi="Arial" w:cs="Arial"/>
          <w:i/>
          <w:iCs/>
          <w:sz w:val="22"/>
          <w:szCs w:val="22"/>
          <w:lang w:val="en-US"/>
        </w:rPr>
        <w:t>DNMT3A</w:t>
      </w:r>
      <w:r w:rsidR="009033ED" w:rsidRPr="006F5ABC">
        <w:rPr>
          <w:rFonts w:ascii="Arial" w:hAnsi="Arial" w:cs="Arial"/>
          <w:sz w:val="22"/>
          <w:szCs w:val="22"/>
          <w:lang w:val="en-US"/>
        </w:rPr>
        <w:t xml:space="preserve">, </w:t>
      </w:r>
      <w:r w:rsidR="009033ED" w:rsidRPr="006F5ABC">
        <w:rPr>
          <w:rFonts w:ascii="Arial" w:hAnsi="Arial" w:cs="Arial"/>
          <w:i/>
          <w:iCs/>
          <w:sz w:val="22"/>
          <w:szCs w:val="22"/>
          <w:lang w:val="en-US"/>
        </w:rPr>
        <w:t>ASXL1</w:t>
      </w:r>
      <w:r w:rsidR="009033ED" w:rsidRPr="006F5ABC">
        <w:rPr>
          <w:rFonts w:ascii="Arial" w:hAnsi="Arial" w:cs="Arial"/>
          <w:sz w:val="22"/>
          <w:szCs w:val="22"/>
          <w:lang w:val="en-US"/>
        </w:rPr>
        <w:t xml:space="preserve"> and especially </w:t>
      </w:r>
      <w:r w:rsidR="006D0E3F" w:rsidRPr="006F5ABC">
        <w:rPr>
          <w:rFonts w:ascii="Arial" w:hAnsi="Arial" w:cs="Arial"/>
          <w:i/>
          <w:iCs/>
          <w:sz w:val="22"/>
          <w:szCs w:val="22"/>
          <w:lang w:val="en-US"/>
        </w:rPr>
        <w:t xml:space="preserve">TET2 </w:t>
      </w:r>
      <w:r w:rsidR="009033ED" w:rsidRPr="006F5ABC">
        <w:rPr>
          <w:rFonts w:ascii="Arial" w:hAnsi="Arial" w:cs="Arial"/>
          <w:sz w:val="22"/>
          <w:szCs w:val="22"/>
          <w:lang w:val="en-US"/>
        </w:rPr>
        <w:t>have h</w:t>
      </w:r>
      <w:r w:rsidR="00A24C47" w:rsidRPr="006F5ABC">
        <w:rPr>
          <w:rFonts w:ascii="Arial" w:hAnsi="Arial" w:cs="Arial"/>
          <w:sz w:val="22"/>
          <w:szCs w:val="22"/>
          <w:lang w:val="en-US"/>
        </w:rPr>
        <w:t xml:space="preserve">igher prevalence of cardiovascular </w:t>
      </w:r>
      <w:r w:rsidR="000B2E64" w:rsidRPr="006F5ABC">
        <w:rPr>
          <w:rFonts w:ascii="Arial" w:hAnsi="Arial" w:cs="Arial"/>
          <w:sz w:val="22"/>
          <w:szCs w:val="22"/>
          <w:lang w:val="en-US"/>
        </w:rPr>
        <w:t xml:space="preserve">and autoimmune </w:t>
      </w:r>
      <w:r w:rsidR="00A24C47" w:rsidRPr="006F5ABC">
        <w:rPr>
          <w:rFonts w:ascii="Arial" w:hAnsi="Arial" w:cs="Arial"/>
          <w:sz w:val="22"/>
          <w:szCs w:val="22"/>
          <w:lang w:val="en-US"/>
        </w:rPr>
        <w:t xml:space="preserve">diseases as well as increased </w:t>
      </w:r>
      <w:r w:rsidR="009033ED" w:rsidRPr="006F5ABC">
        <w:rPr>
          <w:rFonts w:ascii="Arial" w:hAnsi="Arial" w:cs="Arial"/>
          <w:sz w:val="22"/>
          <w:szCs w:val="22"/>
          <w:lang w:val="en-US"/>
        </w:rPr>
        <w:t xml:space="preserve">risk of </w:t>
      </w:r>
      <w:r w:rsidR="00A24C47" w:rsidRPr="006F5ABC">
        <w:rPr>
          <w:rFonts w:ascii="Arial" w:hAnsi="Arial" w:cs="Arial"/>
          <w:sz w:val="22"/>
          <w:szCs w:val="22"/>
          <w:lang w:val="en-US"/>
        </w:rPr>
        <w:t>atherosclerosis</w:t>
      </w:r>
      <w:r w:rsidR="00F31110" w:rsidRPr="006F5ABC">
        <w:rPr>
          <w:rFonts w:ascii="Arial" w:hAnsi="Arial" w:cs="Arial"/>
          <w:sz w:val="22"/>
          <w:szCs w:val="22"/>
          <w:lang w:val="en-US"/>
        </w:rPr>
        <w:t>,</w:t>
      </w:r>
      <w:r w:rsidR="009033ED" w:rsidRPr="006F5ABC">
        <w:rPr>
          <w:rFonts w:ascii="Arial" w:hAnsi="Arial" w:cs="Arial"/>
          <w:sz w:val="22"/>
          <w:szCs w:val="22"/>
          <w:lang w:val="en-US"/>
        </w:rPr>
        <w:t xml:space="preserve"> which was connected to increased activity of inflammasome and development of systemic inflammatory response</w:t>
      </w:r>
      <w:r w:rsidR="0007282F" w:rsidRPr="006F5ABC">
        <w:rPr>
          <w:rFonts w:ascii="Arial" w:hAnsi="Arial" w:cs="Arial"/>
          <w:sz w:val="22"/>
          <w:szCs w:val="22"/>
          <w:lang w:val="en-US"/>
        </w:rPr>
        <w:t>s</w:t>
      </w:r>
      <w:r w:rsidR="009033ED" w:rsidRPr="006F5ABC">
        <w:rPr>
          <w:rFonts w:ascii="Arial" w:hAnsi="Arial" w:cs="Arial"/>
          <w:sz w:val="22"/>
          <w:szCs w:val="22"/>
          <w:lang w:val="en-US"/>
        </w:rPr>
        <w:t xml:space="preserve"> </w:t>
      </w:r>
      <w:r w:rsidR="009033ED" w:rsidRPr="006F5ABC">
        <w:rPr>
          <w:rFonts w:ascii="Arial" w:hAnsi="Arial" w:cs="Arial"/>
          <w:sz w:val="22"/>
          <w:szCs w:val="22"/>
          <w:lang w:val="en-US"/>
        </w:rPr>
        <w:fldChar w:fldCharType="begin"/>
      </w:r>
      <w:r w:rsidR="009033ED" w:rsidRPr="006F5ABC">
        <w:rPr>
          <w:rFonts w:ascii="Arial" w:hAnsi="Arial" w:cs="Arial"/>
          <w:sz w:val="22"/>
          <w:szCs w:val="22"/>
          <w:lang w:val="en-US"/>
        </w:rPr>
        <w:instrText xml:space="preserve"> ADDIN ZOTERO_ITEM CSL_CITATION {"citationID":"7jViIkY4","properties":{"formattedCitation":"(Fuster et al., 2017; Jaiswal et al., 2017)","plainCitation":"(Fuster et al., 2017; Jaiswal et al., 2017)","noteIndex":0},"citationItems":[{"id":1011,"uris":["http://zotero.org/users/2484452/items/BT9WAY8B"],"uri":["http://zotero.org/users/2484452/items/BT9WAY8B"],"itemData":{"id":1011,"type":"article-journal","abstract":"Human aging is associated with an increased frequency of somatic mutations in hematopoietic cells. Several of these recurrent mutations, including those in the gene encoding the epigenetic modifier enzyme TET2, promote expansion of the mutant blood cells. This clonal hematopoiesis correlates with an increased risk of atherosclerotic cardiovascular disease. We studied the effects of the expansion of Tet2-mutant cells in atherosclerosis-prone, low-density lipoprotein receptor-deficient (Ldlr-/-) mice. We found that partial bone marrow reconstitution with TET2-deficient cells was sufficient for their clonal expansion and led to a marked increase in atherosclerotic plaque size. TET2-deficient macrophages exhibited an increase in NLRP3 inflammasome-mediated interleukin-1β secretion. An NLRP3 inhibitor showed greater atheroprotective activity in chimeric mice reconstituted with TET2-deficient cells than in nonchimeric mice. These results support the hypothesis that somatic TET2 mutations in blood cells play a causal role in atherosclerosis.","container-title":"Science (New York, N.Y.)","DOI":"10.1126/science.aag1381","ISSN":"1095-9203","issue":"6327","journalAbbreviation":"Science","language":"eng","note":"PMID: 28104796\nPMCID: PMC5542057","page":"842-847","source":"PubMed","title":"Clonal hematopoiesis associated with TET2 deficiency accelerates atherosclerosis development in mice","volume":"355","author":[{"family":"Fuster","given":"José J."},{"family":"MacLauchlan","given":"Susan"},{"family":"Zuriaga","given":"María A."},{"family":"Polackal","given":"Maya N."},{"family":"Ostriker","given":"Allison C."},{"family":"Chakraborty","given":"Raja"},{"family":"Wu","given":"Chia-Ling"},{"family":"Sano","given":"Soichi"},{"family":"Muralidharan","given":"Sujatha"},{"family":"Rius","given":"Cristina"},{"family":"Vuong","given":"Jacqueline"},{"family":"Jacob","given":"Sophia"},{"family":"Muralidhar","given":"Varsha"},{"family":"Robertson","given":"Avril A. B."},{"family":"Cooper","given":"Matthew A."},{"family":"Andrés","given":"Vicente"},{"family":"Hirschi","given":"Karen K."},{"family":"Martin","given":"Kathleen A."},{"family":"Walsh","given":"Kenneth"}],"issued":{"date-parts":[["2017"]],"season":"24"}}},{"id":1008,"uris":["http://zotero.org/users/2484452/items/U9Z6XCCI"],"uri":["http://zotero.org/users/2484452/items/U9Z6XCCI"],"itemData":{"id":1008,"type":"article-journal","abstract":"BACKGROUND: Clonal hematopoiesis of indeterminate potential (CHIP), which is defined as the presence of an expanded somatic blood-cell clone in persons without other hematologic abnormalities, is common among older persons and is associated with an increased risk of hematologic cancer. We previously found preliminary evidence for an association between CHIP and atherosclerotic cardiovascular disease, but the nature of this association was unclear.\nMETHODS: We used whole-exome sequencing to detect the presence of CHIP in peripheral-blood cells and associated such presence with coronary heart disease using samples from four case-control studies that together enrolled 4726 participants with coronary heart disease and 3529 controls. To assess causality, we perturbed the function of Tet2, the second most commonly mutated gene linked to clonal hematopoiesis, in the hematopoietic cells of atherosclerosis-prone mice.\nRESULTS: In nested case-control analyses from two prospective cohorts, carriers of CHIP had a risk of coronary heart disease that was 1.9 times as great as in noncarriers (95% confidence interval [CI], 1.4 to 2.7). In two retrospective case-control cohorts for the evaluation of early-onset myocardial infarction, participants with CHIP had a risk of myocardial infarction that was 4.0 times as great as in noncarriers (95% CI, 2.4 to 6.7). Mutations in DNMT3A, TET2, ASXL1, and JAK2 were each individually associated with coronary heart disease. CHIP carriers with these mutations also had increased coronary-artery calcification, a marker of coronary atherosclerosis burden. Hypercholesterolemia-prone mice that were engrafted with bone marrow obtained from homozygous or heterozygous Tet2 knockout mice had larger atherosclerotic lesions in the aortic root and aorta than did mice that had received control bone marrow. Analyses of macrophages from Tet2 knockout mice showed elevated expression of several chemokine and cytokine genes that contribute to atherosclerosis.\nCONCLUSIONS: The presence of CHIP in peripheral-blood cells was associated with nearly a doubling in the risk of coronary heart disease in humans and with accelerated atherosclerosis in mice. (Funded by the National Institutes of Health and others.).","container-title":"The New England Journal of Medicine","DOI":"10.1056/NEJMoa1701719","ISSN":"1533-4406","issue":"2","journalAbbreviation":"N. Engl. J. Med.","language":"eng","note":"PMID: 28636844\nPMCID: PMC6717509","page":"111-121","source":"PubMed","title":"Clonal Hematopoiesis and Risk of Atherosclerotic Cardiovascular Disease","volume":"377","author":[{"family":"Jaiswal","given":"Siddhartha"},{"family":"Natarajan","given":"Pradeep"},{"family":"Silver","given":"Alexander J."},{"family":"Gibson","given":"Christopher J."},{"family":"Bick","given":"Alexander G."},{"family":"Shvartz","given":"Eugenia"},{"family":"McConkey","given":"Marie"},{"family":"Gupta","given":"Namrata"},{"family":"Gabriel","given":"Stacey"},{"family":"Ardissino","given":"Diego"},{"family":"Baber","given":"Usman"},{"family":"Mehran","given":"Roxana"},{"family":"Fuster","given":"Valentin"},{"family":"Danesh","given":"John"},{"family":"Frossard","given":"Philippe"},{"family":"Saleheen","given":"Danish"},{"family":"Melander","given":"Olle"},{"family":"Sukhova","given":"Galina K."},{"family":"Neuberg","given":"Donna"},{"family":"Libby","given":"Peter"},{"family":"Kathiresan","given":"Sekar"},{"family":"Ebert","given":"Benjamin L."}],"issued":{"date-parts":[["2017"]],"season":"13"}}}],"schema":"https://github.com/citation-style-language/schema/raw/master/csl-citation.json"} </w:instrText>
      </w:r>
      <w:r w:rsidR="009033ED" w:rsidRPr="006F5ABC">
        <w:rPr>
          <w:rFonts w:ascii="Arial" w:hAnsi="Arial" w:cs="Arial"/>
          <w:sz w:val="22"/>
          <w:szCs w:val="22"/>
          <w:lang w:val="en-US"/>
        </w:rPr>
        <w:fldChar w:fldCharType="separate"/>
      </w:r>
      <w:r w:rsidR="009033ED" w:rsidRPr="006F5ABC">
        <w:rPr>
          <w:rFonts w:ascii="Arial" w:hAnsi="Arial" w:cs="Arial"/>
          <w:noProof/>
          <w:sz w:val="22"/>
          <w:szCs w:val="22"/>
          <w:lang w:val="en-US"/>
        </w:rPr>
        <w:t>(Fuster et al., 2017; Jaiswal et al., 2017)</w:t>
      </w:r>
      <w:r w:rsidR="009033ED" w:rsidRPr="006F5ABC">
        <w:rPr>
          <w:rFonts w:ascii="Arial" w:hAnsi="Arial" w:cs="Arial"/>
          <w:sz w:val="22"/>
          <w:szCs w:val="22"/>
          <w:lang w:val="en-US"/>
        </w:rPr>
        <w:fldChar w:fldCharType="end"/>
      </w:r>
      <w:r w:rsidR="009033ED" w:rsidRPr="006F5ABC">
        <w:rPr>
          <w:rFonts w:ascii="Arial" w:hAnsi="Arial" w:cs="Arial"/>
          <w:sz w:val="22"/>
          <w:szCs w:val="22"/>
          <w:lang w:val="en-US"/>
        </w:rPr>
        <w:t>.</w:t>
      </w:r>
      <w:r w:rsidR="000B2E64" w:rsidRPr="006F5ABC">
        <w:rPr>
          <w:rFonts w:ascii="Arial" w:hAnsi="Arial" w:cs="Arial"/>
          <w:sz w:val="22"/>
          <w:szCs w:val="22"/>
          <w:lang w:val="en-US"/>
        </w:rPr>
        <w:t xml:space="preserve"> </w:t>
      </w:r>
      <w:r w:rsidR="001241C6" w:rsidRPr="006F5ABC">
        <w:rPr>
          <w:rFonts w:ascii="Arial" w:hAnsi="Arial" w:cs="Arial"/>
          <w:sz w:val="22"/>
          <w:szCs w:val="22"/>
          <w:lang w:val="en-US"/>
        </w:rPr>
        <w:t>Also, t</w:t>
      </w:r>
      <w:r w:rsidR="000B2E64" w:rsidRPr="006F5ABC">
        <w:rPr>
          <w:rFonts w:ascii="Arial" w:hAnsi="Arial" w:cs="Arial"/>
          <w:sz w:val="22"/>
          <w:szCs w:val="22"/>
          <w:lang w:val="en-US"/>
        </w:rPr>
        <w:t>he presence of associated increased levels of proinflammatory cytokines and chemokines in peripher</w:t>
      </w:r>
      <w:r w:rsidR="00A63FB0" w:rsidRPr="006F5ABC">
        <w:rPr>
          <w:rFonts w:ascii="Arial" w:hAnsi="Arial" w:cs="Arial"/>
          <w:sz w:val="22"/>
          <w:szCs w:val="22"/>
          <w:lang w:val="en-US"/>
        </w:rPr>
        <w:t>y</w:t>
      </w:r>
      <w:r w:rsidR="000B2E64" w:rsidRPr="006F5ABC">
        <w:rPr>
          <w:rFonts w:ascii="Arial" w:hAnsi="Arial" w:cs="Arial"/>
          <w:sz w:val="22"/>
          <w:szCs w:val="22"/>
          <w:lang w:val="en-US"/>
        </w:rPr>
        <w:t xml:space="preserve"> and BM of MDS patients </w:t>
      </w:r>
      <w:r w:rsidR="00A63FB0" w:rsidRPr="006F5ABC">
        <w:rPr>
          <w:rFonts w:ascii="Arial" w:hAnsi="Arial" w:cs="Arial"/>
          <w:sz w:val="22"/>
          <w:szCs w:val="22"/>
          <w:lang w:val="en-US"/>
        </w:rPr>
        <w:t>has been well documented. Profound dysregulation of IL-1/TNF</w:t>
      </w:r>
      <w:r w:rsidR="00A63FB0" w:rsidRPr="006F5ABC">
        <w:rPr>
          <w:rFonts w:ascii="Arial" w:hAnsi="Arial" w:cs="Arial"/>
          <w:sz w:val="22"/>
          <w:szCs w:val="22"/>
          <w:lang w:val="en-US"/>
        </w:rPr>
        <w:sym w:font="Symbol" w:char="F061"/>
      </w:r>
      <w:r w:rsidR="00A63FB0" w:rsidRPr="006F5ABC">
        <w:rPr>
          <w:rFonts w:ascii="Arial" w:hAnsi="Arial" w:cs="Arial"/>
          <w:sz w:val="22"/>
          <w:szCs w:val="22"/>
          <w:lang w:val="en-US"/>
        </w:rPr>
        <w:t>/NF-</w:t>
      </w:r>
      <w:r w:rsidR="00A63FB0" w:rsidRPr="006F5ABC">
        <w:rPr>
          <w:rFonts w:ascii="Arial" w:hAnsi="Arial" w:cs="Arial"/>
          <w:sz w:val="22"/>
          <w:szCs w:val="22"/>
          <w:lang w:val="en-US"/>
        </w:rPr>
        <w:sym w:font="Symbol" w:char="F06B"/>
      </w:r>
      <w:r w:rsidR="00A63FB0" w:rsidRPr="006F5ABC">
        <w:rPr>
          <w:rFonts w:ascii="Arial" w:hAnsi="Arial" w:cs="Arial"/>
          <w:sz w:val="22"/>
          <w:szCs w:val="22"/>
          <w:lang w:val="en-US"/>
        </w:rPr>
        <w:t>B axis, elevated production of interferons, TGF</w:t>
      </w:r>
      <w:r w:rsidR="00A63FB0" w:rsidRPr="006F5ABC">
        <w:rPr>
          <w:rFonts w:ascii="Arial" w:hAnsi="Arial" w:cs="Arial"/>
          <w:sz w:val="22"/>
          <w:szCs w:val="22"/>
          <w:lang w:val="en-US"/>
        </w:rPr>
        <w:sym w:font="Symbol" w:char="F062"/>
      </w:r>
      <w:r w:rsidR="00A63FB0" w:rsidRPr="006F5ABC">
        <w:rPr>
          <w:rFonts w:ascii="Arial" w:hAnsi="Arial" w:cs="Arial"/>
          <w:sz w:val="22"/>
          <w:szCs w:val="22"/>
          <w:lang w:val="en-US"/>
        </w:rPr>
        <w:t>, IL</w:t>
      </w:r>
      <w:r w:rsidR="00424E25" w:rsidRPr="006F5ABC">
        <w:rPr>
          <w:rFonts w:ascii="Arial" w:hAnsi="Arial" w:cs="Arial"/>
          <w:sz w:val="22"/>
          <w:szCs w:val="22"/>
          <w:lang w:val="en-US"/>
        </w:rPr>
        <w:t>-</w:t>
      </w:r>
      <w:r w:rsidR="00A63FB0" w:rsidRPr="006F5ABC">
        <w:rPr>
          <w:rFonts w:ascii="Arial" w:hAnsi="Arial" w:cs="Arial"/>
          <w:sz w:val="22"/>
          <w:szCs w:val="22"/>
          <w:lang w:val="en-US"/>
        </w:rPr>
        <w:t xml:space="preserve">6 and </w:t>
      </w:r>
      <w:r w:rsidR="0007282F" w:rsidRPr="006F5ABC">
        <w:rPr>
          <w:rFonts w:ascii="Arial" w:hAnsi="Arial" w:cs="Arial"/>
          <w:sz w:val="22"/>
          <w:szCs w:val="22"/>
          <w:lang w:val="en-US"/>
        </w:rPr>
        <w:t>IL</w:t>
      </w:r>
      <w:r w:rsidR="00424E25" w:rsidRPr="006F5ABC">
        <w:rPr>
          <w:rFonts w:ascii="Arial" w:hAnsi="Arial" w:cs="Arial"/>
          <w:sz w:val="22"/>
          <w:szCs w:val="22"/>
          <w:lang w:val="en-US"/>
        </w:rPr>
        <w:t>-</w:t>
      </w:r>
      <w:r w:rsidR="00A63FB0" w:rsidRPr="006F5ABC">
        <w:rPr>
          <w:rFonts w:ascii="Arial" w:hAnsi="Arial" w:cs="Arial"/>
          <w:sz w:val="22"/>
          <w:szCs w:val="22"/>
          <w:lang w:val="en-US"/>
        </w:rPr>
        <w:t>8 among other</w:t>
      </w:r>
      <w:r w:rsidR="00C37EB9" w:rsidRPr="006F5ABC">
        <w:rPr>
          <w:rFonts w:ascii="Arial" w:hAnsi="Arial" w:cs="Arial"/>
          <w:sz w:val="22"/>
          <w:szCs w:val="22"/>
          <w:lang w:val="en-US"/>
        </w:rPr>
        <w:t xml:space="preserve"> proinflammatory cytokines</w:t>
      </w:r>
      <w:r w:rsidR="00A63FB0" w:rsidRPr="006F5ABC">
        <w:rPr>
          <w:rFonts w:ascii="Arial" w:hAnsi="Arial" w:cs="Arial"/>
          <w:sz w:val="22"/>
          <w:szCs w:val="22"/>
          <w:lang w:val="en-US"/>
        </w:rPr>
        <w:t xml:space="preserve"> are all important components of inflammatory </w:t>
      </w:r>
      <w:r w:rsidR="00C37EB9" w:rsidRPr="006F5ABC">
        <w:rPr>
          <w:rFonts w:ascii="Arial" w:hAnsi="Arial" w:cs="Arial"/>
          <w:sz w:val="22"/>
          <w:szCs w:val="22"/>
          <w:lang w:val="en-US"/>
        </w:rPr>
        <w:t>response</w:t>
      </w:r>
      <w:r w:rsidR="00A63FB0" w:rsidRPr="006F5ABC">
        <w:rPr>
          <w:rFonts w:ascii="Arial" w:hAnsi="Arial" w:cs="Arial"/>
          <w:sz w:val="22"/>
          <w:szCs w:val="22"/>
          <w:lang w:val="en-US"/>
        </w:rPr>
        <w:t xml:space="preserve"> of MDS</w:t>
      </w:r>
      <w:r w:rsidR="00C37EB9" w:rsidRPr="006F5ABC">
        <w:rPr>
          <w:rFonts w:ascii="Arial" w:hAnsi="Arial" w:cs="Arial"/>
          <w:sz w:val="22"/>
          <w:szCs w:val="22"/>
          <w:lang w:val="en-US"/>
        </w:rPr>
        <w:t xml:space="preserve"> with prognostic value through affecting clinical outcomes of patients.</w:t>
      </w:r>
      <w:r w:rsidR="00A63FB0" w:rsidRPr="006F5ABC">
        <w:rPr>
          <w:rFonts w:ascii="Arial" w:hAnsi="Arial" w:cs="Arial"/>
          <w:sz w:val="22"/>
          <w:szCs w:val="22"/>
          <w:lang w:val="en-US"/>
        </w:rPr>
        <w:t xml:space="preserve"> </w:t>
      </w:r>
      <w:r w:rsidR="00A63FB0" w:rsidRPr="006F5ABC">
        <w:rPr>
          <w:rFonts w:ascii="Arial" w:hAnsi="Arial" w:cs="Arial"/>
          <w:sz w:val="22"/>
          <w:szCs w:val="22"/>
          <w:lang w:val="en-US"/>
        </w:rPr>
        <w:fldChar w:fldCharType="begin"/>
      </w:r>
      <w:r w:rsidR="00A63FB0" w:rsidRPr="006F5ABC">
        <w:rPr>
          <w:rFonts w:ascii="Arial" w:hAnsi="Arial" w:cs="Arial"/>
          <w:sz w:val="22"/>
          <w:szCs w:val="22"/>
          <w:lang w:val="en-US"/>
        </w:rPr>
        <w:instrText xml:space="preserve"> ADDIN ZOTERO_ITEM CSL_CITATION {"citationID":"HsumTKvK","properties":{"formattedCitation":"(Ga\\uc0\\u241{}\\uc0\\u225{}n-G\\uc0\\u243{}mez et al., 2015; Sallman and List, 2019)","plainCitation":"(Gañán-Gómez et al., 2015; Sallman and List, 2019)","noteIndex":0},"citationItems":[{"id":198,"uris":["http://zotero.org/users/2484452/items/KNLKG4BA"],"uri":["http://zotero.org/users/2484452/items/KNLKG4BA"],"itemData":{"id":198,"type":"article-journal","abstract":"Myelodysplastic syndromes (MDSs) are a group of heterogeneous clonal hematologic malignancies that are characterized by defective bone marrow (BM) hematopoiesis and by the occurrence of intramedullary apoptosis. During the past decade, the identification of key genetic and epigenetic alterations in patients has improved our understanding of the pathophysiology of this disease. However, the specific molecular mechanisms leading to the pathogenesis of MDS have largely remained obscure. Recently, essential evidence supporting the direct role of innate immune abnormalities in MDS has been obtained, including the identification of multiple key regulators that are overexpressed or constitutively activated in BM hematopoietic stem and progenitor cells. Mounting experimental results indicate that the dysregulation of these molecules leads to abnormal hematopoiesis, unbalanced cell death and proliferation in patients' BM, and has an important role in the pathogenesis of MDS. Furthermore, there is compelling evidence that the deregulation of innate immune and inflammatory signaling also affects other cells from the immune system and the BM microenvironment, which establish aberrant associations with hematopoietic precursors and contribute to the MDS phenotype. Therefore, the deregulation of innate immune and inflammatory signaling should be considered as one of the driving forces in the pathogenesis of MDS. In this article, we review and update the advances in this field, summarizing the results from the most recent studies and discussing their clinical implications.","container-title":"Leukemia","DOI":"10.1038/leu.2015.69","ISSN":"0887-6924","issue":"7","journalAbbreviation":"Leukemia","note":"PMID: 25761935\nPMCID: PMC4857136","page":"1458-1469","source":"PubMed Central","title":"Deregulation of innate immune and inflammatory signaling in myelodysplastic syndromes","volume":"29","author":[{"family":"Gañán-Gómez","given":"I"},{"family":"Wei","given":"Y"},{"family":"Starczynowski","given":"DT"},{"family":"Colla","given":"S"},{"family":"Yang","given":"H"},{"family":"Cabrero-Calvo","given":"M"},{"family":"Bohannan","given":"ZS"},{"family":"Verma","given":"A"},{"family":"Steidl","given":"U"},{"family":"Garcia-Manero","given":"G"}],"issued":{"date-parts":[["2015",7]]}}},{"id":1006,"uris":["http://zotero.org/users/2484452/items/TQSLUBHA"],"uri":["http://zotero.org/users/2484452/items/TQSLUBHA"],"itemData":{"id":1006,"type":"article-journal","abstract":"In cancer biology, tumor-promoting inflammation and an inflammatory microenvironment play a vital role in disease pathogenesis. In the past decade, aberrant innate immune activation and proinflammatory signaling within the malignant clone and the bone marrow (BM) microenvironment were identified as key pathogenic drivers of myelodysplastic syndromes (MDS). In particular, S100A9-mediated NOD-like receptor protein 3 (NLRP3) inflammasome activation directs an inflammatory, lytic form of cell death termed pyroptosis that underlies many of the hallmark features of the disease. This circuit and accompanying release of other danger-associated molecular patterns expands BM myeloid-derived suppressor cells, creating a feed-forward process propagating inflammasome activation. Furthermore, somatic gene mutations of varied functional classes license the NLRP3 inflammasome to generate a common phenotype with excess reactive oxygen species generation, Wnt/β-catenin-induced proliferation, cation flux-induced cell swelling, and caspase-1 activation. Recent investigations have shown that activation of the NLRP3 inflammasome complex has more broad-reaching importance, particularly as a possible disease-specific biomarker for MDS, and, mechanistically, as a driver of cardiovascular morbidity/mortality in individuals with age-related, clonal hematopoiesis. Recognition of the mechanistic role of aberrant innate immune activation in MDS provides a new perspective for therapeutic development that could usher in a novel class of disease-modifying agents.","container-title":"Blood","DOI":"10.1182/blood-2018-10-844654","ISSN":"1528-0020","issue":"10","journalAbbreviation":"Blood","language":"eng","note":"PMID: 30670444","page":"1039-1048","source":"PubMed","title":"The central role of inflammatory signaling in the pathogenesis of myelodysplastic syndromes","volume":"133","author":[{"family":"Sallman","given":"David A."},{"family":"List","given":"Alan"}],"issued":{"date-parts":[["2019"]],"season":"07"}}}],"schema":"https://github.com/citation-style-language/schema/raw/master/csl-citation.json"} </w:instrText>
      </w:r>
      <w:r w:rsidR="00A63FB0" w:rsidRPr="006F5ABC">
        <w:rPr>
          <w:rFonts w:ascii="Arial" w:hAnsi="Arial" w:cs="Arial"/>
          <w:sz w:val="22"/>
          <w:szCs w:val="22"/>
          <w:lang w:val="en-US"/>
        </w:rPr>
        <w:fldChar w:fldCharType="separate"/>
      </w:r>
      <w:r w:rsidR="00A63FB0" w:rsidRPr="006F5ABC">
        <w:rPr>
          <w:rFonts w:ascii="Arial" w:hAnsi="Arial" w:cs="Arial"/>
          <w:sz w:val="22"/>
          <w:szCs w:val="22"/>
          <w:lang w:val="en-US"/>
        </w:rPr>
        <w:t>(Gañán-Gómez et al., 2015; Sallman and List, 2019)</w:t>
      </w:r>
      <w:r w:rsidR="00A63FB0" w:rsidRPr="006F5ABC">
        <w:rPr>
          <w:rFonts w:ascii="Arial" w:hAnsi="Arial" w:cs="Arial"/>
          <w:sz w:val="22"/>
          <w:szCs w:val="22"/>
          <w:lang w:val="en-US"/>
        </w:rPr>
        <w:fldChar w:fldCharType="end"/>
      </w:r>
      <w:r w:rsidR="00A63FB0" w:rsidRPr="006F5ABC">
        <w:rPr>
          <w:rFonts w:ascii="Arial" w:hAnsi="Arial" w:cs="Arial"/>
          <w:sz w:val="22"/>
          <w:szCs w:val="22"/>
          <w:lang w:val="en-US"/>
        </w:rPr>
        <w:t>.</w:t>
      </w:r>
      <w:r w:rsidR="000518A4" w:rsidRPr="006F5ABC">
        <w:rPr>
          <w:rFonts w:ascii="Arial" w:hAnsi="Arial" w:cs="Arial"/>
          <w:sz w:val="22"/>
          <w:szCs w:val="22"/>
          <w:lang w:val="en-US"/>
        </w:rPr>
        <w:t xml:space="preserve"> Such perturbation of inflammatory signaling was shown to induce mitochondrial dysfunction </w:t>
      </w:r>
      <w:r w:rsidR="00810FE3" w:rsidRPr="006F5ABC">
        <w:rPr>
          <w:rFonts w:ascii="Arial" w:hAnsi="Arial" w:cs="Arial"/>
          <w:sz w:val="22"/>
          <w:szCs w:val="22"/>
          <w:lang w:val="en-US"/>
        </w:rPr>
        <w:fldChar w:fldCharType="begin"/>
      </w:r>
      <w:r w:rsidR="00810FE3" w:rsidRPr="006F5ABC">
        <w:rPr>
          <w:rFonts w:ascii="Arial" w:hAnsi="Arial" w:cs="Arial"/>
          <w:sz w:val="22"/>
          <w:szCs w:val="22"/>
          <w:lang w:val="en-US"/>
        </w:rPr>
        <w:instrText xml:space="preserve"> ADDIN ZOTERO_ITEM CSL_CITATION {"citationID":"EadQwlwi","properties":{"formattedCitation":"(Dela Cruz and Kang, 2018)","plainCitation":"(Dela Cruz and Kang, 2018)","noteIndex":0},"citationItems":[{"id":1022,"uris":["http://zotero.org/users/2484452/items/CCKBNWNW"],"uri":["http://zotero.org/users/2484452/items/CCKBNWNW"],"itemData":{"id":1022,"type":"article-journal","abstract":"Inflammation represents a comprehensive host response to external stimuli for the purpose of eliminating the offending agent, minimizing injury to host tissues and fostering repair of damaged tissues back to homeostatic levels. In normal physiologic context, inflammatory response culminates with the resolution of infection and tissue damage response. However, in a pathologic context, persistent or inappropriately regulated inflammation occurs that can lead to chronic inflammatory diseases. Recent scientific advances have integrated the role of innate immune response to be an important arm of the inflammatory process. Accordingly, the dysregulation of innate immunity has been increasingly recognized as a driving force of chronic inflammatory diseases. Mitochondria have recently emerged as organelles which govern fundamental cellular functions including cell proliferation or differentiation, cell death, metabolism and cellular signaling that are important in innate immunity and inflammation-mediated diseases. As a natural consequence, mitochondrial dysfunction has been highlighted in a myriad of chronic inflammatory diseases. Moreover, the similarities between mitochondrial and bacterial constituents highlight the intrinsic links in the innate immune mechanisms that control chronic inflammation in diseases where mitochondrial damage associated molecular patterns (DAMPs) have been involved. Here in this review, the role of mitochondria in innate immune responses is discussed and how it pertains to the mitochondrial dysfunction or DAMPs seen in chronic inflammatory diseases is reviewed.","container-title":"Mitochondrion","DOI":"10.1016/j.mito.2017.12.001","ISSN":"1567-7249","journalAbbreviation":"Mitochondrion","note":"PMID: 29221810\nPMCID: PMC5988941","page":"37-44","source":"PubMed Central","title":"Mitochondrial Dysfunction and Damage Associated Molecular Patterns (DAMPs) in Chronic Inflammatory Diseases","volume":"41","author":[{"family":"Dela Cruz","given":"Charles S."},{"family":"Kang","given":"Min-Jong"}],"issued":{"date-parts":[["2018",7]]}}}],"schema":"https://github.com/citation-style-language/schema/raw/master/csl-citation.json"} </w:instrText>
      </w:r>
      <w:r w:rsidR="00810FE3" w:rsidRPr="006F5ABC">
        <w:rPr>
          <w:rFonts w:ascii="Arial" w:hAnsi="Arial" w:cs="Arial"/>
          <w:sz w:val="22"/>
          <w:szCs w:val="22"/>
          <w:lang w:val="en-US"/>
        </w:rPr>
        <w:fldChar w:fldCharType="separate"/>
      </w:r>
      <w:r w:rsidR="00810FE3" w:rsidRPr="006F5ABC">
        <w:rPr>
          <w:rFonts w:ascii="Arial" w:hAnsi="Arial" w:cs="Arial"/>
          <w:noProof/>
          <w:sz w:val="22"/>
          <w:szCs w:val="22"/>
          <w:lang w:val="en-US"/>
        </w:rPr>
        <w:t>(Dela Cruz and Kang, 2018)</w:t>
      </w:r>
      <w:r w:rsidR="00810FE3" w:rsidRPr="006F5ABC">
        <w:rPr>
          <w:rFonts w:ascii="Arial" w:hAnsi="Arial" w:cs="Arial"/>
          <w:sz w:val="22"/>
          <w:szCs w:val="22"/>
          <w:lang w:val="en-US"/>
        </w:rPr>
        <w:fldChar w:fldCharType="end"/>
      </w:r>
      <w:r w:rsidR="00810FE3" w:rsidRPr="006F5ABC">
        <w:rPr>
          <w:rFonts w:ascii="Arial" w:hAnsi="Arial" w:cs="Arial"/>
          <w:sz w:val="22"/>
          <w:szCs w:val="22"/>
          <w:lang w:val="en-US"/>
        </w:rPr>
        <w:t xml:space="preserve"> </w:t>
      </w:r>
      <w:r w:rsidR="000518A4" w:rsidRPr="006F5ABC">
        <w:rPr>
          <w:rFonts w:ascii="Arial" w:hAnsi="Arial" w:cs="Arial"/>
          <w:sz w:val="22"/>
          <w:szCs w:val="22"/>
          <w:lang w:val="en-US"/>
        </w:rPr>
        <w:t>and accumulation of ROS</w:t>
      </w:r>
      <w:r w:rsidR="00407841" w:rsidRPr="006F5ABC">
        <w:rPr>
          <w:rFonts w:ascii="Arial" w:hAnsi="Arial" w:cs="Arial"/>
          <w:sz w:val="22"/>
          <w:szCs w:val="22"/>
          <w:lang w:val="en-US"/>
        </w:rPr>
        <w:t xml:space="preserve">, with potentially mutagenic effects through </w:t>
      </w:r>
      <w:r w:rsidR="0007282F" w:rsidRPr="006F5ABC">
        <w:rPr>
          <w:rFonts w:ascii="Arial" w:hAnsi="Arial" w:cs="Arial"/>
          <w:sz w:val="22"/>
          <w:szCs w:val="22"/>
          <w:lang w:val="en-US"/>
        </w:rPr>
        <w:t>increase</w:t>
      </w:r>
      <w:r w:rsidR="00407841" w:rsidRPr="006F5ABC">
        <w:rPr>
          <w:rFonts w:ascii="Arial" w:hAnsi="Arial" w:cs="Arial"/>
          <w:sz w:val="22"/>
          <w:szCs w:val="22"/>
          <w:lang w:val="en-US"/>
        </w:rPr>
        <w:t xml:space="preserve"> </w:t>
      </w:r>
      <w:r w:rsidR="0007282F" w:rsidRPr="006F5ABC">
        <w:rPr>
          <w:rFonts w:ascii="Arial" w:hAnsi="Arial" w:cs="Arial"/>
          <w:sz w:val="22"/>
          <w:szCs w:val="22"/>
          <w:lang w:val="en-US"/>
        </w:rPr>
        <w:t>in</w:t>
      </w:r>
      <w:r w:rsidR="00407841" w:rsidRPr="006F5ABC">
        <w:rPr>
          <w:rFonts w:ascii="Arial" w:hAnsi="Arial" w:cs="Arial"/>
          <w:sz w:val="22"/>
          <w:szCs w:val="22"/>
          <w:lang w:val="en-US"/>
        </w:rPr>
        <w:t xml:space="preserve"> oxidative DNA damage</w:t>
      </w:r>
      <w:r w:rsidR="00F31110" w:rsidRPr="006F5ABC">
        <w:rPr>
          <w:rFonts w:ascii="Arial" w:hAnsi="Arial" w:cs="Arial"/>
          <w:sz w:val="22"/>
          <w:szCs w:val="22"/>
          <w:lang w:val="en-US"/>
        </w:rPr>
        <w:t>, mainly oxidative byproduct 8-oxoguanine</w:t>
      </w:r>
      <w:r w:rsidR="00810FE3" w:rsidRPr="006F5ABC">
        <w:rPr>
          <w:rFonts w:ascii="Arial" w:hAnsi="Arial" w:cs="Arial"/>
          <w:sz w:val="22"/>
          <w:szCs w:val="22"/>
          <w:lang w:val="en-US"/>
        </w:rPr>
        <w:t xml:space="preserve"> </w:t>
      </w:r>
      <w:r w:rsidR="00810FE3" w:rsidRPr="006F5ABC">
        <w:rPr>
          <w:rFonts w:ascii="Arial" w:hAnsi="Arial" w:cs="Arial"/>
          <w:sz w:val="22"/>
          <w:szCs w:val="22"/>
          <w:lang w:val="en-US"/>
        </w:rPr>
        <w:fldChar w:fldCharType="begin"/>
      </w:r>
      <w:r w:rsidR="00810FE3" w:rsidRPr="006F5ABC">
        <w:rPr>
          <w:rFonts w:ascii="Arial" w:hAnsi="Arial" w:cs="Arial"/>
          <w:sz w:val="22"/>
          <w:szCs w:val="22"/>
          <w:lang w:val="en-US"/>
        </w:rPr>
        <w:instrText xml:space="preserve"> ADDIN ZOTERO_ITEM CSL_CITATION {"citationID":"SKtZERZ1","properties":{"formattedCitation":"(Kay et al., 2019)","plainCitation":"(Kay et al., 2019)","noteIndex":0},"citationItems":[{"id":1025,"uris":["http://zotero.org/users/2484452/items/PH64GQNB"],"uri":["http://zotero.org/users/2484452/items/PH64GQNB"],"itemData":{"id":1025,"type":"article-journal","abstract":"The relationships between inflammation and cancer are varied and complex. An important connection linking inflammation to cancer development is DNA damage. During inflammation reactive oxygen and nitrogen species (RONS) are created to combat pathogens and to stimulate tissue repair and regeneration, but these chemicals can also damage DNA, which in turn can promote mutations that initiate and promote cancer. DNA repair pathways are essential for preventing DNA damage from causing mutations and cytotoxicity, but RONS can interfere with repair mechanisms, reducing their efficacy. Further, cellular responses to DNA damage, such as damage signaling and cytotoxicity, can promote inflammation, creating a positive feedback loop. Despite coordination of DNA repair and oxidative stress responses, there are nevertheless examples whereby inflammation has been shown to promote mutagenesis, tissue damage, and ultimately carcinogenesis. Here, we discuss the DNA damage-mediated associations between inflammation, mutagenesis and cancer.","container-title":"DNA Repair","DOI":"10.1016/j.dnarep.2019.102673","ISSN":"1568-7864","journalAbbreviation":"DNA Repair","language":"en","page":"102673","source":"ScienceDirect","title":"Inflammation-induced DNA damage, mutations and cancer","volume":"83","author":[{"family":"Kay","given":"Jennifer"},{"family":"Thadhani","given":"Elina"},{"family":"Samson","given":"Leona"},{"family":"Engelward","given":"Bevin"}],"issued":{"date-parts":[["2019",11,1]]}}}],"schema":"https://github.com/citation-style-language/schema/raw/master/csl-citation.json"} </w:instrText>
      </w:r>
      <w:r w:rsidR="00810FE3" w:rsidRPr="006F5ABC">
        <w:rPr>
          <w:rFonts w:ascii="Arial" w:hAnsi="Arial" w:cs="Arial"/>
          <w:sz w:val="22"/>
          <w:szCs w:val="22"/>
          <w:lang w:val="en-US"/>
        </w:rPr>
        <w:fldChar w:fldCharType="separate"/>
      </w:r>
      <w:r w:rsidR="00810FE3" w:rsidRPr="006F5ABC">
        <w:rPr>
          <w:rFonts w:ascii="Arial" w:hAnsi="Arial" w:cs="Arial"/>
          <w:noProof/>
          <w:sz w:val="22"/>
          <w:szCs w:val="22"/>
          <w:lang w:val="en-US"/>
        </w:rPr>
        <w:t>(Kay et al., 2019)</w:t>
      </w:r>
      <w:r w:rsidR="00810FE3" w:rsidRPr="006F5ABC">
        <w:rPr>
          <w:rFonts w:ascii="Arial" w:hAnsi="Arial" w:cs="Arial"/>
          <w:sz w:val="22"/>
          <w:szCs w:val="22"/>
          <w:lang w:val="en-US"/>
        </w:rPr>
        <w:fldChar w:fldCharType="end"/>
      </w:r>
      <w:r w:rsidR="00407841" w:rsidRPr="006F5ABC">
        <w:rPr>
          <w:rFonts w:ascii="Arial" w:hAnsi="Arial" w:cs="Arial"/>
          <w:sz w:val="22"/>
          <w:szCs w:val="22"/>
          <w:lang w:val="en-US"/>
        </w:rPr>
        <w:t xml:space="preserve">, phenomena observed also in MDS </w:t>
      </w:r>
      <w:r w:rsidR="00407841" w:rsidRPr="006F5ABC">
        <w:rPr>
          <w:rFonts w:ascii="Arial" w:hAnsi="Arial" w:cs="Arial"/>
          <w:sz w:val="22"/>
          <w:szCs w:val="22"/>
          <w:lang w:val="en-US"/>
        </w:rPr>
        <w:fldChar w:fldCharType="begin"/>
      </w:r>
      <w:r w:rsidR="00114981" w:rsidRPr="006F5ABC">
        <w:rPr>
          <w:rFonts w:ascii="Arial" w:hAnsi="Arial" w:cs="Arial"/>
          <w:sz w:val="22"/>
          <w:szCs w:val="22"/>
          <w:lang w:val="en-US"/>
        </w:rPr>
        <w:instrText xml:space="preserve"> ADDIN ZOTERO_ITEM CSL_CITATION {"citationID":"907sy6kg","properties":{"formattedCitation":"(Gon\\uc0\\u231{}alves et al., 2015; Jankowska et al., 2008; Novotna et al., 2009; Peddie et al., 1997; Saigo et al., 2011)","plainCitation":"(Gonçalves et al., 2015; Jankowska et al., 2008; Novotna et al., 2009; Peddie et al., 1997; Saigo et al., 2011)","noteIndex":0},"citationItems":[{"id":1019,"uris":["http://zotero.org/users/2484452/items/ZRPIPUZN"],"uri":["http://zotero.org/users/2484452/items/ZRPIPUZN"],"itemData":{"id":1019,"type":"article-journal","abstract":"The imbalance between reactive oxygen species (ROS) production and their elimination by antioxidants leads to oxidative stress. Depending on their concentration, ROS can trigger apoptosis or stimulate cell proliferation. We hypothesized that oxidative stress and mitochondrial dysfunction may participate not only in apoptosis detected in some myelodysplastic syndrome (MDS) patients, but also in increasing proliferation in other patients. We investigated the involvement of oxidative stress and mitochondrial dysfunction in MDS pathogenesis, as well as assessed their diagnostic and prognostic values. Intracellular peroxides, superoxide, superoxide/peroxides ratio, reduced glutathione (GSH), and mitochondrial membrane potential (Δψmit) levels were analyzed in bone marrow cells from 27 MDS patients and 12 controls, by flow cytometry. We observed that all bone marrow cell types from MDS patients had increased intracellular peroxide levels and decreased GSH content, compared with control cells. Moreover, oxidative stress levels were MDS subtype— and risk group—dependent. Low-risk patients had the highest ROS levels, which can be related with their high apoptosis; and intermediate-2-risk patients had high Δψmit that may be associated with their proliferative potential. GSH levels were negatively correlated with transfusion dependency, and peroxide levels were positively correlated with serum ferritin level. GSH content proved to be an accurate parameter to discriminate patients from controls. Finally, patients with high ROS or low GSH levels, as well as high superoxide/peroxides ratio had lower overall survival. Our results suggest that oxidative stress and mitochondrial dysfunction are involved in MDS development, and that oxidative stress parameters may constitute novel diagnosis and/or prognosis biomarkers for MDS.","container-title":"Free Radical Research","DOI":"10.3109/10715762.2015.1035268","ISSN":"1071-5762","issue":"9","page":"1081-1094","source":"Taylor and Francis+NEJM","title":"Oxidative stress and mitochondrial dysfunction play a role in myelodysplastic syndrome development, diagnosis, and prognosis: A pilot study","title-short":"Oxidative stress and mitochondrial dysfunction play a role in myelodysplastic syndrome development, diagnosis, and prognosis","volume":"49","author":[{"family":"Gonçalves","given":"A. C."},{"family":"Cortesão","given":"E."},{"family":"Oliveiros","given":"B."},{"family":"Alves","given":"V."},{"family":"Espadana","given":"A. I."},{"family":"Rito","given":"L."},{"family":"Magalhães","given":"E."},{"family":"Lobão","given":"M. J."},{"family":"Pereira","given":"A."},{"family":"Costa","given":"J. M. Nascimento"},{"family":"Mota-Vieira","given":"L."},{"family":"Sarmento-Ribeiro","given":"A. B."}],"issued":{"date-parts":[["2015",9,2]]}}},{"id":195,"uris":["http://zotero.org/users/2484452/items/BU8FQP77"],"uri":["http://zotero.org/users/2484452/items/BU8FQP77"],"itemData":{"id":195,"type":"article-journal","abstract":"In myelodysplastic syndromes (MDS) increased chromosomal breaks point toward defects in DNA repair machinery including base excision repair (BER) pathway involved in handling of oxidative DNA damage. We investigated whether defects in this pathway can be found in MDS. Elevated levels of 8-oxoguanine (8-OG) were found in a significant proportion of MDS patients, indicating increased oxidative DNA damage or defective handling of oxidative load. In a distinct subgroup of patients, increased 8-OG content was associated with increased hOGG1 mRNA expression and activity. In some patients, increased numbers of abasic sites (AP sites) correlated with low levels of POLbeta. To further investigate the nature of this defect, we examined genetic lesions potentially explaining accumulation of 8-OG and AP sites. We genotyped a large cohort of MDS patients and found a correlation between increased oxidative damage and the presence of the hOGG1-Cys326 allele suggesting inadequate compensatory feedback. Overall, this hOGG1 variant was more frequent in MDS, particularly in advanced forms, as compared to controls. In summary, we demonstrated that BER dysfunction in some MDS patients may be responsible for the increased 8-OG incorporation and explains one aspect of the propensity to chromosomal breaks in MDS but other mechanisms may also be involved.","container-title":"Leukemia","DOI":"10.1038/sj.leu.2405055","ISSN":"1476-5551","issue":"3","journalAbbreviation":"Leukemia","language":"eng","note":"PMID: 18059482","page":"551-558","source":"PubMed","title":"Base excision repair dysfunction in a subgroup of patients with myelodysplastic syndrome","volume":"22","author":[{"family":"Jankowska","given":"A. M."},{"family":"Gondek","given":"L. P."},{"family":"Szpurka","given":"H."},{"family":"Nearman","given":"Z. P."},{"family":"Tiu","given":"R. V."},{"family":"Maciejewski","given":"J. P."}],"issued":{"date-parts":[["2008",3]]}}},{"id":196,"uris":["http://zotero.org/users/2484452/items/XHQA6MEF"],"uri":["http://zotero.org/users/2484452/items/XHQA6MEF"],"itemData":{"id":196,"type":"article-journal","abstract":"Bone marrow aspirates of 19 patients with low-risk myelodysplastic syndromes (MDS) and 14 control subjects were collected in order to assess the level of oxidative DNA damage. Glycophorin A positive and negative cells separated by miniMACS magnetic cell sorting were subjected to single cell gel electrophoresis (comet assay) combined with enzymes of base excision repair (endonuclease III and formamido-pyrimidine-glycosylase) that specifically recognize oxidized nucleotides. Compared to controls, MDS patients exhibited a significant increase of oxidative damage to DNA which could contribute to genomic instability and disease progression.","container-title":"Leukemia Research","DOI":"10.1016/j.leukres.2008.07.005","ISSN":"1873-5835","issue":"2","journalAbbreviation":"Leuk. Res.","language":"eng","note":"PMID: 18687469","page":"340-343","source":"PubMed","title":"Oxidative DNA damage in bone marrow cells of patients with low-risk myelodysplastic syndrome","volume":"33","author":[{"family":"Novotna","given":"Bozena"},{"family":"Bagryantseva","given":"Yana"},{"family":"Siskova","given":"Magda"},{"family":"Neuwirtova","given":"Radana"}],"issued":{"date-parts":[["2009",2]]}}},{"id":194,"uris":["http://zotero.org/users/2484452/items/QLJAED9P"],"uri":["http://zotero.org/users/2484452/items/QLJAED9P"],"itemData":{"id":194,"type":"article-journal","abstract":"Ineffective haemopoiesis in the myelodysplastic syndromes (MDS) is mediated, at least in part, by apoptosis, though the mechanisms of apoptotic induction are unclear. Tumour necrosis factor-alpha (TNF-alpha) promotes apoptosis via intracellular oxygen free radical production, oxidation of DNA and proteins, and is increasingly implicated in the pathogenesis of MDS. Using single-cell gel electrophoresis, we have identified oxidized pyrimidine nucleotides in the progenitor-enriched bone marrow CD34+ compartment from MDS patients (P=0.039), which are absent in both CD34- MDS cells (P=0.53) and also CD34+ cells from normal subjects (P=0.55). MDS CD34+ blood cells also showed oxidized pyrimidine nucleotides compared with CD34- cells (P=0.029). Within normal subjects no differences were seen between CD34+ and CD34- bone marrow cell compartments. CD34+ bone marrow cell oxidized pyrimidines were strongly associated with elevated plasma TNF-alpha and low bone marrow mononuclear cell glutathione concentrations (5/6 patients) and the inverse relationship was also found (3/4 patients). This data implies a role for intracellular oxygen free radical production, perhaps mediated by TNF-alpha, in the pathogenesis of ineffective haemopoiesis in MDS and provides a rationale for the bone marrow stimulatory effects of antioxidants such as Amifostine in MDS.","container-title":"British Journal of Haematology","ISSN":"0007-1048","issue":"3","journalAbbreviation":"Br. J. Haematol.","language":"eng","note":"PMID: 9401076","page":"625-631","source":"PubMed","title":"Oxidative DNA damage in CD34+ myelodysplastic cells is associated with intracellular redox changes and elevated plasma tumour necrosis factor-alpha concentration","volume":"99","author":[{"family":"Peddie","given":"C. M."},{"family":"Wolf","given":"C. R."},{"family":"McLellan","given":"L. I."},{"family":"Collins","given":"A. R."},{"family":"Bowen","given":"D. T."}],"issued":{"date-parts":[["1997",12]]}}},{"id":1028,"uris":["http://zotero.org/users/2484452/items/PNLELFEU"],"uri":["http://zotero.org/users/2484452/items/PNLELFEU"],"itemData":{"id":1028,"type":"article-journal","abstract":"Reactive oxygen species (ROS) and serum ferritin levels are both considered to be important biological factors in the pathogenesis of myelodysplastic syndrome (MDS). This study evaluated the levels of ROS in 40 patients with MDS (19 males and 21 females) using the Free Radical Analytical  System, FRAS4, and derivatives of reactive oxygen metabolite kits. The patients' mean age was 67.3 years (range 58 - 86 years). The sera of 34 (85%) patients exhibited higher levels of oxidative stress than the reference range. There was a positive correlation between ROS levels and  serum ferritin levels, and a negative correlation between ROS levels and haemoglobin levels. There was a negative relationship between serum haemoglobin and ferritin levels. The results indicated that iron accumulation or severe anaemia could contribute to oxidative stress in MDS patients.  Iron chelation and antioxidant therapy may be suitable for the management of MDS.","container-title":"The Journal of International Medical Research","DOI":"10.1177/147323001103900539","ISSN":"1473-2300","issue":"5","journalAbbreviation":"J. Int. Med. Res.","language":"eng","note":"PMID: 22117997","page":"1941-1945","source":"PubMed","title":"Oxidative stress levels in myelodysplastic syndrome patients: their relationship to serum ferritin and haemoglobin values","title-short":"Oxidative stress levels in myelodysplastic syndrome patients","volume":"39","author":[{"family":"Saigo","given":"K."},{"family":"Takenokuchi","given":"M."},{"family":"Hiramatsu","given":"Y."},{"family":"Tada","given":"H."},{"family":"Hishita","given":"T."},{"family":"Takata","given":"M."},{"family":"Misawa","given":"M."},{"family":"Imoto","given":"S."},{"family":"Imashuku","given":"S."}],"issued":{"date-parts":[["2011"]]}}}],"schema":"https://github.com/citation-style-language/schema/raw/master/csl-citation.json"} </w:instrText>
      </w:r>
      <w:r w:rsidR="00407841" w:rsidRPr="006F5ABC">
        <w:rPr>
          <w:rFonts w:ascii="Arial" w:hAnsi="Arial" w:cs="Arial"/>
          <w:sz w:val="22"/>
          <w:szCs w:val="22"/>
          <w:lang w:val="en-US"/>
        </w:rPr>
        <w:fldChar w:fldCharType="separate"/>
      </w:r>
      <w:r w:rsidR="00114981" w:rsidRPr="006F5ABC">
        <w:rPr>
          <w:rFonts w:ascii="Arial" w:hAnsi="Arial" w:cs="Arial"/>
          <w:sz w:val="22"/>
          <w:szCs w:val="22"/>
          <w:lang w:val="en-US"/>
        </w:rPr>
        <w:t>(Gonçalves et al., 2015; Jankowska et al., 2008; Novotna et al., 2009; Peddie et al., 1997; Saigo et al., 2011)</w:t>
      </w:r>
      <w:r w:rsidR="00407841" w:rsidRPr="006F5ABC">
        <w:rPr>
          <w:rFonts w:ascii="Arial" w:hAnsi="Arial" w:cs="Arial"/>
          <w:sz w:val="22"/>
          <w:szCs w:val="22"/>
          <w:lang w:val="en-US"/>
        </w:rPr>
        <w:fldChar w:fldCharType="end"/>
      </w:r>
      <w:r w:rsidR="00407841" w:rsidRPr="006F5ABC">
        <w:rPr>
          <w:rFonts w:ascii="Arial" w:hAnsi="Arial" w:cs="Arial"/>
          <w:sz w:val="22"/>
          <w:szCs w:val="22"/>
          <w:lang w:val="en-US"/>
        </w:rPr>
        <w:t xml:space="preserve">. </w:t>
      </w:r>
      <w:r w:rsidR="0007282F" w:rsidRPr="006F5ABC">
        <w:rPr>
          <w:rFonts w:ascii="Arial" w:hAnsi="Arial" w:cs="Arial"/>
          <w:sz w:val="22"/>
          <w:szCs w:val="22"/>
          <w:lang w:val="en-US"/>
        </w:rPr>
        <w:t>Consequentially</w:t>
      </w:r>
      <w:r w:rsidR="00407841" w:rsidRPr="006F5ABC">
        <w:rPr>
          <w:rFonts w:ascii="Arial" w:hAnsi="Arial" w:cs="Arial"/>
          <w:sz w:val="22"/>
          <w:szCs w:val="22"/>
          <w:lang w:val="en-US"/>
        </w:rPr>
        <w:t>, DNA damage response exacerbate inflammation and senescence associated secretory profiles, creating viscous self-regulatory loop, driving genotoxic effects in preleukemia</w:t>
      </w:r>
      <w:r w:rsidR="00F1457E" w:rsidRPr="006F5ABC">
        <w:rPr>
          <w:rFonts w:ascii="Arial" w:hAnsi="Arial" w:cs="Arial"/>
          <w:sz w:val="22"/>
          <w:szCs w:val="22"/>
          <w:lang w:val="en-US"/>
        </w:rPr>
        <w:t xml:space="preserve"> </w:t>
      </w:r>
      <w:r w:rsidR="00F1457E" w:rsidRPr="006F5ABC">
        <w:rPr>
          <w:rFonts w:ascii="Arial" w:hAnsi="Arial" w:cs="Arial"/>
          <w:sz w:val="22"/>
          <w:szCs w:val="22"/>
          <w:lang w:val="en-US"/>
        </w:rPr>
        <w:fldChar w:fldCharType="begin"/>
      </w:r>
      <w:r w:rsidR="00F1457E" w:rsidRPr="006F5ABC">
        <w:rPr>
          <w:rFonts w:ascii="Arial" w:hAnsi="Arial" w:cs="Arial"/>
          <w:sz w:val="22"/>
          <w:szCs w:val="22"/>
          <w:lang w:val="en-US"/>
        </w:rPr>
        <w:instrText xml:space="preserve"> ADDIN ZOTERO_ITEM CSL_CITATION {"citationID":"u7aEnpzu","properties":{"formattedCitation":"(Kay et al., 2019)","plainCitation":"(Kay et al., 2019)","noteIndex":0},"citationItems":[{"id":1025,"uris":["http://zotero.org/users/2484452/items/PH64GQNB"],"uri":["http://zotero.org/users/2484452/items/PH64GQNB"],"itemData":{"id":1025,"type":"article-journal","abstract":"The relationships between inflammation and cancer are varied and complex. An important connection linking inflammation to cancer development is DNA damage. During inflammation reactive oxygen and nitrogen species (RONS) are created to combat pathogens and to stimulate tissue repair and regeneration, but these chemicals can also damage DNA, which in turn can promote mutations that initiate and promote cancer. DNA repair pathways are essential for preventing DNA damage from causing mutations and cytotoxicity, but RONS can interfere with repair mechanisms, reducing their efficacy. Further, cellular responses to DNA damage, such as damage signaling and cytotoxicity, can promote inflammation, creating a positive feedback loop. Despite coordination of DNA repair and oxidative stress responses, there are nevertheless examples whereby inflammation has been shown to promote mutagenesis, tissue damage, and ultimately carcinogenesis. Here, we discuss the DNA damage-mediated associations between inflammation, mutagenesis and cancer.","container-title":"DNA Repair","DOI":"10.1016/j.dnarep.2019.102673","ISSN":"1568-7864","journalAbbreviation":"DNA Repair","language":"en","page":"102673","source":"ScienceDirect","title":"Inflammation-induced DNA damage, mutations and cancer","volume":"83","author":[{"family":"Kay","given":"Jennifer"},{"family":"Thadhani","given":"Elina"},{"family":"Samson","given":"Leona"},{"family":"Engelward","given":"Bevin"}],"issued":{"date-parts":[["2019",11,1]]}}}],"schema":"https://github.com/citation-style-language/schema/raw/master/csl-citation.json"} </w:instrText>
      </w:r>
      <w:r w:rsidR="00F1457E" w:rsidRPr="006F5ABC">
        <w:rPr>
          <w:rFonts w:ascii="Arial" w:hAnsi="Arial" w:cs="Arial"/>
          <w:sz w:val="22"/>
          <w:szCs w:val="22"/>
          <w:lang w:val="en-US"/>
        </w:rPr>
        <w:fldChar w:fldCharType="separate"/>
      </w:r>
      <w:r w:rsidR="00F1457E" w:rsidRPr="006F5ABC">
        <w:rPr>
          <w:rFonts w:ascii="Arial" w:hAnsi="Arial" w:cs="Arial"/>
          <w:noProof/>
          <w:sz w:val="22"/>
          <w:szCs w:val="22"/>
          <w:lang w:val="en-US"/>
        </w:rPr>
        <w:t>(Kay et al., 2019)</w:t>
      </w:r>
      <w:r w:rsidR="00F1457E" w:rsidRPr="006F5ABC">
        <w:rPr>
          <w:rFonts w:ascii="Arial" w:hAnsi="Arial" w:cs="Arial"/>
          <w:sz w:val="22"/>
          <w:szCs w:val="22"/>
          <w:lang w:val="en-US"/>
        </w:rPr>
        <w:fldChar w:fldCharType="end"/>
      </w:r>
      <w:r w:rsidR="00407841" w:rsidRPr="006F5ABC">
        <w:rPr>
          <w:rFonts w:ascii="Arial" w:hAnsi="Arial" w:cs="Arial"/>
          <w:sz w:val="22"/>
          <w:szCs w:val="22"/>
          <w:lang w:val="en-US"/>
        </w:rPr>
        <w:t>.</w:t>
      </w:r>
      <w:r w:rsidR="00F31110" w:rsidRPr="006F5ABC">
        <w:rPr>
          <w:rFonts w:ascii="Arial" w:hAnsi="Arial" w:cs="Arial"/>
          <w:sz w:val="22"/>
          <w:szCs w:val="22"/>
          <w:lang w:val="en-US"/>
        </w:rPr>
        <w:t xml:space="preserve"> </w:t>
      </w:r>
      <w:r w:rsidR="003663C0" w:rsidRPr="006F5ABC">
        <w:rPr>
          <w:rFonts w:ascii="Arial" w:hAnsi="Arial" w:cs="Arial"/>
          <w:sz w:val="22"/>
          <w:szCs w:val="22"/>
          <w:lang w:val="en-US"/>
        </w:rPr>
        <w:t>Moreover</w:t>
      </w:r>
      <w:r w:rsidR="00F31110" w:rsidRPr="006F5ABC">
        <w:rPr>
          <w:rFonts w:ascii="Arial" w:hAnsi="Arial" w:cs="Arial"/>
          <w:sz w:val="22"/>
          <w:szCs w:val="22"/>
          <w:lang w:val="en-US"/>
        </w:rPr>
        <w:t xml:space="preserve">, </w:t>
      </w:r>
      <w:proofErr w:type="spellStart"/>
      <w:r w:rsidR="00F31110" w:rsidRPr="006F5ABC">
        <w:rPr>
          <w:rFonts w:ascii="Arial" w:hAnsi="Arial" w:cs="Arial"/>
          <w:sz w:val="22"/>
          <w:szCs w:val="22"/>
          <w:lang w:val="en-US"/>
        </w:rPr>
        <w:t>oxoguanine</w:t>
      </w:r>
      <w:proofErr w:type="spellEnd"/>
      <w:r w:rsidR="00F31110" w:rsidRPr="006F5ABC">
        <w:rPr>
          <w:rFonts w:ascii="Arial" w:hAnsi="Arial" w:cs="Arial"/>
          <w:sz w:val="22"/>
          <w:szCs w:val="22"/>
          <w:lang w:val="en-US"/>
        </w:rPr>
        <w:t xml:space="preserve"> glycosylase (OGG1), which is the primary enzyme</w:t>
      </w:r>
      <w:r w:rsidR="00CF6D34" w:rsidRPr="006F5ABC">
        <w:rPr>
          <w:rFonts w:ascii="Arial" w:hAnsi="Arial" w:cs="Arial"/>
          <w:sz w:val="22"/>
          <w:szCs w:val="22"/>
          <w:lang w:val="en-US"/>
        </w:rPr>
        <w:t xml:space="preserve"> that tackles oxidative stress by</w:t>
      </w:r>
      <w:r w:rsidR="00F31110" w:rsidRPr="006F5ABC">
        <w:rPr>
          <w:rFonts w:ascii="Arial" w:hAnsi="Arial" w:cs="Arial"/>
          <w:sz w:val="22"/>
          <w:szCs w:val="22"/>
          <w:lang w:val="en-US"/>
        </w:rPr>
        <w:t xml:space="preserve"> excision of 8-oxoguanine</w:t>
      </w:r>
      <w:r w:rsidR="00844DB6">
        <w:rPr>
          <w:rFonts w:ascii="Arial" w:hAnsi="Arial" w:cs="Arial"/>
          <w:sz w:val="22"/>
          <w:szCs w:val="22"/>
          <w:lang w:val="en-US"/>
        </w:rPr>
        <w:t>,</w:t>
      </w:r>
      <w:r w:rsidR="00CF6D34" w:rsidRPr="006F5ABC">
        <w:rPr>
          <w:rFonts w:ascii="Arial" w:hAnsi="Arial" w:cs="Arial"/>
          <w:sz w:val="22"/>
          <w:szCs w:val="22"/>
          <w:lang w:val="en-US"/>
        </w:rPr>
        <w:t xml:space="preserve"> was shown to be significantly downregulated in MDS </w:t>
      </w:r>
      <w:r w:rsidR="00CF6D34" w:rsidRPr="006F5ABC">
        <w:rPr>
          <w:rFonts w:ascii="Arial" w:hAnsi="Arial" w:cs="Arial"/>
          <w:sz w:val="22"/>
          <w:szCs w:val="22"/>
          <w:lang w:val="en-US"/>
        </w:rPr>
        <w:fldChar w:fldCharType="begin"/>
      </w:r>
      <w:r w:rsidR="00CF6D34" w:rsidRPr="006F5ABC">
        <w:rPr>
          <w:rFonts w:ascii="Arial" w:hAnsi="Arial" w:cs="Arial"/>
          <w:sz w:val="22"/>
          <w:szCs w:val="22"/>
          <w:lang w:val="en-US"/>
        </w:rPr>
        <w:instrText xml:space="preserve"> ADDIN ZOTERO_ITEM CSL_CITATION {"citationID":"X9hfcB1I","properties":{"formattedCitation":"(Jankowska et al., 2008)","plainCitation":"(Jankowska et al., 2008)","noteIndex":0},"citationItems":[{"id":195,"uris":["http://zotero.org/users/2484452/items/BU8FQP77"],"uri":["http://zotero.org/users/2484452/items/BU8FQP77"],"itemData":{"id":195,"type":"article-journal","abstract":"In myelodysplastic syndromes (MDS) increased chromosomal breaks point toward defects in DNA repair machinery including base excision repair (BER) pathway involved in handling of oxidative DNA damage. We investigated whether defects in this pathway can be found in MDS. Elevated levels of 8-oxoguanine (8-OG) were found in a significant proportion of MDS patients, indicating increased oxidative DNA damage or defective handling of oxidative load. In a distinct subgroup of patients, increased 8-OG content was associated with increased hOGG1 mRNA expression and activity. In some patients, increased numbers of abasic sites (AP sites) correlated with low levels of POLbeta. To further investigate the nature of this defect, we examined genetic lesions potentially explaining accumulation of 8-OG and AP sites. We genotyped a large cohort of MDS patients and found a correlation between increased oxidative damage and the presence of the hOGG1-Cys326 allele suggesting inadequate compensatory feedback. Overall, this hOGG1 variant was more frequent in MDS, particularly in advanced forms, as compared to controls. In summary, we demonstrated that BER dysfunction in some MDS patients may be responsible for the increased 8-OG incorporation and explains one aspect of the propensity to chromosomal breaks in MDS but other mechanisms may also be involved.","container-title":"Leukemia","DOI":"10.1038/sj.leu.2405055","ISSN":"1476-5551","issue":"3","journalAbbreviation":"Leukemia","language":"eng","note":"PMID: 18059482","page":"551-558","source":"PubMed","title":"Base excision repair dysfunction in a subgroup of patients with myelodysplastic syndrome","volume":"22","author":[{"family":"Jankowska","given":"A. M."},{"family":"Gondek","given":"L. P."},{"family":"Szpurka","given":"H."},{"family":"Nearman","given":"Z. P."},{"family":"Tiu","given":"R. V."},{"family":"Maciejewski","given":"J. P."}],"issued":{"date-parts":[["2008",3]]}}}],"schema":"https://github.com/citation-style-language/schema/raw/master/csl-citation.json"} </w:instrText>
      </w:r>
      <w:r w:rsidR="00CF6D34" w:rsidRPr="006F5ABC">
        <w:rPr>
          <w:rFonts w:ascii="Arial" w:hAnsi="Arial" w:cs="Arial"/>
          <w:sz w:val="22"/>
          <w:szCs w:val="22"/>
          <w:lang w:val="en-US"/>
        </w:rPr>
        <w:fldChar w:fldCharType="separate"/>
      </w:r>
      <w:r w:rsidR="00CF6D34" w:rsidRPr="006F5ABC">
        <w:rPr>
          <w:rFonts w:ascii="Arial" w:hAnsi="Arial" w:cs="Arial"/>
          <w:noProof/>
          <w:sz w:val="22"/>
          <w:szCs w:val="22"/>
          <w:lang w:val="en-US"/>
        </w:rPr>
        <w:t>(Jankowska et al., 2008)</w:t>
      </w:r>
      <w:r w:rsidR="00CF6D34" w:rsidRPr="006F5ABC">
        <w:rPr>
          <w:rFonts w:ascii="Arial" w:hAnsi="Arial" w:cs="Arial"/>
          <w:sz w:val="22"/>
          <w:szCs w:val="22"/>
          <w:lang w:val="en-US"/>
        </w:rPr>
        <w:fldChar w:fldCharType="end"/>
      </w:r>
      <w:r w:rsidR="00CF6D34" w:rsidRPr="006F5ABC">
        <w:rPr>
          <w:rFonts w:ascii="Arial" w:hAnsi="Arial" w:cs="Arial"/>
          <w:sz w:val="22"/>
          <w:szCs w:val="22"/>
          <w:lang w:val="en-US"/>
        </w:rPr>
        <w:t xml:space="preserve">. Certain cases showed also opposite trend towards upregulation of OGG1, but they proved to be a compensatory up-regulation, due to dysfunctional </w:t>
      </w:r>
      <w:r w:rsidR="00CF6D34" w:rsidRPr="00B370A6">
        <w:rPr>
          <w:rFonts w:ascii="Arial" w:hAnsi="Arial" w:cs="Arial"/>
          <w:i/>
          <w:sz w:val="22"/>
          <w:szCs w:val="22"/>
          <w:lang w:val="en-US"/>
        </w:rPr>
        <w:t>OGG1</w:t>
      </w:r>
      <w:r w:rsidR="00CF6D34" w:rsidRPr="006F5ABC">
        <w:rPr>
          <w:rFonts w:ascii="Arial" w:hAnsi="Arial" w:cs="Arial"/>
          <w:sz w:val="22"/>
          <w:szCs w:val="22"/>
          <w:lang w:val="en-US"/>
        </w:rPr>
        <w:t xml:space="preserve"> polymorphism previously associated with a functional change in enzyme activity </w:t>
      </w:r>
      <w:r w:rsidR="00CF6D34" w:rsidRPr="006F5ABC">
        <w:rPr>
          <w:rFonts w:ascii="Arial" w:hAnsi="Arial" w:cs="Arial"/>
          <w:sz w:val="22"/>
          <w:szCs w:val="22"/>
          <w:lang w:val="en-US"/>
        </w:rPr>
        <w:fldChar w:fldCharType="begin"/>
      </w:r>
      <w:r w:rsidR="00CF6D34" w:rsidRPr="006F5ABC">
        <w:rPr>
          <w:rFonts w:ascii="Arial" w:hAnsi="Arial" w:cs="Arial"/>
          <w:sz w:val="22"/>
          <w:szCs w:val="22"/>
          <w:lang w:val="en-US"/>
        </w:rPr>
        <w:instrText xml:space="preserve"> ADDIN ZOTERO_ITEM CSL_CITATION {"citationID":"ua1GwDP5","properties":{"formattedCitation":"(Jankowska et al., 2008; Kohno et al., 1998)","plainCitation":"(Jankowska et al., 2008; Kohno et al., 1998)","noteIndex":0},"citationItems":[{"id":195,"uris":["http://zotero.org/users/2484452/items/BU8FQP77"],"uri":["http://zotero.org/users/2484452/items/BU8FQP77"],"itemData":{"id":195,"type":"article-journal","abstract":"In myelodysplastic syndromes (MDS) increased chromosomal breaks point toward defects in DNA repair machinery including base excision repair (BER) pathway involved in handling of oxidative DNA damage. We investigated whether defects in this pathway can be found in MDS. Elevated levels of 8-oxoguanine (8-OG) were found in a significant proportion of MDS patients, indicating increased oxidative DNA damage or defective handling of oxidative load. In a distinct subgroup of patients, increased 8-OG content was associated with increased hOGG1 mRNA expression and activity. In some patients, increased numbers of abasic sites (AP sites) correlated with low levels of POLbeta. To further investigate the nature of this defect, we examined genetic lesions potentially explaining accumulation of 8-OG and AP sites. We genotyped a large cohort of MDS patients and found a correlation between increased oxidative damage and the presence of the hOGG1-Cys326 allele suggesting inadequate compensatory feedback. Overall, this hOGG1 variant was more frequent in MDS, particularly in advanced forms, as compared to controls. In summary, we demonstrated that BER dysfunction in some MDS patients may be responsible for the increased 8-OG incorporation and explains one aspect of the propensity to chromosomal breaks in MDS but other mechanisms may also be involved.","container-title":"Leukemia","DOI":"10.1038/sj.leu.2405055","ISSN":"1476-5551","issue":"3","journalAbbreviation":"Leukemia","language":"eng","note":"PMID: 18059482","page":"551-558","source":"PubMed","title":"Base excision repair dysfunction in a subgroup of patients with myelodysplastic syndrome","volume":"22","author":[{"family":"Jankowska","given":"A. M."},{"family":"Gondek","given":"L. P."},{"family":"Szpurka","given":"H."},{"family":"Nearman","given":"Z. P."},{"family":"Tiu","given":"R. V."},{"family":"Maciejewski","given":"J. P."}],"issued":{"date-parts":[["2008",3]]}}},{"id":1040,"uris":["http://zotero.org/users/2484452/items/MVAMGKXA"],"uri":["http://zotero.org/users/2484452/items/MVAMGKXA"],"itemData":{"id":1040,"type":"article-journal","abstract":"The hOGG1 gene encodes a DNA glycosylase that excises 8-hydroxyguanine (oh8Gua) from damaged DNA. Structural analyses of the hOGG1 gene and its transcripts were performed in normal and lung cancer cells. Due to a genetic polymorphism at codon 326, hOGG1-Ser326 and hOGG1-Cys326 proteins were produced in human cells. Activity in the repair of oh8Gua was greater in hOGG1-Ser326 protein than in hOGG1-Cys326 protein in the complementation assay of an E. coli mutant defective in the repair of oh8Gua. Two isoforms of hOGG1 transcripts produced by alternative splicing encoded distinct hOGG1 proteins: one with and the other without a putative nuclear localization signal. Loss of heterozygosity at the hOGG1 locus was frequently (15/ 23, 62.2%) detected in lung cancer cells, and a cell line NCI-H526 had a mutation leading to the formation of the transcripts encoding a truncated hOGG1 protein. However, the oh8Gua levels in nuclear DNA were similar among lung cancer cells and leukocytes irrespective of the type of hOGG1 proteins expressed. These results suggest that the oh8Gua levels are maintained at a steady level, even though multiple hOGG1 proteins are produced due to genetic polymorphisms, mutations and alternative splicing of the hOGG1 gene.","container-title":"Oncogene","DOI":"10.1038/sj.onc.1201872","ISSN":"0950-9232","issue":"25","journalAbbreviation":"Oncogene","language":"eng","note":"PMID: 9681819","page":"3219-3225","source":"PubMed","title":"Genetic polymorphisms and alternative splicing of the hOGG1 gene, that is involved in the repair of 8-hydroxyguanine in damaged DNA","volume":"16","author":[{"family":"Kohno","given":"T."},{"family":"Shinmura","given":"K."},{"family":"Tosaka","given":"M."},{"family":"Tani","given":"M."},{"family":"Kim","given":"S. R."},{"family":"Sugimura","given":"H."},{"family":"Nohmi","given":"T."},{"family":"Kasai","given":"H."},{"family":"Yokota","given":"J."}],"issued":{"date-parts":[["1998",6,25]]}}}],"schema":"https://github.com/citation-style-language/schema/raw/master/csl-citation.json"} </w:instrText>
      </w:r>
      <w:r w:rsidR="00CF6D34" w:rsidRPr="006F5ABC">
        <w:rPr>
          <w:rFonts w:ascii="Arial" w:hAnsi="Arial" w:cs="Arial"/>
          <w:sz w:val="22"/>
          <w:szCs w:val="22"/>
          <w:lang w:val="en-US"/>
        </w:rPr>
        <w:fldChar w:fldCharType="separate"/>
      </w:r>
      <w:r w:rsidR="00CF6D34" w:rsidRPr="006F5ABC">
        <w:rPr>
          <w:rFonts w:ascii="Arial" w:hAnsi="Arial" w:cs="Arial"/>
          <w:noProof/>
          <w:sz w:val="22"/>
          <w:szCs w:val="22"/>
          <w:lang w:val="en-US"/>
        </w:rPr>
        <w:t>(Jankowska et al., 2008; Kohno et al., 1998)</w:t>
      </w:r>
      <w:r w:rsidR="00CF6D34" w:rsidRPr="006F5ABC">
        <w:rPr>
          <w:rFonts w:ascii="Arial" w:hAnsi="Arial" w:cs="Arial"/>
          <w:sz w:val="22"/>
          <w:szCs w:val="22"/>
          <w:lang w:val="en-US"/>
        </w:rPr>
        <w:fldChar w:fldCharType="end"/>
      </w:r>
      <w:r w:rsidR="00CF6D34" w:rsidRPr="006F5ABC">
        <w:rPr>
          <w:rFonts w:ascii="Arial" w:hAnsi="Arial" w:cs="Arial"/>
          <w:sz w:val="22"/>
          <w:szCs w:val="22"/>
          <w:lang w:val="en-US"/>
        </w:rPr>
        <w:t>. Its therefore likely that increased inflammation</w:t>
      </w:r>
      <w:r w:rsidR="00AA7C1F" w:rsidRPr="006F5ABC">
        <w:rPr>
          <w:rFonts w:ascii="Arial" w:hAnsi="Arial" w:cs="Arial"/>
          <w:sz w:val="22"/>
          <w:szCs w:val="22"/>
          <w:lang w:val="en-US"/>
        </w:rPr>
        <w:t>-</w:t>
      </w:r>
      <w:r w:rsidR="00CF6D34" w:rsidRPr="006F5ABC">
        <w:rPr>
          <w:rFonts w:ascii="Arial" w:hAnsi="Arial" w:cs="Arial"/>
          <w:sz w:val="22"/>
          <w:szCs w:val="22"/>
          <w:lang w:val="en-US"/>
        </w:rPr>
        <w:t>induced</w:t>
      </w:r>
      <w:r w:rsidR="00AA7C1F" w:rsidRPr="006F5ABC">
        <w:rPr>
          <w:rFonts w:ascii="Arial" w:hAnsi="Arial" w:cs="Arial"/>
          <w:sz w:val="22"/>
          <w:szCs w:val="22"/>
          <w:lang w:val="en-US"/>
        </w:rPr>
        <w:t xml:space="preserve"> </w:t>
      </w:r>
      <w:r w:rsidR="00CF6D34" w:rsidRPr="006F5ABC">
        <w:rPr>
          <w:rFonts w:ascii="Arial" w:hAnsi="Arial" w:cs="Arial"/>
          <w:sz w:val="22"/>
          <w:szCs w:val="22"/>
          <w:lang w:val="en-US"/>
        </w:rPr>
        <w:t xml:space="preserve">oxidative stress and impaired resolution of oxidative byproducts significantly contributes to propensity of preleukemia for genomic instability. </w:t>
      </w:r>
    </w:p>
    <w:p w14:paraId="2D3F9506" w14:textId="5FD633C4" w:rsidR="006B77C3" w:rsidRPr="003A5293" w:rsidRDefault="00787044" w:rsidP="00787044">
      <w:pPr>
        <w:pStyle w:val="Formatvorlage1"/>
        <w:rPr>
          <w:rFonts w:cs="Arial"/>
        </w:rPr>
      </w:pPr>
      <w:bookmarkStart w:id="4" w:name="_Toc57582479"/>
      <w:r w:rsidRPr="003A5293">
        <w:rPr>
          <w:rFonts w:cs="Arial"/>
        </w:rPr>
        <w:t xml:space="preserve">1.1.3 </w:t>
      </w:r>
      <w:r w:rsidR="006B77C3" w:rsidRPr="003A5293">
        <w:rPr>
          <w:rFonts w:cs="Arial"/>
        </w:rPr>
        <w:t>DNA damage repair genes</w:t>
      </w:r>
      <w:r w:rsidR="0072378E" w:rsidRPr="003A5293">
        <w:rPr>
          <w:rFonts w:cs="Arial"/>
        </w:rPr>
        <w:t xml:space="preserve"> </w:t>
      </w:r>
      <w:r w:rsidR="0064105C" w:rsidRPr="003A5293">
        <w:rPr>
          <w:rFonts w:cs="Arial"/>
        </w:rPr>
        <w:t>polymorphisms</w:t>
      </w:r>
      <w:r w:rsidR="0072378E" w:rsidRPr="003A5293">
        <w:rPr>
          <w:rFonts w:cs="Arial"/>
        </w:rPr>
        <w:t xml:space="preserve"> </w:t>
      </w:r>
      <w:r w:rsidR="006B77C3" w:rsidRPr="003A5293">
        <w:rPr>
          <w:rFonts w:cs="Arial"/>
        </w:rPr>
        <w:t xml:space="preserve">in the pathogenesis of </w:t>
      </w:r>
      <w:r w:rsidR="008D5700" w:rsidRPr="003A5293">
        <w:rPr>
          <w:rFonts w:cs="Arial"/>
        </w:rPr>
        <w:t>leukemia</w:t>
      </w:r>
      <w:bookmarkEnd w:id="4"/>
    </w:p>
    <w:p w14:paraId="7B44D75A" w14:textId="77777777" w:rsidR="00787044" w:rsidRPr="003A5293" w:rsidRDefault="00787044" w:rsidP="00787044">
      <w:pPr>
        <w:spacing w:line="360" w:lineRule="auto"/>
        <w:rPr>
          <w:rFonts w:ascii="Arial" w:hAnsi="Arial" w:cs="Arial"/>
          <w:sz w:val="22"/>
          <w:szCs w:val="22"/>
          <w:lang w:val="en-US"/>
        </w:rPr>
      </w:pPr>
    </w:p>
    <w:p w14:paraId="1B067F2D" w14:textId="11DFF062" w:rsidR="00CE47E6" w:rsidRPr="006F5ABC" w:rsidRDefault="005207B3" w:rsidP="00CC7D3B">
      <w:pPr>
        <w:spacing w:line="360" w:lineRule="auto"/>
        <w:jc w:val="both"/>
        <w:rPr>
          <w:rFonts w:ascii="Arial" w:hAnsi="Arial" w:cs="Arial"/>
          <w:sz w:val="22"/>
          <w:szCs w:val="22"/>
          <w:lang w:val="en-US"/>
        </w:rPr>
      </w:pPr>
      <w:r w:rsidRPr="003A5293">
        <w:rPr>
          <w:rFonts w:ascii="Arial" w:hAnsi="Arial" w:cs="Arial"/>
          <w:sz w:val="22"/>
          <w:szCs w:val="22"/>
          <w:lang w:val="en-US"/>
        </w:rPr>
        <w:tab/>
      </w:r>
      <w:r w:rsidRPr="006F5ABC">
        <w:rPr>
          <w:rFonts w:ascii="Arial" w:hAnsi="Arial" w:cs="Arial"/>
          <w:sz w:val="22"/>
          <w:szCs w:val="22"/>
          <w:lang w:val="en-US"/>
        </w:rPr>
        <w:t xml:space="preserve">Mutations in genes responsible for key components of DNA repair has been linked to development of many human cancer types, with most frequent targets in homology-dependent recombination (HR) and direct repair </w:t>
      </w:r>
      <w:r w:rsidRPr="006F5ABC">
        <w:rPr>
          <w:rFonts w:ascii="Arial" w:hAnsi="Arial" w:cs="Arial"/>
          <w:sz w:val="22"/>
          <w:szCs w:val="22"/>
          <w:lang w:val="en-US"/>
        </w:rPr>
        <w:fldChar w:fldCharType="begin"/>
      </w:r>
      <w:r w:rsidRPr="006F5ABC">
        <w:rPr>
          <w:rFonts w:ascii="Arial" w:hAnsi="Arial" w:cs="Arial"/>
          <w:sz w:val="22"/>
          <w:szCs w:val="22"/>
          <w:lang w:val="en-US"/>
        </w:rPr>
        <w:instrText xml:space="preserve"> ADDIN ZOTERO_ITEM CSL_CITATION {"citationID":"AMcEJ2Xz","properties":{"formattedCitation":"(Knijnenburg et al., 2018)","plainCitation":"(Knijnenburg et al., 2018)","noteIndex":0},"citationItems":[{"id":1043,"uris":["http://zotero.org/users/2484452/items/GBHUK44Y"],"uri":["http://zotero.org/users/2484452/items/GBHUK44Y"],"itemData":{"id":1043,"type":"article-journal","abstract":"DNA damage repair (DDR) pathways modulate cancer risk, progression, and therapeutic response. We systematically analyzed somatic alterations to provide a comprehensive view of DDR deficiency across 33 cancer types. Mutations with accompanying loss of heterozygosity were observed in over 1/3 of DDR genes, including TP53 and BRCA1/2. Other prevalent alterations included epigenetic silencing of the direct repair genes EXO5, MGMT, and ALKBH3 in </w:instrText>
      </w:r>
      <w:r w:rsidRPr="006F5ABC">
        <w:rPr>
          <w:rFonts w:ascii="Cambria Math" w:hAnsi="Cambria Math" w:cs="Cambria Math"/>
          <w:sz w:val="22"/>
          <w:szCs w:val="22"/>
          <w:lang w:val="en-US"/>
        </w:rPr>
        <w:instrText>∼</w:instrText>
      </w:r>
      <w:r w:rsidRPr="006F5ABC">
        <w:rPr>
          <w:rFonts w:ascii="Arial" w:hAnsi="Arial" w:cs="Arial"/>
          <w:sz w:val="22"/>
          <w:szCs w:val="22"/>
          <w:lang w:val="en-US"/>
        </w:rPr>
        <w:instrText xml:space="preserve">20% of samples. Homologous recombination deficiency (HRD) was present at varying frequency in many cancer types, most notably ovarian cancer. However, in contrast to ovarian cancer, HRD was associated with worse outcomes in several other cancers. Protein structure-based analyses allowed us to predict functional consequences of rare, recurrent DDR mutations. A new machine-learning-based classifier developed from gene expression data allowed us to identify alterations that phenocopy deleterious TP53 mutations. These frequent DDR gene alterations in many human cancers have functional consequences that may determine cancer progression and guide therapy.","container-title":"Cell Reports","DOI":"10.1016/j.celrep.2018.03.076","ISSN":"2211-1247","issue":"1","journalAbbreviation":"Cell Rep","language":"eng","note":"PMID: 29617664\nPMCID: PMC5961503","page":"239-254.e6","source":"PubMed","title":"Genomic and Molecular Landscape of DNA Damage Repair Deficiency across The Cancer Genome Atlas","volume":"23","author":[{"family":"Knijnenburg","given":"Theo A."},{"family":"Wang","given":"Linghua"},{"family":"Zimmermann","given":"Michael T."},{"family":"Chambwe","given":"Nyasha"},{"family":"Gao","given":"Galen F."},{"family":"Cherniack","given":"Andrew D."},{"family":"Fan","given":"Huihui"},{"family":"Shen","given":"Hui"},{"family":"Way","given":"Gregory P."},{"family":"Greene","given":"Casey S."},{"family":"Liu","given":"Yuexin"},{"family":"Akbani","given":"Rehan"},{"family":"Feng","given":"Bin"},{"family":"Donehower","given":"Lawrence A."},{"family":"Miller","given":"Chase"},{"family":"Shen","given":"Yang"},{"family":"Karimi","given":"Mostafa"},{"family":"Chen","given":"Haoran"},{"family":"Kim","given":"Pora"},{"family":"Jia","given":"Peilin"},{"family":"Shinbrot","given":"Eve"},{"family":"Zhang","given":"Shaojun"},{"family":"Liu","given":"Jianfang"},{"family":"Hu","given":"Hai"},{"family":"Bailey","given":"Matthew H."},{"family":"Yau","given":"Christina"},{"family":"Wolf","given":"Denise"},{"family":"Zhao","given":"Zhongming"},{"family":"Weinstein","given":"John N."},{"family":"Li","given":"Lei"},{"family":"Ding","given":"Li"},{"family":"Mills","given":"Gordon B."},{"family":"Laird","given":"Peter W."},{"family":"Wheeler","given":"David A."},{"family":"Shmulevich","given":"Ilya"},{"literal":"Cancer Genome Atlas Research Network"},{"family":"Monnat","given":"Raymond J."},{"family":"Xiao","given":"Yonghong"},{"family":"Wang","given":"Chen"}],"issued":{"date-parts":[["2018"]],"season":"03"}}}],"schema":"https://github.com/citation-style-language/schema/raw/master/csl-citation.json"} </w:instrText>
      </w:r>
      <w:r w:rsidRPr="006F5ABC">
        <w:rPr>
          <w:rFonts w:ascii="Arial" w:hAnsi="Arial" w:cs="Arial"/>
          <w:sz w:val="22"/>
          <w:szCs w:val="22"/>
          <w:lang w:val="en-US"/>
        </w:rPr>
        <w:fldChar w:fldCharType="separate"/>
      </w:r>
      <w:r w:rsidRPr="006F5ABC">
        <w:rPr>
          <w:rFonts w:ascii="Arial" w:hAnsi="Arial" w:cs="Arial"/>
          <w:noProof/>
          <w:sz w:val="22"/>
          <w:szCs w:val="22"/>
          <w:lang w:val="en-US"/>
        </w:rPr>
        <w:t>(Knijnenburg et al., 2018)</w:t>
      </w:r>
      <w:r w:rsidRPr="006F5ABC">
        <w:rPr>
          <w:rFonts w:ascii="Arial" w:hAnsi="Arial" w:cs="Arial"/>
          <w:sz w:val="22"/>
          <w:szCs w:val="22"/>
          <w:lang w:val="en-US"/>
        </w:rPr>
        <w:fldChar w:fldCharType="end"/>
      </w:r>
      <w:r w:rsidRPr="006F5ABC">
        <w:rPr>
          <w:rFonts w:ascii="Arial" w:hAnsi="Arial" w:cs="Arial"/>
          <w:sz w:val="22"/>
          <w:szCs w:val="22"/>
          <w:lang w:val="en-US"/>
        </w:rPr>
        <w:t>. Such modifications of DDR has been also linked to</w:t>
      </w:r>
      <w:r w:rsidR="00CE398E" w:rsidRPr="006F5ABC">
        <w:rPr>
          <w:rFonts w:ascii="Arial" w:hAnsi="Arial" w:cs="Arial"/>
          <w:sz w:val="22"/>
          <w:szCs w:val="22"/>
          <w:lang w:val="en-US"/>
        </w:rPr>
        <w:t xml:space="preserve"> development of</w:t>
      </w:r>
      <w:r w:rsidRPr="006F5ABC">
        <w:rPr>
          <w:rFonts w:ascii="Arial" w:hAnsi="Arial" w:cs="Arial"/>
          <w:sz w:val="22"/>
          <w:szCs w:val="22"/>
          <w:lang w:val="en-US"/>
        </w:rPr>
        <w:t xml:space="preserve"> AML, mainly to </w:t>
      </w:r>
      <w:r w:rsidR="00AA7C1F" w:rsidRPr="006F5ABC">
        <w:rPr>
          <w:rFonts w:ascii="Arial" w:hAnsi="Arial" w:cs="Arial"/>
          <w:sz w:val="22"/>
          <w:szCs w:val="22"/>
          <w:lang w:val="en-US"/>
        </w:rPr>
        <w:t>therapy-related acute myeloid leukemia (</w:t>
      </w:r>
      <w:r w:rsidRPr="006F5ABC">
        <w:rPr>
          <w:rFonts w:ascii="Arial" w:hAnsi="Arial" w:cs="Arial"/>
          <w:sz w:val="22"/>
          <w:szCs w:val="22"/>
          <w:lang w:val="en-US"/>
        </w:rPr>
        <w:t>t-AML</w:t>
      </w:r>
      <w:r w:rsidR="00AA7C1F" w:rsidRPr="006F5ABC">
        <w:rPr>
          <w:rFonts w:ascii="Arial" w:hAnsi="Arial" w:cs="Arial"/>
          <w:sz w:val="22"/>
          <w:szCs w:val="22"/>
          <w:lang w:val="en-US"/>
        </w:rPr>
        <w:t>,</w:t>
      </w:r>
      <w:r w:rsidRPr="006F5ABC">
        <w:rPr>
          <w:rFonts w:ascii="Arial" w:hAnsi="Arial" w:cs="Arial"/>
          <w:sz w:val="22"/>
          <w:szCs w:val="22"/>
          <w:lang w:val="en-US"/>
        </w:rPr>
        <w:t xml:space="preserve"> </w:t>
      </w:r>
      <w:r w:rsidR="00DC194A" w:rsidRPr="006F5ABC">
        <w:rPr>
          <w:rFonts w:ascii="Arial" w:hAnsi="Arial" w:cs="Arial"/>
          <w:sz w:val="22"/>
          <w:szCs w:val="22"/>
          <w:lang w:val="en-US"/>
        </w:rPr>
        <w:fldChar w:fldCharType="begin"/>
      </w:r>
      <w:r w:rsidR="00DF64FE">
        <w:rPr>
          <w:rFonts w:ascii="Arial" w:hAnsi="Arial" w:cs="Arial"/>
          <w:sz w:val="22"/>
          <w:szCs w:val="22"/>
          <w:lang w:val="en-US"/>
        </w:rPr>
        <w:instrText xml:space="preserve"> ADDIN ZOTERO_ITEM CSL_CITATION {"citationID":"HtykeqCs","properties":{"formattedCitation":"(Coombs et al., 2017)","plainCitation":"(Coombs et al., 2017)","dontUpdate":true,"noteIndex":0},"citationItems":[{"id":1046,"uris":["http://zotero.org/users/2484452/items/YMZB35T6"],"uri":["http://zotero.org/users/2484452/items/YMZB35T6"],"itemData":{"id":1046,"type":"article-journal","abstract":"Clonal hematopoiesis (CH), as evidenced by recurrent somatic mutations in leukemia-associated genes, commonly occurs among aging human hematopoietic stem cells. We analyzed deep-coverage, targeted, next-generation sequencing (NGS) data of paired tumor and blood samples from 8,810 individuals to assess the frequency and clinical relevance of CH in patients with non-hematologic malignancies. We identified CH in 25% of cancer patients, with 4.5% harboring presumptive leukemia driver mutations (CH-PD). CH was associated with increased age, prior radiation therapy, and tobacco use. PPM1D and TP53 mutations were associated with prior exposure to chemotherapy. CH and CH-PD led to an increased incidence of subsequent hematologic cancers, and CH-PD was associated with shorter patient survival. These data suggest that CH occurs in an age-dependent manner and that specific perturbations can enhance fitness of clonal hematopoietic stem cells, which can impact outcome through progression to hematologic malignancies and through cell-non-autonomous effects on solid tumor biology.","container-title":"Cell Stem Cell","DOI":"10.1016/j.stem.2017.07.010","ISSN":"1875-9777","issue":"3","journalAbbreviation":"Cell Stem Cell","language":"eng","note":"PMID: 28803919\nPMCID: PMC5591073","page":"374-382.e4","source":"PubMed","title":"Therapy-Related Clonal Hematopoiesis in Patients with Non-hematologic Cancers Is Common and Associated with Adverse Clinical Outcomes","volume":"21","author":[{"family":"Coombs","given":"Catherine C."},{"family":"Zehir","given":"Ahmet"},{"family":"Devlin","given":"Sean M."},{"family":"Kishtagari","given":"Ashwin"},{"family":"Syed","given":"Aijazuddin"},{"family":"Jonsson","given":"Philip"},{"family":"Hyman","given":"David M."},{"family":"Solit","given":"David B."},{"family":"Robson","given":"Mark E."},{"family":"Baselga","given":"José"},{"family":"Arcila","given":"Maria E."},{"family":"Ladanyi","given":"Marc"},{"family":"Tallman","given":"Martin S."},{"family":"Levine","given":"Ross L."},{"family":"Berger","given":"Michael F."}],"issued":{"date-parts":[["2017"]],"season":"07"}}}],"schema":"https://github.com/citation-style-language/schema/raw/master/csl-citation.json"} </w:instrText>
      </w:r>
      <w:r w:rsidR="00DC194A" w:rsidRPr="006F5ABC">
        <w:rPr>
          <w:rFonts w:ascii="Arial" w:hAnsi="Arial" w:cs="Arial"/>
          <w:sz w:val="22"/>
          <w:szCs w:val="22"/>
          <w:lang w:val="en-US"/>
        </w:rPr>
        <w:fldChar w:fldCharType="separate"/>
      </w:r>
      <w:r w:rsidR="00DC194A" w:rsidRPr="006F5ABC">
        <w:rPr>
          <w:rFonts w:ascii="Arial" w:hAnsi="Arial" w:cs="Arial"/>
          <w:noProof/>
          <w:sz w:val="22"/>
          <w:szCs w:val="22"/>
          <w:lang w:val="en-US"/>
        </w:rPr>
        <w:t>Coombs et al., 2017)</w:t>
      </w:r>
      <w:r w:rsidR="00DC194A" w:rsidRPr="006F5ABC">
        <w:rPr>
          <w:rFonts w:ascii="Arial" w:hAnsi="Arial" w:cs="Arial"/>
          <w:sz w:val="22"/>
          <w:szCs w:val="22"/>
          <w:lang w:val="en-US"/>
        </w:rPr>
        <w:fldChar w:fldCharType="end"/>
      </w:r>
      <w:r w:rsidRPr="006F5ABC">
        <w:rPr>
          <w:rFonts w:ascii="Arial" w:hAnsi="Arial" w:cs="Arial"/>
          <w:sz w:val="22"/>
          <w:szCs w:val="22"/>
          <w:lang w:val="en-US"/>
        </w:rPr>
        <w:t>.</w:t>
      </w:r>
      <w:r w:rsidR="00DC194A" w:rsidRPr="006F5ABC">
        <w:rPr>
          <w:rFonts w:ascii="Arial" w:hAnsi="Arial" w:cs="Arial"/>
          <w:sz w:val="22"/>
          <w:szCs w:val="22"/>
          <w:lang w:val="en-US"/>
        </w:rPr>
        <w:t xml:space="preserve"> </w:t>
      </w:r>
      <w:r w:rsidR="00E87EC5" w:rsidRPr="006F5ABC">
        <w:rPr>
          <w:rFonts w:ascii="Arial" w:hAnsi="Arial" w:cs="Arial"/>
          <w:sz w:val="22"/>
          <w:szCs w:val="22"/>
          <w:lang w:val="en-US"/>
        </w:rPr>
        <w:t xml:space="preserve">Homologous recombination has a </w:t>
      </w:r>
      <w:r w:rsidR="0030168F" w:rsidRPr="006F5ABC">
        <w:rPr>
          <w:rFonts w:ascii="Arial" w:hAnsi="Arial" w:cs="Arial"/>
          <w:sz w:val="22"/>
          <w:szCs w:val="22"/>
          <w:lang w:val="en-US"/>
        </w:rPr>
        <w:t>central</w:t>
      </w:r>
      <w:r w:rsidR="00E87EC5" w:rsidRPr="006F5ABC">
        <w:rPr>
          <w:rFonts w:ascii="Arial" w:hAnsi="Arial" w:cs="Arial"/>
          <w:sz w:val="22"/>
          <w:szCs w:val="22"/>
          <w:lang w:val="en-US"/>
        </w:rPr>
        <w:t xml:space="preserve"> role in </w:t>
      </w:r>
      <w:r w:rsidR="0030168F" w:rsidRPr="006F5ABC">
        <w:rPr>
          <w:rFonts w:ascii="Arial" w:hAnsi="Arial" w:cs="Arial"/>
          <w:sz w:val="22"/>
          <w:szCs w:val="22"/>
          <w:lang w:val="en-US"/>
        </w:rPr>
        <w:t xml:space="preserve">repairing </w:t>
      </w:r>
      <w:r w:rsidR="0069410B" w:rsidRPr="0069410B">
        <w:rPr>
          <w:rFonts w:ascii="Arial" w:hAnsi="Arial" w:cs="Arial"/>
          <w:sz w:val="22"/>
          <w:szCs w:val="22"/>
          <w:lang w:val="en-US"/>
        </w:rPr>
        <w:t xml:space="preserve">double-stranded </w:t>
      </w:r>
      <w:r w:rsidR="0069410B">
        <w:rPr>
          <w:rFonts w:ascii="Arial" w:hAnsi="Arial" w:cs="Arial"/>
          <w:sz w:val="22"/>
          <w:szCs w:val="22"/>
          <w:lang w:val="en-US"/>
        </w:rPr>
        <w:t xml:space="preserve">DNA </w:t>
      </w:r>
      <w:r w:rsidR="0069410B" w:rsidRPr="0069410B">
        <w:rPr>
          <w:rFonts w:ascii="Arial" w:hAnsi="Arial" w:cs="Arial"/>
          <w:sz w:val="22"/>
          <w:szCs w:val="22"/>
          <w:lang w:val="en-US"/>
        </w:rPr>
        <w:t xml:space="preserve">breaks (DSBs) </w:t>
      </w:r>
      <w:r w:rsidR="0030168F" w:rsidRPr="006F5ABC">
        <w:rPr>
          <w:rFonts w:ascii="Arial" w:hAnsi="Arial" w:cs="Arial"/>
          <w:sz w:val="22"/>
          <w:szCs w:val="22"/>
          <w:lang w:val="en-US"/>
        </w:rPr>
        <w:t xml:space="preserve">with </w:t>
      </w:r>
      <w:r w:rsidR="0030168F" w:rsidRPr="006F5ABC">
        <w:rPr>
          <w:rFonts w:ascii="Arial" w:hAnsi="Arial" w:cs="Arial"/>
          <w:sz w:val="22"/>
          <w:szCs w:val="22"/>
          <w:lang w:val="en-US"/>
        </w:rPr>
        <w:lastRenderedPageBreak/>
        <w:t xml:space="preserve">high fidelity using homologous region of another chromatid as a replicative template </w:t>
      </w:r>
      <w:r w:rsidR="0030168F" w:rsidRPr="006F5ABC">
        <w:rPr>
          <w:rFonts w:ascii="Arial" w:hAnsi="Arial" w:cs="Arial"/>
          <w:sz w:val="22"/>
          <w:szCs w:val="22"/>
          <w:lang w:val="en-US"/>
        </w:rPr>
        <w:fldChar w:fldCharType="begin"/>
      </w:r>
      <w:r w:rsidR="0030168F" w:rsidRPr="006F5ABC">
        <w:rPr>
          <w:rFonts w:ascii="Arial" w:hAnsi="Arial" w:cs="Arial"/>
          <w:sz w:val="22"/>
          <w:szCs w:val="22"/>
          <w:lang w:val="en-US"/>
        </w:rPr>
        <w:instrText xml:space="preserve"> ADDIN ZOTERO_ITEM CSL_CITATION {"citationID":"BtOdhLRR","properties":{"formattedCitation":"(O\\uc0\\u8217{}Kane et al., 2017)","plainCitation":"(O’Kane et al., 2017)","noteIndex":0},"citationItems":[{"id":1049,"uris":["http://zotero.org/users/2484452/items/Y3BU8TIC"],"uri":["http://zotero.org/users/2484452/items/Y3BU8TIC"],"itemData":{"id":1049,"type":"article-journal","abstract":"Investigations of carcinogenesis have evolved from the identification of clonal driver mutations in candidate genes to the integration of large volumes of genomic and transcriptomic data revealing recurrently altered pathways and signatures of mutational processes. Inactivation of BRCA1, BRCA2, or PALB2 impairs efficient double-strand break repair (DSBR), giving rise to a spectrum of homologous recombination deficiency (HRD) cancer phenotypes. Harnessing HRD therapeutically has been promising in a number of tumors; these approaches include leveraging synthetic lethality by targeting alternative repair pathways via PARP inhibition, inducing HRD to modulate potential tumor vulnerabilities, and preventing mechanisms of drug resistance. It is therefore crucial to develop assays for accurate HRD detection and to broaden the patient population who can avail of novel treatment options.","container-title":"Trends in Molecular Medicine","DOI":"10.1016/j.molmed.2017.10.007","ISSN":"1471-499X","issue":"12","journalAbbreviation":"Trends Mol Med","language":"eng","note":"PMID: 29133135","page":"1121-1137","source":"PubMed","title":"Characterization, Detection, and Treatment Approaches for Homologous Recombination Deficiency in Cancer","volume":"23","author":[{"family":"O'Kane","given":"Grainne M."},{"family":"Connor","given":"Ashton A."},{"family":"Gallinger","given":"Steven"}],"issued":{"date-parts":[["2017"]]}}}],"schema":"https://github.com/citation-style-language/schema/raw/master/csl-citation.json"} </w:instrText>
      </w:r>
      <w:r w:rsidR="0030168F" w:rsidRPr="006F5ABC">
        <w:rPr>
          <w:rFonts w:ascii="Arial" w:hAnsi="Arial" w:cs="Arial"/>
          <w:sz w:val="22"/>
          <w:szCs w:val="22"/>
          <w:lang w:val="en-US"/>
        </w:rPr>
        <w:fldChar w:fldCharType="separate"/>
      </w:r>
      <w:r w:rsidR="0030168F" w:rsidRPr="006F5ABC">
        <w:rPr>
          <w:rFonts w:ascii="Arial" w:hAnsi="Arial" w:cs="Arial"/>
          <w:sz w:val="22"/>
          <w:szCs w:val="22"/>
          <w:lang w:val="en-US"/>
        </w:rPr>
        <w:t>(O’Kane et al., 2017)</w:t>
      </w:r>
      <w:r w:rsidR="0030168F" w:rsidRPr="006F5ABC">
        <w:rPr>
          <w:rFonts w:ascii="Arial" w:hAnsi="Arial" w:cs="Arial"/>
          <w:sz w:val="22"/>
          <w:szCs w:val="22"/>
          <w:lang w:val="en-US"/>
        </w:rPr>
        <w:fldChar w:fldCharType="end"/>
      </w:r>
      <w:r w:rsidR="0030168F" w:rsidRPr="006F5ABC">
        <w:rPr>
          <w:rFonts w:ascii="Arial" w:hAnsi="Arial" w:cs="Arial"/>
          <w:sz w:val="22"/>
          <w:szCs w:val="22"/>
          <w:lang w:val="en-US"/>
        </w:rPr>
        <w:t xml:space="preserve">. Comprehensive protein machinery orchestrates this process with RAD51 paralogs having crucial role in searching for homology and facilitating recruitment of essential proteins like BRCA2 </w:t>
      </w:r>
      <w:r w:rsidR="00C1756F" w:rsidRPr="006F5ABC">
        <w:rPr>
          <w:rFonts w:ascii="Arial" w:hAnsi="Arial" w:cs="Arial"/>
          <w:sz w:val="22"/>
          <w:szCs w:val="22"/>
          <w:lang w:val="en-US"/>
        </w:rPr>
        <w:t>t</w:t>
      </w:r>
      <w:r w:rsidR="0030168F" w:rsidRPr="006F5ABC">
        <w:rPr>
          <w:rFonts w:ascii="Arial" w:hAnsi="Arial" w:cs="Arial"/>
          <w:sz w:val="22"/>
          <w:szCs w:val="22"/>
          <w:lang w:val="en-US"/>
        </w:rPr>
        <w:t xml:space="preserve">o </w:t>
      </w:r>
      <w:r w:rsidR="0069410B" w:rsidRPr="0069410B">
        <w:rPr>
          <w:rFonts w:ascii="Arial" w:hAnsi="Arial" w:cs="Arial"/>
          <w:sz w:val="22"/>
          <w:szCs w:val="22"/>
          <w:lang w:val="en-US"/>
        </w:rPr>
        <w:t>DSBs</w:t>
      </w:r>
      <w:r w:rsidR="0030168F" w:rsidRPr="006F5ABC">
        <w:rPr>
          <w:rFonts w:ascii="Arial" w:hAnsi="Arial" w:cs="Arial"/>
          <w:sz w:val="22"/>
          <w:szCs w:val="22"/>
          <w:lang w:val="en-US"/>
        </w:rPr>
        <w:t xml:space="preserve"> </w:t>
      </w:r>
      <w:r w:rsidR="0030168F" w:rsidRPr="006F5ABC">
        <w:rPr>
          <w:rFonts w:ascii="Arial" w:hAnsi="Arial" w:cs="Arial"/>
          <w:sz w:val="22"/>
          <w:szCs w:val="22"/>
          <w:lang w:val="en-US"/>
        </w:rPr>
        <w:fldChar w:fldCharType="begin"/>
      </w:r>
      <w:r w:rsidR="0030168F" w:rsidRPr="006F5ABC">
        <w:rPr>
          <w:rFonts w:ascii="Arial" w:hAnsi="Arial" w:cs="Arial"/>
          <w:sz w:val="22"/>
          <w:szCs w:val="22"/>
          <w:lang w:val="en-US"/>
        </w:rPr>
        <w:instrText xml:space="preserve"> ADDIN ZOTERO_ITEM CSL_CITATION {"citationID":"yRlpdaez","properties":{"formattedCitation":"(O\\uc0\\u8217{}Kane et al., 2017)","plainCitation":"(O’Kane et al., 2017)","noteIndex":0},"citationItems":[{"id":1049,"uris":["http://zotero.org/users/2484452/items/Y3BU8TIC"],"uri":["http://zotero.org/users/2484452/items/Y3BU8TIC"],"itemData":{"id":1049,"type":"article-journal","abstract":"Investigations of carcinogenesis have evolved from the identification of clonal driver mutations in candidate genes to the integration of large volumes of genomic and transcriptomic data revealing recurrently altered pathways and signatures of mutational processes. Inactivation of BRCA1, BRCA2, or PALB2 impairs efficient double-strand break repair (DSBR), giving rise to a spectrum of homologous recombination deficiency (HRD) cancer phenotypes. Harnessing HRD therapeutically has been promising in a number of tumors; these approaches include leveraging synthetic lethality by targeting alternative repair pathways via PARP inhibition, inducing HRD to modulate potential tumor vulnerabilities, and preventing mechanisms of drug resistance. It is therefore crucial to develop assays for accurate HRD detection and to broaden the patient population who can avail of novel treatment options.","container-title":"Trends in Molecular Medicine","DOI":"10.1016/j.molmed.2017.10.007","ISSN":"1471-499X","issue":"12","journalAbbreviation":"Trends Mol Med","language":"eng","note":"PMID: 29133135","page":"1121-1137","source":"PubMed","title":"Characterization, Detection, and Treatment Approaches for Homologous Recombination Deficiency in Cancer","volume":"23","author":[{"family":"O'Kane","given":"Grainne M."},{"family":"Connor","given":"Ashton A."},{"family":"Gallinger","given":"Steven"}],"issued":{"date-parts":[["2017"]]}}}],"schema":"https://github.com/citation-style-language/schema/raw/master/csl-citation.json"} </w:instrText>
      </w:r>
      <w:r w:rsidR="0030168F" w:rsidRPr="006F5ABC">
        <w:rPr>
          <w:rFonts w:ascii="Arial" w:hAnsi="Arial" w:cs="Arial"/>
          <w:sz w:val="22"/>
          <w:szCs w:val="22"/>
          <w:lang w:val="en-US"/>
        </w:rPr>
        <w:fldChar w:fldCharType="separate"/>
      </w:r>
      <w:r w:rsidR="0030168F" w:rsidRPr="006F5ABC">
        <w:rPr>
          <w:rFonts w:ascii="Arial" w:hAnsi="Arial" w:cs="Arial"/>
          <w:sz w:val="22"/>
          <w:szCs w:val="22"/>
          <w:lang w:val="en-US"/>
        </w:rPr>
        <w:t>(O’Kane et al., 2017)</w:t>
      </w:r>
      <w:r w:rsidR="0030168F" w:rsidRPr="006F5ABC">
        <w:rPr>
          <w:rFonts w:ascii="Arial" w:hAnsi="Arial" w:cs="Arial"/>
          <w:sz w:val="22"/>
          <w:szCs w:val="22"/>
          <w:lang w:val="en-US"/>
        </w:rPr>
        <w:fldChar w:fldCharType="end"/>
      </w:r>
      <w:r w:rsidR="0030168F" w:rsidRPr="006F5ABC">
        <w:rPr>
          <w:rFonts w:ascii="Arial" w:hAnsi="Arial" w:cs="Arial"/>
          <w:sz w:val="22"/>
          <w:szCs w:val="22"/>
          <w:lang w:val="en-US"/>
        </w:rPr>
        <w:t>.</w:t>
      </w:r>
      <w:r w:rsidR="00C1756F" w:rsidRPr="006F5ABC">
        <w:rPr>
          <w:rFonts w:ascii="Arial" w:hAnsi="Arial" w:cs="Arial"/>
          <w:sz w:val="22"/>
          <w:szCs w:val="22"/>
          <w:lang w:val="en-US"/>
        </w:rPr>
        <w:t xml:space="preserve"> Several studies showed</w:t>
      </w:r>
      <w:r w:rsidR="00CE398E" w:rsidRPr="006F5ABC">
        <w:rPr>
          <w:rFonts w:ascii="Arial" w:hAnsi="Arial" w:cs="Arial"/>
          <w:sz w:val="22"/>
          <w:szCs w:val="22"/>
          <w:lang w:val="en-US"/>
        </w:rPr>
        <w:t xml:space="preserve"> direct</w:t>
      </w:r>
      <w:r w:rsidR="00C1756F" w:rsidRPr="006F5ABC">
        <w:rPr>
          <w:rFonts w:ascii="Arial" w:hAnsi="Arial" w:cs="Arial"/>
          <w:sz w:val="22"/>
          <w:szCs w:val="22"/>
          <w:lang w:val="en-US"/>
        </w:rPr>
        <w:t xml:space="preserve"> correlation between polymorphic variants of </w:t>
      </w:r>
      <w:r w:rsidR="00C1756F" w:rsidRPr="006F5ABC">
        <w:rPr>
          <w:rFonts w:ascii="Arial" w:hAnsi="Arial" w:cs="Arial"/>
          <w:i/>
          <w:iCs/>
          <w:sz w:val="22"/>
          <w:szCs w:val="22"/>
          <w:lang w:val="en-US"/>
        </w:rPr>
        <w:t>RAD51</w:t>
      </w:r>
      <w:r w:rsidR="00C1756F" w:rsidRPr="006F5ABC">
        <w:rPr>
          <w:rFonts w:ascii="Arial" w:hAnsi="Arial" w:cs="Arial"/>
          <w:sz w:val="22"/>
          <w:szCs w:val="22"/>
          <w:lang w:val="en-US"/>
        </w:rPr>
        <w:t xml:space="preserve"> paralogs </w:t>
      </w:r>
      <w:r w:rsidR="00C1756F" w:rsidRPr="006F5ABC">
        <w:rPr>
          <w:rFonts w:ascii="Arial" w:hAnsi="Arial" w:cs="Arial"/>
          <w:i/>
          <w:iCs/>
          <w:sz w:val="22"/>
          <w:szCs w:val="22"/>
          <w:lang w:val="en-US"/>
        </w:rPr>
        <w:t>RAD51</w:t>
      </w:r>
      <w:r w:rsidR="00C1756F" w:rsidRPr="006F5ABC">
        <w:rPr>
          <w:rFonts w:ascii="Arial" w:hAnsi="Arial" w:cs="Arial"/>
          <w:sz w:val="22"/>
          <w:szCs w:val="22"/>
          <w:lang w:val="en-US"/>
        </w:rPr>
        <w:t>-</w:t>
      </w:r>
      <w:r w:rsidR="00C1756F" w:rsidRPr="006F5ABC">
        <w:rPr>
          <w:rFonts w:ascii="Arial" w:hAnsi="Arial" w:cs="Arial"/>
          <w:i/>
          <w:iCs/>
          <w:sz w:val="22"/>
          <w:szCs w:val="22"/>
          <w:lang w:val="en-US"/>
        </w:rPr>
        <w:t>135C</w:t>
      </w:r>
      <w:r w:rsidR="00C1756F" w:rsidRPr="006F5ABC">
        <w:rPr>
          <w:rFonts w:ascii="Arial" w:hAnsi="Arial" w:cs="Arial"/>
          <w:sz w:val="22"/>
          <w:szCs w:val="22"/>
          <w:lang w:val="en-US"/>
        </w:rPr>
        <w:t xml:space="preserve"> </w:t>
      </w:r>
      <w:r w:rsidR="00C1756F" w:rsidRPr="006F5ABC">
        <w:rPr>
          <w:rFonts w:ascii="Arial" w:hAnsi="Arial" w:cs="Arial"/>
          <w:sz w:val="22"/>
          <w:szCs w:val="22"/>
          <w:lang w:val="en-US"/>
        </w:rPr>
        <w:fldChar w:fldCharType="begin"/>
      </w:r>
      <w:r w:rsidR="00C1756F" w:rsidRPr="006F5ABC">
        <w:rPr>
          <w:rFonts w:ascii="Arial" w:hAnsi="Arial" w:cs="Arial"/>
          <w:sz w:val="22"/>
          <w:szCs w:val="22"/>
          <w:lang w:val="en-US"/>
        </w:rPr>
        <w:instrText xml:space="preserve"> ADDIN ZOTERO_ITEM CSL_CITATION {"citationID":"OujRnfhC","properties":{"formattedCitation":"(Jawad et al., 2006)","plainCitation":"(Jawad et al., 2006)","noteIndex":0},"citationItems":[{"id":1051,"uris":["http://zotero.org/users/2484452/items/GYXZ5YUI"],"uri":["http://zotero.org/users/2484452/items/GYXZ5YUI"],"itemData":{"id":1051,"type":"article-journal","abstract":"Studies of radiation-induced acute myeloid leukemia (AML) in mice suggest that the number of target stem cells is a risk factor, and the HLX1 homeobox gene, which is important for hematopoietic development, is a candidate gene. The distribution of the C/T-3' untranslated region (UTR) polymorphism in HLX1 in patients with AML and therapy-related AML (t-AML) compared with controls was therefore determined. The presence of the variant HLX1 allele significantly increases the risk of t-AML (OR = 3.36, 95% CI, 1.65-6.84). The DNA repair gene RAD51 (135G/C-5' UTR) polymorphism also increases t-AML risk, and when combined analysis was performed on both RAD51 and HLX1 variant alleles, a synergistic 9.5-fold increase (95% CI, 2.22-40.64) in the risk of t-AML was observed. We suggest that the HLX1 polymorphism has an effect on stem cell numbers, whereas an increased DNA repair capacity (RAD51) will suppress apoptosis, a genetic interaction that may increase the number of genomes at risk during cancer therapy.","container-title":"Blood","DOI":"10.1182/blood-2006-05-022921","ISSN":"0006-4971","issue":"12","journalAbbreviation":"Blood","language":"eng","note":"PMID: 16902145","page":"3916-3918","source":"PubMed","title":"Polymorphisms in human homeobox HLX1 and DNA repair RAD51 genes increase the risk of therapy-related acute myeloid leukemia","volume":"108","author":[{"family":"Jawad","given":"Mays"},{"family":"Seedhouse","given":"Claire Helen"},{"family":"Russell","given":"Nigel"},{"family":"Plumb","given":"Mark"}],"issued":{"date-parts":[["2006",12,1]]}}}],"schema":"https://github.com/citation-style-language/schema/raw/master/csl-citation.json"} </w:instrText>
      </w:r>
      <w:r w:rsidR="00C1756F" w:rsidRPr="006F5ABC">
        <w:rPr>
          <w:rFonts w:ascii="Arial" w:hAnsi="Arial" w:cs="Arial"/>
          <w:sz w:val="22"/>
          <w:szCs w:val="22"/>
          <w:lang w:val="en-US"/>
        </w:rPr>
        <w:fldChar w:fldCharType="separate"/>
      </w:r>
      <w:r w:rsidR="00C1756F" w:rsidRPr="006F5ABC">
        <w:rPr>
          <w:rFonts w:ascii="Arial" w:hAnsi="Arial" w:cs="Arial"/>
          <w:noProof/>
          <w:sz w:val="22"/>
          <w:szCs w:val="22"/>
          <w:lang w:val="en-US"/>
        </w:rPr>
        <w:t>(Jawad et al., 2006)</w:t>
      </w:r>
      <w:r w:rsidR="00C1756F" w:rsidRPr="006F5ABC">
        <w:rPr>
          <w:rFonts w:ascii="Arial" w:hAnsi="Arial" w:cs="Arial"/>
          <w:sz w:val="22"/>
          <w:szCs w:val="22"/>
          <w:lang w:val="en-US"/>
        </w:rPr>
        <w:fldChar w:fldCharType="end"/>
      </w:r>
      <w:r w:rsidR="00C1756F" w:rsidRPr="006F5ABC">
        <w:rPr>
          <w:rFonts w:ascii="Arial" w:hAnsi="Arial" w:cs="Arial"/>
          <w:sz w:val="22"/>
          <w:szCs w:val="22"/>
          <w:lang w:val="en-US"/>
        </w:rPr>
        <w:t xml:space="preserve"> and </w:t>
      </w:r>
      <w:r w:rsidR="00C1756F" w:rsidRPr="006F5ABC">
        <w:rPr>
          <w:rFonts w:ascii="Arial" w:hAnsi="Arial" w:cs="Arial"/>
          <w:i/>
          <w:iCs/>
          <w:sz w:val="22"/>
          <w:szCs w:val="22"/>
          <w:lang w:val="en-US"/>
        </w:rPr>
        <w:t>XRCC3</w:t>
      </w:r>
      <w:r w:rsidR="00C1756F" w:rsidRPr="006F5ABC">
        <w:rPr>
          <w:rFonts w:ascii="Arial" w:hAnsi="Arial" w:cs="Arial"/>
          <w:sz w:val="22"/>
          <w:szCs w:val="22"/>
          <w:lang w:val="en-US"/>
        </w:rPr>
        <w:t>-</w:t>
      </w:r>
      <w:r w:rsidR="00C1756F" w:rsidRPr="006F5ABC">
        <w:rPr>
          <w:rFonts w:ascii="Arial" w:hAnsi="Arial" w:cs="Arial"/>
          <w:i/>
          <w:iCs/>
          <w:sz w:val="22"/>
          <w:szCs w:val="22"/>
          <w:lang w:val="en-US"/>
        </w:rPr>
        <w:t xml:space="preserve">241Met </w:t>
      </w:r>
      <w:r w:rsidR="00C1756F" w:rsidRPr="006F5ABC">
        <w:rPr>
          <w:rFonts w:ascii="Arial" w:hAnsi="Arial" w:cs="Arial"/>
          <w:i/>
          <w:iCs/>
          <w:sz w:val="22"/>
          <w:szCs w:val="22"/>
          <w:lang w:val="en-US"/>
        </w:rPr>
        <w:fldChar w:fldCharType="begin"/>
      </w:r>
      <w:r w:rsidR="00C1756F" w:rsidRPr="006F5ABC">
        <w:rPr>
          <w:rFonts w:ascii="Arial" w:hAnsi="Arial" w:cs="Arial"/>
          <w:i/>
          <w:iCs/>
          <w:sz w:val="22"/>
          <w:szCs w:val="22"/>
          <w:lang w:val="en-US"/>
        </w:rPr>
        <w:instrText xml:space="preserve"> ADDIN ZOTERO_ITEM CSL_CITATION {"citationID":"TRwSKWag","properties":{"formattedCitation":"(Seedhouse et al., 2004)","plainCitation":"(Seedhouse et al., 2004)","noteIndex":0},"citationItems":[{"id":1053,"uris":["http://zotero.org/users/2484452/items/LBWYCXMR"],"uri":["http://zotero.org/users/2484452/items/LBWYCXMR"],"itemData":{"id":1053,"type":"article-journal","abstract":"PURPOSE: Double-strand break repair via homologous recombination is essential in maintaining genetic integrity. RAD51 and XRCC3 are involved in the repair of DNA by this pathway, and polymorphisms have been identified in both the RAD51 (RAD51-G135C) and XRCC3 (XRCC3-Thr241Met) genes. The object of this study was to examine whether these polymorphisms may modulate susceptibility to the development of acute myeloid leukemia (AML), a disease that is characterized by genetic instability.\nEXPERIMENTAL DESIGN: We studied the distribution of polymorphisms in RAD51 and XRCC3 in 216 cases of de novo AML, 51 cases of therapy-related AML (t-AML), and 186 control subjects using PCR followed by restriction enzyme digestion. The polymorphic deletion of the detoxification gene glutathione S-transferase M1 (GSTM1) was also examined by PCR.\nRESULTS: The risk of the development of AML was found to be significantly increased when both variant RAD51-135C and XRCC3-241Met alleles are present [odds ratio (OR), 3.77; 95% confidence interval (CI), 1.39-10.24], whereas the risk of t-AML development is even higher (OR, 8.11; 95% CI, 2.22-29.68), presumably because of the large genotoxic insult these patients receive after their exposure to radiotherapy or chemotherapy. If we further divide the AML group into patients in which the burden of DNA damage is increased, because of the deletion of the GSTM1 gene, the risk of development of AML is further increased (OR, 15.26; 95% CI, 1.83-127.27).\nCONCLUSIONS: These results strongly suggest that DNA double-strand breaks and their repair are important in the pathogenesis of both de novo and t-AML.","container-title":"Clinical Cancer Research: An Official Journal of the American Association for Cancer Research","DOI":"10.1158/1078-0432.ccr-03-0372","ISSN":"1078-0432","issue":"8","journalAbbreviation":"Clin. Cancer Res.","language":"eng","note":"PMID: 15102670","page":"2675-2680","source":"PubMed","title":"Polymorphisms in genes involved in homologous recombination repair interact to increase the risk of developing acute myeloid leukemia","volume":"10","author":[{"family":"Seedhouse","given":"Claire"},{"family":"Faulkner","given":"Rowena"},{"family":"Ashraf","given":"Nadia"},{"family":"Das-Gupta","given":"Emma"},{"family":"Russell","given":"Nigel"}],"issued":{"date-parts":[["2004",4,15]]}}}],"schema":"https://github.com/citation-style-language/schema/raw/master/csl-citation.json"} </w:instrText>
      </w:r>
      <w:r w:rsidR="00C1756F" w:rsidRPr="006F5ABC">
        <w:rPr>
          <w:rFonts w:ascii="Arial" w:hAnsi="Arial" w:cs="Arial"/>
          <w:i/>
          <w:iCs/>
          <w:sz w:val="22"/>
          <w:szCs w:val="22"/>
          <w:lang w:val="en-US"/>
        </w:rPr>
        <w:fldChar w:fldCharType="separate"/>
      </w:r>
      <w:r w:rsidR="00C1756F" w:rsidRPr="006F5ABC">
        <w:rPr>
          <w:rFonts w:ascii="Arial" w:hAnsi="Arial" w:cs="Arial"/>
          <w:i/>
          <w:iCs/>
          <w:noProof/>
          <w:sz w:val="22"/>
          <w:szCs w:val="22"/>
          <w:lang w:val="en-US"/>
        </w:rPr>
        <w:t>(Seedhouse et al., 2004)</w:t>
      </w:r>
      <w:r w:rsidR="00C1756F" w:rsidRPr="006F5ABC">
        <w:rPr>
          <w:rFonts w:ascii="Arial" w:hAnsi="Arial" w:cs="Arial"/>
          <w:i/>
          <w:iCs/>
          <w:sz w:val="22"/>
          <w:szCs w:val="22"/>
          <w:lang w:val="en-US"/>
        </w:rPr>
        <w:fldChar w:fldCharType="end"/>
      </w:r>
      <w:r w:rsidR="00C1756F" w:rsidRPr="006F5ABC">
        <w:rPr>
          <w:rFonts w:ascii="Arial" w:hAnsi="Arial" w:cs="Arial"/>
          <w:i/>
          <w:iCs/>
          <w:sz w:val="22"/>
          <w:szCs w:val="22"/>
          <w:lang w:val="en-US"/>
        </w:rPr>
        <w:t xml:space="preserve"> </w:t>
      </w:r>
      <w:r w:rsidR="00C1756F" w:rsidRPr="006F5ABC">
        <w:rPr>
          <w:rFonts w:ascii="Arial" w:hAnsi="Arial" w:cs="Arial"/>
          <w:sz w:val="22"/>
          <w:szCs w:val="22"/>
          <w:lang w:val="en-US"/>
        </w:rPr>
        <w:t>and incidence of t-AML</w:t>
      </w:r>
      <w:r w:rsidR="00CE398E" w:rsidRPr="006F5ABC">
        <w:rPr>
          <w:rFonts w:ascii="Arial" w:hAnsi="Arial" w:cs="Arial"/>
          <w:sz w:val="22"/>
          <w:szCs w:val="22"/>
          <w:lang w:val="en-US"/>
        </w:rPr>
        <w:t xml:space="preserve"> and </w:t>
      </w:r>
      <w:r w:rsidR="00CE398E" w:rsidRPr="006F5ABC">
        <w:rPr>
          <w:rFonts w:ascii="Arial" w:hAnsi="Arial" w:cs="Arial"/>
          <w:i/>
          <w:iCs/>
          <w:sz w:val="22"/>
          <w:szCs w:val="22"/>
          <w:lang w:val="en-US"/>
        </w:rPr>
        <w:t>de novo</w:t>
      </w:r>
      <w:r w:rsidR="00CE398E" w:rsidRPr="006F5ABC">
        <w:rPr>
          <w:rFonts w:ascii="Arial" w:hAnsi="Arial" w:cs="Arial"/>
          <w:sz w:val="22"/>
          <w:szCs w:val="22"/>
          <w:lang w:val="en-US"/>
        </w:rPr>
        <w:t xml:space="preserve"> AML </w:t>
      </w:r>
      <w:r w:rsidR="00CE398E" w:rsidRPr="006F5ABC">
        <w:rPr>
          <w:rFonts w:ascii="Arial" w:hAnsi="Arial" w:cs="Arial"/>
          <w:sz w:val="22"/>
          <w:szCs w:val="22"/>
          <w:lang w:val="en-US"/>
        </w:rPr>
        <w:fldChar w:fldCharType="begin"/>
      </w:r>
      <w:r w:rsidR="00CE398E" w:rsidRPr="006F5ABC">
        <w:rPr>
          <w:rFonts w:ascii="Arial" w:hAnsi="Arial" w:cs="Arial"/>
          <w:sz w:val="22"/>
          <w:szCs w:val="22"/>
          <w:lang w:val="en-US"/>
        </w:rPr>
        <w:instrText xml:space="preserve"> ADDIN ZOTERO_ITEM CSL_CITATION {"citationID":"LQtwmyTo","properties":{"formattedCitation":"(Hamdy et al., 2011)","plainCitation":"(Hamdy et al., 2011)","noteIndex":0},"citationItems":[{"id":1056,"uris":["http://zotero.org/users/2484452/items/H5T3XZWA"],"uri":["http://zotero.org/users/2484452/items/H5T3XZWA"],"itemData":{"id":1056,"type":"article-journal","abstract":"RAD51 (Rec A homolog of E. coli) is a polymorphic gene and one of the central proteins in homologous recombination-DNA-double-stand breaks (HR-DNA-DSB) repair pathway, which is vital in maintaining genetic stability within a cell. The x-ray repair cross complementing (XRCC3) protein also functions in HR-DNA-DSB repair pathway and directly interacts with and stabilizes RAD51 and the closely related RAD51C. The aim of this study was to determine the prevalence of the RAD51 and XRCC3 repair gene polymorphisms among acute myeloid leukemia (AML) patients and to define their role in development of AML and its correlation with the clinical presentation, laboratory data as well as treatment outcome using polymerase chain reaction-restriction fragment length polymorphism assay in 50 de novo AML patients as well as 30 healthy subjects as a control group. Our study revealed that RAD51 G135C and XRCC3 Thr241Met alleles were associated with increased risk of AML with odds ratio (OR) of 2.833 and 2.909 and 95% confidence interval (CI) of 1.527 to 8.983 and 1.761 to 9.788, respectively. Moreover, when combining the 2 genes polymorphisms, a significant elevation of the risk of AML was found with OR of 3.124 and 95% CI of 1.872 to 11.243. As regards treatment outcome, a highly statistical significant difference was found between XRCC3 genotypes with P value of 0.001, whereas no significant difference was present between RAD51 genotypes with P value of 0.29. This clarifies that XRCC3 gene polymorphisms was found to have a significant impact on the risk of treatment failure with OR of 3.560 and 95% CI of 1.167 to 10.875; however, RAD51 gene polymorphism was not found to have an equivalent effect with OR of 2.813 and 95% CI of 0.933 to 10.828. So XRCC3 gene polymorphism might be considered as a prognostic marker in AML. In conclusion, RAD51 and XRCC3 genes polymorphisms may play an important role in the development of AML.","container-title":"Journal of Investigative Medicine: The Official Publication of the American Federation for Clinical Research","DOI":"10.2310/JIM.0b013e3182281da3","ISSN":"1708-8267","issue":"7","journalAbbreviation":"J. Investig. Med.","language":"eng","note":"PMID: 21725251","page":"1124-1130","source":"PubMed","title":"RAD51 and XRCC3 gene polymorphisms and the risk of developing acute myeloid leukemia","volume":"59","author":[{"family":"Hamdy","given":"Mona S."},{"family":"El-Haddad","given":"Alaa M."},{"family":"Bahaa El-Din","given":"Neveen M."},{"family":"Makhlouf","given":"Manal Mohamed"},{"family":"Abdel-Hamid","given":"Samah M."}],"issued":{"date-parts":[["2011",10]]}}}],"schema":"https://github.com/citation-style-language/schema/raw/master/csl-citation.json"} </w:instrText>
      </w:r>
      <w:r w:rsidR="00CE398E" w:rsidRPr="006F5ABC">
        <w:rPr>
          <w:rFonts w:ascii="Arial" w:hAnsi="Arial" w:cs="Arial"/>
          <w:sz w:val="22"/>
          <w:szCs w:val="22"/>
          <w:lang w:val="en-US"/>
        </w:rPr>
        <w:fldChar w:fldCharType="separate"/>
      </w:r>
      <w:r w:rsidR="00CE398E" w:rsidRPr="006F5ABC">
        <w:rPr>
          <w:rFonts w:ascii="Arial" w:hAnsi="Arial" w:cs="Arial"/>
          <w:noProof/>
          <w:sz w:val="22"/>
          <w:szCs w:val="22"/>
          <w:lang w:val="en-US"/>
        </w:rPr>
        <w:t>(Hamdy et al., 2011)</w:t>
      </w:r>
      <w:r w:rsidR="00CE398E" w:rsidRPr="006F5ABC">
        <w:rPr>
          <w:rFonts w:ascii="Arial" w:hAnsi="Arial" w:cs="Arial"/>
          <w:sz w:val="22"/>
          <w:szCs w:val="22"/>
          <w:lang w:val="en-US"/>
        </w:rPr>
        <w:fldChar w:fldCharType="end"/>
      </w:r>
      <w:r w:rsidR="00CE398E" w:rsidRPr="006F5ABC">
        <w:rPr>
          <w:rFonts w:ascii="Arial" w:hAnsi="Arial" w:cs="Arial"/>
          <w:sz w:val="22"/>
          <w:szCs w:val="22"/>
          <w:lang w:val="en-US"/>
        </w:rPr>
        <w:t xml:space="preserve">. Besides HR, as outlined in 1.1.2, polymorphisms of base excision repair enzymes like </w:t>
      </w:r>
      <w:r w:rsidR="00CE398E" w:rsidRPr="006F5ABC">
        <w:rPr>
          <w:rFonts w:ascii="Arial" w:hAnsi="Arial" w:cs="Arial"/>
          <w:i/>
          <w:iCs/>
          <w:sz w:val="22"/>
          <w:szCs w:val="22"/>
          <w:lang w:val="en-US"/>
        </w:rPr>
        <w:t>OGG1</w:t>
      </w:r>
      <w:r w:rsidR="00CE398E" w:rsidRPr="006F5ABC">
        <w:rPr>
          <w:rFonts w:ascii="Arial" w:hAnsi="Arial" w:cs="Arial"/>
          <w:sz w:val="22"/>
          <w:szCs w:val="22"/>
          <w:lang w:val="en-US"/>
        </w:rPr>
        <w:t xml:space="preserve"> have been proven to have functions in preleukemia etiology. </w:t>
      </w:r>
      <w:r w:rsidR="002A610D" w:rsidRPr="006F5ABC">
        <w:rPr>
          <w:rFonts w:ascii="Arial" w:hAnsi="Arial" w:cs="Arial"/>
          <w:sz w:val="22"/>
          <w:szCs w:val="22"/>
          <w:lang w:val="en-US"/>
        </w:rPr>
        <w:t xml:space="preserve">Another protein involved in efficient repair of single-stranded DNA (ssDNA) breaks is XRCC1, which acts as scaffolding protein for multiple repair enzymes </w:t>
      </w:r>
      <w:r w:rsidR="002A610D" w:rsidRPr="006F5ABC">
        <w:rPr>
          <w:rFonts w:ascii="Arial" w:hAnsi="Arial" w:cs="Arial"/>
          <w:sz w:val="22"/>
          <w:szCs w:val="22"/>
          <w:lang w:val="en-US"/>
        </w:rPr>
        <w:fldChar w:fldCharType="begin"/>
      </w:r>
      <w:r w:rsidR="002A610D" w:rsidRPr="006F5ABC">
        <w:rPr>
          <w:rFonts w:ascii="Arial" w:hAnsi="Arial" w:cs="Arial"/>
          <w:sz w:val="22"/>
          <w:szCs w:val="22"/>
          <w:lang w:val="en-US"/>
        </w:rPr>
        <w:instrText xml:space="preserve"> ADDIN ZOTERO_ITEM CSL_CITATION {"citationID":"gO8kGY1v","properties":{"formattedCitation":"(London, 2015)","plainCitation":"(London, 2015)","noteIndex":0},"citationItems":[{"id":1058,"uris":["http://zotero.org/users/2484452/items/KFL6CB9K"],"uri":["http://zotero.org/users/2484452/items/KFL6CB9K"],"itemData":{"id":1058,"type":"article-journal","abstract":"Scaffold proteins play a central role in DNA repair by recruiting and organizing sets of enzymes required to perform multi-step repair processes. X-ray cross complementing group 1 protein (XRCC1) forms enzyme complexes optimized for single-strand break repair, but participates in other repair pathways as well. Available structural data for XRCC1 interactions is summarized and evaluated in terms of its proposed roles in DNA repair. Mutational approaches related to the abrogation of specific XRCC1 interactions are also discussed. Although substantial progress has been made in elucidating the structural basis for XRCC1 function, the molecular mechanisms of XRCC1 recruitment related to several proposed roles of the XRCC1 DNA repair complex remain undetermined.","container-title":"DNA repair","DOI":"10.1016/j.dnarep.2015.02.005","ISSN":"1568-7864","journalAbbreviation":"DNA Repair (Amst)","note":"PMID: 25795425\nPMCID: PMC5580684","page":"90-103","source":"PubMed Central","title":"The structural basis of XRCC1-mediated DNA repair","volume":"30","author":[{"family":"London","given":"Robert E."}],"issued":{"date-parts":[["2015",6]]}}}],"schema":"https://github.com/citation-style-language/schema/raw/master/csl-citation.json"} </w:instrText>
      </w:r>
      <w:r w:rsidR="002A610D" w:rsidRPr="006F5ABC">
        <w:rPr>
          <w:rFonts w:ascii="Arial" w:hAnsi="Arial" w:cs="Arial"/>
          <w:sz w:val="22"/>
          <w:szCs w:val="22"/>
          <w:lang w:val="en-US"/>
        </w:rPr>
        <w:fldChar w:fldCharType="separate"/>
      </w:r>
      <w:r w:rsidR="002A610D" w:rsidRPr="006F5ABC">
        <w:rPr>
          <w:rFonts w:ascii="Arial" w:hAnsi="Arial" w:cs="Arial"/>
          <w:noProof/>
          <w:sz w:val="22"/>
          <w:szCs w:val="22"/>
          <w:lang w:val="en-US"/>
        </w:rPr>
        <w:t>(London, 2015)</w:t>
      </w:r>
      <w:r w:rsidR="002A610D" w:rsidRPr="006F5ABC">
        <w:rPr>
          <w:rFonts w:ascii="Arial" w:hAnsi="Arial" w:cs="Arial"/>
          <w:sz w:val="22"/>
          <w:szCs w:val="22"/>
          <w:lang w:val="en-US"/>
        </w:rPr>
        <w:fldChar w:fldCharType="end"/>
      </w:r>
      <w:r w:rsidR="002A610D" w:rsidRPr="006F5ABC">
        <w:rPr>
          <w:rFonts w:ascii="Arial" w:hAnsi="Arial" w:cs="Arial"/>
          <w:sz w:val="22"/>
          <w:szCs w:val="22"/>
          <w:lang w:val="en-US"/>
        </w:rPr>
        <w:t xml:space="preserve">. Two polymorphisms </w:t>
      </w:r>
      <w:r w:rsidR="002A610D" w:rsidRPr="006F5ABC">
        <w:rPr>
          <w:rFonts w:ascii="Arial" w:hAnsi="Arial" w:cs="Arial"/>
          <w:i/>
          <w:iCs/>
          <w:sz w:val="22"/>
          <w:szCs w:val="22"/>
          <w:lang w:val="en-US"/>
        </w:rPr>
        <w:t>Arg194Trp</w:t>
      </w:r>
      <w:r w:rsidR="002A610D" w:rsidRPr="006F5ABC">
        <w:rPr>
          <w:rFonts w:ascii="Arial" w:hAnsi="Arial" w:cs="Arial"/>
          <w:sz w:val="22"/>
          <w:szCs w:val="22"/>
          <w:lang w:val="en-US"/>
        </w:rPr>
        <w:t xml:space="preserve"> and </w:t>
      </w:r>
      <w:r w:rsidR="002A610D" w:rsidRPr="006F5ABC">
        <w:rPr>
          <w:rFonts w:ascii="Arial" w:hAnsi="Arial" w:cs="Arial"/>
          <w:i/>
          <w:iCs/>
          <w:sz w:val="22"/>
          <w:szCs w:val="22"/>
          <w:lang w:val="en-US"/>
        </w:rPr>
        <w:t>Arg399Gln</w:t>
      </w:r>
      <w:r w:rsidR="002A610D" w:rsidRPr="006F5ABC">
        <w:rPr>
          <w:rFonts w:ascii="Arial" w:hAnsi="Arial" w:cs="Arial"/>
          <w:sz w:val="22"/>
          <w:szCs w:val="22"/>
          <w:lang w:val="en-US"/>
        </w:rPr>
        <w:t xml:space="preserve"> affecting functions of this protein has been linked to genetic predisposition for AML </w:t>
      </w:r>
      <w:r w:rsidR="002A610D" w:rsidRPr="006F5ABC">
        <w:rPr>
          <w:rFonts w:ascii="Arial" w:hAnsi="Arial" w:cs="Arial"/>
          <w:sz w:val="22"/>
          <w:szCs w:val="22"/>
          <w:lang w:val="en-US"/>
        </w:rPr>
        <w:fldChar w:fldCharType="begin"/>
      </w:r>
      <w:r w:rsidR="002A610D" w:rsidRPr="006F5ABC">
        <w:rPr>
          <w:rFonts w:ascii="Arial" w:hAnsi="Arial" w:cs="Arial"/>
          <w:sz w:val="22"/>
          <w:szCs w:val="22"/>
          <w:lang w:val="en-US"/>
        </w:rPr>
        <w:instrText xml:space="preserve"> ADDIN ZOTERO_ITEM CSL_CITATION {"citationID":"OjjgM6gK","properties":{"formattedCitation":"(B\\uc0\\u259{}nescu et al., 2014, p. 1)","plainCitation":"(Bănescu et al., 2014, p. 1)","noteIndex":0},"citationItems":[{"id":1061,"uris":["http://zotero.org/users/2484452/items/VYRT3UYK"],"uri":["http://zotero.org/users/2484452/items/VYRT3UYK"],"itemData":{"id":1061,"type":"article-journal","abstract":"In the base excision repair pathway, the predominant DNA damage repair mechanism, X-ray repair cross-complementing group 1 (XRCC1) gene, has a crucial role. Defects in repair pathways are involved in cancer pathogenesis. Therefore, DNA repair genes might be involved in acute myeloid leukemia (AML) susceptibility. Our study aimed to evaluate the relationship between XRCC1 Arg194Trp, Arg280His and Arg399Gln polymorphisms and AML. Sixty-nine patients with AML and 147 healthy controls were included. We noted a significant association between the polymorphisms Arg194Trp (p-value = 0.0002 for Trp allele) and Arg399Gln (p-value = 0.003 for Gln allele) and AML risk. There was a significantly better overall survival among patients with AML with wild-type homozygous compared to those with at least one variant allele in the case of Arg194Trp (p-value = 0.0019) and Arg399Gln polymorphisms (p-value = 0.049). Our study suggests the involvement of XRCC1 Arg194Trp and Arg399Gln polymorphisms in the genetic predisposition to AML. These two XRCC1 polymorphisms could also be prognostic markers in AML as they were significantly associated with overall survival.","container-title":"Leukemia &amp; Lymphoma","DOI":"10.3109/10428194.2013.802781","ISSN":"1029-2403","issue":"2","journalAbbreviation":"Leuk. Lymphoma","language":"eng","note":"PMID: 23662987","page":"365-370","source":"PubMed","title":"XRCC1 Arg194Trp and Arg399Gln polymorphisms are significantly associated with shorter survival in acute myeloid leukemia","volume":"55","author":[{"family":"Bănescu","given":"Claudia"},{"family":"Duicu","given":"Carmen"},{"family":"Trifa","given":"Adrian P."},{"family":"Dobreanu","given":"Minodora"}],"issued":{"date-parts":[["2014",2]]}},"locator":"1"}],"schema":"https://github.com/citation-style-language/schema/raw/master/csl-citation.json"} </w:instrText>
      </w:r>
      <w:r w:rsidR="002A610D" w:rsidRPr="006F5ABC">
        <w:rPr>
          <w:rFonts w:ascii="Arial" w:hAnsi="Arial" w:cs="Arial"/>
          <w:sz w:val="22"/>
          <w:szCs w:val="22"/>
          <w:lang w:val="en-US"/>
        </w:rPr>
        <w:fldChar w:fldCharType="separate"/>
      </w:r>
      <w:r w:rsidR="002A610D" w:rsidRPr="006F5ABC">
        <w:rPr>
          <w:rFonts w:ascii="Arial" w:hAnsi="Arial" w:cs="Arial"/>
          <w:sz w:val="22"/>
          <w:szCs w:val="22"/>
          <w:lang w:val="en-US"/>
        </w:rPr>
        <w:t>(Bănescu et al., 2014, p. 1)</w:t>
      </w:r>
      <w:r w:rsidR="002A610D" w:rsidRPr="006F5ABC">
        <w:rPr>
          <w:rFonts w:ascii="Arial" w:hAnsi="Arial" w:cs="Arial"/>
          <w:sz w:val="22"/>
          <w:szCs w:val="22"/>
          <w:lang w:val="en-US"/>
        </w:rPr>
        <w:fldChar w:fldCharType="end"/>
      </w:r>
      <w:r w:rsidR="002A610D" w:rsidRPr="006F5ABC">
        <w:rPr>
          <w:rFonts w:ascii="Arial" w:hAnsi="Arial" w:cs="Arial"/>
          <w:sz w:val="22"/>
          <w:szCs w:val="22"/>
          <w:lang w:val="en-US"/>
        </w:rPr>
        <w:t xml:space="preserve"> and higher accumulation of DNA damage </w:t>
      </w:r>
      <w:r w:rsidR="002A610D" w:rsidRPr="006F5ABC">
        <w:rPr>
          <w:rFonts w:ascii="Arial" w:hAnsi="Arial" w:cs="Arial"/>
          <w:sz w:val="22"/>
          <w:szCs w:val="22"/>
          <w:lang w:val="en-US"/>
        </w:rPr>
        <w:fldChar w:fldCharType="begin"/>
      </w:r>
      <w:r w:rsidR="002A610D" w:rsidRPr="006F5ABC">
        <w:rPr>
          <w:rFonts w:ascii="Arial" w:hAnsi="Arial" w:cs="Arial"/>
          <w:sz w:val="22"/>
          <w:szCs w:val="22"/>
          <w:lang w:val="en-US"/>
        </w:rPr>
        <w:instrText xml:space="preserve"> ADDIN ZOTERO_ITEM CSL_CITATION {"citationID":"u475MBQr","properties":{"formattedCitation":"(Wang et al., 2003)","plainCitation":"(Wang et al., 2003)","noteIndex":0},"citationItems":[{"id":1063,"uris":["http://zotero.org/users/2484452/items/BJCV56K2"],"uri":["http://zotero.org/users/2484452/items/BJCV56K2"],"itemData":{"id":1063,"type":"article-journal","abstract":"This study correlated the extent of induced in vitro chromosomal damage, assessed by the mutagen sensitivity assay, with genotypes of the X-ray repair cross complementing group 1 (XRCC1) gene, which encodes for a base excision repair protein. There are two common polymorphisms that cause amino acid substitutions in XRCC1, one at codon 194 in exon 6 and another at codon 399 in exon 10. We genotyped these two polymorphisms in 524 healthy subjects and performed mutagen sensitivity assays using both bleomycin and benzo[a]pyrene-diol-epoxide (BPDE) as challenge mutagens. Our results showed that individuals with the wildtype exon 6 Arg/Arg exhibited significantly higher values of chromosomal breaks per cell (b/c) than those with one or two variant Trp alleles (P=0.005 for bleomycin and P=0.05 for BPDE). For the exon 10 polymorphism, subjects who were Gln/Gln homozygotes had higher b/c than did those with other genotypes, with evidence of a gene dosage effect. When we combined the two polymorphic sites and used the exon 6 Arg/Trp and Trp/Trp and exon 10 Arg/Arg genotypes as the reference category, these differences were enhanced for bleomycin sensitivity (P for trend = 0.032), but not for BPDE sensitivity (P for trend = 0.821). These data are biologically plausible since codon 399 is located within the BRCA1 C-terminus functional domain and codon 194 is in the linker region of the XRCC1 N-terminal functional domain. To our knowledge, this is the largest study conducted evaluating the functional relevance of these polymorphisms.","container-title":"DNA repair","DOI":"10.1016/s1568-7864(03)00085-5","ISSN":"1568-7864","issue":"8","journalAbbreviation":"DNA Repair (Amst.)","language":"eng","note":"PMID: 12893086","page":"901-908","source":"PubMed","title":"From genotype to phenotype: correlating XRCC1 polymorphisms with mutagen sensitivity","title-short":"From genotype to phenotype","volume":"2","author":[{"family":"Wang","given":"Yunfei"},{"family":"Spitz","given":"Margaret R."},{"family":"Zhu","given":"Yong"},{"family":"Dong","given":"Qiong"},{"family":"Shete","given":"Sanjay"},{"family":"Wu","given":"Xifeng"}],"issued":{"date-parts":[["2003",8,12]]}}}],"schema":"https://github.com/citation-style-language/schema/raw/master/csl-citation.json"} </w:instrText>
      </w:r>
      <w:r w:rsidR="002A610D" w:rsidRPr="006F5ABC">
        <w:rPr>
          <w:rFonts w:ascii="Arial" w:hAnsi="Arial" w:cs="Arial"/>
          <w:sz w:val="22"/>
          <w:szCs w:val="22"/>
          <w:lang w:val="en-US"/>
        </w:rPr>
        <w:fldChar w:fldCharType="separate"/>
      </w:r>
      <w:r w:rsidR="002A610D" w:rsidRPr="006F5ABC">
        <w:rPr>
          <w:rFonts w:ascii="Arial" w:hAnsi="Arial" w:cs="Arial"/>
          <w:noProof/>
          <w:sz w:val="22"/>
          <w:szCs w:val="22"/>
          <w:lang w:val="en-US"/>
        </w:rPr>
        <w:t>(Wang et al., 2003)</w:t>
      </w:r>
      <w:r w:rsidR="002A610D" w:rsidRPr="006F5ABC">
        <w:rPr>
          <w:rFonts w:ascii="Arial" w:hAnsi="Arial" w:cs="Arial"/>
          <w:sz w:val="22"/>
          <w:szCs w:val="22"/>
          <w:lang w:val="en-US"/>
        </w:rPr>
        <w:fldChar w:fldCharType="end"/>
      </w:r>
      <w:r w:rsidR="002A610D" w:rsidRPr="006F5ABC">
        <w:rPr>
          <w:rFonts w:ascii="Arial" w:hAnsi="Arial" w:cs="Arial"/>
          <w:sz w:val="22"/>
          <w:szCs w:val="22"/>
          <w:lang w:val="en-US"/>
        </w:rPr>
        <w:t>.</w:t>
      </w:r>
      <w:r w:rsidR="0063650A" w:rsidRPr="006F5ABC">
        <w:rPr>
          <w:rFonts w:ascii="Arial" w:hAnsi="Arial" w:cs="Arial"/>
          <w:sz w:val="22"/>
          <w:szCs w:val="22"/>
          <w:lang w:val="en-US"/>
        </w:rPr>
        <w:t xml:space="preserve"> </w:t>
      </w:r>
      <w:r w:rsidR="00E1305A" w:rsidRPr="006F5ABC">
        <w:rPr>
          <w:rFonts w:ascii="Arial" w:hAnsi="Arial" w:cs="Arial"/>
          <w:sz w:val="22"/>
          <w:szCs w:val="22"/>
          <w:lang w:val="en-US"/>
        </w:rPr>
        <w:t xml:space="preserve">Additionally polymorphisms </w:t>
      </w:r>
      <w:r w:rsidR="00E1305A" w:rsidRPr="006F5ABC">
        <w:rPr>
          <w:rFonts w:ascii="Arial" w:hAnsi="Arial" w:cs="Arial"/>
          <w:i/>
          <w:iCs/>
          <w:sz w:val="22"/>
          <w:szCs w:val="22"/>
          <w:lang w:val="en-US"/>
        </w:rPr>
        <w:t>XPD Lys751Gln</w:t>
      </w:r>
      <w:r w:rsidR="00E1305A" w:rsidRPr="006F5ABC">
        <w:rPr>
          <w:rFonts w:ascii="Arial" w:hAnsi="Arial" w:cs="Arial"/>
          <w:sz w:val="22"/>
          <w:szCs w:val="22"/>
          <w:lang w:val="en-US"/>
        </w:rPr>
        <w:t xml:space="preserve"> and </w:t>
      </w:r>
      <w:r w:rsidR="00E1305A" w:rsidRPr="006F5ABC">
        <w:rPr>
          <w:rFonts w:ascii="Arial" w:hAnsi="Arial" w:cs="Arial"/>
          <w:i/>
          <w:iCs/>
          <w:sz w:val="22"/>
          <w:szCs w:val="22"/>
          <w:lang w:val="en-US"/>
        </w:rPr>
        <w:t>XPC Ala499Val</w:t>
      </w:r>
      <w:r w:rsidR="00E1305A" w:rsidRPr="006F5ABC">
        <w:rPr>
          <w:rFonts w:ascii="Arial" w:hAnsi="Arial" w:cs="Arial"/>
          <w:sz w:val="22"/>
          <w:szCs w:val="22"/>
          <w:lang w:val="en-US"/>
        </w:rPr>
        <w:t xml:space="preserve"> involved in ssDNA damage repair through nucleotide excision repair were likewise increasing risk of t-AML and could be also used as a prognostic markers as they were significantly associated with </w:t>
      </w:r>
      <w:r w:rsidR="006123CE" w:rsidRPr="006F5ABC">
        <w:rPr>
          <w:rFonts w:ascii="Arial" w:hAnsi="Arial" w:cs="Arial"/>
          <w:sz w:val="22"/>
          <w:szCs w:val="22"/>
          <w:lang w:val="en-US"/>
        </w:rPr>
        <w:t xml:space="preserve">decreased </w:t>
      </w:r>
      <w:r w:rsidR="00E1305A" w:rsidRPr="006F5ABC">
        <w:rPr>
          <w:rFonts w:ascii="Arial" w:hAnsi="Arial" w:cs="Arial"/>
          <w:sz w:val="22"/>
          <w:szCs w:val="22"/>
          <w:lang w:val="en-US"/>
        </w:rPr>
        <w:t xml:space="preserve">overall survival </w:t>
      </w:r>
      <w:r w:rsidR="00E1305A" w:rsidRPr="006F5ABC">
        <w:rPr>
          <w:rFonts w:ascii="Arial" w:hAnsi="Arial" w:cs="Arial"/>
          <w:sz w:val="22"/>
          <w:szCs w:val="22"/>
          <w:lang w:val="en-US"/>
        </w:rPr>
        <w:fldChar w:fldCharType="begin"/>
      </w:r>
      <w:r w:rsidR="00E1305A" w:rsidRPr="006F5ABC">
        <w:rPr>
          <w:rFonts w:ascii="Arial" w:hAnsi="Arial" w:cs="Arial"/>
          <w:sz w:val="22"/>
          <w:szCs w:val="22"/>
          <w:lang w:val="en-US"/>
        </w:rPr>
        <w:instrText xml:space="preserve"> ADDIN ZOTERO_ITEM CSL_CITATION {"citationID":"Cb6Pw9f0","properties":{"formattedCitation":"(Allan et al., 2004; Strom et al., 2010)","plainCitation":"(Allan et al., 2004; Strom et al., 2010)","noteIndex":0},"citationItems":[{"id":1065,"uris":["http://zotero.org/users/2484452/items/94Y9G7G7"],"uri":["http://zotero.org/users/2484452/items/94Y9G7G7"],"itemData":{"id":1065,"type":"article-journal","abstract":"The xeroderma pigmentosum group D (XPD) gene encodes a DNA helicase that functions in nucleotide excision repair of chemotherapy-induced DNA damage, the efficiency of which is predicted to be affected by a lysine to glutamine variant at codon 751. We hypothesized that this constitutive genetic variant may modify clinical response to chemotherapy, and we have examined its association with outcome following chemotherapy for acute myeloid leukemia (AML) in 341 elderly patients entered into the United Kingdom Medical Research Council AML 11 trial, and with the risk of developing chemotherapy-related AML. Among subjects treated for AML, disease-free survival at one year was 44% for lysine homozygotes, compared with 36% for heterozygotes and 16% for glutamine homozygotes (hazard ratio [HR], 1.30; 95% confidence interval [CI], 1.01-1.70; P = .04). Similarly, overall survival at one year was 38% for lysine homozygotes, 35% for heterozygotes, and 23% for glutamine homozygotes (HR, 1.18; 95% CI, 0.99-1.41; P = .07). Furthermore, homozygosity for the XPD codon 751 glutamine variant was associated with a significantly increased risk of developing AML after chemotherapy (odds ratio, 2.22 for Gln/Gln vs Lys/Lys; 95% CI, 1.04-4.74). These data suggest that the XPD codon 751 glutamine variant protects against myeloid cell death after chemotherapy.","container-title":"Blood","DOI":"10.1182/blood-2004-06-2161","ISSN":"0006-4971","issue":"13","journalAbbreviation":"Blood","language":"eng","note":"PMID: 15339847","page":"3872-3877","source":"PubMed","title":"Genetic variation in XPD predicts treatment outcome and risk of acute myeloid leukemia following chemotherapy","volume":"104","author":[{"family":"Allan","given":"James M."},{"family":"Smith","given":"Alexandra G."},{"family":"Wheatley","given":"Keith"},{"family":"Hills","given":"Robert K."},{"family":"Travis","given":"Lois B."},{"family":"Hill","given":"Deirdre A."},{"family":"Swirsky","given":"David M."},{"family":"Morgan","given":"Gareth J."},{"family":"Wild","given":"Christopher P."}],"issued":{"date-parts":[["2004",12,15]]}}},{"id":1067,"uris":["http://zotero.org/users/2484452/items/IE625BWP"],"uri":["http://zotero.org/users/2484452/items/IE625BWP"],"itemData":{"id":1067,"type":"article-journal","abstract":"In acute myeloid leukemia (AML), cytogenetics predicts treatment outcome for the favorable and poor subgroups but not for the intermediate subgroup. Polymorphisms within the nucleotide excision repair (NER) pathway may lead to interindividual differences in DNA repair capacity, influencing outcome. We studied the role of six polymorphisms (ERCC1 Gln504Lys, XPD Lys751Gln, XPC Ala499Val, XPC Lys939Gln, XPG Asp1104His, and CCNH Val270Ala) in overall and disease-free survival among 170 adult de novo patients with intermediate cytogenetics (diploid [n = 117]; non-diploid [n = 53]), treated with induction chemotherapy. Kaplan-Meier and Cox proportional hazards models were performed. Diploid patients with the XPD AC/CC genotype survived shorter than those with the wild-type genotype (median survival 22 vs. 40 months, p = 0.03). Diploid patients with XPC CT/TT genotype survived shorter than those with the wild-type genotype (median survival 15 vs. 30 months, p = 0.02). After adjusting for clinical and sociodemographic variables, patients carrying both XPD AC/CC and XPC CT/TT had a greater than two-fold increased risk of dying, compared to those with the wild-type genotypes (HR = 2.49; 95% CI: 1.06-5.85). No associations were observed for disease-free survival. This combined genotype may modulate treatment effect, decreasing overall survival. These findings could in the future help select treatments for patients with normal cytogenetics.","container-title":"Leukemia &amp; Lymphoma","DOI":"10.3109/10428190903582804","ISSN":"1029-2403","issue":"4","journalAbbreviation":"Leuk. Lymphoma","language":"eng","note":"PMID: 20141440\nPMCID: PMC2918264","page":"598-605","source":"PubMed","title":"Acute myeloid leukemia outcome: role of nucleotide excision repair polymorphisms in intermediate risk patients","title-short":"Acute myeloid leukemia outcome","volume":"51","author":[{"family":"Strom","given":"Sara S."},{"family":"Estey","given":"Elihu"},{"family":"Outschoorn","given":"Ubaldo Martinez"},{"family":"Garcia-Manero","given":"Guillermo"}],"issued":{"date-parts":[["2010",4]]}}}],"schema":"https://github.com/citation-style-language/schema/raw/master/csl-citation.json"} </w:instrText>
      </w:r>
      <w:r w:rsidR="00E1305A" w:rsidRPr="006F5ABC">
        <w:rPr>
          <w:rFonts w:ascii="Arial" w:hAnsi="Arial" w:cs="Arial"/>
          <w:sz w:val="22"/>
          <w:szCs w:val="22"/>
          <w:lang w:val="en-US"/>
        </w:rPr>
        <w:fldChar w:fldCharType="separate"/>
      </w:r>
      <w:r w:rsidR="00E1305A" w:rsidRPr="006F5ABC">
        <w:rPr>
          <w:rFonts w:ascii="Arial" w:hAnsi="Arial" w:cs="Arial"/>
          <w:noProof/>
          <w:sz w:val="22"/>
          <w:szCs w:val="22"/>
          <w:lang w:val="en-US"/>
        </w:rPr>
        <w:t>(Allan et al., 2004; Strom et al., 2010)</w:t>
      </w:r>
      <w:r w:rsidR="00E1305A" w:rsidRPr="006F5ABC">
        <w:rPr>
          <w:rFonts w:ascii="Arial" w:hAnsi="Arial" w:cs="Arial"/>
          <w:sz w:val="22"/>
          <w:szCs w:val="22"/>
          <w:lang w:val="en-US"/>
        </w:rPr>
        <w:fldChar w:fldCharType="end"/>
      </w:r>
      <w:r w:rsidR="00E1305A" w:rsidRPr="006F5ABC">
        <w:rPr>
          <w:rFonts w:ascii="Arial" w:hAnsi="Arial" w:cs="Arial"/>
          <w:sz w:val="22"/>
          <w:szCs w:val="22"/>
          <w:lang w:val="en-US"/>
        </w:rPr>
        <w:t>.</w:t>
      </w:r>
      <w:r w:rsidR="00BC03BD" w:rsidRPr="006F5ABC">
        <w:rPr>
          <w:rFonts w:ascii="Arial" w:hAnsi="Arial" w:cs="Arial"/>
          <w:sz w:val="22"/>
          <w:szCs w:val="22"/>
          <w:lang w:val="en-US"/>
        </w:rPr>
        <w:t xml:space="preserve"> As mentioned in 1.1.1. microsatellite instability is a major hallmark of preleukemic MDS, with aberrant mismatch repair. Polymorphisms and changed methylation status of </w:t>
      </w:r>
      <w:r w:rsidR="00BC03BD" w:rsidRPr="006F5ABC">
        <w:rPr>
          <w:rFonts w:ascii="Arial" w:hAnsi="Arial" w:cs="Arial"/>
          <w:i/>
          <w:iCs/>
          <w:sz w:val="22"/>
          <w:szCs w:val="22"/>
          <w:lang w:val="en-US"/>
        </w:rPr>
        <w:t>MLH1</w:t>
      </w:r>
      <w:r w:rsidR="00BC03BD" w:rsidRPr="006F5ABC">
        <w:rPr>
          <w:rFonts w:ascii="Arial" w:hAnsi="Arial" w:cs="Arial"/>
          <w:sz w:val="22"/>
          <w:szCs w:val="22"/>
          <w:lang w:val="en-US"/>
        </w:rPr>
        <w:t xml:space="preserve"> and </w:t>
      </w:r>
      <w:r w:rsidR="00BC03BD" w:rsidRPr="006F5ABC">
        <w:rPr>
          <w:rFonts w:ascii="Arial" w:hAnsi="Arial" w:cs="Arial"/>
          <w:i/>
          <w:iCs/>
          <w:sz w:val="22"/>
          <w:szCs w:val="22"/>
          <w:lang w:val="en-US"/>
        </w:rPr>
        <w:t>MSH2</w:t>
      </w:r>
      <w:r w:rsidR="00BC03BD" w:rsidRPr="006F5ABC">
        <w:rPr>
          <w:rFonts w:ascii="Arial" w:hAnsi="Arial" w:cs="Arial"/>
          <w:sz w:val="22"/>
          <w:szCs w:val="22"/>
          <w:lang w:val="en-US"/>
        </w:rPr>
        <w:t xml:space="preserve"> involved in MMR has been extensively studied in leukemogenesis, showing </w:t>
      </w:r>
      <w:r w:rsidR="009060D2" w:rsidRPr="006F5ABC">
        <w:rPr>
          <w:rFonts w:ascii="Arial" w:hAnsi="Arial" w:cs="Arial"/>
          <w:sz w:val="22"/>
          <w:szCs w:val="22"/>
          <w:lang w:val="en-US"/>
        </w:rPr>
        <w:t xml:space="preserve">importance of </w:t>
      </w:r>
      <w:r w:rsidR="00BC03BD" w:rsidRPr="006F5ABC">
        <w:rPr>
          <w:rFonts w:ascii="Arial" w:hAnsi="Arial" w:cs="Arial"/>
          <w:sz w:val="22"/>
          <w:szCs w:val="22"/>
          <w:lang w:val="en-US"/>
        </w:rPr>
        <w:t xml:space="preserve">decreased MMR </w:t>
      </w:r>
      <w:r w:rsidR="009060D2" w:rsidRPr="006F5ABC">
        <w:rPr>
          <w:rFonts w:ascii="Arial" w:hAnsi="Arial" w:cs="Arial"/>
          <w:sz w:val="22"/>
          <w:szCs w:val="22"/>
          <w:lang w:val="en-US"/>
        </w:rPr>
        <w:t xml:space="preserve">activity in AML development </w:t>
      </w:r>
      <w:r w:rsidR="009060D2" w:rsidRPr="006F5ABC">
        <w:rPr>
          <w:rFonts w:ascii="Arial" w:hAnsi="Arial" w:cs="Arial"/>
          <w:sz w:val="22"/>
          <w:szCs w:val="22"/>
          <w:lang w:val="en-US"/>
        </w:rPr>
        <w:fldChar w:fldCharType="begin"/>
      </w:r>
      <w:r w:rsidR="009060D2" w:rsidRPr="006F5ABC">
        <w:rPr>
          <w:rFonts w:ascii="Arial" w:hAnsi="Arial" w:cs="Arial"/>
          <w:sz w:val="22"/>
          <w:szCs w:val="22"/>
          <w:lang w:val="en-US"/>
        </w:rPr>
        <w:instrText xml:space="preserve"> ADDIN ZOTERO_ITEM CSL_CITATION {"citationID":"gp9Y4M8h","properties":{"formattedCitation":"(Mao et al., 2008; Sheikhha et al., 2002; Zhu et al., 1999)","plainCitation":"(Mao et al., 2008; Sheikhha et al., 2002; Zhu et al., 1999)","noteIndex":0},"citationItems":[{"id":1072,"uris":["http://zotero.org/users/2484452/items/KYRE8LUT"],"uri":["http://zotero.org/users/2484452/items/KYRE8LUT"],"itemData":{"id":1072,"type":"article-journal","abstract":"Defects in DNA mismatch repair (MMR) are the molecular basis of certain cancers, including hematological malignancies. The defects are often caused by mutations in coding regions of MMR genes or promoter methylation of the genes. However, in many cases, despite that a hypermutable phenotype is detected in a patient, no mutations/hypermethylations of MMR genes can be detected. We report here a novel mechanism that a mutation in the MLH1 3'-untranslated region (3'-UTR) leads to MMR deficiency. A relapsed leukemia patient displayed microsatellite instability, but no genetic and epigenetic alterations in key MMR genes were identifiable. Instead, a 3-nucleotide (TTC) deletion in the MLH1 3'-UTR was found in the patient's blood sample. The mutant MLH1 3'-UTR was found to significantly reduce the expressions of both a firefly luciferase reporter gene and an ectopic MLH1 gene in model cell lines. Consistent with these observations, a significant reduction in the steady-state level of MLH1 mRNA was observed in white blood cells of the patient. These findings suggest that the mutant MLH1 3'-UTR can cause a severely reduced/defective MMR activity conferring leukemia relapse, likely by down-regulating MLH1 expression at the mRNA level. Although the exact mechanism by which the mutant 3'-UTR down-regulates the MLH1 mRNA is not known, our findings provide a novel marker for cancers with MMR defects.","container-title":"The Journal of Biological Chemistry","DOI":"10.1074/jbc.M709276200","ISSN":"0021-9258","issue":"6","journalAbbreviation":"J. Biol. Chem.","language":"eng","note":"PMID: 18056700","page":"3211-3216","source":"PubMed","title":"Evidence that a mutation in the MLH1 3'-untranslated region confers a mutator phenotype and mismatch repair deficiency in patients with relapsed leukemia","volume":"283","author":[{"family":"Mao","given":"Guogen"},{"family":"Pan","given":"Xiaoyu"},{"family":"Gu","given":"Liya"}],"issued":{"date-parts":[["2008",2,8]]}}},{"id":1070,"uris":["http://zotero.org/users/2484452/items/2IT6LI2Q"],"uri":["http://zotero.org/users/2484452/items/2IT6LI2Q"],"itemData":{"id":1070,"type":"article-journal","abstract":"Microsatellite instability (MSI) is associated with defects in the DNA mismatch repair (MMR) system, such as mutation or epigenetic silencing of the genes by promoter hypermethylation. We investigated the presence of MSI and promoter hypermethylation of hMLH1 and hMSH2 genes in 82 patients (68 acute myeloid leukaemia, AML; 14 myelodysplastic syndromes, MDS). Twelve separate microsatellite loci, including three mononucleotide repeat markers, were used. Mutator phenotype (RER+) was detected in 20 AML (29.4%) and 3 MDS (21.4%) patients. RER+ rate was much higher in the therapy-related and secondary cases compared with the de novo cases. Three out of 7 (42.9%) secondary (s-AML) and 8 out of 17 (47.1%) therapy-related (t-AML) showed RER+ in comparison with 9 out of 44 (20.5%) de novo cases. Similar rates were detected in MDS patients (2/2 therapy-related and 1/12 de novo). The promoter hypermethylation was found in three hMLH1 (3.7%) and two hMSH2 (2.4%) genes. All these five patients had AML and were older than 60 years of age. Two of them had s-AML and one had t-AML. RER+ was detected in three of these five patients. Our data suggest that genetic instability is associated with AML and MDS, especially t-AML and s-AML. In addition, our results indicate that the hMSH2 and hMLH1 promoter hypermethylation is not a common event in these malignancies, but may play a role in the development of AML in elderly patients.","container-title":"British Journal of Haematology","DOI":"10.1046/j.1365-2141.2002.03458.x","ISSN":"0007-1048","issue":"2","journalAbbreviation":"Br. J. Haematol.","language":"eng","note":"PMID: 11972518","page":"359-365","source":"PubMed","title":"High level of microsatellite instability but not hypermethylation of mismatch repair genes in therapy-related and secondary acute myeloid leukaemia and myelodysplastic syndrome","volume":"117","author":[{"family":"Sheikhha","given":"Mohammad H."},{"family":"Tobal","given":"Khalid"},{"family":"Liu Yin","given":"John A."}],"issued":{"date-parts":[["2002",5]]}}},{"id":1075,"uris":["http://zotero.org/users/2484452/items/HQ8VW8YS"],"uri":["http://zotero.org/users/2484452/items/HQ8VW8YS"],"itemData":{"id":1075,"type":"article-journal","abstract":"Microsatellite instability (MSI) and p53 mutations have been reported to occur in a significant proportion of patients with therapy-related acute myeloid leukemia (AML). MSH2 is one of the genes involved in DNA mismatch repair to maintain fidelity of genomic replication, and defects of MSH2 are directly involved in MSI in hereditary nonpolyposis colorectal tumors and other human tumors. We have examined the expression of MSH2 protein by Western blotting in 43 adult leukemia samples, including 42 AML and 1 acute lymphoblastic leukemia (ALL) using the antibody MSH2 (Ab-1) (Calbiochem, La Jolla, CA). Abnormal expression of MSH2 protein was found in 14 of 43 (32.6%) cases; a control antibody to actin was always positive. Of the 14 patients that had abnormal expression of MSH2, 2 had therapy-related acute leukemia and 9 were elderly patients (&gt;60 years of age). Expression of MSH2 mRNA was further examined by reverse transcriptase-polymerase chain reaction (RT-PCR). Deletion of MSH2 mRNA was found in 1 of 14 cases with deficient MSH2 protein expression. This group of patients was also screened for loss of heterozygosity (LOH) at the MSH2 locus using a panel 4 microsatellite markers (D2S367, D2S288, D2S391, and D2S2294). LOH was found in 5 of 11 cases examined. There was no evidence of LOH in 14 patients with normal MSH2 expression who were examined using the same markers. Functional evidence for defective DNA mismatch repair in leukemic cells lacking MSH2 as manifest by MSI was found in 7 of 11 cases studied. Mutations of the p53 gene in these 43 samples were also investigated by direct sequencing of full-length p53 cDNA. Mutations of p53 were found in 6 of 43 cases, including 5 of the 14 (35.7%) cases that did not express MSH2 protein. In contrast, mutation of p53 was only found in 1 of 29 (3.4%) cases with normal MSH2 protein expression (chi2 = 5.720, P &lt;.02). These results suggest that abnormalities of DNA mismatch repair due to defective MSH2 expression could play a key role in leukemogenesis, in particular in AML arising in elderly patients or secondary to previous chemotherapy.","container-title":"Blood","ISSN":"0006-4971","issue":"2","journalAbbreviation":"Blood","language":"eng","note":"PMID: 10397740","page":"733-740","source":"PubMed","title":"Microsatellite instability and p53 mutations are associated with abnormal expression of the MSH2 gene in adult acute leukemia","volume":"94","author":[{"family":"Zhu","given":"Y. M."},{"family":"Das-Gupta","given":"E. P."},{"family":"Russell","given":"N. H."}],"issued":{"date-parts":[["1999",7,15]]}}}],"schema":"https://github.com/citation-style-language/schema/raw/master/csl-citation.json"} </w:instrText>
      </w:r>
      <w:r w:rsidR="009060D2" w:rsidRPr="006F5ABC">
        <w:rPr>
          <w:rFonts w:ascii="Arial" w:hAnsi="Arial" w:cs="Arial"/>
          <w:sz w:val="22"/>
          <w:szCs w:val="22"/>
          <w:lang w:val="en-US"/>
        </w:rPr>
        <w:fldChar w:fldCharType="separate"/>
      </w:r>
      <w:r w:rsidR="009060D2" w:rsidRPr="006F5ABC">
        <w:rPr>
          <w:rFonts w:ascii="Arial" w:hAnsi="Arial" w:cs="Arial"/>
          <w:noProof/>
          <w:sz w:val="22"/>
          <w:szCs w:val="22"/>
          <w:lang w:val="en-US"/>
        </w:rPr>
        <w:t>(Mao et al., 2008; Sheikhha et al., 2002; Zhu et al., 1999)</w:t>
      </w:r>
      <w:r w:rsidR="009060D2" w:rsidRPr="006F5ABC">
        <w:rPr>
          <w:rFonts w:ascii="Arial" w:hAnsi="Arial" w:cs="Arial"/>
          <w:sz w:val="22"/>
          <w:szCs w:val="22"/>
          <w:lang w:val="en-US"/>
        </w:rPr>
        <w:fldChar w:fldCharType="end"/>
      </w:r>
      <w:r w:rsidR="009060D2" w:rsidRPr="006F5ABC">
        <w:rPr>
          <w:rFonts w:ascii="Arial" w:hAnsi="Arial" w:cs="Arial"/>
          <w:sz w:val="22"/>
          <w:szCs w:val="22"/>
          <w:lang w:val="en-US"/>
        </w:rPr>
        <w:t xml:space="preserve">. </w:t>
      </w:r>
      <w:r w:rsidR="0055432F" w:rsidRPr="006F5ABC">
        <w:rPr>
          <w:rFonts w:ascii="Arial" w:hAnsi="Arial" w:cs="Arial"/>
          <w:sz w:val="22"/>
          <w:szCs w:val="22"/>
          <w:lang w:val="en-US"/>
        </w:rPr>
        <w:t>Overall,</w:t>
      </w:r>
      <w:r w:rsidR="009060D2" w:rsidRPr="006F5ABC">
        <w:rPr>
          <w:rFonts w:ascii="Arial" w:hAnsi="Arial" w:cs="Arial"/>
          <w:sz w:val="22"/>
          <w:szCs w:val="22"/>
          <w:lang w:val="en-US"/>
        </w:rPr>
        <w:t xml:space="preserve"> these data highlight importance of DDR </w:t>
      </w:r>
      <w:r w:rsidR="00EF0E59" w:rsidRPr="006F5ABC">
        <w:rPr>
          <w:rFonts w:ascii="Arial" w:hAnsi="Arial" w:cs="Arial"/>
          <w:sz w:val="22"/>
          <w:szCs w:val="22"/>
          <w:lang w:val="en-US"/>
        </w:rPr>
        <w:t>dysfunction as</w:t>
      </w:r>
      <w:r w:rsidR="009060D2" w:rsidRPr="006F5ABC">
        <w:rPr>
          <w:rFonts w:ascii="Arial" w:hAnsi="Arial" w:cs="Arial"/>
          <w:sz w:val="22"/>
          <w:szCs w:val="22"/>
          <w:lang w:val="en-US"/>
        </w:rPr>
        <w:t xml:space="preserve"> an important event in the </w:t>
      </w:r>
      <w:r w:rsidR="00F94C70" w:rsidRPr="006F5ABC">
        <w:rPr>
          <w:rFonts w:ascii="Arial" w:hAnsi="Arial" w:cs="Arial"/>
          <w:sz w:val="22"/>
          <w:szCs w:val="22"/>
          <w:lang w:val="en-US"/>
        </w:rPr>
        <w:t xml:space="preserve">preleukemic stem cells, </w:t>
      </w:r>
      <w:r w:rsidR="00CC7D3B" w:rsidRPr="006F5ABC">
        <w:rPr>
          <w:rFonts w:ascii="Arial" w:hAnsi="Arial" w:cs="Arial"/>
          <w:sz w:val="22"/>
          <w:szCs w:val="22"/>
          <w:lang w:val="en-US"/>
        </w:rPr>
        <w:t>m</w:t>
      </w:r>
      <w:r w:rsidR="006123CE" w:rsidRPr="006F5ABC">
        <w:rPr>
          <w:rFonts w:ascii="Arial" w:hAnsi="Arial" w:cs="Arial"/>
          <w:sz w:val="22"/>
          <w:szCs w:val="22"/>
          <w:lang w:val="en-US"/>
        </w:rPr>
        <w:t>aking them</w:t>
      </w:r>
      <w:r w:rsidR="00F94C70" w:rsidRPr="006F5ABC">
        <w:rPr>
          <w:rFonts w:ascii="Arial" w:hAnsi="Arial" w:cs="Arial"/>
          <w:sz w:val="22"/>
          <w:szCs w:val="22"/>
          <w:lang w:val="en-US"/>
        </w:rPr>
        <w:t xml:space="preserve"> primed towards malignant transformation when recurrent driving mutations occur</w:t>
      </w:r>
      <w:r w:rsidR="001136FB" w:rsidRPr="006F5ABC">
        <w:rPr>
          <w:rFonts w:ascii="Arial" w:hAnsi="Arial" w:cs="Arial"/>
          <w:sz w:val="22"/>
          <w:szCs w:val="22"/>
          <w:lang w:val="en-US"/>
        </w:rPr>
        <w:t xml:space="preserve"> (Figure 2)</w:t>
      </w:r>
      <w:r w:rsidR="00F94C70" w:rsidRPr="006F5ABC">
        <w:rPr>
          <w:rFonts w:ascii="Arial" w:hAnsi="Arial" w:cs="Arial"/>
          <w:sz w:val="22"/>
          <w:szCs w:val="22"/>
          <w:lang w:val="en-US"/>
        </w:rPr>
        <w:t>.</w:t>
      </w:r>
    </w:p>
    <w:p w14:paraId="63498EFA" w14:textId="77777777" w:rsidR="001136FB" w:rsidRPr="003A5293" w:rsidRDefault="00CC7D3B" w:rsidP="00CC7D3B">
      <w:pPr>
        <w:spacing w:line="360" w:lineRule="auto"/>
        <w:jc w:val="center"/>
        <w:rPr>
          <w:rFonts w:ascii="Arial" w:hAnsi="Arial" w:cs="Arial"/>
          <w:sz w:val="22"/>
          <w:szCs w:val="22"/>
          <w:lang w:val="en-US"/>
        </w:rPr>
      </w:pPr>
      <w:r w:rsidRPr="00CC7D3B">
        <w:rPr>
          <w:rFonts w:ascii="Arial" w:hAnsi="Arial" w:cs="Arial"/>
          <w:noProof/>
          <w:sz w:val="22"/>
          <w:szCs w:val="22"/>
          <w:lang w:val="cs-CZ" w:eastAsia="cs-CZ"/>
        </w:rPr>
        <w:lastRenderedPageBreak/>
        <mc:AlternateContent>
          <mc:Choice Requires="wpg">
            <w:drawing>
              <wp:inline distT="0" distB="0" distL="0" distR="0" wp14:anchorId="4ACE2892" wp14:editId="61F74174">
                <wp:extent cx="2963334" cy="4962930"/>
                <wp:effectExtent l="50800" t="12700" r="0" b="0"/>
                <wp:docPr id="52" name="Gruppieren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963334" cy="4962930"/>
                          <a:chOff x="0" y="0"/>
                          <a:chExt cx="2661830" cy="4457342"/>
                        </a:xfrm>
                      </wpg:grpSpPr>
                      <wpg:grpSp>
                        <wpg:cNvPr id="54" name="Gruppieren 54"/>
                        <wpg:cNvGrpSpPr>
                          <a:grpSpLocks noChangeAspect="1"/>
                        </wpg:cNvGrpSpPr>
                        <wpg:grpSpPr>
                          <a:xfrm>
                            <a:off x="1353303" y="0"/>
                            <a:ext cx="466440" cy="466440"/>
                            <a:chOff x="1353303" y="0"/>
                            <a:chExt cx="720000" cy="720000"/>
                          </a:xfrm>
                          <a:effectLst>
                            <a:outerShdw blurRad="50800" dist="38100" dir="5400000" algn="t" rotWithShape="0">
                              <a:prstClr val="black">
                                <a:alpha val="40000"/>
                              </a:prstClr>
                            </a:outerShdw>
                          </a:effectLst>
                        </wpg:grpSpPr>
                        <wps:wsp>
                          <wps:cNvPr id="55" name="Oval 55"/>
                          <wps:cNvSpPr/>
                          <wps:spPr>
                            <a:xfrm>
                              <a:off x="1353303" y="0"/>
                              <a:ext cx="720000" cy="7200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50000" t="50000" r="50000" b="50000"/>
                              </a:path>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s:wsp>
                          <wps:cNvPr id="59" name="Oval 59"/>
                          <wps:cNvSpPr>
                            <a:spLocks noChangeAspect="1"/>
                          </wps:cNvSpPr>
                          <wps:spPr>
                            <a:xfrm>
                              <a:off x="1447788" y="72000"/>
                              <a:ext cx="576000" cy="576000"/>
                            </a:xfrm>
                            <a:prstGeom prst="ellipse">
                              <a:avLst/>
                            </a:prstGeom>
                            <a:gradFill flip="none" rotWithShape="1">
                              <a:gsLst>
                                <a:gs pos="52000">
                                  <a:schemeClr val="accent1">
                                    <a:tint val="66000"/>
                                    <a:satMod val="160000"/>
                                    <a:lumMod val="42000"/>
                                  </a:schemeClr>
                                </a:gs>
                                <a:gs pos="91000">
                                  <a:schemeClr val="accent1">
                                    <a:tint val="44500"/>
                                    <a:satMod val="160000"/>
                                  </a:schemeClr>
                                </a:gs>
                                <a:gs pos="100000">
                                  <a:schemeClr val="accent1">
                                    <a:tint val="23500"/>
                                    <a:satMod val="160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g:grpSp>
                      <wps:wsp>
                        <wps:cNvPr id="60" name="Textfeld 6"/>
                        <wps:cNvSpPr txBox="1"/>
                        <wps:spPr>
                          <a:xfrm>
                            <a:off x="1371011" y="478085"/>
                            <a:ext cx="428322" cy="230833"/>
                          </a:xfrm>
                          <a:prstGeom prst="rect">
                            <a:avLst/>
                          </a:prstGeom>
                          <a:noFill/>
                        </wps:spPr>
                        <wps:txbx>
                          <w:txbxContent>
                            <w:p w14:paraId="454B417B" w14:textId="77777777" w:rsidR="00593278" w:rsidRDefault="00593278" w:rsidP="00CC7D3B">
                              <w:pPr>
                                <w:jc w:val="center"/>
                              </w:pPr>
                              <w:r>
                                <w:rPr>
                                  <w:rFonts w:ascii="Helvetica" w:hAnsi="Helvetica" w:cstheme="minorBidi"/>
                                  <w:b/>
                                  <w:bCs/>
                                  <w:color w:val="000000" w:themeColor="text1"/>
                                  <w:kern w:val="24"/>
                                  <w:sz w:val="18"/>
                                  <w:szCs w:val="18"/>
                                  <w:lang w:val="en-US"/>
                                </w:rPr>
                                <w:t>HSC</w:t>
                              </w:r>
                            </w:p>
                          </w:txbxContent>
                        </wps:txbx>
                        <wps:bodyPr wrap="square" rtlCol="0">
                          <a:noAutofit/>
                        </wps:bodyPr>
                      </wps:wsp>
                      <wpg:grpSp>
                        <wpg:cNvPr id="63" name="Gruppieren 63"/>
                        <wpg:cNvGrpSpPr>
                          <a:grpSpLocks noChangeAspect="1"/>
                        </wpg:cNvGrpSpPr>
                        <wpg:grpSpPr>
                          <a:xfrm>
                            <a:off x="1353303" y="2489425"/>
                            <a:ext cx="466440" cy="466440"/>
                            <a:chOff x="1353303" y="2489425"/>
                            <a:chExt cx="720000" cy="720000"/>
                          </a:xfrm>
                          <a:effectLst>
                            <a:outerShdw blurRad="50800" dist="38100" dir="5400000" algn="t" rotWithShape="0">
                              <a:prstClr val="black">
                                <a:alpha val="40000"/>
                              </a:prstClr>
                            </a:outerShdw>
                          </a:effectLst>
                        </wpg:grpSpPr>
                        <wps:wsp>
                          <wps:cNvPr id="448" name="Oval 448"/>
                          <wps:cNvSpPr/>
                          <wps:spPr>
                            <a:xfrm>
                              <a:off x="1353303" y="2489425"/>
                              <a:ext cx="720000" cy="720000"/>
                            </a:xfrm>
                            <a:prstGeom prst="ellipse">
                              <a:avLst/>
                            </a:prstGeom>
                            <a:gradFill flip="none" rotWithShape="1">
                              <a:gsLst>
                                <a:gs pos="0">
                                  <a:schemeClr val="accent2">
                                    <a:tint val="66000"/>
                                    <a:satMod val="160000"/>
                                  </a:schemeClr>
                                </a:gs>
                                <a:gs pos="50000">
                                  <a:schemeClr val="accent2">
                                    <a:tint val="44500"/>
                                    <a:satMod val="160000"/>
                                  </a:schemeClr>
                                </a:gs>
                                <a:gs pos="100000">
                                  <a:schemeClr val="accent2">
                                    <a:tint val="23500"/>
                                    <a:satMod val="160000"/>
                                  </a:schemeClr>
                                </a:gs>
                              </a:gsLst>
                              <a:path path="circle">
                                <a:fillToRect l="50000" t="50000" r="50000" b="50000"/>
                              </a:path>
                              <a:tileRect/>
                            </a:gra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s:wsp>
                          <wps:cNvPr id="449" name="Oval 449"/>
                          <wps:cNvSpPr>
                            <a:spLocks noChangeAspect="1"/>
                          </wps:cNvSpPr>
                          <wps:spPr>
                            <a:xfrm>
                              <a:off x="1447788" y="2561425"/>
                              <a:ext cx="576000" cy="576000"/>
                            </a:xfrm>
                            <a:prstGeom prst="ellipse">
                              <a:avLst/>
                            </a:prstGeom>
                            <a:gradFill flip="none" rotWithShape="1">
                              <a:gsLst>
                                <a:gs pos="30000">
                                  <a:srgbClr val="FF0000"/>
                                </a:gs>
                                <a:gs pos="65000">
                                  <a:srgbClr val="FF0000">
                                    <a:alpha val="43000"/>
                                  </a:srgbClr>
                                </a:gs>
                                <a:gs pos="76000">
                                  <a:srgbClr val="FF0000">
                                    <a:alpha val="14000"/>
                                  </a:srgbClr>
                                </a:gs>
                                <a:gs pos="98000">
                                  <a:srgbClr val="FF0000">
                                    <a:alpha val="0"/>
                                  </a:srgb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g:grpSp>
                      <wps:wsp>
                        <wps:cNvPr id="450" name="Gerade Verbindung mit Pfeil 450"/>
                        <wps:cNvCnPr>
                          <a:cxnSpLocks/>
                        </wps:cNvCnPr>
                        <wps:spPr>
                          <a:xfrm>
                            <a:off x="1581972" y="1983048"/>
                            <a:ext cx="0" cy="414613"/>
                          </a:xfrm>
                          <a:prstGeom prst="straightConnector1">
                            <a:avLst/>
                          </a:prstGeom>
                          <a:ln w="38100">
                            <a:solidFill>
                              <a:srgbClr val="FF0000"/>
                            </a:solidFill>
                            <a:tailEnd type="triangle"/>
                          </a:ln>
                          <a:effectLst>
                            <a:outerShdw blurRad="50800" dist="38100" dir="5400000" algn="t"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wpg:grpSp>
                        <wpg:cNvPr id="451" name="Gruppieren 451"/>
                        <wpg:cNvGrpSpPr>
                          <a:grpSpLocks noChangeAspect="1"/>
                        </wpg:cNvGrpSpPr>
                        <wpg:grpSpPr>
                          <a:xfrm>
                            <a:off x="1353303" y="3733265"/>
                            <a:ext cx="466440" cy="466440"/>
                            <a:chOff x="1353303" y="3733265"/>
                            <a:chExt cx="720000" cy="720000"/>
                          </a:xfrm>
                          <a:effectLst>
                            <a:outerShdw blurRad="50800" dist="38100" dir="5400000" algn="t" rotWithShape="0">
                              <a:prstClr val="black">
                                <a:alpha val="40000"/>
                              </a:prstClr>
                            </a:outerShdw>
                          </a:effectLst>
                        </wpg:grpSpPr>
                        <wps:wsp>
                          <wps:cNvPr id="452" name="Oval 452"/>
                          <wps:cNvSpPr/>
                          <wps:spPr>
                            <a:xfrm>
                              <a:off x="1353303" y="3733265"/>
                              <a:ext cx="720000" cy="720000"/>
                            </a:xfrm>
                            <a:prstGeom prst="ellipse">
                              <a:avLst/>
                            </a:prstGeom>
                            <a:gradFill flip="none" rotWithShape="1">
                              <a:gsLst>
                                <a:gs pos="0">
                                  <a:srgbClr val="7030A0">
                                    <a:tint val="66000"/>
                                    <a:satMod val="160000"/>
                                  </a:srgbClr>
                                </a:gs>
                                <a:gs pos="50000">
                                  <a:srgbClr val="7030A0">
                                    <a:tint val="44500"/>
                                    <a:satMod val="160000"/>
                                  </a:srgbClr>
                                </a:gs>
                                <a:gs pos="100000">
                                  <a:srgbClr val="7030A0">
                                    <a:tint val="23500"/>
                                    <a:satMod val="160000"/>
                                  </a:srgbClr>
                                </a:gs>
                              </a:gsLst>
                              <a:path path="circle">
                                <a:fillToRect l="50000" t="50000" r="50000" b="50000"/>
                              </a:path>
                              <a:tileRect/>
                            </a:gra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s:wsp>
                          <wps:cNvPr id="453" name="Oval 453"/>
                          <wps:cNvSpPr>
                            <a:spLocks noChangeAspect="1"/>
                          </wps:cNvSpPr>
                          <wps:spPr>
                            <a:xfrm>
                              <a:off x="1447788" y="3805265"/>
                              <a:ext cx="576000" cy="576000"/>
                            </a:xfrm>
                            <a:prstGeom prst="ellipse">
                              <a:avLst/>
                            </a:prstGeom>
                            <a:gradFill flip="none" rotWithShape="1">
                              <a:gsLst>
                                <a:gs pos="30000">
                                  <a:srgbClr val="7030A0">
                                    <a:alpha val="89000"/>
                                  </a:srgbClr>
                                </a:gs>
                                <a:gs pos="65000">
                                  <a:srgbClr val="7030A0">
                                    <a:alpha val="59000"/>
                                  </a:srgbClr>
                                </a:gs>
                                <a:gs pos="84000">
                                  <a:srgbClr val="7030A0">
                                    <a:alpha val="21000"/>
                                  </a:srgbClr>
                                </a:gs>
                                <a:gs pos="95000">
                                  <a:srgbClr val="7030A0">
                                    <a:alpha val="0"/>
                                  </a:srgb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g:grpSp>
                      <wps:wsp>
                        <wps:cNvPr id="454" name="Textfeld 33"/>
                        <wps:cNvSpPr txBox="1"/>
                        <wps:spPr>
                          <a:xfrm>
                            <a:off x="1371011" y="4226509"/>
                            <a:ext cx="415498" cy="230833"/>
                          </a:xfrm>
                          <a:prstGeom prst="rect">
                            <a:avLst/>
                          </a:prstGeom>
                          <a:noFill/>
                        </wps:spPr>
                        <wps:txbx>
                          <w:txbxContent>
                            <w:p w14:paraId="12B69B08" w14:textId="77777777" w:rsidR="00593278" w:rsidRDefault="00593278" w:rsidP="00CC7D3B">
                              <w:pPr>
                                <w:jc w:val="center"/>
                              </w:pPr>
                              <w:r>
                                <w:rPr>
                                  <w:rFonts w:ascii="Helvetica" w:hAnsi="Helvetica" w:cstheme="minorBidi"/>
                                  <w:b/>
                                  <w:bCs/>
                                  <w:color w:val="9900CC"/>
                                  <w:kern w:val="24"/>
                                  <w:sz w:val="18"/>
                                  <w:szCs w:val="18"/>
                                  <w:lang w:val="en-US"/>
                                </w:rPr>
                                <w:t>LSC</w:t>
                              </w:r>
                            </w:p>
                          </w:txbxContent>
                        </wps:txbx>
                        <wps:bodyPr wrap="square" rtlCol="0">
                          <a:noAutofit/>
                        </wps:bodyPr>
                      </wps:wsp>
                      <wps:wsp>
                        <wps:cNvPr id="455" name="Textfeld 404"/>
                        <wps:cNvSpPr txBox="1"/>
                        <wps:spPr>
                          <a:xfrm>
                            <a:off x="1687376" y="724009"/>
                            <a:ext cx="894715" cy="365760"/>
                          </a:xfrm>
                          <a:prstGeom prst="rect">
                            <a:avLst/>
                          </a:prstGeom>
                          <a:noFill/>
                        </wps:spPr>
                        <wps:txbx>
                          <w:txbxContent>
                            <w:p w14:paraId="28C6E37F" w14:textId="77777777" w:rsidR="00593278" w:rsidRDefault="00593278" w:rsidP="00CC7D3B">
                              <w:pPr>
                                <w:jc w:val="center"/>
                              </w:pPr>
                              <w:r>
                                <w:rPr>
                                  <w:rFonts w:ascii="Helvetica" w:hAnsi="Helvetica" w:cstheme="minorBidi"/>
                                  <w:b/>
                                  <w:bCs/>
                                  <w:color w:val="E79294"/>
                                  <w:kern w:val="24"/>
                                  <w:sz w:val="18"/>
                                  <w:szCs w:val="18"/>
                                  <w:lang w:val="en-US"/>
                                </w:rPr>
                                <w:t>Pre-leukemia</w:t>
                              </w:r>
                            </w:p>
                            <w:p w14:paraId="711242CC" w14:textId="77777777" w:rsidR="00593278" w:rsidRDefault="00593278" w:rsidP="00CC7D3B">
                              <w:pPr>
                                <w:jc w:val="center"/>
                              </w:pPr>
                              <w:r>
                                <w:rPr>
                                  <w:rFonts w:ascii="Helvetica" w:hAnsi="Helvetica" w:cstheme="minorBidi"/>
                                  <w:b/>
                                  <w:bCs/>
                                  <w:color w:val="E79294"/>
                                  <w:kern w:val="24"/>
                                  <w:sz w:val="18"/>
                                  <w:szCs w:val="18"/>
                                  <w:lang w:val="en-US"/>
                                </w:rPr>
                                <w:t>mutation(s)</w:t>
                              </w:r>
                            </w:p>
                          </w:txbxContent>
                        </wps:txbx>
                        <wps:bodyPr wrap="square" rtlCol="0">
                          <a:noAutofit/>
                        </wps:bodyPr>
                      </wps:wsp>
                      <wps:wsp>
                        <wps:cNvPr id="458" name="Textfeld 419"/>
                        <wps:cNvSpPr txBox="1"/>
                        <wps:spPr>
                          <a:xfrm>
                            <a:off x="1281014" y="2984522"/>
                            <a:ext cx="634365" cy="228600"/>
                          </a:xfrm>
                          <a:prstGeom prst="rect">
                            <a:avLst/>
                          </a:prstGeom>
                          <a:noFill/>
                        </wps:spPr>
                        <wps:txbx>
                          <w:txbxContent>
                            <w:p w14:paraId="6F7B03E5" w14:textId="77777777" w:rsidR="00593278" w:rsidRDefault="00593278" w:rsidP="00CC7D3B">
                              <w:pPr>
                                <w:jc w:val="center"/>
                              </w:pPr>
                              <w:r>
                                <w:rPr>
                                  <w:rFonts w:ascii="Helvetica" w:hAnsi="Helvetica" w:cstheme="minorBidi"/>
                                  <w:b/>
                                  <w:bCs/>
                                  <w:color w:val="FF0000"/>
                                  <w:kern w:val="24"/>
                                  <w:sz w:val="18"/>
                                  <w:szCs w:val="18"/>
                                  <w:lang w:val="en-US"/>
                                </w:rPr>
                                <w:t>Pre-LSC</w:t>
                              </w:r>
                            </w:p>
                          </w:txbxContent>
                        </wps:txbx>
                        <wps:bodyPr wrap="square" rtlCol="0">
                          <a:noAutofit/>
                        </wps:bodyPr>
                      </wps:wsp>
                      <wps:wsp>
                        <wps:cNvPr id="459" name="Textfeld 404"/>
                        <wps:cNvSpPr txBox="1"/>
                        <wps:spPr>
                          <a:xfrm>
                            <a:off x="1789863" y="3207760"/>
                            <a:ext cx="729615" cy="365760"/>
                          </a:xfrm>
                          <a:prstGeom prst="rect">
                            <a:avLst/>
                          </a:prstGeom>
                          <a:noFill/>
                        </wps:spPr>
                        <wps:txbx>
                          <w:txbxContent>
                            <w:p w14:paraId="172D1BB8" w14:textId="77777777" w:rsidR="00593278" w:rsidRDefault="00593278" w:rsidP="00CC7D3B">
                              <w:pPr>
                                <w:jc w:val="center"/>
                              </w:pPr>
                              <w:proofErr w:type="spellStart"/>
                              <w:r>
                                <w:rPr>
                                  <w:rFonts w:ascii="Helvetica" w:hAnsi="Helvetica" w:cstheme="minorBidi"/>
                                  <w:b/>
                                  <w:bCs/>
                                  <w:color w:val="9900CC"/>
                                  <w:kern w:val="24"/>
                                  <w:sz w:val="18"/>
                                  <w:szCs w:val="18"/>
                                  <w:lang w:val="en-US"/>
                                </w:rPr>
                                <w:t>Subclonal</w:t>
                              </w:r>
                              <w:proofErr w:type="spellEnd"/>
                            </w:p>
                            <w:p w14:paraId="388D26A1" w14:textId="77777777" w:rsidR="00593278" w:rsidRDefault="00593278" w:rsidP="00CC7D3B">
                              <w:pPr>
                                <w:jc w:val="center"/>
                              </w:pPr>
                              <w:r>
                                <w:rPr>
                                  <w:rFonts w:ascii="Helvetica" w:hAnsi="Helvetica" w:cstheme="minorBidi"/>
                                  <w:b/>
                                  <w:bCs/>
                                  <w:color w:val="9900CC"/>
                                  <w:kern w:val="24"/>
                                  <w:sz w:val="18"/>
                                  <w:szCs w:val="18"/>
                                  <w:lang w:val="en-US"/>
                                </w:rPr>
                                <w:t>evolution</w:t>
                              </w:r>
                            </w:p>
                          </w:txbxContent>
                        </wps:txbx>
                        <wps:bodyPr wrap="square" rtlCol="0">
                          <a:noAutofit/>
                        </wps:bodyPr>
                      </wps:wsp>
                      <wps:wsp>
                        <wps:cNvPr id="460" name="Richtungspfeil 460"/>
                        <wps:cNvSpPr/>
                        <wps:spPr>
                          <a:xfrm>
                            <a:off x="136" y="48554"/>
                            <a:ext cx="1218963" cy="369332"/>
                          </a:xfrm>
                          <a:prstGeom prst="homePlate">
                            <a:avLst/>
                          </a:prstGeom>
                          <a:solidFill>
                            <a:schemeClr val="accent1">
                              <a:lumMod val="75000"/>
                            </a:schemeClr>
                          </a:solidFill>
                          <a:ln>
                            <a:noFill/>
                          </a:ln>
                          <a:effectLst>
                            <a:outerShdw blurRad="50800" dist="19050" dir="5400000" algn="ctr" rotWithShape="0">
                              <a:srgbClr val="000000">
                                <a:alpha val="63000"/>
                              </a:srgbClr>
                            </a:outerShdw>
                          </a:effectLst>
                        </wps:spPr>
                        <wps:style>
                          <a:lnRef idx="0">
                            <a:schemeClr val="dk1"/>
                          </a:lnRef>
                          <a:fillRef idx="3">
                            <a:schemeClr val="dk1"/>
                          </a:fillRef>
                          <a:effectRef idx="3">
                            <a:schemeClr val="dk1"/>
                          </a:effectRef>
                          <a:fontRef idx="minor">
                            <a:schemeClr val="lt1"/>
                          </a:fontRef>
                        </wps:style>
                        <wps:txbx>
                          <w:txbxContent>
                            <w:p w14:paraId="690F60FF" w14:textId="77777777" w:rsidR="00593278" w:rsidRDefault="00593278" w:rsidP="00CC7D3B">
                              <w:pPr>
                                <w:jc w:val="center"/>
                              </w:pPr>
                              <w:r>
                                <w:rPr>
                                  <w:rFonts w:ascii="Helvetica" w:hAnsi="Helvetica" w:cstheme="minorBidi"/>
                                  <w:b/>
                                  <w:bCs/>
                                  <w:color w:val="FFFFFF" w:themeColor="background1"/>
                                  <w:kern w:val="24"/>
                                  <w:sz w:val="18"/>
                                  <w:szCs w:val="18"/>
                                  <w:lang w:val="en-US"/>
                                </w:rPr>
                                <w:t xml:space="preserve">DDR </w:t>
                              </w:r>
                            </w:p>
                            <w:p w14:paraId="0E09150B" w14:textId="77777777" w:rsidR="00593278" w:rsidRDefault="00593278" w:rsidP="00CC7D3B">
                              <w:pPr>
                                <w:jc w:val="center"/>
                              </w:pPr>
                              <w:r>
                                <w:rPr>
                                  <w:rFonts w:ascii="Helvetica" w:hAnsi="Helvetica" w:cstheme="minorBidi"/>
                                  <w:b/>
                                  <w:bCs/>
                                  <w:color w:val="FFFFFF" w:themeColor="background1"/>
                                  <w:kern w:val="24"/>
                                  <w:sz w:val="18"/>
                                  <w:szCs w:val="18"/>
                                  <w:lang w:val="en-US"/>
                                </w:rPr>
                                <w:t xml:space="preserve">intact </w:t>
                              </w:r>
                            </w:p>
                          </w:txbxContent>
                        </wps:txbx>
                        <wps:bodyPr wrap="square" rtlCol="0" anchor="ctr" anchorCtr="0">
                          <a:noAutofit/>
                        </wps:bodyPr>
                      </wps:wsp>
                      <wps:wsp>
                        <wps:cNvPr id="461" name="Gerade Verbindung mit Pfeil 461"/>
                        <wps:cNvCnPr>
                          <a:cxnSpLocks/>
                        </wps:cNvCnPr>
                        <wps:spPr>
                          <a:xfrm>
                            <a:off x="1581972" y="3221422"/>
                            <a:ext cx="0" cy="414613"/>
                          </a:xfrm>
                          <a:prstGeom prst="straightConnector1">
                            <a:avLst/>
                          </a:prstGeom>
                          <a:ln w="38100">
                            <a:solidFill>
                              <a:srgbClr val="7030A0"/>
                            </a:solidFill>
                            <a:tailEnd type="triangle"/>
                          </a:ln>
                          <a:effectLst>
                            <a:outerShdw blurRad="50800" dist="38100" dir="5400000" algn="t"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wps:wsp>
                        <wps:cNvPr id="462" name="Gerade Verbindung mit Pfeil 462"/>
                        <wps:cNvCnPr>
                          <a:cxnSpLocks/>
                        </wps:cNvCnPr>
                        <wps:spPr>
                          <a:xfrm>
                            <a:off x="1581972" y="732976"/>
                            <a:ext cx="0" cy="414613"/>
                          </a:xfrm>
                          <a:prstGeom prst="straightConnector1">
                            <a:avLst/>
                          </a:prstGeom>
                          <a:ln w="38100">
                            <a:solidFill>
                              <a:srgbClr val="F59B9D"/>
                            </a:solidFill>
                            <a:tailEnd type="triangle"/>
                          </a:ln>
                          <a:effectLst>
                            <a:outerShdw blurRad="50800" dist="38100" dir="5400000" algn="t"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wpg:grpSp>
                        <wpg:cNvPr id="463" name="Gruppieren 463"/>
                        <wpg:cNvGrpSpPr>
                          <a:grpSpLocks noChangeAspect="1"/>
                        </wpg:cNvGrpSpPr>
                        <wpg:grpSpPr>
                          <a:xfrm>
                            <a:off x="1353303" y="1245585"/>
                            <a:ext cx="466440" cy="466440"/>
                            <a:chOff x="1353303" y="1245585"/>
                            <a:chExt cx="720000" cy="720000"/>
                          </a:xfrm>
                          <a:effectLst>
                            <a:outerShdw blurRad="50800" dist="38100" dir="5400000" algn="t" rotWithShape="0">
                              <a:prstClr val="black">
                                <a:alpha val="40000"/>
                              </a:prstClr>
                            </a:outerShdw>
                          </a:effectLst>
                        </wpg:grpSpPr>
                        <wps:wsp>
                          <wps:cNvPr id="464" name="Oval 464"/>
                          <wps:cNvSpPr/>
                          <wps:spPr>
                            <a:xfrm>
                              <a:off x="1353303" y="1245585"/>
                              <a:ext cx="720000" cy="720000"/>
                            </a:xfrm>
                            <a:prstGeom prst="ellipse">
                              <a:avLst/>
                            </a:prstGeom>
                            <a:gradFill flip="none" rotWithShape="1">
                              <a:gsLst>
                                <a:gs pos="0">
                                  <a:schemeClr val="accent2">
                                    <a:tint val="66000"/>
                                    <a:satMod val="160000"/>
                                  </a:schemeClr>
                                </a:gs>
                                <a:gs pos="50000">
                                  <a:schemeClr val="accent2">
                                    <a:tint val="44500"/>
                                    <a:satMod val="160000"/>
                                  </a:schemeClr>
                                </a:gs>
                                <a:gs pos="100000">
                                  <a:schemeClr val="accent2">
                                    <a:tint val="23500"/>
                                    <a:satMod val="160000"/>
                                  </a:schemeClr>
                                </a:gs>
                              </a:gsLst>
                              <a:path path="circle">
                                <a:fillToRect l="50000" t="50000" r="50000" b="50000"/>
                              </a:path>
                              <a:tileRect/>
                            </a:gradFill>
                            <a:ln>
                              <a:solidFill>
                                <a:srgbClr val="FFA2A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s:wsp>
                          <wps:cNvPr id="465" name="Oval 465"/>
                          <wps:cNvSpPr>
                            <a:spLocks noChangeAspect="1"/>
                          </wps:cNvSpPr>
                          <wps:spPr>
                            <a:xfrm>
                              <a:off x="1447788" y="1317585"/>
                              <a:ext cx="576000" cy="576000"/>
                            </a:xfrm>
                            <a:prstGeom prst="ellipse">
                              <a:avLst/>
                            </a:prstGeom>
                            <a:gradFill flip="none" rotWithShape="1">
                              <a:gsLst>
                                <a:gs pos="15000">
                                  <a:srgbClr val="FFA2A2"/>
                                </a:gs>
                                <a:gs pos="53000">
                                  <a:srgbClr val="FFA2A2">
                                    <a:alpha val="53000"/>
                                  </a:srgbClr>
                                </a:gs>
                                <a:gs pos="74000">
                                  <a:srgbClr val="FFA2A2">
                                    <a:alpha val="14000"/>
                                  </a:srgbClr>
                                </a:gs>
                                <a:gs pos="97000">
                                  <a:srgbClr val="FFA2A2">
                                    <a:alpha val="5000"/>
                                  </a:srgbClr>
                                </a:gs>
                              </a:gsLst>
                              <a:path path="circle">
                                <a:fillToRect l="50000" t="50000" r="50000" b="50000"/>
                              </a:path>
                              <a:tileRect/>
                            </a:gradFill>
                            <a:ln>
                              <a:solidFill>
                                <a:srgbClr val="FFA2A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g:grpSp>
                      <wps:wsp>
                        <wps:cNvPr id="466" name="Textfeld 419"/>
                        <wps:cNvSpPr txBox="1"/>
                        <wps:spPr>
                          <a:xfrm>
                            <a:off x="1252305" y="1762210"/>
                            <a:ext cx="634365" cy="228600"/>
                          </a:xfrm>
                          <a:prstGeom prst="rect">
                            <a:avLst/>
                          </a:prstGeom>
                          <a:noFill/>
                        </wps:spPr>
                        <wps:txbx>
                          <w:txbxContent>
                            <w:p w14:paraId="77A3494E" w14:textId="77777777" w:rsidR="00593278" w:rsidRDefault="00593278" w:rsidP="00CC7D3B">
                              <w:pPr>
                                <w:jc w:val="center"/>
                              </w:pPr>
                              <w:r>
                                <w:rPr>
                                  <w:rFonts w:ascii="Helvetica" w:hAnsi="Helvetica" w:cstheme="minorBidi"/>
                                  <w:b/>
                                  <w:bCs/>
                                  <w:color w:val="E79294"/>
                                  <w:kern w:val="24"/>
                                  <w:sz w:val="18"/>
                                  <w:szCs w:val="18"/>
                                  <w:lang w:val="en-US"/>
                                </w:rPr>
                                <w:t>Pre-LSC</w:t>
                              </w:r>
                            </w:p>
                          </w:txbxContent>
                        </wps:txbx>
                        <wps:bodyPr wrap="square" rtlCol="0">
                          <a:noAutofit/>
                        </wps:bodyPr>
                      </wps:wsp>
                      <wps:wsp>
                        <wps:cNvPr id="467" name="Richtungspfeil 467"/>
                        <wps:cNvSpPr/>
                        <wps:spPr>
                          <a:xfrm>
                            <a:off x="1217" y="1300161"/>
                            <a:ext cx="1057194" cy="365760"/>
                          </a:xfrm>
                          <a:prstGeom prst="homePlate">
                            <a:avLst/>
                          </a:prstGeom>
                          <a:solidFill>
                            <a:srgbClr val="F59B9D"/>
                          </a:solidFill>
                          <a:ln>
                            <a:noFill/>
                          </a:ln>
                          <a:effectLst>
                            <a:outerShdw blurRad="50800" dist="19050" dir="5400000" algn="ctr" rotWithShape="0">
                              <a:srgbClr val="000000">
                                <a:alpha val="63000"/>
                              </a:srgbClr>
                            </a:outerShdw>
                          </a:effectLst>
                        </wps:spPr>
                        <wps:style>
                          <a:lnRef idx="0">
                            <a:schemeClr val="dk1"/>
                          </a:lnRef>
                          <a:fillRef idx="3">
                            <a:schemeClr val="dk1"/>
                          </a:fillRef>
                          <a:effectRef idx="3">
                            <a:schemeClr val="dk1"/>
                          </a:effectRef>
                          <a:fontRef idx="minor">
                            <a:schemeClr val="lt1"/>
                          </a:fontRef>
                        </wps:style>
                        <wps:txbx>
                          <w:txbxContent>
                            <w:p w14:paraId="0D3C445F" w14:textId="77777777" w:rsidR="00593278" w:rsidRDefault="00593278" w:rsidP="00CC7D3B">
                              <w:pPr>
                                <w:jc w:val="center"/>
                              </w:pPr>
                              <w:r>
                                <w:rPr>
                                  <w:rFonts w:ascii="Helvetica" w:hAnsi="Helvetica" w:cstheme="minorBidi"/>
                                  <w:b/>
                                  <w:bCs/>
                                  <w:color w:val="FFFFFF" w:themeColor="background1"/>
                                  <w:kern w:val="24"/>
                                  <w:sz w:val="18"/>
                                  <w:szCs w:val="18"/>
                                  <w:lang w:val="en-US"/>
                                </w:rPr>
                                <w:t>Decreased</w:t>
                              </w:r>
                            </w:p>
                            <w:p w14:paraId="5C17B84B" w14:textId="77777777" w:rsidR="00593278" w:rsidRDefault="00593278" w:rsidP="00CC7D3B">
                              <w:pPr>
                                <w:jc w:val="center"/>
                              </w:pPr>
                              <w:r>
                                <w:rPr>
                                  <w:rFonts w:ascii="Helvetica" w:hAnsi="Helvetica" w:cstheme="minorBidi"/>
                                  <w:b/>
                                  <w:bCs/>
                                  <w:color w:val="FFFFFF" w:themeColor="background1"/>
                                  <w:kern w:val="24"/>
                                  <w:sz w:val="18"/>
                                  <w:szCs w:val="18"/>
                                  <w:lang w:val="en-US"/>
                                </w:rPr>
                                <w:t>DDR signaling</w:t>
                              </w:r>
                            </w:p>
                          </w:txbxContent>
                        </wps:txbx>
                        <wps:bodyPr wrap="square" rtlCol="0" anchor="ctr" anchorCtr="0">
                          <a:noAutofit/>
                        </wps:bodyPr>
                      </wps:wsp>
                      <wps:wsp>
                        <wps:cNvPr id="470" name="Richtungspfeil 470"/>
                        <wps:cNvSpPr/>
                        <wps:spPr>
                          <a:xfrm>
                            <a:off x="0" y="3779439"/>
                            <a:ext cx="1025748" cy="365760"/>
                          </a:xfrm>
                          <a:prstGeom prst="homePlate">
                            <a:avLst/>
                          </a:prstGeom>
                          <a:solidFill>
                            <a:srgbClr val="7030A0"/>
                          </a:solidFill>
                          <a:ln>
                            <a:noFill/>
                          </a:ln>
                          <a:effectLst>
                            <a:outerShdw blurRad="50800" dist="19050" dir="5400000" algn="ctr" rotWithShape="0">
                              <a:srgbClr val="000000">
                                <a:alpha val="63000"/>
                              </a:srgbClr>
                            </a:outerShdw>
                          </a:effectLst>
                        </wps:spPr>
                        <wps:style>
                          <a:lnRef idx="0">
                            <a:schemeClr val="dk1"/>
                          </a:lnRef>
                          <a:fillRef idx="3">
                            <a:schemeClr val="dk1"/>
                          </a:fillRef>
                          <a:effectRef idx="3">
                            <a:schemeClr val="dk1"/>
                          </a:effectRef>
                          <a:fontRef idx="minor">
                            <a:schemeClr val="lt1"/>
                          </a:fontRef>
                        </wps:style>
                        <wps:txbx>
                          <w:txbxContent>
                            <w:p w14:paraId="1FC32FE4" w14:textId="77777777" w:rsidR="00593278" w:rsidRDefault="00593278" w:rsidP="00CC7D3B">
                              <w:pPr>
                                <w:jc w:val="center"/>
                              </w:pPr>
                              <w:r>
                                <w:rPr>
                                  <w:rFonts w:ascii="Helvetica" w:hAnsi="Helvetica" w:cstheme="minorBidi"/>
                                  <w:b/>
                                  <w:bCs/>
                                  <w:color w:val="FFFFFF" w:themeColor="background1"/>
                                  <w:kern w:val="24"/>
                                  <w:sz w:val="18"/>
                                  <w:szCs w:val="18"/>
                                  <w:lang w:val="en-US"/>
                                </w:rPr>
                                <w:t>DDR</w:t>
                              </w:r>
                            </w:p>
                            <w:p w14:paraId="1E10FE7E" w14:textId="77777777" w:rsidR="00593278" w:rsidRDefault="00593278" w:rsidP="00CC7D3B">
                              <w:pPr>
                                <w:jc w:val="center"/>
                              </w:pPr>
                              <w:r>
                                <w:rPr>
                                  <w:rFonts w:ascii="Helvetica" w:hAnsi="Helvetica" w:cstheme="minorBidi"/>
                                  <w:b/>
                                  <w:bCs/>
                                  <w:color w:val="FFFFFF" w:themeColor="background1"/>
                                  <w:kern w:val="24"/>
                                  <w:sz w:val="18"/>
                                  <w:szCs w:val="18"/>
                                  <w:lang w:val="en-US"/>
                                </w:rPr>
                                <w:t>compromised</w:t>
                              </w:r>
                            </w:p>
                          </w:txbxContent>
                        </wps:txbx>
                        <wps:bodyPr wrap="square" rtlCol="0" anchor="ctr" anchorCtr="0">
                          <a:noAutofit/>
                        </wps:bodyPr>
                      </wps:wsp>
                      <wps:wsp>
                        <wps:cNvPr id="472" name="Textfeld 316"/>
                        <wps:cNvSpPr txBox="1"/>
                        <wps:spPr>
                          <a:xfrm>
                            <a:off x="1576615" y="1985608"/>
                            <a:ext cx="1085215" cy="365760"/>
                          </a:xfrm>
                          <a:prstGeom prst="rect">
                            <a:avLst/>
                          </a:prstGeom>
                          <a:noFill/>
                        </wps:spPr>
                        <wps:txbx>
                          <w:txbxContent>
                            <w:p w14:paraId="52E365DF" w14:textId="77777777" w:rsidR="00593278" w:rsidRDefault="00593278" w:rsidP="00CC7D3B">
                              <w:pPr>
                                <w:jc w:val="center"/>
                              </w:pPr>
                              <w:r>
                                <w:rPr>
                                  <w:rFonts w:ascii="Helvetica" w:hAnsi="Helvetica" w:cstheme="minorBidi"/>
                                  <w:b/>
                                  <w:bCs/>
                                  <w:color w:val="FF0000"/>
                                  <w:kern w:val="24"/>
                                  <w:sz w:val="18"/>
                                  <w:szCs w:val="18"/>
                                  <w:lang w:val="en-US"/>
                                </w:rPr>
                                <w:t>Driver oncogene</w:t>
                              </w:r>
                            </w:p>
                            <w:p w14:paraId="78C805CF" w14:textId="77777777" w:rsidR="00593278" w:rsidRDefault="00593278" w:rsidP="00CC7D3B">
                              <w:pPr>
                                <w:jc w:val="center"/>
                              </w:pPr>
                              <w:r>
                                <w:rPr>
                                  <w:rFonts w:ascii="Helvetica" w:hAnsi="Helvetica" w:cstheme="minorBidi"/>
                                  <w:b/>
                                  <w:bCs/>
                                  <w:color w:val="FF0000"/>
                                  <w:kern w:val="24"/>
                                  <w:sz w:val="18"/>
                                  <w:szCs w:val="18"/>
                                  <w:lang w:val="en-US"/>
                                </w:rPr>
                                <w:t>mutation</w:t>
                              </w:r>
                            </w:p>
                          </w:txbxContent>
                        </wps:txbx>
                        <wps:bodyPr wrap="square" rtlCol="0">
                          <a:noAutofit/>
                        </wps:bodyPr>
                      </wps:wsp>
                      <wps:wsp>
                        <wps:cNvPr id="493" name="Textfeld 317"/>
                        <wps:cNvSpPr txBox="1"/>
                        <wps:spPr>
                          <a:xfrm>
                            <a:off x="650004" y="1967003"/>
                            <a:ext cx="774065" cy="365760"/>
                          </a:xfrm>
                          <a:prstGeom prst="rect">
                            <a:avLst/>
                          </a:prstGeom>
                          <a:noFill/>
                        </wps:spPr>
                        <wps:txbx>
                          <w:txbxContent>
                            <w:p w14:paraId="3B92A1D3" w14:textId="77777777" w:rsidR="00593278" w:rsidRDefault="00593278" w:rsidP="00CC7D3B">
                              <w:pPr>
                                <w:jc w:val="center"/>
                              </w:pPr>
                              <w:r>
                                <w:rPr>
                                  <w:rFonts w:ascii="Helvetica" w:hAnsi="Helvetica" w:cstheme="minorBidi"/>
                                  <w:b/>
                                  <w:bCs/>
                                  <w:color w:val="FF0000"/>
                                  <w:kern w:val="24"/>
                                  <w:sz w:val="18"/>
                                  <w:szCs w:val="18"/>
                                  <w:lang w:val="en-US"/>
                                </w:rPr>
                                <w:t xml:space="preserve">Oncogenic </w:t>
                              </w:r>
                            </w:p>
                            <w:p w14:paraId="0356F3EC" w14:textId="77777777" w:rsidR="00593278" w:rsidRDefault="00593278" w:rsidP="00CC7D3B">
                              <w:pPr>
                                <w:jc w:val="center"/>
                              </w:pPr>
                              <w:r>
                                <w:rPr>
                                  <w:rFonts w:ascii="Helvetica" w:hAnsi="Helvetica" w:cstheme="minorBidi"/>
                                  <w:b/>
                                  <w:bCs/>
                                  <w:color w:val="FF0000"/>
                                  <w:kern w:val="24"/>
                                  <w:sz w:val="18"/>
                                  <w:szCs w:val="18"/>
                                  <w:lang w:val="en-US"/>
                                </w:rPr>
                                <w:t>stress</w:t>
                              </w:r>
                            </w:p>
                          </w:txbxContent>
                        </wps:txbx>
                        <wps:bodyPr wrap="square" rtlCol="0">
                          <a:noAutofit/>
                        </wps:bodyPr>
                      </wps:wsp>
                    </wpg:wgp>
                  </a:graphicData>
                </a:graphic>
              </wp:inline>
            </w:drawing>
          </mc:Choice>
          <mc:Fallback>
            <w:pict>
              <v:group w14:anchorId="4ACE2892" id="Gruppieren 7" o:spid="_x0000_s1026" style="width:233.35pt;height:390.8pt;mso-position-horizontal-relative:char;mso-position-vertical-relative:line" coordsize="26618,445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">
                <o:lock v:ext="edit" aspectratio="t"/>
                <v:group id="Gruppieren 54" o:spid="_x0000_s1027" style="position:absolute;left:13533;width:4664;height:4664" coordorigin="13533" coordsize="7200,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1ZWyAAAAOA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">
                  <o:lock v:ext="edit" aspectratio="t"/>
                  <v:oval id="Oval 55" o:spid="_x0000_s1028" style="position:absolute;left:13533;width:7200;height:72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" fillcolor="#83a1d8 [2132]" strokecolor="#1f3763 [1604]" strokeweight="1pt">
                    <v:fill color2="#d4def1 [756]" rotate="t" focusposition=".5,.5" focussize="" colors="0 #95abea;.5 #bfcbf0;1 #e0e5f7" focus="100%" type="gradientRadial"/>
                    <v:stroke joinstyle="miter"/>
                    <v:textbox inset="5.4pt,2.7pt,5.4pt,2.7pt"/>
                  </v:oval>
                  <v:oval id="Oval 59" o:spid="_x0000_s1029" style="position:absolute;left:14477;top:720;width:5760;height:57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" fillcolor="#1a2f54 [1348]" stroked="f" strokeweight="1pt">
                    <v:fill color2="#d4def1 [756]" rotate="t" focusposition=".5,.5" focussize="" colors="0 #1a3687;34079f #1a3687;59638f #bfcbf0" focus="100%" type="gradientRadial"/>
                    <v:stroke joinstyle="miter"/>
                    <o:lock v:ext="edit" aspectratio="t"/>
                    <v:textbox inset="5.4pt,2.7pt,5.4pt,2.7pt"/>
                  </v:oval>
                </v:group>
                <v:shapetype id="_x0000_t202" coordsize="21600,21600" o:spt="202" path="m,l,21600r21600,l21600,xe">
                  <v:stroke joinstyle="miter"/>
                  <v:path gradientshapeok="t" o:connecttype="rect"/>
                </v:shapetype>
                <v:shape id="Textfeld 6" o:spid="_x0000_s1030" type="#_x0000_t202" style="position:absolute;left:13710;top:4780;width:4283;height:23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" filled="f" stroked="f">
                  <v:textbox>
                    <w:txbxContent>
                      <w:p w14:paraId="454B417B" w14:textId="77777777" w:rsidR="00593278" w:rsidRDefault="00593278" w:rsidP="00CC7D3B">
                        <w:pPr>
                          <w:jc w:val="center"/>
                        </w:pPr>
                        <w:r>
                          <w:rPr>
                            <w:rFonts w:ascii="Helvetica" w:hAnsi="Helvetica" w:cstheme="minorBidi"/>
                            <w:b/>
                            <w:bCs/>
                            <w:color w:val="000000" w:themeColor="text1"/>
                            <w:kern w:val="24"/>
                            <w:sz w:val="18"/>
                            <w:szCs w:val="18"/>
                            <w:lang w:val="en-US"/>
                          </w:rPr>
                          <w:t>HSC</w:t>
                        </w:r>
                      </w:p>
                    </w:txbxContent>
                  </v:textbox>
                </v:shape>
                <v:group id="Gruppieren 63" o:spid="_x0000_s1031" style="position:absolute;left:13533;top:24894;width:4664;height:4664" coordorigin="13533,24894" coordsize="7200,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">
                  <o:lock v:ext="edit" aspectratio="t"/>
                  <v:oval id="Oval 448" o:spid="_x0000_s1032" style="position:absolute;left:13533;top:24894;width:7200;height:72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" fillcolor="#f3a977 [2133]" strokecolor="red" strokeweight="1pt">
                    <v:fill color2="#fbe1d0 [757]" rotate="t" focusposition=".5,.5" focussize="" colors="0 #ffac89;.5 #ffcbb8;1 #ffe5dd" focus="100%" type="gradientRadial"/>
                    <v:stroke joinstyle="miter"/>
                    <v:textbox inset="5.4pt,2.7pt,5.4pt,2.7pt"/>
                  </v:oval>
                  <v:oval id="Oval 449" o:spid="_x0000_s1033" style="position:absolute;left:14477;top:25614;width:5760;height:57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" fillcolor="red" stroked="f" strokeweight="1pt">
                    <v:fill opacity="0" color2="red" rotate="t" focusposition=".5,.5" focussize="" colors="0 red;19661f red;42598f red;49807f red" focus="100%" type="gradientRadial"/>
                    <v:stroke joinstyle="miter"/>
                    <o:lock v:ext="edit" aspectratio="t"/>
                    <v:textbox inset="5.4pt,2.7pt,5.4pt,2.7pt"/>
                  </v:oval>
                </v:group>
                <v:shapetype id="_x0000_t32" coordsize="21600,21600" o:spt="32" o:oned="t" path="m,l21600,21600e" filled="f">
                  <v:path arrowok="t" fillok="f" o:connecttype="none"/>
                  <o:lock v:ext="edit" shapetype="t"/>
                </v:shapetype>
                <v:shape id="Gerade Verbindung mit Pfeil 450" o:spid="_x0000_s1034" type="#_x0000_t32" style="position:absolute;left:15819;top:19830;width:0;height:414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" strokecolor="red" strokeweight="3pt">
                  <v:stroke endarrow="block" joinstyle="miter"/>
                  <v:shadow on="t" color="black" opacity="26214f" origin=",-.5" offset="0,3pt"/>
                  <o:lock v:ext="edit" shapetype="f"/>
                </v:shape>
                <v:group id="Gruppieren 451" o:spid="_x0000_s1035" style="position:absolute;left:13533;top:37332;width:4664;height:4665" coordorigin="13533,37332" coordsize="7200,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">
                  <o:lock v:ext="edit" aspectratio="t"/>
                  <v:oval id="Oval 452" o:spid="_x0000_s1036" style="position:absolute;left:13533;top:37332;width:7200;height:72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" fillcolor="#b196d2" strokecolor="#7030a0" strokeweight="1pt">
                    <v:fill color2="#e7e1f0" rotate="t" focusposition=".5,.5" focussize="" colors="0 #b196d2;.5 #cfc0e2;1 #e7e1f0" focus="100%" type="gradientRadial"/>
                    <v:stroke joinstyle="miter"/>
                    <v:textbox inset="5.4pt,2.7pt,5.4pt,2.7pt"/>
                  </v:oval>
                  <v:oval id="Oval 453" o:spid="_x0000_s1037" style="position:absolute;left:14477;top:38052;width:5760;height:57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" fillcolor="#7030a0" stroked="f" strokeweight="1pt">
                    <v:fill opacity="0" color2="#7030a0" o:opacity2="58327f" rotate="t" focusposition=".5,.5" focussize="" colors="0 #7030a0;19661f #7030a0;42598f #7030a0;55050f #7030a0" focus="100%" type="gradientRadial"/>
                    <v:stroke joinstyle="miter"/>
                    <o:lock v:ext="edit" aspectratio="t"/>
                    <v:textbox inset="5.4pt,2.7pt,5.4pt,2.7pt"/>
                  </v:oval>
                </v:group>
                <v:shape id="Textfeld 33" o:spid="_x0000_s1038" type="#_x0000_t202" style="position:absolute;left:13710;top:42265;width:4155;height:23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" filled="f" stroked="f">
                  <v:textbox>
                    <w:txbxContent>
                      <w:p w14:paraId="12B69B08" w14:textId="77777777" w:rsidR="00593278" w:rsidRDefault="00593278" w:rsidP="00CC7D3B">
                        <w:pPr>
                          <w:jc w:val="center"/>
                        </w:pPr>
                        <w:r>
                          <w:rPr>
                            <w:rFonts w:ascii="Helvetica" w:hAnsi="Helvetica" w:cstheme="minorBidi"/>
                            <w:b/>
                            <w:bCs/>
                            <w:color w:val="9900CC"/>
                            <w:kern w:val="24"/>
                            <w:sz w:val="18"/>
                            <w:szCs w:val="18"/>
                            <w:lang w:val="en-US"/>
                          </w:rPr>
                          <w:t>LSC</w:t>
                        </w:r>
                      </w:p>
                    </w:txbxContent>
                  </v:textbox>
                </v:shape>
                <v:shape id="Textfeld 404" o:spid="_x0000_s1039" type="#_x0000_t202" style="position:absolute;left:16873;top:7240;width:8947;height:36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" filled="f" stroked="f">
                  <v:textbox>
                    <w:txbxContent>
                      <w:p w14:paraId="28C6E37F" w14:textId="77777777" w:rsidR="00593278" w:rsidRDefault="00593278" w:rsidP="00CC7D3B">
                        <w:pPr>
                          <w:jc w:val="center"/>
                        </w:pPr>
                        <w:r>
                          <w:rPr>
                            <w:rFonts w:ascii="Helvetica" w:hAnsi="Helvetica" w:cstheme="minorBidi"/>
                            <w:b/>
                            <w:bCs/>
                            <w:color w:val="E79294"/>
                            <w:kern w:val="24"/>
                            <w:sz w:val="18"/>
                            <w:szCs w:val="18"/>
                            <w:lang w:val="en-US"/>
                          </w:rPr>
                          <w:t>Pre-leukemia</w:t>
                        </w:r>
                      </w:p>
                      <w:p w14:paraId="711242CC" w14:textId="77777777" w:rsidR="00593278" w:rsidRDefault="00593278" w:rsidP="00CC7D3B">
                        <w:pPr>
                          <w:jc w:val="center"/>
                        </w:pPr>
                        <w:r>
                          <w:rPr>
                            <w:rFonts w:ascii="Helvetica" w:hAnsi="Helvetica" w:cstheme="minorBidi"/>
                            <w:b/>
                            <w:bCs/>
                            <w:color w:val="E79294"/>
                            <w:kern w:val="24"/>
                            <w:sz w:val="18"/>
                            <w:szCs w:val="18"/>
                            <w:lang w:val="en-US"/>
                          </w:rPr>
                          <w:t>mutation(s)</w:t>
                        </w:r>
                      </w:p>
                    </w:txbxContent>
                  </v:textbox>
                </v:shape>
                <v:shape id="Textfeld 419" o:spid="_x0000_s1040" type="#_x0000_t202" style="position:absolute;left:12810;top:29845;width:6343;height:2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" filled="f" stroked="f">
                  <v:textbox>
                    <w:txbxContent>
                      <w:p w14:paraId="6F7B03E5" w14:textId="77777777" w:rsidR="00593278" w:rsidRDefault="00593278" w:rsidP="00CC7D3B">
                        <w:pPr>
                          <w:jc w:val="center"/>
                        </w:pPr>
                        <w:r>
                          <w:rPr>
                            <w:rFonts w:ascii="Helvetica" w:hAnsi="Helvetica" w:cstheme="minorBidi"/>
                            <w:b/>
                            <w:bCs/>
                            <w:color w:val="FF0000"/>
                            <w:kern w:val="24"/>
                            <w:sz w:val="18"/>
                            <w:szCs w:val="18"/>
                            <w:lang w:val="en-US"/>
                          </w:rPr>
                          <w:t>Pre-LSC</w:t>
                        </w:r>
                      </w:p>
                    </w:txbxContent>
                  </v:textbox>
                </v:shape>
                <v:shape id="Textfeld 404" o:spid="_x0000_s1041" type="#_x0000_t202" style="position:absolute;left:17898;top:32077;width:7296;height:36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" filled="f" stroked="f">
                  <v:textbox>
                    <w:txbxContent>
                      <w:p w14:paraId="172D1BB8" w14:textId="77777777" w:rsidR="00593278" w:rsidRDefault="00593278" w:rsidP="00CC7D3B">
                        <w:pPr>
                          <w:jc w:val="center"/>
                        </w:pPr>
                        <w:proofErr w:type="spellStart"/>
                        <w:r>
                          <w:rPr>
                            <w:rFonts w:ascii="Helvetica" w:hAnsi="Helvetica" w:cstheme="minorBidi"/>
                            <w:b/>
                            <w:bCs/>
                            <w:color w:val="9900CC"/>
                            <w:kern w:val="24"/>
                            <w:sz w:val="18"/>
                            <w:szCs w:val="18"/>
                            <w:lang w:val="en-US"/>
                          </w:rPr>
                          <w:t>Subclonal</w:t>
                        </w:r>
                        <w:proofErr w:type="spellEnd"/>
                      </w:p>
                      <w:p w14:paraId="388D26A1" w14:textId="77777777" w:rsidR="00593278" w:rsidRDefault="00593278" w:rsidP="00CC7D3B">
                        <w:pPr>
                          <w:jc w:val="center"/>
                        </w:pPr>
                        <w:r>
                          <w:rPr>
                            <w:rFonts w:ascii="Helvetica" w:hAnsi="Helvetica" w:cstheme="minorBidi"/>
                            <w:b/>
                            <w:bCs/>
                            <w:color w:val="9900CC"/>
                            <w:kern w:val="24"/>
                            <w:sz w:val="18"/>
                            <w:szCs w:val="18"/>
                            <w:lang w:val="en-US"/>
                          </w:rPr>
                          <w:t>evolution</w:t>
                        </w:r>
                      </w:p>
                    </w:txbxContent>
                  </v:textbox>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Richtungspfeil 460" o:spid="_x0000_s1042" type="#_x0000_t15" style="position:absolute;left:1;top:485;width:12189;height:36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" adj="18328" fillcolor="#2f5496 [2404]" stroked="f">
                  <v:shadow on="t" color="black" opacity="41287f" offset="0,1.5pt"/>
                  <v:textbox>
                    <w:txbxContent>
                      <w:p w14:paraId="690F60FF" w14:textId="77777777" w:rsidR="00593278" w:rsidRDefault="00593278" w:rsidP="00CC7D3B">
                        <w:pPr>
                          <w:jc w:val="center"/>
                        </w:pPr>
                        <w:r>
                          <w:rPr>
                            <w:rFonts w:ascii="Helvetica" w:hAnsi="Helvetica" w:cstheme="minorBidi"/>
                            <w:b/>
                            <w:bCs/>
                            <w:color w:val="FFFFFF" w:themeColor="background1"/>
                            <w:kern w:val="24"/>
                            <w:sz w:val="18"/>
                            <w:szCs w:val="18"/>
                            <w:lang w:val="en-US"/>
                          </w:rPr>
                          <w:t xml:space="preserve">DDR </w:t>
                        </w:r>
                      </w:p>
                      <w:p w14:paraId="0E09150B" w14:textId="77777777" w:rsidR="00593278" w:rsidRDefault="00593278" w:rsidP="00CC7D3B">
                        <w:pPr>
                          <w:jc w:val="center"/>
                        </w:pPr>
                        <w:r>
                          <w:rPr>
                            <w:rFonts w:ascii="Helvetica" w:hAnsi="Helvetica" w:cstheme="minorBidi"/>
                            <w:b/>
                            <w:bCs/>
                            <w:color w:val="FFFFFF" w:themeColor="background1"/>
                            <w:kern w:val="24"/>
                            <w:sz w:val="18"/>
                            <w:szCs w:val="18"/>
                            <w:lang w:val="en-US"/>
                          </w:rPr>
                          <w:t xml:space="preserve">intact </w:t>
                        </w:r>
                      </w:p>
                    </w:txbxContent>
                  </v:textbox>
                </v:shape>
                <v:shape id="Gerade Verbindung mit Pfeil 461" o:spid="_x0000_s1043" type="#_x0000_t32" style="position:absolute;left:15819;top:32214;width:0;height:414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" strokecolor="#7030a0" strokeweight="3pt">
                  <v:stroke endarrow="block" joinstyle="miter"/>
                  <v:shadow on="t" color="black" opacity="26214f" origin=",-.5" offset="0,3pt"/>
                  <o:lock v:ext="edit" shapetype="f"/>
                </v:shape>
                <v:shape id="Gerade Verbindung mit Pfeil 462" o:spid="_x0000_s1044" type="#_x0000_t32" style="position:absolute;left:15819;top:7329;width:0;height:414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" strokecolor="#f59b9d" strokeweight="3pt">
                  <v:stroke endarrow="block" joinstyle="miter"/>
                  <v:shadow on="t" color="black" opacity="26214f" origin=",-.5" offset="0,3pt"/>
                  <o:lock v:ext="edit" shapetype="f"/>
                </v:shape>
                <v:group id="Gruppieren 463" o:spid="_x0000_s1045" style="position:absolute;left:13533;top:12455;width:4664;height:4665" coordorigin="13533,12455" coordsize="7200,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">
                  <o:lock v:ext="edit" aspectratio="t"/>
                  <v:oval id="Oval 464" o:spid="_x0000_s1046" style="position:absolute;left:13533;top:12455;width:7200;height:72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" fillcolor="#f3a977 [2133]" strokecolor="#ffa2a2" strokeweight="1pt">
                    <v:fill color2="#fbe1d0 [757]" rotate="t" focusposition=".5,.5" focussize="" colors="0 #ffac89;.5 #ffcbb8;1 #ffe5dd" focus="100%" type="gradientRadial"/>
                    <v:stroke joinstyle="miter"/>
                    <v:textbox inset="5.4pt,2.7pt,5.4pt,2.7pt"/>
                  </v:oval>
                  <v:oval id="Oval 465" o:spid="_x0000_s1047" style="position:absolute;left:14477;top:13175;width:5760;height:57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" fillcolor="#ffa2a2" strokecolor="#ffa2a2" strokeweight="1pt">
                    <v:fill opacity="3276f" color2="#ffa2a2" rotate="t" focusposition=".5,.5" focussize="" colors="0 #ffa2a2;9830f #ffa2a2;34734f #ffa2a2;48497f #ffa2a2" focus="100%" type="gradientRadial"/>
                    <v:stroke joinstyle="miter"/>
                    <v:path arrowok="t"/>
                    <o:lock v:ext="edit" aspectratio="t"/>
                    <v:textbox inset="5.4pt,2.7pt,5.4pt,2.7pt"/>
                  </v:oval>
                </v:group>
                <v:shape id="Textfeld 419" o:spid="_x0000_s1048" type="#_x0000_t202" style="position:absolute;left:12523;top:17622;width:6343;height:2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" filled="f" stroked="f">
                  <v:textbox>
                    <w:txbxContent>
                      <w:p w14:paraId="77A3494E" w14:textId="77777777" w:rsidR="00593278" w:rsidRDefault="00593278" w:rsidP="00CC7D3B">
                        <w:pPr>
                          <w:jc w:val="center"/>
                        </w:pPr>
                        <w:r>
                          <w:rPr>
                            <w:rFonts w:ascii="Helvetica" w:hAnsi="Helvetica" w:cstheme="minorBidi"/>
                            <w:b/>
                            <w:bCs/>
                            <w:color w:val="E79294"/>
                            <w:kern w:val="24"/>
                            <w:sz w:val="18"/>
                            <w:szCs w:val="18"/>
                            <w:lang w:val="en-US"/>
                          </w:rPr>
                          <w:t>Pre-LSC</w:t>
                        </w:r>
                      </w:p>
                    </w:txbxContent>
                  </v:textbox>
                </v:shape>
                <v:shape id="Richtungspfeil 467" o:spid="_x0000_s1049" type="#_x0000_t15" style="position:absolute;left:12;top:13001;width:10572;height:36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" adj="17863" fillcolor="#f59b9d" stroked="f">
                  <v:shadow on="t" color="black" opacity="41287f" offset="0,1.5pt"/>
                  <v:textbox>
                    <w:txbxContent>
                      <w:p w14:paraId="0D3C445F" w14:textId="77777777" w:rsidR="00593278" w:rsidRDefault="00593278" w:rsidP="00CC7D3B">
                        <w:pPr>
                          <w:jc w:val="center"/>
                        </w:pPr>
                        <w:r>
                          <w:rPr>
                            <w:rFonts w:ascii="Helvetica" w:hAnsi="Helvetica" w:cstheme="minorBidi"/>
                            <w:b/>
                            <w:bCs/>
                            <w:color w:val="FFFFFF" w:themeColor="background1"/>
                            <w:kern w:val="24"/>
                            <w:sz w:val="18"/>
                            <w:szCs w:val="18"/>
                            <w:lang w:val="en-US"/>
                          </w:rPr>
                          <w:t>Decreased</w:t>
                        </w:r>
                      </w:p>
                      <w:p w14:paraId="5C17B84B" w14:textId="77777777" w:rsidR="00593278" w:rsidRDefault="00593278" w:rsidP="00CC7D3B">
                        <w:pPr>
                          <w:jc w:val="center"/>
                        </w:pPr>
                        <w:r>
                          <w:rPr>
                            <w:rFonts w:ascii="Helvetica" w:hAnsi="Helvetica" w:cstheme="minorBidi"/>
                            <w:b/>
                            <w:bCs/>
                            <w:color w:val="FFFFFF" w:themeColor="background1"/>
                            <w:kern w:val="24"/>
                            <w:sz w:val="18"/>
                            <w:szCs w:val="18"/>
                            <w:lang w:val="en-US"/>
                          </w:rPr>
                          <w:t>DDR signaling</w:t>
                        </w:r>
                      </w:p>
                    </w:txbxContent>
                  </v:textbox>
                </v:shape>
                <v:shape id="Richtungspfeil 470" o:spid="_x0000_s1050" type="#_x0000_t15" style="position:absolute;top:37794;width:10257;height:36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" adj="17749" fillcolor="#7030a0" stroked="f">
                  <v:shadow on="t" color="black" opacity="41287f" offset="0,1.5pt"/>
                  <v:textbox>
                    <w:txbxContent>
                      <w:p w14:paraId="1FC32FE4" w14:textId="77777777" w:rsidR="00593278" w:rsidRDefault="00593278" w:rsidP="00CC7D3B">
                        <w:pPr>
                          <w:jc w:val="center"/>
                        </w:pPr>
                        <w:r>
                          <w:rPr>
                            <w:rFonts w:ascii="Helvetica" w:hAnsi="Helvetica" w:cstheme="minorBidi"/>
                            <w:b/>
                            <w:bCs/>
                            <w:color w:val="FFFFFF" w:themeColor="background1"/>
                            <w:kern w:val="24"/>
                            <w:sz w:val="18"/>
                            <w:szCs w:val="18"/>
                            <w:lang w:val="en-US"/>
                          </w:rPr>
                          <w:t>DDR</w:t>
                        </w:r>
                      </w:p>
                      <w:p w14:paraId="1E10FE7E" w14:textId="77777777" w:rsidR="00593278" w:rsidRDefault="00593278" w:rsidP="00CC7D3B">
                        <w:pPr>
                          <w:jc w:val="center"/>
                        </w:pPr>
                        <w:r>
                          <w:rPr>
                            <w:rFonts w:ascii="Helvetica" w:hAnsi="Helvetica" w:cstheme="minorBidi"/>
                            <w:b/>
                            <w:bCs/>
                            <w:color w:val="FFFFFF" w:themeColor="background1"/>
                            <w:kern w:val="24"/>
                            <w:sz w:val="18"/>
                            <w:szCs w:val="18"/>
                            <w:lang w:val="en-US"/>
                          </w:rPr>
                          <w:t>compromised</w:t>
                        </w:r>
                      </w:p>
                    </w:txbxContent>
                  </v:textbox>
                </v:shape>
                <v:shape id="Textfeld 316" o:spid="_x0000_s1051" type="#_x0000_t202" style="position:absolute;left:15766;top:19856;width:10852;height:36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" filled="f" stroked="f">
                  <v:textbox>
                    <w:txbxContent>
                      <w:p w14:paraId="52E365DF" w14:textId="77777777" w:rsidR="00593278" w:rsidRDefault="00593278" w:rsidP="00CC7D3B">
                        <w:pPr>
                          <w:jc w:val="center"/>
                        </w:pPr>
                        <w:r>
                          <w:rPr>
                            <w:rFonts w:ascii="Helvetica" w:hAnsi="Helvetica" w:cstheme="minorBidi"/>
                            <w:b/>
                            <w:bCs/>
                            <w:color w:val="FF0000"/>
                            <w:kern w:val="24"/>
                            <w:sz w:val="18"/>
                            <w:szCs w:val="18"/>
                            <w:lang w:val="en-US"/>
                          </w:rPr>
                          <w:t>Driver oncogene</w:t>
                        </w:r>
                      </w:p>
                      <w:p w14:paraId="78C805CF" w14:textId="77777777" w:rsidR="00593278" w:rsidRDefault="00593278" w:rsidP="00CC7D3B">
                        <w:pPr>
                          <w:jc w:val="center"/>
                        </w:pPr>
                        <w:r>
                          <w:rPr>
                            <w:rFonts w:ascii="Helvetica" w:hAnsi="Helvetica" w:cstheme="minorBidi"/>
                            <w:b/>
                            <w:bCs/>
                            <w:color w:val="FF0000"/>
                            <w:kern w:val="24"/>
                            <w:sz w:val="18"/>
                            <w:szCs w:val="18"/>
                            <w:lang w:val="en-US"/>
                          </w:rPr>
                          <w:t>mutation</w:t>
                        </w:r>
                      </w:p>
                    </w:txbxContent>
                  </v:textbox>
                </v:shape>
                <v:shape id="Textfeld 317" o:spid="_x0000_s1052" type="#_x0000_t202" style="position:absolute;left:6500;top:19670;width:7740;height:36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" filled="f" stroked="f">
                  <v:textbox>
                    <w:txbxContent>
                      <w:p w14:paraId="3B92A1D3" w14:textId="77777777" w:rsidR="00593278" w:rsidRDefault="00593278" w:rsidP="00CC7D3B">
                        <w:pPr>
                          <w:jc w:val="center"/>
                        </w:pPr>
                        <w:r>
                          <w:rPr>
                            <w:rFonts w:ascii="Helvetica" w:hAnsi="Helvetica" w:cstheme="minorBidi"/>
                            <w:b/>
                            <w:bCs/>
                            <w:color w:val="FF0000"/>
                            <w:kern w:val="24"/>
                            <w:sz w:val="18"/>
                            <w:szCs w:val="18"/>
                            <w:lang w:val="en-US"/>
                          </w:rPr>
                          <w:t xml:space="preserve">Oncogenic </w:t>
                        </w:r>
                      </w:p>
                      <w:p w14:paraId="0356F3EC" w14:textId="77777777" w:rsidR="00593278" w:rsidRDefault="00593278" w:rsidP="00CC7D3B">
                        <w:pPr>
                          <w:jc w:val="center"/>
                        </w:pPr>
                        <w:r>
                          <w:rPr>
                            <w:rFonts w:ascii="Helvetica" w:hAnsi="Helvetica" w:cstheme="minorBidi"/>
                            <w:b/>
                            <w:bCs/>
                            <w:color w:val="FF0000"/>
                            <w:kern w:val="24"/>
                            <w:sz w:val="18"/>
                            <w:szCs w:val="18"/>
                            <w:lang w:val="en-US"/>
                          </w:rPr>
                          <w:t>stress</w:t>
                        </w:r>
                      </w:p>
                    </w:txbxContent>
                  </v:textbox>
                </v:shape>
                <w10:anchorlock/>
              </v:group>
            </w:pict>
          </mc:Fallback>
        </mc:AlternateContent>
      </w:r>
    </w:p>
    <w:p w14:paraId="17FEFE6A" w14:textId="77777777" w:rsidR="001136FB" w:rsidRPr="006F5ABC" w:rsidRDefault="001136FB" w:rsidP="005207B3">
      <w:pPr>
        <w:spacing w:line="360" w:lineRule="auto"/>
        <w:jc w:val="both"/>
        <w:rPr>
          <w:rFonts w:ascii="Arial" w:hAnsi="Arial" w:cs="Arial"/>
          <w:sz w:val="22"/>
          <w:szCs w:val="22"/>
          <w:lang w:val="en-US"/>
        </w:rPr>
      </w:pPr>
      <w:r w:rsidRPr="006F5ABC">
        <w:rPr>
          <w:rFonts w:ascii="Arial" w:hAnsi="Arial" w:cs="Arial"/>
          <w:b/>
          <w:bCs/>
          <w:sz w:val="22"/>
          <w:szCs w:val="22"/>
          <w:lang w:val="en-US"/>
        </w:rPr>
        <w:t>Figure 2</w:t>
      </w:r>
      <w:r w:rsidRPr="006F5ABC">
        <w:rPr>
          <w:rFonts w:ascii="Arial" w:hAnsi="Arial" w:cs="Arial"/>
          <w:sz w:val="22"/>
          <w:szCs w:val="22"/>
          <w:lang w:val="en-US"/>
        </w:rPr>
        <w:t xml:space="preserve">: </w:t>
      </w:r>
      <w:r w:rsidR="001241C6" w:rsidRPr="006F5ABC">
        <w:rPr>
          <w:rFonts w:ascii="Arial" w:hAnsi="Arial" w:cs="Arial"/>
          <w:sz w:val="22"/>
          <w:szCs w:val="22"/>
          <w:lang w:val="en-US"/>
        </w:rPr>
        <w:t>Outline of events at the HSC level leading to transformation of benign pre-leukemia to full</w:t>
      </w:r>
      <w:r w:rsidR="00C83646" w:rsidRPr="006F5ABC">
        <w:rPr>
          <w:rFonts w:ascii="Arial" w:hAnsi="Arial" w:cs="Arial"/>
          <w:sz w:val="22"/>
          <w:szCs w:val="22"/>
          <w:lang w:val="en-US"/>
        </w:rPr>
        <w:t>-</w:t>
      </w:r>
      <w:r w:rsidR="001241C6" w:rsidRPr="006F5ABC">
        <w:rPr>
          <w:rFonts w:ascii="Arial" w:hAnsi="Arial" w:cs="Arial"/>
          <w:sz w:val="22"/>
          <w:szCs w:val="22"/>
          <w:lang w:val="en-US"/>
        </w:rPr>
        <w:t xml:space="preserve">blown leukemia. </w:t>
      </w:r>
      <w:r w:rsidR="00960173" w:rsidRPr="006F5ABC">
        <w:rPr>
          <w:rFonts w:ascii="Arial" w:hAnsi="Arial" w:cs="Arial"/>
          <w:sz w:val="22"/>
          <w:szCs w:val="22"/>
          <w:lang w:val="en-US"/>
        </w:rPr>
        <w:t>Altered DDR of hematopoietic stem cells is an important priming step in pre-leukemia development, altering the faith of pre-LSCs when recurrent preleukemic mutations occur</w:t>
      </w:r>
      <w:r w:rsidR="0073693A" w:rsidRPr="006F5ABC">
        <w:rPr>
          <w:rFonts w:ascii="Arial" w:hAnsi="Arial" w:cs="Arial"/>
          <w:sz w:val="22"/>
          <w:szCs w:val="22"/>
          <w:lang w:val="en-US"/>
        </w:rPr>
        <w:t xml:space="preserve"> and</w:t>
      </w:r>
      <w:r w:rsidR="0036589D" w:rsidRPr="006F5ABC">
        <w:rPr>
          <w:rFonts w:ascii="Arial" w:hAnsi="Arial" w:cs="Arial"/>
          <w:sz w:val="22"/>
          <w:szCs w:val="22"/>
          <w:lang w:val="en-US"/>
        </w:rPr>
        <w:t xml:space="preserve"> clonal hematopoiesis</w:t>
      </w:r>
      <w:r w:rsidR="0073693A" w:rsidRPr="006F5ABC">
        <w:rPr>
          <w:rFonts w:ascii="Arial" w:hAnsi="Arial" w:cs="Arial"/>
          <w:sz w:val="22"/>
          <w:szCs w:val="22"/>
          <w:lang w:val="en-US"/>
        </w:rPr>
        <w:t xml:space="preserve"> begins</w:t>
      </w:r>
      <w:r w:rsidR="00960173" w:rsidRPr="006F5ABC">
        <w:rPr>
          <w:rFonts w:ascii="Arial" w:hAnsi="Arial" w:cs="Arial"/>
          <w:sz w:val="22"/>
          <w:szCs w:val="22"/>
          <w:lang w:val="en-US"/>
        </w:rPr>
        <w:t xml:space="preserve">. </w:t>
      </w:r>
      <w:r w:rsidR="0073693A" w:rsidRPr="006F5ABC">
        <w:rPr>
          <w:rFonts w:ascii="Arial" w:hAnsi="Arial" w:cs="Arial"/>
          <w:sz w:val="22"/>
          <w:szCs w:val="22"/>
          <w:lang w:val="en-US"/>
        </w:rPr>
        <w:t>Due to DDR evasion p</w:t>
      </w:r>
      <w:r w:rsidR="00960173" w:rsidRPr="006F5ABC">
        <w:rPr>
          <w:rFonts w:ascii="Arial" w:hAnsi="Arial" w:cs="Arial"/>
          <w:sz w:val="22"/>
          <w:szCs w:val="22"/>
          <w:lang w:val="en-US"/>
        </w:rPr>
        <w:t>re-LSCs suffer from increased genomic instability</w:t>
      </w:r>
      <w:r w:rsidR="0036589D" w:rsidRPr="006F5ABC">
        <w:rPr>
          <w:rFonts w:ascii="Arial" w:hAnsi="Arial" w:cs="Arial"/>
          <w:sz w:val="22"/>
          <w:szCs w:val="22"/>
          <w:lang w:val="en-US"/>
        </w:rPr>
        <w:t xml:space="preserve">, which creates a lethal driving force of </w:t>
      </w:r>
      <w:r w:rsidR="0073693A" w:rsidRPr="006F5ABC">
        <w:rPr>
          <w:rFonts w:ascii="Arial" w:hAnsi="Arial" w:cs="Arial"/>
          <w:sz w:val="22"/>
          <w:szCs w:val="22"/>
          <w:lang w:val="en-US"/>
        </w:rPr>
        <w:t xml:space="preserve">increased </w:t>
      </w:r>
      <w:proofErr w:type="spellStart"/>
      <w:r w:rsidR="0036589D" w:rsidRPr="006F5ABC">
        <w:rPr>
          <w:rFonts w:ascii="Arial" w:hAnsi="Arial" w:cs="Arial"/>
          <w:sz w:val="22"/>
          <w:szCs w:val="22"/>
          <w:lang w:val="en-US"/>
        </w:rPr>
        <w:t>subclonal</w:t>
      </w:r>
      <w:proofErr w:type="spellEnd"/>
      <w:r w:rsidR="0036589D" w:rsidRPr="006F5ABC">
        <w:rPr>
          <w:rFonts w:ascii="Arial" w:hAnsi="Arial" w:cs="Arial"/>
          <w:sz w:val="22"/>
          <w:szCs w:val="22"/>
          <w:lang w:val="en-US"/>
        </w:rPr>
        <w:t xml:space="preserve"> evolution propensity, </w:t>
      </w:r>
      <w:r w:rsidR="0073693A" w:rsidRPr="006F5ABC">
        <w:rPr>
          <w:rFonts w:ascii="Arial" w:hAnsi="Arial" w:cs="Arial"/>
          <w:sz w:val="22"/>
          <w:szCs w:val="22"/>
          <w:lang w:val="en-US"/>
        </w:rPr>
        <w:t xml:space="preserve">establishing LSCs from which eventually </w:t>
      </w:r>
      <w:proofErr w:type="spellStart"/>
      <w:r w:rsidR="0073693A" w:rsidRPr="006F5ABC">
        <w:rPr>
          <w:rFonts w:ascii="Arial" w:hAnsi="Arial" w:cs="Arial"/>
          <w:sz w:val="22"/>
          <w:szCs w:val="22"/>
          <w:lang w:val="en-US"/>
        </w:rPr>
        <w:t>clonogenic</w:t>
      </w:r>
      <w:proofErr w:type="spellEnd"/>
      <w:r w:rsidR="0073693A" w:rsidRPr="006F5ABC">
        <w:rPr>
          <w:rFonts w:ascii="Arial" w:hAnsi="Arial" w:cs="Arial"/>
          <w:sz w:val="22"/>
          <w:szCs w:val="22"/>
          <w:lang w:val="en-US"/>
        </w:rPr>
        <w:t xml:space="preserve"> leukemic progenitors originate.</w:t>
      </w:r>
    </w:p>
    <w:p w14:paraId="2C72EA12" w14:textId="77777777" w:rsidR="00CE47E6" w:rsidRPr="003A5293" w:rsidRDefault="00CE47E6">
      <w:pPr>
        <w:rPr>
          <w:rFonts w:ascii="Arial" w:eastAsiaTheme="majorEastAsia" w:hAnsi="Arial" w:cs="Arial"/>
          <w:b/>
          <w:color w:val="000000" w:themeColor="text1"/>
          <w:szCs w:val="32"/>
          <w:lang w:val="en-US"/>
        </w:rPr>
      </w:pPr>
    </w:p>
    <w:p w14:paraId="4F8A8BE8" w14:textId="0226A16C" w:rsidR="00D10066" w:rsidRPr="003A5293" w:rsidRDefault="00787044" w:rsidP="00787044">
      <w:pPr>
        <w:pStyle w:val="Formatvorlage1"/>
        <w:rPr>
          <w:rFonts w:cs="Arial"/>
        </w:rPr>
      </w:pPr>
      <w:bookmarkStart w:id="5" w:name="_Toc57582480"/>
      <w:r w:rsidRPr="003A5293">
        <w:rPr>
          <w:rFonts w:cs="Arial"/>
        </w:rPr>
        <w:t xml:space="preserve">1.1.4 </w:t>
      </w:r>
      <w:r w:rsidR="00D10066" w:rsidRPr="003A5293">
        <w:rPr>
          <w:rFonts w:cs="Arial"/>
        </w:rPr>
        <w:t xml:space="preserve">DDR </w:t>
      </w:r>
      <w:r w:rsidR="005C3EE3" w:rsidRPr="003A5293">
        <w:rPr>
          <w:rFonts w:cs="Arial"/>
        </w:rPr>
        <w:t xml:space="preserve">as a </w:t>
      </w:r>
      <w:r w:rsidR="0064105C" w:rsidRPr="003A5293">
        <w:rPr>
          <w:rFonts w:cs="Arial"/>
        </w:rPr>
        <w:t>potential</w:t>
      </w:r>
      <w:r w:rsidR="005C3EE3" w:rsidRPr="003A5293">
        <w:rPr>
          <w:rFonts w:cs="Arial"/>
        </w:rPr>
        <w:t xml:space="preserve"> barrier against leukemia development</w:t>
      </w:r>
      <w:bookmarkEnd w:id="5"/>
    </w:p>
    <w:p w14:paraId="1126152E" w14:textId="77777777" w:rsidR="0064105C" w:rsidRPr="003A5293" w:rsidRDefault="0064105C" w:rsidP="00787044">
      <w:pPr>
        <w:spacing w:line="360" w:lineRule="auto"/>
        <w:rPr>
          <w:rFonts w:ascii="Arial" w:hAnsi="Arial" w:cs="Arial"/>
          <w:sz w:val="22"/>
          <w:szCs w:val="22"/>
          <w:lang w:val="en-US"/>
        </w:rPr>
      </w:pPr>
    </w:p>
    <w:p w14:paraId="7D074DA4" w14:textId="407B7627" w:rsidR="001136FB" w:rsidRPr="006F5ABC" w:rsidRDefault="0064105C" w:rsidP="001136FB">
      <w:pPr>
        <w:spacing w:line="360" w:lineRule="auto"/>
        <w:jc w:val="both"/>
        <w:rPr>
          <w:rFonts w:ascii="Arial" w:hAnsi="Arial" w:cs="Arial"/>
          <w:noProof/>
          <w:sz w:val="22"/>
          <w:szCs w:val="22"/>
          <w:lang w:val="en-US"/>
        </w:rPr>
      </w:pPr>
      <w:r w:rsidRPr="003A5293">
        <w:rPr>
          <w:rFonts w:ascii="Arial" w:hAnsi="Arial" w:cs="Arial"/>
          <w:sz w:val="22"/>
          <w:szCs w:val="22"/>
          <w:lang w:val="en-US"/>
        </w:rPr>
        <w:tab/>
      </w:r>
      <w:r w:rsidR="009A55B8" w:rsidRPr="006F5ABC">
        <w:rPr>
          <w:rFonts w:ascii="Arial" w:hAnsi="Arial" w:cs="Arial"/>
          <w:sz w:val="22"/>
          <w:szCs w:val="22"/>
          <w:lang w:val="en-US"/>
        </w:rPr>
        <w:t xml:space="preserve">As delineated in previous sections, </w:t>
      </w:r>
      <w:r w:rsidR="0088040B" w:rsidRPr="006F5ABC">
        <w:rPr>
          <w:rFonts w:ascii="Arial" w:hAnsi="Arial" w:cs="Arial"/>
          <w:sz w:val="22"/>
          <w:szCs w:val="22"/>
          <w:lang w:val="en-US"/>
        </w:rPr>
        <w:t>pre-leukemic mutations and diminished DDR</w:t>
      </w:r>
      <w:r w:rsidR="009A55B8" w:rsidRPr="006F5ABC">
        <w:rPr>
          <w:rFonts w:ascii="Arial" w:hAnsi="Arial" w:cs="Arial"/>
          <w:sz w:val="22"/>
          <w:szCs w:val="22"/>
          <w:lang w:val="en-US"/>
        </w:rPr>
        <w:t xml:space="preserve"> </w:t>
      </w:r>
      <w:r w:rsidR="0088040B" w:rsidRPr="006F5ABC">
        <w:rPr>
          <w:rFonts w:ascii="Arial" w:hAnsi="Arial" w:cs="Arial"/>
          <w:sz w:val="22"/>
          <w:szCs w:val="22"/>
          <w:lang w:val="en-US"/>
        </w:rPr>
        <w:t xml:space="preserve">are important steps which pave way towards leukemia prior oncogenic, driver mutation insult. However, exceptions do exist with report showing primary oncogenic hit through </w:t>
      </w:r>
      <w:r w:rsidR="0088040B" w:rsidRPr="006F5ABC">
        <w:rPr>
          <w:rFonts w:ascii="Arial" w:hAnsi="Arial" w:cs="Arial"/>
          <w:i/>
          <w:iCs/>
          <w:sz w:val="22"/>
          <w:szCs w:val="22"/>
          <w:lang w:val="en-US"/>
        </w:rPr>
        <w:t>MLL</w:t>
      </w:r>
      <w:r w:rsidR="0088040B" w:rsidRPr="006F5ABC">
        <w:rPr>
          <w:rFonts w:ascii="Arial" w:hAnsi="Arial" w:cs="Arial"/>
          <w:sz w:val="22"/>
          <w:szCs w:val="22"/>
          <w:lang w:val="en-US"/>
        </w:rPr>
        <w:t xml:space="preserve"> gene rearrangement </w:t>
      </w:r>
      <w:r w:rsidR="007B387C" w:rsidRPr="006F5ABC">
        <w:rPr>
          <w:rFonts w:ascii="Arial" w:hAnsi="Arial" w:cs="Arial"/>
          <w:sz w:val="22"/>
          <w:szCs w:val="22"/>
          <w:lang w:val="en-US"/>
        </w:rPr>
        <w:t>delineating onset of</w:t>
      </w:r>
      <w:r w:rsidR="0088040B" w:rsidRPr="006F5ABC">
        <w:rPr>
          <w:rFonts w:ascii="Arial" w:hAnsi="Arial" w:cs="Arial"/>
          <w:sz w:val="22"/>
          <w:szCs w:val="22"/>
          <w:lang w:val="en-US"/>
        </w:rPr>
        <w:t xml:space="preserve"> covert, protracted preleukemic phase with intact myeloid differentiation </w:t>
      </w:r>
      <w:r w:rsidR="0088040B" w:rsidRPr="006F5ABC">
        <w:rPr>
          <w:rFonts w:ascii="Arial" w:hAnsi="Arial" w:cs="Arial"/>
          <w:sz w:val="22"/>
          <w:szCs w:val="22"/>
          <w:lang w:val="en-US"/>
        </w:rPr>
        <w:fldChar w:fldCharType="begin"/>
      </w:r>
      <w:r w:rsidR="0088040B" w:rsidRPr="006F5ABC">
        <w:rPr>
          <w:rFonts w:ascii="Arial" w:hAnsi="Arial" w:cs="Arial"/>
          <w:sz w:val="22"/>
          <w:szCs w:val="22"/>
          <w:lang w:val="en-US"/>
        </w:rPr>
        <w:instrText xml:space="preserve"> ADDIN ZOTERO_ITEM CSL_CITATION {"citationID":"vZVtbaxP","properties":{"formattedCitation":"(Zuna et al., 2009)","plainCitation":"(Zuna et al., 2009)","noteIndex":0},"citationItems":[{"id":940,"uris":["http://zotero.org/users/2484452/items/GH3IG4KI"],"uri":["http://zotero.org/users/2484452/items/GH3IG4KI"],"itemData":{"id":940,"type":"article-journal","abstract":"Acute leukemia is considered to be a two- or multiple-step process. Although there is a considerable knowledge regarding the character of the \"first hit,\" the nature of the \"second hit\" remains unanswered in most of the cases including leukemias with MLL gene rearrangement. We demonstrate here a striking sequence of events, which include a covert, protracted preleukemic phase characterized by a dominant MLL/FOXO3A clone with intact myeloid differentiation and the subsequent acquisition of a secondary genetic abnormality, leading to overt lymphoblastic leukemia. Backtracking of the secondary acute lymphoblastic leukemia (sALL) with the MLL rearrangement showed no blasts in the bone marrow (BM) during the protracted preleukemic phase. However, at the same time (more than 1 year before the sALL diagnosis) the MLL/FOXO3A was present in up to 90% of BM cells including myeloid lineage, suggesting that the fusion arose in a multipotent progenitor. To identify potential \"second hit\" precipitating sALL we compared DNA in preleukemic versus fully leukemic samples. The analysis revealed a 10 Mb gain on 19q13.32 in the sALL, absent in the preleukemic specimen. These data provide insight into the dynamics of leukemogenesis in secondary leukemia with MLL rearrangement.","container-title":"Genes, Chromosomes &amp; Cancer","DOI":"10.1002/gcc.20622","ISSN":"1098-2264","issue":"1","journalAbbreviation":"Genes Chromosomes Cancer","language":"eng","note":"PMID: 18932267","page":"98-107","source":"PubMed","title":"Covert preleukemia driven by MLL gene fusion","volume":"48","author":[{"family":"Zuna","given":"Jan"},{"family":"Burjanivova","given":"Tatiana"},{"family":"Mejstrikova","given":"Ester"},{"family":"Zemanova","given":"Zuzana"},{"family":"Muzikova","given":"Katerina"},{"family":"Meyer","given":"Claus"},{"family":"Horsley","given":"Sharon W."},{"family":"Kearney","given":"Lyndal"},{"family":"Colman","given":"Susan"},{"family":"Ptoszkova","given":"Hana"},{"family":"Marschalek","given":"Rolf"},{"family":"Hrusak","given":"Ondrej"},{"family":"Stary","given":"Jan"},{"family":"Greaves","given":"Mel"},{"family":"Trka","given":"Jan"}],"issued":{"date-parts":[["2009",1]]}}}],"schema":"https://github.com/citation-style-language/schema/raw/master/csl-citation.json"} </w:instrText>
      </w:r>
      <w:r w:rsidR="0088040B" w:rsidRPr="006F5ABC">
        <w:rPr>
          <w:rFonts w:ascii="Arial" w:hAnsi="Arial" w:cs="Arial"/>
          <w:sz w:val="22"/>
          <w:szCs w:val="22"/>
          <w:lang w:val="en-US"/>
        </w:rPr>
        <w:fldChar w:fldCharType="separate"/>
      </w:r>
      <w:r w:rsidR="0088040B" w:rsidRPr="006F5ABC">
        <w:rPr>
          <w:rFonts w:ascii="Arial" w:hAnsi="Arial" w:cs="Arial"/>
          <w:noProof/>
          <w:sz w:val="22"/>
          <w:szCs w:val="22"/>
          <w:lang w:val="en-US"/>
        </w:rPr>
        <w:t>(Zuna et al., 2009)</w:t>
      </w:r>
      <w:r w:rsidR="0088040B" w:rsidRPr="006F5ABC">
        <w:rPr>
          <w:rFonts w:ascii="Arial" w:hAnsi="Arial" w:cs="Arial"/>
          <w:sz w:val="22"/>
          <w:szCs w:val="22"/>
          <w:lang w:val="en-US"/>
        </w:rPr>
        <w:fldChar w:fldCharType="end"/>
      </w:r>
      <w:r w:rsidR="0088040B" w:rsidRPr="006F5ABC">
        <w:rPr>
          <w:rFonts w:ascii="Arial" w:hAnsi="Arial" w:cs="Arial"/>
          <w:sz w:val="22"/>
          <w:szCs w:val="22"/>
          <w:lang w:val="en-US"/>
        </w:rPr>
        <w:t xml:space="preserve">. </w:t>
      </w:r>
      <w:r w:rsidR="00364670">
        <w:rPr>
          <w:rFonts w:ascii="Arial" w:hAnsi="Arial" w:cs="Arial"/>
          <w:sz w:val="22"/>
          <w:szCs w:val="22"/>
          <w:lang w:val="en-US"/>
        </w:rPr>
        <w:t>Colleagues in my laboratory</w:t>
      </w:r>
      <w:r w:rsidR="00364670" w:rsidRPr="006F5ABC">
        <w:rPr>
          <w:rFonts w:ascii="Arial" w:hAnsi="Arial" w:cs="Arial"/>
          <w:sz w:val="22"/>
          <w:szCs w:val="22"/>
          <w:lang w:val="en-US"/>
        </w:rPr>
        <w:t xml:space="preserve"> </w:t>
      </w:r>
      <w:r w:rsidR="0088040B" w:rsidRPr="006F5ABC">
        <w:rPr>
          <w:rFonts w:ascii="Arial" w:hAnsi="Arial" w:cs="Arial"/>
          <w:sz w:val="22"/>
          <w:szCs w:val="22"/>
          <w:lang w:val="en-US"/>
        </w:rPr>
        <w:t xml:space="preserve">have </w:t>
      </w:r>
      <w:r w:rsidR="0088040B" w:rsidRPr="006F5ABC">
        <w:rPr>
          <w:rFonts w:ascii="Arial" w:hAnsi="Arial" w:cs="Arial"/>
          <w:sz w:val="22"/>
          <w:szCs w:val="22"/>
          <w:lang w:val="en-US"/>
        </w:rPr>
        <w:lastRenderedPageBreak/>
        <w:t xml:space="preserve">previously described </w:t>
      </w:r>
      <w:proofErr w:type="spellStart"/>
      <w:r w:rsidR="0088040B" w:rsidRPr="006F5ABC">
        <w:rPr>
          <w:rFonts w:ascii="Arial" w:hAnsi="Arial" w:cs="Arial"/>
          <w:sz w:val="22"/>
          <w:szCs w:val="22"/>
          <w:lang w:val="en-US"/>
        </w:rPr>
        <w:t>M</w:t>
      </w:r>
      <w:r w:rsidR="00142FDD" w:rsidRPr="006F5ABC">
        <w:rPr>
          <w:rFonts w:ascii="Arial" w:hAnsi="Arial" w:cs="Arial"/>
          <w:sz w:val="22"/>
          <w:szCs w:val="22"/>
          <w:lang w:val="en-US"/>
        </w:rPr>
        <w:t>ll</w:t>
      </w:r>
      <w:proofErr w:type="spellEnd"/>
      <w:r w:rsidR="0088040B" w:rsidRPr="006F5ABC">
        <w:rPr>
          <w:rFonts w:ascii="Arial" w:hAnsi="Arial" w:cs="Arial"/>
          <w:sz w:val="22"/>
          <w:szCs w:val="22"/>
          <w:lang w:val="en-US"/>
        </w:rPr>
        <w:t xml:space="preserve">-ENL </w:t>
      </w:r>
      <w:proofErr w:type="spellStart"/>
      <w:r w:rsidR="0088040B" w:rsidRPr="006F5ABC">
        <w:rPr>
          <w:rFonts w:ascii="Arial" w:hAnsi="Arial" w:cs="Arial"/>
          <w:sz w:val="22"/>
          <w:szCs w:val="22"/>
          <w:lang w:val="en-US"/>
        </w:rPr>
        <w:t>knockin</w:t>
      </w:r>
      <w:proofErr w:type="spellEnd"/>
      <w:r w:rsidR="0088040B" w:rsidRPr="006F5ABC">
        <w:rPr>
          <w:rFonts w:ascii="Arial" w:hAnsi="Arial" w:cs="Arial"/>
          <w:sz w:val="22"/>
          <w:szCs w:val="22"/>
          <w:lang w:val="en-US"/>
        </w:rPr>
        <w:t xml:space="preserve"> mouse</w:t>
      </w:r>
      <w:r w:rsidR="003C2B38" w:rsidRPr="006F5ABC">
        <w:rPr>
          <w:rFonts w:ascii="Arial" w:hAnsi="Arial" w:cs="Arial"/>
          <w:sz w:val="22"/>
          <w:szCs w:val="22"/>
          <w:lang w:val="en-US"/>
        </w:rPr>
        <w:t xml:space="preserve"> model</w:t>
      </w:r>
      <w:r w:rsidR="0088040B" w:rsidRPr="006F5ABC">
        <w:rPr>
          <w:rFonts w:ascii="Arial" w:hAnsi="Arial" w:cs="Arial"/>
          <w:sz w:val="22"/>
          <w:szCs w:val="22"/>
          <w:lang w:val="en-US"/>
        </w:rPr>
        <w:t xml:space="preserve">, in which the oncogenic fusion is induced by tamoxifen through truncated </w:t>
      </w:r>
      <w:r w:rsidR="006A40E8" w:rsidRPr="006A40E8">
        <w:rPr>
          <w:rFonts w:ascii="Arial" w:hAnsi="Arial" w:cs="Arial"/>
          <w:sz w:val="22"/>
          <w:szCs w:val="22"/>
          <w:lang w:val="en-US"/>
        </w:rPr>
        <w:t xml:space="preserve">form of mutant </w:t>
      </w:r>
      <w:r w:rsidR="0088040B" w:rsidRPr="006F5ABC">
        <w:rPr>
          <w:rFonts w:ascii="Arial" w:hAnsi="Arial" w:cs="Arial"/>
          <w:sz w:val="22"/>
          <w:szCs w:val="22"/>
          <w:lang w:val="en-US"/>
        </w:rPr>
        <w:t>estrogen receptor</w:t>
      </w:r>
      <w:r w:rsidR="00142FDD" w:rsidRPr="006F5ABC">
        <w:rPr>
          <w:rFonts w:ascii="Arial" w:hAnsi="Arial" w:cs="Arial"/>
          <w:sz w:val="22"/>
          <w:szCs w:val="22"/>
          <w:lang w:val="en-US"/>
        </w:rPr>
        <w:t xml:space="preserve"> (</w:t>
      </w:r>
      <w:proofErr w:type="spellStart"/>
      <w:r w:rsidR="00142FDD" w:rsidRPr="006F5ABC">
        <w:rPr>
          <w:rFonts w:ascii="Arial" w:hAnsi="Arial" w:cs="Arial"/>
          <w:sz w:val="22"/>
          <w:szCs w:val="22"/>
          <w:lang w:val="en-US"/>
        </w:rPr>
        <w:t>ERtm</w:t>
      </w:r>
      <w:proofErr w:type="spellEnd"/>
      <w:r w:rsidR="00142FDD" w:rsidRPr="006F5ABC">
        <w:rPr>
          <w:rFonts w:ascii="Arial" w:hAnsi="Arial" w:cs="Arial"/>
          <w:sz w:val="22"/>
          <w:szCs w:val="22"/>
          <w:lang w:val="en-US"/>
        </w:rPr>
        <w:t>)</w:t>
      </w:r>
      <w:r w:rsidR="0088040B" w:rsidRPr="006F5ABC">
        <w:rPr>
          <w:rFonts w:ascii="Arial" w:hAnsi="Arial" w:cs="Arial"/>
          <w:sz w:val="22"/>
          <w:szCs w:val="22"/>
          <w:lang w:val="en-US"/>
        </w:rPr>
        <w:t xml:space="preserve"> and expressed in the physiological context of the </w:t>
      </w:r>
      <w:proofErr w:type="spellStart"/>
      <w:r w:rsidR="0088040B" w:rsidRPr="00B370A6">
        <w:rPr>
          <w:rFonts w:ascii="Arial" w:hAnsi="Arial" w:cs="Arial"/>
          <w:i/>
          <w:sz w:val="22"/>
          <w:szCs w:val="22"/>
          <w:lang w:val="en-US"/>
        </w:rPr>
        <w:t>M</w:t>
      </w:r>
      <w:r w:rsidR="00142FDD" w:rsidRPr="00B370A6">
        <w:rPr>
          <w:rFonts w:ascii="Arial" w:hAnsi="Arial" w:cs="Arial"/>
          <w:i/>
          <w:sz w:val="22"/>
          <w:szCs w:val="22"/>
          <w:lang w:val="en-US"/>
        </w:rPr>
        <w:t>ll</w:t>
      </w:r>
      <w:proofErr w:type="spellEnd"/>
      <w:r w:rsidR="0088040B" w:rsidRPr="006F5ABC">
        <w:rPr>
          <w:rFonts w:ascii="Arial" w:hAnsi="Arial" w:cs="Arial"/>
          <w:sz w:val="22"/>
          <w:szCs w:val="22"/>
          <w:lang w:val="en-US"/>
        </w:rPr>
        <w:t xml:space="preserve"> gene </w:t>
      </w:r>
      <w:r w:rsidR="003C2B38" w:rsidRPr="006F5ABC">
        <w:rPr>
          <w:rFonts w:ascii="Arial" w:hAnsi="Arial" w:cs="Arial"/>
          <w:sz w:val="22"/>
          <w:szCs w:val="22"/>
          <w:lang w:val="en-US"/>
        </w:rPr>
        <w:fldChar w:fldCharType="begin"/>
      </w:r>
      <w:r w:rsidR="003C2B38" w:rsidRPr="006F5ABC">
        <w:rPr>
          <w:rFonts w:ascii="Arial" w:hAnsi="Arial" w:cs="Arial"/>
          <w:sz w:val="22"/>
          <w:szCs w:val="22"/>
          <w:lang w:val="en-US"/>
        </w:rPr>
        <w:instrText xml:space="preserve"> ADDIN ZOTERO_ITEM CSL_CITATION {"citationID":"C9XNVK7l","properties":{"formattedCitation":"(Takacova et al., 2012)","plainCitation":"(Takacova et al., 2012)","noteIndex":0},"citationItems":[{"id":33,"uris":["http://zotero.org/users/2484452/items/G2AH245P"],"uri":["http://zotero.org/users/2484452/items/G2AH245P"],"itemData":{"id":33,"type":"article-journal","abstract":"Activation of the MLL-ENL-ERtm oncogene initiates aberrant proliferation of myeloid progenitors. Here, we show induction of a fail-safe mechanism mediated by the DNA damage response (DDR) machinery that results in activation of the ATR/ATM-Chk1/Chk2-p53/p21(CIP1) checkpoint and cellular senescence at early stages of cellular transformation caused by a regulatable MLL-ENL-ERtm in mice. Furthermore, we identified the transcription program underlying this intrinsic anticancer barrier, and DDR-induced inflammatory regulators that fine-tune the signaling toward senescence, thereby modulating the fate of MLL-ENL-immortalized cells in a tissue-environment-dependent manner. Our results indicate that DDR is a rate-limiting event for acquisition of stem cell-like properties in MLL-ENL-ERtm-mediated transformation, as experimental inhibition of the barrier accelerated the transition to immature cell states and acute leukemia development.","container-title":"Cancer Cell","DOI":"10.1016/j.ccr.2012.01.021","ISSN":"1878-3686","issue":"4","journalAbbreviation":"Cancer Cell","language":"eng","note":"PMID: 22516260","page":"517-531","source":"PubMed","title":"DNA damage response and inflammatory signaling limit the MLL-ENL-induced leukemogenesis in vivo","volume":"21","author":[{"family":"Takacova","given":"Sylvia"},{"family":"Slany","given":"Robert"},{"family":"Bartkova","given":"Jirina"},{"family":"Stranecky","given":"Viktor"},{"family":"Dolezel","given":"Petr"},{"family":"Luzna","given":"Pavla"},{"family":"Bartek","given":"Jiri"},{"family":"Divoky","given":"Vladimir"}],"issued":{"date-parts":[["2012",4,17]]}}}],"schema":"https://github.com/citation-style-language/schema/raw/master/csl-citation.json"} </w:instrText>
      </w:r>
      <w:r w:rsidR="003C2B38" w:rsidRPr="006F5ABC">
        <w:rPr>
          <w:rFonts w:ascii="Arial" w:hAnsi="Arial" w:cs="Arial"/>
          <w:sz w:val="22"/>
          <w:szCs w:val="22"/>
          <w:lang w:val="en-US"/>
        </w:rPr>
        <w:fldChar w:fldCharType="separate"/>
      </w:r>
      <w:r w:rsidR="003C2B38" w:rsidRPr="006F5ABC">
        <w:rPr>
          <w:rFonts w:ascii="Arial" w:hAnsi="Arial" w:cs="Arial"/>
          <w:noProof/>
          <w:sz w:val="22"/>
          <w:szCs w:val="22"/>
          <w:lang w:val="en-US"/>
        </w:rPr>
        <w:t>(Takacova et al., 2012)</w:t>
      </w:r>
      <w:r w:rsidR="003C2B38" w:rsidRPr="006F5ABC">
        <w:rPr>
          <w:rFonts w:ascii="Arial" w:hAnsi="Arial" w:cs="Arial"/>
          <w:sz w:val="22"/>
          <w:szCs w:val="22"/>
          <w:lang w:val="en-US"/>
        </w:rPr>
        <w:fldChar w:fldCharType="end"/>
      </w:r>
      <w:r w:rsidR="0088040B" w:rsidRPr="006F5ABC">
        <w:rPr>
          <w:rFonts w:ascii="Arial" w:hAnsi="Arial" w:cs="Arial"/>
          <w:sz w:val="22"/>
          <w:szCs w:val="22"/>
          <w:lang w:val="en-US"/>
        </w:rPr>
        <w:t>.</w:t>
      </w:r>
      <w:r w:rsidR="003C2B38" w:rsidRPr="006F5ABC">
        <w:rPr>
          <w:rFonts w:ascii="Arial" w:hAnsi="Arial" w:cs="Arial"/>
          <w:sz w:val="22"/>
          <w:szCs w:val="22"/>
          <w:lang w:val="en-US"/>
        </w:rPr>
        <w:t xml:space="preserve"> </w:t>
      </w:r>
      <w:r w:rsidR="007B387C" w:rsidRPr="006F5ABC">
        <w:rPr>
          <w:rFonts w:ascii="Arial" w:hAnsi="Arial" w:cs="Arial"/>
          <w:sz w:val="22"/>
          <w:szCs w:val="22"/>
          <w:lang w:val="en-US"/>
        </w:rPr>
        <w:t xml:space="preserve">Induction of oncogene eventually led to sustained </w:t>
      </w:r>
      <w:proofErr w:type="spellStart"/>
      <w:r w:rsidR="007B387C" w:rsidRPr="006F5ABC">
        <w:rPr>
          <w:rFonts w:ascii="Arial" w:hAnsi="Arial" w:cs="Arial"/>
          <w:sz w:val="22"/>
          <w:szCs w:val="22"/>
          <w:lang w:val="en-US"/>
        </w:rPr>
        <w:t>myeloproliferation</w:t>
      </w:r>
      <w:proofErr w:type="spellEnd"/>
      <w:r w:rsidR="007B387C" w:rsidRPr="006F5ABC">
        <w:rPr>
          <w:rFonts w:ascii="Arial" w:hAnsi="Arial" w:cs="Arial"/>
          <w:sz w:val="22"/>
          <w:szCs w:val="22"/>
          <w:lang w:val="en-US"/>
        </w:rPr>
        <w:t xml:space="preserve"> both in BM and spleen, however upon prolonged chronic phase, </w:t>
      </w:r>
      <w:proofErr w:type="spellStart"/>
      <w:r w:rsidR="007B387C" w:rsidRPr="006F5ABC">
        <w:rPr>
          <w:rFonts w:ascii="Arial" w:hAnsi="Arial" w:cs="Arial"/>
          <w:i/>
          <w:iCs/>
          <w:sz w:val="22"/>
          <w:szCs w:val="22"/>
          <w:lang w:val="en-US"/>
        </w:rPr>
        <w:t>M</w:t>
      </w:r>
      <w:r w:rsidR="00142FDD" w:rsidRPr="006F5ABC">
        <w:rPr>
          <w:rFonts w:ascii="Arial" w:hAnsi="Arial" w:cs="Arial"/>
          <w:i/>
          <w:iCs/>
          <w:sz w:val="22"/>
          <w:szCs w:val="22"/>
          <w:lang w:val="en-US"/>
        </w:rPr>
        <w:t>ll</w:t>
      </w:r>
      <w:proofErr w:type="spellEnd"/>
      <w:r w:rsidR="007B387C" w:rsidRPr="006F5ABC">
        <w:rPr>
          <w:rFonts w:ascii="Arial" w:hAnsi="Arial" w:cs="Arial"/>
          <w:i/>
          <w:iCs/>
          <w:sz w:val="22"/>
          <w:szCs w:val="22"/>
          <w:lang w:val="en-US"/>
        </w:rPr>
        <w:t>-ENL</w:t>
      </w:r>
      <w:r w:rsidR="00142FDD" w:rsidRPr="006F5ABC">
        <w:rPr>
          <w:rFonts w:ascii="Arial" w:hAnsi="Arial" w:cs="Arial"/>
          <w:i/>
          <w:iCs/>
          <w:sz w:val="22"/>
          <w:szCs w:val="22"/>
          <w:lang w:val="en-US"/>
        </w:rPr>
        <w:t>-</w:t>
      </w:r>
      <w:proofErr w:type="spellStart"/>
      <w:r w:rsidR="00142FDD" w:rsidRPr="006F5ABC">
        <w:rPr>
          <w:rFonts w:ascii="Arial" w:hAnsi="Arial" w:cs="Arial"/>
          <w:i/>
          <w:iCs/>
          <w:sz w:val="22"/>
          <w:szCs w:val="22"/>
          <w:lang w:val="en-US"/>
        </w:rPr>
        <w:t>ERtm</w:t>
      </w:r>
      <w:proofErr w:type="spellEnd"/>
      <w:r w:rsidR="007B387C" w:rsidRPr="006F5ABC">
        <w:rPr>
          <w:rFonts w:ascii="Arial" w:hAnsi="Arial" w:cs="Arial"/>
          <w:sz w:val="22"/>
          <w:szCs w:val="22"/>
          <w:lang w:val="en-US"/>
        </w:rPr>
        <w:t>-expressing myeloid cells suffered from oncogene-induced replication stress, marked by the ATR/Chk1-mediated DDR activation and gradually progressed to senescence, resulting in inhibition of leukemia progression. Activation of such fail-safe mechanisms was much stronger in BM, where it was reinforced by ATM/p53/p21 checkpoint switched on by inflammatory microenvironment</w:t>
      </w:r>
      <w:r w:rsidR="003D0590" w:rsidRPr="006F5ABC">
        <w:rPr>
          <w:rFonts w:ascii="Arial" w:hAnsi="Arial" w:cs="Arial"/>
          <w:sz w:val="22"/>
          <w:szCs w:val="22"/>
          <w:lang w:val="en-US"/>
        </w:rPr>
        <w:t xml:space="preserve">. Thus DDR in </w:t>
      </w:r>
      <w:r w:rsidR="00EF5DE1">
        <w:rPr>
          <w:rFonts w:ascii="Arial" w:hAnsi="Arial" w:cs="Arial"/>
          <w:bCs/>
          <w:sz w:val="22"/>
          <w:szCs w:val="22"/>
          <w:lang w:val="en-US" w:eastAsia="zh-CN"/>
        </w:rPr>
        <w:t>this model</w:t>
      </w:r>
      <w:r w:rsidR="003D0590" w:rsidRPr="006F5ABC">
        <w:rPr>
          <w:rFonts w:ascii="Arial" w:hAnsi="Arial" w:cs="Arial"/>
          <w:bCs/>
          <w:sz w:val="22"/>
          <w:szCs w:val="22"/>
          <w:lang w:val="en-US" w:eastAsia="zh-CN"/>
        </w:rPr>
        <w:t xml:space="preserve"> induces a barrier against leukemogenesis,</w:t>
      </w:r>
      <w:r w:rsidR="003D0590" w:rsidRPr="006F5ABC">
        <w:rPr>
          <w:rFonts w:ascii="Arial" w:hAnsi="Arial" w:cs="Arial"/>
          <w:sz w:val="22"/>
          <w:szCs w:val="22"/>
          <w:lang w:val="en-US"/>
        </w:rPr>
        <w:t xml:space="preserve"> consistent with the hypothesis of oncogene-induced replication stress </w:t>
      </w:r>
      <w:r w:rsidR="007B387C" w:rsidRPr="006F5ABC">
        <w:rPr>
          <w:rFonts w:ascii="Arial" w:hAnsi="Arial" w:cs="Arial"/>
          <w:bCs/>
          <w:sz w:val="22"/>
          <w:szCs w:val="22"/>
          <w:lang w:val="en-US" w:eastAsia="zh-CN"/>
        </w:rPr>
        <w:t xml:space="preserve">limiting the </w:t>
      </w:r>
      <w:r w:rsidR="003D0590" w:rsidRPr="006F5ABC">
        <w:rPr>
          <w:rFonts w:ascii="Arial" w:hAnsi="Arial" w:cs="Arial"/>
          <w:bCs/>
          <w:sz w:val="22"/>
          <w:szCs w:val="22"/>
          <w:lang w:val="en-US" w:eastAsia="zh-CN"/>
        </w:rPr>
        <w:t xml:space="preserve">pre-neoplastic </w:t>
      </w:r>
      <w:r w:rsidR="007B387C" w:rsidRPr="006F5ABC">
        <w:rPr>
          <w:rFonts w:ascii="Arial" w:hAnsi="Arial" w:cs="Arial"/>
          <w:bCs/>
          <w:sz w:val="22"/>
          <w:szCs w:val="22"/>
          <w:lang w:val="en-US" w:eastAsia="zh-CN"/>
        </w:rPr>
        <w:t>disease</w:t>
      </w:r>
      <w:r w:rsidR="003D0590" w:rsidRPr="006F5ABC">
        <w:rPr>
          <w:rFonts w:ascii="Arial" w:hAnsi="Arial" w:cs="Arial"/>
          <w:bCs/>
          <w:sz w:val="22"/>
          <w:szCs w:val="22"/>
          <w:lang w:val="en-US" w:eastAsia="zh-CN"/>
        </w:rPr>
        <w:t xml:space="preserve"> potential</w:t>
      </w:r>
      <w:r w:rsidR="007B387C" w:rsidRPr="006F5ABC">
        <w:rPr>
          <w:rFonts w:ascii="Arial" w:hAnsi="Arial" w:cs="Arial"/>
          <w:bCs/>
          <w:sz w:val="22"/>
          <w:szCs w:val="22"/>
          <w:lang w:val="en-US" w:eastAsia="zh-CN"/>
        </w:rPr>
        <w:t xml:space="preserve"> and progression</w:t>
      </w:r>
      <w:r w:rsidR="00154D01">
        <w:rPr>
          <w:rFonts w:ascii="Arial" w:hAnsi="Arial" w:cs="Arial"/>
          <w:bCs/>
          <w:sz w:val="22"/>
          <w:szCs w:val="22"/>
          <w:lang w:val="en-US" w:eastAsia="zh-CN"/>
        </w:rPr>
        <w:t xml:space="preserve"> </w:t>
      </w:r>
      <w:r w:rsidR="00154D01">
        <w:rPr>
          <w:rFonts w:ascii="Arial" w:hAnsi="Arial" w:cs="Arial"/>
          <w:bCs/>
          <w:sz w:val="22"/>
          <w:szCs w:val="22"/>
          <w:lang w:val="en-US" w:eastAsia="zh-CN"/>
        </w:rPr>
        <w:fldChar w:fldCharType="begin"/>
      </w:r>
      <w:r w:rsidR="00154D01">
        <w:rPr>
          <w:rFonts w:ascii="Arial" w:hAnsi="Arial" w:cs="Arial"/>
          <w:bCs/>
          <w:sz w:val="22"/>
          <w:szCs w:val="22"/>
          <w:lang w:val="en-US" w:eastAsia="zh-CN"/>
        </w:rPr>
        <w:instrText xml:space="preserve"> ADDIN ZOTERO_ITEM CSL_CITATION {"citationID":"KQ0wFirt","properties":{"formattedCitation":"(Bartkova et al., 2005; Di Micco et al., 2006)","plainCitation":"(Bartkova et al., 2005; Di Micco et al., 2006)","noteIndex":0},"citationItems":[{"id":35,"uris":["http://zotero.org/users/2484452/items/QSWZQH6S"],"uri":["http://zotero.org/users/2484452/items/QSWZQH6S"],"itemData":{"id":35,"type":"article-journal","abstract":"During the evolution of cancer, the incipient tumour experiences 'oncogenic stress', which evokes a counter-response to eliminate such hazardous cells. However, the nature of this stress remains elusive, as does the inducible anti-cancer barrier that elicits growth arrest or cell death. Here we show that in clinical specimens from different stages of human tumours of the urinary bladder, breast, lung and colon, the early precursor lesions (but not normal tissues) commonly express markers of an activated DNA damage response. These include phosphorylated kinases ATM and Chk2, and phosphorylated histone H2AX and p53. Similar checkpoint responses were induced in cultured cells upon expression of different oncogenes that deregulate DNA replication. Together with genetic analyses, including a genome-wide assessment of allelic imbalances, our data indicate that early in tumorigenesis (before genomic instability and malignant conversion), human cells activate an ATR/ATM-regulated DNA damage response network that delays or prevents cancer. Mutations compromising this checkpoint, including defects in the ATM-Chk2-p53 pathway, might allow cell proliferation, survival, increased genomic instability and tumour progression.","container-title":"Nature","DOI":"10.1038/nature03482","ISSN":"1476-4687","issue":"7035","journalAbbreviation":"Nature","language":"eng","note":"PMID: 15829956","page":"864-870","source":"PubMed","title":"DNA damage response as a candidate anti-cancer barrier in early human tumorigenesis","volume":"434","author":[{"family":"Bartkova","given":"Jirina"},{"family":"Horejsí","given":"Zuzana"},{"family":"Koed","given":"Karen"},{"family":"Krämer","given":"Alwin"},{"family":"Tort","given":"Frederic"},{"family":"Zieger","given":"Karsten"},{"family":"Guldberg","given":"Per"},{"family":"Sehested","given":"Maxwell"},{"family":"Nesland","given":"Jahn M."},{"family":"Lukas","given":"Claudia"},{"family":"Ørntoft","given":"Torben"},{"family":"Lukas","given":"Jiri"},{"family":"Bartek","given":"Jiri"}],"issued":{"date-parts":[["2005",4,14]]}}},{"id":1827,"uris":["http://zotero.org/users/2484452/items/K76EELY8"],"uri":["http://zotero.org/users/2484452/items/K76EELY8"],"itemData":{"id":1827,"type":"article-journal","abstract":"Early tumorigenesis is associated with the engagement of the DNA-damage checkpoint response (DDR). Cell proliferation and transformation induced by oncogene activation are restrained by cellular senescence. It is unclear whether DDR activation and oncogene-induced senescence (OIS) are causally linked. Here we show that senescence, triggered by the expression of an activated oncogene (H-RasV12) in normal human cells, is a consequence of the activation of a robust DDR. Experimental inactivation of DDR abrogates OIS and promotes cell transformation. DDR and OIS are established after a hyper-replicative phase occurring immediately after oncogene expression. Senescent cells arrest with partly replicated DNA and with DNA replication origins having fired multiple times. In vivo DNA</w:instrText>
      </w:r>
      <w:r w:rsidR="00154D01" w:rsidRPr="00154D01">
        <w:rPr>
          <w:rFonts w:ascii="Arial" w:hAnsi="Arial" w:cs="Arial"/>
          <w:bCs/>
          <w:sz w:val="22"/>
          <w:szCs w:val="22"/>
          <w:lang w:eastAsia="zh-CN"/>
        </w:rPr>
        <w:instrText xml:space="preserve"> labelling and molecular DNA combing re</w:instrText>
      </w:r>
      <w:r w:rsidR="00154D01" w:rsidRPr="00154D01">
        <w:rPr>
          <w:rFonts w:ascii="Arial" w:hAnsi="Arial" w:cs="Arial"/>
          <w:bCs/>
          <w:sz w:val="22"/>
          <w:szCs w:val="22"/>
          <w:lang w:val="en-US" w:eastAsia="zh-CN"/>
        </w:rPr>
        <w:instrText xml:space="preserve">veal that oncogene activation leads to augmented numbers of active replicons and to alterations in DNA replication fork progression. We also show that oncogene expression does not trigger a DDR in the absence of DNA replication. Last, we show that oncogene activation is associated with DDR activation in a mouse model in vivo. We propose that OIS results from the enforcement of a DDR triggered by oncogene-induced DNA hyper-replication.","container-title":"Nature","DOI":"10.1038/nature05327","ISSN":"1476-4687","issue":"7119","journalAbbreviation":"Nature","language":"eng","note":"PMID: 17136094","page":"638-642","source":"PubMed","title":"Oncogene-induced senescence is a DNA damage response triggered by DNA hyper-replication","volume":"444","author":[{"family":"Di Micco","given":"Raffaella"},{"family":"Fumagalli","given":"Marzia"},{"family":"Cicalese","given":"Angelo"},{"family":"Piccinin","given":"Sara"},{"family":"Gasparini","given":"Patrizia"},{"family":"Luise","given":"Chiara"},{"family":"Schurra","given":"Catherine"},{"family":"Garre'","given":"Massimiliano"},{"family":"Nuciforo","given":"Paolo Giovanni"},{"family":"Bensimon","given":"Aaron"},{"family":"Maestro","given":"Roberta"},{"family":"Pelicci","given":"Pier Giuseppe"},{"family":"Fagagna","given":"Fabrizio","non-dropping-particle":"d'Adda di"}],"issued":{"date-parts":[["2006",11,30]]}}}],"schema":"https://github.com/citation-style-language/schema/raw/master/csl-citation.json"} </w:instrText>
      </w:r>
      <w:r w:rsidR="00154D01">
        <w:rPr>
          <w:rFonts w:ascii="Arial" w:hAnsi="Arial" w:cs="Arial"/>
          <w:bCs/>
          <w:sz w:val="22"/>
          <w:szCs w:val="22"/>
          <w:lang w:val="en-US" w:eastAsia="zh-CN"/>
        </w:rPr>
        <w:fldChar w:fldCharType="separate"/>
      </w:r>
      <w:r w:rsidR="00154D01" w:rsidRPr="00154D01">
        <w:rPr>
          <w:rFonts w:ascii="Arial" w:hAnsi="Arial" w:cs="Arial"/>
          <w:bCs/>
          <w:noProof/>
          <w:sz w:val="22"/>
          <w:szCs w:val="22"/>
          <w:lang w:val="en-US" w:eastAsia="zh-CN"/>
        </w:rPr>
        <w:t>(Bartkova et al., 2005; Di Micco et al., 2006)</w:t>
      </w:r>
      <w:r w:rsidR="00154D01">
        <w:rPr>
          <w:rFonts w:ascii="Arial" w:hAnsi="Arial" w:cs="Arial"/>
          <w:bCs/>
          <w:sz w:val="22"/>
          <w:szCs w:val="22"/>
          <w:lang w:val="en-US" w:eastAsia="zh-CN"/>
        </w:rPr>
        <w:fldChar w:fldCharType="end"/>
      </w:r>
      <w:r w:rsidR="00154D01">
        <w:rPr>
          <w:rFonts w:ascii="Arial" w:hAnsi="Arial" w:cs="Arial"/>
          <w:bCs/>
          <w:sz w:val="22"/>
          <w:szCs w:val="22"/>
          <w:lang w:val="en-US" w:eastAsia="zh-CN"/>
        </w:rPr>
        <w:t xml:space="preserve">. </w:t>
      </w:r>
      <w:r w:rsidR="003D0590" w:rsidRPr="006F5ABC">
        <w:rPr>
          <w:rFonts w:ascii="Arial" w:hAnsi="Arial" w:cs="Arial"/>
          <w:bCs/>
          <w:sz w:val="22"/>
          <w:szCs w:val="22"/>
          <w:lang w:val="en-US" w:eastAsia="zh-CN"/>
        </w:rPr>
        <w:t>Strikingly, inhibition of ATM and ATR signaling was able to bypass the DDR barrier and accelerated the onset of leukemia (Figure</w:t>
      </w:r>
      <w:r w:rsidR="001136FB" w:rsidRPr="006F5ABC">
        <w:rPr>
          <w:rFonts w:ascii="Arial" w:hAnsi="Arial" w:cs="Arial"/>
          <w:bCs/>
          <w:sz w:val="22"/>
          <w:szCs w:val="22"/>
          <w:lang w:val="en-US" w:eastAsia="zh-CN"/>
        </w:rPr>
        <w:t xml:space="preserve"> 3</w:t>
      </w:r>
      <w:r w:rsidR="003D0590" w:rsidRPr="006F5ABC">
        <w:rPr>
          <w:rFonts w:ascii="Arial" w:hAnsi="Arial" w:cs="Arial"/>
          <w:bCs/>
          <w:sz w:val="22"/>
          <w:szCs w:val="22"/>
          <w:lang w:val="en-US" w:eastAsia="zh-CN"/>
        </w:rPr>
        <w:t>).</w:t>
      </w:r>
      <w:r w:rsidR="001136FB" w:rsidRPr="006F5ABC">
        <w:rPr>
          <w:rFonts w:ascii="Arial" w:hAnsi="Arial" w:cs="Arial"/>
          <w:noProof/>
          <w:sz w:val="22"/>
          <w:szCs w:val="22"/>
          <w:lang w:val="en-US"/>
        </w:rPr>
        <w:t xml:space="preserve"> </w:t>
      </w:r>
    </w:p>
    <w:p w14:paraId="1C3A74CE" w14:textId="77777777" w:rsidR="00787044" w:rsidRPr="003A5293" w:rsidRDefault="001136FB" w:rsidP="009105D0">
      <w:pPr>
        <w:spacing w:line="360" w:lineRule="auto"/>
        <w:jc w:val="center"/>
        <w:rPr>
          <w:rFonts w:ascii="Arial" w:hAnsi="Arial" w:cs="Arial"/>
          <w:bCs/>
          <w:lang w:val="en-US" w:eastAsia="zh-CN"/>
        </w:rPr>
      </w:pPr>
      <w:r w:rsidRPr="003A5293">
        <w:rPr>
          <w:rFonts w:ascii="Arial" w:hAnsi="Arial" w:cs="Arial"/>
          <w:noProof/>
          <w:sz w:val="22"/>
          <w:szCs w:val="22"/>
          <w:lang w:val="cs-CZ" w:eastAsia="cs-CZ"/>
        </w:rPr>
        <w:drawing>
          <wp:inline distT="0" distB="0" distL="0" distR="0" wp14:anchorId="6596E5DE" wp14:editId="68FD509C">
            <wp:extent cx="3457073" cy="4237022"/>
            <wp:effectExtent l="0" t="0" r="0" b="508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Figure 3.jpg"/>
                    <pic:cNvPicPr/>
                  </pic:nvPicPr>
                  <pic:blipFill rotWithShape="1">
                    <a:blip r:embed="rId12" cstate="print">
                      <a:extLst>
                        <a:ext uri="{28A0092B-C50C-407E-A947-70E740481C1C}">
                          <a14:useLocalDpi xmlns:a14="http://schemas.microsoft.com/office/drawing/2010/main" val="0"/>
                        </a:ext>
                      </a:extLst>
                    </a:blip>
                    <a:srcRect l="65681" t="24374" r="1073" b="21296"/>
                    <a:stretch/>
                  </pic:blipFill>
                  <pic:spPr bwMode="auto">
                    <a:xfrm>
                      <a:off x="0" y="0"/>
                      <a:ext cx="3479332" cy="4264303"/>
                    </a:xfrm>
                    <a:prstGeom prst="rect">
                      <a:avLst/>
                    </a:prstGeom>
                    <a:ln>
                      <a:noFill/>
                    </a:ln>
                    <a:extLst>
                      <a:ext uri="{53640926-AAD7-44D8-BBD7-CCE9431645EC}">
                        <a14:shadowObscured xmlns:a14="http://schemas.microsoft.com/office/drawing/2010/main"/>
                      </a:ext>
                    </a:extLst>
                  </pic:spPr>
                </pic:pic>
              </a:graphicData>
            </a:graphic>
          </wp:inline>
        </w:drawing>
      </w:r>
    </w:p>
    <w:p w14:paraId="099FCFCA" w14:textId="77777777" w:rsidR="0064105C" w:rsidRPr="006F5ABC" w:rsidRDefault="004069EE" w:rsidP="00507F6B">
      <w:pPr>
        <w:spacing w:line="360" w:lineRule="auto"/>
        <w:jc w:val="both"/>
        <w:rPr>
          <w:rFonts w:ascii="Arial" w:hAnsi="Arial" w:cs="Arial"/>
          <w:sz w:val="22"/>
          <w:szCs w:val="22"/>
          <w:lang w:val="en-US"/>
        </w:rPr>
      </w:pPr>
      <w:r w:rsidRPr="006F5ABC">
        <w:rPr>
          <w:rFonts w:ascii="Arial" w:hAnsi="Arial" w:cs="Arial"/>
          <w:b/>
          <w:bCs/>
          <w:sz w:val="22"/>
          <w:szCs w:val="22"/>
          <w:lang w:val="en-US"/>
        </w:rPr>
        <w:t xml:space="preserve">Figure </w:t>
      </w:r>
      <w:r w:rsidR="001136FB" w:rsidRPr="006F5ABC">
        <w:rPr>
          <w:rFonts w:ascii="Arial" w:hAnsi="Arial" w:cs="Arial"/>
          <w:b/>
          <w:bCs/>
          <w:sz w:val="22"/>
          <w:szCs w:val="22"/>
          <w:lang w:val="en-US"/>
        </w:rPr>
        <w:t>3</w:t>
      </w:r>
      <w:r w:rsidRPr="006F5ABC">
        <w:rPr>
          <w:rFonts w:ascii="Arial" w:hAnsi="Arial" w:cs="Arial"/>
          <w:sz w:val="22"/>
          <w:szCs w:val="22"/>
          <w:lang w:val="en-US"/>
        </w:rPr>
        <w:t>:</w:t>
      </w:r>
      <w:r w:rsidR="00190074" w:rsidRPr="006F5ABC">
        <w:rPr>
          <w:rFonts w:ascii="Arial" w:hAnsi="Arial" w:cs="Arial"/>
          <w:sz w:val="22"/>
          <w:szCs w:val="22"/>
          <w:lang w:val="en-US"/>
        </w:rPr>
        <w:t xml:space="preserve"> </w:t>
      </w:r>
      <w:r w:rsidR="00FB5FFA" w:rsidRPr="006F5ABC">
        <w:rPr>
          <w:rFonts w:ascii="Arial" w:hAnsi="Arial" w:cs="Arial"/>
          <w:sz w:val="22"/>
          <w:szCs w:val="22"/>
          <w:lang w:val="en-US"/>
        </w:rPr>
        <w:t xml:space="preserve">Model summarizing the molecular mechanisms of the barrier that delays acute leukemia onset. Oncogenic lesion initiates aberrant propagation of the preleukemic clone, which upon prolonged </w:t>
      </w:r>
      <w:proofErr w:type="spellStart"/>
      <w:r w:rsidR="00FB5FFA" w:rsidRPr="006F5ABC">
        <w:rPr>
          <w:rFonts w:ascii="Arial" w:hAnsi="Arial" w:cs="Arial"/>
          <w:sz w:val="22"/>
          <w:szCs w:val="22"/>
          <w:lang w:val="en-US"/>
        </w:rPr>
        <w:t>myeloproliferation</w:t>
      </w:r>
      <w:proofErr w:type="spellEnd"/>
      <w:r w:rsidR="00FB5FFA" w:rsidRPr="006F5ABC">
        <w:rPr>
          <w:rFonts w:ascii="Arial" w:hAnsi="Arial" w:cs="Arial"/>
          <w:sz w:val="22"/>
          <w:szCs w:val="22"/>
          <w:lang w:val="en-US"/>
        </w:rPr>
        <w:t xml:space="preserve"> and replication stress activates cell-intrinsic ATR/Chk1 signaling pathway. This effect is further reinforced by development of inflammation</w:t>
      </w:r>
      <w:r w:rsidR="009105D0" w:rsidRPr="006F5ABC">
        <w:rPr>
          <w:rFonts w:ascii="Arial" w:hAnsi="Arial" w:cs="Arial"/>
          <w:sz w:val="22"/>
          <w:szCs w:val="22"/>
          <w:lang w:val="en-US"/>
        </w:rPr>
        <w:t xml:space="preserve">, which potentiates activation of ATM/p53/p21 axis and drives cells </w:t>
      </w:r>
      <w:r w:rsidR="009105D0" w:rsidRPr="006F5ABC">
        <w:rPr>
          <w:rFonts w:ascii="Arial" w:hAnsi="Arial" w:cs="Arial"/>
          <w:sz w:val="22"/>
          <w:szCs w:val="22"/>
          <w:lang w:val="en-US"/>
        </w:rPr>
        <w:lastRenderedPageBreak/>
        <w:t>towards senescence, limiting the disease development. Inhibition of DDR thus prevents such terminal fate and accelerates progression to AML</w:t>
      </w:r>
      <w:r w:rsidR="00EF5DE1">
        <w:rPr>
          <w:rFonts w:ascii="Arial" w:hAnsi="Arial" w:cs="Arial"/>
          <w:sz w:val="22"/>
          <w:szCs w:val="22"/>
          <w:lang w:val="en-US"/>
        </w:rPr>
        <w:t>.</w:t>
      </w:r>
    </w:p>
    <w:p w14:paraId="52F340C3" w14:textId="42900932" w:rsidR="0072378E" w:rsidRPr="003A5293" w:rsidRDefault="00787044" w:rsidP="00787044">
      <w:pPr>
        <w:pStyle w:val="Formatvorlage1"/>
        <w:rPr>
          <w:rFonts w:cs="Arial"/>
        </w:rPr>
      </w:pPr>
      <w:bookmarkStart w:id="6" w:name="_Toc57582481"/>
      <w:r w:rsidRPr="003A5293">
        <w:rPr>
          <w:rFonts w:cs="Arial"/>
        </w:rPr>
        <w:t xml:space="preserve">1.2 </w:t>
      </w:r>
      <w:r w:rsidR="0072378E" w:rsidRPr="003A5293">
        <w:rPr>
          <w:rFonts w:cs="Arial"/>
        </w:rPr>
        <w:t>Role of DDR in PV disease initiation and progression</w:t>
      </w:r>
      <w:bookmarkEnd w:id="6"/>
    </w:p>
    <w:p w14:paraId="59086483" w14:textId="77777777" w:rsidR="00507F6B" w:rsidRPr="003A5293" w:rsidRDefault="00507F6B" w:rsidP="00531F55">
      <w:pPr>
        <w:spacing w:line="360" w:lineRule="auto"/>
        <w:ind w:firstLine="708"/>
        <w:jc w:val="both"/>
        <w:rPr>
          <w:rFonts w:ascii="Arial" w:hAnsi="Arial" w:cs="Arial"/>
          <w:sz w:val="22"/>
          <w:szCs w:val="22"/>
          <w:lang w:val="en-US"/>
        </w:rPr>
      </w:pPr>
    </w:p>
    <w:p w14:paraId="3204D01B" w14:textId="5B708B83" w:rsidR="00787044" w:rsidRPr="003A5293" w:rsidRDefault="0029014D" w:rsidP="00531F55">
      <w:pPr>
        <w:spacing w:line="360" w:lineRule="auto"/>
        <w:ind w:firstLine="708"/>
        <w:jc w:val="both"/>
        <w:rPr>
          <w:rFonts w:ascii="Arial" w:hAnsi="Arial" w:cs="Arial"/>
          <w:sz w:val="22"/>
          <w:szCs w:val="22"/>
          <w:lang w:val="en-US"/>
        </w:rPr>
      </w:pPr>
      <w:r w:rsidRPr="003A5293">
        <w:rPr>
          <w:rFonts w:ascii="Arial" w:hAnsi="Arial" w:cs="Arial"/>
          <w:sz w:val="22"/>
          <w:szCs w:val="22"/>
          <w:lang w:val="en-US"/>
        </w:rPr>
        <w:t>M</w:t>
      </w:r>
      <w:r w:rsidR="00531F55" w:rsidRPr="003A5293">
        <w:rPr>
          <w:rFonts w:ascii="Arial" w:hAnsi="Arial" w:cs="Arial"/>
          <w:sz w:val="22"/>
          <w:szCs w:val="22"/>
          <w:lang w:val="en-US"/>
        </w:rPr>
        <w:t>yeloproliferative neoplasms (MPNs) encompass a spectrum of clonal hematological disorders</w:t>
      </w:r>
      <w:r w:rsidRPr="003A5293">
        <w:rPr>
          <w:rFonts w:ascii="Arial" w:hAnsi="Arial" w:cs="Arial"/>
          <w:sz w:val="22"/>
          <w:szCs w:val="22"/>
          <w:lang w:val="en-US"/>
        </w:rPr>
        <w:t xml:space="preserve"> of the </w:t>
      </w:r>
      <w:r w:rsidR="00364670">
        <w:rPr>
          <w:rFonts w:ascii="Arial" w:hAnsi="Arial" w:cs="Arial"/>
          <w:sz w:val="22"/>
          <w:szCs w:val="22"/>
          <w:lang w:val="en-US"/>
        </w:rPr>
        <w:t>BM</w:t>
      </w:r>
      <w:r w:rsidR="00531F55" w:rsidRPr="003A5293">
        <w:rPr>
          <w:rFonts w:ascii="Arial" w:hAnsi="Arial" w:cs="Arial"/>
          <w:sz w:val="22"/>
          <w:szCs w:val="22"/>
          <w:lang w:val="en-US"/>
        </w:rPr>
        <w:t xml:space="preserve">, </w:t>
      </w:r>
      <w:r w:rsidRPr="003A5293">
        <w:rPr>
          <w:rFonts w:ascii="Arial" w:hAnsi="Arial" w:cs="Arial"/>
          <w:sz w:val="22"/>
          <w:szCs w:val="22"/>
          <w:lang w:val="en-US"/>
        </w:rPr>
        <w:t xml:space="preserve">with most common Philadelphia chromosome negative </w:t>
      </w:r>
      <w:r w:rsidR="00531F55" w:rsidRPr="003A5293">
        <w:rPr>
          <w:rFonts w:ascii="Arial" w:hAnsi="Arial" w:cs="Arial"/>
          <w:sz w:val="22"/>
          <w:szCs w:val="22"/>
          <w:lang w:val="en-US"/>
        </w:rPr>
        <w:t>clinical entities: polycythemia vera (PV), essential thrombocythemia (ET) and primary myelofibrosis (PMF)</w:t>
      </w:r>
      <w:r w:rsidRPr="003A5293">
        <w:rPr>
          <w:rFonts w:ascii="Arial" w:hAnsi="Arial" w:cs="Arial"/>
          <w:sz w:val="22"/>
          <w:szCs w:val="22"/>
          <w:lang w:val="en-US"/>
        </w:rPr>
        <w:t xml:space="preserve"> </w:t>
      </w:r>
      <w:r w:rsidRPr="003A5293">
        <w:rPr>
          <w:rFonts w:ascii="Arial" w:hAnsi="Arial" w:cs="Arial"/>
          <w:sz w:val="22"/>
          <w:szCs w:val="22"/>
          <w:lang w:val="en-US"/>
        </w:rPr>
        <w:fldChar w:fldCharType="begin"/>
      </w:r>
      <w:r w:rsidRPr="003A5293">
        <w:rPr>
          <w:rFonts w:ascii="Arial" w:hAnsi="Arial" w:cs="Arial"/>
          <w:sz w:val="22"/>
          <w:szCs w:val="22"/>
          <w:lang w:val="en-US"/>
        </w:rPr>
        <w:instrText xml:space="preserve"> ADDIN ZOTERO_ITEM CSL_CITATION {"citationID":"iP4MFMyK","properties":{"formattedCitation":"(Arber et al., 2016)","plainCitation":"(Arber et al., 2016)","noteIndex":0},"citationItems":[{"id":55,"uris":["http://zotero.org/users/2484452/items/ZNVSY635"],"uri":["http://zotero.org/users/2484452/items/ZNVSY635"],"itemData":{"id":55,"type":"article-journal","abstract":"The World Health Organization (WHO) classification of tumors of the hematopoietic and lymphoid tissues was last updated in 2008. Since then, there have been numerous advances in the identification of unique biomarkers associated with some myeloid neoplasms and acute leukemias, largely derived from gene expression analysis and next-generation sequencing that can significantly improve the diagnostic criteria as well as the prognostic relevance of entities currently included in the WHO classification and that also suggest new entities that should be added. Therefore, there is a clear need for a revision to the current classification. The revisions to the categories of myeloid neoplasms and acute leukemia will be published in a monograph in 2016 and reflect a consensus of opinion of hematopathologists, hematologists, oncologists, and geneticists. The 2016 edition represents a revision of the prior classification rather than an entirely new classification and attempts to incorporate new clinical, prognostic, morphologic, immunophenotypic, and genetic data that have emerged since the last edition. The major changes in the classification and their rationale are presented here.","container-title":"Blood","DOI":"10.1182/blood-2016-03-643544","ISSN":"1528-0020","issue":"20","journalAbbreviation":"Blood","language":"eng","note":"PMID: 27069254","page":"2391-2405","source":"PubMed","title":"The 2016 revision to the World Health Organization classification of myeloid neoplasms and acute leukemia","volume":"127","author":[{"family":"Arber","given":"Daniel A."},{"family":"Orazi","given":"Attilio"},{"family":"Hasserjian","given":"Robert"},{"family":"Thiele","given":"Jürgen"},{"family":"Borowitz","given":"Michael J."},{"family":"Le Beau","given":"Michelle M."},{"family":"Bloomfield","given":"Clara D."},{"family":"Cazzola","given":"Mario"},{"family":"Vardiman","given":"James W."}],"issued":{"date-parts":[["2016"]],"season":"19"}}}],"schema":"https://github.com/citation-style-language/schema/raw/master/csl-citation.json"} </w:instrText>
      </w:r>
      <w:r w:rsidRPr="003A5293">
        <w:rPr>
          <w:rFonts w:ascii="Arial" w:hAnsi="Arial" w:cs="Arial"/>
          <w:sz w:val="22"/>
          <w:szCs w:val="22"/>
          <w:lang w:val="en-US"/>
        </w:rPr>
        <w:fldChar w:fldCharType="separate"/>
      </w:r>
      <w:r w:rsidRPr="003A5293">
        <w:rPr>
          <w:rFonts w:ascii="Arial" w:hAnsi="Arial" w:cs="Arial"/>
          <w:noProof/>
          <w:sz w:val="22"/>
          <w:szCs w:val="22"/>
          <w:lang w:val="en-US"/>
        </w:rPr>
        <w:t>(Arber et al., 2016)</w:t>
      </w:r>
      <w:r w:rsidRPr="003A5293">
        <w:rPr>
          <w:rFonts w:ascii="Arial" w:hAnsi="Arial" w:cs="Arial"/>
          <w:sz w:val="22"/>
          <w:szCs w:val="22"/>
          <w:lang w:val="en-US"/>
        </w:rPr>
        <w:fldChar w:fldCharType="end"/>
      </w:r>
      <w:r w:rsidR="00531F55" w:rsidRPr="003A5293">
        <w:rPr>
          <w:rFonts w:ascii="Arial" w:hAnsi="Arial" w:cs="Arial"/>
          <w:sz w:val="22"/>
          <w:szCs w:val="22"/>
          <w:lang w:val="en-US"/>
        </w:rPr>
        <w:t xml:space="preserve">. </w:t>
      </w:r>
      <w:r w:rsidR="0005648F" w:rsidRPr="003A5293">
        <w:rPr>
          <w:rFonts w:ascii="Arial" w:hAnsi="Arial" w:cs="Arial"/>
          <w:sz w:val="22"/>
          <w:szCs w:val="22"/>
          <w:lang w:val="en-US"/>
        </w:rPr>
        <w:t xml:space="preserve">Similar to the phase of preleukemia, </w:t>
      </w:r>
      <w:r w:rsidR="00531F55" w:rsidRPr="003A5293">
        <w:rPr>
          <w:rFonts w:ascii="Arial" w:hAnsi="Arial" w:cs="Arial"/>
          <w:sz w:val="22"/>
          <w:szCs w:val="22"/>
          <w:lang w:val="en-US"/>
        </w:rPr>
        <w:t>MPNs are characterized by chronic proliferation of functional myeloid elements and systemic inflammation driven by oncogenic JAK-STAT-mediated signaling</w:t>
      </w:r>
      <w:r w:rsidR="00914150" w:rsidRPr="003A5293">
        <w:rPr>
          <w:rFonts w:ascii="Arial" w:hAnsi="Arial" w:cs="Arial"/>
          <w:sz w:val="22"/>
          <w:szCs w:val="22"/>
          <w:lang w:val="en-US"/>
        </w:rPr>
        <w:t xml:space="preserve"> </w:t>
      </w:r>
      <w:r w:rsidR="00914150" w:rsidRPr="003A5293">
        <w:rPr>
          <w:rFonts w:ascii="Arial" w:hAnsi="Arial" w:cs="Arial"/>
          <w:sz w:val="22"/>
          <w:szCs w:val="22"/>
          <w:lang w:val="en-US"/>
        </w:rPr>
        <w:fldChar w:fldCharType="begin"/>
      </w:r>
      <w:r w:rsidR="00914150" w:rsidRPr="003A5293">
        <w:rPr>
          <w:rFonts w:ascii="Arial" w:hAnsi="Arial" w:cs="Arial"/>
          <w:sz w:val="22"/>
          <w:szCs w:val="22"/>
          <w:lang w:val="en-US"/>
        </w:rPr>
        <w:instrText xml:space="preserve"> ADDIN ZOTERO_ITEM CSL_CITATION {"citationID":"xjD29H7V","properties":{"formattedCitation":"(Hasselbalch et al., 2015)","plainCitation":"(Hasselbalch et al., 2015)","noteIndex":0},"citationItems":[{"id":19,"uris":["http://zotero.org/users/2484452/items/X7HM8NQB"],"uri":["http://zotero.org/users/2484452/items/X7HM8NQB"],"itemData":{"id":19,"type":"article-journal","abstract":"In recent years the evidence is increasing that chronic inflammation may be an important driving force for clonal evolution and disease progression in the Philadelphia-negative myeloproliferative neoplasms (MPNs), essential thrombocythemia (ET), polycythemia vera (PV), and myelofibrosis (MF). Abnormal expression and activity of a number of proinflammatory cytokines are associated with MPNs, in particular MF, in which immune dysregulation is pronounced as evidenced by dysregulation of several immune and inflammation genes. In addition, chronic inflammation has been suggested to contribute to the development of premature atherosclerosis and may drive the development of other cancers in MPNs, both nonhematologic and hematologic. The MPN population has a substantial inflammation-mediated comorbidity burden. This review describes the evidence for considering the MPNs as inflammatory diseases, A Human Inflammation Model of Cancer Development, and the role of cytokines in disease initiation and progression. The consequences of this model are discussed, including the increased risk of second cancers and other inflammation-mediated diseases, emphasizing the urgent need for rethinking our therapeutic approach. Early intervention with interferon-alpha2, which as monotherapy has been shown to be able to induce minimal residual disease, in combination with potent anti-inflammatory agents such as JAK-inhibitors is foreseen as the most promising new treatment modality in the years to come.","container-title":"Mediators of Inflammation","DOI":"10.1155/2015/102476","ISSN":"0962-9351","language":"en","page":"e102476","source":"www.hindawi.com","title":"MPNs as Inflammatory Diseases: The Evidence, Consequences, and Perspectives","title-short":"MPNs as Inflammatory Diseases","volume":"2015","author":[{"family":"Hasselbalch","given":"Hans Carl"},{"family":"Bjørn","given":""},{"family":"Rn","given":"Mads Emil"}],"issued":{"date-parts":[["2015",10,28]]}}}],"schema":"https://github.com/citation-style-language/schema/raw/master/csl-citation.json"} </w:instrText>
      </w:r>
      <w:r w:rsidR="00914150" w:rsidRPr="003A5293">
        <w:rPr>
          <w:rFonts w:ascii="Arial" w:hAnsi="Arial" w:cs="Arial"/>
          <w:sz w:val="22"/>
          <w:szCs w:val="22"/>
          <w:lang w:val="en-US"/>
        </w:rPr>
        <w:fldChar w:fldCharType="separate"/>
      </w:r>
      <w:r w:rsidR="00914150" w:rsidRPr="003A5293">
        <w:rPr>
          <w:rFonts w:ascii="Arial" w:hAnsi="Arial" w:cs="Arial"/>
          <w:noProof/>
          <w:sz w:val="22"/>
          <w:szCs w:val="22"/>
          <w:lang w:val="en-US"/>
        </w:rPr>
        <w:t>(Hasselbalch et al., 2015)</w:t>
      </w:r>
      <w:r w:rsidR="00914150" w:rsidRPr="003A5293">
        <w:rPr>
          <w:rFonts w:ascii="Arial" w:hAnsi="Arial" w:cs="Arial"/>
          <w:sz w:val="22"/>
          <w:szCs w:val="22"/>
          <w:lang w:val="en-US"/>
        </w:rPr>
        <w:fldChar w:fldCharType="end"/>
      </w:r>
      <w:r w:rsidRPr="003A5293">
        <w:rPr>
          <w:rFonts w:ascii="Arial" w:hAnsi="Arial" w:cs="Arial"/>
          <w:sz w:val="22"/>
          <w:szCs w:val="22"/>
          <w:lang w:val="en-US"/>
        </w:rPr>
        <w:t>.</w:t>
      </w:r>
      <w:r w:rsidR="0005648F" w:rsidRPr="003A5293">
        <w:rPr>
          <w:rFonts w:ascii="Arial" w:hAnsi="Arial" w:cs="Arial"/>
          <w:sz w:val="22"/>
          <w:szCs w:val="22"/>
          <w:lang w:val="en-US"/>
        </w:rPr>
        <w:t xml:space="preserve"> </w:t>
      </w:r>
      <w:r w:rsidRPr="003A5293">
        <w:rPr>
          <w:rFonts w:ascii="Arial" w:hAnsi="Arial" w:cs="Arial"/>
          <w:sz w:val="22"/>
          <w:szCs w:val="22"/>
          <w:lang w:val="en-US"/>
        </w:rPr>
        <w:t>H</w:t>
      </w:r>
      <w:r w:rsidR="0005648F" w:rsidRPr="003A5293">
        <w:rPr>
          <w:rFonts w:ascii="Arial" w:hAnsi="Arial" w:cs="Arial"/>
          <w:sz w:val="22"/>
          <w:szCs w:val="22"/>
          <w:lang w:val="en-US"/>
        </w:rPr>
        <w:t>owever</w:t>
      </w:r>
      <w:r w:rsidR="002C2995">
        <w:rPr>
          <w:rFonts w:ascii="Arial" w:hAnsi="Arial" w:cs="Arial"/>
          <w:sz w:val="22"/>
          <w:szCs w:val="22"/>
          <w:lang w:val="en-US"/>
        </w:rPr>
        <w:t>,</w:t>
      </w:r>
      <w:r w:rsidR="0005648F" w:rsidRPr="003A5293">
        <w:rPr>
          <w:rFonts w:ascii="Arial" w:hAnsi="Arial" w:cs="Arial"/>
          <w:sz w:val="22"/>
          <w:szCs w:val="22"/>
          <w:lang w:val="en-US"/>
        </w:rPr>
        <w:t xml:space="preserve"> MPNs differ</w:t>
      </w:r>
      <w:r w:rsidRPr="003A5293">
        <w:rPr>
          <w:rFonts w:ascii="Arial" w:hAnsi="Arial" w:cs="Arial"/>
          <w:sz w:val="22"/>
          <w:szCs w:val="22"/>
          <w:lang w:val="en-US"/>
        </w:rPr>
        <w:t xml:space="preserve"> from preleukemia</w:t>
      </w:r>
      <w:r w:rsidR="0005648F" w:rsidRPr="003A5293">
        <w:rPr>
          <w:rFonts w:ascii="Arial" w:hAnsi="Arial" w:cs="Arial"/>
          <w:sz w:val="22"/>
          <w:szCs w:val="22"/>
          <w:lang w:val="en-US"/>
        </w:rPr>
        <w:t xml:space="preserve"> </w:t>
      </w:r>
      <w:r w:rsidR="002C2995">
        <w:rPr>
          <w:rFonts w:ascii="Arial" w:hAnsi="Arial" w:cs="Arial"/>
          <w:sz w:val="22"/>
          <w:szCs w:val="22"/>
          <w:lang w:val="en-US"/>
        </w:rPr>
        <w:t xml:space="preserve">(in terms of disease states described above, such as MDS or </w:t>
      </w:r>
      <w:r w:rsidR="002C2995" w:rsidRPr="002C2995">
        <w:rPr>
          <w:rFonts w:ascii="Arial" w:hAnsi="Arial" w:cs="Arial"/>
          <w:sz w:val="22"/>
          <w:szCs w:val="22"/>
          <w:lang w:val="en-US"/>
        </w:rPr>
        <w:t>germline mutant hematopoietic clone</w:t>
      </w:r>
      <w:r w:rsidR="002C2995">
        <w:rPr>
          <w:rFonts w:ascii="Arial" w:hAnsi="Arial" w:cs="Arial"/>
          <w:sz w:val="22"/>
          <w:szCs w:val="22"/>
          <w:lang w:val="en-US"/>
        </w:rPr>
        <w:t>)</w:t>
      </w:r>
      <w:r w:rsidR="002C2995" w:rsidRPr="002C2995">
        <w:rPr>
          <w:rFonts w:ascii="Arial" w:hAnsi="Arial" w:cs="Arial"/>
          <w:sz w:val="22"/>
          <w:szCs w:val="22"/>
          <w:lang w:val="en-US"/>
        </w:rPr>
        <w:t xml:space="preserve"> </w:t>
      </w:r>
      <w:r w:rsidR="0005648F" w:rsidRPr="003A5293">
        <w:rPr>
          <w:rFonts w:ascii="Arial" w:hAnsi="Arial" w:cs="Arial"/>
          <w:sz w:val="22"/>
          <w:szCs w:val="22"/>
          <w:lang w:val="en-US"/>
        </w:rPr>
        <w:t>in</w:t>
      </w:r>
      <w:r w:rsidR="00531F55" w:rsidRPr="003A5293">
        <w:rPr>
          <w:rFonts w:ascii="Arial" w:hAnsi="Arial" w:cs="Arial"/>
          <w:sz w:val="22"/>
          <w:szCs w:val="22"/>
          <w:lang w:val="en-US"/>
        </w:rPr>
        <w:t xml:space="preserve"> long clinical course </w:t>
      </w:r>
      <w:r w:rsidR="0005648F" w:rsidRPr="003A5293">
        <w:rPr>
          <w:rFonts w:ascii="Arial" w:hAnsi="Arial" w:cs="Arial"/>
          <w:sz w:val="22"/>
          <w:szCs w:val="22"/>
          <w:lang w:val="en-US"/>
        </w:rPr>
        <w:t xml:space="preserve">of chronic phase </w:t>
      </w:r>
      <w:r w:rsidR="00531F55" w:rsidRPr="003A5293">
        <w:rPr>
          <w:rFonts w:ascii="Arial" w:hAnsi="Arial" w:cs="Arial"/>
          <w:sz w:val="22"/>
          <w:szCs w:val="22"/>
          <w:lang w:val="en-US"/>
        </w:rPr>
        <w:t xml:space="preserve">and near-normal life expectancy, with exception of PMF with early onset of progressive BM fibrosis </w:t>
      </w:r>
      <w:r w:rsidR="00531F55" w:rsidRPr="003A5293">
        <w:rPr>
          <w:rFonts w:ascii="Arial" w:hAnsi="Arial" w:cs="Arial"/>
          <w:sz w:val="22"/>
          <w:szCs w:val="22"/>
          <w:lang w:val="en-US"/>
        </w:rPr>
        <w:fldChar w:fldCharType="begin"/>
      </w:r>
      <w:r w:rsidR="00531F55" w:rsidRPr="003A5293">
        <w:rPr>
          <w:rFonts w:ascii="Arial" w:hAnsi="Arial" w:cs="Arial"/>
          <w:sz w:val="22"/>
          <w:szCs w:val="22"/>
          <w:lang w:val="en-US"/>
        </w:rPr>
        <w:instrText xml:space="preserve"> ADDIN ZOTERO_ITEM CSL_CITATION {"citationID":"daIrfWsP","properties":{"formattedCitation":"(Campbell and Green, 2006)","plainCitation":"(Campbell and Green, 2006)","noteIndex":0},"citationItems":[{"id":101,"uris":["http://zotero.org/users/2484452/items/IQGJA6UG"],"uri":["http://zotero.org/users/2484452/items/IQGJA6UG"],"itemData":{"id":101,"type":"article-journal","container-title":"The New England Journal of Medicine","DOI":"10.1056/NEJMra063728","ISSN":"1533-4406","issue":"23","journalAbbreviation":"N. Engl. J. Med.","language":"eng","note":"PMID: 17151367","page":"2452-2466","source":"PubMed","title":"The myeloproliferative disorders","volume":"355","author":[{"family":"Campbell","given":"Peter J."},{"family":"Green","given":"Anthony R."}],"issued":{"date-parts":[["2006",12,7]]}}}],"schema":"https://github.com/citation-style-language/schema/raw/master/csl-citation.json"} </w:instrText>
      </w:r>
      <w:r w:rsidR="00531F55" w:rsidRPr="003A5293">
        <w:rPr>
          <w:rFonts w:ascii="Arial" w:hAnsi="Arial" w:cs="Arial"/>
          <w:sz w:val="22"/>
          <w:szCs w:val="22"/>
          <w:lang w:val="en-US"/>
        </w:rPr>
        <w:fldChar w:fldCharType="separate"/>
      </w:r>
      <w:r w:rsidR="00531F55" w:rsidRPr="003A5293">
        <w:rPr>
          <w:rFonts w:ascii="Arial" w:hAnsi="Arial" w:cs="Arial"/>
          <w:noProof/>
          <w:sz w:val="22"/>
          <w:szCs w:val="22"/>
          <w:lang w:val="en-US"/>
        </w:rPr>
        <w:t>(Campbell and Green, 2006)</w:t>
      </w:r>
      <w:r w:rsidR="00531F55" w:rsidRPr="003A5293">
        <w:rPr>
          <w:rFonts w:ascii="Arial" w:hAnsi="Arial" w:cs="Arial"/>
          <w:sz w:val="22"/>
          <w:szCs w:val="22"/>
          <w:lang w:val="en-US"/>
        </w:rPr>
        <w:fldChar w:fldCharType="end"/>
      </w:r>
      <w:r w:rsidR="00531F55" w:rsidRPr="003A5293">
        <w:rPr>
          <w:rFonts w:ascii="Arial" w:hAnsi="Arial" w:cs="Arial"/>
          <w:sz w:val="22"/>
          <w:szCs w:val="22"/>
          <w:lang w:val="en-US"/>
        </w:rPr>
        <w:t>. About 95–98% of PV patients and 50–60% of ET and PMF patients carry a</w:t>
      </w:r>
      <w:r w:rsidR="00914150" w:rsidRPr="003A5293">
        <w:rPr>
          <w:rFonts w:ascii="Arial" w:hAnsi="Arial" w:cs="Arial"/>
          <w:sz w:val="22"/>
          <w:szCs w:val="22"/>
          <w:lang w:val="en-US"/>
        </w:rPr>
        <w:t>n oncogenic</w:t>
      </w:r>
      <w:r w:rsidR="00531F55" w:rsidRPr="003A5293">
        <w:rPr>
          <w:rFonts w:ascii="Arial" w:hAnsi="Arial" w:cs="Arial"/>
          <w:sz w:val="22"/>
          <w:szCs w:val="22"/>
          <w:lang w:val="en-US"/>
        </w:rPr>
        <w:t xml:space="preserve"> driver mutation in the </w:t>
      </w:r>
      <w:r w:rsidR="00531F55" w:rsidRPr="003A5293">
        <w:rPr>
          <w:rFonts w:ascii="Arial" w:hAnsi="Arial" w:cs="Arial"/>
          <w:i/>
          <w:iCs/>
          <w:sz w:val="22"/>
          <w:szCs w:val="22"/>
          <w:lang w:val="en-US"/>
        </w:rPr>
        <w:t>JAK2</w:t>
      </w:r>
      <w:r w:rsidR="00531F55" w:rsidRPr="003A5293">
        <w:rPr>
          <w:rFonts w:ascii="Arial" w:hAnsi="Arial" w:cs="Arial"/>
          <w:sz w:val="22"/>
          <w:szCs w:val="22"/>
          <w:lang w:val="en-US"/>
        </w:rPr>
        <w:t xml:space="preserve"> gene (</w:t>
      </w:r>
      <w:r w:rsidR="00531F55" w:rsidRPr="003A5293">
        <w:rPr>
          <w:rFonts w:ascii="Arial" w:hAnsi="Arial" w:cs="Arial"/>
          <w:i/>
          <w:iCs/>
          <w:sz w:val="22"/>
          <w:szCs w:val="22"/>
          <w:lang w:val="en-US"/>
        </w:rPr>
        <w:t xml:space="preserve">JAK2 </w:t>
      </w:r>
      <w:r w:rsidR="00531F55" w:rsidRPr="00DA4BC6">
        <w:rPr>
          <w:rFonts w:ascii="Arial" w:hAnsi="Arial" w:cs="Arial"/>
          <w:sz w:val="22"/>
          <w:szCs w:val="22"/>
          <w:lang w:val="en-US"/>
        </w:rPr>
        <w:t>V617F</w:t>
      </w:r>
      <w:r w:rsidR="00531F55" w:rsidRPr="003A5293">
        <w:rPr>
          <w:rFonts w:ascii="Arial" w:hAnsi="Arial" w:cs="Arial"/>
          <w:sz w:val="22"/>
          <w:szCs w:val="22"/>
          <w:lang w:val="en-US"/>
        </w:rPr>
        <w:t>)</w:t>
      </w:r>
      <w:r w:rsidR="002A385E">
        <w:rPr>
          <w:rFonts w:ascii="Arial" w:hAnsi="Arial" w:cs="Arial"/>
          <w:sz w:val="22"/>
          <w:szCs w:val="22"/>
          <w:lang w:val="en-US"/>
        </w:rPr>
        <w:t xml:space="preserve"> </w:t>
      </w:r>
      <w:r w:rsidR="002A385E">
        <w:rPr>
          <w:rFonts w:ascii="Arial" w:hAnsi="Arial" w:cs="Arial"/>
          <w:sz w:val="22"/>
          <w:szCs w:val="22"/>
          <w:lang w:val="en-US"/>
        </w:rPr>
        <w:fldChar w:fldCharType="begin"/>
      </w:r>
      <w:r w:rsidR="002A385E">
        <w:rPr>
          <w:rFonts w:ascii="Arial" w:hAnsi="Arial" w:cs="Arial"/>
          <w:sz w:val="22"/>
          <w:szCs w:val="22"/>
          <w:lang w:val="en-US"/>
        </w:rPr>
        <w:instrText xml:space="preserve"> ADDIN ZOTERO_ITEM CSL_CITATION {"citationID":"RsozRpHX","properties":{"formattedCitation":"(Baxter et al., 2005; James et al., 2005; Kralovics et al., 2005; Levine et al., 2005)","plainCitation":"(Baxter et al., 2005; James et al., 2005; Kralovics et al., 2005; Levine et al., 2005)","noteIndex":0},"citationItems":[{"id":1201,"uris":["http://zotero.org/users/2484452/items/VD9PXHPF"],"uri":["http://zotero.org/users/2484452/items/VD9PXHPF"],"itemData":{"id":1201,"type":"article-journal","abstract":"BACKGROUND: Human myeloproliferative disorders form a range of clonal haematological malignant diseases, the main members of which are polycythaemia vera, essential thrombocythaemia, and idiopathic myelofibrosis. The molecular pathogenesis of these disorders is unknown, but tyrosine kinases have been implicated in several related disorders. We investigated the role of the cytoplasmic tyrosine kinase JAK2 in patients with a myeloproliferative disorder.\nMETHODS: We obtained DNA samples from patients with polycythaemia vera, essential thrombocythaemia, or idiopathic myelofibrosis. The coding exons of JAK2 were bidirectionally sequenced from peripheral-blood granulocytes, T cells, or both. Allele-specific PCR, molecular cytogenetic studies, microsatellite PCR, Affymetrix single nucleotide polymorphism array analyses, and colony assays were undertaken on subgroups of patients.\nFINDINGS: A single point mutation (Val617Phe) was identified in JAK2 in 71 (97%) of 73 patients with polycythaemia vera, 29 (57%) of 51 with essential thrombocythaemia, and eight (50%) of 16 with idiopathic myelofibrosis. The mutation is acquired, is present in a variable proportion of granulocytes, alters a highly conserved valine present in the negative regulatory JH2 domain, and is predicted to dysregulate kinase activity. It was heterozygous in most patients, homozygous in a subset as a result of mitotic recombination, and arose in a multipotent progenitor capable of giving rise to erythroid and myeloid cells. The mutation was present in all erythropoietin-independent erythroid colonies.\nINTERPRETATION: A single acquired mutation of JAK2 was noted in more than half of patients with a myeloproliferative disorder. Its presence in all erythropoietin-independent erythroid colonies demonstrates a link with growth factor hypersensitivity, a key biological feature of these disorders.\nRELEVANCE TO PRACTICE: Identification of the Val617Phe JAK2 mutation lays the foundation for new approaches to the diagnosis, classification, and treatment of myeloproliferative disorders.","container-title":"Lancet (London, England)","DOI":"10.1016/S0140-6736(05)71142-9","ISSN":"1474-547X","issue":"9464","journalAbbreviation":"Lancet","language":"eng","note":"PMID: 15781101","page":"1054-1061","source":"PubMed","title":"Acquired mutation of the tyrosine kinase JAK2 in human myeloproliferative disorders","volume":"365","author":[{"family":"Baxter","given":"E. Joanna"},{"family":"Scott","given":"Linda M."},{"family":"Campbell","given":"Peter J."},{"family":"East","given":"Clare"},{"family":"Fourouclas","given":"Nasios"},{"family":"Swanton","given":"Soheila"},{"family":"Vassiliou","given":"George S."},{"family":"Bench","given":"Anthony J."},{"family":"Boyd","given":"Elaine M."},{"family":"Curtin","given":"Natasha"},{"family":"Scott","given":"Mike A."},{"family":"Erber","given":"Wendy N."},{"family":"Green","given":"Anthony R."},{"literal":"Cancer Genome Project"}],"issued":{"date-parts":[["2005",3,19]]}}},{"id":1203,"uris":["http://zotero.org/users/2484452/items/ZHWB5HBN"],"uri":["http://zotero.org/users/2484452/items/ZHWB5HBN"],"itemData":{"id":1203,"type":"article-journal","abstract":"Myeloproliferative disorders are clonal haematopoietic stem cell malignancies characterized by independency or hypersensitivity of haematopoietic progenitors to numerous cytokines. The molecular basis of most myeloproliferative disorders is unknown. On the basis of the model of chronic myeloid leukaemia, it is expected that a constitutive tyrosine kinase activity could be at the origin of these diseases. Polycythaemia vera is an acquired myeloproliferative disorder, characterized by the presence of polycythaemia diversely associated with thrombocytosis, leukocytosis and splenomegaly. Polycythaemia vera progenitors are hypersensitive to erythropoietin and other cytokines. Here, we describe a clonal and recurrent mutation in the JH2 pseudo-kinase domain of the Janus kinase 2 (JAK2) gene in most (&gt; 80%) polycythaemia vera patients. The mutation, a valine-to-phenylalanine substitution at amino acid position 617, leads to constitutive tyrosine phosphorylation activity that promotes cytokine hypersensitivity and induces erythrocytosis in a mouse model. As this mutation is also found in other myeloproliferative disorders, this unique mutation will permit a new molecular classification of these disorders and novel therapeutical approaches.","container-title":"Nature","DOI":"10.1038/nature03546","ISSN":"1476-4687","issue":"7037","journalAbbreviation":"Nature","language":"eng","note":"PMID: 15793561","page":"1144-1148","source":"PubMed","title":"A unique clonal JAK2 mutation leading to constitutive signalling causes polycythaemia vera","volume":"434","author":[{"family":"James","given":"Chloé"},{"family":"Ugo","given":"Valérie"},{"family":"Le Couédic","given":"Jean-Pierre"},{"family":"Staerk","given":"Judith"},{"family":"Delhommeau","given":"François"},{"family":"Lacout","given":"Catherine"},{"family":"Garçon","given":"Loïc"},{"family":"Raslova","given":"Hana"},{"family":"Berger","given":"Roland"},{"family":"Bennaceur-Griscelli","given":"Annelise"},{"family":"Villeval","given":"Jean Luc"},{"family":"Constantinescu","given":"Stefan N."},{"family":"Casadevall","given":"Nicole"},{"family":"Vainchenker","given":"William"}],"issued":{"date-parts":[["2005",4,28]]}}},{"id":1205,"uris":["http://zotero.org/users/2484452/items/AGJ93UFH"],"uri":["http://zotero.org/users/2484452/items/AGJ93UFH"],"itemData":{"id":1205,"type":"article-journal","abstract":"BACKGROUND: Polycythemia vera, essential thrombocythemia, and idiopathic myelofibrosis are clonal myeloproliferative disorders arising from a multipotent progenitor. The loss of heterozygosity (LOH) on the short arm of chromosome 9 (9pLOH) in myeloproliferative disorders suggests that 9p harbors a mutation that contributes to the cause of clonal expansion of hematopoietic cells in these diseases.\nMETHODS: We performed microsatellite mapping of the 9pLOH region and DNA sequencing in 244 patients with myeloproliferative disorders (128 with polycythemia vera, 93 with essential thrombocythemia, and 23 with idiopathic myelofibrosis).\nRESULTS: Microsatellite mapping identified a 9pLOH region that included the Janus kinase 2 (JAK2) gene. In patients with 9pLOH, JAK2 had a homozygous G--&gt;T transversion, causing phenylalanine to be substituted for valine at position 617 of JAK2 (V617F). All 51 patients with 9pLOH had the V617F mutation. Of 193 patients without 9pLOH, 66 were heterozygous for V617F and 127 did not have the mutation. The frequency of V617F was 65 percent among patients with polycythemia vera (83 of 128), 57 percent among patients with idiopathic myelofibrosis (13 of 23), and 23 percent among patients with essential thrombocythemia (21 of 93). V617F is a somatic mutation present in hematopoietic cells. Mitotic recombination probably causes both 9pLOH and the transition from heterozygosity to homozygosity for V617F. Genetic evidence and in vitro functional studies indicate that V617F gives hematopoietic precursors proliferative and survival advantages. Patients with the V617F mutation had a significantly longer duration of disease and a higher rate of complications (fibrosis, hemorrhage, and thrombosis) and treatment with cytoreductive therapy than patients with wild-type JAK2.\nCONCLUSIONS: A high proportion of patients with myeloproliferative disorders carry a dominant gain-of-function mutation of JAK2.","container-title":"The New England Journal of Medicine","DOI":"10.1056/NEJMoa051113","ISSN":"1533-4406","issue":"17","journalAbbreviation":"N. Engl. J. Med.","language":"eng","note":"PMID: 15858187","page":"1779-1790","source":"PubMed","title":"A gain-of-function mutation of JAK2 in myeloproliferative disorders","volume":"352","author":[{"family":"Kralovics","given":"Robert"},{"family":"Passamonti","given":"Francesco"},{"family":"Buser","given":"Andreas S."},{"family":"Teo","given":"Soon-Siong"},{"family":"Tiedt","given":"Ralph"},{"family":"Passweg","given":"Jakob R."},{"family":"Tichelli","given":"Andre"},{"family":"Cazzola","given":"Mario"},{"family":"Skoda","given":"Radek C."}],"issued":{"date-parts":[["2005",4,28]]}}},{"id":1208,"uris":["http://zotero.org/users/2484452/items/IWR72BL8"],"uri":["http://zotero.org/users/2484452/items/IWR72BL8"],"itemData":{"id":1208,"type":"article-journal","abstract":"Polycythemia vera (PV), essential thrombocythemia (ET), and myeloid metaplasia with myelofibrosis (MMM) are clonal disorders arising from hematopoietic progenitors. An internet-based protocol was used to collect clinical information and biological specimens from patients with these diseases. High-throughput DNA resequencing identified a recurrent somatic missense mutation JAK2V617F in granulocyte DNA samples of 121 of 164 PV patients, of which 41 had homozygous and 80 had heterozygous mutations. Molecular and cytogenetic analyses demonstrated that homozygous mutations were due to duplication of the mutant allele. JAK2V617F was also identified in granulocyte DNA samples from 37 of 115 ET and 16 of 46 MMM patients, but was not observed in 269 normal individuals. In vitro analysis demonstrated that JAK2V617F is a constitutively active tyrosine kinase.","container-title":"Cancer Cell","DOI":"10.1016/j.ccr.2005.03.023","ISSN":"1535-6108","issue":"4","journalAbbreviation":"Cancer Cell","language":"eng","note":"PMID: 15837627","page":"387-397","source":"PubMed","title":"Activating mutation in the tyrosine kinase JAK2 in polycythemia vera, essential thrombocythemia, and myeloid metaplasia with myelofibrosis","volume":"7","author":[{"family":"Levine","given":"Ross L."},{"family":"Wadleigh","given":"Martha"},{"family":"Cools","given":"Jan"},{"family":"Ebert","given":"Benjamin L."},{"family":"Wernig","given":"Gerlinde"},{"family":"Huntly","given":"Brian J. P."},{"family":"Boggon","given":"Titus J."},{"family":"Wlodarska","given":"Iwona"},{"family":"Clark","given":"Jennifer J."},{"family":"Moore","given":"Sandra"},{"family":"Adelsperger","given":"Jennifer"},{"family":"Koo","given":"Sumin"},{"family":"Lee","given":"Jeffrey C."},{"family":"Gabriel","given":"Stacey"},{"family":"Mercher","given":"Thomas"},{"family":"D'Andrea","given":"Alan"},{"family":"Fröhling","given":"Stefan"},{"family":"Döhner","given":"Konstanze"},{"family":"Marynen","given":"Peter"},{"family":"Vandenberghe","given":"Peter"},{"family":"Mesa","given":"Ruben A."},{"family":"Tefferi","given":"Ayalew"},{"family":"Griffin","given":"James D."},{"family":"Eck","given":"Michael J."},{"family":"Sellers","given":"William R."},{"family":"Meyerson","given":"Matthew"},{"family":"Golub","given":"Todd R."},{"family":"Lee","given":"Stephanie J."},{"family":"Gilliland","given":"D. Gary"}],"issued":{"date-parts":[["2005",4]]}}}],"schema":"https://github.com/citation-style-language/schema/raw/master/csl-citation.json"} </w:instrText>
      </w:r>
      <w:r w:rsidR="002A385E">
        <w:rPr>
          <w:rFonts w:ascii="Arial" w:hAnsi="Arial" w:cs="Arial"/>
          <w:sz w:val="22"/>
          <w:szCs w:val="22"/>
          <w:lang w:val="en-US"/>
        </w:rPr>
        <w:fldChar w:fldCharType="separate"/>
      </w:r>
      <w:r w:rsidR="002A385E">
        <w:rPr>
          <w:rFonts w:ascii="Arial" w:hAnsi="Arial" w:cs="Arial"/>
          <w:noProof/>
          <w:sz w:val="22"/>
          <w:szCs w:val="22"/>
          <w:lang w:val="en-US"/>
        </w:rPr>
        <w:t>(Baxter et al., 2005; James et al., 2005; Kralovics et al., 2005; Levine et al., 2005)</w:t>
      </w:r>
      <w:r w:rsidR="002A385E">
        <w:rPr>
          <w:rFonts w:ascii="Arial" w:hAnsi="Arial" w:cs="Arial"/>
          <w:sz w:val="22"/>
          <w:szCs w:val="22"/>
          <w:lang w:val="en-US"/>
        </w:rPr>
        <w:fldChar w:fldCharType="end"/>
      </w:r>
      <w:r w:rsidR="00531F55" w:rsidRPr="003A5293">
        <w:rPr>
          <w:rFonts w:ascii="Arial" w:hAnsi="Arial" w:cs="Arial"/>
          <w:sz w:val="22"/>
          <w:szCs w:val="22"/>
          <w:lang w:val="en-US"/>
        </w:rPr>
        <w:t xml:space="preserve">, which constitutively activates type-1 myeloid cytokine receptors signaling </w:t>
      </w:r>
      <w:r w:rsidR="00531F55" w:rsidRPr="003A5293">
        <w:rPr>
          <w:rFonts w:ascii="Arial" w:hAnsi="Arial" w:cs="Arial"/>
          <w:sz w:val="22"/>
          <w:szCs w:val="22"/>
          <w:lang w:val="en-US"/>
        </w:rPr>
        <w:fldChar w:fldCharType="begin"/>
      </w:r>
      <w:r w:rsidR="00531F55" w:rsidRPr="003A5293">
        <w:rPr>
          <w:rFonts w:ascii="Arial" w:hAnsi="Arial" w:cs="Arial"/>
          <w:sz w:val="22"/>
          <w:szCs w:val="22"/>
          <w:lang w:val="en-US"/>
        </w:rPr>
        <w:instrText xml:space="preserve"> ADDIN ZOTERO_ITEM CSL_CITATION {"citationID":"TEPc6LgW","properties":{"formattedCitation":"(Tefferi, 2016; Vainchenker and Kralovics, 2017)","plainCitation":"(Tefferi, 2016; Vainchenker and Kralovics, 2017)","noteIndex":0},"citationItems":[{"id":816,"uris":["http://zotero.org/users/2484452/items/8BX7SEPG"],"uri":["http://zotero.org/users/2484452/items/8BX7SEPG"],"itemData":{"id":816,"type":"article-journal","abstract":"Myeloproliferative neoplasms (MPN) are clonal stem cell diseases, first conceptualized in 1951 by William Dameshek, and historically included chronic myeloid leukemia (CML), polycythemia vera (PV), essential thrombocythemia (ET), and primary myelofibrosis (PMF). In 1960, Nowell and Hungerford discovered an invariable association between the Philadelphia chromosome (subsequently shown to harbor the causal BCR-ABL1 mutation) and CML; accordingly, the term MPN is primarily reserved for PV, ET, and PMF, although it includes other related clinicopathologic entities, according to the World Health Organization (WHO) classification system. In 2005, William Vainchenker and others described a Janus kinase 2 mutation (JAK2V617F) in MPN and this was followed by a series of additional descriptions of mutations that directly or indirectly activate JAK-STAT: JAK2 exon 12, myeloproliferative leukemia virus oncogene (MPL) and calreticulin (CALR) mutations. The discovery of these, mostly mutually exclusive, \"driver\" mutations has contributed to revisions of the WHO diagnostic criteria and risk stratification in MPN. Mutations other than JAK2, CALR and MPL have also been described in MPN and shown to provide additional prognostic information. From the standpoint of treatment, over the last 50 years, Louis Wasserman from the Unites States and Tiziano Barbui from Italy had skillfully organized and led a number of important clinical trials, whose results form the basis for current treatment strategies in MPN. More recently, allogeneic stem cell transplant, as a potentially curative treatment modality, and JAK inhibitors, as palliative drugs, have been added to the overall therapeutic armamentarium in myelofibrosis. In the current review, I will summarize the important advances made in the last 10 years regarding the science and practice of MPN.","container-title":"American Journal of Hematology","DOI":"10.1002/ajh.24221","ISSN":"1096-8652","issue":"1","journalAbbreviation":"Am. J. Hematol.","language":"eng","note":"PMID: 26492355","page":"50-58","source":"PubMed","title":"Myeloproliferative neoplasms: A decade of discoveries and treatment advances","title-short":"Myeloproliferative neoplasms","volume":"91","author":[{"family":"Tefferi","given":"Ayalew"}],"issued":{"date-parts":[["2016",1]]}}},{"id":100,"uris":["http://zotero.org/users/2484452/items/8FN3DNP6"],"uri":["http://zotero.org/users/2484452/items/8FN3DNP6"],"itemData":{"id":100,"type":"article-journal","abstract":"The genetic landscape of classical myeloproliferative neoplasm (MPN) is in large part elucidated. The MPN-restricted driver mutations, including those in JAK2, calreticulin (CALR), and myeloproliferative leukemia virus (MPL), abnormally activate the cytokine receptor/JAK2 pathway and their downstream effectors, more particularly the STATs. The most frequent mutation, JAK2V617F, activates the 3 main myeloid cytokine receptors (erythropoietin receptor, granulocyte colony-stimulating factor receptor, and MPL) whereas CALR or MPL mutants are restricted to MPL activation. This explains why JAK2V617F is associated with polycythemia vera, essential thrombocythemia (ET), and primary myelofibrosis (PMF) whereas CALR and MPL mutants are found in ET and PMF. Other mutations in genes involved in epigenetic regulation, splicing, and signaling cooperate with the 3 MPN drivers and play a key role in the PMF pathogenesis. Mutations in epigenetic regulators TET2 and DNMT3A are involved in disease initiation and may precede the acquisition of JAK2V617F. Other mutations in epigenetic regulators such as EZH2 and ASXL1 also play a role in disease initiation and disease progression. Mutations in the splicing machinery are predominantly found in PMF and are implicated in the development of anemia or pancytopenia. Both heterogeneity of classical MPNs and prognosis are determined by a specific genomic landscape, that is, type of MPN driver mutations, association with other mutations, and their order of acquisition. However, factors other than somatic mutations play an important role in disease initiation as well as disease progression such as germ line predisposition, inflammation, and aging. Delineation of these environmental factors will be important to better understand the precise pathogenesis of MPN.","container-title":"Blood","DOI":"10.1182/blood-2016-10-695940","ISSN":"1528-0020","issue":"6","journalAbbreviation":"Blood","language":"eng","note":"PMID: 28028029","page":"667-679","source":"PubMed","title":"Genetic basis and molecular pathophysiology of classical myeloproliferative neoplasms","volume":"129","author":[{"family":"Vainchenker","given":"William"},{"family":"Kralovics","given":"Robert"}],"issued":{"date-parts":[["2017"]],"season":"09"}}}],"schema":"https://github.com/citation-style-language/schema/raw/master/csl-citation.json"} </w:instrText>
      </w:r>
      <w:r w:rsidR="00531F55" w:rsidRPr="003A5293">
        <w:rPr>
          <w:rFonts w:ascii="Arial" w:hAnsi="Arial" w:cs="Arial"/>
          <w:sz w:val="22"/>
          <w:szCs w:val="22"/>
          <w:lang w:val="en-US"/>
        </w:rPr>
        <w:fldChar w:fldCharType="separate"/>
      </w:r>
      <w:r w:rsidR="00531F55" w:rsidRPr="003A5293">
        <w:rPr>
          <w:rFonts w:ascii="Arial" w:hAnsi="Arial" w:cs="Arial"/>
          <w:noProof/>
          <w:sz w:val="22"/>
          <w:szCs w:val="22"/>
          <w:lang w:val="en-US"/>
        </w:rPr>
        <w:t>(Tefferi, 2016; Vainchenker and Kralovics, 2017)</w:t>
      </w:r>
      <w:r w:rsidR="00531F55" w:rsidRPr="003A5293">
        <w:rPr>
          <w:rFonts w:ascii="Arial" w:hAnsi="Arial" w:cs="Arial"/>
          <w:sz w:val="22"/>
          <w:szCs w:val="22"/>
          <w:lang w:val="en-US"/>
        </w:rPr>
        <w:fldChar w:fldCharType="end"/>
      </w:r>
      <w:r w:rsidR="00531F55" w:rsidRPr="003A5293">
        <w:rPr>
          <w:rFonts w:ascii="Arial" w:hAnsi="Arial" w:cs="Arial"/>
          <w:sz w:val="22"/>
          <w:szCs w:val="22"/>
          <w:lang w:val="en-US"/>
        </w:rPr>
        <w:t xml:space="preserve">. Although the exact role played </w:t>
      </w:r>
      <w:r w:rsidR="00531F55" w:rsidRPr="00DA4BC6">
        <w:rPr>
          <w:rFonts w:ascii="Arial" w:hAnsi="Arial" w:cs="Arial"/>
          <w:sz w:val="22"/>
          <w:szCs w:val="22"/>
          <w:lang w:val="en-US"/>
        </w:rPr>
        <w:t>by</w:t>
      </w:r>
      <w:r w:rsidR="00531F55" w:rsidRPr="003A5293">
        <w:rPr>
          <w:rFonts w:ascii="Arial" w:hAnsi="Arial" w:cs="Arial"/>
          <w:i/>
          <w:iCs/>
          <w:sz w:val="22"/>
          <w:szCs w:val="22"/>
          <w:lang w:val="en-US"/>
        </w:rPr>
        <w:t xml:space="preserve"> JAK2 </w:t>
      </w:r>
      <w:r w:rsidR="00531F55" w:rsidRPr="00DA4BC6">
        <w:rPr>
          <w:rFonts w:ascii="Arial" w:hAnsi="Arial" w:cs="Arial"/>
          <w:sz w:val="22"/>
          <w:szCs w:val="22"/>
          <w:lang w:val="en-US"/>
        </w:rPr>
        <w:t>V617F</w:t>
      </w:r>
      <w:r w:rsidR="00531F55" w:rsidRPr="003A5293">
        <w:rPr>
          <w:rFonts w:ascii="Arial" w:hAnsi="Arial" w:cs="Arial"/>
          <w:sz w:val="22"/>
          <w:szCs w:val="22"/>
          <w:lang w:val="en-US"/>
        </w:rPr>
        <w:t xml:space="preserve"> in initiation of BM microenvironment remodeling is not fully elucidated, recent studies show the dysregulation of cytokine receptors signaling driving vicious circle of inflammatory cytokines pr</w:t>
      </w:r>
      <w:r w:rsidR="00FA40AF" w:rsidRPr="003A5293">
        <w:rPr>
          <w:rFonts w:ascii="Arial" w:hAnsi="Arial" w:cs="Arial"/>
          <w:sz w:val="22"/>
          <w:szCs w:val="22"/>
          <w:lang w:val="en-US"/>
        </w:rPr>
        <w:t>o</w:t>
      </w:r>
      <w:r w:rsidR="00531F55" w:rsidRPr="003A5293">
        <w:rPr>
          <w:rFonts w:ascii="Arial" w:hAnsi="Arial" w:cs="Arial"/>
          <w:sz w:val="22"/>
          <w:szCs w:val="22"/>
          <w:lang w:val="en-US"/>
        </w:rPr>
        <w:t xml:space="preserve">duction, leading to systemic response reflected by elevated inflammatory markers in circulation </w:t>
      </w:r>
      <w:r w:rsidR="00531F55" w:rsidRPr="003A5293">
        <w:rPr>
          <w:rFonts w:ascii="Arial" w:hAnsi="Arial" w:cs="Arial"/>
          <w:sz w:val="22"/>
          <w:szCs w:val="22"/>
          <w:lang w:val="en-US"/>
        </w:rPr>
        <w:fldChar w:fldCharType="begin"/>
      </w:r>
      <w:r w:rsidR="00531F55" w:rsidRPr="003A5293">
        <w:rPr>
          <w:rFonts w:ascii="Arial" w:hAnsi="Arial" w:cs="Arial"/>
          <w:sz w:val="22"/>
          <w:szCs w:val="22"/>
          <w:lang w:val="en-US"/>
        </w:rPr>
        <w:instrText xml:space="preserve"> ADDIN ZOTERO_ITEM CSL_CITATION {"citationID":"OGNtRV6r","properties":{"formattedCitation":"(Hasselbalch et al., 2015; Vaidya et al., 2012)","plainCitation":"(Hasselbalch et al., 2015; Vaidya et al., 2012)","noteIndex":0},"citationItems":[{"id":19,"uris":["http://zotero.org/users/2484452/items/X7HM8NQB"],"uri":["http://zotero.org/users/2484452/items/X7HM8NQB"],"itemData":{"id":19,"type":"article-journal","abstract":"In recent years the evidence is increasing that chronic inflammation may be an important driving force for clonal evolution and disease progression in the Philadelphia-negative myeloproliferative neoplasms (MPNs), essential thrombocythemia (ET), polycythemia vera (PV), and myelofibrosis (MF). Abnormal expression and activity of a number of proinflammatory cytokines are associated with MPNs, in particular MF, in which immune dysregulation is pronounced as evidenced by dysregulation of several immune and inflammation genes. In addition, chronic inflammation has been suggested to contribute to the development of premature atherosclerosis and may drive the development of other cancers in MPNs, both nonhematologic and hematologic. The MPN population has a substantial inflammation-mediated comorbidity burden. This review describes the evidence for considering the MPNs as inflammatory diseases, A Human Inflammation Model of Cancer Development, and the role of cytokines in disease initiation and progression. The consequences of this model are discussed, including the increased risk of second cancers and other inflammation-mediated diseases, emphasizing the urgent need for rethinking our therapeutic approach. Early intervention with interferon-alpha2, which as monotherapy has been shown to be able to induce minimal residual disease, in combination with potent anti-inflammatory agents such as JAK-inhibitors is foreseen as the most promising new treatment modality in the years to come.","container-title":"Mediators of Inflammation","DOI":"10.1155/2015/102476","ISSN":"0962-9351","language":"en","page":"e102476","source":"www.hindawi.com","title":"MPNs as Inflammatory Diseases: The Evidence, Consequences, and Perspectives","title-short":"MPNs as Inflammatory Diseases","volume":"2015","author":[{"family":"Hasselbalch","given":"Hans Carl"},{"family":"Bjørn","given":""},{"family":"Rn","given":"Mads Emil"}],"issued":{"date-parts":[["2015",10,28]]}}},{"id":34,"uris":["http://zotero.org/users/2484452/items/64T6BV2B"],"uri":["http://zotero.org/users/2484452/items/64T6BV2B"],"itemData":{"id":34,"type":"article-journal","abstract":"Plasma cytokine milieu is abnormal in primary myelofibrosis (PMF) and correlates with disease phenotype and prognosis. In this study, we show that several plasma cytokines are also abnormally expressed in polycythemia vera (PV; n = 65), compared to normal controls (n = 35), but with a significantly different pattern than that of PMF (n = 127). Direct phenotypic correlation in PV included levels of IL-12 with hematocrit; IL-1b, IL-2, IL-7, FGF-b, and HGF with leukocytosis; and IFN-α and IFN-γ with thrombocytosis. In univariate analysis, levels of 13 cytokines (out of 30 analyzed) correlated with survival but only MIP-1β remained significant on multivariable analysis that included the other cytokines as covariates. Increased level of MIP-1β (P &lt; 0.01), older age (P &lt; 0.01), and leukocytosis (P = 0.03) maintained their association with shortened survival, on multivariable analysis. This study provides preliminary observations that warrant a larger scale study and suggests the value of plasma cytokines as prognostic biomarkers in PV.","container-title":"American Journal of Hematology","DOI":"10.1002/ajh.23295","ISSN":"1096-8652","issue":"11","journalAbbreviation":"Am. J. Hematol.","language":"eng","note":"PMID: 22965887","page":"1003-1005","source":"PubMed","title":"Plasma cytokines in polycythemia vera: phenotypic correlates, prognostic relevance, and comparison with myelofibrosis","title-short":"Plasma cytokines in polycythemia vera","volume":"87","author":[{"family":"Vaidya","given":"Rakhee"},{"family":"Gangat","given":"Naseema"},{"family":"Jimma","given":"Thitina"},{"family":"Finke","given":"Christy M."},{"family":"Lasho","given":"Terra L."},{"family":"Pardanani","given":"Animesh"},{"family":"Tefferi","given":"Ayalew"}],"issued":{"date-parts":[["2012",11]]}}}],"schema":"https://github.com/citation-style-language/schema/raw/master/csl-citation.json"} </w:instrText>
      </w:r>
      <w:r w:rsidR="00531F55" w:rsidRPr="003A5293">
        <w:rPr>
          <w:rFonts w:ascii="Arial" w:hAnsi="Arial" w:cs="Arial"/>
          <w:sz w:val="22"/>
          <w:szCs w:val="22"/>
          <w:lang w:val="en-US"/>
        </w:rPr>
        <w:fldChar w:fldCharType="separate"/>
      </w:r>
      <w:r w:rsidR="00531F55" w:rsidRPr="003A5293">
        <w:rPr>
          <w:rFonts w:ascii="Arial" w:hAnsi="Arial" w:cs="Arial"/>
          <w:noProof/>
          <w:sz w:val="22"/>
          <w:szCs w:val="22"/>
          <w:lang w:val="en-US"/>
        </w:rPr>
        <w:t>(Hasselbalch et al., 2015; Vaidya et al., 2012)</w:t>
      </w:r>
      <w:r w:rsidR="00531F55" w:rsidRPr="003A5293">
        <w:rPr>
          <w:rFonts w:ascii="Arial" w:hAnsi="Arial" w:cs="Arial"/>
          <w:sz w:val="22"/>
          <w:szCs w:val="22"/>
          <w:lang w:val="en-US"/>
        </w:rPr>
        <w:fldChar w:fldCharType="end"/>
      </w:r>
      <w:r w:rsidR="00531F55" w:rsidRPr="003A5293">
        <w:rPr>
          <w:rFonts w:ascii="Arial" w:hAnsi="Arial" w:cs="Arial"/>
          <w:sz w:val="22"/>
          <w:szCs w:val="22"/>
          <w:lang w:val="en-US"/>
        </w:rPr>
        <w:t xml:space="preserve">. Thus, oncogenic and inflammatory signaling, both known to fuel genotoxic stress and tumorigenesis in the hematopoietic system in cell autonomous </w:t>
      </w:r>
      <w:r w:rsidR="00531F55" w:rsidRPr="003A5293">
        <w:rPr>
          <w:rFonts w:ascii="Arial" w:hAnsi="Arial" w:cs="Arial"/>
          <w:sz w:val="22"/>
          <w:szCs w:val="22"/>
          <w:lang w:val="en-US"/>
        </w:rPr>
        <w:fldChar w:fldCharType="begin"/>
      </w:r>
      <w:r w:rsidR="00531F55" w:rsidRPr="003A5293">
        <w:rPr>
          <w:rFonts w:ascii="Arial" w:hAnsi="Arial" w:cs="Arial"/>
          <w:sz w:val="22"/>
          <w:szCs w:val="22"/>
          <w:lang w:val="en-US"/>
        </w:rPr>
        <w:instrText xml:space="preserve"> ADDIN ZOTERO_ITEM CSL_CITATION {"citationID":"sz9iDISc","properties":{"formattedCitation":"(Bartek et al., 2008; Chen et al., 2014)","plainCitation":"(Bartek et al., 2008; Chen et al., 2014)","noteIndex":0},"citationItems":[{"id":141,"uris":["http://zotero.org/users/2484452/items/YAUFNB4C"],"uri":["http://zotero.org/users/2484452/items/YAUFNB4C"],"itemData":{"id":141,"type":"article-journal","container-title":"Nature Cell Biology","DOI":"10.1038/ncb0808-887","ISSN":"1476-4679","issue":"8","journalAbbreviation":"Nat. Cell Biol.","language":"eng","note":"PMID: 18670449","page":"887-889","source":"PubMed","title":"Cytokine loops driving senescence","volume":"10","author":[{"family":"Bartek","given":"Jiri"},{"family":"Hodny","given":"Zdenek"},{"family":"Lukas","given":"Jiri"}],"issued":{"date-parts":[["2008",8]]}}},{"id":269,"uris":["http://zotero.org/users/2484452/items/7KH3GB9E"],"uri":["http://zotero.org/users/2484452/items/7KH3GB9E"],"itemData":{"id":269,"type":"article-journal","abstract":"Cancers result from the accumulation of genetic lesions, but the cellular consequences of driver mutations remain unclear, especially during the earliest stages of malignancy. The V617F mutation in the JAK2 non-receptor tyrosine kinase (JAK2V617F) is present as an early somatic event in most patients with myeloproliferative neoplasms (MPNs), and the study of these chronic myeloid malignancies provides an experimentally tractable approach to understanding early tumorigenesis. Introduction of exogenous JAK2V617F impairs replication fork progression and is associated with activation of the intra-S checkpoint, with both effects mediated by phosphatidylinositide 3-kinase (PI3K) signaling. Analysis of clonally derived JAK2V617F-positive erythroblasts from MPN patients also demonstrated impaired replication fork progression accompanied by increased levels of replication protein A (RPA)-containing foci. However, the associated intra-S checkpoint response was impaired in erythroblasts from polycythemia vera (PV) patients, but not in those from essential thrombocythemia (ET) patients. Moreover, inhibition of p53 in PV erythroblasts resulted in more gamma-H2Ax (γ-H2Ax)–marked double-stranded breaks compared with in like-treated ET erythroblasts, suggesting the defective intra-S checkpoint function seen in PV increases DNA damage in the context of attenuated p53 signaling. These results demonstrate oncogene-induced impairment of replication fork progression in primary cells from MPN patients, reveal unexpected disease-restricted differences in activation of the intra-S checkpoint, and have potential implications for the clonal evolution of malignancies.","container-title":"Proceedings of the National Academy of Sciences","DOI":"10.1073/pnas.1401873111","ISSN":"0027-8424, 1091-6490","issue":"42","journalAbbreviation":"PNAS","language":"en","note":"PMID: 25288776","page":"15190-15195","source":"www.pnas.org","title":"JAK2V617F promotes replication fork stalling with disease-restricted impairment of the intra-S checkpoint response","volume":"111","author":[{"family":"Chen","given":"Edwin"},{"family":"Ahn","given":"Jong Sook"},{"family":"Massie","given":"Charlie E."},{"family":"Clynes","given":"David"},{"family":"Godfrey","given":"Anna L."},{"family":"Li","given":"Juan"},{"family":"Park","given":"Hyun Jung"},{"family":"Nangalia","given":"Jyoti"},{"family":"Silber","given":"Yvonne"},{"family":"Mullally","given":"Ann"},{"family":"Gibbons","given":"Richard J."},{"family":"Green","given":"Anthony R."}],"issued":{"date-parts":[["2014",10,21]]}}}],"schema":"https://github.com/citation-style-language/schema/raw/master/csl-citation.json"} </w:instrText>
      </w:r>
      <w:r w:rsidR="00531F55" w:rsidRPr="003A5293">
        <w:rPr>
          <w:rFonts w:ascii="Arial" w:hAnsi="Arial" w:cs="Arial"/>
          <w:sz w:val="22"/>
          <w:szCs w:val="22"/>
          <w:lang w:val="en-US"/>
        </w:rPr>
        <w:fldChar w:fldCharType="separate"/>
      </w:r>
      <w:r w:rsidR="00531F55" w:rsidRPr="003A5293">
        <w:rPr>
          <w:rFonts w:ascii="Arial" w:hAnsi="Arial" w:cs="Arial"/>
          <w:noProof/>
          <w:sz w:val="22"/>
          <w:szCs w:val="22"/>
          <w:lang w:val="en-US"/>
        </w:rPr>
        <w:t>(Bartek et al., 2008; Chen et al., 2014)</w:t>
      </w:r>
      <w:r w:rsidR="00531F55" w:rsidRPr="003A5293">
        <w:rPr>
          <w:rFonts w:ascii="Arial" w:hAnsi="Arial" w:cs="Arial"/>
          <w:sz w:val="22"/>
          <w:szCs w:val="22"/>
          <w:lang w:val="en-US"/>
        </w:rPr>
        <w:fldChar w:fldCharType="end"/>
      </w:r>
      <w:r w:rsidR="00531F55" w:rsidRPr="003A5293">
        <w:rPr>
          <w:rFonts w:ascii="Arial" w:hAnsi="Arial" w:cs="Arial"/>
          <w:sz w:val="22"/>
          <w:szCs w:val="22"/>
          <w:lang w:val="en-US"/>
        </w:rPr>
        <w:t xml:space="preserve"> and non-autonomous </w:t>
      </w:r>
      <w:r w:rsidR="00531F55" w:rsidRPr="003A5293">
        <w:rPr>
          <w:rFonts w:ascii="Arial" w:hAnsi="Arial" w:cs="Arial"/>
          <w:sz w:val="22"/>
          <w:szCs w:val="22"/>
          <w:lang w:val="en-US"/>
        </w:rPr>
        <w:fldChar w:fldCharType="begin"/>
      </w:r>
      <w:r w:rsidR="00531F55" w:rsidRPr="003A5293">
        <w:rPr>
          <w:rFonts w:ascii="Arial" w:hAnsi="Arial" w:cs="Arial"/>
          <w:sz w:val="22"/>
          <w:szCs w:val="22"/>
          <w:lang w:val="en-US"/>
        </w:rPr>
        <w:instrText xml:space="preserve"> ADDIN ZOTERO_ITEM CSL_CITATION {"citationID":"0aN3kARC","properties":{"formattedCitation":"(Zambetti et al., 2016)","plainCitation":"(Zambetti et al., 2016)","noteIndex":0},"citationItems":[{"id":102,"uris":["http://zotero.org/users/2484452/items/SIZ22S3B"],"uri":["http://zotero.org/users/2484452/items/SIZ22S3B"],"itemData":{"id":102,"type":"article-journal","abstract":"Mesenchymal niche cells may drive tissue failure and malignant transformation in the hematopoietic system, but the underlying molecular mechanisms and relevance to human disease remain poorly defined. Here, we show that perturbation of mesenchymal cells in a mouse model of the pre-leukemic disorder Shwachman-Diamond syndrome (SDS) induces mitochondrial dysfunction, oxidative stress, and activation of DNA damage responses in hematopoietic stem and progenitor cells. Massive parallel RNA sequencing of highly purified mesenchymal cells in the SDS mouse model and a range of human pre-leukemic syndromes identified p53-S100A8/9-TLR inflammatory signaling as a common driving mechanism of genotoxic stress. Transcriptional activation of this signaling axis in the mesenchymal niche predicted leukemic evolution and progression-free survival in myelodysplastic syndrome (MDS), the principal leukemia predisposition syndrome. Collectively, our findings identify mesenchymal niche-induced genotoxic stress in heterotypic stem and progenitor cells through inflammatory signaling as a targetable determinant of disease outcome in human pre-leukemia.","container-title":"Cell Stem Cell","DOI":"10.1016/j.stem.2016.08.021","ISSN":"1875-9777","issue":"5","journalAbbreviation":"Cell Stem Cell","language":"eng","note":"PMID: 27666011","page":"613-627","source":"PubMed","title":"Mesenchymal Inflammation Drives Genotoxic Stress in Hematopoietic Stem Cells and Predicts Disease Evolution in Human Pre-leukemia","volume":"19","author":[{"family":"Zambetti","given":"Noemi A."},{"family":"Ping","given":"Zhen"},{"family":"Chen","given":"Si"},{"family":"Kenswil","given":"Keane J. G."},{"family":"Mylona","given":"Maria A."},{"family":"Sanders","given":"Mathijs A."},{"family":"Hoogenboezem","given":"Remco M."},{"family":"Bindels","given":"Eric M. J."},{"family":"Adisty","given":"Maria N."},{"family":"Van Strien","given":"Paulina M. H."},{"family":"Leije","given":"Cindy S.","non-dropping-particle":"van der"},{"family":"Westers","given":"Theresia M."},{"family":"Cremers","given":"Eline M. P."},{"family":"Milanese","given":"Chiara"},{"family":"Mastroberardino","given":"Pier G."},{"family":"Leeuwen","given":"Johannes P. T. M.","non-dropping-particle":"van"},{"family":"Eerden","given":"Bram C. J.","non-dropping-particle":"van der"},{"family":"Touw","given":"Ivo P."},{"family":"Kuijpers","given":"Taco W."},{"family":"Kanaar","given":"Roland"},{"family":"Loosdrecht","given":"Arjan A.","non-dropping-particle":"van de"},{"family":"Vogl","given":"Thomas"},{"family":"Raaijmakers","given":"Marc H. G. P."}],"issued":{"date-parts":[["2016"]],"season":"03"}}}],"schema":"https://github.com/citation-style-language/schema/raw/master/csl-citation.json"} </w:instrText>
      </w:r>
      <w:r w:rsidR="00531F55" w:rsidRPr="003A5293">
        <w:rPr>
          <w:rFonts w:ascii="Arial" w:hAnsi="Arial" w:cs="Arial"/>
          <w:sz w:val="22"/>
          <w:szCs w:val="22"/>
          <w:lang w:val="en-US"/>
        </w:rPr>
        <w:fldChar w:fldCharType="separate"/>
      </w:r>
      <w:r w:rsidR="00531F55" w:rsidRPr="003A5293">
        <w:rPr>
          <w:rFonts w:ascii="Arial" w:hAnsi="Arial" w:cs="Arial"/>
          <w:noProof/>
          <w:sz w:val="22"/>
          <w:szCs w:val="22"/>
          <w:lang w:val="en-US"/>
        </w:rPr>
        <w:t>(Zambetti et al., 2016)</w:t>
      </w:r>
      <w:r w:rsidR="00531F55" w:rsidRPr="003A5293">
        <w:rPr>
          <w:rFonts w:ascii="Arial" w:hAnsi="Arial" w:cs="Arial"/>
          <w:sz w:val="22"/>
          <w:szCs w:val="22"/>
          <w:lang w:val="en-US"/>
        </w:rPr>
        <w:fldChar w:fldCharType="end"/>
      </w:r>
      <w:r w:rsidR="00531F55" w:rsidRPr="003A5293">
        <w:rPr>
          <w:rFonts w:ascii="Arial" w:hAnsi="Arial" w:cs="Arial"/>
          <w:sz w:val="22"/>
          <w:szCs w:val="22"/>
          <w:lang w:val="en-US"/>
        </w:rPr>
        <w:t xml:space="preserve"> manner respectively, converge in disease evolution of PV. This provides an excellent model of inflammation-associated neoplasia for investigating mechanisms of DNA damage accumulation and DDR activation throughout early pre-cancerous ontogeny.</w:t>
      </w:r>
    </w:p>
    <w:p w14:paraId="7DB05F77" w14:textId="20603D14" w:rsidR="008D5700" w:rsidRPr="003A5293" w:rsidRDefault="00787044" w:rsidP="00787044">
      <w:pPr>
        <w:pStyle w:val="Formatvorlage1"/>
        <w:rPr>
          <w:rFonts w:cs="Arial"/>
        </w:rPr>
      </w:pPr>
      <w:bookmarkStart w:id="7" w:name="_Toc57582482"/>
      <w:r w:rsidRPr="003A5293">
        <w:rPr>
          <w:rFonts w:cs="Arial"/>
        </w:rPr>
        <w:t xml:space="preserve">1.2.1 </w:t>
      </w:r>
      <w:r w:rsidR="008D5700" w:rsidRPr="003A5293">
        <w:rPr>
          <w:rFonts w:cs="Arial"/>
          <w:i/>
          <w:iCs/>
        </w:rPr>
        <w:t xml:space="preserve">JAK2 </w:t>
      </w:r>
      <w:r w:rsidR="008D5700" w:rsidRPr="00CC7D3B">
        <w:rPr>
          <w:rFonts w:cs="Arial"/>
        </w:rPr>
        <w:t>V617F</w:t>
      </w:r>
      <w:r w:rsidR="008D5700" w:rsidRPr="003A5293">
        <w:rPr>
          <w:rFonts w:cs="Arial"/>
        </w:rPr>
        <w:t xml:space="preserve"> and DNA damage</w:t>
      </w:r>
      <w:bookmarkEnd w:id="7"/>
    </w:p>
    <w:p w14:paraId="724B5941" w14:textId="77777777" w:rsidR="00787044" w:rsidRPr="003A5293" w:rsidRDefault="00507F6B" w:rsidP="00507F6B">
      <w:pPr>
        <w:spacing w:line="360" w:lineRule="auto"/>
        <w:jc w:val="both"/>
        <w:rPr>
          <w:rFonts w:ascii="Arial" w:hAnsi="Arial" w:cs="Arial"/>
          <w:sz w:val="22"/>
          <w:szCs w:val="22"/>
          <w:lang w:val="en-US"/>
        </w:rPr>
      </w:pPr>
      <w:r w:rsidRPr="003A5293">
        <w:rPr>
          <w:rFonts w:ascii="Arial" w:hAnsi="Arial" w:cs="Arial"/>
          <w:sz w:val="22"/>
          <w:szCs w:val="22"/>
          <w:lang w:val="en-US"/>
        </w:rPr>
        <w:tab/>
      </w:r>
    </w:p>
    <w:p w14:paraId="4FAC0AB9" w14:textId="2CFD702A" w:rsidR="003A5D99" w:rsidRPr="003A5293" w:rsidRDefault="00507F6B" w:rsidP="00BC7661">
      <w:pPr>
        <w:spacing w:line="360" w:lineRule="auto"/>
        <w:jc w:val="both"/>
        <w:rPr>
          <w:rFonts w:ascii="Arial" w:hAnsi="Arial" w:cs="Arial"/>
          <w:sz w:val="22"/>
          <w:szCs w:val="22"/>
          <w:lang w:val="en-US"/>
        </w:rPr>
      </w:pPr>
      <w:r w:rsidRPr="003A5293">
        <w:rPr>
          <w:rFonts w:ascii="Arial" w:hAnsi="Arial" w:cs="Arial"/>
          <w:sz w:val="22"/>
          <w:szCs w:val="22"/>
          <w:lang w:val="en-US"/>
        </w:rPr>
        <w:tab/>
        <w:t xml:space="preserve">Cytogenetic stability as a readout of frequency of cytogenetic abnormalities, which are always connected inevitably to DNA damage accumulation, has been shown previously to be significantly increased in primary myelofibrosis, but low percentage (less than 5%) has been documented for </w:t>
      </w:r>
      <w:r w:rsidR="00200F07" w:rsidRPr="003A5293">
        <w:rPr>
          <w:rFonts w:ascii="Arial" w:hAnsi="Arial" w:cs="Arial"/>
          <w:sz w:val="22"/>
          <w:szCs w:val="22"/>
          <w:lang w:val="en-US"/>
        </w:rPr>
        <w:t xml:space="preserve">proliferative </w:t>
      </w:r>
      <w:r w:rsidRPr="003A5293">
        <w:rPr>
          <w:rFonts w:ascii="Arial" w:hAnsi="Arial" w:cs="Arial"/>
          <w:sz w:val="22"/>
          <w:szCs w:val="22"/>
          <w:lang w:val="en-US"/>
        </w:rPr>
        <w:t xml:space="preserve">PV </w:t>
      </w:r>
      <w:r w:rsidRPr="003A5293">
        <w:rPr>
          <w:rFonts w:ascii="Arial" w:hAnsi="Arial" w:cs="Arial"/>
          <w:sz w:val="22"/>
          <w:szCs w:val="22"/>
          <w:lang w:val="en-US"/>
        </w:rPr>
        <w:fldChar w:fldCharType="begin"/>
      </w:r>
      <w:r w:rsidRPr="003A5293">
        <w:rPr>
          <w:rFonts w:ascii="Arial" w:hAnsi="Arial" w:cs="Arial"/>
          <w:sz w:val="22"/>
          <w:szCs w:val="22"/>
          <w:lang w:val="en-US"/>
        </w:rPr>
        <w:instrText xml:space="preserve"> ADDIN ZOTERO_ITEM CSL_CITATION {"citationID":"Fj90Qbb5","properties":{"formattedCitation":"(Reilly, 2008)","plainCitation":"(Reilly, 2008)","noteIndex":0},"citationItems":[{"id":1080,"uris":["http://zotero.org/users/2484452/items/7RKTVKDI"],"uri":["http://zotero.org/users/2484452/items/7RKTVKDI"],"itemData":{"id":1080,"type":"article-journal","abstract":"The frequency of cytogenetic abnormalities in the Philadelphia-negative myeloproliferative neoplasms (MPNs) varies from approximately 30% in primary myelofibrosis (PMF) to less than 5% in essential thrombocytosis (ET). The spectrum of aberrations is heterogeneous, ranging from gains and losses of genetic material to structural changes including unbalanced translocations. However, no specific abnormality has been identified to date. Nevertheless, such investigations can provide evidence of clonality and, as a result, cytogenetic findings have been included in the WHO diagnostic criteria for this group of diseases. The aim of the current review is to discuss the pathogenetic insight and prognostic information that standard, as well as molecular cytogenetic analysis has provided. A brief overview is given of the cytogenetic findings in the individual diseases, followed by a more detailed discussion of the possible pathogenetic consequences of specific abnormalities and their impact on prognosis.","container-title":"Leukemia","DOI":"10.1038/leu.2008.218","ISSN":"1476-5551","issue":"10","language":"en","page":"1818-1827","source":"www.nature.com","title":"Pathogenetic insight and prognostic information from standard and molecular cytogenetic studies in the BCR-ABL-negative myeloproliferative neoplasms (MPNs)","volume":"22","author":[{"family":"Reilly","given":"J. T."}],"issued":{"date-parts":[["2008",10]]}}}],"schema":"https://github.com/citation-style-language/schema/raw/master/csl-citation.json"} </w:instrText>
      </w:r>
      <w:r w:rsidRPr="003A5293">
        <w:rPr>
          <w:rFonts w:ascii="Arial" w:hAnsi="Arial" w:cs="Arial"/>
          <w:sz w:val="22"/>
          <w:szCs w:val="22"/>
          <w:lang w:val="en-US"/>
        </w:rPr>
        <w:fldChar w:fldCharType="separate"/>
      </w:r>
      <w:r w:rsidRPr="003A5293">
        <w:rPr>
          <w:rFonts w:ascii="Arial" w:hAnsi="Arial" w:cs="Arial"/>
          <w:noProof/>
          <w:sz w:val="22"/>
          <w:szCs w:val="22"/>
          <w:lang w:val="en-US"/>
        </w:rPr>
        <w:t>(Reilly, 2008)</w:t>
      </w:r>
      <w:r w:rsidRPr="003A5293">
        <w:rPr>
          <w:rFonts w:ascii="Arial" w:hAnsi="Arial" w:cs="Arial"/>
          <w:sz w:val="22"/>
          <w:szCs w:val="22"/>
          <w:lang w:val="en-US"/>
        </w:rPr>
        <w:fldChar w:fldCharType="end"/>
      </w:r>
      <w:r w:rsidRPr="003A5293">
        <w:rPr>
          <w:rFonts w:ascii="Arial" w:hAnsi="Arial" w:cs="Arial"/>
          <w:sz w:val="22"/>
          <w:szCs w:val="22"/>
          <w:lang w:val="en-US"/>
        </w:rPr>
        <w:t>. This was further supported with much bigger cohort of MPN patients</w:t>
      </w:r>
      <w:r w:rsidR="00200F07" w:rsidRPr="003A5293">
        <w:rPr>
          <w:rFonts w:ascii="Arial" w:hAnsi="Arial" w:cs="Arial"/>
          <w:sz w:val="22"/>
          <w:szCs w:val="22"/>
          <w:lang w:val="en-US"/>
        </w:rPr>
        <w:t xml:space="preserve"> at high resolution, using Affymetrix </w:t>
      </w:r>
      <w:r w:rsidR="00200F07" w:rsidRPr="003A5293">
        <w:rPr>
          <w:rFonts w:ascii="Arial" w:hAnsi="Arial" w:cs="Arial"/>
          <w:sz w:val="22"/>
          <w:szCs w:val="22"/>
          <w:lang w:val="en-US"/>
        </w:rPr>
        <w:lastRenderedPageBreak/>
        <w:t xml:space="preserve">SNP array, where </w:t>
      </w:r>
      <w:r w:rsidR="00200F07" w:rsidRPr="003A5293">
        <w:rPr>
          <w:rFonts w:ascii="Arial" w:hAnsi="Arial" w:cs="Arial"/>
          <w:i/>
          <w:iCs/>
          <w:sz w:val="22"/>
          <w:szCs w:val="22"/>
          <w:lang w:val="en-US"/>
        </w:rPr>
        <w:t xml:space="preserve">JAK2 </w:t>
      </w:r>
      <w:r w:rsidR="00200F07" w:rsidRPr="00DA4BC6">
        <w:rPr>
          <w:rFonts w:ascii="Arial" w:hAnsi="Arial" w:cs="Arial"/>
          <w:sz w:val="22"/>
          <w:szCs w:val="22"/>
          <w:lang w:val="en-US"/>
        </w:rPr>
        <w:t>V617F</w:t>
      </w:r>
      <w:r w:rsidR="00200F07" w:rsidRPr="003A5293">
        <w:rPr>
          <w:rFonts w:ascii="Arial" w:hAnsi="Arial" w:cs="Arial"/>
          <w:sz w:val="22"/>
          <w:szCs w:val="22"/>
          <w:lang w:val="en-US"/>
        </w:rPr>
        <w:t xml:space="preserve">–positive patients, including PMF, didn’t have a higher frequency of chromosomal aberrations </w:t>
      </w:r>
      <w:r w:rsidR="00200F07" w:rsidRPr="003A5293">
        <w:rPr>
          <w:rFonts w:ascii="Arial" w:hAnsi="Arial" w:cs="Arial"/>
          <w:sz w:val="22"/>
          <w:szCs w:val="22"/>
          <w:lang w:val="en-US"/>
        </w:rPr>
        <w:fldChar w:fldCharType="begin"/>
      </w:r>
      <w:r w:rsidR="00200F07" w:rsidRPr="003A5293">
        <w:rPr>
          <w:rFonts w:ascii="Arial" w:hAnsi="Arial" w:cs="Arial"/>
          <w:sz w:val="22"/>
          <w:szCs w:val="22"/>
          <w:lang w:val="en-US"/>
        </w:rPr>
        <w:instrText xml:space="preserve"> ADDIN ZOTERO_ITEM CSL_CITATION {"citationID":"fxmm5hI2","properties":{"formattedCitation":"(Klampfl et al., 2011)","plainCitation":"(Klampfl et al., 2011)","noteIndex":0},"citationItems":[{"id":9,"uris":["http://zotero.org/users/2484452/items/RPUT4CVX"],"uri":["http://zotero.org/users/2484452/items/RPUT4CVX"],"itemData":{"id":9,"type":"article-journal","abstract":"Philadelphia chromosome–negative myeloproliferative neoplasms (MPNs) are clonal myeloid disorders with increased production of terminally differentiated cells. The disease course is generally chronic, but some patients show disease progression (secondary myelofibrosis or accelerated phase) and/or leukemic transformation. We investigated chromosomal aberrations in 408 MPN samples using high-resolution single-nucleotide polymorphism microarrays to identify disease-associated somatic lesions. Of 408 samples, 37.5% had a wild-type karyotype and 62.5% harbored at least 1 chromosomal aberration. We identified 25 recurrent aberrations that were found in 3 or more samples. An increased number of chromosomal lesions was significantly associated with patient age, as well as with disease progression and leukemic transformation, but no association was observed with MPN subtypes, Janus kinase 2 (JAK2) mutational status, or disease duration. Aberrations of chromosomes 1q and 9p were positively associated with disease progression to secondary myelofibrosis or accelerated phase. Changes of chromosomes 1q, 7q, 5q, 6p, 7p, 19q, 22q, and 3q were positively associated with post-MPN acute myeloid leukemia. We mapped commonly affected regions to single target genes on chromosomes 3p (forkhead box P1 [FOXP1]), 4q (tet oncogene family member 2 [TET2]), 7p (IKAROS family zinc finger 1 [IKZF1]), 7q (cut-like homeobox 1 [CUX1]), 12p (ets variant 6 [ETV6]), and 21q (runt-related transcription factor 1 [RUNX1]). Our data provide insight into the genetic complexity of MPNs and implicate new genes involved in disease progression.","container-title":"Blood","DOI":"10.1182/blood-2011-01-331678","ISSN":"0006-4971, 1528-0020","issue":"1","language":"en","note":"PMID: 21531982","page":"167-176","source":"www.bloodjournal.org","title":"Genome integrity of myeloproliferative neoplasms in chronic phase and during disease progression","volume":"118","author":[{"family":"Klampfl","given":"Thorsten"},{"family":"Harutyunyan","given":"Ashot"},{"family":"Berg","given":"Tiina"},{"family":"Gisslinger","given":"Bettina"},{"family":"Schalling","given":"Martin"},{"family":"Bagienski","given":"Klaudia"},{"family":"Olcaydu","given":"Damla"},{"family":"Passamonti","given":"Francesco"},{"family":"Rumi","given":"Elisa"},{"family":"Pietra","given":"Daniela"},{"family":"Jäger","given":"Roland"},{"family":"Pieri","given":"Lisa"},{"family":"Guglielmelli","given":"Paola"},{"family":"Iacobucci","given":"Ilaria"},{"family":"Martinelli","given":"Giovanni"},{"family":"Cazzola","given":"Mario"},{"family":"Vannucchi","given":"Alessandro M."},{"family":"Gisslinger","given":"Heinz"},{"family":"Kralovics","given":"Robert"}],"issued":{"date-parts":[["2011",7,7]]}}}],"schema":"https://github.com/citation-style-language/schema/raw/master/csl-citation.json"} </w:instrText>
      </w:r>
      <w:r w:rsidR="00200F07" w:rsidRPr="003A5293">
        <w:rPr>
          <w:rFonts w:ascii="Arial" w:hAnsi="Arial" w:cs="Arial"/>
          <w:sz w:val="22"/>
          <w:szCs w:val="22"/>
          <w:lang w:val="en-US"/>
        </w:rPr>
        <w:fldChar w:fldCharType="separate"/>
      </w:r>
      <w:r w:rsidR="00200F07" w:rsidRPr="003A5293">
        <w:rPr>
          <w:rFonts w:ascii="Arial" w:hAnsi="Arial" w:cs="Arial"/>
          <w:noProof/>
          <w:sz w:val="22"/>
          <w:szCs w:val="22"/>
          <w:lang w:val="en-US"/>
        </w:rPr>
        <w:t>(Klampfl et al., 2011)</w:t>
      </w:r>
      <w:r w:rsidR="00200F07" w:rsidRPr="003A5293">
        <w:rPr>
          <w:rFonts w:ascii="Arial" w:hAnsi="Arial" w:cs="Arial"/>
          <w:sz w:val="22"/>
          <w:szCs w:val="22"/>
          <w:lang w:val="en-US"/>
        </w:rPr>
        <w:fldChar w:fldCharType="end"/>
      </w:r>
      <w:r w:rsidR="00200F07" w:rsidRPr="003A5293">
        <w:rPr>
          <w:rFonts w:ascii="Arial" w:hAnsi="Arial" w:cs="Arial"/>
          <w:sz w:val="22"/>
          <w:szCs w:val="22"/>
          <w:lang w:val="en-US"/>
        </w:rPr>
        <w:t>.</w:t>
      </w:r>
      <w:r w:rsidRPr="003A5293">
        <w:rPr>
          <w:rFonts w:ascii="Arial" w:hAnsi="Arial" w:cs="Arial"/>
          <w:sz w:val="22"/>
          <w:szCs w:val="22"/>
          <w:lang w:val="en-US"/>
        </w:rPr>
        <w:t xml:space="preserve"> </w:t>
      </w:r>
      <w:r w:rsidR="00200F07" w:rsidRPr="003A5293">
        <w:rPr>
          <w:rFonts w:ascii="Arial" w:hAnsi="Arial" w:cs="Arial"/>
          <w:sz w:val="22"/>
          <w:szCs w:val="22"/>
          <w:lang w:val="en-US"/>
        </w:rPr>
        <w:t xml:space="preserve">On the top of that, longitudinal studies indicate that MPN patients remain clinically and cytogenetically stable over decades of chronic proliferation </w:t>
      </w:r>
      <w:r w:rsidR="00200F07" w:rsidRPr="003A5293">
        <w:rPr>
          <w:rFonts w:ascii="Arial" w:hAnsi="Arial" w:cs="Arial"/>
          <w:sz w:val="22"/>
          <w:szCs w:val="22"/>
          <w:lang w:val="en-US"/>
        </w:rPr>
        <w:fldChar w:fldCharType="begin"/>
      </w:r>
      <w:r w:rsidR="00200F07" w:rsidRPr="003A5293">
        <w:rPr>
          <w:rFonts w:ascii="Arial" w:hAnsi="Arial" w:cs="Arial"/>
          <w:sz w:val="22"/>
          <w:szCs w:val="22"/>
          <w:lang w:val="en-US"/>
        </w:rPr>
        <w:instrText xml:space="preserve"> ADDIN ZOTERO_ITEM CSL_CITATION {"citationID":"SSFSZRow","properties":{"formattedCitation":"(Tefferi et al., 2014)","plainCitation":"(Tefferi et al., 2014)","noteIndex":0},"citationItems":[{"id":8,"uris":["http://zotero.org/users/2484452/items/64MFSPT4"],"uri":["http://zotero.org/users/2484452/items/64MFSPT4"],"itemData":{"id":8,"type":"article-journal","abstract":"Janus kinase 2 (JAK2) mutations define polycythemia vera (PV). Calreticulin (CALR) and myeloproliferative leukemia virus oncogene (MPL) mutations are specific to JAK2-unmutated essential thrombocythemia (ET) and primary myelofibrosis (PMF). We examined the effect of these mutations on long-term disease outcome. One thousand five hundred eighty-one patients from the Mayo Clinic (n = 826) and Italy (n = 755) were studied. Fifty-eight percent of Mayo patients were followed until death; median survivals were 19.8 years in ET (n = 292), 13.5 PV (n = 267; hazard ratio [HR], 1.8; 95% confidence interval [CI], 1.4-2.2), and 5.9 PMF (n = 267; HR, 4.5; 95% CI, 3.5-5.7). The survival advantage of ET over PV was not affected by JAK2/CALR/MPL mutational status. Survival in ET was inferior to the age- and sex-matched US population (P &lt; .001). In PMF (n = 428), but not in ET (n = 576), survival and blast transformation (BT) were significantly affected by mutational status; outcome was best in CALR-mutated and worst in triple-negative patients: median survival, 16 vs 2.3 years (HR, 5.1; 95% CI, 3.2-8.0) and BT, 6.5% vs 25% (HR, 7.6; 95% CI, 2.8-20.2), respectively. We conclude that life expectancy in morphologically defined ET is significantly reduced but remains superior to that of PV, regardless of mutational status. In PMF, JAK2/CALR/MPL mutational status is prognostically informative.","container-title":"Blood","DOI":"10.1182/blood-2014-05-579136","ISSN":"0006-4971, 1528-0020","issue":"16","language":"en","note":"PMID: 25037629","page":"2507-2513","source":"www.bloodjournal.org","title":"Long-term survival and blast transformation in molecularly annotated essential thrombocythemia, polycythemia vera, and myelofibrosis","volume":"124","author":[{"family":"Tefferi","given":"Ayalew"},{"family":"Guglielmelli","given":"Paola"},{"family":"Larson","given":"Dirk R."},{"family":"Finke","given":"Christy"},{"family":"Wassie","given":"Emnet A."},{"family":"Pieri","given":"Lisa"},{"family":"Gangat","given":"Naseema"},{"family":"Fjerza","given":"Rajmonda"},{"family":"Belachew","given":"Alem A."},{"family":"Lasho","given":"Terra L."},{"family":"Ketterling","given":"Rhett P."},{"family":"Hanson","given":"Curtis A."},{"family":"Rambaldi","given":"Alessandro"},{"family":"Finazzi","given":"Guido"},{"family":"Thiele","given":"Juergen"},{"family":"Barbui","given":"Tiziano"},{"family":"Pardanani","given":"Animesh"},{"family":"Vannucchi","given":"Alessandro M."}],"issued":{"date-parts":[["2014",10,16]]}}}],"schema":"https://github.com/citation-style-language/schema/raw/master/csl-citation.json"} </w:instrText>
      </w:r>
      <w:r w:rsidR="00200F07" w:rsidRPr="003A5293">
        <w:rPr>
          <w:rFonts w:ascii="Arial" w:hAnsi="Arial" w:cs="Arial"/>
          <w:sz w:val="22"/>
          <w:szCs w:val="22"/>
          <w:lang w:val="en-US"/>
        </w:rPr>
        <w:fldChar w:fldCharType="separate"/>
      </w:r>
      <w:r w:rsidR="00200F07" w:rsidRPr="003A5293">
        <w:rPr>
          <w:rFonts w:ascii="Arial" w:hAnsi="Arial" w:cs="Arial"/>
          <w:noProof/>
          <w:sz w:val="22"/>
          <w:szCs w:val="22"/>
          <w:lang w:val="en-US"/>
        </w:rPr>
        <w:t>(Tefferi et al., 2014)</w:t>
      </w:r>
      <w:r w:rsidR="00200F07" w:rsidRPr="003A5293">
        <w:rPr>
          <w:rFonts w:ascii="Arial" w:hAnsi="Arial" w:cs="Arial"/>
          <w:sz w:val="22"/>
          <w:szCs w:val="22"/>
          <w:lang w:val="en-US"/>
        </w:rPr>
        <w:fldChar w:fldCharType="end"/>
      </w:r>
      <w:r w:rsidR="00200F07" w:rsidRPr="003A5293">
        <w:rPr>
          <w:rFonts w:ascii="Arial" w:hAnsi="Arial" w:cs="Arial"/>
          <w:sz w:val="22"/>
          <w:szCs w:val="22"/>
          <w:lang w:val="en-US"/>
        </w:rPr>
        <w:t xml:space="preserve">. </w:t>
      </w:r>
      <w:r w:rsidR="001D672A" w:rsidRPr="003A5293">
        <w:rPr>
          <w:rFonts w:ascii="Arial" w:hAnsi="Arial" w:cs="Arial"/>
          <w:sz w:val="22"/>
          <w:szCs w:val="22"/>
          <w:lang w:val="en-US"/>
        </w:rPr>
        <w:t xml:space="preserve">However, these clinical observations are in contrast to some studies based on mouse models and </w:t>
      </w:r>
      <w:r w:rsidR="001D672A" w:rsidRPr="003A5293">
        <w:rPr>
          <w:rFonts w:ascii="Arial" w:hAnsi="Arial" w:cs="Arial"/>
          <w:i/>
          <w:iCs/>
          <w:sz w:val="22"/>
          <w:szCs w:val="22"/>
          <w:lang w:val="en-US"/>
        </w:rPr>
        <w:t>in vitro</w:t>
      </w:r>
      <w:r w:rsidR="001D672A" w:rsidRPr="003A5293">
        <w:rPr>
          <w:rFonts w:ascii="Arial" w:hAnsi="Arial" w:cs="Arial"/>
          <w:sz w:val="22"/>
          <w:szCs w:val="22"/>
          <w:lang w:val="en-US"/>
        </w:rPr>
        <w:t xml:space="preserve"> cultures of cell lines and </w:t>
      </w:r>
      <w:r w:rsidR="001D672A" w:rsidRPr="003A5293">
        <w:rPr>
          <w:rFonts w:ascii="Arial" w:hAnsi="Arial" w:cs="Arial"/>
          <w:i/>
          <w:iCs/>
          <w:sz w:val="22"/>
          <w:szCs w:val="22"/>
          <w:lang w:val="en-US"/>
        </w:rPr>
        <w:t>ex vivo</w:t>
      </w:r>
      <w:r w:rsidR="001D672A" w:rsidRPr="003A5293">
        <w:rPr>
          <w:rFonts w:ascii="Arial" w:hAnsi="Arial" w:cs="Arial"/>
          <w:sz w:val="22"/>
          <w:szCs w:val="22"/>
          <w:lang w:val="en-US"/>
        </w:rPr>
        <w:t xml:space="preserve"> expanded progenitors from patients</w:t>
      </w:r>
      <w:r w:rsidR="00B63E92" w:rsidRPr="003A5293">
        <w:rPr>
          <w:rFonts w:ascii="Arial" w:hAnsi="Arial" w:cs="Arial"/>
          <w:sz w:val="22"/>
          <w:szCs w:val="22"/>
          <w:lang w:val="en-US"/>
        </w:rPr>
        <w:t>. These studies</w:t>
      </w:r>
      <w:r w:rsidR="001D672A" w:rsidRPr="003A5293">
        <w:rPr>
          <w:rFonts w:ascii="Arial" w:hAnsi="Arial" w:cs="Arial"/>
          <w:sz w:val="22"/>
          <w:szCs w:val="22"/>
          <w:lang w:val="en-US"/>
        </w:rPr>
        <w:t xml:space="preserve"> described </w:t>
      </w:r>
      <w:r w:rsidR="001D672A" w:rsidRPr="00DA4BC6">
        <w:rPr>
          <w:rFonts w:ascii="Arial" w:hAnsi="Arial" w:cs="Arial"/>
          <w:sz w:val="22"/>
          <w:szCs w:val="22"/>
          <w:lang w:val="en-US"/>
        </w:rPr>
        <w:t>V617F</w:t>
      </w:r>
      <w:r w:rsidR="001D672A" w:rsidRPr="003A5293">
        <w:rPr>
          <w:rFonts w:ascii="Arial" w:hAnsi="Arial" w:cs="Arial"/>
          <w:sz w:val="22"/>
          <w:szCs w:val="22"/>
          <w:lang w:val="en-US"/>
        </w:rPr>
        <w:t xml:space="preserve">-dependent accumulation of DSBs </w:t>
      </w:r>
      <w:r w:rsidR="001D672A" w:rsidRPr="003A5293">
        <w:rPr>
          <w:rFonts w:ascii="Arial" w:hAnsi="Arial" w:cs="Arial"/>
          <w:sz w:val="22"/>
          <w:szCs w:val="22"/>
          <w:lang w:val="en-US"/>
        </w:rPr>
        <w:fldChar w:fldCharType="begin"/>
      </w:r>
      <w:r w:rsidR="001D672A" w:rsidRPr="003A5293">
        <w:rPr>
          <w:rFonts w:ascii="Arial" w:hAnsi="Arial" w:cs="Arial"/>
          <w:sz w:val="22"/>
          <w:szCs w:val="22"/>
          <w:lang w:val="en-US"/>
        </w:rPr>
        <w:instrText xml:space="preserve"> ADDIN ZOTERO_ITEM CSL_CITATION {"citationID":"65YSJzPy","properties":{"formattedCitation":"(Li et al., 2010)","plainCitation":"(Li et al., 2010)","noteIndex":0},"citationItems":[{"id":44,"uris":["http://zotero.org/users/2484452/items/F9Z7R73N"],"uri":["http://zotero.org/users/2484452/items/F9Z7R73N"],"itemData":{"id":44,"type":"article-journal","abstract":"The JAK2 V617F mutation is found in most patients with a myeloproliferative neoplasm and is sufficient to produce a myeloproliferative phenotype in murine retroviral transplantation or transgenic models. However, several lines of evidence suggest that disease phenotype is influenced by the level of mutant JAK2 signaling, and we have therefore generated a conditional knock-in mouse in which a human JAK2 V617F is expressed under the control of the mouse Jak2 locus. Human and murine Jak2 transcripts are expressed at similar levels, and mice develop modest increases in hemoglobin and platelet levels reminiscent of human JAK2 V617F-positive essential thrombocythemia. The phenotype is transplantable and accompanied by increased terminal erythroid and megakaryocyte differentiation together with increased numbers of clonogenic progenitors, including erythropoietin-independent erythroid colonies. Unexpectedly, JAK2(V617F) mice develop reduced numbers of lineage(-)Sca-1(+)c-Kit(+) cells, which exhibit increased DNA damage, reduced apoptosis, and reduced cell cycling. Moreover, competitive bone marrow transplantation studies demonstrated impaired hematopoietic stem cell function in JAK2(V617F) mice. These results suggest that the chronicity of human myeloproliferative neoplasms may reflect a balance between impaired hematopoietic stem cell function and the accumulation of additional mutations.","container-title":"Blood","DOI":"10.1182/blood-2009-12-259747","ISSN":"1528-0020","issue":"9","journalAbbreviation":"Blood","language":"eng","note":"PMID: 20489053\nPMCID: PMC3145111","page":"1528-1538","source":"PubMed","title":"JAK2 V617F impairs hematopoietic stem cell function in a conditional knock-in mouse model of JAK2 V617F-positive essential thrombocythemia","volume":"116","author":[{"family":"Li","given":"Juan"},{"family":"Spensberger","given":"Dominik"},{"family":"Ahn","given":"Jong Sook"},{"family":"Anand","given":"Shubha"},{"family":"Beer","given":"Philip A."},{"family":"Ghevaert","given":"Cedric"},{"family":"Chen","given":"Edwin"},{"family":"Forrai","given":"Ariel"},{"family":"Scott","given":"Linda M."},{"family":"Ferreira","given":"Rita"},{"family":"Campbell","given":"Peter J."},{"family":"Watson","given":"Steve P."},{"family":"Liu","given":"Pentao"},{"family":"Erber","given":"Wendy N."},{"family":"Huntly","given":"Brian J. P."},{"family":"Ottersbach","given":"Katrin"},{"family":"Green","given":"Anthony R."}],"issued":{"date-parts":[["2010",9,2]]}}}],"schema":"https://github.com/citation-style-language/schema/raw/master/csl-citation.json"} </w:instrText>
      </w:r>
      <w:r w:rsidR="001D672A" w:rsidRPr="003A5293">
        <w:rPr>
          <w:rFonts w:ascii="Arial" w:hAnsi="Arial" w:cs="Arial"/>
          <w:sz w:val="22"/>
          <w:szCs w:val="22"/>
          <w:lang w:val="en-US"/>
        </w:rPr>
        <w:fldChar w:fldCharType="separate"/>
      </w:r>
      <w:r w:rsidR="001D672A" w:rsidRPr="003A5293">
        <w:rPr>
          <w:rFonts w:ascii="Arial" w:hAnsi="Arial" w:cs="Arial"/>
          <w:noProof/>
          <w:sz w:val="22"/>
          <w:szCs w:val="22"/>
          <w:lang w:val="en-US"/>
        </w:rPr>
        <w:t>(Li et al., 2010)</w:t>
      </w:r>
      <w:r w:rsidR="001D672A" w:rsidRPr="003A5293">
        <w:rPr>
          <w:rFonts w:ascii="Arial" w:hAnsi="Arial" w:cs="Arial"/>
          <w:sz w:val="22"/>
          <w:szCs w:val="22"/>
          <w:lang w:val="en-US"/>
        </w:rPr>
        <w:fldChar w:fldCharType="end"/>
      </w:r>
      <w:r w:rsidR="001D672A" w:rsidRPr="003A5293">
        <w:rPr>
          <w:rFonts w:ascii="Arial" w:hAnsi="Arial" w:cs="Arial"/>
          <w:sz w:val="22"/>
          <w:szCs w:val="22"/>
          <w:lang w:val="en-US"/>
        </w:rPr>
        <w:t xml:space="preserve">, improper regulation of </w:t>
      </w:r>
      <w:r w:rsidR="0069410B">
        <w:rPr>
          <w:rFonts w:ascii="Arial" w:hAnsi="Arial" w:cs="Arial"/>
          <w:sz w:val="22"/>
          <w:szCs w:val="22"/>
          <w:lang w:val="en-US"/>
        </w:rPr>
        <w:t>HR</w:t>
      </w:r>
      <w:r w:rsidR="001D672A" w:rsidRPr="003A5293">
        <w:rPr>
          <w:rFonts w:ascii="Arial" w:hAnsi="Arial" w:cs="Arial"/>
          <w:sz w:val="22"/>
          <w:szCs w:val="22"/>
          <w:lang w:val="en-US"/>
        </w:rPr>
        <w:t xml:space="preserve"> </w:t>
      </w:r>
      <w:r w:rsidR="001D672A" w:rsidRPr="003A5293">
        <w:rPr>
          <w:rFonts w:ascii="Arial" w:hAnsi="Arial" w:cs="Arial"/>
          <w:sz w:val="22"/>
          <w:szCs w:val="22"/>
          <w:lang w:val="en-US"/>
        </w:rPr>
        <w:fldChar w:fldCharType="begin"/>
      </w:r>
      <w:r w:rsidR="001D672A" w:rsidRPr="003A5293">
        <w:rPr>
          <w:rFonts w:ascii="Arial" w:hAnsi="Arial" w:cs="Arial"/>
          <w:sz w:val="22"/>
          <w:szCs w:val="22"/>
          <w:lang w:val="en-US"/>
        </w:rPr>
        <w:instrText xml:space="preserve"> ADDIN ZOTERO_ITEM CSL_CITATION {"citationID":"r6bLyJZk","properties":{"formattedCitation":"(Plo et al., 2008)","plainCitation":"(Plo et al., 2008)","noteIndex":0},"citationItems":[{"id":21,"uris":["http://zotero.org/users/2484452/items/EJARZCWR"],"uri":["http://zotero.org/users/2484452/items/EJARZCWR"],"itemData":{"id":21,"type":"article-journal","abstract":"The JAK2V617F mutation is frequently observed in classical myeloproliferative disorders, and disease progression is associated with a biallelic acquisition of the mutation occurring by mitotic recombination. In this study, we examined whether JAK2 activation could lead to increased homologous recombination (HR) and genetic instability. In a Ba/F3 cell line expressing the erythropoietin (EPO) receptor, mutant JAK2V617F and, to a lesser extent, wild-type (wt) JAK2 induced an increase in HR activity in the presence of EPO without modifying nonhomologous end-joining efficiency. Moreover, a marked augmentation in HR activity was found in CD34+-derived cells isolated from patients with polycythemia vera or primitive myelofibrosis compared with control samples. This increase was associated with a spontaneous RAD51 foci formation. As a result, sister chromatid exchange was 50% augmented in JAK2V617F Ba/F3 cells compared with JAK2wt cells. Moreover, JAK2 activation increased centrosome and ploidy abnormalities. Finally, in JAK2V617F Ba/F3 cells, we found a 100-fold and 10-fold increase in mutagenesis at the HPRT and Na/K ATPase loci, respectively. Together, this work highlights a new molecular mechanism for HR regulation mediated by JAK2 and more efficiently by JAK2V617F. Our study might provide some keys to understand how a single mutation can give rise to different pathologies.","container-title":"Blood","DOI":"10.1182/blood-2008-01-134114","ISSN":"0006-4971, 1528-0020","issue":"4","language":"en","note":"PMID: 18515659","page":"1402-1412","source":"www.bloodjournal.org","title":"JAK2 stimulates homologous recombination and genetic instability: potential implication in the heterogeneity of myeloproliferative disorders","title-short":"JAK2 stimulates homologous recombination and genetic instability","volume":"112","author":[{"family":"Plo","given":"Isabelle"},{"family":"Nakatake","given":"Mayuka"},{"family":"Malivert","given":"Laurent"},{"family":"Villartay","given":"Jean-Pierre","dropping-particle":"de"},{"family":"Giraudier","given":"Stéphane"},{"family":"Villeval","given":"Jean-Luc"},{"family":"Wiesmuller","given":"Lisa"},{"family":"Vainchenker","given":"William"}],"issued":{"date-parts":[["2008",8,15]]}}}],"schema":"https://github.com/citation-style-language/schema/raw/master/csl-citation.json"} </w:instrText>
      </w:r>
      <w:r w:rsidR="001D672A" w:rsidRPr="003A5293">
        <w:rPr>
          <w:rFonts w:ascii="Arial" w:hAnsi="Arial" w:cs="Arial"/>
          <w:sz w:val="22"/>
          <w:szCs w:val="22"/>
          <w:lang w:val="en-US"/>
        </w:rPr>
        <w:fldChar w:fldCharType="separate"/>
      </w:r>
      <w:r w:rsidR="001D672A" w:rsidRPr="003A5293">
        <w:rPr>
          <w:rFonts w:ascii="Arial" w:hAnsi="Arial" w:cs="Arial"/>
          <w:noProof/>
          <w:sz w:val="22"/>
          <w:szCs w:val="22"/>
          <w:lang w:val="en-US"/>
        </w:rPr>
        <w:t>(Plo et al., 2008)</w:t>
      </w:r>
      <w:r w:rsidR="001D672A" w:rsidRPr="003A5293">
        <w:rPr>
          <w:rFonts w:ascii="Arial" w:hAnsi="Arial" w:cs="Arial"/>
          <w:sz w:val="22"/>
          <w:szCs w:val="22"/>
          <w:lang w:val="en-US"/>
        </w:rPr>
        <w:fldChar w:fldCharType="end"/>
      </w:r>
      <w:r w:rsidR="001D672A" w:rsidRPr="003A5293">
        <w:rPr>
          <w:rFonts w:ascii="Arial" w:hAnsi="Arial" w:cs="Arial"/>
          <w:sz w:val="22"/>
          <w:szCs w:val="22"/>
          <w:lang w:val="en-US"/>
        </w:rPr>
        <w:t xml:space="preserve"> and processing of stalled replication forks representing a potential source of DSBs </w:t>
      </w:r>
      <w:r w:rsidR="001D672A" w:rsidRPr="003A5293">
        <w:rPr>
          <w:rFonts w:ascii="Arial" w:hAnsi="Arial" w:cs="Arial"/>
          <w:sz w:val="22"/>
          <w:szCs w:val="22"/>
          <w:lang w:val="en-US"/>
        </w:rPr>
        <w:fldChar w:fldCharType="begin"/>
      </w:r>
      <w:r w:rsidR="001D672A" w:rsidRPr="003A5293">
        <w:rPr>
          <w:rFonts w:ascii="Arial" w:hAnsi="Arial" w:cs="Arial"/>
          <w:sz w:val="22"/>
          <w:szCs w:val="22"/>
          <w:lang w:val="en-US"/>
        </w:rPr>
        <w:instrText xml:space="preserve"> ADDIN ZOTERO_ITEM CSL_CITATION {"citationID":"WbK0Tcpr","properties":{"formattedCitation":"(Chen et al., 2014)","plainCitation":"(Chen et al., 2014)","noteIndex":0},"citationItems":[{"id":269,"uris":["http://zotero.org/users/2484452/items/7KH3GB9E"],"uri":["http://zotero.org/users/2484452/items/7KH3GB9E"],"itemData":{"id":269,"type":"article-journal","abstract":"Cancers result from the accumulation of genetic lesions, but the cellular consequences of driver mutations remain unclear, especially during the earliest stages of malignancy. The V617F mutation in the JAK2 non-receptor tyrosine kinase (JAK2V617F) is present as an early somatic event in most patients with myeloproliferative neoplasms (MPNs), and the study of these chronic myeloid malignancies provides an experimentally tractable approach to understanding early tumorigenesis. Introduction of exogenous JAK2V617F impairs replication fork progression and is associated with activation of the intra-S checkpoint, with both effects mediated by phosphatidylinositide 3-kinase (PI3K) signaling. Analysis of clonally derived JAK2V617F-positive erythroblasts from MPN patients also demonstrated impaired replication fork progression accompanied by increased levels of replication protein A (RPA)-containing foci. However, the associated intra-S checkpoint response was impaired in erythroblasts from polycythemia vera (PV) patients, but not in those from essential thrombocythemia (ET) patients. Moreover, inhibition of p53 in PV erythroblasts resulted in more gamma-H2Ax (γ-H2Ax)–marked double-stranded breaks compared with in like-treated ET erythroblasts, suggesting the defective intra-S checkpoint function seen in PV increases DNA damage in the context of attenuated p53 signaling. These results demonstrate oncogene-induced impairment of replication fork progression in primary cells from MPN patients, reveal unexpected disease-restricted differences in activation of the intra-S checkpoint, and have potential implications for the clonal evolution of malignancies.","container-title":"Proceedings of the National Academy of Sciences","DOI":"10.1073/pnas.1401873111","ISSN":"0027-8424, 1091-6490","issue":"42","journalAbbreviation":"PNAS","language":"en","note":"PMID: 25288776","page":"15190-15195","source":"www.pnas.org","title":"JAK2V617F promotes replication fork stalling with disease-restricted impairment of the intra-S checkpoint response","volume":"111","author":[{"family":"Chen","given":"Edwin"},{"family":"Ahn","given":"Jong Sook"},{"family":"Massie","given":"Charlie E."},{"family":"Clynes","given":"David"},{"family":"Godfrey","given":"Anna L."},{"family":"Li","given":"Juan"},{"family":"Park","given":"Hyun Jung"},{"family":"Nangalia","given":"Jyoti"},{"family":"Silber","given":"Yvonne"},{"family":"Mullally","given":"Ann"},{"family":"Gibbons","given":"Richard J."},{"family":"Green","given":"Anthony R."}],"issued":{"date-parts":[["2014",10,21]]}}}],"schema":"https://github.com/citation-style-language/schema/raw/master/csl-citation.json"} </w:instrText>
      </w:r>
      <w:r w:rsidR="001D672A" w:rsidRPr="003A5293">
        <w:rPr>
          <w:rFonts w:ascii="Arial" w:hAnsi="Arial" w:cs="Arial"/>
          <w:sz w:val="22"/>
          <w:szCs w:val="22"/>
          <w:lang w:val="en-US"/>
        </w:rPr>
        <w:fldChar w:fldCharType="separate"/>
      </w:r>
      <w:r w:rsidR="001D672A" w:rsidRPr="003A5293">
        <w:rPr>
          <w:rFonts w:ascii="Arial" w:hAnsi="Arial" w:cs="Arial"/>
          <w:noProof/>
          <w:sz w:val="22"/>
          <w:szCs w:val="22"/>
          <w:lang w:val="en-US"/>
        </w:rPr>
        <w:t>(Chen et al., 2014)</w:t>
      </w:r>
      <w:r w:rsidR="001D672A" w:rsidRPr="003A5293">
        <w:rPr>
          <w:rFonts w:ascii="Arial" w:hAnsi="Arial" w:cs="Arial"/>
          <w:sz w:val="22"/>
          <w:szCs w:val="22"/>
          <w:lang w:val="en-US"/>
        </w:rPr>
        <w:fldChar w:fldCharType="end"/>
      </w:r>
      <w:r w:rsidR="00EF4C1C">
        <w:rPr>
          <w:rFonts w:ascii="Arial" w:hAnsi="Arial" w:cs="Arial"/>
          <w:sz w:val="22"/>
          <w:szCs w:val="22"/>
          <w:lang w:val="en-US"/>
        </w:rPr>
        <w:t>.</w:t>
      </w:r>
      <w:r w:rsidR="001D672A" w:rsidRPr="003A5293">
        <w:rPr>
          <w:rFonts w:ascii="Arial" w:hAnsi="Arial" w:cs="Arial"/>
          <w:sz w:val="22"/>
          <w:szCs w:val="22"/>
          <w:lang w:val="en-US"/>
        </w:rPr>
        <w:t xml:space="preserve"> </w:t>
      </w:r>
      <w:r w:rsidR="00844DB6">
        <w:rPr>
          <w:rFonts w:ascii="Arial" w:hAnsi="Arial" w:cs="Arial"/>
          <w:sz w:val="22"/>
          <w:szCs w:val="22"/>
          <w:lang w:val="en-US"/>
        </w:rPr>
        <w:t>This</w:t>
      </w:r>
      <w:r w:rsidR="00844DB6" w:rsidRPr="00EF4C1C">
        <w:rPr>
          <w:rFonts w:ascii="Arial" w:hAnsi="Arial" w:cs="Arial"/>
          <w:sz w:val="22"/>
          <w:szCs w:val="22"/>
          <w:lang w:val="en-US"/>
        </w:rPr>
        <w:t xml:space="preserve"> </w:t>
      </w:r>
      <w:r w:rsidR="00EF4C1C" w:rsidRPr="00EF4C1C">
        <w:rPr>
          <w:rFonts w:ascii="Arial" w:hAnsi="Arial" w:cs="Arial"/>
          <w:sz w:val="22"/>
          <w:szCs w:val="22"/>
          <w:lang w:val="en-US"/>
        </w:rPr>
        <w:t>in turn may lead to</w:t>
      </w:r>
      <w:r w:rsidR="00EF4C1C">
        <w:rPr>
          <w:rFonts w:ascii="Arial" w:hAnsi="Arial" w:cs="Arial"/>
          <w:sz w:val="22"/>
          <w:szCs w:val="22"/>
          <w:lang w:val="en-US"/>
        </w:rPr>
        <w:t xml:space="preserve"> </w:t>
      </w:r>
      <w:r w:rsidR="003A5D99" w:rsidRPr="003A5293">
        <w:rPr>
          <w:rFonts w:ascii="Arial" w:hAnsi="Arial" w:cs="Arial"/>
          <w:sz w:val="22"/>
          <w:szCs w:val="22"/>
          <w:lang w:val="en-US"/>
        </w:rPr>
        <w:t>mutagenic</w:t>
      </w:r>
      <w:r w:rsidR="001D672A" w:rsidRPr="003A5293">
        <w:rPr>
          <w:rFonts w:ascii="Arial" w:hAnsi="Arial" w:cs="Arial"/>
          <w:sz w:val="22"/>
          <w:szCs w:val="22"/>
          <w:lang w:val="en-US"/>
        </w:rPr>
        <w:t xml:space="preserve"> phenotype</w:t>
      </w:r>
      <w:r w:rsidR="00B63E92" w:rsidRPr="003A5293">
        <w:rPr>
          <w:rFonts w:ascii="Arial" w:hAnsi="Arial" w:cs="Arial"/>
          <w:sz w:val="22"/>
          <w:szCs w:val="22"/>
          <w:lang w:val="en-US"/>
        </w:rPr>
        <w:t xml:space="preserve"> similar to phenotypes observed in pathogenesis of leukemia</w:t>
      </w:r>
      <w:r w:rsidR="001D672A" w:rsidRPr="003A5293">
        <w:rPr>
          <w:rFonts w:ascii="Arial" w:hAnsi="Arial" w:cs="Arial"/>
          <w:sz w:val="22"/>
          <w:szCs w:val="22"/>
          <w:lang w:val="en-US"/>
        </w:rPr>
        <w:t>.</w:t>
      </w:r>
      <w:r w:rsidR="00CA0815" w:rsidRPr="003A5293">
        <w:rPr>
          <w:rFonts w:ascii="Arial" w:hAnsi="Arial" w:cs="Arial"/>
          <w:sz w:val="22"/>
          <w:szCs w:val="22"/>
          <w:lang w:val="en-US"/>
        </w:rPr>
        <w:t xml:space="preserve"> But, again</w:t>
      </w:r>
      <w:r w:rsidR="0069410B">
        <w:rPr>
          <w:rFonts w:ascii="Arial" w:hAnsi="Arial" w:cs="Arial"/>
          <w:sz w:val="22"/>
          <w:szCs w:val="22"/>
          <w:lang w:val="en-US"/>
        </w:rPr>
        <w:t>,</w:t>
      </w:r>
      <w:r w:rsidR="00CA0815" w:rsidRPr="003A5293">
        <w:rPr>
          <w:rFonts w:ascii="Arial" w:hAnsi="Arial" w:cs="Arial"/>
          <w:sz w:val="22"/>
          <w:szCs w:val="22"/>
          <w:lang w:val="en-US"/>
        </w:rPr>
        <w:t xml:space="preserve"> the V617F-induced mutagenicity was not confirmed upon exome sequencing of MPN patients reveling modes</w:t>
      </w:r>
      <w:r w:rsidR="00B63E92" w:rsidRPr="003A5293">
        <w:rPr>
          <w:rFonts w:ascii="Arial" w:hAnsi="Arial" w:cs="Arial"/>
          <w:sz w:val="22"/>
          <w:szCs w:val="22"/>
          <w:lang w:val="en-US"/>
        </w:rPr>
        <w:t>t</w:t>
      </w:r>
      <w:r w:rsidR="00CA0815" w:rsidRPr="003A5293">
        <w:rPr>
          <w:rFonts w:ascii="Arial" w:hAnsi="Arial" w:cs="Arial"/>
          <w:sz w:val="22"/>
          <w:szCs w:val="22"/>
          <w:lang w:val="en-US"/>
        </w:rPr>
        <w:t xml:space="preserve"> amount of mutations per exome </w:t>
      </w:r>
      <w:r w:rsidR="00CA0815" w:rsidRPr="003A5293">
        <w:rPr>
          <w:rFonts w:ascii="Arial" w:hAnsi="Arial" w:cs="Arial"/>
          <w:sz w:val="22"/>
          <w:szCs w:val="22"/>
          <w:lang w:val="en-US"/>
        </w:rPr>
        <w:fldChar w:fldCharType="begin"/>
      </w:r>
      <w:r w:rsidR="00CA0815" w:rsidRPr="003A5293">
        <w:rPr>
          <w:rFonts w:ascii="Arial" w:hAnsi="Arial" w:cs="Arial"/>
          <w:sz w:val="22"/>
          <w:szCs w:val="22"/>
          <w:lang w:val="en-US"/>
        </w:rPr>
        <w:instrText xml:space="preserve"> ADDIN ZOTERO_ITEM CSL_CITATION {"citationID":"lDDwFh7r","properties":{"formattedCitation":"(Nangalia et al., 2013)","plainCitation":"(Nangalia et al., 2013)","noteIndex":0},"citationItems":[{"id":1083,"uris":["http://zotero.org/users/2484452/items/9K2KBDAH"],"uri":["http://zotero.org/users/2484452/items/9K2KBDAH"],"itemData":{"id":1083,"type":"article-journal","abstract":"BACKGROUND\nSomatic mutations in the Janus kinase 2 gene (JAK2) occur in many myeloproliferative neoplasms, but the molecular pathogenesis of myeloproliferative neoplasms with nonmutated JAK2 is obscure, and the diagnosis of these neoplasms remains a challenge.\n\nMETHODS\nWe performed exome sequencing of samples obtained from 151 patients with myeloproliferative neoplasms. The mutation status of the gene encoding calreticulin (CALR) was assessed in an additional 1345 hematologic cancers, 1517 other cancers, and 550 controls. We established phylogenetic trees using hematopoietic colonies. We assessed calreticulin subcellular localization using immunofluorescence and flow cytometry.\n\nRESULTS\nExome sequencing identified 1498 mutations in 151 patients, with medians of 6.5, 6.5, and 13.0 mutations per patient in samples of polycythemia vera, essential thrombocythemia, and myelofibrosis, respectively. Somatic CALR mutations were found in 70 to 84% of samples of myeloproliferative neoplasms with nonmutated JAK2, in 8% of myelodysplasia samples, in occasional samples of other myeloid cancers, and in none of the other cancers. A total of 148 CALR mutations were identified with 19 distinct variants. Mutations were located in exon 9 and generated a +1 base-pair frameshift, which would result in a mutant protein with a novel C-terminal. Mutant calreticulin was observed in the endoplasmic reticulum without increased cell-surface or Golgi accumulation. Patients with myeloproliferative neoplasms carrying CALR mutations presented with higher platelet counts and lower hemoglobin levels than patients with mutated JAK2. Mutation of CALR was detected in hematopoietic stem and progenitor cells. Clonal analyses showed CALR mutations in the earliest phylogenetic node, a finding consistent with its role as an initiating mutation in some patients.\n\nCONCLUSIONS\nSomatic mutations in the endoplasmic reticulum chaperone CALR were found in a majority of patients with myeloproliferative neoplasms with nonmutated JAK2. (Funded by the Kay Kendall Leukaemia Fund and others.)","container-title":"The New England journal of medicine","DOI":"10.1056/NEJMoa1312542","ISSN":"0028-4793","issue":"25","journalAbbreviation":"N Engl J Med","note":"PMID: 24325359\nPMCID: PMC3966280","page":"2391-2405","source":"PubMed Central","title":"Somatic CALR Mutations in Myeloproliferative Neoplasms with Nonmutated JAK2","volume":"369","author":[{"family":"Nangalia","given":"J."},{"family":"Massie","given":"C.E."},{"family":"Baxter","given":"E.J."},{"family":"Nice","given":"F.L."},{"family":"Gundem","given":"G."},{"family":"Wedge","given":"D.C."},{"family":"Avezov","given":"E."},{"family":"Li","given":"J."},{"family":"Kollmann","given":"K."},{"family":"Kent","given":"D.G."},{"family":"Aziz","given":"A."},{"family":"Godfrey","given":"A.L."},{"family":"Hinton","given":"J."},{"family":"Martincorena","given":"I."},{"family":"Van Loo","given":"P."},{"family":"Jones","given":"A.V."},{"family":"Guglielmelli","given":"P."},{"family":"Tarpey","given":"P."},{"family":"Harding","given":"H.P."},{"family":"Fitzpatrick","given":"J.D."},{"family":"Goudie","given":"C.T."},{"family":"Ortmann","given":"C.A."},{"family":"Loughran","given":"S.J."},{"family":"Raine","given":"K."},{"family":"Jones","given":"D.R."},{"family":"Butler","given":"A.P."},{"family":"Teague","given":"J.W."},{"family":"O’Meara","given":"S."},{"family":"McLaren","given":"S."},{"family":"Bianchi","given":"M."},{"family":"Silber","given":"Y."},{"family":"Dimitropoulou","given":"D."},{"family":"Bloxham","given":"D."},{"family":"Mudie","given":"L."},{"family":"Maddison","given":"M."},{"family":"Robinson","given":"B."},{"family":"Keohane","given":"C."},{"family":"Maclean","given":"C."},{"family":"Hill","given":"K."},{"family":"Orchard","given":"K."},{"family":"Tauro","given":"S."},{"family":"Du","given":"M.-Q."},{"family":"Greaves","given":"M."},{"family":"Bowen","given":"D."},{"family":"Huntly","given":"B.J.P."},{"family":"Harrison","given":"C.N."},{"family":"Cross","given":"N.C.P."},{"family":"Ron","given":"D."},{"family":"Vannucchi","given":"A.M."},{"family":"Papaemmanuil","given":"E."},{"family":"Campbell","given":"P.J."},{"family":"Green","given":"A.R."}],"issued":{"date-parts":[["2013",12,19]]}}}],"schema":"https://github.com/citation-style-language/schema/raw/master/csl-citation.json"} </w:instrText>
      </w:r>
      <w:r w:rsidR="00CA0815" w:rsidRPr="003A5293">
        <w:rPr>
          <w:rFonts w:ascii="Arial" w:hAnsi="Arial" w:cs="Arial"/>
          <w:sz w:val="22"/>
          <w:szCs w:val="22"/>
          <w:lang w:val="en-US"/>
        </w:rPr>
        <w:fldChar w:fldCharType="separate"/>
      </w:r>
      <w:r w:rsidR="00CA0815" w:rsidRPr="003A5293">
        <w:rPr>
          <w:rFonts w:ascii="Arial" w:hAnsi="Arial" w:cs="Arial"/>
          <w:noProof/>
          <w:sz w:val="22"/>
          <w:szCs w:val="22"/>
          <w:lang w:val="en-US"/>
        </w:rPr>
        <w:t>(Nangalia et al., 2013)</w:t>
      </w:r>
      <w:r w:rsidR="00CA0815" w:rsidRPr="003A5293">
        <w:rPr>
          <w:rFonts w:ascii="Arial" w:hAnsi="Arial" w:cs="Arial"/>
          <w:sz w:val="22"/>
          <w:szCs w:val="22"/>
          <w:lang w:val="en-US"/>
        </w:rPr>
        <w:fldChar w:fldCharType="end"/>
      </w:r>
      <w:r w:rsidR="00CA0815" w:rsidRPr="003A5293">
        <w:rPr>
          <w:rFonts w:ascii="Arial" w:hAnsi="Arial" w:cs="Arial"/>
          <w:sz w:val="22"/>
          <w:szCs w:val="22"/>
          <w:lang w:val="en-US"/>
        </w:rPr>
        <w:t>.</w:t>
      </w:r>
      <w:r w:rsidR="001D672A" w:rsidRPr="003A5293">
        <w:rPr>
          <w:rFonts w:ascii="Arial" w:hAnsi="Arial" w:cs="Arial"/>
          <w:sz w:val="22"/>
          <w:szCs w:val="22"/>
          <w:lang w:val="en-US"/>
        </w:rPr>
        <w:t xml:space="preserve"> We have recently published data from PV </w:t>
      </w:r>
      <w:r w:rsidR="00EC48CF" w:rsidRPr="00EC48CF">
        <w:rPr>
          <w:rFonts w:ascii="Arial" w:hAnsi="Arial" w:cs="Arial"/>
          <w:sz w:val="22"/>
          <w:szCs w:val="22"/>
          <w:lang w:val="en-US"/>
        </w:rPr>
        <w:t xml:space="preserve">induced pluripotent stem cells </w:t>
      </w:r>
      <w:r w:rsidR="00EC48CF">
        <w:rPr>
          <w:rFonts w:ascii="Arial" w:hAnsi="Arial" w:cs="Arial"/>
          <w:sz w:val="22"/>
          <w:szCs w:val="22"/>
          <w:lang w:val="en-US"/>
        </w:rPr>
        <w:t>(</w:t>
      </w:r>
      <w:r w:rsidR="001D672A" w:rsidRPr="003A5293">
        <w:rPr>
          <w:rFonts w:ascii="Arial" w:hAnsi="Arial" w:cs="Arial"/>
          <w:sz w:val="22"/>
          <w:szCs w:val="22"/>
          <w:lang w:val="en-US"/>
        </w:rPr>
        <w:t>iPSCs</w:t>
      </w:r>
      <w:r w:rsidR="00EC48CF">
        <w:rPr>
          <w:rFonts w:ascii="Arial" w:hAnsi="Arial" w:cs="Arial"/>
          <w:sz w:val="22"/>
          <w:szCs w:val="22"/>
          <w:lang w:val="en-US"/>
        </w:rPr>
        <w:t>)</w:t>
      </w:r>
      <w:r w:rsidR="001D672A" w:rsidRPr="003A5293">
        <w:rPr>
          <w:rFonts w:ascii="Arial" w:hAnsi="Arial" w:cs="Arial"/>
          <w:sz w:val="22"/>
          <w:szCs w:val="22"/>
          <w:lang w:val="en-US"/>
        </w:rPr>
        <w:t xml:space="preserve"> disease modeling as a competitive approach to tackle this unresolved conundrum, which stems from the usage of either immortalized cell lines or progenitors pushed too much over the thresholds of non-physiological expansion </w:t>
      </w:r>
      <w:r w:rsidR="001D672A" w:rsidRPr="003A5293">
        <w:rPr>
          <w:rFonts w:ascii="Arial" w:hAnsi="Arial" w:cs="Arial"/>
          <w:sz w:val="22"/>
          <w:szCs w:val="22"/>
          <w:lang w:val="en-US"/>
        </w:rPr>
        <w:fldChar w:fldCharType="begin"/>
      </w:r>
      <w:r w:rsidR="001D672A" w:rsidRPr="003A5293">
        <w:rPr>
          <w:rFonts w:ascii="Arial" w:hAnsi="Arial" w:cs="Arial"/>
          <w:sz w:val="22"/>
          <w:szCs w:val="22"/>
          <w:lang w:val="en-US"/>
        </w:rPr>
        <w:instrText xml:space="preserve"> ADDIN ZOTERO_ITEM CSL_CITATION {"citationID":"pISrx5Jn","properties":{"formattedCitation":"(Stetka et al., 2019)","plainCitation":"(Stetka et al., 2019)","noteIndex":0},"citationItems":[{"id":812,"uris":["http://zotero.org/users/2484452/items/7AKGISWX"],"uri":["http://zotero.org/users/2484452/items/7AKGISWX"],"itemData":{"id":812,"type":"article-journal","abstract":"Inflammatory and oncogenic signaling converge in disease evolution of BCR–ABL-negative myeloproliferative neoplasms, clonal hematopoietic stem cell disorders characterized by gain-of-function mutation in JAK2 kinase (JAK2V617F), with highest prevalence in patients with polycythemia vera (PV). Despite the high risk, DNA-damaging inflammatory microenvironment, PV progenitors tend to preserve their genomic stability over decades until their progression to post-PV myelofibrosis/acute myeloid leukemia. Using induced pluripotent stem cells-derived CD34+ progenitor-enriched cultures from JAK2V617F+ PV patient and from JAK2 wild-type healthy control, CRISPR-modified HEL cells and patients’ bone marrow sections from different disease stages, we demonstrate that JAK2V617F induces an intrinsic IFNγ- and NF-κB-associated inflammatory program, while suppressing inflammation-evoked DNA damage both in vitro and in vivo. We show that cells with JAK2V617F tightly regulate levels of inflammatory cytokines-induced reactive oxygen species, do not fully activate the ATM/p53/p21waf1 checkpoint and p38/JNK MAPK stress pathway signaling when exposed to inflammatory cytokines, suppress DNA single-strand break repair genes’ expression yet overexpress the dual-specificity phosphatase (DUSP) 1. RNAi-mediated knock-down and pharmacological inhibition of DUSP1, involved in p38/JNK deactivation, in HEL cells reveals growth addiction to DUSP1, consistent with enhanced DNA damage response and apoptosis in DUSP1-inhibited parental JAK2V617F+ cells, but not in CRISPR-modified JAK2 wild-type cells. Our results indicate that the JAK2V617F+ PV progenitors utilize DUSP1 activity as a protection mechanism against DNA damage accumulation, promoting their proliferation and survival in the inflammatory microenvironment, identifying DUSP1 as a potential therapeutic target in PV.","container-title":"Oncogene","DOI":"10.1038/s41388-019-0813-7","ISSN":"1476-5594","issue":"28","journalAbbreviation":"Oncogene","language":"en","page":"5627-5642","source":"www.nature.com","title":"Addiction to DUSP1 protects JAK2V617F-driven polycythemia vera progenitors against inflammatory stress and DNA damage, allowing chronic proliferation","volume":"38","author":[{"family":"Stetka","given":"J."},{"family":"Vyhlidalova","given":"P."},{"family":"Lanikova","given":"L."},{"family":"Koralkova","given":"P."},{"family":"Gursky","given":"J."},{"family":"Hlusi","given":"A."},{"family":"Flodr","given":"P."},{"family":"Hubackova","given":"S."},{"family":"Bartek","given":"J."},{"family":"Hodny","given":"Z."},{"family":"Divoky","given":"V."}],"issued":{"date-parts":[["2019",7]]}}}],"schema":"https://github.com/citation-style-language/schema/raw/master/csl-citation.json"} </w:instrText>
      </w:r>
      <w:r w:rsidR="001D672A" w:rsidRPr="003A5293">
        <w:rPr>
          <w:rFonts w:ascii="Arial" w:hAnsi="Arial" w:cs="Arial"/>
          <w:sz w:val="22"/>
          <w:szCs w:val="22"/>
          <w:lang w:val="en-US"/>
        </w:rPr>
        <w:fldChar w:fldCharType="separate"/>
      </w:r>
      <w:r w:rsidR="001D672A" w:rsidRPr="003A5293">
        <w:rPr>
          <w:rFonts w:ascii="Arial" w:hAnsi="Arial" w:cs="Arial"/>
          <w:noProof/>
          <w:sz w:val="22"/>
          <w:szCs w:val="22"/>
          <w:lang w:val="en-US"/>
        </w:rPr>
        <w:t>(Stetka et al., 2019)</w:t>
      </w:r>
      <w:r w:rsidR="001D672A" w:rsidRPr="003A5293">
        <w:rPr>
          <w:rFonts w:ascii="Arial" w:hAnsi="Arial" w:cs="Arial"/>
          <w:sz w:val="22"/>
          <w:szCs w:val="22"/>
          <w:lang w:val="en-US"/>
        </w:rPr>
        <w:fldChar w:fldCharType="end"/>
      </w:r>
      <w:r w:rsidR="001D672A" w:rsidRPr="003A5293">
        <w:rPr>
          <w:rFonts w:ascii="Arial" w:hAnsi="Arial" w:cs="Arial"/>
          <w:sz w:val="22"/>
          <w:szCs w:val="22"/>
          <w:lang w:val="en-US"/>
        </w:rPr>
        <w:t>.</w:t>
      </w:r>
      <w:r w:rsidR="00B94867" w:rsidRPr="003A5293">
        <w:rPr>
          <w:rFonts w:ascii="Arial" w:hAnsi="Arial" w:cs="Arial"/>
          <w:sz w:val="22"/>
          <w:szCs w:val="22"/>
          <w:lang w:val="en-US"/>
        </w:rPr>
        <w:t xml:space="preserve"> In agreement with clinical phenotypes we have detected lower </w:t>
      </w:r>
      <w:r w:rsidR="003A5D99" w:rsidRPr="003A5293">
        <w:rPr>
          <w:rFonts w:ascii="Arial" w:hAnsi="Arial" w:cs="Arial"/>
          <w:sz w:val="22"/>
          <w:szCs w:val="22"/>
          <w:lang w:val="en-US"/>
        </w:rPr>
        <w:t xml:space="preserve">DNA damage </w:t>
      </w:r>
      <w:r w:rsidR="00B94867" w:rsidRPr="003A5293">
        <w:rPr>
          <w:rFonts w:ascii="Arial" w:hAnsi="Arial" w:cs="Arial"/>
          <w:sz w:val="22"/>
          <w:szCs w:val="22"/>
          <w:lang w:val="en-US"/>
        </w:rPr>
        <w:t>accumulation</w:t>
      </w:r>
      <w:r w:rsidR="003A5D99" w:rsidRPr="003A5293">
        <w:rPr>
          <w:rFonts w:ascii="Arial" w:hAnsi="Arial" w:cs="Arial"/>
          <w:sz w:val="22"/>
          <w:szCs w:val="22"/>
          <w:lang w:val="en-US"/>
        </w:rPr>
        <w:t xml:space="preserve"> and normal usage of HR</w:t>
      </w:r>
      <w:r w:rsidR="00B94867" w:rsidRPr="003A5293">
        <w:rPr>
          <w:rFonts w:ascii="Arial" w:hAnsi="Arial" w:cs="Arial"/>
          <w:sz w:val="22"/>
          <w:szCs w:val="22"/>
          <w:lang w:val="en-US"/>
        </w:rPr>
        <w:t xml:space="preserve"> in V617F-positive hematopoietic progeny</w:t>
      </w:r>
      <w:r w:rsidR="00CA0815" w:rsidRPr="003A5293">
        <w:rPr>
          <w:rFonts w:ascii="Arial" w:hAnsi="Arial" w:cs="Arial"/>
          <w:sz w:val="22"/>
          <w:szCs w:val="22"/>
          <w:lang w:val="en-US"/>
        </w:rPr>
        <w:t>,</w:t>
      </w:r>
      <w:r w:rsidR="00B94867" w:rsidRPr="003A5293">
        <w:rPr>
          <w:rFonts w:ascii="Arial" w:hAnsi="Arial" w:cs="Arial"/>
          <w:sz w:val="22"/>
          <w:szCs w:val="22"/>
          <w:lang w:val="en-US"/>
        </w:rPr>
        <w:t xml:space="preserve"> </w:t>
      </w:r>
      <w:r w:rsidR="00CA0815" w:rsidRPr="003A5293">
        <w:rPr>
          <w:rFonts w:ascii="Arial" w:hAnsi="Arial" w:cs="Arial"/>
          <w:sz w:val="22"/>
          <w:szCs w:val="22"/>
          <w:lang w:val="en-US"/>
        </w:rPr>
        <w:t>which</w:t>
      </w:r>
      <w:r w:rsidR="00B94867" w:rsidRPr="003A5293">
        <w:rPr>
          <w:rFonts w:ascii="Arial" w:hAnsi="Arial" w:cs="Arial"/>
          <w:sz w:val="22"/>
          <w:szCs w:val="22"/>
          <w:lang w:val="en-US"/>
        </w:rPr>
        <w:t xml:space="preserve"> </w:t>
      </w:r>
      <w:r w:rsidR="00CA0815" w:rsidRPr="003A5293">
        <w:rPr>
          <w:rFonts w:ascii="Arial" w:hAnsi="Arial" w:cs="Arial"/>
          <w:sz w:val="22"/>
          <w:szCs w:val="22"/>
          <w:lang w:val="en-US"/>
        </w:rPr>
        <w:t>is</w:t>
      </w:r>
      <w:r w:rsidR="00B94867" w:rsidRPr="003A5293">
        <w:rPr>
          <w:rFonts w:ascii="Arial" w:hAnsi="Arial" w:cs="Arial"/>
          <w:sz w:val="22"/>
          <w:szCs w:val="22"/>
          <w:lang w:val="en-US"/>
        </w:rPr>
        <w:t xml:space="preserve"> further </w:t>
      </w:r>
      <w:r w:rsidR="00CA0815" w:rsidRPr="003A5293">
        <w:rPr>
          <w:rFonts w:ascii="Arial" w:hAnsi="Arial" w:cs="Arial"/>
          <w:sz w:val="22"/>
          <w:szCs w:val="22"/>
          <w:lang w:val="en-US"/>
        </w:rPr>
        <w:t>presented</w:t>
      </w:r>
      <w:r w:rsidR="00B94867" w:rsidRPr="003A5293">
        <w:rPr>
          <w:rFonts w:ascii="Arial" w:hAnsi="Arial" w:cs="Arial"/>
          <w:sz w:val="22"/>
          <w:szCs w:val="22"/>
          <w:lang w:val="en-US"/>
        </w:rPr>
        <w:t xml:space="preserve"> in </w:t>
      </w:r>
      <w:r w:rsidR="00EC48CF">
        <w:rPr>
          <w:rFonts w:ascii="Arial" w:hAnsi="Arial" w:cs="Arial"/>
          <w:sz w:val="22"/>
          <w:szCs w:val="22"/>
          <w:lang w:val="en-US"/>
        </w:rPr>
        <w:t xml:space="preserve">the </w:t>
      </w:r>
      <w:r w:rsidR="00B94867" w:rsidRPr="003A5293">
        <w:rPr>
          <w:rFonts w:ascii="Arial" w:hAnsi="Arial" w:cs="Arial"/>
          <w:sz w:val="22"/>
          <w:szCs w:val="22"/>
          <w:lang w:val="en-US"/>
        </w:rPr>
        <w:t xml:space="preserve">results section </w:t>
      </w:r>
      <w:r w:rsidR="00B94867" w:rsidRPr="003A5293">
        <w:rPr>
          <w:rFonts w:ascii="Arial" w:hAnsi="Arial" w:cs="Arial"/>
          <w:sz w:val="22"/>
          <w:szCs w:val="22"/>
          <w:lang w:val="en-US"/>
        </w:rPr>
        <w:fldChar w:fldCharType="begin"/>
      </w:r>
      <w:r w:rsidR="00B94867" w:rsidRPr="003A5293">
        <w:rPr>
          <w:rFonts w:ascii="Arial" w:hAnsi="Arial" w:cs="Arial"/>
          <w:sz w:val="22"/>
          <w:szCs w:val="22"/>
          <w:lang w:val="en-US"/>
        </w:rPr>
        <w:instrText xml:space="preserve"> ADDIN ZOTERO_ITEM CSL_CITATION {"citationID":"ehRrdarU","properties":{"formattedCitation":"(Stetka et al., 2019)","plainCitation":"(Stetka et al., 2019)","noteIndex":0},"citationItems":[{"id":812,"uris":["http://zotero.org/users/2484452/items/7AKGISWX"],"uri":["http://zotero.org/users/2484452/items/7AKGISWX"],"itemData":{"id":812,"type":"article-journal","abstract":"Inflammatory and oncogenic signaling converge in disease evolution of BCR–ABL-negative myeloproliferative neoplasms, clonal hematopoietic stem cell disorders characterized by gain-of-function mutation in JAK2 kinase (JAK2V617F), with highest prevalence in patients with polycythemia vera (PV). Despite the high risk, DNA-damaging inflammatory microenvironment, PV progenitors tend to preserve their genomic stability over decades until their progression to post-PV myelofibrosis/acute myeloid leukemia. Using induced pluripotent stem cells-derived CD34+ progenitor-enriched cultures from JAK2V617F+ PV patient and from JAK2 wild-type healthy control, CRISPR-modified HEL cells and patients’ bone marrow sections from different disease stages, we demonstrate that JAK2V617F induces an intrinsic IFNγ- and NF-κB-associated inflammatory program, while suppressing inflammation-evoked DNA damage both in vitro and in vivo. We show that cells with JAK2V617F tightly regulate levels of inflammatory cytokines-induced reactive oxygen species, do not fully activate the ATM/p53/p21waf1 checkpoint and p38/JNK MAPK stress pathway signaling when exposed to inflammatory cytokines, suppress DNA single-strand break repair genes’ expression yet overexpress the dual-specificity phosphatase (DUSP) 1. RNAi-mediated knock-down and pharmacological inhibition of DUSP1, involved in p38/JNK deactivation, in HEL cells reveals growth addiction to DUSP1, consistent with enhanced DNA damage response and apoptosis in DUSP1-inhibited parental JAK2V617F+ cells, but not in CRISPR-modified JAK2 wild-type cells. Our results indicate that the JAK2V617F+ PV progenitors utilize DUSP1 activity as a protection mechanism against DNA damage accumulation, promoting their proliferation and survival in the inflammatory microenvironment, identifying DUSP1 as a potential therapeutic target in PV.","container-title":"Oncogene","DOI":"10.1038/s41388-019-0813-7","ISSN":"1476-5594","issue":"28","journalAbbreviation":"Oncogene","language":"en","page":"5627-5642","source":"www.nature.com","title":"Addiction to DUSP1 protects JAK2V617F-driven polycythemia vera progenitors against inflammatory stress and DNA damage, allowing chronic proliferation","volume":"38","author":[{"family":"Stetka","given":"J."},{"family":"Vyhlidalova","given":"P."},{"family":"Lanikova","given":"L."},{"family":"Koralkova","given":"P."},{"family":"Gursky","given":"J."},{"family":"Hlusi","given":"A."},{"family":"Flodr","given":"P."},{"family":"Hubackova","given":"S."},{"family":"Bartek","given":"J."},{"family":"Hodny","given":"Z."},{"family":"Divoky","given":"V."}],"issued":{"date-parts":[["2019",7]]}}}],"schema":"https://github.com/citation-style-language/schema/raw/master/csl-citation.json"} </w:instrText>
      </w:r>
      <w:r w:rsidR="00B94867" w:rsidRPr="003A5293">
        <w:rPr>
          <w:rFonts w:ascii="Arial" w:hAnsi="Arial" w:cs="Arial"/>
          <w:sz w:val="22"/>
          <w:szCs w:val="22"/>
          <w:lang w:val="en-US"/>
        </w:rPr>
        <w:fldChar w:fldCharType="separate"/>
      </w:r>
      <w:r w:rsidR="00B94867" w:rsidRPr="003A5293">
        <w:rPr>
          <w:rFonts w:ascii="Arial" w:hAnsi="Arial" w:cs="Arial"/>
          <w:noProof/>
          <w:sz w:val="22"/>
          <w:szCs w:val="22"/>
          <w:lang w:val="en-US"/>
        </w:rPr>
        <w:t>(Stetka et al., 2019)</w:t>
      </w:r>
      <w:r w:rsidR="00B94867" w:rsidRPr="003A5293">
        <w:rPr>
          <w:rFonts w:ascii="Arial" w:hAnsi="Arial" w:cs="Arial"/>
          <w:sz w:val="22"/>
          <w:szCs w:val="22"/>
          <w:lang w:val="en-US"/>
        </w:rPr>
        <w:fldChar w:fldCharType="end"/>
      </w:r>
      <w:r w:rsidR="00B94867" w:rsidRPr="003A5293">
        <w:rPr>
          <w:rFonts w:ascii="Arial" w:hAnsi="Arial" w:cs="Arial"/>
          <w:sz w:val="22"/>
          <w:szCs w:val="22"/>
          <w:lang w:val="en-US"/>
        </w:rPr>
        <w:t xml:space="preserve">. </w:t>
      </w:r>
      <w:r w:rsidR="00B63E92" w:rsidRPr="003A5293">
        <w:rPr>
          <w:rFonts w:ascii="Arial" w:hAnsi="Arial" w:cs="Arial"/>
          <w:sz w:val="22"/>
          <w:szCs w:val="22"/>
          <w:lang w:val="en-US"/>
        </w:rPr>
        <w:t xml:space="preserve">In </w:t>
      </w:r>
      <w:r w:rsidR="0073433A" w:rsidRPr="003A5293">
        <w:rPr>
          <w:rFonts w:ascii="Arial" w:hAnsi="Arial" w:cs="Arial"/>
          <w:sz w:val="22"/>
          <w:szCs w:val="22"/>
          <w:lang w:val="en-US"/>
        </w:rPr>
        <w:t>addition,</w:t>
      </w:r>
      <w:r w:rsidR="00B63E92" w:rsidRPr="003A5293">
        <w:rPr>
          <w:rFonts w:ascii="Arial" w:hAnsi="Arial" w:cs="Arial"/>
          <w:sz w:val="22"/>
          <w:szCs w:val="22"/>
          <w:lang w:val="en-US"/>
        </w:rPr>
        <w:t xml:space="preserve"> </w:t>
      </w:r>
      <w:r w:rsidR="0073433A" w:rsidRPr="003A5293">
        <w:rPr>
          <w:rFonts w:ascii="Arial" w:hAnsi="Arial" w:cs="Arial"/>
          <w:sz w:val="22"/>
          <w:szCs w:val="22"/>
          <w:lang w:val="en-US"/>
        </w:rPr>
        <w:t xml:space="preserve">recent publication shows that </w:t>
      </w:r>
      <w:r w:rsidR="0073433A" w:rsidRPr="00DA4BC6">
        <w:rPr>
          <w:rFonts w:ascii="Arial" w:hAnsi="Arial" w:cs="Arial"/>
          <w:i/>
          <w:iCs/>
          <w:sz w:val="22"/>
          <w:szCs w:val="22"/>
          <w:lang w:val="en-US"/>
        </w:rPr>
        <w:t>JAK</w:t>
      </w:r>
      <w:r w:rsidR="00DA4BC6" w:rsidRPr="00DA4BC6">
        <w:rPr>
          <w:rFonts w:ascii="Arial" w:hAnsi="Arial" w:cs="Arial"/>
          <w:i/>
          <w:iCs/>
          <w:sz w:val="22"/>
          <w:szCs w:val="22"/>
          <w:lang w:val="en-US"/>
        </w:rPr>
        <w:t>2</w:t>
      </w:r>
      <w:r w:rsidR="0073433A" w:rsidRPr="003A5293">
        <w:rPr>
          <w:rFonts w:ascii="Arial" w:hAnsi="Arial" w:cs="Arial"/>
          <w:sz w:val="22"/>
          <w:szCs w:val="22"/>
          <w:lang w:val="en-US"/>
        </w:rPr>
        <w:t xml:space="preserve"> V617F-positive cells upregulate expression and functions of RECQL5 helicase. Helicases from </w:t>
      </w:r>
      <w:r w:rsidR="0073433A" w:rsidRPr="003A5293">
        <w:rPr>
          <w:rFonts w:ascii="Arial" w:hAnsi="Arial" w:cs="Arial"/>
          <w:i/>
          <w:iCs/>
          <w:sz w:val="22"/>
          <w:szCs w:val="22"/>
          <w:lang w:val="en-US"/>
        </w:rPr>
        <w:t>RECQ</w:t>
      </w:r>
      <w:r w:rsidR="0073433A" w:rsidRPr="003A5293">
        <w:rPr>
          <w:rFonts w:ascii="Arial" w:hAnsi="Arial" w:cs="Arial"/>
          <w:sz w:val="22"/>
          <w:szCs w:val="22"/>
          <w:lang w:val="en-US"/>
        </w:rPr>
        <w:t xml:space="preserve"> family are also called as a ‘caretakers of the genome’ </w:t>
      </w:r>
      <w:r w:rsidR="0073433A" w:rsidRPr="003A5293">
        <w:rPr>
          <w:rFonts w:ascii="Arial" w:hAnsi="Arial" w:cs="Arial"/>
          <w:sz w:val="22"/>
          <w:szCs w:val="22"/>
          <w:lang w:val="en-US"/>
        </w:rPr>
        <w:fldChar w:fldCharType="begin"/>
      </w:r>
      <w:r w:rsidR="0073433A" w:rsidRPr="003A5293">
        <w:rPr>
          <w:rFonts w:ascii="Arial" w:hAnsi="Arial" w:cs="Arial"/>
          <w:sz w:val="22"/>
          <w:szCs w:val="22"/>
          <w:lang w:val="en-US"/>
        </w:rPr>
        <w:instrText xml:space="preserve"> ADDIN ZOTERO_ITEM CSL_CITATION {"citationID":"Jvta9X3D","properties":{"formattedCitation":"(Bohr, 2008; Chu and Hickson, 2009)","plainCitation":"(Bohr, 2008; Chu and Hickson, 2009)","noteIndex":0},"citationItems":[{"id":1086,"uris":["http://zotero.org/users/2484452/items/Q4Q5NNQT"],"uri":["http://zotero.org/users/2484452/items/Q4Q5NNQT"],"itemData":{"id":1086,"type":"article-journal","abstract":"The RecQ helicases are guardians of the genome. Members of this conserved family of proteins have a key role in protecting and stabilizing the genome against deleterious changes. Deficiencies in RecQ helicases can lead to high levels of genomic instability and, in humans, to premature aging and increased susceptibility to cancer. Their diverse roles in DNA metabolism, which include a role in telomere maintenance, reflect interactions with multiple cellular proteins, some of which are multifunctional and also have very diverse functions. The results of in vitro cellular and biochemical studies have been complimented by recent in vivo studies using genetically modified mouse strains. Together, these approaches are helping to unravel the mechanism(s) of action and biological functions of the RecQ helicases.","container-title":"Trends in Biochemical Sciences","DOI":"10.1016/j.tibs.2008.09.003","ISSN":"0968-0004","issue":"12","journalAbbreviation":"Trends Biochem. Sci.","language":"eng","note":"PMID: 18926708\nPMCID: PMC2606042","page":"609-620","source":"PubMed","title":"Rising from the RecQ-age: the role of human RecQ helicases in genome maintenance","title-short":"Rising from the RecQ-age","volume":"33","author":[{"family":"Bohr","given":"Vilhelm A."}],"issued":{"date-parts":[["2008",12]]}}},{"id":1088,"uris":["http://zotero.org/users/2484452/items/FIP2DHLN"],"uri":["http://zotero.org/users/2484452/items/FIP2DHLN"],"itemData":{"id":1088,"type":"article-journal","abstract":"Around 1% of the open reading frames in the human genome encode predicted DNA and RNA helicases. One highly conserved group of DNA helicases is the RecQ family. Genetic defects in three of the five human RecQ helicases, BLM, WRN and RECQ4, give rise to defined syndromes associated with cancer predisposition, some features of premature ageing and chromosomal instability. In recent years, there has been a tremendous advance in our understanding of the cellular functions of individual RecQ helicases. In this Review, we discuss how these proteins might suppress genomic rearrangements, and therefore function as 'caretaker' tumour suppressors.","container-title":"Nature Reviews. Cancer","DOI":"10.1038/nrc2682","ISSN":"1474-1768","issue":"9","journalAbbreviation":"Nat. Rev. Cancer","language":"eng","note":"PMID: 19657341","page":"644-654","source":"PubMed","title":"RecQ helicases: multifunctional genome caretakers","title-short":"RecQ helicases","volume":"9","author":[{"family":"Chu","given":"Wai Kit"},{"family":"Hickson","given":"Ian D."}],"issued":{"date-parts":[["2009",9]]}}}],"schema":"https://github.com/citation-style-language/schema/raw/master/csl-citation.json"} </w:instrText>
      </w:r>
      <w:r w:rsidR="0073433A" w:rsidRPr="003A5293">
        <w:rPr>
          <w:rFonts w:ascii="Arial" w:hAnsi="Arial" w:cs="Arial"/>
          <w:sz w:val="22"/>
          <w:szCs w:val="22"/>
          <w:lang w:val="en-US"/>
        </w:rPr>
        <w:fldChar w:fldCharType="separate"/>
      </w:r>
      <w:r w:rsidR="0073433A" w:rsidRPr="003A5293">
        <w:rPr>
          <w:rFonts w:ascii="Arial" w:hAnsi="Arial" w:cs="Arial"/>
          <w:noProof/>
          <w:sz w:val="22"/>
          <w:szCs w:val="22"/>
          <w:lang w:val="en-US"/>
        </w:rPr>
        <w:t>(Bohr, 2008; Chu and Hickson, 2009)</w:t>
      </w:r>
      <w:r w:rsidR="0073433A" w:rsidRPr="003A5293">
        <w:rPr>
          <w:rFonts w:ascii="Arial" w:hAnsi="Arial" w:cs="Arial"/>
          <w:sz w:val="22"/>
          <w:szCs w:val="22"/>
          <w:lang w:val="en-US"/>
        </w:rPr>
        <w:fldChar w:fldCharType="end"/>
      </w:r>
      <w:r w:rsidR="0073433A" w:rsidRPr="003A5293">
        <w:rPr>
          <w:rFonts w:ascii="Arial" w:hAnsi="Arial" w:cs="Arial"/>
          <w:sz w:val="22"/>
          <w:szCs w:val="22"/>
          <w:lang w:val="en-US"/>
        </w:rPr>
        <w:t xml:space="preserve">, having important roles in stabilizing replication forks and safeguarding the intersection between DNA replication and transcription </w:t>
      </w:r>
      <w:r w:rsidR="0073433A" w:rsidRPr="003A5293">
        <w:rPr>
          <w:rFonts w:ascii="Arial" w:hAnsi="Arial" w:cs="Arial"/>
          <w:sz w:val="22"/>
          <w:szCs w:val="22"/>
          <w:lang w:val="en-US"/>
        </w:rPr>
        <w:fldChar w:fldCharType="begin"/>
      </w:r>
      <w:r w:rsidR="0073433A" w:rsidRPr="003A5293">
        <w:rPr>
          <w:rFonts w:ascii="Arial" w:hAnsi="Arial" w:cs="Arial"/>
          <w:sz w:val="22"/>
          <w:szCs w:val="22"/>
          <w:lang w:val="en-US"/>
        </w:rPr>
        <w:instrText xml:space="preserve"> ADDIN ZOTERO_ITEM CSL_CITATION {"citationID":"HyK17zXD","properties":{"formattedCitation":"(Popuri et al., 2013)","plainCitation":"(Popuri et al., 2013)","noteIndex":0},"citationItems":[{"id":1091,"uris":["http://zotero.org/users/2484452/items/67JV83BI"],"uri":["http://zotero.org/users/2484452/items/67JV83BI"],"itemData":{"id":1091,"type":"article-journal","abstract":"DNA helicases are ubiquitous enzymes that catalyze unwinding of duplex DNA and function in all metabolic processes in which access to single-stranded DNA is required, including DNA replication, repair, recombination and RNA transcription. RecQ helicases are a conserved family of DNA helicases that display highly specialized and vital roles in the maintenance of genome stability. Mutations in three of the five human RecQ helicases, BLM, WRN and RECQL4 are associated with the genetic disorders Bloom syndrome, Werner syndrome and Rothmund-Thomson syndrome that are characterized by chromosomal instability, premature aging and predisposition to cancer. The biological role of human RECQL5 is only partially understood and RECQL5 has not yet been associated with any human disease. Illegitimate recombination and replication stress are hallmarks of human cancers and common instigators for genomic instability and cell death. Recql5 knockout mice are cancer prone and show increased chromosomal instability. Recql5-deficient mouse embryonic fibroblasts are sensitive to camptothecin and display elevated levels of sister chromatid exchanges. Unlike other human RecQ helicases, RECQL5 is recruited to single-stranded DNA breaks and is also proposed to play an essential role in RNA transcription. Here, we review the established roles of RECQL5 at the cross roads of DNA replication, recombination and transcription, and propose that human RECQL5 provides important backup functions in the absence of other DNA helicases.","container-title":"Critical reviews in biochemistry and molecular biology","DOI":"10.3109/10409238.2013.792770","ISSN":"1040-9238","issue":"3","journalAbbreviation":"Crit Rev Biochem Mol Biol","note":"PMID: 23627586\nPMCID: PMC4563991","page":"289-299","source":"PubMed Central","title":"Human RECQL5: Guarding the crossroads of DNA replication and transcription and providing backup capability","title-short":"Human RECQL5","volume":"48","author":[{"family":"Popuri","given":"Venkateswarlu"},{"family":"Tadokoro","given":"Takashi"},{"family":"Croteau","given":"Deborah L."},{"family":"Bohr","given":"Vilhelm A."}],"issued":{"date-parts":[["2013"]]}}}],"schema":"https://github.com/citation-style-language/schema/raw/master/csl-citation.json"} </w:instrText>
      </w:r>
      <w:r w:rsidR="0073433A" w:rsidRPr="003A5293">
        <w:rPr>
          <w:rFonts w:ascii="Arial" w:hAnsi="Arial" w:cs="Arial"/>
          <w:sz w:val="22"/>
          <w:szCs w:val="22"/>
          <w:lang w:val="en-US"/>
        </w:rPr>
        <w:fldChar w:fldCharType="separate"/>
      </w:r>
      <w:r w:rsidR="0073433A" w:rsidRPr="003A5293">
        <w:rPr>
          <w:rFonts w:ascii="Arial" w:hAnsi="Arial" w:cs="Arial"/>
          <w:noProof/>
          <w:sz w:val="22"/>
          <w:szCs w:val="22"/>
          <w:lang w:val="en-US"/>
        </w:rPr>
        <w:t>(Popuri et al., 2013)</w:t>
      </w:r>
      <w:r w:rsidR="0073433A" w:rsidRPr="003A5293">
        <w:rPr>
          <w:rFonts w:ascii="Arial" w:hAnsi="Arial" w:cs="Arial"/>
          <w:sz w:val="22"/>
          <w:szCs w:val="22"/>
          <w:lang w:val="en-US"/>
        </w:rPr>
        <w:fldChar w:fldCharType="end"/>
      </w:r>
      <w:r w:rsidR="0073433A" w:rsidRPr="003A5293">
        <w:rPr>
          <w:rFonts w:ascii="Arial" w:hAnsi="Arial" w:cs="Arial"/>
          <w:sz w:val="22"/>
          <w:szCs w:val="22"/>
          <w:lang w:val="en-US"/>
        </w:rPr>
        <w:t xml:space="preserve">. </w:t>
      </w:r>
      <w:r w:rsidR="00EC48CF">
        <w:rPr>
          <w:rFonts w:ascii="Arial" w:hAnsi="Arial" w:cs="Arial"/>
          <w:sz w:val="22"/>
          <w:szCs w:val="22"/>
          <w:lang w:val="en-US"/>
        </w:rPr>
        <w:t>Therefore, s</w:t>
      </w:r>
      <w:r w:rsidR="00724852">
        <w:rPr>
          <w:rFonts w:ascii="Arial" w:hAnsi="Arial" w:cs="Arial"/>
          <w:sz w:val="22"/>
          <w:szCs w:val="22"/>
          <w:lang w:val="en-US"/>
        </w:rPr>
        <w:t>tudies</w:t>
      </w:r>
      <w:r w:rsidR="006F46C6">
        <w:rPr>
          <w:rFonts w:ascii="Arial" w:hAnsi="Arial" w:cs="Arial"/>
          <w:sz w:val="22"/>
          <w:szCs w:val="22"/>
          <w:lang w:val="en-US"/>
        </w:rPr>
        <w:t xml:space="preserve"> (including our own)</w:t>
      </w:r>
      <w:r w:rsidR="00724852">
        <w:rPr>
          <w:rFonts w:ascii="Arial" w:hAnsi="Arial" w:cs="Arial"/>
          <w:sz w:val="22"/>
          <w:szCs w:val="22"/>
          <w:lang w:val="en-US"/>
        </w:rPr>
        <w:t xml:space="preserve"> of p</w:t>
      </w:r>
      <w:r w:rsidR="00724852" w:rsidRPr="003A5293">
        <w:rPr>
          <w:rFonts w:ascii="Arial" w:hAnsi="Arial" w:cs="Arial"/>
          <w:sz w:val="22"/>
          <w:szCs w:val="22"/>
          <w:lang w:val="en-US"/>
        </w:rPr>
        <w:t xml:space="preserve">henomena </w:t>
      </w:r>
      <w:r w:rsidR="006F46C6">
        <w:rPr>
          <w:rFonts w:ascii="Arial" w:hAnsi="Arial" w:cs="Arial"/>
          <w:sz w:val="22"/>
          <w:szCs w:val="22"/>
          <w:lang w:val="en-US"/>
        </w:rPr>
        <w:t xml:space="preserve">that have been </w:t>
      </w:r>
      <w:r w:rsidR="0073433A" w:rsidRPr="003A5293">
        <w:rPr>
          <w:rFonts w:ascii="Arial" w:hAnsi="Arial" w:cs="Arial"/>
          <w:sz w:val="22"/>
          <w:szCs w:val="22"/>
          <w:lang w:val="en-US"/>
        </w:rPr>
        <w:t xml:space="preserve">of high importance for decades, chronic proliferation under oncogenic pressure, </w:t>
      </w:r>
      <w:r w:rsidR="006F46C6">
        <w:rPr>
          <w:rFonts w:ascii="Arial" w:hAnsi="Arial" w:cs="Arial"/>
          <w:sz w:val="22"/>
          <w:szCs w:val="22"/>
          <w:lang w:val="en-US"/>
        </w:rPr>
        <w:t xml:space="preserve">have </w:t>
      </w:r>
      <w:r w:rsidR="00724852">
        <w:rPr>
          <w:rFonts w:ascii="Arial" w:hAnsi="Arial" w:cs="Arial"/>
          <w:sz w:val="22"/>
          <w:szCs w:val="22"/>
          <w:lang w:val="en-US"/>
        </w:rPr>
        <w:t xml:space="preserve">led to the </w:t>
      </w:r>
      <w:r w:rsidR="0073433A" w:rsidRPr="003A5293">
        <w:rPr>
          <w:rFonts w:ascii="Arial" w:hAnsi="Arial" w:cs="Arial"/>
          <w:sz w:val="22"/>
          <w:szCs w:val="22"/>
          <w:lang w:val="en-US"/>
        </w:rPr>
        <w:t>identif</w:t>
      </w:r>
      <w:r w:rsidR="00724852">
        <w:rPr>
          <w:rFonts w:ascii="Arial" w:hAnsi="Arial" w:cs="Arial"/>
          <w:sz w:val="22"/>
          <w:szCs w:val="22"/>
          <w:lang w:val="en-US"/>
        </w:rPr>
        <w:t>ication of</w:t>
      </w:r>
      <w:r w:rsidR="0073433A" w:rsidRPr="003A5293">
        <w:rPr>
          <w:rFonts w:ascii="Arial" w:hAnsi="Arial" w:cs="Arial"/>
          <w:sz w:val="22"/>
          <w:szCs w:val="22"/>
          <w:lang w:val="en-US"/>
        </w:rPr>
        <w:t xml:space="preserve"> possible mechanism</w:t>
      </w:r>
      <w:r w:rsidR="006F46C6" w:rsidRPr="006F46C6">
        <w:rPr>
          <w:rFonts w:ascii="Arial" w:hAnsi="Arial" w:cs="Arial"/>
          <w:sz w:val="22"/>
          <w:szCs w:val="22"/>
          <w:lang w:val="en-US"/>
        </w:rPr>
        <w:t>s</w:t>
      </w:r>
      <w:r w:rsidR="0073433A" w:rsidRPr="003A5293">
        <w:rPr>
          <w:rFonts w:ascii="Arial" w:hAnsi="Arial" w:cs="Arial"/>
          <w:sz w:val="22"/>
          <w:szCs w:val="22"/>
          <w:lang w:val="en-US"/>
        </w:rPr>
        <w:t xml:space="preserve"> </w:t>
      </w:r>
      <w:r w:rsidR="00724852">
        <w:rPr>
          <w:rFonts w:ascii="Arial" w:hAnsi="Arial" w:cs="Arial"/>
          <w:sz w:val="22"/>
          <w:szCs w:val="22"/>
          <w:lang w:val="en-US"/>
        </w:rPr>
        <w:t>that</w:t>
      </w:r>
      <w:r w:rsidR="00724852" w:rsidRPr="003A5293">
        <w:rPr>
          <w:rFonts w:ascii="Arial" w:hAnsi="Arial" w:cs="Arial"/>
          <w:sz w:val="22"/>
          <w:szCs w:val="22"/>
          <w:lang w:val="en-US"/>
        </w:rPr>
        <w:t xml:space="preserve"> </w:t>
      </w:r>
      <w:r w:rsidR="0073433A" w:rsidRPr="003A5293">
        <w:rPr>
          <w:rFonts w:ascii="Arial" w:hAnsi="Arial" w:cs="Arial"/>
          <w:sz w:val="22"/>
          <w:szCs w:val="22"/>
          <w:lang w:val="en-US"/>
        </w:rPr>
        <w:t xml:space="preserve">act as a suppressor of genomic instability in PV. </w:t>
      </w:r>
      <w:r w:rsidR="00B63E92" w:rsidRPr="003A5293">
        <w:rPr>
          <w:rFonts w:ascii="Arial" w:hAnsi="Arial" w:cs="Arial"/>
          <w:sz w:val="22"/>
          <w:szCs w:val="22"/>
          <w:lang w:val="en-US"/>
        </w:rPr>
        <w:t>Thus, compared to early leukemogenesis</w:t>
      </w:r>
      <w:r w:rsidR="006F46C6">
        <w:rPr>
          <w:rFonts w:ascii="Arial" w:hAnsi="Arial" w:cs="Arial"/>
          <w:sz w:val="22"/>
          <w:szCs w:val="22"/>
          <w:lang w:val="en-US"/>
        </w:rPr>
        <w:t>,</w:t>
      </w:r>
      <w:r w:rsidR="00B63E92" w:rsidRPr="003A5293">
        <w:rPr>
          <w:rFonts w:ascii="Arial" w:hAnsi="Arial" w:cs="Arial"/>
          <w:sz w:val="22"/>
          <w:szCs w:val="22"/>
          <w:lang w:val="en-US"/>
        </w:rPr>
        <w:t xml:space="preserve"> the disease evolutionary trade-off between bypassing DNA damage-checkpoint blockade and loss of genome stability maintenance is largely avoided in PV</w:t>
      </w:r>
      <w:r w:rsidR="00FA40AF" w:rsidRPr="003A5293">
        <w:rPr>
          <w:rFonts w:ascii="Arial" w:hAnsi="Arial" w:cs="Arial"/>
          <w:sz w:val="22"/>
          <w:szCs w:val="22"/>
          <w:lang w:val="en-US"/>
        </w:rPr>
        <w:t>.</w:t>
      </w:r>
    </w:p>
    <w:p w14:paraId="16243BA5" w14:textId="5BDD3801" w:rsidR="008D5700" w:rsidRPr="003A5293" w:rsidRDefault="00787044" w:rsidP="00787044">
      <w:pPr>
        <w:pStyle w:val="Formatvorlage1"/>
        <w:rPr>
          <w:rFonts w:cs="Arial"/>
        </w:rPr>
      </w:pPr>
      <w:bookmarkStart w:id="8" w:name="_Toc57582483"/>
      <w:r w:rsidRPr="003A5293">
        <w:rPr>
          <w:rFonts w:cs="Arial"/>
        </w:rPr>
        <w:t>1.2.</w:t>
      </w:r>
      <w:r w:rsidR="00BC7661" w:rsidRPr="003A5293">
        <w:rPr>
          <w:rFonts w:cs="Arial"/>
        </w:rPr>
        <w:t>2</w:t>
      </w:r>
      <w:r w:rsidRPr="003A5293">
        <w:rPr>
          <w:rFonts w:cs="Arial"/>
        </w:rPr>
        <w:t xml:space="preserve"> </w:t>
      </w:r>
      <w:r w:rsidR="008D5700" w:rsidRPr="003A5293">
        <w:rPr>
          <w:rFonts w:cs="Arial"/>
        </w:rPr>
        <w:t>Inflammation signaling and oxidative stress in PV</w:t>
      </w:r>
      <w:bookmarkEnd w:id="8"/>
    </w:p>
    <w:p w14:paraId="0710D3A8" w14:textId="77777777" w:rsidR="00FA40AF" w:rsidRPr="003A5293" w:rsidRDefault="00FA40AF" w:rsidP="00FA40AF">
      <w:pPr>
        <w:spacing w:line="360" w:lineRule="auto"/>
        <w:ind w:firstLine="708"/>
        <w:jc w:val="both"/>
        <w:rPr>
          <w:rFonts w:ascii="Arial" w:hAnsi="Arial" w:cs="Arial"/>
          <w:sz w:val="22"/>
          <w:szCs w:val="22"/>
          <w:lang w:val="en-US"/>
        </w:rPr>
      </w:pPr>
    </w:p>
    <w:p w14:paraId="2B9475AD" w14:textId="2B8EBC7F" w:rsidR="00787044" w:rsidRPr="006F5ABC" w:rsidRDefault="00FA40AF" w:rsidP="00FA40AF">
      <w:pPr>
        <w:spacing w:line="360" w:lineRule="auto"/>
        <w:ind w:firstLine="708"/>
        <w:jc w:val="both"/>
        <w:rPr>
          <w:rFonts w:ascii="Arial" w:hAnsi="Arial" w:cs="Arial"/>
          <w:sz w:val="22"/>
          <w:szCs w:val="22"/>
          <w:lang w:val="en-US"/>
        </w:rPr>
      </w:pPr>
      <w:r w:rsidRPr="006F5ABC">
        <w:rPr>
          <w:rFonts w:ascii="Arial" w:hAnsi="Arial" w:cs="Arial"/>
          <w:sz w:val="22"/>
          <w:szCs w:val="22"/>
          <w:lang w:val="en-US"/>
        </w:rPr>
        <w:t>Mouse model-based studies proved to be important tool for functional analysis of progressively remodeled BM microenvironment in PV, which suggested development o</w:t>
      </w:r>
      <w:r w:rsidR="0094613D" w:rsidRPr="006F5ABC">
        <w:rPr>
          <w:rFonts w:ascii="Arial" w:hAnsi="Arial" w:cs="Arial"/>
          <w:sz w:val="22"/>
          <w:szCs w:val="22"/>
          <w:lang w:val="en-US"/>
        </w:rPr>
        <w:t>f</w:t>
      </w:r>
      <w:r w:rsidRPr="006F5ABC">
        <w:rPr>
          <w:rFonts w:ascii="Arial" w:hAnsi="Arial" w:cs="Arial"/>
          <w:sz w:val="22"/>
          <w:szCs w:val="22"/>
          <w:lang w:val="en-US"/>
        </w:rPr>
        <w:t xml:space="preserve"> systemic inflammation and inflammation-mediated neuropathy of hematopoietic stem cell niche </w:t>
      </w:r>
      <w:r w:rsidRPr="006F5ABC">
        <w:rPr>
          <w:rFonts w:ascii="Arial" w:hAnsi="Arial" w:cs="Arial"/>
          <w:sz w:val="22"/>
          <w:szCs w:val="22"/>
          <w:lang w:val="en-US"/>
        </w:rPr>
        <w:fldChar w:fldCharType="begin"/>
      </w:r>
      <w:r w:rsidRPr="006F5ABC">
        <w:rPr>
          <w:rFonts w:ascii="Arial" w:hAnsi="Arial" w:cs="Arial"/>
          <w:sz w:val="22"/>
          <w:szCs w:val="22"/>
          <w:lang w:val="en-US"/>
        </w:rPr>
        <w:instrText xml:space="preserve"> ADDIN ZOTERO_ITEM CSL_CITATION {"citationID":"0Zx1brRG","properties":{"formattedCitation":"(Arranz et al., 2014)","plainCitation":"(Arranz et al., 2014)","noteIndex":0},"citationItems":[{"id":818,"uris":["http://zotero.org/users/2484452/items/WPZ46U3M"],"uri":["http://zotero.org/users/2484452/items/WPZ46U3M"],"itemData":{"id":818,"type":"article-journal","abstract":"Myeloproliferative neoplasms (MPNs) are diseases caused by mutations in the haematopoietic stem cell (HSC) compartment. Most MPN patients have a common acquired mutation of Janus kinase 2 (JAK2) gene in HSCs that renders this kinase constitutively active, leading to uncontrolled cell expansion. The bone marrow microenvironment might contribute to the clinical outcomes of this common event. We previously showed that bone marrow nestin(+) mesenchymal stem cells (MSCs) innervated by sympathetic nerve fibres regulate normal HSCs. Here we demonstrate that abrogation of this regulatory circuit is essential for MPN pathogenesis. Sympathetic nerve fibres, supporting Schwann cells and nestin(+) MSCs are consistently reduced in the bone marrow of MPN patients and mice expressing the human JAK2(V617F) mutation in HSCs. Unexpectedly, MSC reduction is not due to differentiation but is caused by bone marrow neural damage and Schwann cell death triggered by interleukin-1β produced by mutant HSCs. In turn, in vivo depletion of nestin(+) cells or their production of CXCL12 expanded mutant HSC number and accelerated MPN progression. In contrast, administration of neuroprotective or sympathomimetic drugs prevented mutant HSC expansion. Treatment with β3-adrenergic agonists that restored the sympathetic regulation of nestin(+) MSCs prevented the loss of these cells and blocked MPN progression by indirectly reducing the number of leukaemic stem cells. Our results demonstrate that mutant-HSC-driven niche damage critically contributes to disease manifestation in MPN and identify niche-forming MSCs and their neural regulation as promising therapeutic targets.","container-title":"Nature","DOI":"10.1038/nature13383","ISSN":"1476-4687","issue":"7512","journalAbbreviation":"Nature","language":"eng","note":"PMID: 25043017","page":"78-81","source":"PubMed","title":"Neuropathy of haematopoietic stem cell niche is essential for myeloproliferative neoplasms","volume":"512","author":[{"family":"Arranz","given":"Lorena"},{"family":"Sánchez-Aguilera","given":"Abel"},{"family":"Martín-Pérez","given":"Daniel"},{"family":"Isern","given":"Joan"},{"family":"Langa","given":"Xavier"},{"family":"Tzankov","given":"Alexandar"},{"family":"Lundberg","given":"Pontus"},{"family":"Muntión","given":"Sandra"},{"family":"Tzeng","given":"Yi-Shiuan"},{"family":"Lai","given":"Dar-Ming"},{"family":"Schwaller","given":"Jürg"},{"family":"Skoda","given":"Radek C."},{"family":"Méndez-Ferrer","given":"Simón"}],"issued":{"date-parts":[["2014",8,7]]}}}],"schema":"https://github.com/citation-style-language/schema/raw/master/csl-citation.json"} </w:instrText>
      </w:r>
      <w:r w:rsidRPr="006F5ABC">
        <w:rPr>
          <w:rFonts w:ascii="Arial" w:hAnsi="Arial" w:cs="Arial"/>
          <w:sz w:val="22"/>
          <w:szCs w:val="22"/>
          <w:lang w:val="en-US"/>
        </w:rPr>
        <w:fldChar w:fldCharType="separate"/>
      </w:r>
      <w:r w:rsidRPr="006F5ABC">
        <w:rPr>
          <w:rFonts w:ascii="Arial" w:hAnsi="Arial" w:cs="Arial"/>
          <w:noProof/>
          <w:sz w:val="22"/>
          <w:szCs w:val="22"/>
          <w:lang w:val="en-US"/>
        </w:rPr>
        <w:t>(Arranz et al., 2014)</w:t>
      </w:r>
      <w:r w:rsidRPr="006F5ABC">
        <w:rPr>
          <w:rFonts w:ascii="Arial" w:hAnsi="Arial" w:cs="Arial"/>
          <w:sz w:val="22"/>
          <w:szCs w:val="22"/>
          <w:lang w:val="en-US"/>
        </w:rPr>
        <w:fldChar w:fldCharType="end"/>
      </w:r>
      <w:r w:rsidRPr="006F5ABC">
        <w:rPr>
          <w:rFonts w:ascii="Arial" w:hAnsi="Arial" w:cs="Arial"/>
          <w:sz w:val="22"/>
          <w:szCs w:val="22"/>
          <w:lang w:val="en-US"/>
        </w:rPr>
        <w:t xml:space="preserve">, with leukemic-like microenvironment transformation that impairs normal hematopoiesis and contributes to development of BM fibrosis </w:t>
      </w:r>
      <w:r w:rsidRPr="006F5ABC">
        <w:rPr>
          <w:rFonts w:ascii="Arial" w:hAnsi="Arial" w:cs="Arial"/>
          <w:sz w:val="22"/>
          <w:szCs w:val="22"/>
          <w:lang w:val="en-US"/>
        </w:rPr>
        <w:fldChar w:fldCharType="begin"/>
      </w:r>
      <w:r w:rsidRPr="006F5ABC">
        <w:rPr>
          <w:rFonts w:ascii="Arial" w:hAnsi="Arial" w:cs="Arial"/>
          <w:sz w:val="22"/>
          <w:szCs w:val="22"/>
          <w:lang w:val="en-US"/>
        </w:rPr>
        <w:instrText xml:space="preserve"> ADDIN ZOTERO_ITEM CSL_CITATION {"citationID":"TyyLwqvL","properties":{"formattedCitation":"(Schepers et al., 2013)","plainCitation":"(Schepers et al., 2013)","noteIndex":0},"citationItems":[{"id":98,"uris":["http://zotero.org/users/2484452/items/SAUAI5PQ"],"uri":["http://zotero.org/users/2484452/items/SAUAI5PQ"],"itemData":{"id":98,"type":"article-journal","abstract":"Multipotent stromal cells (MSCs) and their osteoblastic lineage cell (OBC) derivatives are part of the bone marrow (BM) niche and contribute to hematopoietic stem cell (HSC) maintenance. Here, we show that myeloproliferative neoplasia (MPN) progressively remodels the endosteal BM niche into a self-reinforcing leukemic niche that impairs normal hematopoiesis, favors leukemic stem cell (LSC) function, and contributes to BM fibrosis. We show that leukemic myeloid cells stimulate MSCs to overproduce functionally altered OBCs, which accumulate in the BM cavity as inflammatory myelofibrotic cells. We identify roles for thrombopoietin, CCL3, and direct cell-cell interactions in driving OBC expansion, and for changes in TGF-β, Notch, and inflammatory signaling in OBC remodeling. MPN-expanded OBCs, in turn, exhibit decreased expression of many HSC retention factors and severely compromised ability to maintain normal HSCs, but effectively support LSCs. Targeting this pathological interplay could represent a novel avenue for treatment of MPN-affected patients and prevention of myelofibrosis.","container-title":"Cell Stem Cell","DOI":"10.1016/j.stem.2013.06.009","ISSN":"1875-9777","issue":"3","journalAbbreviation":"Cell Stem Cell","language":"eng","note":"PMID: 23850243\nPMCID: PMC3769504","page":"285-299","source":"PubMed","title":"Myeloproliferative neoplasia remodels the endosteal bone marrow niche into a self-reinforcing leukemic niche","volume":"13","author":[{"family":"Schepers","given":"Koen"},{"family":"Pietras","given":"Eric M."},{"family":"Reynaud","given":"Damien"},{"family":"Flach","given":"Johanna"},{"family":"Binnewies","given":"Mikhail"},{"family":"Garg","given":"Trit"},{"family":"Wagers","given":"Amy J."},{"family":"Hsiao","given":"Edward C."},{"family":"Passegué","given":"Emmanuelle"}],"issued":{"date-parts":[["2013",9,5]]}}}],"schema":"https://github.com/citation-style-language/schema/raw/master/csl-citation.json"} </w:instrText>
      </w:r>
      <w:r w:rsidRPr="006F5ABC">
        <w:rPr>
          <w:rFonts w:ascii="Arial" w:hAnsi="Arial" w:cs="Arial"/>
          <w:sz w:val="22"/>
          <w:szCs w:val="22"/>
          <w:lang w:val="en-US"/>
        </w:rPr>
        <w:fldChar w:fldCharType="separate"/>
      </w:r>
      <w:r w:rsidRPr="006F5ABC">
        <w:rPr>
          <w:rFonts w:ascii="Arial" w:hAnsi="Arial" w:cs="Arial"/>
          <w:noProof/>
          <w:sz w:val="22"/>
          <w:szCs w:val="22"/>
          <w:lang w:val="en-US"/>
        </w:rPr>
        <w:t xml:space="preserve">(Schepers </w:t>
      </w:r>
      <w:r w:rsidRPr="006F5ABC">
        <w:rPr>
          <w:rFonts w:ascii="Arial" w:hAnsi="Arial" w:cs="Arial"/>
          <w:noProof/>
          <w:sz w:val="22"/>
          <w:szCs w:val="22"/>
          <w:lang w:val="en-US"/>
        </w:rPr>
        <w:lastRenderedPageBreak/>
        <w:t>et al., 2013)</w:t>
      </w:r>
      <w:r w:rsidRPr="006F5ABC">
        <w:rPr>
          <w:rFonts w:ascii="Arial" w:hAnsi="Arial" w:cs="Arial"/>
          <w:sz w:val="22"/>
          <w:szCs w:val="22"/>
          <w:lang w:val="en-US"/>
        </w:rPr>
        <w:fldChar w:fldCharType="end"/>
      </w:r>
      <w:r w:rsidRPr="006F5ABC">
        <w:rPr>
          <w:rFonts w:ascii="Arial" w:hAnsi="Arial" w:cs="Arial"/>
          <w:sz w:val="22"/>
          <w:szCs w:val="22"/>
          <w:lang w:val="en-US"/>
        </w:rPr>
        <w:t>.</w:t>
      </w:r>
      <w:r w:rsidR="0094613D" w:rsidRPr="006F5ABC">
        <w:rPr>
          <w:rFonts w:ascii="Arial" w:hAnsi="Arial" w:cs="Arial"/>
          <w:sz w:val="22"/>
          <w:szCs w:val="22"/>
          <w:lang w:val="en-US"/>
        </w:rPr>
        <w:t xml:space="preserve"> Retrospective cohorts of MPN patients clearly confirmed observation from mouse models having plethora of pro-inflammatory cytokines and chemokines </w:t>
      </w:r>
      <w:r w:rsidR="000835AC" w:rsidRPr="006F5ABC">
        <w:rPr>
          <w:rFonts w:ascii="Arial" w:hAnsi="Arial" w:cs="Arial"/>
          <w:sz w:val="22"/>
          <w:szCs w:val="22"/>
          <w:lang w:val="en-US"/>
        </w:rPr>
        <w:t xml:space="preserve">gradually </w:t>
      </w:r>
      <w:r w:rsidR="0094613D" w:rsidRPr="006F5ABC">
        <w:rPr>
          <w:rFonts w:ascii="Arial" w:hAnsi="Arial" w:cs="Arial"/>
          <w:sz w:val="22"/>
          <w:szCs w:val="22"/>
          <w:lang w:val="en-US"/>
        </w:rPr>
        <w:t xml:space="preserve">increased </w:t>
      </w:r>
      <w:r w:rsidR="00460427" w:rsidRPr="006F5ABC">
        <w:rPr>
          <w:rFonts w:ascii="Arial" w:hAnsi="Arial" w:cs="Arial"/>
          <w:sz w:val="22"/>
          <w:szCs w:val="22"/>
          <w:lang w:val="en-US"/>
        </w:rPr>
        <w:t xml:space="preserve">over disease development </w:t>
      </w:r>
      <w:r w:rsidR="0094613D" w:rsidRPr="006F5ABC">
        <w:rPr>
          <w:rFonts w:ascii="Arial" w:hAnsi="Arial" w:cs="Arial"/>
          <w:sz w:val="22"/>
          <w:szCs w:val="22"/>
          <w:lang w:val="en-US"/>
        </w:rPr>
        <w:t>in plasma profiles</w:t>
      </w:r>
      <w:r w:rsidR="000835AC" w:rsidRPr="006F5ABC">
        <w:rPr>
          <w:rFonts w:ascii="Arial" w:hAnsi="Arial" w:cs="Arial"/>
          <w:sz w:val="22"/>
          <w:szCs w:val="22"/>
          <w:lang w:val="en-US"/>
        </w:rPr>
        <w:t xml:space="preserve"> and BM niche</w:t>
      </w:r>
      <w:r w:rsidR="0094613D" w:rsidRPr="006F5ABC">
        <w:rPr>
          <w:rFonts w:ascii="Arial" w:hAnsi="Arial" w:cs="Arial"/>
          <w:sz w:val="22"/>
          <w:szCs w:val="22"/>
          <w:lang w:val="en-US"/>
        </w:rPr>
        <w:t>, including among others IL-1, IL-6, IL-8, Interferons type I and II, TNF</w:t>
      </w:r>
      <w:r w:rsidR="0094613D" w:rsidRPr="006F5ABC">
        <w:rPr>
          <w:rFonts w:ascii="Arial" w:hAnsi="Arial" w:cs="Arial"/>
          <w:sz w:val="22"/>
          <w:szCs w:val="22"/>
          <w:lang w:val="en-US"/>
        </w:rPr>
        <w:sym w:font="Symbol" w:char="F061"/>
      </w:r>
      <w:r w:rsidR="0094613D" w:rsidRPr="006F5ABC">
        <w:rPr>
          <w:rFonts w:ascii="Arial" w:hAnsi="Arial" w:cs="Arial"/>
          <w:sz w:val="22"/>
          <w:szCs w:val="22"/>
          <w:lang w:val="en-US"/>
        </w:rPr>
        <w:t xml:space="preserve"> and TGF</w:t>
      </w:r>
      <w:r w:rsidR="0094613D" w:rsidRPr="006F5ABC">
        <w:rPr>
          <w:rFonts w:ascii="Arial" w:hAnsi="Arial" w:cs="Arial"/>
          <w:sz w:val="22"/>
          <w:szCs w:val="22"/>
          <w:lang w:val="en-US"/>
        </w:rPr>
        <w:sym w:font="Symbol" w:char="F062"/>
      </w:r>
      <w:r w:rsidR="0094613D" w:rsidRPr="006F5ABC">
        <w:rPr>
          <w:rFonts w:ascii="Arial" w:hAnsi="Arial" w:cs="Arial"/>
          <w:sz w:val="22"/>
          <w:szCs w:val="22"/>
          <w:lang w:val="en-US"/>
        </w:rPr>
        <w:t xml:space="preserve">1 and on the other hand deregulated levels of anti-inflammatory cytokines, like IL-4 and IL-10 </w:t>
      </w:r>
      <w:r w:rsidR="0094613D" w:rsidRPr="006F5ABC">
        <w:rPr>
          <w:rFonts w:ascii="Arial" w:hAnsi="Arial" w:cs="Arial"/>
          <w:sz w:val="22"/>
          <w:szCs w:val="22"/>
          <w:lang w:val="en-US"/>
        </w:rPr>
        <w:fldChar w:fldCharType="begin"/>
      </w:r>
      <w:r w:rsidR="000835AC" w:rsidRPr="006F5ABC">
        <w:rPr>
          <w:rFonts w:ascii="Arial" w:hAnsi="Arial" w:cs="Arial"/>
          <w:sz w:val="22"/>
          <w:szCs w:val="22"/>
          <w:lang w:val="en-US"/>
        </w:rPr>
        <w:instrText xml:space="preserve"> ADDIN ZOTERO_ITEM CSL_CITATION {"citationID":"PCZcsJ75","properties":{"formattedCitation":"(Hasselbalch et al., 2015; Pourcelot et al., 2014; Tefferi et al., 2011; Vaidya et al., 2012)","plainCitation":"(Hasselbalch et al., 2015; Pourcelot et al., 2014; Tefferi et al., 2011; Vaidya et al., 2012)","noteIndex":0},"citationItems":[{"id":19,"uris":["http://zotero.org/users/2484452/items/X7HM8NQB"],"uri":["http://zotero.org/users/2484452/items/X7HM8NQB"],"itemData":{"id":19,"type":"article-journal","abstract":"In recent years the evidence is increasing that chronic inflammation may be an important driving force for clonal evolution and disease progression in the Philadelphia-negative myeloproliferative neoplasms (MPNs), essential thrombocythemia (ET), polycythemia vera (PV), and myelofibrosis (MF). Abnormal expression and activity of a number of proinflammatory cytokines are associated with MPNs, in particular MF, in which immune dysregulation is pronounced as evidenced by dysregulation of several immune and inflammation genes. In addition, chronic inflammation has been suggested to contribute to the development of premature atherosclerosis and may drive the development of other cancers in MPNs, both nonhematologic and hematologic. The MPN population has a substantial inflammation-mediated comorbidity burden. This review describes the evidence for considering the MPNs as inflammatory diseases, A Human Inflammation Model of Cancer Development, and the role of cytokines in disease initiation and progression. The consequences of this model are discussed, including the increased risk of second cancers and other inflammation-mediated diseases, emphasizing the urgent need for rethinking our therapeutic approach. Early intervention with interferon-alpha2, which as monotherapy has been shown to be able to induce minimal residual disease, in combination with potent anti-inflammatory agents such as JAK-inhibitors is foreseen as the most promising new treatment modality in the years to come.","container-title":"Mediators of Inflammation","DOI":"10.1155/2015/102476","ISSN":"0962-9351","language":"en","page":"e102476","source":"www.hindawi.com","title":"MPNs as Inflammatory Diseases: The Evidence, Consequences, and Perspectives","title-short":"MPNs as Inflammatory Diseases","volume":"2015","author":[{"family":"Hasselbalch","given":"Hans Carl"},{"family":"Bjørn","given":""},{"family":"Rn","given":"Mads Emil"}],"issued":{"date-parts":[["2015",10,28]]}}},{"id":1094,"uris":["http://zotero.org/users/2484452/items/K3AVH84H"],"uri":["http://zotero.org/users/2484452/items/K3AVH84H"],"itemData":{"id":1094,"type":"article-journal","abstract":"Studies have shown that the clinical impact of Janus kinase 2 (JAK2) inhibitors in primary myelofibrosis patients is due to the regulation of cytokine levels, suggesting that cytokine profiles might play a critical role in myeloproliferative neoplasms (MPNs) physiopathology. In this study, we compared the plasma cytokine profiles of polycythemia vera (PV) patients and essential thrombocythemia (ET) patients as a function of their JAK2 V617F status and the presence of thrombohemorrhagic complications. Using a multiplex cytokine assay, cytokine measurements were taken of the plasma of 17 PV patients and 21 ET patients. Twenty-two of these patients (10 PV and 12 ET) experienced at least one thrombohemorrhagic manifestation before diagnosis. We showed that cytokine levels were significantly increased in PV and ET patients compared with normal values and that several positive correlations existed between the cytokine concentrations and the biological parameters in each MPN. The comparison between the cytokine profiles of ET and PV patients showed a statistically significant increase of interleukin (IL)-4, IL-8, granulocyte macrophage-colony stimulating factor, interferon -γ, monocyte chemotactic protein -1, platelet derived growth factor-BB, and vascular endothelial growth factor in the ET group. Only tumor necrosis factor-α and platelet derived growth factor-BB were specifically impacted by the JAK2 V617F status of the PV and ET patients, respectively, suggesting that there are both JAK2 V617F-driven and JAK2 V617F-independent inflammatory responses in MPNs. We also showed that the subgroup of PV patients with vascular complications displayed significantly different concentrations of IL-12(p70) and granulocyte macrophage-colony stimulating factor compared with patients without vascular complications. Altogether, these data suggest that cytokine measurement might be useful for the clinical and therapeutic stratification of PV and ET patients.","container-title":"Experimental Hematology","DOI":"10.1016/j.exphem.2014.01.006","ISSN":"1873-2399","issue":"5","journalAbbreviation":"Exp. Hematol.","language":"eng","note":"PMID: 24463275","page":"360-368","source":"PubMed","title":"Cytokine profiles in polycythemia vera and essential thrombocythemia patients: clinical implications","title-short":"Cytokine profiles in polycythemia vera and essential thrombocythemia patients","volume":"42","author":[{"family":"Pourcelot","given":"Emmanuel"},{"family":"Trocme","given":"Candice"},{"family":"Mondet","given":"Julie"},{"family":"Bailly","given":"Sébastien"},{"family":"Toussaint","given":"Bertrand"},{"family":"Mossuz","given":"Pascal"}],"issued":{"date-parts":[["2014",5]]}}},{"id":1098,"uris":["http://zotero.org/users/2484452/items/BQWW526E"],"uri":["http://zotero.org/users/2484452/items/BQWW526E"],"itemData":{"id":1098,"type":"article-journal","abstract":"PURPOSE: Abnormal cytokine expression accompanies myelofibrosis and might be a therapeutic target for Janus-associated kinase (JAK) inhibitor drugs. This study describes the spectrum of plasma cytokine abnormalities in primary myelofibrosis (PMF) and examines their phenotypic correlates and prognostic significance.\nPATIENTS AND METHODS: Patients included in this study were required to have archived plasma, bone marrow biopsy, and cytogenetic information available at the time of first referral to the Mayo Clinic. Multiplex biometric sandwich immunoassay was used to measure plasma levels of 30 cytokines.\nRESULTS: In total, 127 PMF patients were studied; comparison with normal controls (n = 35) revealed significantly increased interleukin-1β (IL-1β), IL-1RA, IL-2R, IL-6, IL-8, IL-10, IL-12, IL-13, IL-15, tumor necrosis factor α (TNF-α), granulocyte colony-stimulating factor (G-CSF), interferon alfa (IFN-α), macrophage inflammatory protein 1α (MIP-1α), MIP-1β, hepatocyte growth factor (HGF), IFN-γ-inducible protein 10 (IP-10), monokine induced by IFN-γ (MIG), monocyte chemotactic protein 1 (MCP-1), and vascular endothelial growth factor (VEGF) levels and decreased IFN-γ levels. In treatment-naive patients (n = 90), increased levels of IL-8 (P &lt; .001), IL-2R (P &lt; .001), IL-12 (P &lt; .001), IL-15 (P = .001), and IP-10 (P = .003) were independently predictive of inferior survival. A similar multivariable analysis that included all 127 study patients confirmed the prognostic value of these five cytokines, and IL-8, IL-2R, IL-12, and IL-15 remained significant when risk stratification, according to the recently revised Dynamic International Prognostic Scoring System (DIPSS plus), was added to the multivariable model. Leukemia-free survival was predicted by IL-8, which was also the only cytokine associated with ≥ 1% circulating blasts. Other cytokine-phenotype associations included increased IL-8 and constitutional symptoms; IL-2R, IL-12, and transfusion need; IL-2R, IL-8, and leukocytosis; IP-10 and thrombocytopenia; HGF, MIG, IL-1RA, and marked splenomegaly; and IL-1RA, IL-2R, IP-10, MIP-1β, and JAK2V617F. A two-cytokine (IL-8/IL-2R) -based risk categorization delineated prognostically different groups within specific DIPSS plus risk categories.\nCONCLUSION: This study signifies the presence of specific cytokine-phenotype associations in PMF and a prognostically relevant plasma cytokine signature that might prove useful as a laboratory tool for predicting and monitoring treatment response.","container-title":"Journal of Clinical Oncology: Official Journal of the American Society of Clinical Oncology","DOI":"10.1200/JCO.2010.32.9490","ISSN":"1527-7755","issue":"10","journalAbbreviation":"J. Clin. Oncol.","language":"eng","note":"PMID: 21300928","page":"1356-1363","source":"PubMed","title":"Circulating interleukin (IL)-8, IL-2R, IL-12, and IL-15 levels are independently prognostic in primary myelofibrosis: a comprehensive cytokine profiling study","title-short":"Circulating interleukin (IL)-8, IL-2R, IL-12, and IL-15 levels are independently prognostic in primary myelofibrosis","volume":"29","author":[{"family":"Tefferi","given":"Ayalew"},{"family":"Vaidya","given":"Rakhee"},{"family":"Caramazza","given":"Domenica"},{"family":"Finke","given":"Christy"},{"family":"Lasho","given":"Terra"},{"family":"Pardanani","given":"Animesh"}],"issued":{"date-parts":[["2011",4,1]]}}},{"id":34,"uris":["http://zotero.org/users/2484452/items/64T6BV2B"],"uri":["http://zotero.org/users/2484452/items/64T6BV2B"],"itemData":{"id":34,"type":"article-journal","abstract":"Plasma cytokine milieu is abnormal in primary myelofibrosis (PMF) and correlates with disease phenotype and prognosis. In this study, we show that several plasma cytokines are also abnormally expressed in polycythemia vera (PV; n = 65), compared to normal controls (n = 35), but with a significantly different pattern than that of PMF (n = 127). Direct phenotypic correlation in PV included levels of IL-12 with hematocrit; IL-1b, IL-2, IL-7, FGF-b, and HGF with leukocytosis; and IFN-α and IFN-γ with thrombocytosis. In univariate analysis, levels of 13 cytokines (out of 30 analyzed) correlated with survival but only MIP-1β remained significant on multivariable analysis that included the other cytokines as covariates. Increased level of MIP-1β (P &lt; 0.01), older age (P &lt; 0.01), and leukocytosis (P = 0.03) maintained their association with shortened survival, on multivariable analysis. This study provides preliminary observations that warrant a larger scale study and suggests the value of plasma cytokines as prognostic biomarkers in PV.","container-title":"American Journal of Hematology","DOI":"10.1002/ajh.23295","ISSN":"1096-8652","issue":"11","journalAbbreviation":"Am. J. Hematol.","language":"eng","note":"PMID: 22965887","page":"1003-1005","source":"PubMed","title":"Plasma cytokines in polycythemia vera: phenotypic correlates, prognostic relevance, and comparison with myelofibrosis","title-short":"Plasma cytokines in polycythemia vera","volume":"87","author":[{"family":"Vaidya","given":"Rakhee"},{"family":"Gangat","given":"Naseema"},{"family":"Jimma","given":"Thitina"},{"family":"Finke","given":"Christy M."},{"family":"Lasho","given":"Terra L."},{"family":"Pardanani","given":"Animesh"},{"family":"Tefferi","given":"Ayalew"}],"issued":{"date-parts":[["2012",11]]}}}],"schema":"https://github.com/citation-style-language/schema/raw/master/csl-citation.json"} </w:instrText>
      </w:r>
      <w:r w:rsidR="0094613D" w:rsidRPr="006F5ABC">
        <w:rPr>
          <w:rFonts w:ascii="Arial" w:hAnsi="Arial" w:cs="Arial"/>
          <w:sz w:val="22"/>
          <w:szCs w:val="22"/>
          <w:lang w:val="en-US"/>
        </w:rPr>
        <w:fldChar w:fldCharType="separate"/>
      </w:r>
      <w:r w:rsidR="000835AC" w:rsidRPr="006F5ABC">
        <w:rPr>
          <w:rFonts w:ascii="Arial" w:hAnsi="Arial" w:cs="Arial"/>
          <w:noProof/>
          <w:sz w:val="22"/>
          <w:szCs w:val="22"/>
          <w:lang w:val="en-US"/>
        </w:rPr>
        <w:t>(Hasselbalch et al., 2015; Pourcelot et al., 2014; Tefferi et al., 2011; Vaidya et al., 2012)</w:t>
      </w:r>
      <w:r w:rsidR="0094613D" w:rsidRPr="006F5ABC">
        <w:rPr>
          <w:rFonts w:ascii="Arial" w:hAnsi="Arial" w:cs="Arial"/>
          <w:sz w:val="22"/>
          <w:szCs w:val="22"/>
          <w:lang w:val="en-US"/>
        </w:rPr>
        <w:fldChar w:fldCharType="end"/>
      </w:r>
      <w:r w:rsidR="0094613D" w:rsidRPr="006F5ABC">
        <w:rPr>
          <w:rFonts w:ascii="Arial" w:hAnsi="Arial" w:cs="Arial"/>
          <w:sz w:val="22"/>
          <w:szCs w:val="22"/>
          <w:lang w:val="en-US"/>
        </w:rPr>
        <w:t>.</w:t>
      </w:r>
      <w:r w:rsidR="000835AC" w:rsidRPr="006F5ABC">
        <w:rPr>
          <w:rFonts w:ascii="Arial" w:hAnsi="Arial" w:cs="Arial"/>
          <w:sz w:val="22"/>
          <w:szCs w:val="22"/>
          <w:lang w:val="en-US"/>
        </w:rPr>
        <w:t xml:space="preserve"> As discussed in section 1.1.2, inflammatory milieu is a strong inducer of ROS accumulation in hematopoietic compartment, however</w:t>
      </w:r>
      <w:r w:rsidR="00B8525A">
        <w:rPr>
          <w:rFonts w:ascii="Arial" w:hAnsi="Arial" w:cs="Arial"/>
          <w:sz w:val="22"/>
          <w:szCs w:val="22"/>
          <w:lang w:val="en-US"/>
        </w:rPr>
        <w:t>,</w:t>
      </w:r>
      <w:r w:rsidR="000835AC" w:rsidRPr="006F5ABC">
        <w:rPr>
          <w:rFonts w:ascii="Arial" w:hAnsi="Arial" w:cs="Arial"/>
          <w:sz w:val="22"/>
          <w:szCs w:val="22"/>
          <w:lang w:val="en-US"/>
        </w:rPr>
        <w:t xml:space="preserve"> output to total amount of oxidative stress depends also on counteracting ROS buffering system</w:t>
      </w:r>
      <w:r w:rsidR="00C83646" w:rsidRPr="006F5ABC">
        <w:rPr>
          <w:rFonts w:ascii="Arial" w:hAnsi="Arial" w:cs="Arial"/>
          <w:sz w:val="22"/>
          <w:szCs w:val="22"/>
          <w:lang w:val="en-US"/>
        </w:rPr>
        <w:t xml:space="preserve">. </w:t>
      </w:r>
      <w:r w:rsidR="00B8525A" w:rsidRPr="006F5ABC">
        <w:rPr>
          <w:rFonts w:ascii="Arial" w:hAnsi="Arial" w:cs="Arial"/>
          <w:sz w:val="22"/>
          <w:szCs w:val="22"/>
          <w:lang w:val="en-US"/>
        </w:rPr>
        <w:t>W</w:t>
      </w:r>
      <w:r w:rsidR="00B8525A">
        <w:rPr>
          <w:rFonts w:ascii="Arial" w:hAnsi="Arial" w:cs="Arial"/>
          <w:sz w:val="22"/>
          <w:szCs w:val="22"/>
          <w:lang w:val="en-US"/>
        </w:rPr>
        <w:t>ith the right</w:t>
      </w:r>
      <w:r w:rsidR="00B8525A" w:rsidRPr="006F5ABC">
        <w:rPr>
          <w:rFonts w:ascii="Arial" w:hAnsi="Arial" w:cs="Arial"/>
          <w:sz w:val="22"/>
          <w:szCs w:val="22"/>
          <w:lang w:val="en-US"/>
        </w:rPr>
        <w:t xml:space="preserve"> </w:t>
      </w:r>
      <w:r w:rsidR="000835AC" w:rsidRPr="006F5ABC">
        <w:rPr>
          <w:rFonts w:ascii="Arial" w:hAnsi="Arial" w:cs="Arial"/>
          <w:sz w:val="22"/>
          <w:szCs w:val="22"/>
          <w:lang w:val="en-US"/>
        </w:rPr>
        <w:t>balanc</w:t>
      </w:r>
      <w:r w:rsidR="00B8525A">
        <w:rPr>
          <w:rFonts w:ascii="Arial" w:hAnsi="Arial" w:cs="Arial"/>
          <w:sz w:val="22"/>
          <w:szCs w:val="22"/>
          <w:lang w:val="en-US"/>
        </w:rPr>
        <w:t>e, it</w:t>
      </w:r>
      <w:r w:rsidR="000835AC" w:rsidRPr="006F5ABC">
        <w:rPr>
          <w:rFonts w:ascii="Arial" w:hAnsi="Arial" w:cs="Arial"/>
          <w:sz w:val="22"/>
          <w:szCs w:val="22"/>
          <w:lang w:val="en-US"/>
        </w:rPr>
        <w:t xml:space="preserve"> keeps excessive and genotoxic oxidative stress in check </w:t>
      </w:r>
      <w:r w:rsidR="000835AC" w:rsidRPr="006F5ABC">
        <w:rPr>
          <w:rFonts w:ascii="Arial" w:hAnsi="Arial" w:cs="Arial"/>
          <w:sz w:val="22"/>
          <w:szCs w:val="22"/>
          <w:lang w:val="en-US"/>
        </w:rPr>
        <w:fldChar w:fldCharType="begin"/>
      </w:r>
      <w:r w:rsidR="000835AC" w:rsidRPr="006F5ABC">
        <w:rPr>
          <w:rFonts w:ascii="Arial" w:hAnsi="Arial" w:cs="Arial"/>
          <w:sz w:val="22"/>
          <w:szCs w:val="22"/>
          <w:lang w:val="en-US"/>
        </w:rPr>
        <w:instrText xml:space="preserve"> ADDIN ZOTERO_ITEM CSL_CITATION {"citationID":"yjt92kiS","properties":{"formattedCitation":"(Kumari et al., 2018)","plainCitation":"(Kumari et al., 2018)","noteIndex":0},"citationItems":[{"id":1100,"uris":["http://zotero.org/users/2484452/items/DX9VXWVR"],"uri":["http://zotero.org/users/2484452/items/DX9VXWVR"],"itemData":{"id":1100,"type":"article-journal","abstract":"Background:\nCancer is one of the major heterogeneous disease with high morbidity and mortality with poor prognosis. Elevated levels of reactive oxygen species (ROS), alteration in redox balance, and deregulated redox signaling are common hallmarks of cancer progression and resistance to treatment. Mitochondria contribute mainly in the generation of ROS during oxidative phosphorylation. Elevated levels of ROS have been detected in cancers cells due to high metabolic activity, cellular signaling, peroxisomal activity, mitochondrial dysfunction, activation of oncogene, and increased enzymatic activity of oxidases, cyclooxygenases, lipoxygenases, and thymidine phosphorylases. Cells maintain intracellular homeostasis by developing an immense antioxidant system including catalase, superoxide dismutase, and glutathione peroxidase. Besides these enzymes exist an important antioxidant glutathione and transcription factor Nrf2 which contribute in balancing oxidative stress. Reactive oxygen species–mediated signaling pathways activate pro-oncogenic signaling which eases in cancer progression, angiogenesis, and survival. Concomitantly, to maintain ROS homeostasis and evade cancer cell death, an increased level of antioxidant capacity is associated with cancer cells.\n\nConclusions:\nThis review focuses the role of ROS in cancer survival pathways and importance of targeting the ROS signal involved in cancer development, which is a new strategy in cancer treatment.","container-title":"Biomarker Insights","DOI":"10.1177/1177271918755391","ISSN":"1177-2719","journalAbbreviation":"Biomark Insights","note":"PMID: 29449774\nPMCID: PMC5808965","source":"PubMed Central","title":"Reactive Oxygen Species: A Key Constituent in Cancer Survival","title-short":"Reactive Oxygen Species","URL":"https://www.ncbi.nlm.nih.gov/pmc/articles/PMC5808965/","volume":"13","author":[{"family":"Kumari","given":"Seema"},{"family":"Badana","given":"Anil Kumar"},{"family":"G","given":"Murali Mohan"},{"family":"G","given":"Shailender"},{"family":"Malla","given":"RamaRao"}],"accessed":{"date-parts":[["2019",12,15]]},"issued":{"date-parts":[["2018",2,6]]}}}],"schema":"https://github.com/citation-style-language/schema/raw/master/csl-citation.json"} </w:instrText>
      </w:r>
      <w:r w:rsidR="000835AC" w:rsidRPr="006F5ABC">
        <w:rPr>
          <w:rFonts w:ascii="Arial" w:hAnsi="Arial" w:cs="Arial"/>
          <w:sz w:val="22"/>
          <w:szCs w:val="22"/>
          <w:lang w:val="en-US"/>
        </w:rPr>
        <w:fldChar w:fldCharType="separate"/>
      </w:r>
      <w:r w:rsidR="000835AC" w:rsidRPr="006F5ABC">
        <w:rPr>
          <w:rFonts w:ascii="Arial" w:hAnsi="Arial" w:cs="Arial"/>
          <w:noProof/>
          <w:sz w:val="22"/>
          <w:szCs w:val="22"/>
          <w:lang w:val="en-US"/>
        </w:rPr>
        <w:t>(Kumari et al., 2018)</w:t>
      </w:r>
      <w:r w:rsidR="000835AC" w:rsidRPr="006F5ABC">
        <w:rPr>
          <w:rFonts w:ascii="Arial" w:hAnsi="Arial" w:cs="Arial"/>
          <w:sz w:val="22"/>
          <w:szCs w:val="22"/>
          <w:lang w:val="en-US"/>
        </w:rPr>
        <w:fldChar w:fldCharType="end"/>
      </w:r>
      <w:r w:rsidR="000835AC" w:rsidRPr="006F5ABC">
        <w:rPr>
          <w:rFonts w:ascii="Arial" w:hAnsi="Arial" w:cs="Arial"/>
          <w:sz w:val="22"/>
          <w:szCs w:val="22"/>
          <w:lang w:val="en-US"/>
        </w:rPr>
        <w:t>.</w:t>
      </w:r>
      <w:r w:rsidR="006C63AD" w:rsidRPr="006F5ABC">
        <w:rPr>
          <w:rFonts w:ascii="Arial" w:hAnsi="Arial" w:cs="Arial"/>
          <w:sz w:val="22"/>
          <w:szCs w:val="22"/>
          <w:lang w:val="en-US"/>
        </w:rPr>
        <w:t xml:space="preserve"> In the context of MPN, increased levels of ROS were observed in mouse models and </w:t>
      </w:r>
      <w:r w:rsidR="006C63AD" w:rsidRPr="006F5ABC">
        <w:rPr>
          <w:rFonts w:ascii="Arial" w:hAnsi="Arial" w:cs="Arial"/>
          <w:i/>
          <w:iCs/>
          <w:sz w:val="22"/>
          <w:szCs w:val="22"/>
          <w:lang w:val="en-US"/>
        </w:rPr>
        <w:t>in vitro</w:t>
      </w:r>
      <w:r w:rsidR="006C63AD" w:rsidRPr="006F5ABC">
        <w:rPr>
          <w:rFonts w:ascii="Arial" w:hAnsi="Arial" w:cs="Arial"/>
          <w:sz w:val="22"/>
          <w:szCs w:val="22"/>
          <w:lang w:val="en-US"/>
        </w:rPr>
        <w:t xml:space="preserve"> </w:t>
      </w:r>
      <w:r w:rsidR="006C63AD" w:rsidRPr="006F5ABC">
        <w:rPr>
          <w:rFonts w:ascii="Arial" w:hAnsi="Arial" w:cs="Arial"/>
          <w:sz w:val="22"/>
          <w:szCs w:val="22"/>
          <w:lang w:val="en-US"/>
        </w:rPr>
        <w:fldChar w:fldCharType="begin"/>
      </w:r>
      <w:r w:rsidR="006C63AD" w:rsidRPr="006F5ABC">
        <w:rPr>
          <w:rFonts w:ascii="Arial" w:hAnsi="Arial" w:cs="Arial"/>
          <w:sz w:val="22"/>
          <w:szCs w:val="22"/>
          <w:lang w:val="en-US"/>
        </w:rPr>
        <w:instrText xml:space="preserve"> ADDIN ZOTERO_ITEM CSL_CITATION {"citationID":"BgR0zvLz","properties":{"formattedCitation":"(Marty et al., 2013)","plainCitation":"(Marty et al., 2013)","noteIndex":0},"citationItems":[{"id":26,"uris":["http://zotero.org/users/2484452/items/ZSHZS4RF"],"uri":["http://zotero.org/users/2484452/items/ZSHZS4RF"],"itemData":{"id":26,"type":"article-journal","abstract":"Although other mutations may predate the acquisition of the JAK2(V617F) mutation, the latter is sufficient to drive the disease phenotype observed in BCR-ABL-negative myeloproliferative neoplasms (MPNs). One of the consequences of JAK2(V617F) is genetic instability that could explain JAK2(V617F)-mediated MPN progression and heterogeneity. Here, we show that JAK2(V617F) induces the accumulation of reactive oxygen species (ROS) in the hematopoietic stem cell compartment of a knock-in (KI) mouse model and in patients with JAK2(V617F) MPNs. JAK2(V617F)-dependent ROS elevation was partly mediated by an AKT-induced decrease in catalase expression and was accompanied by an increased number of 8-oxo-guanines and DNA double-strand breaks (DSBs). Moreover, there was evidence for a mitotic recombination event in mice resulting in loss of heterozygosity of Jak2(V617F). Mice engrafted with 30% of Jak2(V617F) KI bone marrow (BM) cells developed a polycythemia vera-like disorder. Treatment with the anti-oxidant N-acetylcysteine (NAC) substantially restored blood parameters and reduced damages to DNA. Furthermore, NAC induced a marked decrease in splenomegaly with reduction in the frequency of the Jak2(V617F)-positive hematopoietic progenitors in BM and spleen. Altogether, overproduction of ROS is a mediator of JAK2(V617F)-induced DNA damages that promote disease progression. Targeting ROS accumulation might prevent the development of JAK2(V617F) MPNs.","container-title":"Leukemia","DOI":"10.1038/leu.2013.102","ISSN":"1476-5551","issue":"11","journalAbbreviation":"Leukemia","language":"eng","note":"PMID: 23558526","page":"2187-2195","source":"PubMed","title":"A role for reactive oxygen species in JAK2 V617F myeloproliferative neoplasm progression","volume":"27","author":[{"family":"Marty","given":"C."},{"family":"Lacout","given":"C."},{"family":"Droin","given":"N."},{"family":"Le Couédic","given":"J.-P."},{"family":"Ribrag","given":"V."},{"family":"Solary","given":"E."},{"family":"Vainchenker","given":"W."},{"family":"Villeval","given":"J.-L."},{"family":"Plo","given":"I."}],"issued":{"date-parts":[["2013",11]]}}}],"schema":"https://github.com/citation-style-language/schema/raw/master/csl-citation.json"} </w:instrText>
      </w:r>
      <w:r w:rsidR="006C63AD" w:rsidRPr="006F5ABC">
        <w:rPr>
          <w:rFonts w:ascii="Arial" w:hAnsi="Arial" w:cs="Arial"/>
          <w:sz w:val="22"/>
          <w:szCs w:val="22"/>
          <w:lang w:val="en-US"/>
        </w:rPr>
        <w:fldChar w:fldCharType="separate"/>
      </w:r>
      <w:r w:rsidR="006C63AD" w:rsidRPr="006F5ABC">
        <w:rPr>
          <w:rFonts w:ascii="Arial" w:hAnsi="Arial" w:cs="Arial"/>
          <w:noProof/>
          <w:sz w:val="22"/>
          <w:szCs w:val="22"/>
          <w:lang w:val="en-US"/>
        </w:rPr>
        <w:t>(Marty et al., 2013)</w:t>
      </w:r>
      <w:r w:rsidR="006C63AD" w:rsidRPr="006F5ABC">
        <w:rPr>
          <w:rFonts w:ascii="Arial" w:hAnsi="Arial" w:cs="Arial"/>
          <w:sz w:val="22"/>
          <w:szCs w:val="22"/>
          <w:lang w:val="en-US"/>
        </w:rPr>
        <w:fldChar w:fldCharType="end"/>
      </w:r>
      <w:r w:rsidR="006C63AD" w:rsidRPr="006F5ABC">
        <w:rPr>
          <w:rFonts w:ascii="Arial" w:hAnsi="Arial" w:cs="Arial"/>
          <w:sz w:val="22"/>
          <w:szCs w:val="22"/>
          <w:lang w:val="en-US"/>
        </w:rPr>
        <w:t xml:space="preserve">, but also in patients samples </w:t>
      </w:r>
      <w:r w:rsidR="006C63AD" w:rsidRPr="006F5ABC">
        <w:rPr>
          <w:rFonts w:ascii="Arial" w:hAnsi="Arial" w:cs="Arial"/>
          <w:i/>
          <w:iCs/>
          <w:sz w:val="22"/>
          <w:szCs w:val="22"/>
          <w:lang w:val="en-US"/>
        </w:rPr>
        <w:t>in vivo</w:t>
      </w:r>
      <w:r w:rsidR="006C63AD" w:rsidRPr="006F5ABC">
        <w:rPr>
          <w:rFonts w:ascii="Arial" w:hAnsi="Arial" w:cs="Arial"/>
          <w:sz w:val="22"/>
          <w:szCs w:val="22"/>
          <w:lang w:val="en-US"/>
        </w:rPr>
        <w:t xml:space="preserve"> </w:t>
      </w:r>
      <w:r w:rsidR="006C63AD" w:rsidRPr="006F5ABC">
        <w:rPr>
          <w:rFonts w:ascii="Arial" w:hAnsi="Arial" w:cs="Arial"/>
          <w:sz w:val="22"/>
          <w:szCs w:val="22"/>
          <w:lang w:val="en-US"/>
        </w:rPr>
        <w:fldChar w:fldCharType="begin"/>
      </w:r>
      <w:r w:rsidR="006C63AD" w:rsidRPr="006F5ABC">
        <w:rPr>
          <w:rFonts w:ascii="Arial" w:hAnsi="Arial" w:cs="Arial"/>
          <w:sz w:val="22"/>
          <w:szCs w:val="22"/>
          <w:lang w:val="en-US"/>
        </w:rPr>
        <w:instrText xml:space="preserve"> ADDIN ZOTERO_ITEM CSL_CITATION {"citationID":"j6WsByhg","properties":{"formattedCitation":"(Hurtado-Nedelec et al., 2013; Vener et al., 2010)","plainCitation":"(Hurtado-Nedelec et al., 2013; Vener et al., 2010)","noteIndex":0},"citationItems":[{"id":1105,"uris":["http://zotero.org/users/2484452/items/68YTZNCV"],"uri":["http://zotero.org/users/2484452/items/68YTZNCV"],"itemData":{"id":1105,"type":"article-journal","abstract":"Myeloproliferative disorders are associated with increased risk of thrombosis and vascular complications. The pathogenesis of these complications is not completely known. Reactive oxygen species produced by the neutrophil NADPH oxidase could have a role in this process. The aim of this study was to evaluate reactive oxygen species production by neutrophils of myeloproliferative disorder patients. Patients with or without the JAK2 V617F mutation were characterized. Reactive oxygen species production was assessed by chemiluminescence, and phosphorylation of the NADPH oxidase subunit p47phox was analyzed by Western blots. In a comparison of controls and myeloproliferative disorder patients without the JAK2 V617F mutation, reactive oxygen species production by neutrophils from patients with the JAK2 V617F mutation was dramatically increased in non-stimulated and in stimulated conditions. This increase was associated with increased phosphorylation of the p47phox on Ser345 and of the uspstream kinase ERK1/2. In neutrophils from healthy donors, JAK2 can be activated by GM-CSF. GM-CSF-induced p47phox phosphorylation and priming of reactive oxygen species production are inhibited by the selective JAK2 inhibitors AG490 and lestaurtinib (CEP-701), supporting a role for JAK2 in the upregulation of NADPH oxidase activation. These findings show an increase in reactive oxygen species production and p47phox phosphorylation in neutrophils from myeloproliferative disorder patients with the JAK2 V617F mutation, and demonstrate that JAK2 is involved in GM-CSF-induced NADPH oxidase hyperactivation. As neutrophil hyperactivation could be implicated in the thrombophilic status of patients with myeloproliferative disorders, aberrant activation of JAK2 V617F, leading to excessive neutrophil reactive oxygen species production might play a role in this setting.","container-title":"Haematologica","DOI":"10.3324/haematol.2012.082560","ISSN":"1592-8721","issue":"10","journalAbbreviation":"Haematologica","language":"eng","note":"PMID: 23975181\nPMCID: PMC3789455","page":"1517-1524","source":"PubMed","title":"Increased reactive oxygen species production and p47phox phosphorylation in neutrophils from myeloproliferative disorders patients with JAK2 (V617F) mutation","volume":"98","author":[{"family":"Hurtado-Nedelec","given":"Margarita"},{"family":"Csillag-Grange","given":"Marie-José"},{"family":"Boussetta","given":"Tarek"},{"family":"Belambri","given":"Sahra Amel"},{"family":"Fay","given":"Michèle"},{"family":"Cassinat","given":"Bruno"},{"family":"Gougerot-Pocidalo","given":"Marie-Anne"},{"family":"Dang","given":"Pham My-Chan"},{"family":"El-Benna","given":"Jamel"}],"issued":{"date-parts":[["2013",10]]}}},{"id":40,"uris":["http://zotero.org/users/2484452/items/MSCKY5MW"],"uri":["http://zotero.org/users/2484452/items/MSCKY5MW"],"itemData":{"id":40,"type":"article-journal","abstract":"OBJECTIVE: To determine if increased cell turnover in chronic myeloproliferative disorders can lead to hyperhomocysteinemia as a result of folate and/or cobalamin depletion, and contribute to oxidative stress.\nMATERIALS AND METHODS: The clinical role of oxidative stress was investigated by measuring reactive oxygen species (ROS), total antioxidant capacity (TAC), and total homocysteine (tHcy), folate, cobalamin, and holotranscobalamin (HoloTC) levels in 51 chronic myeloproliferative disorders patients (male-to-female ratio: 1.1; median age: 64 years; range, 40-84 years), including 42 with primary myelofibrosis and 9 with post-polycythemia vera myelofibrosis.\nRESULTS: Myelofibrotic patients had higher tHcy (p = 0.0201) and an unbalanced oxidative status (higher ROS and lower TAC levels; p &lt; 0.0001) than controls. Presence of diabetes or another neoplasia was associated with higher ROS levels (p &lt; 0.05), splenomegaly, hepatomegaly, and peripheral blasts with lower HoloTC levels (p &lt; 0.005). The most severe forms of myelofibrosis (2-3) were associated with lower TAC (p = 0.045) and HoloTC levels (p = 0.017). Patients with Janus kinase-2 mutations had lower HoloTC levels (p = 0.0059). HoloTC deficiency was more frequently associated with Janus kinase-2 homozygosity (p &lt; 0.0003).\nCONCLUSIONS: Our findings suggest that the determination of HoloTC, tHcy, ROS concentrations, and TAC, can identify latent cobalamin deficiency and provide a rational basis for correcting the increased oxidation associated with disease progression.","container-title":"Experimental Hematology","DOI":"10.1016/j.exphem.2010.07.005","ISSN":"1873-2399","issue":"11","journalAbbreviation":"Exp. Hematol.","language":"eng","note":"PMID: 20655352","page":"1058-1065","source":"PubMed","title":"Oxidative stress is increased in primary and post-polycythemia vera myelofibrosis","volume":"38","author":[{"family":"Vener","given":"Claudia"},{"family":"Novembrino","given":"Cristina"},{"family":"Catena","given":"Fabrizia Bamonti"},{"family":"Fracchiolla","given":"Nicola Stefano"},{"family":"Gianelli","given":"Umberto"},{"family":"Savi","given":"Federica"},{"family":"Radaelli","given":"Franca"},{"family":"Fermo","given":"Elisa"},{"family":"Cortelezzi","given":"Agostino"},{"family":"Lonati","given":"Silvia"},{"family":"Menegatti","given":"Marzia"},{"family":"Deliliers","given":"Giorgio Lambertenghi"}],"issued":{"date-parts":[["2010",11]]}}}],"schema":"https://github.com/citation-style-language/schema/raw/master/csl-citation.json"} </w:instrText>
      </w:r>
      <w:r w:rsidR="006C63AD" w:rsidRPr="006F5ABC">
        <w:rPr>
          <w:rFonts w:ascii="Arial" w:hAnsi="Arial" w:cs="Arial"/>
          <w:sz w:val="22"/>
          <w:szCs w:val="22"/>
          <w:lang w:val="en-US"/>
        </w:rPr>
        <w:fldChar w:fldCharType="separate"/>
      </w:r>
      <w:r w:rsidR="006C63AD" w:rsidRPr="006F5ABC">
        <w:rPr>
          <w:rFonts w:ascii="Arial" w:hAnsi="Arial" w:cs="Arial"/>
          <w:noProof/>
          <w:sz w:val="22"/>
          <w:szCs w:val="22"/>
          <w:lang w:val="en-US"/>
        </w:rPr>
        <w:t>(Hurtado-Nedelec et al., 2013; Vener et al., 2010)</w:t>
      </w:r>
      <w:r w:rsidR="006C63AD" w:rsidRPr="006F5ABC">
        <w:rPr>
          <w:rFonts w:ascii="Arial" w:hAnsi="Arial" w:cs="Arial"/>
          <w:sz w:val="22"/>
          <w:szCs w:val="22"/>
          <w:lang w:val="en-US"/>
        </w:rPr>
        <w:fldChar w:fldCharType="end"/>
      </w:r>
      <w:r w:rsidR="006C63AD" w:rsidRPr="006F5ABC">
        <w:rPr>
          <w:rFonts w:ascii="Arial" w:hAnsi="Arial" w:cs="Arial"/>
          <w:sz w:val="22"/>
          <w:szCs w:val="22"/>
          <w:lang w:val="en-US"/>
        </w:rPr>
        <w:t xml:space="preserve">. In our recent paper, we </w:t>
      </w:r>
      <w:r w:rsidR="00460427" w:rsidRPr="006F5ABC">
        <w:rPr>
          <w:rFonts w:ascii="Arial" w:hAnsi="Arial" w:cs="Arial"/>
          <w:sz w:val="22"/>
          <w:szCs w:val="22"/>
          <w:lang w:val="en-US"/>
        </w:rPr>
        <w:t>confirm</w:t>
      </w:r>
      <w:r w:rsidR="006C63AD" w:rsidRPr="006F5ABC">
        <w:rPr>
          <w:rFonts w:ascii="Arial" w:hAnsi="Arial" w:cs="Arial"/>
          <w:sz w:val="22"/>
          <w:szCs w:val="22"/>
          <w:lang w:val="en-US"/>
        </w:rPr>
        <w:t xml:space="preserve"> increased accumulation of ROS</w:t>
      </w:r>
      <w:r w:rsidR="00460427" w:rsidRPr="006F5ABC">
        <w:rPr>
          <w:rFonts w:ascii="Arial" w:hAnsi="Arial" w:cs="Arial"/>
          <w:sz w:val="22"/>
          <w:szCs w:val="22"/>
          <w:lang w:val="en-US"/>
        </w:rPr>
        <w:t xml:space="preserve"> in PV progenitors</w:t>
      </w:r>
      <w:r w:rsidR="006C63AD" w:rsidRPr="006F5ABC">
        <w:rPr>
          <w:rFonts w:ascii="Arial" w:hAnsi="Arial" w:cs="Arial"/>
          <w:sz w:val="22"/>
          <w:szCs w:val="22"/>
          <w:lang w:val="en-US"/>
        </w:rPr>
        <w:t>, however</w:t>
      </w:r>
      <w:r w:rsidR="00B8525A">
        <w:rPr>
          <w:rFonts w:ascii="Arial" w:hAnsi="Arial" w:cs="Arial"/>
          <w:sz w:val="22"/>
          <w:szCs w:val="22"/>
          <w:lang w:val="en-US"/>
        </w:rPr>
        <w:t>,</w:t>
      </w:r>
      <w:r w:rsidR="006C63AD" w:rsidRPr="006F5ABC">
        <w:rPr>
          <w:rFonts w:ascii="Arial" w:hAnsi="Arial" w:cs="Arial"/>
          <w:sz w:val="22"/>
          <w:szCs w:val="22"/>
          <w:lang w:val="en-US"/>
        </w:rPr>
        <w:t xml:space="preserve"> </w:t>
      </w:r>
      <w:r w:rsidR="00460427" w:rsidRPr="006F5ABC">
        <w:rPr>
          <w:rFonts w:ascii="Arial" w:hAnsi="Arial" w:cs="Arial"/>
          <w:sz w:val="22"/>
          <w:szCs w:val="22"/>
          <w:lang w:val="en-US"/>
        </w:rPr>
        <w:t>we also show</w:t>
      </w:r>
      <w:r w:rsidR="006C63AD" w:rsidRPr="006F5ABC">
        <w:rPr>
          <w:rFonts w:ascii="Arial" w:hAnsi="Arial" w:cs="Arial"/>
          <w:sz w:val="22"/>
          <w:szCs w:val="22"/>
          <w:lang w:val="en-US"/>
        </w:rPr>
        <w:t xml:space="preserve"> upregulated enzyme activities of key ROS buffering enzymes counteracting</w:t>
      </w:r>
      <w:r w:rsidR="004101F2" w:rsidRPr="006F5ABC">
        <w:rPr>
          <w:rFonts w:ascii="Arial" w:hAnsi="Arial" w:cs="Arial"/>
          <w:sz w:val="22"/>
          <w:szCs w:val="22"/>
          <w:lang w:val="en-US"/>
        </w:rPr>
        <w:t xml:space="preserve"> </w:t>
      </w:r>
      <w:r w:rsidR="006C63AD" w:rsidRPr="006F5ABC">
        <w:rPr>
          <w:rFonts w:ascii="Arial" w:hAnsi="Arial" w:cs="Arial"/>
          <w:sz w:val="22"/>
          <w:szCs w:val="22"/>
          <w:lang w:val="en-US"/>
        </w:rPr>
        <w:t>oxidative stress</w:t>
      </w:r>
      <w:r w:rsidR="004101F2" w:rsidRPr="006F5ABC">
        <w:rPr>
          <w:rFonts w:ascii="Arial" w:hAnsi="Arial" w:cs="Arial"/>
          <w:sz w:val="22"/>
          <w:szCs w:val="22"/>
          <w:lang w:val="en-US"/>
        </w:rPr>
        <w:t xml:space="preserve">, with </w:t>
      </w:r>
      <w:r w:rsidR="00B8525A">
        <w:rPr>
          <w:rFonts w:ascii="Arial" w:hAnsi="Arial" w:cs="Arial"/>
          <w:sz w:val="22"/>
          <w:szCs w:val="22"/>
          <w:lang w:val="en-US"/>
        </w:rPr>
        <w:t xml:space="preserve">the </w:t>
      </w:r>
      <w:r w:rsidR="004101F2" w:rsidRPr="006F5ABC">
        <w:rPr>
          <w:rFonts w:ascii="Arial" w:hAnsi="Arial" w:cs="Arial"/>
          <w:sz w:val="22"/>
          <w:szCs w:val="22"/>
          <w:lang w:val="en-US"/>
        </w:rPr>
        <w:t xml:space="preserve">absence of 8-oxoguanine both </w:t>
      </w:r>
      <w:r w:rsidR="004101F2" w:rsidRPr="006F5ABC">
        <w:rPr>
          <w:rFonts w:ascii="Arial" w:hAnsi="Arial" w:cs="Arial"/>
          <w:i/>
          <w:iCs/>
          <w:sz w:val="22"/>
          <w:szCs w:val="22"/>
          <w:lang w:val="en-US"/>
        </w:rPr>
        <w:t>in vivo</w:t>
      </w:r>
      <w:r w:rsidR="004101F2" w:rsidRPr="006F5ABC">
        <w:rPr>
          <w:rFonts w:ascii="Arial" w:hAnsi="Arial" w:cs="Arial"/>
          <w:sz w:val="22"/>
          <w:szCs w:val="22"/>
          <w:lang w:val="en-US"/>
        </w:rPr>
        <w:t xml:space="preserve"> and </w:t>
      </w:r>
      <w:r w:rsidR="004101F2" w:rsidRPr="006F5ABC">
        <w:rPr>
          <w:rFonts w:ascii="Arial" w:hAnsi="Arial" w:cs="Arial"/>
          <w:i/>
          <w:iCs/>
          <w:sz w:val="22"/>
          <w:szCs w:val="22"/>
          <w:lang w:val="en-US"/>
        </w:rPr>
        <w:t xml:space="preserve">in vitro </w:t>
      </w:r>
      <w:r w:rsidR="004101F2" w:rsidRPr="006F5ABC">
        <w:rPr>
          <w:rFonts w:ascii="Arial" w:hAnsi="Arial" w:cs="Arial"/>
          <w:i/>
          <w:iCs/>
          <w:sz w:val="22"/>
          <w:szCs w:val="22"/>
          <w:lang w:val="en-US"/>
        </w:rPr>
        <w:fldChar w:fldCharType="begin"/>
      </w:r>
      <w:r w:rsidR="004101F2" w:rsidRPr="006F5ABC">
        <w:rPr>
          <w:rFonts w:ascii="Arial" w:hAnsi="Arial" w:cs="Arial"/>
          <w:i/>
          <w:iCs/>
          <w:sz w:val="22"/>
          <w:szCs w:val="22"/>
          <w:lang w:val="en-US"/>
        </w:rPr>
        <w:instrText xml:space="preserve"> ADDIN ZOTERO_ITEM CSL_CITATION {"citationID":"sRsPKNid","properties":{"formattedCitation":"(Stetka et al., 2019)","plainCitation":"(Stetka et al., 2019)","noteIndex":0},"citationItems":[{"id":812,"uris":["http://zotero.org/users/2484452/items/7AKGISWX"],"uri":["http://zotero.org/users/2484452/items/7AKGISWX"],"itemData":{"id":812,"type":"article-journal","abstract":"Inflammatory and oncogenic signaling converge in disease evolution of BCR–ABL-negative myeloproliferative neoplasms, clonal hematopoietic stem cell disorders characterized by gain-of-function mutation in JAK2 kinase (JAK2V617F), with highest prevalence in patients with polycythemia vera (PV). Despite the high risk, DNA-damaging inflammatory microenvironment, PV progenitors tend to preserve their genomic stability over decades until their progression to post-PV myelofibrosis/acute myeloid leukemia. Using induced pluripotent stem cells-derived CD34+ progenitor-enriched cultures from JAK2V617F+ PV patient and from JAK2 wild-type healthy control, CRISPR-modified HEL cells and patients’ bone marrow sections from different disease stages, we demonstrate that JAK2V617F induces an intrinsic IFNγ- and NF-κB-associated inflammatory program, while suppressing inflammation-evoked DNA damage both in vitro and in vivo. We show that cells with JAK2V617F tightly regulate levels of inflammatory cytokines-induced reactive oxygen species, do not fully activate the ATM/p53/p21waf1 checkpoint and p38/JNK MAPK stress pathway signaling when exposed to inflammatory cytokines, suppress DNA single-strand break repair genes’ expression yet overexpress the dual-specificity phosphatase (DUSP) 1. RNAi-mediated knock-down and pharmacological inhibition of DUSP1, involved in p38/JNK deactivation, in HEL cells reveals growth addiction to DUSP1, consistent with enhanced DNA damage response and apoptosis in DUSP1-inhibited parental JAK2V617F+ cells, but not in CRISPR-modified JAK2 wild-type cells. Our results indicate that the JAK2V617F+ PV progenitors utilize DUSP1 activity as a protection mechanism against DNA damage accumulation, promoting their proliferation and survival in the inflammatory microenvironment, identifying DUSP1 as a potential therapeutic target in PV.","container-title":"Oncogene","DOI":"10.1038/s41388-019-0813-7","ISSN":"1476-5594","issue":"28","journalAbbreviation":"Oncogene","language":"en","page":"5627-5642","source":"www.nature.com","title":"Addiction to DUSP1 protects JAK2V617F-driven polycythemia vera progenitors against inflammatory stress and DNA damage, allowing chronic proliferation","volume":"38","author":[{"family":"Stetka","given":"J."},{"family":"Vyhlidalova","given":"P."},{"family":"Lanikova","given":"L."},{"family":"Koralkova","given":"P."},{"family":"Gursky","given":"J."},{"family":"Hlusi","given":"A."},{"family":"Flodr","given":"P."},{"family":"Hubackova","given":"S."},{"family":"Bartek","given":"J."},{"family":"Hodny","given":"Z."},{"family":"Divoky","given":"V."}],"issued":{"date-parts":[["2019",7]]}}}],"schema":"https://github.com/citation-style-language/schema/raw/master/csl-citation.json"} </w:instrText>
      </w:r>
      <w:r w:rsidR="004101F2" w:rsidRPr="006F5ABC">
        <w:rPr>
          <w:rFonts w:ascii="Arial" w:hAnsi="Arial" w:cs="Arial"/>
          <w:i/>
          <w:iCs/>
          <w:sz w:val="22"/>
          <w:szCs w:val="22"/>
          <w:lang w:val="en-US"/>
        </w:rPr>
        <w:fldChar w:fldCharType="separate"/>
      </w:r>
      <w:r w:rsidR="004101F2" w:rsidRPr="006F5ABC">
        <w:rPr>
          <w:rFonts w:ascii="Arial" w:hAnsi="Arial" w:cs="Arial"/>
          <w:noProof/>
          <w:sz w:val="22"/>
          <w:szCs w:val="22"/>
          <w:lang w:val="en-US"/>
        </w:rPr>
        <w:t>(Stetka et al., 2019)</w:t>
      </w:r>
      <w:r w:rsidR="004101F2" w:rsidRPr="006F5ABC">
        <w:rPr>
          <w:rFonts w:ascii="Arial" w:hAnsi="Arial" w:cs="Arial"/>
          <w:i/>
          <w:iCs/>
          <w:sz w:val="22"/>
          <w:szCs w:val="22"/>
          <w:lang w:val="en-US"/>
        </w:rPr>
        <w:fldChar w:fldCharType="end"/>
      </w:r>
      <w:r w:rsidR="004101F2" w:rsidRPr="006F5ABC">
        <w:rPr>
          <w:rFonts w:ascii="Arial" w:hAnsi="Arial" w:cs="Arial"/>
          <w:sz w:val="22"/>
          <w:szCs w:val="22"/>
          <w:lang w:val="en-US"/>
        </w:rPr>
        <w:t xml:space="preserve">. Apart from effects of inflammation induced-ROS on genotoxicity, increased ROS were shown to modulate activities of signaling pathways involved in malignant proliferation and apoptosis. Proliferative stimuli from phosphoinositide 3-kinase/protein kinase B (PI3K/PKB) and mitogen activated protein kinase (MAPK) signaling were shown to be hyper-activated by protein oxidation of negative feedback loop regulators and transcription factors </w:t>
      </w:r>
      <w:r w:rsidR="004101F2" w:rsidRPr="006F5ABC">
        <w:rPr>
          <w:rFonts w:ascii="Arial" w:hAnsi="Arial" w:cs="Arial"/>
          <w:sz w:val="22"/>
          <w:szCs w:val="22"/>
          <w:lang w:val="en-US"/>
        </w:rPr>
        <w:fldChar w:fldCharType="begin"/>
      </w:r>
      <w:r w:rsidR="004101F2" w:rsidRPr="006F5ABC">
        <w:rPr>
          <w:rFonts w:ascii="Arial" w:hAnsi="Arial" w:cs="Arial"/>
          <w:sz w:val="22"/>
          <w:szCs w:val="22"/>
          <w:lang w:val="en-US"/>
        </w:rPr>
        <w:instrText xml:space="preserve"> ADDIN ZOTERO_ITEM CSL_CITATION {"citationID":"0TYQckhJ","properties":{"formattedCitation":"(Kwon et al., 2004; Salmeen et al., 2003; Seth and Rudolph, 2006)","plainCitation":"(Kwon et al., 2004; Salmeen et al., 2003; Seth and Rudolph, 2006)","noteIndex":0},"citationItems":[{"id":844,"uris":["http://zotero.org/users/2484452/items/IR3XWDEW"],"uri":["http://zotero.org/users/2484452/items/IR3XWDEW"],"itemData":{"id":844,"type":"article-journal","abstract":"Stimulation of cells with various peptide growth factors induces the production of phosphatidylinositol 3,4,5-trisphosphate (PIP3) through activation of phosphatidylinositol 3-kinase. The action of this enzyme is reversed by that of the tumor suppressor PTEN. With the use of cells overexpressing NADPH oxidase 1 or peroxiredoxin II, we have now shown that H2O2 produced in response to stimulation of cells with epidermal growth factor or platelet-derived growth factor potentiates PIP3 generation and activation of the protein kinase Akt induced by these growth factors. We also show that a small fraction of PTEN molecules is transiently inactivated as a result of oxidation of the essential cysteine residue of this phosphatase in various cell types stimulated with epidermal growth factor, platelet-derived growth factor, or insulin. These results suggest that the activation of phosphatidylinositol 3-kinase by growth factors might not be sufficient to induce the accumulation of PIP3 because of the opposing activity of PTEN and that the concomitant local inactivation of PTEN by H2O2 might be needed to increase the concentration of PIP3 sufficiently to trigger downstream signaling events. Furthermore, together with previous observations, our data indicate that peroxiredoxin likely participates in PIP3 signaling by modulating the local concentration of H2O2.","container-title":"Proceedings of the National Academy of Sciences of the United States of America","DOI":"10.1073/pnas.0407396101","ISSN":"0027-8424","issue":"47","journalAbbreviation":"Proc Natl Acad Sci U S A","note":"PMID: 15534200\nPMCID: PMC534546","page":"16419-16424","source":"PubMed Central","title":"Reversible oxidation and inactivation of the tumor suppressor PTEN in cells stimulated with peptide growth factors","volume":"101","author":[{"family":"Kwon","given":"Jaeyul"},{"family":"Lee","given":"Seung-Rock"},{"family":"Yang","given":"Kap-Seok"},{"family":"Ahn","given":"Younghee"},{"family":"Kim","given":"Yeun Ju"},{"family":"Stadtman","given":"Earl R."},{"family":"Rhee","given":"Sue Goo"}],"issued":{"date-parts":[["2004",11,23]]}}},{"id":847,"uris":["http://zotero.org/users/2484452/items/6U7JVZQ6"],"uri":["http://zotero.org/users/2484452/items/6U7JVZQ6"],"itemData":{"id":847,"type":"article-journal","abstract":"The second messenger hydrogen peroxide is required for optimal activation of numerous signal transduction pathways, particularly those mediated by protein tyrosine kinases. One mechanism by which hydrogen peroxide regulates cellular processes is the transient inhibition of protein tyrosine phosphatases through the reversible oxidization of their catalytic cysteine, which suppresses protein dephosphorylation. Here we describe a structural analysis of the redox-dependent regulation of protein tyrosine phosphatase 1B (PTP1B), which is reversibly inhibited by oxidation after cells are stimulated with insulin and epidermal growth factor. The sulphenic acid intermediate produced in response to PTP1B oxidation is rapidly converted into a previously unknown sulphenyl-amide species, in which the sulphur atom of the catalytic cysteine is covalently linked to the main chain nitrogen of an adjacent residue. Oxidation of PTP1B to the sulphenyl-amide form is accompanied by large conformational changes in the catalytic site that inhibit substrate binding. We propose that this unusual protein modification both protects the active-site cysteine residue of PTP1B from irreversible oxidation to sulphonic acid and permits redox regulation of the enzyme by promoting its reversible reduction by thiols.","container-title":"Nature","DOI":"10.1038/nature01680","ISSN":"0028-0836","issue":"6941","journalAbbreviation":"Nature","language":"eng","note":"PMID: 12802338","page":"769-773","source":"PubMed","title":"Redox regulation of protein tyrosine phosphatase 1B involves a sulphenyl-amide intermediate","volume":"423","author":[{"family":"Salmeen","given":"Annette"},{"family":"Andersen","given":"Jannik N."},{"family":"Myers","given":"Michael P."},{"family":"Meng","given":"Tzu-Ching"},{"family":"Hinks","given":"John A."},{"family":"Tonks","given":"Nicholas K."},{"family":"Barford","given":"David"}],"issued":{"date-parts":[["2003",6,12]]}}},{"id":849,"uris":["http://zotero.org/users/2484452/items/VXI7MIM8"],"uri":["http://zotero.org/users/2484452/items/VXI7MIM8"],"itemData":{"id":849,"type":"article-journal","abstract":"MAP kinase phosphatase 3 (MKP3) is a protein tyrosine phosphatase (PTP) for which in vivo evidence suggests that regulation can occur by oxidation and/or reduction of the active site cysteine. Using kinetics and mass spectrometry, we have probed the biochemical details of oxidation of the active site cysteine in MKP3, with particular focus on the mechanism of protection from irreversible inactivation to the sulfinic or sulfonic acid species. Like other PTPs, MKP3 was found to be rapidly and reversibly inactivated by mild treatment with hydrogen peroxide. We demonstrate that unlike the case for some PTPs, the sulfenic acid of the active site cysteine in MKP3 is not stabilized in the active site but instead is rapidly trapped in a re-reducible form. Unlike the case for other PTPs, the sulfenic acid in MKP3 does not form a sulfenyl-amide species with its neighboring residue or a disulfide with a single proximate cysteine. Instead, multiple cysteines distributed in both the N-terminal substrate-binding domain (Cys147 in particular) and the C-terminal catalytic domain (Cys218) are capable of rapidly and efficiently trapping the sulfenic acid as a disulfide. Our results extend the diversity of mechanisms utilized by PTPs to prevent irreversible oxidation of their active sites and expand the role of the N-terminal substrate recognition domain in MKP3 to include redox regulation.","container-title":"Biochemistry","DOI":"10.1021/bi060157p","ISSN":"0006-2960","issue":"28","journalAbbreviation":"Biochemistry","language":"eng","note":"PMID: 16834321","page":"8476-8487","source":"PubMed","title":"Redox regulation of MAP kinase phosphatase 3","volume":"45","author":[{"family":"Seth","given":"Divya"},{"family":"Rudolph","given":"Johannes"}],"issued":{"date-parts":[["2006",7,18]]}}}],"schema":"https://github.com/citation-style-language/schema/raw/master/csl-citation.json"} </w:instrText>
      </w:r>
      <w:r w:rsidR="004101F2" w:rsidRPr="006F5ABC">
        <w:rPr>
          <w:rFonts w:ascii="Arial" w:hAnsi="Arial" w:cs="Arial"/>
          <w:sz w:val="22"/>
          <w:szCs w:val="22"/>
          <w:lang w:val="en-US"/>
        </w:rPr>
        <w:fldChar w:fldCharType="separate"/>
      </w:r>
      <w:r w:rsidR="004101F2" w:rsidRPr="006F5ABC">
        <w:rPr>
          <w:rFonts w:ascii="Arial" w:hAnsi="Arial" w:cs="Arial"/>
          <w:noProof/>
          <w:sz w:val="22"/>
          <w:szCs w:val="22"/>
          <w:lang w:val="en-US"/>
        </w:rPr>
        <w:t>(Kwon et al., 2004; Salmeen et al., 2003; Seth and Rudolph, 2006)</w:t>
      </w:r>
      <w:r w:rsidR="004101F2" w:rsidRPr="006F5ABC">
        <w:rPr>
          <w:rFonts w:ascii="Arial" w:hAnsi="Arial" w:cs="Arial"/>
          <w:sz w:val="22"/>
          <w:szCs w:val="22"/>
          <w:lang w:val="en-US"/>
        </w:rPr>
        <w:fldChar w:fldCharType="end"/>
      </w:r>
      <w:r w:rsidR="004101F2" w:rsidRPr="006F5ABC">
        <w:rPr>
          <w:rFonts w:ascii="Arial" w:hAnsi="Arial" w:cs="Arial"/>
          <w:sz w:val="22"/>
          <w:szCs w:val="22"/>
          <w:lang w:val="en-US"/>
        </w:rPr>
        <w:t>. Nevertheless, for such tumor-promoting functions</w:t>
      </w:r>
      <w:r w:rsidR="005D16E3">
        <w:rPr>
          <w:rFonts w:ascii="Arial" w:hAnsi="Arial" w:cs="Arial"/>
          <w:sz w:val="22"/>
          <w:szCs w:val="22"/>
          <w:lang w:val="en-US"/>
        </w:rPr>
        <w:t>,</w:t>
      </w:r>
      <w:r w:rsidR="004101F2" w:rsidRPr="006F5ABC">
        <w:rPr>
          <w:rFonts w:ascii="Arial" w:hAnsi="Arial" w:cs="Arial"/>
          <w:sz w:val="22"/>
          <w:szCs w:val="22"/>
          <w:lang w:val="en-US"/>
        </w:rPr>
        <w:t xml:space="preserve"> ROS need to be tightly regulated by ROS-buffering system at slightly increased, but still not toxic levels, especially for highly sensitive hematopoietic progenitors </w:t>
      </w:r>
      <w:r w:rsidR="004101F2" w:rsidRPr="006F5ABC">
        <w:rPr>
          <w:rFonts w:ascii="Arial" w:hAnsi="Arial" w:cs="Arial"/>
          <w:sz w:val="22"/>
          <w:szCs w:val="22"/>
          <w:lang w:val="en-US"/>
        </w:rPr>
        <w:fldChar w:fldCharType="begin"/>
      </w:r>
      <w:r w:rsidR="004101F2" w:rsidRPr="006F5ABC">
        <w:rPr>
          <w:rFonts w:ascii="Arial" w:hAnsi="Arial" w:cs="Arial"/>
          <w:sz w:val="22"/>
          <w:szCs w:val="22"/>
          <w:lang w:val="en-US"/>
        </w:rPr>
        <w:instrText xml:space="preserve"> ADDIN ZOTERO_ITEM CSL_CITATION {"citationID":"syGvjQwc","properties":{"formattedCitation":"(Galadari et al., 2017)","plainCitation":"(Galadari et al., 2017)","noteIndex":0},"citationItems":[{"id":854,"uris":["http://zotero.org/users/2484452/items/7SET6UCB"],"uri":["http://zotero.org/users/2484452/items/7SET6UCB"],"itemData":{"id":854,"type":"article-journal","abstract":"Reactive oxygen species (ROS), a group of highly reactive ions and molecules, are increasingly being appreciated as powerful signaling molecules involved in the regulation of a variety of biological processes. Indeed, their role is continuously being delineated in a variety of pathophysiological conditions. For instance, cancer cells are shown to have increased ROS levels in comparison to their normal counterparts. This is partly due to an enhanced metabolism and mitochondrial dysfunction in cancer cells. The escalated ROS generation in cancer cells contributes to the biochemical and molecular changes necessary for the tumor initiation, promotion and progression, as well as, tumor resistance to chemotherapy. Therefore, increased ROS in cancer cells may provide a unique opportunity to eliminate cancer cells via elevating ROS to highly toxic levels intracellularly, thereby, activating various ROS-induced cell death pathways, or inhibiting cancer cell resistance to chemotherapy. Such results can be achieved by using agents that either increase ROS generation, or inhibit antioxidant defense, or even a combination of both. In fact, a large variety of anticancer drugs, and some of those currently under clinical trials, effectively kill cancer cells and overcome drug resistance via enhancing ROS generation and/or impeding the antioxidant defense mechanism. This review focuses on our current understanding of the tumor promoting (tumorigenesis, angiogenesis, invasion and metastasis, and chemoresistance) and the tumor suppressive (apoptosis, autophagy, and necroptosis) functions of ROS, and highlights the potential mechanism(s) involved. It also sheds light on a very novel and an actively growing field of ROS-dependent cell death mechanism referred to as ferroptosis.","container-title":"Free Radical Biology &amp; Medicine","DOI":"10.1016/j.freeradbiomed.2017.01.004","ISSN":"1873-4596","journalAbbreviation":"Free Radic. Biol. Med.","language":"eng","note":"PMID: 28088622","page":"144-164","source":"PubMed","title":"Reactive oxygen species and cancer paradox: To promote or to suppress?","title-short":"Reactive oxygen species and cancer paradox","volume":"104","author":[{"family":"Galadari","given":"Sehamuddin"},{"family":"Rahman","given":"Anees"},{"family":"Pallichankandy","given":"Siraj"},{"family":"Thayyullathil","given":"Faisal"}],"issued":{"date-parts":[["2017"]]}}}],"schema":"https://github.com/citation-style-language/schema/raw/master/csl-citation.json"} </w:instrText>
      </w:r>
      <w:r w:rsidR="004101F2" w:rsidRPr="006F5ABC">
        <w:rPr>
          <w:rFonts w:ascii="Arial" w:hAnsi="Arial" w:cs="Arial"/>
          <w:sz w:val="22"/>
          <w:szCs w:val="22"/>
          <w:lang w:val="en-US"/>
        </w:rPr>
        <w:fldChar w:fldCharType="separate"/>
      </w:r>
      <w:r w:rsidR="004101F2" w:rsidRPr="006F5ABC">
        <w:rPr>
          <w:rFonts w:ascii="Arial" w:hAnsi="Arial" w:cs="Arial"/>
          <w:noProof/>
          <w:sz w:val="22"/>
          <w:szCs w:val="22"/>
          <w:lang w:val="en-US"/>
        </w:rPr>
        <w:t>(Galadari et al., 2017)</w:t>
      </w:r>
      <w:r w:rsidR="004101F2" w:rsidRPr="006F5ABC">
        <w:rPr>
          <w:rFonts w:ascii="Arial" w:hAnsi="Arial" w:cs="Arial"/>
          <w:sz w:val="22"/>
          <w:szCs w:val="22"/>
          <w:lang w:val="en-US"/>
        </w:rPr>
        <w:fldChar w:fldCharType="end"/>
      </w:r>
      <w:r w:rsidR="004101F2" w:rsidRPr="006F5ABC">
        <w:rPr>
          <w:rFonts w:ascii="Arial" w:hAnsi="Arial" w:cs="Arial"/>
          <w:sz w:val="22"/>
          <w:szCs w:val="22"/>
          <w:lang w:val="en-US"/>
        </w:rPr>
        <w:t xml:space="preserve">, </w:t>
      </w:r>
      <w:r w:rsidR="00CF516E">
        <w:rPr>
          <w:rFonts w:ascii="Arial" w:hAnsi="Arial" w:cs="Arial"/>
          <w:sz w:val="22"/>
          <w:szCs w:val="22"/>
          <w:lang w:val="en-US"/>
        </w:rPr>
        <w:t>reminiscent of</w:t>
      </w:r>
      <w:r w:rsidR="00CF516E" w:rsidRPr="006F5ABC">
        <w:rPr>
          <w:rFonts w:ascii="Arial" w:hAnsi="Arial" w:cs="Arial"/>
          <w:sz w:val="22"/>
          <w:szCs w:val="22"/>
          <w:lang w:val="en-US"/>
        </w:rPr>
        <w:t xml:space="preserve"> </w:t>
      </w:r>
      <w:r w:rsidR="004101F2" w:rsidRPr="006F5ABC">
        <w:rPr>
          <w:rFonts w:ascii="Arial" w:hAnsi="Arial" w:cs="Arial"/>
          <w:sz w:val="22"/>
          <w:szCs w:val="22"/>
          <w:lang w:val="en-US"/>
        </w:rPr>
        <w:t xml:space="preserve">ROS accumulation in MPN progenitors </w:t>
      </w:r>
      <w:r w:rsidR="004101F2" w:rsidRPr="006F5ABC">
        <w:rPr>
          <w:rFonts w:ascii="Arial" w:hAnsi="Arial" w:cs="Arial"/>
          <w:sz w:val="22"/>
          <w:szCs w:val="22"/>
          <w:lang w:val="en-US"/>
        </w:rPr>
        <w:fldChar w:fldCharType="begin"/>
      </w:r>
      <w:r w:rsidR="004101F2" w:rsidRPr="006F5ABC">
        <w:rPr>
          <w:rFonts w:ascii="Arial" w:hAnsi="Arial" w:cs="Arial"/>
          <w:sz w:val="22"/>
          <w:szCs w:val="22"/>
          <w:lang w:val="en-US"/>
        </w:rPr>
        <w:instrText xml:space="preserve"> ADDIN ZOTERO_ITEM CSL_CITATION {"citationID":"WWhVqbX2","properties":{"formattedCitation":"(Stetka et al., 2019)","plainCitation":"(Stetka et al., 2019)","noteIndex":0},"citationItems":[{"id":812,"uris":["http://zotero.org/users/2484452/items/7AKGISWX"],"uri":["http://zotero.org/users/2484452/items/7AKGISWX"],"itemData":{"id":812,"type":"article-journal","abstract":"Inflammatory and oncogenic signaling converge in disease evolution of BCR–ABL-negative myeloproliferative neoplasms, clonal hematopoietic stem cell disorders characterized by gain-of-function mutation in JAK2 kinase (JAK2V617F), with highest prevalence in patients with polycythemia vera (PV). Despite the high risk, DNA-damaging inflammatory microenvironment, PV progenitors tend to preserve their genomic stability over decades until their progression to post-PV myelofibrosis/acute myeloid leukemia. Using induced pluripotent stem cells-derived CD34+ progenitor-enriched cultures from JAK2V617F+ PV patient and from JAK2 wild-type healthy control, CRISPR-modified HEL cells and patients’ bone marrow sections from different disease stages, we demonstrate that JAK2V617F induces an intrinsic IFNγ- and NF-κB-associated inflammatory program, while suppressing inflammation-evoked DNA damage both in vitro and in vivo. We show that cells with JAK2V617F tightly regulate levels of inflammatory cytokines-induced reactive oxygen species, do not fully activate the ATM/p53/p21waf1 checkpoint and p38/JNK MAPK stress pathway signaling when exposed to inflammatory cytokines, suppress DNA single-strand break repair genes’ expression yet overexpress the dual-specificity phosphatase (DUSP) 1. RNAi-mediated knock-down and pharmacological inhibition of DUSP1, involved in p38/JNK deactivation, in HEL cells reveals growth addiction to DUSP1, consistent with enhanced DNA damage response and apoptosis in DUSP1-inhibited parental JAK2V617F+ cells, but not in CRISPR-modified JAK2 wild-type cells. Our results indicate that the JAK2V617F+ PV progenitors utilize DUSP1 activity as a protection mechanism against DNA damage accumulation, promoting their proliferation and survival in the inflammatory microenvironment, identifying DUSP1 as a potential therapeutic target in PV.","container-title":"Oncogene","DOI":"10.1038/s41388-019-0813-7","ISSN":"1476-5594","issue":"28","journalAbbreviation":"Oncogene","language":"en","page":"5627-5642","source":"www.nature.com","title":"Addiction to DUSP1 protects JAK2V617F-driven polycythemia vera progenitors against inflammatory stress and DNA damage, allowing chronic proliferation","volume":"38","author":[{"family":"Stetka","given":"J."},{"family":"Vyhlidalova","given":"P."},{"family":"Lanikova","given":"L."},{"family":"Koralkova","given":"P."},{"family":"Gursky","given":"J."},{"family":"Hlusi","given":"A."},{"family":"Flodr","given":"P."},{"family":"Hubackova","given":"S."},{"family":"Bartek","given":"J."},{"family":"Hodny","given":"Z."},{"family":"Divoky","given":"V."}],"issued":{"date-parts":[["2019",7]]}}}],"schema":"https://github.com/citation-style-language/schema/raw/master/csl-citation.json"} </w:instrText>
      </w:r>
      <w:r w:rsidR="004101F2" w:rsidRPr="006F5ABC">
        <w:rPr>
          <w:rFonts w:ascii="Arial" w:hAnsi="Arial" w:cs="Arial"/>
          <w:sz w:val="22"/>
          <w:szCs w:val="22"/>
          <w:lang w:val="en-US"/>
        </w:rPr>
        <w:fldChar w:fldCharType="separate"/>
      </w:r>
      <w:r w:rsidR="004101F2" w:rsidRPr="006F5ABC">
        <w:rPr>
          <w:rFonts w:ascii="Arial" w:hAnsi="Arial" w:cs="Arial"/>
          <w:noProof/>
          <w:sz w:val="22"/>
          <w:szCs w:val="22"/>
          <w:lang w:val="en-US"/>
        </w:rPr>
        <w:t>(Stetka et al., 2019)</w:t>
      </w:r>
      <w:r w:rsidR="004101F2" w:rsidRPr="006F5ABC">
        <w:rPr>
          <w:rFonts w:ascii="Arial" w:hAnsi="Arial" w:cs="Arial"/>
          <w:sz w:val="22"/>
          <w:szCs w:val="22"/>
          <w:lang w:val="en-US"/>
        </w:rPr>
        <w:fldChar w:fldCharType="end"/>
      </w:r>
      <w:r w:rsidR="004101F2" w:rsidRPr="006F5ABC">
        <w:rPr>
          <w:rFonts w:ascii="Arial" w:hAnsi="Arial" w:cs="Arial"/>
          <w:sz w:val="22"/>
          <w:szCs w:val="22"/>
          <w:lang w:val="en-US"/>
        </w:rPr>
        <w:t xml:space="preserve">. Furthermore, excessive ROS production in MPNs was shown to increase proliferative advantage of </w:t>
      </w:r>
      <w:r w:rsidR="004101F2" w:rsidRPr="006F5ABC">
        <w:rPr>
          <w:rFonts w:ascii="Arial" w:hAnsi="Arial" w:cs="Arial"/>
          <w:i/>
          <w:iCs/>
          <w:sz w:val="22"/>
          <w:szCs w:val="22"/>
          <w:lang w:val="en-US"/>
        </w:rPr>
        <w:t>JAK2</w:t>
      </w:r>
      <w:r w:rsidR="004101F2" w:rsidRPr="006F5ABC">
        <w:rPr>
          <w:rFonts w:ascii="Arial" w:hAnsi="Arial" w:cs="Arial"/>
          <w:sz w:val="22"/>
          <w:szCs w:val="22"/>
          <w:lang w:val="en-US"/>
        </w:rPr>
        <w:t xml:space="preserve"> V617F-postitive clones </w:t>
      </w:r>
      <w:r w:rsidR="004101F2" w:rsidRPr="006F5ABC">
        <w:rPr>
          <w:rFonts w:ascii="Arial" w:hAnsi="Arial" w:cs="Arial"/>
          <w:sz w:val="22"/>
          <w:szCs w:val="22"/>
          <w:lang w:val="en-US"/>
        </w:rPr>
        <w:fldChar w:fldCharType="begin"/>
      </w:r>
      <w:r w:rsidR="004101F2" w:rsidRPr="006F5ABC">
        <w:rPr>
          <w:rFonts w:ascii="Arial" w:hAnsi="Arial" w:cs="Arial"/>
          <w:sz w:val="22"/>
          <w:szCs w:val="22"/>
          <w:lang w:val="en-US"/>
        </w:rPr>
        <w:instrText xml:space="preserve"> ADDIN ZOTERO_ITEM CSL_CITATION {"citationID":"f1wJt81J","properties":{"formattedCitation":"(Hasselbalch, 2014; Xu et al., 2013; Yalcin et al., 2010)","plainCitation":"(Hasselbalch, 2014; Xu et al., 2013; Yalcin et al., 2010)","noteIndex":0},"citationItems":[{"id":1108,"uris":["http://zotero.org/users/2484452/items/N9ATWQIM"],"uri":["http://zotero.org/users/2484452/items/N9ATWQIM"],"itemData":{"id":1108,"type":"article-journal","abstract":"Chronic inflammation is suggested to contribute to the Philadelphia-chromosome-negative myeloproliferative neoplasm (MPN) disease initiation and progression, as well as the development of premature atherosclerosis and may drive the development of other cancers in MPNs, both nonhematologic and hematologic. The MPN population has a substantial comorbidity burden, including cerebral, cardiovascular, pulmonary, abdominal, renal, metabolic, skeletal, autoimmune, and chronic inflammatory diseases. This review describes the comorbidities associated with MPNs and the potential impact of early intervention with anti-inflammatory and/or immunomodulatory agents such as JAK-inhibitors, statins, and IFN-α to inhibit cancer progression and reduce MPN-associated comorbidity impact. Early intervention may yield a subset of patients who achieve minimal residual disease, thereby likely reducing the comorbidity burden and improving the cost-effective socioeconomic profile.","container-title":"Expert Review of Hematology","DOI":"10.1586/17474086.2013.876356","ISSN":"1747-4094","issue":"2","journalAbbreviation":"Expert Rev Hematol","language":"eng","note":"PMID: 24524202","page":"203-216","source":"PubMed","title":"Perspectives on the impact of JAK-inhibitor therapy upon inflammation-mediated comorbidities in myelofibrosis and related neoplasms","volume":"7","author":[{"family":"Hasselbalch","given":"Hans C."}],"issued":{"date-parts":[["2014",4]]}}},{"id":1113,"uris":["http://zotero.org/users/2484452/items/B4VPFT68"],"uri":["http://zotero.org/users/2484452/items/B4VPFT68"],"itemData":{"id":1113,"type":"article-journal","abstract":"Gain of function (GOF) mutations in protein tyrosine phosphatase Ptpn11 have been identified in childhood leukemias, and these mutations are sufficient to drive the development of myeloproliferative disorder and malignant leukemias in mice. However, the molecular mechanisms by which Ptpn11 mutations induce these malignancies are not completely understood. Here we report that Ptpn11 GOF mutations cause cytokine hypersensitivity in hematopoietic cells partly by enhancing the production of reactive oxygen species (ROS). GOF mutations D61G or E76K in Ptpn11 increased ROS levels in myeloid progenitors but not in hematopoietic stem cells. Increased ROS enhanced cellular responses to cytokines by promoting cytokine signaling. Treatment with an antioxidant partially corrected cytokine hypersensitivity in Ptpn11 mutant progenitors. Further analyses demonstrated that Ptpn11 mutations increased mitochondrial aerobic metabolism by interacting with a novel substrate in the mitochondria. This study provides new insights into the pathogenic effects of GOF mutations of Ptpn11 and implies that antioxidants may have a therapeutic benefit for the leukemic patients with these mutations.","container-title":"PloS One","DOI":"10.1371/journal.pone.0063152","ISSN":"1932-6203","issue":"5","journalAbbreviation":"PLoS ONE","language":"eng","note":"PMID: 23675459\nPMCID: PMC3651249","page":"e63152","source":"PubMed","title":"Activating mutations in protein tyrosine phosphatase Ptpn11 (Shp2) enhance reactive oxygen species production that contributes to myeloproliferative disorder","volume":"8","author":[{"family":"Xu","given":"Dan"},{"family":"Zheng","given":"Hong"},{"family":"Yu","given":"Wen-Mei"},{"family":"Qu","given":"Cheng-Kui"}],"issued":{"date-parts":[["2013"]]}}},{"id":1110,"uris":["http://zotero.org/users/2484452/items/ZGAVATBN"],"uri":["http://zotero.org/users/2484452/items/ZGAVATBN"],"itemData":{"id":1110,"type":"article-journal","abstract":"Reactive oxygen species (ROS) participate in normal intracellular signalling and in many diseases including cancer and aging, although the associated mechanisms are not fully understood. Forkhead Box O (FoxO) 3 transcription factor regulates levels of ROS concentrations, and is essential for maintenance of hematopoietic stem cells. Here, we show that loss of Foxo3 causes a myeloproliferative syndrome with splenomegaly and increased hematopoietic progenitors (HPs) that are hypersensitive to cytokines. These mutant HPs contain increased ROS, overactive intracellular signalling through the AKT/mammalian target of rapamycin signalling pathway and relative deficiency of Lnk, a negative regulator of cytokine receptor signalling. In vivo treatment with ROS scavenger N-acetyl-cysteine corrects these biochemical abnormalities and relieves the myeloproliferation. Moreover, enforced expression of Lnk by retroviral transfer corrects the abnormal expansion of Foxo3(-/-) HPs in vivo. Our combined results show that loss of Foxo3 causes increased ROS accumulation in HPs. In turn, this inhibits Lnk expression that contributes to exaggerated cytokine responses that lead to myeloproliferation. Our findings could explain the mechanisms by which mutations that alter Foxo3 function induce malignancy. More generally, the work illustrates how deregulated ROS may contribute to malignant progression.","container-title":"The EMBO journal","DOI":"10.1038/emboj.2010.292","ISSN":"1460-2075","issue":"24","journalAbbreviation":"EMBO J.","language":"eng","note":"PMID: 21113129\nPMCID: PMC3018793","page":"4118-4131","source":"PubMed","title":"ROS-mediated amplification of AKT/mTOR signalling pathway leads to myeloproliferative syndrome in Foxo3(-/-) mice","volume":"29","author":[{"family":"Yalcin","given":"Safak"},{"family":"Marinkovic","given":"Dragan"},{"family":"Mungamuri","given":"Sathish Kumar"},{"family":"Zhang","given":"Xin"},{"family":"Tong","given":"Wei"},{"family":"Sellers","given":"Rani"},{"family":"Ghaffari","given":"Saghi"}],"issued":{"date-parts":[["2010",12,15]]}}}],"schema":"https://github.com/citation-style-language/schema/raw/master/csl-citation.json"} </w:instrText>
      </w:r>
      <w:r w:rsidR="004101F2" w:rsidRPr="006F5ABC">
        <w:rPr>
          <w:rFonts w:ascii="Arial" w:hAnsi="Arial" w:cs="Arial"/>
          <w:sz w:val="22"/>
          <w:szCs w:val="22"/>
          <w:lang w:val="en-US"/>
        </w:rPr>
        <w:fldChar w:fldCharType="separate"/>
      </w:r>
      <w:r w:rsidR="004101F2" w:rsidRPr="006F5ABC">
        <w:rPr>
          <w:rFonts w:ascii="Arial" w:hAnsi="Arial" w:cs="Arial"/>
          <w:noProof/>
          <w:sz w:val="22"/>
          <w:szCs w:val="22"/>
          <w:lang w:val="en-US"/>
        </w:rPr>
        <w:t>(Hasselbalch, 2014; Xu et al., 2013; Yalcin et al., 2010)</w:t>
      </w:r>
      <w:r w:rsidR="004101F2" w:rsidRPr="006F5ABC">
        <w:rPr>
          <w:rFonts w:ascii="Arial" w:hAnsi="Arial" w:cs="Arial"/>
          <w:sz w:val="22"/>
          <w:szCs w:val="22"/>
          <w:lang w:val="en-US"/>
        </w:rPr>
        <w:fldChar w:fldCharType="end"/>
      </w:r>
      <w:r w:rsidR="004101F2" w:rsidRPr="006F5ABC">
        <w:rPr>
          <w:rFonts w:ascii="Arial" w:hAnsi="Arial" w:cs="Arial"/>
          <w:sz w:val="22"/>
          <w:szCs w:val="22"/>
          <w:lang w:val="en-US"/>
        </w:rPr>
        <w:t>.</w:t>
      </w:r>
      <w:r w:rsidR="00236A7A" w:rsidRPr="006F5ABC">
        <w:rPr>
          <w:rFonts w:ascii="Arial" w:hAnsi="Arial" w:cs="Arial"/>
          <w:sz w:val="22"/>
          <w:szCs w:val="22"/>
          <w:lang w:val="en-US"/>
        </w:rPr>
        <w:t xml:space="preserve"> As discussed in subsections of 1.1, with advent of ultra-sensitive DNA-sequencing</w:t>
      </w:r>
      <w:r w:rsidR="00E27D0F">
        <w:rPr>
          <w:rFonts w:ascii="Arial" w:hAnsi="Arial" w:cs="Arial"/>
          <w:sz w:val="22"/>
          <w:szCs w:val="22"/>
          <w:lang w:val="en-US"/>
        </w:rPr>
        <w:t>,</w:t>
      </w:r>
      <w:r w:rsidR="00236A7A" w:rsidRPr="006F5ABC">
        <w:rPr>
          <w:rFonts w:ascii="Arial" w:hAnsi="Arial" w:cs="Arial"/>
          <w:sz w:val="22"/>
          <w:szCs w:val="22"/>
          <w:lang w:val="en-US"/>
        </w:rPr>
        <w:t xml:space="preserve"> various publications showed presence of persisting pre-leukemia-associated mutations, including </w:t>
      </w:r>
      <w:r w:rsidR="00236A7A" w:rsidRPr="006F5ABC">
        <w:rPr>
          <w:rFonts w:ascii="Arial" w:hAnsi="Arial" w:cs="Arial"/>
          <w:i/>
          <w:iCs/>
          <w:sz w:val="22"/>
          <w:szCs w:val="22"/>
          <w:lang w:val="en-US"/>
        </w:rPr>
        <w:t>JAK2</w:t>
      </w:r>
      <w:r w:rsidR="00236A7A" w:rsidRPr="006F5ABC">
        <w:rPr>
          <w:rFonts w:ascii="Arial" w:hAnsi="Arial" w:cs="Arial"/>
          <w:sz w:val="22"/>
          <w:szCs w:val="22"/>
          <w:lang w:val="en-US"/>
        </w:rPr>
        <w:t xml:space="preserve"> V617F at very low frequencies in most of aged, healthy individuals together with clonal hematopoiesis</w:t>
      </w:r>
      <w:r w:rsidR="00236A7A" w:rsidRPr="006F5ABC">
        <w:rPr>
          <w:rFonts w:ascii="Arial" w:hAnsi="Arial" w:cs="Arial"/>
          <w:b/>
          <w:sz w:val="22"/>
          <w:szCs w:val="22"/>
          <w:lang w:val="en-US"/>
        </w:rPr>
        <w:t xml:space="preserve"> </w:t>
      </w:r>
      <w:r w:rsidR="00236A7A" w:rsidRPr="006F5ABC">
        <w:rPr>
          <w:rFonts w:ascii="Arial" w:hAnsi="Arial" w:cs="Arial"/>
          <w:sz w:val="22"/>
          <w:szCs w:val="22"/>
          <w:lang w:val="en-US"/>
        </w:rPr>
        <w:fldChar w:fldCharType="begin"/>
      </w:r>
      <w:r w:rsidR="00236A7A" w:rsidRPr="006F5ABC">
        <w:rPr>
          <w:rFonts w:ascii="Arial" w:hAnsi="Arial" w:cs="Arial"/>
          <w:sz w:val="22"/>
          <w:szCs w:val="22"/>
          <w:lang w:val="en-US"/>
        </w:rPr>
        <w:instrText xml:space="preserve"> ADDIN ZOTERO_ITEM CSL_CITATION {"citationID":"31qNgB6B","properties":{"formattedCitation":"(Genovese et al., 2014; Jaiswal et al., 2014; Steensma et al., 2015; Xie et al., 2014; Young et al., 2016)","plainCitation":"(Genovese et al., 2014; Jaiswal et al., 2014; Steensma et al., 2015; Xie et al., 2014; Young et al., 2016)","noteIndex":0},"citationItems":[{"id":869,"uris":["http://zotero.org/users/2484452/items/GFJTJSZP"],"uri":["http://zotero.org/users/2484452/items/GFJTJSZP"],"itemData":{"id":869,"type":"article-journal","abstract":"BACKGROUND: Cancers arise from multiple acquired mutations, which presumably occur over many years. Early stages in cancer development might be present years before cancers become clinically apparent.\nMETHODS: We analyzed data from whole-exome sequencing of DNA in peripheral-blood cells from 12,380 persons, unselected for cancer or hematologic phenotypes. We identified somatic mutations on the basis of unusual allelic fractions. We used data from Swedish national patient registers to follow health outcomes for 2 to 7 years after DNA sampling.\nRESULTS: Clonal hematopoiesis with somatic mutations was observed in 10% of persons older than 65 years of age but in only 1% of those younger than 50 years of age. Detectable clonal expansions most frequently involved somatic mutations in three genes (DNMT3A, ASXL1, and TET2) that have previously been implicated in hematologic cancers. Clonal hematopoiesis was a strong risk factor for subsequent hematologic cancer (hazard ratio, 12.9; 95% confidence interval, 5.8 to 28.7). Approximately 42% of hematologic cancers in this cohort arose in persons who had clonality at the time of DNA sampling, more than 6 months before a first diagnosis of cancer. Analysis of bone marrow-biopsy specimens obtained from two patients at the time of diagnosis of acute myeloid leukemia revealed that their cancers arose from the earlier clones.\nCONCLUSIONS: Clonal hematopoiesis with somatic mutations is readily detected by means of DNA sequencing, is increasingly common as people age, and is associated with increased risks of hematologic cancer and death. A subset of the genes that are mutated in patients with myeloid cancers is frequently mutated in apparently healthy persons; these mutations may represent characteristic early events in the development of hematologic cancers. (Funded by the National Human Genome Research Institute and others.).","container-title":"The New England Journal of Medicine","DOI":"10.1056/NEJMoa1409405","ISSN":"1533-4406","issue":"26","journalAbbreviation":"N. Engl. J. Med.","language":"eng","note":"PMID: 25426838\nPMCID: PMC4290021","page":"2477-2487","source":"PubMed","title":"Clonal hematopoiesis and blood-cancer risk inferred from blood DNA sequence","volume":"371","author":[{"family":"Genovese","given":"Giulio"},{"family":"Kähler","given":"Anna K."},{"family":"Handsaker","given":"Robert E."},{"family":"Lindberg","given":"Johan"},{"family":"Rose","given":"Samuel A."},{"family":"Bakhoum","given":"Samuel F."},{"family":"Chambert","given":"Kimberly"},{"family":"Mick","given":"Eran"},{"family":"Neale","given":"Benjamin M."},{"family":"Fromer","given":"Menachem"},{"family":"Purcell","given":"Shaun M."},{"family":"Svantesson","given":"Oscar"},{"family":"Landén","given":"Mikael"},{"family":"Höglund","given":"Martin"},{"family":"Lehmann","given":"Sören"},{"family":"Gabriel","given":"Stacey B."},{"family":"Moran","given":"Jennifer L."},{"family":"Lander","given":"Eric S."},{"family":"Sullivan","given":"Patrick F."},{"family":"Sklar","given":"Pamela"},{"family":"Grönberg","given":"Henrik"},{"family":"Hultman","given":"Christina M."},{"family":"McCarroll","given":"Steven A."}],"issued":{"date-parts":[["2014",12,25]]}}},{"id":872,"uris":["http://zotero.org/users/2484452/items/8P25GC9F"],"uri":["http://zotero.org/users/2484452/items/8P25GC9F"],"itemData":{"id":872,"type":"article-journal","abstract":"BACKGROUND: The incidence of hematologic cancers increases with age. These cancers are associated with recurrent somatic mutations in specific genes. We hypothesized that such mutations would be detectable in the blood of some persons who are not known to have hematologic disorders.\nMETHODS: We analyzed whole-exome sequencing data from DNA in the peripheral-blood cells of 17,182 persons who were unselected for hematologic phenotypes. We looked for somatic mutations by identifying previously characterized single-nucleotide variants and small insertions or deletions in 160 genes that are recurrently mutated in hematologic cancers. The presence of mutations was analyzed for an association with hematologic phenotypes, survival, and cardiovascular events.\nRESULTS: Detectable somatic mutations were rare in persons younger than 40 years of age but rose appreciably in frequency with age. Among persons 70 to 79 years of age, 80 to 89 years of age, and 90 to 108 years of age, these clonal mutations were observed in 9.5% (219 of 2300 persons), 11.7% (37 of 317), and 18.4% (19 of 103), respectively. The majority of the variants occurred in three genes: DNMT3A, TET2, and ASXL1. The presence of a somatic mutation was associated with an increase in the risk of hematologic cancer (hazard ratio, 11.1; 95% confidence interval [CI], 3.9 to 32.6), an increase in all-cause mortality (hazard ratio, 1.4; 95% CI, 1.1 to 1.8), and increases in the risks of incident coronary heart disease (hazard ratio, 2.0; 95% CI, 1.2 to 3.4) and ischemic stroke (hazard ratio, 2.6; 95% CI, 1.4 to 4.8).\nCONCLUSIONS: Age-related clonal hematopoiesis is a common condition that is associated with increases in the risk of hematologic cancer and in all-cause mortality, with the latter possibly due to an increased risk of cardiovascular disease. (Funded by the National Institutes of Health and others.).","container-title":"The New England Journal of Medicine","DOI":"10.1056/NEJMoa1408617","ISSN":"1533-4406","issue":"26","journalAbbreviation":"N. Engl. J. Med.","language":"eng","note":"PMID: 25426837\nPMCID: PMC4306669","page":"2488-2498","source":"PubMed","title":"Age-related clonal hematopoiesis associated with adverse outcomes","volume":"371","author":[{"family":"Jaiswal","given":"Siddhartha"},{"family":"Fontanillas","given":"Pierre"},{"family":"Flannick","given":"Jason"},{"family":"Manning","given":"Alisa"},{"family":"Grauman","given":"Peter V."},{"family":"Mar","given":"Brenton G."},{"family":"Lindsley","given":"R. Coleman"},{"family":"Mermel","given":"Craig H."},{"family":"Burtt","given":"Noel"},{"family":"Chavez","given":"Alejandro"},{"family":"Higgins","given":"John M."},{"family":"Moltchanov","given":"Vladislav"},{"family":"Kuo","given":"Frank C."},{"family":"Kluk","given":"Michael J."},{"family":"Henderson","given":"Brian"},{"family":"Kinnunen","given":"Leena"},{"family":"Koistinen","given":"Heikki A."},{"family":"Ladenvall","given":"Claes"},{"family":"Getz","given":"Gad"},{"family":"Correa","given":"Adolfo"},{"family":"Banahan","given":"Benjamin F."},{"family":"Gabriel","given":"Stacey"},{"family":"Kathiresan","given":"Sekar"},{"family":"Stringham","given":"Heather M."},{"family":"McCarthy","given":"Mark I."},{"family":"Boehnke","given":"Michael"},{"family":"Tuomilehto","given":"Jaakko"},{"family":"Haiman","given":"Christopher"},{"family":"Groop","given":"Leif"},{"family":"Atzmon","given":"Gil"},{"family":"Wilson","given":"James G."},{"family":"Neuberg","given":"Donna"},{"family":"Altshuler","given":"David"},{"family":"Ebert","given":"Benjamin L."}],"issued":{"date-parts":[["2014",12,25]]}}},{"id":878,"uris":["http://zotero.org/users/2484452/items/VKF58DUV"],"uri":["http://zotero.org/users/2484452/items/VKF58DUV"],"itemData":{"id":878,"type":"article-journal","abstract":"Recent genetic analyses of large populations have revealed that somatic mutations in hematopoietic cells leading to clonal expansion are commonly acquired during human aging. Clonally restricted hematopoiesis is associated with an increased risk of subsequent diagnosis of myeloid or lymphoid neoplasia and increased all-cause mortality. Although myelodysplastic syndromes (MDS) are defined by cytopenias, dysplastic morphology of blood and marrow cells, and clonal hematopoiesis, most individuals who acquire clonal hematopoiesis during aging will never develop MDS. Therefore, acquisition of somatic mutations that drive clonal expansion in the absence of cytopenias and dysplastic hematopoiesis can be considered clonal hematopoiesis of indeterminate potential (CHIP), analogous to monoclonal gammopathy of undetermined significance and monoclonal B-cell lymphocytosis, which are precursor states for hematologic neoplasms but are usually benign and do not progress. Because mutations are frequently observed in healthy older persons, detection of an MDS-associated somatic mutation in a cytopenic patient without other evidence of MDS may cause diagnostic uncertainty. Here we discuss the nature and prevalence of CHIP, distinction of this state from MDS, and current areas of uncertainty regarding diagnostic criteria for myeloid malignancies.","container-title":"Blood","DOI":"10.1182/blood-2015-03-631747","ISSN":"1528-0020","issue":"1","journalAbbreviation":"Blood","language":"eng","note":"PMID: 25931582\nPMCID: PMC4624443","page":"9-16","source":"PubMed","title":"Clonal hematopoiesis of indeterminate potential and its distinction from myelodysplastic syndromes","volume":"126","author":[{"family":"Steensma","given":"David P."},{"family":"Bejar","given":"Rafael"},{"family":"Jaiswal","given":"Siddhartha"},{"family":"Lindsley","given":"R. Coleman"},{"family":"Sekeres","given":"Mikkael A."},{"family":"Hasserjian","given":"Robert P."},{"family":"Ebert","given":"Benjamin L."}],"issued":{"date-parts":[["2015",7,2]]}}},{"id":224,"uris":["http://zotero.org/users/2484452/items/HDGURK68"],"uri":["http://zotero.org/users/2484452/items/HDGURK68"],"itemData":{"id":224,"type":"article-journal","abstract":"Several genetic alterations characteristic of leukemia and lymphoma have been detected in the blood of individuals without apparent hematological malignancies. The Cancer Genome Atlas (TCGA) provides a unique resource for comprehensive discovery of mutations and genes in blood that may contribute to the clonal expansion of hematopoietic stem/progenitor cells. Here, we analyzed blood-derived sequence data from 2,728 individuals from TCGA and discovered 77 blood-specific mutations in cancer-associated genes, the majority being associated with advanced age. Remarkably, 83% of these mutations were from 19 leukemia and/or lymphoma-associated genes, and nine were recurrently mutated (DNMT3A, TET2, JAK2, ASXL1, TP53, GNAS, PPM1D, BCORL1 and SF3B1). We identified 14 additional mutations in a very small fraction of blood cells, possibly representing the earliest stages of clonal expansion in hematopoietic stem cells. Comparison of these findings to mutations in hematological malignancies identified several recurrently mutated genes that may be disease initiators. Our analyses show that the blood cells of more than 2% of individuals (5-6% of people older than 70 years) contain mutations that may represent premalignant events that cause clonal hematopoietic expansion.","container-title":"Nature Medicine","DOI":"10.1038/nm.3733","ISSN":"1546-170X","issue":"12","journalAbbreviation":"Nat. Med.","language":"eng","note":"PMID: 25326804\nPMCID: PMC4313872","page":"1472-1478","source":"PubMed","title":"Age-related mutations associated with clonal hematopoietic expansion and malignancies","volume":"20","author":[{"family":"Xie","given":"Mingchao"},{"family":"Lu","given":"Charles"},{"family":"Wang","given":"Jiayin"},{"family":"McLellan","given":"Michael D."},{"family":"Johnson","given":"Kimberly J."},{"family":"Wendl","given":"Michael C."},{"family":"McMichael","given":"Joshua F."},{"family":"Schmidt","given":"Heather K."},{"family":"Yellapantula","given":"Venkata"},{"family":"Miller","given":"Christopher A."},{"family":"Ozenberger","given":"Bradley A."},{"family":"Welch","given":"John S."},{"family":"Link","given":"Daniel C."},{"family":"Walter","given":"Matthew J."},{"family":"Mardis","given":"Elaine R."},{"family":"Dipersio","given":"John F."},{"family":"Chen","given":"Feng"},{"family":"Wilson","given":"Richard K."},{"family":"Ley","given":"Timothy J."},{"family":"Ding","given":"Li"}],"issued":{"date-parts":[["2014",12]]}}},{"id":226,"uris":["http://zotero.org/users/2484452/items/Y8U6WDZJ"],"uri":["http://zotero.org/users/2484452/items/Y8U6WDZJ"],"itemData":{"id":226,"type":"article-journal","abstract":"Clonal haematopoiesis is thought to be a rare condition that increases in frequency with age and predisposes individuals to haematological malignancy. Recent studies, utilizing next-generation sequencing (NGS), observed haematopoietic clones in 10% of 70-year olds and rarely in younger individuals. However, these studies could only detect common haematopoietic clones-&gt;0.02 variant allele fraction (VAF)-due to the error rate of NGS. To identify and characterize clonal mutations below this threshold, here we develop methods for targeted error-corrected sequencing, which enable the accurate detection of clonal mutations as rare as 0.0003 VAF. We apply these methods to study serially banked peripheral blood samples from healthy 50-60-year-old participants in the Nurses' Health Study. We observe clonal haematopoiesis, frequently harbouring mutations in DNMT3A and TET2, in 95% of individuals studied. These clonal mutations are often stable longitudinally and present in multiple haematopoietic compartments, suggesting a long-lived haematopoietic stem and progenitor cell of origin.","container-title":"Nature Communications","DOI":"10.1038/ncomms12484","ISSN":"2041-1723","journalAbbreviation":"Nat Commun","language":"eng","note":"PMID: 27546487\nPMCID: PMC4996934","page":"12484","source":"PubMed","title":"Clonal haematopoiesis harbouring AML-associated mutations is ubiquitous in healthy adults","volume":"7","author":[{"family":"Young","given":"Andrew L."},{"family":"Challen","given":"Grant A."},{"family":"Birmann","given":"Brenda M."},{"family":"Druley","given":"Todd E."}],"issued":{"date-parts":[["2016"]],"season":"22"}}}],"schema":"https://github.com/citation-style-language/schema/raw/master/csl-citation.json"} </w:instrText>
      </w:r>
      <w:r w:rsidR="00236A7A" w:rsidRPr="006F5ABC">
        <w:rPr>
          <w:rFonts w:ascii="Arial" w:hAnsi="Arial" w:cs="Arial"/>
          <w:sz w:val="22"/>
          <w:szCs w:val="22"/>
          <w:lang w:val="en-US"/>
        </w:rPr>
        <w:fldChar w:fldCharType="separate"/>
      </w:r>
      <w:r w:rsidR="00236A7A" w:rsidRPr="006F5ABC">
        <w:rPr>
          <w:rFonts w:ascii="Arial" w:hAnsi="Arial" w:cs="Arial"/>
          <w:sz w:val="22"/>
          <w:szCs w:val="22"/>
          <w:lang w:val="en-US"/>
        </w:rPr>
        <w:t>(Genovese et al., 2014; Jaiswal et al., 2014; Steensma et al., 2015; Xie et al., 2014; Young et al., 2016)</w:t>
      </w:r>
      <w:r w:rsidR="00236A7A" w:rsidRPr="006F5ABC">
        <w:rPr>
          <w:rFonts w:ascii="Arial" w:hAnsi="Arial" w:cs="Arial"/>
          <w:sz w:val="22"/>
          <w:szCs w:val="22"/>
          <w:lang w:val="en-US"/>
        </w:rPr>
        <w:fldChar w:fldCharType="end"/>
      </w:r>
      <w:r w:rsidR="00236A7A" w:rsidRPr="006F5ABC">
        <w:rPr>
          <w:rFonts w:ascii="Arial" w:hAnsi="Arial" w:cs="Arial"/>
          <w:sz w:val="22"/>
          <w:szCs w:val="22"/>
          <w:lang w:val="en-US"/>
        </w:rPr>
        <w:t xml:space="preserve">. As aging in general is also associated with increased DNA damage, inflammation and senescence-associated secretory phenotype, with myeloid skewing in hematopoietic compartment </w:t>
      </w:r>
      <w:r w:rsidR="00236A7A" w:rsidRPr="006F5ABC">
        <w:rPr>
          <w:rFonts w:ascii="Arial" w:hAnsi="Arial" w:cs="Arial"/>
          <w:b/>
          <w:sz w:val="22"/>
          <w:szCs w:val="22"/>
        </w:rPr>
        <w:fldChar w:fldCharType="begin"/>
      </w:r>
      <w:r w:rsidR="00236A7A" w:rsidRPr="006F5ABC">
        <w:rPr>
          <w:rFonts w:ascii="Arial" w:hAnsi="Arial" w:cs="Arial"/>
          <w:sz w:val="22"/>
          <w:szCs w:val="22"/>
          <w:lang w:val="en-US"/>
        </w:rPr>
        <w:instrText xml:space="preserve"> ADDIN ZOTERO_ITEM CSL_CITATION {"citationID":"15PKEc1G","properties":{"formattedCitation":"(Rossi et al., 2005; Sun et al., 2014)","plainCitation":"(Rossi et al., 2005; Sun et al., 2014)","noteIndex":0},"citationItems":[{"id":884,"uris":["http://zotero.org/users/2484452/items/TVPF7QTF"],"uri":["http://zotero.org/users/2484452/items/TVPF7QTF"],"itemData":{"id":884,"type":"article-journal","abstract":"To investigate the cell-intrinsic aging mechanisms that erode the function of somatic stem cells during aging, we have conducted a comprehensive integrated genomic analysis of young and aged cells. We profiled the transcriptome, DNA methylome, and histone modifications of young and old murine hematopoietic stem cells (HSCs). Transcriptome analysis indicated reduced TGF-β signaling and perturbation of genes involved in HSC proliferation and differentiation. Aged HSCs exhibited broader H3K4me3 peaks across HSC identity and self-renewal genes and showed increased DNA methylation at transcription factor binding sites associated with differentiation-promoting genes combined with a reduction at genes associated with HSC maintenance. Altogether, these changes reinforce HSC self-renewal and diminish differentiation, paralleling phenotypic HSC aging behavior. Ribosomal biogenesis emerged as a particular target of aging with increased transcription of ribosomal protein and RNA genes and hypomethylation of rRNA genes. This data set will serve as a reference for future epigenomic analysis of stem cell aging.","container-title":"Cell Stem Cell","DOI":"10.1016/j.stem.2014.03.002","ISSN":"1934-5909","issue":"5","journalAbbreviation":"Cell Stem Cell","language":"en","page":"673-688","source":"ScienceDirect","title":"Epigenomic Profiling of Young and Aged HSCs Reveals Concerted Changes during Aging that Reinforce Self-Renewal","volume":"14","author":[{"family":"Sun","given":"Deqiang"},{"family":"Luo","given":"Min"},{"family":"Jeong","given":"Mira"},{"family":"Rodriguez","given":"Benjamin"},{"family":"Xia","given":"Zheng"},{"family":"Hannah","given":"Rebecca"},{"family":"Wang","given":"Hui"},{"family":"Le","given":"Thuc"},{"family":"Faull","given":"Kym F."},{"family":"Chen","given":"Rui"},{"family":"Gu","given":"Hongcang"},{"family":"Bock","given":"Christoph"},{"family":"Meissner","given":"Alexander"},{"family":"Göttgens","given":"Berthold"},{"family":"Darlington","given":"Gretchen J."},{"family":"Li","given":"Wei"},{"family":"Goodell","given":"Margaret A."}],"issued":{"date-parts":[["2014",5,1]]}}},{"id":887,"uris":["http://zotero.org/users/2484452/items/8ZKUXY33"],"uri":["http://zotero.org/users/2484452/items/8ZKUXY33"],"itemData":{"id":887,"type":"article-journal","abstract":"Loss of immune function and an increased incidence of myeloid leukemia are two of the most clinically significant consequences of aging of the hematopoietic system. To better understand the mechanisms underlying hematopoietic aging, we evaluated the cell intrinsic functional and molecular properties of highly purified long-term hematopoietic stem cells (LT-HSCs) from young and old mice. We found that LT-HSC aging was accompanied by cell autonomous changes, including increased stem cell self-renewal, differential capacity to generate committed myeloid and lymphoid progenitors, and diminished lymphoid potential. Expression profiling revealed that LT-HSC aging was accompanied by the systemic down-regulation of genes mediating lymphoid specification and function and up-regulation of genes involved in specifying myeloid fate and function. Moreover, LT-HSCs from old mice expressed elevated levels of many genes involved in leukemic transformation. These data support a model in which age-dependent alterations in gene expression at the stem cell level presage downstream developmental potential and thereby contribute to age-dependent immune decline, and perhaps also to the increased incidence of leukemia in the elderly.","container-title":"Proceedings of the National Academy of Sciences","DOI":"10.1073/pnas.0503280102","ISSN":"0027-8424, 1091-6490","issue":"26","journalAbbreviation":"PNAS","language":"en","note":"PMID: 15967997","page":"9194-9199","source":"www.pnas.org","title":"Cell intrinsic alterations underlie hematopoietic stem cell aging","volume":"102","author":[{"family":"Rossi","given":"Derrick J."},{"family":"Bryder","given":"David"},{"family":"Zahn","given":"Jacob M."},{"family":"Ahlenius","given":"Henrik"},{"family":"Sonu","given":"Rebecca"},{"family":"Wagers","given":"Amy J."},{"family":"Weissman","given":"Irving L."}],"issued":{"date-parts":[["2005",6,28]]}}}],"schema":"https://github.com/citation-style-language/schema/raw/master/csl-citation.json"} </w:instrText>
      </w:r>
      <w:r w:rsidR="00236A7A" w:rsidRPr="006F5ABC">
        <w:rPr>
          <w:rFonts w:ascii="Arial" w:hAnsi="Arial" w:cs="Arial"/>
          <w:b/>
          <w:sz w:val="22"/>
          <w:szCs w:val="22"/>
        </w:rPr>
        <w:fldChar w:fldCharType="separate"/>
      </w:r>
      <w:r w:rsidR="00236A7A" w:rsidRPr="006F5ABC">
        <w:rPr>
          <w:rFonts w:ascii="Arial" w:hAnsi="Arial" w:cs="Arial"/>
          <w:noProof/>
          <w:sz w:val="22"/>
          <w:szCs w:val="22"/>
          <w:lang w:val="en-US"/>
        </w:rPr>
        <w:t>(Rossi et al., 2005; Sun et al., 2014)</w:t>
      </w:r>
      <w:r w:rsidR="00236A7A" w:rsidRPr="006F5ABC">
        <w:rPr>
          <w:rFonts w:ascii="Arial" w:hAnsi="Arial" w:cs="Arial"/>
          <w:b/>
          <w:sz w:val="22"/>
          <w:szCs w:val="22"/>
        </w:rPr>
        <w:fldChar w:fldCharType="end"/>
      </w:r>
      <w:r w:rsidR="00236A7A" w:rsidRPr="006F5ABC">
        <w:rPr>
          <w:rFonts w:ascii="Arial" w:hAnsi="Arial" w:cs="Arial"/>
          <w:sz w:val="22"/>
          <w:szCs w:val="22"/>
          <w:lang w:val="en-US"/>
        </w:rPr>
        <w:t xml:space="preserve">, this likely provides potent selective pressure for the expansion of genetic variants providing advantage in such conditions, which would be great fit for integral phenotypes of </w:t>
      </w:r>
      <w:r w:rsidR="00236A7A" w:rsidRPr="006F5ABC">
        <w:rPr>
          <w:rFonts w:ascii="Arial" w:hAnsi="Arial" w:cs="Arial"/>
          <w:i/>
          <w:iCs/>
          <w:sz w:val="22"/>
          <w:szCs w:val="22"/>
          <w:lang w:val="en-US"/>
        </w:rPr>
        <w:t>JAK2</w:t>
      </w:r>
      <w:r w:rsidR="00236A7A" w:rsidRPr="006F5ABC">
        <w:rPr>
          <w:rFonts w:ascii="Arial" w:hAnsi="Arial" w:cs="Arial"/>
          <w:sz w:val="22"/>
          <w:szCs w:val="22"/>
          <w:lang w:val="en-US"/>
        </w:rPr>
        <w:t xml:space="preserve"> mutants. Consequentially, age-related clonal </w:t>
      </w:r>
      <w:r w:rsidR="00236A7A" w:rsidRPr="006F5ABC">
        <w:rPr>
          <w:rFonts w:ascii="Arial" w:hAnsi="Arial" w:cs="Arial"/>
          <w:sz w:val="22"/>
          <w:szCs w:val="22"/>
          <w:lang w:val="en-US"/>
        </w:rPr>
        <w:lastRenderedPageBreak/>
        <w:t xml:space="preserve">hematopoiesis with mutations like </w:t>
      </w:r>
      <w:r w:rsidR="00236A7A" w:rsidRPr="006F5ABC">
        <w:rPr>
          <w:rFonts w:ascii="Arial" w:hAnsi="Arial" w:cs="Arial"/>
          <w:i/>
          <w:iCs/>
          <w:sz w:val="22"/>
          <w:szCs w:val="22"/>
          <w:lang w:val="en-US"/>
        </w:rPr>
        <w:t>JAK2</w:t>
      </w:r>
      <w:r w:rsidR="00236A7A" w:rsidRPr="006F5ABC">
        <w:rPr>
          <w:rFonts w:ascii="Arial" w:hAnsi="Arial" w:cs="Arial"/>
          <w:sz w:val="22"/>
          <w:szCs w:val="22"/>
          <w:lang w:val="en-US"/>
        </w:rPr>
        <w:t xml:space="preserve"> V617F would be extremely common, if not inevitable.</w:t>
      </w:r>
    </w:p>
    <w:p w14:paraId="797336AD" w14:textId="211DDE3C" w:rsidR="008D5700" w:rsidRPr="003A5293" w:rsidRDefault="00787044" w:rsidP="00787044">
      <w:pPr>
        <w:pStyle w:val="Formatvorlage1"/>
        <w:rPr>
          <w:rFonts w:cs="Arial"/>
        </w:rPr>
      </w:pPr>
      <w:bookmarkStart w:id="9" w:name="_Toc57582484"/>
      <w:r w:rsidRPr="003A5293">
        <w:rPr>
          <w:rFonts w:cs="Arial"/>
        </w:rPr>
        <w:t>1.2.</w:t>
      </w:r>
      <w:r w:rsidR="00BC7661" w:rsidRPr="003A5293">
        <w:rPr>
          <w:rFonts w:cs="Arial"/>
        </w:rPr>
        <w:t>3</w:t>
      </w:r>
      <w:r w:rsidRPr="003A5293">
        <w:rPr>
          <w:rFonts w:cs="Arial"/>
        </w:rPr>
        <w:t xml:space="preserve"> </w:t>
      </w:r>
      <w:r w:rsidR="008D5700" w:rsidRPr="003A5293">
        <w:rPr>
          <w:rFonts w:cs="Arial"/>
        </w:rPr>
        <w:t>Stress-associated protein kinases and DDR in PV</w:t>
      </w:r>
      <w:bookmarkEnd w:id="9"/>
    </w:p>
    <w:p w14:paraId="540579F7" w14:textId="77777777" w:rsidR="00195B8E" w:rsidRPr="003A5293" w:rsidRDefault="00195B8E" w:rsidP="00236A7A">
      <w:pPr>
        <w:spacing w:line="360" w:lineRule="auto"/>
        <w:ind w:firstLine="708"/>
        <w:jc w:val="both"/>
        <w:rPr>
          <w:rFonts w:ascii="Arial" w:hAnsi="Arial" w:cs="Arial"/>
          <w:sz w:val="22"/>
          <w:szCs w:val="22"/>
          <w:lang w:val="en-US"/>
        </w:rPr>
      </w:pPr>
    </w:p>
    <w:p w14:paraId="7124E0F4" w14:textId="2FCFAA4E" w:rsidR="00787044" w:rsidRPr="006F5ABC" w:rsidRDefault="00236A7A" w:rsidP="00236A7A">
      <w:pPr>
        <w:spacing w:line="360" w:lineRule="auto"/>
        <w:ind w:firstLine="708"/>
        <w:jc w:val="both"/>
        <w:rPr>
          <w:rFonts w:ascii="Arial" w:hAnsi="Arial" w:cs="Arial"/>
          <w:sz w:val="22"/>
          <w:szCs w:val="22"/>
          <w:lang w:val="en-US"/>
        </w:rPr>
      </w:pPr>
      <w:r w:rsidRPr="006F5ABC">
        <w:rPr>
          <w:rFonts w:ascii="Arial" w:hAnsi="Arial" w:cs="Arial"/>
          <w:sz w:val="22"/>
          <w:szCs w:val="22"/>
          <w:lang w:val="en-US"/>
        </w:rPr>
        <w:t xml:space="preserve">Important axis of DNA damage and inflammatory response involves stress-activated protein kinases (SAPKs) from MAPK superfamily, which include Jun kinases (JNKs) and p38MAPK </w:t>
      </w:r>
      <w:r w:rsidRPr="006F5ABC">
        <w:rPr>
          <w:rFonts w:ascii="Arial" w:hAnsi="Arial" w:cs="Arial"/>
          <w:sz w:val="22"/>
          <w:szCs w:val="22"/>
          <w:lang w:val="en-US"/>
        </w:rPr>
        <w:fldChar w:fldCharType="begin"/>
      </w:r>
      <w:r w:rsidRPr="006F5ABC">
        <w:rPr>
          <w:rFonts w:ascii="Arial" w:hAnsi="Arial" w:cs="Arial"/>
          <w:sz w:val="22"/>
          <w:szCs w:val="22"/>
          <w:lang w:val="en-US"/>
        </w:rPr>
        <w:instrText xml:space="preserve"> ADDIN ZOTERO_ITEM CSL_CITATION {"citationID":"6QK6AHsZ","properties":{"formattedCitation":"(Lee et al., 2018)","plainCitation":"(Lee et al., 2018)","noteIndex":0},"citationItems":[{"id":75,"uris":["http://zotero.org/users/2484452/items/2EBZ4X6G"],"uri":["http://zotero.org/users/2484452/items/2EBZ4X6G"],"itemData":{"id":75,"type":"article-journal","abstract":"Stress-activated MAP kinases (SAPKs) respond to a wide variety of stressors. In most cases, the pathways through which specific stress signals are transmitted to the SAPKs are not known. Our recent findings have begun to address two important and related questions. First, do various stresses activate a SAPK through common pathways initiated at the cell surface, or through alternative, intracellular inputs? Second, how does an activated SAPK mount a specific response appropriate to the particular stress experienced? Our work has uncovered the mechanisms by which two stresses, arsenite treatment and DNA damage, stimulate the yeast SAPKs Hog1 and Mpk1, respectively. We found that these stresses activate the SAPKs through intracellular inputs that modulate their basal phosphorylation, rather than by activation of the protein kinase cascades known to stimulate them. Both stresses act through targeting, in different ways, the tyrosine-specific or dual-specificity protein phosphatases that normally maintain the SAPKs in a low-activity state. Previous work has demonstrated that basal signal flux through SAPK pathways is important for the sensitivity and dynamic response to external signals. Our work reveals that basal activity of SAPKs is additionally important to allow SAPK activation by intracellular inputs that modulate that activity. Additionally, because different stressors may activate SAPKs by modulation of basal signal through inputs at distinct nodes along the canonical activation pathway, stress-specific SAPK outputs may be controlled, in part, by the specific intracellular mechanisms of their activation. Thus, understanding the intracellular pathways through which various stressors activate SAPKs is likely to provide insight into how they elicit physiologically coherent responses to the specific stress experienced.","container-title":"Current Genetics","DOI":"10.1007/s00294-018-0898-5","ISSN":"1432-0983","journalAbbreviation":"Curr. Genet.","language":"eng","note":"PMID: 30377756","source":"PubMed","title":"Stressing out or stressing in: intracellular pathways for SAPK activation","title-short":"Stressing out or stressing in","author":[{"family":"Lee","given":"Jongmin"},{"family":"Liu","given":"Li"},{"family":"Levin","given":"David E."}],"issued":{"date-parts":[["2018",10,30]]}}}],"schema":"https://github.com/citation-style-language/schema/raw/master/csl-citation.json"} </w:instrText>
      </w:r>
      <w:r w:rsidRPr="006F5ABC">
        <w:rPr>
          <w:rFonts w:ascii="Arial" w:hAnsi="Arial" w:cs="Arial"/>
          <w:sz w:val="22"/>
          <w:szCs w:val="22"/>
          <w:lang w:val="en-US"/>
        </w:rPr>
        <w:fldChar w:fldCharType="separate"/>
      </w:r>
      <w:r w:rsidRPr="006F5ABC">
        <w:rPr>
          <w:rFonts w:ascii="Arial" w:hAnsi="Arial" w:cs="Arial"/>
          <w:noProof/>
          <w:sz w:val="22"/>
          <w:szCs w:val="22"/>
          <w:lang w:val="en-US"/>
        </w:rPr>
        <w:t>(Lee et al., 2018)</w:t>
      </w:r>
      <w:r w:rsidRPr="006F5ABC">
        <w:rPr>
          <w:rFonts w:ascii="Arial" w:hAnsi="Arial" w:cs="Arial"/>
          <w:sz w:val="22"/>
          <w:szCs w:val="22"/>
          <w:lang w:val="en-US"/>
        </w:rPr>
        <w:fldChar w:fldCharType="end"/>
      </w:r>
      <w:r w:rsidRPr="006F5ABC">
        <w:rPr>
          <w:rFonts w:ascii="Arial" w:hAnsi="Arial" w:cs="Arial"/>
          <w:sz w:val="22"/>
          <w:szCs w:val="22"/>
          <w:lang w:val="en-US"/>
        </w:rPr>
        <w:t xml:space="preserve">. Activity of this important signaling node, plays pivotal role in decision making over survival of cells in DNA-damaging inflammatory conditions </w:t>
      </w:r>
      <w:r w:rsidRPr="006F5ABC">
        <w:rPr>
          <w:rFonts w:ascii="Arial" w:hAnsi="Arial" w:cs="Arial"/>
          <w:sz w:val="22"/>
          <w:szCs w:val="22"/>
          <w:lang w:val="en-US"/>
        </w:rPr>
        <w:fldChar w:fldCharType="begin"/>
      </w:r>
      <w:r w:rsidRPr="006F5ABC">
        <w:rPr>
          <w:rFonts w:ascii="Arial" w:hAnsi="Arial" w:cs="Arial"/>
          <w:sz w:val="22"/>
          <w:szCs w:val="22"/>
          <w:lang w:val="en-US"/>
        </w:rPr>
        <w:instrText xml:space="preserve"> ADDIN ZOTERO_ITEM CSL_CITATION {"citationID":"hIz0n8Mk","properties":{"formattedCitation":"(Arthur and Ley, 2013; Karigane et al., 2016; Wood et al., 2009)","plainCitation":"(Arthur and Ley, 2013; Karigane et al., 2016; Wood et al., 2009)","noteIndex":0},"citationItems":[{"id":74,"uris":["http://zotero.org/users/2484452/items/NN9ZVAAB"],"uri":["http://zotero.org/users/2484452/items/NN9ZVAAB"],"itemData":{"id":74,"type":"article-journal","abstract":"Following pathogen infection or tissue damage, the stimulation of pattern recognition receptors on the cell surface and in the cytoplasm of innate immune cells activates members of each of the major mitogen-activated protein kinase (MAPK) subfamilies--the extracellular signal-regulated kinase (ERK), p38 and Jun N-terminal kinase (JNK) subfamilies. In conjunction with the activation of nuclear factor-κB and interferon-regulatory factor transcription factors, MAPK activation induces the expression of multiple genes that together regulate the inflammatory response. In this Review, we discuss our current knowledge about the regulation and the function of MAPKs in innate immunity, as well as the importance of negative feedback loops in limiting MAPK activity to prevent host tissue damage. We also examine how pathogens have evolved complex mechanisms to manipulate MAPK activation to increase their virulence. Finally, we consider the potential of the pharmacological targeting of MAPK pathways to treat autoimmune and inflammatory diseases.","container-title":"Nature Reviews. Immunology","DOI":"10.1038/nri3495","ISSN":"1474-1741","issue":"9","journalAbbreviation":"Nat. Rev. Immunol.","language":"eng","note":"PMID: 23954936","page":"679-692","source":"PubMed","title":"Mitogen-activated protein kinases in innate immunity","volume":"13","author":[{"family":"Arthur","given":"J. Simon C."},{"family":"Ley","given":"Steven C."}],"issued":{"date-parts":[["2013",9]]}}},{"id":73,"uris":["http://zotero.org/users/2484452/items/DV4RW8V5"],"uri":["http://zotero.org/users/2484452/items/DV4RW8V5"],"itemData":{"id":73,"type":"article-journal","abstract":"Hematopoietic stem cells (HSCs) maintain quiescence by activating specific metabolic pathways, including glycolysis. We do not yet have a clear understanding of how this metabolic activity changes during stress hematopoiesis, such as bone marrow transplantation. Here, we report a critical role for the p38MAPK family isoform p38α in initiating hematopoietic stem and progenitor cell (HSPC) proliferation during stress hematopoiesis in mice. We found that p38MAPK is immediately phosphorylated in HSPCs after a hematological stress, preceding increased HSPC cycling. Conditional deletion of p38α led to defective recovery from hematological stress and a delay in initiation of HSPC proliferation. Mechanistically, p38α signaling increases expression of inosine-5'-monophosphate dehydrogenase 2 in HSPCs, leading to altered levels of amino acids and purine-related metabolites and changes in cell-cycle progression in vitro and in vivo. Our studies have therefore uncovered a p38α-mediated pathway that alters HSPC metabolism to respond to stress and promote recovery.","container-title":"Cell Stem Cell","DOI":"10.1016/j.stem.2016.05.013","ISSN":"1875-9777","issue":"2","journalAbbreviation":"Cell Stem Cell","language":"eng","note":"PMID: 27345838","page":"192-204","source":"PubMed","title":"p38α Activates Purine Metabolism to Initiate Hematopoietic Stem/Progenitor Cell Cycling in Response to Stress","volume":"19","author":[{"family":"Karigane","given":"Daiki"},{"family":"Kobayashi","given":"Hiroshi"},{"family":"Morikawa","given":"Takayuki"},{"family":"Ootomo","given":"Yukako"},{"family":"Sakai","given":"Mashito"},{"family":"Nagamatsu","given":"Go"},{"family":"Kubota","given":"Yoshiaki"},{"family":"Goda","given":"Nobuhito"},{"family":"Matsumoto","given":"Michihiro"},{"family":"Nishimura","given":"Emi K."},{"family":"Soga","given":"Tomoyoshi"},{"family":"Otsu","given":"Kinya"},{"family":"Suematsu","given":"Makoto"},{"family":"Okamoto","given":"Shinichiro"},{"family":"Suda","given":"Toshio"},{"family":"Takubo","given":"Keiyo"}],"issued":{"date-parts":[["2016"]],"season":"04"}}},{"id":862,"uris":["http://zotero.org/users/2484452/items/ACWLZANN"],"uri":["http://zotero.org/users/2484452/items/ACWLZANN"],"itemData":{"id":862,"type":"article-journal","abstract":"p38 MAP kinase (MAPK) is activated in response to environmental stress, cytokines and DNA damage, and mediates death, cell differentiation and cell cycle checkpoints. The intracellular localization of p38 MAPK upon activation remains unclear, and may depend on the stimulus. We show here that activation of p38 MAPK by stimuli that induce DNA double strand breaks (DSBs), but not other stimuli, leads to its nuclear translocation. In addition, naturally occurring DSBs generated through V(D)J recombination in immature thymocytes also promote nuclear accumulation of p38 MAPK. Nuclear translocation of p38 MAPK does not require its catalytic activity, but is induced by a conformational change of p38 MAPK triggered by phosphorylation within the active site. The selective nuclear accumulation of p38 MAPK in response to DNA damage could be a mechanism to facilitate the phosphorylation of p38 MAPK nuclear targets for the induction of a G2/M cell cycle checkpoint and DNA repair.","container-title":"International Journal of Biological Sciences","ISSN":"1449-2288","issue":"5","journalAbbreviation":"Int J Biol Sci","note":"PMID: 19564926\nPMCID: PMC2702826","page":"428-437","source":"PubMed Central","title":"Nuclear Localization of p38 MAPK in Response to DNA Damage","volume":"5","author":[{"family":"Wood","given":"C. David"},{"family":"Thornton","given":"Tina M."},{"family":"Sabio","given":"Guadalupe"},{"family":"Davis","given":"Roger A."},{"family":"Rincon","given":"Mercedes"}],"issued":{"date-parts":[["2009",6,16]]}}}],"schema":"https://github.com/citation-style-language/schema/raw/master/csl-citation.json"} </w:instrText>
      </w:r>
      <w:r w:rsidRPr="006F5ABC">
        <w:rPr>
          <w:rFonts w:ascii="Arial" w:hAnsi="Arial" w:cs="Arial"/>
          <w:sz w:val="22"/>
          <w:szCs w:val="22"/>
          <w:lang w:val="en-US"/>
        </w:rPr>
        <w:fldChar w:fldCharType="separate"/>
      </w:r>
      <w:r w:rsidRPr="006F5ABC">
        <w:rPr>
          <w:rFonts w:ascii="Arial" w:hAnsi="Arial" w:cs="Arial"/>
          <w:noProof/>
          <w:sz w:val="22"/>
          <w:szCs w:val="22"/>
          <w:lang w:val="en-US"/>
        </w:rPr>
        <w:t>(Arthur and Ley, 2013; Karigane et al., 2016; Wood et al., 2009)</w:t>
      </w:r>
      <w:r w:rsidRPr="006F5ABC">
        <w:rPr>
          <w:rFonts w:ascii="Arial" w:hAnsi="Arial" w:cs="Arial"/>
          <w:sz w:val="22"/>
          <w:szCs w:val="22"/>
          <w:lang w:val="en-US"/>
        </w:rPr>
        <w:fldChar w:fldCharType="end"/>
      </w:r>
      <w:r w:rsidRPr="006F5ABC">
        <w:rPr>
          <w:rFonts w:ascii="Arial" w:hAnsi="Arial" w:cs="Arial"/>
          <w:sz w:val="22"/>
          <w:szCs w:val="22"/>
          <w:lang w:val="en-US"/>
        </w:rPr>
        <w:t xml:space="preserve">. Stimulation of p38MAPK-mediated signaling in chronic inflammatory conditions, such as in PV, would impair proliferation and push cells towards apoptosis or senescence </w:t>
      </w:r>
      <w:r w:rsidRPr="006F5ABC">
        <w:rPr>
          <w:rFonts w:ascii="Arial" w:hAnsi="Arial" w:cs="Arial"/>
          <w:sz w:val="22"/>
          <w:szCs w:val="22"/>
          <w:lang w:val="en-US"/>
        </w:rPr>
        <w:fldChar w:fldCharType="begin"/>
      </w:r>
      <w:r w:rsidRPr="006F5ABC">
        <w:rPr>
          <w:rFonts w:ascii="Arial" w:hAnsi="Arial" w:cs="Arial"/>
          <w:sz w:val="22"/>
          <w:szCs w:val="22"/>
          <w:lang w:val="en-US"/>
        </w:rPr>
        <w:instrText xml:space="preserve"> ADDIN ZOTERO_ITEM CSL_CITATION {"citationID":"SwpHrFxT","properties":{"formattedCitation":"(Iwasa et al., 2003; Lu et al., 2010)","plainCitation":"(Iwasa et al., 2003; Lu et al., 2010)","noteIndex":0},"citationItems":[{"id":72,"uris":["http://zotero.org/users/2484452/items/HB3JGVFI"],"uri":["http://zotero.org/users/2484452/items/HB3JGVFI"],"itemData":{"id":72,"type":"article-journal","abstract":"BACKGROUND: Cellular senescence is a state of irreversible growth arrest shown by normal cells, and has been most extensively studied in replicative senescence caused by telomere shortening. Several conditions, including oncogenic Ras over-expression and inappropriate culture conditions, also induce senescence without telomere shortening. However, it remains unclear how a common set of senescence phenotypes is indistinguishably induced in various types of senescence.\nRESULTS: We demonstrate that p38 mitogen-activated protein kinase (MAPK) plays important causative roles in senescent cells following telomere shortening, Ras-Raf activation, oxidative stress or inappropriate culture conditions. By monitoring the kinetics of p38 activation, we suggest that p38 is activated not directly by the initial stimuli, but in response to unidentified cellular conditions caused by these stimuli. Importantly, this p38-activating condition appears to be defined quantitatively as a sum of continuous and low-level stresses, and remains even after the initial stimuli are withdrawn, which may explain the well-known irreversible nature of cellular senescence. We also show that papilloma virus E7 abolishes the p38-induced growth arrest but not other senescence-associated phenotypes, indicating the differential role of pRb in the downstream of p38.\nCONCLUSION: These results indicate that p38 comprises the senescence-executing pathway in response to diverse stimuli.","container-title":"Genes to Cells: Devoted to Molecular &amp; Cellular Mechanisms","ISSN":"1356-9597","issue":"2","journalAbbreviation":"Genes Cells","language":"eng","note":"PMID: 12581156","page":"131-144","source":"PubMed","title":"Mitogen-activated protein kinase p38 defines the common senescence-signalling pathway","volume":"8","author":[{"family":"Iwasa","given":"Hiroaki"},{"family":"Han","given":"Jiahuai"},{"family":"Ishikawa","given":"Fuyuki"}],"issued":{"date-parts":[["2003",2]]}}},{"id":71,"uris":["http://zotero.org/users/2484452/items/X2ZSHCS8"],"uri":["http://zotero.org/users/2484452/items/X2ZSHCS8"],"itemData":{"id":71,"type":"article-journal","abstract":"OBJECTIVE: Interferon-alpha (IFNalpha) therapy leads to hematological remissions and a reduction of the JAK2V617F allele burden in patients with polycythemia vera (PV). In this study, the cellular target by which IFNalpha affects hematopoiesis in PV patients was evaluated.\nMATERIALS AND METHODS: CD34(+) cells were isolated from normal bone marrow and the peripheral blood of patients with PV and were treated in vitro with each of the three commercially available forms of IFNalpha: IFNalpha 2b, pegylated IFNalpha 2a (Peg-IFNalpha 2a), and pegylated IFNalpha 2b (Peg-IFNalpha 2b).\nRESULTS: Each form of IFNalpha was equally potent in suppressing hematopoietic colony formation by normal CD34(+) cells, but Peg-IFNalpha 2a and IFNalpha 2b were more effective than Peg-IFNalpha 2b in inhibiting burst-forming unit erythroid-derived colony formation by PV CD34(+) cells. In addition, exposure of PV CD34(+) cells to equal doses of Peg-IFNalpha 2a and IFNalpha 2b resulted in a 38% to 40% reduction in the proportion of JAK2V617F-positive hematopoietic progenitor cells (HPC), while equivalent doses of Peg-IFNalpha 2b did not reduce the number of malignant HPC. Further studies explored the mechanism by which IFNalpha induced PV HPC growth inhibition. Treatment of Peg-IFNalpha 2a increased the rate of apoptosis of PV CD34(+) cells and the phosphorylation/activation of p38 mitogen-activated protein kinase in PV CD34(+) cells, while the p38-specific inhibitor SB203580 reversed the growth inhibition and apoptosis induced by Peg-IFNalpha 2a.\nCONCLUSION: These data suggest that low doses of IFNalpha selectively and directly suppress PV JAK2V617F HPC and that these agents act through the p38 mitogen-activated protein kinase pathway.","container-title":"Experimental Hematology","DOI":"10.1016/j.exphem.2010.03.005","ISSN":"1873-2399","issue":"6","journalAbbreviation":"Exp. Hematol.","language":"eng","note":"PMID: 20303384\nPMCID: PMC4293703","page":"472-480","source":"PubMed","title":"Interferon-alpha targets JAK2V617F-positive hematopoietic progenitor cells and acts through the p38 MAPK pathway","volume":"38","author":[{"family":"Lu","given":"Min"},{"family":"Zhang","given":"Wei"},{"family":"Li","given":"Yan"},{"family":"Berenzon","given":"Dmitriy"},{"family":"Wang","given":"Xiaoli"},{"family":"Wang","given":"Jiapeng"},{"family":"Mascarenhas","given":"John"},{"family":"Xu","given":"Mingjiang"},{"family":"Hoffman","given":"Ronald"}],"issued":{"date-parts":[["2010",6]]}}}],"schema":"https://github.com/citation-style-language/schema/raw/master/csl-citation.json"} </w:instrText>
      </w:r>
      <w:r w:rsidRPr="006F5ABC">
        <w:rPr>
          <w:rFonts w:ascii="Arial" w:hAnsi="Arial" w:cs="Arial"/>
          <w:sz w:val="22"/>
          <w:szCs w:val="22"/>
          <w:lang w:val="en-US"/>
        </w:rPr>
        <w:fldChar w:fldCharType="separate"/>
      </w:r>
      <w:r w:rsidRPr="006F5ABC">
        <w:rPr>
          <w:rFonts w:ascii="Arial" w:hAnsi="Arial" w:cs="Arial"/>
          <w:noProof/>
          <w:sz w:val="22"/>
          <w:szCs w:val="22"/>
          <w:lang w:val="en-US"/>
        </w:rPr>
        <w:t>(Iwasa et al., 2003; Lu et al., 2010)</w:t>
      </w:r>
      <w:r w:rsidRPr="006F5ABC">
        <w:rPr>
          <w:rFonts w:ascii="Arial" w:hAnsi="Arial" w:cs="Arial"/>
          <w:sz w:val="22"/>
          <w:szCs w:val="22"/>
          <w:lang w:val="en-US"/>
        </w:rPr>
        <w:fldChar w:fldCharType="end"/>
      </w:r>
      <w:r w:rsidRPr="006F5ABC">
        <w:rPr>
          <w:rFonts w:ascii="Arial" w:hAnsi="Arial" w:cs="Arial"/>
          <w:sz w:val="22"/>
          <w:szCs w:val="22"/>
          <w:lang w:val="en-US"/>
        </w:rPr>
        <w:t xml:space="preserve">, cellular conditions resembling status of fibrotic BM. Indeed, excessive activation of the p38–MAPK cascade was shown to be associated with PMF </w:t>
      </w:r>
      <w:r w:rsidRPr="006F5ABC">
        <w:rPr>
          <w:rFonts w:ascii="Arial" w:hAnsi="Arial" w:cs="Arial"/>
          <w:sz w:val="22"/>
          <w:szCs w:val="22"/>
          <w:lang w:val="en-US"/>
        </w:rPr>
        <w:fldChar w:fldCharType="begin"/>
      </w:r>
      <w:r w:rsidRPr="006F5ABC">
        <w:rPr>
          <w:rFonts w:ascii="Arial" w:hAnsi="Arial" w:cs="Arial"/>
          <w:sz w:val="22"/>
          <w:szCs w:val="22"/>
          <w:lang w:val="en-US"/>
        </w:rPr>
        <w:instrText xml:space="preserve"> ADDIN ZOTERO_ITEM CSL_CITATION {"citationID":"pYpgHDdq","properties":{"formattedCitation":"(Desterke et al., 2011)","plainCitation":"(Desterke et al., 2011)","noteIndex":0},"citationItems":[{"id":95,"uris":["http://zotero.org/users/2484452/items/QMZUB749"],"uri":["http://zotero.org/users/2484452/items/QMZUB749"],"itemData":{"id":95,"type":"article-journal","abstract":"Primary myelofibrosis (PMF) is characterized by increased number of hematopoietic progenitors and a dysmegakaryopoiesis which supports the stromal reaction defining this disease. We showed that increased ligand (FL) levels in plasma, hematopoietic progenitors, and stromal cells from PMF patients were associated with upregulation of the cognate Flt3 receptor on megakaryocytic (MK) cells. This connection prompted us to study a functional role for the FL/Flt3 couple in PMF dysmegakaryopoiesis, as a route to reveal insights into pathobiology and therapy in this disease. Analysis of PMF CD34(+) and MK cell transcriptomes revealed deregulation of the mitogen-activated protein kinase (MAPK) pathway along with Flt3 expression. In PMF patients, a higher proportion of circulating Flt3(+)CD34(+)CD41(+) cells exhibited an increased MAPK effector phosphorylation independently of Jak2(V617F) mutation. Activation of FL/Flt3 axis in PMF MK cell cultures, in response to FL, induced activation of the p38-MAPK cascade, which is known to be involved in inflammation, also increasing expression of its target genes (NFATC4, p53, AP-1, IL-8). Inhibiting Flt3 or MAPK or especially p38 by chemical, antibody, or silencing strategies restored megakaryopoiesis and reduced phosphorylation of Flt3 and p38 pathway effectors, confirming the involvement of Flt3 in PMF dysmegakaryopoiesis via p38 activation. In addition, in contrast to healthy donors, MK cells derived from PMF CD34(+) cells exhibited an FL-induced migration that could be reversed by p38 inhibition. Taken together, our results implicate the FL/Flt3 ligand-receptor complex in PMF dysmegakaryopoiesis through persistent p38-MAPK activation, with implications for therapeutic prospects to correct altered megakaryopoiesis in an inflammatory context.","container-title":"Cancer Research","DOI":"10.1158/0008-5472.CAN-10-1731","ISSN":"1538-7445","issue":"8","journalAbbreviation":"Cancer Res.","language":"eng","note":"PMID: 21487043","page":"2901-2915","source":"PubMed","title":"FLT3-mediated p38-MAPK activation participates in the control of megakaryopoiesis in primary myelofibrosis","volume":"71","author":[{"family":"Desterke","given":"Christophe"},{"family":"Bilhou-Nabéra","given":"Chrystele"},{"family":"Guerton","given":"Bernadette"},{"family":"Martinaud","given":"Christophe"},{"family":"Tonetti","given":"Carole"},{"family":"Clay","given":"Denis"},{"family":"Guglielmelli","given":"Paola"},{"family":"Vannucchi","given":"Alessandro"},{"family":"Bordessoule","given":"Dominique"},{"family":"Hasselbalch","given":"Hans"},{"family":"Dupriez","given":"Brigitte"},{"family":"Benzoubir","given":"Nassima"},{"family":"Bourgeade","given":"Marie-Françoise"},{"family":"Pierre-Louis","given":"Olivier"},{"family":"Lazar","given":"Vladimir"},{"family":"Vainchenker","given":"William"},{"family":"Bennaceur-Griscelli","given":"Annelise"},{"family":"Gisslinger","given":"Heinz"},{"family":"Giraudier","given":"Stéphane"},{"family":"Le Bousse-Kerdilès","given":"Marie-Caroline"},{"literal":"French Intergroup of Myeloproliferative Disorders,"},{"literal":"French INSERM"},{"literal":"European EUMNET Networks on Myelofibrosis"}],"issued":{"date-parts":[["2011",4,15]]}}}],"schema":"https://github.com/citation-style-language/schema/raw/master/csl-citation.json"} </w:instrText>
      </w:r>
      <w:r w:rsidRPr="006F5ABC">
        <w:rPr>
          <w:rFonts w:ascii="Arial" w:hAnsi="Arial" w:cs="Arial"/>
          <w:sz w:val="22"/>
          <w:szCs w:val="22"/>
          <w:lang w:val="en-US"/>
        </w:rPr>
        <w:fldChar w:fldCharType="separate"/>
      </w:r>
      <w:r w:rsidRPr="006F5ABC">
        <w:rPr>
          <w:rFonts w:ascii="Arial" w:hAnsi="Arial" w:cs="Arial"/>
          <w:noProof/>
          <w:sz w:val="22"/>
          <w:szCs w:val="22"/>
          <w:lang w:val="en-US"/>
        </w:rPr>
        <w:t>(Desterke et al., 2011)</w:t>
      </w:r>
      <w:r w:rsidRPr="006F5ABC">
        <w:rPr>
          <w:rFonts w:ascii="Arial" w:hAnsi="Arial" w:cs="Arial"/>
          <w:sz w:val="22"/>
          <w:szCs w:val="22"/>
          <w:lang w:val="en-US"/>
        </w:rPr>
        <w:fldChar w:fldCharType="end"/>
      </w:r>
      <w:r w:rsidRPr="006F5ABC">
        <w:rPr>
          <w:rFonts w:ascii="Arial" w:hAnsi="Arial" w:cs="Arial"/>
          <w:sz w:val="22"/>
          <w:szCs w:val="22"/>
          <w:lang w:val="en-US"/>
        </w:rPr>
        <w:t xml:space="preserve">. However, faith of such cells in indolent, proliferative PV is at odds with increased SAPK activity. In fact, we have shown up-regulation of dual-specificity MAPK phosphatases (DUSPs), negative inhibitors of SAPKs, in hematopoietic progenitors derived from PV-patient specific iPSCs, with enrichment of those with substrate specificity for p38 and JNK </w:t>
      </w:r>
      <w:r w:rsidRPr="006F5ABC">
        <w:rPr>
          <w:rFonts w:ascii="Arial" w:hAnsi="Arial" w:cs="Arial"/>
          <w:sz w:val="22"/>
          <w:szCs w:val="22"/>
          <w:lang w:val="en-US"/>
        </w:rPr>
        <w:fldChar w:fldCharType="begin"/>
      </w:r>
      <w:r w:rsidRPr="006F5ABC">
        <w:rPr>
          <w:rFonts w:ascii="Arial" w:hAnsi="Arial" w:cs="Arial"/>
          <w:sz w:val="22"/>
          <w:szCs w:val="22"/>
          <w:lang w:val="en-US"/>
        </w:rPr>
        <w:instrText xml:space="preserve"> ADDIN ZOTERO_ITEM CSL_CITATION {"citationID":"AXujJP9w","properties":{"formattedCitation":"(Stetka et al., 2019)","plainCitation":"(Stetka et al., 2019)","noteIndex":0},"citationItems":[{"id":812,"uris":["http://zotero.org/users/2484452/items/7AKGISWX"],"uri":["http://zotero.org/users/2484452/items/7AKGISWX"],"itemData":{"id":812,"type":"article-journal","abstract":"Inflammatory and oncogenic signaling converge in disease evolution of BCR–ABL-negative myeloproliferative neoplasms, clonal hematopoietic stem cell disorders characterized by gain-of-function mutation in JAK2 kinase (JAK2V617F), with highest prevalence in patients with polycythemia vera (PV). Despite the high risk, DNA-damaging inflammatory microenvironment, PV progenitors tend to preserve their genomic stability over decades until their progression to post-PV myelofibrosis/acute myeloid leukemia. Using induced pluripotent stem cells-derived CD34+ progenitor-enriched cultures from JAK2V617F+ PV patient and from JAK2 wild-type healthy control, CRISPR-modified HEL cells and patients’ bone marrow sections from different disease stages, we demonstrate that JAK2V617F induces an intrinsic IFNγ- and NF-κB-associated inflammatory program, while suppressing inflammation-evoked DNA damage both in vitro and in vivo. We show that cells with JAK2V617F tightly regulate levels of inflammatory cytokines-induced reactive oxygen species, do not fully activate the ATM/p53/p21waf1 checkpoint and p38/JNK MAPK stress pathway signaling when exposed to inflammatory cytokines, suppress DNA single-strand break repair genes’ expression yet overexpress the dual-specificity phosphatase (DUSP) 1. RNAi-mediated knock-down and pharmacological inhibition of DUSP1, involved in p38/JNK deactivation, in HEL cells reveals growth addiction to DUSP1, consistent with enhanced DNA damage response and apoptosis in DUSP1-inhibited parental JAK2V617F+ cells, but not in CRISPR-modified JAK2 wild-type cells. Our results indicate that the JAK2V617F+ PV progenitors utilize DUSP1 activity as a protection mechanism against DNA damage accumulation, promoting their proliferation and survival in the inflammatory microenvironment, identifying DUSP1 as a potential therapeutic target in PV.","container-title":"Oncogene","DOI":"10.1038/s41388-019-0813-7","ISSN":"1476-5594","issue":"28","journalAbbreviation":"Oncogene","language":"en","page":"5627-5642","source":"www.nature.com","title":"Addiction to DUSP1 protects JAK2V617F-driven polycythemia vera progenitors against inflammatory stress and DNA damage, allowing chronic proliferation","volume":"38","author":[{"family":"Stetka","given":"J."},{"family":"Vyhlidalova","given":"P."},{"family":"Lanikova","given":"L."},{"family":"Koralkova","given":"P."},{"family":"Gursky","given":"J."},{"family":"Hlusi","given":"A."},{"family":"Flodr","given":"P."},{"family":"Hubackova","given":"S."},{"family":"Bartek","given":"J."},{"family":"Hodny","given":"Z."},{"family":"Divoky","given":"V."}],"issued":{"date-parts":[["2019",7]]}}}],"schema":"https://github.com/citation-style-language/schema/raw/master/csl-citation.json"} </w:instrText>
      </w:r>
      <w:r w:rsidRPr="006F5ABC">
        <w:rPr>
          <w:rFonts w:ascii="Arial" w:hAnsi="Arial" w:cs="Arial"/>
          <w:sz w:val="22"/>
          <w:szCs w:val="22"/>
          <w:lang w:val="en-US"/>
        </w:rPr>
        <w:fldChar w:fldCharType="separate"/>
      </w:r>
      <w:r w:rsidRPr="006F5ABC">
        <w:rPr>
          <w:rFonts w:ascii="Arial" w:hAnsi="Arial" w:cs="Arial"/>
          <w:noProof/>
          <w:sz w:val="22"/>
          <w:szCs w:val="22"/>
          <w:lang w:val="en-US"/>
        </w:rPr>
        <w:t>(Stetka et al., 2019)</w:t>
      </w:r>
      <w:r w:rsidRPr="006F5ABC">
        <w:rPr>
          <w:rFonts w:ascii="Arial" w:hAnsi="Arial" w:cs="Arial"/>
          <w:sz w:val="22"/>
          <w:szCs w:val="22"/>
          <w:lang w:val="en-US"/>
        </w:rPr>
        <w:fldChar w:fldCharType="end"/>
      </w:r>
      <w:r w:rsidRPr="006F5ABC">
        <w:rPr>
          <w:rFonts w:ascii="Arial" w:hAnsi="Arial" w:cs="Arial"/>
          <w:sz w:val="22"/>
          <w:szCs w:val="22"/>
          <w:lang w:val="en-US"/>
        </w:rPr>
        <w:t xml:space="preserve">. </w:t>
      </w:r>
      <w:r w:rsidR="007067E4">
        <w:rPr>
          <w:rFonts w:ascii="Arial" w:hAnsi="Arial" w:cs="Arial"/>
          <w:sz w:val="22"/>
          <w:szCs w:val="22"/>
          <w:lang w:val="en-US"/>
        </w:rPr>
        <w:t>The c</w:t>
      </w:r>
      <w:r w:rsidR="007067E4" w:rsidRPr="006F5ABC">
        <w:rPr>
          <w:rFonts w:ascii="Arial" w:hAnsi="Arial" w:cs="Arial"/>
          <w:sz w:val="22"/>
          <w:szCs w:val="22"/>
          <w:lang w:val="en-US"/>
        </w:rPr>
        <w:t xml:space="preserve">ombination </w:t>
      </w:r>
      <w:r w:rsidRPr="006F5ABC">
        <w:rPr>
          <w:rFonts w:ascii="Arial" w:hAnsi="Arial" w:cs="Arial"/>
          <w:sz w:val="22"/>
          <w:szCs w:val="22"/>
          <w:lang w:val="en-US"/>
        </w:rPr>
        <w:t xml:space="preserve">of these ‘in-built’ features of </w:t>
      </w:r>
      <w:r w:rsidRPr="006F5ABC">
        <w:rPr>
          <w:rFonts w:ascii="Arial" w:hAnsi="Arial" w:cs="Arial"/>
          <w:i/>
          <w:iCs/>
          <w:sz w:val="22"/>
          <w:szCs w:val="22"/>
          <w:lang w:val="en-US"/>
        </w:rPr>
        <w:t>JAK2</w:t>
      </w:r>
      <w:r w:rsidRPr="006F5ABC">
        <w:rPr>
          <w:rFonts w:ascii="Arial" w:hAnsi="Arial" w:cs="Arial"/>
          <w:sz w:val="22"/>
          <w:szCs w:val="22"/>
          <w:lang w:val="en-US"/>
        </w:rPr>
        <w:t xml:space="preserve"> V617F oncogene, which protects </w:t>
      </w:r>
      <w:r w:rsidR="007067E4">
        <w:rPr>
          <w:rFonts w:ascii="Arial" w:hAnsi="Arial" w:cs="Arial"/>
          <w:sz w:val="22"/>
          <w:szCs w:val="22"/>
          <w:lang w:val="en-US"/>
        </w:rPr>
        <w:t>against the</w:t>
      </w:r>
      <w:r w:rsidR="007067E4" w:rsidRPr="006F5ABC">
        <w:rPr>
          <w:rFonts w:ascii="Arial" w:hAnsi="Arial" w:cs="Arial"/>
          <w:sz w:val="22"/>
          <w:szCs w:val="22"/>
          <w:lang w:val="en-US"/>
        </w:rPr>
        <w:t xml:space="preserve"> </w:t>
      </w:r>
      <w:r w:rsidRPr="006F5ABC">
        <w:rPr>
          <w:rFonts w:ascii="Arial" w:hAnsi="Arial" w:cs="Arial"/>
          <w:sz w:val="22"/>
          <w:szCs w:val="22"/>
          <w:lang w:val="en-US"/>
        </w:rPr>
        <w:t>overall impact of the inflammatory-mediated DNA damage in PV progenitors</w:t>
      </w:r>
      <w:r w:rsidR="007067E4">
        <w:rPr>
          <w:rFonts w:ascii="Arial" w:hAnsi="Arial" w:cs="Arial"/>
          <w:sz w:val="22"/>
          <w:szCs w:val="22"/>
          <w:lang w:val="en-US"/>
        </w:rPr>
        <w:t>,</w:t>
      </w:r>
      <w:r w:rsidRPr="006F5ABC">
        <w:rPr>
          <w:rFonts w:ascii="Arial" w:hAnsi="Arial" w:cs="Arial"/>
          <w:sz w:val="22"/>
          <w:szCs w:val="22"/>
          <w:lang w:val="en-US"/>
        </w:rPr>
        <w:t xml:space="preserve"> </w:t>
      </w:r>
      <w:r w:rsidR="007067E4">
        <w:rPr>
          <w:rFonts w:ascii="Arial" w:hAnsi="Arial" w:cs="Arial"/>
          <w:sz w:val="22"/>
          <w:szCs w:val="22"/>
          <w:lang w:val="en-US"/>
        </w:rPr>
        <w:t>may</w:t>
      </w:r>
      <w:r w:rsidR="007067E4" w:rsidRPr="006F5ABC">
        <w:rPr>
          <w:rFonts w:ascii="Arial" w:hAnsi="Arial" w:cs="Arial"/>
          <w:sz w:val="22"/>
          <w:szCs w:val="22"/>
          <w:lang w:val="en-US"/>
        </w:rPr>
        <w:t xml:space="preserve"> </w:t>
      </w:r>
      <w:r w:rsidRPr="006F5ABC">
        <w:rPr>
          <w:rFonts w:ascii="Arial" w:hAnsi="Arial" w:cs="Arial"/>
          <w:sz w:val="22"/>
          <w:szCs w:val="22"/>
          <w:lang w:val="en-US"/>
        </w:rPr>
        <w:t xml:space="preserve">contribute to the understanding of increased fitness and clonal expansion of </w:t>
      </w:r>
      <w:r w:rsidRPr="006F5ABC">
        <w:rPr>
          <w:rFonts w:ascii="Arial" w:hAnsi="Arial" w:cs="Arial"/>
          <w:i/>
          <w:iCs/>
          <w:sz w:val="22"/>
          <w:szCs w:val="22"/>
          <w:lang w:val="en-US"/>
        </w:rPr>
        <w:t xml:space="preserve">JAK2 </w:t>
      </w:r>
      <w:r w:rsidRPr="006F5ABC">
        <w:rPr>
          <w:rFonts w:ascii="Arial" w:hAnsi="Arial" w:cs="Arial"/>
          <w:sz w:val="22"/>
          <w:szCs w:val="22"/>
          <w:lang w:val="en-US"/>
        </w:rPr>
        <w:t>V617F-positive cells in patients with such a unique pathobiological behavior</w:t>
      </w:r>
      <w:r w:rsidR="00195B8E" w:rsidRPr="006F5ABC">
        <w:rPr>
          <w:rFonts w:ascii="Arial" w:hAnsi="Arial" w:cs="Arial"/>
          <w:sz w:val="22"/>
          <w:szCs w:val="22"/>
          <w:lang w:val="en-US"/>
        </w:rPr>
        <w:t xml:space="preserve"> (Figure 4).</w:t>
      </w:r>
    </w:p>
    <w:p w14:paraId="2ED6E3E2" w14:textId="77777777" w:rsidR="00D915F7" w:rsidRDefault="00D915F7" w:rsidP="00D915F7">
      <w:r>
        <w:lastRenderedPageBreak/>
        <w:fldChar w:fldCharType="begin"/>
      </w:r>
      <w:r>
        <w:instrText xml:space="preserve"> INCLUDEPICTURE "https://www.mdpi.com/cancers/cancers-12-00903/article_deploy/html/images/cancers-12-00903-g004.png" \* MERGEFORMATINET </w:instrText>
      </w:r>
      <w:r>
        <w:fldChar w:fldCharType="separate"/>
      </w:r>
      <w:r>
        <w:rPr>
          <w:noProof/>
          <w:lang w:val="cs-CZ" w:eastAsia="cs-CZ"/>
        </w:rPr>
        <w:drawing>
          <wp:inline distT="0" distB="0" distL="0" distR="0" wp14:anchorId="590A5E24" wp14:editId="7DCA7360">
            <wp:extent cx="5395595" cy="4519930"/>
            <wp:effectExtent l="0" t="0" r="1905" b="1270"/>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95595" cy="4519930"/>
                    </a:xfrm>
                    <a:prstGeom prst="rect">
                      <a:avLst/>
                    </a:prstGeom>
                    <a:noFill/>
                    <a:ln>
                      <a:noFill/>
                    </a:ln>
                  </pic:spPr>
                </pic:pic>
              </a:graphicData>
            </a:graphic>
          </wp:inline>
        </w:drawing>
      </w:r>
      <w:r>
        <w:fldChar w:fldCharType="end"/>
      </w:r>
    </w:p>
    <w:p w14:paraId="04F116AB" w14:textId="77777777" w:rsidR="00195B8E" w:rsidRPr="003A5293" w:rsidRDefault="00195B8E" w:rsidP="00195B8E">
      <w:pPr>
        <w:spacing w:line="360" w:lineRule="auto"/>
        <w:jc w:val="both"/>
        <w:rPr>
          <w:rFonts w:ascii="Arial" w:hAnsi="Arial" w:cs="Arial"/>
          <w:sz w:val="22"/>
          <w:szCs w:val="22"/>
          <w:lang w:val="en-US"/>
        </w:rPr>
      </w:pPr>
    </w:p>
    <w:p w14:paraId="2FFF4F20" w14:textId="77777777" w:rsidR="006B77C3" w:rsidRPr="003A5293" w:rsidRDefault="00195B8E" w:rsidP="00D915F7">
      <w:pPr>
        <w:spacing w:line="360" w:lineRule="auto"/>
        <w:jc w:val="both"/>
        <w:rPr>
          <w:rFonts w:ascii="Arial" w:hAnsi="Arial" w:cs="Arial"/>
          <w:sz w:val="22"/>
          <w:szCs w:val="22"/>
          <w:lang w:val="en-US"/>
        </w:rPr>
        <w:sectPr w:rsidR="006B77C3" w:rsidRPr="003A5293" w:rsidSect="00E75293">
          <w:headerReference w:type="default" r:id="rId14"/>
          <w:footerReference w:type="default" r:id="rId15"/>
          <w:pgSz w:w="11900" w:h="16840"/>
          <w:pgMar w:top="1418" w:right="1418" w:bottom="1418" w:left="1985" w:header="709" w:footer="709" w:gutter="0"/>
          <w:pgNumType w:start="1" w:chapStyle="2"/>
          <w:cols w:space="708"/>
          <w:docGrid w:linePitch="360"/>
        </w:sectPr>
      </w:pPr>
      <w:r w:rsidRPr="003A5293">
        <w:rPr>
          <w:rFonts w:ascii="Arial" w:hAnsi="Arial" w:cs="Arial"/>
          <w:b/>
          <w:bCs/>
          <w:sz w:val="22"/>
          <w:szCs w:val="22"/>
          <w:lang w:val="en-US"/>
        </w:rPr>
        <w:t>Figure 4</w:t>
      </w:r>
      <w:r w:rsidRPr="003A5293">
        <w:rPr>
          <w:rFonts w:ascii="Arial" w:hAnsi="Arial" w:cs="Arial"/>
          <w:sz w:val="22"/>
          <w:szCs w:val="22"/>
          <w:lang w:val="en-US"/>
        </w:rPr>
        <w:t xml:space="preserve">: </w:t>
      </w:r>
      <w:r w:rsidR="00412175" w:rsidRPr="003A5293">
        <w:rPr>
          <w:rFonts w:ascii="Arial" w:hAnsi="Arial" w:cs="Arial"/>
          <w:sz w:val="22"/>
          <w:szCs w:val="22"/>
          <w:lang w:val="en-US"/>
        </w:rPr>
        <w:t xml:space="preserve">Schematic model of PV disease evolution, showing central role of JAK2 V617F-dependent protection mechanisms, which decrease DNA damage and sustain genomic stability over decades of chronic proliferation phase. Disease has tendency to progress towards post-PV myelofibrosis after exhaustion of protection mechanisms by gradually increased inflammation. </w:t>
      </w:r>
      <w:r w:rsidR="00D915F7" w:rsidRPr="00D915F7">
        <w:rPr>
          <w:rFonts w:ascii="Arial" w:hAnsi="Arial" w:cs="Arial"/>
          <w:sz w:val="22"/>
          <w:szCs w:val="22"/>
          <w:lang w:val="en-US"/>
        </w:rPr>
        <w:t xml:space="preserve">In a minor subset of cases, selection of pre-leukemia mutations inhibiting DDR and </w:t>
      </w:r>
      <w:proofErr w:type="spellStart"/>
      <w:r w:rsidR="00D915F7" w:rsidRPr="00D915F7">
        <w:rPr>
          <w:rFonts w:ascii="Arial" w:hAnsi="Arial" w:cs="Arial"/>
          <w:sz w:val="22"/>
          <w:szCs w:val="22"/>
          <w:lang w:val="en-US"/>
        </w:rPr>
        <w:t>subclonal</w:t>
      </w:r>
      <w:proofErr w:type="spellEnd"/>
      <w:r w:rsidR="00D915F7" w:rsidRPr="00D915F7">
        <w:rPr>
          <w:rFonts w:ascii="Arial" w:hAnsi="Arial" w:cs="Arial"/>
          <w:sz w:val="22"/>
          <w:szCs w:val="22"/>
          <w:lang w:val="en-US"/>
        </w:rPr>
        <w:t xml:space="preserve"> evolution towards leukemia stem cell (LSC) marks the onset of secondary acute myeloid leukemias.</w:t>
      </w:r>
    </w:p>
    <w:p w14:paraId="708B5085" w14:textId="2F8FB6FD" w:rsidR="004171C5" w:rsidRPr="003A5293" w:rsidRDefault="004171C5" w:rsidP="004171C5">
      <w:pPr>
        <w:pStyle w:val="MainHeading2"/>
        <w:rPr>
          <w:rFonts w:cs="Arial"/>
          <w:b w:val="0"/>
          <w:bCs/>
          <w:lang w:val="en-US"/>
        </w:rPr>
      </w:pPr>
      <w:bookmarkStart w:id="10" w:name="_Toc57582485"/>
      <w:r w:rsidRPr="003A5293">
        <w:rPr>
          <w:rFonts w:cs="Arial"/>
          <w:b w:val="0"/>
          <w:bCs/>
          <w:sz w:val="48"/>
          <w:szCs w:val="48"/>
          <w:lang w:val="en-US"/>
        </w:rPr>
        <w:lastRenderedPageBreak/>
        <w:t>2.</w:t>
      </w:r>
      <w:r w:rsidRPr="003A5293">
        <w:rPr>
          <w:rFonts w:cs="Arial"/>
          <w:b w:val="0"/>
          <w:bCs/>
          <w:lang w:val="en-US"/>
        </w:rPr>
        <w:t xml:space="preserve"> </w:t>
      </w:r>
      <w:r w:rsidRPr="003A5293">
        <w:rPr>
          <w:rFonts w:cs="Arial"/>
          <w:lang w:val="en-US"/>
        </w:rPr>
        <w:t>A</w:t>
      </w:r>
      <w:r w:rsidR="004956BF" w:rsidRPr="003A5293">
        <w:rPr>
          <w:rFonts w:cs="Arial"/>
          <w:lang w:val="en-US"/>
        </w:rPr>
        <w:t>im</w:t>
      </w:r>
      <w:r w:rsidR="00AE6253" w:rsidRPr="003A5293">
        <w:rPr>
          <w:rFonts w:cs="Arial"/>
          <w:lang w:val="en-US"/>
        </w:rPr>
        <w:t>s</w:t>
      </w:r>
      <w:r w:rsidR="004956BF" w:rsidRPr="003A5293">
        <w:rPr>
          <w:rFonts w:cs="Arial"/>
          <w:lang w:val="en-US"/>
        </w:rPr>
        <w:t xml:space="preserve"> of </w:t>
      </w:r>
      <w:r w:rsidR="00F36296" w:rsidRPr="003A5293">
        <w:rPr>
          <w:rFonts w:cs="Arial"/>
          <w:lang w:val="en-US"/>
        </w:rPr>
        <w:t xml:space="preserve">the </w:t>
      </w:r>
      <w:r w:rsidR="004956BF" w:rsidRPr="003A5293">
        <w:rPr>
          <w:rFonts w:cs="Arial"/>
          <w:lang w:val="en-US"/>
        </w:rPr>
        <w:t>thesis</w:t>
      </w:r>
      <w:bookmarkEnd w:id="10"/>
    </w:p>
    <w:p w14:paraId="2B9CEC9D" w14:textId="77777777" w:rsidR="004171C5" w:rsidRPr="003A5293" w:rsidRDefault="004171C5" w:rsidP="00FB329F">
      <w:pPr>
        <w:spacing w:line="360" w:lineRule="auto"/>
        <w:rPr>
          <w:rFonts w:ascii="Arial" w:hAnsi="Arial" w:cs="Arial"/>
          <w:sz w:val="22"/>
          <w:szCs w:val="22"/>
          <w:lang w:val="en-US"/>
        </w:rPr>
      </w:pPr>
    </w:p>
    <w:p w14:paraId="3E2E04E6" w14:textId="77777777" w:rsidR="003734C0" w:rsidRPr="003A5293" w:rsidRDefault="00C70A27" w:rsidP="00C83062">
      <w:pPr>
        <w:spacing w:line="360" w:lineRule="auto"/>
        <w:ind w:left="284" w:hanging="284"/>
        <w:jc w:val="both"/>
        <w:rPr>
          <w:rFonts w:ascii="Arial" w:hAnsi="Arial" w:cs="Arial"/>
          <w:sz w:val="22"/>
          <w:szCs w:val="22"/>
          <w:lang w:val="en-US"/>
        </w:rPr>
      </w:pPr>
      <w:r w:rsidRPr="003A5293">
        <w:rPr>
          <w:rFonts w:ascii="Arial" w:hAnsi="Arial" w:cs="Arial"/>
          <w:sz w:val="22"/>
          <w:szCs w:val="22"/>
          <w:lang w:val="en-US"/>
        </w:rPr>
        <w:t xml:space="preserve">1 </w:t>
      </w:r>
      <w:r w:rsidR="00DB4760" w:rsidRPr="003A5293">
        <w:rPr>
          <w:rFonts w:ascii="Arial" w:hAnsi="Arial" w:cs="Arial"/>
          <w:sz w:val="22"/>
          <w:szCs w:val="22"/>
          <w:lang w:val="en-US"/>
        </w:rPr>
        <w:t xml:space="preserve">Critically review the literature </w:t>
      </w:r>
      <w:r w:rsidR="00404AA5" w:rsidRPr="003A5293">
        <w:rPr>
          <w:rFonts w:ascii="Arial" w:hAnsi="Arial" w:cs="Arial"/>
          <w:sz w:val="22"/>
          <w:szCs w:val="22"/>
          <w:lang w:val="en-US"/>
        </w:rPr>
        <w:t>concerning</w:t>
      </w:r>
      <w:r w:rsidR="00DB4760" w:rsidRPr="003A5293">
        <w:rPr>
          <w:rFonts w:ascii="Arial" w:hAnsi="Arial" w:cs="Arial"/>
          <w:sz w:val="22"/>
          <w:szCs w:val="22"/>
          <w:lang w:val="en-US"/>
        </w:rPr>
        <w:t xml:space="preserve"> contribution of oncogene-induced DNA-damage response and inflammatory signaling </w:t>
      </w:r>
      <w:r w:rsidR="007B0593" w:rsidRPr="003A5293">
        <w:rPr>
          <w:rFonts w:ascii="Arial" w:hAnsi="Arial" w:cs="Arial"/>
          <w:sz w:val="22"/>
          <w:szCs w:val="22"/>
          <w:lang w:val="en-US"/>
        </w:rPr>
        <w:t xml:space="preserve">cooperation </w:t>
      </w:r>
      <w:r w:rsidR="00DB4760" w:rsidRPr="003A5293">
        <w:rPr>
          <w:rFonts w:ascii="Arial" w:hAnsi="Arial" w:cs="Arial"/>
          <w:sz w:val="22"/>
          <w:szCs w:val="22"/>
          <w:lang w:val="en-US"/>
        </w:rPr>
        <w:t>in</w:t>
      </w:r>
      <w:r w:rsidR="007B0593" w:rsidRPr="003A5293">
        <w:rPr>
          <w:rFonts w:ascii="Arial" w:hAnsi="Arial" w:cs="Arial"/>
          <w:sz w:val="22"/>
          <w:szCs w:val="22"/>
          <w:lang w:val="en-US"/>
        </w:rPr>
        <w:t xml:space="preserve"> </w:t>
      </w:r>
      <w:r w:rsidR="00DB4760" w:rsidRPr="003A5293">
        <w:rPr>
          <w:rFonts w:ascii="Arial" w:hAnsi="Arial" w:cs="Arial"/>
          <w:sz w:val="22"/>
          <w:szCs w:val="22"/>
          <w:lang w:val="en-US"/>
        </w:rPr>
        <w:t>suppressing and promoting malignant trans</w:t>
      </w:r>
      <w:r w:rsidR="0031589A" w:rsidRPr="003A5293">
        <w:rPr>
          <w:rFonts w:ascii="Arial" w:hAnsi="Arial" w:cs="Arial"/>
          <w:sz w:val="22"/>
          <w:szCs w:val="22"/>
          <w:lang w:val="en-US"/>
        </w:rPr>
        <w:t xml:space="preserve">formation of </w:t>
      </w:r>
      <w:r w:rsidR="00927618" w:rsidRPr="00927618">
        <w:rPr>
          <w:rFonts w:ascii="Arial" w:hAnsi="Arial" w:cs="Arial"/>
          <w:sz w:val="22"/>
          <w:szCs w:val="22"/>
          <w:lang w:val="en-US"/>
        </w:rPr>
        <w:t xml:space="preserve">chronic myeloid leukemia and </w:t>
      </w:r>
      <w:r w:rsidR="00927618">
        <w:rPr>
          <w:rFonts w:ascii="Arial" w:hAnsi="Arial" w:cs="Arial"/>
          <w:sz w:val="22"/>
          <w:szCs w:val="22"/>
          <w:lang w:val="en-US"/>
        </w:rPr>
        <w:t>polycythemia vera.</w:t>
      </w:r>
    </w:p>
    <w:p w14:paraId="067EB86F" w14:textId="77777777" w:rsidR="00000DEE" w:rsidRPr="003A5293" w:rsidRDefault="00000DEE" w:rsidP="00C83062">
      <w:pPr>
        <w:pStyle w:val="Listenabsatz"/>
        <w:spacing w:line="360" w:lineRule="auto"/>
        <w:ind w:left="284" w:hanging="284"/>
        <w:jc w:val="both"/>
        <w:rPr>
          <w:rFonts w:ascii="Arial" w:hAnsi="Arial" w:cs="Arial"/>
          <w:sz w:val="22"/>
          <w:szCs w:val="22"/>
          <w:lang w:val="en-US"/>
        </w:rPr>
      </w:pPr>
    </w:p>
    <w:p w14:paraId="46763BBD" w14:textId="77777777" w:rsidR="0025290E" w:rsidRPr="003A5293" w:rsidRDefault="00C70A27" w:rsidP="00C83062">
      <w:pPr>
        <w:spacing w:line="360" w:lineRule="auto"/>
        <w:ind w:left="284" w:hanging="284"/>
        <w:jc w:val="both"/>
        <w:rPr>
          <w:rFonts w:ascii="Arial" w:hAnsi="Arial" w:cs="Arial"/>
          <w:sz w:val="22"/>
          <w:szCs w:val="22"/>
          <w:lang w:val="en-US"/>
        </w:rPr>
      </w:pPr>
      <w:r w:rsidRPr="003A5293">
        <w:rPr>
          <w:rFonts w:ascii="Arial" w:hAnsi="Arial" w:cs="Arial"/>
          <w:sz w:val="22"/>
          <w:szCs w:val="22"/>
          <w:lang w:val="en-US"/>
        </w:rPr>
        <w:t xml:space="preserve">2 </w:t>
      </w:r>
      <w:r w:rsidR="00000DEE" w:rsidRPr="003A5293">
        <w:rPr>
          <w:rFonts w:ascii="Arial" w:hAnsi="Arial" w:cs="Arial"/>
          <w:sz w:val="22"/>
          <w:szCs w:val="22"/>
          <w:lang w:val="en-US"/>
        </w:rPr>
        <w:t>Describe</w:t>
      </w:r>
      <w:r w:rsidR="00347F47" w:rsidRPr="003A5293">
        <w:rPr>
          <w:rFonts w:ascii="Arial" w:hAnsi="Arial" w:cs="Arial"/>
          <w:sz w:val="22"/>
          <w:szCs w:val="22"/>
          <w:lang w:val="en-US"/>
        </w:rPr>
        <w:t xml:space="preserve"> </w:t>
      </w:r>
      <w:r w:rsidR="00347F47" w:rsidRPr="00927618">
        <w:rPr>
          <w:rFonts w:ascii="Arial" w:hAnsi="Arial" w:cs="Arial"/>
          <w:i/>
          <w:iCs/>
          <w:sz w:val="22"/>
          <w:szCs w:val="22"/>
          <w:lang w:val="en-US"/>
        </w:rPr>
        <w:t>JAK2</w:t>
      </w:r>
      <w:r w:rsidR="00347F47" w:rsidRPr="003A5293">
        <w:rPr>
          <w:rFonts w:ascii="Arial" w:hAnsi="Arial" w:cs="Arial"/>
          <w:sz w:val="22"/>
          <w:szCs w:val="22"/>
          <w:lang w:val="en-US"/>
        </w:rPr>
        <w:t xml:space="preserve"> V617F-driven cell autonomous and non-cell autonomous inflammatory </w:t>
      </w:r>
      <w:r w:rsidR="00470F18" w:rsidRPr="003A5293">
        <w:rPr>
          <w:rFonts w:ascii="Arial" w:hAnsi="Arial" w:cs="Arial"/>
          <w:sz w:val="22"/>
          <w:szCs w:val="22"/>
          <w:lang w:val="en-US"/>
        </w:rPr>
        <w:t>signature</w:t>
      </w:r>
      <w:r w:rsidR="00000DEE" w:rsidRPr="003A5293">
        <w:rPr>
          <w:rFonts w:ascii="Arial" w:hAnsi="Arial" w:cs="Arial"/>
          <w:sz w:val="22"/>
          <w:szCs w:val="22"/>
          <w:lang w:val="en-US"/>
        </w:rPr>
        <w:t xml:space="preserve"> </w:t>
      </w:r>
      <w:r w:rsidR="000D6427" w:rsidRPr="003A5293">
        <w:rPr>
          <w:rFonts w:ascii="Arial" w:hAnsi="Arial" w:cs="Arial"/>
          <w:sz w:val="22"/>
          <w:szCs w:val="22"/>
          <w:lang w:val="en-US"/>
        </w:rPr>
        <w:t>of hematopoietic progenitors in PV</w:t>
      </w:r>
      <w:r w:rsidR="001310FD" w:rsidRPr="003A5293">
        <w:rPr>
          <w:rFonts w:ascii="Arial" w:hAnsi="Arial" w:cs="Arial"/>
          <w:sz w:val="22"/>
          <w:szCs w:val="22"/>
          <w:lang w:val="en-US"/>
        </w:rPr>
        <w:t>.</w:t>
      </w:r>
    </w:p>
    <w:p w14:paraId="40DE8B17" w14:textId="77777777" w:rsidR="0025290E" w:rsidRPr="003A5293" w:rsidRDefault="0025290E" w:rsidP="00C83062">
      <w:pPr>
        <w:spacing w:line="360" w:lineRule="auto"/>
        <w:ind w:left="284" w:hanging="284"/>
        <w:jc w:val="both"/>
        <w:rPr>
          <w:rFonts w:ascii="Arial" w:hAnsi="Arial" w:cs="Arial"/>
          <w:sz w:val="22"/>
          <w:szCs w:val="22"/>
          <w:lang w:val="en-US"/>
        </w:rPr>
      </w:pPr>
    </w:p>
    <w:p w14:paraId="348ACB7F" w14:textId="77777777" w:rsidR="00A653ED" w:rsidRDefault="00C70A27" w:rsidP="00C83062">
      <w:pPr>
        <w:spacing w:line="360" w:lineRule="auto"/>
        <w:ind w:left="284" w:hanging="284"/>
        <w:jc w:val="both"/>
        <w:rPr>
          <w:rFonts w:ascii="Arial" w:hAnsi="Arial" w:cs="Arial"/>
          <w:sz w:val="22"/>
          <w:szCs w:val="22"/>
          <w:lang w:val="en-US"/>
        </w:rPr>
      </w:pPr>
      <w:r w:rsidRPr="003A5293">
        <w:rPr>
          <w:rFonts w:ascii="Arial" w:hAnsi="Arial" w:cs="Arial"/>
          <w:sz w:val="22"/>
          <w:szCs w:val="22"/>
          <w:lang w:val="en-US"/>
        </w:rPr>
        <w:t xml:space="preserve">3 </w:t>
      </w:r>
      <w:r w:rsidR="00347F47" w:rsidRPr="003A5293">
        <w:rPr>
          <w:rFonts w:ascii="Arial" w:hAnsi="Arial" w:cs="Arial"/>
          <w:sz w:val="22"/>
          <w:szCs w:val="22"/>
          <w:lang w:val="en-US"/>
        </w:rPr>
        <w:t xml:space="preserve">Characterize </w:t>
      </w:r>
      <w:r w:rsidR="0031589A" w:rsidRPr="003A5293">
        <w:rPr>
          <w:rFonts w:ascii="Arial" w:hAnsi="Arial" w:cs="Arial"/>
          <w:sz w:val="22"/>
          <w:szCs w:val="22"/>
          <w:lang w:val="en-US"/>
        </w:rPr>
        <w:t xml:space="preserve">inflammation-induced </w:t>
      </w:r>
      <w:r w:rsidR="00347F47" w:rsidRPr="003A5293">
        <w:rPr>
          <w:rFonts w:ascii="Arial" w:hAnsi="Arial" w:cs="Arial"/>
          <w:sz w:val="22"/>
          <w:szCs w:val="22"/>
          <w:lang w:val="en-US"/>
        </w:rPr>
        <w:t xml:space="preserve">oxidative </w:t>
      </w:r>
      <w:r w:rsidR="007B0593" w:rsidRPr="003A5293">
        <w:rPr>
          <w:rFonts w:ascii="Arial" w:hAnsi="Arial" w:cs="Arial"/>
          <w:sz w:val="22"/>
          <w:szCs w:val="22"/>
          <w:lang w:val="en-US"/>
        </w:rPr>
        <w:t>stress and how it fosters DNA damage response activation in progression of PV</w:t>
      </w:r>
      <w:r w:rsidR="0025290E" w:rsidRPr="003A5293">
        <w:rPr>
          <w:rFonts w:ascii="Arial" w:hAnsi="Arial" w:cs="Arial"/>
          <w:sz w:val="22"/>
          <w:szCs w:val="22"/>
          <w:lang w:val="en-US"/>
        </w:rPr>
        <w:t>.</w:t>
      </w:r>
    </w:p>
    <w:p w14:paraId="4BAD8E51" w14:textId="77777777" w:rsidR="00E25BA9" w:rsidRDefault="00E25BA9" w:rsidP="00C83062">
      <w:pPr>
        <w:spacing w:line="360" w:lineRule="auto"/>
        <w:ind w:left="284" w:hanging="284"/>
        <w:jc w:val="both"/>
        <w:rPr>
          <w:rFonts w:ascii="Arial" w:hAnsi="Arial" w:cs="Arial"/>
          <w:sz w:val="22"/>
          <w:szCs w:val="22"/>
          <w:lang w:val="en-US"/>
        </w:rPr>
      </w:pPr>
    </w:p>
    <w:p w14:paraId="5C39A8B1" w14:textId="77777777" w:rsidR="00E25BA9" w:rsidRDefault="00E25BA9" w:rsidP="00C83062">
      <w:pPr>
        <w:spacing w:line="360" w:lineRule="auto"/>
        <w:ind w:left="284" w:hanging="284"/>
        <w:jc w:val="both"/>
        <w:rPr>
          <w:rFonts w:ascii="Arial" w:hAnsi="Arial" w:cs="Arial"/>
          <w:sz w:val="22"/>
          <w:szCs w:val="22"/>
          <w:lang w:val="en-US"/>
        </w:rPr>
      </w:pPr>
      <w:r>
        <w:rPr>
          <w:rFonts w:ascii="Arial" w:hAnsi="Arial" w:cs="Arial"/>
          <w:sz w:val="22"/>
          <w:szCs w:val="22"/>
          <w:lang w:val="en-US"/>
        </w:rPr>
        <w:t>4</w:t>
      </w:r>
      <w:r w:rsidRPr="003A5293">
        <w:rPr>
          <w:rFonts w:ascii="Arial" w:hAnsi="Arial" w:cs="Arial"/>
          <w:sz w:val="22"/>
          <w:szCs w:val="22"/>
          <w:lang w:val="en-US"/>
        </w:rPr>
        <w:t xml:space="preserve"> </w:t>
      </w:r>
      <w:r w:rsidR="00AD7FAE">
        <w:rPr>
          <w:rFonts w:ascii="Arial" w:hAnsi="Arial" w:cs="Arial"/>
          <w:sz w:val="22"/>
          <w:szCs w:val="22"/>
          <w:lang w:val="en-US"/>
        </w:rPr>
        <w:t xml:space="preserve">Investigate the role </w:t>
      </w:r>
      <w:r w:rsidR="00927618">
        <w:rPr>
          <w:rFonts w:ascii="Arial" w:hAnsi="Arial" w:cs="Arial"/>
          <w:sz w:val="22"/>
          <w:szCs w:val="22"/>
          <w:lang w:val="en-US"/>
        </w:rPr>
        <w:t xml:space="preserve">of interferon signaling on hematopoietic stem cells </w:t>
      </w:r>
      <w:r w:rsidR="007F1217">
        <w:rPr>
          <w:rFonts w:ascii="Arial" w:hAnsi="Arial" w:cs="Arial"/>
          <w:sz w:val="22"/>
          <w:szCs w:val="22"/>
          <w:lang w:val="en-US"/>
        </w:rPr>
        <w:t>heterogeneity</w:t>
      </w:r>
      <w:r w:rsidR="00927618">
        <w:rPr>
          <w:rFonts w:ascii="Arial" w:hAnsi="Arial" w:cs="Arial"/>
          <w:sz w:val="22"/>
          <w:szCs w:val="22"/>
          <w:lang w:val="en-US"/>
        </w:rPr>
        <w:t xml:space="preserve"> in MPN mouse model.</w:t>
      </w:r>
    </w:p>
    <w:p w14:paraId="2B098464" w14:textId="77777777" w:rsidR="004F4CED" w:rsidRDefault="004F4CED" w:rsidP="00C83062">
      <w:pPr>
        <w:spacing w:line="360" w:lineRule="auto"/>
        <w:ind w:left="284" w:hanging="284"/>
        <w:jc w:val="both"/>
        <w:rPr>
          <w:rFonts w:ascii="Arial" w:hAnsi="Arial" w:cs="Arial"/>
          <w:sz w:val="22"/>
          <w:szCs w:val="22"/>
          <w:lang w:val="en-US"/>
        </w:rPr>
      </w:pPr>
    </w:p>
    <w:p w14:paraId="2728ADFF" w14:textId="77777777" w:rsidR="004F4CED" w:rsidRPr="003A5293" w:rsidRDefault="004F4CED" w:rsidP="00C83062">
      <w:pPr>
        <w:spacing w:line="360" w:lineRule="auto"/>
        <w:ind w:left="284" w:hanging="284"/>
        <w:jc w:val="both"/>
        <w:rPr>
          <w:rFonts w:ascii="Arial" w:hAnsi="Arial" w:cs="Arial"/>
          <w:sz w:val="22"/>
          <w:szCs w:val="22"/>
          <w:lang w:val="en-US"/>
        </w:rPr>
      </w:pPr>
      <w:r>
        <w:rPr>
          <w:rFonts w:ascii="Arial" w:hAnsi="Arial" w:cs="Arial"/>
          <w:sz w:val="22"/>
          <w:szCs w:val="22"/>
          <w:lang w:val="en-US"/>
        </w:rPr>
        <w:t>5 Explore role of iron availability on MPN phenotype manifestation.</w:t>
      </w:r>
    </w:p>
    <w:p w14:paraId="5EA7D5EB" w14:textId="77777777" w:rsidR="00E25BA9" w:rsidRPr="003A5293" w:rsidRDefault="00E25BA9" w:rsidP="00C70A27">
      <w:pPr>
        <w:spacing w:line="360" w:lineRule="auto"/>
        <w:ind w:left="426" w:hanging="426"/>
        <w:jc w:val="both"/>
        <w:rPr>
          <w:rFonts w:ascii="Arial" w:hAnsi="Arial" w:cs="Arial"/>
          <w:sz w:val="22"/>
          <w:szCs w:val="22"/>
          <w:lang w:val="en-US"/>
        </w:rPr>
      </w:pPr>
    </w:p>
    <w:p w14:paraId="67C680BE" w14:textId="77777777" w:rsidR="00A653ED" w:rsidRPr="003A5293" w:rsidRDefault="00A653ED">
      <w:pPr>
        <w:rPr>
          <w:rFonts w:ascii="Arial" w:hAnsi="Arial" w:cs="Arial"/>
          <w:sz w:val="22"/>
          <w:szCs w:val="22"/>
          <w:lang w:val="en-US"/>
        </w:rPr>
      </w:pPr>
      <w:r w:rsidRPr="003A5293">
        <w:rPr>
          <w:rFonts w:ascii="Arial" w:hAnsi="Arial" w:cs="Arial"/>
          <w:sz w:val="22"/>
          <w:szCs w:val="22"/>
          <w:lang w:val="en-US"/>
        </w:rPr>
        <w:br w:type="page"/>
      </w:r>
    </w:p>
    <w:p w14:paraId="4545FA33" w14:textId="0788EEFF" w:rsidR="00B34F0A" w:rsidRDefault="00B34F0A" w:rsidP="00B34F0A">
      <w:pPr>
        <w:pStyle w:val="MainHeading2"/>
        <w:rPr>
          <w:rFonts w:cs="Arial"/>
          <w:lang w:val="en-US"/>
        </w:rPr>
      </w:pPr>
      <w:bookmarkStart w:id="11" w:name="_Toc57582486"/>
      <w:r>
        <w:rPr>
          <w:rFonts w:cs="Arial"/>
          <w:b w:val="0"/>
          <w:bCs/>
          <w:sz w:val="48"/>
          <w:szCs w:val="48"/>
          <w:lang w:val="en-US"/>
        </w:rPr>
        <w:lastRenderedPageBreak/>
        <w:t>3</w:t>
      </w:r>
      <w:r w:rsidRPr="003A5293">
        <w:rPr>
          <w:rFonts w:cs="Arial"/>
          <w:b w:val="0"/>
          <w:bCs/>
          <w:sz w:val="48"/>
          <w:szCs w:val="48"/>
          <w:lang w:val="en-US"/>
        </w:rPr>
        <w:t>.</w:t>
      </w:r>
      <w:r w:rsidRPr="003A5293">
        <w:rPr>
          <w:rFonts w:cs="Arial"/>
          <w:lang w:val="en-US"/>
        </w:rPr>
        <w:t xml:space="preserve"> </w:t>
      </w:r>
      <w:r w:rsidR="002F6CAB">
        <w:rPr>
          <w:rFonts w:cs="Arial"/>
          <w:lang w:val="en-US"/>
        </w:rPr>
        <w:t>Results and discussion</w:t>
      </w:r>
      <w:bookmarkEnd w:id="11"/>
    </w:p>
    <w:p w14:paraId="289C5610" w14:textId="77777777" w:rsidR="00B34F0A" w:rsidRDefault="00B34F0A" w:rsidP="00A653ED">
      <w:pPr>
        <w:pStyle w:val="Formatvorlage1"/>
        <w:rPr>
          <w:rFonts w:cs="Arial"/>
          <w:sz w:val="36"/>
          <w:szCs w:val="36"/>
        </w:rPr>
      </w:pPr>
    </w:p>
    <w:p w14:paraId="109E6DFF" w14:textId="5CBFC7D4" w:rsidR="00A653ED" w:rsidRPr="003A5293" w:rsidRDefault="00B34F0A" w:rsidP="00A653ED">
      <w:pPr>
        <w:pStyle w:val="Formatvorlage1"/>
        <w:rPr>
          <w:rFonts w:cs="Arial"/>
        </w:rPr>
      </w:pPr>
      <w:bookmarkStart w:id="12" w:name="_Toc57582487"/>
      <w:r>
        <w:rPr>
          <w:rFonts w:cs="Arial"/>
          <w:sz w:val="36"/>
          <w:szCs w:val="36"/>
        </w:rPr>
        <w:t>Aim 1</w:t>
      </w:r>
      <w:r w:rsidR="00A653ED" w:rsidRPr="003A5293">
        <w:rPr>
          <w:rFonts w:cs="Arial"/>
          <w:sz w:val="32"/>
          <w:szCs w:val="40"/>
        </w:rPr>
        <w:t xml:space="preserve"> </w:t>
      </w:r>
      <w:r w:rsidR="00927618" w:rsidRPr="00927618">
        <w:rPr>
          <w:rFonts w:cs="Arial"/>
        </w:rPr>
        <w:t>Critically review the literature concerning contribution of oncogene-induced DNA-damage response</w:t>
      </w:r>
      <w:r w:rsidR="00927618">
        <w:rPr>
          <w:rFonts w:cs="Arial"/>
        </w:rPr>
        <w:t xml:space="preserve"> </w:t>
      </w:r>
      <w:r w:rsidR="00927618" w:rsidRPr="00927618">
        <w:rPr>
          <w:rFonts w:cs="Arial"/>
        </w:rPr>
        <w:t>and inflammatory signaling cooperation in suppressing and promoting malignant transformation of chronic myeloid leukemia and polycythemia vera.</w:t>
      </w:r>
      <w:bookmarkEnd w:id="12"/>
    </w:p>
    <w:p w14:paraId="28EE7C5F" w14:textId="77777777" w:rsidR="00A653ED" w:rsidRPr="003A5293" w:rsidRDefault="00A653ED" w:rsidP="00A653ED">
      <w:pPr>
        <w:spacing w:line="360" w:lineRule="auto"/>
        <w:jc w:val="both"/>
        <w:rPr>
          <w:rFonts w:ascii="Arial" w:hAnsi="Arial" w:cs="Arial"/>
          <w:sz w:val="22"/>
          <w:szCs w:val="22"/>
          <w:lang w:val="en-US"/>
        </w:rPr>
      </w:pPr>
    </w:p>
    <w:p w14:paraId="60260CD8" w14:textId="3DED1A72" w:rsidR="008A0D24" w:rsidRPr="003A5293" w:rsidRDefault="00A653ED" w:rsidP="00083948">
      <w:pPr>
        <w:spacing w:line="360" w:lineRule="auto"/>
        <w:ind w:firstLine="708"/>
        <w:jc w:val="both"/>
        <w:rPr>
          <w:rFonts w:ascii="Arial" w:hAnsi="Arial" w:cs="Arial"/>
          <w:sz w:val="22"/>
          <w:szCs w:val="22"/>
          <w:lang w:val="en-US"/>
        </w:rPr>
      </w:pPr>
      <w:r w:rsidRPr="003A5293">
        <w:rPr>
          <w:rFonts w:ascii="Arial" w:hAnsi="Arial" w:cs="Arial"/>
          <w:sz w:val="22"/>
          <w:szCs w:val="22"/>
          <w:lang w:val="en-US"/>
        </w:rPr>
        <w:t xml:space="preserve">The presented article provides a comprehensive overview of the current knowledge regarding </w:t>
      </w:r>
      <w:r w:rsidR="000F7C2A" w:rsidRPr="003A5293">
        <w:rPr>
          <w:rFonts w:ascii="Arial" w:hAnsi="Arial" w:cs="Arial"/>
          <w:sz w:val="22"/>
          <w:szCs w:val="22"/>
          <w:lang w:val="en-US"/>
        </w:rPr>
        <w:t xml:space="preserve">involvement of DDR alterations in </w:t>
      </w:r>
      <w:r w:rsidR="001F7549">
        <w:rPr>
          <w:rFonts w:ascii="Arial" w:hAnsi="Arial" w:cs="Arial"/>
          <w:sz w:val="22"/>
          <w:szCs w:val="22"/>
          <w:lang w:val="en-US"/>
        </w:rPr>
        <w:t>chronic myeloid leukemia</w:t>
      </w:r>
      <w:r w:rsidR="000F7C2A" w:rsidRPr="003A5293">
        <w:rPr>
          <w:rFonts w:ascii="Arial" w:hAnsi="Arial" w:cs="Arial"/>
          <w:sz w:val="22"/>
          <w:szCs w:val="22"/>
          <w:lang w:val="en-US"/>
        </w:rPr>
        <w:t xml:space="preserve"> within inflammatory BM </w:t>
      </w:r>
      <w:r w:rsidR="00625B27" w:rsidRPr="003A5293">
        <w:rPr>
          <w:rFonts w:ascii="Arial" w:hAnsi="Arial" w:cs="Arial"/>
          <w:sz w:val="22"/>
          <w:szCs w:val="22"/>
          <w:lang w:val="en-US"/>
        </w:rPr>
        <w:t>milieu</w:t>
      </w:r>
      <w:r w:rsidR="000F7C2A" w:rsidRPr="003A5293">
        <w:rPr>
          <w:rFonts w:ascii="Arial" w:hAnsi="Arial" w:cs="Arial"/>
          <w:sz w:val="22"/>
          <w:szCs w:val="22"/>
          <w:lang w:val="en-US"/>
        </w:rPr>
        <w:t xml:space="preserve"> and how these alterations promote rapid clonal evolution and transformation to </w:t>
      </w:r>
      <w:r w:rsidR="001F7549">
        <w:rPr>
          <w:rFonts w:ascii="Arial" w:hAnsi="Arial" w:cs="Arial"/>
          <w:sz w:val="22"/>
          <w:szCs w:val="22"/>
          <w:lang w:val="en-US"/>
        </w:rPr>
        <w:t>blast crisis</w:t>
      </w:r>
      <w:r w:rsidR="000F7C2A" w:rsidRPr="003A5293">
        <w:rPr>
          <w:rFonts w:ascii="Arial" w:hAnsi="Arial" w:cs="Arial"/>
          <w:sz w:val="22"/>
          <w:szCs w:val="22"/>
          <w:lang w:val="en-US"/>
        </w:rPr>
        <w:t>.</w:t>
      </w:r>
      <w:r w:rsidR="00625B27" w:rsidRPr="003A5293">
        <w:rPr>
          <w:rFonts w:ascii="Arial" w:hAnsi="Arial" w:cs="Arial"/>
          <w:sz w:val="22"/>
          <w:szCs w:val="22"/>
          <w:lang w:val="en-US"/>
        </w:rPr>
        <w:t xml:space="preserve"> This paper also elaborates on a concept of </w:t>
      </w:r>
      <w:r w:rsidR="00625B27" w:rsidRPr="003A5293">
        <w:rPr>
          <w:rFonts w:ascii="Arial" w:hAnsi="Arial" w:cs="Arial"/>
          <w:i/>
          <w:iCs/>
          <w:sz w:val="22"/>
          <w:szCs w:val="22"/>
          <w:lang w:val="en-US"/>
        </w:rPr>
        <w:t xml:space="preserve">JAK2 </w:t>
      </w:r>
      <w:r w:rsidR="00625B27" w:rsidRPr="00CD395D">
        <w:rPr>
          <w:rFonts w:ascii="Arial" w:hAnsi="Arial" w:cs="Arial"/>
          <w:sz w:val="22"/>
          <w:szCs w:val="22"/>
          <w:lang w:val="en-US"/>
        </w:rPr>
        <w:t>V617F</w:t>
      </w:r>
      <w:r w:rsidR="00625B27" w:rsidRPr="003A5293">
        <w:rPr>
          <w:rFonts w:ascii="Arial" w:hAnsi="Arial" w:cs="Arial"/>
          <w:sz w:val="22"/>
          <w:szCs w:val="22"/>
          <w:lang w:val="en-US"/>
        </w:rPr>
        <w:t xml:space="preserve"> oncogene-dependent</w:t>
      </w:r>
      <w:r w:rsidR="009D0394" w:rsidRPr="003A5293">
        <w:rPr>
          <w:rFonts w:ascii="Arial" w:hAnsi="Arial" w:cs="Arial"/>
          <w:sz w:val="22"/>
          <w:szCs w:val="22"/>
          <w:lang w:val="en-US"/>
        </w:rPr>
        <w:t xml:space="preserve"> protection mechanisms</w:t>
      </w:r>
      <w:r w:rsidR="00625B27" w:rsidRPr="003A5293">
        <w:rPr>
          <w:rFonts w:ascii="Arial" w:hAnsi="Arial" w:cs="Arial"/>
          <w:sz w:val="22"/>
          <w:szCs w:val="22"/>
          <w:lang w:val="en-US"/>
        </w:rPr>
        <w:t xml:space="preserve"> driving the bulk of</w:t>
      </w:r>
      <w:r w:rsidR="009D0394" w:rsidRPr="003A5293">
        <w:rPr>
          <w:rFonts w:ascii="Arial" w:hAnsi="Arial" w:cs="Arial"/>
          <w:sz w:val="22"/>
          <w:szCs w:val="22"/>
          <w:lang w:val="en-US"/>
        </w:rPr>
        <w:t xml:space="preserve"> </w:t>
      </w:r>
      <w:r w:rsidR="00625B27" w:rsidRPr="003A5293">
        <w:rPr>
          <w:rFonts w:ascii="Arial" w:hAnsi="Arial" w:cs="Arial"/>
          <w:sz w:val="22"/>
          <w:szCs w:val="22"/>
          <w:lang w:val="en-US"/>
        </w:rPr>
        <w:t>myeloproliferative neoplasms</w:t>
      </w:r>
      <w:r w:rsidR="009D0394" w:rsidRPr="003A5293">
        <w:rPr>
          <w:rFonts w:ascii="Arial" w:hAnsi="Arial" w:cs="Arial"/>
          <w:sz w:val="22"/>
          <w:szCs w:val="22"/>
          <w:lang w:val="en-US"/>
        </w:rPr>
        <w:t>,</w:t>
      </w:r>
      <w:r w:rsidR="00625B27" w:rsidRPr="003A5293">
        <w:rPr>
          <w:rFonts w:ascii="Arial" w:hAnsi="Arial" w:cs="Arial"/>
          <w:sz w:val="22"/>
          <w:szCs w:val="22"/>
          <w:lang w:val="en-US"/>
        </w:rPr>
        <w:t xml:space="preserve"> exemplified by </w:t>
      </w:r>
      <w:r w:rsidR="00593278">
        <w:rPr>
          <w:rFonts w:ascii="Arial" w:hAnsi="Arial" w:cs="Arial"/>
          <w:sz w:val="22"/>
          <w:szCs w:val="22"/>
          <w:lang w:val="en-US"/>
        </w:rPr>
        <w:t>PV</w:t>
      </w:r>
      <w:r w:rsidR="00625B27" w:rsidRPr="003A5293">
        <w:rPr>
          <w:rFonts w:ascii="Arial" w:hAnsi="Arial" w:cs="Arial"/>
          <w:sz w:val="22"/>
          <w:szCs w:val="22"/>
          <w:lang w:val="en-US"/>
        </w:rPr>
        <w:t xml:space="preserve">, </w:t>
      </w:r>
      <w:r w:rsidR="009D0394" w:rsidRPr="003A5293">
        <w:rPr>
          <w:rFonts w:ascii="Arial" w:hAnsi="Arial" w:cs="Arial"/>
          <w:sz w:val="22"/>
          <w:szCs w:val="22"/>
          <w:lang w:val="en-US"/>
        </w:rPr>
        <w:t>fueling</w:t>
      </w:r>
      <w:r w:rsidR="00625B27" w:rsidRPr="003A5293">
        <w:rPr>
          <w:rFonts w:ascii="Arial" w:hAnsi="Arial" w:cs="Arial"/>
          <w:sz w:val="22"/>
          <w:szCs w:val="22"/>
          <w:lang w:val="en-US"/>
        </w:rPr>
        <w:t xml:space="preserve"> not</w:t>
      </w:r>
      <w:r w:rsidR="009D0394" w:rsidRPr="003A5293">
        <w:rPr>
          <w:rFonts w:ascii="Arial" w:hAnsi="Arial" w:cs="Arial"/>
          <w:sz w:val="22"/>
          <w:szCs w:val="22"/>
          <w:lang w:val="en-US"/>
        </w:rPr>
        <w:t xml:space="preserve"> </w:t>
      </w:r>
      <w:r w:rsidR="00625B27" w:rsidRPr="003A5293">
        <w:rPr>
          <w:rFonts w:ascii="Arial" w:hAnsi="Arial" w:cs="Arial"/>
          <w:sz w:val="22"/>
          <w:szCs w:val="22"/>
          <w:lang w:val="en-US"/>
        </w:rPr>
        <w:t>only proliferation-promoting events, but also mitigat</w:t>
      </w:r>
      <w:r w:rsidR="00BD45F5" w:rsidRPr="003A5293">
        <w:rPr>
          <w:rFonts w:ascii="Arial" w:hAnsi="Arial" w:cs="Arial"/>
          <w:sz w:val="22"/>
          <w:szCs w:val="22"/>
          <w:lang w:val="en-US"/>
        </w:rPr>
        <w:t>ing</w:t>
      </w:r>
      <w:r w:rsidR="00625B27" w:rsidRPr="003A5293">
        <w:rPr>
          <w:rFonts w:ascii="Arial" w:hAnsi="Arial" w:cs="Arial"/>
          <w:sz w:val="22"/>
          <w:szCs w:val="22"/>
          <w:lang w:val="en-US"/>
        </w:rPr>
        <w:t xml:space="preserve"> the</w:t>
      </w:r>
      <w:r w:rsidR="009D0394" w:rsidRPr="003A5293">
        <w:rPr>
          <w:rFonts w:ascii="Arial" w:hAnsi="Arial" w:cs="Arial"/>
          <w:sz w:val="22"/>
          <w:szCs w:val="22"/>
          <w:lang w:val="en-US"/>
        </w:rPr>
        <w:t xml:space="preserve"> </w:t>
      </w:r>
      <w:r w:rsidR="00625B27" w:rsidRPr="003A5293">
        <w:rPr>
          <w:rFonts w:ascii="Arial" w:hAnsi="Arial" w:cs="Arial"/>
          <w:sz w:val="22"/>
          <w:szCs w:val="22"/>
          <w:lang w:val="en-US"/>
        </w:rPr>
        <w:t xml:space="preserve">potential genotoxic impact of the overall oncogenic </w:t>
      </w:r>
      <w:r w:rsidR="009D0394" w:rsidRPr="003A5293">
        <w:rPr>
          <w:rFonts w:ascii="Arial" w:hAnsi="Arial" w:cs="Arial"/>
          <w:sz w:val="22"/>
          <w:szCs w:val="22"/>
          <w:lang w:val="en-US"/>
        </w:rPr>
        <w:t xml:space="preserve">and inflammatory </w:t>
      </w:r>
      <w:r w:rsidR="00625B27" w:rsidRPr="003A5293">
        <w:rPr>
          <w:rFonts w:ascii="Arial" w:hAnsi="Arial" w:cs="Arial"/>
          <w:sz w:val="22"/>
          <w:szCs w:val="22"/>
          <w:lang w:val="en-US"/>
        </w:rPr>
        <w:t>program</w:t>
      </w:r>
      <w:r w:rsidR="00BD45F5" w:rsidRPr="003A5293">
        <w:rPr>
          <w:rFonts w:ascii="Arial" w:hAnsi="Arial" w:cs="Arial"/>
          <w:sz w:val="22"/>
          <w:szCs w:val="22"/>
          <w:lang w:val="en-US"/>
        </w:rPr>
        <w:t xml:space="preserve">. </w:t>
      </w:r>
      <w:r w:rsidR="00625097" w:rsidRPr="003A5293">
        <w:rPr>
          <w:rFonts w:ascii="Arial" w:hAnsi="Arial" w:cs="Arial"/>
          <w:sz w:val="22"/>
          <w:szCs w:val="22"/>
          <w:lang w:val="en-US"/>
        </w:rPr>
        <w:t xml:space="preserve">Apart from reviewing </w:t>
      </w:r>
      <w:r w:rsidR="00BD45F5" w:rsidRPr="003A5293">
        <w:rPr>
          <w:rFonts w:ascii="Arial" w:hAnsi="Arial" w:cs="Arial"/>
          <w:sz w:val="22"/>
          <w:szCs w:val="22"/>
          <w:lang w:val="en-US"/>
        </w:rPr>
        <w:t>interplay</w:t>
      </w:r>
      <w:r w:rsidR="00625097" w:rsidRPr="003A5293">
        <w:rPr>
          <w:rFonts w:ascii="Arial" w:hAnsi="Arial" w:cs="Arial"/>
          <w:sz w:val="22"/>
          <w:szCs w:val="22"/>
          <w:lang w:val="en-US"/>
        </w:rPr>
        <w:t xml:space="preserve"> of DDR and inflammatory signaling in different preleukemia states, paper als</w:t>
      </w:r>
      <w:r w:rsidR="00BD45F5" w:rsidRPr="003A5293">
        <w:rPr>
          <w:rFonts w:ascii="Arial" w:hAnsi="Arial" w:cs="Arial"/>
          <w:sz w:val="22"/>
          <w:szCs w:val="22"/>
          <w:lang w:val="en-US"/>
        </w:rPr>
        <w:t xml:space="preserve">o summarizes implications for therapy as understanding </w:t>
      </w:r>
      <w:r w:rsidR="008A0D24" w:rsidRPr="003A5293">
        <w:rPr>
          <w:rFonts w:ascii="Arial" w:hAnsi="Arial" w:cs="Arial"/>
          <w:sz w:val="22"/>
          <w:szCs w:val="22"/>
          <w:lang w:val="en-US"/>
        </w:rPr>
        <w:t xml:space="preserve">of </w:t>
      </w:r>
      <w:r w:rsidR="00BD45F5" w:rsidRPr="003A5293">
        <w:rPr>
          <w:rFonts w:ascii="Arial" w:hAnsi="Arial" w:cs="Arial"/>
          <w:sz w:val="22"/>
          <w:szCs w:val="22"/>
          <w:lang w:val="en-US"/>
        </w:rPr>
        <w:t xml:space="preserve">DDR </w:t>
      </w:r>
      <w:r w:rsidR="000516B9">
        <w:rPr>
          <w:rFonts w:ascii="Arial" w:hAnsi="Arial" w:cs="Arial"/>
          <w:sz w:val="22"/>
          <w:szCs w:val="22"/>
          <w:lang w:val="en-US"/>
        </w:rPr>
        <w:t>roles</w:t>
      </w:r>
      <w:r w:rsidR="000516B9" w:rsidRPr="003A5293">
        <w:rPr>
          <w:rFonts w:ascii="Arial" w:hAnsi="Arial" w:cs="Arial"/>
          <w:sz w:val="22"/>
          <w:szCs w:val="22"/>
          <w:lang w:val="en-US"/>
        </w:rPr>
        <w:t xml:space="preserve"> </w:t>
      </w:r>
      <w:r w:rsidR="00BD45F5" w:rsidRPr="003A5293">
        <w:rPr>
          <w:rFonts w:ascii="Arial" w:hAnsi="Arial" w:cs="Arial"/>
          <w:sz w:val="22"/>
          <w:szCs w:val="22"/>
          <w:lang w:val="en-US"/>
        </w:rPr>
        <w:t>in the leukemogenesis of discussed models constitutes a platform for designing effective therapeutic intervention</w:t>
      </w:r>
      <w:r w:rsidR="00C8112C" w:rsidRPr="003A5293">
        <w:rPr>
          <w:rFonts w:ascii="Arial" w:hAnsi="Arial" w:cs="Arial"/>
          <w:sz w:val="22"/>
          <w:szCs w:val="22"/>
          <w:lang w:val="en-US"/>
        </w:rPr>
        <w:t>s</w:t>
      </w:r>
      <w:r w:rsidR="00BD45F5" w:rsidRPr="003A5293">
        <w:rPr>
          <w:rFonts w:ascii="Arial" w:hAnsi="Arial" w:cs="Arial"/>
          <w:sz w:val="22"/>
          <w:szCs w:val="22"/>
          <w:lang w:val="en-US"/>
        </w:rPr>
        <w:t>.</w:t>
      </w:r>
    </w:p>
    <w:p w14:paraId="2EC7AD7C" w14:textId="77777777" w:rsidR="008A0D24" w:rsidRPr="003A5293" w:rsidRDefault="008A0D24" w:rsidP="008A0D24">
      <w:pPr>
        <w:spacing w:line="360" w:lineRule="auto"/>
        <w:jc w:val="both"/>
        <w:rPr>
          <w:rFonts w:ascii="Arial" w:hAnsi="Arial" w:cs="Arial"/>
          <w:sz w:val="22"/>
          <w:szCs w:val="22"/>
          <w:lang w:val="en-US"/>
        </w:rPr>
      </w:pPr>
    </w:p>
    <w:p w14:paraId="3D5740EB" w14:textId="724CAFB1" w:rsidR="008A0D24" w:rsidRPr="009B653F" w:rsidRDefault="008A0D24" w:rsidP="009B653F">
      <w:pPr>
        <w:pStyle w:val="Formatvorlage1"/>
        <w:rPr>
          <w:rFonts w:cs="Arial"/>
        </w:rPr>
      </w:pPr>
      <w:bookmarkStart w:id="13" w:name="_Toc57582488"/>
      <w:r w:rsidRPr="009B653F">
        <w:rPr>
          <w:rFonts w:cs="Arial"/>
        </w:rPr>
        <w:t>Publications related to this aim:</w:t>
      </w:r>
      <w:bookmarkEnd w:id="13"/>
    </w:p>
    <w:p w14:paraId="57624D2A" w14:textId="77777777" w:rsidR="008F7BBD" w:rsidRDefault="008F7BBD" w:rsidP="004C6327">
      <w:pPr>
        <w:spacing w:line="360" w:lineRule="auto"/>
        <w:jc w:val="both"/>
        <w:rPr>
          <w:rFonts w:ascii="Arial" w:hAnsi="Arial" w:cs="Arial"/>
          <w:sz w:val="22"/>
          <w:szCs w:val="22"/>
          <w:lang w:val="en-US"/>
        </w:rPr>
      </w:pPr>
    </w:p>
    <w:p w14:paraId="71371D45" w14:textId="02DDD2F0" w:rsidR="00050576" w:rsidRPr="003A5293" w:rsidRDefault="008A0D24" w:rsidP="004C6327">
      <w:pPr>
        <w:spacing w:line="360" w:lineRule="auto"/>
        <w:jc w:val="both"/>
        <w:rPr>
          <w:rFonts w:ascii="Arial" w:hAnsi="Arial" w:cs="Arial"/>
          <w:sz w:val="22"/>
          <w:szCs w:val="22"/>
          <w:lang w:val="en-US"/>
        </w:rPr>
      </w:pPr>
      <w:r w:rsidRPr="006E03E6">
        <w:rPr>
          <w:rFonts w:ascii="Arial" w:hAnsi="Arial" w:cs="Arial"/>
          <w:b/>
          <w:bCs/>
          <w:sz w:val="22"/>
          <w:szCs w:val="22"/>
          <w:lang w:val="en-US"/>
        </w:rPr>
        <w:t>Article</w:t>
      </w:r>
      <w:r w:rsidRPr="003A5293">
        <w:rPr>
          <w:rFonts w:ascii="Arial" w:hAnsi="Arial" w:cs="Arial"/>
          <w:sz w:val="22"/>
          <w:szCs w:val="22"/>
          <w:lang w:val="en-US"/>
        </w:rPr>
        <w:t>:</w:t>
      </w:r>
    </w:p>
    <w:p w14:paraId="51BA0F1A" w14:textId="12F1E47B" w:rsidR="00050576" w:rsidRPr="003A5293" w:rsidRDefault="008F7BBD" w:rsidP="00154D01">
      <w:pPr>
        <w:spacing w:line="360" w:lineRule="auto"/>
        <w:rPr>
          <w:rFonts w:ascii="Arial" w:hAnsi="Arial" w:cs="Arial"/>
          <w:sz w:val="22"/>
          <w:szCs w:val="22"/>
          <w:lang w:val="en-US"/>
        </w:rPr>
      </w:pPr>
      <w:proofErr w:type="spellStart"/>
      <w:r>
        <w:rPr>
          <w:rFonts w:ascii="Arial" w:hAnsi="Arial" w:cs="Arial"/>
          <w:sz w:val="22"/>
          <w:szCs w:val="22"/>
          <w:lang w:val="en-US"/>
        </w:rPr>
        <w:t>S</w:t>
      </w:r>
      <w:r w:rsidRPr="008F7BBD">
        <w:rPr>
          <w:rFonts w:ascii="Arial" w:hAnsi="Arial" w:cs="Arial"/>
          <w:sz w:val="22"/>
          <w:szCs w:val="22"/>
          <w:lang w:val="en-US"/>
        </w:rPr>
        <w:t>tetka</w:t>
      </w:r>
      <w:proofErr w:type="spellEnd"/>
      <w:r w:rsidRPr="008F7BBD">
        <w:rPr>
          <w:rFonts w:ascii="Arial" w:hAnsi="Arial" w:cs="Arial"/>
          <w:sz w:val="22"/>
          <w:szCs w:val="22"/>
          <w:lang w:val="en-US"/>
        </w:rPr>
        <w:t xml:space="preserve">, J., </w:t>
      </w:r>
      <w:proofErr w:type="spellStart"/>
      <w:r w:rsidRPr="008F7BBD">
        <w:rPr>
          <w:rFonts w:ascii="Arial" w:hAnsi="Arial" w:cs="Arial"/>
          <w:sz w:val="22"/>
          <w:szCs w:val="22"/>
          <w:lang w:val="en-US"/>
        </w:rPr>
        <w:t>Gursky</w:t>
      </w:r>
      <w:proofErr w:type="spellEnd"/>
      <w:r w:rsidRPr="008F7BBD">
        <w:rPr>
          <w:rFonts w:ascii="Arial" w:hAnsi="Arial" w:cs="Arial"/>
          <w:sz w:val="22"/>
          <w:szCs w:val="22"/>
          <w:lang w:val="en-US"/>
        </w:rPr>
        <w:t xml:space="preserve">, J., </w:t>
      </w:r>
      <w:proofErr w:type="spellStart"/>
      <w:r w:rsidRPr="008F7BBD">
        <w:rPr>
          <w:rFonts w:ascii="Arial" w:hAnsi="Arial" w:cs="Arial"/>
          <w:sz w:val="22"/>
          <w:szCs w:val="22"/>
          <w:lang w:val="en-US"/>
        </w:rPr>
        <w:t>Liñan</w:t>
      </w:r>
      <w:proofErr w:type="spellEnd"/>
      <w:r w:rsidRPr="008F7BBD">
        <w:rPr>
          <w:rFonts w:ascii="Arial" w:hAnsi="Arial" w:cs="Arial"/>
          <w:sz w:val="22"/>
          <w:szCs w:val="22"/>
          <w:lang w:val="en-US"/>
        </w:rPr>
        <w:t xml:space="preserve"> Velasquez, J., </w:t>
      </w:r>
      <w:proofErr w:type="spellStart"/>
      <w:r w:rsidRPr="008F7BBD">
        <w:rPr>
          <w:rFonts w:ascii="Arial" w:hAnsi="Arial" w:cs="Arial"/>
          <w:sz w:val="22"/>
          <w:szCs w:val="22"/>
          <w:lang w:val="en-US"/>
        </w:rPr>
        <w:t>Mojzikova</w:t>
      </w:r>
      <w:proofErr w:type="spellEnd"/>
      <w:r w:rsidRPr="008F7BBD">
        <w:rPr>
          <w:rFonts w:ascii="Arial" w:hAnsi="Arial" w:cs="Arial"/>
          <w:sz w:val="22"/>
          <w:szCs w:val="22"/>
          <w:lang w:val="en-US"/>
        </w:rPr>
        <w:t xml:space="preserve">, R., </w:t>
      </w:r>
      <w:proofErr w:type="spellStart"/>
      <w:r w:rsidRPr="008F7BBD">
        <w:rPr>
          <w:rFonts w:ascii="Arial" w:hAnsi="Arial" w:cs="Arial"/>
          <w:sz w:val="22"/>
          <w:szCs w:val="22"/>
          <w:lang w:val="en-US"/>
        </w:rPr>
        <w:t>Vyhlidalova</w:t>
      </w:r>
      <w:proofErr w:type="spellEnd"/>
      <w:r w:rsidRPr="008F7BBD">
        <w:rPr>
          <w:rFonts w:ascii="Arial" w:hAnsi="Arial" w:cs="Arial"/>
          <w:sz w:val="22"/>
          <w:szCs w:val="22"/>
          <w:lang w:val="en-US"/>
        </w:rPr>
        <w:t xml:space="preserve">, P., </w:t>
      </w:r>
      <w:proofErr w:type="spellStart"/>
      <w:r w:rsidRPr="008F7BBD">
        <w:rPr>
          <w:rFonts w:ascii="Arial" w:hAnsi="Arial" w:cs="Arial"/>
          <w:sz w:val="22"/>
          <w:szCs w:val="22"/>
          <w:lang w:val="en-US"/>
        </w:rPr>
        <w:t>Vrablova</w:t>
      </w:r>
      <w:proofErr w:type="spellEnd"/>
      <w:r w:rsidRPr="008F7BBD">
        <w:rPr>
          <w:rFonts w:ascii="Arial" w:hAnsi="Arial" w:cs="Arial"/>
          <w:sz w:val="22"/>
          <w:szCs w:val="22"/>
          <w:lang w:val="en-US"/>
        </w:rPr>
        <w:t xml:space="preserve">, L., Bartek, J., </w:t>
      </w:r>
      <w:proofErr w:type="spellStart"/>
      <w:r w:rsidRPr="008F7BBD">
        <w:rPr>
          <w:rFonts w:ascii="Arial" w:hAnsi="Arial" w:cs="Arial"/>
          <w:sz w:val="22"/>
          <w:szCs w:val="22"/>
          <w:lang w:val="en-US"/>
        </w:rPr>
        <w:t>Divoky</w:t>
      </w:r>
      <w:proofErr w:type="spellEnd"/>
      <w:r w:rsidRPr="008F7BBD">
        <w:rPr>
          <w:rFonts w:ascii="Arial" w:hAnsi="Arial" w:cs="Arial"/>
          <w:sz w:val="22"/>
          <w:szCs w:val="22"/>
          <w:lang w:val="en-US"/>
        </w:rPr>
        <w:t>, V., 2020. Role of DNA Damage Response in Suppressing Malignant Progression of Chronic Myeloid Leukemia and Polycythemia Vera: Impact of Different Oncogenes. Cancers (Basel) 12. https://doi.org/10.3390/cancers12040903</w:t>
      </w:r>
      <w:r w:rsidR="00050576" w:rsidRPr="003A5293">
        <w:rPr>
          <w:rFonts w:ascii="Arial" w:hAnsi="Arial" w:cs="Arial"/>
          <w:sz w:val="22"/>
          <w:szCs w:val="22"/>
          <w:lang w:val="en-US"/>
        </w:rPr>
        <w:br w:type="page"/>
      </w:r>
    </w:p>
    <w:p w14:paraId="69E22E63" w14:textId="36BC0A7B" w:rsidR="00050576" w:rsidRPr="003A5293" w:rsidRDefault="00B34F0A" w:rsidP="00050576">
      <w:pPr>
        <w:pStyle w:val="Formatvorlage1"/>
        <w:rPr>
          <w:rFonts w:cs="Arial"/>
        </w:rPr>
      </w:pPr>
      <w:bookmarkStart w:id="14" w:name="_Toc57582489"/>
      <w:r>
        <w:rPr>
          <w:rFonts w:cs="Arial"/>
          <w:sz w:val="36"/>
          <w:szCs w:val="36"/>
        </w:rPr>
        <w:lastRenderedPageBreak/>
        <w:t xml:space="preserve">Aim </w:t>
      </w:r>
      <w:r w:rsidR="00C70A27" w:rsidRPr="003A5293">
        <w:rPr>
          <w:rFonts w:cs="Arial"/>
          <w:sz w:val="36"/>
          <w:szCs w:val="36"/>
        </w:rPr>
        <w:t>2</w:t>
      </w:r>
      <w:r w:rsidR="00050576" w:rsidRPr="003A5293">
        <w:rPr>
          <w:rFonts w:cs="Arial"/>
        </w:rPr>
        <w:t xml:space="preserve"> Describe JAK2 V617F-driven cell autonomous and non-cell autonomous inflammatory signature of hematopoietic progenitors in PV.</w:t>
      </w:r>
      <w:bookmarkEnd w:id="14"/>
    </w:p>
    <w:p w14:paraId="251A72EB" w14:textId="77777777" w:rsidR="00050576" w:rsidRPr="003A5293" w:rsidRDefault="00050576" w:rsidP="008A0D24">
      <w:pPr>
        <w:spacing w:line="360" w:lineRule="auto"/>
        <w:jc w:val="both"/>
        <w:rPr>
          <w:rFonts w:ascii="Arial" w:hAnsi="Arial" w:cs="Arial"/>
          <w:sz w:val="22"/>
          <w:szCs w:val="22"/>
          <w:lang w:val="en-US"/>
        </w:rPr>
      </w:pPr>
    </w:p>
    <w:p w14:paraId="02B76AE1" w14:textId="50C8AC7D" w:rsidR="00112A6E" w:rsidRPr="003A5293" w:rsidRDefault="005750A5" w:rsidP="00112A6E">
      <w:pPr>
        <w:spacing w:line="360" w:lineRule="auto"/>
        <w:ind w:firstLine="708"/>
        <w:jc w:val="both"/>
        <w:rPr>
          <w:rFonts w:ascii="Arial" w:hAnsi="Arial" w:cs="Arial"/>
          <w:sz w:val="22"/>
          <w:szCs w:val="22"/>
          <w:lang w:val="en-US"/>
        </w:rPr>
      </w:pPr>
      <w:r w:rsidRPr="003A5293">
        <w:rPr>
          <w:rFonts w:ascii="Arial" w:hAnsi="Arial" w:cs="Arial"/>
          <w:sz w:val="22"/>
          <w:szCs w:val="22"/>
          <w:lang w:val="en-US"/>
        </w:rPr>
        <w:t>E</w:t>
      </w:r>
      <w:r w:rsidR="00112A6E" w:rsidRPr="003A5293">
        <w:rPr>
          <w:rFonts w:ascii="Arial" w:hAnsi="Arial" w:cs="Arial"/>
          <w:sz w:val="22"/>
          <w:szCs w:val="22"/>
          <w:lang w:val="en-US"/>
        </w:rPr>
        <w:t>levated pro-inflammatory cytokine</w:t>
      </w:r>
      <w:r w:rsidRPr="003A5293">
        <w:rPr>
          <w:rFonts w:ascii="Arial" w:hAnsi="Arial" w:cs="Arial"/>
          <w:sz w:val="22"/>
          <w:szCs w:val="22"/>
          <w:lang w:val="en-US"/>
        </w:rPr>
        <w:t>s</w:t>
      </w:r>
      <w:r w:rsidR="00190F29" w:rsidRPr="003A5293">
        <w:rPr>
          <w:rFonts w:ascii="Arial" w:hAnsi="Arial" w:cs="Arial"/>
          <w:sz w:val="22"/>
          <w:szCs w:val="22"/>
          <w:lang w:val="en-US"/>
        </w:rPr>
        <w:t xml:space="preserve"> and chemokine</w:t>
      </w:r>
      <w:r w:rsidRPr="003A5293">
        <w:rPr>
          <w:rFonts w:ascii="Arial" w:hAnsi="Arial" w:cs="Arial"/>
          <w:sz w:val="22"/>
          <w:szCs w:val="22"/>
          <w:lang w:val="en-US"/>
        </w:rPr>
        <w:t>s</w:t>
      </w:r>
      <w:r w:rsidR="00112A6E" w:rsidRPr="003A5293">
        <w:rPr>
          <w:rFonts w:ascii="Arial" w:hAnsi="Arial" w:cs="Arial"/>
          <w:sz w:val="22"/>
          <w:szCs w:val="22"/>
          <w:lang w:val="en-US"/>
        </w:rPr>
        <w:t xml:space="preserve"> levels in peripheral blood</w:t>
      </w:r>
      <w:r w:rsidR="00C06426">
        <w:rPr>
          <w:rFonts w:ascii="Arial" w:hAnsi="Arial" w:cs="Arial"/>
          <w:sz w:val="22"/>
          <w:szCs w:val="22"/>
          <w:lang w:val="en-US"/>
        </w:rPr>
        <w:t xml:space="preserve"> </w:t>
      </w:r>
      <w:r w:rsidR="00154D01">
        <w:rPr>
          <w:rFonts w:ascii="Arial" w:hAnsi="Arial" w:cs="Arial"/>
          <w:sz w:val="22"/>
          <w:szCs w:val="22"/>
          <w:lang w:val="en-US"/>
        </w:rPr>
        <w:t>of PV patients</w:t>
      </w:r>
      <w:r w:rsidR="00112A6E" w:rsidRPr="003A5293">
        <w:rPr>
          <w:rFonts w:ascii="Arial" w:hAnsi="Arial" w:cs="Arial"/>
          <w:sz w:val="22"/>
          <w:szCs w:val="22"/>
          <w:lang w:val="en-US"/>
        </w:rPr>
        <w:t xml:space="preserve"> correlate with disease phenotype and prognosis</w:t>
      </w:r>
      <w:r w:rsidR="00190F29" w:rsidRPr="003A5293">
        <w:rPr>
          <w:rFonts w:ascii="Arial" w:hAnsi="Arial" w:cs="Arial"/>
          <w:sz w:val="22"/>
          <w:szCs w:val="22"/>
          <w:lang w:val="en-US"/>
        </w:rPr>
        <w:t>, suggesting their involvement in disease development and clinical manifestation</w:t>
      </w:r>
      <w:r w:rsidR="008A6447" w:rsidRPr="003A5293">
        <w:rPr>
          <w:rFonts w:ascii="Arial" w:hAnsi="Arial" w:cs="Arial"/>
          <w:sz w:val="22"/>
          <w:szCs w:val="22"/>
          <w:lang w:val="en-US"/>
        </w:rPr>
        <w:t xml:space="preserve"> </w:t>
      </w:r>
      <w:r w:rsidR="008A6447" w:rsidRPr="003A5293">
        <w:rPr>
          <w:rFonts w:ascii="Arial" w:hAnsi="Arial" w:cs="Arial"/>
          <w:sz w:val="22"/>
          <w:szCs w:val="22"/>
          <w:lang w:val="en-US"/>
        </w:rPr>
        <w:fldChar w:fldCharType="begin"/>
      </w:r>
      <w:r w:rsidR="0045542D" w:rsidRPr="003A5293">
        <w:rPr>
          <w:rFonts w:ascii="Arial" w:hAnsi="Arial" w:cs="Arial"/>
          <w:sz w:val="22"/>
          <w:szCs w:val="22"/>
          <w:lang w:val="en-US"/>
        </w:rPr>
        <w:instrText xml:space="preserve"> ADDIN ZOTERO_ITEM CSL_CITATION {"citationID":"aZFiRNNn","properties":{"formattedCitation":"(Pourcelot et al., 2014; Tefferi et al., 2011; Vaidya et al., 2012)","plainCitation":"(Pourcelot et al., 2014; Tefferi et al., 2011; Vaidya et al., 2012)","noteIndex":0},"citationItems":[{"id":1094,"uris":["http://zotero.org/users/2484452/items/K3AVH84H"],"uri":["http://zotero.org/users/2484452/items/K3AVH84H"],"itemData":{"id":1094,"type":"article-journal","abstract":"Studies have shown that the clinical impact of Janus kinase 2 (JAK2) inhibitors in primary myelofibrosis patients is due to the regulation of cytokine levels, suggesting that cytokine profiles might play a critical role in myeloproliferative neoplasms (MPNs) physiopathology. In this study, we compared the plasma cytokine profiles of polycythemia vera (PV) patients and essential thrombocythemia (ET) patients as a function of their JAK2 V617F status and the presence of thrombohemorrhagic complications. Using a multiplex cytokine assay, cytokine measurements were taken of the plasma of 17 PV patients and 21 ET patients. Twenty-two of these patients (10 PV and 12 ET) experienced at least one thrombohemorrhagic manifestation before diagnosis. We showed that cytokine levels were significantly increased in PV and ET patients compared with normal values and that several positive correlations existed between the cytokine concentrations and the biological parameters in each MPN. The comparison between the cytokine profiles of ET and PV patients showed a statistically significant increase of interleukin (IL)-4, IL-8, granulocyte macrophage-colony stimulating factor, interferon -γ, monocyte chemotactic protein -1, platelet derived growth factor-BB, and vascular endothelial growth factor in the ET group. Only tumor necrosis factor-α and platelet derived growth factor-BB were specifically impacted by the JAK2 V617F status of the PV and ET patients, respectively, suggesting that there are both JAK2 V617F-driven and JAK2 V617F-independent inflammatory responses in MPNs. We also showed that the subgroup of PV patients with vascular complications displayed significantly different concentrations of IL-12(p70) and granulocyte macrophage-colony stimulating factor compared with patients without vascular complications. Altogether, these data suggest that cytokine measurement might be useful for the clinical and therapeutic stratification of PV and ET patients.","container-title":"Experimental Hematology","DOI":"10.1016/j.exphem.2014.01.006","ISSN":"1873-2399","issue":"5","journalAbbreviation":"Exp. Hematol.","language":"eng","note":"PMID: 24463275","page":"360-368","source":"PubMed","title":"Cytokine profiles in polycythemia vera and essential thrombocythemia patients: clinical implications","title-short":"Cytokine profiles in polycythemia vera and essential thrombocythemia patients","volume":"42","author":[{"family":"Pourcelot","given":"Emmanuel"},{"family":"Trocme","given":"Candice"},{"family":"Mondet","given":"Julie"},{"family":"Bailly","given":"Sébastien"},{"family":"Toussaint","given":"Bertrand"},{"family":"Mossuz","given":"Pascal"}],"issued":{"date-parts":[["2014",5]]}}},{"id":1098,"uris":["http://zotero.org/users/2484452/items/BQWW526E"],"uri":["http://zotero.org/users/2484452/items/BQWW526E"],"itemData":{"id":1098,"type":"article-journal","abstract":"PURPOSE: Abnormal cytokine expression accompanies myelofibrosis and might be a therapeutic target for Janus-associated kinase (JAK) inhibitor drugs. This study describes the spectrum of plasma cytokine abnormalities in primary myelofibrosis (PMF) and examines their phenotypic correlates and prognostic significance.\nPATIENTS AND METHODS: Patients included in this study were required to have archived plasma, bone marrow biopsy, and cytogenetic information available at the time of first referral to the Mayo Clinic. Multiplex biometric sandwich immunoassay was used to measure plasma levels of 30 cytokines.\nRESULTS: In total, 127 PMF patients were studied; comparison with normal controls (n = 35) revealed significantly increased interleukin-1β (IL-1β), IL-1RA, IL-2R, IL-6, IL-8, IL-10, IL-12, IL-13, IL-15, tumor necrosis factor α (TNF-α), granulocyte colony-stimulating factor (G-CSF), interferon alfa (IFN-α), macrophage inflammatory protein 1α (MIP-1α), MIP-1β, hepatocyte growth factor (HGF), IFN-γ-inducible protein 10 (IP-10), monokine induced by IFN-γ (MIG), monocyte chemotactic protein 1 (MCP-1), and vascular endothelial growth factor (VEGF) levels and decreased IFN-γ levels. In treatment-naive patients (n = 90), increased levels of IL-8 (P &lt; .001), IL-2R (P &lt; .001), IL-12 (P &lt; .001), IL-15 (P = .001), and IP-10 (P = .003) were independently predictive of inferior survival. A similar multivariable analysis that included all 127 study patients confirmed the prognostic value of these five cytokines, and IL-8, IL-2R, IL-12, and IL-15 remained significant when risk stratification, according to the recently revised Dynamic International Prognostic Scoring System (DIPSS plus), was added to the multivariable model. Leukemia-free survival was predicted by IL-8, which was also the only cytokine associated with ≥ 1% circulating blasts. Other cytokine-phenotype associations included increased IL-8 and constitutional symptoms; IL-2R, IL-12, and transfusion need; IL-2R, IL-8, and leukocytosis; IP-10 and thrombocytopenia; HGF, MIG, IL-1RA, and marked splenomegaly; and IL-1RA, IL-2R, IP-10, MIP-1β, and JAK2V617F. A two-cytokine (IL-8/IL-2R) -based risk categorization delineated prognostically different groups within specific DIPSS plus risk categories.\nCONCLUSION: This study signifies the presence of specific cytokine-phenotype associations in PMF and a prognostically relevant plasma cytokine signature that might prove useful as a laboratory tool for predicting and monitoring treatment response.","container-title":"Journal of Clinical Oncology: Official Journal of the American Society of Clinical Oncology","DOI":"10.1200/JCO.2010.32.9490","ISSN":"1527-7755","issue":"10","journalAbbreviation":"J. Clin. Oncol.","language":"eng","note":"PMID: 21300928","page":"1356-1363","source":"PubMed","title":"Circulating interleukin (IL)-8, IL-2R, IL-12, and IL-15 levels are independently prognostic in primary myelofibrosis: a comprehensive cytokine profiling study","title-short":"Circulating interleukin (IL)-8, IL-2R, IL-12, and IL-15 levels are independently prognostic in primary myelofibrosis","volume":"29","author":[{"family":"Tefferi","given":"Ayalew"},{"family":"Vaidya","given":"Rakhee"},{"family":"Caramazza","given":"Domenica"},{"family":"Finke","given":"Christy"},{"family":"Lasho","given":"Terra"},{"family":"Pardanani","given":"Animesh"}],"issued":{"date-parts":[["2011",4,1]]}}},{"id":34,"uris":["http://zotero.org/users/2484452/items/64T6BV2B"],"uri":["http://zotero.org/users/2484452/items/64T6BV2B"],"itemData":{"id":34,"type":"article-journal","abstract":"Plasma cytokine milieu is abnormal in primary myelofibrosis (PMF) and correlates with disease phenotype and prognosis. In this study, we show that several plasma cytokines are also abnormally expressed in polycythemia vera (PV; n = 65), compared to normal controls (n = 35), but with a significantly different pattern than that of PMF (n = 127). Direct phenotypic correlation in PV included levels of IL-12 with hematocrit; IL-1b, IL-2, IL-7, FGF-b, and HGF with leukocytosis; and IFN-α and IFN-γ with thrombocytosis. In univariate analysis, levels of 13 cytokines (out of 30 analyzed) correlated with survival but only MIP-1β remained significant on multivariable analysis that included the other cytokines as covariates. Increased level of MIP-1β (P &lt; 0.01), older age (P &lt; 0.01), and leukocytosis (P = 0.03) maintained their association with shortened survival, on multivariable analysis. This study provides preliminary observations that warrant a larger scale study and suggests the value of plasma cytokines as prognostic biomarkers in PV.","container-title":"American Journal of Hematology","DOI":"10.1002/ajh.23295","ISSN":"1096-8652","issue":"11","journalAbbreviation":"Am. J. Hematol.","language":"eng","note":"PMID: 22965887","page":"1003-1005","source":"PubMed","title":"Plasma cytokines in polycythemia vera: phenotypic correlates, prognostic relevance, and comparison with myelofibrosis","title-short":"Plasma cytokines in polycythemia vera","volume":"87","author":[{"family":"Vaidya","given":"Rakhee"},{"family":"Gangat","given":"Naseema"},{"family":"Jimma","given":"Thitina"},{"family":"Finke","given":"Christy M."},{"family":"Lasho","given":"Terra L."},{"family":"Pardanani","given":"Animesh"},{"family":"Tefferi","given":"Ayalew"}],"issued":{"date-parts":[["2012",11]]}}}],"schema":"https://github.com/citation-style-language/schema/raw/master/csl-citation.json"} </w:instrText>
      </w:r>
      <w:r w:rsidR="008A6447" w:rsidRPr="003A5293">
        <w:rPr>
          <w:rFonts w:ascii="Arial" w:hAnsi="Arial" w:cs="Arial"/>
          <w:sz w:val="22"/>
          <w:szCs w:val="22"/>
          <w:lang w:val="en-US"/>
        </w:rPr>
        <w:fldChar w:fldCharType="separate"/>
      </w:r>
      <w:r w:rsidR="0045542D" w:rsidRPr="003A5293">
        <w:rPr>
          <w:rFonts w:ascii="Arial" w:hAnsi="Arial" w:cs="Arial"/>
          <w:noProof/>
          <w:sz w:val="22"/>
          <w:szCs w:val="22"/>
          <w:lang w:val="en-US"/>
        </w:rPr>
        <w:t>(Pourcelot et al., 2014; Tefferi et al., 2011; Vaidya et al., 2012)</w:t>
      </w:r>
      <w:r w:rsidR="008A6447" w:rsidRPr="003A5293">
        <w:rPr>
          <w:rFonts w:ascii="Arial" w:hAnsi="Arial" w:cs="Arial"/>
          <w:sz w:val="22"/>
          <w:szCs w:val="22"/>
          <w:lang w:val="en-US"/>
        </w:rPr>
        <w:fldChar w:fldCharType="end"/>
      </w:r>
      <w:r w:rsidR="0045542D" w:rsidRPr="003A5293">
        <w:rPr>
          <w:rFonts w:ascii="Arial" w:hAnsi="Arial" w:cs="Arial"/>
          <w:lang w:val="en-US"/>
        </w:rPr>
        <w:t xml:space="preserve"> </w:t>
      </w:r>
      <w:r w:rsidR="0045542D" w:rsidRPr="003A5293">
        <w:rPr>
          <w:rFonts w:ascii="Arial" w:hAnsi="Arial" w:cs="Arial"/>
          <w:sz w:val="22"/>
          <w:szCs w:val="22"/>
          <w:lang w:val="en-US"/>
        </w:rPr>
        <w:t xml:space="preserve">but also in the development of premature atherosclerosis and cardiovascular events </w:t>
      </w:r>
      <w:r w:rsidR="0045542D" w:rsidRPr="003A5293">
        <w:rPr>
          <w:rFonts w:ascii="Arial" w:hAnsi="Arial" w:cs="Arial"/>
          <w:sz w:val="22"/>
          <w:szCs w:val="22"/>
          <w:lang w:val="en-US"/>
        </w:rPr>
        <w:fldChar w:fldCharType="begin"/>
      </w:r>
      <w:r w:rsidR="0045542D" w:rsidRPr="003A5293">
        <w:rPr>
          <w:rFonts w:ascii="Arial" w:hAnsi="Arial" w:cs="Arial"/>
          <w:sz w:val="22"/>
          <w:szCs w:val="22"/>
          <w:lang w:val="en-US"/>
        </w:rPr>
        <w:instrText xml:space="preserve"> ADDIN ZOTERO_ITEM CSL_CITATION {"citationID":"ZEpUM3Xn","properties":{"formattedCitation":"(Landolfi et al., 2007; Lussana and Rambaldi, 2017)","plainCitation":"(Landolfi et al., 2007; Lussana and Rambaldi, 2017)","noteIndex":0},"citationItems":[{"id":1139,"uris":["http://zotero.org/users/2484452/items/CHKMM6BD"],"uri":["http://zotero.org/users/2484452/items/CHKMM6BD"],"itemData":{"id":1139,"type":"article-journal","abstract":"Abstract. In polycythemia vera, vascular risk assessment is based on age and thrombotic history, while the role of other potential predictors of this risk is s","container-title":"Blood","DOI":"10.1182/blood-2006-08-042515","ISSN":"0006-4971","issue":"6","journalAbbreviation":"Blood","language":"en","page":"2446-2452","source":"ashpublications.org","title":"Leukocytosis as a major thrombotic risk factor in patients with polycythemia vera","volume":"109","author":[{"family":"Landolfi","given":"Raffaele"},{"family":"Di Gennaro","given":"Leonardo"},{"family":"Barbui","given":"Tiziano"},{"family":"De Stefano","given":"Valerio"},{"family":"Finazzi","given":"Guido"},{"family":"Marfisi","given":"RosaMaria"},{"family":"Tognoni","given":"Gianni"},{"family":"Marchioli","given":"Roberto"}],"issued":{"date-parts":[["2007",3,15]]}}},{"id":1137,"uris":["http://zotero.org/users/2484452/items/ZWB5ZL4C"],"uri":["http://zotero.org/users/2484452/items/ZWB5ZL4C"],"itemData":{"id":1137,"type":"article-journal","abstract":"Myeloproliferative neoplasms (MPN) include three main entities: Polycythemia Vera (PV), Essential Thrombocythemia (ET), and Myelofibrosis (MF). MPN represent a unique model of the relationship between the clonal development of a hematologic malignancy and chronic inflammation. The neoplastic clone is the main driver of this inflammatory reaction as demonstrated by the curative effect of allogeneic stem cell transplantation which leads not only to a complete restore of the hematopoiesis, but also to regression of bone marrow fibrosis. The neoplastic clone and its differentiated progeny are also the main source of an indirect paracrine secretion of inflammatory cytokines released by different normal cells present within the tumor microenvironment. In the end, the cytokine storm within the bone marrow niche leads to fibrosis. In addition, chronic inflammation is responsible of the constitutional symptoms which negatively affect the quality of life of MPN patients and represents a major driver for the development of premature atherosclerosis and disease progression. Here we describe the available data about the link between MPN and chronic inflammation in animal models as well as in clinical studies. We also review the practical value of including acute phase inflammatory proteins such as high sensitivity C-reactive protein (hs-CRP) and pentraxin 3 (PTX-3) in prognostic stratification of MPN patients. Interestingly, the plasma levels of these proteins is often increase in MPN patients and this may be important when considering the well-established link between these two inflammatory proteins and the risk of both arterial and venous thrombosis. Although the available drugs are unable to eradicate the malignant clone, the ability to identify patient with a high inflammatory burden and an adverse molecular profile is important to advise therapy with ruxolitinib or even allogeneic stem cell transplantation that currently represents the only potentially curative option for these diseases.","container-title":"Journal of Autoimmunity","DOI":"10.1016/j.jaut.2017.06.010","ISSN":"1095-9157","journalAbbreviation":"J. Autoimmun.","language":"eng","note":"PMID: 28669446","page":"58-63","source":"PubMed","title":"Inflammation and myeloproliferative neoplasms","volume":"85","author":[{"family":"Lussana","given":"Federico"},{"family":"Rambaldi","given":"Alessandro"}],"issued":{"date-parts":[["2017",12]]}}}],"schema":"https://github.com/citation-style-language/schema/raw/master/csl-citation.json"} </w:instrText>
      </w:r>
      <w:r w:rsidR="0045542D" w:rsidRPr="003A5293">
        <w:rPr>
          <w:rFonts w:ascii="Arial" w:hAnsi="Arial" w:cs="Arial"/>
          <w:sz w:val="22"/>
          <w:szCs w:val="22"/>
          <w:lang w:val="en-US"/>
        </w:rPr>
        <w:fldChar w:fldCharType="separate"/>
      </w:r>
      <w:r w:rsidR="0045542D" w:rsidRPr="003A5293">
        <w:rPr>
          <w:rFonts w:ascii="Arial" w:hAnsi="Arial" w:cs="Arial"/>
          <w:noProof/>
          <w:sz w:val="22"/>
          <w:szCs w:val="22"/>
          <w:lang w:val="en-US"/>
        </w:rPr>
        <w:t>(Landolfi et al., 2007; Lussana and Rambaldi, 2017)</w:t>
      </w:r>
      <w:r w:rsidR="0045542D" w:rsidRPr="003A5293">
        <w:rPr>
          <w:rFonts w:ascii="Arial" w:hAnsi="Arial" w:cs="Arial"/>
          <w:sz w:val="22"/>
          <w:szCs w:val="22"/>
          <w:lang w:val="en-US"/>
        </w:rPr>
        <w:fldChar w:fldCharType="end"/>
      </w:r>
      <w:r w:rsidR="00190F29" w:rsidRPr="003A5293">
        <w:rPr>
          <w:rFonts w:ascii="Arial" w:hAnsi="Arial" w:cs="Arial"/>
          <w:sz w:val="22"/>
          <w:szCs w:val="22"/>
          <w:lang w:val="en-US"/>
        </w:rPr>
        <w:t>. Furthermore,</w:t>
      </w:r>
      <w:r w:rsidR="00BA0863" w:rsidRPr="003A5293">
        <w:rPr>
          <w:rFonts w:ascii="Arial" w:hAnsi="Arial" w:cs="Arial"/>
          <w:sz w:val="22"/>
          <w:szCs w:val="22"/>
          <w:lang w:val="en-US"/>
        </w:rPr>
        <w:t xml:space="preserve"> </w:t>
      </w:r>
      <w:r w:rsidR="00190F29" w:rsidRPr="003A5293">
        <w:rPr>
          <w:rFonts w:ascii="Arial" w:hAnsi="Arial" w:cs="Arial"/>
          <w:sz w:val="22"/>
          <w:szCs w:val="22"/>
          <w:lang w:val="en-US"/>
        </w:rPr>
        <w:t>t</w:t>
      </w:r>
      <w:r w:rsidR="00BA0863" w:rsidRPr="003A5293">
        <w:rPr>
          <w:rFonts w:ascii="Arial" w:hAnsi="Arial" w:cs="Arial"/>
          <w:sz w:val="22"/>
          <w:szCs w:val="22"/>
          <w:lang w:val="en-US"/>
        </w:rPr>
        <w:t>he concept of these cytokines contributing to BM milieu re-modelling</w:t>
      </w:r>
      <w:r w:rsidR="00425D81" w:rsidRPr="003A5293">
        <w:rPr>
          <w:rFonts w:ascii="Arial" w:hAnsi="Arial" w:cs="Arial"/>
          <w:sz w:val="22"/>
          <w:szCs w:val="22"/>
          <w:lang w:val="en-US"/>
        </w:rPr>
        <w:t xml:space="preserve"> and neuropathy</w:t>
      </w:r>
      <w:r w:rsidR="00BA0863" w:rsidRPr="003A5293">
        <w:rPr>
          <w:rFonts w:ascii="Arial" w:hAnsi="Arial" w:cs="Arial"/>
          <w:sz w:val="22"/>
          <w:szCs w:val="22"/>
          <w:lang w:val="en-US"/>
        </w:rPr>
        <w:t xml:space="preserve"> has been well established</w:t>
      </w:r>
      <w:r w:rsidRPr="003A5293">
        <w:rPr>
          <w:rFonts w:ascii="Arial" w:hAnsi="Arial" w:cs="Arial"/>
          <w:sz w:val="22"/>
          <w:szCs w:val="22"/>
          <w:lang w:val="en-US"/>
        </w:rPr>
        <w:t xml:space="preserve"> in pre-clinical mouse models</w:t>
      </w:r>
      <w:r w:rsidR="008A6447" w:rsidRPr="003A5293">
        <w:rPr>
          <w:rFonts w:ascii="Arial" w:hAnsi="Arial" w:cs="Arial"/>
          <w:sz w:val="22"/>
          <w:szCs w:val="22"/>
          <w:lang w:val="en-US"/>
        </w:rPr>
        <w:t xml:space="preserve"> </w:t>
      </w:r>
      <w:r w:rsidR="008A6447" w:rsidRPr="003A5293">
        <w:rPr>
          <w:rFonts w:ascii="Arial" w:hAnsi="Arial" w:cs="Arial"/>
          <w:sz w:val="22"/>
          <w:szCs w:val="22"/>
          <w:lang w:val="en-US"/>
        </w:rPr>
        <w:fldChar w:fldCharType="begin"/>
      </w:r>
      <w:r w:rsidR="0045542D" w:rsidRPr="003A5293">
        <w:rPr>
          <w:rFonts w:ascii="Arial" w:hAnsi="Arial" w:cs="Arial"/>
          <w:sz w:val="22"/>
          <w:szCs w:val="22"/>
          <w:lang w:val="en-US"/>
        </w:rPr>
        <w:instrText xml:space="preserve"> ADDIN ZOTERO_ITEM CSL_CITATION {"citationID":"CxSowgv4","properties":{"formattedCitation":"(Arranz et al., 2014; Schepers et al., 2013)","plainCitation":"(Arranz et al., 2014; Schepers et al., 2013)","noteIndex":0},"citationItems":[{"id":818,"uris":["http://zotero.org/users/2484452/items/WPZ46U3M"],"uri":["http://zotero.org/users/2484452/items/WPZ46U3M"],"itemData":{"id":818,"type":"article-journal","abstract":"Myeloproliferative neoplasms (MPNs) are diseases caused by mutations in the haematopoietic stem cell (HSC) compartment. Most MPN patients have a common acquired mutation of Janus kinase 2 (JAK2) gene in HSCs that renders this kinase constitutively active, leading to uncontrolled cell expansion. The bone marrow microenvironment might contribute to the clinical outcomes of this common event. We previously showed that bone marrow nestin(+) mesenchymal stem cells (MSCs) innervated by sympathetic nerve fibres regulate normal HSCs. Here we demonstrate that abrogation of this regulatory circuit is essential for MPN pathogenesis. Sympathetic nerve fibres, supporting Schwann cells and nestin(+) MSCs are consistently reduced in the bone marrow of MPN patients and mice expressing the human JAK2(V617F) mutation in HSCs. Unexpectedly, MSC reduction is not due to differentiation but is caused by bone marrow neural damage and Schwann cell death triggered by interleukin-1β produced by mutant HSCs. In turn, in vivo depletion of nestin(+) cells or their production of CXCL12 expanded mutant HSC number and accelerated MPN progression. In contrast, administration of neuroprotective or sympathomimetic drugs prevented mutant HSC expansion. Treatment with β3-adrenergic agonists that restored the sympathetic regulation of nestin(+) MSCs prevented the loss of these cells and blocked MPN progression by indirectly reducing the number of leukaemic stem cells. Our results demonstrate that mutant-HSC-driven niche damage critically contributes to disease manifestation in MPN and identify niche-forming MSCs and their neural regulation as promising therapeutic targets.","container-title":"Nature","DOI":"10.1038/nature13383","ISSN":"1476-4687","issue":"7512","journalAbbreviation":"Nature","language":"eng","note":"PMID: 25043017","page":"78-81","source":"PubMed","title":"Neuropathy of haematopoietic stem cell niche is essential for myeloproliferative neoplasms","volume":"512","author":[{"family":"Arranz","given":"Lorena"},{"family":"Sánchez-Aguilera","given":"Abel"},{"family":"Martín-Pérez","given":"Daniel"},{"family":"Isern","given":"Joan"},{"family":"Langa","given":"Xavier"},{"family":"Tzankov","given":"Alexandar"},{"family":"Lundberg","given":"Pontus"},{"family":"Muntión","given":"Sandra"},{"family":"Tzeng","given":"Yi-Shiuan"},{"family":"Lai","given":"Dar-Ming"},{"family":"Schwaller","given":"Jürg"},{"family":"Skoda","given":"Radek C."},{"family":"Méndez-Ferrer","given":"Simón"}],"issued":{"date-parts":[["2014",8,7]]}}},{"id":98,"uris":["http://zotero.org/users/2484452/items/SAUAI5PQ"],"uri":["http://zotero.org/users/2484452/items/SAUAI5PQ"],"itemData":{"id":98,"type":"article-journal","abstract":"Multipotent stromal cells (MSCs) and their osteoblastic lineage cell (OBC) derivatives are part of the bone marrow (BM) niche and contribute to hematopoietic stem cell (HSC) maintenance. Here, we show that myeloproliferative neoplasia (MPN) progressively remodels the endosteal BM niche into a self-reinforcing leukemic niche that impairs normal hematopoiesis, favors leukemic stem cell (LSC) function, and contributes to BM fibrosis. We show that leukemic myeloid cells stimulate MSCs to overproduce functionally altered OBCs, which accumulate in the BM cavity as inflammatory myelofibrotic cells. We identify roles for thrombopoietin, CCL3, and direct cell-cell interactions in driving OBC expansion, and for changes in TGF-β, Notch, and inflammatory signaling in OBC remodeling. MPN-expanded OBCs, in turn, exhibit decreased expression of many HSC retention factors and severely compromised ability to maintain normal HSCs, but effectively support LSCs. Targeting this pathological interplay could represent a novel avenue for treatment of MPN-affected patients and prevention of myelofibrosis.","container-title":"Cell Stem Cell","DOI":"10.1016/j.stem.2013.06.009","ISSN":"1875-9777","issue":"3","journalAbbreviation":"Cell Stem Cell","language":"eng","note":"PMID: 23850243\nPMCID: PMC3769504","page":"285-299","source":"PubMed","title":"Myeloproliferative neoplasia remodels the endosteal bone marrow niche into a self-reinforcing leukemic niche","volume":"13","author":[{"family":"Schepers","given":"Koen"},{"family":"Pietras","given":"Eric M."},{"family":"Reynaud","given":"Damien"},{"family":"Flach","given":"Johanna"},{"family":"Binnewies","given":"Mikhail"},{"family":"Garg","given":"Trit"},{"family":"Wagers","given":"Amy J."},{"family":"Hsiao","given":"Edward C."},{"family":"Passegué","given":"Emmanuelle"}],"issued":{"date-parts":[["2013",9,5]]}}}],"schema":"https://github.com/citation-style-language/schema/raw/master/csl-citation.json"} </w:instrText>
      </w:r>
      <w:r w:rsidR="008A6447" w:rsidRPr="003A5293">
        <w:rPr>
          <w:rFonts w:ascii="Arial" w:hAnsi="Arial" w:cs="Arial"/>
          <w:sz w:val="22"/>
          <w:szCs w:val="22"/>
          <w:lang w:val="en-US"/>
        </w:rPr>
        <w:fldChar w:fldCharType="separate"/>
      </w:r>
      <w:r w:rsidR="0045542D" w:rsidRPr="003A5293">
        <w:rPr>
          <w:rFonts w:ascii="Arial" w:hAnsi="Arial" w:cs="Arial"/>
          <w:noProof/>
          <w:sz w:val="22"/>
          <w:szCs w:val="22"/>
          <w:lang w:val="en-US"/>
        </w:rPr>
        <w:t>(Arranz et al., 2014; Schepers et al., 2013)</w:t>
      </w:r>
      <w:r w:rsidR="008A6447" w:rsidRPr="003A5293">
        <w:rPr>
          <w:rFonts w:ascii="Arial" w:hAnsi="Arial" w:cs="Arial"/>
          <w:sz w:val="22"/>
          <w:szCs w:val="22"/>
          <w:lang w:val="en-US"/>
        </w:rPr>
        <w:fldChar w:fldCharType="end"/>
      </w:r>
      <w:r w:rsidR="00BA0863" w:rsidRPr="003A5293">
        <w:rPr>
          <w:rFonts w:ascii="Arial" w:hAnsi="Arial" w:cs="Arial"/>
          <w:sz w:val="22"/>
          <w:szCs w:val="22"/>
          <w:lang w:val="en-US"/>
        </w:rPr>
        <w:t>.</w:t>
      </w:r>
    </w:p>
    <w:p w14:paraId="518BF47B" w14:textId="28DBE6F9" w:rsidR="0038394A" w:rsidRPr="003A5293" w:rsidRDefault="00D1055A" w:rsidP="00D1055A">
      <w:pPr>
        <w:spacing w:line="360" w:lineRule="auto"/>
        <w:jc w:val="both"/>
        <w:rPr>
          <w:rFonts w:ascii="Arial" w:hAnsi="Arial" w:cs="Arial"/>
          <w:sz w:val="22"/>
          <w:szCs w:val="22"/>
          <w:lang w:val="en-US"/>
        </w:rPr>
      </w:pPr>
      <w:r w:rsidRPr="003A5293">
        <w:rPr>
          <w:rFonts w:ascii="Arial" w:hAnsi="Arial" w:cs="Arial"/>
          <w:sz w:val="22"/>
          <w:szCs w:val="22"/>
          <w:lang w:val="en-US"/>
        </w:rPr>
        <w:t>Thus, i</w:t>
      </w:r>
      <w:r w:rsidR="00112A6E" w:rsidRPr="003A5293">
        <w:rPr>
          <w:rFonts w:ascii="Arial" w:hAnsi="Arial" w:cs="Arial"/>
          <w:sz w:val="22"/>
          <w:szCs w:val="22"/>
          <w:lang w:val="en-US"/>
        </w:rPr>
        <w:t xml:space="preserve">n order to </w:t>
      </w:r>
      <w:r w:rsidRPr="003A5293">
        <w:rPr>
          <w:rFonts w:ascii="Arial" w:hAnsi="Arial" w:cs="Arial"/>
          <w:sz w:val="22"/>
          <w:szCs w:val="22"/>
          <w:lang w:val="en-US"/>
        </w:rPr>
        <w:t>decipher hierarchy and consequences of cell-autonomous and non-cell autonomous inflammatory signaling in PV progenitors, we have implemented iPSCs PV disease modeling using</w:t>
      </w:r>
      <w:r w:rsidRPr="003A5293">
        <w:rPr>
          <w:rFonts w:ascii="Arial" w:hAnsi="Arial" w:cs="Arial"/>
          <w:lang w:val="en-US"/>
        </w:rPr>
        <w:t xml:space="preserve"> </w:t>
      </w:r>
      <w:r w:rsidRPr="003A5293">
        <w:rPr>
          <w:rFonts w:ascii="Arial" w:hAnsi="Arial" w:cs="Arial"/>
          <w:sz w:val="22"/>
          <w:szCs w:val="22"/>
          <w:lang w:val="en-US"/>
        </w:rPr>
        <w:t xml:space="preserve">PV patient-specific </w:t>
      </w:r>
      <w:r w:rsidRPr="003A5293">
        <w:rPr>
          <w:rFonts w:ascii="Arial" w:hAnsi="Arial" w:cs="Arial"/>
          <w:i/>
          <w:iCs/>
          <w:sz w:val="22"/>
          <w:szCs w:val="22"/>
          <w:lang w:val="en-US"/>
        </w:rPr>
        <w:t>JAK2</w:t>
      </w:r>
      <w:r w:rsidR="00471C1F" w:rsidRPr="003A5293">
        <w:rPr>
          <w:rFonts w:ascii="Arial" w:hAnsi="Arial" w:cs="Arial"/>
          <w:i/>
          <w:iCs/>
          <w:sz w:val="22"/>
          <w:szCs w:val="22"/>
          <w:lang w:val="en-US"/>
        </w:rPr>
        <w:t xml:space="preserve"> </w:t>
      </w:r>
      <w:r w:rsidRPr="00CD395D">
        <w:rPr>
          <w:rFonts w:ascii="Arial" w:hAnsi="Arial" w:cs="Arial"/>
          <w:sz w:val="22"/>
          <w:szCs w:val="22"/>
          <w:lang w:val="en-US"/>
        </w:rPr>
        <w:t>V617F</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(PVB1.4</w:t>
      </w:r>
      <w:r w:rsidR="0038394A" w:rsidRPr="003A5293">
        <w:rPr>
          <w:rFonts w:ascii="Arial" w:hAnsi="Arial" w:cs="Arial"/>
          <w:sz w:val="22"/>
          <w:szCs w:val="22"/>
          <w:lang w:val="en-US"/>
        </w:rPr>
        <w:t>: kindly provided by prof. Josef T. Prchal, University of Utah</w:t>
      </w:r>
      <w:r w:rsidRPr="003A5293">
        <w:rPr>
          <w:rFonts w:ascii="Arial" w:hAnsi="Arial" w:cs="Arial"/>
          <w:sz w:val="22"/>
          <w:szCs w:val="22"/>
          <w:lang w:val="en-US"/>
        </w:rPr>
        <w:t xml:space="preserve">) and control </w:t>
      </w:r>
      <w:r w:rsidRPr="003A5293">
        <w:rPr>
          <w:rFonts w:ascii="Arial" w:hAnsi="Arial" w:cs="Arial"/>
          <w:i/>
          <w:iCs/>
          <w:sz w:val="22"/>
          <w:szCs w:val="22"/>
          <w:lang w:val="en-US"/>
        </w:rPr>
        <w:t>JAK2</w:t>
      </w:r>
      <w:r w:rsidR="00471C1F" w:rsidRPr="003A5293">
        <w:rPr>
          <w:rFonts w:ascii="Arial" w:hAnsi="Arial" w:cs="Arial"/>
          <w:i/>
          <w:iCs/>
          <w:sz w:val="22"/>
          <w:szCs w:val="22"/>
          <w:lang w:val="en-US"/>
        </w:rPr>
        <w:t xml:space="preserve"> </w:t>
      </w:r>
      <w:proofErr w:type="spellStart"/>
      <w:r w:rsidRPr="003A5293">
        <w:rPr>
          <w:rFonts w:ascii="Arial" w:hAnsi="Arial" w:cs="Arial"/>
          <w:sz w:val="22"/>
          <w:szCs w:val="22"/>
          <w:lang w:val="en-US"/>
        </w:rPr>
        <w:t>wt</w:t>
      </w:r>
      <w:proofErr w:type="spellEnd"/>
      <w:r w:rsidRPr="003A5293">
        <w:rPr>
          <w:rFonts w:ascii="Arial" w:hAnsi="Arial" w:cs="Arial"/>
          <w:sz w:val="22"/>
          <w:szCs w:val="22"/>
          <w:lang w:val="en-US"/>
        </w:rPr>
        <w:t xml:space="preserve"> (BXS0116) iPSC lines, reprogrammed from BM CD34</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cells</w:t>
      </w:r>
      <w:r w:rsidR="00DE19E2" w:rsidRPr="003A5293">
        <w:rPr>
          <w:rFonts w:ascii="Arial" w:hAnsi="Arial" w:cs="Arial"/>
          <w:sz w:val="22"/>
          <w:szCs w:val="22"/>
          <w:lang w:val="en-US"/>
        </w:rPr>
        <w:t xml:space="preserve">. Undifferentiated iPSCs cultures were then differentiated </w:t>
      </w:r>
      <w:r w:rsidR="00D05F3F" w:rsidRPr="003A5293">
        <w:rPr>
          <w:rFonts w:ascii="Arial" w:hAnsi="Arial" w:cs="Arial"/>
          <w:sz w:val="22"/>
          <w:szCs w:val="22"/>
          <w:lang w:val="en-US"/>
        </w:rPr>
        <w:t xml:space="preserve">with specific morphogens in serum- and stromal-free cultures </w:t>
      </w:r>
      <w:r w:rsidR="00DE19E2" w:rsidRPr="003A5293">
        <w:rPr>
          <w:rFonts w:ascii="Arial" w:hAnsi="Arial" w:cs="Arial"/>
          <w:sz w:val="22"/>
          <w:szCs w:val="22"/>
          <w:lang w:val="en-US"/>
        </w:rPr>
        <w:t xml:space="preserve">through embryonic bodies </w:t>
      </w:r>
      <w:r w:rsidR="00D05F3F" w:rsidRPr="003A5293">
        <w:rPr>
          <w:rFonts w:ascii="Arial" w:hAnsi="Arial" w:cs="Arial"/>
          <w:sz w:val="22"/>
          <w:szCs w:val="22"/>
          <w:lang w:val="en-US"/>
        </w:rPr>
        <w:t>into CD34</w:t>
      </w:r>
      <w:r w:rsidR="00D05F3F" w:rsidRPr="003A5293">
        <w:rPr>
          <w:rFonts w:ascii="Arial" w:hAnsi="Arial" w:cs="Arial"/>
          <w:sz w:val="22"/>
          <w:szCs w:val="22"/>
          <w:vertAlign w:val="superscript"/>
          <w:lang w:val="en-US"/>
        </w:rPr>
        <w:t>+</w:t>
      </w:r>
      <w:r w:rsidR="00D05F3F" w:rsidRPr="003A5293">
        <w:rPr>
          <w:rFonts w:ascii="Arial" w:hAnsi="Arial" w:cs="Arial"/>
          <w:sz w:val="22"/>
          <w:szCs w:val="22"/>
          <w:lang w:val="en-US"/>
        </w:rPr>
        <w:t xml:space="preserve"> hematopoietic progenitor-enriched cultures (CD34</w:t>
      </w:r>
      <w:r w:rsidR="00D05F3F" w:rsidRPr="003A5293">
        <w:rPr>
          <w:rFonts w:ascii="Arial" w:hAnsi="Arial" w:cs="Arial"/>
          <w:sz w:val="22"/>
          <w:szCs w:val="22"/>
          <w:vertAlign w:val="superscript"/>
          <w:lang w:val="en-US"/>
        </w:rPr>
        <w:t>+</w:t>
      </w:r>
      <w:r w:rsidR="00D05F3F" w:rsidRPr="003A5293">
        <w:rPr>
          <w:rFonts w:ascii="Arial" w:hAnsi="Arial" w:cs="Arial"/>
          <w:sz w:val="22"/>
          <w:szCs w:val="22"/>
          <w:lang w:val="en-US"/>
        </w:rPr>
        <w:t xml:space="preserve"> P-ECs) as described in </w:t>
      </w:r>
      <w:r w:rsidR="009937B8">
        <w:rPr>
          <w:rFonts w:ascii="Arial" w:hAnsi="Arial" w:cs="Arial"/>
          <w:sz w:val="22"/>
          <w:szCs w:val="22"/>
          <w:lang w:val="en-US"/>
        </w:rPr>
        <w:t>M</w:t>
      </w:r>
      <w:r w:rsidR="009937B8" w:rsidRPr="003A5293">
        <w:rPr>
          <w:rFonts w:ascii="Arial" w:hAnsi="Arial" w:cs="Arial"/>
          <w:sz w:val="22"/>
          <w:szCs w:val="22"/>
          <w:lang w:val="en-US"/>
        </w:rPr>
        <w:t xml:space="preserve">aterials </w:t>
      </w:r>
      <w:r w:rsidR="00D05F3F" w:rsidRPr="003A5293">
        <w:rPr>
          <w:rFonts w:ascii="Arial" w:hAnsi="Arial" w:cs="Arial"/>
          <w:sz w:val="22"/>
          <w:szCs w:val="22"/>
          <w:lang w:val="en-US"/>
        </w:rPr>
        <w:t xml:space="preserve">and methods (section </w:t>
      </w:r>
      <w:r w:rsidR="00EF4C1C">
        <w:rPr>
          <w:rFonts w:ascii="Arial" w:hAnsi="Arial" w:cs="Arial"/>
          <w:sz w:val="22"/>
          <w:szCs w:val="22"/>
          <w:lang w:val="en-US"/>
        </w:rPr>
        <w:t>4</w:t>
      </w:r>
      <w:r w:rsidR="00D05F3F" w:rsidRPr="003A5293">
        <w:rPr>
          <w:rFonts w:ascii="Arial" w:hAnsi="Arial" w:cs="Arial"/>
          <w:sz w:val="22"/>
          <w:szCs w:val="22"/>
          <w:lang w:val="en-US"/>
        </w:rPr>
        <w:t>.</w:t>
      </w:r>
      <w:r w:rsidR="00EF4C1C">
        <w:rPr>
          <w:rFonts w:ascii="Arial" w:hAnsi="Arial" w:cs="Arial"/>
          <w:sz w:val="22"/>
          <w:szCs w:val="22"/>
          <w:lang w:val="en-US"/>
        </w:rPr>
        <w:t>6</w:t>
      </w:r>
      <w:r w:rsidR="00D05F3F" w:rsidRPr="003A5293">
        <w:rPr>
          <w:rFonts w:ascii="Arial" w:hAnsi="Arial" w:cs="Arial"/>
          <w:sz w:val="22"/>
          <w:szCs w:val="22"/>
          <w:lang w:val="en-US"/>
        </w:rPr>
        <w:t>.)</w:t>
      </w:r>
      <w:r w:rsidR="009937B8">
        <w:rPr>
          <w:rFonts w:ascii="Arial" w:hAnsi="Arial" w:cs="Arial"/>
          <w:sz w:val="22"/>
          <w:szCs w:val="22"/>
          <w:lang w:val="en-US"/>
        </w:rPr>
        <w:t>,</w:t>
      </w:r>
      <w:r w:rsidR="00CD7282" w:rsidRPr="003A5293">
        <w:rPr>
          <w:rFonts w:ascii="Arial" w:hAnsi="Arial" w:cs="Arial"/>
          <w:sz w:val="22"/>
          <w:szCs w:val="22"/>
          <w:lang w:val="en-US"/>
        </w:rPr>
        <w:t xml:space="preserve"> and used for downstream experiments. Immunohistochemistry (IHC) staining of patients' bone marrow sections were also used to test expression of key inflammatory mediators in BM microenvironment along the progression of PV to post-PV </w:t>
      </w:r>
      <w:r w:rsidR="004F7C90" w:rsidRPr="003A5293">
        <w:rPr>
          <w:rFonts w:ascii="Arial" w:hAnsi="Arial" w:cs="Arial"/>
          <w:sz w:val="22"/>
          <w:szCs w:val="22"/>
          <w:lang w:val="en-US"/>
        </w:rPr>
        <w:t>myelofibrosis</w:t>
      </w:r>
      <w:r w:rsidR="00CD7282" w:rsidRPr="003A5293">
        <w:rPr>
          <w:rFonts w:ascii="Arial" w:hAnsi="Arial" w:cs="Arial"/>
          <w:sz w:val="22"/>
          <w:szCs w:val="22"/>
          <w:lang w:val="en-US"/>
        </w:rPr>
        <w:t>.</w:t>
      </w:r>
    </w:p>
    <w:p w14:paraId="012EFC1D" w14:textId="55536994" w:rsidR="0038394A" w:rsidRPr="003A5293" w:rsidRDefault="0038394A" w:rsidP="000E19D3">
      <w:pPr>
        <w:pStyle w:val="Formatvorlage1"/>
        <w:rPr>
          <w:rFonts w:cs="Arial"/>
        </w:rPr>
      </w:pPr>
      <w:bookmarkStart w:id="15" w:name="_Toc57582490"/>
      <w:r w:rsidRPr="003A5293">
        <w:rPr>
          <w:rFonts w:cs="Arial"/>
          <w:i/>
          <w:iCs/>
        </w:rPr>
        <w:t xml:space="preserve">JAK2 </w:t>
      </w:r>
      <w:r w:rsidRPr="001B1DAC">
        <w:rPr>
          <w:rFonts w:cs="Arial"/>
        </w:rPr>
        <w:t>V617F</w:t>
      </w:r>
      <w:r w:rsidRPr="003A5293">
        <w:rPr>
          <w:rFonts w:cs="Arial"/>
          <w:vertAlign w:val="superscript"/>
        </w:rPr>
        <w:t>+</w:t>
      </w:r>
      <w:r w:rsidRPr="003A5293">
        <w:rPr>
          <w:rFonts w:cs="Arial"/>
        </w:rPr>
        <w:t xml:space="preserve"> hematopoietic progenitors activate </w:t>
      </w:r>
      <w:r w:rsidR="000E19D3" w:rsidRPr="003A5293">
        <w:rPr>
          <w:rFonts w:cs="Arial"/>
        </w:rPr>
        <w:t>intrinsic</w:t>
      </w:r>
      <w:r w:rsidRPr="003A5293">
        <w:rPr>
          <w:rFonts w:cs="Arial"/>
        </w:rPr>
        <w:t xml:space="preserve"> </w:t>
      </w:r>
      <w:proofErr w:type="spellStart"/>
      <w:r w:rsidRPr="003A5293">
        <w:rPr>
          <w:rFonts w:cs="Arial"/>
        </w:rPr>
        <w:t>IFNγ</w:t>
      </w:r>
      <w:proofErr w:type="spellEnd"/>
      <w:r w:rsidRPr="003A5293">
        <w:rPr>
          <w:rFonts w:cs="Arial"/>
        </w:rPr>
        <w:t xml:space="preserve"> transcription </w:t>
      </w:r>
      <w:r w:rsidR="000E19D3" w:rsidRPr="003A5293">
        <w:rPr>
          <w:rFonts w:cs="Arial"/>
        </w:rPr>
        <w:t xml:space="preserve">program </w:t>
      </w:r>
      <w:r w:rsidRPr="003A5293">
        <w:rPr>
          <w:rFonts w:cs="Arial"/>
        </w:rPr>
        <w:t xml:space="preserve">and its </w:t>
      </w:r>
      <w:proofErr w:type="spellStart"/>
      <w:r w:rsidRPr="003A5293">
        <w:rPr>
          <w:rFonts w:cs="Arial"/>
        </w:rPr>
        <w:t>IFNγ</w:t>
      </w:r>
      <w:proofErr w:type="spellEnd"/>
      <w:r w:rsidRPr="003A5293">
        <w:rPr>
          <w:rFonts w:cs="Arial"/>
        </w:rPr>
        <w:t>-dependent STAT1 signaling</w:t>
      </w:r>
      <w:bookmarkEnd w:id="15"/>
    </w:p>
    <w:p w14:paraId="028A9E75" w14:textId="77777777" w:rsidR="0038394A" w:rsidRPr="003A5293" w:rsidRDefault="0038394A" w:rsidP="00D1055A">
      <w:pPr>
        <w:spacing w:line="360" w:lineRule="auto"/>
        <w:jc w:val="both"/>
        <w:rPr>
          <w:rFonts w:ascii="Arial" w:hAnsi="Arial" w:cs="Arial"/>
          <w:sz w:val="22"/>
          <w:szCs w:val="22"/>
          <w:lang w:val="en-US"/>
        </w:rPr>
      </w:pPr>
    </w:p>
    <w:p w14:paraId="1AEDB1A5" w14:textId="77777777" w:rsidR="00BB5D74" w:rsidRPr="006F5ABC" w:rsidRDefault="004C6B00" w:rsidP="00D1055A">
      <w:pPr>
        <w:spacing w:line="360" w:lineRule="auto"/>
        <w:jc w:val="both"/>
        <w:rPr>
          <w:rFonts w:ascii="Arial" w:hAnsi="Arial" w:cs="Arial"/>
          <w:sz w:val="22"/>
          <w:szCs w:val="22"/>
          <w:lang w:val="en-US"/>
        </w:rPr>
      </w:pPr>
      <w:r w:rsidRPr="003A5293">
        <w:rPr>
          <w:rFonts w:ascii="Arial" w:hAnsi="Arial" w:cs="Arial"/>
          <w:sz w:val="22"/>
          <w:szCs w:val="22"/>
          <w:lang w:val="en-US"/>
        </w:rPr>
        <w:tab/>
      </w:r>
      <w:r w:rsidR="004256A9" w:rsidRPr="006F5ABC">
        <w:rPr>
          <w:rFonts w:ascii="Arial" w:hAnsi="Arial" w:cs="Arial"/>
          <w:sz w:val="22"/>
          <w:szCs w:val="22"/>
          <w:lang w:val="en-US"/>
        </w:rPr>
        <w:t xml:space="preserve">Recent advances in research </w:t>
      </w:r>
      <w:r w:rsidRPr="006F5ABC">
        <w:rPr>
          <w:rFonts w:ascii="Arial" w:hAnsi="Arial" w:cs="Arial"/>
          <w:sz w:val="22"/>
          <w:szCs w:val="22"/>
          <w:lang w:val="en-US"/>
        </w:rPr>
        <w:t>of hematopoietic stem cells</w:t>
      </w:r>
      <w:r w:rsidR="004256A9" w:rsidRPr="006F5ABC">
        <w:rPr>
          <w:rFonts w:ascii="Arial" w:hAnsi="Arial" w:cs="Arial"/>
          <w:sz w:val="22"/>
          <w:szCs w:val="22"/>
          <w:lang w:val="en-US"/>
        </w:rPr>
        <w:t xml:space="preserve"> (HSCs)</w:t>
      </w:r>
      <w:r w:rsidRPr="006F5ABC">
        <w:rPr>
          <w:rFonts w:ascii="Arial" w:hAnsi="Arial" w:cs="Arial"/>
          <w:sz w:val="22"/>
          <w:szCs w:val="22"/>
          <w:lang w:val="en-US"/>
        </w:rPr>
        <w:t xml:space="preserve"> </w:t>
      </w:r>
      <w:r w:rsidR="004256A9" w:rsidRPr="006F5ABC">
        <w:rPr>
          <w:rFonts w:ascii="Arial" w:hAnsi="Arial" w:cs="Arial"/>
          <w:sz w:val="22"/>
          <w:szCs w:val="22"/>
          <w:lang w:val="en-US"/>
        </w:rPr>
        <w:t>revealed significant</w:t>
      </w:r>
      <w:r w:rsidRPr="006F5ABC">
        <w:rPr>
          <w:rFonts w:ascii="Arial" w:hAnsi="Arial" w:cs="Arial"/>
          <w:sz w:val="22"/>
          <w:szCs w:val="22"/>
          <w:lang w:val="en-US"/>
        </w:rPr>
        <w:t xml:space="preserve"> </w:t>
      </w:r>
      <w:r w:rsidR="004256A9" w:rsidRPr="006F5ABC">
        <w:rPr>
          <w:rFonts w:ascii="Arial" w:hAnsi="Arial" w:cs="Arial"/>
          <w:sz w:val="22"/>
          <w:szCs w:val="22"/>
          <w:lang w:val="en-US"/>
        </w:rPr>
        <w:t xml:space="preserve">intra-pool </w:t>
      </w:r>
      <w:r w:rsidRPr="006F5ABC">
        <w:rPr>
          <w:rFonts w:ascii="Arial" w:hAnsi="Arial" w:cs="Arial"/>
          <w:sz w:val="22"/>
          <w:szCs w:val="22"/>
          <w:lang w:val="en-US"/>
        </w:rPr>
        <w:t>heterogeneity</w:t>
      </w:r>
      <w:r w:rsidR="004256A9" w:rsidRPr="006F5ABC">
        <w:rPr>
          <w:rFonts w:ascii="Arial" w:hAnsi="Arial" w:cs="Arial"/>
          <w:sz w:val="22"/>
          <w:szCs w:val="22"/>
          <w:lang w:val="en-US"/>
        </w:rPr>
        <w:t xml:space="preserve"> in biological properties</w:t>
      </w:r>
      <w:r w:rsidR="00D967E3" w:rsidRPr="006F5ABC">
        <w:rPr>
          <w:rFonts w:ascii="Arial" w:hAnsi="Arial" w:cs="Arial"/>
          <w:sz w:val="22"/>
          <w:szCs w:val="22"/>
          <w:lang w:val="en-US"/>
        </w:rPr>
        <w:t xml:space="preserve"> </w:t>
      </w:r>
      <w:r w:rsidR="00D967E3" w:rsidRPr="006F5ABC">
        <w:rPr>
          <w:rFonts w:ascii="Arial" w:hAnsi="Arial" w:cs="Arial"/>
          <w:sz w:val="22"/>
          <w:szCs w:val="22"/>
          <w:lang w:val="en-US"/>
        </w:rPr>
        <w:fldChar w:fldCharType="begin"/>
      </w:r>
      <w:r w:rsidR="00D967E3" w:rsidRPr="006F5ABC">
        <w:rPr>
          <w:rFonts w:ascii="Arial" w:hAnsi="Arial" w:cs="Arial"/>
          <w:sz w:val="22"/>
          <w:szCs w:val="22"/>
          <w:lang w:val="en-US"/>
        </w:rPr>
        <w:instrText xml:space="preserve"> ADDIN ZOTERO_ITEM CSL_CITATION {"citationID":"OavuLTR9","properties":{"formattedCitation":"(Haas et al., 2018)","plainCitation":"(Haas et al., 2018)","noteIndex":0},"citationItems":[{"id":1134,"uris":["http://zotero.org/users/2484452/items/DNV47MCL"],"uri":["http://zotero.org/users/2484452/items/DNV47MCL"],"itemData":{"id":1134,"type":"article-journal","abstract":"Blood and immune cells derive from multipotent hematopoietic stem cells (HSCs). Classically, stem and progenitor populations have been considered discrete homogeneous populations. However, recent technological advances have revealed significant HSC heterogeneity, with evidence for early HSC lineage segregation and the presence of lineage-biased HSCs and lineage-restricted progenitors within the HSC compartment. These and other findings challenge many aspects of the classical view of HSC biology. We review the most recent findings regarding the causes and consequences of HSC heterogeneity, discuss their far-reaching implications, and suggest that so-called continuum-based models may help consolidate apparently divergent experimental observations in this field.","container-title":"Cell Stem Cell","DOI":"10.1016/j.stem.2018.04.003","ISSN":"1875-9777","issue":"5","journalAbbreviation":"Cell Stem Cell","language":"eng","note":"PMID: 29727678","page":"627-638","source":"PubMed","title":"Causes and Consequences of Hematopoietic Stem Cell Heterogeneity","volume":"22","author":[{"family":"Haas","given":"Simon"},{"family":"Trumpp","given":"Andreas"},{"family":"Milsom","given":"Michael D."}],"issued":{"date-parts":[["2018"]],"season":"03"}}}],"schema":"https://github.com/citation-style-language/schema/raw/master/csl-citation.json"} </w:instrText>
      </w:r>
      <w:r w:rsidR="00D967E3" w:rsidRPr="006F5ABC">
        <w:rPr>
          <w:rFonts w:ascii="Arial" w:hAnsi="Arial" w:cs="Arial"/>
          <w:sz w:val="22"/>
          <w:szCs w:val="22"/>
          <w:lang w:val="en-US"/>
        </w:rPr>
        <w:fldChar w:fldCharType="separate"/>
      </w:r>
      <w:r w:rsidR="00D967E3" w:rsidRPr="006F5ABC">
        <w:rPr>
          <w:rFonts w:ascii="Arial" w:hAnsi="Arial" w:cs="Arial"/>
          <w:noProof/>
          <w:sz w:val="22"/>
          <w:szCs w:val="22"/>
          <w:lang w:val="en-US"/>
        </w:rPr>
        <w:t>(Haas et al., 2018)</w:t>
      </w:r>
      <w:r w:rsidR="00D967E3" w:rsidRPr="006F5ABC">
        <w:rPr>
          <w:rFonts w:ascii="Arial" w:hAnsi="Arial" w:cs="Arial"/>
          <w:sz w:val="22"/>
          <w:szCs w:val="22"/>
          <w:lang w:val="en-US"/>
        </w:rPr>
        <w:fldChar w:fldCharType="end"/>
      </w:r>
      <w:r w:rsidR="004256A9" w:rsidRPr="006F5ABC">
        <w:rPr>
          <w:rFonts w:ascii="Arial" w:hAnsi="Arial" w:cs="Arial"/>
          <w:sz w:val="22"/>
          <w:szCs w:val="22"/>
          <w:lang w:val="en-US"/>
        </w:rPr>
        <w:t xml:space="preserve"> and inflammatory responses, with subpopulations of HSCs </w:t>
      </w:r>
      <w:r w:rsidR="00D967E3" w:rsidRPr="006F5ABC">
        <w:rPr>
          <w:rFonts w:ascii="Arial" w:hAnsi="Arial" w:cs="Arial"/>
          <w:sz w:val="22"/>
          <w:szCs w:val="22"/>
          <w:lang w:val="en-US"/>
        </w:rPr>
        <w:t>with different levels of</w:t>
      </w:r>
      <w:r w:rsidR="004256A9" w:rsidRPr="006F5ABC">
        <w:rPr>
          <w:rFonts w:ascii="Arial" w:hAnsi="Arial" w:cs="Arial"/>
          <w:sz w:val="22"/>
          <w:szCs w:val="22"/>
          <w:lang w:val="en-US"/>
        </w:rPr>
        <w:t xml:space="preserve"> IFN responsiveness </w:t>
      </w:r>
      <w:r w:rsidR="00D967E3" w:rsidRPr="006F5ABC">
        <w:rPr>
          <w:rFonts w:ascii="Arial" w:hAnsi="Arial" w:cs="Arial"/>
          <w:sz w:val="22"/>
          <w:szCs w:val="22"/>
          <w:lang w:val="en-US"/>
        </w:rPr>
        <w:t>and</w:t>
      </w:r>
      <w:r w:rsidR="004256A9" w:rsidRPr="006F5ABC">
        <w:rPr>
          <w:rFonts w:ascii="Arial" w:hAnsi="Arial" w:cs="Arial"/>
          <w:sz w:val="22"/>
          <w:szCs w:val="22"/>
          <w:lang w:val="en-US"/>
        </w:rPr>
        <w:t xml:space="preserve"> intrinsic expression of a subset of IFN-stimulated genes</w:t>
      </w:r>
      <w:r w:rsidR="00D967E3" w:rsidRPr="006F5ABC">
        <w:rPr>
          <w:rFonts w:ascii="Arial" w:hAnsi="Arial" w:cs="Arial"/>
          <w:sz w:val="22"/>
          <w:szCs w:val="22"/>
          <w:lang w:val="en-US"/>
        </w:rPr>
        <w:t xml:space="preserve"> </w:t>
      </w:r>
      <w:r w:rsidR="00D967E3" w:rsidRPr="006F5ABC">
        <w:rPr>
          <w:rFonts w:ascii="Arial" w:hAnsi="Arial" w:cs="Arial"/>
          <w:sz w:val="22"/>
          <w:szCs w:val="22"/>
          <w:lang w:val="en-US"/>
        </w:rPr>
        <w:fldChar w:fldCharType="begin"/>
      </w:r>
      <w:r w:rsidR="00D967E3" w:rsidRPr="006F5ABC">
        <w:rPr>
          <w:rFonts w:ascii="Arial" w:hAnsi="Arial" w:cs="Arial"/>
          <w:sz w:val="22"/>
          <w:szCs w:val="22"/>
          <w:lang w:val="en-US"/>
        </w:rPr>
        <w:instrText xml:space="preserve"> ADDIN ZOTERO_ITEM CSL_CITATION {"citationID":"FGpmW4Wx","properties":{"formattedCitation":"(Haas et al., 2017; Wu et al., 2018)","plainCitation":"(Haas et al., 2017; Wu et al., 2018)","noteIndex":0},"citationItems":[{"id":60,"uris":["http://zotero.org/users/2484452/items/AQHDE4N8"],"uri":["http://zotero.org/users/2484452/items/AQHDE4N8"],"itemData":{"id":60,"type":"article-journal","abstract":"Mature blood and immune cells show broad inter- and intra-cell type-specific heterogeneity with respect to metabolic activity, gene expression patterns, differentiation capacity and responsiveness to cytokines such as interferons (IFNs). This diversity is of crucial importance to maintain the capacity of the immune system to appropriately react to a wide range of pathogenic insults, thereby mediating protective immunity. However, it remains poorly understood how such heterogeneity is generated and maintained. Until now, intra-cell type heterogeneity observed in blood and immune effector cells has mainly been attributed to extrinsic factors, such as differences in niche localization or cytokine exposure via paracrine signaling. Here, we show that intra-cell type heterogeneity can be established already at the stem cell-level and stably inherited to mature blood and immune cells through a stem cell-based epigenetic memory.Using distinct IFN reporter mouse models, we identified two subpopulations within the hematopoietic stem cell (HSC) compartment that strongly differ with regard to their IFN responsiveness (hereafter referred to as IFN-primed and IFN-non-primed HSCs). Serial transplantation of highly purified HSC subsets demonstrated that both IFN-primed and IFN-non-primed subpopulations are capable of driving long-term hematopoiesis. However, stem, progenitor and mature cells deriving from the two distinct HSC subsets stably inherited the IFN-priming status of their mother HSCs throughout serial rounds of transplantation. This suggested that IFN-priming heterogeneity observed in mature blood and immune cells is established at the stem cell level and inherited for thousands of cell generations.To investigate the consequences of the inherited IFN-priming state, we challenged mice with a broad spectrum of inflammatory cytokines, immunostimulants and viruses and subjected subpopulations to bulk and single-cell transcriptional profiling. Strikingly, populations with high IFN-priming mounted acute type-I IFN responses much more efficiently if compared to populations with low IFN-priming, suggesting that not only homeostatic IFN-priming but also responsiveness to acute IFNs is clonally determined at the stem cell level.Next, we investigated the signaling pathways regulating IFN-priming. For this purpose, we subjected HSCs of mice lacking key components of the IFN signaling and production pathways to molecular characterization. These analyses revealed that IFN-priming is driven by homeostatic, cell-intrinsic IFNAR/IFNGR-STAT1 and TNF-α signaling. To elucidate the molecular mechanism facilitating stable inheritance of IFN-priming, we performed extensive epigenetic profiling of IFN-primed and IFN-non-primed subpopulations. The results suggested that inheritance of IFN-priming is mediated by a novel epigenetic mechanism and associated with epigenetic pervasiveness versus silencing in IFN-primed and IFN-non-primed HSCs, respectively.Together, our data reveal a novel epigenetic stem cell-based memory that dictates IFN response heterogeneity in mature blood and immune cells. This finding will likely have far-reaching implications for the understanding of biological processes involved in antiviral responses, cancer immunosurveillance as well as autoimmunity.Disclosures No relevant conflicts of interest to declare.</w:instrText>
      </w:r>
      <w:r w:rsidR="00D967E3" w:rsidRPr="006F5ABC">
        <w:rPr>
          <w:rFonts w:ascii="Cambria Math" w:hAnsi="Cambria Math" w:cs="Cambria Math"/>
          <w:sz w:val="22"/>
          <w:szCs w:val="22"/>
          <w:lang w:val="en-US"/>
        </w:rPr>
        <w:instrText>↵</w:instrText>
      </w:r>
      <w:r w:rsidR="00D967E3" w:rsidRPr="006F5ABC">
        <w:rPr>
          <w:rFonts w:ascii="Arial" w:hAnsi="Arial" w:cs="Arial"/>
          <w:sz w:val="22"/>
          <w:szCs w:val="22"/>
          <w:lang w:val="en-US"/>
        </w:rPr>
        <w:instrText xml:space="preserve">* Asterisk with author names denotes non-ASH members.","container-title":"Blood","issue":"Suppl 1","journalAbbreviation":"Blood","page":"634 (abstract 501)","title":"A Stem Cell-Based Epigenetic Memory Mediates Interferon Response-Heterogeneity within the Hematopoietic System","volume":"130 (Suppl1)","author":[{"family":"Haas","given":"Simon"},{"family":"Hirche","given":"Christoph"},{"family":"Schnell","given":"Alexandra"},{"family":"Sönmezer","given":"Can"},{"family":"Langstein","given":"Jens"},{"family":"Wurzer","given":"Stephan"},{"family":"Thier","given":"Marc"},{"family":"Blaszkiewicz","given":"Sandra"},{"family":"Pilz","given":"Franziska"},{"family":"Milsom","given":"Michael D."},{"family":"Trumpp","given":"Andreas"},{"family":"Lipka","given":"Daniel"},{"family":"Kalinke","given":"Ulrich"},{"family":"Essers","given":"Marieke A. G."}],"issued":{"date-parts":[["2017",12,7]]}}},{"id":88,"uris":["http://zotero.org/users/2484452/items/6IUVJCMB"],"uri":["http://zotero.org/users/2484452/items/6IUVJCMB"],"itemData":{"id":88,"type":"article-journal","abstract":"Stem cells are highly resistant to viral infection compared to their differentiated progeny; however, the mechanism is mysterious. Here, we analyzed gene expression in mammalian stem cells and cells at various stages of differentiation. We find that, conserved across species, stem cells express a subset of genes previously classified as interferon (IFN) stimulated genes (ISGs) but that expression is intrinsic, as stem cells are refractory to interferon. This intrinsic ISG expression varies in a cell-type-specific manner, and many ISGs decrease upon differentiation, at which time cells become IFN responsive, allowing induction of a broad spectrum of ISGs by IFN signaling. Importantly, we show that intrinsically expressed ISGs protect stem cells against viral infection. We demonstrate the in vivo importance of intrinsic ISG expression for protecting stem cells and their differentiation potential during viral infection. These findings have intriguing implications for understanding stem cell biology and the evolution of pathogen resistance.","container-title":"Cell","DOI":"10.1016/j.cell.2017.11.018","ISSN":"1097-4172","issue":"3","journalAbbreviation":"Cell","language":"eng","note":"PMID: 29249360\nPMCID: PMC5786493","page":"423-438.e25","source":"PubMed","title":"Intrinsic Immunity Shapes Viral Resistance of Stem Cells","volume":"172","author":[{"family":"Wu","given":"Xianfang"},{"family":"Dao Thi","given":"Viet Loan"},{"family":"Huang","given":"Yumin"},{"family":"Billerbeck","given":"Eva"},{"family":"Saha","given":"Debjani"},{"family":"Hoffmann","given":"Hans-Heinrich"},{"family":"Wang","given":"Yaomei"},{"family":"Silva","given":"Luis A. Vale"},{"family":"Sarbanes","given":"Stephanie"},{"family":"Sun","given":"Tony"},{"family":"Andrus","given":"Linda"},{"family":"Yu","given":"Yingpu"},{"family":"Quirk","given":"Corrine"},{"family":"Li","given":"Melody"},{"family":"MacDonald","given":"Margaret R."},{"family":"Schneider","given":"William M."},{"family":"An","given":"Xiuli"},{"family":"Rosenberg","given":"Brad R."},{"family":"Rice","given":"Charles M."}],"issued":{"date-parts":[["2018"]],"season":"25"}}}],"schema":"https://github.com/citation-style-language/schema/raw/master/csl-citation.json"} </w:instrText>
      </w:r>
      <w:r w:rsidR="00D967E3" w:rsidRPr="006F5ABC">
        <w:rPr>
          <w:rFonts w:ascii="Arial" w:hAnsi="Arial" w:cs="Arial"/>
          <w:sz w:val="22"/>
          <w:szCs w:val="22"/>
          <w:lang w:val="en-US"/>
        </w:rPr>
        <w:fldChar w:fldCharType="separate"/>
      </w:r>
      <w:r w:rsidR="00D967E3" w:rsidRPr="006F5ABC">
        <w:rPr>
          <w:rFonts w:ascii="Arial" w:hAnsi="Arial" w:cs="Arial"/>
          <w:noProof/>
          <w:sz w:val="22"/>
          <w:szCs w:val="22"/>
          <w:lang w:val="en-US"/>
        </w:rPr>
        <w:t>(Haas et al., 2017; Wu et al., 2018)</w:t>
      </w:r>
      <w:r w:rsidR="00D967E3" w:rsidRPr="006F5ABC">
        <w:rPr>
          <w:rFonts w:ascii="Arial" w:hAnsi="Arial" w:cs="Arial"/>
          <w:sz w:val="22"/>
          <w:szCs w:val="22"/>
          <w:lang w:val="en-US"/>
        </w:rPr>
        <w:fldChar w:fldCharType="end"/>
      </w:r>
      <w:r w:rsidR="00D967E3" w:rsidRPr="006F5ABC">
        <w:rPr>
          <w:rFonts w:ascii="Arial" w:hAnsi="Arial" w:cs="Arial"/>
          <w:sz w:val="22"/>
          <w:szCs w:val="22"/>
          <w:lang w:val="en-US"/>
        </w:rPr>
        <w:t xml:space="preserve">. </w:t>
      </w:r>
      <w:r w:rsidR="004F7C90" w:rsidRPr="006F5ABC">
        <w:rPr>
          <w:rFonts w:ascii="Arial" w:hAnsi="Arial" w:cs="Arial"/>
          <w:sz w:val="22"/>
          <w:szCs w:val="22"/>
          <w:lang w:val="en-US"/>
        </w:rPr>
        <w:t>In the context of MPN and its clinical disease entities, IFN</w:t>
      </w:r>
      <w:r w:rsidR="00BB5D74" w:rsidRPr="006F5ABC">
        <w:rPr>
          <w:rFonts w:ascii="Arial" w:hAnsi="Arial" w:cs="Arial"/>
          <w:sz w:val="22"/>
          <w:szCs w:val="22"/>
          <w:lang w:val="en-US"/>
        </w:rPr>
        <w:sym w:font="Symbol" w:char="F067"/>
      </w:r>
      <w:r w:rsidR="004F7C90" w:rsidRPr="006F5ABC">
        <w:rPr>
          <w:rFonts w:ascii="Arial" w:hAnsi="Arial" w:cs="Arial"/>
          <w:sz w:val="22"/>
          <w:szCs w:val="22"/>
          <w:lang w:val="en-US"/>
        </w:rPr>
        <w:t>/STAT1 signaling axis also proved to be important for disease phenotype manifestation</w:t>
      </w:r>
      <w:r w:rsidR="00121054" w:rsidRPr="006F5ABC">
        <w:rPr>
          <w:rFonts w:ascii="Arial" w:hAnsi="Arial" w:cs="Arial"/>
          <w:sz w:val="22"/>
          <w:szCs w:val="22"/>
          <w:lang w:val="en-US"/>
        </w:rPr>
        <w:t xml:space="preserve"> </w:t>
      </w:r>
      <w:r w:rsidR="00121054" w:rsidRPr="006F5ABC">
        <w:rPr>
          <w:rFonts w:ascii="Arial" w:hAnsi="Arial" w:cs="Arial"/>
          <w:sz w:val="22"/>
          <w:szCs w:val="22"/>
          <w:lang w:val="en-US"/>
        </w:rPr>
        <w:fldChar w:fldCharType="begin"/>
      </w:r>
      <w:r w:rsidR="00121054" w:rsidRPr="006F5ABC">
        <w:rPr>
          <w:rFonts w:ascii="Arial" w:hAnsi="Arial" w:cs="Arial"/>
          <w:sz w:val="22"/>
          <w:szCs w:val="22"/>
          <w:lang w:val="en-US"/>
        </w:rPr>
        <w:instrText xml:space="preserve"> ADDIN ZOTERO_ITEM CSL_CITATION {"citationID":"3OasXbC9","properties":{"formattedCitation":"(Chen et al., 2010; Duek et al., 2014)","plainCitation":"(Chen et al., 2010; Duek et al., 2014)","noteIndex":0},"citationItems":[{"id":92,"uris":["http://zotero.org/users/2484452/items/7VBCNC98"],"uri":["http://zotero.org/users/2484452/items/7VBCNC98"],"itemData":{"id":92,"type":"article-journal","abstract":"The JAK2V617F mutation is associated with distinct myeloproliferative neoplasms, including polycythemia vera (PV) and essential thrombocythemia (ET), but it remains unclear how it generates disparate disorders. By comparing clonally-derived mutant and wild-type cells from individual patients, we demonstrate that the transcriptional consequences of JAK2V617F are subtle, and that JAK2V617F-heterozygous erythroid cells from ET and PV patients exhibit differential interferon signaling and STAT1 phosphorylation. Increased STAT1 activity in normal CD34-positive progenitors produces an ET-like phenotype, whereas downregulation of STAT1 activity in JAK2V617F-heterozygous ET progenitors produces a PV-like phenotype. Our results illustrate the power of clonal analysis, indicate that the consequences of JAK2V617F reflect a balance between STAT5 and STAT1 activation and are relevant for other neoplasms associated with signaling pathway mutations.","container-title":"Cancer Cell","DOI":"10.1016/j.ccr.2010.10.013","ISSN":"1878-3686","issue":"5","journalAbbreviation":"Cancer Cell","language":"eng","note":"PMID: 21074499\nPMCID: PMC2996868","page":"524-535","source":"PubMed","title":"Distinct clinical phenotypes associated with JAK2V617F reflect differential STAT1 signaling","volume":"18","author":[{"family":"Chen","given":"Edwin"},{"family":"Beer","given":"Philip A."},{"family":"Godfrey","given":"Anna L."},{"family":"Ortmann","given":"Christina A."},{"family":"Li","given":"Juan"},{"family":"Costa-Pereira","given":"Ana P."},{"family":"Ingle","given":"Catherine E."},{"family":"Dermitzakis","given":"Emmanouil T."},{"family":"Campbell","given":"Peter J."},{"family":"Green","given":"Anthony R."}],"issued":{"date-parts":[["2010",11,16]]}}},{"id":1148,"uris":["http://zotero.org/users/2484452/items/2SIQPSLQ"],"uri":["http://zotero.org/users/2484452/items/2SIQPSLQ"],"itemData":{"id":1148,"type":"article-journal","abstract":"Key Points. Stat1 deletion in the presence of JAK2-V617F alters phenotypic manifestations by reducing megakaryopoiesis and favoring erythropoiesis.IFNγ is elev","container-title":"Blood","DOI":"10.1182/blood-2013-07-514208","ISSN":"0006-4971","issue":"25","journalAbbreviation":"Blood","language":"en","page":"3943-3950","source":"ashpublications.org","title":"Loss of Stat1 decreases megakaryopoiesis and favors erythropoiesis in a JAK2-V617F–driven mouse model of MPNs","volume":"123","author":[{"family":"Duek","given":"Adrian"},{"family":"Lundberg","given":"Pontus"},{"family":"Shimizu","given":"Takafumi"},{"family":"Grisouard","given":"Jean"},{"family":"Karow","given":"Axel"},{"family":"Kubovcakova","given":"Lucia"},{"family":"Hao-Shen","given":"Hui"},{"family":"Dirnhofer","given":"Stephan"},{"family":"Skoda","given":"Radek C."}],"issued":{"date-parts":[["2014",6,19]]}}}],"schema":"https://github.com/citation-style-language/schema/raw/master/csl-citation.json"} </w:instrText>
      </w:r>
      <w:r w:rsidR="00121054" w:rsidRPr="006F5ABC">
        <w:rPr>
          <w:rFonts w:ascii="Arial" w:hAnsi="Arial" w:cs="Arial"/>
          <w:sz w:val="22"/>
          <w:szCs w:val="22"/>
          <w:lang w:val="en-US"/>
        </w:rPr>
        <w:fldChar w:fldCharType="separate"/>
      </w:r>
      <w:r w:rsidR="00121054" w:rsidRPr="006F5ABC">
        <w:rPr>
          <w:rFonts w:ascii="Arial" w:hAnsi="Arial" w:cs="Arial"/>
          <w:noProof/>
          <w:sz w:val="22"/>
          <w:szCs w:val="22"/>
          <w:lang w:val="en-US"/>
        </w:rPr>
        <w:t>(Chen et al., 2010; Duek et al., 2014)</w:t>
      </w:r>
      <w:r w:rsidR="00121054" w:rsidRPr="006F5ABC">
        <w:rPr>
          <w:rFonts w:ascii="Arial" w:hAnsi="Arial" w:cs="Arial"/>
          <w:sz w:val="22"/>
          <w:szCs w:val="22"/>
          <w:lang w:val="en-US"/>
        </w:rPr>
        <w:fldChar w:fldCharType="end"/>
      </w:r>
      <w:r w:rsidR="004F7C90" w:rsidRPr="006F5ABC">
        <w:rPr>
          <w:rFonts w:ascii="Arial" w:hAnsi="Arial" w:cs="Arial"/>
          <w:sz w:val="22"/>
          <w:szCs w:val="22"/>
          <w:lang w:val="en-US"/>
        </w:rPr>
        <w:t xml:space="preserve"> and very high expression levels of downstream IFN</w:t>
      </w:r>
      <w:r w:rsidR="00BB5D74" w:rsidRPr="006F5ABC">
        <w:rPr>
          <w:rFonts w:ascii="Arial" w:hAnsi="Arial" w:cs="Arial"/>
          <w:sz w:val="22"/>
          <w:szCs w:val="22"/>
          <w:lang w:val="en-US"/>
        </w:rPr>
        <w:sym w:font="Symbol" w:char="F067"/>
      </w:r>
      <w:r w:rsidR="004F7C90" w:rsidRPr="006F5ABC">
        <w:rPr>
          <w:rFonts w:ascii="Arial" w:hAnsi="Arial" w:cs="Arial"/>
          <w:sz w:val="22"/>
          <w:szCs w:val="22"/>
          <w:lang w:val="en-US"/>
        </w:rPr>
        <w:t xml:space="preserve"> signaling-dependent chemokine CXCL10 were recorded both in MPN patients and V617F</w:t>
      </w:r>
      <w:r w:rsidR="004F7C90" w:rsidRPr="006F5ABC">
        <w:rPr>
          <w:rFonts w:ascii="Arial" w:hAnsi="Arial" w:cs="Arial"/>
          <w:sz w:val="22"/>
          <w:szCs w:val="22"/>
          <w:vertAlign w:val="superscript"/>
          <w:lang w:val="en-US"/>
        </w:rPr>
        <w:t>+</w:t>
      </w:r>
      <w:r w:rsidR="004F7C90" w:rsidRPr="006F5ABC">
        <w:rPr>
          <w:rFonts w:ascii="Arial" w:hAnsi="Arial" w:cs="Arial"/>
          <w:sz w:val="22"/>
          <w:szCs w:val="22"/>
          <w:lang w:val="en-US"/>
        </w:rPr>
        <w:t xml:space="preserve"> cell lines</w:t>
      </w:r>
      <w:r w:rsidR="00121054" w:rsidRPr="006F5ABC">
        <w:rPr>
          <w:rFonts w:ascii="Arial" w:hAnsi="Arial" w:cs="Arial"/>
          <w:sz w:val="22"/>
          <w:szCs w:val="22"/>
          <w:lang w:val="en-US"/>
        </w:rPr>
        <w:t xml:space="preserve"> </w:t>
      </w:r>
      <w:r w:rsidR="00121054" w:rsidRPr="006F5ABC">
        <w:rPr>
          <w:rFonts w:ascii="Arial" w:hAnsi="Arial" w:cs="Arial"/>
          <w:sz w:val="22"/>
          <w:szCs w:val="22"/>
          <w:lang w:val="en-US"/>
        </w:rPr>
        <w:fldChar w:fldCharType="begin"/>
      </w:r>
      <w:r w:rsidR="00121054" w:rsidRPr="006F5ABC">
        <w:rPr>
          <w:rFonts w:ascii="Arial" w:hAnsi="Arial" w:cs="Arial"/>
          <w:sz w:val="22"/>
          <w:szCs w:val="22"/>
          <w:lang w:val="en-US"/>
        </w:rPr>
        <w:instrText xml:space="preserve"> ADDIN ZOTERO_ITEM CSL_CITATION {"citationID":"Z3hYr19A","properties":{"formattedCitation":"(Manshouri et al., 2011; Schn\\uc0\\u246{}der et al., 2017)","plainCitation":"(Manshouri et al., 2011; Schnöder et al., 2017)","noteIndex":0},"citationItems":[{"id":39,"uris":["http://zotero.org/users/2484452/items/TGGR4GW3"],"uri":["http://zotero.org/users/2484452/items/TGGR4GW3"],"itemData":{"id":39,"type":"article-journal","abstract":"Signals emanating from the bone marrow microenvironment, such as stromal cells, are thought to support the survival and proliferation of the malignant cells in patients with myeloproliferative neoplasms (MPN). To examine this hypothesis, we established a coculture platform [cells cocultured directly (cell-on-cell) or indirectly (separated by micropore membrane)] designed to interrogate the interplay between Janus activated kinase 2-V617F (JAK2(V617F))-positive cells and the stromal cells. Treatment with atiprimod, a potent JAK2 inhibitor, caused marked growth inhibition and apoptosis of human (SET-2) and mouse (FDCP-EpoR) JAK2(V617F)-positive cells as well as primary blood or bone marrow mononuclear cells from patients with polycythemia vera; however, these effects were attenuated when any of these cell types were cocultured (cell-on-cell) with human marrow stromal cell lines (e.g., HS5, NK.tert, TM-R1). Coculture with stromal cells hampered the ability of atiprimod to inhibit phosphorylation of JAK2 and the downstream STAT3 and STAT5 pathways. This protective effect was maintained in noncontact coculture assays (JAK2(V617F)-positive cells separated by 0.4-μm-thick micropore membranes from stromal cells), indicating a paracrine effect. Cytokine profiling of supernatants from noncontact coculture assays detected distinctly high levels of interleukin 6 (IL-6), fibroblast growth factor (FGF), and chemokine C-X-C-motif ligand 10 (CXCL-10)/IFN-γ-inducible 10-kD protein (IP-10). Anti-IL-6, -FGF, or -CXCL-10/IP-10 neutralizing antibodies ablated the protective effect of stromal cells and restored atiprimod-induced apoptosis of JAK2(V617F)-positive cells. Therefore, our results indicate that humoral factors secreted by stromal cells protect MPN clones from JAK2 inhibitor therapy, thus underscoring the importance of targeting the marrow niche in MPN for therapeutic purposes.","container-title":"Cancer Research","DOI":"10.1158/0008-5472.CAN-10-4002","ISSN":"1538-7445","issue":"11","journalAbbreviation":"Cancer Res.","language":"eng","note":"PMID: 21512135\nPMCID: PMC4067142","page":"3831-3840","source":"PubMed","title":"Bone marrow stroma-secreted cytokines protect JAK2(V617F)-mutated cells from the effects of a JAK2 inhibitor","volume":"71","author":[{"family":"Manshouri","given":"Taghi"},{"family":"Estrov","given":"Zeev"},{"family":"Quintás-Cardama","given":"Alfonso"},{"family":"Burger","given":"Jan"},{"family":"Zhang","given":"Ying"},{"family":"Livun","given":"Ana"},{"family":"Knez","given":"Liza"},{"family":"Harris","given":"David"},{"family":"Creighton","given":"Chad J."},{"family":"Kantarjian","given":"Hagop M."},{"family":"Verstovsek","given":"Srdan"}],"issued":{"date-parts":[["2011",6,1]]}}},{"id":84,"uris":["http://zotero.org/users/2484452/items/7UF733IR"],"uri":["http://zotero.org/users/2484452/items/7UF733IR"],"itemData":{"id":84,"type":"article-journal","abstract":"PURPOSE: Myeloproliferative neoplasms (MPN) are clonal disorders of hematopoietic stem- and progenitor cells. Mutation of Janus-Kinase 2 (JAK2) is the most frequent genetic event detected in Philadelphia-negative MPN. In advanced phases, the clinical hallmark of the disease is a striking inflammatory syndrome. So far, the cellular and molecular basis of inflammation is not fully understood. We, therefore, sought to investigate the relationship of activating JAK2 mutation and aberrant cytokine expression in MPN.\nMETHODS: Cytokine array was performed to identify Jak2V617F-related cytokine expression and secretion. CXCL10 mRNA expression was analyzed by qPCR in peripheral blood cells. To exclude paracrine/autocrine stimulation as a potential mechanism, we generated Ba/F3-EpoR-JAK2WT or EpoR-JAK2V617F cells lacking CXCL10 receptor. Pharmacologic inhibition of JAK2 kinase was achieved by JAK-Inhibitor treatment. Signaling pathways and downstream effectors were characterized by Western blotting, immunofluorescence microscopy, luciferase reporter assays, qPCR, and chromatin-immunoprecipitation studies.\nRESULTS: We identified CXCL10 as the most highly induced cytokine in JAK2-mutated cell lines. In MPN patients, CXCL10 is highly expressed in JAK2V617F but not JAK2WT MPN or healthy donor controls. Moreover, CXCL10 expression correlates with JAK2V617F allelic burden. High CXCL10 correlates with the presence of clinical risk factors but not with clinical symptoms and quality of life. Pharmacologic inhibition of mutated JAK2 kinase inhibits CXCL10 expression. NFκB signaling is activated downstream of JAK2V617F receptor and directly induces CXCL10 expression.\nCONCLUSIONS: Our data provide first evidence for a link between oncogenic JAK2V617F signaling and cell intrinsic induction of CXCL10 induced by activated NFkB signaling.","container-title":"Journal of Cancer Research and Clinical Oncology","DOI":"10.1007/s00432-017-2354-1","ISSN":"1432-1335","issue":"5","journalAbbreviation":"J. Cancer Res. Clin. Oncol.","language":"eng","note":"PMID: 28233092","page":"807-820","source":"PubMed","title":"Cell autonomous expression of CXCL-10 in JAK2V617F-mutated MPN","volume":"143","author":[{"family":"Schnöder","given":"Tina M."},{"family":"Eberhardt","given":"Judith"},{"family":"Koehler","given":"Michael"},{"family":"Bierhoff","given":"Holger B."},{"family":"Weinert","given":"Sönke"},{"family":"Pandey","given":"Akhilesh Datt"},{"family":"Nimmagadda","given":"Subbaiah Chary"},{"family":"Wolleschak","given":"Denise"},{"family":"Jöhrens","given":"Korinna"},{"family":"Fischer","given":"Thomas"},{"family":"Heidel","given":"Florian H."}],"issued":{"date-parts":[["2017",5]]}}}],"schema":"https://github.com/citation-style-language/schema/raw/master/csl-citation.json"} </w:instrText>
      </w:r>
      <w:r w:rsidR="00121054" w:rsidRPr="006F5ABC">
        <w:rPr>
          <w:rFonts w:ascii="Arial" w:hAnsi="Arial" w:cs="Arial"/>
          <w:sz w:val="22"/>
          <w:szCs w:val="22"/>
          <w:lang w:val="en-US"/>
        </w:rPr>
        <w:fldChar w:fldCharType="separate"/>
      </w:r>
      <w:r w:rsidR="00121054" w:rsidRPr="006F5ABC">
        <w:rPr>
          <w:rFonts w:ascii="Arial" w:hAnsi="Arial" w:cs="Arial"/>
          <w:sz w:val="22"/>
          <w:lang w:val="en-US"/>
        </w:rPr>
        <w:t>(Manshouri et al., 2011; Schnöder et al., 2017)</w:t>
      </w:r>
      <w:r w:rsidR="00121054" w:rsidRPr="006F5ABC">
        <w:rPr>
          <w:rFonts w:ascii="Arial" w:hAnsi="Arial" w:cs="Arial"/>
          <w:sz w:val="22"/>
          <w:szCs w:val="22"/>
          <w:lang w:val="en-US"/>
        </w:rPr>
        <w:fldChar w:fldCharType="end"/>
      </w:r>
      <w:r w:rsidR="004F7C90" w:rsidRPr="006F5ABC">
        <w:rPr>
          <w:rFonts w:ascii="Arial" w:hAnsi="Arial" w:cs="Arial"/>
          <w:sz w:val="22"/>
          <w:szCs w:val="22"/>
          <w:lang w:val="en-US"/>
        </w:rPr>
        <w:t xml:space="preserve">. Thus, we </w:t>
      </w:r>
      <w:r w:rsidR="00B0300D" w:rsidRPr="006F5ABC">
        <w:rPr>
          <w:rFonts w:ascii="Arial" w:hAnsi="Arial" w:cs="Arial"/>
          <w:sz w:val="22"/>
          <w:szCs w:val="22"/>
          <w:lang w:val="en-US"/>
        </w:rPr>
        <w:t xml:space="preserve">hypothesized that </w:t>
      </w:r>
      <w:r w:rsidR="004F7C90" w:rsidRPr="006F5ABC">
        <w:rPr>
          <w:rFonts w:ascii="Arial" w:hAnsi="Arial" w:cs="Arial"/>
          <w:i/>
          <w:iCs/>
          <w:sz w:val="22"/>
          <w:szCs w:val="22"/>
          <w:lang w:val="en-US"/>
        </w:rPr>
        <w:t xml:space="preserve">JAK2 </w:t>
      </w:r>
      <w:r w:rsidR="004F7C90" w:rsidRPr="006F5ABC">
        <w:rPr>
          <w:rFonts w:ascii="Arial" w:hAnsi="Arial" w:cs="Arial"/>
          <w:sz w:val="22"/>
          <w:szCs w:val="22"/>
          <w:lang w:val="en-US"/>
        </w:rPr>
        <w:t>V617F mutation</w:t>
      </w:r>
      <w:r w:rsidR="00BB5D74" w:rsidRPr="006F5ABC">
        <w:rPr>
          <w:rFonts w:ascii="Arial" w:hAnsi="Arial" w:cs="Arial"/>
          <w:sz w:val="22"/>
          <w:szCs w:val="22"/>
          <w:lang w:val="en-US"/>
        </w:rPr>
        <w:t xml:space="preserve"> </w:t>
      </w:r>
      <w:r w:rsidR="008D272D" w:rsidRPr="006F5ABC">
        <w:rPr>
          <w:rFonts w:ascii="Arial" w:hAnsi="Arial" w:cs="Arial"/>
          <w:sz w:val="22"/>
          <w:szCs w:val="22"/>
          <w:lang w:val="en-US"/>
        </w:rPr>
        <w:t xml:space="preserve">skews HSCs heterogeneity towards IFN-primed </w:t>
      </w:r>
      <w:r w:rsidR="008D272D" w:rsidRPr="006F5ABC">
        <w:rPr>
          <w:rFonts w:ascii="Arial" w:hAnsi="Arial" w:cs="Arial"/>
          <w:sz w:val="22"/>
          <w:szCs w:val="22"/>
          <w:lang w:val="en-US"/>
        </w:rPr>
        <w:lastRenderedPageBreak/>
        <w:t xml:space="preserve">state and </w:t>
      </w:r>
      <w:r w:rsidR="00BB5D74" w:rsidRPr="006F5ABC">
        <w:rPr>
          <w:rFonts w:ascii="Arial" w:hAnsi="Arial" w:cs="Arial"/>
          <w:sz w:val="22"/>
          <w:szCs w:val="22"/>
          <w:lang w:val="en-US"/>
        </w:rPr>
        <w:t>affects IFN</w:t>
      </w:r>
      <w:r w:rsidR="00BB5D74" w:rsidRPr="006F5ABC">
        <w:rPr>
          <w:rFonts w:ascii="Arial" w:hAnsi="Arial" w:cs="Arial"/>
          <w:sz w:val="22"/>
          <w:szCs w:val="22"/>
          <w:lang w:val="en-US"/>
        </w:rPr>
        <w:sym w:font="Symbol" w:char="F067"/>
      </w:r>
      <w:r w:rsidR="00BB5D74" w:rsidRPr="006F5ABC">
        <w:rPr>
          <w:rFonts w:ascii="Arial" w:hAnsi="Arial" w:cs="Arial"/>
          <w:sz w:val="22"/>
          <w:szCs w:val="22"/>
          <w:lang w:val="en-US"/>
        </w:rPr>
        <w:t xml:space="preserve">-dependent transcription profile and signaling </w:t>
      </w:r>
      <w:r w:rsidR="00B0300D" w:rsidRPr="006F5ABC">
        <w:rPr>
          <w:rFonts w:ascii="Arial" w:hAnsi="Arial" w:cs="Arial"/>
          <w:sz w:val="22"/>
          <w:szCs w:val="22"/>
          <w:lang w:val="en-US"/>
        </w:rPr>
        <w:t xml:space="preserve">already </w:t>
      </w:r>
      <w:r w:rsidR="00BB5D74" w:rsidRPr="006F5ABC">
        <w:rPr>
          <w:rFonts w:ascii="Arial" w:hAnsi="Arial" w:cs="Arial"/>
          <w:sz w:val="22"/>
          <w:szCs w:val="22"/>
          <w:lang w:val="en-US"/>
        </w:rPr>
        <w:t xml:space="preserve">at the level of HSCs and </w:t>
      </w:r>
      <w:r w:rsidR="008D272D" w:rsidRPr="006F5ABC">
        <w:rPr>
          <w:rFonts w:ascii="Arial" w:hAnsi="Arial" w:cs="Arial"/>
          <w:sz w:val="22"/>
          <w:szCs w:val="22"/>
          <w:lang w:val="en-US"/>
        </w:rPr>
        <w:t>immediate progeny</w:t>
      </w:r>
      <w:r w:rsidR="00BB5D74" w:rsidRPr="006F5ABC">
        <w:rPr>
          <w:rFonts w:ascii="Arial" w:hAnsi="Arial" w:cs="Arial"/>
          <w:sz w:val="22"/>
          <w:szCs w:val="22"/>
          <w:lang w:val="en-US"/>
        </w:rPr>
        <w:t xml:space="preserve">. </w:t>
      </w:r>
    </w:p>
    <w:p w14:paraId="2BC4BC54" w14:textId="64D70B5D" w:rsidR="000F7C2A" w:rsidRPr="006F5ABC" w:rsidRDefault="00B0300D" w:rsidP="00D1055A">
      <w:pPr>
        <w:spacing w:line="360" w:lineRule="auto"/>
        <w:jc w:val="both"/>
        <w:rPr>
          <w:rFonts w:ascii="Arial" w:hAnsi="Arial" w:cs="Arial"/>
          <w:sz w:val="22"/>
          <w:szCs w:val="22"/>
        </w:rPr>
      </w:pPr>
      <w:r w:rsidRPr="006F5ABC">
        <w:rPr>
          <w:rFonts w:ascii="Arial" w:hAnsi="Arial" w:cs="Arial"/>
          <w:sz w:val="22"/>
          <w:szCs w:val="22"/>
          <w:lang w:val="en-US"/>
        </w:rPr>
        <w:t>In agreement with our hypothesis w</w:t>
      </w:r>
      <w:r w:rsidR="00E31E82" w:rsidRPr="006F5ABC">
        <w:rPr>
          <w:rFonts w:ascii="Arial" w:hAnsi="Arial" w:cs="Arial"/>
          <w:sz w:val="22"/>
          <w:szCs w:val="22"/>
          <w:lang w:val="en-US"/>
        </w:rPr>
        <w:t xml:space="preserve">e have observed significant up-regulation of </w:t>
      </w:r>
      <w:r w:rsidR="00BE4DBD" w:rsidRPr="006F5ABC">
        <w:rPr>
          <w:rFonts w:ascii="Arial" w:hAnsi="Arial" w:cs="Arial"/>
          <w:i/>
          <w:iCs/>
          <w:sz w:val="22"/>
          <w:szCs w:val="22"/>
          <w:lang w:val="en-US"/>
        </w:rPr>
        <w:t>IFNG</w:t>
      </w:r>
      <w:r w:rsidR="00E31E82" w:rsidRPr="006F5ABC">
        <w:rPr>
          <w:rFonts w:ascii="Arial" w:hAnsi="Arial" w:cs="Arial"/>
          <w:sz w:val="22"/>
          <w:szCs w:val="22"/>
          <w:lang w:val="en-US"/>
        </w:rPr>
        <w:t xml:space="preserve"> </w:t>
      </w:r>
      <w:r w:rsidRPr="006F5ABC">
        <w:rPr>
          <w:rFonts w:ascii="Arial" w:hAnsi="Arial" w:cs="Arial"/>
          <w:sz w:val="22"/>
          <w:szCs w:val="22"/>
          <w:lang w:val="en-US"/>
        </w:rPr>
        <w:t xml:space="preserve">mRNA expression </w:t>
      </w:r>
      <w:r w:rsidR="00E31E82" w:rsidRPr="006F5ABC">
        <w:rPr>
          <w:rFonts w:ascii="Arial" w:hAnsi="Arial" w:cs="Arial"/>
          <w:sz w:val="22"/>
          <w:szCs w:val="22"/>
          <w:lang w:val="en-US"/>
        </w:rPr>
        <w:t xml:space="preserve">in </w:t>
      </w:r>
      <w:r w:rsidR="00E31E82" w:rsidRPr="006F5ABC">
        <w:rPr>
          <w:rFonts w:ascii="Arial" w:hAnsi="Arial" w:cs="Arial"/>
          <w:i/>
          <w:iCs/>
          <w:sz w:val="22"/>
          <w:szCs w:val="22"/>
          <w:lang w:val="en-US"/>
        </w:rPr>
        <w:t xml:space="preserve">JAK2 </w:t>
      </w:r>
      <w:r w:rsidR="00E31E82" w:rsidRPr="006F5ABC">
        <w:rPr>
          <w:rFonts w:ascii="Arial" w:hAnsi="Arial" w:cs="Arial"/>
          <w:sz w:val="22"/>
          <w:szCs w:val="22"/>
          <w:lang w:val="en-US"/>
        </w:rPr>
        <w:t>V617F</w:t>
      </w:r>
      <w:r w:rsidR="00BB5D74" w:rsidRPr="006F5ABC">
        <w:rPr>
          <w:rFonts w:ascii="Arial" w:hAnsi="Arial" w:cs="Arial"/>
          <w:sz w:val="22"/>
          <w:szCs w:val="22"/>
          <w:vertAlign w:val="superscript"/>
          <w:lang w:val="en-US"/>
        </w:rPr>
        <w:t>+</w:t>
      </w:r>
      <w:r w:rsidR="00E31E82" w:rsidRPr="006F5ABC">
        <w:rPr>
          <w:rFonts w:ascii="Arial" w:hAnsi="Arial" w:cs="Arial"/>
          <w:sz w:val="22"/>
          <w:szCs w:val="22"/>
          <w:lang w:val="en-US"/>
        </w:rPr>
        <w:t xml:space="preserve"> cells</w:t>
      </w:r>
      <w:r w:rsidRPr="006F5ABC">
        <w:rPr>
          <w:rFonts w:ascii="Arial" w:hAnsi="Arial" w:cs="Arial"/>
          <w:sz w:val="22"/>
          <w:szCs w:val="22"/>
          <w:lang w:val="en-US"/>
        </w:rPr>
        <w:t xml:space="preserve"> of CD34</w:t>
      </w:r>
      <w:r w:rsidRPr="006F5ABC">
        <w:rPr>
          <w:rFonts w:ascii="Arial" w:hAnsi="Arial" w:cs="Arial"/>
          <w:sz w:val="22"/>
          <w:szCs w:val="22"/>
          <w:vertAlign w:val="superscript"/>
          <w:lang w:val="en-US"/>
        </w:rPr>
        <w:t>+</w:t>
      </w:r>
      <w:r w:rsidRPr="006F5ABC">
        <w:rPr>
          <w:rFonts w:ascii="Arial" w:hAnsi="Arial" w:cs="Arial"/>
          <w:sz w:val="22"/>
          <w:szCs w:val="22"/>
          <w:lang w:val="en-US"/>
        </w:rPr>
        <w:t xml:space="preserve"> P</w:t>
      </w:r>
      <w:r w:rsidR="002B6894" w:rsidRPr="006F5ABC">
        <w:rPr>
          <w:rFonts w:ascii="Arial" w:hAnsi="Arial" w:cs="Arial"/>
          <w:sz w:val="22"/>
          <w:szCs w:val="22"/>
          <w:lang w:val="en-US"/>
        </w:rPr>
        <w:t>-</w:t>
      </w:r>
      <w:r w:rsidRPr="006F5ABC">
        <w:rPr>
          <w:rFonts w:ascii="Arial" w:hAnsi="Arial" w:cs="Arial"/>
          <w:sz w:val="22"/>
          <w:szCs w:val="22"/>
          <w:lang w:val="en-US"/>
        </w:rPr>
        <w:t>ECs</w:t>
      </w:r>
      <w:r w:rsidR="00BB5D74" w:rsidRPr="006F5ABC">
        <w:rPr>
          <w:rFonts w:ascii="Arial" w:hAnsi="Arial" w:cs="Arial"/>
          <w:sz w:val="22"/>
          <w:szCs w:val="22"/>
          <w:lang w:val="en-US"/>
        </w:rPr>
        <w:t xml:space="preserve"> </w:t>
      </w:r>
      <w:r w:rsidR="00E31E82" w:rsidRPr="006F5ABC">
        <w:rPr>
          <w:rFonts w:ascii="Arial" w:hAnsi="Arial" w:cs="Arial"/>
          <w:sz w:val="22"/>
          <w:szCs w:val="22"/>
          <w:lang w:val="en-US"/>
        </w:rPr>
        <w:t>during the course of differentiation, compared to wildtype progenitors</w:t>
      </w:r>
      <w:r w:rsidRPr="006F5ABC">
        <w:rPr>
          <w:rFonts w:ascii="Arial" w:hAnsi="Arial" w:cs="Arial"/>
          <w:sz w:val="22"/>
          <w:szCs w:val="22"/>
          <w:lang w:val="en-US"/>
        </w:rPr>
        <w:t>, which was further enhanced by treatment with key inflammatory mediators (IFN</w:t>
      </w:r>
      <w:r w:rsidRPr="006F5ABC">
        <w:rPr>
          <w:rFonts w:ascii="Arial" w:hAnsi="Arial" w:cs="Arial"/>
          <w:sz w:val="22"/>
          <w:szCs w:val="22"/>
          <w:lang w:val="en-US"/>
        </w:rPr>
        <w:sym w:font="Symbol" w:char="F067"/>
      </w:r>
      <w:r w:rsidRPr="006F5ABC">
        <w:rPr>
          <w:rFonts w:ascii="Arial" w:hAnsi="Arial" w:cs="Arial"/>
          <w:sz w:val="22"/>
          <w:szCs w:val="22"/>
          <w:lang w:val="en-US"/>
        </w:rPr>
        <w:t>, TNF</w:t>
      </w:r>
      <w:r w:rsidRPr="006F5ABC">
        <w:rPr>
          <w:rFonts w:ascii="Arial" w:hAnsi="Arial" w:cs="Arial"/>
          <w:sz w:val="22"/>
          <w:szCs w:val="22"/>
          <w:lang w:val="en-US"/>
        </w:rPr>
        <w:sym w:font="Symbol" w:char="F061"/>
      </w:r>
      <w:r w:rsidRPr="006F5ABC">
        <w:rPr>
          <w:rFonts w:ascii="Arial" w:hAnsi="Arial" w:cs="Arial"/>
          <w:sz w:val="22"/>
          <w:szCs w:val="22"/>
          <w:lang w:val="en-US"/>
        </w:rPr>
        <w:t>, TGF</w:t>
      </w:r>
      <w:r w:rsidRPr="006F5ABC">
        <w:rPr>
          <w:rFonts w:ascii="Arial" w:hAnsi="Arial" w:cs="Arial"/>
          <w:sz w:val="22"/>
          <w:szCs w:val="22"/>
          <w:lang w:val="en-US"/>
        </w:rPr>
        <w:sym w:font="Symbol" w:char="F062"/>
      </w:r>
      <w:r w:rsidRPr="006F5ABC">
        <w:rPr>
          <w:rFonts w:ascii="Arial" w:hAnsi="Arial" w:cs="Arial"/>
          <w:sz w:val="22"/>
          <w:szCs w:val="22"/>
          <w:lang w:val="en-US"/>
        </w:rPr>
        <w:t>1 for 24 hours) present in PV BM</w:t>
      </w:r>
      <w:r w:rsidR="008D272D" w:rsidRPr="006F5ABC">
        <w:rPr>
          <w:rFonts w:ascii="Arial" w:hAnsi="Arial" w:cs="Arial"/>
          <w:sz w:val="22"/>
          <w:szCs w:val="22"/>
          <w:lang w:val="en-US"/>
        </w:rPr>
        <w:t>s</w:t>
      </w:r>
      <w:r w:rsidRPr="006F5ABC">
        <w:rPr>
          <w:rFonts w:ascii="Arial" w:hAnsi="Arial" w:cs="Arial"/>
          <w:sz w:val="22"/>
          <w:szCs w:val="22"/>
          <w:lang w:val="en-US"/>
        </w:rPr>
        <w:t xml:space="preserve"> </w:t>
      </w:r>
      <w:r w:rsidR="00A825A0" w:rsidRPr="006F5ABC">
        <w:rPr>
          <w:rFonts w:ascii="Arial" w:hAnsi="Arial" w:cs="Arial"/>
          <w:sz w:val="22"/>
          <w:szCs w:val="22"/>
          <w:lang w:val="en-US"/>
        </w:rPr>
        <w:fldChar w:fldCharType="begin"/>
      </w:r>
      <w:r w:rsidR="00A825A0" w:rsidRPr="006F5ABC">
        <w:rPr>
          <w:rFonts w:ascii="Arial" w:hAnsi="Arial" w:cs="Arial"/>
          <w:sz w:val="22"/>
          <w:szCs w:val="22"/>
          <w:lang w:val="en-US"/>
        </w:rPr>
        <w:instrText xml:space="preserve"> ADDIN ZOTERO_ITEM CSL_CITATION {"citationID":"eSXU2wfL","properties":{"formattedCitation":"(Chagraoui et al., 2002; Chen et al., 2010; Fleischman et al., 2011)","plainCitation":"(Chagraoui et al., 2002; Chen et al., 2010; Fleischman et al., 2011)","noteIndex":0},"citationItems":[{"id":90,"uris":["http://zotero.org/users/2484452/items/QT9UV88H"],"uri":["http://zotero.org/users/2484452/items/QT9UV88H"],"itemData":{"id":90,"type":"article-journal","abstract":"Several studies suggest an implication of transforming growth factor-beta1 (TGF-beta1) in the promotion of myelofibrosis associated with hematopoietic malignancies, but the involvement of this cytokine is not fully investigated. To test directly the impact of TGF-beta1 in the pathogenesis of myelofibrosis, bone marrow stem cells from homozygous TGF-beta1 null (TGF-beta1(-/-)) and wild-type (WT) littermates were infected with a retrovirus encoding the murine thrombopoietin (TPO) protein and engrafted into lethally irradiated wild-type hosts for long-term reconstitution. Over the 4 months of follow-up, TPO levels in plasma were markedly elevated in both groups of mice, and animals typically developed a myeloproliferative syndrome characterized by thrombocytosis, leukocytosis, splenomegaly, increased numbers of progenitors in blood, and extramedullary hematopoiesis. Severe fibrosis was observed in spleen and marrow from all the mice engrafted with WT cells. In contrast, none of the mice repopulated with TGF-beta1(-/-) cells (chimerism &gt; 70%) showed deposition of reticulin fibers at any time during the follow-up. In accordance with the development of fibrosis, latent TGF-beta1 levels in plasma and extracellular fluid of the spleen from mice engrafted with WT cells were increased 6-fold and 4-fold, respectively, over levels found in normal hosts, whereas no increase over baseline levels could be demonstrated in animals undergoing transplantation with TGF-beta1(-/-) cells. These data provide evidence that TGF-beta1 produced by hematopoietic cells is pivotal for the pathogenesis of myelofibrosis that develops in mice with TPO overexpression.","container-title":"Blood","DOI":"10.1182/blood-2002-04-1133","ISSN":"0006-4971","issue":"10","journalAbbreviation":"Blood","language":"eng","note":"PMID: 12393681","page":"3495-3503","source":"PubMed","title":"Prominent role of TGF-beta 1 in thrombopoietin-induced myelofibrosis in mice","volume":"100","author":[{"family":"Chagraoui","given":"Hédia"},{"family":"Komura","given":"Emiko"},{"family":"Tulliez","given":"Micheline"},{"family":"Giraudier","given":"Stéphane"},{"family":"Vainchenker","given":"William"},{"family":"Wendling","given":"Françoise"}],"issued":{"date-parts":[["2002",11,15]]}}},{"id":92,"uris":["http://zotero.org/users/2484452/items/7VBCNC98"],"uri":["http://zotero.org/users/2484452/items/7VBCNC98"],"itemData":{"id":92,"type":"article-journal","abstract":"The JAK2V617F mutation is associated with distinct myeloproliferative neoplasms, including polycythemia vera (PV) and essential thrombocythemia (ET), but it remains unclear how it generates disparate disorders. By comparing clonally-derived mutant and wild-type cells from individual patients, we demonstrate that the transcriptional consequences of JAK2V617F are subtle, and that JAK2V617F-heterozygous erythroid cells from ET and PV patients exhibit differential interferon signaling and STAT1 phosphorylation. Increased STAT1 activity in normal CD34-positive progenitors produces an ET-like phenotype, whereas downregulation of STAT1 activity in JAK2V617F-heterozygous ET progenitors produces a PV-like phenotype. Our results illustrate the power of clonal analysis, indicate that the consequences of JAK2V617F reflect a balance between STAT5 and STAT1 activation and are relevant for other neoplasms associated with signaling pathway mutations.","container-title":"Cancer Cell","DOI":"10.1016/j.ccr.2010.10.013","ISSN":"1878-3686","issue":"5","journalAbbreviation":"Cancer Cell","language":"eng","note":"PMID: 21074499\nPMCID: PMC2996868","page":"524-535","source":"PubMed","title":"Distinct clinical phenotypes associated with JAK2V617F reflect differential STAT1 signaling","volume":"18","author":[{"family":"Chen","given":"Edwin"},{"family":"Beer","given":"Philip A."},{"family":"Godfrey","given":"Anna L."},{"family":"Ortmann","given":"Christina A."},{"family":"Li","given":"Juan"},{"family":"Costa-Pereira","given":"Ana P."},{"family":"Ingle","given":"Catherine E."},{"family":"Dermitzakis","given":"Emmanouil T."},{"family":"Campbell","given":"Peter J."},{"family":"Green","given":"Anthony R."}],"issued":{"date-parts":[["2010",11,16]]}}},{"id":91,"uris":["http://zotero.org/users/2484452/items/WN5492V5"],"uri":["http://zotero.org/users/2484452/items/WN5492V5"],"itemData":{"id":91,"type":"article-journal","abstract":"Proinflammatory cytokines such as TNFα are elevated in patients with myeloproliferative neoplasms (MPN), but their contribution to disease pathogenesis is unknown. Here we reveal a central role for TNFα in promoting clonal dominance of JAK2(V617F) expressing cells in MPN. We show that JAK2(V617F) kinase regulates TNFα expression in cell lines and primary MPN cells and TNFα expression is correlated with JAK2(V617F) allele burden. In clonogenic assays, normal controls show reduced colony formation in the presence of TNFα while colony formation by JAK2(V617F)-positive progenitor cells is resistant or stimulated by exposure to TNFα. Ectopic JAK2(V617F) expression confers TNFα resistance to normal murine progenitor cells and overcomes inherent TNFα hypersensitivity of Fanconi anemia complementation group C deficient progenitors. Lastly, absence of TNFα limits clonal expansion and attenuates disease in a murine model of JAK2(V617F)-positive MPN. Altogether our data are consistent with a model where JAK2(V617F) promotes clonal selection by conferring TNFα resistance to a preneoplastic TNFα sensitive cell, while simultane</w:instrText>
      </w:r>
      <w:r w:rsidR="00A825A0" w:rsidRPr="006F5ABC">
        <w:rPr>
          <w:rFonts w:ascii="Arial" w:hAnsi="Arial" w:cs="Arial"/>
          <w:sz w:val="22"/>
          <w:szCs w:val="22"/>
        </w:rPr>
        <w:instrText>ously generating a TNF</w:instrText>
      </w:r>
      <w:r w:rsidR="00A825A0" w:rsidRPr="006F5ABC">
        <w:rPr>
          <w:rFonts w:ascii="Arial" w:hAnsi="Arial" w:cs="Arial"/>
          <w:sz w:val="22"/>
          <w:szCs w:val="22"/>
          <w:lang w:val="en-US"/>
        </w:rPr>
        <w:instrText>α</w:instrText>
      </w:r>
      <w:r w:rsidR="00A825A0" w:rsidRPr="006F5ABC">
        <w:rPr>
          <w:rFonts w:ascii="Arial" w:hAnsi="Arial" w:cs="Arial"/>
          <w:sz w:val="22"/>
          <w:szCs w:val="22"/>
        </w:rPr>
        <w:instrText>-rich environment. Mutations that confer resistance to environmental stem cell stressors are a recognized mechanism of clonal selection and leukemogenesis in bone marrow failure syndromes and our data suggest that this mechanism is also critical to clonal selection in MPN.","container-title":"Blood","DOI":"10.1182/blood-2011-04-348144","ISSN":"1528-0020","issue":"24","journalAbbreviation":"Blood","language":"eng","note":"PMID: 21860020\nPMCID: PMC3236121","page":"6392-6398","source":"PubMed","title":"TNF</w:instrText>
      </w:r>
      <w:r w:rsidR="00A825A0" w:rsidRPr="006F5ABC">
        <w:rPr>
          <w:rFonts w:ascii="Arial" w:hAnsi="Arial" w:cs="Arial"/>
          <w:sz w:val="22"/>
          <w:szCs w:val="22"/>
          <w:lang w:val="en-US"/>
        </w:rPr>
        <w:instrText>α</w:instrText>
      </w:r>
      <w:r w:rsidR="00A825A0" w:rsidRPr="006F5ABC">
        <w:rPr>
          <w:rFonts w:ascii="Arial" w:hAnsi="Arial" w:cs="Arial"/>
          <w:sz w:val="22"/>
          <w:szCs w:val="22"/>
        </w:rPr>
        <w:instrText xml:space="preserve"> facilitates clonal expansion of JAK2V617F positive cells in myeloproliferative neoplasms","volume":"118","author":[{"family":"Fleischman","given":"Angela G."},{"family":"Aichberger","given":"Karl J."},{"family":"Luty","given":"Samuel B."},{"family":"Bumm","given":"Thomas G."},{"family":"Petersen","given":"Curtis L."},{"family":"Doratotaj","given":"Shirin"},{"family":"Vasudevan","given":"Kavin B."},{"family":"LaTocha","given":"Dorian H."},{"family":"Yang","given":"Fei"},{"family":"Press","given":"Richard D."},{"family":"Loriaux","given":"Marc M."},{"family":"Pahl","given":"Heike L."},{"family":"Silver","given":"Richard T."},{"family":"Agarwal","given":"Anupriya"},{"family":"O'Hare","given":"Thomas"},{"family":"Druker","given":"Brian J."},{"family":"Bagby","given":"Grover C."},{"family":"Deininger","given":"Michael W."}],"issued":{"date-parts":[["2011",12,8]]}}}],"schema":"https://github.com/citation-style-language/schema/raw/master/csl-citation.json"} </w:instrText>
      </w:r>
      <w:r w:rsidR="00A825A0" w:rsidRPr="006F5ABC">
        <w:rPr>
          <w:rFonts w:ascii="Arial" w:hAnsi="Arial" w:cs="Arial"/>
          <w:sz w:val="22"/>
          <w:szCs w:val="22"/>
          <w:lang w:val="en-US"/>
        </w:rPr>
        <w:fldChar w:fldCharType="separate"/>
      </w:r>
      <w:r w:rsidR="00A825A0" w:rsidRPr="006F5ABC">
        <w:rPr>
          <w:rFonts w:ascii="Arial" w:hAnsi="Arial" w:cs="Arial"/>
          <w:noProof/>
          <w:sz w:val="22"/>
          <w:szCs w:val="22"/>
        </w:rPr>
        <w:t>(Chagraoui et al., 2002; Chen et al., 2010; Fleischman et al., 2011)</w:t>
      </w:r>
      <w:r w:rsidR="00A825A0" w:rsidRPr="006F5ABC">
        <w:rPr>
          <w:rFonts w:ascii="Arial" w:hAnsi="Arial" w:cs="Arial"/>
          <w:sz w:val="22"/>
          <w:szCs w:val="22"/>
          <w:lang w:val="en-US"/>
        </w:rPr>
        <w:fldChar w:fldCharType="end"/>
      </w:r>
      <w:r w:rsidR="006F263B" w:rsidRPr="00C06426">
        <w:rPr>
          <w:rFonts w:ascii="Arial" w:hAnsi="Arial" w:cs="Arial"/>
          <w:sz w:val="22"/>
          <w:szCs w:val="22"/>
        </w:rPr>
        <w:t xml:space="preserve"> </w:t>
      </w:r>
      <w:r w:rsidRPr="006F5ABC">
        <w:rPr>
          <w:rFonts w:ascii="Arial" w:hAnsi="Arial" w:cs="Arial"/>
          <w:sz w:val="22"/>
          <w:szCs w:val="22"/>
        </w:rPr>
        <w:t>(</w:t>
      </w:r>
      <w:proofErr w:type="spellStart"/>
      <w:r w:rsidRPr="006F5ABC">
        <w:rPr>
          <w:rFonts w:ascii="Arial" w:hAnsi="Arial" w:cs="Arial"/>
          <w:sz w:val="22"/>
          <w:szCs w:val="22"/>
        </w:rPr>
        <w:t>Figure</w:t>
      </w:r>
      <w:proofErr w:type="spellEnd"/>
      <w:r w:rsidRPr="006F5ABC">
        <w:rPr>
          <w:rFonts w:ascii="Arial" w:hAnsi="Arial" w:cs="Arial"/>
          <w:sz w:val="22"/>
          <w:szCs w:val="22"/>
        </w:rPr>
        <w:t xml:space="preserve"> 5).</w:t>
      </w:r>
    </w:p>
    <w:p w14:paraId="3579A23E" w14:textId="77777777" w:rsidR="00B0300D" w:rsidRPr="003A5293" w:rsidRDefault="00B0300D" w:rsidP="00B0300D">
      <w:pPr>
        <w:jc w:val="center"/>
        <w:rPr>
          <w:rFonts w:ascii="Arial" w:hAnsi="Arial" w:cs="Arial"/>
          <w:sz w:val="22"/>
          <w:szCs w:val="22"/>
        </w:rPr>
      </w:pPr>
      <w:r w:rsidRPr="003A5293">
        <w:rPr>
          <w:rFonts w:ascii="Arial" w:hAnsi="Arial" w:cs="Arial"/>
          <w:sz w:val="22"/>
          <w:szCs w:val="22"/>
        </w:rPr>
        <w:fldChar w:fldCharType="begin"/>
      </w:r>
      <w:r w:rsidRPr="003A5293">
        <w:rPr>
          <w:rFonts w:ascii="Arial" w:hAnsi="Arial" w:cs="Arial"/>
          <w:sz w:val="22"/>
          <w:szCs w:val="22"/>
        </w:rPr>
        <w:instrText xml:space="preserve"> INCLUDEPICTURE "https://media.springernature.com/full/springer-static/image/art%3A10.1038%2Fs41388-019-0813-7/MediaObjects/41388_2019_813_Fig1_HTML.png" \* MERGEFORMATINET </w:instrText>
      </w:r>
      <w:r w:rsidRPr="003A5293">
        <w:rPr>
          <w:rFonts w:ascii="Arial" w:hAnsi="Arial" w:cs="Arial"/>
          <w:sz w:val="22"/>
          <w:szCs w:val="22"/>
        </w:rPr>
        <w:fldChar w:fldCharType="separate"/>
      </w:r>
      <w:r w:rsidRPr="003A5293">
        <w:rPr>
          <w:rFonts w:ascii="Arial" w:hAnsi="Arial" w:cs="Arial"/>
          <w:noProof/>
          <w:sz w:val="22"/>
          <w:szCs w:val="22"/>
          <w:lang w:val="cs-CZ" w:eastAsia="cs-CZ"/>
        </w:rPr>
        <w:drawing>
          <wp:inline distT="0" distB="0" distL="0" distR="0" wp14:anchorId="5AB92415" wp14:editId="0BAA1D5D">
            <wp:extent cx="5301242" cy="2723795"/>
            <wp:effectExtent l="0" t="0" r="0" b="0"/>
            <wp:docPr id="4" name="Grafik 4"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
                    <pic:cNvPicPr>
                      <a:picLocks noChangeAspect="1" noChangeArrowheads="1"/>
                    </pic:cNvPicPr>
                  </pic:nvPicPr>
                  <pic:blipFill rotWithShape="1">
                    <a:blip r:embed="rId16">
                      <a:extLst>
                        <a:ext uri="{28A0092B-C50C-407E-A947-70E740481C1C}">
                          <a14:useLocalDpi xmlns:a14="http://schemas.microsoft.com/office/drawing/2010/main" val="0"/>
                        </a:ext>
                      </a:extLst>
                    </a:blip>
                    <a:srcRect l="-178" t="1555" r="67297" b="85751"/>
                    <a:stretch/>
                  </pic:blipFill>
                  <pic:spPr bwMode="auto">
                    <a:xfrm>
                      <a:off x="0" y="0"/>
                      <a:ext cx="5318513" cy="2732669"/>
                    </a:xfrm>
                    <a:prstGeom prst="rect">
                      <a:avLst/>
                    </a:prstGeom>
                    <a:noFill/>
                    <a:ln>
                      <a:noFill/>
                    </a:ln>
                    <a:extLst>
                      <a:ext uri="{53640926-AAD7-44D8-BBD7-CCE9431645EC}">
                        <a14:shadowObscured xmlns:a14="http://schemas.microsoft.com/office/drawing/2010/main"/>
                      </a:ext>
                    </a:extLst>
                  </pic:spPr>
                </pic:pic>
              </a:graphicData>
            </a:graphic>
          </wp:inline>
        </w:drawing>
      </w:r>
      <w:r w:rsidRPr="003A5293">
        <w:rPr>
          <w:rFonts w:ascii="Arial" w:hAnsi="Arial" w:cs="Arial"/>
          <w:sz w:val="22"/>
          <w:szCs w:val="22"/>
        </w:rPr>
        <w:fldChar w:fldCharType="end"/>
      </w:r>
    </w:p>
    <w:p w14:paraId="1651FDCE" w14:textId="77777777" w:rsidR="001548A9" w:rsidRPr="003A5293" w:rsidRDefault="001548A9" w:rsidP="001C44DE">
      <w:pPr>
        <w:spacing w:line="360" w:lineRule="auto"/>
        <w:jc w:val="both"/>
        <w:rPr>
          <w:rFonts w:ascii="Arial" w:hAnsi="Arial" w:cs="Arial"/>
          <w:sz w:val="22"/>
          <w:szCs w:val="22"/>
          <w:lang w:val="en-US"/>
        </w:rPr>
      </w:pPr>
    </w:p>
    <w:p w14:paraId="62827863" w14:textId="77777777" w:rsidR="00B0300D" w:rsidRPr="003A5293" w:rsidRDefault="00B0300D" w:rsidP="001C44DE">
      <w:pPr>
        <w:spacing w:line="360" w:lineRule="auto"/>
        <w:jc w:val="both"/>
        <w:rPr>
          <w:rFonts w:ascii="Arial" w:hAnsi="Arial" w:cs="Arial"/>
          <w:sz w:val="22"/>
          <w:szCs w:val="22"/>
          <w:lang w:val="en-US"/>
        </w:rPr>
      </w:pPr>
      <w:r w:rsidRPr="003A5293">
        <w:rPr>
          <w:rFonts w:ascii="Arial" w:hAnsi="Arial" w:cs="Arial"/>
          <w:b/>
          <w:bCs/>
          <w:sz w:val="22"/>
          <w:szCs w:val="22"/>
          <w:lang w:val="en-US"/>
        </w:rPr>
        <w:t>Figure 5:</w:t>
      </w:r>
      <w:r w:rsidR="00BE4DBD" w:rsidRPr="003A5293">
        <w:rPr>
          <w:rFonts w:ascii="Arial" w:hAnsi="Arial" w:cs="Arial"/>
          <w:sz w:val="22"/>
          <w:szCs w:val="22"/>
          <w:lang w:val="en-US"/>
        </w:rPr>
        <w:t xml:space="preserve"> </w:t>
      </w:r>
      <w:r w:rsidR="00BE4DBD" w:rsidRPr="003A5293">
        <w:rPr>
          <w:rFonts w:ascii="Arial" w:hAnsi="Arial" w:cs="Arial"/>
          <w:i/>
          <w:iCs/>
          <w:sz w:val="22"/>
          <w:szCs w:val="22"/>
          <w:lang w:val="en-US"/>
        </w:rPr>
        <w:t>Left graph</w:t>
      </w:r>
      <w:r w:rsidR="00BE4DBD" w:rsidRPr="003A5293">
        <w:rPr>
          <w:rFonts w:ascii="Arial" w:hAnsi="Arial" w:cs="Arial"/>
          <w:sz w:val="22"/>
          <w:szCs w:val="22"/>
          <w:lang w:val="en-US"/>
        </w:rPr>
        <w:t xml:space="preserve">: mean ± SD of intrinsic </w:t>
      </w:r>
      <w:r w:rsidR="00BE4DBD" w:rsidRPr="003A5293">
        <w:rPr>
          <w:rFonts w:ascii="Arial" w:hAnsi="Arial" w:cs="Arial"/>
          <w:i/>
          <w:iCs/>
          <w:sz w:val="22"/>
          <w:szCs w:val="22"/>
          <w:lang w:val="en-US"/>
        </w:rPr>
        <w:t>IFNG</w:t>
      </w:r>
      <w:r w:rsidR="00BE4DBD" w:rsidRPr="003A5293">
        <w:rPr>
          <w:rFonts w:ascii="Arial" w:hAnsi="Arial" w:cs="Arial"/>
          <w:sz w:val="22"/>
          <w:szCs w:val="22"/>
          <w:lang w:val="en-US"/>
        </w:rPr>
        <w:t xml:space="preserve"> mRNA expression (n=3) along the course of differentiation in undifferentiated </w:t>
      </w:r>
      <w:r w:rsidR="00BE4DBD" w:rsidRPr="00CD395D">
        <w:rPr>
          <w:rFonts w:ascii="Arial" w:hAnsi="Arial" w:cs="Arial"/>
          <w:i/>
          <w:iCs/>
          <w:sz w:val="22"/>
          <w:szCs w:val="22"/>
          <w:lang w:val="en-US"/>
        </w:rPr>
        <w:t>JAK2</w:t>
      </w:r>
      <w:r w:rsidR="00BE4DBD" w:rsidRPr="003A5293">
        <w:rPr>
          <w:rFonts w:ascii="Arial" w:hAnsi="Arial" w:cs="Arial"/>
          <w:sz w:val="22"/>
          <w:szCs w:val="22"/>
          <w:lang w:val="en-US"/>
        </w:rPr>
        <w:t xml:space="preserve"> </w:t>
      </w:r>
      <w:proofErr w:type="spellStart"/>
      <w:r w:rsidR="00BE4DBD" w:rsidRPr="003A5293">
        <w:rPr>
          <w:rFonts w:ascii="Arial" w:hAnsi="Arial" w:cs="Arial"/>
          <w:sz w:val="22"/>
          <w:szCs w:val="22"/>
          <w:lang w:val="en-US"/>
        </w:rPr>
        <w:t>wt</w:t>
      </w:r>
      <w:proofErr w:type="spellEnd"/>
      <w:r w:rsidR="00BE4DBD" w:rsidRPr="003A5293">
        <w:rPr>
          <w:rFonts w:ascii="Arial" w:hAnsi="Arial" w:cs="Arial"/>
          <w:sz w:val="22"/>
          <w:szCs w:val="22"/>
          <w:lang w:val="en-US"/>
        </w:rPr>
        <w:t xml:space="preserve"> and V617F</w:t>
      </w:r>
      <w:r w:rsidR="00BE4DBD" w:rsidRPr="003A5293">
        <w:rPr>
          <w:rFonts w:ascii="Arial" w:hAnsi="Arial" w:cs="Arial"/>
          <w:sz w:val="22"/>
          <w:szCs w:val="22"/>
          <w:vertAlign w:val="superscript"/>
          <w:lang w:val="en-US"/>
        </w:rPr>
        <w:t>+</w:t>
      </w:r>
      <w:r w:rsidR="00BE4DBD" w:rsidRPr="003A5293">
        <w:rPr>
          <w:rFonts w:ascii="Arial" w:hAnsi="Arial" w:cs="Arial"/>
          <w:sz w:val="22"/>
          <w:szCs w:val="22"/>
          <w:lang w:val="en-US"/>
        </w:rPr>
        <w:t xml:space="preserve"> iPSC lines (day 0; d0) and day 9 (d9) </w:t>
      </w:r>
      <w:r w:rsidR="00BE4DBD" w:rsidRPr="00CD395D">
        <w:rPr>
          <w:rFonts w:ascii="Arial" w:hAnsi="Arial" w:cs="Arial"/>
          <w:i/>
          <w:iCs/>
          <w:sz w:val="22"/>
          <w:szCs w:val="22"/>
          <w:lang w:val="en-US"/>
        </w:rPr>
        <w:t>JAK2</w:t>
      </w:r>
      <w:r w:rsidR="00BE4DBD" w:rsidRPr="003A5293">
        <w:rPr>
          <w:rFonts w:ascii="Arial" w:hAnsi="Arial" w:cs="Arial"/>
          <w:sz w:val="22"/>
          <w:szCs w:val="22"/>
          <w:lang w:val="en-US"/>
        </w:rPr>
        <w:t xml:space="preserve"> V617F</w:t>
      </w:r>
      <w:r w:rsidR="00BE4DBD" w:rsidRPr="003A5293">
        <w:rPr>
          <w:rFonts w:ascii="Arial" w:hAnsi="Arial" w:cs="Arial"/>
          <w:sz w:val="22"/>
          <w:szCs w:val="22"/>
          <w:vertAlign w:val="superscript"/>
          <w:lang w:val="en-US"/>
        </w:rPr>
        <w:t>+</w:t>
      </w:r>
      <w:r w:rsidR="00BE4DBD" w:rsidRPr="003A5293">
        <w:rPr>
          <w:rFonts w:ascii="Arial" w:hAnsi="Arial" w:cs="Arial"/>
          <w:sz w:val="22"/>
          <w:szCs w:val="22"/>
          <w:lang w:val="en-US"/>
        </w:rPr>
        <w:t xml:space="preserve"> CD34</w:t>
      </w:r>
      <w:r w:rsidR="00BE4DBD" w:rsidRPr="003A5293">
        <w:rPr>
          <w:rFonts w:ascii="Arial" w:hAnsi="Arial" w:cs="Arial"/>
          <w:sz w:val="22"/>
          <w:szCs w:val="22"/>
          <w:vertAlign w:val="superscript"/>
          <w:lang w:val="en-US"/>
        </w:rPr>
        <w:t>+</w:t>
      </w:r>
      <w:r w:rsidR="00BE4DBD" w:rsidRPr="003A5293">
        <w:rPr>
          <w:rFonts w:ascii="Arial" w:hAnsi="Arial" w:cs="Arial"/>
          <w:sz w:val="22"/>
          <w:szCs w:val="22"/>
          <w:lang w:val="en-US"/>
        </w:rPr>
        <w:t xml:space="preserve"> P-ECs. </w:t>
      </w:r>
      <w:r w:rsidR="00BE4DBD" w:rsidRPr="003A5293">
        <w:rPr>
          <w:rFonts w:ascii="Arial" w:hAnsi="Arial" w:cs="Arial"/>
          <w:i/>
          <w:iCs/>
          <w:sz w:val="22"/>
          <w:szCs w:val="22"/>
          <w:lang w:val="en-US"/>
        </w:rPr>
        <w:t>Right graph</w:t>
      </w:r>
      <w:r w:rsidR="00BE4DBD" w:rsidRPr="003A5293">
        <w:rPr>
          <w:rFonts w:ascii="Arial" w:hAnsi="Arial" w:cs="Arial"/>
          <w:sz w:val="22"/>
          <w:szCs w:val="22"/>
          <w:lang w:val="en-US"/>
        </w:rPr>
        <w:t xml:space="preserve">: mean ± SD of </w:t>
      </w:r>
      <w:r w:rsidR="00BE4DBD" w:rsidRPr="003A5293">
        <w:rPr>
          <w:rFonts w:ascii="Arial" w:hAnsi="Arial" w:cs="Arial"/>
          <w:i/>
          <w:iCs/>
          <w:sz w:val="22"/>
          <w:szCs w:val="22"/>
          <w:lang w:val="en-US"/>
        </w:rPr>
        <w:t>IFNG</w:t>
      </w:r>
      <w:r w:rsidR="00BE4DBD" w:rsidRPr="003A5293">
        <w:rPr>
          <w:rFonts w:ascii="Arial" w:hAnsi="Arial" w:cs="Arial"/>
          <w:sz w:val="22"/>
          <w:szCs w:val="22"/>
          <w:lang w:val="en-US"/>
        </w:rPr>
        <w:t xml:space="preserve"> mRNA expression (n=3) in either untreated (d9) or treated CD34</w:t>
      </w:r>
      <w:r w:rsidR="00BE4DBD" w:rsidRPr="003A5293">
        <w:rPr>
          <w:rFonts w:ascii="Arial" w:hAnsi="Arial" w:cs="Arial"/>
          <w:sz w:val="22"/>
          <w:szCs w:val="22"/>
          <w:vertAlign w:val="superscript"/>
          <w:lang w:val="en-US"/>
        </w:rPr>
        <w:t>+</w:t>
      </w:r>
      <w:r w:rsidR="00BE4DBD" w:rsidRPr="003A5293">
        <w:rPr>
          <w:rFonts w:ascii="Arial" w:hAnsi="Arial" w:cs="Arial"/>
          <w:sz w:val="22"/>
          <w:szCs w:val="22"/>
          <w:lang w:val="en-US"/>
        </w:rPr>
        <w:t xml:space="preserve"> P-ECs with inflammatory cytokines (d9 </w:t>
      </w:r>
      <w:proofErr w:type="spellStart"/>
      <w:r w:rsidR="00BE4DBD" w:rsidRPr="003A5293">
        <w:rPr>
          <w:rFonts w:ascii="Arial" w:hAnsi="Arial" w:cs="Arial"/>
          <w:sz w:val="22"/>
          <w:szCs w:val="22"/>
          <w:lang w:val="en-US"/>
        </w:rPr>
        <w:t>cyt</w:t>
      </w:r>
      <w:proofErr w:type="spellEnd"/>
      <w:r w:rsidR="00BE4DBD" w:rsidRPr="003A5293">
        <w:rPr>
          <w:rFonts w:ascii="Arial" w:hAnsi="Arial" w:cs="Arial"/>
          <w:sz w:val="22"/>
          <w:szCs w:val="22"/>
          <w:lang w:val="en-US"/>
        </w:rPr>
        <w:t>). *P ≤ 0.05, **P ≤ 0.01, ***P ≤ 0.001, one-way and two-way ANOVA, respectively.</w:t>
      </w:r>
    </w:p>
    <w:p w14:paraId="425162C7" w14:textId="77777777" w:rsidR="00B0300D" w:rsidRPr="003A5293" w:rsidRDefault="00B0300D" w:rsidP="001C44DE">
      <w:pPr>
        <w:spacing w:line="360" w:lineRule="auto"/>
        <w:jc w:val="both"/>
        <w:rPr>
          <w:rFonts w:ascii="Arial" w:hAnsi="Arial" w:cs="Arial"/>
          <w:sz w:val="22"/>
          <w:szCs w:val="22"/>
          <w:lang w:val="en-US"/>
        </w:rPr>
      </w:pPr>
    </w:p>
    <w:p w14:paraId="47474CF3" w14:textId="2FAA2041" w:rsidR="00BA217D" w:rsidRPr="003A5293" w:rsidRDefault="001C44DE" w:rsidP="001C44DE">
      <w:pPr>
        <w:spacing w:line="360" w:lineRule="auto"/>
        <w:jc w:val="both"/>
        <w:rPr>
          <w:rFonts w:ascii="Arial" w:hAnsi="Arial" w:cs="Arial"/>
          <w:sz w:val="22"/>
          <w:szCs w:val="22"/>
          <w:lang w:val="en-US"/>
        </w:rPr>
      </w:pPr>
      <w:r w:rsidRPr="003A5293">
        <w:rPr>
          <w:rFonts w:ascii="Arial" w:hAnsi="Arial" w:cs="Arial"/>
          <w:sz w:val="22"/>
          <w:szCs w:val="22"/>
          <w:lang w:val="en-US"/>
        </w:rPr>
        <w:t>T</w:t>
      </w:r>
      <w:r w:rsidR="00B0300D" w:rsidRPr="003A5293">
        <w:rPr>
          <w:rFonts w:ascii="Arial" w:hAnsi="Arial" w:cs="Arial"/>
          <w:sz w:val="22"/>
          <w:szCs w:val="22"/>
          <w:lang w:val="en-US"/>
        </w:rPr>
        <w:t xml:space="preserve">o prove that </w:t>
      </w:r>
      <w:r w:rsidRPr="003A5293">
        <w:rPr>
          <w:rFonts w:ascii="Arial" w:hAnsi="Arial" w:cs="Arial"/>
          <w:sz w:val="22"/>
          <w:szCs w:val="22"/>
          <w:lang w:val="en-US"/>
        </w:rPr>
        <w:t>IFN</w:t>
      </w:r>
      <w:r w:rsidRPr="003A5293">
        <w:rPr>
          <w:rFonts w:ascii="Arial" w:hAnsi="Arial" w:cs="Arial"/>
          <w:sz w:val="22"/>
          <w:szCs w:val="22"/>
          <w:lang w:val="en-US"/>
        </w:rPr>
        <w:sym w:font="Symbol" w:char="F067"/>
      </w:r>
      <w:r w:rsidRPr="003A5293">
        <w:rPr>
          <w:rFonts w:ascii="Arial" w:hAnsi="Arial" w:cs="Arial"/>
          <w:sz w:val="22"/>
          <w:szCs w:val="22"/>
          <w:lang w:val="en-US"/>
        </w:rPr>
        <w:t xml:space="preserve"> was upregulated also at </w:t>
      </w:r>
      <w:r w:rsidR="006F263B">
        <w:rPr>
          <w:rFonts w:ascii="Arial" w:hAnsi="Arial" w:cs="Arial"/>
          <w:sz w:val="22"/>
          <w:szCs w:val="22"/>
          <w:lang w:val="en-US"/>
        </w:rPr>
        <w:t>the</w:t>
      </w:r>
      <w:r w:rsidR="006F263B" w:rsidRPr="003A5293">
        <w:rPr>
          <w:rFonts w:ascii="Arial" w:hAnsi="Arial" w:cs="Arial"/>
          <w:sz w:val="22"/>
          <w:szCs w:val="22"/>
          <w:lang w:val="en-US"/>
        </w:rPr>
        <w:t xml:space="preserve"> </w:t>
      </w:r>
      <w:r w:rsidRPr="003A5293">
        <w:rPr>
          <w:rFonts w:ascii="Arial" w:hAnsi="Arial" w:cs="Arial"/>
          <w:sz w:val="22"/>
          <w:szCs w:val="22"/>
          <w:lang w:val="en-US"/>
        </w:rPr>
        <w:t>protein level and expressed mainly by major CD34</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HSC fraction of CD34</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P</w:t>
      </w:r>
      <w:r w:rsidR="002B6894">
        <w:rPr>
          <w:rFonts w:ascii="Arial" w:hAnsi="Arial" w:cs="Arial"/>
          <w:sz w:val="22"/>
          <w:szCs w:val="22"/>
          <w:lang w:val="en-US"/>
        </w:rPr>
        <w:t>-</w:t>
      </w:r>
      <w:r w:rsidRPr="003A5293">
        <w:rPr>
          <w:rFonts w:ascii="Arial" w:hAnsi="Arial" w:cs="Arial"/>
          <w:sz w:val="22"/>
          <w:szCs w:val="22"/>
          <w:lang w:val="en-US"/>
        </w:rPr>
        <w:t>ECs and not by CD34</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contaminating cell types from other than hematopoietic lineages</w:t>
      </w:r>
      <w:r w:rsidR="00415242">
        <w:rPr>
          <w:rFonts w:ascii="Arial" w:hAnsi="Arial" w:cs="Arial"/>
          <w:sz w:val="22"/>
          <w:szCs w:val="22"/>
          <w:lang w:val="en-US"/>
        </w:rPr>
        <w:t>,</w:t>
      </w:r>
      <w:r w:rsidRPr="003A5293">
        <w:rPr>
          <w:rFonts w:ascii="Arial" w:hAnsi="Arial" w:cs="Arial"/>
          <w:sz w:val="22"/>
          <w:szCs w:val="22"/>
          <w:lang w:val="en-US"/>
        </w:rPr>
        <w:t xml:space="preserve"> we stained sections of </w:t>
      </w:r>
      <w:r w:rsidR="00BA217D" w:rsidRPr="003A5293">
        <w:rPr>
          <w:rFonts w:ascii="Arial" w:hAnsi="Arial" w:cs="Arial"/>
          <w:sz w:val="22"/>
          <w:szCs w:val="22"/>
          <w:lang w:val="en-US"/>
        </w:rPr>
        <w:t>paraffin</w:t>
      </w:r>
      <w:r w:rsidRPr="003A5293">
        <w:rPr>
          <w:rFonts w:ascii="Arial" w:hAnsi="Arial" w:cs="Arial"/>
          <w:sz w:val="22"/>
          <w:szCs w:val="22"/>
          <w:lang w:val="en-US"/>
        </w:rPr>
        <w:t xml:space="preserve">-embedded EBs </w:t>
      </w:r>
      <w:r w:rsidR="00BA217D" w:rsidRPr="003A5293">
        <w:rPr>
          <w:rFonts w:ascii="Arial" w:hAnsi="Arial" w:cs="Arial"/>
          <w:sz w:val="22"/>
          <w:szCs w:val="22"/>
          <w:lang w:val="en-US"/>
        </w:rPr>
        <w:t xml:space="preserve">by immunofluorescence </w:t>
      </w:r>
      <w:r w:rsidRPr="003A5293">
        <w:rPr>
          <w:rFonts w:ascii="Arial" w:hAnsi="Arial" w:cs="Arial"/>
          <w:sz w:val="22"/>
          <w:szCs w:val="22"/>
          <w:lang w:val="en-US"/>
        </w:rPr>
        <w:t>for CD34 and IFN</w:t>
      </w:r>
      <w:r w:rsidRPr="003A5293">
        <w:rPr>
          <w:rFonts w:ascii="Arial" w:hAnsi="Arial" w:cs="Arial"/>
          <w:sz w:val="22"/>
          <w:szCs w:val="22"/>
          <w:lang w:val="en-US"/>
        </w:rPr>
        <w:sym w:font="Symbol" w:char="F067"/>
      </w:r>
      <w:r w:rsidRPr="003A5293">
        <w:rPr>
          <w:rFonts w:ascii="Arial" w:hAnsi="Arial" w:cs="Arial"/>
          <w:sz w:val="22"/>
          <w:szCs w:val="22"/>
          <w:lang w:val="en-US"/>
        </w:rPr>
        <w:t xml:space="preserve">. </w:t>
      </w:r>
      <w:r w:rsidR="00BA217D" w:rsidRPr="003A5293">
        <w:rPr>
          <w:rFonts w:ascii="Arial" w:hAnsi="Arial" w:cs="Arial"/>
          <w:sz w:val="22"/>
          <w:szCs w:val="22"/>
          <w:lang w:val="en-US"/>
        </w:rPr>
        <w:t>We have observed significant expression of IFN</w:t>
      </w:r>
      <w:r w:rsidR="00BA217D" w:rsidRPr="003A5293">
        <w:rPr>
          <w:rFonts w:ascii="Arial" w:hAnsi="Arial" w:cs="Arial"/>
          <w:sz w:val="22"/>
          <w:szCs w:val="22"/>
          <w:lang w:val="en-US"/>
        </w:rPr>
        <w:sym w:font="Symbol" w:char="F067"/>
      </w:r>
      <w:r w:rsidR="00BA217D" w:rsidRPr="003A5293">
        <w:rPr>
          <w:rFonts w:ascii="Arial" w:hAnsi="Arial" w:cs="Arial"/>
          <w:sz w:val="22"/>
          <w:szCs w:val="22"/>
          <w:lang w:val="en-US"/>
        </w:rPr>
        <w:t xml:space="preserve"> mainly in V617F</w:t>
      </w:r>
      <w:r w:rsidR="00BA217D" w:rsidRPr="003A5293">
        <w:rPr>
          <w:rFonts w:ascii="Arial" w:hAnsi="Arial" w:cs="Arial"/>
          <w:sz w:val="22"/>
          <w:szCs w:val="22"/>
          <w:vertAlign w:val="superscript"/>
          <w:lang w:val="en-US"/>
        </w:rPr>
        <w:t>+</w:t>
      </w:r>
      <w:r w:rsidR="00BA217D" w:rsidRPr="003A5293">
        <w:rPr>
          <w:rFonts w:ascii="Arial" w:hAnsi="Arial" w:cs="Arial"/>
          <w:sz w:val="22"/>
          <w:szCs w:val="22"/>
          <w:lang w:val="en-US"/>
        </w:rPr>
        <w:t xml:space="preserve"> EBs, which colocalized with CD34 antigen (Figure 6).</w:t>
      </w:r>
    </w:p>
    <w:p w14:paraId="155FEC42" w14:textId="77777777" w:rsidR="00BA217D" w:rsidRPr="003A5293" w:rsidRDefault="00BA217D" w:rsidP="003E1661">
      <w:pPr>
        <w:spacing w:line="360" w:lineRule="auto"/>
        <w:jc w:val="center"/>
        <w:rPr>
          <w:rFonts w:ascii="Arial" w:hAnsi="Arial" w:cs="Arial"/>
          <w:sz w:val="22"/>
          <w:szCs w:val="22"/>
          <w:lang w:val="en-US"/>
        </w:rPr>
      </w:pPr>
      <w:r w:rsidRPr="003A5293">
        <w:rPr>
          <w:rFonts w:ascii="Arial" w:hAnsi="Arial" w:cs="Arial"/>
          <w:noProof/>
          <w:sz w:val="22"/>
          <w:szCs w:val="22"/>
          <w:lang w:val="cs-CZ" w:eastAsia="cs-CZ"/>
        </w:rPr>
        <w:lastRenderedPageBreak/>
        <w:drawing>
          <wp:inline distT="0" distB="0" distL="0" distR="0" wp14:anchorId="18352333" wp14:editId="499407A9">
            <wp:extent cx="5486922" cy="4354717"/>
            <wp:effectExtent l="0" t="0" r="0" b="190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schirmfoto 2020-01-11 um 22.49.11.png"/>
                    <pic:cNvPicPr/>
                  </pic:nvPicPr>
                  <pic:blipFill rotWithShape="1">
                    <a:blip r:embed="rId17" cstate="print">
                      <a:extLst>
                        <a:ext uri="{28A0092B-C50C-407E-A947-70E740481C1C}">
                          <a14:useLocalDpi xmlns:a14="http://schemas.microsoft.com/office/drawing/2010/main" val="0"/>
                        </a:ext>
                      </a:extLst>
                    </a:blip>
                    <a:srcRect l="3020"/>
                    <a:stretch/>
                  </pic:blipFill>
                  <pic:spPr bwMode="auto">
                    <a:xfrm>
                      <a:off x="0" y="0"/>
                      <a:ext cx="5510668" cy="4373563"/>
                    </a:xfrm>
                    <a:prstGeom prst="rect">
                      <a:avLst/>
                    </a:prstGeom>
                    <a:ln>
                      <a:noFill/>
                    </a:ln>
                    <a:extLst>
                      <a:ext uri="{53640926-AAD7-44D8-BBD7-CCE9431645EC}">
                        <a14:shadowObscured xmlns:a14="http://schemas.microsoft.com/office/drawing/2010/main"/>
                      </a:ext>
                    </a:extLst>
                  </pic:spPr>
                </pic:pic>
              </a:graphicData>
            </a:graphic>
          </wp:inline>
        </w:drawing>
      </w:r>
    </w:p>
    <w:p w14:paraId="1BF75B9F" w14:textId="77777777" w:rsidR="00B0300D" w:rsidRPr="003A5293" w:rsidRDefault="001548A9" w:rsidP="001C44DE">
      <w:pPr>
        <w:spacing w:line="360" w:lineRule="auto"/>
        <w:jc w:val="both"/>
        <w:rPr>
          <w:rFonts w:ascii="Arial" w:hAnsi="Arial" w:cs="Arial"/>
          <w:sz w:val="22"/>
          <w:szCs w:val="22"/>
          <w:lang w:val="en-US"/>
        </w:rPr>
      </w:pPr>
      <w:r w:rsidRPr="003A5293">
        <w:rPr>
          <w:rFonts w:ascii="Arial" w:hAnsi="Arial" w:cs="Arial"/>
          <w:b/>
          <w:bCs/>
          <w:sz w:val="22"/>
          <w:szCs w:val="22"/>
          <w:lang w:val="en-US"/>
        </w:rPr>
        <w:t>Figure 6:</w:t>
      </w:r>
      <w:r w:rsidRPr="003A5293">
        <w:rPr>
          <w:rFonts w:ascii="Arial" w:hAnsi="Arial" w:cs="Arial"/>
          <w:sz w:val="22"/>
          <w:szCs w:val="22"/>
          <w:lang w:val="en-US"/>
        </w:rPr>
        <w:t xml:space="preserve"> </w:t>
      </w:r>
      <w:r w:rsidRPr="003A5293">
        <w:rPr>
          <w:rFonts w:ascii="Arial" w:eastAsia="+mn-ea" w:hAnsi="Arial" w:cs="Arial"/>
          <w:color w:val="000000"/>
          <w:kern w:val="24"/>
          <w:sz w:val="22"/>
          <w:szCs w:val="22"/>
          <w:lang w:val="en-US" w:eastAsia="cs-CZ"/>
        </w:rPr>
        <w:t xml:space="preserve">Immunocytochemical dual staining against </w:t>
      </w:r>
      <w:proofErr w:type="spellStart"/>
      <w:r w:rsidRPr="003A5293">
        <w:rPr>
          <w:rFonts w:ascii="Arial" w:eastAsia="+mn-ea" w:hAnsi="Arial" w:cs="Arial"/>
          <w:color w:val="000000"/>
          <w:kern w:val="24"/>
          <w:sz w:val="22"/>
          <w:szCs w:val="22"/>
          <w:lang w:val="en-US" w:eastAsia="cs-CZ"/>
        </w:rPr>
        <w:t>IFNγ</w:t>
      </w:r>
      <w:proofErr w:type="spellEnd"/>
      <w:r w:rsidRPr="003A5293">
        <w:rPr>
          <w:rFonts w:ascii="Arial" w:eastAsia="+mn-ea" w:hAnsi="Arial" w:cs="Arial"/>
          <w:color w:val="000000"/>
          <w:kern w:val="24"/>
          <w:sz w:val="22"/>
          <w:szCs w:val="22"/>
          <w:lang w:val="en-US" w:eastAsia="cs-CZ"/>
        </w:rPr>
        <w:t xml:space="preserve"> and CD34 in paraffin-embedded </w:t>
      </w:r>
      <w:r w:rsidRPr="00CD395D">
        <w:rPr>
          <w:rFonts w:ascii="Arial" w:eastAsia="+mn-ea" w:hAnsi="Arial" w:cs="Arial"/>
          <w:i/>
          <w:iCs/>
          <w:color w:val="000000"/>
          <w:kern w:val="24"/>
          <w:sz w:val="22"/>
          <w:szCs w:val="22"/>
          <w:lang w:val="en-US" w:eastAsia="cs-CZ"/>
        </w:rPr>
        <w:t>JAK2</w:t>
      </w:r>
      <w:r w:rsidRPr="003A5293">
        <w:rPr>
          <w:rFonts w:ascii="Arial" w:eastAsia="+mn-ea" w:hAnsi="Arial" w:cs="Arial"/>
          <w:color w:val="000000"/>
          <w:kern w:val="24"/>
          <w:sz w:val="22"/>
          <w:szCs w:val="22"/>
          <w:lang w:val="en-US" w:eastAsia="cs-CZ"/>
        </w:rPr>
        <w:t xml:space="preserve"> </w:t>
      </w:r>
      <w:proofErr w:type="spellStart"/>
      <w:r w:rsidRPr="003A5293">
        <w:rPr>
          <w:rFonts w:ascii="Arial" w:eastAsia="+mn-ea" w:hAnsi="Arial" w:cs="Arial"/>
          <w:color w:val="000000"/>
          <w:kern w:val="24"/>
          <w:sz w:val="22"/>
          <w:szCs w:val="22"/>
          <w:lang w:val="en-US" w:eastAsia="cs-CZ"/>
        </w:rPr>
        <w:t>wt</w:t>
      </w:r>
      <w:proofErr w:type="spellEnd"/>
      <w:r w:rsidRPr="003A5293">
        <w:rPr>
          <w:rFonts w:ascii="Arial" w:eastAsia="+mn-ea" w:hAnsi="Arial" w:cs="Arial"/>
          <w:color w:val="000000"/>
          <w:kern w:val="24"/>
          <w:sz w:val="22"/>
          <w:szCs w:val="22"/>
          <w:lang w:val="en-US" w:eastAsia="cs-CZ"/>
        </w:rPr>
        <w:t xml:space="preserve"> (</w:t>
      </w:r>
      <w:proofErr w:type="spellStart"/>
      <w:r w:rsidRPr="003A5293">
        <w:rPr>
          <w:rFonts w:ascii="Arial" w:eastAsia="+mn-ea" w:hAnsi="Arial" w:cs="Arial"/>
          <w:color w:val="000000"/>
          <w:kern w:val="24"/>
          <w:sz w:val="22"/>
          <w:szCs w:val="22"/>
          <w:lang w:val="en-US" w:eastAsia="cs-CZ"/>
        </w:rPr>
        <w:t>wt</w:t>
      </w:r>
      <w:proofErr w:type="spellEnd"/>
      <w:r w:rsidRPr="003A5293">
        <w:rPr>
          <w:rFonts w:ascii="Arial" w:eastAsia="+mn-ea" w:hAnsi="Arial" w:cs="Arial"/>
          <w:color w:val="000000"/>
          <w:kern w:val="24"/>
          <w:sz w:val="22"/>
          <w:szCs w:val="22"/>
          <w:lang w:val="en-US" w:eastAsia="cs-CZ"/>
        </w:rPr>
        <w:t>) and V617F</w:t>
      </w:r>
      <w:r w:rsidRPr="003A5293">
        <w:rPr>
          <w:rFonts w:ascii="Arial" w:eastAsia="+mn-ea" w:hAnsi="Arial" w:cs="Arial"/>
          <w:color w:val="000000"/>
          <w:kern w:val="24"/>
          <w:sz w:val="22"/>
          <w:szCs w:val="22"/>
          <w:vertAlign w:val="superscript"/>
          <w:lang w:val="en-US" w:eastAsia="cs-CZ"/>
        </w:rPr>
        <w:t>+</w:t>
      </w:r>
      <w:r w:rsidRPr="003A5293">
        <w:rPr>
          <w:rFonts w:ascii="Arial" w:eastAsia="+mn-ea" w:hAnsi="Arial" w:cs="Arial"/>
          <w:color w:val="000000"/>
          <w:kern w:val="24"/>
          <w:sz w:val="22"/>
          <w:szCs w:val="22"/>
          <w:lang w:val="en-US" w:eastAsia="cs-CZ"/>
        </w:rPr>
        <w:t xml:space="preserve"> (V617F) EBs counterstained by DAPI. Negative control (NC) describes sample without primary antibodies incubation used for setup of exposure time to eliminate background fluorescence</w:t>
      </w:r>
    </w:p>
    <w:p w14:paraId="7B82ACB6" w14:textId="77777777" w:rsidR="00B0300D" w:rsidRPr="003A5293" w:rsidRDefault="00B0300D" w:rsidP="001C44DE">
      <w:pPr>
        <w:spacing w:line="360" w:lineRule="auto"/>
        <w:jc w:val="both"/>
        <w:rPr>
          <w:rFonts w:ascii="Arial" w:hAnsi="Arial" w:cs="Arial"/>
          <w:sz w:val="22"/>
          <w:szCs w:val="22"/>
          <w:lang w:val="en-US"/>
        </w:rPr>
      </w:pPr>
    </w:p>
    <w:p w14:paraId="5F28CD08" w14:textId="77777777" w:rsidR="008D272D" w:rsidRPr="003A5293" w:rsidRDefault="008D272D" w:rsidP="001C44DE">
      <w:pPr>
        <w:spacing w:line="360" w:lineRule="auto"/>
        <w:jc w:val="both"/>
        <w:rPr>
          <w:rFonts w:ascii="Arial" w:hAnsi="Arial" w:cs="Arial"/>
          <w:sz w:val="22"/>
          <w:szCs w:val="22"/>
          <w:lang w:val="en-US"/>
        </w:rPr>
      </w:pPr>
      <w:r w:rsidRPr="003A5293">
        <w:rPr>
          <w:rFonts w:ascii="Arial" w:hAnsi="Arial" w:cs="Arial"/>
          <w:sz w:val="22"/>
          <w:szCs w:val="22"/>
          <w:lang w:val="en-US"/>
        </w:rPr>
        <w:t>Moreover, we have observed</w:t>
      </w:r>
      <w:r w:rsidR="00576CF8" w:rsidRPr="003A5293">
        <w:rPr>
          <w:rFonts w:ascii="Arial" w:eastAsia="+mn-ea" w:hAnsi="Arial" w:cs="Arial"/>
          <w:color w:val="000000"/>
          <w:kern w:val="24"/>
          <w:sz w:val="22"/>
          <w:szCs w:val="22"/>
          <w:lang w:val="en-US" w:eastAsia="cs-CZ"/>
        </w:rPr>
        <w:t xml:space="preserve"> </w:t>
      </w:r>
      <w:r w:rsidRPr="003A5293">
        <w:rPr>
          <w:rFonts w:ascii="Arial" w:hAnsi="Arial" w:cs="Arial"/>
          <w:sz w:val="22"/>
          <w:szCs w:val="22"/>
          <w:lang w:val="en-US"/>
        </w:rPr>
        <w:t xml:space="preserve">intrinsic STAT1 phosphorylation at residue tyrosine 701, that mediates </w:t>
      </w:r>
      <w:proofErr w:type="spellStart"/>
      <w:r w:rsidRPr="003A5293">
        <w:rPr>
          <w:rFonts w:ascii="Arial" w:hAnsi="Arial" w:cs="Arial"/>
          <w:sz w:val="22"/>
          <w:szCs w:val="22"/>
          <w:lang w:val="en-US"/>
        </w:rPr>
        <w:t>IFNγ</w:t>
      </w:r>
      <w:proofErr w:type="spellEnd"/>
      <w:r w:rsidRPr="003A5293">
        <w:rPr>
          <w:rFonts w:ascii="Arial" w:hAnsi="Arial" w:cs="Arial"/>
          <w:sz w:val="22"/>
          <w:szCs w:val="22"/>
          <w:lang w:val="en-US"/>
        </w:rPr>
        <w:t xml:space="preserve"> responses, which was further potentiated by inflammatory cytokines treatment, in </w:t>
      </w:r>
      <w:r w:rsidRPr="001B1DAC">
        <w:rPr>
          <w:rFonts w:ascii="Arial" w:hAnsi="Arial" w:cs="Arial"/>
          <w:sz w:val="22"/>
          <w:szCs w:val="22"/>
          <w:lang w:val="en-US"/>
        </w:rPr>
        <w:t>V617F</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cells, compared to </w:t>
      </w:r>
      <w:proofErr w:type="spellStart"/>
      <w:r w:rsidRPr="003A5293">
        <w:rPr>
          <w:rFonts w:ascii="Arial" w:hAnsi="Arial" w:cs="Arial"/>
          <w:sz w:val="22"/>
          <w:szCs w:val="22"/>
          <w:lang w:val="en-US"/>
        </w:rPr>
        <w:t>wt</w:t>
      </w:r>
      <w:proofErr w:type="spellEnd"/>
      <w:r w:rsidRPr="003A5293">
        <w:rPr>
          <w:rFonts w:ascii="Arial" w:hAnsi="Arial" w:cs="Arial"/>
          <w:sz w:val="22"/>
          <w:szCs w:val="22"/>
          <w:lang w:val="en-US"/>
        </w:rPr>
        <w:t xml:space="preserve"> progenitors. (Figure 3</w:t>
      </w:r>
      <w:r w:rsidR="00576CF8" w:rsidRPr="003A5293">
        <w:rPr>
          <w:rFonts w:ascii="Arial" w:hAnsi="Arial" w:cs="Arial"/>
          <w:sz w:val="22"/>
          <w:szCs w:val="22"/>
          <w:lang w:val="en-US"/>
        </w:rPr>
        <w:t>A</w:t>
      </w:r>
      <w:r w:rsidRPr="003A5293">
        <w:rPr>
          <w:rFonts w:ascii="Arial" w:hAnsi="Arial" w:cs="Arial"/>
          <w:sz w:val="22"/>
          <w:szCs w:val="22"/>
          <w:lang w:val="en-US"/>
        </w:rPr>
        <w:t>).</w:t>
      </w:r>
      <w:r w:rsidR="00576CF8" w:rsidRPr="003A5293">
        <w:rPr>
          <w:rFonts w:ascii="Arial" w:hAnsi="Arial" w:cs="Arial"/>
          <w:sz w:val="22"/>
          <w:szCs w:val="22"/>
          <w:lang w:val="en-US"/>
        </w:rPr>
        <w:t xml:space="preserve"> To further investigate if </w:t>
      </w:r>
      <w:proofErr w:type="spellStart"/>
      <w:r w:rsidR="00576CF8" w:rsidRPr="003A5293">
        <w:rPr>
          <w:rFonts w:ascii="Arial" w:hAnsi="Arial" w:cs="Arial"/>
          <w:sz w:val="22"/>
          <w:szCs w:val="22"/>
          <w:lang w:val="en-US"/>
        </w:rPr>
        <w:t>IFNγ</w:t>
      </w:r>
      <w:proofErr w:type="spellEnd"/>
      <w:r w:rsidR="00576CF8" w:rsidRPr="003A5293">
        <w:rPr>
          <w:rFonts w:ascii="Arial" w:hAnsi="Arial" w:cs="Arial"/>
          <w:sz w:val="22"/>
          <w:szCs w:val="22"/>
          <w:lang w:val="en-US"/>
        </w:rPr>
        <w:t>/STAT1 axis</w:t>
      </w:r>
      <w:r w:rsidR="00706D96" w:rsidRPr="003A5293">
        <w:rPr>
          <w:rFonts w:ascii="Arial" w:hAnsi="Arial" w:cs="Arial"/>
          <w:sz w:val="22"/>
          <w:szCs w:val="22"/>
          <w:lang w:val="en-US"/>
        </w:rPr>
        <w:t xml:space="preserve"> in </w:t>
      </w:r>
      <w:r w:rsidR="00706D96" w:rsidRPr="001B1DAC">
        <w:rPr>
          <w:rFonts w:ascii="Arial" w:hAnsi="Arial" w:cs="Arial"/>
          <w:sz w:val="22"/>
          <w:szCs w:val="22"/>
          <w:lang w:val="en-US"/>
        </w:rPr>
        <w:t>V617F</w:t>
      </w:r>
      <w:r w:rsidR="00706D96" w:rsidRPr="003A5293">
        <w:rPr>
          <w:rFonts w:ascii="Arial" w:hAnsi="Arial" w:cs="Arial"/>
          <w:sz w:val="22"/>
          <w:szCs w:val="22"/>
          <w:vertAlign w:val="superscript"/>
          <w:lang w:val="en-US"/>
        </w:rPr>
        <w:t>+</w:t>
      </w:r>
      <w:r w:rsidR="00706D96" w:rsidRPr="003A5293">
        <w:rPr>
          <w:rFonts w:ascii="Arial" w:hAnsi="Arial" w:cs="Arial"/>
          <w:sz w:val="22"/>
          <w:szCs w:val="22"/>
          <w:lang w:val="en-US"/>
        </w:rPr>
        <w:t xml:space="preserve"> cells</w:t>
      </w:r>
      <w:r w:rsidR="00576CF8" w:rsidRPr="003A5293">
        <w:rPr>
          <w:rFonts w:ascii="Arial" w:hAnsi="Arial" w:cs="Arial"/>
          <w:sz w:val="22"/>
          <w:szCs w:val="22"/>
          <w:lang w:val="en-US"/>
        </w:rPr>
        <w:t xml:space="preserve"> activates downstream </w:t>
      </w:r>
      <w:r w:rsidR="00706D96" w:rsidRPr="003A5293">
        <w:rPr>
          <w:rFonts w:ascii="Arial" w:hAnsi="Arial" w:cs="Arial"/>
          <w:sz w:val="22"/>
          <w:szCs w:val="22"/>
          <w:lang w:val="en-US"/>
        </w:rPr>
        <w:t>targets genes expression</w:t>
      </w:r>
      <w:r w:rsidR="00576CF8" w:rsidRPr="003A5293">
        <w:rPr>
          <w:rFonts w:ascii="Arial" w:hAnsi="Arial" w:cs="Arial"/>
          <w:sz w:val="22"/>
          <w:szCs w:val="22"/>
          <w:lang w:val="en-US"/>
        </w:rPr>
        <w:t>, we have measure</w:t>
      </w:r>
      <w:r w:rsidR="00706D96" w:rsidRPr="003A5293">
        <w:rPr>
          <w:rFonts w:ascii="Arial" w:hAnsi="Arial" w:cs="Arial"/>
          <w:sz w:val="22"/>
          <w:szCs w:val="22"/>
          <w:lang w:val="en-US"/>
        </w:rPr>
        <w:t>d</w:t>
      </w:r>
      <w:r w:rsidR="00576CF8" w:rsidRPr="003A5293">
        <w:rPr>
          <w:rFonts w:ascii="Arial" w:hAnsi="Arial" w:cs="Arial"/>
          <w:sz w:val="22"/>
          <w:szCs w:val="22"/>
          <w:lang w:val="en-US"/>
        </w:rPr>
        <w:t xml:space="preserve"> relative mRNA expression of</w:t>
      </w:r>
      <w:r w:rsidR="00706D96" w:rsidRPr="003A5293">
        <w:rPr>
          <w:rFonts w:ascii="Arial" w:hAnsi="Arial" w:cs="Arial"/>
          <w:sz w:val="22"/>
          <w:szCs w:val="22"/>
          <w:lang w:val="en-US"/>
        </w:rPr>
        <w:t xml:space="preserve"> potent profibrogenic chemokines</w:t>
      </w:r>
      <w:r w:rsidR="00576CF8" w:rsidRPr="003A5293">
        <w:rPr>
          <w:rFonts w:ascii="Arial" w:hAnsi="Arial" w:cs="Arial"/>
          <w:sz w:val="22"/>
          <w:szCs w:val="22"/>
          <w:lang w:val="en-US"/>
        </w:rPr>
        <w:t xml:space="preserve"> </w:t>
      </w:r>
      <w:r w:rsidR="00706D96" w:rsidRPr="003A5293">
        <w:rPr>
          <w:rFonts w:ascii="Arial" w:hAnsi="Arial" w:cs="Arial"/>
          <w:sz w:val="22"/>
          <w:szCs w:val="22"/>
          <w:lang w:val="en-US"/>
        </w:rPr>
        <w:t>CXCL9 and CXCL10 in untreated and inflammatory cytokines treated CD34</w:t>
      </w:r>
      <w:r w:rsidR="00706D96" w:rsidRPr="003A5293">
        <w:rPr>
          <w:rFonts w:ascii="Arial" w:hAnsi="Arial" w:cs="Arial"/>
          <w:sz w:val="22"/>
          <w:szCs w:val="22"/>
          <w:vertAlign w:val="superscript"/>
          <w:lang w:val="en-US"/>
        </w:rPr>
        <w:t>+</w:t>
      </w:r>
      <w:r w:rsidR="00706D96" w:rsidRPr="003A5293">
        <w:rPr>
          <w:rFonts w:ascii="Arial" w:hAnsi="Arial" w:cs="Arial"/>
          <w:sz w:val="22"/>
          <w:szCs w:val="22"/>
          <w:lang w:val="en-US"/>
        </w:rPr>
        <w:t xml:space="preserve"> P</w:t>
      </w:r>
      <w:r w:rsidR="002B6894">
        <w:rPr>
          <w:rFonts w:ascii="Arial" w:hAnsi="Arial" w:cs="Arial"/>
          <w:sz w:val="22"/>
          <w:szCs w:val="22"/>
          <w:lang w:val="en-US"/>
        </w:rPr>
        <w:t>-</w:t>
      </w:r>
      <w:r w:rsidR="00706D96" w:rsidRPr="003A5293">
        <w:rPr>
          <w:rFonts w:ascii="Arial" w:hAnsi="Arial" w:cs="Arial"/>
          <w:sz w:val="22"/>
          <w:szCs w:val="22"/>
          <w:lang w:val="en-US"/>
        </w:rPr>
        <w:t>ECs. We have seen more than 100x and 1000x fold increase in CXCL9 and CXCL10 chemokine production</w:t>
      </w:r>
      <w:r w:rsidR="00431516">
        <w:rPr>
          <w:rFonts w:ascii="Arial" w:hAnsi="Arial" w:cs="Arial"/>
          <w:sz w:val="22"/>
          <w:szCs w:val="22"/>
          <w:lang w:val="en-US"/>
        </w:rPr>
        <w:t>,</w:t>
      </w:r>
      <w:r w:rsidR="00706D96" w:rsidRPr="003A5293">
        <w:rPr>
          <w:rFonts w:ascii="Arial" w:hAnsi="Arial" w:cs="Arial"/>
          <w:sz w:val="22"/>
          <w:szCs w:val="22"/>
          <w:lang w:val="en-US"/>
        </w:rPr>
        <w:t xml:space="preserve"> respectively</w:t>
      </w:r>
      <w:r w:rsidR="00431516">
        <w:rPr>
          <w:rFonts w:ascii="Arial" w:hAnsi="Arial" w:cs="Arial"/>
          <w:sz w:val="22"/>
          <w:szCs w:val="22"/>
          <w:lang w:val="en-US"/>
        </w:rPr>
        <w:t>,</w:t>
      </w:r>
      <w:r w:rsidR="00706D96" w:rsidRPr="003A5293">
        <w:rPr>
          <w:rFonts w:ascii="Arial" w:hAnsi="Arial" w:cs="Arial"/>
          <w:sz w:val="22"/>
          <w:szCs w:val="22"/>
          <w:lang w:val="en-US"/>
        </w:rPr>
        <w:t xml:space="preserve"> only in </w:t>
      </w:r>
      <w:r w:rsidR="00706D96" w:rsidRPr="003A5293">
        <w:rPr>
          <w:rFonts w:ascii="Arial" w:hAnsi="Arial" w:cs="Arial"/>
          <w:i/>
          <w:iCs/>
          <w:sz w:val="22"/>
          <w:szCs w:val="22"/>
          <w:lang w:val="en-US"/>
        </w:rPr>
        <w:t>JAK2</w:t>
      </w:r>
      <w:r w:rsidR="00706D96" w:rsidRPr="003A5293">
        <w:rPr>
          <w:rFonts w:ascii="Arial" w:hAnsi="Arial" w:cs="Arial"/>
          <w:sz w:val="22"/>
          <w:szCs w:val="22"/>
          <w:lang w:val="en-US"/>
        </w:rPr>
        <w:t xml:space="preserve"> </w:t>
      </w:r>
      <w:r w:rsidR="00706D96" w:rsidRPr="00CD395D">
        <w:rPr>
          <w:rFonts w:ascii="Arial" w:hAnsi="Arial" w:cs="Arial"/>
          <w:sz w:val="22"/>
          <w:szCs w:val="22"/>
          <w:lang w:val="en-US"/>
        </w:rPr>
        <w:t>V617F</w:t>
      </w:r>
      <w:r w:rsidR="00706D96" w:rsidRPr="003A5293">
        <w:rPr>
          <w:rFonts w:ascii="Arial" w:hAnsi="Arial" w:cs="Arial"/>
          <w:sz w:val="22"/>
          <w:szCs w:val="22"/>
          <w:vertAlign w:val="superscript"/>
          <w:lang w:val="en-US"/>
        </w:rPr>
        <w:t xml:space="preserve">+ </w:t>
      </w:r>
      <w:r w:rsidR="00706D96" w:rsidRPr="003A5293">
        <w:rPr>
          <w:rFonts w:ascii="Arial" w:hAnsi="Arial" w:cs="Arial"/>
          <w:sz w:val="22"/>
          <w:szCs w:val="22"/>
          <w:lang w:val="en-US"/>
        </w:rPr>
        <w:t>P</w:t>
      </w:r>
      <w:r w:rsidR="002B6894">
        <w:rPr>
          <w:rFonts w:ascii="Arial" w:hAnsi="Arial" w:cs="Arial"/>
          <w:sz w:val="22"/>
          <w:szCs w:val="22"/>
          <w:lang w:val="en-US"/>
        </w:rPr>
        <w:t>-</w:t>
      </w:r>
      <w:r w:rsidR="00706D96" w:rsidRPr="003A5293">
        <w:rPr>
          <w:rFonts w:ascii="Arial" w:hAnsi="Arial" w:cs="Arial"/>
          <w:sz w:val="22"/>
          <w:szCs w:val="22"/>
          <w:lang w:val="en-US"/>
        </w:rPr>
        <w:t xml:space="preserve">ECs (Figure 3B), suggesting that PV progenitors in </w:t>
      </w:r>
      <w:r w:rsidR="00431516">
        <w:rPr>
          <w:rFonts w:ascii="Arial" w:hAnsi="Arial" w:cs="Arial"/>
          <w:sz w:val="22"/>
          <w:szCs w:val="22"/>
          <w:lang w:val="en-US"/>
        </w:rPr>
        <w:t xml:space="preserve">the </w:t>
      </w:r>
      <w:r w:rsidR="00706D96" w:rsidRPr="003A5293">
        <w:rPr>
          <w:rFonts w:ascii="Arial" w:hAnsi="Arial" w:cs="Arial"/>
          <w:sz w:val="22"/>
          <w:szCs w:val="22"/>
          <w:lang w:val="en-US"/>
        </w:rPr>
        <w:t xml:space="preserve">presence of inflammatory microenvironment are prone to drive vicious circle of </w:t>
      </w:r>
      <w:r w:rsidR="00A27F2D" w:rsidRPr="003A5293">
        <w:rPr>
          <w:rFonts w:ascii="Arial" w:hAnsi="Arial" w:cs="Arial"/>
          <w:sz w:val="22"/>
          <w:szCs w:val="22"/>
          <w:lang w:val="en-US"/>
        </w:rPr>
        <w:t>profibrogenic</w:t>
      </w:r>
      <w:r w:rsidR="00706D96" w:rsidRPr="003A5293">
        <w:rPr>
          <w:rFonts w:ascii="Arial" w:hAnsi="Arial" w:cs="Arial"/>
          <w:sz w:val="22"/>
          <w:szCs w:val="22"/>
          <w:lang w:val="en-US"/>
        </w:rPr>
        <w:t xml:space="preserve"> </w:t>
      </w:r>
      <w:r w:rsidR="00A27F2D" w:rsidRPr="003A5293">
        <w:rPr>
          <w:rFonts w:ascii="Arial" w:hAnsi="Arial" w:cs="Arial"/>
          <w:sz w:val="22"/>
          <w:szCs w:val="22"/>
          <w:lang w:val="en-US"/>
        </w:rPr>
        <w:t>chemokines</w:t>
      </w:r>
      <w:r w:rsidR="00706D96" w:rsidRPr="003A5293">
        <w:rPr>
          <w:rFonts w:ascii="Arial" w:hAnsi="Arial" w:cs="Arial"/>
          <w:sz w:val="22"/>
          <w:szCs w:val="22"/>
          <w:lang w:val="en-US"/>
        </w:rPr>
        <w:t xml:space="preserve"> production.</w:t>
      </w:r>
    </w:p>
    <w:p w14:paraId="3B4EA31E" w14:textId="77777777" w:rsidR="005A683C" w:rsidRPr="003A5293" w:rsidRDefault="005A683C">
      <w:pPr>
        <w:rPr>
          <w:rFonts w:ascii="Arial" w:hAnsi="Arial" w:cs="Arial"/>
          <w:sz w:val="22"/>
          <w:szCs w:val="22"/>
          <w:lang w:val="en-US"/>
        </w:rPr>
      </w:pPr>
      <w:r w:rsidRPr="003A5293">
        <w:rPr>
          <w:rFonts w:ascii="Arial" w:hAnsi="Arial" w:cs="Arial"/>
          <w:sz w:val="22"/>
          <w:szCs w:val="22"/>
          <w:lang w:val="en-US"/>
        </w:rPr>
        <w:br w:type="page"/>
      </w:r>
    </w:p>
    <w:p w14:paraId="52D48F5D" w14:textId="77777777" w:rsidR="005A683C" w:rsidRPr="003A5293" w:rsidRDefault="005A683C" w:rsidP="005A683C">
      <w:pPr>
        <w:spacing w:line="360" w:lineRule="auto"/>
        <w:jc w:val="both"/>
        <w:rPr>
          <w:rFonts w:ascii="Arial" w:hAnsi="Arial" w:cs="Arial"/>
          <w:b/>
          <w:bCs/>
          <w:sz w:val="28"/>
          <w:szCs w:val="28"/>
          <w:lang w:val="en-US"/>
        </w:rPr>
      </w:pPr>
      <w:r w:rsidRPr="003A5293">
        <w:rPr>
          <w:rFonts w:ascii="Arial" w:hAnsi="Arial" w:cs="Arial"/>
          <w:b/>
          <w:bCs/>
          <w:sz w:val="28"/>
          <w:szCs w:val="28"/>
          <w:lang w:val="en-US"/>
        </w:rPr>
        <w:lastRenderedPageBreak/>
        <w:t>A</w:t>
      </w:r>
    </w:p>
    <w:p w14:paraId="3F8CB7FB" w14:textId="77777777" w:rsidR="008D272D" w:rsidRPr="003A5293" w:rsidRDefault="008D272D" w:rsidP="00BE015D">
      <w:pPr>
        <w:spacing w:line="360" w:lineRule="auto"/>
        <w:jc w:val="center"/>
        <w:rPr>
          <w:rFonts w:ascii="Arial" w:hAnsi="Arial" w:cs="Arial"/>
          <w:sz w:val="22"/>
          <w:szCs w:val="22"/>
          <w:lang w:val="en-US"/>
        </w:rPr>
      </w:pPr>
      <w:r w:rsidRPr="003A5293">
        <w:rPr>
          <w:rFonts w:ascii="Arial" w:hAnsi="Arial" w:cs="Arial"/>
          <w:noProof/>
          <w:sz w:val="22"/>
          <w:szCs w:val="22"/>
          <w:lang w:val="cs-CZ" w:eastAsia="cs-CZ"/>
        </w:rPr>
        <w:drawing>
          <wp:inline distT="0" distB="0" distL="0" distR="0" wp14:anchorId="4EF6B7B5" wp14:editId="69F2885F">
            <wp:extent cx="4798763" cy="2188919"/>
            <wp:effectExtent l="0" t="0" r="190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schirmfoto 2020-01-11 um 23.16.59.png"/>
                    <pic:cNvPicPr/>
                  </pic:nvPicPr>
                  <pic:blipFill rotWithShape="1">
                    <a:blip r:embed="rId18" cstate="print">
                      <a:extLst>
                        <a:ext uri="{28A0092B-C50C-407E-A947-70E740481C1C}">
                          <a14:useLocalDpi xmlns:a14="http://schemas.microsoft.com/office/drawing/2010/main" val="0"/>
                        </a:ext>
                      </a:extLst>
                    </a:blip>
                    <a:srcRect r="1673"/>
                    <a:stretch/>
                  </pic:blipFill>
                  <pic:spPr bwMode="auto">
                    <a:xfrm>
                      <a:off x="0" y="0"/>
                      <a:ext cx="4815578" cy="2196589"/>
                    </a:xfrm>
                    <a:prstGeom prst="rect">
                      <a:avLst/>
                    </a:prstGeom>
                    <a:ln>
                      <a:noFill/>
                    </a:ln>
                    <a:extLst>
                      <a:ext uri="{53640926-AAD7-44D8-BBD7-CCE9431645EC}">
                        <a14:shadowObscured xmlns:a14="http://schemas.microsoft.com/office/drawing/2010/main"/>
                      </a:ext>
                    </a:extLst>
                  </pic:spPr>
                </pic:pic>
              </a:graphicData>
            </a:graphic>
          </wp:inline>
        </w:drawing>
      </w:r>
    </w:p>
    <w:p w14:paraId="147ADFD1" w14:textId="77777777" w:rsidR="005A683C" w:rsidRPr="003A5293" w:rsidRDefault="005A683C" w:rsidP="005A683C">
      <w:pPr>
        <w:spacing w:line="360" w:lineRule="auto"/>
        <w:jc w:val="both"/>
        <w:rPr>
          <w:rFonts w:ascii="Arial" w:hAnsi="Arial" w:cs="Arial"/>
          <w:b/>
          <w:bCs/>
          <w:sz w:val="28"/>
          <w:szCs w:val="28"/>
          <w:lang w:val="en-US"/>
        </w:rPr>
      </w:pPr>
      <w:r w:rsidRPr="003A5293">
        <w:rPr>
          <w:rFonts w:ascii="Arial" w:hAnsi="Arial" w:cs="Arial"/>
          <w:b/>
          <w:bCs/>
          <w:sz w:val="28"/>
          <w:szCs w:val="28"/>
          <w:lang w:val="en-US"/>
        </w:rPr>
        <w:t>B</w:t>
      </w:r>
    </w:p>
    <w:p w14:paraId="48E92147" w14:textId="77777777" w:rsidR="005A683C" w:rsidRPr="003A5293" w:rsidRDefault="005A683C" w:rsidP="005A683C">
      <w:pPr>
        <w:jc w:val="center"/>
        <w:rPr>
          <w:rFonts w:ascii="Arial" w:hAnsi="Arial" w:cs="Arial"/>
        </w:rPr>
      </w:pPr>
      <w:r w:rsidRPr="003A5293">
        <w:rPr>
          <w:rFonts w:ascii="Arial" w:hAnsi="Arial" w:cs="Arial"/>
        </w:rPr>
        <w:fldChar w:fldCharType="begin"/>
      </w:r>
      <w:r w:rsidRPr="003A5293">
        <w:rPr>
          <w:rFonts w:ascii="Arial" w:hAnsi="Arial" w:cs="Arial"/>
        </w:rPr>
        <w:instrText xml:space="preserve"> INCLUDEPICTURE "https://media.springernature.com/full/springer-static/image/art%3A10.1038%2Fs41388-019-0813-7/MediaObjects/41388_2019_813_Fig1_HTML.png" \* MERGEFORMATINET </w:instrText>
      </w:r>
      <w:r w:rsidRPr="003A5293">
        <w:rPr>
          <w:rFonts w:ascii="Arial" w:hAnsi="Arial" w:cs="Arial"/>
        </w:rPr>
        <w:fldChar w:fldCharType="separate"/>
      </w:r>
      <w:r w:rsidRPr="003A5293">
        <w:rPr>
          <w:rFonts w:ascii="Arial" w:hAnsi="Arial" w:cs="Arial"/>
          <w:noProof/>
          <w:lang w:val="cs-CZ" w:eastAsia="cs-CZ"/>
        </w:rPr>
        <w:drawing>
          <wp:inline distT="0" distB="0" distL="0" distR="0" wp14:anchorId="18669AC0" wp14:editId="334B835B">
            <wp:extent cx="2231727" cy="1440000"/>
            <wp:effectExtent l="0" t="0" r="3810" b="0"/>
            <wp:docPr id="23" name="Grafik 23"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1"/>
                    <pic:cNvPicPr>
                      <a:picLocks noChangeAspect="1" noChangeArrowheads="1"/>
                    </pic:cNvPicPr>
                  </pic:nvPicPr>
                  <pic:blipFill rotWithShape="1">
                    <a:blip r:embed="rId16">
                      <a:extLst>
                        <a:ext uri="{28A0092B-C50C-407E-A947-70E740481C1C}">
                          <a14:useLocalDpi xmlns:a14="http://schemas.microsoft.com/office/drawing/2010/main" val="0"/>
                        </a:ext>
                      </a:extLst>
                    </a:blip>
                    <a:srcRect l="70257" t="59852" r="6038" b="28655"/>
                    <a:stretch/>
                  </pic:blipFill>
                  <pic:spPr bwMode="auto">
                    <a:xfrm>
                      <a:off x="0" y="0"/>
                      <a:ext cx="2231727"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3A5293">
        <w:rPr>
          <w:rFonts w:ascii="Arial" w:hAnsi="Arial" w:cs="Arial"/>
        </w:rPr>
        <w:fldChar w:fldCharType="end"/>
      </w:r>
      <w:r w:rsidRPr="003A5293">
        <w:rPr>
          <w:rFonts w:ascii="Arial" w:hAnsi="Arial" w:cs="Arial"/>
        </w:rPr>
        <w:fldChar w:fldCharType="begin"/>
      </w:r>
      <w:r w:rsidRPr="003A5293">
        <w:rPr>
          <w:rFonts w:ascii="Arial" w:hAnsi="Arial" w:cs="Arial"/>
        </w:rPr>
        <w:instrText xml:space="preserve"> INCLUDEPICTURE "https://media.springernature.com/full/springer-static/image/art%3A10.1038%2Fs41388-019-0813-7/MediaObjects/41388_2019_813_Fig1_HTML.png" \* MERGEFORMATINET </w:instrText>
      </w:r>
      <w:r w:rsidRPr="003A5293">
        <w:rPr>
          <w:rFonts w:ascii="Arial" w:hAnsi="Arial" w:cs="Arial"/>
        </w:rPr>
        <w:fldChar w:fldCharType="separate"/>
      </w:r>
      <w:r w:rsidRPr="003A5293">
        <w:rPr>
          <w:rFonts w:ascii="Arial" w:hAnsi="Arial" w:cs="Arial"/>
          <w:noProof/>
          <w:lang w:val="cs-CZ" w:eastAsia="cs-CZ"/>
        </w:rPr>
        <w:drawing>
          <wp:inline distT="0" distB="0" distL="0" distR="0" wp14:anchorId="72FAF819" wp14:editId="210CC035">
            <wp:extent cx="2231729" cy="1440000"/>
            <wp:effectExtent l="0" t="0" r="3810" b="0"/>
            <wp:docPr id="24" name="Grafik 24"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1"/>
                    <pic:cNvPicPr>
                      <a:picLocks noChangeAspect="1" noChangeArrowheads="1"/>
                    </pic:cNvPicPr>
                  </pic:nvPicPr>
                  <pic:blipFill rotWithShape="1">
                    <a:blip r:embed="rId16">
                      <a:extLst>
                        <a:ext uri="{28A0092B-C50C-407E-A947-70E740481C1C}">
                          <a14:useLocalDpi xmlns:a14="http://schemas.microsoft.com/office/drawing/2010/main" val="0"/>
                        </a:ext>
                      </a:extLst>
                    </a:blip>
                    <a:srcRect l="70414" t="87272" r="5881" b="1235"/>
                    <a:stretch/>
                  </pic:blipFill>
                  <pic:spPr bwMode="auto">
                    <a:xfrm>
                      <a:off x="0" y="0"/>
                      <a:ext cx="2231729"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3A5293">
        <w:rPr>
          <w:rFonts w:ascii="Arial" w:hAnsi="Arial" w:cs="Arial"/>
        </w:rPr>
        <w:fldChar w:fldCharType="end"/>
      </w:r>
    </w:p>
    <w:p w14:paraId="32AE7E28" w14:textId="77777777" w:rsidR="00DF3976" w:rsidRPr="003A5293" w:rsidRDefault="00DF3976" w:rsidP="00DF3976">
      <w:pPr>
        <w:spacing w:line="360" w:lineRule="auto"/>
        <w:jc w:val="both"/>
        <w:rPr>
          <w:rFonts w:ascii="Arial" w:hAnsi="Arial" w:cs="Arial"/>
          <w:b/>
          <w:bCs/>
          <w:sz w:val="22"/>
          <w:szCs w:val="22"/>
          <w:lang w:val="en-US"/>
        </w:rPr>
      </w:pPr>
    </w:p>
    <w:p w14:paraId="6B2A8471" w14:textId="77777777" w:rsidR="008D272D" w:rsidRPr="003A5293" w:rsidRDefault="008D272D" w:rsidP="00DF3976">
      <w:pPr>
        <w:spacing w:line="360" w:lineRule="auto"/>
        <w:jc w:val="both"/>
        <w:rPr>
          <w:rFonts w:ascii="Arial" w:hAnsi="Arial" w:cs="Arial"/>
          <w:sz w:val="22"/>
          <w:szCs w:val="22"/>
          <w:lang w:val="en-US"/>
        </w:rPr>
      </w:pPr>
      <w:r w:rsidRPr="003A5293">
        <w:rPr>
          <w:rFonts w:ascii="Arial" w:hAnsi="Arial" w:cs="Arial"/>
          <w:b/>
          <w:bCs/>
          <w:sz w:val="22"/>
          <w:szCs w:val="22"/>
          <w:lang w:val="en-US"/>
        </w:rPr>
        <w:t>Figure 7</w:t>
      </w:r>
      <w:r w:rsidRPr="003A5293">
        <w:rPr>
          <w:rFonts w:ascii="Arial" w:hAnsi="Arial" w:cs="Arial"/>
          <w:sz w:val="22"/>
          <w:szCs w:val="22"/>
          <w:lang w:val="en-US"/>
        </w:rPr>
        <w:t xml:space="preserve">: </w:t>
      </w:r>
      <w:r w:rsidR="005A683C" w:rsidRPr="003A5293">
        <w:rPr>
          <w:rFonts w:ascii="Arial" w:hAnsi="Arial" w:cs="Arial"/>
          <w:b/>
          <w:bCs/>
          <w:sz w:val="22"/>
          <w:szCs w:val="22"/>
          <w:lang w:val="en-US"/>
        </w:rPr>
        <w:t>A</w:t>
      </w:r>
      <w:r w:rsidR="005A683C" w:rsidRPr="003A5293">
        <w:rPr>
          <w:rFonts w:ascii="Arial" w:hAnsi="Arial" w:cs="Arial"/>
          <w:sz w:val="22"/>
          <w:szCs w:val="22"/>
          <w:lang w:val="en-US"/>
        </w:rPr>
        <w:t xml:space="preserve"> </w:t>
      </w:r>
      <w:r w:rsidR="00DF3976" w:rsidRPr="003A5293">
        <w:rPr>
          <w:rFonts w:ascii="Arial" w:hAnsi="Arial" w:cs="Arial"/>
          <w:sz w:val="22"/>
          <w:szCs w:val="22"/>
          <w:lang w:val="en-US"/>
        </w:rPr>
        <w:t xml:space="preserve">Western blotting analysis of both total and phosphorylated form of STAT1 at Tyr701 in </w:t>
      </w:r>
      <w:r w:rsidR="00DF3976" w:rsidRPr="00CD395D">
        <w:rPr>
          <w:rFonts w:ascii="Arial" w:hAnsi="Arial" w:cs="Arial"/>
          <w:i/>
          <w:iCs/>
          <w:sz w:val="22"/>
          <w:szCs w:val="22"/>
          <w:lang w:val="en-US"/>
        </w:rPr>
        <w:t>JAK2</w:t>
      </w:r>
      <w:r w:rsidR="00DF3976" w:rsidRPr="003A5293">
        <w:rPr>
          <w:rFonts w:ascii="Arial" w:hAnsi="Arial" w:cs="Arial"/>
          <w:sz w:val="22"/>
          <w:szCs w:val="22"/>
          <w:lang w:val="en-US"/>
        </w:rPr>
        <w:t xml:space="preserve"> </w:t>
      </w:r>
      <w:proofErr w:type="spellStart"/>
      <w:r w:rsidR="00DF3976" w:rsidRPr="003A5293">
        <w:rPr>
          <w:rFonts w:ascii="Arial" w:hAnsi="Arial" w:cs="Arial"/>
          <w:sz w:val="22"/>
          <w:szCs w:val="22"/>
          <w:lang w:val="en-US"/>
        </w:rPr>
        <w:t>wt</w:t>
      </w:r>
      <w:proofErr w:type="spellEnd"/>
      <w:r w:rsidR="00DF3976" w:rsidRPr="003A5293">
        <w:rPr>
          <w:rFonts w:ascii="Arial" w:hAnsi="Arial" w:cs="Arial"/>
          <w:sz w:val="22"/>
          <w:szCs w:val="22"/>
          <w:lang w:val="en-US"/>
        </w:rPr>
        <w:t xml:space="preserve"> and V617F</w:t>
      </w:r>
      <w:r w:rsidR="00DF3976" w:rsidRPr="003A5293">
        <w:rPr>
          <w:rFonts w:ascii="Arial" w:hAnsi="Arial" w:cs="Arial"/>
          <w:sz w:val="22"/>
          <w:szCs w:val="22"/>
          <w:vertAlign w:val="superscript"/>
          <w:lang w:val="en-US"/>
        </w:rPr>
        <w:t>+</w:t>
      </w:r>
      <w:r w:rsidR="00DF3976" w:rsidRPr="003A5293">
        <w:rPr>
          <w:rFonts w:ascii="Arial" w:hAnsi="Arial" w:cs="Arial"/>
          <w:sz w:val="22"/>
          <w:szCs w:val="22"/>
          <w:lang w:val="en-US"/>
        </w:rPr>
        <w:t xml:space="preserve"> CD34</w:t>
      </w:r>
      <w:r w:rsidR="00DF3976" w:rsidRPr="003A5293">
        <w:rPr>
          <w:rFonts w:ascii="Arial" w:hAnsi="Arial" w:cs="Arial"/>
          <w:sz w:val="22"/>
          <w:szCs w:val="22"/>
          <w:vertAlign w:val="superscript"/>
          <w:lang w:val="en-US"/>
        </w:rPr>
        <w:t>+</w:t>
      </w:r>
      <w:r w:rsidR="00DF3976" w:rsidRPr="003A5293">
        <w:rPr>
          <w:rFonts w:ascii="Arial" w:hAnsi="Arial" w:cs="Arial"/>
          <w:sz w:val="22"/>
          <w:szCs w:val="22"/>
          <w:lang w:val="en-US"/>
        </w:rPr>
        <w:t xml:space="preserve"> P-ECs, untreated or treated with various combinations of inflammatory cytokines</w:t>
      </w:r>
      <w:r w:rsidR="00922761" w:rsidRPr="003A5293">
        <w:rPr>
          <w:rFonts w:ascii="Arial" w:hAnsi="Arial" w:cs="Arial"/>
          <w:sz w:val="22"/>
          <w:szCs w:val="22"/>
          <w:lang w:val="en-US"/>
        </w:rPr>
        <w:t xml:space="preserve">. </w:t>
      </w:r>
      <w:r w:rsidR="00922761" w:rsidRPr="003A5293">
        <w:rPr>
          <w:rFonts w:ascii="Arial" w:hAnsi="Arial" w:cs="Arial"/>
          <w:b/>
          <w:bCs/>
          <w:sz w:val="22"/>
          <w:szCs w:val="22"/>
          <w:lang w:val="en-US"/>
        </w:rPr>
        <w:t>B</w:t>
      </w:r>
      <w:r w:rsidR="00922761" w:rsidRPr="003A5293">
        <w:rPr>
          <w:rFonts w:ascii="Arial" w:hAnsi="Arial" w:cs="Arial"/>
          <w:sz w:val="22"/>
          <w:szCs w:val="22"/>
          <w:lang w:val="en-US"/>
        </w:rPr>
        <w:t xml:space="preserve"> mRNA expression (mean ± SD, n = 3) of CXCL9 and CXCL10 in</w:t>
      </w:r>
      <w:r w:rsidR="007E4E99" w:rsidRPr="003A5293">
        <w:rPr>
          <w:rFonts w:ascii="Arial" w:hAnsi="Arial" w:cs="Arial"/>
          <w:sz w:val="22"/>
          <w:szCs w:val="22"/>
          <w:lang w:val="en-US"/>
        </w:rPr>
        <w:t xml:space="preserve"> day 9 (d9)</w:t>
      </w:r>
      <w:r w:rsidR="00922761" w:rsidRPr="003A5293">
        <w:rPr>
          <w:rFonts w:ascii="Arial" w:hAnsi="Arial" w:cs="Arial"/>
          <w:sz w:val="22"/>
          <w:szCs w:val="22"/>
          <w:lang w:val="en-US"/>
        </w:rPr>
        <w:t xml:space="preserve"> </w:t>
      </w:r>
      <w:r w:rsidR="00922761" w:rsidRPr="003A5293">
        <w:rPr>
          <w:rFonts w:ascii="Arial" w:hAnsi="Arial" w:cs="Arial"/>
          <w:i/>
          <w:iCs/>
          <w:sz w:val="22"/>
          <w:szCs w:val="22"/>
          <w:lang w:val="en-US"/>
        </w:rPr>
        <w:t>JAK2</w:t>
      </w:r>
      <w:r w:rsidR="007E4E99" w:rsidRPr="003A5293">
        <w:rPr>
          <w:rFonts w:ascii="Arial" w:hAnsi="Arial" w:cs="Arial"/>
          <w:sz w:val="22"/>
          <w:szCs w:val="22"/>
          <w:lang w:val="en-US"/>
        </w:rPr>
        <w:t xml:space="preserve"> </w:t>
      </w:r>
      <w:proofErr w:type="spellStart"/>
      <w:r w:rsidR="007E4E99" w:rsidRPr="003A5293">
        <w:rPr>
          <w:rFonts w:ascii="Arial" w:hAnsi="Arial" w:cs="Arial"/>
          <w:sz w:val="22"/>
          <w:szCs w:val="22"/>
          <w:lang w:val="en-US"/>
        </w:rPr>
        <w:t>wt</w:t>
      </w:r>
      <w:proofErr w:type="spellEnd"/>
      <w:r w:rsidR="007E4E99" w:rsidRPr="003A5293">
        <w:rPr>
          <w:rFonts w:ascii="Arial" w:hAnsi="Arial" w:cs="Arial"/>
          <w:sz w:val="22"/>
          <w:szCs w:val="22"/>
          <w:lang w:val="en-US"/>
        </w:rPr>
        <w:t xml:space="preserve"> and </w:t>
      </w:r>
      <w:r w:rsidR="007E4E99" w:rsidRPr="00CD395D">
        <w:rPr>
          <w:rFonts w:ascii="Arial" w:hAnsi="Arial" w:cs="Arial"/>
          <w:sz w:val="22"/>
          <w:szCs w:val="22"/>
          <w:lang w:val="en-US"/>
        </w:rPr>
        <w:t>V617F</w:t>
      </w:r>
      <w:r w:rsidR="007E4E99" w:rsidRPr="00CD395D">
        <w:rPr>
          <w:rFonts w:ascii="Arial" w:hAnsi="Arial" w:cs="Arial"/>
          <w:sz w:val="22"/>
          <w:szCs w:val="22"/>
          <w:vertAlign w:val="superscript"/>
          <w:lang w:val="en-US"/>
        </w:rPr>
        <w:t>+</w:t>
      </w:r>
      <w:r w:rsidR="007E4E99" w:rsidRPr="003A5293">
        <w:rPr>
          <w:rFonts w:ascii="Arial" w:hAnsi="Arial" w:cs="Arial"/>
          <w:sz w:val="22"/>
          <w:szCs w:val="22"/>
          <w:lang w:val="en-US"/>
        </w:rPr>
        <w:t xml:space="preserve"> </w:t>
      </w:r>
      <w:r w:rsidR="00922761" w:rsidRPr="003A5293">
        <w:rPr>
          <w:rFonts w:ascii="Arial" w:hAnsi="Arial" w:cs="Arial"/>
          <w:sz w:val="22"/>
          <w:szCs w:val="22"/>
          <w:lang w:val="en-US"/>
        </w:rPr>
        <w:t>CD34</w:t>
      </w:r>
      <w:r w:rsidR="00922761" w:rsidRPr="003A5293">
        <w:rPr>
          <w:rFonts w:ascii="Arial" w:hAnsi="Arial" w:cs="Arial"/>
          <w:sz w:val="22"/>
          <w:szCs w:val="22"/>
          <w:vertAlign w:val="superscript"/>
          <w:lang w:val="en-US"/>
        </w:rPr>
        <w:t>+</w:t>
      </w:r>
      <w:r w:rsidR="00922761" w:rsidRPr="003A5293">
        <w:rPr>
          <w:rFonts w:ascii="Arial" w:hAnsi="Arial" w:cs="Arial"/>
          <w:sz w:val="22"/>
          <w:szCs w:val="22"/>
          <w:lang w:val="en-US"/>
        </w:rPr>
        <w:t xml:space="preserve"> P-ECs, </w:t>
      </w:r>
      <w:r w:rsidR="007E4E99" w:rsidRPr="003A5293">
        <w:rPr>
          <w:rFonts w:ascii="Arial" w:hAnsi="Arial" w:cs="Arial"/>
          <w:sz w:val="22"/>
          <w:szCs w:val="22"/>
          <w:lang w:val="en-US"/>
        </w:rPr>
        <w:t>either</w:t>
      </w:r>
      <w:r w:rsidR="00922761" w:rsidRPr="003A5293">
        <w:rPr>
          <w:rFonts w:ascii="Arial" w:hAnsi="Arial" w:cs="Arial"/>
          <w:sz w:val="22"/>
          <w:szCs w:val="22"/>
          <w:lang w:val="en-US"/>
        </w:rPr>
        <w:t xml:space="preserve"> untreated (d9) or treated (d9 </w:t>
      </w:r>
      <w:proofErr w:type="spellStart"/>
      <w:r w:rsidR="00922761" w:rsidRPr="003A5293">
        <w:rPr>
          <w:rFonts w:ascii="Arial" w:hAnsi="Arial" w:cs="Arial"/>
          <w:sz w:val="22"/>
          <w:szCs w:val="22"/>
          <w:lang w:val="en-US"/>
        </w:rPr>
        <w:t>cyt</w:t>
      </w:r>
      <w:proofErr w:type="spellEnd"/>
      <w:r w:rsidR="00922761" w:rsidRPr="003A5293">
        <w:rPr>
          <w:rFonts w:ascii="Arial" w:hAnsi="Arial" w:cs="Arial"/>
          <w:sz w:val="22"/>
          <w:szCs w:val="22"/>
          <w:lang w:val="en-US"/>
        </w:rPr>
        <w:t xml:space="preserve">) </w:t>
      </w:r>
      <w:r w:rsidR="007E4E99" w:rsidRPr="003A5293">
        <w:rPr>
          <w:rFonts w:ascii="Arial" w:hAnsi="Arial" w:cs="Arial"/>
          <w:sz w:val="22"/>
          <w:szCs w:val="22"/>
          <w:lang w:val="en-US"/>
        </w:rPr>
        <w:t>with inflammatory cytokines</w:t>
      </w:r>
      <w:r w:rsidR="00922761" w:rsidRPr="003A5293">
        <w:rPr>
          <w:rFonts w:ascii="Arial" w:hAnsi="Arial" w:cs="Arial"/>
          <w:sz w:val="22"/>
          <w:szCs w:val="22"/>
          <w:lang w:val="en-US"/>
        </w:rPr>
        <w:t>. *P ≤ 0.05, ****P ≤ 0.0001</w:t>
      </w:r>
      <w:r w:rsidR="006A3256" w:rsidRPr="003A5293">
        <w:rPr>
          <w:rFonts w:ascii="Arial" w:hAnsi="Arial" w:cs="Arial"/>
          <w:sz w:val="22"/>
          <w:szCs w:val="22"/>
          <w:lang w:val="en-US"/>
        </w:rPr>
        <w:t>.</w:t>
      </w:r>
    </w:p>
    <w:p w14:paraId="5927E0EE" w14:textId="77777777" w:rsidR="00DF3976" w:rsidRPr="003A5293" w:rsidRDefault="00DF3976" w:rsidP="00DF3976">
      <w:pPr>
        <w:spacing w:line="360" w:lineRule="auto"/>
        <w:jc w:val="both"/>
        <w:rPr>
          <w:rFonts w:ascii="Arial" w:hAnsi="Arial" w:cs="Arial"/>
          <w:sz w:val="22"/>
          <w:szCs w:val="22"/>
          <w:lang w:val="en-US"/>
        </w:rPr>
      </w:pPr>
    </w:p>
    <w:p w14:paraId="69ECEA4B" w14:textId="2F7DB684" w:rsidR="000541DF" w:rsidRPr="003A5293" w:rsidRDefault="000541DF" w:rsidP="00DF3976">
      <w:pPr>
        <w:spacing w:line="360" w:lineRule="auto"/>
        <w:jc w:val="both"/>
        <w:rPr>
          <w:rFonts w:ascii="Arial" w:hAnsi="Arial" w:cs="Arial"/>
          <w:sz w:val="22"/>
          <w:szCs w:val="22"/>
          <w:lang w:val="en-US"/>
        </w:rPr>
      </w:pPr>
      <w:r w:rsidRPr="003A5293">
        <w:rPr>
          <w:rFonts w:ascii="Arial" w:hAnsi="Arial" w:cs="Arial"/>
          <w:sz w:val="22"/>
          <w:szCs w:val="22"/>
          <w:lang w:val="en-US"/>
        </w:rPr>
        <w:t xml:space="preserve">To further investigate deregulation of IFN-signaling and inflammatory </w:t>
      </w:r>
      <w:r w:rsidR="00CE4A84" w:rsidRPr="003A5293">
        <w:rPr>
          <w:rFonts w:ascii="Arial" w:hAnsi="Arial" w:cs="Arial"/>
          <w:sz w:val="22"/>
          <w:szCs w:val="22"/>
          <w:lang w:val="en-US"/>
        </w:rPr>
        <w:t xml:space="preserve">pathways </w:t>
      </w:r>
      <w:r w:rsidRPr="003A5293">
        <w:rPr>
          <w:rFonts w:ascii="Arial" w:hAnsi="Arial" w:cs="Arial"/>
          <w:sz w:val="22"/>
          <w:szCs w:val="22"/>
          <w:lang w:val="en-US"/>
        </w:rPr>
        <w:t>in HSCs of CD34</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P</w:t>
      </w:r>
      <w:r w:rsidR="002B6894">
        <w:rPr>
          <w:rFonts w:ascii="Arial" w:hAnsi="Arial" w:cs="Arial"/>
          <w:sz w:val="22"/>
          <w:szCs w:val="22"/>
          <w:lang w:val="en-US"/>
        </w:rPr>
        <w:t>-</w:t>
      </w:r>
      <w:r w:rsidRPr="003A5293">
        <w:rPr>
          <w:rFonts w:ascii="Arial" w:hAnsi="Arial" w:cs="Arial"/>
          <w:sz w:val="22"/>
          <w:szCs w:val="22"/>
          <w:lang w:val="en-US"/>
        </w:rPr>
        <w:t xml:space="preserve">ECs at a whole transcriptome level, we have isolated total RNA of day 9 </w:t>
      </w:r>
      <w:r w:rsidRPr="003A5293">
        <w:rPr>
          <w:rFonts w:ascii="Arial" w:hAnsi="Arial" w:cs="Arial"/>
          <w:i/>
          <w:iCs/>
          <w:sz w:val="22"/>
          <w:szCs w:val="22"/>
          <w:lang w:val="en-US"/>
        </w:rPr>
        <w:t>JAK2</w:t>
      </w:r>
      <w:r w:rsidR="00CE4A84" w:rsidRPr="003A5293">
        <w:rPr>
          <w:rFonts w:ascii="Arial" w:hAnsi="Arial" w:cs="Arial"/>
          <w:sz w:val="22"/>
          <w:szCs w:val="22"/>
          <w:lang w:val="en-US"/>
        </w:rPr>
        <w:t xml:space="preserve"> </w:t>
      </w:r>
      <w:proofErr w:type="spellStart"/>
      <w:r w:rsidRPr="003A5293">
        <w:rPr>
          <w:rFonts w:ascii="Arial" w:hAnsi="Arial" w:cs="Arial"/>
          <w:sz w:val="22"/>
          <w:szCs w:val="22"/>
          <w:lang w:val="en-US"/>
        </w:rPr>
        <w:t>wt</w:t>
      </w:r>
      <w:proofErr w:type="spellEnd"/>
      <w:r w:rsidRPr="003A5293">
        <w:rPr>
          <w:rFonts w:ascii="Arial" w:hAnsi="Arial" w:cs="Arial"/>
          <w:sz w:val="22"/>
          <w:szCs w:val="22"/>
          <w:lang w:val="en-US"/>
        </w:rPr>
        <w:t xml:space="preserve"> and </w:t>
      </w:r>
      <w:r w:rsidRPr="003A5293">
        <w:rPr>
          <w:rFonts w:ascii="Arial" w:hAnsi="Arial" w:cs="Arial"/>
          <w:i/>
          <w:iCs/>
          <w:sz w:val="22"/>
          <w:szCs w:val="22"/>
          <w:lang w:val="en-US"/>
        </w:rPr>
        <w:t>JAK2</w:t>
      </w:r>
      <w:r w:rsidR="00CE4A84" w:rsidRPr="003A5293">
        <w:rPr>
          <w:rFonts w:ascii="Arial" w:hAnsi="Arial" w:cs="Arial"/>
          <w:i/>
          <w:iCs/>
          <w:sz w:val="22"/>
          <w:szCs w:val="22"/>
          <w:lang w:val="en-US"/>
        </w:rPr>
        <w:t xml:space="preserve"> </w:t>
      </w:r>
      <w:r w:rsidRPr="00CD395D">
        <w:rPr>
          <w:rFonts w:ascii="Arial" w:hAnsi="Arial" w:cs="Arial"/>
          <w:sz w:val="22"/>
          <w:szCs w:val="22"/>
          <w:lang w:val="en-US"/>
        </w:rPr>
        <w:t>V617F</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CD34</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P-ECs, either untreated or treated with inflammatory cytokines (IFN</w:t>
      </w:r>
      <w:r w:rsidRPr="003A5293">
        <w:rPr>
          <w:rFonts w:ascii="Arial" w:hAnsi="Arial" w:cs="Arial"/>
          <w:sz w:val="22"/>
          <w:szCs w:val="22"/>
          <w:lang w:val="en-US"/>
        </w:rPr>
        <w:sym w:font="Symbol" w:char="F067"/>
      </w:r>
      <w:r w:rsidRPr="003A5293">
        <w:rPr>
          <w:rFonts w:ascii="Arial" w:hAnsi="Arial" w:cs="Arial"/>
          <w:sz w:val="22"/>
          <w:szCs w:val="22"/>
          <w:lang w:val="en-US"/>
        </w:rPr>
        <w:t>, TNF</w:t>
      </w:r>
      <w:r w:rsidRPr="003A5293">
        <w:rPr>
          <w:rFonts w:ascii="Arial" w:hAnsi="Arial" w:cs="Arial"/>
          <w:sz w:val="22"/>
          <w:szCs w:val="22"/>
          <w:lang w:val="en-US"/>
        </w:rPr>
        <w:sym w:font="Symbol" w:char="F061"/>
      </w:r>
      <w:r w:rsidRPr="003A5293">
        <w:rPr>
          <w:rFonts w:ascii="Arial" w:hAnsi="Arial" w:cs="Arial"/>
          <w:sz w:val="22"/>
          <w:szCs w:val="22"/>
          <w:lang w:val="en-US"/>
        </w:rPr>
        <w:t>, TGF</w:t>
      </w:r>
      <w:r w:rsidRPr="003A5293">
        <w:rPr>
          <w:rFonts w:ascii="Arial" w:hAnsi="Arial" w:cs="Arial"/>
          <w:sz w:val="22"/>
          <w:szCs w:val="22"/>
          <w:lang w:val="en-US"/>
        </w:rPr>
        <w:sym w:font="Symbol" w:char="F062"/>
      </w:r>
      <w:r w:rsidRPr="003A5293">
        <w:rPr>
          <w:rFonts w:ascii="Arial" w:hAnsi="Arial" w:cs="Arial"/>
          <w:sz w:val="22"/>
          <w:szCs w:val="22"/>
          <w:lang w:val="en-US"/>
        </w:rPr>
        <w:t>1 for 24 hours) and performed microarray analysis.</w:t>
      </w:r>
      <w:r w:rsidR="00CE4A84" w:rsidRPr="003A5293">
        <w:rPr>
          <w:rFonts w:ascii="Arial" w:hAnsi="Arial" w:cs="Arial"/>
          <w:sz w:val="22"/>
          <w:szCs w:val="22"/>
          <w:lang w:val="en-US"/>
        </w:rPr>
        <w:t xml:space="preserve"> Comprehensive data analysis and normalization with general cut-off </w:t>
      </w:r>
      <w:proofErr w:type="spellStart"/>
      <w:r w:rsidR="00CE4A84" w:rsidRPr="003A5293">
        <w:rPr>
          <w:rFonts w:ascii="Arial" w:hAnsi="Arial" w:cs="Arial"/>
          <w:sz w:val="22"/>
          <w:szCs w:val="22"/>
          <w:lang w:val="en-US"/>
        </w:rPr>
        <w:t>logFC</w:t>
      </w:r>
      <w:proofErr w:type="spellEnd"/>
      <w:r w:rsidR="00CE4A84" w:rsidRPr="003A5293">
        <w:rPr>
          <w:rFonts w:ascii="Arial" w:hAnsi="Arial" w:cs="Arial"/>
          <w:sz w:val="22"/>
          <w:szCs w:val="22"/>
          <w:lang w:val="en-US"/>
        </w:rPr>
        <w:t xml:space="preserve"> &gt; </w:t>
      </w:r>
      <w:r w:rsidR="00CE4A84" w:rsidRPr="003A5293">
        <w:rPr>
          <w:rFonts w:ascii="Arial" w:hAnsi="Arial" w:cs="Arial"/>
          <w:sz w:val="22"/>
          <w:szCs w:val="22"/>
          <w:lang w:val="en-US"/>
        </w:rPr>
        <w:sym w:font="Symbol" w:char="F0E7"/>
      </w:r>
      <w:r w:rsidR="00CE4A84" w:rsidRPr="003A5293">
        <w:rPr>
          <w:rFonts w:ascii="Arial" w:hAnsi="Arial" w:cs="Arial"/>
          <w:sz w:val="22"/>
          <w:szCs w:val="22"/>
          <w:lang w:val="en-US"/>
        </w:rPr>
        <w:t>1</w:t>
      </w:r>
      <w:r w:rsidR="00CE4A84" w:rsidRPr="003A5293">
        <w:rPr>
          <w:rFonts w:ascii="Arial" w:hAnsi="Arial" w:cs="Arial"/>
          <w:sz w:val="22"/>
          <w:szCs w:val="22"/>
          <w:lang w:val="en-US"/>
        </w:rPr>
        <w:sym w:font="Symbol" w:char="F0E7"/>
      </w:r>
      <w:r w:rsidR="00CE4A84" w:rsidRPr="003A5293">
        <w:rPr>
          <w:rFonts w:ascii="Arial" w:hAnsi="Arial" w:cs="Arial"/>
          <w:sz w:val="22"/>
          <w:szCs w:val="22"/>
          <w:lang w:val="en-US"/>
        </w:rPr>
        <w:t xml:space="preserve">, q &lt; 0.1 </w:t>
      </w:r>
      <w:r w:rsidR="00694FC9" w:rsidRPr="003A5293">
        <w:rPr>
          <w:rFonts w:ascii="Arial" w:hAnsi="Arial" w:cs="Arial"/>
          <w:sz w:val="22"/>
          <w:szCs w:val="22"/>
          <w:lang w:val="en-US"/>
        </w:rPr>
        <w:t>between untreated and treated CD34</w:t>
      </w:r>
      <w:r w:rsidR="00694FC9" w:rsidRPr="003A5293">
        <w:rPr>
          <w:rFonts w:ascii="Arial" w:hAnsi="Arial" w:cs="Arial"/>
          <w:sz w:val="22"/>
          <w:szCs w:val="22"/>
          <w:vertAlign w:val="superscript"/>
          <w:lang w:val="en-US"/>
        </w:rPr>
        <w:t>+</w:t>
      </w:r>
      <w:r w:rsidR="00694FC9" w:rsidRPr="003A5293">
        <w:rPr>
          <w:rFonts w:ascii="Arial" w:hAnsi="Arial" w:cs="Arial"/>
          <w:sz w:val="22"/>
          <w:szCs w:val="22"/>
          <w:lang w:val="en-US"/>
        </w:rPr>
        <w:t xml:space="preserve"> P</w:t>
      </w:r>
      <w:r w:rsidR="002B6894">
        <w:rPr>
          <w:rFonts w:ascii="Arial" w:hAnsi="Arial" w:cs="Arial"/>
          <w:sz w:val="22"/>
          <w:szCs w:val="22"/>
          <w:lang w:val="en-US"/>
        </w:rPr>
        <w:t>-</w:t>
      </w:r>
      <w:r w:rsidR="00694FC9" w:rsidRPr="003A5293">
        <w:rPr>
          <w:rFonts w:ascii="Arial" w:hAnsi="Arial" w:cs="Arial"/>
          <w:sz w:val="22"/>
          <w:szCs w:val="22"/>
          <w:lang w:val="en-US"/>
        </w:rPr>
        <w:t xml:space="preserve">ECs </w:t>
      </w:r>
      <w:r w:rsidR="00CE4A84" w:rsidRPr="003A5293">
        <w:rPr>
          <w:rFonts w:ascii="Arial" w:hAnsi="Arial" w:cs="Arial"/>
          <w:sz w:val="22"/>
          <w:szCs w:val="22"/>
          <w:lang w:val="en-US"/>
        </w:rPr>
        <w:t>yielded top 20 differentially expressed genes (DEGs)</w:t>
      </w:r>
      <w:r w:rsidR="00694FC9" w:rsidRPr="003A5293">
        <w:rPr>
          <w:rFonts w:ascii="Arial" w:hAnsi="Arial" w:cs="Arial"/>
          <w:sz w:val="22"/>
          <w:szCs w:val="22"/>
          <w:lang w:val="en-US"/>
        </w:rPr>
        <w:t xml:space="preserve"> enriched mainly with </w:t>
      </w:r>
      <w:proofErr w:type="spellStart"/>
      <w:r w:rsidR="00694FC9" w:rsidRPr="003A5293">
        <w:rPr>
          <w:rFonts w:ascii="Arial" w:hAnsi="Arial" w:cs="Arial"/>
          <w:sz w:val="22"/>
          <w:szCs w:val="22"/>
          <w:lang w:val="en-US"/>
        </w:rPr>
        <w:t>IFNγ</w:t>
      </w:r>
      <w:proofErr w:type="spellEnd"/>
      <w:r w:rsidR="00694FC9" w:rsidRPr="003A5293">
        <w:rPr>
          <w:rFonts w:ascii="Arial" w:hAnsi="Arial" w:cs="Arial"/>
          <w:sz w:val="22"/>
          <w:szCs w:val="22"/>
          <w:lang w:val="en-US"/>
        </w:rPr>
        <w:t>-dependent genes (</w:t>
      </w:r>
      <w:r w:rsidR="00694FC9" w:rsidRPr="003A5293">
        <w:rPr>
          <w:rFonts w:ascii="Arial" w:hAnsi="Arial" w:cs="Arial"/>
          <w:i/>
          <w:iCs/>
          <w:sz w:val="22"/>
          <w:szCs w:val="22"/>
          <w:lang w:val="en-US"/>
        </w:rPr>
        <w:t>TAP1, IRF1, UBD, CXCL10, B2M, VCAM1, STAT1, GBP1, GBP2</w:t>
      </w:r>
      <w:r w:rsidR="00694FC9" w:rsidRPr="003A5293">
        <w:rPr>
          <w:rFonts w:ascii="Arial" w:hAnsi="Arial" w:cs="Arial"/>
          <w:sz w:val="22"/>
          <w:szCs w:val="22"/>
          <w:lang w:val="en-US"/>
        </w:rPr>
        <w:t>) and genes involved in inflammatory responses</w:t>
      </w:r>
      <w:r w:rsidR="002539B5" w:rsidRPr="003A5293">
        <w:rPr>
          <w:rFonts w:ascii="Arial" w:hAnsi="Arial" w:cs="Arial"/>
          <w:sz w:val="22"/>
          <w:szCs w:val="22"/>
          <w:lang w:val="en-US"/>
        </w:rPr>
        <w:t xml:space="preserve"> (Figure 8A, </w:t>
      </w:r>
      <w:r w:rsidR="002539B5" w:rsidRPr="003A5293">
        <w:rPr>
          <w:rFonts w:ascii="Arial" w:hAnsi="Arial" w:cs="Arial"/>
          <w:i/>
          <w:iCs/>
          <w:sz w:val="22"/>
          <w:szCs w:val="22"/>
          <w:lang w:val="en-US"/>
        </w:rPr>
        <w:t>left</w:t>
      </w:r>
      <w:r w:rsidR="002539B5" w:rsidRPr="003A5293">
        <w:rPr>
          <w:rFonts w:ascii="Arial" w:hAnsi="Arial" w:cs="Arial"/>
          <w:sz w:val="22"/>
          <w:szCs w:val="22"/>
          <w:lang w:val="en-US"/>
        </w:rPr>
        <w:t>)</w:t>
      </w:r>
      <w:r w:rsidR="00694FC9" w:rsidRPr="003A5293">
        <w:rPr>
          <w:rFonts w:ascii="Arial" w:hAnsi="Arial" w:cs="Arial"/>
          <w:sz w:val="22"/>
          <w:szCs w:val="22"/>
          <w:lang w:val="en-US"/>
        </w:rPr>
        <w:t xml:space="preserve">. On top of that, all inflammatory mediators present in DEGs of both genotypes, were significantly more expressed in </w:t>
      </w:r>
      <w:r w:rsidR="00694FC9" w:rsidRPr="003A5293">
        <w:rPr>
          <w:rFonts w:ascii="Arial" w:hAnsi="Arial" w:cs="Arial"/>
          <w:i/>
          <w:iCs/>
          <w:sz w:val="22"/>
          <w:szCs w:val="22"/>
          <w:lang w:val="en-US"/>
        </w:rPr>
        <w:t xml:space="preserve">JAK2 </w:t>
      </w:r>
      <w:r w:rsidR="00694FC9" w:rsidRPr="00CD395D">
        <w:rPr>
          <w:rFonts w:ascii="Arial" w:hAnsi="Arial" w:cs="Arial"/>
          <w:sz w:val="22"/>
          <w:szCs w:val="22"/>
          <w:lang w:val="en-US"/>
        </w:rPr>
        <w:t>V617F</w:t>
      </w:r>
      <w:r w:rsidR="00694FC9" w:rsidRPr="003A5293">
        <w:rPr>
          <w:rFonts w:ascii="Arial" w:hAnsi="Arial" w:cs="Arial"/>
          <w:sz w:val="22"/>
          <w:szCs w:val="22"/>
          <w:vertAlign w:val="superscript"/>
          <w:lang w:val="en-US"/>
        </w:rPr>
        <w:t>+</w:t>
      </w:r>
      <w:r w:rsidR="00694FC9" w:rsidRPr="003A5293">
        <w:rPr>
          <w:rFonts w:ascii="Arial" w:hAnsi="Arial" w:cs="Arial"/>
          <w:sz w:val="22"/>
          <w:szCs w:val="22"/>
          <w:lang w:val="en-US"/>
        </w:rPr>
        <w:t xml:space="preserve"> P</w:t>
      </w:r>
      <w:r w:rsidR="002B6894">
        <w:rPr>
          <w:rFonts w:ascii="Arial" w:hAnsi="Arial" w:cs="Arial"/>
          <w:sz w:val="22"/>
          <w:szCs w:val="22"/>
          <w:lang w:val="en-US"/>
        </w:rPr>
        <w:t>-</w:t>
      </w:r>
      <w:r w:rsidR="00694FC9" w:rsidRPr="003A5293">
        <w:rPr>
          <w:rFonts w:ascii="Arial" w:hAnsi="Arial" w:cs="Arial"/>
          <w:sz w:val="22"/>
          <w:szCs w:val="22"/>
          <w:lang w:val="en-US"/>
        </w:rPr>
        <w:t>ECs</w:t>
      </w:r>
      <w:r w:rsidR="002539B5" w:rsidRPr="003A5293">
        <w:rPr>
          <w:rFonts w:ascii="Arial" w:hAnsi="Arial" w:cs="Arial"/>
          <w:sz w:val="22"/>
          <w:szCs w:val="22"/>
          <w:lang w:val="en-US"/>
        </w:rPr>
        <w:t xml:space="preserve">, further highlighting robust inflammatory program in PV HSCs and early progenitors (Figure 8A, </w:t>
      </w:r>
      <w:r w:rsidR="002539B5" w:rsidRPr="003A5293">
        <w:rPr>
          <w:rFonts w:ascii="Arial" w:hAnsi="Arial" w:cs="Arial"/>
          <w:i/>
          <w:iCs/>
          <w:sz w:val="22"/>
          <w:szCs w:val="22"/>
          <w:lang w:val="en-US"/>
        </w:rPr>
        <w:t>right</w:t>
      </w:r>
      <w:r w:rsidR="002539B5" w:rsidRPr="003A5293">
        <w:rPr>
          <w:rFonts w:ascii="Arial" w:hAnsi="Arial" w:cs="Arial"/>
          <w:sz w:val="22"/>
          <w:szCs w:val="22"/>
          <w:lang w:val="en-US"/>
        </w:rPr>
        <w:t>).</w:t>
      </w:r>
      <w:r w:rsidR="00687990" w:rsidRPr="003A5293">
        <w:rPr>
          <w:rFonts w:ascii="Arial" w:hAnsi="Arial" w:cs="Arial"/>
          <w:sz w:val="22"/>
          <w:szCs w:val="22"/>
          <w:lang w:val="en-US"/>
        </w:rPr>
        <w:t xml:space="preserve"> Overrepresentation</w:t>
      </w:r>
      <w:r w:rsidR="00F73007" w:rsidRPr="003A5293">
        <w:rPr>
          <w:rFonts w:ascii="Arial" w:hAnsi="Arial" w:cs="Arial"/>
          <w:sz w:val="22"/>
          <w:szCs w:val="22"/>
          <w:lang w:val="en-US"/>
        </w:rPr>
        <w:t xml:space="preserve">, network module </w:t>
      </w:r>
      <w:r w:rsidR="002A27BF" w:rsidRPr="003A5293">
        <w:rPr>
          <w:rFonts w:ascii="Arial" w:hAnsi="Arial" w:cs="Arial"/>
          <w:sz w:val="22"/>
          <w:szCs w:val="22"/>
          <w:lang w:val="en-US"/>
        </w:rPr>
        <w:t xml:space="preserve">and </w:t>
      </w:r>
      <w:r w:rsidR="00F73007" w:rsidRPr="003A5293">
        <w:rPr>
          <w:rFonts w:ascii="Arial" w:hAnsi="Arial" w:cs="Arial"/>
          <w:sz w:val="22"/>
          <w:szCs w:val="22"/>
          <w:lang w:val="en-US"/>
        </w:rPr>
        <w:t>gene set enrichment analysis (</w:t>
      </w:r>
      <w:r w:rsidR="002A27BF" w:rsidRPr="003A5293">
        <w:rPr>
          <w:rFonts w:ascii="Arial" w:hAnsi="Arial" w:cs="Arial"/>
          <w:sz w:val="22"/>
          <w:szCs w:val="22"/>
          <w:lang w:val="en-US"/>
        </w:rPr>
        <w:t>GSEA</w:t>
      </w:r>
      <w:r w:rsidR="00F73007" w:rsidRPr="003A5293">
        <w:rPr>
          <w:rFonts w:ascii="Arial" w:hAnsi="Arial" w:cs="Arial"/>
          <w:sz w:val="22"/>
          <w:szCs w:val="22"/>
          <w:lang w:val="en-US"/>
        </w:rPr>
        <w:t>)</w:t>
      </w:r>
      <w:r w:rsidR="002A27BF" w:rsidRPr="003A5293">
        <w:rPr>
          <w:rFonts w:ascii="Arial" w:hAnsi="Arial" w:cs="Arial"/>
          <w:sz w:val="22"/>
          <w:szCs w:val="22"/>
          <w:lang w:val="en-US"/>
        </w:rPr>
        <w:t xml:space="preserve"> </w:t>
      </w:r>
      <w:r w:rsidR="002A27BF" w:rsidRPr="003A5293">
        <w:rPr>
          <w:rFonts w:ascii="Arial" w:hAnsi="Arial" w:cs="Arial"/>
          <w:sz w:val="22"/>
          <w:szCs w:val="22"/>
          <w:lang w:val="en-US"/>
        </w:rPr>
        <w:lastRenderedPageBreak/>
        <w:t xml:space="preserve">analysis </w:t>
      </w:r>
      <w:r w:rsidR="00687990" w:rsidRPr="003A5293">
        <w:rPr>
          <w:rFonts w:ascii="Arial" w:hAnsi="Arial" w:cs="Arial"/>
          <w:sz w:val="22"/>
          <w:szCs w:val="22"/>
          <w:lang w:val="en-US"/>
        </w:rPr>
        <w:t xml:space="preserve">of DEGs, showed </w:t>
      </w:r>
      <w:r w:rsidR="000476EC" w:rsidRPr="003A5293">
        <w:rPr>
          <w:rFonts w:ascii="Arial" w:hAnsi="Arial" w:cs="Arial"/>
          <w:sz w:val="22"/>
          <w:szCs w:val="22"/>
          <w:lang w:val="en-US"/>
        </w:rPr>
        <w:t>type II interferon</w:t>
      </w:r>
      <w:r w:rsidR="00F73007" w:rsidRPr="003A5293">
        <w:rPr>
          <w:rFonts w:ascii="Arial" w:hAnsi="Arial" w:cs="Arial"/>
          <w:sz w:val="22"/>
          <w:szCs w:val="22"/>
          <w:lang w:val="en-US"/>
        </w:rPr>
        <w:t xml:space="preserve">, </w:t>
      </w:r>
      <w:r w:rsidR="002A27BF" w:rsidRPr="003A5293">
        <w:rPr>
          <w:rFonts w:ascii="Arial" w:hAnsi="Arial" w:cs="Arial"/>
          <w:sz w:val="22"/>
          <w:szCs w:val="22"/>
          <w:lang w:val="en-US"/>
        </w:rPr>
        <w:t>NF-</w:t>
      </w:r>
      <w:r w:rsidR="002A27BF" w:rsidRPr="003A5293">
        <w:rPr>
          <w:rFonts w:ascii="Arial" w:hAnsi="Arial" w:cs="Arial"/>
          <w:sz w:val="22"/>
          <w:szCs w:val="22"/>
          <w:lang w:val="en-US"/>
        </w:rPr>
        <w:sym w:font="Symbol" w:char="F06B"/>
      </w:r>
      <w:r w:rsidR="002A27BF" w:rsidRPr="003A5293">
        <w:rPr>
          <w:rFonts w:ascii="Arial" w:hAnsi="Arial" w:cs="Arial"/>
          <w:sz w:val="22"/>
          <w:szCs w:val="22"/>
          <w:lang w:val="en-US"/>
        </w:rPr>
        <w:t xml:space="preserve">B </w:t>
      </w:r>
      <w:r w:rsidR="00F73007" w:rsidRPr="003A5293">
        <w:rPr>
          <w:rFonts w:ascii="Arial" w:hAnsi="Arial" w:cs="Arial"/>
          <w:sz w:val="22"/>
          <w:szCs w:val="22"/>
          <w:lang w:val="en-US"/>
        </w:rPr>
        <w:t>and</w:t>
      </w:r>
      <w:r w:rsidR="000476EC" w:rsidRPr="003A5293">
        <w:rPr>
          <w:rFonts w:ascii="Arial" w:hAnsi="Arial" w:cs="Arial"/>
          <w:sz w:val="22"/>
          <w:szCs w:val="22"/>
          <w:lang w:val="en-US"/>
        </w:rPr>
        <w:t xml:space="preserve"> antigen presentation as significantly affected pathways, </w:t>
      </w:r>
      <w:r w:rsidR="00F73007" w:rsidRPr="003A5293">
        <w:rPr>
          <w:rFonts w:ascii="Arial" w:hAnsi="Arial" w:cs="Arial"/>
          <w:sz w:val="22"/>
          <w:szCs w:val="22"/>
          <w:lang w:val="en-US"/>
        </w:rPr>
        <w:t>supporting</w:t>
      </w:r>
      <w:r w:rsidR="000476EC" w:rsidRPr="003A5293">
        <w:rPr>
          <w:rFonts w:ascii="Arial" w:hAnsi="Arial" w:cs="Arial"/>
          <w:sz w:val="22"/>
          <w:szCs w:val="22"/>
          <w:lang w:val="en-US"/>
        </w:rPr>
        <w:t xml:space="preserve"> </w:t>
      </w:r>
      <w:proofErr w:type="spellStart"/>
      <w:r w:rsidR="000476EC" w:rsidRPr="003A5293">
        <w:rPr>
          <w:rFonts w:ascii="Arial" w:hAnsi="Arial" w:cs="Arial"/>
          <w:sz w:val="22"/>
          <w:szCs w:val="22"/>
          <w:lang w:val="en-US"/>
        </w:rPr>
        <w:t>IFNγ</w:t>
      </w:r>
      <w:proofErr w:type="spellEnd"/>
      <w:r w:rsidR="000476EC" w:rsidRPr="003A5293">
        <w:rPr>
          <w:rFonts w:ascii="Arial" w:hAnsi="Arial" w:cs="Arial"/>
          <w:sz w:val="22"/>
          <w:szCs w:val="22"/>
          <w:lang w:val="en-US"/>
        </w:rPr>
        <w:t xml:space="preserve"> priming of PV HSCs and </w:t>
      </w:r>
      <w:r w:rsidR="00F73007" w:rsidRPr="003A5293">
        <w:rPr>
          <w:rFonts w:ascii="Arial" w:hAnsi="Arial" w:cs="Arial"/>
          <w:sz w:val="22"/>
          <w:szCs w:val="22"/>
          <w:lang w:val="en-US"/>
        </w:rPr>
        <w:t xml:space="preserve">suggesting </w:t>
      </w:r>
      <w:r w:rsidR="000476EC" w:rsidRPr="003A5293">
        <w:rPr>
          <w:rFonts w:ascii="Arial" w:hAnsi="Arial" w:cs="Arial"/>
          <w:sz w:val="22"/>
          <w:szCs w:val="22"/>
          <w:lang w:val="en-US"/>
        </w:rPr>
        <w:t>its impact on immunogenicity and eventually immune surveillance in BM niche</w:t>
      </w:r>
      <w:r w:rsidR="002A27BF" w:rsidRPr="003A5293">
        <w:rPr>
          <w:rFonts w:ascii="Arial" w:hAnsi="Arial" w:cs="Arial"/>
          <w:sz w:val="22"/>
          <w:szCs w:val="22"/>
          <w:lang w:val="en-US"/>
        </w:rPr>
        <w:t xml:space="preserve"> (F</w:t>
      </w:r>
      <w:r w:rsidR="00431516">
        <w:rPr>
          <w:rFonts w:ascii="Arial" w:hAnsi="Arial" w:cs="Arial"/>
          <w:sz w:val="22"/>
          <w:szCs w:val="22"/>
          <w:lang w:val="en-US"/>
        </w:rPr>
        <w:t>i</w:t>
      </w:r>
      <w:r w:rsidR="002A27BF" w:rsidRPr="003A5293">
        <w:rPr>
          <w:rFonts w:ascii="Arial" w:hAnsi="Arial" w:cs="Arial"/>
          <w:sz w:val="22"/>
          <w:szCs w:val="22"/>
          <w:lang w:val="en-US"/>
        </w:rPr>
        <w:t>gure 8B)</w:t>
      </w:r>
      <w:r w:rsidR="000476EC" w:rsidRPr="003A5293">
        <w:rPr>
          <w:rFonts w:ascii="Arial" w:hAnsi="Arial" w:cs="Arial"/>
          <w:sz w:val="22"/>
          <w:szCs w:val="22"/>
          <w:lang w:val="en-US"/>
        </w:rPr>
        <w:t xml:space="preserve">. </w:t>
      </w:r>
    </w:p>
    <w:p w14:paraId="40E5254C" w14:textId="77777777" w:rsidR="00694FC9" w:rsidRPr="003A5293" w:rsidRDefault="00694FC9">
      <w:pPr>
        <w:rPr>
          <w:rFonts w:ascii="Arial" w:hAnsi="Arial" w:cs="Arial"/>
          <w:b/>
          <w:bCs/>
          <w:sz w:val="28"/>
          <w:szCs w:val="28"/>
          <w:lang w:val="en-US"/>
        </w:rPr>
      </w:pPr>
    </w:p>
    <w:p w14:paraId="31D4BD96" w14:textId="77777777" w:rsidR="005C5CDA" w:rsidRPr="003A5293" w:rsidRDefault="005C5CDA" w:rsidP="00DF3976">
      <w:pPr>
        <w:spacing w:line="360" w:lineRule="auto"/>
        <w:jc w:val="both"/>
        <w:rPr>
          <w:rFonts w:ascii="Arial" w:hAnsi="Arial" w:cs="Arial"/>
          <w:b/>
          <w:bCs/>
          <w:sz w:val="28"/>
          <w:szCs w:val="28"/>
          <w:lang w:val="en-US"/>
        </w:rPr>
      </w:pPr>
      <w:r w:rsidRPr="003A5293">
        <w:rPr>
          <w:rFonts w:ascii="Arial" w:hAnsi="Arial" w:cs="Arial"/>
          <w:b/>
          <w:bCs/>
          <w:sz w:val="28"/>
          <w:szCs w:val="28"/>
          <w:lang w:val="en-US"/>
        </w:rPr>
        <w:t>A</w:t>
      </w:r>
    </w:p>
    <w:p w14:paraId="4979E953" w14:textId="77777777" w:rsidR="00A22A33" w:rsidRPr="003A5293" w:rsidRDefault="005C5CDA" w:rsidP="00DF3976">
      <w:pPr>
        <w:spacing w:line="360" w:lineRule="auto"/>
        <w:jc w:val="both"/>
        <w:rPr>
          <w:rFonts w:ascii="Arial" w:hAnsi="Arial" w:cs="Arial"/>
          <w:sz w:val="22"/>
          <w:szCs w:val="22"/>
          <w:lang w:val="en-US"/>
        </w:rPr>
      </w:pPr>
      <w:r w:rsidRPr="003A5293">
        <w:rPr>
          <w:rFonts w:ascii="Arial" w:hAnsi="Arial" w:cs="Arial"/>
          <w:noProof/>
          <w:sz w:val="22"/>
          <w:szCs w:val="22"/>
          <w:lang w:val="cs-CZ" w:eastAsia="cs-CZ"/>
        </w:rPr>
        <w:drawing>
          <wp:inline distT="0" distB="0" distL="0" distR="0" wp14:anchorId="0136851A" wp14:editId="239CF3BD">
            <wp:extent cx="5395595" cy="2482215"/>
            <wp:effectExtent l="0" t="0" r="190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schirmfoto 2020-01-19 um 19.12.40.png"/>
                    <pic:cNvPicPr/>
                  </pic:nvPicPr>
                  <pic:blipFill>
                    <a:blip r:embed="rId19">
                      <a:extLst>
                        <a:ext uri="{28A0092B-C50C-407E-A947-70E740481C1C}">
                          <a14:useLocalDpi xmlns:a14="http://schemas.microsoft.com/office/drawing/2010/main" val="0"/>
                        </a:ext>
                      </a:extLst>
                    </a:blip>
                    <a:stretch>
                      <a:fillRect/>
                    </a:stretch>
                  </pic:blipFill>
                  <pic:spPr>
                    <a:xfrm>
                      <a:off x="0" y="0"/>
                      <a:ext cx="5395595" cy="2482215"/>
                    </a:xfrm>
                    <a:prstGeom prst="rect">
                      <a:avLst/>
                    </a:prstGeom>
                  </pic:spPr>
                </pic:pic>
              </a:graphicData>
            </a:graphic>
          </wp:inline>
        </w:drawing>
      </w:r>
    </w:p>
    <w:p w14:paraId="64F8FA14" w14:textId="77777777" w:rsidR="00A22A33" w:rsidRPr="003A5293" w:rsidRDefault="005C5CDA" w:rsidP="00DF3976">
      <w:pPr>
        <w:spacing w:line="360" w:lineRule="auto"/>
        <w:jc w:val="both"/>
        <w:rPr>
          <w:rFonts w:ascii="Arial" w:hAnsi="Arial" w:cs="Arial"/>
          <w:b/>
          <w:bCs/>
          <w:sz w:val="28"/>
          <w:szCs w:val="28"/>
          <w:lang w:val="en-US"/>
        </w:rPr>
      </w:pPr>
      <w:r w:rsidRPr="003A5293">
        <w:rPr>
          <w:rFonts w:ascii="Arial" w:hAnsi="Arial" w:cs="Arial"/>
          <w:b/>
          <w:bCs/>
          <w:sz w:val="28"/>
          <w:szCs w:val="28"/>
          <w:lang w:val="en-US"/>
        </w:rPr>
        <w:t>B</w:t>
      </w:r>
    </w:p>
    <w:p w14:paraId="3E9EC4CE" w14:textId="77777777" w:rsidR="00D26315" w:rsidRPr="003A5293" w:rsidRDefault="005C5CDA" w:rsidP="00BE015D">
      <w:pPr>
        <w:spacing w:line="360" w:lineRule="auto"/>
        <w:jc w:val="center"/>
        <w:rPr>
          <w:rFonts w:ascii="Arial" w:hAnsi="Arial" w:cs="Arial"/>
          <w:b/>
          <w:bCs/>
          <w:sz w:val="28"/>
          <w:szCs w:val="28"/>
          <w:lang w:val="en-US"/>
        </w:rPr>
      </w:pPr>
      <w:r w:rsidRPr="003A5293">
        <w:rPr>
          <w:rFonts w:ascii="Arial" w:hAnsi="Arial" w:cs="Arial"/>
          <w:b/>
          <w:bCs/>
          <w:noProof/>
          <w:sz w:val="28"/>
          <w:szCs w:val="28"/>
          <w:lang w:val="cs-CZ" w:eastAsia="cs-CZ"/>
        </w:rPr>
        <w:drawing>
          <wp:inline distT="0" distB="0" distL="0" distR="0" wp14:anchorId="573F6377" wp14:editId="35D7AE5A">
            <wp:extent cx="4730750" cy="2645433"/>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schirmfoto 2020-01-19 um 19.14.06.png"/>
                    <pic:cNvPicPr/>
                  </pic:nvPicPr>
                  <pic:blipFill rotWithShape="1">
                    <a:blip r:embed="rId20">
                      <a:extLst>
                        <a:ext uri="{28A0092B-C50C-407E-A947-70E740481C1C}">
                          <a14:useLocalDpi xmlns:a14="http://schemas.microsoft.com/office/drawing/2010/main" val="0"/>
                        </a:ext>
                      </a:extLst>
                    </a:blip>
                    <a:srcRect t="1918" r="1937" b="2855"/>
                    <a:stretch/>
                  </pic:blipFill>
                  <pic:spPr bwMode="auto">
                    <a:xfrm>
                      <a:off x="0" y="0"/>
                      <a:ext cx="4750482" cy="2656467"/>
                    </a:xfrm>
                    <a:prstGeom prst="rect">
                      <a:avLst/>
                    </a:prstGeom>
                    <a:ln>
                      <a:noFill/>
                    </a:ln>
                    <a:extLst>
                      <a:ext uri="{53640926-AAD7-44D8-BBD7-CCE9431645EC}">
                        <a14:shadowObscured xmlns:a14="http://schemas.microsoft.com/office/drawing/2010/main"/>
                      </a:ext>
                    </a:extLst>
                  </pic:spPr>
                </pic:pic>
              </a:graphicData>
            </a:graphic>
          </wp:inline>
        </w:drawing>
      </w:r>
    </w:p>
    <w:p w14:paraId="6BF0F01F" w14:textId="77777777" w:rsidR="00BE015D" w:rsidRPr="003A5293" w:rsidRDefault="00694FC9" w:rsidP="00DF3976">
      <w:pPr>
        <w:spacing w:line="360" w:lineRule="auto"/>
        <w:jc w:val="both"/>
        <w:rPr>
          <w:rFonts w:ascii="Arial" w:eastAsia="+mn-ea" w:hAnsi="Arial" w:cs="Arial"/>
          <w:color w:val="000000"/>
          <w:kern w:val="24"/>
          <w:sz w:val="22"/>
          <w:szCs w:val="22"/>
          <w:lang w:val="en-US" w:eastAsia="cs-CZ"/>
        </w:rPr>
      </w:pPr>
      <w:r w:rsidRPr="003A5293">
        <w:rPr>
          <w:rFonts w:ascii="Arial" w:hAnsi="Arial" w:cs="Arial"/>
          <w:b/>
          <w:bCs/>
          <w:sz w:val="22"/>
          <w:szCs w:val="22"/>
          <w:lang w:val="en-US"/>
        </w:rPr>
        <w:t>Figure 8</w:t>
      </w:r>
      <w:r w:rsidRPr="003A5293">
        <w:rPr>
          <w:rFonts w:ascii="Arial" w:hAnsi="Arial" w:cs="Arial"/>
          <w:sz w:val="22"/>
          <w:szCs w:val="22"/>
          <w:lang w:val="en-US"/>
        </w:rPr>
        <w:t xml:space="preserve">: </w:t>
      </w:r>
      <w:r w:rsidR="002A27BF" w:rsidRPr="003A5293">
        <w:rPr>
          <w:rFonts w:ascii="Arial" w:hAnsi="Arial" w:cs="Arial"/>
          <w:b/>
          <w:bCs/>
          <w:sz w:val="22"/>
          <w:szCs w:val="22"/>
          <w:lang w:val="en-US"/>
        </w:rPr>
        <w:t>A</w:t>
      </w:r>
      <w:r w:rsidR="002A27BF" w:rsidRPr="003A5293">
        <w:rPr>
          <w:rFonts w:ascii="Arial" w:hAnsi="Arial" w:cs="Arial"/>
          <w:sz w:val="22"/>
          <w:szCs w:val="22"/>
          <w:lang w:val="en-US"/>
        </w:rPr>
        <w:t xml:space="preserve"> </w:t>
      </w:r>
      <w:r w:rsidR="002A27BF" w:rsidRPr="003A5293">
        <w:rPr>
          <w:rFonts w:ascii="Arial" w:hAnsi="Arial" w:cs="Arial"/>
          <w:i/>
          <w:iCs/>
          <w:sz w:val="22"/>
          <w:szCs w:val="22"/>
          <w:lang w:val="en-US"/>
        </w:rPr>
        <w:t>Left -</w:t>
      </w:r>
      <w:r w:rsidR="002A27BF" w:rsidRPr="003A5293">
        <w:rPr>
          <w:rFonts w:ascii="Arial" w:hAnsi="Arial" w:cs="Arial"/>
          <w:sz w:val="22"/>
          <w:szCs w:val="22"/>
          <w:lang w:val="en-US"/>
        </w:rPr>
        <w:t xml:space="preserve"> </w:t>
      </w:r>
      <w:r w:rsidR="002A27BF" w:rsidRPr="003A5293">
        <w:rPr>
          <w:rFonts w:ascii="Arial" w:eastAsia="+mn-ea" w:hAnsi="Arial" w:cs="Arial"/>
          <w:color w:val="000000"/>
          <w:kern w:val="24"/>
          <w:sz w:val="22"/>
          <w:szCs w:val="22"/>
          <w:lang w:val="en-US" w:eastAsia="cs-CZ"/>
        </w:rPr>
        <w:t xml:space="preserve">tables list top 20 DEGs, ranked according to adjusted p-value, between d9 and d9 </w:t>
      </w:r>
      <w:proofErr w:type="spellStart"/>
      <w:r w:rsidR="002A27BF" w:rsidRPr="003A5293">
        <w:rPr>
          <w:rFonts w:ascii="Arial" w:eastAsia="+mn-ea" w:hAnsi="Arial" w:cs="Arial"/>
          <w:color w:val="000000"/>
          <w:kern w:val="24"/>
          <w:sz w:val="22"/>
          <w:szCs w:val="22"/>
          <w:lang w:val="en-US" w:eastAsia="cs-CZ"/>
        </w:rPr>
        <w:t>cyt</w:t>
      </w:r>
      <w:proofErr w:type="spellEnd"/>
      <w:r w:rsidR="002A27BF" w:rsidRPr="003A5293">
        <w:rPr>
          <w:rFonts w:ascii="Arial" w:eastAsia="+mn-ea" w:hAnsi="Arial" w:cs="Arial"/>
          <w:color w:val="000000"/>
          <w:kern w:val="24"/>
          <w:sz w:val="22"/>
          <w:szCs w:val="22"/>
          <w:lang w:val="en-US" w:eastAsia="cs-CZ"/>
        </w:rPr>
        <w:t xml:space="preserve"> </w:t>
      </w:r>
      <w:r w:rsidR="002A27BF" w:rsidRPr="003A5293">
        <w:rPr>
          <w:rFonts w:ascii="Arial" w:eastAsia="+mn-ea" w:hAnsi="Arial" w:cs="Arial"/>
          <w:i/>
          <w:iCs/>
          <w:color w:val="000000"/>
          <w:kern w:val="24"/>
          <w:sz w:val="22"/>
          <w:szCs w:val="22"/>
          <w:lang w:val="en-US" w:eastAsia="cs-CZ"/>
        </w:rPr>
        <w:t>JAK2</w:t>
      </w:r>
      <w:r w:rsidR="002A27BF" w:rsidRPr="003A5293">
        <w:rPr>
          <w:rFonts w:ascii="Arial" w:eastAsia="+mn-ea" w:hAnsi="Arial" w:cs="Arial"/>
          <w:color w:val="000000"/>
          <w:kern w:val="24"/>
          <w:sz w:val="22"/>
          <w:szCs w:val="22"/>
          <w:lang w:val="en-US" w:eastAsia="cs-CZ"/>
        </w:rPr>
        <w:t xml:space="preserve"> </w:t>
      </w:r>
      <w:proofErr w:type="spellStart"/>
      <w:r w:rsidR="002A27BF" w:rsidRPr="003A5293">
        <w:rPr>
          <w:rFonts w:ascii="Arial" w:eastAsia="+mn-ea" w:hAnsi="Arial" w:cs="Arial"/>
          <w:color w:val="000000"/>
          <w:kern w:val="24"/>
          <w:sz w:val="22"/>
          <w:szCs w:val="22"/>
          <w:lang w:val="en-US" w:eastAsia="cs-CZ"/>
        </w:rPr>
        <w:t>wt</w:t>
      </w:r>
      <w:proofErr w:type="spellEnd"/>
      <w:r w:rsidR="002A27BF" w:rsidRPr="003A5293">
        <w:rPr>
          <w:rFonts w:ascii="Arial" w:eastAsia="+mn-ea" w:hAnsi="Arial" w:cs="Arial"/>
          <w:color w:val="000000"/>
          <w:kern w:val="24"/>
          <w:sz w:val="22"/>
          <w:szCs w:val="22"/>
          <w:lang w:val="en-US" w:eastAsia="cs-CZ"/>
        </w:rPr>
        <w:t xml:space="preserve"> (table in black) or </w:t>
      </w:r>
      <w:r w:rsidR="002A27BF" w:rsidRPr="003A5293">
        <w:rPr>
          <w:rFonts w:ascii="Arial" w:eastAsia="+mn-ea" w:hAnsi="Arial" w:cs="Arial"/>
          <w:i/>
          <w:iCs/>
          <w:color w:val="000000"/>
          <w:kern w:val="24"/>
          <w:sz w:val="22"/>
          <w:szCs w:val="22"/>
          <w:lang w:val="en-US" w:eastAsia="cs-CZ"/>
        </w:rPr>
        <w:t xml:space="preserve">JAK2 </w:t>
      </w:r>
      <w:r w:rsidR="002A27BF" w:rsidRPr="00CD395D">
        <w:rPr>
          <w:rFonts w:ascii="Arial" w:eastAsia="+mn-ea" w:hAnsi="Arial" w:cs="Arial"/>
          <w:color w:val="000000"/>
          <w:kern w:val="24"/>
          <w:sz w:val="22"/>
          <w:szCs w:val="22"/>
          <w:lang w:val="en-US" w:eastAsia="cs-CZ"/>
        </w:rPr>
        <w:t>V617F</w:t>
      </w:r>
      <w:r w:rsidR="002A27BF" w:rsidRPr="003A5293">
        <w:rPr>
          <w:rFonts w:ascii="Arial" w:eastAsia="+mn-ea" w:hAnsi="Arial" w:cs="Arial"/>
          <w:color w:val="000000"/>
          <w:kern w:val="24"/>
          <w:sz w:val="22"/>
          <w:szCs w:val="22"/>
          <w:vertAlign w:val="superscript"/>
          <w:lang w:val="en-US" w:eastAsia="cs-CZ"/>
        </w:rPr>
        <w:t>+</w:t>
      </w:r>
      <w:r w:rsidR="002A27BF" w:rsidRPr="003A5293">
        <w:rPr>
          <w:rFonts w:ascii="Arial" w:eastAsia="+mn-ea" w:hAnsi="Arial" w:cs="Arial"/>
          <w:color w:val="000000"/>
          <w:kern w:val="24"/>
          <w:sz w:val="22"/>
          <w:szCs w:val="22"/>
          <w:lang w:val="en-US" w:eastAsia="cs-CZ"/>
        </w:rPr>
        <w:t xml:space="preserve"> (table in gray) CD34</w:t>
      </w:r>
      <w:r w:rsidR="002A27BF" w:rsidRPr="003A5293">
        <w:rPr>
          <w:rFonts w:ascii="Arial" w:eastAsia="+mn-ea" w:hAnsi="Arial" w:cs="Arial"/>
          <w:color w:val="000000"/>
          <w:kern w:val="24"/>
          <w:sz w:val="22"/>
          <w:szCs w:val="22"/>
          <w:vertAlign w:val="superscript"/>
          <w:lang w:val="en-US" w:eastAsia="cs-CZ"/>
        </w:rPr>
        <w:t>+</w:t>
      </w:r>
      <w:r w:rsidR="002A27BF" w:rsidRPr="003A5293">
        <w:rPr>
          <w:rFonts w:ascii="Arial" w:eastAsia="+mn-ea" w:hAnsi="Arial" w:cs="Arial"/>
          <w:color w:val="000000"/>
          <w:kern w:val="24"/>
          <w:sz w:val="22"/>
          <w:szCs w:val="22"/>
          <w:lang w:val="en-US" w:eastAsia="cs-CZ"/>
        </w:rPr>
        <w:t xml:space="preserve"> P-ECs. List of genes was created using </w:t>
      </w:r>
      <w:proofErr w:type="spellStart"/>
      <w:r w:rsidR="002A27BF" w:rsidRPr="003A5293">
        <w:rPr>
          <w:rFonts w:ascii="Arial" w:eastAsia="+mn-ea" w:hAnsi="Arial" w:cs="Arial"/>
          <w:color w:val="000000"/>
          <w:kern w:val="24"/>
          <w:sz w:val="22"/>
          <w:szCs w:val="22"/>
          <w:lang w:val="en-US" w:eastAsia="cs-CZ"/>
        </w:rPr>
        <w:t>logFC</w:t>
      </w:r>
      <w:proofErr w:type="spellEnd"/>
      <w:r w:rsidR="002A27BF" w:rsidRPr="003A5293">
        <w:rPr>
          <w:rFonts w:ascii="Arial" w:eastAsia="+mn-ea" w:hAnsi="Arial" w:cs="Arial"/>
          <w:color w:val="000000"/>
          <w:kern w:val="24"/>
          <w:sz w:val="22"/>
          <w:szCs w:val="22"/>
          <w:lang w:val="en-US" w:eastAsia="cs-CZ"/>
        </w:rPr>
        <w:t xml:space="preserve"> &gt; 1, q &lt; 0.1 cut-off. Expression and adjusted p-values of shared DEGs from both tables are depicted by </w:t>
      </w:r>
      <w:r w:rsidR="002A27BF" w:rsidRPr="003A5293">
        <w:rPr>
          <w:rFonts w:ascii="Arial" w:eastAsia="+mn-ea" w:hAnsi="Arial" w:cs="Arial"/>
          <w:i/>
          <w:iCs/>
          <w:color w:val="000000"/>
          <w:kern w:val="24"/>
          <w:sz w:val="22"/>
          <w:szCs w:val="22"/>
          <w:lang w:val="en-US" w:eastAsia="cs-CZ"/>
        </w:rPr>
        <w:t>right</w:t>
      </w:r>
      <w:r w:rsidR="002A27BF" w:rsidRPr="003A5293">
        <w:rPr>
          <w:rFonts w:ascii="Arial" w:eastAsia="+mn-ea" w:hAnsi="Arial" w:cs="Arial"/>
          <w:color w:val="000000"/>
          <w:kern w:val="24"/>
          <w:sz w:val="22"/>
          <w:szCs w:val="22"/>
          <w:lang w:val="en-US" w:eastAsia="cs-CZ"/>
        </w:rPr>
        <w:t xml:space="preserve"> bar chart showing higher expression of all shared DEGs in </w:t>
      </w:r>
      <w:r w:rsidR="002A27BF" w:rsidRPr="00CD395D">
        <w:rPr>
          <w:rFonts w:ascii="Arial" w:eastAsia="+mn-ea" w:hAnsi="Arial" w:cs="Arial"/>
          <w:i/>
          <w:iCs/>
          <w:color w:val="000000"/>
          <w:kern w:val="24"/>
          <w:sz w:val="22"/>
          <w:szCs w:val="22"/>
          <w:lang w:val="en-US" w:eastAsia="cs-CZ"/>
        </w:rPr>
        <w:t>JAK2</w:t>
      </w:r>
      <w:r w:rsidR="00CD395D">
        <w:rPr>
          <w:rFonts w:ascii="Arial" w:eastAsia="+mn-ea" w:hAnsi="Arial" w:cs="Arial"/>
          <w:color w:val="000000"/>
          <w:kern w:val="24"/>
          <w:sz w:val="22"/>
          <w:szCs w:val="22"/>
          <w:lang w:val="en-US" w:eastAsia="cs-CZ"/>
        </w:rPr>
        <w:t xml:space="preserve"> </w:t>
      </w:r>
      <w:r w:rsidR="002A27BF" w:rsidRPr="003A5293">
        <w:rPr>
          <w:rFonts w:ascii="Arial" w:eastAsia="+mn-ea" w:hAnsi="Arial" w:cs="Arial"/>
          <w:color w:val="000000"/>
          <w:kern w:val="24"/>
          <w:sz w:val="22"/>
          <w:szCs w:val="22"/>
          <w:lang w:val="en-US" w:eastAsia="cs-CZ"/>
        </w:rPr>
        <w:t>V617F</w:t>
      </w:r>
      <w:r w:rsidR="002A27BF" w:rsidRPr="003A5293">
        <w:rPr>
          <w:rFonts w:ascii="Arial" w:eastAsia="+mn-ea" w:hAnsi="Arial" w:cs="Arial"/>
          <w:color w:val="000000"/>
          <w:kern w:val="24"/>
          <w:sz w:val="22"/>
          <w:szCs w:val="22"/>
          <w:vertAlign w:val="superscript"/>
          <w:lang w:val="en-US" w:eastAsia="cs-CZ"/>
        </w:rPr>
        <w:t>+</w:t>
      </w:r>
      <w:r w:rsidR="002A27BF" w:rsidRPr="003A5293">
        <w:rPr>
          <w:rFonts w:ascii="Arial" w:eastAsia="+mn-ea" w:hAnsi="Arial" w:cs="Arial"/>
          <w:color w:val="000000"/>
          <w:kern w:val="24"/>
          <w:sz w:val="22"/>
          <w:szCs w:val="22"/>
          <w:lang w:val="en-US" w:eastAsia="cs-CZ"/>
        </w:rPr>
        <w:t xml:space="preserve"> CD34</w:t>
      </w:r>
      <w:r w:rsidR="002A27BF" w:rsidRPr="003A5293">
        <w:rPr>
          <w:rFonts w:ascii="Arial" w:eastAsia="+mn-ea" w:hAnsi="Arial" w:cs="Arial"/>
          <w:color w:val="000000"/>
          <w:kern w:val="24"/>
          <w:sz w:val="22"/>
          <w:szCs w:val="22"/>
          <w:vertAlign w:val="superscript"/>
          <w:lang w:val="en-US" w:eastAsia="cs-CZ"/>
        </w:rPr>
        <w:t>+</w:t>
      </w:r>
      <w:r w:rsidR="002A27BF" w:rsidRPr="003A5293">
        <w:rPr>
          <w:rFonts w:ascii="Arial" w:eastAsia="+mn-ea" w:hAnsi="Arial" w:cs="Arial"/>
          <w:color w:val="000000"/>
          <w:kern w:val="24"/>
          <w:sz w:val="22"/>
          <w:szCs w:val="22"/>
          <w:lang w:val="en-US" w:eastAsia="cs-CZ"/>
        </w:rPr>
        <w:t xml:space="preserve"> P-ECs. B Overrepresentation analysis of differentially upregulated genes between d9 and d9 </w:t>
      </w:r>
      <w:proofErr w:type="spellStart"/>
      <w:r w:rsidR="002A27BF" w:rsidRPr="003A5293">
        <w:rPr>
          <w:rFonts w:ascii="Arial" w:eastAsia="+mn-ea" w:hAnsi="Arial" w:cs="Arial"/>
          <w:color w:val="000000"/>
          <w:kern w:val="24"/>
          <w:sz w:val="22"/>
          <w:szCs w:val="22"/>
          <w:lang w:val="en-US" w:eastAsia="cs-CZ"/>
        </w:rPr>
        <w:t>cyt</w:t>
      </w:r>
      <w:proofErr w:type="spellEnd"/>
      <w:r w:rsidR="002A27BF" w:rsidRPr="003A5293">
        <w:rPr>
          <w:rFonts w:ascii="Arial" w:eastAsia="+mn-ea" w:hAnsi="Arial" w:cs="Arial"/>
          <w:color w:val="000000"/>
          <w:kern w:val="24"/>
          <w:sz w:val="22"/>
          <w:szCs w:val="22"/>
          <w:lang w:val="en-US" w:eastAsia="cs-CZ"/>
        </w:rPr>
        <w:t xml:space="preserve"> </w:t>
      </w:r>
      <w:r w:rsidR="002A27BF" w:rsidRPr="003A5293">
        <w:rPr>
          <w:rFonts w:ascii="Arial" w:eastAsia="+mn-ea" w:hAnsi="Arial" w:cs="Arial"/>
          <w:i/>
          <w:iCs/>
          <w:color w:val="000000"/>
          <w:kern w:val="24"/>
          <w:sz w:val="22"/>
          <w:szCs w:val="22"/>
          <w:lang w:val="en-US" w:eastAsia="cs-CZ"/>
        </w:rPr>
        <w:t>JAK2</w:t>
      </w:r>
      <w:r w:rsidR="002A27BF" w:rsidRPr="003A5293">
        <w:rPr>
          <w:rFonts w:ascii="Arial" w:eastAsia="+mn-ea" w:hAnsi="Arial" w:cs="Arial"/>
          <w:color w:val="000000"/>
          <w:kern w:val="24"/>
          <w:sz w:val="22"/>
          <w:szCs w:val="22"/>
          <w:lang w:val="en-US" w:eastAsia="cs-CZ"/>
        </w:rPr>
        <w:t xml:space="preserve"> </w:t>
      </w:r>
      <w:proofErr w:type="spellStart"/>
      <w:r w:rsidR="002A27BF" w:rsidRPr="003A5293">
        <w:rPr>
          <w:rFonts w:ascii="Arial" w:eastAsia="+mn-ea" w:hAnsi="Arial" w:cs="Arial"/>
          <w:color w:val="000000"/>
          <w:kern w:val="24"/>
          <w:sz w:val="22"/>
          <w:szCs w:val="22"/>
          <w:lang w:val="en-US" w:eastAsia="cs-CZ"/>
        </w:rPr>
        <w:t>wt</w:t>
      </w:r>
      <w:proofErr w:type="spellEnd"/>
      <w:r w:rsidR="002A27BF" w:rsidRPr="003A5293">
        <w:rPr>
          <w:rFonts w:ascii="Arial" w:eastAsia="+mn-ea" w:hAnsi="Arial" w:cs="Arial"/>
          <w:color w:val="000000"/>
          <w:kern w:val="24"/>
          <w:sz w:val="22"/>
          <w:szCs w:val="22"/>
          <w:lang w:val="en-US" w:eastAsia="cs-CZ"/>
        </w:rPr>
        <w:t xml:space="preserve"> and </w:t>
      </w:r>
      <w:r w:rsidR="002A27BF" w:rsidRPr="001B1DAC">
        <w:rPr>
          <w:rFonts w:ascii="Arial" w:eastAsia="+mn-ea" w:hAnsi="Arial" w:cs="Arial"/>
          <w:color w:val="000000"/>
          <w:kern w:val="24"/>
          <w:sz w:val="22"/>
          <w:szCs w:val="22"/>
          <w:lang w:val="en-US" w:eastAsia="cs-CZ"/>
        </w:rPr>
        <w:t>V617F</w:t>
      </w:r>
      <w:r w:rsidR="002A27BF" w:rsidRPr="003A5293">
        <w:rPr>
          <w:rFonts w:ascii="Arial" w:eastAsia="+mn-ea" w:hAnsi="Arial" w:cs="Arial"/>
          <w:color w:val="000000"/>
          <w:kern w:val="24"/>
          <w:sz w:val="22"/>
          <w:szCs w:val="22"/>
          <w:vertAlign w:val="superscript"/>
          <w:lang w:val="en-US" w:eastAsia="cs-CZ"/>
        </w:rPr>
        <w:t>+</w:t>
      </w:r>
      <w:r w:rsidR="002A27BF" w:rsidRPr="003A5293">
        <w:rPr>
          <w:rFonts w:ascii="Arial" w:eastAsia="+mn-ea" w:hAnsi="Arial" w:cs="Arial"/>
          <w:color w:val="000000"/>
          <w:kern w:val="24"/>
          <w:sz w:val="22"/>
          <w:szCs w:val="22"/>
          <w:lang w:val="en-US" w:eastAsia="cs-CZ"/>
        </w:rPr>
        <w:t xml:space="preserve"> CD34</w:t>
      </w:r>
      <w:r w:rsidR="002A27BF" w:rsidRPr="003A5293">
        <w:rPr>
          <w:rFonts w:ascii="Arial" w:eastAsia="+mn-ea" w:hAnsi="Arial" w:cs="Arial"/>
          <w:color w:val="000000"/>
          <w:kern w:val="24"/>
          <w:sz w:val="22"/>
          <w:szCs w:val="22"/>
          <w:vertAlign w:val="superscript"/>
          <w:lang w:val="en-US" w:eastAsia="cs-CZ"/>
        </w:rPr>
        <w:t>+</w:t>
      </w:r>
      <w:r w:rsidR="002A27BF" w:rsidRPr="003A5293">
        <w:rPr>
          <w:rFonts w:ascii="Arial" w:eastAsia="+mn-ea" w:hAnsi="Arial" w:cs="Arial"/>
          <w:color w:val="000000"/>
          <w:kern w:val="24"/>
          <w:sz w:val="22"/>
          <w:szCs w:val="22"/>
          <w:lang w:val="en-US" w:eastAsia="cs-CZ"/>
        </w:rPr>
        <w:t xml:space="preserve"> P-ECs compared to listed biological pathways using </w:t>
      </w:r>
      <w:proofErr w:type="spellStart"/>
      <w:r w:rsidR="002A27BF" w:rsidRPr="003A5293">
        <w:rPr>
          <w:rFonts w:ascii="Arial" w:eastAsia="+mn-ea" w:hAnsi="Arial" w:cs="Arial"/>
          <w:color w:val="000000"/>
          <w:kern w:val="24"/>
          <w:sz w:val="22"/>
          <w:szCs w:val="22"/>
          <w:lang w:val="en-US" w:eastAsia="cs-CZ"/>
        </w:rPr>
        <w:t>ConsensusPathDB</w:t>
      </w:r>
      <w:proofErr w:type="spellEnd"/>
      <w:r w:rsidR="002A27BF" w:rsidRPr="003A5293">
        <w:rPr>
          <w:rFonts w:ascii="Arial" w:eastAsia="+mn-ea" w:hAnsi="Arial" w:cs="Arial"/>
          <w:color w:val="000000"/>
          <w:kern w:val="24"/>
          <w:sz w:val="22"/>
          <w:szCs w:val="22"/>
          <w:lang w:val="en-US" w:eastAsia="cs-CZ"/>
        </w:rPr>
        <w:t xml:space="preserve"> with minimum overlap of 4 genes in pathway and p-value cut-off of 0.001.</w:t>
      </w:r>
    </w:p>
    <w:p w14:paraId="1538B493" w14:textId="77777777" w:rsidR="00D26315" w:rsidRPr="003A5293" w:rsidRDefault="00D26315" w:rsidP="00DF3976">
      <w:pPr>
        <w:spacing w:line="360" w:lineRule="auto"/>
        <w:jc w:val="both"/>
        <w:rPr>
          <w:rFonts w:ascii="Arial" w:eastAsia="+mn-ea" w:hAnsi="Arial" w:cs="Arial"/>
          <w:color w:val="000000"/>
          <w:kern w:val="24"/>
          <w:sz w:val="22"/>
          <w:szCs w:val="22"/>
          <w:lang w:val="en-US" w:eastAsia="cs-CZ"/>
        </w:rPr>
      </w:pPr>
      <w:r w:rsidRPr="003A5293">
        <w:rPr>
          <w:rFonts w:ascii="Arial" w:hAnsi="Arial" w:cs="Arial"/>
          <w:b/>
          <w:bCs/>
          <w:sz w:val="28"/>
          <w:szCs w:val="28"/>
          <w:lang w:val="en-US"/>
        </w:rPr>
        <w:lastRenderedPageBreak/>
        <w:t>A</w:t>
      </w:r>
    </w:p>
    <w:p w14:paraId="3B7420AD" w14:textId="77777777" w:rsidR="00A22A33" w:rsidRPr="003A5293" w:rsidRDefault="00A22A33" w:rsidP="00A22A33">
      <w:pPr>
        <w:jc w:val="center"/>
        <w:rPr>
          <w:rFonts w:ascii="Arial" w:hAnsi="Arial" w:cs="Arial"/>
          <w:sz w:val="32"/>
          <w:szCs w:val="32"/>
        </w:rPr>
      </w:pPr>
      <w:r w:rsidRPr="003A5293">
        <w:rPr>
          <w:rFonts w:ascii="Arial" w:hAnsi="Arial" w:cs="Arial"/>
          <w:sz w:val="32"/>
          <w:szCs w:val="32"/>
        </w:rPr>
        <w:fldChar w:fldCharType="begin"/>
      </w:r>
      <w:r w:rsidRPr="003A5293">
        <w:rPr>
          <w:rFonts w:ascii="Arial" w:hAnsi="Arial" w:cs="Arial"/>
          <w:sz w:val="32"/>
          <w:szCs w:val="32"/>
        </w:rPr>
        <w:instrText xml:space="preserve"> INCLUDEPICTURE "https://media.springernature.com/full/springer-static/image/art%3A10.1038%2Fs41388-019-0813-7/MediaObjects/41388_2019_813_Fig1_HTML.png" \* MERGEFORMATINET </w:instrText>
      </w:r>
      <w:r w:rsidRPr="003A5293">
        <w:rPr>
          <w:rFonts w:ascii="Arial" w:hAnsi="Arial" w:cs="Arial"/>
          <w:sz w:val="32"/>
          <w:szCs w:val="32"/>
        </w:rPr>
        <w:fldChar w:fldCharType="separate"/>
      </w:r>
      <w:r w:rsidRPr="003A5293">
        <w:rPr>
          <w:rFonts w:ascii="Arial" w:hAnsi="Arial" w:cs="Arial"/>
          <w:noProof/>
          <w:sz w:val="32"/>
          <w:szCs w:val="32"/>
          <w:lang w:val="cs-CZ" w:eastAsia="cs-CZ"/>
        </w:rPr>
        <w:drawing>
          <wp:inline distT="0" distB="0" distL="0" distR="0" wp14:anchorId="2E4873E2" wp14:editId="2C927FFE">
            <wp:extent cx="4571137" cy="3096489"/>
            <wp:effectExtent l="0" t="0" r="1270" b="2540"/>
            <wp:docPr id="7" name="Grafik 7"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7273" r="48474" b="56499"/>
                    <a:stretch/>
                  </pic:blipFill>
                  <pic:spPr bwMode="auto">
                    <a:xfrm>
                      <a:off x="0" y="0"/>
                      <a:ext cx="4687910" cy="3175591"/>
                    </a:xfrm>
                    <a:prstGeom prst="rect">
                      <a:avLst/>
                    </a:prstGeom>
                    <a:noFill/>
                    <a:ln>
                      <a:noFill/>
                    </a:ln>
                    <a:extLst>
                      <a:ext uri="{53640926-AAD7-44D8-BBD7-CCE9431645EC}">
                        <a14:shadowObscured xmlns:a14="http://schemas.microsoft.com/office/drawing/2010/main"/>
                      </a:ext>
                    </a:extLst>
                  </pic:spPr>
                </pic:pic>
              </a:graphicData>
            </a:graphic>
          </wp:inline>
        </w:drawing>
      </w:r>
      <w:r w:rsidRPr="003A5293">
        <w:rPr>
          <w:rFonts w:ascii="Arial" w:hAnsi="Arial" w:cs="Arial"/>
          <w:sz w:val="32"/>
          <w:szCs w:val="32"/>
        </w:rPr>
        <w:fldChar w:fldCharType="end"/>
      </w:r>
    </w:p>
    <w:p w14:paraId="71166C4E" w14:textId="77777777" w:rsidR="00A22A33" w:rsidRPr="003A5293" w:rsidRDefault="00D26315" w:rsidP="00DF3976">
      <w:pPr>
        <w:rPr>
          <w:rFonts w:ascii="Arial" w:hAnsi="Arial" w:cs="Arial"/>
          <w:b/>
          <w:bCs/>
          <w:sz w:val="32"/>
          <w:szCs w:val="32"/>
        </w:rPr>
      </w:pPr>
      <w:r w:rsidRPr="003A5293">
        <w:rPr>
          <w:rFonts w:ascii="Arial" w:hAnsi="Arial" w:cs="Arial"/>
          <w:b/>
          <w:bCs/>
          <w:sz w:val="32"/>
          <w:szCs w:val="32"/>
        </w:rPr>
        <w:t>B</w:t>
      </w:r>
    </w:p>
    <w:p w14:paraId="0445D5EA" w14:textId="77777777" w:rsidR="00DF3976" w:rsidRPr="003A5293" w:rsidRDefault="00A22A33" w:rsidP="00A22A33">
      <w:pPr>
        <w:jc w:val="center"/>
        <w:rPr>
          <w:rFonts w:ascii="Arial" w:hAnsi="Arial" w:cs="Arial"/>
          <w:sz w:val="22"/>
          <w:szCs w:val="22"/>
        </w:rPr>
      </w:pPr>
      <w:r w:rsidRPr="003A5293">
        <w:rPr>
          <w:rFonts w:ascii="Arial" w:hAnsi="Arial" w:cs="Arial"/>
          <w:sz w:val="22"/>
          <w:szCs w:val="22"/>
        </w:rPr>
        <w:fldChar w:fldCharType="begin"/>
      </w:r>
      <w:r w:rsidRPr="003A5293">
        <w:rPr>
          <w:rFonts w:ascii="Arial" w:hAnsi="Arial" w:cs="Arial"/>
          <w:sz w:val="22"/>
          <w:szCs w:val="22"/>
        </w:rPr>
        <w:instrText xml:space="preserve"> INCLUDEPICTURE "https://media.springernature.com/full/springer-static/image/art%3A10.1038%2Fs41388-019-0813-7/MediaObjects/41388_2019_813_Fig1_HTML.png" \* MERGEFORMATINET </w:instrText>
      </w:r>
      <w:r w:rsidRPr="003A5293">
        <w:rPr>
          <w:rFonts w:ascii="Arial" w:hAnsi="Arial" w:cs="Arial"/>
          <w:sz w:val="22"/>
          <w:szCs w:val="22"/>
        </w:rPr>
        <w:fldChar w:fldCharType="separate"/>
      </w:r>
      <w:r w:rsidRPr="003A5293">
        <w:rPr>
          <w:rFonts w:ascii="Arial" w:hAnsi="Arial" w:cs="Arial"/>
          <w:noProof/>
          <w:sz w:val="22"/>
          <w:szCs w:val="22"/>
          <w:lang w:val="cs-CZ" w:eastAsia="cs-CZ"/>
        </w:rPr>
        <w:drawing>
          <wp:inline distT="0" distB="0" distL="0" distR="0" wp14:anchorId="0B44F36A" wp14:editId="6F3AEF90">
            <wp:extent cx="4301587" cy="3127830"/>
            <wp:effectExtent l="0" t="0" r="3810" b="0"/>
            <wp:docPr id="10" name="Grafik 10"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2031" t="17651" r="-33" b="56121"/>
                    <a:stretch/>
                  </pic:blipFill>
                  <pic:spPr bwMode="auto">
                    <a:xfrm>
                      <a:off x="0" y="0"/>
                      <a:ext cx="4405243" cy="3203202"/>
                    </a:xfrm>
                    <a:prstGeom prst="rect">
                      <a:avLst/>
                    </a:prstGeom>
                    <a:noFill/>
                    <a:ln>
                      <a:noFill/>
                    </a:ln>
                    <a:extLst>
                      <a:ext uri="{53640926-AAD7-44D8-BBD7-CCE9431645EC}">
                        <a14:shadowObscured xmlns:a14="http://schemas.microsoft.com/office/drawing/2010/main"/>
                      </a:ext>
                    </a:extLst>
                  </pic:spPr>
                </pic:pic>
              </a:graphicData>
            </a:graphic>
          </wp:inline>
        </w:drawing>
      </w:r>
      <w:r w:rsidRPr="003A5293">
        <w:rPr>
          <w:rFonts w:ascii="Arial" w:hAnsi="Arial" w:cs="Arial"/>
          <w:sz w:val="22"/>
          <w:szCs w:val="22"/>
        </w:rPr>
        <w:fldChar w:fldCharType="end"/>
      </w:r>
    </w:p>
    <w:p w14:paraId="062C22F1" w14:textId="77777777" w:rsidR="00C13986" w:rsidRPr="003A5293" w:rsidRDefault="002A27BF" w:rsidP="00C3083B">
      <w:pPr>
        <w:spacing w:line="360" w:lineRule="auto"/>
        <w:jc w:val="both"/>
        <w:rPr>
          <w:rFonts w:ascii="Arial" w:hAnsi="Arial" w:cs="Arial"/>
          <w:sz w:val="22"/>
          <w:szCs w:val="22"/>
          <w:lang w:val="en-US"/>
        </w:rPr>
      </w:pPr>
      <w:r w:rsidRPr="003A5293">
        <w:rPr>
          <w:rFonts w:ascii="Arial" w:hAnsi="Arial" w:cs="Arial"/>
          <w:b/>
          <w:bCs/>
          <w:sz w:val="22"/>
          <w:szCs w:val="22"/>
          <w:lang w:val="en-US"/>
        </w:rPr>
        <w:t>Figure 9</w:t>
      </w:r>
      <w:r w:rsidRPr="003A5293">
        <w:rPr>
          <w:rFonts w:ascii="Arial" w:hAnsi="Arial" w:cs="Arial"/>
          <w:sz w:val="22"/>
          <w:szCs w:val="22"/>
          <w:lang w:val="en-US"/>
        </w:rPr>
        <w:t xml:space="preserve">: </w:t>
      </w:r>
      <w:r w:rsidR="00FF7421" w:rsidRPr="003A5293">
        <w:rPr>
          <w:rFonts w:ascii="Arial" w:hAnsi="Arial" w:cs="Arial"/>
          <w:b/>
          <w:bCs/>
          <w:sz w:val="22"/>
          <w:szCs w:val="22"/>
          <w:lang w:val="en-US"/>
        </w:rPr>
        <w:t>A</w:t>
      </w:r>
      <w:r w:rsidR="00FF7421" w:rsidRPr="003A5293">
        <w:rPr>
          <w:rFonts w:ascii="Arial" w:hAnsi="Arial" w:cs="Arial"/>
          <w:sz w:val="22"/>
          <w:szCs w:val="22"/>
          <w:lang w:val="en-US"/>
        </w:rPr>
        <w:t xml:space="preserve"> </w:t>
      </w:r>
      <w:r w:rsidR="00EC4A24" w:rsidRPr="003A5293">
        <w:rPr>
          <w:rFonts w:ascii="Arial" w:hAnsi="Arial" w:cs="Arial"/>
          <w:sz w:val="22"/>
          <w:szCs w:val="22"/>
          <w:lang w:val="en-US"/>
        </w:rPr>
        <w:t>Induced network module analysis depicting seed genes with seed nodes (font in black color) and intermediate nodes (font in magenta color) connected through functional and physical links (</w:t>
      </w:r>
      <w:proofErr w:type="spellStart"/>
      <w:r w:rsidR="00EC4A24" w:rsidRPr="003A5293">
        <w:rPr>
          <w:rFonts w:ascii="Arial" w:hAnsi="Arial" w:cs="Arial"/>
          <w:sz w:val="22"/>
          <w:szCs w:val="22"/>
          <w:lang w:val="en-US"/>
        </w:rPr>
        <w:t>ConsensusPathDB</w:t>
      </w:r>
      <w:proofErr w:type="spellEnd"/>
      <w:r w:rsidR="00EC4A24" w:rsidRPr="003A5293">
        <w:rPr>
          <w:rFonts w:ascii="Arial" w:hAnsi="Arial" w:cs="Arial"/>
          <w:sz w:val="22"/>
          <w:szCs w:val="22"/>
          <w:lang w:val="en-US"/>
        </w:rPr>
        <w:t xml:space="preserve">) </w:t>
      </w:r>
      <w:r w:rsidR="00FF7421" w:rsidRPr="003A5293">
        <w:rPr>
          <w:rFonts w:ascii="Arial" w:hAnsi="Arial" w:cs="Arial"/>
          <w:sz w:val="22"/>
          <w:szCs w:val="22"/>
          <w:lang w:val="en-US"/>
        </w:rPr>
        <w:t>of</w:t>
      </w:r>
      <w:r w:rsidR="00EC4A24" w:rsidRPr="003A5293">
        <w:rPr>
          <w:rFonts w:ascii="Arial" w:hAnsi="Arial" w:cs="Arial"/>
          <w:sz w:val="22"/>
          <w:szCs w:val="22"/>
          <w:lang w:val="en-US"/>
        </w:rPr>
        <w:t xml:space="preserve"> DEGs between </w:t>
      </w:r>
      <w:r w:rsidR="00EC4A24" w:rsidRPr="003A5293">
        <w:rPr>
          <w:rFonts w:ascii="Arial" w:hAnsi="Arial" w:cs="Arial"/>
          <w:i/>
          <w:iCs/>
          <w:sz w:val="22"/>
          <w:szCs w:val="22"/>
          <w:lang w:val="en-US"/>
        </w:rPr>
        <w:t>JAK2</w:t>
      </w:r>
      <w:r w:rsidR="00FF7421" w:rsidRPr="003A5293">
        <w:rPr>
          <w:rFonts w:ascii="Arial" w:hAnsi="Arial" w:cs="Arial"/>
          <w:sz w:val="22"/>
          <w:szCs w:val="22"/>
          <w:lang w:val="en-US"/>
        </w:rPr>
        <w:t xml:space="preserve"> </w:t>
      </w:r>
      <w:proofErr w:type="spellStart"/>
      <w:r w:rsidR="00EC4A24" w:rsidRPr="003A5293">
        <w:rPr>
          <w:rFonts w:ascii="Arial" w:hAnsi="Arial" w:cs="Arial"/>
          <w:sz w:val="22"/>
          <w:szCs w:val="22"/>
          <w:lang w:val="en-US"/>
        </w:rPr>
        <w:t>wt</w:t>
      </w:r>
      <w:proofErr w:type="spellEnd"/>
      <w:r w:rsidR="00EC4A24" w:rsidRPr="003A5293">
        <w:rPr>
          <w:rFonts w:ascii="Arial" w:hAnsi="Arial" w:cs="Arial"/>
          <w:sz w:val="22"/>
          <w:szCs w:val="22"/>
          <w:lang w:val="en-US"/>
        </w:rPr>
        <w:t xml:space="preserve"> and </w:t>
      </w:r>
      <w:r w:rsidR="00EC4A24" w:rsidRPr="001B1DAC">
        <w:rPr>
          <w:rFonts w:ascii="Arial" w:hAnsi="Arial" w:cs="Arial"/>
          <w:sz w:val="22"/>
          <w:szCs w:val="22"/>
          <w:lang w:val="en-US"/>
        </w:rPr>
        <w:t>V617F</w:t>
      </w:r>
      <w:r w:rsidR="00EC4A24" w:rsidRPr="003A5293">
        <w:rPr>
          <w:rFonts w:ascii="Arial" w:hAnsi="Arial" w:cs="Arial"/>
          <w:sz w:val="22"/>
          <w:szCs w:val="22"/>
          <w:vertAlign w:val="superscript"/>
          <w:lang w:val="en-US"/>
        </w:rPr>
        <w:t>+</w:t>
      </w:r>
      <w:r w:rsidR="00EC4A24" w:rsidRPr="003A5293">
        <w:rPr>
          <w:rFonts w:ascii="Arial" w:hAnsi="Arial" w:cs="Arial"/>
          <w:sz w:val="22"/>
          <w:szCs w:val="22"/>
          <w:lang w:val="en-US"/>
        </w:rPr>
        <w:t xml:space="preserve"> CD34</w:t>
      </w:r>
      <w:r w:rsidR="00EC4A24" w:rsidRPr="003A5293">
        <w:rPr>
          <w:rFonts w:ascii="Arial" w:hAnsi="Arial" w:cs="Arial"/>
          <w:sz w:val="22"/>
          <w:szCs w:val="22"/>
          <w:vertAlign w:val="superscript"/>
          <w:lang w:val="en-US"/>
        </w:rPr>
        <w:t>+</w:t>
      </w:r>
      <w:r w:rsidR="00EC4A24" w:rsidRPr="003A5293">
        <w:rPr>
          <w:rFonts w:ascii="Arial" w:hAnsi="Arial" w:cs="Arial"/>
          <w:sz w:val="22"/>
          <w:szCs w:val="22"/>
          <w:lang w:val="en-US"/>
        </w:rPr>
        <w:t xml:space="preserve"> P-ECs treated with inflammatory cytokines</w:t>
      </w:r>
      <w:r w:rsidR="00FF7421" w:rsidRPr="003A5293">
        <w:rPr>
          <w:rFonts w:ascii="Arial" w:hAnsi="Arial" w:cs="Arial"/>
          <w:sz w:val="22"/>
          <w:szCs w:val="22"/>
          <w:lang w:val="en-US"/>
        </w:rPr>
        <w:t xml:space="preserve"> </w:t>
      </w:r>
      <w:r w:rsidR="00FF7421" w:rsidRPr="003A5293">
        <w:rPr>
          <w:rFonts w:ascii="Arial" w:hAnsi="Arial" w:cs="Arial"/>
          <w:b/>
          <w:bCs/>
          <w:sz w:val="22"/>
          <w:szCs w:val="22"/>
          <w:lang w:val="en-US"/>
        </w:rPr>
        <w:t>B</w:t>
      </w:r>
      <w:r w:rsidR="00EC4A24" w:rsidRPr="003A5293">
        <w:rPr>
          <w:rFonts w:ascii="Arial" w:hAnsi="Arial" w:cs="Arial"/>
          <w:sz w:val="22"/>
          <w:szCs w:val="22"/>
          <w:lang w:val="en-US"/>
        </w:rPr>
        <w:t xml:space="preserve"> GSEA </w:t>
      </w:r>
      <w:r w:rsidR="00FF7421" w:rsidRPr="003A5293">
        <w:rPr>
          <w:rFonts w:ascii="Arial" w:hAnsi="Arial" w:cs="Arial"/>
          <w:sz w:val="22"/>
          <w:szCs w:val="22"/>
          <w:lang w:val="en-US"/>
        </w:rPr>
        <w:t xml:space="preserve">enrichment </w:t>
      </w:r>
      <w:r w:rsidR="00EC4A24" w:rsidRPr="003A5293">
        <w:rPr>
          <w:rFonts w:ascii="Arial" w:hAnsi="Arial" w:cs="Arial"/>
          <w:sz w:val="22"/>
          <w:szCs w:val="22"/>
          <w:lang w:val="en-US"/>
        </w:rPr>
        <w:t xml:space="preserve">plot </w:t>
      </w:r>
      <w:r w:rsidR="00FF7421" w:rsidRPr="003A5293">
        <w:rPr>
          <w:rFonts w:ascii="Arial" w:hAnsi="Arial" w:cs="Arial"/>
          <w:sz w:val="22"/>
          <w:szCs w:val="22"/>
          <w:lang w:val="en-US"/>
        </w:rPr>
        <w:t xml:space="preserve">with graphical view of the enrichment score on </w:t>
      </w:r>
      <w:r w:rsidR="00FF7421" w:rsidRPr="003A5293">
        <w:rPr>
          <w:rFonts w:ascii="Arial" w:hAnsi="Arial" w:cs="Arial"/>
          <w:i/>
          <w:iCs/>
          <w:sz w:val="22"/>
          <w:szCs w:val="22"/>
          <w:lang w:val="en-US"/>
        </w:rPr>
        <w:t xml:space="preserve">left </w:t>
      </w:r>
      <w:r w:rsidR="00FF7421" w:rsidRPr="003A5293">
        <w:rPr>
          <w:rFonts w:ascii="Arial" w:hAnsi="Arial" w:cs="Arial"/>
          <w:sz w:val="22"/>
          <w:szCs w:val="22"/>
          <w:lang w:val="en-US"/>
        </w:rPr>
        <w:t xml:space="preserve">side for </w:t>
      </w:r>
      <w:r w:rsidR="00EC4A24" w:rsidRPr="003A5293">
        <w:rPr>
          <w:rFonts w:ascii="Arial" w:hAnsi="Arial" w:cs="Arial"/>
          <w:sz w:val="22"/>
          <w:szCs w:val="22"/>
          <w:lang w:val="en-US"/>
        </w:rPr>
        <w:t>type II interferon signaling gene set members (</w:t>
      </w:r>
      <w:proofErr w:type="spellStart"/>
      <w:r w:rsidR="00EC4A24" w:rsidRPr="003A5293">
        <w:rPr>
          <w:rFonts w:ascii="Arial" w:hAnsi="Arial" w:cs="Arial"/>
          <w:sz w:val="22"/>
          <w:szCs w:val="22"/>
          <w:lang w:val="en-US"/>
        </w:rPr>
        <w:t>WikiPathway</w:t>
      </w:r>
      <w:proofErr w:type="spellEnd"/>
      <w:r w:rsidR="00EC4A24" w:rsidRPr="003A5293">
        <w:rPr>
          <w:rFonts w:ascii="Arial" w:hAnsi="Arial" w:cs="Arial"/>
          <w:sz w:val="22"/>
          <w:szCs w:val="22"/>
          <w:lang w:val="en-US"/>
        </w:rPr>
        <w:t xml:space="preserve">, n = 37) </w:t>
      </w:r>
      <w:r w:rsidR="00FF7421" w:rsidRPr="003A5293">
        <w:rPr>
          <w:rFonts w:ascii="Arial" w:hAnsi="Arial" w:cs="Arial"/>
          <w:sz w:val="22"/>
          <w:szCs w:val="22"/>
          <w:lang w:val="en-US"/>
        </w:rPr>
        <w:t xml:space="preserve">and on </w:t>
      </w:r>
      <w:r w:rsidR="00FF7421" w:rsidRPr="003A5293">
        <w:rPr>
          <w:rFonts w:ascii="Arial" w:hAnsi="Arial" w:cs="Arial"/>
          <w:i/>
          <w:iCs/>
          <w:sz w:val="22"/>
          <w:szCs w:val="22"/>
          <w:lang w:val="en-US"/>
        </w:rPr>
        <w:t>right</w:t>
      </w:r>
      <w:r w:rsidR="00FF7421" w:rsidRPr="003A5293">
        <w:rPr>
          <w:rFonts w:ascii="Arial" w:hAnsi="Arial" w:cs="Arial"/>
          <w:sz w:val="22"/>
          <w:szCs w:val="22"/>
          <w:lang w:val="en-US"/>
        </w:rPr>
        <w:t xml:space="preserve"> side for NF-</w:t>
      </w:r>
      <w:proofErr w:type="spellStart"/>
      <w:r w:rsidR="00FF7421" w:rsidRPr="003A5293">
        <w:rPr>
          <w:rFonts w:ascii="Arial" w:hAnsi="Arial" w:cs="Arial"/>
          <w:sz w:val="22"/>
          <w:szCs w:val="22"/>
          <w:lang w:val="en-US"/>
        </w:rPr>
        <w:t>κB</w:t>
      </w:r>
      <w:proofErr w:type="spellEnd"/>
      <w:r w:rsidR="00FF7421" w:rsidRPr="003A5293">
        <w:rPr>
          <w:rFonts w:ascii="Arial" w:hAnsi="Arial" w:cs="Arial"/>
          <w:sz w:val="22"/>
          <w:szCs w:val="22"/>
          <w:lang w:val="en-US"/>
        </w:rPr>
        <w:t xml:space="preserve"> target gene set members (http://www.bu.edu/nf-kb/gene-resources/target-genes/ n = 424) </w:t>
      </w:r>
      <w:r w:rsidR="00EC4A24" w:rsidRPr="003A5293">
        <w:rPr>
          <w:rFonts w:ascii="Arial" w:hAnsi="Arial" w:cs="Arial"/>
          <w:sz w:val="22"/>
          <w:szCs w:val="22"/>
          <w:lang w:val="en-US"/>
        </w:rPr>
        <w:t>in d</w:t>
      </w:r>
      <w:r w:rsidR="00FF7421" w:rsidRPr="003A5293">
        <w:rPr>
          <w:rFonts w:ascii="Arial" w:hAnsi="Arial" w:cs="Arial"/>
          <w:sz w:val="22"/>
          <w:szCs w:val="22"/>
          <w:lang w:val="en-US"/>
        </w:rPr>
        <w:t xml:space="preserve">ay </w:t>
      </w:r>
      <w:r w:rsidR="00EC4A24" w:rsidRPr="003A5293">
        <w:rPr>
          <w:rFonts w:ascii="Arial" w:hAnsi="Arial" w:cs="Arial"/>
          <w:sz w:val="22"/>
          <w:szCs w:val="22"/>
          <w:lang w:val="en-US"/>
        </w:rPr>
        <w:t xml:space="preserve">9 </w:t>
      </w:r>
      <w:r w:rsidR="00EC4A24" w:rsidRPr="00CD395D">
        <w:rPr>
          <w:rFonts w:ascii="Arial" w:hAnsi="Arial" w:cs="Arial"/>
          <w:i/>
          <w:iCs/>
          <w:sz w:val="22"/>
          <w:szCs w:val="22"/>
          <w:lang w:val="en-US"/>
        </w:rPr>
        <w:t>JAK2</w:t>
      </w:r>
      <w:r w:rsidR="00FF7421" w:rsidRPr="003A5293">
        <w:rPr>
          <w:rFonts w:ascii="Arial" w:hAnsi="Arial" w:cs="Arial"/>
          <w:sz w:val="22"/>
          <w:szCs w:val="22"/>
          <w:lang w:val="en-US"/>
        </w:rPr>
        <w:t xml:space="preserve"> </w:t>
      </w:r>
      <w:r w:rsidR="00EC4A24" w:rsidRPr="003A5293">
        <w:rPr>
          <w:rFonts w:ascii="Arial" w:hAnsi="Arial" w:cs="Arial"/>
          <w:sz w:val="22"/>
          <w:szCs w:val="22"/>
          <w:lang w:val="en-US"/>
        </w:rPr>
        <w:t>V617F</w:t>
      </w:r>
      <w:r w:rsidR="00EC4A24" w:rsidRPr="003A5293">
        <w:rPr>
          <w:rFonts w:ascii="Arial" w:hAnsi="Arial" w:cs="Arial"/>
          <w:sz w:val="22"/>
          <w:szCs w:val="22"/>
          <w:vertAlign w:val="superscript"/>
          <w:lang w:val="en-US"/>
        </w:rPr>
        <w:t>+</w:t>
      </w:r>
      <w:r w:rsidR="00EC4A24" w:rsidRPr="003A5293">
        <w:rPr>
          <w:rFonts w:ascii="Arial" w:hAnsi="Arial" w:cs="Arial"/>
          <w:sz w:val="22"/>
          <w:szCs w:val="22"/>
          <w:lang w:val="en-US"/>
        </w:rPr>
        <w:t xml:space="preserve"> and </w:t>
      </w:r>
      <w:r w:rsidR="00EC4A24" w:rsidRPr="00CD395D">
        <w:rPr>
          <w:rFonts w:ascii="Arial" w:hAnsi="Arial" w:cs="Arial"/>
          <w:i/>
          <w:iCs/>
          <w:sz w:val="22"/>
          <w:szCs w:val="22"/>
          <w:lang w:val="en-US"/>
        </w:rPr>
        <w:t>JAK2</w:t>
      </w:r>
      <w:r w:rsidR="00FF7421" w:rsidRPr="003A5293">
        <w:rPr>
          <w:rFonts w:ascii="Arial" w:hAnsi="Arial" w:cs="Arial"/>
          <w:sz w:val="22"/>
          <w:szCs w:val="22"/>
          <w:lang w:val="en-US"/>
        </w:rPr>
        <w:t xml:space="preserve"> </w:t>
      </w:r>
      <w:proofErr w:type="spellStart"/>
      <w:r w:rsidR="00EC4A24" w:rsidRPr="003A5293">
        <w:rPr>
          <w:rFonts w:ascii="Arial" w:hAnsi="Arial" w:cs="Arial"/>
          <w:sz w:val="22"/>
          <w:szCs w:val="22"/>
          <w:lang w:val="en-US"/>
        </w:rPr>
        <w:t>wt</w:t>
      </w:r>
      <w:proofErr w:type="spellEnd"/>
      <w:r w:rsidR="00EC4A24" w:rsidRPr="003A5293">
        <w:rPr>
          <w:rFonts w:ascii="Arial" w:hAnsi="Arial" w:cs="Arial"/>
          <w:sz w:val="22"/>
          <w:szCs w:val="22"/>
          <w:lang w:val="en-US"/>
        </w:rPr>
        <w:t xml:space="preserve"> CD34</w:t>
      </w:r>
      <w:r w:rsidR="00EC4A24" w:rsidRPr="003A5293">
        <w:rPr>
          <w:rFonts w:ascii="Arial" w:hAnsi="Arial" w:cs="Arial"/>
          <w:sz w:val="22"/>
          <w:szCs w:val="22"/>
          <w:vertAlign w:val="superscript"/>
          <w:lang w:val="en-US"/>
        </w:rPr>
        <w:t>+</w:t>
      </w:r>
      <w:r w:rsidR="00EC4A24" w:rsidRPr="003A5293">
        <w:rPr>
          <w:rFonts w:ascii="Arial" w:hAnsi="Arial" w:cs="Arial"/>
          <w:sz w:val="22"/>
          <w:szCs w:val="22"/>
          <w:lang w:val="en-US"/>
        </w:rPr>
        <w:t xml:space="preserve"> P-ECs</w:t>
      </w:r>
      <w:r w:rsidR="00FF7421" w:rsidRPr="003A5293">
        <w:rPr>
          <w:rFonts w:ascii="Arial" w:hAnsi="Arial" w:cs="Arial"/>
          <w:sz w:val="22"/>
          <w:szCs w:val="22"/>
          <w:lang w:val="en-US"/>
        </w:rPr>
        <w:t>, treated with inflammatory cytokines.</w:t>
      </w:r>
    </w:p>
    <w:p w14:paraId="66451C1D" w14:textId="77777777" w:rsidR="00C13986" w:rsidRPr="003A5293" w:rsidRDefault="00C13986" w:rsidP="00C3083B">
      <w:pPr>
        <w:spacing w:line="360" w:lineRule="auto"/>
        <w:rPr>
          <w:rFonts w:ascii="Arial" w:hAnsi="Arial" w:cs="Arial"/>
          <w:sz w:val="22"/>
          <w:szCs w:val="22"/>
          <w:lang w:val="en-US"/>
        </w:rPr>
      </w:pPr>
      <w:r w:rsidRPr="003A5293">
        <w:rPr>
          <w:rFonts w:ascii="Arial" w:hAnsi="Arial" w:cs="Arial"/>
          <w:sz w:val="22"/>
          <w:szCs w:val="22"/>
          <w:lang w:val="en-US"/>
        </w:rPr>
        <w:br w:type="page"/>
      </w:r>
    </w:p>
    <w:p w14:paraId="045476F4" w14:textId="04CFBE86" w:rsidR="00C17491" w:rsidRPr="003A5293" w:rsidRDefault="009C482C" w:rsidP="00C3083B">
      <w:pPr>
        <w:spacing w:line="360" w:lineRule="auto"/>
        <w:jc w:val="both"/>
        <w:rPr>
          <w:rFonts w:ascii="Arial" w:hAnsi="Arial" w:cs="Arial"/>
          <w:sz w:val="22"/>
          <w:szCs w:val="22"/>
          <w:lang w:val="en-US"/>
        </w:rPr>
      </w:pPr>
      <w:r w:rsidRPr="003A5293">
        <w:rPr>
          <w:rFonts w:ascii="Arial" w:hAnsi="Arial" w:cs="Arial"/>
          <w:sz w:val="22"/>
          <w:szCs w:val="22"/>
          <w:lang w:val="en-US"/>
        </w:rPr>
        <w:lastRenderedPageBreak/>
        <w:t>Clustering analysis of type II interferon signaling gene set members (</w:t>
      </w:r>
      <w:proofErr w:type="spellStart"/>
      <w:r w:rsidRPr="003A5293">
        <w:rPr>
          <w:rFonts w:ascii="Arial" w:hAnsi="Arial" w:cs="Arial"/>
          <w:sz w:val="22"/>
          <w:szCs w:val="22"/>
          <w:lang w:val="en-US"/>
        </w:rPr>
        <w:t>WikiPathway</w:t>
      </w:r>
      <w:proofErr w:type="spellEnd"/>
      <w:r w:rsidRPr="003A5293">
        <w:rPr>
          <w:rFonts w:ascii="Arial" w:hAnsi="Arial" w:cs="Arial"/>
          <w:sz w:val="22"/>
          <w:szCs w:val="22"/>
          <w:lang w:val="en-US"/>
        </w:rPr>
        <w:t xml:space="preserve">, n = 37), based on expression patterns of individual gene set members, identified cluster of intrinsically up-regulated genes (cluster #B) unique to IFN-primed </w:t>
      </w:r>
      <w:r w:rsidRPr="003A5293">
        <w:rPr>
          <w:rFonts w:ascii="Arial" w:hAnsi="Arial" w:cs="Arial"/>
          <w:i/>
          <w:iCs/>
          <w:sz w:val="22"/>
          <w:szCs w:val="22"/>
          <w:lang w:val="en-US"/>
        </w:rPr>
        <w:t xml:space="preserve">JAK2 </w:t>
      </w:r>
      <w:r w:rsidRPr="00CD395D">
        <w:rPr>
          <w:rFonts w:ascii="Arial" w:hAnsi="Arial" w:cs="Arial"/>
          <w:sz w:val="22"/>
          <w:szCs w:val="22"/>
          <w:lang w:val="en-US"/>
        </w:rPr>
        <w:t>V617F</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P</w:t>
      </w:r>
      <w:r w:rsidR="002B6894">
        <w:rPr>
          <w:rFonts w:ascii="Arial" w:hAnsi="Arial" w:cs="Arial"/>
          <w:sz w:val="22"/>
          <w:szCs w:val="22"/>
          <w:lang w:val="en-US"/>
        </w:rPr>
        <w:t>-</w:t>
      </w:r>
      <w:r w:rsidRPr="003A5293">
        <w:rPr>
          <w:rFonts w:ascii="Arial" w:hAnsi="Arial" w:cs="Arial"/>
          <w:sz w:val="22"/>
          <w:szCs w:val="22"/>
          <w:lang w:val="en-US"/>
        </w:rPr>
        <w:t xml:space="preserve">ECs (Figure 10). Additional treatment with inflammatory cytokines </w:t>
      </w:r>
      <w:r w:rsidR="004F040B">
        <w:rPr>
          <w:rFonts w:ascii="Arial" w:hAnsi="Arial" w:cs="Arial"/>
          <w:sz w:val="22"/>
          <w:szCs w:val="22"/>
          <w:lang w:val="en-US"/>
        </w:rPr>
        <w:t>led</w:t>
      </w:r>
      <w:r w:rsidR="004F040B" w:rsidRPr="003A5293">
        <w:rPr>
          <w:rFonts w:ascii="Arial" w:hAnsi="Arial" w:cs="Arial"/>
          <w:sz w:val="22"/>
          <w:szCs w:val="22"/>
          <w:lang w:val="en-US"/>
        </w:rPr>
        <w:t xml:space="preserve"> </w:t>
      </w:r>
      <w:r w:rsidRPr="003A5293">
        <w:rPr>
          <w:rFonts w:ascii="Arial" w:hAnsi="Arial" w:cs="Arial"/>
          <w:sz w:val="22"/>
          <w:szCs w:val="22"/>
          <w:lang w:val="en-US"/>
        </w:rPr>
        <w:t xml:space="preserve">to up-regulation of genes across the gene set in the </w:t>
      </w:r>
      <w:r w:rsidRPr="003A5293">
        <w:rPr>
          <w:rFonts w:ascii="Arial" w:hAnsi="Arial" w:cs="Arial"/>
          <w:i/>
          <w:iCs/>
          <w:sz w:val="22"/>
          <w:szCs w:val="22"/>
          <w:lang w:val="en-US"/>
        </w:rPr>
        <w:t xml:space="preserve">JAK2 </w:t>
      </w:r>
      <w:r w:rsidRPr="00CD395D">
        <w:rPr>
          <w:rFonts w:ascii="Arial" w:hAnsi="Arial" w:cs="Arial"/>
          <w:sz w:val="22"/>
          <w:szCs w:val="22"/>
          <w:lang w:val="en-US"/>
        </w:rPr>
        <w:t>V617F</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cells, creating cluster #A</w:t>
      </w:r>
      <w:r w:rsidR="00C17491" w:rsidRPr="003A5293">
        <w:rPr>
          <w:rFonts w:ascii="Arial" w:hAnsi="Arial" w:cs="Arial"/>
          <w:sz w:val="22"/>
          <w:szCs w:val="22"/>
          <w:lang w:val="en-US"/>
        </w:rPr>
        <w:t xml:space="preserve">, showing powerful </w:t>
      </w:r>
      <w:proofErr w:type="spellStart"/>
      <w:r w:rsidR="00C17491" w:rsidRPr="003A5293">
        <w:rPr>
          <w:rFonts w:ascii="Arial" w:hAnsi="Arial" w:cs="Arial"/>
          <w:sz w:val="22"/>
          <w:szCs w:val="22"/>
          <w:lang w:val="en-US"/>
        </w:rPr>
        <w:t>IFNγ</w:t>
      </w:r>
      <w:proofErr w:type="spellEnd"/>
      <w:r w:rsidR="00C17491" w:rsidRPr="003A5293">
        <w:rPr>
          <w:rFonts w:ascii="Arial" w:hAnsi="Arial" w:cs="Arial"/>
          <w:sz w:val="22"/>
          <w:szCs w:val="22"/>
          <w:lang w:val="en-US"/>
        </w:rPr>
        <w:t xml:space="preserve"> response solely in </w:t>
      </w:r>
      <w:r w:rsidR="00C17491" w:rsidRPr="003A5293">
        <w:rPr>
          <w:rFonts w:ascii="Arial" w:hAnsi="Arial" w:cs="Arial"/>
          <w:i/>
          <w:iCs/>
          <w:sz w:val="22"/>
          <w:szCs w:val="22"/>
          <w:lang w:val="en-US"/>
        </w:rPr>
        <w:t xml:space="preserve">JAK2 </w:t>
      </w:r>
      <w:r w:rsidR="00C17491" w:rsidRPr="00CD395D">
        <w:rPr>
          <w:rFonts w:ascii="Arial" w:hAnsi="Arial" w:cs="Arial"/>
          <w:sz w:val="22"/>
          <w:szCs w:val="22"/>
          <w:lang w:val="en-US"/>
        </w:rPr>
        <w:t>V617F</w:t>
      </w:r>
      <w:r w:rsidR="00C17491" w:rsidRPr="003A5293">
        <w:rPr>
          <w:rFonts w:ascii="Arial" w:hAnsi="Arial" w:cs="Arial"/>
          <w:sz w:val="22"/>
          <w:szCs w:val="22"/>
          <w:vertAlign w:val="superscript"/>
          <w:lang w:val="en-US"/>
        </w:rPr>
        <w:t>+</w:t>
      </w:r>
      <w:r w:rsidR="00C17491" w:rsidRPr="003A5293">
        <w:rPr>
          <w:rFonts w:ascii="Arial" w:hAnsi="Arial" w:cs="Arial"/>
          <w:sz w:val="22"/>
          <w:szCs w:val="22"/>
          <w:lang w:val="en-US"/>
        </w:rPr>
        <w:t xml:space="preserve"> P</w:t>
      </w:r>
      <w:r w:rsidR="002B6894">
        <w:rPr>
          <w:rFonts w:ascii="Arial" w:hAnsi="Arial" w:cs="Arial"/>
          <w:sz w:val="22"/>
          <w:szCs w:val="22"/>
          <w:lang w:val="en-US"/>
        </w:rPr>
        <w:t>-</w:t>
      </w:r>
      <w:r w:rsidR="00C17491" w:rsidRPr="003A5293">
        <w:rPr>
          <w:rFonts w:ascii="Arial" w:hAnsi="Arial" w:cs="Arial"/>
          <w:sz w:val="22"/>
          <w:szCs w:val="22"/>
          <w:lang w:val="en-US"/>
        </w:rPr>
        <w:t>ECs.</w:t>
      </w:r>
    </w:p>
    <w:p w14:paraId="37643021" w14:textId="77777777" w:rsidR="00C17491" w:rsidRPr="003A5293" w:rsidRDefault="00C17491" w:rsidP="00C3083B">
      <w:pPr>
        <w:spacing w:line="360" w:lineRule="auto"/>
        <w:jc w:val="both"/>
        <w:rPr>
          <w:rFonts w:ascii="Arial" w:hAnsi="Arial" w:cs="Arial"/>
          <w:sz w:val="22"/>
          <w:szCs w:val="22"/>
          <w:lang w:val="en-US"/>
        </w:rPr>
      </w:pPr>
    </w:p>
    <w:p w14:paraId="19973264" w14:textId="77777777" w:rsidR="00DF3976" w:rsidRPr="003A5293" w:rsidRDefault="00DF3976" w:rsidP="00DF3976">
      <w:pPr>
        <w:spacing w:line="360" w:lineRule="auto"/>
        <w:jc w:val="center"/>
        <w:rPr>
          <w:rFonts w:ascii="Arial" w:hAnsi="Arial" w:cs="Arial"/>
        </w:rPr>
      </w:pPr>
      <w:r w:rsidRPr="003A5293">
        <w:rPr>
          <w:rFonts w:ascii="Arial" w:hAnsi="Arial" w:cs="Arial"/>
        </w:rPr>
        <w:fldChar w:fldCharType="begin"/>
      </w:r>
      <w:r w:rsidRPr="003A5293">
        <w:rPr>
          <w:rFonts w:ascii="Arial" w:hAnsi="Arial" w:cs="Arial"/>
        </w:rPr>
        <w:instrText xml:space="preserve"> INCLUDEPICTURE "https://media.springernature.com/full/springer-static/image/art%3A10.1038%2Fs41388-019-0813-7/MediaObjects/41388_2019_813_Fig1_HTML.png" \* MERGEFORMATINET </w:instrText>
      </w:r>
      <w:r w:rsidRPr="003A5293">
        <w:rPr>
          <w:rFonts w:ascii="Arial" w:hAnsi="Arial" w:cs="Arial"/>
        </w:rPr>
        <w:fldChar w:fldCharType="separate"/>
      </w:r>
      <w:r w:rsidRPr="003A5293">
        <w:rPr>
          <w:rFonts w:ascii="Arial" w:hAnsi="Arial" w:cs="Arial"/>
          <w:noProof/>
          <w:lang w:val="cs-CZ" w:eastAsia="cs-CZ"/>
        </w:rPr>
        <w:drawing>
          <wp:inline distT="0" distB="0" distL="0" distR="0" wp14:anchorId="43056125" wp14:editId="406CAFC5">
            <wp:extent cx="3721674" cy="357484"/>
            <wp:effectExtent l="0" t="0" r="0" b="0"/>
            <wp:docPr id="8" name="Grafik 8"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1"/>
                    <pic:cNvPicPr>
                      <a:picLocks noChangeAspect="1" noChangeArrowheads="1"/>
                    </pic:cNvPicPr>
                  </pic:nvPicPr>
                  <pic:blipFill rotWithShape="1">
                    <a:blip r:embed="rId22">
                      <a:extLst>
                        <a:ext uri="{28A0092B-C50C-407E-A947-70E740481C1C}">
                          <a14:useLocalDpi xmlns:a14="http://schemas.microsoft.com/office/drawing/2010/main" val="0"/>
                        </a:ext>
                      </a:extLst>
                    </a:blip>
                    <a:srcRect l="2443" t="44551" r="54618" b="52350"/>
                    <a:stretch/>
                  </pic:blipFill>
                  <pic:spPr bwMode="auto">
                    <a:xfrm>
                      <a:off x="0" y="0"/>
                      <a:ext cx="3948362" cy="379258"/>
                    </a:xfrm>
                    <a:prstGeom prst="rect">
                      <a:avLst/>
                    </a:prstGeom>
                    <a:noFill/>
                    <a:ln>
                      <a:noFill/>
                    </a:ln>
                    <a:extLst>
                      <a:ext uri="{53640926-AAD7-44D8-BBD7-CCE9431645EC}">
                        <a14:shadowObscured xmlns:a14="http://schemas.microsoft.com/office/drawing/2010/main"/>
                      </a:ext>
                    </a:extLst>
                  </pic:spPr>
                </pic:pic>
              </a:graphicData>
            </a:graphic>
          </wp:inline>
        </w:drawing>
      </w:r>
      <w:r w:rsidRPr="003A5293">
        <w:rPr>
          <w:rFonts w:ascii="Arial" w:hAnsi="Arial" w:cs="Arial"/>
        </w:rPr>
        <w:fldChar w:fldCharType="end"/>
      </w:r>
      <w:r w:rsidRPr="003A5293">
        <w:rPr>
          <w:rFonts w:ascii="Arial" w:hAnsi="Arial" w:cs="Arial"/>
        </w:rPr>
        <w:fldChar w:fldCharType="begin"/>
      </w:r>
      <w:r w:rsidRPr="003A5293">
        <w:rPr>
          <w:rFonts w:ascii="Arial" w:hAnsi="Arial" w:cs="Arial"/>
        </w:rPr>
        <w:instrText xml:space="preserve"> INCLUDEPICTURE "https://media.springernature.com/full/springer-static/image/art%3A10.1038%2Fs41388-019-0813-7/MediaObjects/41388_2019_813_Fig1_HTML.png" \* MERGEFORMATINET </w:instrText>
      </w:r>
      <w:r w:rsidRPr="003A5293">
        <w:rPr>
          <w:rFonts w:ascii="Arial" w:hAnsi="Arial" w:cs="Arial"/>
        </w:rPr>
        <w:fldChar w:fldCharType="separate"/>
      </w:r>
      <w:r w:rsidRPr="003A5293">
        <w:rPr>
          <w:rFonts w:ascii="Arial" w:hAnsi="Arial" w:cs="Arial"/>
          <w:noProof/>
          <w:lang w:val="cs-CZ" w:eastAsia="cs-CZ"/>
        </w:rPr>
        <w:drawing>
          <wp:inline distT="0" distB="0" distL="0" distR="0" wp14:anchorId="249FDE8D" wp14:editId="242993BA">
            <wp:extent cx="3819676" cy="5679821"/>
            <wp:effectExtent l="0" t="0" r="3175" b="0"/>
            <wp:docPr id="9" name="Grafik 9"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1"/>
                    <pic:cNvPicPr>
                      <a:picLocks noChangeAspect="1" noChangeArrowheads="1"/>
                    </pic:cNvPicPr>
                  </pic:nvPicPr>
                  <pic:blipFill rotWithShape="1">
                    <a:blip r:embed="rId22">
                      <a:extLst>
                        <a:ext uri="{28A0092B-C50C-407E-A947-70E740481C1C}">
                          <a14:useLocalDpi xmlns:a14="http://schemas.microsoft.com/office/drawing/2010/main" val="0"/>
                        </a:ext>
                      </a:extLst>
                    </a:blip>
                    <a:srcRect l="-14" t="47821" r="53188" b="-144"/>
                    <a:stretch/>
                  </pic:blipFill>
                  <pic:spPr bwMode="auto">
                    <a:xfrm>
                      <a:off x="0" y="0"/>
                      <a:ext cx="3829061" cy="5693777"/>
                    </a:xfrm>
                    <a:prstGeom prst="rect">
                      <a:avLst/>
                    </a:prstGeom>
                    <a:noFill/>
                    <a:ln>
                      <a:noFill/>
                    </a:ln>
                    <a:extLst>
                      <a:ext uri="{53640926-AAD7-44D8-BBD7-CCE9431645EC}">
                        <a14:shadowObscured xmlns:a14="http://schemas.microsoft.com/office/drawing/2010/main"/>
                      </a:ext>
                    </a:extLst>
                  </pic:spPr>
                </pic:pic>
              </a:graphicData>
            </a:graphic>
          </wp:inline>
        </w:drawing>
      </w:r>
      <w:r w:rsidRPr="003A5293">
        <w:rPr>
          <w:rFonts w:ascii="Arial" w:hAnsi="Arial" w:cs="Arial"/>
        </w:rPr>
        <w:fldChar w:fldCharType="end"/>
      </w:r>
    </w:p>
    <w:p w14:paraId="5874D5FB" w14:textId="77777777" w:rsidR="00C3083B" w:rsidRPr="003A5293" w:rsidRDefault="00C3083B" w:rsidP="00C3083B">
      <w:pPr>
        <w:spacing w:line="360" w:lineRule="auto"/>
        <w:jc w:val="both"/>
        <w:rPr>
          <w:rFonts w:ascii="Arial" w:hAnsi="Arial" w:cs="Arial"/>
          <w:sz w:val="22"/>
          <w:szCs w:val="22"/>
          <w:lang w:val="en-US"/>
        </w:rPr>
      </w:pPr>
      <w:r w:rsidRPr="003A5293">
        <w:rPr>
          <w:rFonts w:ascii="Arial" w:hAnsi="Arial" w:cs="Arial"/>
          <w:b/>
          <w:bCs/>
          <w:sz w:val="22"/>
          <w:szCs w:val="22"/>
          <w:lang w:val="en-US"/>
        </w:rPr>
        <w:t>Figure 10</w:t>
      </w:r>
      <w:r w:rsidRPr="003A5293">
        <w:rPr>
          <w:rFonts w:ascii="Arial" w:hAnsi="Arial" w:cs="Arial"/>
          <w:sz w:val="22"/>
          <w:szCs w:val="22"/>
          <w:lang w:val="en-US"/>
        </w:rPr>
        <w:t xml:space="preserve">: Heatmap representation of differential expression of type II interferon signaling gene set members in d9 </w:t>
      </w:r>
      <w:r w:rsidRPr="00CD395D">
        <w:rPr>
          <w:rFonts w:ascii="Arial" w:hAnsi="Arial" w:cs="Arial"/>
          <w:i/>
          <w:iCs/>
          <w:sz w:val="22"/>
          <w:szCs w:val="22"/>
          <w:lang w:val="en-US"/>
        </w:rPr>
        <w:t>JAK2</w:t>
      </w:r>
      <w:r w:rsidR="009C482C" w:rsidRPr="003A5293">
        <w:rPr>
          <w:rFonts w:ascii="Arial" w:hAnsi="Arial" w:cs="Arial"/>
          <w:sz w:val="22"/>
          <w:szCs w:val="22"/>
          <w:lang w:val="en-US"/>
        </w:rPr>
        <w:t xml:space="preserve"> </w:t>
      </w:r>
      <w:proofErr w:type="spellStart"/>
      <w:r w:rsidRPr="003A5293">
        <w:rPr>
          <w:rFonts w:ascii="Arial" w:hAnsi="Arial" w:cs="Arial"/>
          <w:sz w:val="22"/>
          <w:szCs w:val="22"/>
          <w:lang w:val="en-US"/>
        </w:rPr>
        <w:t>wt</w:t>
      </w:r>
      <w:proofErr w:type="spellEnd"/>
      <w:r w:rsidRPr="003A5293">
        <w:rPr>
          <w:rFonts w:ascii="Arial" w:hAnsi="Arial" w:cs="Arial"/>
          <w:sz w:val="22"/>
          <w:szCs w:val="22"/>
          <w:lang w:val="en-US"/>
        </w:rPr>
        <w:t xml:space="preserve"> and </w:t>
      </w:r>
      <w:r w:rsidRPr="00CD395D">
        <w:rPr>
          <w:rFonts w:ascii="Arial" w:hAnsi="Arial" w:cs="Arial"/>
          <w:i/>
          <w:iCs/>
          <w:sz w:val="22"/>
          <w:szCs w:val="22"/>
          <w:lang w:val="en-US"/>
        </w:rPr>
        <w:t>JAK2</w:t>
      </w:r>
      <w:r w:rsidR="009C482C" w:rsidRPr="003A5293">
        <w:rPr>
          <w:rFonts w:ascii="Arial" w:hAnsi="Arial" w:cs="Arial"/>
          <w:sz w:val="22"/>
          <w:szCs w:val="22"/>
          <w:lang w:val="en-US"/>
        </w:rPr>
        <w:t xml:space="preserve"> </w:t>
      </w:r>
      <w:r w:rsidRPr="003A5293">
        <w:rPr>
          <w:rFonts w:ascii="Arial" w:hAnsi="Arial" w:cs="Arial"/>
          <w:sz w:val="22"/>
          <w:szCs w:val="22"/>
          <w:lang w:val="en-US"/>
        </w:rPr>
        <w:t>V617F</w:t>
      </w:r>
      <w:r w:rsidRPr="00CD395D">
        <w:rPr>
          <w:rFonts w:ascii="Arial" w:hAnsi="Arial" w:cs="Arial"/>
          <w:sz w:val="22"/>
          <w:szCs w:val="22"/>
          <w:vertAlign w:val="superscript"/>
          <w:lang w:val="en-US"/>
        </w:rPr>
        <w:t>+</w:t>
      </w:r>
      <w:r w:rsidRPr="003A5293">
        <w:rPr>
          <w:rFonts w:ascii="Arial" w:hAnsi="Arial" w:cs="Arial"/>
          <w:sz w:val="22"/>
          <w:szCs w:val="22"/>
          <w:lang w:val="en-US"/>
        </w:rPr>
        <w:t xml:space="preserve"> CD34</w:t>
      </w:r>
      <w:r w:rsidRPr="00CD395D">
        <w:rPr>
          <w:rFonts w:ascii="Arial" w:hAnsi="Arial" w:cs="Arial"/>
          <w:sz w:val="22"/>
          <w:szCs w:val="22"/>
          <w:vertAlign w:val="superscript"/>
          <w:lang w:val="en-US"/>
        </w:rPr>
        <w:t>+</w:t>
      </w:r>
      <w:r w:rsidRPr="003A5293">
        <w:rPr>
          <w:rFonts w:ascii="Arial" w:hAnsi="Arial" w:cs="Arial"/>
          <w:sz w:val="22"/>
          <w:szCs w:val="22"/>
          <w:lang w:val="en-US"/>
        </w:rPr>
        <w:t xml:space="preserve"> P-ECs, untreated (d9) or treated with inflammatory cytokines (d9 </w:t>
      </w:r>
      <w:proofErr w:type="spellStart"/>
      <w:r w:rsidRPr="003A5293">
        <w:rPr>
          <w:rFonts w:ascii="Arial" w:hAnsi="Arial" w:cs="Arial"/>
          <w:sz w:val="22"/>
          <w:szCs w:val="22"/>
          <w:lang w:val="en-US"/>
        </w:rPr>
        <w:t>cyt</w:t>
      </w:r>
      <w:proofErr w:type="spellEnd"/>
      <w:r w:rsidRPr="003A5293">
        <w:rPr>
          <w:rFonts w:ascii="Arial" w:hAnsi="Arial" w:cs="Arial"/>
          <w:sz w:val="22"/>
          <w:szCs w:val="22"/>
          <w:lang w:val="en-US"/>
        </w:rPr>
        <w:t>). Columns in the heatmap represent individual samples in experimental duplicates (1, 2).</w:t>
      </w:r>
    </w:p>
    <w:p w14:paraId="1541EC1B" w14:textId="5C9EED21" w:rsidR="00C17491" w:rsidRPr="003A5293" w:rsidRDefault="00C17491" w:rsidP="00C17491">
      <w:pPr>
        <w:pStyle w:val="Formatvorlage1"/>
        <w:rPr>
          <w:rFonts w:cs="Arial"/>
        </w:rPr>
      </w:pPr>
      <w:bookmarkStart w:id="16" w:name="_Toc57582491"/>
      <w:r w:rsidRPr="003A5293">
        <w:rPr>
          <w:rFonts w:cs="Arial"/>
        </w:rPr>
        <w:lastRenderedPageBreak/>
        <w:t>Description of robust inflammatory signature in PV patient BM sections from different PV disease stages</w:t>
      </w:r>
      <w:bookmarkEnd w:id="16"/>
    </w:p>
    <w:p w14:paraId="1D0B8D32" w14:textId="77777777" w:rsidR="00A27F2D" w:rsidRPr="003A5293" w:rsidRDefault="00A27F2D" w:rsidP="00A27F2D">
      <w:pPr>
        <w:spacing w:line="360" w:lineRule="auto"/>
        <w:ind w:firstLine="708"/>
        <w:jc w:val="both"/>
        <w:rPr>
          <w:rFonts w:ascii="Arial" w:hAnsi="Arial" w:cs="Arial"/>
          <w:sz w:val="22"/>
          <w:szCs w:val="22"/>
          <w:lang w:val="en-US"/>
        </w:rPr>
      </w:pPr>
    </w:p>
    <w:p w14:paraId="5F347248" w14:textId="77777777" w:rsidR="00C1587E" w:rsidRPr="003A5293" w:rsidRDefault="00C1587E" w:rsidP="00A27F2D">
      <w:pPr>
        <w:spacing w:line="360" w:lineRule="auto"/>
        <w:ind w:firstLine="708"/>
        <w:jc w:val="both"/>
        <w:rPr>
          <w:rFonts w:ascii="Arial" w:hAnsi="Arial" w:cs="Arial"/>
          <w:sz w:val="22"/>
          <w:szCs w:val="22"/>
          <w:lang w:val="en-US"/>
        </w:rPr>
      </w:pPr>
      <w:r w:rsidRPr="003A5293">
        <w:rPr>
          <w:rFonts w:ascii="Arial" w:hAnsi="Arial" w:cs="Arial"/>
          <w:sz w:val="22"/>
          <w:szCs w:val="22"/>
          <w:lang w:val="en-US"/>
        </w:rPr>
        <w:t xml:space="preserve">As PV HSCs thrives in BM niches in a </w:t>
      </w:r>
      <w:r w:rsidR="00A214E4" w:rsidRPr="003A5293">
        <w:rPr>
          <w:rFonts w:ascii="Arial" w:hAnsi="Arial" w:cs="Arial"/>
          <w:sz w:val="22"/>
          <w:szCs w:val="22"/>
          <w:lang w:val="en-US"/>
        </w:rPr>
        <w:t xml:space="preserve">‘bad </w:t>
      </w:r>
      <w:r w:rsidRPr="003A5293">
        <w:rPr>
          <w:rFonts w:ascii="Arial" w:hAnsi="Arial" w:cs="Arial"/>
          <w:sz w:val="22"/>
          <w:szCs w:val="22"/>
          <w:lang w:val="en-US"/>
        </w:rPr>
        <w:t>seed</w:t>
      </w:r>
      <w:r w:rsidR="00A214E4" w:rsidRPr="003A5293">
        <w:rPr>
          <w:rFonts w:ascii="Arial" w:hAnsi="Arial" w:cs="Arial"/>
          <w:sz w:val="22"/>
          <w:szCs w:val="22"/>
          <w:lang w:val="en-US"/>
        </w:rPr>
        <w:t>’</w:t>
      </w:r>
      <w:r w:rsidRPr="003A5293">
        <w:rPr>
          <w:rFonts w:ascii="Arial" w:hAnsi="Arial" w:cs="Arial"/>
          <w:sz w:val="22"/>
          <w:szCs w:val="22"/>
          <w:lang w:val="en-US"/>
        </w:rPr>
        <w:t xml:space="preserve"> (HSCs) and a </w:t>
      </w:r>
      <w:r w:rsidR="00A214E4" w:rsidRPr="003A5293">
        <w:rPr>
          <w:rFonts w:ascii="Arial" w:hAnsi="Arial" w:cs="Arial"/>
          <w:sz w:val="22"/>
          <w:szCs w:val="22"/>
          <w:lang w:val="en-US"/>
        </w:rPr>
        <w:t>‘</w:t>
      </w:r>
      <w:r w:rsidRPr="003A5293">
        <w:rPr>
          <w:rFonts w:ascii="Arial" w:hAnsi="Arial" w:cs="Arial"/>
          <w:sz w:val="22"/>
          <w:szCs w:val="22"/>
          <w:lang w:val="en-US"/>
        </w:rPr>
        <w:t>soil</w:t>
      </w:r>
      <w:r w:rsidR="00A214E4" w:rsidRPr="003A5293">
        <w:rPr>
          <w:rFonts w:ascii="Arial" w:hAnsi="Arial" w:cs="Arial"/>
          <w:sz w:val="22"/>
          <w:szCs w:val="22"/>
          <w:lang w:val="en-US"/>
        </w:rPr>
        <w:t>’</w:t>
      </w:r>
      <w:r w:rsidRPr="003A5293">
        <w:rPr>
          <w:rFonts w:ascii="Arial" w:hAnsi="Arial" w:cs="Arial"/>
          <w:sz w:val="22"/>
          <w:szCs w:val="22"/>
          <w:lang w:val="en-US"/>
        </w:rPr>
        <w:t xml:space="preserve"> (stromal cells) interaction, we were also interested in describing expression profile of other proinflammatory cytokines</w:t>
      </w:r>
      <w:r w:rsidR="00A214E4" w:rsidRPr="003A5293">
        <w:rPr>
          <w:rFonts w:ascii="Arial" w:hAnsi="Arial" w:cs="Arial"/>
          <w:sz w:val="22"/>
          <w:szCs w:val="22"/>
          <w:lang w:val="en-US"/>
        </w:rPr>
        <w:t xml:space="preserve"> in PV patient BM sections</w:t>
      </w:r>
      <w:r w:rsidRPr="003A5293">
        <w:rPr>
          <w:rFonts w:ascii="Arial" w:hAnsi="Arial" w:cs="Arial"/>
          <w:sz w:val="22"/>
          <w:szCs w:val="22"/>
          <w:lang w:val="en-US"/>
        </w:rPr>
        <w:t xml:space="preserve"> during disease progression from proliferative PV state to </w:t>
      </w:r>
      <w:r w:rsidR="00A214E4" w:rsidRPr="003A5293">
        <w:rPr>
          <w:rFonts w:ascii="Arial" w:hAnsi="Arial" w:cs="Arial"/>
          <w:sz w:val="22"/>
          <w:szCs w:val="22"/>
          <w:lang w:val="en-US"/>
        </w:rPr>
        <w:t xml:space="preserve">senescence-associated </w:t>
      </w:r>
      <w:r w:rsidRPr="003A5293">
        <w:rPr>
          <w:rFonts w:ascii="Arial" w:hAnsi="Arial" w:cs="Arial"/>
          <w:sz w:val="22"/>
          <w:szCs w:val="22"/>
          <w:lang w:val="en-US"/>
        </w:rPr>
        <w:t xml:space="preserve">post-PV myelofibrosis (myelofibrosis grade 1-2 (MF1/2), grade 3 (MF-3), according to revised 2016 WHO classification </w:t>
      </w:r>
      <w:r w:rsidRPr="003A5293">
        <w:rPr>
          <w:rFonts w:ascii="Arial" w:hAnsi="Arial" w:cs="Arial"/>
          <w:sz w:val="22"/>
          <w:szCs w:val="22"/>
          <w:lang w:val="en-US"/>
        </w:rPr>
        <w:fldChar w:fldCharType="begin"/>
      </w:r>
      <w:r w:rsidRPr="003A5293">
        <w:rPr>
          <w:rFonts w:ascii="Arial" w:hAnsi="Arial" w:cs="Arial"/>
          <w:sz w:val="22"/>
          <w:szCs w:val="22"/>
          <w:lang w:val="en-US"/>
        </w:rPr>
        <w:instrText xml:space="preserve"> ADDIN ZOTERO_ITEM CSL_CITATION {"citationID":"Be3wEz9Z","properties":{"formattedCitation":"(Arber et al., 2016)","plainCitation":"(Arber et al., 2016)","noteIndex":0},"citationItems":[{"id":55,"uris":["http://zotero.org/users/2484452/items/ZNVSY635"],"uri":["http://zotero.org/users/2484452/items/ZNVSY635"],"itemData":{"id":55,"type":"article-journal","abstract":"The World Health Organization (WHO) classification of tumors of the hematopoietic and lymphoid tissues was last updated in 2008. Since then, there have been numerous advances in the identification of unique biomarkers associated with some myeloid neoplasms and acute leukemias, largely derived from gene expression analysis and next-generation sequencing that can significantly improve the diagnostic criteria as well as the prognostic relevance of entities currently included in the WHO classification and that also suggest new entities that should be added. Therefore, there is a clear need for a revision to the current classification. The revisions to the categories of myeloid neoplasms and acute leukemia will be published in a monograph in 2016 and reflect a consensus of opinion of hematopathologists, hematologists, oncologists, and geneticists. The 2016 edition represents a revision of the prior classification rather than an entirely new classification and attempts to incorporate new clinical, prognostic, morphologic, immunophenotypic, and genetic data that have emerged since the last edition. The major changes in the classification and their rationale are presented here.","container-title":"Blood","DOI":"10.1182/blood-2016-03-643544","ISSN":"1528-0020","issue":"20","journalAbbreviation":"Blood","language":"eng","note":"PMID: 27069254","page":"2391-2405","source":"PubMed","title":"The 2016 revision to the World Health Organization classification of myeloid neoplasms and acute leukemia","volume":"127","author":[{"family":"Arber","given":"Daniel A."},{"family":"Orazi","given":"Attilio"},{"family":"Hasserjian","given":"Robert"},{"family":"Thiele","given":"Jürgen"},{"family":"Borowitz","given":"Michael J."},{"family":"Le Beau","given":"Michelle M."},{"family":"Bloomfield","given":"Clara D."},{"family":"Cazzola","given":"Mario"},{"family":"Vardiman","given":"James W."}],"issued":{"date-parts":[["2016"]],"season":"19"}}}],"schema":"https://github.com/citation-style-language/schema/raw/master/csl-citation.json"} </w:instrText>
      </w:r>
      <w:r w:rsidRPr="003A5293">
        <w:rPr>
          <w:rFonts w:ascii="Arial" w:hAnsi="Arial" w:cs="Arial"/>
          <w:sz w:val="22"/>
          <w:szCs w:val="22"/>
          <w:lang w:val="en-US"/>
        </w:rPr>
        <w:fldChar w:fldCharType="separate"/>
      </w:r>
      <w:r w:rsidRPr="003A5293">
        <w:rPr>
          <w:rFonts w:ascii="Arial" w:hAnsi="Arial" w:cs="Arial"/>
          <w:noProof/>
          <w:sz w:val="22"/>
          <w:szCs w:val="22"/>
          <w:lang w:val="en-US"/>
        </w:rPr>
        <w:t>(Arber et al., 2016)</w:t>
      </w:r>
      <w:r w:rsidRPr="003A5293">
        <w:rPr>
          <w:rFonts w:ascii="Arial" w:hAnsi="Arial" w:cs="Arial"/>
          <w:sz w:val="22"/>
          <w:szCs w:val="22"/>
          <w:lang w:val="en-US"/>
        </w:rPr>
        <w:fldChar w:fldCharType="end"/>
      </w:r>
      <w:r w:rsidRPr="003A5293">
        <w:rPr>
          <w:rFonts w:ascii="Arial" w:hAnsi="Arial" w:cs="Arial"/>
          <w:sz w:val="22"/>
          <w:szCs w:val="22"/>
          <w:lang w:val="en-US"/>
        </w:rPr>
        <w:t>).</w:t>
      </w:r>
    </w:p>
    <w:p w14:paraId="7A111A0E" w14:textId="77777777" w:rsidR="00432C97" w:rsidRPr="003A5293" w:rsidRDefault="00A27F2D" w:rsidP="00A27F2D">
      <w:pPr>
        <w:spacing w:line="360" w:lineRule="auto"/>
        <w:jc w:val="both"/>
        <w:rPr>
          <w:rFonts w:ascii="Arial" w:hAnsi="Arial" w:cs="Arial"/>
          <w:sz w:val="22"/>
          <w:szCs w:val="22"/>
          <w:lang w:val="en-US"/>
        </w:rPr>
      </w:pPr>
      <w:r w:rsidRPr="003A5293">
        <w:rPr>
          <w:rFonts w:ascii="Arial" w:hAnsi="Arial" w:cs="Arial"/>
          <w:sz w:val="22"/>
          <w:szCs w:val="22"/>
          <w:lang w:val="en-US"/>
        </w:rPr>
        <w:t>In agreement with the</w:t>
      </w:r>
      <w:r w:rsidR="00A214E4" w:rsidRPr="003A5293">
        <w:rPr>
          <w:rFonts w:ascii="Arial" w:hAnsi="Arial" w:cs="Arial"/>
          <w:sz w:val="22"/>
          <w:szCs w:val="22"/>
          <w:lang w:val="en-US"/>
        </w:rPr>
        <w:t xml:space="preserve"> detection of </w:t>
      </w:r>
      <w:proofErr w:type="spellStart"/>
      <w:r w:rsidR="00A214E4" w:rsidRPr="003A5293">
        <w:rPr>
          <w:rFonts w:ascii="Arial" w:hAnsi="Arial" w:cs="Arial"/>
          <w:sz w:val="22"/>
          <w:szCs w:val="22"/>
          <w:lang w:val="en-US"/>
        </w:rPr>
        <w:t>IFNγ</w:t>
      </w:r>
      <w:proofErr w:type="spellEnd"/>
      <w:r w:rsidR="00A214E4" w:rsidRPr="003A5293">
        <w:rPr>
          <w:rFonts w:ascii="Arial" w:hAnsi="Arial" w:cs="Arial"/>
          <w:sz w:val="22"/>
          <w:szCs w:val="22"/>
          <w:lang w:val="en-US"/>
        </w:rPr>
        <w:t xml:space="preserve">-dependent signaling in </w:t>
      </w:r>
      <w:r w:rsidR="00667E23" w:rsidRPr="003A5293">
        <w:rPr>
          <w:rFonts w:ascii="Arial" w:hAnsi="Arial" w:cs="Arial"/>
          <w:i/>
          <w:iCs/>
          <w:sz w:val="22"/>
          <w:szCs w:val="22"/>
          <w:lang w:val="en-US"/>
        </w:rPr>
        <w:t xml:space="preserve">JAK2 </w:t>
      </w:r>
      <w:r w:rsidR="00667E23" w:rsidRPr="00CD395D">
        <w:rPr>
          <w:rFonts w:ascii="Arial" w:hAnsi="Arial" w:cs="Arial"/>
          <w:sz w:val="22"/>
          <w:szCs w:val="22"/>
          <w:lang w:val="en-US"/>
        </w:rPr>
        <w:t>V617F</w:t>
      </w:r>
      <w:r w:rsidR="00667E23" w:rsidRPr="003A5293">
        <w:rPr>
          <w:rFonts w:ascii="Arial" w:hAnsi="Arial" w:cs="Arial"/>
          <w:i/>
          <w:iCs/>
          <w:sz w:val="22"/>
          <w:szCs w:val="22"/>
          <w:vertAlign w:val="superscript"/>
          <w:lang w:val="en-US"/>
        </w:rPr>
        <w:t>+</w:t>
      </w:r>
      <w:r w:rsidR="00667E23" w:rsidRPr="003A5293">
        <w:rPr>
          <w:rFonts w:ascii="Arial" w:hAnsi="Arial" w:cs="Arial"/>
          <w:sz w:val="22"/>
          <w:szCs w:val="22"/>
          <w:lang w:val="en-US"/>
        </w:rPr>
        <w:t xml:space="preserve"> </w:t>
      </w:r>
      <w:r w:rsidR="00A214E4" w:rsidRPr="003A5293">
        <w:rPr>
          <w:rFonts w:ascii="Arial" w:hAnsi="Arial" w:cs="Arial"/>
          <w:sz w:val="22"/>
          <w:szCs w:val="22"/>
          <w:lang w:val="en-US"/>
        </w:rPr>
        <w:t>CD34</w:t>
      </w:r>
      <w:r w:rsidR="00A214E4" w:rsidRPr="003A5293">
        <w:rPr>
          <w:rFonts w:ascii="Arial" w:hAnsi="Arial" w:cs="Arial"/>
          <w:sz w:val="22"/>
          <w:szCs w:val="22"/>
          <w:vertAlign w:val="superscript"/>
          <w:lang w:val="en-US"/>
        </w:rPr>
        <w:t>+</w:t>
      </w:r>
      <w:r w:rsidR="00A214E4" w:rsidRPr="003A5293">
        <w:rPr>
          <w:rFonts w:ascii="Arial" w:hAnsi="Arial" w:cs="Arial"/>
          <w:sz w:val="22"/>
          <w:szCs w:val="22"/>
          <w:lang w:val="en-US"/>
        </w:rPr>
        <w:t xml:space="preserve"> P</w:t>
      </w:r>
      <w:r w:rsidR="002B6894">
        <w:rPr>
          <w:rFonts w:ascii="Arial" w:hAnsi="Arial" w:cs="Arial"/>
          <w:sz w:val="22"/>
          <w:szCs w:val="22"/>
          <w:lang w:val="en-US"/>
        </w:rPr>
        <w:t>-</w:t>
      </w:r>
      <w:r w:rsidR="00A214E4" w:rsidRPr="003A5293">
        <w:rPr>
          <w:rFonts w:ascii="Arial" w:hAnsi="Arial" w:cs="Arial"/>
          <w:sz w:val="22"/>
          <w:szCs w:val="22"/>
          <w:lang w:val="en-US"/>
        </w:rPr>
        <w:t>ECs</w:t>
      </w:r>
      <w:r w:rsidRPr="003A5293">
        <w:rPr>
          <w:rFonts w:ascii="Arial" w:hAnsi="Arial" w:cs="Arial"/>
          <w:sz w:val="22"/>
          <w:szCs w:val="22"/>
          <w:lang w:val="en-US"/>
        </w:rPr>
        <w:t xml:space="preserve">, we have detected </w:t>
      </w:r>
      <w:r w:rsidR="00667E23" w:rsidRPr="003A5293">
        <w:rPr>
          <w:rFonts w:ascii="Arial" w:hAnsi="Arial" w:cs="Arial"/>
          <w:sz w:val="22"/>
          <w:szCs w:val="22"/>
          <w:lang w:val="en-US"/>
        </w:rPr>
        <w:t>significant expression of pro-</w:t>
      </w:r>
      <w:proofErr w:type="spellStart"/>
      <w:r w:rsidR="00667E23" w:rsidRPr="003A5293">
        <w:rPr>
          <w:rFonts w:ascii="Arial" w:hAnsi="Arial" w:cs="Arial"/>
          <w:sz w:val="22"/>
          <w:szCs w:val="22"/>
          <w:lang w:val="en-US"/>
        </w:rPr>
        <w:t>fibrogenic</w:t>
      </w:r>
      <w:proofErr w:type="spellEnd"/>
      <w:r w:rsidR="00667E23" w:rsidRPr="003A5293">
        <w:rPr>
          <w:rFonts w:ascii="Arial" w:hAnsi="Arial" w:cs="Arial"/>
          <w:sz w:val="22"/>
          <w:szCs w:val="22"/>
          <w:lang w:val="en-US"/>
        </w:rPr>
        <w:t xml:space="preserve"> chemokines</w:t>
      </w:r>
      <w:r w:rsidR="00A214E4" w:rsidRPr="003A5293">
        <w:rPr>
          <w:rFonts w:ascii="Arial" w:hAnsi="Arial" w:cs="Arial"/>
          <w:sz w:val="22"/>
          <w:szCs w:val="22"/>
          <w:lang w:val="en-US"/>
        </w:rPr>
        <w:t xml:space="preserve"> CXCL10</w:t>
      </w:r>
      <w:r w:rsidR="00667E23" w:rsidRPr="003A5293">
        <w:rPr>
          <w:rFonts w:ascii="Arial" w:hAnsi="Arial" w:cs="Arial"/>
          <w:sz w:val="22"/>
          <w:szCs w:val="22"/>
          <w:lang w:val="en-US"/>
        </w:rPr>
        <w:t xml:space="preserve"> and CXCL9 in </w:t>
      </w:r>
      <w:r w:rsidR="00345796" w:rsidRPr="003A5293">
        <w:rPr>
          <w:rFonts w:ascii="Arial" w:hAnsi="Arial" w:cs="Arial"/>
          <w:sz w:val="22"/>
          <w:szCs w:val="22"/>
          <w:lang w:val="en-US"/>
        </w:rPr>
        <w:t xml:space="preserve">the microenvironment of </w:t>
      </w:r>
      <w:r w:rsidR="00667E23" w:rsidRPr="003A5293">
        <w:rPr>
          <w:rFonts w:ascii="Arial" w:hAnsi="Arial" w:cs="Arial"/>
          <w:sz w:val="22"/>
          <w:szCs w:val="22"/>
          <w:lang w:val="en-US"/>
        </w:rPr>
        <w:t>PV patient BMs</w:t>
      </w:r>
      <w:r w:rsidRPr="003A5293">
        <w:rPr>
          <w:rFonts w:ascii="Arial" w:hAnsi="Arial" w:cs="Arial"/>
          <w:sz w:val="22"/>
          <w:szCs w:val="22"/>
          <w:lang w:val="en-US"/>
        </w:rPr>
        <w:t xml:space="preserve"> </w:t>
      </w:r>
      <w:r w:rsidR="00667E23" w:rsidRPr="003A5293">
        <w:rPr>
          <w:rFonts w:ascii="Arial" w:hAnsi="Arial" w:cs="Arial"/>
          <w:sz w:val="22"/>
          <w:szCs w:val="22"/>
          <w:lang w:val="en-US"/>
        </w:rPr>
        <w:t>along the progression of</w:t>
      </w:r>
      <w:r w:rsidRPr="003A5293">
        <w:rPr>
          <w:rFonts w:ascii="Arial" w:hAnsi="Arial" w:cs="Arial"/>
          <w:sz w:val="22"/>
          <w:szCs w:val="22"/>
          <w:lang w:val="en-US"/>
        </w:rPr>
        <w:t xml:space="preserve"> </w:t>
      </w:r>
      <w:r w:rsidR="00667E23" w:rsidRPr="003A5293">
        <w:rPr>
          <w:rFonts w:ascii="Arial" w:hAnsi="Arial" w:cs="Arial"/>
          <w:sz w:val="22"/>
          <w:szCs w:val="22"/>
          <w:lang w:val="en-US"/>
        </w:rPr>
        <w:t>the disease</w:t>
      </w:r>
      <w:r w:rsidR="00345796" w:rsidRPr="003A5293">
        <w:rPr>
          <w:rFonts w:ascii="Arial" w:hAnsi="Arial" w:cs="Arial"/>
          <w:sz w:val="22"/>
          <w:szCs w:val="22"/>
          <w:lang w:val="en-US"/>
        </w:rPr>
        <w:t xml:space="preserve"> (Figure 11)</w:t>
      </w:r>
      <w:r w:rsidR="00667E23" w:rsidRPr="003A5293">
        <w:rPr>
          <w:rFonts w:ascii="Arial" w:hAnsi="Arial" w:cs="Arial"/>
          <w:sz w:val="22"/>
          <w:szCs w:val="22"/>
          <w:lang w:val="en-US"/>
        </w:rPr>
        <w:t>.</w:t>
      </w:r>
      <w:r w:rsidRPr="003A5293">
        <w:rPr>
          <w:rFonts w:ascii="Arial" w:hAnsi="Arial" w:cs="Arial"/>
          <w:sz w:val="22"/>
          <w:szCs w:val="22"/>
          <w:lang w:val="en-US"/>
        </w:rPr>
        <w:t xml:space="preserve"> </w:t>
      </w:r>
      <w:r w:rsidR="00667E23" w:rsidRPr="003A5293">
        <w:rPr>
          <w:rFonts w:ascii="Arial" w:hAnsi="Arial" w:cs="Arial"/>
          <w:sz w:val="22"/>
          <w:szCs w:val="22"/>
          <w:lang w:val="en-US"/>
        </w:rPr>
        <w:t>CXCL10 was expressed constitutively across disease stages while CXCL9 expression was highest in progressed post-PV MF-3.</w:t>
      </w:r>
      <w:r w:rsidR="00345796" w:rsidRPr="003A5293">
        <w:rPr>
          <w:rFonts w:ascii="Arial" w:hAnsi="Arial" w:cs="Arial"/>
          <w:sz w:val="22"/>
          <w:szCs w:val="22"/>
          <w:lang w:val="en-US"/>
        </w:rPr>
        <w:t xml:space="preserve"> </w:t>
      </w:r>
      <w:r w:rsidR="000A6C60" w:rsidRPr="003A5293">
        <w:rPr>
          <w:rFonts w:ascii="Arial" w:hAnsi="Arial" w:cs="Arial"/>
          <w:sz w:val="22"/>
          <w:szCs w:val="22"/>
          <w:lang w:val="en-US"/>
        </w:rPr>
        <w:t>Thus, these data suggest that</w:t>
      </w:r>
      <w:r w:rsidR="00345796" w:rsidRPr="003A5293">
        <w:rPr>
          <w:rFonts w:ascii="Arial" w:hAnsi="Arial" w:cs="Arial"/>
          <w:sz w:val="22"/>
          <w:szCs w:val="22"/>
          <w:lang w:val="en-US"/>
        </w:rPr>
        <w:t xml:space="preserve"> activation of </w:t>
      </w:r>
      <w:proofErr w:type="spellStart"/>
      <w:r w:rsidR="00345796" w:rsidRPr="003A5293">
        <w:rPr>
          <w:rFonts w:ascii="Arial" w:hAnsi="Arial" w:cs="Arial"/>
          <w:sz w:val="22"/>
          <w:szCs w:val="22"/>
          <w:lang w:val="en-US"/>
        </w:rPr>
        <w:t>IFNγ</w:t>
      </w:r>
      <w:proofErr w:type="spellEnd"/>
      <w:r w:rsidR="00345796" w:rsidRPr="003A5293">
        <w:rPr>
          <w:rFonts w:ascii="Arial" w:hAnsi="Arial" w:cs="Arial"/>
          <w:sz w:val="22"/>
          <w:szCs w:val="22"/>
          <w:lang w:val="en-US"/>
        </w:rPr>
        <w:t xml:space="preserve"> program early in the hematopoietic </w:t>
      </w:r>
      <w:r w:rsidR="000A6C60" w:rsidRPr="003A5293">
        <w:rPr>
          <w:rFonts w:ascii="Arial" w:hAnsi="Arial" w:cs="Arial"/>
          <w:sz w:val="22"/>
          <w:szCs w:val="22"/>
          <w:lang w:val="en-US"/>
        </w:rPr>
        <w:t xml:space="preserve">system has </w:t>
      </w:r>
      <w:r w:rsidR="009C23AD" w:rsidRPr="003A5293">
        <w:rPr>
          <w:rFonts w:ascii="Arial" w:hAnsi="Arial" w:cs="Arial"/>
          <w:sz w:val="22"/>
          <w:szCs w:val="22"/>
          <w:lang w:val="en-US"/>
        </w:rPr>
        <w:t xml:space="preserve">profound and </w:t>
      </w:r>
      <w:r w:rsidR="00822387">
        <w:rPr>
          <w:rFonts w:ascii="Arial" w:hAnsi="Arial" w:cs="Arial"/>
          <w:sz w:val="22"/>
          <w:szCs w:val="22"/>
          <w:lang w:val="en-US"/>
        </w:rPr>
        <w:br/>
      </w:r>
      <w:r w:rsidR="000A6C60" w:rsidRPr="003A5293">
        <w:rPr>
          <w:rFonts w:ascii="Arial" w:hAnsi="Arial" w:cs="Arial"/>
          <w:sz w:val="22"/>
          <w:szCs w:val="22"/>
          <w:lang w:val="en-US"/>
        </w:rPr>
        <w:t>system</w:t>
      </w:r>
      <w:r w:rsidR="00822387">
        <w:rPr>
          <w:rFonts w:ascii="Arial" w:hAnsi="Arial" w:cs="Arial"/>
          <w:sz w:val="22"/>
          <w:szCs w:val="22"/>
          <w:lang w:val="en-US"/>
        </w:rPr>
        <w:t>-</w:t>
      </w:r>
      <w:r w:rsidR="000A6C60" w:rsidRPr="003A5293">
        <w:rPr>
          <w:rFonts w:ascii="Arial" w:hAnsi="Arial" w:cs="Arial"/>
          <w:sz w:val="22"/>
          <w:szCs w:val="22"/>
          <w:lang w:val="en-US"/>
        </w:rPr>
        <w:t xml:space="preserve">wide </w:t>
      </w:r>
      <w:r w:rsidR="009C23AD" w:rsidRPr="003A5293">
        <w:rPr>
          <w:rFonts w:ascii="Arial" w:hAnsi="Arial" w:cs="Arial"/>
          <w:sz w:val="22"/>
          <w:szCs w:val="22"/>
          <w:lang w:val="en-US"/>
        </w:rPr>
        <w:t>consequences on pro-inflammatory components of BM milieu</w:t>
      </w:r>
      <w:r w:rsidR="000A6C60" w:rsidRPr="003A5293">
        <w:rPr>
          <w:rFonts w:ascii="Arial" w:hAnsi="Arial" w:cs="Arial"/>
          <w:sz w:val="22"/>
          <w:szCs w:val="22"/>
          <w:lang w:val="en-US"/>
        </w:rPr>
        <w:t>.</w:t>
      </w:r>
      <w:r w:rsidR="009C23AD" w:rsidRPr="003A5293">
        <w:rPr>
          <w:rFonts w:ascii="Arial" w:hAnsi="Arial" w:cs="Arial"/>
          <w:sz w:val="22"/>
          <w:szCs w:val="22"/>
          <w:lang w:val="en-US"/>
        </w:rPr>
        <w:t xml:space="preserve"> </w:t>
      </w:r>
      <w:r w:rsidR="00F02CF9" w:rsidRPr="003A5293">
        <w:rPr>
          <w:rFonts w:ascii="Arial" w:hAnsi="Arial" w:cs="Arial"/>
          <w:sz w:val="22"/>
          <w:szCs w:val="22"/>
          <w:lang w:val="en-US"/>
        </w:rPr>
        <w:t>T</w:t>
      </w:r>
      <w:r w:rsidR="009C23AD" w:rsidRPr="003A5293">
        <w:rPr>
          <w:rFonts w:ascii="Arial" w:hAnsi="Arial" w:cs="Arial"/>
          <w:sz w:val="22"/>
          <w:szCs w:val="22"/>
          <w:lang w:val="en-US"/>
        </w:rPr>
        <w:t xml:space="preserve">umor necrosis factor alpha (TNFα) was shown to mediate proliferative advantage of MPN cells over normal cells </w:t>
      </w:r>
      <w:r w:rsidR="009C23AD" w:rsidRPr="003A5293">
        <w:rPr>
          <w:rFonts w:ascii="Arial" w:hAnsi="Arial" w:cs="Arial"/>
          <w:sz w:val="22"/>
          <w:szCs w:val="22"/>
          <w:lang w:val="en-US"/>
        </w:rPr>
        <w:fldChar w:fldCharType="begin"/>
      </w:r>
      <w:r w:rsidR="009C23AD" w:rsidRPr="003A5293">
        <w:rPr>
          <w:rFonts w:ascii="Arial" w:hAnsi="Arial" w:cs="Arial"/>
          <w:sz w:val="22"/>
          <w:szCs w:val="22"/>
          <w:lang w:val="en-US"/>
        </w:rPr>
        <w:instrText xml:space="preserve"> ADDIN ZOTERO_ITEM CSL_CITATION {"citationID":"fFfRAkn8","properties":{"formattedCitation":"(Fleischman et al., 2011)","plainCitation":"(Fleischman et al., 2011)","noteIndex":0},"citationItems":[{"id":91,"uris":["http://zotero.org/users/2484452/items/WN5492V5"],"uri":["http://zotero.org/users/2484452/items/WN5492V5"],"itemData":{"id":91,"type":"article-journal","abstract":"Proinflammatory cytokines such as TNFα are elevated in patients with myeloproliferative neoplasms (MPN), but their contribution to disease pathogenesis is unknown. Here we reveal a central role for TNFα in promoting clonal dominance of JAK2(V617F) expressing cells in MPN. We show that JAK2(V617F) kinase regulates TNFα expression in cell lines and primary MPN cells and TNFα expression is correlated with JAK2(V617F) allele burden. In clonogenic assays, normal controls show reduced colony formation in the presence of TNFα while colony formation by JAK2(V617F)-positive progenitor cells is resistant or stimulated by exposure to TNFα. Ectopic JAK2(V617F) expression confers TNFα resistance to normal murine progenitor cells and overcomes inherent TNFα hypersensitivity of Fanconi anemia complementation group C deficient progenitors. Lastly, absence of TNFα limits clonal expansion and attenuates disease in a murine model of JAK2(V617F)-positive MPN. Altogether our data are consistent with a model where JAK2(V617F) promotes clonal selection by conferring TNFα resistance to a preneoplastic TNFα sensitive cell, while simultaneously generating a TNFα-rich environment. Mutations that confer resistance to environmental stem cell stressors are a recognized mechanism of clonal selection and leukemogenesis in bone marrow failure syndromes and our data suggest that this mechanism is also critical to clonal selection in MPN.","container-title":"Blood","DOI":"10.1182/blood-2011-04-348144","ISSN":"1528-0020","issue":"24","journalAbbreviation":"Blood","language":"eng","note":"PMID: 21860020\nPMCID: PMC3236121","page":"6392-6398","source":"PubMed","title":"TNFα facilitates clonal expansion of JAK2V617F positive cells in myeloproliferative neoplasms","volume":"118","author":[{"family":"Fleischman","given":"Angela G."},{"family":"Aichberger","given":"Karl J."},{"family":"Luty","given":"Samuel B."},{"family":"Bumm","given":"Thomas G."},{"family":"Petersen","given":"Curtis L."},{"family":"Doratotaj","given":"Shirin"},{"family":"Vasudevan","given":"Kavin B."},{"family":"LaTocha","given":"Dorian H."},{"family":"Yang","given":"Fei"},{"family":"Press","given":"Richard D."},{"family":"Loriaux","given":"Marc M."},{"family":"Pahl","given":"Heike L."},{"family":"Silver","given":"Richard T."},{"family":"Agarwal","given":"Anupriya"},{"family":"O'Hare","given":"Thomas"},{"family":"Druker","given":"Brian J."},{"family":"Bagby","given":"Grover C."},{"family":"Deininger","given":"Michael W."}],"issued":{"date-parts":[["2011",12,8]]}}}],"schema":"https://github.com/citation-style-language/schema/raw/master/csl-citation.json"} </w:instrText>
      </w:r>
      <w:r w:rsidR="009C23AD" w:rsidRPr="003A5293">
        <w:rPr>
          <w:rFonts w:ascii="Arial" w:hAnsi="Arial" w:cs="Arial"/>
          <w:sz w:val="22"/>
          <w:szCs w:val="22"/>
          <w:lang w:val="en-US"/>
        </w:rPr>
        <w:fldChar w:fldCharType="separate"/>
      </w:r>
      <w:r w:rsidR="009C23AD" w:rsidRPr="003A5293">
        <w:rPr>
          <w:rFonts w:ascii="Arial" w:hAnsi="Arial" w:cs="Arial"/>
          <w:noProof/>
          <w:sz w:val="22"/>
          <w:szCs w:val="22"/>
          <w:lang w:val="en-US"/>
        </w:rPr>
        <w:t>(Fleischman et al., 2011)</w:t>
      </w:r>
      <w:r w:rsidR="009C23AD" w:rsidRPr="003A5293">
        <w:rPr>
          <w:rFonts w:ascii="Arial" w:hAnsi="Arial" w:cs="Arial"/>
          <w:sz w:val="22"/>
          <w:szCs w:val="22"/>
          <w:lang w:val="en-US"/>
        </w:rPr>
        <w:fldChar w:fldCharType="end"/>
      </w:r>
      <w:r w:rsidR="009C23AD" w:rsidRPr="003A5293">
        <w:rPr>
          <w:rFonts w:ascii="Arial" w:hAnsi="Arial" w:cs="Arial"/>
          <w:sz w:val="22"/>
          <w:szCs w:val="22"/>
          <w:lang w:val="en-US"/>
        </w:rPr>
        <w:t>, but its</w:t>
      </w:r>
      <w:r w:rsidR="00F02CF9" w:rsidRPr="003A5293">
        <w:rPr>
          <w:rFonts w:ascii="Arial" w:hAnsi="Arial" w:cs="Arial"/>
          <w:sz w:val="22"/>
          <w:szCs w:val="22"/>
          <w:lang w:val="en-US"/>
        </w:rPr>
        <w:t xml:space="preserve"> anti-proliferative effects and negative impact on self-renewal and long-term repopulating capacity of HSCs</w:t>
      </w:r>
      <w:r w:rsidR="00282BEC" w:rsidRPr="003A5293">
        <w:rPr>
          <w:rFonts w:ascii="Arial" w:hAnsi="Arial" w:cs="Arial"/>
          <w:sz w:val="22"/>
          <w:szCs w:val="22"/>
          <w:lang w:val="en-US"/>
        </w:rPr>
        <w:t xml:space="preserve"> was shown before </w:t>
      </w:r>
      <w:r w:rsidR="00282BEC" w:rsidRPr="003A5293">
        <w:rPr>
          <w:rFonts w:ascii="Arial" w:hAnsi="Arial" w:cs="Arial"/>
          <w:sz w:val="22"/>
          <w:szCs w:val="22"/>
          <w:lang w:val="en-US"/>
        </w:rPr>
        <w:fldChar w:fldCharType="begin"/>
      </w:r>
      <w:r w:rsidR="00282BEC" w:rsidRPr="003A5293">
        <w:rPr>
          <w:rFonts w:ascii="Arial" w:hAnsi="Arial" w:cs="Arial"/>
          <w:sz w:val="22"/>
          <w:szCs w:val="22"/>
          <w:lang w:val="en-US"/>
        </w:rPr>
        <w:instrText xml:space="preserve"> ADDIN ZOTERO_ITEM CSL_CITATION {"citationID":"70p6i1xv","properties":{"formattedCitation":"(Bryder et al., 2001; Dybedal et al., 2001)","plainCitation":"(Bryder et al., 2001; Dybedal et al., 2001)","noteIndex":0},"citationItems":[{"id":1151,"uris":["http://zotero.org/users/2484452/items/4U9PL36R"],"uri":["http://zotero.org/users/2484452/items/4U9PL36R"],"itemData":{"id":1151,"type":"article-journal","container-title":"Journal of Experimental Medicine","DOI":"10.1084/jem.194.7.941","ISSN":"0022-1007","issue":"7","journalAbbreviation":"J Exp Med","language":"en","page":"941-952","source":"rupress.org","title":"Self-Renewal of Multipotent Long-Term Repopulating Hematopoietic Stem Cells Is Negatively Regulated by FAS and Tumor Necrosis Factor Receptor Activation","volume":"194","author":[{"family":"Bryder","given":"David"},{"family":"Ramsfjell","given":"Veslemøy"},{"family":"Dybedal","given":"Ingunn"},{"family":"Theilgaard-Mönch","given":"Kim"},{"family":"Högerkorp","given":"Carl-Magnus"},{"family":"Adolfsson","given":"Jörgen"},{"family":"Borge","given":"Ole Johan"},{"family":"Jacobsen","given":"Sten Eirik W."}],"issued":{"date-parts":[["2001",10,1]]}}},{"id":1153,"uris":["http://zotero.org/users/2484452/items/QE3I4IC4"],"uri":["http://zotero.org/users/2484452/items/QE3I4IC4"],"itemData":{"id":1153,"type":"article-journal","abstract":"Abstract. Hematopoietic stem cell (HSC) fate decisions between self-renewal and commitment toward differentiation are tightly regulated in vivo. Recent develop","container-title":"Blood","DOI":"10.1182/blood.V98.6.1782","ISSN":"0006-4971","issue":"6","journalAbbreviation":"Blood","language":"en","page":"1782-1791","source":"ashpublications.org","title":"Tumor necrosis factor (TNF)–mediated activation of the p55 TNF receptor negatively regulates maintenance of cycling reconstituting human hematopoietic stem cells","volume":"98","author":[{"family":"Dybedal","given":"Ingunn"},{"family":"Bryder","given":"David"},{"family":"Fossum","given":"Anna"},{"family":"Rusten","given":"Leiv S."},{"family":"Jacobsen","given":"Sten Eirik W."}],"issued":{"date-parts":[["2001",9,15]]}}}],"schema":"https://github.com/citation-style-language/schema/raw/master/csl-citation.json"} </w:instrText>
      </w:r>
      <w:r w:rsidR="00282BEC" w:rsidRPr="003A5293">
        <w:rPr>
          <w:rFonts w:ascii="Arial" w:hAnsi="Arial" w:cs="Arial"/>
          <w:sz w:val="22"/>
          <w:szCs w:val="22"/>
          <w:lang w:val="en-US"/>
        </w:rPr>
        <w:fldChar w:fldCharType="separate"/>
      </w:r>
      <w:r w:rsidR="00282BEC" w:rsidRPr="003A5293">
        <w:rPr>
          <w:rFonts w:ascii="Arial" w:hAnsi="Arial" w:cs="Arial"/>
          <w:noProof/>
          <w:sz w:val="22"/>
          <w:szCs w:val="22"/>
          <w:lang w:val="en-US"/>
        </w:rPr>
        <w:t>(Bryder et al., 2001; Dybedal et al., 2001)</w:t>
      </w:r>
      <w:r w:rsidR="00282BEC" w:rsidRPr="003A5293">
        <w:rPr>
          <w:rFonts w:ascii="Arial" w:hAnsi="Arial" w:cs="Arial"/>
          <w:sz w:val="22"/>
          <w:szCs w:val="22"/>
          <w:lang w:val="en-US"/>
        </w:rPr>
        <w:fldChar w:fldCharType="end"/>
      </w:r>
      <w:r w:rsidR="00282BEC" w:rsidRPr="003A5293">
        <w:rPr>
          <w:rFonts w:ascii="Arial" w:hAnsi="Arial" w:cs="Arial"/>
          <w:sz w:val="22"/>
          <w:szCs w:val="22"/>
          <w:lang w:val="en-US"/>
        </w:rPr>
        <w:t xml:space="preserve">. As PV cells are known to be equipped with various protective pathways enabling them to surpass their </w:t>
      </w:r>
      <w:proofErr w:type="spellStart"/>
      <w:r w:rsidR="00282BEC" w:rsidRPr="003A5293">
        <w:rPr>
          <w:rFonts w:ascii="Arial" w:hAnsi="Arial" w:cs="Arial"/>
          <w:sz w:val="22"/>
          <w:szCs w:val="22"/>
          <w:lang w:val="en-US"/>
        </w:rPr>
        <w:t>wt</w:t>
      </w:r>
      <w:proofErr w:type="spellEnd"/>
      <w:r w:rsidR="00282BEC" w:rsidRPr="003A5293">
        <w:rPr>
          <w:rFonts w:ascii="Arial" w:hAnsi="Arial" w:cs="Arial"/>
          <w:sz w:val="22"/>
          <w:szCs w:val="22"/>
          <w:lang w:val="en-US"/>
        </w:rPr>
        <w:t xml:space="preserve"> counterparts in inflamed BM niche </w:t>
      </w:r>
      <w:r w:rsidR="00282BEC" w:rsidRPr="003A5293">
        <w:rPr>
          <w:rFonts w:ascii="Arial" w:hAnsi="Arial" w:cs="Arial"/>
          <w:sz w:val="22"/>
          <w:szCs w:val="22"/>
          <w:lang w:val="en-US"/>
        </w:rPr>
        <w:fldChar w:fldCharType="begin"/>
      </w:r>
      <w:r w:rsidR="00282BEC" w:rsidRPr="003A5293">
        <w:rPr>
          <w:rFonts w:ascii="Arial" w:hAnsi="Arial" w:cs="Arial"/>
          <w:sz w:val="22"/>
          <w:szCs w:val="22"/>
          <w:lang w:val="en-US"/>
        </w:rPr>
        <w:instrText xml:space="preserve"> ADDIN ZOTERO_ITEM CSL_CITATION {"citationID":"CXeY0f1K","properties":{"formattedCitation":"(Ahn et al., 2016; Chen et al., 2015; Stetka et al., 2019)","plainCitation":"(Ahn et al., 2016; Chen et al., 2015; Stetka et al., 2019)","noteIndex":0},"citationItems":[{"id":274,"uris":["http://zotero.org/users/2484452/items/JXVQAABM"],"uri":["http://zotero.org/users/2484452/items/JXVQAABM"],"itemData":{"id":274,"type":"article-journal","abstract":"The JAK2V617F mutation is found in most patients with a myeloproliferative neoplasm (MPN). This gain-of-function mutation dysregulates cytokine signaling and is associated with increased accumulation of DNA damage, a process likely to drive disease evolution. JAK2V617F inhibits NHE-1 upregulation in response to DNA damage and consequently represses Bcl-xL deamidation and apoptosis, thus giving rise to inappropriate cell survival. However, the mechanism whereby NHE-1 expression is inhibited by JAK2V617F is unknown. In this study, we demonstrate that the accumulation of reactive oxygen species (ROS) in cells expressing JAK2V617F compromises the NHE-1/Bcl-xL deamidation pathway by repressing NHE-1 upregulation in response to DNA damage. In JAK2V617F-positive cells, increased ROS levels results from aberrant PI3K signaling, which decreases nuclear localization of FOXO3A and decreases catalase expression. Furthermore, when compared with autologous control erythroblasts, clonally derived JAK2V617F-positive erythroblasts from MPN patients displayed increased ROS levels and reduced nuclear FOXO3A. However, in hematopoietic stem cells (HSCs), FOXO3A is largely localized within the nuclei despite the presence of JAK2V617F mutation, suggesting that JAK2-FOXO signaling has a different effect on progenitors compared with stem cells. Inactivation of FOXO proteins and elevation of intracellular ROS are characteristics common to many cancers, and hence these findings are likely to be of relevance beyond the MPN field.","container-title":"Oncogene","DOI":"10.1038/onc.2015.285","ISSN":"0950-9232","issue":"17","journalAbbreviation":"Oncogene","language":"en","page":"2235-2246","source":"www.nature.com","title":"JAK2V617F mediates resistance to DNA damage-induced apoptosis by modulating FOXO3A localization and Bcl-xL deamidation","volume":"35","author":[{"family":"Ahn","given":"J. S."},{"family":"Li","given":"J."},{"family":"Chen","given":"E."},{"family":"Kent","given":"D. G."},{"family":"Park","given":"H. J."},{"family":"Green","given":"A. R."}],"issued":{"date-parts":[["2016",4,28]]}}},{"id":28,"uris":["http://zotero.org/users/2484452/items/5CJI3U3R"],"uri":["http://zotero.org/users/2484452/items/5CJI3U3R"],"itemData":{"id":28,"type":"article-journal","abstract":"JAK2V617F is the most common oncogenic lesion in patients with myeloproliferative neoplasms (MPNs). Despite the ability of JAK2V617F to instigate DNA damage in vitro, MPNs are nevertheless characterized by genomic stability. In this study, we address this paradox by identifying the DNA helicase RECQL5 as a suppressor of genomic instability in MPNs. We report increased RECQL5 expression in JAK2V617F-expressing cells and demonstrate that RECQL5 is required to counteract JAK2V617F-induced replication stress. Moreover, RECQL5 depletion sensitizes JAK2V617F mutant cells to hydroxyurea (HU), a pharmacological inducer of replication stress and the most common treatment for MPNs. Using single-fiber chromosome combing, we show that RECQL5 depletion in JAK2V617F mutant cells impairs replication dynamics following HU treatment, resulting in increased double-stranded breaks and apoptosis. Cumulatively, these findings identify RECQL5 as a critical regulator of genome stability in MPNs and demonstrate that replication stress-associated cytotoxicity can be amplified specifically in JAK2V617F mutant cells through RECQL5-targeted synthetic lethality.","container-title":"Cell Reports","DOI":"10.1016/j.celrep.2015.11.037","ISSN":"2211-1247","issue":"11","language":"English","page":"2345-2352","source":"www.cell.com","title":"RECQL5 Suppresses Oncogenic JAK2-Induced Replication Stress and Genomic Instability","volume":"13","author":[{"family":"Chen","given":"Edwin"},{"family":"Ahn","given":"Jong Sook"},{"family":"Sykes","given":"David B."},{"family":"Breyfogle","given":"Lawrence J."},{"family":"Godfrey","given":"Anna L."},{"family":"Nangalia","given":"Jyoti"},{"family":"Ko","given":"Amy"},{"family":"DeAngelo","given":"Daniel J."},{"family":"Green","given":"Anthony R."},{"family":"Mullally","given":"Ann"}],"issued":{"date-parts":[["2015",12,22]]}}},{"id":812,"uris":["http://zotero.org/users/2484452/items/7AKGISWX"],"uri":["http://zotero.org/users/2484452/items/7AKGISWX"],"itemData":{"id":812,"type":"article-journal","abstract":"Inflammatory and oncogenic signaling converge in disease evolution of BCR–ABL-negative myeloproliferative neoplasms, clonal hematopoietic stem cell disorders characterized by gain-of-function mutation in JAK2 kinase (JAK2V617F), with highest prevalence in patients with polycythemia vera (PV). Despite the high risk, DNA-damaging inflammatory microenvironment, PV progenitors tend to preserve their genomic stability over decades until their progression to post-PV myelofibrosis/acute myeloid leukemia. Using induced pluripotent stem cells-derived CD34+ progenitor-enriched cultures from JAK2V617F+ PV patient and from JAK2 wild-type healthy control, CRISPR-modified HEL cells and patients’ bone marrow sections from different disease stages, we demonstrate that JAK2V617F induces an intrinsic IFNγ- and NF-κB-associated inflammatory program, while suppressing inflammation-evoked DNA damage both in vitro and in vivo. We show that cells with JAK2V617F tightly regulate levels of inflammatory cytokines-induced reactive oxygen species, do not fully activate the ATM/p53/p21waf1 checkpoint and p38/JNK MAPK stress pathway signaling when exposed to inflammatory cytokines, suppress DNA single-strand break repair genes’ expression yet overexpress the dual-specificity phosphatase (DUSP) 1. RNAi-mediated knock-down and pharmacological inhibition of DUSP1, involved in p38/JNK deactivation, in HEL cells reveals growth addiction to DUSP1, consistent with enhanced DNA damage response and apoptosis in DUSP1-inhibited parental JAK2V617F+ cells, but not in CRISPR-modified JAK2 wild-type cells. Our results indicate that the JAK2V617F+ PV progenitors utilize DUSP1 activity as a protection mechanism against DNA damage accumulation, promoting their proliferation and survival in the inflammatory microenvironment, identifying DUSP1 as a potential therapeutic target in PV.","container-title":"Oncogene","DOI":"10.1038/s41388-019-0813-7","ISSN":"1476-5594","issue":"28","journalAbbreviation":"Oncogene","language":"en","page":"5627-5642","source":"www.nature.com","title":"Addiction to DUSP1 protects JAK2V617F-driven polycythemia vera progenitors against inflammatory stress and DNA damage, allowing chronic proliferation","volume":"38","author":[{"family":"Stetka","given":"J."},{"family":"Vyhlidalova","given":"P."},{"family":"Lanikova","given":"L."},{"family":"Koralkova","given":"P."},{"family":"Gursky","given":"J."},{"family":"Hlusi","given":"A."},{"family":"Flodr","given":"P."},{"family":"Hubackova","given":"S."},{"family":"Bartek","given":"J."},{"family":"Hodny","given":"Z."},{"family":"Divoky","given":"V."}],"issued":{"date-parts":[["2019",7]]}}}],"schema":"https://github.com/citation-style-language/schema/raw/master/csl-citation.json"} </w:instrText>
      </w:r>
      <w:r w:rsidR="00282BEC" w:rsidRPr="003A5293">
        <w:rPr>
          <w:rFonts w:ascii="Arial" w:hAnsi="Arial" w:cs="Arial"/>
          <w:sz w:val="22"/>
          <w:szCs w:val="22"/>
          <w:lang w:val="en-US"/>
        </w:rPr>
        <w:fldChar w:fldCharType="separate"/>
      </w:r>
      <w:r w:rsidR="00282BEC" w:rsidRPr="003A5293">
        <w:rPr>
          <w:rFonts w:ascii="Arial" w:hAnsi="Arial" w:cs="Arial"/>
          <w:noProof/>
          <w:sz w:val="22"/>
          <w:szCs w:val="22"/>
          <w:lang w:val="en-US"/>
        </w:rPr>
        <w:t>(Ahn et al., 2016; Chen et al., 2015; Stetka et al., 2019)</w:t>
      </w:r>
      <w:r w:rsidR="00282BEC" w:rsidRPr="003A5293">
        <w:rPr>
          <w:rFonts w:ascii="Arial" w:hAnsi="Arial" w:cs="Arial"/>
          <w:sz w:val="22"/>
          <w:szCs w:val="22"/>
          <w:lang w:val="en-US"/>
        </w:rPr>
        <w:fldChar w:fldCharType="end"/>
      </w:r>
      <w:r w:rsidR="00282BEC" w:rsidRPr="003A5293">
        <w:rPr>
          <w:rFonts w:ascii="Arial" w:hAnsi="Arial" w:cs="Arial"/>
          <w:sz w:val="22"/>
          <w:szCs w:val="22"/>
          <w:lang w:val="en-US"/>
        </w:rPr>
        <w:t xml:space="preserve">, certain sub-threshold TNFα expression levels might select for PV clones, while exhaustion of protection mechanisms by supra-threshold of TNFα-mediated signaling might lead to senescence, apoptosis and burn-out state of post-PV myelofibrosis. </w:t>
      </w:r>
      <w:r w:rsidR="000A0459" w:rsidRPr="003A5293">
        <w:rPr>
          <w:rFonts w:ascii="Arial" w:hAnsi="Arial" w:cs="Arial"/>
          <w:sz w:val="22"/>
          <w:szCs w:val="22"/>
          <w:lang w:val="en-US"/>
        </w:rPr>
        <w:t>In line with this hypothesis we have detected progressively increased expression of TNFα in BM niche of PV patients spiking in MF-3 stage</w:t>
      </w:r>
      <w:r w:rsidR="001C40D2" w:rsidRPr="003A5293">
        <w:rPr>
          <w:rFonts w:ascii="Arial" w:hAnsi="Arial" w:cs="Arial"/>
          <w:sz w:val="22"/>
          <w:szCs w:val="22"/>
          <w:lang w:val="en-US"/>
        </w:rPr>
        <w:t xml:space="preserve"> (Figure 11)</w:t>
      </w:r>
      <w:r w:rsidR="000A0459" w:rsidRPr="003A5293">
        <w:rPr>
          <w:rFonts w:ascii="Arial" w:hAnsi="Arial" w:cs="Arial"/>
          <w:sz w:val="22"/>
          <w:szCs w:val="22"/>
          <w:lang w:val="en-US"/>
        </w:rPr>
        <w:t>. Furthermore, in later disease stages TNFα was produced mainly by fibrotic tissue.</w:t>
      </w:r>
      <w:r w:rsidR="00432C97" w:rsidRPr="003A5293">
        <w:rPr>
          <w:rFonts w:ascii="Arial" w:hAnsi="Arial" w:cs="Arial"/>
          <w:sz w:val="22"/>
          <w:szCs w:val="22"/>
          <w:lang w:val="en-US"/>
        </w:rPr>
        <w:t xml:space="preserve"> TGFβ signaling</w:t>
      </w:r>
      <w:r w:rsidR="003371B0" w:rsidRPr="003A5293">
        <w:rPr>
          <w:rFonts w:ascii="Arial" w:hAnsi="Arial" w:cs="Arial"/>
          <w:sz w:val="22"/>
          <w:szCs w:val="22"/>
          <w:lang w:val="en-US"/>
        </w:rPr>
        <w:t xml:space="preserve"> is a strong inducer of fibrosis in multiple organs</w:t>
      </w:r>
      <w:r w:rsidR="00CB48C1" w:rsidRPr="003A5293">
        <w:rPr>
          <w:rFonts w:ascii="Arial" w:hAnsi="Arial" w:cs="Arial"/>
          <w:sz w:val="22"/>
          <w:szCs w:val="22"/>
          <w:lang w:val="en-US"/>
        </w:rPr>
        <w:t xml:space="preserve"> </w:t>
      </w:r>
      <w:r w:rsidR="00CB48C1" w:rsidRPr="003A5293">
        <w:rPr>
          <w:rFonts w:ascii="Arial" w:hAnsi="Arial" w:cs="Arial"/>
          <w:sz w:val="22"/>
          <w:szCs w:val="22"/>
          <w:lang w:val="en-US"/>
        </w:rPr>
        <w:fldChar w:fldCharType="begin"/>
      </w:r>
      <w:r w:rsidR="00CB48C1" w:rsidRPr="003A5293">
        <w:rPr>
          <w:rFonts w:ascii="Arial" w:hAnsi="Arial" w:cs="Arial"/>
          <w:sz w:val="22"/>
          <w:szCs w:val="22"/>
          <w:lang w:val="en-US"/>
        </w:rPr>
        <w:instrText xml:space="preserve"> ADDIN ZOTERO_ITEM CSL_CITATION {"citationID":"d62zF6y2","properties":{"formattedCitation":"(Pohlers et al., 2009)","plainCitation":"(Pohlers et al., 2009)","noteIndex":0},"citationItems":[{"id":1165,"uris":["http://zotero.org/users/2484452/items/U5JF9HXT"],"uri":["http://zotero.org/users/2484452/items/U5JF9HXT"],"itemData":{"id":1165,"type":"article-journal","abstract":"The action of transforming-growth-factor (TGF)-beta following inflammatory responses is characterized by increased production of extracellular matrix (ECM) components, as well as mesenchymal cell proliferation, migration, and accumulation. Thus, TGF-beta is important for the induction of fibrosis often associated with chronic phases of inflammatory diseases. This common feature of TGF-related pathologies is observed in many different organs. Therefore, in addition to the description of the common TGF-beta-pathway, this review focuses on TGF-beta-related pathogenetic effects in different pathologies/organs, i. e., arthritis, diabetic nephropathy, colitis/Crohn's disease, radiation-induced fibrosis, and myocarditis (including their similarities and dissimilarities). However, TGF-beta exhibits both exacerbating and ameliorating features, depending on the phase of disease and the site of action. Due to its central role in severe fibrotic diseases, TGF-beta nevertheless remains an attractive therapeutic target, if targeted locally and during the fibrotic phase of disease.","container-title":"Biochimica Et Biophysica Acta","DOI":"10.1016/j.bbadis.2009.06.004","ISSN":"0006-3002","issue":"8","journalAbbreviation":"Biochim. Biophys. Acta","language":"eng","note":"PMID: 19539753","page":"746-756","source":"PubMed","title":"TGF-beta and fibrosis in different organs - molecular pathway imprints","volume":"1792","author":[{"family":"Pohlers","given":"Dirk"},{"family":"Brenmoehl","given":"Julia"},{"family":"Löffler","given":"Ivonne"},{"family":"Müller","given":"Cornelia K."},{"family":"Leipner","given":"Carola"},{"family":"Schultze-Mosgau","given":"Stefan"},{"family":"Stallmach","given":"Andreas"},{"family":"Kinne","given":"Raimund W."},{"family":"Wolf","given":"Gunter"}],"issued":{"date-parts":[["2009",8]]}}}],"schema":"https://github.com/citation-style-language/schema/raw/master/csl-citation.json"} </w:instrText>
      </w:r>
      <w:r w:rsidR="00CB48C1" w:rsidRPr="003A5293">
        <w:rPr>
          <w:rFonts w:ascii="Arial" w:hAnsi="Arial" w:cs="Arial"/>
          <w:sz w:val="22"/>
          <w:szCs w:val="22"/>
          <w:lang w:val="en-US"/>
        </w:rPr>
        <w:fldChar w:fldCharType="separate"/>
      </w:r>
      <w:r w:rsidR="00CB48C1" w:rsidRPr="003A5293">
        <w:rPr>
          <w:rFonts w:ascii="Arial" w:hAnsi="Arial" w:cs="Arial"/>
          <w:noProof/>
          <w:sz w:val="22"/>
          <w:szCs w:val="22"/>
          <w:lang w:val="en-US"/>
        </w:rPr>
        <w:t>(Pohlers et al., 2009)</w:t>
      </w:r>
      <w:r w:rsidR="00CB48C1" w:rsidRPr="003A5293">
        <w:rPr>
          <w:rFonts w:ascii="Arial" w:hAnsi="Arial" w:cs="Arial"/>
          <w:sz w:val="22"/>
          <w:szCs w:val="22"/>
          <w:lang w:val="en-US"/>
        </w:rPr>
        <w:fldChar w:fldCharType="end"/>
      </w:r>
      <w:r w:rsidR="003371B0" w:rsidRPr="003A5293">
        <w:rPr>
          <w:rFonts w:ascii="Arial" w:hAnsi="Arial" w:cs="Arial"/>
          <w:sz w:val="22"/>
          <w:szCs w:val="22"/>
          <w:lang w:val="en-US"/>
        </w:rPr>
        <w:t xml:space="preserve"> and</w:t>
      </w:r>
      <w:r w:rsidR="00432C97" w:rsidRPr="003A5293">
        <w:rPr>
          <w:rFonts w:ascii="Arial" w:hAnsi="Arial" w:cs="Arial"/>
          <w:sz w:val="22"/>
          <w:szCs w:val="22"/>
          <w:lang w:val="en-US"/>
        </w:rPr>
        <w:t xml:space="preserve"> has been </w:t>
      </w:r>
      <w:r w:rsidR="00303405" w:rsidRPr="003A5293">
        <w:rPr>
          <w:rFonts w:ascii="Arial" w:hAnsi="Arial" w:cs="Arial"/>
          <w:sz w:val="22"/>
          <w:szCs w:val="22"/>
          <w:lang w:val="en-US"/>
        </w:rPr>
        <w:t>previously suggested to have predominant role</w:t>
      </w:r>
      <w:r w:rsidR="00432C97" w:rsidRPr="003A5293">
        <w:rPr>
          <w:rFonts w:ascii="Arial" w:hAnsi="Arial" w:cs="Arial"/>
          <w:sz w:val="22"/>
          <w:szCs w:val="22"/>
          <w:lang w:val="en-US"/>
        </w:rPr>
        <w:t xml:space="preserve"> in development of </w:t>
      </w:r>
      <w:r w:rsidR="003371B0" w:rsidRPr="003A5293">
        <w:rPr>
          <w:rFonts w:ascii="Arial" w:hAnsi="Arial" w:cs="Arial"/>
          <w:sz w:val="22"/>
          <w:szCs w:val="22"/>
          <w:lang w:val="en-US"/>
        </w:rPr>
        <w:t xml:space="preserve">BM </w:t>
      </w:r>
      <w:r w:rsidR="00432C97" w:rsidRPr="003A5293">
        <w:rPr>
          <w:rFonts w:ascii="Arial" w:hAnsi="Arial" w:cs="Arial"/>
          <w:sz w:val="22"/>
          <w:szCs w:val="22"/>
          <w:lang w:val="en-US"/>
        </w:rPr>
        <w:t>fibrosis in MPN</w:t>
      </w:r>
      <w:r w:rsidR="00CB48C1" w:rsidRPr="003A5293">
        <w:rPr>
          <w:rFonts w:ascii="Arial" w:hAnsi="Arial" w:cs="Arial"/>
          <w:sz w:val="22"/>
          <w:szCs w:val="22"/>
          <w:lang w:val="en-US"/>
        </w:rPr>
        <w:t xml:space="preserve"> </w:t>
      </w:r>
      <w:r w:rsidR="00CB48C1" w:rsidRPr="003A5293">
        <w:rPr>
          <w:rFonts w:ascii="Arial" w:hAnsi="Arial" w:cs="Arial"/>
          <w:sz w:val="22"/>
          <w:szCs w:val="22"/>
          <w:lang w:val="en-US"/>
        </w:rPr>
        <w:fldChar w:fldCharType="begin"/>
      </w:r>
      <w:r w:rsidR="00CB48C1" w:rsidRPr="003A5293">
        <w:rPr>
          <w:rFonts w:ascii="Arial" w:hAnsi="Arial" w:cs="Arial"/>
          <w:sz w:val="22"/>
          <w:szCs w:val="22"/>
          <w:lang w:val="en-US"/>
        </w:rPr>
        <w:instrText xml:space="preserve"> ADDIN ZOTERO_ITEM CSL_CITATION {"citationID":"9hHe2tUN","properties":{"formattedCitation":"(Chagraoui et al., 2002; Kreipe et al., 2012)","plainCitation":"(Chagraoui et al., 2002; Kreipe et al., 2012)","noteIndex":0},"citationItems":[{"id":90,"uris":["http://zotero.org/users/2484452/items/QT9UV88H"],"uri":["http://zotero.org/users/2484452/items/QT9UV88H"],"itemData":{"id":90,"type":"article-journal","abstract":"Several studies suggest an implication of transforming growth factor-beta1 (TGF-beta1) in the promotion of myelofibrosis associated with hematopoietic malignancies, but the involvement of this cytokine is not fully investigated. To test directly the impact of TGF-beta1 in the pathogenesis of myelofibrosis, bone marrow stem cells from homozygous TGF-beta1 null (TGF-beta1(-/-)) and wild-type (WT) littermates were infected with a retrovirus encoding the murine thrombopoietin (TPO) protein and engrafted into lethally irradiated wild-type hosts for long-term reconstitution. Over the 4 months of follow-up, TPO levels in plasma were markedly elevated in both groups of mice, and animals typically developed a myeloproliferative syndrome characterized by thrombocytosis, leukocytosis, splenomegaly, increased numbers of progenitors in blood, and extramedullary hematopoiesis. Severe fibrosis was observed in spleen and marrow from all the mice engrafted with WT cells. In contrast, none of the mice repopulated with TGF-beta1(-/-) cells (chimerism &gt; 70%) showed deposition of reticulin fibers at any time during the follow-up. In accordance with the development of fibrosis, latent TGF-beta1 levels in plasma and extracellular fluid of the spleen from mice engrafted with WT cells were increased 6-fold and 4-fold, respectively, over levels found in normal hosts, whereas no increase over baseline levels could be demonstrated in animals undergoing transplantation with TGF-beta1(-/-) cells. These data provide evidence that TGF-beta1 produced by hematopoietic cells is pivotal for the pathogenesis of myelofibrosis that develops in mice with TPO overexpression.","container-title":"Blood","DOI":"10.1182/blood-2002-04-1133","ISSN":"0006-4971","issue":"10","journalAbbreviation":"Blood","language":"eng","note":"PMID: 12393681","page":"3495-3503","source":"PubMed","title":"Prominent role of TGF-beta 1 in thrombopoietin-induced myelofibrosis in mice","volume":"100","author":[{"family":"Chagraoui","given":"Hédia"},{"family":"Komura","given":"Emiko"},{"family":"Tulliez","given":"Micheline"},{"family":"Giraudier","given":"Stéphane"},{"family":"Vainchenker","given":"William"},{"family":"Wendling","given":"Françoise"}],"issued":{"date-parts":[["2002",11,15]]}}},{"id":1159,"uris":["http://zotero.org/users/2484452/items/DPMNGA5Y"],"uri":["http://zotero.org/users/2484452/items/DPMNGA5Y"],"itemData":{"id":1159,"type":"article-journal","abstract":"A subset of myeloproliferative disorders (MPN) and myelodyplastic syndromes (MDS) evolves to fibrosis of the bone marrow associated with haematopoietic insufficiency. We have been interested in chemokines involved in fibrogenesis within the bone marrow. Besides TGFβ we could identify a number of additional mediators including osteoprotegerin and bone morphogenic proteins. In MPN JAK2 or MPL mutation are not linked to the propensity for bone marrow fibrosis. The hypothesis that an increased intramedullary decay of megakaryocytes undergoing appotosis takes place within the marrow, thus liberating fibrogenic cytokines, could not be confirmed. On the contrary, megakaryocytes in primary fibrosis revealed low expression of proapoptotic genes such as BNIP3. Interestingly, BNIP 3 expression was down regulated in megakaryocytic cell lines kept in hypoxic conditions. Furthermore, expression arrays revealed hypoxia inducible genes to be up-regulated in primary myelofibrosis. Fibrotic MPN are characterized by aberrant proplatelet formation which represent cytoplasmic pseudopodia and normally extend into the sinus. In fibrotic MPN orientation of proplatelet growth appears to be disturbed, which could lead to an aberrant deposition of platelets in the marrow with consecutive liberation of fibrogenic cytokines.","container-title":"Fibrogenesis &amp; Tissue Repair","DOI":"10.1186/1755-1536-5-S1-S21","ISSN":"1755-1536","issue":"1","journalAbbreviation":"Fibrogenesis &amp; Tissue Repair","page":"S21","source":"BioMed Central","title":"Myelofibrosis: molecular and cell biological aspects","title-short":"Myelofibrosis","volume":"5","author":[{"family":"Kreipe","given":"Hans"},{"family":"Büsche","given":"Guntram"},{"family":"Bock","given":"Oliver"},{"family":"Hussein","given":"Kais"}],"issued":{"date-parts":[["2012",6,6]]}}}],"schema":"https://github.com/citation-style-language/schema/raw/master/csl-citation.json"} </w:instrText>
      </w:r>
      <w:r w:rsidR="00CB48C1" w:rsidRPr="003A5293">
        <w:rPr>
          <w:rFonts w:ascii="Arial" w:hAnsi="Arial" w:cs="Arial"/>
          <w:sz w:val="22"/>
          <w:szCs w:val="22"/>
          <w:lang w:val="en-US"/>
        </w:rPr>
        <w:fldChar w:fldCharType="separate"/>
      </w:r>
      <w:r w:rsidR="00CB48C1" w:rsidRPr="003A5293">
        <w:rPr>
          <w:rFonts w:ascii="Arial" w:hAnsi="Arial" w:cs="Arial"/>
          <w:noProof/>
          <w:sz w:val="22"/>
          <w:szCs w:val="22"/>
          <w:lang w:val="en-US"/>
        </w:rPr>
        <w:t>(Chagraoui et al., 2002; Kreipe et al., 2012)</w:t>
      </w:r>
      <w:r w:rsidR="00CB48C1" w:rsidRPr="003A5293">
        <w:rPr>
          <w:rFonts w:ascii="Arial" w:hAnsi="Arial" w:cs="Arial"/>
          <w:sz w:val="22"/>
          <w:szCs w:val="22"/>
          <w:lang w:val="en-US"/>
        </w:rPr>
        <w:fldChar w:fldCharType="end"/>
      </w:r>
      <w:r w:rsidR="00432C97" w:rsidRPr="003A5293">
        <w:rPr>
          <w:rFonts w:ascii="Arial" w:hAnsi="Arial" w:cs="Arial"/>
          <w:sz w:val="22"/>
          <w:szCs w:val="22"/>
          <w:lang w:val="en-US"/>
        </w:rPr>
        <w:t xml:space="preserve">, however consistently with earlier study </w:t>
      </w:r>
      <w:r w:rsidR="00432C97" w:rsidRPr="003A5293">
        <w:rPr>
          <w:rFonts w:ascii="Arial" w:hAnsi="Arial" w:cs="Arial"/>
          <w:sz w:val="22"/>
          <w:szCs w:val="22"/>
          <w:lang w:val="en-US"/>
        </w:rPr>
        <w:fldChar w:fldCharType="begin"/>
      </w:r>
      <w:r w:rsidR="00432C97" w:rsidRPr="003A5293">
        <w:rPr>
          <w:rFonts w:ascii="Arial" w:hAnsi="Arial" w:cs="Arial"/>
          <w:sz w:val="22"/>
          <w:szCs w:val="22"/>
          <w:lang w:val="en-US"/>
        </w:rPr>
        <w:instrText xml:space="preserve"> ADDIN ZOTERO_ITEM CSL_CITATION {"citationID":"2ywUTnMJ","properties":{"formattedCitation":"(Bock et al., 2005)","plainCitation":"(Bock et al., 2005)","noteIndex":0},"citationItems":[{"id":80,"uris":["http://zotero.org/users/2484452/items/PPQ3SWSR"],"uri":["http://zotero.org/users/2484452/items/PPQ3SWSR"],"itemData":{"id":80,"type":"article-journal","abstract":"Transforming growth factor beta-1 (TGF beta-1) is a potent inducer of fibrosis and has been shown to be essential for the development of bone marrow fibrosis in an animal model of idiopathic myelofibrosis (IMF). IMF belongs to the Philadelphia chromosome negative chronic myeloproliferative disorders (Ph(-) CMPD). Megakaryocytes and platelets have been suggested as the major cellular source of TGF beta-1 in IMF. The osteoclastogenesis inhibitory factor osteoprotegerin (OPG) seems to be regulated by TGF beta-1 and substantial involvement of OPG expression in the process of osteosclerosis in IMF has recently been suggested. In order to determine TGF beta-1 expression in IMF and other Ph(-) CMPD, total bone marrow cells as well as laser-microdissected megakaryocytes were quantitatively analysed by real-time RT-PCR. OPG mRNA expression in fibrotic IMF was correlated with TGF beta-1 mRNA expression in a case-specific manner. Both OPG and TGF beta-1 were detected immunohistochemically in order to delineate cellular origin. When total bone marrow cells were investigated, TGF beta-1 mRNA expression was increased in some but not all cases of IMF (n = 21), with highest values in fibrotic cases. Unexpectedly, increased values were also observed in essential thrombocythaemia (ET, n = 11) when compared to non-neoplastic haematopoiesis (n = 38). Megakaryocytes isolated by laser microdissection displayed elevated TGF beta-1 mRNA levels in most of the CMPD samples with no significant differences discernible between fibrotic IMF, polycythaemia vera (PV) and ET. TGF beta-1 protein was predominantly expressed by the myeloid lineage in Ph(-) CMPD and non-neoplastic haematopoiesis, which, however, displayed lower expression. IMF cases with advanced fibrosis concomitantly overexpressed TGF beta-1 and OPG. Immunohistochemically, OPG expression was found in different stromal cells and a subfraction of megakaryocytes. In conclusion, enhanced TGF beta-1 expression occurs in megakaryocytes as well as myeloid cells in Ph(-) CMPD. TGF beta-1 may be necessary, but is not sufficient, to induce bone marrow fibrosis in IMF because non-fibrotic Ph(-) CMPD entities share this feature with IMF and cannot be discriminated from each other on the basis of TGF beta-1 expression.","container-title":"The Journal of Pathology","DOI":"10.1002/path.1744","ISSN":"0022-3417","issue":"5","journalAbbreviation":"J. Pathol.","language":"eng","note":"PMID: 15726648","page":"548-557","source":"PubMed","title":"Aberrant expression of transforming growth factor beta-1 (TGF beta-1) per se does not discriminate fibrotic from non-fibrotic chronic myeloproliferative disorders","volume":"205","author":[{"family":"Bock","given":"Oliver"},{"family":"Loch","given":"Gero"},{"family":"Schade","given":"Ulrika"},{"family":"Wasielewski","given":"Reinhard","non-dropping-particle":"von"},{"family":"Schlué","given":"Jerome"},{"family":"Kreipe","given":"Hans"}],"issued":{"date-parts":[["2005",4]]}}}],"schema":"https://github.com/citation-style-language/schema/raw/master/csl-citation.json"} </w:instrText>
      </w:r>
      <w:r w:rsidR="00432C97" w:rsidRPr="003A5293">
        <w:rPr>
          <w:rFonts w:ascii="Arial" w:hAnsi="Arial" w:cs="Arial"/>
          <w:sz w:val="22"/>
          <w:szCs w:val="22"/>
          <w:lang w:val="en-US"/>
        </w:rPr>
        <w:fldChar w:fldCharType="separate"/>
      </w:r>
      <w:r w:rsidR="00432C97" w:rsidRPr="003A5293">
        <w:rPr>
          <w:rFonts w:ascii="Arial" w:hAnsi="Arial" w:cs="Arial"/>
          <w:noProof/>
          <w:sz w:val="22"/>
          <w:szCs w:val="22"/>
          <w:lang w:val="en-US"/>
        </w:rPr>
        <w:t>(Bock et al., 2005)</w:t>
      </w:r>
      <w:r w:rsidR="00432C97" w:rsidRPr="003A5293">
        <w:rPr>
          <w:rFonts w:ascii="Arial" w:hAnsi="Arial" w:cs="Arial"/>
          <w:sz w:val="22"/>
          <w:szCs w:val="22"/>
          <w:lang w:val="en-US"/>
        </w:rPr>
        <w:fldChar w:fldCharType="end"/>
      </w:r>
      <w:r w:rsidR="00432C97" w:rsidRPr="003A5293">
        <w:rPr>
          <w:rFonts w:ascii="Arial" w:hAnsi="Arial" w:cs="Arial"/>
          <w:sz w:val="22"/>
          <w:szCs w:val="22"/>
          <w:lang w:val="en-US"/>
        </w:rPr>
        <w:t xml:space="preserve">, we </w:t>
      </w:r>
      <w:r w:rsidR="00303405" w:rsidRPr="003A5293">
        <w:rPr>
          <w:rFonts w:ascii="Arial" w:hAnsi="Arial" w:cs="Arial"/>
          <w:sz w:val="22"/>
          <w:szCs w:val="22"/>
          <w:lang w:val="en-US"/>
        </w:rPr>
        <w:t xml:space="preserve">have </w:t>
      </w:r>
      <w:r w:rsidR="00432C97" w:rsidRPr="003A5293">
        <w:rPr>
          <w:rFonts w:ascii="Arial" w:hAnsi="Arial" w:cs="Arial"/>
          <w:sz w:val="22"/>
          <w:szCs w:val="22"/>
          <w:lang w:val="en-US"/>
        </w:rPr>
        <w:t>detected high and constitutive expression of TGFβ1 throughout disease development</w:t>
      </w:r>
      <w:r w:rsidR="001C40D2" w:rsidRPr="003A5293">
        <w:rPr>
          <w:rFonts w:ascii="Arial" w:hAnsi="Arial" w:cs="Arial"/>
          <w:sz w:val="22"/>
          <w:szCs w:val="22"/>
          <w:lang w:val="en-US"/>
        </w:rPr>
        <w:t xml:space="preserve"> (Figure 11)</w:t>
      </w:r>
      <w:r w:rsidR="00303405" w:rsidRPr="003A5293">
        <w:rPr>
          <w:rFonts w:ascii="Arial" w:hAnsi="Arial" w:cs="Arial"/>
          <w:sz w:val="22"/>
          <w:szCs w:val="22"/>
          <w:lang w:val="en-US"/>
        </w:rPr>
        <w:t>. This</w:t>
      </w:r>
      <w:r w:rsidR="00432C97" w:rsidRPr="003A5293">
        <w:rPr>
          <w:rFonts w:ascii="Arial" w:hAnsi="Arial" w:cs="Arial"/>
          <w:sz w:val="22"/>
          <w:szCs w:val="22"/>
          <w:lang w:val="en-US"/>
        </w:rPr>
        <w:t xml:space="preserve"> </w:t>
      </w:r>
      <w:r w:rsidR="00303405" w:rsidRPr="003A5293">
        <w:rPr>
          <w:rFonts w:ascii="Arial" w:hAnsi="Arial" w:cs="Arial"/>
          <w:sz w:val="22"/>
          <w:szCs w:val="22"/>
          <w:lang w:val="en-US"/>
        </w:rPr>
        <w:t>suggests</w:t>
      </w:r>
      <w:r w:rsidR="00432C97" w:rsidRPr="003A5293">
        <w:rPr>
          <w:rFonts w:ascii="Arial" w:hAnsi="Arial" w:cs="Arial"/>
          <w:sz w:val="22"/>
          <w:szCs w:val="22"/>
          <w:lang w:val="en-US"/>
        </w:rPr>
        <w:t xml:space="preserve"> modulation of TGFβ signaling downstream of TGFβ1 ligand together </w:t>
      </w:r>
      <w:r w:rsidR="00303405" w:rsidRPr="003A5293">
        <w:rPr>
          <w:rFonts w:ascii="Arial" w:hAnsi="Arial" w:cs="Arial"/>
          <w:sz w:val="22"/>
          <w:szCs w:val="22"/>
          <w:lang w:val="en-US"/>
        </w:rPr>
        <w:t>with signaling input from other niche components that underline TGFβ signaling-dependent fibrogenesis in PV.</w:t>
      </w:r>
    </w:p>
    <w:p w14:paraId="7D218C7C" w14:textId="77777777" w:rsidR="00345796" w:rsidRPr="003A5293" w:rsidRDefault="00432C97" w:rsidP="00A27F2D">
      <w:pPr>
        <w:spacing w:line="360" w:lineRule="auto"/>
        <w:jc w:val="both"/>
        <w:rPr>
          <w:rFonts w:ascii="Arial" w:hAnsi="Arial" w:cs="Arial"/>
          <w:sz w:val="22"/>
          <w:szCs w:val="22"/>
          <w:lang w:val="en-US"/>
        </w:rPr>
      </w:pPr>
      <w:r w:rsidRPr="003A5293">
        <w:rPr>
          <w:rFonts w:ascii="Arial" w:hAnsi="Arial" w:cs="Arial"/>
          <w:sz w:val="22"/>
          <w:szCs w:val="22"/>
          <w:lang w:val="en-US"/>
        </w:rPr>
        <w:t>As IL</w:t>
      </w:r>
      <w:r w:rsidR="00424E25">
        <w:rPr>
          <w:rFonts w:ascii="Arial" w:hAnsi="Arial" w:cs="Arial"/>
          <w:sz w:val="22"/>
          <w:szCs w:val="22"/>
          <w:lang w:val="en-US"/>
        </w:rPr>
        <w:t>-</w:t>
      </w:r>
      <w:r w:rsidRPr="003A5293">
        <w:rPr>
          <w:rFonts w:ascii="Arial" w:hAnsi="Arial" w:cs="Arial"/>
          <w:sz w:val="22"/>
          <w:szCs w:val="22"/>
          <w:lang w:val="en-US"/>
        </w:rPr>
        <w:t xml:space="preserve">6 and CCL3 were also shown to be </w:t>
      </w:r>
      <w:r w:rsidR="001C40D2" w:rsidRPr="003A5293">
        <w:rPr>
          <w:rFonts w:ascii="Arial" w:hAnsi="Arial" w:cs="Arial"/>
          <w:sz w:val="22"/>
          <w:szCs w:val="22"/>
          <w:lang w:val="en-US"/>
        </w:rPr>
        <w:t xml:space="preserve">significantly upregulated in PV patient plasma profiles </w:t>
      </w:r>
      <w:r w:rsidR="001C40D2" w:rsidRPr="003A5293">
        <w:rPr>
          <w:rFonts w:ascii="Arial" w:hAnsi="Arial" w:cs="Arial"/>
          <w:sz w:val="22"/>
          <w:szCs w:val="22"/>
          <w:lang w:val="en-US"/>
        </w:rPr>
        <w:fldChar w:fldCharType="begin"/>
      </w:r>
      <w:r w:rsidR="001C40D2" w:rsidRPr="003A5293">
        <w:rPr>
          <w:rFonts w:ascii="Arial" w:hAnsi="Arial" w:cs="Arial"/>
          <w:sz w:val="22"/>
          <w:szCs w:val="22"/>
          <w:lang w:val="en-US"/>
        </w:rPr>
        <w:instrText xml:space="preserve"> ADDIN ZOTERO_ITEM CSL_CITATION {"citationID":"hXSQiEZK","properties":{"formattedCitation":"(Vaidya et al., 2012)","plainCitation":"(Vaidya et al., 2012)","noteIndex":0},"citationItems":[{"id":34,"uris":["http://zotero.org/users/2484452/items/64T6BV2B"],"uri":["http://zotero.org/users/2484452/items/64T6BV2B"],"itemData":{"id":34,"type":"article-journal","abstract":"Plasma cytokine milieu is abnormal in primary myelofibrosis (PMF) and correlates with disease phenotype and prognosis. In this study, we show that several plasma cytokines are also abnormally expressed in polycythemia vera (PV; n = 65), compared to normal controls (n = 35), but with a significantly different pattern than that of PMF (n = 127). Direct phenotypic correlation in PV included levels of IL-12 with hematocrit; IL-1b, IL-2, IL-7, FGF-b, and HGF with leukocytosis; and IFN-α and IFN-γ with thrombocytosis. In univariate analysis, levels of 13 cytokines (out of 30 analyzed) correlated with survival but only MIP-1β remained significant on multivariable analysis that included the other cytokines as covariates. Increased level of MIP-1β (P &lt; 0.01), older age (P &lt; 0.01), and leukocytosis (P = 0.03) maintained their association with shortened survival, on multivariable analysis. This study provides preliminary observations that warrant a larger scale study and suggests the value of plasma cytokines as prognostic biomarkers in PV.","container-title":"American Journal of Hematology","DOI":"10.1002/ajh.23295","ISSN":"1096-8652","issue":"11","journalAbbreviation":"Am. J. Hematol.","language":"eng","note":"PMID: 22965887","page":"1003-1005","source":"PubMed","title":"Plasma cytokines in polycythemia vera: phenotypic correlates, prognostic relevance, and comparison with myelofibrosis","title-short":"Plasma cytokines in polycythemia vera","volume":"87","author":[{"family":"Vaidya","given":"Rakhee"},{"family":"Gangat","given":"Naseema"},{"family":"Jimma","given":"Thitina"},{"family":"Finke","given":"Christy M."},{"family":"Lasho","given":"Terra L."},{"family":"Pardanani","given":"Animesh"},{"family":"Tefferi","given":"Ayalew"}],"issued":{"date-parts":[["2012",11]]}}}],"schema":"https://github.com/citation-style-language/schema/raw/master/csl-citation.json"} </w:instrText>
      </w:r>
      <w:r w:rsidR="001C40D2" w:rsidRPr="003A5293">
        <w:rPr>
          <w:rFonts w:ascii="Arial" w:hAnsi="Arial" w:cs="Arial"/>
          <w:sz w:val="22"/>
          <w:szCs w:val="22"/>
          <w:lang w:val="en-US"/>
        </w:rPr>
        <w:fldChar w:fldCharType="separate"/>
      </w:r>
      <w:r w:rsidR="001C40D2" w:rsidRPr="003A5293">
        <w:rPr>
          <w:rFonts w:ascii="Arial" w:hAnsi="Arial" w:cs="Arial"/>
          <w:noProof/>
          <w:sz w:val="22"/>
          <w:szCs w:val="22"/>
          <w:lang w:val="en-US"/>
        </w:rPr>
        <w:t>(Vaidya et al., 2012)</w:t>
      </w:r>
      <w:r w:rsidR="001C40D2" w:rsidRPr="003A5293">
        <w:rPr>
          <w:rFonts w:ascii="Arial" w:hAnsi="Arial" w:cs="Arial"/>
          <w:sz w:val="22"/>
          <w:szCs w:val="22"/>
          <w:lang w:val="en-US"/>
        </w:rPr>
        <w:fldChar w:fldCharType="end"/>
      </w:r>
      <w:r w:rsidR="001C40D2" w:rsidRPr="003A5293">
        <w:rPr>
          <w:rFonts w:ascii="Arial" w:hAnsi="Arial" w:cs="Arial"/>
          <w:sz w:val="22"/>
          <w:szCs w:val="22"/>
          <w:lang w:val="en-US"/>
        </w:rPr>
        <w:t xml:space="preserve">, we have analyzed their presence in PV patient BM sections. </w:t>
      </w:r>
      <w:r w:rsidR="001C40D2" w:rsidRPr="003A5293">
        <w:rPr>
          <w:rFonts w:ascii="Arial" w:hAnsi="Arial" w:cs="Arial"/>
          <w:sz w:val="22"/>
          <w:szCs w:val="22"/>
          <w:lang w:val="en-US"/>
        </w:rPr>
        <w:lastRenderedPageBreak/>
        <w:t>Constitutive expression of both IL</w:t>
      </w:r>
      <w:r w:rsidR="00424E25">
        <w:rPr>
          <w:rFonts w:ascii="Arial" w:hAnsi="Arial" w:cs="Arial"/>
          <w:sz w:val="22"/>
          <w:szCs w:val="22"/>
          <w:lang w:val="en-US"/>
        </w:rPr>
        <w:t>-</w:t>
      </w:r>
      <w:r w:rsidR="001C40D2" w:rsidRPr="003A5293">
        <w:rPr>
          <w:rFonts w:ascii="Arial" w:hAnsi="Arial" w:cs="Arial"/>
          <w:sz w:val="22"/>
          <w:szCs w:val="22"/>
          <w:lang w:val="en-US"/>
        </w:rPr>
        <w:t>6 and CCL3 was</w:t>
      </w:r>
      <w:r w:rsidRPr="003A5293">
        <w:rPr>
          <w:rFonts w:ascii="Arial" w:hAnsi="Arial" w:cs="Arial"/>
          <w:sz w:val="22"/>
          <w:szCs w:val="22"/>
          <w:lang w:val="en-US"/>
        </w:rPr>
        <w:t xml:space="preserve"> present across the disease stages with </w:t>
      </w:r>
      <w:r w:rsidR="001C40D2" w:rsidRPr="003A5293">
        <w:rPr>
          <w:rFonts w:ascii="Arial" w:hAnsi="Arial" w:cs="Arial"/>
          <w:sz w:val="22"/>
          <w:szCs w:val="22"/>
          <w:lang w:val="en-US"/>
        </w:rPr>
        <w:t>modest IL</w:t>
      </w:r>
      <w:r w:rsidR="00424E25">
        <w:rPr>
          <w:rFonts w:ascii="Arial" w:hAnsi="Arial" w:cs="Arial"/>
          <w:sz w:val="22"/>
          <w:szCs w:val="22"/>
          <w:lang w:val="en-US"/>
        </w:rPr>
        <w:t>-</w:t>
      </w:r>
      <w:r w:rsidR="001C40D2" w:rsidRPr="003A5293">
        <w:rPr>
          <w:rFonts w:ascii="Arial" w:hAnsi="Arial" w:cs="Arial"/>
          <w:sz w:val="22"/>
          <w:szCs w:val="22"/>
          <w:lang w:val="en-US"/>
        </w:rPr>
        <w:t>6 expression and high expression of CCL3 derived mainly from</w:t>
      </w:r>
      <w:r w:rsidRPr="003A5293">
        <w:rPr>
          <w:rFonts w:ascii="Arial" w:hAnsi="Arial" w:cs="Arial"/>
          <w:sz w:val="22"/>
          <w:szCs w:val="22"/>
          <w:lang w:val="en-US"/>
        </w:rPr>
        <w:t xml:space="preserve"> basophil-like progenitor cells, as previously described in CML </w:t>
      </w:r>
      <w:r w:rsidR="001C40D2" w:rsidRPr="003A5293">
        <w:rPr>
          <w:rFonts w:ascii="Arial" w:hAnsi="Arial" w:cs="Arial"/>
          <w:sz w:val="22"/>
          <w:szCs w:val="22"/>
          <w:lang w:val="en-US"/>
        </w:rPr>
        <w:fldChar w:fldCharType="begin"/>
      </w:r>
      <w:r w:rsidR="001C40D2" w:rsidRPr="003A5293">
        <w:rPr>
          <w:rFonts w:ascii="Arial" w:hAnsi="Arial" w:cs="Arial"/>
          <w:sz w:val="22"/>
          <w:szCs w:val="22"/>
          <w:lang w:val="en-US"/>
        </w:rPr>
        <w:instrText xml:space="preserve"> ADDIN ZOTERO_ITEM CSL_CITATION {"citationID":"rCK7d8J5","properties":{"formattedCitation":"(Baba et al., 2016)","plainCitation":"(Baba et al., 2016)","noteIndex":0},"citationItems":[{"id":177,"uris":["http://zotero.org/users/2484452/items/IELIS3CE"],"uri":["http://zotero.org/users/2484452/items/IELIS3CE"],"itemData":{"id":177,"type":"article-journal","abstract":"Basophilia is a frequently observed hematological abnormality in chronic myeloid leukemia (CML), but its pathophysiological roles are undefined. We previously demonstrated that an inflammatory chemokine, CCL3, preferentially acts on normal hematopoietic stem/progenitor cells and crucially contributes to the maintenance of leukemia initiating cells (LICs) in bone marrow (BM) during the initiation process of CML. However, the major cellular source of CCL3 in BM and the precise mechanism of CCL3-mediated maintenance of LICs remain to be investigated. To delineate the cellular process facilitating this CCL3-mediated crosstalk between normal and leukemic hematopoiesis, we precisely examined CCL3-expressing cells and their functions in both normal hematopoiesis and CML leukemogenesis. Herein, we demonstrate that basophils can constitutively express CCL3 to negatively regulate the normal hematopoietic process, especially hematopoietic reconstitution after BM transplantation. Moreover, CCL3-expressing basophil-like leukemia cells were found to accumulate in CML BM and supported the predominant expansion of LICs therein. These observations suggest that intra-BM basophil expansion can favor leukemia-tropic hematopoiesis in CML by providing CCL3, a potent inhibitor of normal hematopoiesis and that basophil-derived CCL3 may be a novel target molecule for the treatment of CML.","container-title":"Blood","DOI":"10.1182/blood-2015-10-673087","ISSN":"0006-4971, 1528-0020","issue":"21","language":"en","note":"PMID: 27006388","page":"2607-2617","source":"www.bloodjournal.org","title":"MIP-1α/CCL3-expressing basophil-lineage cells drive the leukemic hematopoiesis of chronic myeloid leukemia in mice","volume":"127","author":[{"family":"Baba","given":"Tomohisa"},{"family":"Tanabe","given":"Yamato"},{"family":"Yoshikawa","given":"Soichiro"},{"family":"Yamanishi","given":"Yoshinori"},{"family":"Morishita","given":"Soji"},{"family":"Komatsu","given":"Norio"},{"family":"Karasuyama","given":"Hajime"},{"family":"Hirao","given":"Atsushi"},{"family":"Mukaida","given":"Naofumi"}],"issued":{"date-parts":[["2016",5,26]]}}}],"schema":"https://github.com/citation-style-language/schema/raw/master/csl-citation.json"} </w:instrText>
      </w:r>
      <w:r w:rsidR="001C40D2" w:rsidRPr="003A5293">
        <w:rPr>
          <w:rFonts w:ascii="Arial" w:hAnsi="Arial" w:cs="Arial"/>
          <w:sz w:val="22"/>
          <w:szCs w:val="22"/>
          <w:lang w:val="en-US"/>
        </w:rPr>
        <w:fldChar w:fldCharType="separate"/>
      </w:r>
      <w:r w:rsidR="001C40D2" w:rsidRPr="003A5293">
        <w:rPr>
          <w:rFonts w:ascii="Arial" w:hAnsi="Arial" w:cs="Arial"/>
          <w:noProof/>
          <w:sz w:val="22"/>
          <w:szCs w:val="22"/>
          <w:lang w:val="en-US"/>
        </w:rPr>
        <w:t>(Baba et al., 2016)</w:t>
      </w:r>
      <w:r w:rsidR="001C40D2" w:rsidRPr="003A5293">
        <w:rPr>
          <w:rFonts w:ascii="Arial" w:hAnsi="Arial" w:cs="Arial"/>
          <w:sz w:val="22"/>
          <w:szCs w:val="22"/>
          <w:lang w:val="en-US"/>
        </w:rPr>
        <w:fldChar w:fldCharType="end"/>
      </w:r>
      <w:r w:rsidR="001C40D2" w:rsidRPr="003A5293">
        <w:rPr>
          <w:rFonts w:ascii="Arial" w:hAnsi="Arial" w:cs="Arial"/>
          <w:sz w:val="22"/>
          <w:szCs w:val="22"/>
          <w:lang w:val="en-US"/>
        </w:rPr>
        <w:t>.</w:t>
      </w:r>
    </w:p>
    <w:p w14:paraId="0B176590" w14:textId="77777777" w:rsidR="00C17491" w:rsidRPr="003A5293" w:rsidRDefault="00A27F2D" w:rsidP="00A27F2D">
      <w:pPr>
        <w:spacing w:line="360" w:lineRule="auto"/>
        <w:jc w:val="both"/>
        <w:rPr>
          <w:rFonts w:ascii="Arial" w:hAnsi="Arial" w:cs="Arial"/>
          <w:sz w:val="22"/>
          <w:szCs w:val="22"/>
          <w:lang w:val="en-US"/>
        </w:rPr>
      </w:pPr>
      <w:r w:rsidRPr="003A5293">
        <w:rPr>
          <w:rFonts w:ascii="Arial" w:hAnsi="Arial" w:cs="Arial"/>
          <w:sz w:val="22"/>
          <w:szCs w:val="22"/>
          <w:lang w:val="en-US"/>
        </w:rPr>
        <w:t xml:space="preserve">Taken together, these results confirm presence of persistent </w:t>
      </w:r>
      <w:proofErr w:type="spellStart"/>
      <w:r w:rsidRPr="003A5293">
        <w:rPr>
          <w:rFonts w:ascii="Arial" w:hAnsi="Arial" w:cs="Arial"/>
          <w:sz w:val="22"/>
          <w:szCs w:val="22"/>
          <w:lang w:val="en-US"/>
        </w:rPr>
        <w:t>IFNγ</w:t>
      </w:r>
      <w:proofErr w:type="spellEnd"/>
      <w:r w:rsidRPr="003A5293">
        <w:rPr>
          <w:rFonts w:ascii="Arial" w:hAnsi="Arial" w:cs="Arial"/>
          <w:sz w:val="22"/>
          <w:szCs w:val="22"/>
          <w:lang w:val="en-US"/>
        </w:rPr>
        <w:t xml:space="preserve">-dependent inflammatory response </w:t>
      </w:r>
      <w:r w:rsidR="009E2FAF" w:rsidRPr="003A5293">
        <w:rPr>
          <w:rFonts w:ascii="Arial" w:hAnsi="Arial" w:cs="Arial"/>
          <w:sz w:val="22"/>
          <w:szCs w:val="22"/>
          <w:lang w:val="en-US"/>
        </w:rPr>
        <w:t xml:space="preserve">also </w:t>
      </w:r>
      <w:r w:rsidRPr="001B1DAC">
        <w:rPr>
          <w:rFonts w:ascii="Arial" w:hAnsi="Arial" w:cs="Arial"/>
          <w:i/>
          <w:iCs/>
          <w:sz w:val="22"/>
          <w:szCs w:val="22"/>
          <w:lang w:val="en-US"/>
        </w:rPr>
        <w:t>in vivo</w:t>
      </w:r>
      <w:r w:rsidRPr="003A5293">
        <w:rPr>
          <w:rFonts w:ascii="Arial" w:hAnsi="Arial" w:cs="Arial"/>
          <w:sz w:val="22"/>
          <w:szCs w:val="22"/>
          <w:lang w:val="en-US"/>
        </w:rPr>
        <w:t xml:space="preserve"> and show participation of other inflammatory mediators in disease development and evolution, complementing CXCL10 and CXCL9 roles in </w:t>
      </w:r>
      <w:r w:rsidR="009E2FAF" w:rsidRPr="003A5293">
        <w:rPr>
          <w:rFonts w:ascii="Arial" w:hAnsi="Arial" w:cs="Arial"/>
          <w:sz w:val="22"/>
          <w:szCs w:val="22"/>
          <w:lang w:val="en-US"/>
        </w:rPr>
        <w:t>disease development</w:t>
      </w:r>
      <w:r w:rsidRPr="003A5293">
        <w:rPr>
          <w:rFonts w:ascii="Arial" w:hAnsi="Arial" w:cs="Arial"/>
          <w:sz w:val="22"/>
          <w:szCs w:val="22"/>
          <w:lang w:val="en-US"/>
        </w:rPr>
        <w:t>.</w:t>
      </w:r>
    </w:p>
    <w:p w14:paraId="1BA00A2D" w14:textId="77777777" w:rsidR="00F85FAA" w:rsidRPr="003A5293" w:rsidRDefault="00F85FAA">
      <w:pPr>
        <w:rPr>
          <w:rFonts w:ascii="Arial" w:hAnsi="Arial" w:cs="Arial"/>
          <w:sz w:val="22"/>
          <w:szCs w:val="22"/>
          <w:lang w:val="en-US"/>
        </w:rPr>
      </w:pPr>
    </w:p>
    <w:p w14:paraId="65B3110D" w14:textId="77777777" w:rsidR="00F85FAA" w:rsidRPr="003A5293" w:rsidRDefault="00F85FAA" w:rsidP="00F85FAA">
      <w:pPr>
        <w:spacing w:line="360" w:lineRule="auto"/>
        <w:jc w:val="both"/>
        <w:rPr>
          <w:rFonts w:ascii="Arial" w:hAnsi="Arial" w:cs="Arial"/>
          <w:b/>
          <w:bCs/>
          <w:sz w:val="22"/>
          <w:szCs w:val="22"/>
          <w:lang w:val="en-US"/>
        </w:rPr>
      </w:pPr>
    </w:p>
    <w:p w14:paraId="21A1FC1D" w14:textId="77777777" w:rsidR="00F85FAA" w:rsidRPr="003A5293" w:rsidRDefault="00F85FAA" w:rsidP="00F85FAA">
      <w:pPr>
        <w:spacing w:line="360" w:lineRule="auto"/>
        <w:jc w:val="both"/>
        <w:rPr>
          <w:rFonts w:ascii="Arial" w:hAnsi="Arial" w:cs="Arial"/>
          <w:b/>
          <w:bCs/>
          <w:sz w:val="22"/>
          <w:szCs w:val="22"/>
          <w:lang w:val="en-US"/>
        </w:rPr>
      </w:pPr>
    </w:p>
    <w:p w14:paraId="5E519696" w14:textId="77777777" w:rsidR="00A545CA" w:rsidRPr="003A5293" w:rsidRDefault="00A545CA">
      <w:pPr>
        <w:rPr>
          <w:rFonts w:ascii="Arial" w:hAnsi="Arial" w:cs="Arial"/>
          <w:sz w:val="22"/>
          <w:szCs w:val="22"/>
          <w:lang w:val="en-US"/>
        </w:rPr>
      </w:pPr>
      <w:r w:rsidRPr="003A5293">
        <w:rPr>
          <w:rFonts w:ascii="Arial" w:hAnsi="Arial" w:cs="Arial"/>
          <w:sz w:val="22"/>
          <w:szCs w:val="22"/>
          <w:lang w:val="en-US"/>
        </w:rPr>
        <w:br w:type="page"/>
      </w:r>
    </w:p>
    <w:p w14:paraId="7B0ADF37" w14:textId="77777777" w:rsidR="00A545CA" w:rsidRPr="003A5293" w:rsidRDefault="00A545CA" w:rsidP="00A545CA">
      <w:pPr>
        <w:rPr>
          <w:rFonts w:ascii="Arial" w:hAnsi="Arial" w:cs="Arial"/>
          <w:b/>
          <w:bCs/>
          <w:sz w:val="22"/>
          <w:szCs w:val="22"/>
          <w:lang w:val="en-US"/>
        </w:rPr>
      </w:pPr>
      <w:r w:rsidRPr="003A5293">
        <w:rPr>
          <w:rFonts w:ascii="Arial" w:hAnsi="Arial" w:cs="Arial"/>
          <w:b/>
          <w:bCs/>
          <w:sz w:val="22"/>
          <w:szCs w:val="22"/>
          <w:lang w:val="en-US"/>
        </w:rPr>
        <w:lastRenderedPageBreak/>
        <w:t>CXCL9</w:t>
      </w:r>
    </w:p>
    <w:p w14:paraId="6B22424E" w14:textId="77777777" w:rsidR="00A545CA" w:rsidRPr="003A5293" w:rsidRDefault="00C17491" w:rsidP="00A545CA">
      <w:pPr>
        <w:rPr>
          <w:rFonts w:ascii="Arial" w:hAnsi="Arial" w:cs="Arial"/>
          <w:b/>
          <w:bCs/>
          <w:sz w:val="22"/>
          <w:szCs w:val="22"/>
          <w:lang w:val="en-US"/>
        </w:rPr>
      </w:pPr>
      <w:r w:rsidRPr="003A5293">
        <w:rPr>
          <w:rFonts w:ascii="Arial" w:hAnsi="Arial" w:cs="Arial"/>
          <w:b/>
          <w:bCs/>
          <w:sz w:val="22"/>
          <w:szCs w:val="22"/>
        </w:rPr>
        <w:fldChar w:fldCharType="begin"/>
      </w:r>
      <w:r w:rsidRPr="003A5293">
        <w:rPr>
          <w:rFonts w:ascii="Arial" w:hAnsi="Arial" w:cs="Arial"/>
          <w:b/>
          <w:bCs/>
          <w:sz w:val="22"/>
          <w:szCs w:val="22"/>
          <w:lang w:val="en-US"/>
        </w:rPr>
        <w:instrText xml:space="preserve"> INCLUDEPICTURE "https://media.springernature.com/full/springer-static/image/art%3A10.1038%2Fs41388-019-0813-7/MediaObjects/41388_2019_813_Fig1_HTML.png" \* MERGEFORMATINET </w:instrText>
      </w:r>
      <w:r w:rsidRPr="003A5293">
        <w:rPr>
          <w:rFonts w:ascii="Arial" w:hAnsi="Arial" w:cs="Arial"/>
          <w:b/>
          <w:bCs/>
          <w:sz w:val="22"/>
          <w:szCs w:val="22"/>
        </w:rPr>
        <w:fldChar w:fldCharType="separate"/>
      </w:r>
      <w:r w:rsidRPr="003A5293">
        <w:rPr>
          <w:rFonts w:ascii="Arial" w:hAnsi="Arial" w:cs="Arial"/>
          <w:b/>
          <w:bCs/>
          <w:noProof/>
          <w:sz w:val="22"/>
          <w:szCs w:val="22"/>
          <w:lang w:val="cs-CZ" w:eastAsia="cs-CZ"/>
        </w:rPr>
        <w:drawing>
          <wp:inline distT="0" distB="0" distL="0" distR="0" wp14:anchorId="6A150B81" wp14:editId="446731E6">
            <wp:extent cx="3808095" cy="1020317"/>
            <wp:effectExtent l="0" t="0" r="1905" b="0"/>
            <wp:docPr id="13" name="Grafik 13"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
                    <pic:cNvPicPr>
                      <a:picLocks noChangeAspect="1" noChangeArrowheads="1"/>
                    </pic:cNvPicPr>
                  </pic:nvPicPr>
                  <pic:blipFill rotWithShape="1">
                    <a:blip r:embed="rId16">
                      <a:extLst>
                        <a:ext uri="{28A0092B-C50C-407E-A947-70E740481C1C}">
                          <a14:useLocalDpi xmlns:a14="http://schemas.microsoft.com/office/drawing/2010/main" val="0"/>
                        </a:ext>
                      </a:extLst>
                    </a:blip>
                    <a:srcRect l="49456" t="47521" r="17" b="42307"/>
                    <a:stretch/>
                  </pic:blipFill>
                  <pic:spPr bwMode="auto">
                    <a:xfrm>
                      <a:off x="0" y="0"/>
                      <a:ext cx="3892504" cy="1042933"/>
                    </a:xfrm>
                    <a:prstGeom prst="rect">
                      <a:avLst/>
                    </a:prstGeom>
                    <a:noFill/>
                    <a:ln>
                      <a:noFill/>
                    </a:ln>
                    <a:extLst>
                      <a:ext uri="{53640926-AAD7-44D8-BBD7-CCE9431645EC}">
                        <a14:shadowObscured xmlns:a14="http://schemas.microsoft.com/office/drawing/2010/main"/>
                      </a:ext>
                    </a:extLst>
                  </pic:spPr>
                </pic:pic>
              </a:graphicData>
            </a:graphic>
          </wp:inline>
        </w:drawing>
      </w:r>
      <w:r w:rsidRPr="003A5293">
        <w:rPr>
          <w:rFonts w:ascii="Arial" w:hAnsi="Arial" w:cs="Arial"/>
          <w:b/>
          <w:bCs/>
          <w:sz w:val="22"/>
          <w:szCs w:val="22"/>
        </w:rPr>
        <w:fldChar w:fldCharType="end"/>
      </w:r>
      <w:r w:rsidR="00A545CA" w:rsidRPr="003A5293">
        <w:rPr>
          <w:rFonts w:ascii="Arial" w:hAnsi="Arial" w:cs="Arial"/>
          <w:b/>
          <w:bCs/>
          <w:sz w:val="22"/>
          <w:szCs w:val="22"/>
        </w:rPr>
        <w:fldChar w:fldCharType="begin"/>
      </w:r>
      <w:r w:rsidR="00A545CA" w:rsidRPr="003A5293">
        <w:rPr>
          <w:rFonts w:ascii="Arial" w:hAnsi="Arial" w:cs="Arial"/>
          <w:b/>
          <w:bCs/>
          <w:sz w:val="22"/>
          <w:szCs w:val="22"/>
          <w:lang w:val="en-US"/>
        </w:rPr>
        <w:instrText xml:space="preserve"> INCLUDEPICTURE "https://media.springernature.com/full/springer-static/image/art%3A10.1038%2Fs41388-019-0813-7/MediaObjects/41388_2019_813_Fig1_HTML.png" \* MERGEFORMATINET </w:instrText>
      </w:r>
      <w:r w:rsidR="00A545CA" w:rsidRPr="003A5293">
        <w:rPr>
          <w:rFonts w:ascii="Arial" w:hAnsi="Arial" w:cs="Arial"/>
          <w:b/>
          <w:bCs/>
          <w:sz w:val="22"/>
          <w:szCs w:val="22"/>
        </w:rPr>
        <w:fldChar w:fldCharType="separate"/>
      </w:r>
      <w:r w:rsidR="00A545CA" w:rsidRPr="003A5293">
        <w:rPr>
          <w:rFonts w:ascii="Arial" w:hAnsi="Arial" w:cs="Arial"/>
          <w:b/>
          <w:bCs/>
          <w:noProof/>
          <w:sz w:val="22"/>
          <w:szCs w:val="22"/>
          <w:lang w:val="cs-CZ" w:eastAsia="cs-CZ"/>
        </w:rPr>
        <w:drawing>
          <wp:inline distT="0" distB="0" distL="0" distR="0" wp14:anchorId="45F21CD2" wp14:editId="74487D14">
            <wp:extent cx="1168060" cy="1026000"/>
            <wp:effectExtent l="0" t="0" r="635" b="3175"/>
            <wp:docPr id="20" name="Grafik 20"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0118" t="59558" r="31385" b="28235"/>
                    <a:stretch/>
                  </pic:blipFill>
                  <pic:spPr bwMode="auto">
                    <a:xfrm>
                      <a:off x="0" y="0"/>
                      <a:ext cx="1168060" cy="1026000"/>
                    </a:xfrm>
                    <a:prstGeom prst="rect">
                      <a:avLst/>
                    </a:prstGeom>
                    <a:noFill/>
                    <a:ln>
                      <a:noFill/>
                    </a:ln>
                    <a:extLst>
                      <a:ext uri="{53640926-AAD7-44D8-BBD7-CCE9431645EC}">
                        <a14:shadowObscured xmlns:a14="http://schemas.microsoft.com/office/drawing/2010/main"/>
                      </a:ext>
                    </a:extLst>
                  </pic:spPr>
                </pic:pic>
              </a:graphicData>
            </a:graphic>
          </wp:inline>
        </w:drawing>
      </w:r>
      <w:r w:rsidR="00A545CA" w:rsidRPr="003A5293">
        <w:rPr>
          <w:rFonts w:ascii="Arial" w:hAnsi="Arial" w:cs="Arial"/>
          <w:b/>
          <w:bCs/>
          <w:sz w:val="22"/>
          <w:szCs w:val="22"/>
        </w:rPr>
        <w:fldChar w:fldCharType="end"/>
      </w:r>
    </w:p>
    <w:p w14:paraId="1C5697F5" w14:textId="77777777" w:rsidR="00A545CA" w:rsidRPr="003A5293" w:rsidRDefault="00A545CA" w:rsidP="00A545CA">
      <w:pPr>
        <w:rPr>
          <w:rFonts w:ascii="Arial" w:hAnsi="Arial" w:cs="Arial"/>
          <w:b/>
          <w:bCs/>
          <w:sz w:val="22"/>
          <w:szCs w:val="22"/>
          <w:lang w:val="en-US"/>
        </w:rPr>
      </w:pPr>
      <w:r w:rsidRPr="003A5293">
        <w:rPr>
          <w:rFonts w:ascii="Arial" w:hAnsi="Arial" w:cs="Arial"/>
          <w:b/>
          <w:bCs/>
          <w:sz w:val="22"/>
          <w:szCs w:val="22"/>
          <w:lang w:val="en-US"/>
        </w:rPr>
        <w:t>CXCL10</w:t>
      </w:r>
    </w:p>
    <w:p w14:paraId="411061F4" w14:textId="77777777" w:rsidR="00A545CA" w:rsidRPr="003A5293" w:rsidRDefault="00C17491" w:rsidP="00A545CA">
      <w:pPr>
        <w:rPr>
          <w:rFonts w:ascii="Arial" w:hAnsi="Arial" w:cs="Arial"/>
          <w:b/>
          <w:bCs/>
          <w:sz w:val="22"/>
          <w:szCs w:val="22"/>
        </w:rPr>
      </w:pPr>
      <w:r w:rsidRPr="003A5293">
        <w:rPr>
          <w:rFonts w:ascii="Arial" w:hAnsi="Arial" w:cs="Arial"/>
          <w:b/>
          <w:bCs/>
          <w:sz w:val="22"/>
          <w:szCs w:val="22"/>
        </w:rPr>
        <w:fldChar w:fldCharType="begin"/>
      </w:r>
      <w:r w:rsidRPr="003A5293">
        <w:rPr>
          <w:rFonts w:ascii="Arial" w:hAnsi="Arial" w:cs="Arial"/>
          <w:b/>
          <w:bCs/>
          <w:sz w:val="22"/>
          <w:szCs w:val="22"/>
          <w:lang w:val="en-US"/>
        </w:rPr>
        <w:instrText xml:space="preserve"> INCLUDEPICTURE "https://media.springernature.com/full/springer-static/image/art%3A10.1038%2F</w:instrText>
      </w:r>
      <w:r w:rsidRPr="003A5293">
        <w:rPr>
          <w:rFonts w:ascii="Arial" w:hAnsi="Arial" w:cs="Arial"/>
          <w:b/>
          <w:bCs/>
          <w:sz w:val="22"/>
          <w:szCs w:val="22"/>
        </w:rPr>
        <w:instrText xml:space="preserve">s41388-019-0813-7/MediaObjects/41388_2019_813_Fig1_HTML.png" \* MERGEFORMATINET </w:instrText>
      </w:r>
      <w:r w:rsidRPr="003A5293">
        <w:rPr>
          <w:rFonts w:ascii="Arial" w:hAnsi="Arial" w:cs="Arial"/>
          <w:b/>
          <w:bCs/>
          <w:sz w:val="22"/>
          <w:szCs w:val="22"/>
        </w:rPr>
        <w:fldChar w:fldCharType="separate"/>
      </w:r>
      <w:r w:rsidRPr="003A5293">
        <w:rPr>
          <w:rFonts w:ascii="Arial" w:hAnsi="Arial" w:cs="Arial"/>
          <w:b/>
          <w:bCs/>
          <w:noProof/>
          <w:sz w:val="22"/>
          <w:szCs w:val="22"/>
          <w:lang w:val="cs-CZ" w:eastAsia="cs-CZ"/>
        </w:rPr>
        <w:drawing>
          <wp:inline distT="0" distB="0" distL="0" distR="0" wp14:anchorId="1BF34B79" wp14:editId="5FA32750">
            <wp:extent cx="3808521" cy="1011486"/>
            <wp:effectExtent l="0" t="0" r="1905" b="5080"/>
            <wp:docPr id="14" name="Grafik 14"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
                    <pic:cNvPicPr>
                      <a:picLocks noChangeAspect="1" noChangeArrowheads="1"/>
                    </pic:cNvPicPr>
                  </pic:nvPicPr>
                  <pic:blipFill rotWithShape="1">
                    <a:blip r:embed="rId16">
                      <a:extLst>
                        <a:ext uri="{28A0092B-C50C-407E-A947-70E740481C1C}">
                          <a14:useLocalDpi xmlns:a14="http://schemas.microsoft.com/office/drawing/2010/main" val="0"/>
                        </a:ext>
                      </a:extLst>
                    </a:blip>
                    <a:srcRect l="49656" t="75350" r="85" b="14621"/>
                    <a:stretch/>
                  </pic:blipFill>
                  <pic:spPr bwMode="auto">
                    <a:xfrm>
                      <a:off x="0" y="0"/>
                      <a:ext cx="3996446" cy="1061396"/>
                    </a:xfrm>
                    <a:prstGeom prst="rect">
                      <a:avLst/>
                    </a:prstGeom>
                    <a:noFill/>
                    <a:ln>
                      <a:noFill/>
                    </a:ln>
                    <a:extLst>
                      <a:ext uri="{53640926-AAD7-44D8-BBD7-CCE9431645EC}">
                        <a14:shadowObscured xmlns:a14="http://schemas.microsoft.com/office/drawing/2010/main"/>
                      </a:ext>
                    </a:extLst>
                  </pic:spPr>
                </pic:pic>
              </a:graphicData>
            </a:graphic>
          </wp:inline>
        </w:drawing>
      </w:r>
      <w:r w:rsidRPr="003A5293">
        <w:rPr>
          <w:rFonts w:ascii="Arial" w:hAnsi="Arial" w:cs="Arial"/>
          <w:b/>
          <w:bCs/>
          <w:sz w:val="22"/>
          <w:szCs w:val="22"/>
        </w:rPr>
        <w:fldChar w:fldCharType="end"/>
      </w:r>
      <w:r w:rsidR="00A545CA" w:rsidRPr="003A5293">
        <w:rPr>
          <w:rFonts w:ascii="Arial" w:hAnsi="Arial" w:cs="Arial"/>
          <w:b/>
          <w:bCs/>
          <w:sz w:val="22"/>
          <w:szCs w:val="22"/>
        </w:rPr>
        <w:fldChar w:fldCharType="begin"/>
      </w:r>
      <w:r w:rsidR="00A545CA" w:rsidRPr="003A5293">
        <w:rPr>
          <w:rFonts w:ascii="Arial" w:hAnsi="Arial" w:cs="Arial"/>
          <w:b/>
          <w:bCs/>
          <w:sz w:val="22"/>
          <w:szCs w:val="22"/>
        </w:rPr>
        <w:instrText xml:space="preserve"> INCLUDEPICTURE "https://media.springernature.com/full/springer-static/image/art%3A10.1038%2Fs41388-019-0813-7/MediaObjects/41388_2019_813_Fig1_HTML.png" \* MERGEFORMATINET </w:instrText>
      </w:r>
      <w:r w:rsidR="00A545CA" w:rsidRPr="003A5293">
        <w:rPr>
          <w:rFonts w:ascii="Arial" w:hAnsi="Arial" w:cs="Arial"/>
          <w:b/>
          <w:bCs/>
          <w:sz w:val="22"/>
          <w:szCs w:val="22"/>
        </w:rPr>
        <w:fldChar w:fldCharType="separate"/>
      </w:r>
      <w:r w:rsidR="00A545CA" w:rsidRPr="003A5293">
        <w:rPr>
          <w:rFonts w:ascii="Arial" w:hAnsi="Arial" w:cs="Arial"/>
          <w:b/>
          <w:bCs/>
          <w:noProof/>
          <w:sz w:val="22"/>
          <w:szCs w:val="22"/>
          <w:lang w:val="cs-CZ" w:eastAsia="cs-CZ"/>
        </w:rPr>
        <w:drawing>
          <wp:inline distT="0" distB="0" distL="0" distR="0" wp14:anchorId="11281769" wp14:editId="4A16C779">
            <wp:extent cx="1168060" cy="1026000"/>
            <wp:effectExtent l="0" t="0" r="635" b="3175"/>
            <wp:docPr id="21" name="Grafik 21"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0541" t="87138" r="30962" b="655"/>
                    <a:stretch/>
                  </pic:blipFill>
                  <pic:spPr bwMode="auto">
                    <a:xfrm>
                      <a:off x="0" y="0"/>
                      <a:ext cx="1168060" cy="1026000"/>
                    </a:xfrm>
                    <a:prstGeom prst="rect">
                      <a:avLst/>
                    </a:prstGeom>
                    <a:noFill/>
                    <a:ln>
                      <a:noFill/>
                    </a:ln>
                    <a:extLst>
                      <a:ext uri="{53640926-AAD7-44D8-BBD7-CCE9431645EC}">
                        <a14:shadowObscured xmlns:a14="http://schemas.microsoft.com/office/drawing/2010/main"/>
                      </a:ext>
                    </a:extLst>
                  </pic:spPr>
                </pic:pic>
              </a:graphicData>
            </a:graphic>
          </wp:inline>
        </w:drawing>
      </w:r>
      <w:r w:rsidR="00A545CA" w:rsidRPr="003A5293">
        <w:rPr>
          <w:rFonts w:ascii="Arial" w:hAnsi="Arial" w:cs="Arial"/>
          <w:b/>
          <w:bCs/>
          <w:sz w:val="22"/>
          <w:szCs w:val="22"/>
        </w:rPr>
        <w:fldChar w:fldCharType="end"/>
      </w:r>
    </w:p>
    <w:p w14:paraId="2C8AA037" w14:textId="77777777" w:rsidR="00A545CA" w:rsidRPr="003A5293" w:rsidRDefault="00A545CA" w:rsidP="00A545CA">
      <w:pPr>
        <w:rPr>
          <w:rFonts w:ascii="Arial" w:hAnsi="Arial" w:cs="Arial"/>
          <w:b/>
          <w:bCs/>
          <w:sz w:val="22"/>
          <w:szCs w:val="22"/>
        </w:rPr>
      </w:pPr>
      <w:r w:rsidRPr="003A5293">
        <w:rPr>
          <w:rFonts w:ascii="Arial" w:hAnsi="Arial" w:cs="Arial"/>
          <w:b/>
          <w:bCs/>
          <w:sz w:val="22"/>
          <w:szCs w:val="22"/>
        </w:rPr>
        <w:t>TNF</w:t>
      </w:r>
      <w:r w:rsidRPr="003A5293">
        <w:rPr>
          <w:rFonts w:ascii="Arial" w:hAnsi="Arial" w:cs="Arial"/>
          <w:b/>
          <w:bCs/>
          <w:sz w:val="22"/>
          <w:szCs w:val="22"/>
        </w:rPr>
        <w:sym w:font="Symbol" w:char="F061"/>
      </w:r>
    </w:p>
    <w:p w14:paraId="5D3117E6" w14:textId="77777777" w:rsidR="00A545CA" w:rsidRPr="003A5293" w:rsidRDefault="00A545CA">
      <w:pPr>
        <w:rPr>
          <w:rFonts w:ascii="Arial" w:hAnsi="Arial" w:cs="Arial"/>
          <w:b/>
          <w:bCs/>
          <w:sz w:val="22"/>
          <w:szCs w:val="22"/>
          <w:lang w:val="en-US"/>
        </w:rPr>
      </w:pPr>
      <w:r w:rsidRPr="003A5293">
        <w:rPr>
          <w:rFonts w:ascii="Arial" w:eastAsiaTheme="majorEastAsia" w:hAnsi="Arial" w:cs="Arial"/>
          <w:b/>
          <w:bCs/>
          <w:noProof/>
          <w:color w:val="000000" w:themeColor="text1"/>
          <w:sz w:val="22"/>
          <w:szCs w:val="22"/>
          <w:lang w:val="cs-CZ" w:eastAsia="cs-CZ"/>
        </w:rPr>
        <w:drawing>
          <wp:inline distT="0" distB="0" distL="0" distR="0" wp14:anchorId="66EF4CDD" wp14:editId="0564A74F">
            <wp:extent cx="5071082" cy="108360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schirmfoto 2020-01-19 um 21.12.25.png"/>
                    <pic:cNvPicPr/>
                  </pic:nvPicPr>
                  <pic:blipFill rotWithShape="1">
                    <a:blip r:embed="rId25">
                      <a:extLst>
                        <a:ext uri="{28A0092B-C50C-407E-A947-70E740481C1C}">
                          <a14:useLocalDpi xmlns:a14="http://schemas.microsoft.com/office/drawing/2010/main" val="0"/>
                        </a:ext>
                      </a:extLst>
                    </a:blip>
                    <a:srcRect l="3058" t="-1" b="80112"/>
                    <a:stretch/>
                  </pic:blipFill>
                  <pic:spPr bwMode="auto">
                    <a:xfrm>
                      <a:off x="0" y="0"/>
                      <a:ext cx="5071082" cy="1083600"/>
                    </a:xfrm>
                    <a:prstGeom prst="rect">
                      <a:avLst/>
                    </a:prstGeom>
                    <a:ln>
                      <a:noFill/>
                    </a:ln>
                    <a:extLst>
                      <a:ext uri="{53640926-AAD7-44D8-BBD7-CCE9431645EC}">
                        <a14:shadowObscured xmlns:a14="http://schemas.microsoft.com/office/drawing/2010/main"/>
                      </a:ext>
                    </a:extLst>
                  </pic:spPr>
                </pic:pic>
              </a:graphicData>
            </a:graphic>
          </wp:inline>
        </w:drawing>
      </w:r>
    </w:p>
    <w:p w14:paraId="3F6EBC0E" w14:textId="77777777" w:rsidR="00A545CA" w:rsidRPr="003A5293" w:rsidRDefault="00A545CA">
      <w:pPr>
        <w:rPr>
          <w:rFonts w:ascii="Arial" w:hAnsi="Arial" w:cs="Arial"/>
          <w:b/>
          <w:bCs/>
          <w:sz w:val="22"/>
          <w:szCs w:val="22"/>
          <w:lang w:val="en-US"/>
        </w:rPr>
      </w:pPr>
      <w:r w:rsidRPr="003A5293">
        <w:rPr>
          <w:rFonts w:ascii="Arial" w:hAnsi="Arial" w:cs="Arial"/>
          <w:b/>
          <w:bCs/>
          <w:sz w:val="22"/>
          <w:szCs w:val="22"/>
          <w:lang w:val="en-US"/>
        </w:rPr>
        <w:t>TGF</w:t>
      </w:r>
      <w:r w:rsidRPr="003A5293">
        <w:rPr>
          <w:rFonts w:ascii="Arial" w:hAnsi="Arial" w:cs="Arial"/>
          <w:b/>
          <w:bCs/>
          <w:sz w:val="22"/>
          <w:szCs w:val="22"/>
          <w:lang w:val="en-US"/>
        </w:rPr>
        <w:sym w:font="Symbol" w:char="F062"/>
      </w:r>
      <w:r w:rsidRPr="003A5293">
        <w:rPr>
          <w:rFonts w:ascii="Arial" w:hAnsi="Arial" w:cs="Arial"/>
          <w:b/>
          <w:bCs/>
          <w:sz w:val="22"/>
          <w:szCs w:val="22"/>
          <w:lang w:val="en-US"/>
        </w:rPr>
        <w:t>1</w:t>
      </w:r>
    </w:p>
    <w:p w14:paraId="16313556" w14:textId="77777777" w:rsidR="00A545CA" w:rsidRPr="003A5293" w:rsidRDefault="00A545CA">
      <w:pPr>
        <w:rPr>
          <w:rFonts w:ascii="Arial" w:hAnsi="Arial" w:cs="Arial"/>
          <w:b/>
          <w:bCs/>
          <w:sz w:val="22"/>
          <w:szCs w:val="22"/>
          <w:lang w:val="en-US"/>
        </w:rPr>
      </w:pPr>
      <w:r w:rsidRPr="003A5293">
        <w:rPr>
          <w:rFonts w:ascii="Arial" w:eastAsiaTheme="majorEastAsia" w:hAnsi="Arial" w:cs="Arial"/>
          <w:b/>
          <w:bCs/>
          <w:noProof/>
          <w:color w:val="000000" w:themeColor="text1"/>
          <w:sz w:val="22"/>
          <w:szCs w:val="22"/>
          <w:lang w:val="cs-CZ" w:eastAsia="cs-CZ"/>
        </w:rPr>
        <w:drawing>
          <wp:inline distT="0" distB="0" distL="0" distR="0" wp14:anchorId="01734032" wp14:editId="3D725E02">
            <wp:extent cx="5066753" cy="1082675"/>
            <wp:effectExtent l="0" t="0" r="63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schirmfoto 2020-01-19 um 21.12.25.png"/>
                    <pic:cNvPicPr/>
                  </pic:nvPicPr>
                  <pic:blipFill rotWithShape="1">
                    <a:blip r:embed="rId25">
                      <a:extLst>
                        <a:ext uri="{28A0092B-C50C-407E-A947-70E740481C1C}">
                          <a14:useLocalDpi xmlns:a14="http://schemas.microsoft.com/office/drawing/2010/main" val="0"/>
                        </a:ext>
                      </a:extLst>
                    </a:blip>
                    <a:srcRect l="3058" t="26908" b="53203"/>
                    <a:stretch/>
                  </pic:blipFill>
                  <pic:spPr bwMode="auto">
                    <a:xfrm>
                      <a:off x="0" y="0"/>
                      <a:ext cx="5149142" cy="1100280"/>
                    </a:xfrm>
                    <a:prstGeom prst="rect">
                      <a:avLst/>
                    </a:prstGeom>
                    <a:ln>
                      <a:noFill/>
                    </a:ln>
                    <a:extLst>
                      <a:ext uri="{53640926-AAD7-44D8-BBD7-CCE9431645EC}">
                        <a14:shadowObscured xmlns:a14="http://schemas.microsoft.com/office/drawing/2010/main"/>
                      </a:ext>
                    </a:extLst>
                  </pic:spPr>
                </pic:pic>
              </a:graphicData>
            </a:graphic>
          </wp:inline>
        </w:drawing>
      </w:r>
    </w:p>
    <w:p w14:paraId="78D7EC52" w14:textId="77777777" w:rsidR="00A545CA" w:rsidRPr="003A5293" w:rsidRDefault="00A545CA">
      <w:pPr>
        <w:rPr>
          <w:rFonts w:ascii="Arial" w:hAnsi="Arial" w:cs="Arial"/>
          <w:b/>
          <w:bCs/>
          <w:sz w:val="22"/>
          <w:szCs w:val="22"/>
          <w:lang w:val="en-US"/>
        </w:rPr>
      </w:pPr>
      <w:r w:rsidRPr="003A5293">
        <w:rPr>
          <w:rFonts w:ascii="Arial" w:hAnsi="Arial" w:cs="Arial"/>
          <w:b/>
          <w:bCs/>
          <w:sz w:val="22"/>
          <w:szCs w:val="22"/>
          <w:lang w:val="en-US"/>
        </w:rPr>
        <w:t>CCL3</w:t>
      </w:r>
    </w:p>
    <w:p w14:paraId="0E91FBF4" w14:textId="77777777" w:rsidR="00A545CA" w:rsidRPr="003A5293" w:rsidRDefault="00A545CA">
      <w:pPr>
        <w:rPr>
          <w:rFonts w:ascii="Arial" w:hAnsi="Arial" w:cs="Arial"/>
          <w:b/>
          <w:bCs/>
          <w:sz w:val="22"/>
          <w:szCs w:val="22"/>
          <w:lang w:val="en-US"/>
        </w:rPr>
      </w:pPr>
      <w:r w:rsidRPr="003A5293">
        <w:rPr>
          <w:rFonts w:ascii="Arial" w:eastAsiaTheme="majorEastAsia" w:hAnsi="Arial" w:cs="Arial"/>
          <w:b/>
          <w:bCs/>
          <w:noProof/>
          <w:color w:val="000000" w:themeColor="text1"/>
          <w:sz w:val="22"/>
          <w:szCs w:val="22"/>
          <w:lang w:val="cs-CZ" w:eastAsia="cs-CZ"/>
        </w:rPr>
        <w:drawing>
          <wp:inline distT="0" distB="0" distL="0" distR="0" wp14:anchorId="678D5422" wp14:editId="33E186C0">
            <wp:extent cx="5066753" cy="1082675"/>
            <wp:effectExtent l="0" t="0" r="635"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schirmfoto 2020-01-19 um 21.12.25.png"/>
                    <pic:cNvPicPr/>
                  </pic:nvPicPr>
                  <pic:blipFill rotWithShape="1">
                    <a:blip r:embed="rId25">
                      <a:extLst>
                        <a:ext uri="{28A0092B-C50C-407E-A947-70E740481C1C}">
                          <a14:useLocalDpi xmlns:a14="http://schemas.microsoft.com/office/drawing/2010/main" val="0"/>
                        </a:ext>
                      </a:extLst>
                    </a:blip>
                    <a:srcRect l="3058" t="53002" b="27109"/>
                    <a:stretch/>
                  </pic:blipFill>
                  <pic:spPr bwMode="auto">
                    <a:xfrm>
                      <a:off x="0" y="0"/>
                      <a:ext cx="5149142" cy="1100280"/>
                    </a:xfrm>
                    <a:prstGeom prst="rect">
                      <a:avLst/>
                    </a:prstGeom>
                    <a:ln>
                      <a:noFill/>
                    </a:ln>
                    <a:extLst>
                      <a:ext uri="{53640926-AAD7-44D8-BBD7-CCE9431645EC}">
                        <a14:shadowObscured xmlns:a14="http://schemas.microsoft.com/office/drawing/2010/main"/>
                      </a:ext>
                    </a:extLst>
                  </pic:spPr>
                </pic:pic>
              </a:graphicData>
            </a:graphic>
          </wp:inline>
        </w:drawing>
      </w:r>
    </w:p>
    <w:p w14:paraId="117B845A" w14:textId="77777777" w:rsidR="00A545CA" w:rsidRPr="003A5293" w:rsidRDefault="00A545CA">
      <w:pPr>
        <w:rPr>
          <w:rFonts w:ascii="Arial" w:hAnsi="Arial" w:cs="Arial"/>
          <w:b/>
          <w:bCs/>
          <w:sz w:val="22"/>
          <w:szCs w:val="22"/>
          <w:lang w:val="en-US"/>
        </w:rPr>
      </w:pPr>
      <w:r w:rsidRPr="003A5293">
        <w:rPr>
          <w:rFonts w:ascii="Arial" w:hAnsi="Arial" w:cs="Arial"/>
          <w:b/>
          <w:bCs/>
          <w:sz w:val="22"/>
          <w:szCs w:val="22"/>
          <w:lang w:val="en-US"/>
        </w:rPr>
        <w:t>IL-6</w:t>
      </w:r>
    </w:p>
    <w:p w14:paraId="4A9139D3" w14:textId="77777777" w:rsidR="00A545CA" w:rsidRPr="003A5293" w:rsidRDefault="00A545CA">
      <w:pPr>
        <w:rPr>
          <w:rFonts w:ascii="Arial" w:hAnsi="Arial" w:cs="Arial"/>
          <w:b/>
          <w:bCs/>
          <w:sz w:val="22"/>
          <w:szCs w:val="22"/>
          <w:lang w:val="en-US"/>
        </w:rPr>
      </w:pPr>
      <w:r w:rsidRPr="003A5293">
        <w:rPr>
          <w:rFonts w:ascii="Arial" w:eastAsiaTheme="majorEastAsia" w:hAnsi="Arial" w:cs="Arial"/>
          <w:b/>
          <w:bCs/>
          <w:noProof/>
          <w:color w:val="000000" w:themeColor="text1"/>
          <w:sz w:val="22"/>
          <w:szCs w:val="22"/>
          <w:lang w:val="cs-CZ" w:eastAsia="cs-CZ"/>
        </w:rPr>
        <w:drawing>
          <wp:inline distT="0" distB="0" distL="0" distR="0" wp14:anchorId="6DFB4AE4" wp14:editId="5C74F02F">
            <wp:extent cx="3805042" cy="976069"/>
            <wp:effectExtent l="0" t="0" r="5080" b="190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schirmfoto 2020-01-19 um 21.12.25.png"/>
                    <pic:cNvPicPr/>
                  </pic:nvPicPr>
                  <pic:blipFill rotWithShape="1">
                    <a:blip r:embed="rId25">
                      <a:extLst>
                        <a:ext uri="{28A0092B-C50C-407E-A947-70E740481C1C}">
                          <a14:useLocalDpi xmlns:a14="http://schemas.microsoft.com/office/drawing/2010/main" val="0"/>
                        </a:ext>
                      </a:extLst>
                    </a:blip>
                    <a:srcRect l="3058" t="80238" r="24045" b="1807"/>
                    <a:stretch/>
                  </pic:blipFill>
                  <pic:spPr bwMode="auto">
                    <a:xfrm>
                      <a:off x="0" y="0"/>
                      <a:ext cx="3871973" cy="993238"/>
                    </a:xfrm>
                    <a:prstGeom prst="rect">
                      <a:avLst/>
                    </a:prstGeom>
                    <a:ln>
                      <a:noFill/>
                    </a:ln>
                    <a:extLst>
                      <a:ext uri="{53640926-AAD7-44D8-BBD7-CCE9431645EC}">
                        <a14:shadowObscured xmlns:a14="http://schemas.microsoft.com/office/drawing/2010/main"/>
                      </a:ext>
                    </a:extLst>
                  </pic:spPr>
                </pic:pic>
              </a:graphicData>
            </a:graphic>
          </wp:inline>
        </w:drawing>
      </w:r>
      <w:r w:rsidRPr="003A5293">
        <w:rPr>
          <w:rFonts w:ascii="Arial" w:eastAsiaTheme="majorEastAsia" w:hAnsi="Arial" w:cs="Arial"/>
          <w:b/>
          <w:bCs/>
          <w:noProof/>
          <w:color w:val="000000" w:themeColor="text1"/>
          <w:sz w:val="22"/>
          <w:szCs w:val="22"/>
          <w:lang w:val="cs-CZ" w:eastAsia="cs-CZ"/>
        </w:rPr>
        <w:drawing>
          <wp:inline distT="0" distB="0" distL="0" distR="0" wp14:anchorId="0D2F0F86" wp14:editId="61732FFD">
            <wp:extent cx="1153220" cy="1080000"/>
            <wp:effectExtent l="0" t="0" r="254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schirmfoto 2020-01-19 um 21.12.25.png"/>
                    <pic:cNvPicPr/>
                  </pic:nvPicPr>
                  <pic:blipFill rotWithShape="1">
                    <a:blip r:embed="rId25">
                      <a:extLst>
                        <a:ext uri="{28A0092B-C50C-407E-A947-70E740481C1C}">
                          <a14:useLocalDpi xmlns:a14="http://schemas.microsoft.com/office/drawing/2010/main" val="0"/>
                        </a:ext>
                      </a:extLst>
                    </a:blip>
                    <a:srcRect l="76054" t="79258" r="1607" b="653"/>
                    <a:stretch/>
                  </pic:blipFill>
                  <pic:spPr bwMode="auto">
                    <a:xfrm>
                      <a:off x="0" y="0"/>
                      <a:ext cx="1153220" cy="1080000"/>
                    </a:xfrm>
                    <a:prstGeom prst="rect">
                      <a:avLst/>
                    </a:prstGeom>
                    <a:ln>
                      <a:noFill/>
                    </a:ln>
                    <a:extLst>
                      <a:ext uri="{53640926-AAD7-44D8-BBD7-CCE9431645EC}">
                        <a14:shadowObscured xmlns:a14="http://schemas.microsoft.com/office/drawing/2010/main"/>
                      </a:ext>
                    </a:extLst>
                  </pic:spPr>
                </pic:pic>
              </a:graphicData>
            </a:graphic>
          </wp:inline>
        </w:drawing>
      </w:r>
    </w:p>
    <w:p w14:paraId="40643848" w14:textId="77777777" w:rsidR="004711FA" w:rsidRPr="003A5293" w:rsidRDefault="004711FA">
      <w:pPr>
        <w:rPr>
          <w:rFonts w:ascii="Arial" w:hAnsi="Arial" w:cs="Arial"/>
          <w:b/>
          <w:bCs/>
          <w:sz w:val="22"/>
          <w:szCs w:val="22"/>
          <w:lang w:val="en-US"/>
        </w:rPr>
      </w:pPr>
      <w:r w:rsidRPr="003A5293">
        <w:rPr>
          <w:rFonts w:ascii="Arial" w:hAnsi="Arial" w:cs="Arial"/>
          <w:b/>
          <w:bCs/>
          <w:sz w:val="22"/>
          <w:szCs w:val="22"/>
          <w:lang w:val="en-US"/>
        </w:rPr>
        <w:tab/>
        <w:t>PV</w:t>
      </w:r>
      <w:r w:rsidRPr="003A5293">
        <w:rPr>
          <w:rFonts w:ascii="Arial" w:hAnsi="Arial" w:cs="Arial"/>
          <w:b/>
          <w:bCs/>
          <w:sz w:val="22"/>
          <w:szCs w:val="22"/>
          <w:lang w:val="en-US"/>
        </w:rPr>
        <w:tab/>
      </w:r>
      <w:r w:rsidRPr="003A5293">
        <w:rPr>
          <w:rFonts w:ascii="Arial" w:hAnsi="Arial" w:cs="Arial"/>
          <w:b/>
          <w:bCs/>
          <w:sz w:val="22"/>
          <w:szCs w:val="22"/>
          <w:lang w:val="en-US"/>
        </w:rPr>
        <w:tab/>
        <w:t xml:space="preserve">         MF-1/2</w:t>
      </w:r>
      <w:r w:rsidRPr="003A5293">
        <w:rPr>
          <w:rFonts w:ascii="Arial" w:hAnsi="Arial" w:cs="Arial"/>
          <w:b/>
          <w:bCs/>
          <w:sz w:val="22"/>
          <w:szCs w:val="22"/>
          <w:lang w:val="en-US"/>
        </w:rPr>
        <w:tab/>
      </w:r>
      <w:r w:rsidRPr="003A5293">
        <w:rPr>
          <w:rFonts w:ascii="Arial" w:hAnsi="Arial" w:cs="Arial"/>
          <w:b/>
          <w:bCs/>
          <w:sz w:val="22"/>
          <w:szCs w:val="22"/>
          <w:lang w:val="en-US"/>
        </w:rPr>
        <w:tab/>
        <w:t xml:space="preserve">        MF-3</w:t>
      </w:r>
    </w:p>
    <w:p w14:paraId="5FCFF9D2" w14:textId="77777777" w:rsidR="004711FA" w:rsidRPr="003A5293" w:rsidRDefault="004711FA">
      <w:pPr>
        <w:rPr>
          <w:rFonts w:ascii="Arial" w:hAnsi="Arial" w:cs="Arial"/>
          <w:sz w:val="22"/>
          <w:szCs w:val="22"/>
          <w:lang w:val="en-US"/>
        </w:rPr>
      </w:pPr>
    </w:p>
    <w:p w14:paraId="48AFDB0F" w14:textId="77777777" w:rsidR="005D01C6" w:rsidRPr="003A5293" w:rsidRDefault="004711FA" w:rsidP="00A27F2D">
      <w:pPr>
        <w:spacing w:line="360" w:lineRule="auto"/>
        <w:jc w:val="both"/>
        <w:rPr>
          <w:rFonts w:ascii="Arial" w:hAnsi="Arial" w:cs="Arial"/>
          <w:sz w:val="22"/>
          <w:szCs w:val="22"/>
          <w:lang w:val="en-US"/>
        </w:rPr>
      </w:pPr>
      <w:r w:rsidRPr="003A5293">
        <w:rPr>
          <w:rFonts w:ascii="Arial" w:hAnsi="Arial" w:cs="Arial"/>
          <w:b/>
          <w:bCs/>
          <w:sz w:val="22"/>
          <w:szCs w:val="22"/>
          <w:lang w:val="en-US"/>
        </w:rPr>
        <w:t>Figure 11</w:t>
      </w:r>
      <w:r w:rsidRPr="003A5293">
        <w:rPr>
          <w:rFonts w:ascii="Arial" w:hAnsi="Arial" w:cs="Arial"/>
          <w:sz w:val="22"/>
          <w:szCs w:val="22"/>
          <w:lang w:val="en-US"/>
        </w:rPr>
        <w:t xml:space="preserve">: </w:t>
      </w:r>
      <w:r w:rsidR="00A27F2D" w:rsidRPr="003A5293">
        <w:rPr>
          <w:rFonts w:ascii="Arial" w:hAnsi="Arial" w:cs="Arial"/>
          <w:sz w:val="22"/>
          <w:szCs w:val="22"/>
          <w:lang w:val="en-US"/>
        </w:rPr>
        <w:t>IHC staining of key inflammatory mediators in representative BM sections from patients along the progression of PV. Scale bar, 50 µm and 20 µm. Boxplots show quantification of the number of cells expressing individual cytokines in sections of patients from grouped disease stages. Insets in CCL3 staining show magnification of main CCL3 producers, individual basophile-like cells with segmented nuclei.</w:t>
      </w:r>
    </w:p>
    <w:p w14:paraId="1D73AC43" w14:textId="549A71F8" w:rsidR="00F85FAA" w:rsidRPr="009B653F" w:rsidRDefault="00F85FAA" w:rsidP="009B653F">
      <w:pPr>
        <w:pStyle w:val="Formatvorlage1"/>
        <w:rPr>
          <w:rFonts w:cs="Arial"/>
        </w:rPr>
      </w:pPr>
      <w:bookmarkStart w:id="17" w:name="_Toc57582492"/>
      <w:r w:rsidRPr="009B653F">
        <w:rPr>
          <w:rFonts w:cs="Arial"/>
        </w:rPr>
        <w:lastRenderedPageBreak/>
        <w:t>Publications related to this aim:</w:t>
      </w:r>
      <w:bookmarkEnd w:id="17"/>
    </w:p>
    <w:p w14:paraId="7C5EFDAF" w14:textId="77777777" w:rsidR="0080427B" w:rsidRDefault="0080427B" w:rsidP="00AF69C3">
      <w:pPr>
        <w:spacing w:line="360" w:lineRule="auto"/>
        <w:jc w:val="both"/>
        <w:rPr>
          <w:rFonts w:ascii="Arial" w:hAnsi="Arial" w:cs="Arial"/>
          <w:b/>
          <w:bCs/>
          <w:sz w:val="22"/>
          <w:szCs w:val="22"/>
          <w:lang w:val="en-US"/>
        </w:rPr>
      </w:pPr>
    </w:p>
    <w:p w14:paraId="79A449B2" w14:textId="369139B1" w:rsidR="00AF69C3" w:rsidRPr="003A5293" w:rsidRDefault="00AF69C3" w:rsidP="00AF69C3">
      <w:pPr>
        <w:spacing w:line="360" w:lineRule="auto"/>
        <w:jc w:val="both"/>
        <w:rPr>
          <w:rFonts w:ascii="Arial" w:hAnsi="Arial" w:cs="Arial"/>
          <w:sz w:val="22"/>
          <w:szCs w:val="22"/>
          <w:lang w:val="en-US"/>
        </w:rPr>
      </w:pPr>
      <w:r w:rsidRPr="006E03E6">
        <w:rPr>
          <w:rFonts w:ascii="Arial" w:hAnsi="Arial" w:cs="Arial"/>
          <w:b/>
          <w:bCs/>
          <w:sz w:val="22"/>
          <w:szCs w:val="22"/>
          <w:lang w:val="en-US"/>
        </w:rPr>
        <w:t>Articles</w:t>
      </w:r>
      <w:r w:rsidRPr="003A5293">
        <w:rPr>
          <w:rFonts w:ascii="Arial" w:hAnsi="Arial" w:cs="Arial"/>
          <w:sz w:val="22"/>
          <w:szCs w:val="22"/>
          <w:lang w:val="en-US"/>
        </w:rPr>
        <w:t>:</w:t>
      </w:r>
    </w:p>
    <w:p w14:paraId="2EAC3D2F" w14:textId="77777777" w:rsidR="00AF69C3" w:rsidRDefault="00336950" w:rsidP="00AF69C3">
      <w:pPr>
        <w:spacing w:line="360" w:lineRule="auto"/>
        <w:jc w:val="both"/>
        <w:rPr>
          <w:rFonts w:ascii="Arial" w:hAnsi="Arial" w:cs="Arial"/>
          <w:sz w:val="22"/>
          <w:szCs w:val="22"/>
          <w:lang w:val="en-US"/>
        </w:rPr>
      </w:pPr>
      <w:proofErr w:type="spellStart"/>
      <w:r>
        <w:rPr>
          <w:rFonts w:ascii="Arial" w:hAnsi="Arial" w:cs="Arial"/>
          <w:sz w:val="22"/>
          <w:szCs w:val="22"/>
          <w:lang w:val="en-US"/>
        </w:rPr>
        <w:t>S</w:t>
      </w:r>
      <w:r w:rsidRPr="00336950">
        <w:rPr>
          <w:rFonts w:ascii="Arial" w:hAnsi="Arial" w:cs="Arial"/>
          <w:sz w:val="22"/>
          <w:szCs w:val="22"/>
          <w:lang w:val="en-US"/>
        </w:rPr>
        <w:t>tetka</w:t>
      </w:r>
      <w:proofErr w:type="spellEnd"/>
      <w:r w:rsidRPr="00336950">
        <w:rPr>
          <w:rFonts w:ascii="Arial" w:hAnsi="Arial" w:cs="Arial"/>
          <w:sz w:val="22"/>
          <w:szCs w:val="22"/>
          <w:lang w:val="en-US"/>
        </w:rPr>
        <w:t xml:space="preserve">, J., </w:t>
      </w:r>
      <w:proofErr w:type="spellStart"/>
      <w:r w:rsidRPr="00336950">
        <w:rPr>
          <w:rFonts w:ascii="Arial" w:hAnsi="Arial" w:cs="Arial"/>
          <w:sz w:val="22"/>
          <w:szCs w:val="22"/>
          <w:lang w:val="en-US"/>
        </w:rPr>
        <w:t>Vyhlidalova</w:t>
      </w:r>
      <w:proofErr w:type="spellEnd"/>
      <w:r w:rsidRPr="00336950">
        <w:rPr>
          <w:rFonts w:ascii="Arial" w:hAnsi="Arial" w:cs="Arial"/>
          <w:sz w:val="22"/>
          <w:szCs w:val="22"/>
          <w:lang w:val="en-US"/>
        </w:rPr>
        <w:t xml:space="preserve">, P., </w:t>
      </w:r>
      <w:proofErr w:type="spellStart"/>
      <w:r w:rsidRPr="00336950">
        <w:rPr>
          <w:rFonts w:ascii="Arial" w:hAnsi="Arial" w:cs="Arial"/>
          <w:sz w:val="22"/>
          <w:szCs w:val="22"/>
          <w:lang w:val="en-US"/>
        </w:rPr>
        <w:t>Lanikova</w:t>
      </w:r>
      <w:proofErr w:type="spellEnd"/>
      <w:r w:rsidRPr="00336950">
        <w:rPr>
          <w:rFonts w:ascii="Arial" w:hAnsi="Arial" w:cs="Arial"/>
          <w:sz w:val="22"/>
          <w:szCs w:val="22"/>
          <w:lang w:val="en-US"/>
        </w:rPr>
        <w:t xml:space="preserve">, L., </w:t>
      </w:r>
      <w:proofErr w:type="spellStart"/>
      <w:r w:rsidRPr="00336950">
        <w:rPr>
          <w:rFonts w:ascii="Arial" w:hAnsi="Arial" w:cs="Arial"/>
          <w:sz w:val="22"/>
          <w:szCs w:val="22"/>
          <w:lang w:val="en-US"/>
        </w:rPr>
        <w:t>Koralkova</w:t>
      </w:r>
      <w:proofErr w:type="spellEnd"/>
      <w:r w:rsidRPr="00336950">
        <w:rPr>
          <w:rFonts w:ascii="Arial" w:hAnsi="Arial" w:cs="Arial"/>
          <w:sz w:val="22"/>
          <w:szCs w:val="22"/>
          <w:lang w:val="en-US"/>
        </w:rPr>
        <w:t xml:space="preserve">, P., </w:t>
      </w:r>
      <w:proofErr w:type="spellStart"/>
      <w:r w:rsidRPr="00336950">
        <w:rPr>
          <w:rFonts w:ascii="Arial" w:hAnsi="Arial" w:cs="Arial"/>
          <w:sz w:val="22"/>
          <w:szCs w:val="22"/>
          <w:lang w:val="en-US"/>
        </w:rPr>
        <w:t>Gursky</w:t>
      </w:r>
      <w:proofErr w:type="spellEnd"/>
      <w:r w:rsidRPr="00336950">
        <w:rPr>
          <w:rFonts w:ascii="Arial" w:hAnsi="Arial" w:cs="Arial"/>
          <w:sz w:val="22"/>
          <w:szCs w:val="22"/>
          <w:lang w:val="en-US"/>
        </w:rPr>
        <w:t xml:space="preserve">, J., </w:t>
      </w:r>
      <w:proofErr w:type="spellStart"/>
      <w:r w:rsidRPr="00336950">
        <w:rPr>
          <w:rFonts w:ascii="Arial" w:hAnsi="Arial" w:cs="Arial"/>
          <w:sz w:val="22"/>
          <w:szCs w:val="22"/>
          <w:lang w:val="en-US"/>
        </w:rPr>
        <w:t>Hlusi</w:t>
      </w:r>
      <w:proofErr w:type="spellEnd"/>
      <w:r w:rsidRPr="00336950">
        <w:rPr>
          <w:rFonts w:ascii="Arial" w:hAnsi="Arial" w:cs="Arial"/>
          <w:sz w:val="22"/>
          <w:szCs w:val="22"/>
          <w:lang w:val="en-US"/>
        </w:rPr>
        <w:t xml:space="preserve">, A., </w:t>
      </w:r>
      <w:proofErr w:type="spellStart"/>
      <w:r w:rsidRPr="00336950">
        <w:rPr>
          <w:rFonts w:ascii="Arial" w:hAnsi="Arial" w:cs="Arial"/>
          <w:sz w:val="22"/>
          <w:szCs w:val="22"/>
          <w:lang w:val="en-US"/>
        </w:rPr>
        <w:t>Flodr</w:t>
      </w:r>
      <w:proofErr w:type="spellEnd"/>
      <w:r w:rsidRPr="00336950">
        <w:rPr>
          <w:rFonts w:ascii="Arial" w:hAnsi="Arial" w:cs="Arial"/>
          <w:sz w:val="22"/>
          <w:szCs w:val="22"/>
          <w:lang w:val="en-US"/>
        </w:rPr>
        <w:t xml:space="preserve">, P., </w:t>
      </w:r>
      <w:proofErr w:type="spellStart"/>
      <w:r w:rsidRPr="00336950">
        <w:rPr>
          <w:rFonts w:ascii="Arial" w:hAnsi="Arial" w:cs="Arial"/>
          <w:sz w:val="22"/>
          <w:szCs w:val="22"/>
          <w:lang w:val="en-US"/>
        </w:rPr>
        <w:t>Hubackova</w:t>
      </w:r>
      <w:proofErr w:type="spellEnd"/>
      <w:r w:rsidRPr="00336950">
        <w:rPr>
          <w:rFonts w:ascii="Arial" w:hAnsi="Arial" w:cs="Arial"/>
          <w:sz w:val="22"/>
          <w:szCs w:val="22"/>
          <w:lang w:val="en-US"/>
        </w:rPr>
        <w:t xml:space="preserve">, S., Bartek, J., </w:t>
      </w:r>
      <w:proofErr w:type="spellStart"/>
      <w:r w:rsidRPr="00336950">
        <w:rPr>
          <w:rFonts w:ascii="Arial" w:hAnsi="Arial" w:cs="Arial"/>
          <w:sz w:val="22"/>
          <w:szCs w:val="22"/>
          <w:lang w:val="en-US"/>
        </w:rPr>
        <w:t>Hodny</w:t>
      </w:r>
      <w:proofErr w:type="spellEnd"/>
      <w:r w:rsidRPr="00336950">
        <w:rPr>
          <w:rFonts w:ascii="Arial" w:hAnsi="Arial" w:cs="Arial"/>
          <w:sz w:val="22"/>
          <w:szCs w:val="22"/>
          <w:lang w:val="en-US"/>
        </w:rPr>
        <w:t xml:space="preserve">, Z., </w:t>
      </w:r>
      <w:proofErr w:type="spellStart"/>
      <w:r w:rsidRPr="00336950">
        <w:rPr>
          <w:rFonts w:ascii="Arial" w:hAnsi="Arial" w:cs="Arial"/>
          <w:sz w:val="22"/>
          <w:szCs w:val="22"/>
          <w:lang w:val="en-US"/>
        </w:rPr>
        <w:t>Divoky</w:t>
      </w:r>
      <w:proofErr w:type="spellEnd"/>
      <w:r w:rsidRPr="00336950">
        <w:rPr>
          <w:rFonts w:ascii="Arial" w:hAnsi="Arial" w:cs="Arial"/>
          <w:sz w:val="22"/>
          <w:szCs w:val="22"/>
          <w:lang w:val="en-US"/>
        </w:rPr>
        <w:t>, V., 2019. Addiction to DUSP1 protects JAK2V617F-driven polycythemia vera progenitors against inflammatory stress and DNA damage, allowing chronic proliferation. Oncogene 38, 5627–5642. https://doi.org/10.1038/s41388-019-0813-7</w:t>
      </w:r>
    </w:p>
    <w:p w14:paraId="20B3EFF2" w14:textId="77777777" w:rsidR="00336950" w:rsidRPr="003A5293" w:rsidRDefault="00336950" w:rsidP="00AF69C3">
      <w:pPr>
        <w:spacing w:line="360" w:lineRule="auto"/>
        <w:jc w:val="both"/>
        <w:rPr>
          <w:rFonts w:ascii="Arial" w:hAnsi="Arial" w:cs="Arial"/>
          <w:sz w:val="22"/>
          <w:szCs w:val="22"/>
          <w:lang w:val="en-US"/>
        </w:rPr>
      </w:pPr>
    </w:p>
    <w:p w14:paraId="3208CF69" w14:textId="77777777" w:rsidR="006C276C" w:rsidRDefault="00AF69C3" w:rsidP="00AF69C3">
      <w:pPr>
        <w:spacing w:line="360" w:lineRule="auto"/>
        <w:jc w:val="both"/>
        <w:rPr>
          <w:rFonts w:ascii="Arial" w:hAnsi="Arial" w:cs="Arial"/>
          <w:sz w:val="22"/>
          <w:szCs w:val="22"/>
          <w:lang w:val="en-US"/>
        </w:rPr>
      </w:pPr>
      <w:r w:rsidRPr="006E03E6">
        <w:rPr>
          <w:rFonts w:ascii="Arial" w:hAnsi="Arial" w:cs="Arial"/>
          <w:b/>
          <w:bCs/>
          <w:sz w:val="22"/>
          <w:szCs w:val="22"/>
          <w:lang w:val="en-US"/>
        </w:rPr>
        <w:t>Abstracts</w:t>
      </w:r>
      <w:r w:rsidRPr="003A5293">
        <w:rPr>
          <w:rFonts w:ascii="Arial" w:hAnsi="Arial" w:cs="Arial"/>
          <w:sz w:val="22"/>
          <w:szCs w:val="22"/>
          <w:lang w:val="en-US"/>
        </w:rPr>
        <w:t>:</w:t>
      </w:r>
    </w:p>
    <w:p w14:paraId="1709C757" w14:textId="77777777" w:rsidR="006C276C" w:rsidRDefault="006C276C" w:rsidP="00AF69C3">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 Bartek</w:t>
      </w:r>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Divoky</w:t>
      </w:r>
      <w:proofErr w:type="spellEnd"/>
      <w:r>
        <w:rPr>
          <w:rFonts w:ascii="Arial" w:hAnsi="Arial" w:cs="Arial"/>
          <w:sz w:val="22"/>
          <w:szCs w:val="22"/>
          <w:lang w:val="en-US"/>
        </w:rPr>
        <w:t>,</w:t>
      </w:r>
      <w:r w:rsidRPr="006C276C">
        <w:rPr>
          <w:rFonts w:ascii="Arial" w:hAnsi="Arial" w:cs="Arial"/>
          <w:sz w:val="22"/>
          <w:szCs w:val="22"/>
          <w:lang w:val="en-US"/>
        </w:rPr>
        <w:t xml:space="preserve"> V.</w:t>
      </w:r>
      <w:r>
        <w:rPr>
          <w:rFonts w:ascii="Arial" w:hAnsi="Arial" w:cs="Arial"/>
          <w:sz w:val="22"/>
          <w:szCs w:val="22"/>
          <w:lang w:val="en-US"/>
        </w:rPr>
        <w:t>, 2015.</w:t>
      </w:r>
      <w:r w:rsidRPr="006C276C">
        <w:rPr>
          <w:rFonts w:ascii="Arial" w:hAnsi="Arial" w:cs="Arial"/>
          <w:sz w:val="22"/>
          <w:szCs w:val="22"/>
          <w:lang w:val="en-US"/>
        </w:rPr>
        <w:t xml:space="preserve"> Inflammatory response of hematopoietic progenitors differentiated from polycythemia vera patient-specific induced pluripotent stem cells. International Conference on the </w:t>
      </w:r>
      <w:proofErr w:type="spellStart"/>
      <w:r w:rsidRPr="006C276C">
        <w:rPr>
          <w:rFonts w:ascii="Arial" w:hAnsi="Arial" w:cs="Arial"/>
          <w:sz w:val="22"/>
          <w:szCs w:val="22"/>
          <w:lang w:val="en-US"/>
        </w:rPr>
        <w:t>tumour</w:t>
      </w:r>
      <w:proofErr w:type="spellEnd"/>
      <w:r w:rsidRPr="006C276C">
        <w:rPr>
          <w:rFonts w:ascii="Arial" w:hAnsi="Arial" w:cs="Arial"/>
          <w:sz w:val="22"/>
          <w:szCs w:val="22"/>
          <w:lang w:val="en-US"/>
        </w:rPr>
        <w:t xml:space="preserve"> microenvironment in the </w:t>
      </w:r>
      <w:proofErr w:type="spellStart"/>
      <w:r w:rsidRPr="006C276C">
        <w:rPr>
          <w:rFonts w:ascii="Arial" w:hAnsi="Arial" w:cs="Arial"/>
          <w:sz w:val="22"/>
          <w:szCs w:val="22"/>
          <w:lang w:val="en-US"/>
        </w:rPr>
        <w:t>haematological</w:t>
      </w:r>
      <w:proofErr w:type="spellEnd"/>
      <w:r w:rsidRPr="006C276C">
        <w:rPr>
          <w:rFonts w:ascii="Arial" w:hAnsi="Arial" w:cs="Arial"/>
          <w:sz w:val="22"/>
          <w:szCs w:val="22"/>
          <w:lang w:val="en-US"/>
        </w:rPr>
        <w:t xml:space="preserve"> malignancies and its therapeutic targeting, 201</w:t>
      </w:r>
      <w:r>
        <w:rPr>
          <w:rFonts w:ascii="Arial" w:hAnsi="Arial" w:cs="Arial"/>
          <w:sz w:val="22"/>
          <w:szCs w:val="22"/>
          <w:lang w:val="en-US"/>
        </w:rPr>
        <w:t>5</w:t>
      </w:r>
      <w:r w:rsidRPr="006C276C">
        <w:rPr>
          <w:rFonts w:ascii="Arial" w:hAnsi="Arial" w:cs="Arial"/>
          <w:sz w:val="22"/>
          <w:szCs w:val="22"/>
          <w:lang w:val="en-US"/>
        </w:rPr>
        <w:t xml:space="preserve">, Lisbon, Portugal, </w:t>
      </w:r>
      <w:r>
        <w:rPr>
          <w:rFonts w:ascii="Arial" w:hAnsi="Arial" w:cs="Arial"/>
          <w:sz w:val="22"/>
          <w:szCs w:val="22"/>
          <w:lang w:val="en-US"/>
        </w:rPr>
        <w:t>abstracts</w:t>
      </w:r>
      <w:r w:rsidRPr="006C276C">
        <w:rPr>
          <w:rFonts w:ascii="Arial" w:hAnsi="Arial" w:cs="Arial"/>
          <w:sz w:val="22"/>
          <w:szCs w:val="22"/>
          <w:lang w:val="en-US"/>
        </w:rPr>
        <w:t>, poster 24</w:t>
      </w:r>
    </w:p>
    <w:p w14:paraId="6D310010" w14:textId="77777777" w:rsidR="006C276C" w:rsidRDefault="006C276C" w:rsidP="00AF69C3">
      <w:pPr>
        <w:spacing w:line="360" w:lineRule="auto"/>
        <w:jc w:val="both"/>
        <w:rPr>
          <w:rFonts w:ascii="Arial" w:hAnsi="Arial" w:cs="Arial"/>
          <w:sz w:val="22"/>
          <w:szCs w:val="22"/>
          <w:lang w:val="en-US"/>
        </w:rPr>
      </w:pPr>
    </w:p>
    <w:p w14:paraId="0BDC4D24" w14:textId="77777777" w:rsidR="006C276C" w:rsidRDefault="006C276C" w:rsidP="00AF69C3">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 Bartek</w:t>
      </w:r>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Divoky</w:t>
      </w:r>
      <w:proofErr w:type="spellEnd"/>
      <w:r>
        <w:rPr>
          <w:rFonts w:ascii="Arial" w:hAnsi="Arial" w:cs="Arial"/>
          <w:sz w:val="22"/>
          <w:szCs w:val="22"/>
          <w:lang w:val="en-US"/>
        </w:rPr>
        <w:t>,</w:t>
      </w:r>
      <w:r w:rsidRPr="006C276C">
        <w:rPr>
          <w:rFonts w:ascii="Arial" w:hAnsi="Arial" w:cs="Arial"/>
          <w:sz w:val="22"/>
          <w:szCs w:val="22"/>
          <w:lang w:val="en-US"/>
        </w:rPr>
        <w:t xml:space="preserve"> V.</w:t>
      </w:r>
      <w:r>
        <w:rPr>
          <w:rFonts w:ascii="Arial" w:hAnsi="Arial" w:cs="Arial"/>
          <w:sz w:val="22"/>
          <w:szCs w:val="22"/>
          <w:lang w:val="en-US"/>
        </w:rPr>
        <w:t>, 2015</w:t>
      </w:r>
      <w:r w:rsidRPr="006C276C">
        <w:rPr>
          <w:rFonts w:ascii="Arial" w:hAnsi="Arial" w:cs="Arial"/>
          <w:sz w:val="22"/>
          <w:szCs w:val="22"/>
          <w:lang w:val="en-US"/>
        </w:rPr>
        <w:t xml:space="preserve"> Inflammatory response of polycythemia vera hematopoietic progenitors differentiated from patient-specific induced pluripotent stem cells. </w:t>
      </w:r>
      <w:r w:rsidR="0007234B" w:rsidRPr="0007234B">
        <w:rPr>
          <w:rFonts w:ascii="Arial" w:hAnsi="Arial" w:cs="Arial"/>
          <w:sz w:val="22"/>
          <w:szCs w:val="22"/>
          <w:lang w:val="en-US"/>
        </w:rPr>
        <w:t>Olomouc Hematological Days</w:t>
      </w:r>
      <w:r w:rsidRPr="006C276C">
        <w:rPr>
          <w:rFonts w:ascii="Arial" w:hAnsi="Arial" w:cs="Arial"/>
          <w:sz w:val="22"/>
          <w:szCs w:val="22"/>
          <w:lang w:val="en-US"/>
        </w:rPr>
        <w:t xml:space="preserve">, 2015, Olomouc, </w:t>
      </w:r>
      <w:r>
        <w:rPr>
          <w:rFonts w:ascii="Arial" w:hAnsi="Arial" w:cs="Arial"/>
          <w:sz w:val="22"/>
          <w:szCs w:val="22"/>
          <w:lang w:val="en-US"/>
        </w:rPr>
        <w:t>abstracts,</w:t>
      </w:r>
      <w:r w:rsidRPr="006C276C">
        <w:rPr>
          <w:rFonts w:ascii="Arial" w:hAnsi="Arial" w:cs="Arial"/>
          <w:sz w:val="22"/>
          <w:szCs w:val="22"/>
          <w:lang w:val="en-US"/>
        </w:rPr>
        <w:t xml:space="preserve"> ISBN 978-80-244-4697-4</w:t>
      </w:r>
      <w:r>
        <w:rPr>
          <w:rFonts w:ascii="Arial" w:hAnsi="Arial" w:cs="Arial"/>
          <w:sz w:val="22"/>
          <w:szCs w:val="22"/>
          <w:lang w:val="en-US"/>
        </w:rPr>
        <w:t>, page</w:t>
      </w:r>
      <w:r w:rsidRPr="006C276C">
        <w:rPr>
          <w:rFonts w:ascii="Arial" w:hAnsi="Arial" w:cs="Arial"/>
          <w:sz w:val="22"/>
          <w:szCs w:val="22"/>
          <w:lang w:val="en-US"/>
        </w:rPr>
        <w:t xml:space="preserve"> 6</w:t>
      </w:r>
    </w:p>
    <w:p w14:paraId="2DC8C040" w14:textId="77777777" w:rsidR="0007234B" w:rsidRDefault="0007234B" w:rsidP="00AF69C3">
      <w:pPr>
        <w:spacing w:line="360" w:lineRule="auto"/>
        <w:jc w:val="both"/>
        <w:rPr>
          <w:rFonts w:ascii="Arial" w:hAnsi="Arial" w:cs="Arial"/>
          <w:sz w:val="22"/>
          <w:szCs w:val="22"/>
          <w:lang w:val="en-US"/>
        </w:rPr>
      </w:pPr>
    </w:p>
    <w:p w14:paraId="098435AA" w14:textId="77777777" w:rsidR="0007234B" w:rsidRDefault="0007234B" w:rsidP="00AF69C3">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Koralkova</w:t>
      </w:r>
      <w:proofErr w:type="spellEnd"/>
      <w:r>
        <w:rPr>
          <w:rFonts w:ascii="Arial" w:hAnsi="Arial" w:cs="Arial"/>
          <w:sz w:val="22"/>
          <w:szCs w:val="22"/>
          <w:lang w:val="en-US"/>
        </w:rPr>
        <w:t>,</w:t>
      </w:r>
      <w:r w:rsidRPr="0007234B">
        <w:rPr>
          <w:rFonts w:ascii="Arial" w:hAnsi="Arial" w:cs="Arial"/>
          <w:sz w:val="22"/>
          <w:szCs w:val="22"/>
          <w:lang w:val="en-US"/>
        </w:rPr>
        <w:t xml:space="preserve"> P</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Hodny</w:t>
      </w:r>
      <w:proofErr w:type="spellEnd"/>
      <w:r>
        <w:rPr>
          <w:rFonts w:ascii="Arial" w:hAnsi="Arial" w:cs="Arial"/>
          <w:sz w:val="22"/>
          <w:szCs w:val="22"/>
          <w:lang w:val="en-US"/>
        </w:rPr>
        <w:t>,</w:t>
      </w:r>
      <w:r w:rsidRPr="0007234B">
        <w:rPr>
          <w:rFonts w:ascii="Arial" w:hAnsi="Arial" w:cs="Arial"/>
          <w:sz w:val="22"/>
          <w:szCs w:val="22"/>
          <w:lang w:val="en-US"/>
        </w:rPr>
        <w:t xml:space="preserve"> Z</w:t>
      </w:r>
      <w:r>
        <w:rPr>
          <w:rFonts w:ascii="Arial" w:hAnsi="Arial" w:cs="Arial"/>
          <w:sz w:val="22"/>
          <w:szCs w:val="22"/>
          <w:lang w:val="en-US"/>
        </w:rPr>
        <w:t>.</w:t>
      </w:r>
      <w:r w:rsidRPr="0007234B">
        <w:rPr>
          <w:rFonts w:ascii="Arial" w:hAnsi="Arial" w:cs="Arial"/>
          <w:sz w:val="22"/>
          <w:szCs w:val="22"/>
          <w:lang w:val="en-US"/>
        </w:rPr>
        <w:t>, Prchal</w:t>
      </w:r>
      <w:r>
        <w:rPr>
          <w:rFonts w:ascii="Arial" w:hAnsi="Arial" w:cs="Arial"/>
          <w:sz w:val="22"/>
          <w:szCs w:val="22"/>
          <w:lang w:val="en-US"/>
        </w:rPr>
        <w:t>,</w:t>
      </w:r>
      <w:r w:rsidRPr="0007234B">
        <w:rPr>
          <w:rFonts w:ascii="Arial" w:hAnsi="Arial" w:cs="Arial"/>
          <w:sz w:val="22"/>
          <w:szCs w:val="22"/>
          <w:lang w:val="en-US"/>
        </w:rPr>
        <w:t xml:space="preserve"> J</w:t>
      </w:r>
      <w:r>
        <w:rPr>
          <w:rFonts w:ascii="Arial" w:hAnsi="Arial" w:cs="Arial"/>
          <w:sz w:val="22"/>
          <w:szCs w:val="22"/>
          <w:lang w:val="en-US"/>
        </w:rPr>
        <w:t>.</w:t>
      </w:r>
      <w:r w:rsidRPr="0007234B">
        <w:rPr>
          <w:rFonts w:ascii="Arial" w:hAnsi="Arial" w:cs="Arial"/>
          <w:sz w:val="22"/>
          <w:szCs w:val="22"/>
          <w:lang w:val="en-US"/>
        </w:rPr>
        <w:t>, Bartek</w:t>
      </w:r>
      <w:r>
        <w:rPr>
          <w:rFonts w:ascii="Arial" w:hAnsi="Arial" w:cs="Arial"/>
          <w:sz w:val="22"/>
          <w:szCs w:val="22"/>
          <w:lang w:val="en-US"/>
        </w:rPr>
        <w:t>,</w:t>
      </w:r>
      <w:r w:rsidRPr="0007234B">
        <w:rPr>
          <w:rFonts w:ascii="Arial" w:hAnsi="Arial" w:cs="Arial"/>
          <w:sz w:val="22"/>
          <w:szCs w:val="22"/>
          <w:lang w:val="en-US"/>
        </w:rPr>
        <w:t xml:space="preserve"> J</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Divoky</w:t>
      </w:r>
      <w:proofErr w:type="spellEnd"/>
      <w:r>
        <w:rPr>
          <w:rFonts w:ascii="Arial" w:hAnsi="Arial" w:cs="Arial"/>
          <w:sz w:val="22"/>
          <w:szCs w:val="22"/>
          <w:lang w:val="en-US"/>
        </w:rPr>
        <w:t>,</w:t>
      </w:r>
      <w:r w:rsidRPr="0007234B">
        <w:rPr>
          <w:rFonts w:ascii="Arial" w:hAnsi="Arial" w:cs="Arial"/>
          <w:sz w:val="22"/>
          <w:szCs w:val="22"/>
          <w:lang w:val="en-US"/>
        </w:rPr>
        <w:t xml:space="preserve"> V.</w:t>
      </w:r>
      <w:r>
        <w:rPr>
          <w:rFonts w:ascii="Arial" w:hAnsi="Arial" w:cs="Arial"/>
          <w:sz w:val="22"/>
          <w:szCs w:val="22"/>
          <w:lang w:val="en-US"/>
        </w:rPr>
        <w:t>, 2016.</w:t>
      </w:r>
      <w:r w:rsidRPr="0007234B">
        <w:rPr>
          <w:rFonts w:ascii="Arial" w:hAnsi="Arial" w:cs="Arial"/>
          <w:sz w:val="22"/>
          <w:szCs w:val="22"/>
          <w:lang w:val="en-US"/>
        </w:rPr>
        <w:t xml:space="preserve"> JAK2 V617F progenitors exhibit intrinsic inflammatory signaling and protection against inflammation induced DNA damage. ESH 7th International Conference on MYELOPROLIFERATIVE NEOPLASMS, 2016, Estoril, Portugal, </w:t>
      </w:r>
      <w:r>
        <w:rPr>
          <w:rFonts w:ascii="Arial" w:hAnsi="Arial" w:cs="Arial"/>
          <w:sz w:val="22"/>
          <w:szCs w:val="22"/>
          <w:lang w:val="en-US"/>
        </w:rPr>
        <w:t>abstracts</w:t>
      </w:r>
      <w:r w:rsidRPr="0007234B">
        <w:rPr>
          <w:rFonts w:ascii="Arial" w:hAnsi="Arial" w:cs="Arial"/>
          <w:sz w:val="22"/>
          <w:szCs w:val="22"/>
          <w:lang w:val="en-US"/>
        </w:rPr>
        <w:t>, poster 21</w:t>
      </w:r>
    </w:p>
    <w:p w14:paraId="300B6924" w14:textId="77777777" w:rsidR="006C276C" w:rsidRDefault="006C276C" w:rsidP="00AF69C3">
      <w:pPr>
        <w:spacing w:line="360" w:lineRule="auto"/>
        <w:jc w:val="both"/>
        <w:rPr>
          <w:rFonts w:ascii="Arial" w:hAnsi="Arial" w:cs="Arial"/>
          <w:sz w:val="22"/>
          <w:szCs w:val="22"/>
          <w:lang w:val="en-US"/>
        </w:rPr>
      </w:pPr>
    </w:p>
    <w:p w14:paraId="40CD4E43" w14:textId="71691833" w:rsidR="0007234B" w:rsidRDefault="0007234B" w:rsidP="00AF69C3">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Koralkova</w:t>
      </w:r>
      <w:proofErr w:type="spellEnd"/>
      <w:r>
        <w:rPr>
          <w:rFonts w:ascii="Arial" w:hAnsi="Arial" w:cs="Arial"/>
          <w:sz w:val="22"/>
          <w:szCs w:val="22"/>
          <w:lang w:val="en-US"/>
        </w:rPr>
        <w:t>,</w:t>
      </w:r>
      <w:r w:rsidRPr="0007234B">
        <w:rPr>
          <w:rFonts w:ascii="Arial" w:hAnsi="Arial" w:cs="Arial"/>
          <w:sz w:val="22"/>
          <w:szCs w:val="22"/>
          <w:lang w:val="en-US"/>
        </w:rPr>
        <w:t xml:space="preserve"> P</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Hodny</w:t>
      </w:r>
      <w:proofErr w:type="spellEnd"/>
      <w:r>
        <w:rPr>
          <w:rFonts w:ascii="Arial" w:hAnsi="Arial" w:cs="Arial"/>
          <w:sz w:val="22"/>
          <w:szCs w:val="22"/>
          <w:lang w:val="en-US"/>
        </w:rPr>
        <w:t>,</w:t>
      </w:r>
      <w:r w:rsidRPr="0007234B">
        <w:rPr>
          <w:rFonts w:ascii="Arial" w:hAnsi="Arial" w:cs="Arial"/>
          <w:sz w:val="22"/>
          <w:szCs w:val="22"/>
          <w:lang w:val="en-US"/>
        </w:rPr>
        <w:t xml:space="preserve"> Z</w:t>
      </w:r>
      <w:r>
        <w:rPr>
          <w:rFonts w:ascii="Arial" w:hAnsi="Arial" w:cs="Arial"/>
          <w:sz w:val="22"/>
          <w:szCs w:val="22"/>
          <w:lang w:val="en-US"/>
        </w:rPr>
        <w:t>.</w:t>
      </w:r>
      <w:r w:rsidRPr="0007234B">
        <w:rPr>
          <w:rFonts w:ascii="Arial" w:hAnsi="Arial" w:cs="Arial"/>
          <w:sz w:val="22"/>
          <w:szCs w:val="22"/>
          <w:lang w:val="en-US"/>
        </w:rPr>
        <w:t>, Bartek</w:t>
      </w:r>
      <w:r>
        <w:rPr>
          <w:rFonts w:ascii="Arial" w:hAnsi="Arial" w:cs="Arial"/>
          <w:sz w:val="22"/>
          <w:szCs w:val="22"/>
          <w:lang w:val="en-US"/>
        </w:rPr>
        <w:t>,</w:t>
      </w:r>
      <w:r w:rsidRPr="0007234B">
        <w:rPr>
          <w:rFonts w:ascii="Arial" w:hAnsi="Arial" w:cs="Arial"/>
          <w:sz w:val="22"/>
          <w:szCs w:val="22"/>
          <w:lang w:val="en-US"/>
        </w:rPr>
        <w:t xml:space="preserve"> J</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Divoky</w:t>
      </w:r>
      <w:proofErr w:type="spellEnd"/>
      <w:r>
        <w:rPr>
          <w:rFonts w:ascii="Arial" w:hAnsi="Arial" w:cs="Arial"/>
          <w:sz w:val="22"/>
          <w:szCs w:val="22"/>
          <w:lang w:val="en-US"/>
        </w:rPr>
        <w:t>,</w:t>
      </w:r>
      <w:r w:rsidRPr="0007234B">
        <w:rPr>
          <w:rFonts w:ascii="Arial" w:hAnsi="Arial" w:cs="Arial"/>
          <w:sz w:val="22"/>
          <w:szCs w:val="22"/>
          <w:lang w:val="en-US"/>
        </w:rPr>
        <w:t xml:space="preserve"> V.</w:t>
      </w:r>
      <w:r>
        <w:rPr>
          <w:rFonts w:ascii="Arial" w:hAnsi="Arial" w:cs="Arial"/>
          <w:sz w:val="22"/>
          <w:szCs w:val="22"/>
          <w:lang w:val="en-US"/>
        </w:rPr>
        <w:t>, 2016.</w:t>
      </w:r>
      <w:r w:rsidRPr="0007234B">
        <w:rPr>
          <w:rFonts w:ascii="Arial" w:hAnsi="Arial" w:cs="Arial"/>
          <w:sz w:val="22"/>
          <w:szCs w:val="22"/>
          <w:lang w:val="en-US"/>
        </w:rPr>
        <w:t xml:space="preserve"> JAK2 V617F progenitors exhibit intrinsic inflammatory signaling and protection against inflammation induced DNA damage. Olomouc Hematological Days, 2016, Olomouc, </w:t>
      </w:r>
      <w:r>
        <w:rPr>
          <w:rFonts w:ascii="Arial" w:hAnsi="Arial" w:cs="Arial"/>
          <w:sz w:val="22"/>
          <w:szCs w:val="22"/>
          <w:lang w:val="en-US"/>
        </w:rPr>
        <w:t>abstracts</w:t>
      </w:r>
      <w:r w:rsidRPr="0007234B">
        <w:rPr>
          <w:rFonts w:ascii="Arial" w:hAnsi="Arial" w:cs="Arial"/>
          <w:sz w:val="22"/>
          <w:szCs w:val="22"/>
          <w:lang w:val="en-US"/>
        </w:rPr>
        <w:t xml:space="preserve">, ISSN 1213-5763, </w:t>
      </w:r>
      <w:r>
        <w:rPr>
          <w:rFonts w:ascii="Arial" w:hAnsi="Arial" w:cs="Arial"/>
          <w:sz w:val="22"/>
          <w:szCs w:val="22"/>
          <w:lang w:val="en-US"/>
        </w:rPr>
        <w:t>page</w:t>
      </w:r>
      <w:r w:rsidRPr="0007234B">
        <w:rPr>
          <w:rFonts w:ascii="Arial" w:hAnsi="Arial" w:cs="Arial"/>
          <w:sz w:val="22"/>
          <w:szCs w:val="22"/>
          <w:lang w:val="en-US"/>
        </w:rPr>
        <w:t xml:space="preserve"> 28-29</w:t>
      </w:r>
    </w:p>
    <w:p w14:paraId="67D23FCE" w14:textId="77777777" w:rsidR="00593278" w:rsidRDefault="00593278" w:rsidP="00AF69C3">
      <w:pPr>
        <w:spacing w:line="360" w:lineRule="auto"/>
        <w:jc w:val="both"/>
        <w:rPr>
          <w:rFonts w:ascii="Arial" w:hAnsi="Arial" w:cs="Arial"/>
          <w:sz w:val="22"/>
          <w:szCs w:val="22"/>
          <w:lang w:val="en-US"/>
        </w:rPr>
      </w:pPr>
    </w:p>
    <w:p w14:paraId="1F40456C" w14:textId="77777777" w:rsidR="0007234B" w:rsidRDefault="0007234B" w:rsidP="00AF69C3">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Koralkova</w:t>
      </w:r>
      <w:proofErr w:type="spellEnd"/>
      <w:r>
        <w:rPr>
          <w:rFonts w:ascii="Arial" w:hAnsi="Arial" w:cs="Arial"/>
          <w:sz w:val="22"/>
          <w:szCs w:val="22"/>
          <w:lang w:val="en-US"/>
        </w:rPr>
        <w:t>,</w:t>
      </w:r>
      <w:r w:rsidRPr="0007234B">
        <w:rPr>
          <w:rFonts w:ascii="Arial" w:hAnsi="Arial" w:cs="Arial"/>
          <w:sz w:val="22"/>
          <w:szCs w:val="22"/>
          <w:lang w:val="en-US"/>
        </w:rPr>
        <w:t xml:space="preserve"> P</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Hodny</w:t>
      </w:r>
      <w:proofErr w:type="spellEnd"/>
      <w:r>
        <w:rPr>
          <w:rFonts w:ascii="Arial" w:hAnsi="Arial" w:cs="Arial"/>
          <w:sz w:val="22"/>
          <w:szCs w:val="22"/>
          <w:lang w:val="en-US"/>
        </w:rPr>
        <w:t>,</w:t>
      </w:r>
      <w:r w:rsidRPr="0007234B">
        <w:rPr>
          <w:rFonts w:ascii="Arial" w:hAnsi="Arial" w:cs="Arial"/>
          <w:sz w:val="22"/>
          <w:szCs w:val="22"/>
          <w:lang w:val="en-US"/>
        </w:rPr>
        <w:t xml:space="preserve"> Z</w:t>
      </w:r>
      <w:r>
        <w:rPr>
          <w:rFonts w:ascii="Arial" w:hAnsi="Arial" w:cs="Arial"/>
          <w:sz w:val="22"/>
          <w:szCs w:val="22"/>
          <w:lang w:val="en-US"/>
        </w:rPr>
        <w:t>.</w:t>
      </w:r>
      <w:r w:rsidRPr="0007234B">
        <w:rPr>
          <w:rFonts w:ascii="Arial" w:hAnsi="Arial" w:cs="Arial"/>
          <w:sz w:val="22"/>
          <w:szCs w:val="22"/>
          <w:lang w:val="en-US"/>
        </w:rPr>
        <w:t>, Bartek</w:t>
      </w:r>
      <w:r>
        <w:rPr>
          <w:rFonts w:ascii="Arial" w:hAnsi="Arial" w:cs="Arial"/>
          <w:sz w:val="22"/>
          <w:szCs w:val="22"/>
          <w:lang w:val="en-US"/>
        </w:rPr>
        <w:t>,</w:t>
      </w:r>
      <w:r w:rsidRPr="0007234B">
        <w:rPr>
          <w:rFonts w:ascii="Arial" w:hAnsi="Arial" w:cs="Arial"/>
          <w:sz w:val="22"/>
          <w:szCs w:val="22"/>
          <w:lang w:val="en-US"/>
        </w:rPr>
        <w:t xml:space="preserve"> J</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Divoky</w:t>
      </w:r>
      <w:proofErr w:type="spellEnd"/>
      <w:r>
        <w:rPr>
          <w:rFonts w:ascii="Arial" w:hAnsi="Arial" w:cs="Arial"/>
          <w:sz w:val="22"/>
          <w:szCs w:val="22"/>
          <w:lang w:val="en-US"/>
        </w:rPr>
        <w:t>,</w:t>
      </w:r>
      <w:r w:rsidRPr="0007234B">
        <w:rPr>
          <w:rFonts w:ascii="Arial" w:hAnsi="Arial" w:cs="Arial"/>
          <w:sz w:val="22"/>
          <w:szCs w:val="22"/>
          <w:lang w:val="en-US"/>
        </w:rPr>
        <w:t xml:space="preserve"> V.</w:t>
      </w:r>
      <w:r>
        <w:rPr>
          <w:rFonts w:ascii="Arial" w:hAnsi="Arial" w:cs="Arial"/>
          <w:sz w:val="22"/>
          <w:szCs w:val="22"/>
          <w:lang w:val="en-US"/>
        </w:rPr>
        <w:t>, 2016.</w:t>
      </w:r>
      <w:r w:rsidRPr="0007234B">
        <w:rPr>
          <w:rFonts w:ascii="Arial" w:hAnsi="Arial" w:cs="Arial"/>
          <w:sz w:val="22"/>
          <w:szCs w:val="22"/>
          <w:lang w:val="en-US"/>
        </w:rPr>
        <w:t xml:space="preserve"> JAK2 V617F progenitors exhibit intrinsic inflammatory signaling and protection against inflammation induced DNA damage. 12th International Congress of Cell Biology in Prague, 2016, Praha, </w:t>
      </w:r>
      <w:r>
        <w:rPr>
          <w:rFonts w:ascii="Arial" w:hAnsi="Arial" w:cs="Arial"/>
          <w:sz w:val="22"/>
          <w:szCs w:val="22"/>
          <w:lang w:val="en-US"/>
        </w:rPr>
        <w:t>abstracts</w:t>
      </w:r>
      <w:r w:rsidRPr="0007234B">
        <w:rPr>
          <w:rFonts w:ascii="Arial" w:hAnsi="Arial" w:cs="Arial"/>
          <w:sz w:val="22"/>
          <w:szCs w:val="22"/>
          <w:lang w:val="en-US"/>
        </w:rPr>
        <w:t xml:space="preserve">, </w:t>
      </w:r>
      <w:r>
        <w:rPr>
          <w:rFonts w:ascii="Arial" w:hAnsi="Arial" w:cs="Arial"/>
          <w:sz w:val="22"/>
          <w:szCs w:val="22"/>
          <w:lang w:val="en-US"/>
        </w:rPr>
        <w:t>page</w:t>
      </w:r>
      <w:r w:rsidRPr="0007234B">
        <w:rPr>
          <w:rFonts w:ascii="Arial" w:hAnsi="Arial" w:cs="Arial"/>
          <w:sz w:val="22"/>
          <w:szCs w:val="22"/>
          <w:lang w:val="en-US"/>
        </w:rPr>
        <w:t xml:space="preserve"> 110</w:t>
      </w:r>
    </w:p>
    <w:p w14:paraId="7FB3F4FB" w14:textId="77777777" w:rsidR="0007234B" w:rsidRPr="003A5293" w:rsidRDefault="0007234B" w:rsidP="00AF69C3">
      <w:pPr>
        <w:spacing w:line="360" w:lineRule="auto"/>
        <w:jc w:val="both"/>
        <w:rPr>
          <w:rFonts w:ascii="Arial" w:hAnsi="Arial" w:cs="Arial"/>
          <w:sz w:val="22"/>
          <w:szCs w:val="22"/>
          <w:lang w:val="en-US"/>
        </w:rPr>
      </w:pPr>
    </w:p>
    <w:p w14:paraId="35CA3C97" w14:textId="77777777" w:rsidR="00AF69C3" w:rsidRPr="003A5293" w:rsidRDefault="00AF69C3" w:rsidP="00AF69C3">
      <w:pPr>
        <w:spacing w:line="360" w:lineRule="auto"/>
        <w:jc w:val="both"/>
        <w:rPr>
          <w:rFonts w:ascii="Arial" w:hAnsi="Arial" w:cs="Arial"/>
          <w:sz w:val="22"/>
          <w:szCs w:val="22"/>
          <w:lang w:val="en-US"/>
        </w:rPr>
      </w:pPr>
      <w:proofErr w:type="spellStart"/>
      <w:r w:rsidRPr="003A5293">
        <w:rPr>
          <w:rFonts w:ascii="Arial" w:hAnsi="Arial" w:cs="Arial"/>
          <w:sz w:val="22"/>
          <w:szCs w:val="22"/>
          <w:lang w:val="en-US"/>
        </w:rPr>
        <w:lastRenderedPageBreak/>
        <w:t>Stetka</w:t>
      </w:r>
      <w:proofErr w:type="spellEnd"/>
      <w:r w:rsidRPr="003A5293">
        <w:rPr>
          <w:rFonts w:ascii="Arial" w:hAnsi="Arial" w:cs="Arial"/>
          <w:sz w:val="22"/>
          <w:szCs w:val="22"/>
          <w:lang w:val="en-US"/>
        </w:rPr>
        <w:t xml:space="preserve">, J., </w:t>
      </w:r>
      <w:proofErr w:type="spellStart"/>
      <w:r w:rsidRPr="003A5293">
        <w:rPr>
          <w:rFonts w:ascii="Arial" w:hAnsi="Arial" w:cs="Arial"/>
          <w:sz w:val="22"/>
          <w:szCs w:val="22"/>
          <w:lang w:val="en-US"/>
        </w:rPr>
        <w:t>Luzna</w:t>
      </w:r>
      <w:proofErr w:type="spellEnd"/>
      <w:r w:rsidRPr="003A5293">
        <w:rPr>
          <w:rFonts w:ascii="Arial" w:hAnsi="Arial" w:cs="Arial"/>
          <w:sz w:val="22"/>
          <w:szCs w:val="22"/>
          <w:lang w:val="en-US"/>
        </w:rPr>
        <w:t xml:space="preserve">, P., </w:t>
      </w:r>
      <w:proofErr w:type="spellStart"/>
      <w:r w:rsidRPr="003A5293">
        <w:rPr>
          <w:rFonts w:ascii="Arial" w:hAnsi="Arial" w:cs="Arial"/>
          <w:sz w:val="22"/>
          <w:szCs w:val="22"/>
          <w:lang w:val="en-US"/>
        </w:rPr>
        <w:t>Lanikova</w:t>
      </w:r>
      <w:proofErr w:type="spellEnd"/>
      <w:r w:rsidRPr="003A5293">
        <w:rPr>
          <w:rFonts w:ascii="Arial" w:hAnsi="Arial" w:cs="Arial"/>
          <w:sz w:val="22"/>
          <w:szCs w:val="22"/>
          <w:lang w:val="en-US"/>
        </w:rPr>
        <w:t xml:space="preserve">, L., </w:t>
      </w:r>
      <w:proofErr w:type="spellStart"/>
      <w:r w:rsidRPr="003A5293">
        <w:rPr>
          <w:rFonts w:ascii="Arial" w:hAnsi="Arial" w:cs="Arial"/>
          <w:sz w:val="22"/>
          <w:szCs w:val="22"/>
          <w:lang w:val="en-US"/>
        </w:rPr>
        <w:t>Koralkova</w:t>
      </w:r>
      <w:proofErr w:type="spellEnd"/>
      <w:r w:rsidRPr="003A5293">
        <w:rPr>
          <w:rFonts w:ascii="Arial" w:hAnsi="Arial" w:cs="Arial"/>
          <w:sz w:val="22"/>
          <w:szCs w:val="22"/>
          <w:lang w:val="en-US"/>
        </w:rPr>
        <w:t xml:space="preserve">, P., </w:t>
      </w:r>
      <w:proofErr w:type="spellStart"/>
      <w:r w:rsidRPr="003A5293">
        <w:rPr>
          <w:rFonts w:ascii="Arial" w:hAnsi="Arial" w:cs="Arial"/>
          <w:sz w:val="22"/>
          <w:szCs w:val="22"/>
          <w:lang w:val="en-US"/>
        </w:rPr>
        <w:t>Gursky</w:t>
      </w:r>
      <w:proofErr w:type="spellEnd"/>
      <w:r w:rsidRPr="003A5293">
        <w:rPr>
          <w:rFonts w:ascii="Arial" w:hAnsi="Arial" w:cs="Arial"/>
          <w:sz w:val="22"/>
          <w:szCs w:val="22"/>
          <w:lang w:val="en-US"/>
        </w:rPr>
        <w:t xml:space="preserve">, J., </w:t>
      </w:r>
      <w:proofErr w:type="spellStart"/>
      <w:r w:rsidRPr="003A5293">
        <w:rPr>
          <w:rFonts w:ascii="Arial" w:hAnsi="Arial" w:cs="Arial"/>
          <w:sz w:val="22"/>
          <w:szCs w:val="22"/>
          <w:lang w:val="en-US"/>
        </w:rPr>
        <w:t>Hodny</w:t>
      </w:r>
      <w:proofErr w:type="spellEnd"/>
      <w:r w:rsidRPr="003A5293">
        <w:rPr>
          <w:rFonts w:ascii="Arial" w:hAnsi="Arial" w:cs="Arial"/>
          <w:sz w:val="22"/>
          <w:szCs w:val="22"/>
          <w:lang w:val="en-US"/>
        </w:rPr>
        <w:t xml:space="preserve">, Z., S., Bartek, J., </w:t>
      </w:r>
      <w:proofErr w:type="spellStart"/>
      <w:r w:rsidRPr="003A5293">
        <w:rPr>
          <w:rFonts w:ascii="Arial" w:hAnsi="Arial" w:cs="Arial"/>
          <w:sz w:val="22"/>
          <w:szCs w:val="22"/>
          <w:lang w:val="en-US"/>
        </w:rPr>
        <w:t>Divoky</w:t>
      </w:r>
      <w:proofErr w:type="spellEnd"/>
      <w:r w:rsidRPr="003A5293">
        <w:rPr>
          <w:rFonts w:ascii="Arial" w:hAnsi="Arial" w:cs="Arial"/>
          <w:sz w:val="22"/>
          <w:szCs w:val="22"/>
          <w:lang w:val="en-US"/>
        </w:rPr>
        <w:t>, V., 2017. JAK2 V617F Progenitors Utilize Adaptations to Cell-Autonomous and Microenvironment-Dependent Inflammatory Stress in Polycythemia Vera, Likely Exhibiting Barrier Against Rapid Transformation to Myelofibrosis. Blood 130, (Supplement 1): 1667</w:t>
      </w:r>
    </w:p>
    <w:p w14:paraId="2A834CFD" w14:textId="046242A7" w:rsidR="005D01C6" w:rsidRPr="003A5293" w:rsidRDefault="005D01C6" w:rsidP="005D01C6">
      <w:pPr>
        <w:pStyle w:val="Formatvorlage1"/>
        <w:rPr>
          <w:rFonts w:cs="Arial"/>
        </w:rPr>
      </w:pPr>
      <w:r w:rsidRPr="003A5293">
        <w:rPr>
          <w:rFonts w:cs="Arial"/>
        </w:rPr>
        <w:br w:type="page"/>
      </w:r>
      <w:bookmarkStart w:id="18" w:name="_Toc57582493"/>
      <w:r w:rsidR="00B34F0A">
        <w:rPr>
          <w:rFonts w:cs="Arial"/>
          <w:sz w:val="36"/>
          <w:szCs w:val="36"/>
        </w:rPr>
        <w:lastRenderedPageBreak/>
        <w:t xml:space="preserve">Aim </w:t>
      </w:r>
      <w:r w:rsidRPr="003A5293">
        <w:rPr>
          <w:rFonts w:cs="Arial"/>
          <w:sz w:val="36"/>
          <w:szCs w:val="36"/>
        </w:rPr>
        <w:t>3</w:t>
      </w:r>
      <w:r w:rsidRPr="003A5293">
        <w:rPr>
          <w:rFonts w:cs="Arial"/>
        </w:rPr>
        <w:t xml:space="preserve"> Characterize inflammation-induced oxidative stress and how it fosters DNA damage response activation in progression of PV</w:t>
      </w:r>
      <w:r w:rsidR="0002086C">
        <w:rPr>
          <w:rFonts w:cs="Arial"/>
        </w:rPr>
        <w:t>.</w:t>
      </w:r>
      <w:bookmarkEnd w:id="18"/>
    </w:p>
    <w:p w14:paraId="0A2D617A" w14:textId="77777777" w:rsidR="005D01C6" w:rsidRPr="003A5293" w:rsidRDefault="005D01C6" w:rsidP="005D01C6">
      <w:pPr>
        <w:spacing w:line="360" w:lineRule="auto"/>
        <w:jc w:val="both"/>
        <w:rPr>
          <w:rFonts w:ascii="Arial" w:hAnsi="Arial" w:cs="Arial"/>
          <w:sz w:val="22"/>
          <w:szCs w:val="22"/>
          <w:lang w:val="en-US"/>
        </w:rPr>
      </w:pPr>
    </w:p>
    <w:p w14:paraId="0A013773" w14:textId="64686CA3" w:rsidR="00B23497" w:rsidRPr="003A5293" w:rsidRDefault="00FF518D" w:rsidP="00FF518D">
      <w:pPr>
        <w:spacing w:line="360" w:lineRule="auto"/>
        <w:ind w:firstLine="708"/>
        <w:jc w:val="both"/>
        <w:rPr>
          <w:rFonts w:ascii="Arial" w:hAnsi="Arial" w:cs="Arial"/>
          <w:sz w:val="22"/>
          <w:szCs w:val="22"/>
          <w:lang w:val="en-US"/>
        </w:rPr>
      </w:pPr>
      <w:r w:rsidRPr="003A5293">
        <w:rPr>
          <w:rFonts w:ascii="Arial" w:hAnsi="Arial" w:cs="Arial"/>
          <w:sz w:val="22"/>
          <w:szCs w:val="22"/>
          <w:lang w:val="en-US"/>
        </w:rPr>
        <w:t>As evidenced in previous aim</w:t>
      </w:r>
      <w:r w:rsidR="00B23497" w:rsidRPr="003A5293">
        <w:rPr>
          <w:rFonts w:ascii="Arial" w:hAnsi="Arial" w:cs="Arial"/>
          <w:sz w:val="22"/>
          <w:szCs w:val="22"/>
          <w:lang w:val="en-US"/>
        </w:rPr>
        <w:t>s</w:t>
      </w:r>
      <w:r w:rsidRPr="003A5293">
        <w:rPr>
          <w:rFonts w:ascii="Arial" w:hAnsi="Arial" w:cs="Arial"/>
          <w:sz w:val="22"/>
          <w:szCs w:val="22"/>
          <w:lang w:val="en-US"/>
        </w:rPr>
        <w:t xml:space="preserve"> (2.</w:t>
      </w:r>
      <w:r w:rsidR="00B23497" w:rsidRPr="003A5293">
        <w:rPr>
          <w:rFonts w:ascii="Arial" w:hAnsi="Arial" w:cs="Arial"/>
          <w:sz w:val="22"/>
          <w:szCs w:val="22"/>
          <w:lang w:val="en-US"/>
        </w:rPr>
        <w:t>1 and 2.2</w:t>
      </w:r>
      <w:r w:rsidRPr="003A5293">
        <w:rPr>
          <w:rFonts w:ascii="Arial" w:hAnsi="Arial" w:cs="Arial"/>
          <w:sz w:val="22"/>
          <w:szCs w:val="22"/>
          <w:lang w:val="en-US"/>
        </w:rPr>
        <w:t xml:space="preserve">) </w:t>
      </w:r>
      <w:r w:rsidR="00B23497" w:rsidRPr="003A5293">
        <w:rPr>
          <w:rFonts w:ascii="Arial" w:hAnsi="Arial" w:cs="Arial"/>
          <w:sz w:val="22"/>
          <w:szCs w:val="22"/>
          <w:lang w:val="en-US"/>
        </w:rPr>
        <w:t xml:space="preserve">and </w:t>
      </w:r>
      <w:r w:rsidR="00593278">
        <w:rPr>
          <w:rFonts w:ascii="Arial" w:hAnsi="Arial" w:cs="Arial"/>
          <w:sz w:val="22"/>
          <w:szCs w:val="22"/>
          <w:lang w:val="en-US"/>
        </w:rPr>
        <w:t xml:space="preserve">presented </w:t>
      </w:r>
      <w:r w:rsidR="00B23497" w:rsidRPr="003A5293">
        <w:rPr>
          <w:rFonts w:ascii="Arial" w:hAnsi="Arial" w:cs="Arial"/>
          <w:sz w:val="22"/>
          <w:szCs w:val="22"/>
          <w:lang w:val="en-US"/>
        </w:rPr>
        <w:t>publication record, essential</w:t>
      </w:r>
      <w:r w:rsidRPr="003A5293">
        <w:rPr>
          <w:rFonts w:ascii="Arial" w:hAnsi="Arial" w:cs="Arial"/>
          <w:sz w:val="22"/>
          <w:szCs w:val="22"/>
          <w:lang w:val="en-US"/>
        </w:rPr>
        <w:t xml:space="preserve"> factor</w:t>
      </w:r>
      <w:r w:rsidR="00B23497" w:rsidRPr="003A5293">
        <w:rPr>
          <w:rFonts w:ascii="Arial" w:hAnsi="Arial" w:cs="Arial"/>
          <w:sz w:val="22"/>
          <w:szCs w:val="22"/>
          <w:lang w:val="en-US"/>
        </w:rPr>
        <w:t>s</w:t>
      </w:r>
      <w:r w:rsidRPr="003A5293">
        <w:rPr>
          <w:rFonts w:ascii="Arial" w:hAnsi="Arial" w:cs="Arial"/>
          <w:sz w:val="22"/>
          <w:szCs w:val="22"/>
          <w:lang w:val="en-US"/>
        </w:rPr>
        <w:t xml:space="preserve"> in MPN initiation and long-term disease evolution </w:t>
      </w:r>
      <w:r w:rsidR="00B23497" w:rsidRPr="003A5293">
        <w:rPr>
          <w:rFonts w:ascii="Arial" w:hAnsi="Arial" w:cs="Arial"/>
          <w:sz w:val="22"/>
          <w:szCs w:val="22"/>
          <w:lang w:val="en-US"/>
        </w:rPr>
        <w:t>are</w:t>
      </w:r>
      <w:r w:rsidRPr="003A5293">
        <w:rPr>
          <w:rFonts w:ascii="Arial" w:hAnsi="Arial" w:cs="Arial"/>
          <w:sz w:val="22"/>
          <w:szCs w:val="22"/>
          <w:lang w:val="en-US"/>
        </w:rPr>
        <w:t xml:space="preserve"> inflammation and aging </w:t>
      </w:r>
      <w:r w:rsidR="00383356" w:rsidRPr="003A5293">
        <w:rPr>
          <w:rFonts w:ascii="Arial" w:hAnsi="Arial" w:cs="Arial"/>
          <w:sz w:val="22"/>
          <w:szCs w:val="22"/>
          <w:lang w:val="en-US"/>
        </w:rPr>
        <w:fldChar w:fldCharType="begin"/>
      </w:r>
      <w:r w:rsidR="00383356" w:rsidRPr="003A5293">
        <w:rPr>
          <w:rFonts w:ascii="Arial" w:hAnsi="Arial" w:cs="Arial"/>
          <w:sz w:val="22"/>
          <w:szCs w:val="22"/>
          <w:lang w:val="en-US"/>
        </w:rPr>
        <w:instrText xml:space="preserve"> ADDIN ZOTERO_ITEM CSL_CITATION {"citationID":"aCzWtUtx","properties":{"formattedCitation":"(Hasselbalch et al., 2015; Lussana and Rambaldi, 2017)","plainCitation":"(Hasselbalch et al., 2015; Lussana and Rambaldi, 2017)","noteIndex":0},"citationItems":[{"id":19,"uris":["http://zotero.org/users/2484452/items/X7HM8NQB"],"uri":["http://zotero.org/users/2484452/items/X7HM8NQB"],"itemData":{"id":19,"type":"article-journal","abstract":"In recent years the evidence is increasing that chronic inflammation may be an important driving force for clonal evolution and disease progression in the Philadelphia-negative myeloproliferative neoplasms (MPNs), essential thrombocythemia (ET), polycythemia vera (PV), and myelofibrosis (MF). Abnormal expression and activity of a number of proinflammatory cytokines are associated with MPNs, in particular MF, in which immune dysregulation is pronounced as evidenced by dysregulation of several immune and inflammation genes. In addition, chronic inflammation has been suggested to contribute to the development of premature atherosclerosis and may drive the development of other cancers in MPNs, both nonhematologic and hematologic. The MPN population has a substantial inflammation-mediated comorbidity burden. This review describes the evidence for considering the MPNs as inflammatory diseases, A Human Inflammation Model of Cancer Development, and the role of cytokines in disease initiation and progression. The consequences of this model are discussed, including the increased risk of second cancers and other inflammation-mediated diseases, emphasizing the urgent need for rethinking our therapeutic approach. Early intervention with interferon-alpha2, which as monotherapy has been shown to be able to induce minimal residual disease, in combination with potent anti-inflammatory agents such as JAK-inhibitors is foreseen as the most promising new treatment modality in the years to come.","container-title":"Mediators of Inflammation","DOI":"10.1155/2015/102476","ISSN":"0962-9351","language":"en","page":"e102476","source":"www.hindawi.com","title":"MPNs as Inflammatory Diseases: The Evidence, Consequences, and Perspectives","title-short":"MPNs as Inflammatory Diseases","volume":"2015","author":[{"family":"Hasselbalch","given":"Hans Carl"},{"family":"Bjørn","given":""},{"family":"Rn","given":"Mads Emil"}],"issued":{"date-parts":[["2015",10,28]]}}},{"id":1137,"uris":["http://zotero.org/users/2484452/items/ZWB5ZL4C"],"uri":["http://zotero.org/users/2484452/items/ZWB5ZL4C"],"itemData":{"id":1137,"type":"article-journal","abstract":"Myeloproliferative neoplasms (MPN) include three main entities: Polycythemia Vera (PV), Essential Thrombocythemia (ET), and Myelofibrosis (MF). MPN represent a unique model of the relationship between the clonal development of a hematologic malignancy and chronic inflammation. The neoplastic clone is the main driver of this inflammatory reaction as demonstrated by the curative effect of allogeneic stem cell transplantation which leads not only to a complete restore of the hematopoiesis, but also to regression of bone marrow fibrosis. The neoplastic clone and its differentiated progeny are also the main source of an indirect paracrine secretion of inflammatory cytokines released by different normal cells present within the tumor microenvironment. In the end, the cytokine storm within the bone marrow niche leads to fibrosis. In addition, chronic inflammation is responsible of the constitutional symptoms which negatively affect the quality of life of MPN patients and represents a major driver for the development of premature atherosclerosis and disease progression. Here we describe the available data about the link between MPN and chronic inflammation in animal models as well as in clinical studies. We also review the practical value of including acute phase inflammatory proteins such as high sensitivity C-reactive protein (hs-CRP) and pentraxin 3 (PTX-3) in prognostic stratification of MPN patients. Interestingly, the plasma levels of these proteins is often increase in MPN patients and this may be important when considering the well-established link between these two inflammatory proteins and the risk of both arterial and venous thrombosis. Although the available drugs are unable to eradicate the malignant clone, the ability to identify patient with a high inflammatory burden and an adverse molecular profile is important to advise therapy with ruxolitinib or even allogeneic stem cell transplantation that currently represents the only potentially curative option for these diseases.","container-title":"Journal of Autoimmunity","DOI":"10.1016/j.jaut.2017.06.010","ISSN":"1095-9157","journalAbbreviation":"J. Autoimmun.","language":"eng","note":"PMID: 28669446","page":"58-63","source":"PubMed","title":"Inflammation and myeloproliferative neoplasms","volume":"85","author":[{"family":"Lussana","given":"Federico"},{"family":"Rambaldi","given":"Alessandro"}],"issued":{"date-parts":[["2017",12]]}}}],"schema":"https://github.com/citation-style-language/schema/raw/master/csl-citation.json"} </w:instrText>
      </w:r>
      <w:r w:rsidR="00383356" w:rsidRPr="003A5293">
        <w:rPr>
          <w:rFonts w:ascii="Arial" w:hAnsi="Arial" w:cs="Arial"/>
          <w:sz w:val="22"/>
          <w:szCs w:val="22"/>
          <w:lang w:val="en-US"/>
        </w:rPr>
        <w:fldChar w:fldCharType="separate"/>
      </w:r>
      <w:r w:rsidR="00383356" w:rsidRPr="003A5293">
        <w:rPr>
          <w:rFonts w:ascii="Arial" w:hAnsi="Arial" w:cs="Arial"/>
          <w:noProof/>
          <w:sz w:val="22"/>
          <w:szCs w:val="22"/>
          <w:lang w:val="en-US"/>
        </w:rPr>
        <w:t>(Hasselbalch et al., 2015; Lussana and Rambaldi, 2017)</w:t>
      </w:r>
      <w:r w:rsidR="00383356" w:rsidRPr="003A5293">
        <w:rPr>
          <w:rFonts w:ascii="Arial" w:hAnsi="Arial" w:cs="Arial"/>
          <w:sz w:val="22"/>
          <w:szCs w:val="22"/>
          <w:lang w:val="en-US"/>
        </w:rPr>
        <w:fldChar w:fldCharType="end"/>
      </w:r>
      <w:r w:rsidRPr="003A5293">
        <w:rPr>
          <w:rFonts w:ascii="Arial" w:hAnsi="Arial" w:cs="Arial"/>
          <w:sz w:val="22"/>
          <w:szCs w:val="22"/>
          <w:lang w:val="en-US"/>
        </w:rPr>
        <w:t xml:space="preserve">. Increasing evidence suggests that </w:t>
      </w:r>
      <w:r w:rsidRPr="003A5293">
        <w:rPr>
          <w:rFonts w:ascii="Arial" w:hAnsi="Arial" w:cs="Arial"/>
          <w:i/>
          <w:iCs/>
          <w:sz w:val="22"/>
          <w:szCs w:val="22"/>
          <w:lang w:val="en-US"/>
        </w:rPr>
        <w:t xml:space="preserve">JAK2 </w:t>
      </w:r>
      <w:r w:rsidRPr="00CD395D">
        <w:rPr>
          <w:rFonts w:ascii="Arial" w:hAnsi="Arial" w:cs="Arial"/>
          <w:sz w:val="22"/>
          <w:szCs w:val="22"/>
          <w:lang w:val="en-US"/>
        </w:rPr>
        <w:t>V617F</w:t>
      </w:r>
      <w:r w:rsidRPr="003A5293">
        <w:rPr>
          <w:rFonts w:ascii="Arial" w:hAnsi="Arial" w:cs="Arial"/>
          <w:sz w:val="22"/>
          <w:szCs w:val="22"/>
          <w:lang w:val="en-US"/>
        </w:rPr>
        <w:t xml:space="preserve"> is relatively frequent in the aging healthy population</w:t>
      </w:r>
      <w:r w:rsidR="002D3762" w:rsidRPr="003A5293">
        <w:rPr>
          <w:rFonts w:ascii="Arial" w:hAnsi="Arial" w:cs="Arial"/>
          <w:sz w:val="22"/>
          <w:szCs w:val="22"/>
          <w:lang w:val="en-US"/>
        </w:rPr>
        <w:t xml:space="preserve"> </w:t>
      </w:r>
      <w:r w:rsidR="002D3762" w:rsidRPr="003A5293">
        <w:rPr>
          <w:rFonts w:ascii="Arial" w:hAnsi="Arial" w:cs="Arial"/>
          <w:sz w:val="22"/>
          <w:szCs w:val="22"/>
          <w:lang w:val="en-US"/>
        </w:rPr>
        <w:fldChar w:fldCharType="begin"/>
      </w:r>
      <w:r w:rsidR="002D3762" w:rsidRPr="003A5293">
        <w:rPr>
          <w:rFonts w:ascii="Arial" w:hAnsi="Arial" w:cs="Arial"/>
          <w:sz w:val="22"/>
          <w:szCs w:val="22"/>
          <w:lang w:val="en-US"/>
        </w:rPr>
        <w:instrText xml:space="preserve"> ADDIN ZOTERO_ITEM CSL_CITATION {"citationID":"KjxWiNWE","properties":{"formattedCitation":"(Genovese et al., 2014; Jaiswal et al., 2014; Xie et al., 2014)","plainCitation":"(Genovese et al., 2014; Jaiswal et al., 2014; Xie et al., 2014)","noteIndex":0},"citationItems":[{"id":869,"uris":["http://zotero.org/users/2484452/items/GFJTJSZP"],"uri":["http://zotero.org/users/2484452/items/GFJTJSZP"],"itemData":{"id":869,"type":"article-journal","abstract":"BACKGROUND: Cancers arise from multiple acquired mutations, which presumably occur over many years. Early stages in cancer development might be present years before cancers become clinically apparent.\nMETHODS: We analyzed data from whole-exome sequencing of DNA in peripheral-blood cells from 12,380 persons, unselected for cancer or hematologic phenotypes. We identified somatic mutations on the basis of unusual allelic fractions. We used data from Swedish national patient registers to follow health outcomes for 2 to 7 years after DNA sampling.\nRESULTS: Clonal hematopoiesis with somatic mutations was observed in 10% of persons older than 65 years of age but in only 1% of those younger than 50 years of age. Detectable clonal expansions most frequently involved somatic mutations in three genes (DNMT3A, ASXL1, and TET2) that have previously been implicated in hematologic cancers. Clonal hematopoiesis was a strong risk factor for subsequent hematologic cancer (hazard ratio, 12.9; 95% confidence interval, 5.8 to 28.7). Approximately 42% of hematologic cancers in this cohort arose in persons who had clonality at the time of DNA sampling, more than 6 months before a first diagnosis of cancer. Analysis of bone marrow-biopsy specimens obtained from two patients at the time of diagnosis of acute myeloid leukemia revealed that their cancers arose from the earlier clones.\nCONCLUSIONS: Clonal hematopoiesis with somatic mutations is readily detected by means of DNA sequencing, is increasingly common as people age, and is associated with increased risks of hematologic cancer and death. A subset of the genes that are mutated in patients with myeloid cancers is frequently mutated in apparently healthy persons; these mutations may represent characteristic early events in the development of hematologic cancers. (Funded by the National Human Genome Research Institute and others.).","container-title":"The New England Journal of Medicine","DOI":"10.1056/NEJMoa1409405","ISSN":"1533-4406","issue":"26","journalAbbreviation":"N. Engl. J. Med.","language":"eng","note":"PMID: 25426838\nPMCID: PMC4290021","page":"2477-2487","source":"PubMed","title":"Clonal hematopoiesis and blood-cancer risk inferred from blood DNA sequence","volume":"371","author":[{"family":"Genovese","given":"Giulio"},{"family":"Kähler","given":"Anna K."},{"family":"Handsaker","given":"Robert E."},{"family":"Lindberg","given":"Johan"},{"family":"Rose","given":"Samuel A."},{"family":"Bakhoum","given":"Samuel F."},{"family":"Chambert","given":"Kimberly"},{"family":"Mick","given":"Eran"},{"family":"Neale","given":"Benjamin M."},{"family":"Fromer","given":"Menachem"},{"family":"Purcell","given":"Shaun M."},{"family":"Svantesson","given":"Oscar"},{"family":"Landén","given":"Mikael"},{"family":"Höglund","given":"Martin"},{"family":"Lehmann","given":"Sören"},{"family":"Gabriel","given":"Stacey B."},{"family":"Moran","given":"Jennifer L."},{"family":"Lander","given":"Eric S."},{"family":"Sullivan","given":"Patrick F."},{"family":"Sklar","given":"Pamela"},{"family":"Grönberg","given":"Henrik"},{"family":"Hultman","given":"Christina M."},{"family":"McCarroll","given":"Steven A."}],"issued":{"date-parts":[["2014",12,25]]}}},{"id":872,"uris":["http://zotero.org/users/2484452/items/8P25GC9F"],"uri":["http://zotero.org/users/2484452/items/8P25GC9F"],"itemData":{"id":872,"type":"article-journal","abstract":"BACKGROUND: The incidence of hematologic cancers increases with age. These cancers are associated with recurrent somatic mutations in specific genes. We hypothesized that such mutations would be detectable in the blood of some persons who are not known to have hematologic disorders.\nMETHODS: We analyzed whole-exome sequencing data from DNA in the peripheral-blood cells of 17,182 persons who were unselected for hematologic phenotypes. We looked for somatic mutations by identifying previously characterized single-nucleotide variants and small insertions or deletions in 160 genes that are recurrently mutated in hematologic cancers. The presence of mutations was analyzed for an association with hematologic phenotypes, survival, and cardiovascular events.\nRESULTS: Detectable somatic mutations were rare in persons younger than 40 years of age but rose appreciably in frequency with age. Among persons 70 to 79 years of age, 80 to 89 years of age, and 90 to 108 years of age, these clonal mutations were observed in 9.5% (219 of 2300 persons), 11.7% (37 of 317), and 18.4% (19 of 103), respectively. The majority of the variants occurred in three genes: DNMT3A, TET2, and ASXL1. The presence of a somatic mutation was associated with an increase in the risk of hematologic cancer (hazard ratio, 11.1; 95% confidence interval [CI], 3.9 to 32.6), an increase in all-cause mortality (hazard ratio, 1.4; 95% CI, 1.1 to 1.8), and increases in the risks of incident coronary heart disease (hazard ratio, 2.0; 95% CI, 1.2 to 3.4) and ischemic stroke (hazard ratio, 2.6; 95% CI, 1.4 to 4.8).\nCONCLUSIONS: Age-related clonal hematopoiesis is a common condition that is associated with increases in the risk of hematologic cancer and in all-cause mortality, with the latter possibly due to an increased risk of cardiovascular disease. (Funded by the National Institutes of Health and others.).","container-title":"The New England Journal of Medicine","DOI":"10.1056/NEJMoa1408617","ISSN":"1533-4406","issue":"26","journalAbbreviation":"N. Engl. J. Med.","language":"eng","note":"PMID: 25426837\nPMCID: PMC4306669","page":"2488-2498","source":"PubMed","title":"Age-related clonal hematopoiesis associated with adverse outcomes","volume":"371","author":[{"family":"Jaiswal","given":"Siddhartha"},{"family":"Fontanillas","given":"Pierre"},{"family":"Flannick","given":"Jason"},{"family":"Manning","given":"Alisa"},{"family":"Grauman","given":"Peter V."},{"family":"Mar","given":"Brenton G."},{"family":"Lindsley","given":"R. Coleman"},{"family":"Mermel","given":"Craig H."},{"family":"Burtt","given":"Noel"},{"family":"Chavez","given":"Alejandro"},{"family":"Higgins","given":"John M."},{"family":"Moltchanov","given":"Vladislav"},{"family":"Kuo","given":"Frank C."},{"family":"Kluk","given":"Michael J."},{"family":"Henderson","given":"Brian"},{"family":"Kinnunen","given":"Leena"},{"family":"Koistinen","given":"Heikki A."},{"family":"Ladenvall","given":"Claes"},{"family":"Getz","given":"Gad"},{"family":"Correa","given":"Adolfo"},{"family":"Banahan","given":"Benjamin F."},{"family":"Gabriel","given":"Stacey"},{"family":"Kathiresan","given":"Sekar"},{"family":"Stringham","given":"Heather M."},{"family":"McCarthy","given":"Mark I."},{"family":"Boehnke","given":"Michael"},{"family":"Tuomilehto","given":"Jaakko"},{"family":"Haiman","given":"Christopher"},{"family":"Groop","given":"Leif"},{"family":"Atzmon","given":"Gil"},{"family":"Wilson","given":"James G."},{"family":"Neuberg","given":"Donna"},{"family":"Altshuler","given":"David"},{"family":"Ebert","given":"Benjamin L."}],"issued":{"date-parts":[["2014",12,25]]}}},{"id":224,"uris":["http://zotero.org/users/2484452/items/HDGURK68"],"uri":["http://zotero.org/users/2484452/items/HDGURK68"],"itemData":{"id":224,"type":"article-journal","abstract":"Several genetic alterations characteristic of leukemia and lymphoma have been detected in the blood of individuals without apparent hematological malignancies. The Cancer Genome Atlas (TCGA) provides a unique resource for comprehensive discovery of mutations and genes in blood that may contribute to the clonal expansion of hematopoietic stem/progenitor cells. Here, we analyzed blood-derived sequence data from 2,728 individuals from TCGA and discovered 77 blood-specific mutations in cancer-associated genes, the majority being associated with advanced age. Remarkably, 83% of these mutations were from 19 leukemia and/or lymphoma-associated genes, and nine were recurrently mutated (DNMT3A, TET2, JAK2, ASXL1, TP53, GNAS, PPM1D, BCORL1 and SF3B1). We identified 14 additional mutations in a very small fraction of blood cells, possibly representing the earliest stages of clonal expansion in hematopoietic stem cells. Comparison of these findings to mutations in hematological malignancies identified several recurrently mutated genes that may be disease initiators. Our analyses show that the blood cells of more than 2% of individuals (5-6% of people older than 70 years) contain mutations that may represent premalignant events that cause clonal hematopoietic expansion.","container-title":"Nature Medicine","DOI":"10.1038/nm.3733","ISSN":"1546-170X","issue":"12","journalAbbreviation":"Nat. Med.","language":"eng","note":"PMID: 25326804\nPMCID: PMC4313872","page":"1472-1478","source":"PubMed","title":"Age-related mutations associated with clonal hematopoietic expansion and malignancies","volume":"20","author":[{"family":"Xie","given":"Mingchao"},{"family":"Lu","given":"Charles"},{"family":"Wang","given":"Jiayin"},{"family":"McLellan","given":"Michael D."},{"family":"Johnson","given":"Kimberly J."},{"family":"Wendl","given":"Michael C."},{"family":"McMichael","given":"Joshua F."},{"family":"Schmidt","given":"Heather K."},{"family":"Yellapantula","given":"Venkata"},{"family":"Miller","given":"Christopher A."},{"family":"Ozenberger","given":"Bradley A."},{"family":"Welch","given":"John S."},{"family":"Link","given":"Daniel C."},{"family":"Walter","given":"Matthew J."},{"family":"Mardis","given":"Elaine R."},{"family":"Dipersio","given":"John F."},{"family":"Chen","given":"Feng"},{"family":"Wilson","given":"Richard K."},{"family":"Ley","given":"Timothy J."},{"family":"Ding","given":"Li"}],"issued":{"date-parts":[["2014",12]]}}}],"schema":"https://github.com/citation-style-language/schema/raw/master/csl-citation.json"} </w:instrText>
      </w:r>
      <w:r w:rsidR="002D3762" w:rsidRPr="003A5293">
        <w:rPr>
          <w:rFonts w:ascii="Arial" w:hAnsi="Arial" w:cs="Arial"/>
          <w:sz w:val="22"/>
          <w:szCs w:val="22"/>
          <w:lang w:val="en-US"/>
        </w:rPr>
        <w:fldChar w:fldCharType="separate"/>
      </w:r>
      <w:r w:rsidR="002D3762" w:rsidRPr="003A5293">
        <w:rPr>
          <w:rFonts w:ascii="Arial" w:hAnsi="Arial" w:cs="Arial"/>
          <w:noProof/>
          <w:sz w:val="22"/>
          <w:szCs w:val="22"/>
          <w:lang w:val="en-US"/>
        </w:rPr>
        <w:t>(Genovese et al., 2014; Jaiswal et al., 2014; Xie et al., 2014)</w:t>
      </w:r>
      <w:r w:rsidR="002D3762" w:rsidRPr="003A5293">
        <w:rPr>
          <w:rFonts w:ascii="Arial" w:hAnsi="Arial" w:cs="Arial"/>
          <w:sz w:val="22"/>
          <w:szCs w:val="22"/>
          <w:lang w:val="en-US"/>
        </w:rPr>
        <w:fldChar w:fldCharType="end"/>
      </w:r>
      <w:r w:rsidRPr="003A5293">
        <w:rPr>
          <w:rFonts w:ascii="Arial" w:hAnsi="Arial" w:cs="Arial"/>
          <w:sz w:val="22"/>
          <w:szCs w:val="22"/>
          <w:lang w:val="en-US"/>
        </w:rPr>
        <w:t xml:space="preserve">, and it is possible, that chronic inflammation precedes acquisition of the somatic </w:t>
      </w:r>
      <w:r w:rsidRPr="003A5293">
        <w:rPr>
          <w:rFonts w:ascii="Arial" w:hAnsi="Arial" w:cs="Arial"/>
          <w:i/>
          <w:iCs/>
          <w:sz w:val="22"/>
          <w:szCs w:val="22"/>
          <w:lang w:val="en-US"/>
        </w:rPr>
        <w:t xml:space="preserve">JAK2 </w:t>
      </w:r>
      <w:r w:rsidRPr="00CD395D">
        <w:rPr>
          <w:rFonts w:ascii="Arial" w:hAnsi="Arial" w:cs="Arial"/>
          <w:sz w:val="22"/>
          <w:szCs w:val="22"/>
          <w:lang w:val="en-US"/>
        </w:rPr>
        <w:t>V617F</w:t>
      </w:r>
      <w:r w:rsidRPr="003A5293">
        <w:rPr>
          <w:rFonts w:ascii="Arial" w:hAnsi="Arial" w:cs="Arial"/>
          <w:sz w:val="22"/>
          <w:szCs w:val="22"/>
          <w:lang w:val="en-US"/>
        </w:rPr>
        <w:t xml:space="preserve"> </w:t>
      </w:r>
      <w:r w:rsidR="00116F01" w:rsidRPr="003A5293">
        <w:rPr>
          <w:rFonts w:ascii="Arial" w:hAnsi="Arial" w:cs="Arial"/>
          <w:sz w:val="22"/>
          <w:szCs w:val="22"/>
          <w:lang w:val="en-US"/>
        </w:rPr>
        <w:t>leading to</w:t>
      </w:r>
      <w:r w:rsidRPr="003A5293">
        <w:rPr>
          <w:rFonts w:ascii="Arial" w:hAnsi="Arial" w:cs="Arial"/>
          <w:sz w:val="22"/>
          <w:szCs w:val="22"/>
          <w:lang w:val="en-US"/>
        </w:rPr>
        <w:t xml:space="preserve"> clonal hematopoiesis</w:t>
      </w:r>
      <w:r w:rsidR="00383356" w:rsidRPr="003A5293">
        <w:rPr>
          <w:rFonts w:ascii="Arial" w:hAnsi="Arial" w:cs="Arial"/>
          <w:sz w:val="22"/>
          <w:szCs w:val="22"/>
          <w:lang w:val="en-US"/>
        </w:rPr>
        <w:t xml:space="preserve"> </w:t>
      </w:r>
      <w:r w:rsidR="00383356" w:rsidRPr="003A5293">
        <w:rPr>
          <w:rFonts w:ascii="Arial" w:hAnsi="Arial" w:cs="Arial"/>
          <w:sz w:val="22"/>
          <w:szCs w:val="22"/>
          <w:lang w:val="en-US"/>
        </w:rPr>
        <w:fldChar w:fldCharType="begin"/>
      </w:r>
      <w:r w:rsidR="00383356" w:rsidRPr="003A5293">
        <w:rPr>
          <w:rFonts w:ascii="Arial" w:hAnsi="Arial" w:cs="Arial"/>
          <w:sz w:val="22"/>
          <w:szCs w:val="22"/>
          <w:lang w:val="en-US"/>
        </w:rPr>
        <w:instrText xml:space="preserve"> ADDIN ZOTERO_ITEM CSL_CITATION {"citationID":"NXEyRIy7","properties":{"formattedCitation":"(Perner et al., 2019)","plainCitation":"(Perner et al., 2019)","noteIndex":0},"citationItems":[{"id":1168,"uris":["http://zotero.org/users/2484452/items/BRKXFWMY"],"uri":["http://zotero.org/users/2484452/items/BRKXFWMY"],"itemData":{"id":1168,"type":"article-journal","abstract":"Clonal alterations in hematopoietic cells occur during aging and are often associated with the establishment of a subclinical inflammatory environment. Several age-related conditions and diseases may be initiated or promoted by these alterations. JAK2 mutations are among the most frequently mutated genes in blood cells during aging. The most common mutation within the JAK2 gene is JAK2-V617F that leads to constitutive activation of the kinase and thereby aberrant engagement of downstream signaling pathways. JAK2 mutations can act as central drivers of myeloproliferative neoplasia, a pre-leukemic and age-related malignancy. Likewise, hyperactive JAK-signaling is a hallmark of immune diseases and critically influences inflammation, coagulation and thrombosis. In this review we aim to summarize the current knowledge on JAK2 in clonal hematopoiesis during aging, the role of JAK-signaling in inflammation and lymphocyte biology and JAK2 function in age-related diseases and malignant transformation.","container-title":"Cells","DOI":"10.3390/cells8080854","ISSN":"2073-4409","issue":"8","journalAbbreviation":"Cells","note":"PMID: 31398915\nPMCID: PMC6721738","source":"PubMed Central","title":"Roles of JAK2 in Aging, Inflammation, Hematopoiesis and Malignant Transformation","URL":"https://www.ncbi.nlm.nih.gov/pmc/articles/PMC6721738/","volume":"8","author":[{"family":"Perner","given":"Florian"},{"family":"Perner","given":"Caroline"},{"family":"Ernst","given":"Thomas"},{"family":"Heidel","given":"Florian H."}],"accessed":{"date-parts":[["2020",2,16]]},"issued":{"date-parts":[["2019",8,8]]}}}],"schema":"https://github.com/citation-style-language/schema/raw/master/csl-citation.json"} </w:instrText>
      </w:r>
      <w:r w:rsidR="00383356" w:rsidRPr="003A5293">
        <w:rPr>
          <w:rFonts w:ascii="Arial" w:hAnsi="Arial" w:cs="Arial"/>
          <w:sz w:val="22"/>
          <w:szCs w:val="22"/>
          <w:lang w:val="en-US"/>
        </w:rPr>
        <w:fldChar w:fldCharType="separate"/>
      </w:r>
      <w:r w:rsidR="00383356" w:rsidRPr="003A5293">
        <w:rPr>
          <w:rFonts w:ascii="Arial" w:hAnsi="Arial" w:cs="Arial"/>
          <w:noProof/>
          <w:sz w:val="22"/>
          <w:szCs w:val="22"/>
          <w:lang w:val="en-US"/>
        </w:rPr>
        <w:t>(Perner et al., 2019)</w:t>
      </w:r>
      <w:r w:rsidR="00383356" w:rsidRPr="003A5293">
        <w:rPr>
          <w:rFonts w:ascii="Arial" w:hAnsi="Arial" w:cs="Arial"/>
          <w:sz w:val="22"/>
          <w:szCs w:val="22"/>
          <w:lang w:val="en-US"/>
        </w:rPr>
        <w:fldChar w:fldCharType="end"/>
      </w:r>
      <w:r w:rsidRPr="003A5293">
        <w:rPr>
          <w:rFonts w:ascii="Arial" w:hAnsi="Arial" w:cs="Arial"/>
          <w:sz w:val="22"/>
          <w:szCs w:val="22"/>
          <w:lang w:val="en-US"/>
        </w:rPr>
        <w:t>. Given the long</w:t>
      </w:r>
      <w:r w:rsidR="002D3762" w:rsidRPr="003A5293">
        <w:rPr>
          <w:rFonts w:ascii="Arial" w:hAnsi="Arial" w:cs="Arial"/>
          <w:sz w:val="22"/>
          <w:szCs w:val="22"/>
          <w:lang w:val="en-US"/>
        </w:rPr>
        <w:t xml:space="preserve"> and stable</w:t>
      </w:r>
      <w:r w:rsidRPr="003A5293">
        <w:rPr>
          <w:rFonts w:ascii="Arial" w:hAnsi="Arial" w:cs="Arial"/>
          <w:sz w:val="22"/>
          <w:szCs w:val="22"/>
          <w:lang w:val="en-US"/>
        </w:rPr>
        <w:t xml:space="preserve"> </w:t>
      </w:r>
      <w:r w:rsidR="00B23497" w:rsidRPr="003A5293">
        <w:rPr>
          <w:rFonts w:ascii="Arial" w:hAnsi="Arial" w:cs="Arial"/>
          <w:sz w:val="22"/>
          <w:szCs w:val="22"/>
          <w:lang w:val="en-US"/>
        </w:rPr>
        <w:t>clinical course</w:t>
      </w:r>
      <w:r w:rsidRPr="003A5293">
        <w:rPr>
          <w:rFonts w:ascii="Arial" w:hAnsi="Arial" w:cs="Arial"/>
          <w:sz w:val="22"/>
          <w:szCs w:val="22"/>
          <w:lang w:val="en-US"/>
        </w:rPr>
        <w:t xml:space="preserve"> of chronic indolent phase of </w:t>
      </w:r>
      <w:r w:rsidRPr="003A5293">
        <w:rPr>
          <w:rFonts w:ascii="Arial" w:hAnsi="Arial" w:cs="Arial"/>
          <w:i/>
          <w:iCs/>
          <w:sz w:val="22"/>
          <w:szCs w:val="22"/>
          <w:lang w:val="en-US"/>
        </w:rPr>
        <w:t xml:space="preserve">JAK2 </w:t>
      </w:r>
      <w:r w:rsidRPr="00CD395D">
        <w:rPr>
          <w:rFonts w:ascii="Arial" w:hAnsi="Arial" w:cs="Arial"/>
          <w:sz w:val="22"/>
          <w:szCs w:val="22"/>
          <w:lang w:val="en-US"/>
        </w:rPr>
        <w:t>V617F</w:t>
      </w:r>
      <w:r w:rsidR="00B23497" w:rsidRPr="003A5293">
        <w:rPr>
          <w:rFonts w:ascii="Arial" w:hAnsi="Arial" w:cs="Arial"/>
          <w:sz w:val="22"/>
          <w:szCs w:val="22"/>
          <w:vertAlign w:val="superscript"/>
          <w:lang w:val="en-US"/>
        </w:rPr>
        <w:t>+</w:t>
      </w:r>
      <w:r w:rsidRPr="003A5293">
        <w:rPr>
          <w:rFonts w:ascii="Arial" w:hAnsi="Arial" w:cs="Arial"/>
          <w:sz w:val="22"/>
          <w:szCs w:val="22"/>
          <w:lang w:val="en-US"/>
        </w:rPr>
        <w:t xml:space="preserve"> </w:t>
      </w:r>
      <w:r w:rsidR="00B23497" w:rsidRPr="003A5293">
        <w:rPr>
          <w:rFonts w:ascii="Arial" w:hAnsi="Arial" w:cs="Arial"/>
          <w:sz w:val="22"/>
          <w:szCs w:val="22"/>
          <w:lang w:val="en-US"/>
        </w:rPr>
        <w:t>PV</w:t>
      </w:r>
      <w:r w:rsidR="002D3762" w:rsidRPr="003A5293">
        <w:rPr>
          <w:rFonts w:ascii="Arial" w:hAnsi="Arial" w:cs="Arial"/>
          <w:sz w:val="22"/>
          <w:szCs w:val="22"/>
          <w:lang w:val="en-US"/>
        </w:rPr>
        <w:t xml:space="preserve"> </w:t>
      </w:r>
      <w:r w:rsidR="002D3762" w:rsidRPr="003A5293">
        <w:rPr>
          <w:rFonts w:ascii="Arial" w:hAnsi="Arial" w:cs="Arial"/>
          <w:sz w:val="22"/>
          <w:szCs w:val="22"/>
          <w:lang w:val="en-US"/>
        </w:rPr>
        <w:fldChar w:fldCharType="begin"/>
      </w:r>
      <w:r w:rsidR="002D3762" w:rsidRPr="003A5293">
        <w:rPr>
          <w:rFonts w:ascii="Arial" w:hAnsi="Arial" w:cs="Arial"/>
          <w:sz w:val="22"/>
          <w:szCs w:val="22"/>
          <w:lang w:val="en-US"/>
        </w:rPr>
        <w:instrText xml:space="preserve"> ADDIN ZOTERO_ITEM CSL_CITATION {"citationID":"mVnlHxSG","properties":{"formattedCitation":"(Klampfl et al., 2011; Tefferi et al., 2014)","plainCitation":"(Klampfl et al., 2011; Tefferi et al., 2014)","noteIndex":0},"citationItems":[{"id":9,"uris":["http://zotero.org/users/2484452/items/RPUT4CVX"],"uri":["http://zotero.org/users/2484452/items/RPUT4CVX"],"itemData":{"id":9,"type":"article-journal","abstract":"Philadelphia chromosome–negative myeloproliferative neoplasms (MPNs) are clonal myeloid disorders with increased production of terminally differentiated cells. The disease course is generally chronic, but some patients show disease progression (secondary myelofibrosis or accelerated phase) and/or leukemic transformation. We investigated chromosomal aberrations in 408 MPN samples using high-resolution single-nucleotide polymorphism microarrays to identify disease-associated somatic lesions. Of 408 samples, 37.5% had a wild-type karyotype and 62.5% harbored at least 1 chromosomal aberration. We identified 25 recurrent aberrations that were found in 3 or more samples. An increased number of chromosomal lesions was significantly associated with patient age, as well as with disease progression and leukemic transformation, but no association was observed with MPN subtypes, Janus kinase 2 (JAK2) mutational status, or disease duration. Aberrations of chromosomes 1q and 9p were positively associated with disease progression to secondary myelofibrosis or accelerated phase. Changes of chromosomes 1q, 7q, 5q, 6p, 7p, 19q, 22q, and 3q were positively associated with post-MPN acute myeloid leukemia. We mapped commonly affected regions to single target genes on chromosomes 3p (forkhead box P1 [FOXP1]), 4q (tet oncogene family member 2 [TET2]), 7p (IKAROS family zinc finger 1 [IKZF1]), 7q (cut-like homeobox 1 [CUX1]), 12p (ets variant 6 [ETV6]), and 21q (runt-related transcription factor 1 [RUNX1]). Our data provide insight into the genetic complexity of MPNs and implicate new genes involved in disease progression.","container-title":"Blood","DOI":"10.1182/blood-2011-01-331678","ISSN":"0006-4971, 1528-0020","issue":"1","language":"en","note":"PMID: 21531982","page":"167-176","source":"www.bloodjournal.org","title":"Genome integrity of myeloproliferative neoplasms in chronic phase and during disease progression","volume":"118","author":[{"family":"Klampfl","given":"Thorsten"},{"family":"Harutyunyan","given":"Ashot"},{"family":"Berg","given":"Tiina"},{"family":"Gisslinger","given":"Bettina"},{"family":"Schalling","given":"Martin"},{"family":"Bagienski","given":"Klaudia"},{"family":"Olcaydu","given":"Damla"},{"family":"Passamonti","given":"Francesco"},{"family":"Rumi","given":"Elisa"},{"family":"Pietra","given":"Daniela"},{"family":"Jäger","given":"Roland"},{"family":"Pieri","given":"Lisa"},{"family":"Guglielmelli","given":"Paola"},{"family":"Iacobucci","given":"Ilaria"},{"family":"Martinelli","given":"Giovanni"},{"family":"Cazzola","given":"Mario"},{"family":"Vannucchi","given":"Alessandro M."},{"family":"Gisslinger","given":"Heinz"},{"family":"Kralovics","given":"Robert"}],"issued":{"date-parts":[["2011",7,7]]}}},{"id":8,"uris":["http://zotero.org/users/2484452/items/64MFSPT4"],"uri":["http://zotero.org/users/2484452/items/64MFSPT4"],"itemData":{"id":8,"type":"article-journal","abstract":"Janus kinase 2 (JAK2) mutations define polycythemia vera (PV). Calreticulin (CALR) and myeloproliferative leukemia virus oncogene (MPL) mutations are specific to JAK2-unmutated essential thrombocythemia (ET) and primary myelofibrosis (PMF). We examined the effect of these mutations on long-term disease outcome. One thousand five hundred eighty-one patients from the Mayo Clinic (n = 826) and Italy (n = 755) were studied. Fifty-eight percent of Mayo patients were followed until death; median survivals were 19.8 years in ET (n = 292), 13.5 PV (n = 267; hazard ratio [HR], 1.8; 95% confidence interval [CI], 1.4-2.2), and 5.9 PMF (n = 267; HR, 4.5; 95% CI, 3.5-5.7). The survival advantage of ET over PV was not affected by JAK2/CALR/MPL mutational status. Survival in ET was inferior to the age- and sex-matched US population (P &lt; .001). In PMF (n = 428), but not in ET (n = 576), survival and blast transformation (BT) were significantly affected by mutational status; outcome was best in CALR-mutated and worst in triple-negative patients: median survival, 16 vs 2.3 years (HR, 5.1; 95% CI, 3.2-8.0) and BT, 6.5% vs 25% (HR, 7.6; 95% CI, 2.8-20.2), respectively. We conclude that life expectancy in morphologically defined ET is significantly reduced but remains superior to that of PV, regardless of mutational status. In PMF, JAK2/CALR/MPL mutational status is prognostically informative.","container-title":"Blood","DOI":"10.1182/blood-2014-05-579136","ISSN":"0006-4971, 1528-0020","issue":"16","language":"en","note":"PMID: 25037629","page":"2507-2513","source":"www.bloodjournal.org","title":"Long-term survival and blast transformation in molecularly annotated essential thrombocythemia, polycythemia vera, and myelofibrosis","volume":"124","author":[{"family":"Tefferi","given":"Ayalew"},{"family":"Guglielmelli","given":"Paola"},{"family":"Larson","given":"Dirk R."},{"family":"Finke","given":"Christy"},{"family":"Wassie","given":"Emnet A."},{"family":"Pieri","given":"Lisa"},{"family":"Gangat","given":"Naseema"},{"family":"Fjerza","given":"Rajmonda"},{"family":"Belachew","given":"Alem A."},{"family":"Lasho","given":"Terra L."},{"family":"Ketterling","given":"Rhett P."},{"family":"Hanson","given":"Curtis A."},{"family":"Rambaldi","given":"Alessandro"},{"family":"Finazzi","given":"Guido"},{"family":"Thiele","given":"Juergen"},{"family":"Barbui","given":"Tiziano"},{"family":"Pardanani","given":"Animesh"},{"family":"Vannucchi","given":"Alessandro M."}],"issued":{"date-parts":[["2014",10,16]]}}}],"schema":"https://github.com/citation-style-language/schema/raw/master/csl-citation.json"} </w:instrText>
      </w:r>
      <w:r w:rsidR="002D3762" w:rsidRPr="003A5293">
        <w:rPr>
          <w:rFonts w:ascii="Arial" w:hAnsi="Arial" w:cs="Arial"/>
          <w:sz w:val="22"/>
          <w:szCs w:val="22"/>
          <w:lang w:val="en-US"/>
        </w:rPr>
        <w:fldChar w:fldCharType="separate"/>
      </w:r>
      <w:r w:rsidR="002D3762" w:rsidRPr="003A5293">
        <w:rPr>
          <w:rFonts w:ascii="Arial" w:hAnsi="Arial" w:cs="Arial"/>
          <w:noProof/>
          <w:sz w:val="22"/>
          <w:szCs w:val="22"/>
          <w:lang w:val="en-US"/>
        </w:rPr>
        <w:t>(Klampfl et al., 2011; Tefferi et al., 2014)</w:t>
      </w:r>
      <w:r w:rsidR="002D3762" w:rsidRPr="003A5293">
        <w:rPr>
          <w:rFonts w:ascii="Arial" w:hAnsi="Arial" w:cs="Arial"/>
          <w:sz w:val="22"/>
          <w:szCs w:val="22"/>
          <w:lang w:val="en-US"/>
        </w:rPr>
        <w:fldChar w:fldCharType="end"/>
      </w:r>
      <w:r w:rsidRPr="003A5293">
        <w:rPr>
          <w:rFonts w:ascii="Arial" w:hAnsi="Arial" w:cs="Arial"/>
          <w:sz w:val="22"/>
          <w:szCs w:val="22"/>
          <w:lang w:val="en-US"/>
        </w:rPr>
        <w:t xml:space="preserve">, where, despite inflammatory microenvironment and oncogene-driven </w:t>
      </w:r>
      <w:proofErr w:type="spellStart"/>
      <w:r w:rsidRPr="003A5293">
        <w:rPr>
          <w:rFonts w:ascii="Arial" w:hAnsi="Arial" w:cs="Arial"/>
          <w:sz w:val="22"/>
          <w:szCs w:val="22"/>
          <w:lang w:val="en-US"/>
        </w:rPr>
        <w:t>myeloproliferation</w:t>
      </w:r>
      <w:proofErr w:type="spellEnd"/>
      <w:r w:rsidRPr="003A5293">
        <w:rPr>
          <w:rFonts w:ascii="Arial" w:hAnsi="Arial" w:cs="Arial"/>
          <w:sz w:val="22"/>
          <w:szCs w:val="22"/>
          <w:lang w:val="en-US"/>
        </w:rPr>
        <w:t xml:space="preserve"> the frequency of transformation is relatively low</w:t>
      </w:r>
      <w:r w:rsidR="002D3762" w:rsidRPr="003A5293">
        <w:rPr>
          <w:rFonts w:ascii="Arial" w:hAnsi="Arial" w:cs="Arial"/>
          <w:sz w:val="22"/>
          <w:szCs w:val="22"/>
          <w:lang w:val="en-US"/>
        </w:rPr>
        <w:t xml:space="preserve"> </w:t>
      </w:r>
      <w:r w:rsidR="002D3762" w:rsidRPr="003A5293">
        <w:rPr>
          <w:rFonts w:ascii="Arial" w:hAnsi="Arial" w:cs="Arial"/>
          <w:sz w:val="22"/>
          <w:szCs w:val="22"/>
          <w:lang w:val="en-US"/>
        </w:rPr>
        <w:fldChar w:fldCharType="begin"/>
      </w:r>
      <w:r w:rsidR="002D3762" w:rsidRPr="003A5293">
        <w:rPr>
          <w:rFonts w:ascii="Arial" w:hAnsi="Arial" w:cs="Arial"/>
          <w:sz w:val="22"/>
          <w:szCs w:val="22"/>
          <w:lang w:val="en-US"/>
        </w:rPr>
        <w:instrText xml:space="preserve"> ADDIN ZOTERO_ITEM CSL_CITATION {"citationID":"Mxq9X5tE","properties":{"formattedCitation":"(Tefferi, 2016)","plainCitation":"(Tefferi, 2016)","noteIndex":0},"citationItems":[{"id":816,"uris":["http://zotero.org/users/2484452/items/8BX7SEPG"],"uri":["http://zotero.org/users/2484452/items/8BX7SEPG"],"itemData":{"id":816,"type":"article-journal","abstract":"Myeloproliferative neoplasms (MPN) are clonal stem cell diseases, first conceptualized in 1951 by William Dameshek, and historically included chronic myeloid leukemia (CML), polycythemia vera (PV), essential thrombocythemia (ET), and primary myelofibrosis (PMF). In 1960, Nowell and Hungerford discovered an invariable association between the Philadelphia chromosome (subsequently shown to harbor the causal BCR-ABL1 mutation) and CML; accordingly, the term MPN is primarily reserved for PV, ET, and PMF, although it includes other related clinicopathologic entities, according to the World Health Organization (WHO) classification system. In 2005, William Vainchenker and others described a Janus kinase 2 mutation (JAK2V617F) in MPN and this was followed by a series of additional descriptions of mutations that directly or indirectly activate JAK-STAT: JAK2 exon 12, myeloproliferative leukemia virus oncogene (MPL) and calreticulin (CALR) mutations. The discovery of these, mostly mutually exclusive, \"driver\" mutations has contributed to revisions of the WHO diagnostic criteria and risk stratification in MPN. Mutations other than JAK2, CALR and MPL have also been described in MPN and shown to provide additional prognostic information. From the standpoint of treatment, over the last 50 years, Louis Wasserman from the Unites States and Tiziano Barbui from Italy had skillfully organized and led a number of important clinical trials, whose results form the basis for current treatment strategies in MPN. More recently, allogeneic stem cell transplant, as a potentially curative treatment modality, and JAK inhibitors, as palliative drugs, have been added to the overall therapeutic armamentarium in myelofibrosis. In the current review, I will summarize the important advances made in the last 10 years regarding the science and practice of MPN.","container-title":"American Journal of Hematology","DOI":"10.1002/ajh.24221","ISSN":"1096-8652","issue":"1","journalAbbreviation":"Am. J. Hematol.","language":"eng","note":"PMID: 26492355","page":"50-58","source":"PubMed","title":"Myeloproliferative neoplasms: A decade of discoveries and treatment advances","title-short":"Myeloproliferative neoplasms","volume":"91","author":[{"family":"Tefferi","given":"Ayalew"}],"issued":{"date-parts":[["2016",1]]}}}],"schema":"https://github.com/citation-style-language/schema/raw/master/csl-citation.json"} </w:instrText>
      </w:r>
      <w:r w:rsidR="002D3762" w:rsidRPr="003A5293">
        <w:rPr>
          <w:rFonts w:ascii="Arial" w:hAnsi="Arial" w:cs="Arial"/>
          <w:sz w:val="22"/>
          <w:szCs w:val="22"/>
          <w:lang w:val="en-US"/>
        </w:rPr>
        <w:fldChar w:fldCharType="separate"/>
      </w:r>
      <w:r w:rsidR="002D3762" w:rsidRPr="003A5293">
        <w:rPr>
          <w:rFonts w:ascii="Arial" w:hAnsi="Arial" w:cs="Arial"/>
          <w:noProof/>
          <w:sz w:val="22"/>
          <w:szCs w:val="22"/>
          <w:lang w:val="en-US"/>
        </w:rPr>
        <w:t>(Tefferi, 2016)</w:t>
      </w:r>
      <w:r w:rsidR="002D3762" w:rsidRPr="003A5293">
        <w:rPr>
          <w:rFonts w:ascii="Arial" w:hAnsi="Arial" w:cs="Arial"/>
          <w:sz w:val="22"/>
          <w:szCs w:val="22"/>
          <w:lang w:val="en-US"/>
        </w:rPr>
        <w:fldChar w:fldCharType="end"/>
      </w:r>
      <w:r w:rsidRPr="003A5293">
        <w:rPr>
          <w:rFonts w:ascii="Arial" w:hAnsi="Arial" w:cs="Arial"/>
          <w:sz w:val="22"/>
          <w:szCs w:val="22"/>
          <w:lang w:val="en-US"/>
        </w:rPr>
        <w:t xml:space="preserve">, we hypothesized that </w:t>
      </w:r>
      <w:r w:rsidR="000A51F2" w:rsidRPr="003A5293">
        <w:rPr>
          <w:rFonts w:ascii="Arial" w:hAnsi="Arial" w:cs="Arial"/>
          <w:sz w:val="22"/>
          <w:szCs w:val="22"/>
          <w:lang w:val="en-US"/>
        </w:rPr>
        <w:t xml:space="preserve">presence of </w:t>
      </w:r>
      <w:r w:rsidRPr="003A5293">
        <w:rPr>
          <w:rFonts w:ascii="Arial" w:hAnsi="Arial" w:cs="Arial"/>
          <w:sz w:val="22"/>
          <w:szCs w:val="22"/>
          <w:lang w:val="en-US"/>
        </w:rPr>
        <w:t>fail-safe mechanisms</w:t>
      </w:r>
      <w:r w:rsidR="000A51F2" w:rsidRPr="003A5293">
        <w:rPr>
          <w:rFonts w:ascii="Arial" w:hAnsi="Arial" w:cs="Arial"/>
          <w:sz w:val="22"/>
          <w:szCs w:val="22"/>
          <w:lang w:val="en-US"/>
        </w:rPr>
        <w:t>, related to DDR</w:t>
      </w:r>
      <w:r w:rsidRPr="003A5293">
        <w:rPr>
          <w:rFonts w:ascii="Arial" w:hAnsi="Arial" w:cs="Arial"/>
          <w:sz w:val="22"/>
          <w:szCs w:val="22"/>
          <w:lang w:val="en-US"/>
        </w:rPr>
        <w:t xml:space="preserve"> serve as a barrier that either delays or prevents progression to myelofibrosis or leukemia</w:t>
      </w:r>
      <w:r w:rsidR="00B23497" w:rsidRPr="003A5293">
        <w:rPr>
          <w:rFonts w:ascii="Arial" w:hAnsi="Arial" w:cs="Arial"/>
          <w:sz w:val="22"/>
          <w:szCs w:val="22"/>
          <w:lang w:val="en-US"/>
        </w:rPr>
        <w:t>.</w:t>
      </w:r>
    </w:p>
    <w:p w14:paraId="6BB8FE1B" w14:textId="77777777" w:rsidR="00BD3688" w:rsidRPr="003A5293" w:rsidRDefault="00A812D2" w:rsidP="005D01C6">
      <w:pPr>
        <w:spacing w:line="360" w:lineRule="auto"/>
        <w:jc w:val="both"/>
        <w:rPr>
          <w:rFonts w:ascii="Arial" w:hAnsi="Arial" w:cs="Arial"/>
          <w:sz w:val="22"/>
          <w:szCs w:val="22"/>
          <w:lang w:val="en-US"/>
        </w:rPr>
      </w:pPr>
      <w:r w:rsidRPr="003A5293">
        <w:rPr>
          <w:rFonts w:ascii="Arial" w:hAnsi="Arial" w:cs="Arial"/>
          <w:sz w:val="22"/>
          <w:szCs w:val="22"/>
          <w:lang w:val="en-US"/>
        </w:rPr>
        <w:t xml:space="preserve">We have therefore decided to better characterize inflammation-evoked </w:t>
      </w:r>
      <w:r w:rsidR="00424C2F" w:rsidRPr="003A5293">
        <w:rPr>
          <w:rFonts w:ascii="Arial" w:hAnsi="Arial" w:cs="Arial"/>
          <w:sz w:val="22"/>
          <w:szCs w:val="22"/>
          <w:lang w:val="en-US"/>
        </w:rPr>
        <w:t xml:space="preserve">oxidative stress and </w:t>
      </w:r>
      <w:r w:rsidRPr="003A5293">
        <w:rPr>
          <w:rFonts w:ascii="Arial" w:hAnsi="Arial" w:cs="Arial"/>
          <w:sz w:val="22"/>
          <w:szCs w:val="22"/>
          <w:lang w:val="en-US"/>
        </w:rPr>
        <w:t xml:space="preserve">DDR along the progression of </w:t>
      </w:r>
      <w:r w:rsidR="0002086C">
        <w:rPr>
          <w:rFonts w:ascii="Arial" w:hAnsi="Arial" w:cs="Arial"/>
          <w:sz w:val="22"/>
          <w:szCs w:val="22"/>
          <w:lang w:val="en-US"/>
        </w:rPr>
        <w:t>PV</w:t>
      </w:r>
      <w:r w:rsidR="000A51F2" w:rsidRPr="003A5293">
        <w:rPr>
          <w:rFonts w:ascii="Arial" w:hAnsi="Arial" w:cs="Arial"/>
          <w:sz w:val="22"/>
          <w:szCs w:val="22"/>
          <w:lang w:val="en-US"/>
        </w:rPr>
        <w:t xml:space="preserve"> using patient-specific iPSCs, along</w:t>
      </w:r>
      <w:r w:rsidR="00424C2F" w:rsidRPr="003A5293">
        <w:rPr>
          <w:rFonts w:ascii="Arial" w:hAnsi="Arial" w:cs="Arial"/>
          <w:sz w:val="22"/>
          <w:szCs w:val="22"/>
          <w:lang w:val="en-US"/>
        </w:rPr>
        <w:t>side</w:t>
      </w:r>
      <w:r w:rsidR="000A51F2" w:rsidRPr="003A5293">
        <w:rPr>
          <w:rFonts w:ascii="Arial" w:hAnsi="Arial" w:cs="Arial"/>
          <w:sz w:val="22"/>
          <w:szCs w:val="22"/>
          <w:lang w:val="en-US"/>
        </w:rPr>
        <w:t xml:space="preserve"> with genetically modified </w:t>
      </w:r>
      <w:r w:rsidR="000A51F2" w:rsidRPr="00CD395D">
        <w:rPr>
          <w:rFonts w:ascii="Arial" w:hAnsi="Arial" w:cs="Arial"/>
          <w:i/>
          <w:iCs/>
          <w:sz w:val="22"/>
          <w:szCs w:val="22"/>
          <w:lang w:val="en-US"/>
        </w:rPr>
        <w:t>JAK2</w:t>
      </w:r>
      <w:r w:rsidR="00CD395D">
        <w:rPr>
          <w:rFonts w:ascii="Arial" w:hAnsi="Arial" w:cs="Arial"/>
          <w:sz w:val="22"/>
          <w:szCs w:val="22"/>
          <w:lang w:val="en-US"/>
        </w:rPr>
        <w:t xml:space="preserve"> </w:t>
      </w:r>
      <w:r w:rsidR="000A51F2" w:rsidRPr="003A5293">
        <w:rPr>
          <w:rFonts w:ascii="Arial" w:hAnsi="Arial" w:cs="Arial"/>
          <w:sz w:val="22"/>
          <w:szCs w:val="22"/>
          <w:lang w:val="en-US"/>
        </w:rPr>
        <w:t xml:space="preserve">V617F-positive or </w:t>
      </w:r>
      <w:r w:rsidR="000A51F2" w:rsidRPr="00CD395D">
        <w:rPr>
          <w:rFonts w:ascii="Arial" w:hAnsi="Arial" w:cs="Arial"/>
          <w:i/>
          <w:iCs/>
          <w:sz w:val="22"/>
          <w:szCs w:val="22"/>
          <w:lang w:val="en-US"/>
        </w:rPr>
        <w:t>JAK2</w:t>
      </w:r>
      <w:r w:rsidR="000A51F2" w:rsidRPr="003A5293">
        <w:rPr>
          <w:rFonts w:ascii="Arial" w:hAnsi="Arial" w:cs="Arial"/>
          <w:sz w:val="22"/>
          <w:szCs w:val="22"/>
          <w:lang w:val="en-US"/>
        </w:rPr>
        <w:t xml:space="preserve"> wildtype HEL cells as well as immunohistochemistry staining of PV patients’ bone marrow.</w:t>
      </w:r>
    </w:p>
    <w:p w14:paraId="32F94F04" w14:textId="77777777" w:rsidR="000A51F2" w:rsidRPr="003A5293" w:rsidRDefault="000A51F2" w:rsidP="005D01C6">
      <w:pPr>
        <w:spacing w:line="360" w:lineRule="auto"/>
        <w:jc w:val="both"/>
        <w:rPr>
          <w:rFonts w:ascii="Arial" w:hAnsi="Arial" w:cs="Arial"/>
          <w:sz w:val="22"/>
          <w:szCs w:val="22"/>
          <w:lang w:val="en-US"/>
        </w:rPr>
      </w:pPr>
    </w:p>
    <w:p w14:paraId="21591403" w14:textId="4C38104C" w:rsidR="00F460AB" w:rsidRPr="003A5293" w:rsidRDefault="00B213BF" w:rsidP="001B608A">
      <w:pPr>
        <w:pStyle w:val="Formatvorlage1"/>
        <w:rPr>
          <w:rFonts w:cs="Arial"/>
        </w:rPr>
      </w:pPr>
      <w:bookmarkStart w:id="19" w:name="_Toc57582494"/>
      <w:r w:rsidRPr="003A5293">
        <w:rPr>
          <w:rFonts w:cs="Arial"/>
        </w:rPr>
        <w:t xml:space="preserve">The </w:t>
      </w:r>
      <w:r w:rsidRPr="00CD395D">
        <w:rPr>
          <w:rFonts w:cs="Arial"/>
          <w:i/>
          <w:iCs/>
        </w:rPr>
        <w:t>JAK2</w:t>
      </w:r>
      <w:r w:rsidR="00CD395D">
        <w:rPr>
          <w:rFonts w:cs="Arial"/>
        </w:rPr>
        <w:t xml:space="preserve"> </w:t>
      </w:r>
      <w:r w:rsidRPr="003A5293">
        <w:rPr>
          <w:rFonts w:cs="Arial"/>
        </w:rPr>
        <w:t>V617F</w:t>
      </w:r>
      <w:r w:rsidRPr="003A5293">
        <w:rPr>
          <w:rFonts w:cs="Arial"/>
          <w:vertAlign w:val="superscript"/>
        </w:rPr>
        <w:t>+</w:t>
      </w:r>
      <w:r w:rsidRPr="003A5293">
        <w:rPr>
          <w:rFonts w:cs="Arial"/>
        </w:rPr>
        <w:t xml:space="preserve"> CD34</w:t>
      </w:r>
      <w:r w:rsidRPr="003A5293">
        <w:rPr>
          <w:rFonts w:cs="Arial"/>
          <w:vertAlign w:val="superscript"/>
        </w:rPr>
        <w:t>+</w:t>
      </w:r>
      <w:r w:rsidRPr="003A5293">
        <w:rPr>
          <w:rFonts w:cs="Arial"/>
        </w:rPr>
        <w:t xml:space="preserve"> P-ECs limit production of ROS and hyperactivate ROS buffering system</w:t>
      </w:r>
      <w:bookmarkEnd w:id="19"/>
    </w:p>
    <w:p w14:paraId="71617C79" w14:textId="77777777" w:rsidR="00F460AB" w:rsidRPr="003A5293" w:rsidRDefault="00F460AB" w:rsidP="005D01C6">
      <w:pPr>
        <w:spacing w:line="360" w:lineRule="auto"/>
        <w:jc w:val="both"/>
        <w:rPr>
          <w:rFonts w:ascii="Arial" w:hAnsi="Arial" w:cs="Arial"/>
          <w:sz w:val="22"/>
          <w:szCs w:val="22"/>
          <w:lang w:val="en-US"/>
        </w:rPr>
      </w:pPr>
    </w:p>
    <w:p w14:paraId="43F10F70" w14:textId="77777777" w:rsidR="00B55CC2" w:rsidRPr="003A5293" w:rsidRDefault="00FF386A" w:rsidP="005D01C6">
      <w:pPr>
        <w:spacing w:line="360" w:lineRule="auto"/>
        <w:jc w:val="both"/>
        <w:rPr>
          <w:rFonts w:ascii="Arial" w:hAnsi="Arial" w:cs="Arial"/>
          <w:sz w:val="22"/>
          <w:szCs w:val="22"/>
          <w:lang w:val="en-US"/>
        </w:rPr>
      </w:pPr>
      <w:r w:rsidRPr="003A5293">
        <w:rPr>
          <w:rFonts w:ascii="Arial" w:hAnsi="Arial" w:cs="Arial"/>
          <w:sz w:val="22"/>
          <w:szCs w:val="22"/>
          <w:lang w:val="en-US"/>
        </w:rPr>
        <w:tab/>
      </w:r>
      <w:r w:rsidR="00B55CC2" w:rsidRPr="003A5293">
        <w:rPr>
          <w:rFonts w:ascii="Arial" w:hAnsi="Arial" w:cs="Arial"/>
          <w:sz w:val="22"/>
          <w:szCs w:val="22"/>
          <w:lang w:val="en-US"/>
        </w:rPr>
        <w:t xml:space="preserve">Overproduction of ROS upon inflammation insults is an important source of </w:t>
      </w:r>
      <w:r w:rsidR="00836755" w:rsidRPr="003A5293">
        <w:rPr>
          <w:rFonts w:ascii="Arial" w:hAnsi="Arial" w:cs="Arial"/>
          <w:sz w:val="22"/>
          <w:szCs w:val="22"/>
          <w:lang w:val="en-US"/>
        </w:rPr>
        <w:t xml:space="preserve">oxidative stress, DNA damage, increased genomic flux and related cellular senescence or death </w:t>
      </w:r>
      <w:r w:rsidR="00B55CC2" w:rsidRPr="003A5293">
        <w:rPr>
          <w:rFonts w:ascii="Arial" w:hAnsi="Arial" w:cs="Arial"/>
          <w:sz w:val="22"/>
          <w:szCs w:val="22"/>
          <w:lang w:val="en-US"/>
        </w:rPr>
        <w:fldChar w:fldCharType="begin"/>
      </w:r>
      <w:r w:rsidR="007E6CDB" w:rsidRPr="003A5293">
        <w:rPr>
          <w:rFonts w:ascii="Arial" w:hAnsi="Arial" w:cs="Arial"/>
          <w:sz w:val="22"/>
          <w:szCs w:val="22"/>
          <w:lang w:val="en-US"/>
        </w:rPr>
        <w:instrText xml:space="preserve"> ADDIN ZOTERO_ITEM CSL_CITATION {"citationID":"eNlg0vRh","properties":{"formattedCitation":"(Blaser et al., 2016; Hubackova et al., 2016, 2012)","plainCitation":"(Blaser et al., 2016; Hubackova et al., 2016, 2012)","noteIndex":0},"citationItems":[{"id":1182,"uris":["http://zotero.org/users/2484452/items/M8TJBCMB"],"uri":["http://zotero.org/users/2484452/items/M8TJBCMB"],"itemData":{"id":1182,"type":"article-journal","abstract":"Tumor necrosis factor (TNF) is tremendously important for mammalian immunity and cellular homeostasis. The role of TNF as a master regulator in balancing cell survival, apoptosis and necroptosis has been extensively studied in various cell types and tissues. Although these findings have revealed much about the direct impact of TNF on the regulation of NF-κB and JNK, there is now rising interest in understanding the emerging function of TNF as a regulator of the generation of reactive oxygen species (ROS) and reactive nitrogen species (RNS). In this review we summarize work aimed at defining the role of TNF in the control of ROS/RNS signaling that influences innate immune cells under both physiological and inflammatory conditions.","container-title":"Trends in Cell Biology","DOI":"10.1016/j.tcb.2015.12.002","ISSN":"1879-3088","issue":"4","journalAbbreviation":"Trends Cell Biol.","language":"eng","note":"PMID: 26791157","page":"249-261","source":"PubMed","title":"TNF and ROS Crosstalk in Inflammation","volume":"26","author":[{"family":"Blaser","given":"Heiko"},{"family":"Dostert","given":"Catherine"},{"family":"Mak","given":"Tak W."},{"family":"Brenner","given":"Dirk"}],"issued":{"date-parts":[["2016",4]]}}},{"id":89,"uris":["http://zotero.org/users/2484452/items/9MSDQF3D"],"uri":["http://zotero.org/users/2484452/items/9MSDQF3D"],"itemData":{"id":89,"type":"article-journal","abstract":"Cellular senescence provides a biological barrier against tumor progression, often associated with oncogene-induced replication and/or oxidative stress, cytokine production and DNA damage response (DDR), leading to persistent cell-cycle arrest. While cytokines such as tumor necrosis factor-alpha (TNFα) and interferon gamma (IFNγ) are important components of senescence-associated secretome and induce senescence in, for example, mouse pancreatic β-cancer cell model, their downstream signaling pathway(s) and links with oxidative stress and DDR are mechanistically unclear. Using human and mouse normal and cancer cell models, we now show that TNFα and IFNγ induce NADPH oxidases Nox4 and Nox1, reactive oxygen species (ROS), DDR signaling and premature senescence. Unlike mouse tumor cells that required concomitant presence of IFNγ and TNFα, short exposure to IFNγ alone was sufficient to induce Nox4, Nox1 and DDR in human cells. siRNA-mediated knockdown of Nox4 but not Nox1 decreased IFNγ-induced DDR. The expression of Nox4/Nox1 required Janus kinase (JAK)/signal transducers and activators of transcription (STAT) signaling and the effect was mediated by downstream activation of transforming growth factor-beta (TGFβ) secretion and consequent autocrine/paracrine activation of the TGFβ/Smad pathway. Furthermore, the expression of adenine nucleotide translocase 2 (ANT2) was suppressed by IFNγ contributing to elevation of ROS and DNA damage. In contrast to mouse B16 cells, inability of TC-1 cells to respond to IFNγ/TNFα by DDR and senescence correlated with the lack of TGFβ and Nox4 response, supporting the role of ROS induced by NADPH oxidases in cytokine-induced senescence. Overall, our data reveal differences between cytokine effects in mouse and human cells, and mechanistically implicate the TGFβ/SMAD pathway, via induction of NADPH oxidases and suppression of ANT2, as key mediators of IFNγ/TNFα-evoked genotoxicity and cellular senescence.","container-title":"Oncogene","DOI":"10.1038/onc.2015.162","ISSN":"1476-5594","issue":"10","journalAbbreviation":"Oncogene","language":"eng","note":"PMID: 25982278","page":"1236-1249","source":"PubMed","title":"IFNγ induces oxidative stress, DNA damage and tumor cell senescence via TGFβ/SMAD signaling-dependent induction of Nox4 and suppression of ANT2","volume":"35","author":[{"family":"Hubackova","given":"S."},{"family":"Kucerova","given":"A."},{"family":"Michlits","given":"G."},{"family":"Kyjacova","given":"L."},{"family":"Reinis","given":"M."},{"family":"Korolov","given":"O."},{"family":"Bartek","given":"J."},{"family":"Hodny","given":"Z."}],"issued":{"date-parts":[["2016",3,10]]}}},{"id":150,"uris":["http://zotero.org/users/2484452/items/NLCRQMTF"],"uri":["http://zotero.org/users/2484452/items/NLCRQMTF"],"itemData":{"id":150,"type":"article-journal","abstract":"Many cancers arise at sites of infection and inflammation. Cellular senescence, a permanent state of cell cycle arrest that provides a barrier against tumorigenesis, is accompanied by elevated proinflammatory cytokines such as IL1, IL6, IL8 and TNFα. Here we demonstrate that media conditioned by cells undergoing any of the three main forms of senescence, i.e. replicative, oncogene- and drug-induced, contain high levels of IL1, IL6, and TGFb capable of inducing reactive oxygen species (ROS)-mediated DNA damage response (DDR). Persistent cytokine signaling and activated DDR evoke senescence in normal bystander cells, accompanied by activation of the JAK/STAT, TGFβ/SMAD and IL1/NFκB signaling pathways. Whereas inhibition of IL6/STAT signaling had no effect on DDR induction in bystander cells, inhibition of either TGFβ/SMAD or IL1/NFκB pathway resulted in decreased ROS production and reduced DDR in bystander cells. Simultaneous inhibition of both TGFβ/SMAD and IL1/NFκB pathways completely suppressed DDR indicating that IL1 and TGFβ cooperate to induce and/or maintain bystander senescence. Furthermore, the observed IL1- and TGFβ-induced expression of NAPDH oxidase Nox4 indicates a mechanistic link between the senescence-associated secretory phenotype (SASP) and DNA damage signaling as a feature shared by development of all major forms of paracrine bystander senescence.","container-title":"Aging","DOI":"10.18632/aging.100520","ISSN":"1945-4589","issue":"12","journalAbbreviation":"Aging (Albany NY)","language":"eng","note":"PMID: 23385065\nPMCID: PMC3615160","page":"932-951","source":"PubMed","title":"IL1- and TGFβ-Nox4 signaling, oxidative stress and DNA damage response are shared features of replicative, oncogene-induced, and drug-induced paracrine 'bystander senescence'","volume":"4","author":[{"family":"Hubackova","given":"Sona"},{"family":"Krejcikova","given":"Katerina"},{"family":"Bartek","given":"Jiri"},{"family":"Hodny","given":"Zdenek"}],"issued":{"date-parts":[["2012",12]]}}}],"schema":"https://github.com/citation-style-language/schema/raw/master/csl-citation.json"} </w:instrText>
      </w:r>
      <w:r w:rsidR="00B55CC2" w:rsidRPr="003A5293">
        <w:rPr>
          <w:rFonts w:ascii="Arial" w:hAnsi="Arial" w:cs="Arial"/>
          <w:sz w:val="22"/>
          <w:szCs w:val="22"/>
          <w:lang w:val="en-US"/>
        </w:rPr>
        <w:fldChar w:fldCharType="separate"/>
      </w:r>
      <w:r w:rsidR="007E6CDB" w:rsidRPr="003A5293">
        <w:rPr>
          <w:rFonts w:ascii="Arial" w:hAnsi="Arial" w:cs="Arial"/>
          <w:noProof/>
          <w:sz w:val="22"/>
          <w:szCs w:val="22"/>
          <w:lang w:val="en-US"/>
        </w:rPr>
        <w:t>(Blaser et al., 2016; Hubackova et al., 2016, 2012)</w:t>
      </w:r>
      <w:r w:rsidR="00B55CC2" w:rsidRPr="003A5293">
        <w:rPr>
          <w:rFonts w:ascii="Arial" w:hAnsi="Arial" w:cs="Arial"/>
          <w:sz w:val="22"/>
          <w:szCs w:val="22"/>
          <w:lang w:val="en-US"/>
        </w:rPr>
        <w:fldChar w:fldCharType="end"/>
      </w:r>
      <w:r w:rsidR="00B55CC2" w:rsidRPr="003A5293">
        <w:rPr>
          <w:rFonts w:ascii="Arial" w:hAnsi="Arial" w:cs="Arial"/>
          <w:sz w:val="22"/>
          <w:szCs w:val="22"/>
          <w:lang w:val="en-US"/>
        </w:rPr>
        <w:t xml:space="preserve">. </w:t>
      </w:r>
      <w:r w:rsidR="00861C76" w:rsidRPr="003A5293">
        <w:rPr>
          <w:rFonts w:ascii="Arial" w:hAnsi="Arial" w:cs="Arial"/>
          <w:sz w:val="22"/>
          <w:szCs w:val="22"/>
          <w:lang w:val="en-US"/>
        </w:rPr>
        <w:t xml:space="preserve">It was previously shown that acquisition of </w:t>
      </w:r>
      <w:r w:rsidR="00861C76" w:rsidRPr="003A5293">
        <w:rPr>
          <w:rFonts w:ascii="Arial" w:hAnsi="Arial" w:cs="Arial"/>
          <w:i/>
          <w:iCs/>
          <w:sz w:val="22"/>
          <w:szCs w:val="22"/>
          <w:lang w:val="en-US"/>
        </w:rPr>
        <w:t xml:space="preserve">JAK2 </w:t>
      </w:r>
      <w:r w:rsidR="00861C76" w:rsidRPr="00CD395D">
        <w:rPr>
          <w:rFonts w:ascii="Arial" w:hAnsi="Arial" w:cs="Arial"/>
          <w:sz w:val="22"/>
          <w:szCs w:val="22"/>
          <w:lang w:val="en-US"/>
        </w:rPr>
        <w:t>V617F</w:t>
      </w:r>
      <w:r w:rsidR="00861C76" w:rsidRPr="003A5293">
        <w:rPr>
          <w:rFonts w:ascii="Arial" w:hAnsi="Arial" w:cs="Arial"/>
          <w:sz w:val="22"/>
          <w:szCs w:val="22"/>
          <w:lang w:val="en-US"/>
        </w:rPr>
        <w:t xml:space="preserve"> mutation induces </w:t>
      </w:r>
      <w:r w:rsidR="007E6CDB" w:rsidRPr="003A5293">
        <w:rPr>
          <w:rFonts w:ascii="Arial" w:hAnsi="Arial" w:cs="Arial"/>
          <w:sz w:val="22"/>
          <w:szCs w:val="22"/>
          <w:lang w:val="en-US"/>
        </w:rPr>
        <w:t xml:space="preserve">inflammation and </w:t>
      </w:r>
      <w:r w:rsidR="00861C76" w:rsidRPr="003A5293">
        <w:rPr>
          <w:rFonts w:ascii="Arial" w:hAnsi="Arial" w:cs="Arial"/>
          <w:sz w:val="22"/>
          <w:szCs w:val="22"/>
          <w:lang w:val="en-US"/>
        </w:rPr>
        <w:t xml:space="preserve">accumulation of ROS in HSC compartment of knock-in mouse model and </w:t>
      </w:r>
      <w:r w:rsidR="00861C76" w:rsidRPr="003A5293">
        <w:rPr>
          <w:rFonts w:ascii="Arial" w:hAnsi="Arial" w:cs="Arial"/>
          <w:i/>
          <w:iCs/>
          <w:sz w:val="22"/>
          <w:szCs w:val="22"/>
          <w:lang w:val="en-US"/>
        </w:rPr>
        <w:t>ex vivo</w:t>
      </w:r>
      <w:r w:rsidR="00861C76" w:rsidRPr="003A5293">
        <w:rPr>
          <w:rFonts w:ascii="Arial" w:hAnsi="Arial" w:cs="Arial"/>
          <w:sz w:val="22"/>
          <w:szCs w:val="22"/>
          <w:lang w:val="en-US"/>
        </w:rPr>
        <w:t xml:space="preserve"> cultured CD34</w:t>
      </w:r>
      <w:r w:rsidR="00861C76" w:rsidRPr="003A5293">
        <w:rPr>
          <w:rFonts w:ascii="Arial" w:hAnsi="Arial" w:cs="Arial"/>
          <w:sz w:val="22"/>
          <w:szCs w:val="22"/>
          <w:vertAlign w:val="superscript"/>
          <w:lang w:val="en-US"/>
        </w:rPr>
        <w:t>+</w:t>
      </w:r>
      <w:r w:rsidR="00861C76" w:rsidRPr="003A5293">
        <w:rPr>
          <w:rFonts w:ascii="Arial" w:hAnsi="Arial" w:cs="Arial"/>
          <w:sz w:val="22"/>
          <w:szCs w:val="22"/>
          <w:lang w:val="en-US"/>
        </w:rPr>
        <w:t xml:space="preserve"> patient stem cells isolated from periphery </w:t>
      </w:r>
      <w:r w:rsidR="00861C76" w:rsidRPr="003A5293">
        <w:rPr>
          <w:rFonts w:ascii="Arial" w:hAnsi="Arial" w:cs="Arial"/>
          <w:sz w:val="22"/>
          <w:szCs w:val="22"/>
          <w:lang w:val="en-US"/>
        </w:rPr>
        <w:fldChar w:fldCharType="begin"/>
      </w:r>
      <w:r w:rsidR="00861C76" w:rsidRPr="003A5293">
        <w:rPr>
          <w:rFonts w:ascii="Arial" w:hAnsi="Arial" w:cs="Arial"/>
          <w:sz w:val="22"/>
          <w:szCs w:val="22"/>
          <w:lang w:val="en-US"/>
        </w:rPr>
        <w:instrText xml:space="preserve"> ADDIN ZOTERO_ITEM CSL_CITATION {"citationID":"wsn753ai","properties":{"formattedCitation":"(Marty et al., 2013)","plainCitation":"(Marty et al., 2013)","noteIndex":0},"citationItems":[{"id":26,"uris":["http://zotero.org/users/2484452/items/ZSHZS4RF"],"uri":["http://zotero.org/users/2484452/items/ZSHZS4RF"],"itemData":{"id":26,"type":"article-journal","abstract":"Although other mutations may predate the acquisition of the JAK2(V617F) mutation, the latter is sufficient to drive the disease phenotype observed in BCR-ABL-negative myeloproliferative neoplasms (MPNs). One of the consequences of JAK2(V617F) is genetic instability that could explain JAK2(V617F)-mediated MPN progression and heterogeneity. Here, we show that JAK2(V617F) induces the accumulation of reactive oxygen species (ROS) in the hematopoietic stem cell compartment of a knock-in (KI) mouse model and in patients with JAK2(V617F) MPNs. JAK2(V617F)-dependent ROS elevation was partly mediated by an AKT-induced decrease in catalase expression and was accompanied by an increased number of 8-oxo-guanines and DNA double-strand breaks (DSBs). Moreover, there was evidence for a mitotic recombination event in mice resulting in loss of heterozygosity of Jak2(V617F). Mice engrafted with 30% of Jak2(V617F) KI bone marrow (BM) cells developed a polycythemia vera-like disorder. Treatment with the anti-oxidant N-acetylcysteine (NAC) substantially restored blood parameters and reduced damages to DNA. Furthermore, NAC induced a marked decrease in splenomegaly with reduction in the frequency of the Jak2(V617F)-positive hematopoietic progenitors in BM and spleen. Altogether, overproduction of ROS is a mediator of JAK2(V617F)-induced DNA damages that promote disease progression. Targeting ROS accumulation might prevent the development of JAK2(V617F) MPNs.","container-title":"Leukemia","DOI":"10.1038/leu.2013.102","ISSN":"1476-5551","issue":"11","journalAbbreviation":"Leukemia","language":"eng","note":"PMID: 23558526","page":"2187-2195","source":"PubMed","title":"A role for reactive oxygen species in JAK2 V617F myeloproliferative neoplasm progression","volume":"27","author":[{"family":"Marty","given":"C."},{"family":"Lacout","given":"C."},{"family":"Droin","given":"N."},{"family":"Le Couédic","given":"J.-P."},{"family":"Ribrag","given":"V."},{"family":"Solary","given":"E."},{"family":"Vainchenker","given":"W."},{"family":"Villeval","given":"J.-L."},{"family":"Plo","given":"I."}],"issued":{"date-parts":[["2013",11]]}}}],"schema":"https://github.com/citation-style-language/schema/raw/master/csl-citation.json"} </w:instrText>
      </w:r>
      <w:r w:rsidR="00861C76" w:rsidRPr="003A5293">
        <w:rPr>
          <w:rFonts w:ascii="Arial" w:hAnsi="Arial" w:cs="Arial"/>
          <w:sz w:val="22"/>
          <w:szCs w:val="22"/>
          <w:lang w:val="en-US"/>
        </w:rPr>
        <w:fldChar w:fldCharType="separate"/>
      </w:r>
      <w:r w:rsidR="00861C76" w:rsidRPr="003A5293">
        <w:rPr>
          <w:rFonts w:ascii="Arial" w:hAnsi="Arial" w:cs="Arial"/>
          <w:noProof/>
          <w:sz w:val="22"/>
          <w:szCs w:val="22"/>
          <w:lang w:val="en-US"/>
        </w:rPr>
        <w:t>(Marty et al., 2013)</w:t>
      </w:r>
      <w:r w:rsidR="00861C76" w:rsidRPr="003A5293">
        <w:rPr>
          <w:rFonts w:ascii="Arial" w:hAnsi="Arial" w:cs="Arial"/>
          <w:sz w:val="22"/>
          <w:szCs w:val="22"/>
          <w:lang w:val="en-US"/>
        </w:rPr>
        <w:fldChar w:fldCharType="end"/>
      </w:r>
      <w:r w:rsidR="00861C76" w:rsidRPr="003A5293">
        <w:rPr>
          <w:rFonts w:ascii="Arial" w:hAnsi="Arial" w:cs="Arial"/>
          <w:sz w:val="22"/>
          <w:szCs w:val="22"/>
          <w:lang w:val="en-US"/>
        </w:rPr>
        <w:t>. Recently measurement of ROS</w:t>
      </w:r>
      <w:r w:rsidR="00B55CC2" w:rsidRPr="003A5293">
        <w:rPr>
          <w:rFonts w:ascii="Arial" w:hAnsi="Arial" w:cs="Arial"/>
          <w:sz w:val="22"/>
          <w:szCs w:val="22"/>
          <w:lang w:val="en-US"/>
        </w:rPr>
        <w:t xml:space="preserve"> levels later in hematopoietic differentiation program </w:t>
      </w:r>
      <w:r w:rsidR="007F6204" w:rsidRPr="003A5293">
        <w:rPr>
          <w:rFonts w:ascii="Arial" w:hAnsi="Arial" w:cs="Arial"/>
          <w:sz w:val="22"/>
          <w:szCs w:val="22"/>
          <w:lang w:val="en-US"/>
        </w:rPr>
        <w:t xml:space="preserve">did not show </w:t>
      </w:r>
      <w:r w:rsidR="00B55CC2" w:rsidRPr="003A5293">
        <w:rPr>
          <w:rFonts w:ascii="Arial" w:hAnsi="Arial" w:cs="Arial"/>
          <w:sz w:val="22"/>
          <w:szCs w:val="22"/>
          <w:lang w:val="en-US"/>
        </w:rPr>
        <w:t>e</w:t>
      </w:r>
      <w:r w:rsidR="007F6204" w:rsidRPr="003A5293">
        <w:rPr>
          <w:rFonts w:ascii="Arial" w:hAnsi="Arial" w:cs="Arial"/>
          <w:sz w:val="22"/>
          <w:szCs w:val="22"/>
          <w:lang w:val="en-US"/>
        </w:rPr>
        <w:t>levated levels of ROS at baseline or following stimulation</w:t>
      </w:r>
      <w:r w:rsidR="00B55CC2" w:rsidRPr="003A5293">
        <w:rPr>
          <w:rFonts w:ascii="Arial" w:hAnsi="Arial" w:cs="Arial"/>
          <w:sz w:val="22"/>
          <w:szCs w:val="22"/>
          <w:lang w:val="en-US"/>
        </w:rPr>
        <w:t xml:space="preserve"> with inflammatory mediators in leukocytes </w:t>
      </w:r>
      <w:r w:rsidR="00B55CC2" w:rsidRPr="003A5293">
        <w:rPr>
          <w:rFonts w:ascii="Arial" w:hAnsi="Arial" w:cs="Arial"/>
          <w:i/>
          <w:iCs/>
          <w:sz w:val="22"/>
          <w:szCs w:val="22"/>
          <w:lang w:val="en-US"/>
        </w:rPr>
        <w:t>of J</w:t>
      </w:r>
      <w:r w:rsidR="00CD395D">
        <w:rPr>
          <w:rFonts w:ascii="Arial" w:hAnsi="Arial" w:cs="Arial"/>
          <w:i/>
          <w:iCs/>
          <w:sz w:val="22"/>
          <w:szCs w:val="22"/>
          <w:lang w:val="en-US"/>
        </w:rPr>
        <w:t>ak2</w:t>
      </w:r>
      <w:r w:rsidR="00B55CC2" w:rsidRPr="003A5293">
        <w:rPr>
          <w:rFonts w:ascii="Arial" w:hAnsi="Arial" w:cs="Arial"/>
          <w:i/>
          <w:iCs/>
          <w:sz w:val="22"/>
          <w:szCs w:val="22"/>
          <w:lang w:val="en-US"/>
        </w:rPr>
        <w:t xml:space="preserve"> </w:t>
      </w:r>
      <w:r w:rsidR="00B55CC2" w:rsidRPr="00CD395D">
        <w:rPr>
          <w:rFonts w:ascii="Arial" w:hAnsi="Arial" w:cs="Arial"/>
          <w:sz w:val="22"/>
          <w:szCs w:val="22"/>
          <w:lang w:val="en-US"/>
        </w:rPr>
        <w:t>V617F</w:t>
      </w:r>
      <w:r w:rsidR="00B55CC2" w:rsidRPr="003A5293">
        <w:rPr>
          <w:rFonts w:ascii="Arial" w:hAnsi="Arial" w:cs="Arial"/>
          <w:sz w:val="22"/>
          <w:szCs w:val="22"/>
          <w:lang w:val="en-US"/>
        </w:rPr>
        <w:t xml:space="preserve"> knock-in mouse </w:t>
      </w:r>
      <w:r w:rsidR="007E6CDB" w:rsidRPr="003A5293">
        <w:rPr>
          <w:rFonts w:ascii="Arial" w:hAnsi="Arial" w:cs="Arial"/>
          <w:sz w:val="22"/>
          <w:szCs w:val="22"/>
          <w:lang w:val="en-US"/>
        </w:rPr>
        <w:t xml:space="preserve">model </w:t>
      </w:r>
      <w:r w:rsidR="00B55CC2" w:rsidRPr="003A5293">
        <w:rPr>
          <w:rFonts w:ascii="Arial" w:hAnsi="Arial" w:cs="Arial"/>
          <w:sz w:val="22"/>
          <w:szCs w:val="22"/>
          <w:lang w:val="en-US"/>
        </w:rPr>
        <w:t xml:space="preserve">and/or MPN patients </w:t>
      </w:r>
      <w:r w:rsidR="00B55CC2" w:rsidRPr="003A5293">
        <w:rPr>
          <w:rFonts w:ascii="Arial" w:hAnsi="Arial" w:cs="Arial"/>
          <w:sz w:val="22"/>
          <w:szCs w:val="22"/>
          <w:lang w:val="en-US"/>
        </w:rPr>
        <w:fldChar w:fldCharType="begin"/>
      </w:r>
      <w:r w:rsidR="00B55CC2" w:rsidRPr="003A5293">
        <w:rPr>
          <w:rFonts w:ascii="Arial" w:hAnsi="Arial" w:cs="Arial"/>
          <w:sz w:val="22"/>
          <w:szCs w:val="22"/>
          <w:lang w:val="en-US"/>
        </w:rPr>
        <w:instrText xml:space="preserve"> ADDIN ZOTERO_ITEM CSL_CITATION {"citationID":"fiRVyCpX","properties":{"formattedCitation":"(Craver et al., 2020)","plainCitation":"(Craver et al., 2020)","noteIndex":0},"citationItems":[{"id":1179,"uris":["http://zotero.org/users/2484452/items/7APYPTMH"],"uri":["http://zotero.org/users/2484452/items/7APYPTMH"],"itemData":{"id":1179,"type":"article-journal","abstract":"Key Points. The antioxidant NAC extends survival of the Vav-Cre:JAK2V617F knockin murine model of polycythemia vera.NAC has the potential to inhibit thrombosis","container-title":"Blood Advances","DOI":"10.1182/bloodadvances.2019000967","ISSN":"2473-9529","issue":"2","journalAbbreviation":"Blood Adv","language":"en","page":"312-321","source":"ashpublications.org","title":"N-acetylcysteine inhibits thrombosis in a murine model of myeloproliferative neoplasm","volume":"4","author":[{"family":"Craver","given":"Brianna M."},{"family":"Ramanathan","given":"Gajalakshmi"},{"family":"Hoang","given":"Summer"},{"family":"Chang","given":"Xinyue"},{"family":"Mendez Luque","given":"Laura F."},{"family":"Brooks","given":"Stefan"},{"family":"Lai","given":"Hew Yeng"},{"family":"Fleischman","given":"Angela G."}],"issued":{"date-parts":[["2020",1,28]]}}}],"schema":"https://github.com/citation-style-language/schema/raw/master/csl-citation.json"} </w:instrText>
      </w:r>
      <w:r w:rsidR="00B55CC2" w:rsidRPr="003A5293">
        <w:rPr>
          <w:rFonts w:ascii="Arial" w:hAnsi="Arial" w:cs="Arial"/>
          <w:sz w:val="22"/>
          <w:szCs w:val="22"/>
          <w:lang w:val="en-US"/>
        </w:rPr>
        <w:fldChar w:fldCharType="separate"/>
      </w:r>
      <w:r w:rsidR="00B55CC2" w:rsidRPr="003A5293">
        <w:rPr>
          <w:rFonts w:ascii="Arial" w:hAnsi="Arial" w:cs="Arial"/>
          <w:noProof/>
          <w:sz w:val="22"/>
          <w:szCs w:val="22"/>
          <w:lang w:val="en-US"/>
        </w:rPr>
        <w:t>(Craver et al., 2020)</w:t>
      </w:r>
      <w:r w:rsidR="00B55CC2" w:rsidRPr="003A5293">
        <w:rPr>
          <w:rFonts w:ascii="Arial" w:hAnsi="Arial" w:cs="Arial"/>
          <w:sz w:val="22"/>
          <w:szCs w:val="22"/>
          <w:lang w:val="en-US"/>
        </w:rPr>
        <w:fldChar w:fldCharType="end"/>
      </w:r>
      <w:r w:rsidR="00B55CC2" w:rsidRPr="003A5293">
        <w:rPr>
          <w:rFonts w:ascii="Arial" w:hAnsi="Arial" w:cs="Arial"/>
          <w:sz w:val="22"/>
          <w:szCs w:val="22"/>
          <w:lang w:val="en-US"/>
        </w:rPr>
        <w:t>.</w:t>
      </w:r>
      <w:r w:rsidR="007E6CDB" w:rsidRPr="003A5293">
        <w:rPr>
          <w:rFonts w:ascii="Arial" w:hAnsi="Arial" w:cs="Arial"/>
          <w:sz w:val="22"/>
          <w:szCs w:val="22"/>
          <w:lang w:val="en-US"/>
        </w:rPr>
        <w:t xml:space="preserve"> To reconcile the apparent paradox of inflammation-driven oxidative stress in </w:t>
      </w:r>
      <w:r w:rsidR="007E6CDB" w:rsidRPr="001B1DAC">
        <w:rPr>
          <w:rFonts w:ascii="Arial" w:hAnsi="Arial" w:cs="Arial"/>
          <w:sz w:val="22"/>
          <w:szCs w:val="22"/>
          <w:lang w:val="en-US"/>
        </w:rPr>
        <w:t>V617F</w:t>
      </w:r>
      <w:r w:rsidR="007E6CDB" w:rsidRPr="003A5293">
        <w:rPr>
          <w:rFonts w:ascii="Arial" w:hAnsi="Arial" w:cs="Arial"/>
          <w:sz w:val="22"/>
          <w:szCs w:val="22"/>
          <w:vertAlign w:val="superscript"/>
          <w:lang w:val="en-US"/>
        </w:rPr>
        <w:t>+</w:t>
      </w:r>
      <w:r w:rsidR="007E6CDB" w:rsidRPr="003A5293">
        <w:rPr>
          <w:rFonts w:ascii="Arial" w:hAnsi="Arial" w:cs="Arial"/>
          <w:sz w:val="22"/>
          <w:szCs w:val="22"/>
          <w:lang w:val="en-US"/>
        </w:rPr>
        <w:t xml:space="preserve"> HSCs and early progenitors with the </w:t>
      </w:r>
      <w:r w:rsidR="00767967" w:rsidRPr="003A5293">
        <w:rPr>
          <w:rFonts w:ascii="Arial" w:hAnsi="Arial" w:cs="Arial"/>
          <w:sz w:val="22"/>
          <w:szCs w:val="22"/>
          <w:lang w:val="en-US"/>
        </w:rPr>
        <w:t xml:space="preserve">latent </w:t>
      </w:r>
      <w:r w:rsidR="007E6CDB" w:rsidRPr="003A5293">
        <w:rPr>
          <w:rFonts w:ascii="Arial" w:hAnsi="Arial" w:cs="Arial"/>
          <w:sz w:val="22"/>
          <w:szCs w:val="22"/>
          <w:lang w:val="en-US"/>
        </w:rPr>
        <w:t>clinical</w:t>
      </w:r>
      <w:r w:rsidR="00767967" w:rsidRPr="003A5293">
        <w:rPr>
          <w:rFonts w:ascii="Arial" w:hAnsi="Arial" w:cs="Arial"/>
          <w:sz w:val="22"/>
          <w:szCs w:val="22"/>
          <w:lang w:val="en-US"/>
        </w:rPr>
        <w:t xml:space="preserve"> course</w:t>
      </w:r>
      <w:r w:rsidR="007E6CDB" w:rsidRPr="003A5293">
        <w:rPr>
          <w:rFonts w:ascii="Arial" w:hAnsi="Arial" w:cs="Arial"/>
          <w:sz w:val="22"/>
          <w:szCs w:val="22"/>
          <w:lang w:val="en-US"/>
        </w:rPr>
        <w:t xml:space="preserve"> and cytogenetic stability characteristic </w:t>
      </w:r>
      <w:r w:rsidR="009747D1" w:rsidRPr="003A5293">
        <w:rPr>
          <w:rFonts w:ascii="Arial" w:hAnsi="Arial" w:cs="Arial"/>
          <w:sz w:val="22"/>
          <w:szCs w:val="22"/>
          <w:lang w:val="en-US"/>
        </w:rPr>
        <w:fldChar w:fldCharType="begin"/>
      </w:r>
      <w:r w:rsidR="009747D1" w:rsidRPr="003A5293">
        <w:rPr>
          <w:rFonts w:ascii="Arial" w:hAnsi="Arial" w:cs="Arial"/>
          <w:sz w:val="22"/>
          <w:szCs w:val="22"/>
          <w:lang w:val="en-US"/>
        </w:rPr>
        <w:instrText xml:space="preserve"> ADDIN ZOTERO_ITEM CSL_CITATION {"citationID":"PZKl5ceW","properties":{"formattedCitation":"(Klampfl et al., 2011; Tefferi et al., 2014)","plainCitation":"(Klampfl et al., 2011; Tefferi et al., 2014)","noteIndex":0},"citationItems":[{"id":9,"uris":["http://zotero.org/users/2484452/items/RPUT4CVX"],"uri":["http://zotero.org/users/2484452/items/RPUT4CVX"],"itemData":{"id":9,"type":"article-journal","abstract":"Philadelphia chromosome–negative myeloproliferative neoplasms (MPNs) are clonal myeloid disorders with increased production of terminally differentiated cells. The disease course is generally chronic, but some patients show disease progression (secondary myelofibrosis or accelerated phase) and/or leukemic transformation. We investigated chromosomal aberrations in 408 MPN samples using high-resolution single-nucleotide polymorphism microarrays to identify disease-associated somatic lesions. Of 408 samples, 37.5% had a wild-type karyotype and 62.5% harbored at least 1 chromosomal aberration. We identified 25 recurrent aberrations that were found in 3 or more samples. An increased number of chromosomal lesions was significantly associated with patient age, as well as with disease progression and leukemic transformation, but no association was observed with MPN subtypes, Janus kinase 2 (JAK2) mutational status, or disease duration. Aberrations of chromosomes 1q and 9p were positively associated with disease progression to secondary myelofibrosis or accelerated phase. Changes of chromosomes 1q, 7q, 5q, 6p, 7p, 19q, 22q, and 3q were positively associated with post-MPN acute myeloid leukemia. We mapped commonly affected regions to single target genes on chromosomes 3p (forkhead box P1 [FOXP1]), 4q (tet oncogene family member 2 [TET2]), 7p (IKAROS family zinc finger 1 [IKZF1]), 7q (cut-like homeobox 1 [CUX1]), 12p (ets variant 6 [ETV6]), and 21q (runt-related transcription factor 1 [RUNX1]). Our data provide insight into the genetic complexity of MPNs and implicate new genes involved in disease progression.","container-title":"Blood","DOI":"10.1182/blood-2011-01-331678","ISSN":"0006-4971, 1528-0020","issue":"1","language":"en","note":"PMID: 21531982","page":"167-176","source":"www.bloodjournal.org","title":"Genome integrity of myeloproliferative neoplasms in chronic phase and during disease progression","volume":"118","author":[{"family":"Klampfl","given":"Thorsten"},{"family":"Harutyunyan","given":"Ashot"},{"family":"Berg","given":"Tiina"},{"family":"Gisslinger","given":"Bettina"},{"family":"Schalling","given":"Martin"},{"family":"Bagienski","given":"Klaudia"},{"family":"Olcaydu","given":"Damla"},{"family":"Passamonti","given":"Francesco"},{"family":"Rumi","given":"Elisa"},{"family":"Pietra","given":"Daniela"},{"family":"Jäger","given":"Roland"},{"family":"Pieri","given":"Lisa"},{"family":"Guglielmelli","given":"Paola"},{"family":"Iacobucci","given":"Ilaria"},{"family":"Martinelli","given":"Giovanni"},{"family":"Cazzola","given":"Mario"},{"family":"Vannucchi","given":"Alessandro M."},{"family":"Gisslinger","given":"Heinz"},{"family":"Kralovics","given":"Robert"}],"issued":{"date-parts":[["2011",7,7]]}}},{"id":8,"uris":["http://zotero.org/users/2484452/items/64MFSPT4"],"uri":["http://zotero.org/users/2484452/items/64MFSPT4"],"itemData":{"id":8,"type":"article-journal","abstract":"Janus kinase 2 (JAK2) mutations define polycythemia vera (PV). Calreticulin (CALR) and myeloproliferative leukemia virus oncogene (MPL) mutations are specific to JAK2-unmutated essential thrombocythemia (ET) and primary myelofibrosis (PMF). We examined the effect of these mutations on long-term disease outcome. One thousand five hundred eighty-one patients from the Mayo Clinic (n = 826) and Italy (n = 755) were studied. Fifty-eight percent of Mayo patients were followed until death; median survivals were 19.8 years in ET (n = 292), 13.5 PV (n = 267; hazard ratio [HR], 1.8; 95% confidence interval [CI], 1.4-2.2), and 5.9 PMF (n = 267; HR, 4.5; 95% CI, 3.5-5.7). The survival advantage of ET over PV was not affected by JAK2/CALR/MPL mutational status. Survival in ET was inferior to the age- and sex-matched US population (P &lt; .001). In PMF (n = 428), but not in ET (n = 576), survival and blast transformation (BT) were significantly affected by mutational status; outcome was best in CALR-mutated and worst in triple-negative patients: median survival, 16 vs 2.3 years (HR, 5.1; 95% CI, 3.2-8.0) and BT, 6.5% vs 25% (HR, 7.6; 95% CI, 2.8-20.2), respectively. We conclude that life expectancy in morphologically defined ET is significantly reduced but remains superior to that of PV, regardless of mutational status. In PMF, JAK2/CALR/MPL mutational status is prognostically informative.","container-title":"Blood","DOI":"10.1182/blood-2014-05-579136","ISSN":"0006-4971, 1528-0020","issue":"16","language":"en","note":"PMID: 25037629","page":"2507-2513","source":"www.bloodjournal.org","title":"Long-term survival and blast transformation in molecularly annotated essential thrombocythemia, polycythemia vera, and myelofibrosis","volume":"124","author":[{"family":"Tefferi","given":"Ayalew"},{"family":"Guglielmelli","given":"Paola"},{"family":"Larson","given":"Dirk R."},{"family":"Finke","given":"Christy"},{"family":"Wassie","given":"Emnet A."},{"family":"Pieri","given":"Lisa"},{"family":"Gangat","given":"Naseema"},{"family":"Fjerza","given":"Rajmonda"},{"family":"Belachew","given":"Alem A."},{"family":"Lasho","given":"Terra L."},{"family":"Ketterling","given":"Rhett P."},{"family":"Hanson","given":"Curtis A."},{"family":"Rambaldi","given":"Alessandro"},{"family":"Finazzi","given":"Guido"},{"family":"Thiele","given":"Juergen"},{"family":"Barbui","given":"Tiziano"},{"family":"Pardanani","given":"Animesh"},{"family":"Vannucchi","given":"Alessandro M."}],"issued":{"date-parts":[["2014",10,16]]}}}],"schema":"https://github.com/citation-style-language/schema/raw/master/csl-citation.json"} </w:instrText>
      </w:r>
      <w:r w:rsidR="009747D1" w:rsidRPr="003A5293">
        <w:rPr>
          <w:rFonts w:ascii="Arial" w:hAnsi="Arial" w:cs="Arial"/>
          <w:sz w:val="22"/>
          <w:szCs w:val="22"/>
          <w:lang w:val="en-US"/>
        </w:rPr>
        <w:fldChar w:fldCharType="separate"/>
      </w:r>
      <w:r w:rsidR="009747D1" w:rsidRPr="003A5293">
        <w:rPr>
          <w:rFonts w:ascii="Arial" w:hAnsi="Arial" w:cs="Arial"/>
          <w:noProof/>
          <w:sz w:val="22"/>
          <w:szCs w:val="22"/>
          <w:lang w:val="en-US"/>
        </w:rPr>
        <w:t>(Klampfl et al., 2011; Tefferi et al., 2014)</w:t>
      </w:r>
      <w:r w:rsidR="009747D1" w:rsidRPr="003A5293">
        <w:rPr>
          <w:rFonts w:ascii="Arial" w:hAnsi="Arial" w:cs="Arial"/>
          <w:sz w:val="22"/>
          <w:szCs w:val="22"/>
          <w:lang w:val="en-US"/>
        </w:rPr>
        <w:fldChar w:fldCharType="end"/>
      </w:r>
      <w:r w:rsidR="009747D1" w:rsidRPr="003A5293">
        <w:rPr>
          <w:rFonts w:ascii="Arial" w:hAnsi="Arial" w:cs="Arial"/>
          <w:sz w:val="22"/>
          <w:szCs w:val="22"/>
          <w:lang w:val="en-US"/>
        </w:rPr>
        <w:t xml:space="preserve"> </w:t>
      </w:r>
      <w:r w:rsidR="00767967" w:rsidRPr="003A5293">
        <w:rPr>
          <w:rFonts w:ascii="Arial" w:hAnsi="Arial" w:cs="Arial"/>
          <w:sz w:val="22"/>
          <w:szCs w:val="22"/>
          <w:lang w:val="en-US"/>
        </w:rPr>
        <w:t>we</w:t>
      </w:r>
      <w:r w:rsidR="007E6CDB" w:rsidRPr="003A5293">
        <w:rPr>
          <w:rFonts w:ascii="Arial" w:hAnsi="Arial" w:cs="Arial"/>
          <w:sz w:val="22"/>
          <w:szCs w:val="22"/>
          <w:lang w:val="en-US"/>
        </w:rPr>
        <w:t xml:space="preserve"> hypothesized that the </w:t>
      </w:r>
      <w:r w:rsidR="007E6CDB" w:rsidRPr="003A5293">
        <w:rPr>
          <w:rFonts w:ascii="Arial" w:hAnsi="Arial" w:cs="Arial"/>
          <w:i/>
          <w:iCs/>
          <w:sz w:val="22"/>
          <w:szCs w:val="22"/>
          <w:lang w:val="en-US"/>
        </w:rPr>
        <w:t xml:space="preserve">JAK2 </w:t>
      </w:r>
      <w:r w:rsidR="007E6CDB" w:rsidRPr="00CD395D">
        <w:rPr>
          <w:rFonts w:ascii="Arial" w:hAnsi="Arial" w:cs="Arial"/>
          <w:sz w:val="22"/>
          <w:szCs w:val="22"/>
          <w:lang w:val="en-US"/>
        </w:rPr>
        <w:t>V617F</w:t>
      </w:r>
      <w:r w:rsidR="007E6CDB" w:rsidRPr="003A5293">
        <w:rPr>
          <w:rFonts w:ascii="Arial" w:hAnsi="Arial" w:cs="Arial"/>
          <w:i/>
          <w:iCs/>
          <w:sz w:val="22"/>
          <w:szCs w:val="22"/>
          <w:vertAlign w:val="superscript"/>
          <w:lang w:val="en-US"/>
        </w:rPr>
        <w:t>+</w:t>
      </w:r>
      <w:r w:rsidR="007E6CDB" w:rsidRPr="003A5293">
        <w:rPr>
          <w:rFonts w:ascii="Arial" w:hAnsi="Arial" w:cs="Arial"/>
          <w:i/>
          <w:iCs/>
          <w:sz w:val="22"/>
          <w:szCs w:val="22"/>
          <w:lang w:val="en-US"/>
        </w:rPr>
        <w:t xml:space="preserve"> </w:t>
      </w:r>
      <w:r w:rsidR="007E6CDB" w:rsidRPr="003A5293">
        <w:rPr>
          <w:rFonts w:ascii="Arial" w:hAnsi="Arial" w:cs="Arial"/>
          <w:sz w:val="22"/>
          <w:szCs w:val="22"/>
          <w:lang w:val="en-US"/>
        </w:rPr>
        <w:t xml:space="preserve">progenitors must </w:t>
      </w:r>
      <w:r w:rsidR="00767967" w:rsidRPr="003A5293">
        <w:rPr>
          <w:rFonts w:ascii="Arial" w:hAnsi="Arial" w:cs="Arial"/>
          <w:sz w:val="22"/>
          <w:szCs w:val="22"/>
          <w:lang w:val="en-US"/>
        </w:rPr>
        <w:t>utilize</w:t>
      </w:r>
      <w:r w:rsidR="007E6CDB" w:rsidRPr="003A5293">
        <w:rPr>
          <w:rFonts w:ascii="Arial" w:hAnsi="Arial" w:cs="Arial"/>
          <w:sz w:val="22"/>
          <w:szCs w:val="22"/>
          <w:lang w:val="en-US"/>
        </w:rPr>
        <w:t xml:space="preserve"> antioxidant</w:t>
      </w:r>
      <w:r w:rsidR="00767967" w:rsidRPr="003A5293">
        <w:rPr>
          <w:rFonts w:ascii="Arial" w:hAnsi="Arial" w:cs="Arial"/>
          <w:sz w:val="22"/>
          <w:szCs w:val="22"/>
          <w:lang w:val="en-US"/>
        </w:rPr>
        <w:t xml:space="preserve"> buffering</w:t>
      </w:r>
      <w:r w:rsidR="007E6CDB" w:rsidRPr="003A5293">
        <w:rPr>
          <w:rFonts w:ascii="Arial" w:hAnsi="Arial" w:cs="Arial"/>
          <w:sz w:val="22"/>
          <w:szCs w:val="22"/>
          <w:lang w:val="en-US"/>
        </w:rPr>
        <w:t xml:space="preserve"> systems to avoid </w:t>
      </w:r>
      <w:r w:rsidR="00767967" w:rsidRPr="003A5293">
        <w:rPr>
          <w:rFonts w:ascii="Arial" w:hAnsi="Arial" w:cs="Arial"/>
          <w:sz w:val="22"/>
          <w:szCs w:val="22"/>
          <w:lang w:val="en-US"/>
        </w:rPr>
        <w:t>genotoxic effects</w:t>
      </w:r>
      <w:r w:rsidR="007E6CDB" w:rsidRPr="003A5293">
        <w:rPr>
          <w:rFonts w:ascii="Arial" w:hAnsi="Arial" w:cs="Arial"/>
          <w:sz w:val="22"/>
          <w:szCs w:val="22"/>
          <w:lang w:val="en-US"/>
        </w:rPr>
        <w:t xml:space="preserve"> of oxidative stress</w:t>
      </w:r>
      <w:r w:rsidR="00767967" w:rsidRPr="003A5293">
        <w:rPr>
          <w:rFonts w:ascii="Arial" w:hAnsi="Arial" w:cs="Arial"/>
          <w:sz w:val="22"/>
          <w:szCs w:val="22"/>
          <w:lang w:val="en-US"/>
        </w:rPr>
        <w:t>.</w:t>
      </w:r>
    </w:p>
    <w:p w14:paraId="11EA21AB" w14:textId="77777777" w:rsidR="005F1171" w:rsidRPr="003A5293" w:rsidRDefault="005F1171" w:rsidP="005D01C6">
      <w:pPr>
        <w:spacing w:line="360" w:lineRule="auto"/>
        <w:jc w:val="both"/>
        <w:rPr>
          <w:rFonts w:ascii="Arial" w:hAnsi="Arial" w:cs="Arial"/>
          <w:sz w:val="22"/>
          <w:szCs w:val="22"/>
          <w:lang w:val="en-US"/>
        </w:rPr>
      </w:pPr>
      <w:r w:rsidRPr="003A5293">
        <w:rPr>
          <w:rFonts w:ascii="Arial" w:hAnsi="Arial" w:cs="Arial"/>
          <w:sz w:val="22"/>
          <w:szCs w:val="22"/>
          <w:lang w:val="en-US"/>
        </w:rPr>
        <w:lastRenderedPageBreak/>
        <w:t xml:space="preserve">In order to study ROS levels and kinetics of ROS production/accumulation, we have used </w:t>
      </w:r>
      <w:proofErr w:type="spellStart"/>
      <w:r w:rsidRPr="003A5293">
        <w:rPr>
          <w:rFonts w:ascii="Arial" w:hAnsi="Arial" w:cs="Arial"/>
          <w:sz w:val="22"/>
          <w:szCs w:val="22"/>
          <w:lang w:val="en-US"/>
        </w:rPr>
        <w:t>CellROX</w:t>
      </w:r>
      <w:proofErr w:type="spellEnd"/>
      <w:r w:rsidRPr="003A5293">
        <w:rPr>
          <w:rFonts w:ascii="Arial" w:hAnsi="Arial" w:cs="Arial"/>
          <w:sz w:val="22"/>
          <w:szCs w:val="22"/>
          <w:lang w:val="en-US"/>
        </w:rPr>
        <w:t xml:space="preserve"> fluorogenic probe in various time points after treatment with inflammatory cytokines. We have detected differences in the amplitudes and kinetics of ROS between </w:t>
      </w:r>
      <w:r w:rsidRPr="003A5293">
        <w:rPr>
          <w:rFonts w:ascii="Arial" w:hAnsi="Arial" w:cs="Arial"/>
          <w:i/>
          <w:iCs/>
          <w:sz w:val="22"/>
          <w:szCs w:val="22"/>
          <w:lang w:val="en-US"/>
        </w:rPr>
        <w:t>JAK2</w:t>
      </w:r>
      <w:r w:rsidRPr="003A5293">
        <w:rPr>
          <w:rFonts w:ascii="Arial" w:hAnsi="Arial" w:cs="Arial"/>
          <w:sz w:val="22"/>
          <w:szCs w:val="22"/>
          <w:lang w:val="en-US"/>
        </w:rPr>
        <w:t xml:space="preserve"> </w:t>
      </w:r>
      <w:proofErr w:type="spellStart"/>
      <w:r w:rsidRPr="003A5293">
        <w:rPr>
          <w:rFonts w:ascii="Arial" w:hAnsi="Arial" w:cs="Arial"/>
          <w:sz w:val="22"/>
          <w:szCs w:val="22"/>
          <w:lang w:val="en-US"/>
        </w:rPr>
        <w:t>wt</w:t>
      </w:r>
      <w:proofErr w:type="spellEnd"/>
      <w:r w:rsidRPr="003A5293">
        <w:rPr>
          <w:rFonts w:ascii="Arial" w:hAnsi="Arial" w:cs="Arial"/>
          <w:sz w:val="22"/>
          <w:szCs w:val="22"/>
          <w:lang w:val="en-US"/>
        </w:rPr>
        <w:t xml:space="preserve"> and </w:t>
      </w:r>
      <w:r w:rsidRPr="001B1DAC">
        <w:rPr>
          <w:rFonts w:ascii="Arial" w:hAnsi="Arial" w:cs="Arial"/>
          <w:sz w:val="22"/>
          <w:szCs w:val="22"/>
          <w:lang w:val="en-US"/>
        </w:rPr>
        <w:t>V617F</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CD34</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P</w:t>
      </w:r>
      <w:r w:rsidR="002B6894">
        <w:rPr>
          <w:rFonts w:ascii="Arial" w:hAnsi="Arial" w:cs="Arial"/>
          <w:sz w:val="22"/>
          <w:szCs w:val="22"/>
          <w:lang w:val="en-US"/>
        </w:rPr>
        <w:t>-</w:t>
      </w:r>
      <w:r w:rsidRPr="003A5293">
        <w:rPr>
          <w:rFonts w:ascii="Arial" w:hAnsi="Arial" w:cs="Arial"/>
          <w:sz w:val="22"/>
          <w:szCs w:val="22"/>
          <w:lang w:val="en-US"/>
        </w:rPr>
        <w:t xml:space="preserve">ECs, with wildtype cells gradually increasing ROS levels after treatments with </w:t>
      </w:r>
      <w:proofErr w:type="spellStart"/>
      <w:r w:rsidRPr="003A5293">
        <w:rPr>
          <w:rFonts w:ascii="Arial" w:hAnsi="Arial" w:cs="Arial"/>
          <w:sz w:val="22"/>
          <w:szCs w:val="22"/>
          <w:lang w:val="en-US"/>
        </w:rPr>
        <w:t>IFNγ</w:t>
      </w:r>
      <w:proofErr w:type="spellEnd"/>
      <w:r w:rsidRPr="003A5293">
        <w:rPr>
          <w:rFonts w:ascii="Arial" w:hAnsi="Arial" w:cs="Arial"/>
          <w:sz w:val="22"/>
          <w:szCs w:val="22"/>
          <w:lang w:val="en-US"/>
        </w:rPr>
        <w:t xml:space="preserve"> alone or in combination with other cytokines, unable to detoxify cells of ROS after 24-hour time point (Figure12A). V617F</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w:t>
      </w:r>
      <w:r w:rsidR="00DC7C93" w:rsidRPr="003A5293">
        <w:rPr>
          <w:rFonts w:ascii="Arial" w:hAnsi="Arial" w:cs="Arial"/>
          <w:sz w:val="22"/>
          <w:szCs w:val="22"/>
          <w:lang w:val="en-US"/>
        </w:rPr>
        <w:t>CD34</w:t>
      </w:r>
      <w:r w:rsidR="00DC7C93" w:rsidRPr="003A5293">
        <w:rPr>
          <w:rFonts w:ascii="Arial" w:hAnsi="Arial" w:cs="Arial"/>
          <w:sz w:val="22"/>
          <w:szCs w:val="22"/>
          <w:vertAlign w:val="superscript"/>
          <w:lang w:val="en-US"/>
        </w:rPr>
        <w:t>+</w:t>
      </w:r>
      <w:r w:rsidR="00DC7C93" w:rsidRPr="003A5293">
        <w:rPr>
          <w:rFonts w:ascii="Arial" w:hAnsi="Arial" w:cs="Arial"/>
          <w:sz w:val="22"/>
          <w:szCs w:val="22"/>
          <w:lang w:val="en-US"/>
        </w:rPr>
        <w:t xml:space="preserve"> P</w:t>
      </w:r>
      <w:r w:rsidR="002B6894">
        <w:rPr>
          <w:rFonts w:ascii="Arial" w:hAnsi="Arial" w:cs="Arial"/>
          <w:sz w:val="22"/>
          <w:szCs w:val="22"/>
          <w:lang w:val="en-US"/>
        </w:rPr>
        <w:t>-</w:t>
      </w:r>
      <w:r w:rsidR="00DC7C93" w:rsidRPr="003A5293">
        <w:rPr>
          <w:rFonts w:ascii="Arial" w:hAnsi="Arial" w:cs="Arial"/>
          <w:sz w:val="22"/>
          <w:szCs w:val="22"/>
          <w:lang w:val="en-US"/>
        </w:rPr>
        <w:t>ECs</w:t>
      </w:r>
      <w:r w:rsidRPr="003A5293">
        <w:rPr>
          <w:rFonts w:ascii="Arial" w:hAnsi="Arial" w:cs="Arial"/>
          <w:sz w:val="22"/>
          <w:szCs w:val="22"/>
          <w:lang w:val="en-US"/>
        </w:rPr>
        <w:t xml:space="preserve"> however, exhibited less steep rise in ROS levels over time, with significant drop between 12 and 24-hour time point, restoring ROS levels even under initial values (Figure12A). Despite highly constrained levels of ROS in </w:t>
      </w:r>
      <w:r w:rsidRPr="003A5293">
        <w:rPr>
          <w:rFonts w:ascii="Arial" w:hAnsi="Arial" w:cs="Arial"/>
          <w:i/>
          <w:iCs/>
          <w:sz w:val="22"/>
          <w:szCs w:val="22"/>
          <w:lang w:val="en-US"/>
        </w:rPr>
        <w:t xml:space="preserve">JAK2 </w:t>
      </w:r>
      <w:r w:rsidRPr="00CD395D">
        <w:rPr>
          <w:rFonts w:ascii="Arial" w:hAnsi="Arial" w:cs="Arial"/>
          <w:sz w:val="22"/>
          <w:szCs w:val="22"/>
          <w:lang w:val="en-US"/>
        </w:rPr>
        <w:t>V617F</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progenitors, the total rates of ROS were maintained at </w:t>
      </w:r>
      <w:r w:rsidR="00CB34A2" w:rsidRPr="003A5293">
        <w:rPr>
          <w:rFonts w:ascii="Arial" w:hAnsi="Arial" w:cs="Arial"/>
          <w:sz w:val="22"/>
          <w:szCs w:val="22"/>
          <w:lang w:val="en-US"/>
        </w:rPr>
        <w:t>relatively high levels</w:t>
      </w:r>
      <w:r w:rsidRPr="003A5293">
        <w:rPr>
          <w:rFonts w:ascii="Arial" w:hAnsi="Arial" w:cs="Arial"/>
          <w:sz w:val="22"/>
          <w:szCs w:val="22"/>
          <w:lang w:val="en-US"/>
        </w:rPr>
        <w:t>, compared to wildtype progenitors (Figure 12B), resembling many types of malignancies, where elevated ROS levels promote many aspects of cancer development and progression</w:t>
      </w:r>
      <w:r w:rsidR="00DC7C93" w:rsidRPr="003A5293">
        <w:rPr>
          <w:rFonts w:ascii="Arial" w:hAnsi="Arial" w:cs="Arial"/>
          <w:sz w:val="22"/>
          <w:szCs w:val="22"/>
          <w:lang w:val="en-US"/>
        </w:rPr>
        <w:t xml:space="preserve"> </w:t>
      </w:r>
      <w:r w:rsidR="00DC7C93" w:rsidRPr="003A5293">
        <w:rPr>
          <w:rFonts w:ascii="Arial" w:hAnsi="Arial" w:cs="Arial"/>
          <w:sz w:val="22"/>
          <w:szCs w:val="22"/>
          <w:lang w:val="en-US"/>
        </w:rPr>
        <w:fldChar w:fldCharType="begin"/>
      </w:r>
      <w:r w:rsidR="00DC7C93" w:rsidRPr="003A5293">
        <w:rPr>
          <w:rFonts w:ascii="Arial" w:hAnsi="Arial" w:cs="Arial"/>
          <w:sz w:val="22"/>
          <w:szCs w:val="22"/>
          <w:lang w:val="en-US"/>
        </w:rPr>
        <w:instrText xml:space="preserve"> ADDIN ZOTERO_ITEM CSL_CITATION {"citationID":"8lW24ZEX","properties":{"formattedCitation":"(Aggarwal et al., 2019; Kwon et al., 2004; Salmeen et al., 2003; Seth and Rudolph, 2006)","plainCitation":"(Aggarwal et al., 2019; Kwon et al., 2004; Salmeen et al., 2003; Seth and Rudolph, 2006)","noteIndex":0},"citationItems":[{"id":1184,"uris":["http://zotero.org/users/2484452/items/WU784EAY"],"uri":["http://zotero.org/users/2484452/items/WU784EAY"],"itemData":{"id":1184,"type":"article-journal","abstract":"Reactive oxygen species (ROS) play a pivotal role in biological processes and continuous ROS production in normal cells is controlled by the appropriate regulation between the silver lining of low and high ROS concentration mediated effects. Interestingly, ROS also dynamically influences the tumor microenvironment and is known to initiate cancer angiogenesis, metastasis, and survival at different concentrations. At moderate concentration, ROS activates the cancer cell survival signaling cascade involving mitogen-activated protein kinase/extracellular signal-regulated protein kinases 1/2 (MAPK/ERK1/2), p38, c-Jun N-terminal kinase (JNK), and phosphoinositide-3-kinase/ protein kinase B (PI3K/Akt), which in turn activate the nuclear factor kappa-light-chain-enhancer of activated B cells (NF-κB), matrix metalloproteinases (MMPs), and vascular endothelial growth factor (VEGF). At high concentrations, ROS can cause cancer cell apoptosis. Hence, it critically depends upon the ROS levels, to either augment tumorigenesis or lead to apoptosis. The major issue is targeting the dual actions of ROS effectively with respect to the concentration bias, which needs to be monitored carefully to impede tumor angiogenesis and metastasis for ROS to serve as potential therapeutic targets exogenously/endogenously. Overall, additional research is required to comprehend the potential of ROS as an effective anti-tumor modality and therapeutic target for treating malignancies.","container-title":"Biomolecules","DOI":"10.3390/biom9110735","ISSN":"2218-273X","issue":"11","journalAbbreviation":"Biomolecules","note":"PMID: 31766246\nPMCID: PMC6920770","source":"PubMed Central","title":"Role of Reactive Oxygen Species in Cancer Progression: Molecular Mechanisms and Recent Advancements","title-short":"Role of Reactive Oxygen Species in Cancer Progression","URL":"https://www.ncbi.nlm.nih.gov/pmc/articles/PMC6920770/","volume":"9","author":[{"family":"Aggarwal","given":"Vaishali"},{"family":"Tuli","given":"Hardeep Singh"},{"family":"Varol","given":"Ayşegül"},{"family":"Thakral","given":"Falak"},{"family":"Yerer","given":"Mukerrem Betul"},{"family":"Sak","given":"Katrin"},{"family":"Varol","given":"Mehmet"},{"family":"Jain","given":"Aklank"},{"family":"Khan","given":"Md. Asaduzzaman"},{"family":"Sethi","given":"Gautam"}],"accessed":{"date-parts":[["2020",2,17]]},"issued":{"date-parts":[["2019",11,13]]}}},{"id":844,"uris":["http://zotero.org/users/2484452/items/IR3XWDEW"],"uri":["http://zotero.org/users/2484452/items/IR3XWDEW"],"itemData":{"id":844,"type":"article-journal","abstract":"Stimulation of cells with various peptide growth factors induces the production of phosphatidylinositol 3,4,5-trisphosphate (PIP3) through activation of phosphatidylinositol 3-kinase. The action of this enzyme is reversed by that of the tumor suppressor PTEN. With the use of cells overexpressing NADPH oxidase 1 or peroxiredoxin II, we have now shown that H2O2 produced in response to stimulation of cells with epidermal growth factor or platelet-derived growth factor potentiates PIP3 generation and activation of the protein kinase Akt induced by these growth factors. We also show that a small fraction of PTEN molecules is transiently inactivated as a result of oxidation of the essential cysteine residue of this phosphatase in various cell types stimulated with epidermal growth factor, platelet-derived growth factor, or insulin. These results suggest that the activation of phosphatidylinositol 3-kinase by growth factors might not be sufficient to induce the accumulation of PIP3 because of the opposing activity of PTEN and that the concomitant local inactivation of PTEN by H2O2 might be needed to increase the concentration of PIP3 sufficiently to trigger downstream signaling events. Furthermore, together with previous observations, our data indicate that peroxiredoxin likely participates in PIP3 signaling by modulating the local concentration of H2O2.","container-title":"Proceedings of the National Academy of Sciences of the United States of America","DOI":"10.1073/pnas.0407396101","ISSN":"0027-8424","issue":"47","journalAbbreviation":"Proc Natl Acad Sci U S A","note":"PMID: 15534200\nPMCID: PMC534546","page":"16419-16424","source":"PubMed Central","title":"Reversible oxidation and inactivation of the tumor suppressor PTEN in cells stimulated with peptide growth factors","volume":"101","author":[{"family":"Kwon","given":"Jaeyul"},{"family":"Lee","given":"Seung-Rock"},{"family":"Yang","given":"Kap-Seok"},{"family":"Ahn","given":"Younghee"},{"family":"Kim","given":"Yeun Ju"},{"family":"Stadtman","given":"Earl R."},{"family":"Rhee","given":"Sue Goo"}],"issued":{"date-parts":[["2004",11,23]]}}},{"id":847,"uris":["http://zotero.org/users/2484452/items/6U7JVZQ6"],"uri":["http://zotero.org/users/2484452/items/6U7JVZQ6"],"itemData":{"id":847,"type":"article-journal","abstract":"The second messenger hydrogen peroxide is required for optimal activation of numerous signal transduction pathways, particularly those mediated by protein tyrosine kinases. One mechanism by which hydrogen peroxide regulates cellular processes is the transient inhibition of protein tyrosine phosphatases through the reversible oxidization of their catalytic cysteine, which suppresses protein dephosphorylation. Here we describe a structural analysis of the redox-dependent regulation of protein tyrosine phosphatase 1B (PTP1B), which is reversibly inhibited by oxidation after cells are stimulated with insulin and epidermal growth factor. The sulphenic acid intermediate produced in response to PTP1B oxidation is rapidly converted into a previously unknown sulphenyl-amide species, in which the sulphur atom of the catalytic cysteine is covalently linked to the main chain nitrogen of an adjacent residue. Oxidation of PTP1B to the sulphenyl-amide form is accompanied by large conformational changes in the catalytic site that inhibit substrate binding. We propose that this unusual protein modification both protects the active-site cysteine residue of PTP1B from irreversible oxidation to sulphonic acid and permits redox regulation of the enzyme by promoting its reversible reduction by thiols.","container-title":"Nature","DOI":"10.1038/nature01680","ISSN":"0028-0836","issue":"6941","journalAbbreviation":"Nature","language":"eng","note":"PMID: 12802338","page":"769-773","source":"PubMed","title":"Redox regulation of protein tyrosine phosphatase 1B involves a sulphenyl-amide intermediate","volume":"423","author":[{"family":"Salmeen","given":"Annette"},{"family":"Andersen","given":"Jannik N."},{"family":"Myers","given":"Michael P."},{"family":"Meng","given":"Tzu-Ching"},{"family":"Hinks","given":"John A."},{"family":"Tonks","given":"Nicholas K."},{"family":"Barford","given":"David"}],"issued":{"date-parts":[["2003",6,12]]}}},{"id":849,"uris":["http://zotero.org/users/2484452/items/VXI7MIM8"],"uri":["http://zotero.org/users/2484452/items/VXI7MIM8"],"itemData":{"id":849,"type":"article-journal","abstract":"MAP kinase phosphatase 3 (MKP3) is a protein tyrosine phosphatase (PTP) for which in vivo evidence suggests that regulation can occur by oxidation and/or reduction of the active site cysteine. Using kinetics and mass spectrometry, we have probed the biochemical details of oxidation of the active site cysteine in MKP3, with particular focus on the mechanism of protection from irreversible inactivation to the sulfinic or sulfonic acid species. Like other PTPs, MKP3 was found to be rapidly and reversibly inactivated by mild treatment with hydrogen peroxide. We demonstrate that unlike the case for some PTPs, the sulfenic acid of the active site cysteine in MKP3 is not stabilized in the active site but instead is rapidly trapped in a re-reducible form. Unlike the case for other PTPs, the sulfenic acid in MKP3 does not form a sulfenyl-amide species with its neighboring residue or a disulfide with a single proximate cysteine. Instead, multiple cysteines distributed in both the N-terminal substrate-binding domain (Cys147 in particular) and the C-terminal catalytic domain (Cys218) are capable of rapidly and efficiently trapping the sulfenic acid as a disulfide. Our results extend the diversity of mechanisms utilized by PTPs to prevent irreversible oxidation of their active sites and expand the role of the N-terminal substrate recognition domain in MKP3 to include redox regulation.","container-title":"Biochemistry","DOI":"10.1021/bi060157p","ISSN":"0006-2960","issue":"28","journalAbbreviation":"Biochemistry","language":"eng","note":"PMID: 16834321","page":"8476-8487","source":"PubMed","title":"Redox regulation of MAP kinase phosphatase 3","volume":"45","author":[{"family":"Seth","given":"Divya"},{"family":"Rudolph","given":"Johannes"}],"issued":{"date-parts":[["2006",7,18]]}}}],"schema":"https://github.com/citation-style-language/schema/raw/master/csl-citation.json"} </w:instrText>
      </w:r>
      <w:r w:rsidR="00DC7C93" w:rsidRPr="003A5293">
        <w:rPr>
          <w:rFonts w:ascii="Arial" w:hAnsi="Arial" w:cs="Arial"/>
          <w:sz w:val="22"/>
          <w:szCs w:val="22"/>
          <w:lang w:val="en-US"/>
        </w:rPr>
        <w:fldChar w:fldCharType="separate"/>
      </w:r>
      <w:r w:rsidR="00DC7C93" w:rsidRPr="003A5293">
        <w:rPr>
          <w:rFonts w:ascii="Arial" w:hAnsi="Arial" w:cs="Arial"/>
          <w:noProof/>
          <w:sz w:val="22"/>
          <w:szCs w:val="22"/>
          <w:lang w:val="en-US"/>
        </w:rPr>
        <w:t>(Aggarwal et al., 2019; Kwon et al., 2004; Salmeen et al., 2003; Seth and Rudolph, 2006)</w:t>
      </w:r>
      <w:r w:rsidR="00DC7C93" w:rsidRPr="003A5293">
        <w:rPr>
          <w:rFonts w:ascii="Arial" w:hAnsi="Arial" w:cs="Arial"/>
          <w:sz w:val="22"/>
          <w:szCs w:val="22"/>
          <w:lang w:val="en-US"/>
        </w:rPr>
        <w:fldChar w:fldCharType="end"/>
      </w:r>
      <w:r w:rsidR="00DC7C93" w:rsidRPr="003A5293">
        <w:rPr>
          <w:rFonts w:ascii="Arial" w:hAnsi="Arial" w:cs="Arial"/>
          <w:sz w:val="22"/>
          <w:szCs w:val="22"/>
          <w:lang w:val="en-US"/>
        </w:rPr>
        <w:t>.</w:t>
      </w:r>
    </w:p>
    <w:p w14:paraId="5E1A58C3" w14:textId="77777777" w:rsidR="00767967" w:rsidRPr="003A5293" w:rsidRDefault="005F1171" w:rsidP="005D01C6">
      <w:pPr>
        <w:spacing w:line="360" w:lineRule="auto"/>
        <w:jc w:val="both"/>
        <w:rPr>
          <w:rFonts w:ascii="Arial" w:hAnsi="Arial" w:cs="Arial"/>
          <w:sz w:val="22"/>
          <w:szCs w:val="22"/>
          <w:lang w:val="en-US"/>
        </w:rPr>
      </w:pPr>
      <w:r w:rsidRPr="003A5293">
        <w:rPr>
          <w:rFonts w:ascii="Arial" w:hAnsi="Arial" w:cs="Arial"/>
          <w:b/>
          <w:bCs/>
          <w:sz w:val="22"/>
          <w:szCs w:val="22"/>
          <w:lang w:val="en-US"/>
        </w:rPr>
        <w:t>A</w:t>
      </w:r>
      <w:r w:rsidRPr="003A5293">
        <w:rPr>
          <w:rFonts w:ascii="Arial" w:hAnsi="Arial" w:cs="Arial"/>
          <w:b/>
          <w:bCs/>
          <w:sz w:val="22"/>
          <w:szCs w:val="22"/>
          <w:lang w:val="en-US"/>
        </w:rPr>
        <w:tab/>
      </w:r>
      <w:r w:rsidRPr="003A5293">
        <w:rPr>
          <w:rFonts w:ascii="Arial" w:hAnsi="Arial" w:cs="Arial"/>
          <w:b/>
          <w:bCs/>
          <w:sz w:val="22"/>
          <w:szCs w:val="22"/>
          <w:lang w:val="en-US"/>
        </w:rPr>
        <w:tab/>
      </w:r>
      <w:r w:rsidRPr="003A5293">
        <w:rPr>
          <w:rFonts w:ascii="Arial" w:hAnsi="Arial" w:cs="Arial"/>
          <w:b/>
          <w:bCs/>
          <w:sz w:val="22"/>
          <w:szCs w:val="22"/>
          <w:lang w:val="en-US"/>
        </w:rPr>
        <w:tab/>
      </w:r>
      <w:r w:rsidRPr="003A5293">
        <w:rPr>
          <w:rFonts w:ascii="Arial" w:hAnsi="Arial" w:cs="Arial"/>
          <w:b/>
          <w:bCs/>
          <w:sz w:val="22"/>
          <w:szCs w:val="22"/>
          <w:lang w:val="en-US"/>
        </w:rPr>
        <w:tab/>
      </w:r>
      <w:r w:rsidRPr="003A5293">
        <w:rPr>
          <w:rFonts w:ascii="Arial" w:hAnsi="Arial" w:cs="Arial"/>
          <w:b/>
          <w:bCs/>
          <w:sz w:val="22"/>
          <w:szCs w:val="22"/>
          <w:lang w:val="en-US"/>
        </w:rPr>
        <w:tab/>
      </w:r>
      <w:r w:rsidRPr="003A5293">
        <w:rPr>
          <w:rFonts w:ascii="Arial" w:hAnsi="Arial" w:cs="Arial"/>
          <w:b/>
          <w:bCs/>
          <w:sz w:val="22"/>
          <w:szCs w:val="22"/>
          <w:lang w:val="en-US"/>
        </w:rPr>
        <w:tab/>
      </w:r>
      <w:r w:rsidRPr="003A5293">
        <w:rPr>
          <w:rFonts w:ascii="Arial" w:hAnsi="Arial" w:cs="Arial"/>
          <w:b/>
          <w:bCs/>
          <w:sz w:val="22"/>
          <w:szCs w:val="22"/>
          <w:lang w:val="en-US"/>
        </w:rPr>
        <w:tab/>
      </w:r>
      <w:r w:rsidRPr="003A5293">
        <w:rPr>
          <w:rFonts w:ascii="Arial" w:hAnsi="Arial" w:cs="Arial"/>
          <w:b/>
          <w:bCs/>
          <w:sz w:val="22"/>
          <w:szCs w:val="22"/>
          <w:lang w:val="en-US"/>
        </w:rPr>
        <w:tab/>
        <w:t>B</w:t>
      </w:r>
    </w:p>
    <w:p w14:paraId="33CC2129" w14:textId="77777777" w:rsidR="00B16A9A" w:rsidRPr="003A5293" w:rsidRDefault="00B16A9A" w:rsidP="00B16A9A">
      <w:pPr>
        <w:spacing w:line="360" w:lineRule="auto"/>
        <w:jc w:val="both"/>
        <w:rPr>
          <w:rFonts w:ascii="Arial" w:hAnsi="Arial" w:cs="Arial"/>
          <w:sz w:val="22"/>
          <w:szCs w:val="22"/>
          <w:lang w:val="en-US"/>
        </w:rPr>
      </w:pPr>
      <w:r w:rsidRPr="003A5293">
        <w:rPr>
          <w:rFonts w:ascii="Arial" w:hAnsi="Arial" w:cs="Arial"/>
          <w:sz w:val="22"/>
          <w:szCs w:val="22"/>
          <w:lang w:val="en-US"/>
        </w:rPr>
        <w:fldChar w:fldCharType="begin"/>
      </w:r>
      <w:r w:rsidRPr="003A5293">
        <w:rPr>
          <w:rFonts w:ascii="Arial" w:hAnsi="Arial" w:cs="Arial"/>
          <w:sz w:val="22"/>
          <w:szCs w:val="22"/>
          <w:lang w:val="en-US"/>
        </w:rPr>
        <w:instrText xml:space="preserve"> INCLUDEPICTURE "https://media.springernature.com/full/springer-static/image/art%3A10.1038%2Fs41388-019-0813-7/MediaObjects/41388_2019_813_Fig3_HTML.png" \* MERGEFORMATINET </w:instrText>
      </w:r>
      <w:r w:rsidRPr="003A5293">
        <w:rPr>
          <w:rFonts w:ascii="Arial" w:hAnsi="Arial" w:cs="Arial"/>
          <w:sz w:val="22"/>
          <w:szCs w:val="22"/>
          <w:lang w:val="en-US"/>
        </w:rPr>
        <w:fldChar w:fldCharType="separate"/>
      </w:r>
      <w:r w:rsidRPr="003A5293">
        <w:rPr>
          <w:rFonts w:ascii="Arial" w:hAnsi="Arial" w:cs="Arial"/>
          <w:noProof/>
          <w:sz w:val="22"/>
          <w:szCs w:val="22"/>
          <w:lang w:val="cs-CZ" w:eastAsia="cs-CZ"/>
        </w:rPr>
        <w:drawing>
          <wp:inline distT="0" distB="0" distL="0" distR="0" wp14:anchorId="1B04F27A" wp14:editId="27D6E593">
            <wp:extent cx="5400000" cy="1750542"/>
            <wp:effectExtent l="0" t="0" r="0" b="2540"/>
            <wp:docPr id="19" name="Grafik 19" descr="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3"/>
                    <pic:cNvPicPr>
                      <a:picLocks noChangeAspect="1" noChangeArrowheads="1"/>
                    </pic:cNvPicPr>
                  </pic:nvPicPr>
                  <pic:blipFill rotWithShape="1">
                    <a:blip r:embed="rId26">
                      <a:extLst>
                        <a:ext uri="{28A0092B-C50C-407E-A947-70E740481C1C}">
                          <a14:useLocalDpi xmlns:a14="http://schemas.microsoft.com/office/drawing/2010/main" val="0"/>
                        </a:ext>
                      </a:extLst>
                    </a:blip>
                    <a:srcRect l="3140" t="79936" r="29674"/>
                    <a:stretch/>
                  </pic:blipFill>
                  <pic:spPr bwMode="auto">
                    <a:xfrm>
                      <a:off x="0" y="0"/>
                      <a:ext cx="5400000" cy="1750542"/>
                    </a:xfrm>
                    <a:prstGeom prst="rect">
                      <a:avLst/>
                    </a:prstGeom>
                    <a:noFill/>
                    <a:ln>
                      <a:noFill/>
                    </a:ln>
                    <a:extLst>
                      <a:ext uri="{53640926-AAD7-44D8-BBD7-CCE9431645EC}">
                        <a14:shadowObscured xmlns:a14="http://schemas.microsoft.com/office/drawing/2010/main"/>
                      </a:ext>
                    </a:extLst>
                  </pic:spPr>
                </pic:pic>
              </a:graphicData>
            </a:graphic>
          </wp:inline>
        </w:drawing>
      </w:r>
      <w:r w:rsidRPr="003A5293">
        <w:rPr>
          <w:rFonts w:ascii="Arial" w:hAnsi="Arial" w:cs="Arial"/>
          <w:sz w:val="22"/>
          <w:szCs w:val="22"/>
          <w:lang w:val="en-US"/>
        </w:rPr>
        <w:fldChar w:fldCharType="end"/>
      </w:r>
    </w:p>
    <w:p w14:paraId="3920E016" w14:textId="77777777" w:rsidR="00B16A9A" w:rsidRPr="003A5293" w:rsidRDefault="00B16A9A" w:rsidP="00B16A9A">
      <w:pPr>
        <w:spacing w:line="360" w:lineRule="auto"/>
        <w:jc w:val="both"/>
        <w:rPr>
          <w:rFonts w:ascii="Arial" w:hAnsi="Arial" w:cs="Arial"/>
          <w:sz w:val="22"/>
          <w:szCs w:val="22"/>
          <w:lang w:val="en-US"/>
        </w:rPr>
      </w:pPr>
      <w:r w:rsidRPr="003A5293">
        <w:rPr>
          <w:rFonts w:ascii="Arial" w:hAnsi="Arial" w:cs="Arial"/>
          <w:b/>
          <w:bCs/>
          <w:sz w:val="22"/>
          <w:szCs w:val="22"/>
          <w:lang w:val="en-US"/>
        </w:rPr>
        <w:t>Figure 12</w:t>
      </w:r>
      <w:r w:rsidRPr="003A5293">
        <w:rPr>
          <w:rFonts w:ascii="Arial" w:hAnsi="Arial" w:cs="Arial"/>
          <w:sz w:val="22"/>
          <w:szCs w:val="22"/>
          <w:lang w:val="en-US"/>
        </w:rPr>
        <w:t>:</w:t>
      </w:r>
      <w:r w:rsidR="00EC06A6" w:rsidRPr="003A5293">
        <w:rPr>
          <w:rFonts w:ascii="Arial" w:hAnsi="Arial" w:cs="Arial"/>
          <w:lang w:val="en-US"/>
        </w:rPr>
        <w:t xml:space="preserve"> </w:t>
      </w:r>
      <w:r w:rsidR="00EC06A6" w:rsidRPr="003A5293">
        <w:rPr>
          <w:rFonts w:ascii="Arial" w:hAnsi="Arial" w:cs="Arial"/>
          <w:sz w:val="22"/>
          <w:szCs w:val="22"/>
          <w:lang w:val="en-US"/>
        </w:rPr>
        <w:t xml:space="preserve">Effect of defined combinations of inflammatory cytokines on kinetics of ROS production in </w:t>
      </w:r>
      <w:r w:rsidR="00EC06A6" w:rsidRPr="003A5293">
        <w:rPr>
          <w:rFonts w:ascii="Arial" w:hAnsi="Arial" w:cs="Arial"/>
          <w:i/>
          <w:iCs/>
          <w:sz w:val="22"/>
          <w:szCs w:val="22"/>
          <w:lang w:val="en-US"/>
        </w:rPr>
        <w:t>JAK2</w:t>
      </w:r>
      <w:r w:rsidR="00EC06A6" w:rsidRPr="003A5293">
        <w:rPr>
          <w:rFonts w:ascii="Arial" w:hAnsi="Arial" w:cs="Arial"/>
          <w:sz w:val="22"/>
          <w:szCs w:val="22"/>
          <w:lang w:val="en-US"/>
        </w:rPr>
        <w:t xml:space="preserve"> </w:t>
      </w:r>
      <w:proofErr w:type="spellStart"/>
      <w:r w:rsidR="00EC06A6" w:rsidRPr="003A5293">
        <w:rPr>
          <w:rFonts w:ascii="Arial" w:hAnsi="Arial" w:cs="Arial"/>
          <w:sz w:val="22"/>
          <w:szCs w:val="22"/>
          <w:lang w:val="en-US"/>
        </w:rPr>
        <w:t>wt</w:t>
      </w:r>
      <w:proofErr w:type="spellEnd"/>
      <w:r w:rsidR="00EC06A6" w:rsidRPr="003A5293">
        <w:rPr>
          <w:rFonts w:ascii="Arial" w:hAnsi="Arial" w:cs="Arial"/>
          <w:sz w:val="22"/>
          <w:szCs w:val="22"/>
          <w:lang w:val="en-US"/>
        </w:rPr>
        <w:t xml:space="preserve"> and </w:t>
      </w:r>
      <w:r w:rsidR="00EC06A6" w:rsidRPr="00CD395D">
        <w:rPr>
          <w:rFonts w:ascii="Arial" w:hAnsi="Arial" w:cs="Arial"/>
          <w:sz w:val="22"/>
          <w:szCs w:val="22"/>
          <w:lang w:val="en-US"/>
        </w:rPr>
        <w:t>V617F</w:t>
      </w:r>
      <w:r w:rsidR="00EC06A6" w:rsidRPr="003A5293">
        <w:rPr>
          <w:rFonts w:ascii="Arial" w:hAnsi="Arial" w:cs="Arial"/>
          <w:sz w:val="22"/>
          <w:szCs w:val="22"/>
          <w:vertAlign w:val="superscript"/>
          <w:lang w:val="en-US"/>
        </w:rPr>
        <w:t>+</w:t>
      </w:r>
      <w:r w:rsidR="00EC06A6" w:rsidRPr="003A5293">
        <w:rPr>
          <w:rFonts w:ascii="Arial" w:hAnsi="Arial" w:cs="Arial"/>
          <w:sz w:val="22"/>
          <w:szCs w:val="22"/>
          <w:lang w:val="en-US"/>
        </w:rPr>
        <w:t xml:space="preserve"> CD34</w:t>
      </w:r>
      <w:r w:rsidR="00EC06A6" w:rsidRPr="003A5293">
        <w:rPr>
          <w:rFonts w:ascii="Arial" w:hAnsi="Arial" w:cs="Arial"/>
          <w:sz w:val="22"/>
          <w:szCs w:val="22"/>
          <w:vertAlign w:val="superscript"/>
          <w:lang w:val="en-US"/>
        </w:rPr>
        <w:t>+</w:t>
      </w:r>
      <w:r w:rsidR="00EC06A6" w:rsidRPr="003A5293">
        <w:rPr>
          <w:rFonts w:ascii="Arial" w:hAnsi="Arial" w:cs="Arial"/>
          <w:sz w:val="22"/>
          <w:szCs w:val="22"/>
          <w:lang w:val="en-US"/>
        </w:rPr>
        <w:t xml:space="preserve"> P-ECs. </w:t>
      </w:r>
      <w:r w:rsidR="00EC06A6" w:rsidRPr="003A5293">
        <w:rPr>
          <w:rFonts w:ascii="Arial" w:hAnsi="Arial" w:cs="Arial"/>
          <w:b/>
          <w:bCs/>
          <w:sz w:val="22"/>
          <w:szCs w:val="22"/>
          <w:lang w:val="en-US"/>
        </w:rPr>
        <w:t>A</w:t>
      </w:r>
      <w:r w:rsidR="00EC06A6" w:rsidRPr="003A5293">
        <w:rPr>
          <w:rFonts w:ascii="Arial" w:hAnsi="Arial" w:cs="Arial"/>
          <w:sz w:val="22"/>
          <w:szCs w:val="22"/>
          <w:lang w:val="en-US"/>
        </w:rPr>
        <w:t xml:space="preserve"> </w:t>
      </w:r>
      <w:r w:rsidR="00CB1D5E" w:rsidRPr="003A5293">
        <w:rPr>
          <w:rFonts w:ascii="Arial" w:hAnsi="Arial" w:cs="Arial"/>
          <w:sz w:val="22"/>
          <w:szCs w:val="22"/>
          <w:lang w:val="en-US"/>
        </w:rPr>
        <w:t xml:space="preserve">Charts present different amplitudes of ROS production between </w:t>
      </w:r>
      <w:r w:rsidR="00CB1D5E" w:rsidRPr="003A5293">
        <w:rPr>
          <w:rFonts w:ascii="Arial" w:hAnsi="Arial" w:cs="Arial"/>
          <w:i/>
          <w:iCs/>
          <w:sz w:val="22"/>
          <w:szCs w:val="22"/>
          <w:lang w:val="en-US"/>
        </w:rPr>
        <w:t>JAK2</w:t>
      </w:r>
      <w:r w:rsidR="00CB1D5E" w:rsidRPr="003A5293">
        <w:rPr>
          <w:rFonts w:ascii="Arial" w:hAnsi="Arial" w:cs="Arial"/>
          <w:sz w:val="22"/>
          <w:szCs w:val="22"/>
          <w:lang w:val="en-US"/>
        </w:rPr>
        <w:t xml:space="preserve"> </w:t>
      </w:r>
      <w:proofErr w:type="spellStart"/>
      <w:r w:rsidR="00CB1D5E" w:rsidRPr="003A5293">
        <w:rPr>
          <w:rFonts w:ascii="Arial" w:hAnsi="Arial" w:cs="Arial"/>
          <w:sz w:val="22"/>
          <w:szCs w:val="22"/>
          <w:lang w:val="en-US"/>
        </w:rPr>
        <w:t>wt</w:t>
      </w:r>
      <w:proofErr w:type="spellEnd"/>
      <w:r w:rsidR="00CB1D5E" w:rsidRPr="003A5293">
        <w:rPr>
          <w:rFonts w:ascii="Arial" w:hAnsi="Arial" w:cs="Arial"/>
          <w:sz w:val="22"/>
          <w:szCs w:val="22"/>
          <w:lang w:val="en-US"/>
        </w:rPr>
        <w:t xml:space="preserve"> and </w:t>
      </w:r>
      <w:r w:rsidR="00CB1D5E" w:rsidRPr="00CD395D">
        <w:rPr>
          <w:rFonts w:ascii="Arial" w:hAnsi="Arial" w:cs="Arial"/>
          <w:sz w:val="22"/>
          <w:szCs w:val="22"/>
          <w:lang w:val="en-US"/>
        </w:rPr>
        <w:t>V617F</w:t>
      </w:r>
      <w:r w:rsidR="00CB1D5E" w:rsidRPr="003A5293">
        <w:rPr>
          <w:rFonts w:ascii="Arial" w:hAnsi="Arial" w:cs="Arial"/>
          <w:sz w:val="22"/>
          <w:szCs w:val="22"/>
          <w:vertAlign w:val="superscript"/>
          <w:lang w:val="en-US"/>
        </w:rPr>
        <w:t>+</w:t>
      </w:r>
      <w:r w:rsidR="00CB1D5E" w:rsidRPr="003A5293">
        <w:rPr>
          <w:rFonts w:ascii="Arial" w:hAnsi="Arial" w:cs="Arial"/>
          <w:sz w:val="22"/>
          <w:szCs w:val="22"/>
          <w:lang w:val="en-US"/>
        </w:rPr>
        <w:t xml:space="preserve"> cells respectively as a mean ± SD (n= 3) of samples’ fluorescence intensities upon treatment with inflammatory cytokines for 3, 6, 12, and 24 h</w:t>
      </w:r>
      <w:r w:rsidR="00EC06A6" w:rsidRPr="003A5293">
        <w:rPr>
          <w:rFonts w:ascii="Arial" w:hAnsi="Arial" w:cs="Arial"/>
          <w:sz w:val="22"/>
          <w:szCs w:val="22"/>
          <w:lang w:val="en-US"/>
        </w:rPr>
        <w:t xml:space="preserve">. </w:t>
      </w:r>
      <w:r w:rsidR="00CB1D5E" w:rsidRPr="003A5293">
        <w:rPr>
          <w:rFonts w:ascii="Arial" w:hAnsi="Arial" w:cs="Arial"/>
          <w:b/>
          <w:bCs/>
          <w:sz w:val="22"/>
          <w:szCs w:val="22"/>
          <w:lang w:val="en-US"/>
        </w:rPr>
        <w:t>B</w:t>
      </w:r>
      <w:r w:rsidR="00EC06A6" w:rsidRPr="003A5293">
        <w:rPr>
          <w:rFonts w:ascii="Arial" w:hAnsi="Arial" w:cs="Arial"/>
          <w:sz w:val="22"/>
          <w:szCs w:val="22"/>
          <w:lang w:val="en-US"/>
        </w:rPr>
        <w:t xml:space="preserve"> </w:t>
      </w:r>
      <w:r w:rsidR="00CB1D5E" w:rsidRPr="003A5293">
        <w:rPr>
          <w:rFonts w:ascii="Arial" w:hAnsi="Arial" w:cs="Arial"/>
          <w:sz w:val="22"/>
          <w:szCs w:val="22"/>
          <w:lang w:val="en-US"/>
        </w:rPr>
        <w:t>C</w:t>
      </w:r>
      <w:r w:rsidR="00EC06A6" w:rsidRPr="003A5293">
        <w:rPr>
          <w:rFonts w:ascii="Arial" w:hAnsi="Arial" w:cs="Arial"/>
          <w:sz w:val="22"/>
          <w:szCs w:val="22"/>
          <w:lang w:val="en-US"/>
        </w:rPr>
        <w:t xml:space="preserve">hart is </w:t>
      </w:r>
      <w:r w:rsidR="00CB1D5E" w:rsidRPr="003A5293">
        <w:rPr>
          <w:rFonts w:ascii="Arial" w:hAnsi="Arial" w:cs="Arial"/>
          <w:sz w:val="22"/>
          <w:szCs w:val="22"/>
          <w:lang w:val="en-US"/>
        </w:rPr>
        <w:t xml:space="preserve">depicting higher but stable levels of ROS in </w:t>
      </w:r>
      <w:r w:rsidR="00CB1D5E" w:rsidRPr="001B1DAC">
        <w:rPr>
          <w:rFonts w:ascii="Arial" w:hAnsi="Arial" w:cs="Arial"/>
          <w:sz w:val="22"/>
          <w:szCs w:val="22"/>
          <w:lang w:val="en-US"/>
        </w:rPr>
        <w:t>V617F</w:t>
      </w:r>
      <w:r w:rsidR="00CB1D5E" w:rsidRPr="003A5293">
        <w:rPr>
          <w:rFonts w:ascii="Arial" w:hAnsi="Arial" w:cs="Arial"/>
          <w:sz w:val="22"/>
          <w:szCs w:val="22"/>
          <w:vertAlign w:val="superscript"/>
          <w:lang w:val="en-US"/>
        </w:rPr>
        <w:t>+</w:t>
      </w:r>
      <w:r w:rsidR="00CB1D5E" w:rsidRPr="003A5293">
        <w:rPr>
          <w:rFonts w:ascii="Arial" w:hAnsi="Arial" w:cs="Arial"/>
          <w:sz w:val="22"/>
          <w:szCs w:val="22"/>
          <w:lang w:val="en-US"/>
        </w:rPr>
        <w:t xml:space="preserve"> CD34</w:t>
      </w:r>
      <w:r w:rsidR="00CB1D5E" w:rsidRPr="003A5293">
        <w:rPr>
          <w:rFonts w:ascii="Arial" w:hAnsi="Arial" w:cs="Arial"/>
          <w:sz w:val="22"/>
          <w:szCs w:val="22"/>
          <w:vertAlign w:val="superscript"/>
          <w:lang w:val="en-US"/>
        </w:rPr>
        <w:t>+</w:t>
      </w:r>
      <w:r w:rsidR="00CB1D5E" w:rsidRPr="003A5293">
        <w:rPr>
          <w:rFonts w:ascii="Arial" w:hAnsi="Arial" w:cs="Arial"/>
          <w:sz w:val="22"/>
          <w:szCs w:val="22"/>
          <w:lang w:val="en-US"/>
        </w:rPr>
        <w:t xml:space="preserve"> P-ECs</w:t>
      </w:r>
      <w:r w:rsidR="00EC06A6" w:rsidRPr="003A5293">
        <w:rPr>
          <w:rFonts w:ascii="Arial" w:hAnsi="Arial" w:cs="Arial"/>
          <w:sz w:val="22"/>
          <w:szCs w:val="22"/>
          <w:lang w:val="en-US"/>
        </w:rPr>
        <w:t xml:space="preserve"> </w:t>
      </w:r>
      <w:r w:rsidR="00CB1D5E" w:rsidRPr="003A5293">
        <w:rPr>
          <w:rFonts w:ascii="Arial" w:hAnsi="Arial" w:cs="Arial"/>
          <w:sz w:val="22"/>
          <w:szCs w:val="22"/>
          <w:lang w:val="en-US"/>
        </w:rPr>
        <w:t>treated with inflammatory cytokines.</w:t>
      </w:r>
    </w:p>
    <w:p w14:paraId="3D417CB1" w14:textId="77777777" w:rsidR="005F03D9" w:rsidRPr="003A5293" w:rsidRDefault="005F03D9" w:rsidP="005F03D9">
      <w:pPr>
        <w:spacing w:line="360" w:lineRule="auto"/>
        <w:jc w:val="both"/>
        <w:rPr>
          <w:rFonts w:ascii="Arial" w:hAnsi="Arial" w:cs="Arial"/>
          <w:sz w:val="22"/>
          <w:szCs w:val="22"/>
          <w:lang w:val="en-US"/>
        </w:rPr>
      </w:pPr>
      <w:r w:rsidRPr="003A5293">
        <w:rPr>
          <w:rFonts w:ascii="Arial" w:hAnsi="Arial" w:cs="Arial"/>
          <w:sz w:val="22"/>
          <w:szCs w:val="22"/>
          <w:lang w:val="en-US"/>
        </w:rPr>
        <w:t xml:space="preserve">To analyze if the tightly regulated levels of ROS accumulation in </w:t>
      </w:r>
      <w:r w:rsidRPr="003A5293">
        <w:rPr>
          <w:rFonts w:ascii="Arial" w:hAnsi="Arial" w:cs="Arial"/>
          <w:i/>
          <w:iCs/>
          <w:sz w:val="22"/>
          <w:szCs w:val="22"/>
          <w:lang w:val="en-US"/>
        </w:rPr>
        <w:t xml:space="preserve">JAK2 </w:t>
      </w:r>
      <w:r w:rsidRPr="00CD395D">
        <w:rPr>
          <w:rFonts w:ascii="Arial" w:hAnsi="Arial" w:cs="Arial"/>
          <w:sz w:val="22"/>
          <w:szCs w:val="22"/>
          <w:lang w:val="en-US"/>
        </w:rPr>
        <w:t>V617F</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CD34</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P-ECs are associated with increased activity of antioxidant buffering system we have measured, activity of antioxidant enzymes, glutathione reductase (GR), glucose-6-phosphate dehydrogenase (G6PD), hexokinase (HK) and glutathione peroxidase (</w:t>
      </w:r>
      <w:proofErr w:type="spellStart"/>
      <w:r w:rsidRPr="003A5293">
        <w:rPr>
          <w:rFonts w:ascii="Arial" w:hAnsi="Arial" w:cs="Arial"/>
          <w:sz w:val="22"/>
          <w:szCs w:val="22"/>
          <w:lang w:val="en-US"/>
        </w:rPr>
        <w:t>GPx</w:t>
      </w:r>
      <w:proofErr w:type="spellEnd"/>
      <w:r w:rsidRPr="003A5293">
        <w:rPr>
          <w:rFonts w:ascii="Arial" w:hAnsi="Arial" w:cs="Arial"/>
          <w:sz w:val="22"/>
          <w:szCs w:val="22"/>
          <w:lang w:val="en-US"/>
        </w:rPr>
        <w:t xml:space="preserve">), and gluconolactone dehydrogenase (GLD) in cellular lysates. We have detected significantly increased intrinsic activity of GR, G6PD and HK in </w:t>
      </w:r>
      <w:r w:rsidRPr="003A5293">
        <w:rPr>
          <w:rFonts w:ascii="Arial" w:hAnsi="Arial" w:cs="Arial"/>
          <w:i/>
          <w:iCs/>
          <w:sz w:val="22"/>
          <w:szCs w:val="22"/>
          <w:lang w:val="en-US"/>
        </w:rPr>
        <w:t xml:space="preserve">JAK2 </w:t>
      </w:r>
      <w:r w:rsidRPr="00CD395D">
        <w:rPr>
          <w:rFonts w:ascii="Arial" w:hAnsi="Arial" w:cs="Arial"/>
          <w:sz w:val="22"/>
          <w:szCs w:val="22"/>
          <w:lang w:val="en-US"/>
        </w:rPr>
        <w:t>V617F</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CD34</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P-ECs, compared to </w:t>
      </w:r>
      <w:r w:rsidRPr="003A5293">
        <w:rPr>
          <w:rFonts w:ascii="Arial" w:hAnsi="Arial" w:cs="Arial"/>
          <w:i/>
          <w:iCs/>
          <w:sz w:val="22"/>
          <w:szCs w:val="22"/>
          <w:lang w:val="en-US"/>
        </w:rPr>
        <w:t>JAK2</w:t>
      </w:r>
      <w:r w:rsidRPr="003A5293">
        <w:rPr>
          <w:rFonts w:ascii="Arial" w:hAnsi="Arial" w:cs="Arial"/>
          <w:sz w:val="22"/>
          <w:szCs w:val="22"/>
          <w:lang w:val="en-US"/>
        </w:rPr>
        <w:t xml:space="preserve"> </w:t>
      </w:r>
      <w:proofErr w:type="spellStart"/>
      <w:r w:rsidRPr="003A5293">
        <w:rPr>
          <w:rFonts w:ascii="Arial" w:hAnsi="Arial" w:cs="Arial"/>
          <w:sz w:val="22"/>
          <w:szCs w:val="22"/>
          <w:lang w:val="en-US"/>
        </w:rPr>
        <w:t>wt</w:t>
      </w:r>
      <w:proofErr w:type="spellEnd"/>
      <w:r w:rsidRPr="003A5293">
        <w:rPr>
          <w:rFonts w:ascii="Arial" w:hAnsi="Arial" w:cs="Arial"/>
          <w:sz w:val="22"/>
          <w:szCs w:val="22"/>
          <w:lang w:val="en-US"/>
        </w:rPr>
        <w:t xml:space="preserve"> cells (Figure 13A). Activity of these enzymes was further increased upon treatment with inflammatory cytokines in both genotypes, however much higher in </w:t>
      </w:r>
      <w:r w:rsidRPr="001B1DAC">
        <w:rPr>
          <w:rFonts w:ascii="Arial" w:hAnsi="Arial" w:cs="Arial"/>
          <w:sz w:val="22"/>
          <w:szCs w:val="22"/>
          <w:lang w:val="en-US"/>
        </w:rPr>
        <w:t>V617F</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cells (Figure 13A). </w:t>
      </w:r>
      <w:r w:rsidR="00CB34A2" w:rsidRPr="003A5293">
        <w:rPr>
          <w:rFonts w:ascii="Arial" w:hAnsi="Arial" w:cs="Arial"/>
          <w:sz w:val="22"/>
          <w:szCs w:val="22"/>
          <w:lang w:val="en-US"/>
        </w:rPr>
        <w:t>T</w:t>
      </w:r>
      <w:r w:rsidRPr="003A5293">
        <w:rPr>
          <w:rFonts w:ascii="Arial" w:hAnsi="Arial" w:cs="Arial"/>
          <w:sz w:val="22"/>
          <w:szCs w:val="22"/>
          <w:lang w:val="en-US"/>
        </w:rPr>
        <w:t xml:space="preserve">his was reflected in a significantly increased total </w:t>
      </w:r>
      <w:r w:rsidRPr="003A5293">
        <w:rPr>
          <w:rFonts w:ascii="Arial" w:hAnsi="Arial" w:cs="Arial"/>
          <w:sz w:val="22"/>
          <w:szCs w:val="22"/>
          <w:lang w:val="en-US"/>
        </w:rPr>
        <w:lastRenderedPageBreak/>
        <w:t xml:space="preserve">antioxidant capacity of the </w:t>
      </w:r>
      <w:r w:rsidRPr="003A5293">
        <w:rPr>
          <w:rFonts w:ascii="Arial" w:hAnsi="Arial" w:cs="Arial"/>
          <w:i/>
          <w:iCs/>
          <w:sz w:val="22"/>
          <w:szCs w:val="22"/>
          <w:lang w:val="en-US"/>
        </w:rPr>
        <w:t xml:space="preserve">JAK2 </w:t>
      </w:r>
      <w:r w:rsidRPr="00CD395D">
        <w:rPr>
          <w:rFonts w:ascii="Arial" w:hAnsi="Arial" w:cs="Arial"/>
          <w:sz w:val="22"/>
          <w:szCs w:val="22"/>
          <w:lang w:val="en-US"/>
        </w:rPr>
        <w:t>V617F</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CD34</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P-ECs when compared with the </w:t>
      </w:r>
      <w:r w:rsidRPr="003A5293">
        <w:rPr>
          <w:rFonts w:ascii="Arial" w:hAnsi="Arial" w:cs="Arial"/>
          <w:i/>
          <w:iCs/>
          <w:sz w:val="22"/>
          <w:szCs w:val="22"/>
          <w:lang w:val="en-US"/>
        </w:rPr>
        <w:t>JAK2</w:t>
      </w:r>
      <w:r w:rsidRPr="003A5293">
        <w:rPr>
          <w:rFonts w:ascii="Arial" w:hAnsi="Arial" w:cs="Arial"/>
          <w:sz w:val="22"/>
          <w:szCs w:val="22"/>
          <w:lang w:val="en-US"/>
        </w:rPr>
        <w:t xml:space="preserve"> </w:t>
      </w:r>
      <w:proofErr w:type="spellStart"/>
      <w:r w:rsidRPr="003A5293">
        <w:rPr>
          <w:rFonts w:ascii="Arial" w:hAnsi="Arial" w:cs="Arial"/>
          <w:sz w:val="22"/>
          <w:szCs w:val="22"/>
          <w:lang w:val="en-US"/>
        </w:rPr>
        <w:t>wt</w:t>
      </w:r>
      <w:proofErr w:type="spellEnd"/>
      <w:r w:rsidRPr="003A5293">
        <w:rPr>
          <w:rFonts w:ascii="Arial" w:hAnsi="Arial" w:cs="Arial"/>
          <w:sz w:val="22"/>
          <w:szCs w:val="22"/>
          <w:lang w:val="en-US"/>
        </w:rPr>
        <w:t xml:space="preserve"> controls</w:t>
      </w:r>
      <w:r w:rsidR="00CB34A2" w:rsidRPr="003A5293">
        <w:rPr>
          <w:rFonts w:ascii="Arial" w:hAnsi="Arial" w:cs="Arial"/>
          <w:sz w:val="22"/>
          <w:szCs w:val="22"/>
          <w:lang w:val="en-US"/>
        </w:rPr>
        <w:t xml:space="preserve"> (Figure 13B)</w:t>
      </w:r>
      <w:r w:rsidRPr="003A5293">
        <w:rPr>
          <w:rFonts w:ascii="Arial" w:hAnsi="Arial" w:cs="Arial"/>
          <w:sz w:val="22"/>
          <w:szCs w:val="22"/>
          <w:lang w:val="en-US"/>
        </w:rPr>
        <w:t>.</w:t>
      </w:r>
    </w:p>
    <w:p w14:paraId="14595DD5" w14:textId="77777777" w:rsidR="00522819" w:rsidRPr="003A5293" w:rsidRDefault="00522819" w:rsidP="00B16A9A">
      <w:pPr>
        <w:spacing w:line="360" w:lineRule="auto"/>
        <w:jc w:val="both"/>
        <w:rPr>
          <w:rFonts w:ascii="Arial" w:hAnsi="Arial" w:cs="Arial"/>
          <w:b/>
          <w:bCs/>
          <w:sz w:val="22"/>
          <w:szCs w:val="22"/>
          <w:lang w:val="en-US"/>
        </w:rPr>
      </w:pPr>
      <w:r w:rsidRPr="003A5293">
        <w:rPr>
          <w:rFonts w:ascii="Arial" w:hAnsi="Arial" w:cs="Arial"/>
          <w:noProof/>
          <w:sz w:val="22"/>
          <w:szCs w:val="22"/>
          <w:lang w:val="cs-CZ" w:eastAsia="cs-CZ"/>
        </w:rPr>
        <mc:AlternateContent>
          <mc:Choice Requires="wps">
            <w:drawing>
              <wp:anchor distT="0" distB="0" distL="114300" distR="114300" simplePos="0" relativeHeight="251659264" behindDoc="0" locked="0" layoutInCell="1" allowOverlap="1" wp14:anchorId="7A31F52A" wp14:editId="6997585F">
                <wp:simplePos x="0" y="0"/>
                <wp:positionH relativeFrom="column">
                  <wp:posOffset>1122045</wp:posOffset>
                </wp:positionH>
                <wp:positionV relativeFrom="paragraph">
                  <wp:posOffset>242570</wp:posOffset>
                </wp:positionV>
                <wp:extent cx="1600200" cy="270510"/>
                <wp:effectExtent l="0" t="0" r="0" b="0"/>
                <wp:wrapNone/>
                <wp:docPr id="32" name="Textfeld 32"/>
                <wp:cNvGraphicFramePr/>
                <a:graphic xmlns:a="http://schemas.openxmlformats.org/drawingml/2006/main">
                  <a:graphicData uri="http://schemas.microsoft.com/office/word/2010/wordprocessingShape">
                    <wps:wsp>
                      <wps:cNvSpPr txBox="1"/>
                      <wps:spPr>
                        <a:xfrm>
                          <a:off x="0" y="0"/>
                          <a:ext cx="1600200" cy="270510"/>
                        </a:xfrm>
                        <a:prstGeom prst="rect">
                          <a:avLst/>
                        </a:prstGeom>
                        <a:noFill/>
                        <a:ln w="6350">
                          <a:noFill/>
                        </a:ln>
                      </wps:spPr>
                      <wps:txbx>
                        <w:txbxContent>
                          <w:p w14:paraId="3B94A31A" w14:textId="77777777" w:rsidR="00593278" w:rsidRPr="00522819" w:rsidRDefault="00593278" w:rsidP="00522819">
                            <w:pPr>
                              <w:jc w:val="center"/>
                              <w:rPr>
                                <w:rFonts w:ascii="Arial" w:hAnsi="Arial" w:cs="Arial"/>
                                <w:b/>
                                <w:bCs/>
                                <w:sz w:val="20"/>
                                <w:szCs w:val="20"/>
                                <w:lang w:val="en-US"/>
                              </w:rPr>
                            </w:pPr>
                            <w:r w:rsidRPr="00522819">
                              <w:rPr>
                                <w:rFonts w:ascii="Arial" w:hAnsi="Arial" w:cs="Arial"/>
                                <w:b/>
                                <w:bCs/>
                                <w:sz w:val="20"/>
                                <w:szCs w:val="20"/>
                                <w:lang w:val="en-US"/>
                              </w:rPr>
                              <w:t>Antioxidant enzymes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31F52A" id="Textfeld 32" o:spid="_x0000_s1053" type="#_x0000_t202" style="position:absolute;left:0;text-align:left;margin-left:88.35pt;margin-top:19.1pt;width:126pt;height:21.3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" filled="f" stroked="f" strokeweight=".5pt">
                <v:textbox>
                  <w:txbxContent>
                    <w:p w14:paraId="3B94A31A" w14:textId="77777777" w:rsidR="00593278" w:rsidRPr="00522819" w:rsidRDefault="00593278" w:rsidP="00522819">
                      <w:pPr>
                        <w:jc w:val="center"/>
                        <w:rPr>
                          <w:rFonts w:ascii="Arial" w:hAnsi="Arial" w:cs="Arial"/>
                          <w:b/>
                          <w:bCs/>
                          <w:sz w:val="20"/>
                          <w:szCs w:val="20"/>
                          <w:lang w:val="en-US"/>
                        </w:rPr>
                      </w:pPr>
                      <w:r w:rsidRPr="00522819">
                        <w:rPr>
                          <w:rFonts w:ascii="Arial" w:hAnsi="Arial" w:cs="Arial"/>
                          <w:b/>
                          <w:bCs/>
                          <w:sz w:val="20"/>
                          <w:szCs w:val="20"/>
                          <w:lang w:val="en-US"/>
                        </w:rPr>
                        <w:t>Antioxidant enzymes</w:t>
                      </w:r>
                    </w:p>
                  </w:txbxContent>
                </v:textbox>
              </v:shape>
            </w:pict>
          </mc:Fallback>
        </mc:AlternateContent>
      </w:r>
      <w:r w:rsidR="00B16A9A" w:rsidRPr="003A5293">
        <w:rPr>
          <w:rFonts w:ascii="Arial" w:hAnsi="Arial" w:cs="Arial"/>
          <w:b/>
          <w:bCs/>
          <w:sz w:val="22"/>
          <w:szCs w:val="22"/>
          <w:lang w:val="en-US"/>
        </w:rPr>
        <w:t>A</w:t>
      </w:r>
      <w:r w:rsidR="00B16A9A" w:rsidRPr="003A5293">
        <w:rPr>
          <w:rFonts w:ascii="Arial" w:hAnsi="Arial" w:cs="Arial"/>
          <w:b/>
          <w:bCs/>
          <w:sz w:val="22"/>
          <w:szCs w:val="22"/>
          <w:lang w:val="en-US"/>
        </w:rPr>
        <w:tab/>
      </w:r>
      <w:r w:rsidR="00B16A9A" w:rsidRPr="003A5293">
        <w:rPr>
          <w:rFonts w:ascii="Arial" w:hAnsi="Arial" w:cs="Arial"/>
          <w:b/>
          <w:bCs/>
          <w:sz w:val="22"/>
          <w:szCs w:val="22"/>
          <w:lang w:val="en-US"/>
        </w:rPr>
        <w:tab/>
      </w:r>
      <w:r w:rsidR="00B16A9A" w:rsidRPr="003A5293">
        <w:rPr>
          <w:rFonts w:ascii="Arial" w:hAnsi="Arial" w:cs="Arial"/>
          <w:b/>
          <w:bCs/>
          <w:sz w:val="22"/>
          <w:szCs w:val="22"/>
          <w:lang w:val="en-US"/>
        </w:rPr>
        <w:tab/>
      </w:r>
      <w:r w:rsidR="00B16A9A" w:rsidRPr="003A5293">
        <w:rPr>
          <w:rFonts w:ascii="Arial" w:hAnsi="Arial" w:cs="Arial"/>
          <w:b/>
          <w:bCs/>
          <w:sz w:val="22"/>
          <w:szCs w:val="22"/>
          <w:lang w:val="en-US"/>
        </w:rPr>
        <w:tab/>
      </w:r>
      <w:r w:rsidR="00B16A9A" w:rsidRPr="003A5293">
        <w:rPr>
          <w:rFonts w:ascii="Arial" w:hAnsi="Arial" w:cs="Arial"/>
          <w:b/>
          <w:bCs/>
          <w:sz w:val="22"/>
          <w:szCs w:val="22"/>
          <w:lang w:val="en-US"/>
        </w:rPr>
        <w:tab/>
      </w:r>
      <w:r w:rsidR="00B16A9A" w:rsidRPr="003A5293">
        <w:rPr>
          <w:rFonts w:ascii="Arial" w:hAnsi="Arial" w:cs="Arial"/>
          <w:b/>
          <w:bCs/>
          <w:sz w:val="22"/>
          <w:szCs w:val="22"/>
          <w:lang w:val="en-US"/>
        </w:rPr>
        <w:tab/>
      </w:r>
      <w:r w:rsidR="00B16A9A" w:rsidRPr="003A5293">
        <w:rPr>
          <w:rFonts w:ascii="Arial" w:hAnsi="Arial" w:cs="Arial"/>
          <w:b/>
          <w:bCs/>
          <w:sz w:val="22"/>
          <w:szCs w:val="22"/>
          <w:lang w:val="en-US"/>
        </w:rPr>
        <w:tab/>
      </w:r>
      <w:r w:rsidR="00B16A9A" w:rsidRPr="003A5293">
        <w:rPr>
          <w:rFonts w:ascii="Arial" w:hAnsi="Arial" w:cs="Arial"/>
          <w:b/>
          <w:bCs/>
          <w:sz w:val="22"/>
          <w:szCs w:val="22"/>
          <w:lang w:val="en-US"/>
        </w:rPr>
        <w:tab/>
        <w:t>B</w:t>
      </w:r>
    </w:p>
    <w:p w14:paraId="43716B74" w14:textId="77777777" w:rsidR="00B16A9A" w:rsidRPr="003A5293" w:rsidRDefault="00B16A9A" w:rsidP="00B16A9A">
      <w:pPr>
        <w:spacing w:line="360" w:lineRule="auto"/>
        <w:jc w:val="both"/>
        <w:rPr>
          <w:rFonts w:ascii="Arial" w:hAnsi="Arial" w:cs="Arial"/>
          <w:sz w:val="22"/>
          <w:szCs w:val="22"/>
          <w:lang w:val="en-US"/>
        </w:rPr>
      </w:pPr>
      <w:r w:rsidRPr="003A5293">
        <w:rPr>
          <w:rFonts w:ascii="Arial" w:hAnsi="Arial" w:cs="Arial"/>
          <w:noProof/>
          <w:sz w:val="22"/>
          <w:szCs w:val="22"/>
          <w:lang w:val="cs-CZ" w:eastAsia="cs-CZ"/>
        </w:rPr>
        <w:drawing>
          <wp:anchor distT="0" distB="0" distL="114300" distR="114300" simplePos="0" relativeHeight="251658240" behindDoc="0" locked="0" layoutInCell="1" allowOverlap="1" wp14:anchorId="6E262820" wp14:editId="48DE37E1">
            <wp:simplePos x="0" y="0"/>
            <wp:positionH relativeFrom="column">
              <wp:posOffset>635</wp:posOffset>
            </wp:positionH>
            <wp:positionV relativeFrom="paragraph">
              <wp:posOffset>0</wp:posOffset>
            </wp:positionV>
            <wp:extent cx="3757718" cy="3479549"/>
            <wp:effectExtent l="0" t="0" r="1905" b="635"/>
            <wp:wrapSquare wrapText="bothSides"/>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schirmfoto 2020-02-17 um 10.36.33.png"/>
                    <pic:cNvPicPr/>
                  </pic:nvPicPr>
                  <pic:blipFill rotWithShape="1">
                    <a:blip r:embed="rId27">
                      <a:extLst>
                        <a:ext uri="{28A0092B-C50C-407E-A947-70E740481C1C}">
                          <a14:useLocalDpi xmlns:a14="http://schemas.microsoft.com/office/drawing/2010/main" val="0"/>
                        </a:ext>
                      </a:extLst>
                    </a:blip>
                    <a:srcRect l="4106"/>
                    <a:stretch/>
                  </pic:blipFill>
                  <pic:spPr bwMode="auto">
                    <a:xfrm>
                      <a:off x="0" y="0"/>
                      <a:ext cx="3757718" cy="34795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5293">
        <w:rPr>
          <w:rFonts w:ascii="Arial" w:hAnsi="Arial" w:cs="Arial"/>
          <w:noProof/>
          <w:sz w:val="22"/>
          <w:szCs w:val="22"/>
          <w:lang w:val="cs-CZ" w:eastAsia="cs-CZ"/>
        </w:rPr>
        <w:drawing>
          <wp:inline distT="0" distB="0" distL="0" distR="0" wp14:anchorId="10128E14" wp14:editId="32E158DA">
            <wp:extent cx="1422400" cy="1819377"/>
            <wp:effectExtent l="0" t="0" r="0" b="0"/>
            <wp:docPr id="27" name="Grafik 27" descr="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3"/>
                    <pic:cNvPicPr>
                      <a:picLocks noChangeAspect="1" noChangeArrowheads="1"/>
                    </pic:cNvPicPr>
                  </pic:nvPicPr>
                  <pic:blipFill rotWithShape="1">
                    <a:blip r:embed="rId26">
                      <a:extLst>
                        <a:ext uri="{28A0092B-C50C-407E-A947-70E740481C1C}">
                          <a14:useLocalDpi xmlns:a14="http://schemas.microsoft.com/office/drawing/2010/main" val="0"/>
                        </a:ext>
                      </a:extLst>
                    </a:blip>
                    <a:srcRect l="72685" t="79936" r="10286"/>
                    <a:stretch/>
                  </pic:blipFill>
                  <pic:spPr bwMode="auto">
                    <a:xfrm>
                      <a:off x="0" y="0"/>
                      <a:ext cx="1425144" cy="1822887"/>
                    </a:xfrm>
                    <a:prstGeom prst="rect">
                      <a:avLst/>
                    </a:prstGeom>
                    <a:noFill/>
                    <a:ln>
                      <a:noFill/>
                    </a:ln>
                    <a:extLst>
                      <a:ext uri="{53640926-AAD7-44D8-BBD7-CCE9431645EC}">
                        <a14:shadowObscured xmlns:a14="http://schemas.microsoft.com/office/drawing/2010/main"/>
                      </a:ext>
                    </a:extLst>
                  </pic:spPr>
                </pic:pic>
              </a:graphicData>
            </a:graphic>
          </wp:inline>
        </w:drawing>
      </w:r>
      <w:r w:rsidRPr="003A5293">
        <w:rPr>
          <w:rFonts w:ascii="Arial" w:hAnsi="Arial" w:cs="Arial"/>
          <w:sz w:val="22"/>
          <w:szCs w:val="22"/>
          <w:lang w:val="en-US"/>
        </w:rPr>
        <w:fldChar w:fldCharType="begin"/>
      </w:r>
      <w:r w:rsidRPr="003A5293">
        <w:rPr>
          <w:rFonts w:ascii="Arial" w:hAnsi="Arial" w:cs="Arial"/>
          <w:sz w:val="22"/>
          <w:szCs w:val="22"/>
          <w:lang w:val="en-US"/>
        </w:rPr>
        <w:instrText xml:space="preserve"> INCLUDEPICTURE "https://media.springernature.com/full/springer-static/image/art%3A10.1038%2Fs41388-019-0813-7/MediaObjects/41388_2019_813_Fig3_HTML.png" \* MERGEFORMATINET </w:instrText>
      </w:r>
      <w:r w:rsidRPr="003A5293">
        <w:rPr>
          <w:rFonts w:ascii="Arial" w:hAnsi="Arial" w:cs="Arial"/>
          <w:sz w:val="22"/>
          <w:szCs w:val="22"/>
          <w:lang w:val="en-US"/>
        </w:rPr>
        <w:fldChar w:fldCharType="end"/>
      </w:r>
    </w:p>
    <w:p w14:paraId="71340805" w14:textId="77777777" w:rsidR="00E07EE3" w:rsidRPr="003A5293" w:rsidRDefault="00E07EE3" w:rsidP="005D01C6">
      <w:pPr>
        <w:spacing w:line="360" w:lineRule="auto"/>
        <w:jc w:val="both"/>
        <w:rPr>
          <w:rFonts w:ascii="Arial" w:hAnsi="Arial" w:cs="Arial"/>
          <w:sz w:val="22"/>
          <w:szCs w:val="22"/>
          <w:lang w:val="en-US"/>
        </w:rPr>
      </w:pPr>
    </w:p>
    <w:p w14:paraId="7424A192" w14:textId="77777777" w:rsidR="00E07EE3" w:rsidRPr="003A5293" w:rsidRDefault="00E07EE3" w:rsidP="005D01C6">
      <w:pPr>
        <w:spacing w:line="360" w:lineRule="auto"/>
        <w:jc w:val="both"/>
        <w:rPr>
          <w:rFonts w:ascii="Arial" w:hAnsi="Arial" w:cs="Arial"/>
          <w:sz w:val="22"/>
          <w:szCs w:val="22"/>
          <w:lang w:val="en-US"/>
        </w:rPr>
      </w:pPr>
    </w:p>
    <w:p w14:paraId="3C5764B0" w14:textId="77777777" w:rsidR="00B16A9A" w:rsidRPr="003A5293" w:rsidRDefault="00B16A9A" w:rsidP="005D01C6">
      <w:pPr>
        <w:spacing w:line="360" w:lineRule="auto"/>
        <w:jc w:val="both"/>
        <w:rPr>
          <w:rFonts w:ascii="Arial" w:hAnsi="Arial" w:cs="Arial"/>
          <w:sz w:val="22"/>
          <w:szCs w:val="22"/>
          <w:lang w:val="en-US"/>
        </w:rPr>
      </w:pPr>
    </w:p>
    <w:p w14:paraId="7FBE7725" w14:textId="77777777" w:rsidR="00B16A9A" w:rsidRPr="003A5293" w:rsidRDefault="00B16A9A" w:rsidP="005D01C6">
      <w:pPr>
        <w:spacing w:line="360" w:lineRule="auto"/>
        <w:jc w:val="both"/>
        <w:rPr>
          <w:rFonts w:ascii="Arial" w:hAnsi="Arial" w:cs="Arial"/>
          <w:sz w:val="22"/>
          <w:szCs w:val="22"/>
          <w:lang w:val="en-US"/>
        </w:rPr>
      </w:pPr>
    </w:p>
    <w:p w14:paraId="48EDC405" w14:textId="77777777" w:rsidR="00B16A9A" w:rsidRPr="003A5293" w:rsidRDefault="00B16A9A" w:rsidP="005D01C6">
      <w:pPr>
        <w:spacing w:line="360" w:lineRule="auto"/>
        <w:jc w:val="both"/>
        <w:rPr>
          <w:rFonts w:ascii="Arial" w:hAnsi="Arial" w:cs="Arial"/>
          <w:sz w:val="22"/>
          <w:szCs w:val="22"/>
          <w:lang w:val="en-US"/>
        </w:rPr>
      </w:pPr>
    </w:p>
    <w:p w14:paraId="6485DE23" w14:textId="77777777" w:rsidR="00B16A9A" w:rsidRPr="003A5293" w:rsidRDefault="00B16A9A" w:rsidP="005D01C6">
      <w:pPr>
        <w:spacing w:line="360" w:lineRule="auto"/>
        <w:jc w:val="both"/>
        <w:rPr>
          <w:rFonts w:ascii="Arial" w:hAnsi="Arial" w:cs="Arial"/>
          <w:sz w:val="22"/>
          <w:szCs w:val="22"/>
          <w:lang w:val="en-US"/>
        </w:rPr>
      </w:pPr>
    </w:p>
    <w:p w14:paraId="7EA7DB3F" w14:textId="77777777" w:rsidR="00B16A9A" w:rsidRPr="003A5293" w:rsidRDefault="00B16A9A" w:rsidP="005D01C6">
      <w:pPr>
        <w:spacing w:line="360" w:lineRule="auto"/>
        <w:jc w:val="both"/>
        <w:rPr>
          <w:rFonts w:ascii="Arial" w:hAnsi="Arial" w:cs="Arial"/>
          <w:sz w:val="22"/>
          <w:szCs w:val="22"/>
          <w:lang w:val="en-US"/>
        </w:rPr>
      </w:pPr>
    </w:p>
    <w:p w14:paraId="08930DBB" w14:textId="63DA43BF" w:rsidR="008A37EC" w:rsidRDefault="00B16A9A" w:rsidP="00B47525">
      <w:pPr>
        <w:spacing w:line="360" w:lineRule="auto"/>
        <w:jc w:val="both"/>
        <w:rPr>
          <w:rFonts w:ascii="Arial" w:eastAsia="+mn-ea" w:hAnsi="Arial" w:cs="Arial"/>
          <w:color w:val="000000"/>
          <w:kern w:val="24"/>
          <w:sz w:val="22"/>
          <w:szCs w:val="22"/>
          <w:lang w:val="en-US" w:eastAsia="cs-CZ"/>
        </w:rPr>
      </w:pPr>
      <w:r w:rsidRPr="003A5293">
        <w:rPr>
          <w:rFonts w:ascii="Arial" w:hAnsi="Arial" w:cs="Arial"/>
          <w:b/>
          <w:bCs/>
          <w:sz w:val="22"/>
          <w:szCs w:val="22"/>
          <w:lang w:val="en-US"/>
        </w:rPr>
        <w:t>Figure 13:</w:t>
      </w:r>
      <w:r w:rsidR="008A37EC" w:rsidRPr="003A5293">
        <w:rPr>
          <w:rFonts w:ascii="Arial" w:eastAsia="+mn-ea" w:hAnsi="Arial" w:cs="Arial"/>
          <w:color w:val="000000"/>
          <w:kern w:val="24"/>
          <w:sz w:val="22"/>
          <w:szCs w:val="22"/>
          <w:lang w:val="en-US" w:eastAsia="cs-CZ"/>
        </w:rPr>
        <w:t xml:space="preserve"> </w:t>
      </w:r>
      <w:r w:rsidR="008A37EC" w:rsidRPr="003A5293">
        <w:rPr>
          <w:rFonts w:ascii="Arial" w:eastAsia="+mn-ea" w:hAnsi="Arial" w:cs="Arial"/>
          <w:b/>
          <w:bCs/>
          <w:color w:val="000000"/>
          <w:kern w:val="24"/>
          <w:sz w:val="22"/>
          <w:szCs w:val="22"/>
          <w:lang w:val="en-US" w:eastAsia="cs-CZ"/>
        </w:rPr>
        <w:t>A</w:t>
      </w:r>
      <w:r w:rsidR="008A37EC" w:rsidRPr="003A5293">
        <w:rPr>
          <w:rFonts w:ascii="Arial" w:eastAsia="+mn-ea" w:hAnsi="Arial" w:cs="Arial"/>
          <w:color w:val="000000"/>
          <w:kern w:val="24"/>
          <w:sz w:val="22"/>
          <w:szCs w:val="22"/>
          <w:lang w:val="en-US" w:eastAsia="cs-CZ"/>
        </w:rPr>
        <w:t xml:space="preserve"> Bar graphs show</w:t>
      </w:r>
      <w:r w:rsidR="008A37EC" w:rsidRPr="003A5293">
        <w:rPr>
          <w:rFonts w:ascii="Arial" w:hAnsi="Arial" w:cs="Arial"/>
          <w:sz w:val="22"/>
          <w:szCs w:val="22"/>
          <w:lang w:val="en-US"/>
        </w:rPr>
        <w:t xml:space="preserve"> mean ± SD (n=3) </w:t>
      </w:r>
      <w:r w:rsidR="008A37EC" w:rsidRPr="003A5293">
        <w:rPr>
          <w:rFonts w:ascii="Arial" w:eastAsia="+mn-ea" w:hAnsi="Arial" w:cs="Arial"/>
          <w:color w:val="000000"/>
          <w:kern w:val="24"/>
          <w:sz w:val="22"/>
          <w:szCs w:val="22"/>
          <w:lang w:val="en-US" w:eastAsia="cs-CZ"/>
        </w:rPr>
        <w:t>of antioxidant buffering system enzymes activity (glutathione reductase (GR), glucose-6-phosphate dehydrogenase (G6PD), hexokinase (HK) and glutathione peroxidase (</w:t>
      </w:r>
      <w:proofErr w:type="spellStart"/>
      <w:r w:rsidR="008A37EC" w:rsidRPr="003A5293">
        <w:rPr>
          <w:rFonts w:ascii="Arial" w:eastAsia="+mn-ea" w:hAnsi="Arial" w:cs="Arial"/>
          <w:color w:val="000000"/>
          <w:kern w:val="24"/>
          <w:sz w:val="22"/>
          <w:szCs w:val="22"/>
          <w:lang w:val="en-US" w:eastAsia="cs-CZ"/>
        </w:rPr>
        <w:t>GPx</w:t>
      </w:r>
      <w:proofErr w:type="spellEnd"/>
      <w:r w:rsidR="008A37EC" w:rsidRPr="003A5293">
        <w:rPr>
          <w:rFonts w:ascii="Arial" w:eastAsia="+mn-ea" w:hAnsi="Arial" w:cs="Arial"/>
          <w:color w:val="000000"/>
          <w:kern w:val="24"/>
          <w:sz w:val="22"/>
          <w:szCs w:val="22"/>
          <w:lang w:val="en-US" w:eastAsia="cs-CZ"/>
        </w:rPr>
        <w:t xml:space="preserve">)) either in untreated (d9, in day 9 of differentiation) or inflammatory cytokine treated (d9 </w:t>
      </w:r>
      <w:proofErr w:type="spellStart"/>
      <w:r w:rsidR="008A37EC" w:rsidRPr="003A5293">
        <w:rPr>
          <w:rFonts w:ascii="Arial" w:eastAsia="+mn-ea" w:hAnsi="Arial" w:cs="Arial"/>
          <w:color w:val="000000"/>
          <w:kern w:val="24"/>
          <w:sz w:val="22"/>
          <w:szCs w:val="22"/>
          <w:lang w:val="en-US" w:eastAsia="cs-CZ"/>
        </w:rPr>
        <w:t>cyt</w:t>
      </w:r>
      <w:proofErr w:type="spellEnd"/>
      <w:r w:rsidR="008A37EC" w:rsidRPr="003A5293">
        <w:rPr>
          <w:rFonts w:ascii="Arial" w:eastAsia="+mn-ea" w:hAnsi="Arial" w:cs="Arial"/>
          <w:color w:val="000000"/>
          <w:kern w:val="24"/>
          <w:sz w:val="22"/>
          <w:szCs w:val="22"/>
          <w:lang w:val="en-US" w:eastAsia="cs-CZ"/>
        </w:rPr>
        <w:t xml:space="preserve">) JAK2 </w:t>
      </w:r>
      <w:proofErr w:type="spellStart"/>
      <w:r w:rsidR="008A37EC" w:rsidRPr="003A5293">
        <w:rPr>
          <w:rFonts w:ascii="Arial" w:eastAsia="+mn-ea" w:hAnsi="Arial" w:cs="Arial"/>
          <w:color w:val="000000"/>
          <w:kern w:val="24"/>
          <w:sz w:val="22"/>
          <w:szCs w:val="22"/>
          <w:lang w:val="en-US" w:eastAsia="cs-CZ"/>
        </w:rPr>
        <w:t>wt</w:t>
      </w:r>
      <w:proofErr w:type="spellEnd"/>
      <w:r w:rsidR="008A37EC" w:rsidRPr="003A5293">
        <w:rPr>
          <w:rFonts w:ascii="Arial" w:eastAsia="+mn-ea" w:hAnsi="Arial" w:cs="Arial"/>
          <w:color w:val="000000"/>
          <w:kern w:val="24"/>
          <w:sz w:val="22"/>
          <w:szCs w:val="22"/>
          <w:lang w:val="en-US" w:eastAsia="cs-CZ"/>
        </w:rPr>
        <w:t xml:space="preserve"> and V617F</w:t>
      </w:r>
      <w:r w:rsidR="008A37EC" w:rsidRPr="003A5293">
        <w:rPr>
          <w:rFonts w:ascii="Arial" w:eastAsia="+mn-ea" w:hAnsi="Arial" w:cs="Arial"/>
          <w:color w:val="000000"/>
          <w:kern w:val="24"/>
          <w:sz w:val="22"/>
          <w:szCs w:val="22"/>
          <w:vertAlign w:val="superscript"/>
          <w:lang w:val="en-US" w:eastAsia="cs-CZ"/>
        </w:rPr>
        <w:t>+</w:t>
      </w:r>
      <w:r w:rsidR="008A37EC" w:rsidRPr="003A5293">
        <w:rPr>
          <w:rFonts w:ascii="Arial" w:eastAsia="+mn-ea" w:hAnsi="Arial" w:cs="Arial"/>
          <w:color w:val="000000"/>
          <w:kern w:val="24"/>
          <w:sz w:val="22"/>
          <w:szCs w:val="22"/>
          <w:lang w:val="en-US" w:eastAsia="cs-CZ"/>
        </w:rPr>
        <w:t xml:space="preserve"> CD34</w:t>
      </w:r>
      <w:r w:rsidR="008A37EC" w:rsidRPr="003A5293">
        <w:rPr>
          <w:rFonts w:ascii="Arial" w:eastAsia="+mn-ea" w:hAnsi="Arial" w:cs="Arial"/>
          <w:color w:val="000000"/>
          <w:kern w:val="24"/>
          <w:sz w:val="22"/>
          <w:szCs w:val="22"/>
          <w:vertAlign w:val="superscript"/>
          <w:lang w:val="en-US" w:eastAsia="cs-CZ"/>
        </w:rPr>
        <w:t>+</w:t>
      </w:r>
      <w:r w:rsidR="008A37EC" w:rsidRPr="003A5293">
        <w:rPr>
          <w:rFonts w:ascii="Arial" w:eastAsia="+mn-ea" w:hAnsi="Arial" w:cs="Arial"/>
          <w:color w:val="000000"/>
          <w:kern w:val="24"/>
          <w:sz w:val="22"/>
          <w:szCs w:val="22"/>
          <w:lang w:val="en-US" w:eastAsia="cs-CZ"/>
        </w:rPr>
        <w:t xml:space="preserve"> P-ECs. </w:t>
      </w:r>
      <w:r w:rsidR="008A37EC" w:rsidRPr="003A5293">
        <w:rPr>
          <w:rFonts w:ascii="Arial" w:eastAsia="+mn-ea" w:hAnsi="Arial" w:cs="Arial"/>
          <w:i/>
          <w:iCs/>
          <w:color w:val="000000"/>
          <w:kern w:val="24"/>
          <w:sz w:val="22"/>
          <w:szCs w:val="22"/>
          <w:lang w:val="en-US" w:eastAsia="cs-CZ"/>
        </w:rPr>
        <w:t xml:space="preserve">*P ≤ 0.05, **P ≤ 0.01, ***P ≤ 0.001, ****P ≤ 0.0001, </w:t>
      </w:r>
      <w:r w:rsidR="008A37EC" w:rsidRPr="003A5293">
        <w:rPr>
          <w:rFonts w:ascii="Arial" w:eastAsia="+mn-ea" w:hAnsi="Arial" w:cs="Arial"/>
          <w:iCs/>
          <w:color w:val="000000"/>
          <w:kern w:val="24"/>
          <w:sz w:val="22"/>
          <w:szCs w:val="22"/>
          <w:lang w:val="en-US" w:eastAsia="cs-CZ"/>
        </w:rPr>
        <w:t>two-way ANOVA</w:t>
      </w:r>
      <w:r w:rsidR="008A37EC" w:rsidRPr="003A5293">
        <w:rPr>
          <w:rFonts w:ascii="Arial" w:eastAsia="+mn-ea" w:hAnsi="Arial" w:cs="Arial"/>
          <w:i/>
          <w:iCs/>
          <w:color w:val="000000"/>
          <w:kern w:val="24"/>
          <w:sz w:val="22"/>
          <w:szCs w:val="22"/>
          <w:lang w:val="en-US" w:eastAsia="cs-CZ"/>
        </w:rPr>
        <w:t>.</w:t>
      </w:r>
      <w:r w:rsidR="008A37EC" w:rsidRPr="003A5293">
        <w:rPr>
          <w:rFonts w:ascii="Arial" w:eastAsia="+mn-ea" w:hAnsi="Arial" w:cs="Arial"/>
          <w:b/>
          <w:bCs/>
          <w:color w:val="000000"/>
          <w:kern w:val="24"/>
          <w:sz w:val="22"/>
          <w:szCs w:val="22"/>
          <w:lang w:val="en-US" w:eastAsia="cs-CZ"/>
        </w:rPr>
        <w:t xml:space="preserve"> B </w:t>
      </w:r>
      <w:r w:rsidR="008A37EC" w:rsidRPr="003A5293">
        <w:rPr>
          <w:rFonts w:ascii="Arial" w:eastAsia="+mn-ea" w:hAnsi="Arial" w:cs="Arial"/>
          <w:color w:val="000000"/>
          <w:kern w:val="24"/>
          <w:sz w:val="22"/>
          <w:szCs w:val="22"/>
          <w:lang w:val="en-US" w:eastAsia="cs-CZ"/>
        </w:rPr>
        <w:t>Bar graph depict</w:t>
      </w:r>
      <w:r w:rsidR="00C46385" w:rsidRPr="003A5293">
        <w:rPr>
          <w:rFonts w:ascii="Arial" w:eastAsia="+mn-ea" w:hAnsi="Arial" w:cs="Arial"/>
          <w:color w:val="000000"/>
          <w:kern w:val="24"/>
          <w:sz w:val="22"/>
          <w:szCs w:val="22"/>
          <w:lang w:val="en-US" w:eastAsia="cs-CZ"/>
        </w:rPr>
        <w:t>s</w:t>
      </w:r>
      <w:r w:rsidR="008A37EC" w:rsidRPr="003A5293">
        <w:rPr>
          <w:rFonts w:ascii="Arial" w:eastAsia="+mn-ea" w:hAnsi="Arial" w:cs="Arial"/>
          <w:color w:val="000000"/>
          <w:kern w:val="24"/>
          <w:sz w:val="22"/>
          <w:szCs w:val="22"/>
          <w:lang w:val="en-US" w:eastAsia="cs-CZ"/>
        </w:rPr>
        <w:t xml:space="preserve"> total antioxidant capacity presented as a concentration of antioxidant ± SD (n = 2) in </w:t>
      </w:r>
      <w:r w:rsidR="008A37EC" w:rsidRPr="003A5293">
        <w:rPr>
          <w:rFonts w:ascii="Arial" w:eastAsia="+mn-ea" w:hAnsi="Arial" w:cs="Arial"/>
          <w:i/>
          <w:iCs/>
          <w:color w:val="000000"/>
          <w:kern w:val="24"/>
          <w:sz w:val="22"/>
          <w:szCs w:val="22"/>
          <w:lang w:val="en-US" w:eastAsia="cs-CZ"/>
        </w:rPr>
        <w:t>JAK2</w:t>
      </w:r>
      <w:r w:rsidR="00C46385" w:rsidRPr="003A5293">
        <w:rPr>
          <w:rFonts w:ascii="Arial" w:eastAsia="+mn-ea" w:hAnsi="Arial" w:cs="Arial"/>
          <w:color w:val="000000"/>
          <w:kern w:val="24"/>
          <w:sz w:val="22"/>
          <w:szCs w:val="22"/>
          <w:lang w:val="en-US" w:eastAsia="cs-CZ"/>
        </w:rPr>
        <w:t xml:space="preserve"> </w:t>
      </w:r>
      <w:proofErr w:type="spellStart"/>
      <w:r w:rsidR="008A37EC" w:rsidRPr="003A5293">
        <w:rPr>
          <w:rFonts w:ascii="Arial" w:eastAsia="+mn-ea" w:hAnsi="Arial" w:cs="Arial"/>
          <w:color w:val="000000"/>
          <w:kern w:val="24"/>
          <w:sz w:val="22"/>
          <w:szCs w:val="22"/>
          <w:lang w:val="en-US" w:eastAsia="cs-CZ"/>
        </w:rPr>
        <w:t>wt</w:t>
      </w:r>
      <w:proofErr w:type="spellEnd"/>
      <w:r w:rsidR="008A37EC" w:rsidRPr="003A5293">
        <w:rPr>
          <w:rFonts w:ascii="Arial" w:eastAsia="+mn-ea" w:hAnsi="Arial" w:cs="Arial"/>
          <w:color w:val="000000"/>
          <w:kern w:val="24"/>
          <w:sz w:val="22"/>
          <w:szCs w:val="22"/>
          <w:lang w:val="en-US" w:eastAsia="cs-CZ"/>
        </w:rPr>
        <w:t xml:space="preserve"> and </w:t>
      </w:r>
      <w:r w:rsidR="008A37EC" w:rsidRPr="003A5293">
        <w:rPr>
          <w:rFonts w:ascii="Arial" w:eastAsia="+mn-ea" w:hAnsi="Arial" w:cs="Arial"/>
          <w:i/>
          <w:iCs/>
          <w:color w:val="000000"/>
          <w:kern w:val="24"/>
          <w:sz w:val="22"/>
          <w:szCs w:val="22"/>
          <w:lang w:val="en-US" w:eastAsia="cs-CZ"/>
        </w:rPr>
        <w:t>JAK2</w:t>
      </w:r>
      <w:r w:rsidR="00C46385" w:rsidRPr="003A5293">
        <w:rPr>
          <w:rFonts w:ascii="Arial" w:eastAsia="+mn-ea" w:hAnsi="Arial" w:cs="Arial"/>
          <w:i/>
          <w:iCs/>
          <w:color w:val="000000"/>
          <w:kern w:val="24"/>
          <w:sz w:val="22"/>
          <w:szCs w:val="22"/>
          <w:lang w:val="en-US" w:eastAsia="cs-CZ"/>
        </w:rPr>
        <w:t xml:space="preserve"> </w:t>
      </w:r>
      <w:r w:rsidR="008A37EC" w:rsidRPr="00CD395D">
        <w:rPr>
          <w:rFonts w:ascii="Arial" w:eastAsia="+mn-ea" w:hAnsi="Arial" w:cs="Arial"/>
          <w:color w:val="000000"/>
          <w:kern w:val="24"/>
          <w:sz w:val="22"/>
          <w:szCs w:val="22"/>
          <w:lang w:val="en-US" w:eastAsia="cs-CZ"/>
        </w:rPr>
        <w:t>V617F</w:t>
      </w:r>
      <w:r w:rsidR="008A37EC" w:rsidRPr="003A5293">
        <w:rPr>
          <w:rFonts w:ascii="Arial" w:eastAsia="+mn-ea" w:hAnsi="Arial" w:cs="Arial"/>
          <w:color w:val="000000"/>
          <w:kern w:val="24"/>
          <w:sz w:val="22"/>
          <w:szCs w:val="22"/>
          <w:vertAlign w:val="superscript"/>
          <w:lang w:val="en-US" w:eastAsia="cs-CZ"/>
        </w:rPr>
        <w:t>+</w:t>
      </w:r>
      <w:r w:rsidR="008A37EC" w:rsidRPr="003A5293">
        <w:rPr>
          <w:rFonts w:ascii="Arial" w:eastAsia="+mn-ea" w:hAnsi="Arial" w:cs="Arial"/>
          <w:color w:val="000000"/>
          <w:kern w:val="24"/>
          <w:sz w:val="22"/>
          <w:szCs w:val="22"/>
          <w:lang w:val="en-US" w:eastAsia="cs-CZ"/>
        </w:rPr>
        <w:t xml:space="preserve"> CD34</w:t>
      </w:r>
      <w:r w:rsidR="008A37EC" w:rsidRPr="003A5293">
        <w:rPr>
          <w:rFonts w:ascii="Arial" w:eastAsia="+mn-ea" w:hAnsi="Arial" w:cs="Arial"/>
          <w:color w:val="000000"/>
          <w:kern w:val="24"/>
          <w:sz w:val="22"/>
          <w:szCs w:val="22"/>
          <w:vertAlign w:val="superscript"/>
          <w:lang w:val="en-US" w:eastAsia="cs-CZ"/>
        </w:rPr>
        <w:t>+</w:t>
      </w:r>
      <w:r w:rsidR="008A37EC" w:rsidRPr="003A5293">
        <w:rPr>
          <w:rFonts w:ascii="Arial" w:eastAsia="+mn-ea" w:hAnsi="Arial" w:cs="Arial"/>
          <w:color w:val="000000"/>
          <w:kern w:val="24"/>
          <w:sz w:val="22"/>
          <w:szCs w:val="22"/>
          <w:lang w:val="en-US" w:eastAsia="cs-CZ"/>
        </w:rPr>
        <w:t xml:space="preserve"> P-ECs treated with inflammatory cytokines for 24 h. *P ≤ 0.05, unpaired Student’s t-test (two-tailed).</w:t>
      </w:r>
    </w:p>
    <w:p w14:paraId="4765D3AC" w14:textId="77777777" w:rsidR="00B47525" w:rsidRPr="003A5293" w:rsidRDefault="00B47525" w:rsidP="00B47525">
      <w:pPr>
        <w:spacing w:line="360" w:lineRule="auto"/>
        <w:jc w:val="both"/>
        <w:rPr>
          <w:rFonts w:ascii="Arial" w:eastAsia="+mn-ea" w:hAnsi="Arial" w:cs="Arial"/>
          <w:b/>
          <w:bCs/>
          <w:color w:val="000000"/>
          <w:kern w:val="24"/>
          <w:sz w:val="22"/>
          <w:szCs w:val="22"/>
          <w:lang w:val="en-US" w:eastAsia="cs-CZ"/>
        </w:rPr>
      </w:pPr>
    </w:p>
    <w:p w14:paraId="0C826C92" w14:textId="77777777" w:rsidR="00B16A9A" w:rsidRPr="003A5293" w:rsidRDefault="00CB34A2" w:rsidP="005D01C6">
      <w:pPr>
        <w:spacing w:line="360" w:lineRule="auto"/>
        <w:jc w:val="both"/>
        <w:rPr>
          <w:rFonts w:ascii="Arial" w:hAnsi="Arial" w:cs="Arial"/>
          <w:sz w:val="22"/>
          <w:szCs w:val="22"/>
          <w:lang w:val="en-US"/>
        </w:rPr>
      </w:pPr>
      <w:r w:rsidRPr="003A5293">
        <w:rPr>
          <w:rFonts w:ascii="Arial" w:hAnsi="Arial" w:cs="Arial"/>
          <w:sz w:val="22"/>
          <w:szCs w:val="22"/>
          <w:lang w:val="en-US"/>
        </w:rPr>
        <w:t>Moreover</w:t>
      </w:r>
      <w:r w:rsidR="00C46385" w:rsidRPr="003A5293">
        <w:rPr>
          <w:rFonts w:ascii="Arial" w:hAnsi="Arial" w:cs="Arial"/>
          <w:sz w:val="22"/>
          <w:szCs w:val="22"/>
          <w:lang w:val="en-US"/>
        </w:rPr>
        <w:t xml:space="preserve">, </w:t>
      </w:r>
      <w:r w:rsidR="007020A6" w:rsidRPr="003A5293">
        <w:rPr>
          <w:rFonts w:ascii="Arial" w:hAnsi="Arial" w:cs="Arial"/>
          <w:sz w:val="22"/>
          <w:szCs w:val="22"/>
          <w:lang w:val="en-US"/>
        </w:rPr>
        <w:t xml:space="preserve">analysis of whole-transcriptome revealed </w:t>
      </w:r>
      <w:r w:rsidR="00C46385" w:rsidRPr="003A5293">
        <w:rPr>
          <w:rFonts w:ascii="Arial" w:hAnsi="Arial" w:cs="Arial"/>
          <w:sz w:val="22"/>
          <w:szCs w:val="22"/>
          <w:lang w:val="en-US"/>
        </w:rPr>
        <w:t xml:space="preserve">differentially upregulated expression of </w:t>
      </w:r>
      <w:r w:rsidR="007020A6" w:rsidRPr="003A5293">
        <w:rPr>
          <w:rFonts w:ascii="Arial" w:hAnsi="Arial" w:cs="Arial"/>
          <w:sz w:val="22"/>
          <w:szCs w:val="22"/>
          <w:lang w:val="en-US"/>
        </w:rPr>
        <w:t xml:space="preserve">key components of antioxidant defense system in </w:t>
      </w:r>
      <w:r w:rsidR="007020A6" w:rsidRPr="003A5293">
        <w:rPr>
          <w:rFonts w:ascii="Arial" w:hAnsi="Arial" w:cs="Arial"/>
          <w:i/>
          <w:iCs/>
          <w:sz w:val="22"/>
          <w:szCs w:val="22"/>
          <w:lang w:val="en-US"/>
        </w:rPr>
        <w:t xml:space="preserve">JAK2 </w:t>
      </w:r>
      <w:r w:rsidR="007020A6" w:rsidRPr="00CD395D">
        <w:rPr>
          <w:rFonts w:ascii="Arial" w:hAnsi="Arial" w:cs="Arial"/>
          <w:sz w:val="22"/>
          <w:szCs w:val="22"/>
          <w:lang w:val="en-US"/>
        </w:rPr>
        <w:t>V617F</w:t>
      </w:r>
      <w:r w:rsidR="007020A6" w:rsidRPr="003A5293">
        <w:rPr>
          <w:rFonts w:ascii="Arial" w:hAnsi="Arial" w:cs="Arial"/>
          <w:sz w:val="22"/>
          <w:szCs w:val="22"/>
          <w:vertAlign w:val="superscript"/>
          <w:lang w:val="en-US"/>
        </w:rPr>
        <w:t>+</w:t>
      </w:r>
      <w:r w:rsidR="007020A6" w:rsidRPr="003A5293">
        <w:rPr>
          <w:rFonts w:ascii="Arial" w:hAnsi="Arial" w:cs="Arial"/>
          <w:sz w:val="22"/>
          <w:szCs w:val="22"/>
          <w:lang w:val="en-US"/>
        </w:rPr>
        <w:t xml:space="preserve"> CD34</w:t>
      </w:r>
      <w:r w:rsidR="007020A6" w:rsidRPr="003A5293">
        <w:rPr>
          <w:rFonts w:ascii="Arial" w:hAnsi="Arial" w:cs="Arial"/>
          <w:sz w:val="22"/>
          <w:szCs w:val="22"/>
          <w:vertAlign w:val="superscript"/>
          <w:lang w:val="en-US"/>
        </w:rPr>
        <w:t>+</w:t>
      </w:r>
      <w:r w:rsidR="007020A6" w:rsidRPr="003A5293">
        <w:rPr>
          <w:rFonts w:ascii="Arial" w:hAnsi="Arial" w:cs="Arial"/>
          <w:sz w:val="22"/>
          <w:szCs w:val="22"/>
          <w:lang w:val="en-US"/>
        </w:rPr>
        <w:t xml:space="preserve"> P-ECs. Expression of </w:t>
      </w:r>
      <w:r w:rsidR="00C46385" w:rsidRPr="003A5293">
        <w:rPr>
          <w:rFonts w:ascii="Arial" w:hAnsi="Arial" w:cs="Arial"/>
          <w:sz w:val="22"/>
          <w:szCs w:val="22"/>
          <w:lang w:val="en-US"/>
        </w:rPr>
        <w:t>peroxiredoxins, cyclooxygenases, thioredoxins, and catalase</w:t>
      </w:r>
      <w:r w:rsidR="007020A6" w:rsidRPr="003A5293">
        <w:rPr>
          <w:rFonts w:ascii="Arial" w:hAnsi="Arial" w:cs="Arial"/>
          <w:sz w:val="22"/>
          <w:szCs w:val="22"/>
          <w:lang w:val="en-US"/>
        </w:rPr>
        <w:t xml:space="preserve"> were intrinsically upregulated</w:t>
      </w:r>
      <w:r w:rsidR="00C46385" w:rsidRPr="003A5293">
        <w:rPr>
          <w:rFonts w:ascii="Arial" w:hAnsi="Arial" w:cs="Arial"/>
          <w:sz w:val="22"/>
          <w:szCs w:val="22"/>
          <w:lang w:val="en-US"/>
        </w:rPr>
        <w:t xml:space="preserve"> in the </w:t>
      </w:r>
      <w:r w:rsidR="00C46385" w:rsidRPr="003A5293">
        <w:rPr>
          <w:rFonts w:ascii="Arial" w:hAnsi="Arial" w:cs="Arial"/>
          <w:i/>
          <w:iCs/>
          <w:sz w:val="22"/>
          <w:szCs w:val="22"/>
          <w:lang w:val="en-US"/>
        </w:rPr>
        <w:t>JAK2</w:t>
      </w:r>
      <w:r w:rsidR="007020A6" w:rsidRPr="003A5293">
        <w:rPr>
          <w:rFonts w:ascii="Arial" w:hAnsi="Arial" w:cs="Arial"/>
          <w:i/>
          <w:iCs/>
          <w:sz w:val="22"/>
          <w:szCs w:val="22"/>
          <w:lang w:val="en-US"/>
        </w:rPr>
        <w:t xml:space="preserve"> </w:t>
      </w:r>
      <w:r w:rsidR="00C46385" w:rsidRPr="00CD395D">
        <w:rPr>
          <w:rFonts w:ascii="Arial" w:hAnsi="Arial" w:cs="Arial"/>
          <w:sz w:val="22"/>
          <w:szCs w:val="22"/>
          <w:lang w:val="en-US"/>
        </w:rPr>
        <w:t>V617F</w:t>
      </w:r>
      <w:r w:rsidR="00C46385" w:rsidRPr="003A5293">
        <w:rPr>
          <w:rFonts w:ascii="Arial" w:hAnsi="Arial" w:cs="Arial"/>
          <w:sz w:val="22"/>
          <w:szCs w:val="22"/>
          <w:vertAlign w:val="superscript"/>
          <w:lang w:val="en-US"/>
        </w:rPr>
        <w:t>+</w:t>
      </w:r>
      <w:r w:rsidR="00C46385" w:rsidRPr="003A5293">
        <w:rPr>
          <w:rFonts w:ascii="Arial" w:hAnsi="Arial" w:cs="Arial"/>
          <w:sz w:val="22"/>
          <w:szCs w:val="22"/>
          <w:lang w:val="en-US"/>
        </w:rPr>
        <w:t xml:space="preserve"> CD34</w:t>
      </w:r>
      <w:r w:rsidR="00C46385" w:rsidRPr="003A5293">
        <w:rPr>
          <w:rFonts w:ascii="Arial" w:hAnsi="Arial" w:cs="Arial"/>
          <w:sz w:val="22"/>
          <w:szCs w:val="22"/>
          <w:vertAlign w:val="superscript"/>
          <w:lang w:val="en-US"/>
        </w:rPr>
        <w:t>+</w:t>
      </w:r>
      <w:r w:rsidR="00C46385" w:rsidRPr="003A5293">
        <w:rPr>
          <w:rFonts w:ascii="Arial" w:hAnsi="Arial" w:cs="Arial"/>
          <w:sz w:val="22"/>
          <w:szCs w:val="22"/>
          <w:lang w:val="en-US"/>
        </w:rPr>
        <w:t xml:space="preserve"> P-ECs</w:t>
      </w:r>
      <w:r w:rsidR="005576D5" w:rsidRPr="003A5293">
        <w:rPr>
          <w:rFonts w:ascii="Arial" w:hAnsi="Arial" w:cs="Arial"/>
          <w:sz w:val="22"/>
          <w:szCs w:val="22"/>
          <w:lang w:val="en-US"/>
        </w:rPr>
        <w:t xml:space="preserve"> (Figure 14)</w:t>
      </w:r>
      <w:r w:rsidR="00C46385" w:rsidRPr="003A5293">
        <w:rPr>
          <w:rFonts w:ascii="Arial" w:hAnsi="Arial" w:cs="Arial"/>
          <w:sz w:val="22"/>
          <w:szCs w:val="22"/>
          <w:lang w:val="en-US"/>
        </w:rPr>
        <w:t xml:space="preserve">. </w:t>
      </w:r>
    </w:p>
    <w:p w14:paraId="028BC1E8" w14:textId="77777777" w:rsidR="0081236E" w:rsidRPr="003A5293" w:rsidRDefault="00522819" w:rsidP="00522819">
      <w:pPr>
        <w:spacing w:line="360" w:lineRule="auto"/>
        <w:jc w:val="center"/>
        <w:rPr>
          <w:rFonts w:ascii="Arial" w:hAnsi="Arial" w:cs="Arial"/>
          <w:sz w:val="22"/>
          <w:szCs w:val="22"/>
          <w:lang w:val="en-US"/>
        </w:rPr>
      </w:pPr>
      <w:r w:rsidRPr="003A5293">
        <w:rPr>
          <w:rFonts w:ascii="Arial" w:hAnsi="Arial" w:cs="Arial"/>
          <w:noProof/>
          <w:sz w:val="22"/>
          <w:szCs w:val="22"/>
          <w:lang w:val="cs-CZ" w:eastAsia="cs-CZ"/>
        </w:rPr>
        <w:lastRenderedPageBreak/>
        <w:drawing>
          <wp:inline distT="0" distB="0" distL="0" distR="0" wp14:anchorId="0A1A76E5" wp14:editId="344FDE8C">
            <wp:extent cx="4805717" cy="647700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schirmfoto 2020-02-17 um 10.45.08.png"/>
                    <pic:cNvPicPr/>
                  </pic:nvPicPr>
                  <pic:blipFill>
                    <a:blip r:embed="rId28">
                      <a:extLst>
                        <a:ext uri="{28A0092B-C50C-407E-A947-70E740481C1C}">
                          <a14:useLocalDpi xmlns:a14="http://schemas.microsoft.com/office/drawing/2010/main" val="0"/>
                        </a:ext>
                      </a:extLst>
                    </a:blip>
                    <a:stretch>
                      <a:fillRect/>
                    </a:stretch>
                  </pic:blipFill>
                  <pic:spPr>
                    <a:xfrm>
                      <a:off x="0" y="0"/>
                      <a:ext cx="4811398" cy="6484657"/>
                    </a:xfrm>
                    <a:prstGeom prst="rect">
                      <a:avLst/>
                    </a:prstGeom>
                  </pic:spPr>
                </pic:pic>
              </a:graphicData>
            </a:graphic>
          </wp:inline>
        </w:drawing>
      </w:r>
    </w:p>
    <w:p w14:paraId="469AA2D8" w14:textId="77777777" w:rsidR="00522819" w:rsidRPr="003A5293" w:rsidRDefault="00522819" w:rsidP="005D01C6">
      <w:pPr>
        <w:spacing w:line="360" w:lineRule="auto"/>
        <w:jc w:val="both"/>
        <w:rPr>
          <w:rFonts w:ascii="Arial" w:hAnsi="Arial" w:cs="Arial"/>
          <w:color w:val="000000"/>
          <w:kern w:val="24"/>
          <w:sz w:val="22"/>
          <w:szCs w:val="22"/>
          <w:lang w:val="en-US" w:eastAsia="cs-CZ"/>
        </w:rPr>
      </w:pPr>
      <w:r w:rsidRPr="003A5293">
        <w:rPr>
          <w:rFonts w:ascii="Arial" w:hAnsi="Arial" w:cs="Arial"/>
          <w:b/>
          <w:bCs/>
          <w:sz w:val="22"/>
          <w:szCs w:val="22"/>
          <w:lang w:val="en-US"/>
        </w:rPr>
        <w:t>Figure 14:</w:t>
      </w:r>
      <w:r w:rsidR="00D82659" w:rsidRPr="003A5293">
        <w:rPr>
          <w:rFonts w:ascii="Arial" w:hAnsi="Arial" w:cs="Arial"/>
          <w:color w:val="000000"/>
          <w:kern w:val="24"/>
          <w:sz w:val="22"/>
          <w:szCs w:val="22"/>
          <w:lang w:val="en-US" w:eastAsia="cs-CZ"/>
        </w:rPr>
        <w:t xml:space="preserve"> Heatmap of antioxidant defense system gene set (n = 33; https://www.qiagen.com/ca/shop/pcr/primer-sets/rt2-profiler-pcr-arrays/?catno=PAHS-065Z#geneglobe) expression in untreated (d9) and inflammatory cytokine treated (d9 </w:t>
      </w:r>
      <w:proofErr w:type="spellStart"/>
      <w:r w:rsidR="00D82659" w:rsidRPr="003A5293">
        <w:rPr>
          <w:rFonts w:ascii="Arial" w:hAnsi="Arial" w:cs="Arial"/>
          <w:color w:val="000000"/>
          <w:kern w:val="24"/>
          <w:sz w:val="22"/>
          <w:szCs w:val="22"/>
          <w:lang w:val="en-US" w:eastAsia="cs-CZ"/>
        </w:rPr>
        <w:t>cyt</w:t>
      </w:r>
      <w:proofErr w:type="spellEnd"/>
      <w:r w:rsidR="00D82659" w:rsidRPr="003A5293">
        <w:rPr>
          <w:rFonts w:ascii="Arial" w:hAnsi="Arial" w:cs="Arial"/>
          <w:color w:val="000000"/>
          <w:kern w:val="24"/>
          <w:sz w:val="22"/>
          <w:szCs w:val="22"/>
          <w:lang w:val="en-US" w:eastAsia="cs-CZ"/>
        </w:rPr>
        <w:t xml:space="preserve">) </w:t>
      </w:r>
      <w:r w:rsidR="00D82659" w:rsidRPr="003A5293">
        <w:rPr>
          <w:rFonts w:ascii="Arial" w:hAnsi="Arial" w:cs="Arial"/>
          <w:i/>
          <w:iCs/>
          <w:color w:val="000000"/>
          <w:kern w:val="24"/>
          <w:sz w:val="22"/>
          <w:szCs w:val="22"/>
          <w:lang w:val="en-US" w:eastAsia="cs-CZ"/>
        </w:rPr>
        <w:t>JAK2</w:t>
      </w:r>
      <w:r w:rsidR="00D82659" w:rsidRPr="003A5293">
        <w:rPr>
          <w:rFonts w:ascii="Arial" w:hAnsi="Arial" w:cs="Arial"/>
          <w:color w:val="000000"/>
          <w:kern w:val="24"/>
          <w:sz w:val="22"/>
          <w:szCs w:val="22"/>
          <w:lang w:val="en-US" w:eastAsia="cs-CZ"/>
        </w:rPr>
        <w:t xml:space="preserve"> </w:t>
      </w:r>
      <w:proofErr w:type="spellStart"/>
      <w:r w:rsidR="00D82659" w:rsidRPr="003A5293">
        <w:rPr>
          <w:rFonts w:ascii="Arial" w:hAnsi="Arial" w:cs="Arial"/>
          <w:color w:val="000000"/>
          <w:kern w:val="24"/>
          <w:sz w:val="22"/>
          <w:szCs w:val="22"/>
          <w:lang w:val="en-US" w:eastAsia="cs-CZ"/>
        </w:rPr>
        <w:t>wt</w:t>
      </w:r>
      <w:proofErr w:type="spellEnd"/>
      <w:r w:rsidR="00D82659" w:rsidRPr="003A5293">
        <w:rPr>
          <w:rFonts w:ascii="Arial" w:hAnsi="Arial" w:cs="Arial"/>
          <w:color w:val="000000"/>
          <w:kern w:val="24"/>
          <w:sz w:val="22"/>
          <w:szCs w:val="22"/>
          <w:lang w:val="en-US" w:eastAsia="cs-CZ"/>
        </w:rPr>
        <w:t xml:space="preserve"> and </w:t>
      </w:r>
      <w:r w:rsidR="00D82659" w:rsidRPr="003A5293">
        <w:rPr>
          <w:rFonts w:ascii="Arial" w:hAnsi="Arial" w:cs="Arial"/>
          <w:i/>
          <w:iCs/>
          <w:color w:val="000000"/>
          <w:kern w:val="24"/>
          <w:sz w:val="22"/>
          <w:szCs w:val="22"/>
          <w:lang w:val="en-US" w:eastAsia="cs-CZ"/>
        </w:rPr>
        <w:t xml:space="preserve">JAK2 </w:t>
      </w:r>
      <w:r w:rsidR="00D82659" w:rsidRPr="00CD395D">
        <w:rPr>
          <w:rFonts w:ascii="Arial" w:hAnsi="Arial" w:cs="Arial"/>
          <w:color w:val="000000"/>
          <w:kern w:val="24"/>
          <w:sz w:val="22"/>
          <w:szCs w:val="22"/>
          <w:lang w:val="en-US" w:eastAsia="cs-CZ"/>
        </w:rPr>
        <w:t>V617F</w:t>
      </w:r>
      <w:r w:rsidR="00D82659" w:rsidRPr="003A5293">
        <w:rPr>
          <w:rFonts w:ascii="Arial" w:hAnsi="Arial" w:cs="Arial"/>
          <w:color w:val="000000"/>
          <w:kern w:val="24"/>
          <w:position w:val="6"/>
          <w:sz w:val="22"/>
          <w:szCs w:val="22"/>
          <w:vertAlign w:val="superscript"/>
          <w:lang w:val="en-US" w:eastAsia="cs-CZ"/>
        </w:rPr>
        <w:t>+</w:t>
      </w:r>
      <w:r w:rsidR="00D82659" w:rsidRPr="003A5293">
        <w:rPr>
          <w:rFonts w:ascii="Arial" w:hAnsi="Arial" w:cs="Arial"/>
          <w:color w:val="000000"/>
          <w:kern w:val="24"/>
          <w:sz w:val="22"/>
          <w:szCs w:val="22"/>
          <w:lang w:val="en-US" w:eastAsia="cs-CZ"/>
        </w:rPr>
        <w:t xml:space="preserve"> CD34</w:t>
      </w:r>
      <w:r w:rsidR="00D82659" w:rsidRPr="003A5293">
        <w:rPr>
          <w:rFonts w:ascii="Arial" w:hAnsi="Arial" w:cs="Arial"/>
          <w:color w:val="000000"/>
          <w:kern w:val="24"/>
          <w:position w:val="6"/>
          <w:sz w:val="22"/>
          <w:szCs w:val="22"/>
          <w:vertAlign w:val="superscript"/>
          <w:lang w:val="en-US" w:eastAsia="cs-CZ"/>
        </w:rPr>
        <w:t>+</w:t>
      </w:r>
      <w:r w:rsidR="00D82659" w:rsidRPr="003A5293">
        <w:rPr>
          <w:rFonts w:ascii="Arial" w:hAnsi="Arial" w:cs="Arial"/>
          <w:color w:val="000000"/>
          <w:kern w:val="24"/>
          <w:sz w:val="22"/>
          <w:szCs w:val="22"/>
          <w:lang w:val="en-US" w:eastAsia="cs-CZ"/>
        </w:rPr>
        <w:t xml:space="preserve"> P-ECs. Columns represent individual samples in experimental duplicates (1, 2).</w:t>
      </w:r>
    </w:p>
    <w:p w14:paraId="35660FD7" w14:textId="77777777" w:rsidR="005F03D9" w:rsidRPr="003A5293" w:rsidRDefault="005F03D9" w:rsidP="005D01C6">
      <w:pPr>
        <w:spacing w:line="360" w:lineRule="auto"/>
        <w:jc w:val="both"/>
        <w:rPr>
          <w:rFonts w:ascii="Arial" w:hAnsi="Arial" w:cs="Arial"/>
          <w:sz w:val="22"/>
          <w:szCs w:val="22"/>
          <w:lang w:val="en-US"/>
        </w:rPr>
      </w:pPr>
    </w:p>
    <w:p w14:paraId="277A6DA5" w14:textId="77777777" w:rsidR="005F03D9" w:rsidRPr="003A5293" w:rsidRDefault="005F03D9" w:rsidP="005D01C6">
      <w:pPr>
        <w:spacing w:line="360" w:lineRule="auto"/>
        <w:jc w:val="both"/>
        <w:rPr>
          <w:rFonts w:ascii="Arial" w:hAnsi="Arial" w:cs="Arial"/>
          <w:sz w:val="22"/>
          <w:szCs w:val="22"/>
          <w:lang w:val="en-US"/>
        </w:rPr>
      </w:pPr>
      <w:r w:rsidRPr="003A5293">
        <w:rPr>
          <w:rFonts w:ascii="Arial" w:hAnsi="Arial" w:cs="Arial"/>
          <w:sz w:val="22"/>
          <w:szCs w:val="22"/>
          <w:lang w:val="en-US"/>
        </w:rPr>
        <w:t xml:space="preserve">Collectively these results suggest increased intrinsic and induced ROS buffering capacity of </w:t>
      </w:r>
      <w:r w:rsidRPr="003A5293">
        <w:rPr>
          <w:rFonts w:ascii="Arial" w:hAnsi="Arial" w:cs="Arial"/>
          <w:i/>
          <w:iCs/>
          <w:sz w:val="22"/>
          <w:szCs w:val="22"/>
          <w:lang w:val="en-US"/>
        </w:rPr>
        <w:t xml:space="preserve">JAK2 </w:t>
      </w:r>
      <w:r w:rsidRPr="00CD395D">
        <w:rPr>
          <w:rFonts w:ascii="Arial" w:hAnsi="Arial" w:cs="Arial"/>
          <w:sz w:val="22"/>
          <w:szCs w:val="22"/>
          <w:lang w:val="en-US"/>
        </w:rPr>
        <w:t>V617F</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progenitors by </w:t>
      </w:r>
      <w:r w:rsidR="000A3477">
        <w:rPr>
          <w:rFonts w:ascii="Arial" w:hAnsi="Arial" w:cs="Arial"/>
          <w:sz w:val="22"/>
          <w:szCs w:val="22"/>
          <w:lang w:val="en-US"/>
        </w:rPr>
        <w:t xml:space="preserve">overexpressing and </w:t>
      </w:r>
      <w:r w:rsidRPr="003A5293">
        <w:rPr>
          <w:rFonts w:ascii="Arial" w:hAnsi="Arial" w:cs="Arial"/>
          <w:sz w:val="22"/>
          <w:szCs w:val="22"/>
          <w:lang w:val="en-US"/>
        </w:rPr>
        <w:t xml:space="preserve">hyper-activating cellular anti-oxidative enzymes, which are helping to keep delicate balance of elevated </w:t>
      </w:r>
      <w:r w:rsidRPr="003A5293">
        <w:rPr>
          <w:rFonts w:ascii="Arial" w:hAnsi="Arial" w:cs="Arial"/>
          <w:sz w:val="22"/>
          <w:szCs w:val="22"/>
          <w:lang w:val="en-US"/>
        </w:rPr>
        <w:lastRenderedPageBreak/>
        <w:t>intracellular ROS levels, required for propagation of malignant clone in inflammatory conditions.</w:t>
      </w:r>
    </w:p>
    <w:p w14:paraId="1ECD11CF" w14:textId="1BD95043" w:rsidR="00B213BF" w:rsidRPr="003A5293" w:rsidRDefault="00B213BF" w:rsidP="001B608A">
      <w:pPr>
        <w:pStyle w:val="Formatvorlage1"/>
        <w:rPr>
          <w:rFonts w:cs="Arial"/>
          <w:sz w:val="22"/>
          <w:szCs w:val="22"/>
        </w:rPr>
      </w:pPr>
      <w:bookmarkStart w:id="20" w:name="_Toc57582495"/>
      <w:r w:rsidRPr="003A5293">
        <w:rPr>
          <w:rFonts w:cs="Arial"/>
        </w:rPr>
        <w:t xml:space="preserve">PV cells are protected against accumulation of inflammation-evoked </w:t>
      </w:r>
      <w:r w:rsidRPr="003A5293">
        <w:rPr>
          <w:rFonts w:cs="Arial"/>
          <w:sz w:val="22"/>
          <w:szCs w:val="22"/>
        </w:rPr>
        <w:t>DNA damage</w:t>
      </w:r>
      <w:bookmarkEnd w:id="20"/>
    </w:p>
    <w:p w14:paraId="3C30F4E3" w14:textId="77777777" w:rsidR="00B213BF" w:rsidRDefault="00B213BF" w:rsidP="005D01C6">
      <w:pPr>
        <w:spacing w:line="360" w:lineRule="auto"/>
        <w:jc w:val="both"/>
        <w:rPr>
          <w:rFonts w:ascii="Arial" w:hAnsi="Arial" w:cs="Arial"/>
          <w:sz w:val="22"/>
          <w:szCs w:val="22"/>
          <w:lang w:val="en-US"/>
        </w:rPr>
      </w:pPr>
    </w:p>
    <w:p w14:paraId="3D2F7544" w14:textId="77777777" w:rsidR="004327B2" w:rsidRDefault="00D53C50" w:rsidP="004327B2">
      <w:pPr>
        <w:spacing w:line="360" w:lineRule="auto"/>
        <w:jc w:val="both"/>
        <w:rPr>
          <w:rFonts w:ascii="Arial" w:hAnsi="Arial" w:cs="Arial"/>
          <w:sz w:val="22"/>
          <w:szCs w:val="22"/>
          <w:lang w:val="en-US"/>
        </w:rPr>
      </w:pPr>
      <w:r>
        <w:rPr>
          <w:rFonts w:ascii="Arial" w:hAnsi="Arial" w:cs="Arial"/>
          <w:sz w:val="22"/>
          <w:szCs w:val="22"/>
          <w:lang w:val="en-US"/>
        </w:rPr>
        <w:tab/>
      </w:r>
      <w:r w:rsidR="00E86EC4">
        <w:rPr>
          <w:rFonts w:ascii="Arial" w:hAnsi="Arial" w:cs="Arial"/>
          <w:sz w:val="22"/>
          <w:szCs w:val="22"/>
          <w:lang w:val="en-US"/>
        </w:rPr>
        <w:t xml:space="preserve">As discussed </w:t>
      </w:r>
      <w:r w:rsidR="004B6423">
        <w:rPr>
          <w:rFonts w:ascii="Arial" w:hAnsi="Arial" w:cs="Arial"/>
          <w:sz w:val="22"/>
          <w:szCs w:val="22"/>
          <w:lang w:val="en-US"/>
        </w:rPr>
        <w:t xml:space="preserve">previously </w:t>
      </w:r>
      <w:r w:rsidR="00E86EC4">
        <w:rPr>
          <w:rFonts w:ascii="Arial" w:hAnsi="Arial" w:cs="Arial"/>
          <w:sz w:val="22"/>
          <w:szCs w:val="22"/>
          <w:lang w:val="en-US"/>
        </w:rPr>
        <w:t>s</w:t>
      </w:r>
      <w:r w:rsidR="00E86EC4" w:rsidRPr="00E86EC4">
        <w:rPr>
          <w:rFonts w:ascii="Arial" w:hAnsi="Arial" w:cs="Arial"/>
          <w:sz w:val="22"/>
          <w:szCs w:val="22"/>
          <w:lang w:val="en-US"/>
        </w:rPr>
        <w:t xml:space="preserve">ome studies suggested increased </w:t>
      </w:r>
      <w:r w:rsidR="004327B2">
        <w:rPr>
          <w:rFonts w:ascii="Arial" w:hAnsi="Arial" w:cs="Arial"/>
          <w:sz w:val="22"/>
          <w:szCs w:val="22"/>
          <w:lang w:val="en-US"/>
        </w:rPr>
        <w:t>inflammation-evoked oxidative-</w:t>
      </w:r>
      <w:r w:rsidR="00E86EC4" w:rsidRPr="00E86EC4">
        <w:rPr>
          <w:rFonts w:ascii="Arial" w:hAnsi="Arial" w:cs="Arial"/>
          <w:sz w:val="22"/>
          <w:szCs w:val="22"/>
          <w:lang w:val="en-US"/>
        </w:rPr>
        <w:t xml:space="preserve">DNA damage in the </w:t>
      </w:r>
      <w:r w:rsidR="00E86EC4" w:rsidRPr="004327B2">
        <w:rPr>
          <w:rFonts w:ascii="Arial" w:hAnsi="Arial" w:cs="Arial"/>
          <w:i/>
          <w:iCs/>
          <w:sz w:val="22"/>
          <w:szCs w:val="22"/>
          <w:lang w:val="en-US"/>
        </w:rPr>
        <w:t xml:space="preserve">JAK2 </w:t>
      </w:r>
      <w:r w:rsidR="00E86EC4" w:rsidRPr="00CD395D">
        <w:rPr>
          <w:rFonts w:ascii="Arial" w:hAnsi="Arial" w:cs="Arial"/>
          <w:sz w:val="22"/>
          <w:szCs w:val="22"/>
          <w:lang w:val="en-US"/>
        </w:rPr>
        <w:t>V617F</w:t>
      </w:r>
      <w:r w:rsidR="00E86EC4" w:rsidRPr="00E86EC4">
        <w:rPr>
          <w:rFonts w:ascii="Arial" w:hAnsi="Arial" w:cs="Arial"/>
          <w:sz w:val="22"/>
          <w:szCs w:val="22"/>
          <w:lang w:val="en-US"/>
        </w:rPr>
        <w:t xml:space="preserve"> hematopoietic compartment</w:t>
      </w:r>
      <w:r w:rsidR="004327B2">
        <w:rPr>
          <w:rFonts w:ascii="Arial" w:hAnsi="Arial" w:cs="Arial"/>
          <w:sz w:val="22"/>
          <w:szCs w:val="22"/>
          <w:lang w:val="en-US"/>
        </w:rPr>
        <w:t xml:space="preserve"> </w:t>
      </w:r>
      <w:r w:rsidR="004327B2">
        <w:rPr>
          <w:rFonts w:ascii="Arial" w:hAnsi="Arial" w:cs="Arial"/>
          <w:sz w:val="22"/>
          <w:szCs w:val="22"/>
          <w:lang w:val="en-US"/>
        </w:rPr>
        <w:fldChar w:fldCharType="begin"/>
      </w:r>
      <w:r w:rsidR="004327B2">
        <w:rPr>
          <w:rFonts w:ascii="Arial" w:hAnsi="Arial" w:cs="Arial"/>
          <w:sz w:val="22"/>
          <w:szCs w:val="22"/>
          <w:lang w:val="en-US"/>
        </w:rPr>
        <w:instrText xml:space="preserve"> ADDIN ZOTERO_ITEM CSL_CITATION {"citationID":"HHKMEnrU","properties":{"formattedCitation":"(Lundberg et al., 2014; Marty et al., 2013; Plo et al., 2008)","plainCitation":"(Lundberg et al., 2014; Marty et al., 2013; Plo et al., 2008)","noteIndex":0},"citationItems":[{"id":214,"uris":["http://zotero.org/users/2484452/items/VUX4PIAV"],"uri":["http://zotero.org/users/2484452/items/VUX4PIAV"],"itemData":{"id":214,"type":"article-journal","abstract":"The majority of patients with myeloproliferative neoplasms (MPNs) carry a somatic JAK2-V617F mutation. Because additional mutations can precede JAK2-V617F, it is questioned whether JAK2-V617F alone can initiate MPN. Several mouse models have demonstrated that JAK2-V617F can cause MPN; however, in all these models disease was polyclonal. Conversely, cancer initiates at the single cell level, but attempts to recapitulate single-cell disease initiation in mice have thus far failed. We demonstrate by limiting dilution and single-cell transplantations that MPN disease, manifesting either as erythrocytosis or thrombocytosis, can be initiated clonally from a single cell carrying JAK2-V617F. However, only a subset of mice reconstituted from single hematopoietic stem cells (HSCs) displayed MPN phenotype. Expression of JAK2-V617F in HSCs promoted cell division and increased DNA damage. Higher JAK2-V617F expression correlated with a short-term HSC signature and increased myeloid bias in single-cell gene expression analyses. Lower JAK2-V617F expression in progenitor and stem cells was associated with the capacity to stably engraft in secondary recipients. Furthermore, long-term repopulating capacity was also present in a compartment with intermediate expression levels of lineage markers. Our studies demonstrate that MPN can be initiated from a single HSC and illustrate that JAK2-V617F has complex effects on HSC biology.","container-title":"Journal of Experimental Medicine","DOI":"10.1084/jem.20131371","ISSN":"0022-1007, 1540-9538","issue":"11","language":"en","note":"PMID: 25288396","page":"2213-2230","source":"jem.rupress.org","title":"Myeloproliferative neoplasms can be initiated from a single hematopoietic stem cell expressing JAK2-V617F","volume":"211","author":[{"family":"Lundberg","given":"Pontus"},{"family":"Takizawa","given":"Hitoshi"},{"family":"Kubovcakova","given":"Lucia"},{"family":"Guo","given":"Guoji"},{"family":"Hao-Shen","given":"Hui"},{"family":"Dirnhofer","given":"Stephan"},{"family":"Orkin","given":"Stuart H."},{"family":"Manz","given":"Markus G."},{"family":"Skoda","given":"Radek C."}],"issued":{"date-parts":[["2014",10,20]]}}},{"id":26,"uris":["http://zotero.org/users/2484452/items/ZSHZS4RF"],"uri":["http://zotero.org/users/2484452/items/ZSHZS4RF"],"itemData":{"id":26,"type":"article-journal","abstract":"Although other mutations may predate the acquisition of the JAK2(V617F) mutation, the latter is sufficient to drive the disease phenotype observed in BCR-ABL-negative myeloproliferative neoplasms (MPNs). One of the consequences of JAK2(V617F) is genetic instability that could explain JAK2(V617F)-mediated MPN progression and heterogeneity. Here, we show that JAK2(V617F) induces the accumulation of reactive oxygen species (ROS) in the hematopoietic stem cell compartment of a knock-in (KI) mouse model and in patients with JAK2(V617F) MPNs. JAK2(V617F)-dependent ROS elevation was partly mediated by an AKT-induced decrease in catalase expression and was accompanied by an increased number of 8-oxo-guanines and DNA double-strand breaks (DSBs). Moreover, there was evidence for a mitotic recombination event in mice resulting in loss of heterozygosity of Jak2(V617F). Mice engrafted with 30% of Jak2(V617F) KI bone marrow (BM) cells developed a polycythemia vera-like disorder. Treatment with the anti-oxidant N-acetylcysteine (NAC) substantially restored blood parameters and reduced damages to DNA. Furthermore, NAC induced a marked decrease in splenomegaly with reduction in the frequency of the Jak2(V617F)-positive hematopoietic progenitors in BM and spleen. Altogether, overproduction of ROS is a mediator of JAK2(V617F)-induced DNA damages that promote disease progression. Targeting ROS accumulation might prevent the development of JAK2(V617F) MPNs.","container-title":"Leukemia","DOI":"10.1038/leu.2013.102","ISSN":"1476-5551","issue":"11","journalAbbreviation":"Leukemia","language":"eng","note":"PMID: 23558526","page":"2187-2195","source":"PubMed","title":"A role for reactive oxygen species in JAK2 V617F myeloproliferative neoplasm progression","volume":"27","author":[{"family":"Marty","given":"C."},{"family":"Lacout","given":"C."},{"family":"Droin","given":"N."},{"family":"Le Couédic","given":"J.-P."},{"family":"Ribrag","given":"V."},{"family":"Solary","given":"E."},{"family":"Vainchenker","given":"W."},{"family":"Villeval","given":"J.-L."},{"family":"Plo","given":"I."}],"issued":{"date-parts":[["2013",11]]}}},{"id":21,"uris":["http://zotero.org/users/2484452/items/EJARZCWR"],"uri":["http://zotero.org/users/2484452/items/EJARZCWR"],"itemData":{"id":21,"type":"article-journal","abstract":"The JAK2V617F mutation is frequently observed in classical myeloproliferative disorders, and disease progression is associated with a biallelic acquisition of the mutation occurring by mitotic recombination. In this study, we examined whether JAK2 activation could lead to increased homologous recombination (HR) and genetic instability. In a Ba/F3 cell line expressing the erythropoietin (EPO) receptor, mutant JAK2V617F and, to a lesser extent, wild-type (wt) JAK2 induced an increase in HR activity in the presence of EPO without modifying nonhomologous end-joining efficiency. Moreover, a marked augmentation in HR activity was found in CD34+-derived cells isolated from patients with polycythemia vera or primitive myelofibrosis compared with control samples. This increase was associated with a spontaneous RAD51 foci formation. As a result, sister chromatid exchange was 50% augmented in JAK2V617F Ba/F3 cells compared with JAK2wt cells. Moreover, JAK2 activation increased centrosome and ploidy abnormalities. Finally, in JAK2V617F Ba/F3 cells, we found a 100-fold and 10-fold increase in mutagenesis at the HPRT and Na/K ATPase loci, respectively. Together, this work highlights a new molecular mechanism for HR regulation mediated by JAK2 and more efficiently by JAK2V617F. Our study might provide some keys to understand how a single mutation can give rise to different pathologies.","container-title":"Blood","DOI":"10.1182/blood-2008-01-134114","ISSN":"0006-4971, 1528-0020","issue":"4","language":"en","note":"PMID: 18515659","page":"1402-1412","source":"www.bloodjournal.org","title":"JAK2 stimulates homologous recombination and genetic instability: potential implication in the heterogeneity of myeloproliferative disorders","title-short":"JAK2 stimulates homologous recombination and genetic instability","volume":"112","author":[{"family":"Plo","given":"Isabelle"},{"family":"Nakatake","given":"Mayuka"},{"family":"Malivert","given":"Laurent"},{"family":"Villartay","given":"Jean-Pierre","dropping-particle":"de"},{"family":"Giraudier","given":"Stéphane"},{"family":"Villeval","given":"Jean-Luc"},{"family":"Wiesmuller","given":"Lisa"},{"family":"Vainchenker","given":"William"}],"issued":{"date-parts":[["2008",8,15]]}}}],"schema":"https://github.com/citation-style-language/schema/raw/master/csl-citation.json"} </w:instrText>
      </w:r>
      <w:r w:rsidR="004327B2">
        <w:rPr>
          <w:rFonts w:ascii="Arial" w:hAnsi="Arial" w:cs="Arial"/>
          <w:sz w:val="22"/>
          <w:szCs w:val="22"/>
          <w:lang w:val="en-US"/>
        </w:rPr>
        <w:fldChar w:fldCharType="separate"/>
      </w:r>
      <w:r w:rsidR="004327B2">
        <w:rPr>
          <w:rFonts w:ascii="Arial" w:hAnsi="Arial" w:cs="Arial"/>
          <w:noProof/>
          <w:sz w:val="22"/>
          <w:szCs w:val="22"/>
          <w:lang w:val="en-US"/>
        </w:rPr>
        <w:t>(Lundberg et al., 2014; Marty et al., 2013; Plo et al., 2008)</w:t>
      </w:r>
      <w:r w:rsidR="004327B2">
        <w:rPr>
          <w:rFonts w:ascii="Arial" w:hAnsi="Arial" w:cs="Arial"/>
          <w:sz w:val="22"/>
          <w:szCs w:val="22"/>
          <w:lang w:val="en-US"/>
        </w:rPr>
        <w:fldChar w:fldCharType="end"/>
      </w:r>
      <w:r w:rsidR="004327B2">
        <w:rPr>
          <w:rFonts w:ascii="Arial" w:hAnsi="Arial" w:cs="Arial"/>
          <w:sz w:val="22"/>
          <w:szCs w:val="22"/>
          <w:lang w:val="en-US"/>
        </w:rPr>
        <w:t xml:space="preserve">, </w:t>
      </w:r>
      <w:r w:rsidR="00E86EC4" w:rsidRPr="00E86EC4">
        <w:rPr>
          <w:rFonts w:ascii="Arial" w:hAnsi="Arial" w:cs="Arial"/>
          <w:sz w:val="22"/>
          <w:szCs w:val="22"/>
          <w:lang w:val="en-US"/>
        </w:rPr>
        <w:t xml:space="preserve">a result at odds with </w:t>
      </w:r>
      <w:r w:rsidR="004327B2">
        <w:rPr>
          <w:rFonts w:ascii="Arial" w:hAnsi="Arial" w:cs="Arial"/>
          <w:sz w:val="22"/>
          <w:szCs w:val="22"/>
          <w:lang w:val="en-US"/>
        </w:rPr>
        <w:t xml:space="preserve">increased buffering capacity of </w:t>
      </w:r>
      <w:r w:rsidR="004327B2" w:rsidRPr="004327B2">
        <w:rPr>
          <w:rFonts w:ascii="Arial" w:hAnsi="Arial" w:cs="Arial"/>
          <w:i/>
          <w:iCs/>
          <w:sz w:val="22"/>
          <w:szCs w:val="22"/>
          <w:lang w:val="en-US"/>
        </w:rPr>
        <w:t>V617F</w:t>
      </w:r>
      <w:r w:rsidR="004327B2" w:rsidRPr="004327B2">
        <w:rPr>
          <w:rFonts w:ascii="Arial" w:hAnsi="Arial" w:cs="Arial"/>
          <w:sz w:val="22"/>
          <w:szCs w:val="22"/>
          <w:vertAlign w:val="superscript"/>
          <w:lang w:val="en-US"/>
        </w:rPr>
        <w:t>+</w:t>
      </w:r>
      <w:r w:rsidR="004327B2">
        <w:rPr>
          <w:rFonts w:ascii="Arial" w:hAnsi="Arial" w:cs="Arial"/>
          <w:sz w:val="22"/>
          <w:szCs w:val="22"/>
          <w:lang w:val="en-US"/>
        </w:rPr>
        <w:t xml:space="preserve"> cells presented in previous section and </w:t>
      </w:r>
      <w:r w:rsidR="004327B2" w:rsidRPr="00E86EC4">
        <w:rPr>
          <w:rFonts w:ascii="Arial" w:hAnsi="Arial" w:cs="Arial"/>
          <w:sz w:val="22"/>
          <w:szCs w:val="22"/>
          <w:lang w:val="en-US"/>
        </w:rPr>
        <w:t>known disease course</w:t>
      </w:r>
      <w:r w:rsidR="004327B2">
        <w:rPr>
          <w:rFonts w:ascii="Arial" w:hAnsi="Arial" w:cs="Arial"/>
          <w:sz w:val="22"/>
          <w:szCs w:val="22"/>
          <w:lang w:val="en-US"/>
        </w:rPr>
        <w:t xml:space="preserve"> </w:t>
      </w:r>
      <w:r w:rsidR="004327B2">
        <w:rPr>
          <w:rFonts w:ascii="Arial" w:hAnsi="Arial" w:cs="Arial"/>
          <w:sz w:val="22"/>
          <w:szCs w:val="22"/>
          <w:lang w:val="en-US"/>
        </w:rPr>
        <w:fldChar w:fldCharType="begin"/>
      </w:r>
      <w:r w:rsidR="004327B2">
        <w:rPr>
          <w:rFonts w:ascii="Arial" w:hAnsi="Arial" w:cs="Arial"/>
          <w:sz w:val="22"/>
          <w:szCs w:val="22"/>
          <w:lang w:val="en-US"/>
        </w:rPr>
        <w:instrText xml:space="preserve"> ADDIN ZOTERO_ITEM CSL_CITATION {"citationID":"weX1hSBR","properties":{"formattedCitation":"(Klampfl et al., 2011; Tefferi et al., 2014)","plainCitation":"(Klampfl et al., 2011; Tefferi et al., 2014)","noteIndex":0},"citationItems":[{"id":9,"uris":["http://zotero.org/users/2484452/items/RPUT4CVX"],"uri":["http://zotero.org/users/2484452/items/RPUT4CVX"],"itemData":{"id":9,"type":"article-journal","abstract":"Philadelphia chromosome–negative myeloproliferative neoplasms (MPNs) are clonal myeloid disorders with increased production of terminally differentiated cells. The disease course is generally chronic, but some patients show disease progression (secondary myelofibrosis or accelerated phase) and/or leukemic transformation. We investigated chromosomal aberrations in 408 MPN samples using high-resolution single-nucleotide polymorphism microarrays to identify disease-associated somatic lesions. Of 408 samples, 37.5% had a wild-type karyotype and 62.5% harbored at least 1 chromosomal aberration. We identified 25 recurrent aberrations that were found in 3 or more samples. An increased number of chromosomal lesions was significantly associated with patient age, as well as with disease progression and leukemic transformation, but no association was observed with MPN subtypes, Janus kinase 2 (JAK2) mutational status, or disease duration. Aberrations of chromosomes 1q and 9p were positively associated with disease progression to secondary myelofibrosis or accelerated phase. Changes of chromosomes 1q, 7q, 5q, 6p, 7p, 19q, 22q, and 3q were positively associated with post-MPN acute myeloid leukemia. We mapped commonly affected regions to single target genes on chromosomes 3p (forkhead box P1 [FOXP1]), 4q (tet oncogene family member 2 [TET2]), 7p (IKAROS family zinc finger 1 [IKZF1]), 7q (cut-like homeobox 1 [CUX1]), 12p (ets variant 6 [ETV6]), and 21q (runt-related transcription factor 1 [RUNX1]). Our data provide insight into the genetic complexity of MPNs and implicate new genes involved in disease progression.","container-title":"Blood","DOI":"10.1182/blood-2011-01-331678","ISSN":"0006-4971, 1528-0020","issue":"1","language":"en","note":"PMID: 21531982","page":"167-176","source":"www.bloodjournal.org","title":"Genome integrity of myeloproliferative neoplasms in chronic phase and during disease progression","volume":"118","author":[{"family":"Klampfl","given":"Thorsten"},{"family":"Harutyunyan","given":"Ashot"},{"family":"Berg","given":"Tiina"},{"family":"Gisslinger","given":"Bettina"},{"family":"Schalling","given":"Martin"},{"family":"Bagienski","given":"Klaudia"},{"family":"Olcaydu","given":"Damla"},{"family":"Passamonti","given":"Francesco"},{"family":"Rumi","given":"Elisa"},{"family":"Pietra","given":"Daniela"},{"family":"Jäger","given":"Roland"},{"family":"Pieri","given":"Lisa"},{"family":"Guglielmelli","given":"Paola"},{"family":"Iacobucci","given":"Ilaria"},{"family":"Martinelli","given":"Giovanni"},{"family":"Cazzola","given":"Mario"},{"family":"Vannucchi","given":"Alessandro M."},{"family":"Gisslinger","given":"Heinz"},{"family":"Kralovics","given":"Robert"}],"issued":{"date-parts":[["2011",7,7]]}}},{"id":8,"uris":["http://zotero.org/users/2484452/items/64MFSPT4"],"uri":["http://zotero.org/users/2484452/items/64MFSPT4"],"itemData":{"id":8,"type":"article-journal","abstract":"Janus kinase 2 (JAK2) mutations define polycythemia vera (PV). Calreticulin (CALR) and myeloproliferative leukemia virus oncogene (MPL) mutations are specific to JAK2-unmutated essential thrombocythemia (ET) and primary myelofibrosis (PMF). We examined the effect of these mutations on long-term disease outcome. One thousand five hundred eighty-one patients from the Mayo Clinic (n = 826) and Italy (n = 755) were studied. Fifty-eight percent of Mayo patients were followed until death; median survivals were 19.8 years in ET (n = 292), 13.5 PV (n = 267; hazard ratio [HR], 1.8; 95% confidence interval [CI], 1.4-2.2), and 5.9 PMF (n = 267; HR, 4.5; 95% CI, 3.5-5.7). The survival advantage of ET over PV was not affected by JAK2/CALR/MPL mutational status. Survival in ET was inferior to the age- and sex-matched US population (P &lt; .001). In PMF (n = 428), but not in ET (n = 576), survival and blast transformation (BT) were significantly affected by mutational status; outcome was best in CALR-mutated and worst in triple-negative patients: median survival, 16 vs 2.3 years (HR, 5.1; 95% CI, 3.2-8.0) and BT, 6.5% vs 25% (HR, 7.6; 95% CI, 2.8-20.2), respectively. We conclude that life expectancy in morphologically defined ET is significantly reduced but remains superior to that of PV, regardless of mutational status. In PMF, JAK2/CALR/MPL mutational status is prognostically informative.","container-title":"Blood","DOI":"10.1182/blood-2014-05-579136","ISSN":"0006-4971, 1528-0020","issue":"16","language":"en","note":"PMID: 25037629","page":"2507-2513","source":"www.bloodjournal.org","title":"Long-term survival and blast transformation in molecularly annotated essential thrombocythemia, polycythemia vera, and myelofibrosis","volume":"124","author":[{"family":"Tefferi","given":"Ayalew"},{"family":"Guglielmelli","given":"Paola"},{"family":"Larson","given":"Dirk R."},{"family":"Finke","given":"Christy"},{"family":"Wassie","given":"Emnet A."},{"family":"Pieri","given":"Lisa"},{"family":"Gangat","given":"Naseema"},{"family":"Fjerza","given":"Rajmonda"},{"family":"Belachew","given":"Alem A."},{"family":"Lasho","given":"Terra L."},{"family":"Ketterling","given":"Rhett P."},{"family":"Hanson","given":"Curtis A."},{"family":"Rambaldi","given":"Alessandro"},{"family":"Finazzi","given":"Guido"},{"family":"Thiele","given":"Juergen"},{"family":"Barbui","given":"Tiziano"},{"family":"Pardanani","given":"Animesh"},{"family":"Vannucchi","given":"Alessandro M."}],"issued":{"date-parts":[["2014",10,16]]}}}],"schema":"https://github.com/citation-style-language/schema/raw/master/csl-citation.json"} </w:instrText>
      </w:r>
      <w:r w:rsidR="004327B2">
        <w:rPr>
          <w:rFonts w:ascii="Arial" w:hAnsi="Arial" w:cs="Arial"/>
          <w:sz w:val="22"/>
          <w:szCs w:val="22"/>
          <w:lang w:val="en-US"/>
        </w:rPr>
        <w:fldChar w:fldCharType="separate"/>
      </w:r>
      <w:r w:rsidR="004327B2">
        <w:rPr>
          <w:rFonts w:ascii="Arial" w:hAnsi="Arial" w:cs="Arial"/>
          <w:noProof/>
          <w:sz w:val="22"/>
          <w:szCs w:val="22"/>
          <w:lang w:val="en-US"/>
        </w:rPr>
        <w:t>(Klampfl et al., 2011; Tefferi et al., 2014)</w:t>
      </w:r>
      <w:r w:rsidR="004327B2">
        <w:rPr>
          <w:rFonts w:ascii="Arial" w:hAnsi="Arial" w:cs="Arial"/>
          <w:sz w:val="22"/>
          <w:szCs w:val="22"/>
          <w:lang w:val="en-US"/>
        </w:rPr>
        <w:fldChar w:fldCharType="end"/>
      </w:r>
      <w:r w:rsidR="004327B2" w:rsidRPr="00E86EC4">
        <w:rPr>
          <w:rFonts w:ascii="Arial" w:hAnsi="Arial" w:cs="Arial"/>
          <w:sz w:val="22"/>
          <w:szCs w:val="22"/>
          <w:lang w:val="en-US"/>
        </w:rPr>
        <w:t>.</w:t>
      </w:r>
    </w:p>
    <w:p w14:paraId="60B29282" w14:textId="77777777" w:rsidR="00E86EC4" w:rsidRDefault="00FF550A" w:rsidP="005D01C6">
      <w:pPr>
        <w:spacing w:line="360" w:lineRule="auto"/>
        <w:jc w:val="both"/>
        <w:rPr>
          <w:rFonts w:ascii="Arial" w:hAnsi="Arial" w:cs="Arial"/>
          <w:sz w:val="22"/>
          <w:szCs w:val="22"/>
          <w:lang w:val="en-US"/>
        </w:rPr>
      </w:pPr>
      <w:r>
        <w:rPr>
          <w:rFonts w:ascii="Arial" w:hAnsi="Arial" w:cs="Arial"/>
          <w:sz w:val="22"/>
          <w:szCs w:val="22"/>
          <w:lang w:val="en-US"/>
        </w:rPr>
        <w:t>Therefore, t</w:t>
      </w:r>
      <w:r w:rsidR="004327B2" w:rsidRPr="004327B2">
        <w:rPr>
          <w:rFonts w:ascii="Arial" w:hAnsi="Arial" w:cs="Arial"/>
          <w:sz w:val="22"/>
          <w:szCs w:val="22"/>
          <w:lang w:val="en-US"/>
        </w:rPr>
        <w:t xml:space="preserve">o </w:t>
      </w:r>
      <w:r w:rsidR="004327B2">
        <w:rPr>
          <w:rFonts w:ascii="Arial" w:hAnsi="Arial" w:cs="Arial"/>
          <w:sz w:val="22"/>
          <w:szCs w:val="22"/>
          <w:lang w:val="en-US"/>
        </w:rPr>
        <w:t>better understand</w:t>
      </w:r>
      <w:r w:rsidR="004327B2" w:rsidRPr="004327B2">
        <w:rPr>
          <w:rFonts w:ascii="Arial" w:hAnsi="Arial" w:cs="Arial"/>
          <w:sz w:val="22"/>
          <w:szCs w:val="22"/>
          <w:lang w:val="en-US"/>
        </w:rPr>
        <w:t xml:space="preserve"> how </w:t>
      </w:r>
      <w:r w:rsidR="004327B2" w:rsidRPr="004327B2">
        <w:rPr>
          <w:rFonts w:ascii="Arial" w:hAnsi="Arial" w:cs="Arial"/>
          <w:i/>
          <w:iCs/>
          <w:sz w:val="22"/>
          <w:szCs w:val="22"/>
          <w:lang w:val="en-US"/>
        </w:rPr>
        <w:t xml:space="preserve">JAK2 </w:t>
      </w:r>
      <w:r w:rsidR="004327B2" w:rsidRPr="00CD395D">
        <w:rPr>
          <w:rFonts w:ascii="Arial" w:hAnsi="Arial" w:cs="Arial"/>
          <w:sz w:val="22"/>
          <w:szCs w:val="22"/>
          <w:lang w:val="en-US"/>
        </w:rPr>
        <w:t>V617F</w:t>
      </w:r>
      <w:r w:rsidR="004327B2">
        <w:rPr>
          <w:rFonts w:ascii="Arial" w:hAnsi="Arial" w:cs="Arial"/>
          <w:i/>
          <w:iCs/>
          <w:sz w:val="22"/>
          <w:szCs w:val="22"/>
          <w:lang w:val="en-US"/>
        </w:rPr>
        <w:t>-</w:t>
      </w:r>
      <w:r w:rsidR="004327B2" w:rsidRPr="004327B2">
        <w:rPr>
          <w:rFonts w:ascii="Arial" w:hAnsi="Arial" w:cs="Arial"/>
          <w:sz w:val="22"/>
          <w:szCs w:val="22"/>
          <w:lang w:val="en-US"/>
        </w:rPr>
        <w:t xml:space="preserve">mutation causes oncogenic stress and </w:t>
      </w:r>
      <w:r w:rsidR="004327B2">
        <w:rPr>
          <w:rFonts w:ascii="Arial" w:hAnsi="Arial" w:cs="Arial"/>
          <w:sz w:val="22"/>
          <w:szCs w:val="22"/>
          <w:lang w:val="en-US"/>
        </w:rPr>
        <w:t>modulate response</w:t>
      </w:r>
      <w:r>
        <w:rPr>
          <w:rFonts w:ascii="Arial" w:hAnsi="Arial" w:cs="Arial"/>
          <w:sz w:val="22"/>
          <w:szCs w:val="22"/>
          <w:lang w:val="en-US"/>
        </w:rPr>
        <w:t>s</w:t>
      </w:r>
      <w:r w:rsidR="004327B2">
        <w:rPr>
          <w:rFonts w:ascii="Arial" w:hAnsi="Arial" w:cs="Arial"/>
          <w:sz w:val="22"/>
          <w:szCs w:val="22"/>
          <w:lang w:val="en-US"/>
        </w:rPr>
        <w:t xml:space="preserve"> </w:t>
      </w:r>
      <w:r w:rsidR="004327B2" w:rsidRPr="004327B2">
        <w:rPr>
          <w:rFonts w:ascii="Arial" w:hAnsi="Arial" w:cs="Arial"/>
          <w:sz w:val="22"/>
          <w:szCs w:val="22"/>
          <w:lang w:val="en-US"/>
        </w:rPr>
        <w:t>to inflammation-evoked DNA damage</w:t>
      </w:r>
      <w:r w:rsidR="004327B2">
        <w:rPr>
          <w:rFonts w:ascii="Arial" w:hAnsi="Arial" w:cs="Arial"/>
          <w:sz w:val="22"/>
          <w:szCs w:val="22"/>
          <w:lang w:val="en-US"/>
        </w:rPr>
        <w:t xml:space="preserve"> in BM progenitors</w:t>
      </w:r>
      <w:r w:rsidR="004327B2" w:rsidRPr="004327B2">
        <w:rPr>
          <w:rFonts w:ascii="Arial" w:hAnsi="Arial" w:cs="Arial"/>
          <w:sz w:val="22"/>
          <w:szCs w:val="22"/>
          <w:lang w:val="en-US"/>
        </w:rPr>
        <w:t>, we first analyzed the overall degree of DDR activation in BM sections from patients at different PV disease stages.</w:t>
      </w:r>
      <w:r>
        <w:rPr>
          <w:rFonts w:ascii="Arial" w:hAnsi="Arial" w:cs="Arial"/>
          <w:sz w:val="22"/>
          <w:szCs w:val="22"/>
          <w:lang w:val="en-US"/>
        </w:rPr>
        <w:t xml:space="preserve"> We have observed very low levels of DNA damage in proliferative stage of PV, marked by barely detectable global DNA damage marker </w:t>
      </w:r>
      <w:r w:rsidRPr="00FF550A">
        <w:rPr>
          <w:rFonts w:ascii="Arial" w:hAnsi="Arial" w:cs="Arial"/>
          <w:sz w:val="22"/>
          <w:szCs w:val="22"/>
          <w:lang w:val="en-US"/>
        </w:rPr>
        <w:t>Ser 139-phosphorylated histone H2AX (γH2AX)</w:t>
      </w:r>
      <w:r>
        <w:rPr>
          <w:rFonts w:ascii="Arial" w:hAnsi="Arial" w:cs="Arial"/>
          <w:sz w:val="22"/>
          <w:szCs w:val="22"/>
          <w:lang w:val="en-US"/>
        </w:rPr>
        <w:t xml:space="preserve">, with </w:t>
      </w:r>
      <w:r w:rsidR="00313D09">
        <w:rPr>
          <w:rFonts w:ascii="Arial" w:hAnsi="Arial" w:cs="Arial"/>
          <w:sz w:val="22"/>
          <w:szCs w:val="22"/>
          <w:lang w:val="en-US"/>
        </w:rPr>
        <w:t xml:space="preserve">positivity </w:t>
      </w:r>
      <w:r>
        <w:rPr>
          <w:rFonts w:ascii="Arial" w:hAnsi="Arial" w:cs="Arial"/>
          <w:sz w:val="22"/>
          <w:szCs w:val="22"/>
          <w:lang w:val="en-US"/>
        </w:rPr>
        <w:t>increase in MF-1/2 and highest levels in MF-3</w:t>
      </w:r>
      <w:r w:rsidR="0072408D">
        <w:rPr>
          <w:rFonts w:ascii="Arial" w:hAnsi="Arial" w:cs="Arial"/>
          <w:sz w:val="22"/>
          <w:szCs w:val="22"/>
          <w:lang w:val="en-US"/>
        </w:rPr>
        <w:t xml:space="preserve"> (Figure 15)</w:t>
      </w:r>
      <w:r>
        <w:rPr>
          <w:rFonts w:ascii="Arial" w:hAnsi="Arial" w:cs="Arial"/>
          <w:sz w:val="22"/>
          <w:szCs w:val="22"/>
          <w:lang w:val="en-US"/>
        </w:rPr>
        <w:t>. The same applied for o</w:t>
      </w:r>
      <w:r w:rsidRPr="00FF550A">
        <w:rPr>
          <w:rFonts w:ascii="Arial" w:hAnsi="Arial" w:cs="Arial"/>
          <w:sz w:val="22"/>
          <w:szCs w:val="22"/>
          <w:lang w:val="en-US"/>
        </w:rPr>
        <w:t>xidative DNA damage</w:t>
      </w:r>
      <w:r>
        <w:rPr>
          <w:rFonts w:ascii="Arial" w:hAnsi="Arial" w:cs="Arial"/>
          <w:sz w:val="22"/>
          <w:szCs w:val="22"/>
          <w:lang w:val="en-US"/>
        </w:rPr>
        <w:t xml:space="preserve"> marker</w:t>
      </w:r>
      <w:r w:rsidRPr="00FF550A">
        <w:rPr>
          <w:rFonts w:ascii="Arial" w:hAnsi="Arial" w:cs="Arial"/>
          <w:sz w:val="22"/>
          <w:szCs w:val="22"/>
          <w:lang w:val="en-US"/>
        </w:rPr>
        <w:t xml:space="preserve"> 8-oxoguanine </w:t>
      </w:r>
      <w:r>
        <w:rPr>
          <w:rFonts w:ascii="Arial" w:hAnsi="Arial" w:cs="Arial"/>
          <w:sz w:val="22"/>
          <w:szCs w:val="22"/>
          <w:lang w:val="en-US"/>
        </w:rPr>
        <w:t>(</w:t>
      </w:r>
      <w:r w:rsidRPr="00FF550A">
        <w:rPr>
          <w:rFonts w:ascii="Arial" w:hAnsi="Arial" w:cs="Arial"/>
          <w:sz w:val="22"/>
          <w:szCs w:val="22"/>
          <w:lang w:val="en-US"/>
        </w:rPr>
        <w:t>8-oxoG)</w:t>
      </w:r>
      <w:r>
        <w:rPr>
          <w:rFonts w:ascii="Arial" w:hAnsi="Arial" w:cs="Arial"/>
          <w:sz w:val="22"/>
          <w:szCs w:val="22"/>
          <w:lang w:val="en-US"/>
        </w:rPr>
        <w:t>, which was detectable only in megakaryocytes of MF-3</w:t>
      </w:r>
      <w:r w:rsidR="0072408D">
        <w:rPr>
          <w:rFonts w:ascii="Arial" w:hAnsi="Arial" w:cs="Arial"/>
          <w:sz w:val="22"/>
          <w:szCs w:val="22"/>
          <w:lang w:val="en-US"/>
        </w:rPr>
        <w:t xml:space="preserve"> (Figure 15)</w:t>
      </w:r>
      <w:r>
        <w:rPr>
          <w:rFonts w:ascii="Arial" w:hAnsi="Arial" w:cs="Arial"/>
          <w:sz w:val="22"/>
          <w:szCs w:val="22"/>
          <w:lang w:val="en-US"/>
        </w:rPr>
        <w:t xml:space="preserve">. Our staining also revealed </w:t>
      </w:r>
      <w:r w:rsidR="00787475">
        <w:rPr>
          <w:rFonts w:ascii="Arial" w:hAnsi="Arial" w:cs="Arial"/>
          <w:sz w:val="22"/>
          <w:szCs w:val="22"/>
          <w:lang w:val="en-US"/>
        </w:rPr>
        <w:t xml:space="preserve">constitutive presence of auto-phosphorylated form of </w:t>
      </w:r>
      <w:r w:rsidR="00313D09">
        <w:rPr>
          <w:rFonts w:ascii="Arial" w:hAnsi="Arial" w:cs="Arial"/>
          <w:sz w:val="22"/>
          <w:szCs w:val="22"/>
          <w:lang w:val="en-US"/>
        </w:rPr>
        <w:t>a</w:t>
      </w:r>
      <w:r w:rsidR="00787475" w:rsidRPr="00787475">
        <w:rPr>
          <w:rFonts w:ascii="Arial" w:hAnsi="Arial" w:cs="Arial"/>
          <w:sz w:val="22"/>
          <w:szCs w:val="22"/>
          <w:lang w:val="en-US"/>
        </w:rPr>
        <w:t>taxia-telangiectasia, mutated (ATM) protein</w:t>
      </w:r>
      <w:r w:rsidR="00787475">
        <w:rPr>
          <w:rFonts w:ascii="Arial" w:hAnsi="Arial" w:cs="Arial"/>
          <w:sz w:val="22"/>
          <w:szCs w:val="22"/>
          <w:lang w:val="en-US"/>
        </w:rPr>
        <w:t xml:space="preserve"> (pATMS1981) and </w:t>
      </w:r>
      <w:r w:rsidR="00787475" w:rsidRPr="00787475">
        <w:rPr>
          <w:rFonts w:ascii="Arial" w:hAnsi="Arial" w:cs="Arial"/>
          <w:sz w:val="22"/>
          <w:szCs w:val="22"/>
          <w:lang w:val="en-US"/>
        </w:rPr>
        <w:t>ataxia telangiectasia and Rad3-related protein (</w:t>
      </w:r>
      <w:r w:rsidR="00787475">
        <w:rPr>
          <w:rFonts w:ascii="Arial" w:hAnsi="Arial" w:cs="Arial"/>
          <w:sz w:val="22"/>
          <w:szCs w:val="22"/>
          <w:lang w:val="en-US"/>
        </w:rPr>
        <w:t>pATRT1989</w:t>
      </w:r>
      <w:r w:rsidR="00787475" w:rsidRPr="00787475">
        <w:rPr>
          <w:rFonts w:ascii="Arial" w:hAnsi="Arial" w:cs="Arial"/>
          <w:sz w:val="22"/>
          <w:szCs w:val="22"/>
          <w:lang w:val="en-US"/>
        </w:rPr>
        <w:t>)</w:t>
      </w:r>
      <w:r w:rsidR="0072408D">
        <w:rPr>
          <w:rFonts w:ascii="Arial" w:hAnsi="Arial" w:cs="Arial"/>
          <w:sz w:val="22"/>
          <w:szCs w:val="22"/>
          <w:lang w:val="en-US"/>
        </w:rPr>
        <w:t xml:space="preserve"> (Figure 15)</w:t>
      </w:r>
      <w:r w:rsidR="00787475">
        <w:rPr>
          <w:rFonts w:ascii="Arial" w:hAnsi="Arial" w:cs="Arial"/>
          <w:sz w:val="22"/>
          <w:szCs w:val="22"/>
          <w:lang w:val="en-US"/>
        </w:rPr>
        <w:t xml:space="preserve">. While pATRT1989 was localized mainly in nucleus, pATMS1981 was detectable predominantly in cytoplasm, suggesting activation by ROS </w:t>
      </w:r>
      <w:r w:rsidR="00787475" w:rsidRPr="00787475">
        <w:rPr>
          <w:rFonts w:ascii="Arial" w:hAnsi="Arial" w:cs="Arial"/>
          <w:sz w:val="22"/>
          <w:szCs w:val="22"/>
          <w:lang w:val="en-US"/>
        </w:rPr>
        <w:t xml:space="preserve">a mechanism not </w:t>
      </w:r>
      <w:r w:rsidR="004A3634">
        <w:rPr>
          <w:rFonts w:ascii="Arial" w:hAnsi="Arial" w:cs="Arial"/>
          <w:sz w:val="22"/>
          <w:szCs w:val="22"/>
          <w:lang w:val="en-US"/>
        </w:rPr>
        <w:t xml:space="preserve">necessarily </w:t>
      </w:r>
      <w:r w:rsidR="00787475" w:rsidRPr="00787475">
        <w:rPr>
          <w:rFonts w:ascii="Arial" w:hAnsi="Arial" w:cs="Arial"/>
          <w:sz w:val="22"/>
          <w:szCs w:val="22"/>
          <w:lang w:val="en-US"/>
        </w:rPr>
        <w:t>involving DNA double strand breaks</w:t>
      </w:r>
      <w:r w:rsidR="00787475">
        <w:rPr>
          <w:rFonts w:ascii="Arial" w:hAnsi="Arial" w:cs="Arial"/>
          <w:sz w:val="22"/>
          <w:szCs w:val="22"/>
          <w:lang w:val="en-US"/>
        </w:rPr>
        <w:t xml:space="preserve"> as published before </w:t>
      </w:r>
      <w:r w:rsidR="00787475">
        <w:rPr>
          <w:rFonts w:ascii="Arial" w:hAnsi="Arial" w:cs="Arial"/>
          <w:sz w:val="22"/>
          <w:szCs w:val="22"/>
          <w:lang w:val="en-US"/>
        </w:rPr>
        <w:fldChar w:fldCharType="begin"/>
      </w:r>
      <w:r w:rsidR="00787475">
        <w:rPr>
          <w:rFonts w:ascii="Arial" w:hAnsi="Arial" w:cs="Arial"/>
          <w:sz w:val="22"/>
          <w:szCs w:val="22"/>
          <w:lang w:val="en-US"/>
        </w:rPr>
        <w:instrText xml:space="preserve"> ADDIN ZOTERO_ITEM CSL_CITATION {"citationID":"e6VGOr5X","properties":{"formattedCitation":"(Alexander and Walker, 2010; Guo et al., 2010; Kozlov et al., 2016)","plainCitation":"(Alexander and Walker, 2010; Guo et al., 2010; Kozlov et al., 2016)","noteIndex":0},"citationItems":[{"id":1190,"uris":["http://zotero.org/users/2484452/items/26KG9M5G"],"uri":["http://zotero.org/users/2484452/items/26KG9M5G"],"itemData":{"id":1190,"type":"article-journal","abstract":"ATM, the gene mutated in the genetic disease ataxia telangiectasia (AT), is a well-known protein involved in the DNA double-strand break response, where it plays an important role in sensing damage and signaling to DNA repair machinery and cell cycle checkpoints. However, a number of recent papers, including ours have found that ATM also plays important roles outside of the nucleus, which may explain some of the phenotypic features seen in AT patients. Our research into mechanisms of TSC2 regulation helped uncover a pathway upstream of TSC2 that is regulated by cytoplasmic ATM in response to ROS initiated by ATM activation of LKB1 and AMPK. We found that TSC2 activation results in mTORC1 repression and subsequent induction of autophagy. Elucidation of this stress response pathway provides a molecular mechanism for ATM signaling in the cytoplasm and lays the groundwork for further studies on how ATM activity is regulated beyond DNA damage in different cellular compartments.","container-title":"Cell Cycle (Georgetown, Tex.)","DOI":"10.4161/cc.9.18.13253","ISSN":"1551-4005","issue":"18","journalAbbreviation":"Cell Cycle","language":"eng","note":"PMID: 20890104\nPMCID: PMC3030254","page":"3685-3686","source":"PubMed","title":"Differential localization of ATM is correlated with activation of distinct downstream signaling pathways","volume":"9","author":[{"family":"Alexander","given":"Angela"},{"family":"Walker","given":"Cheryl L."}],"issued":{"date-parts":[["2010",9,15]]}}},{"id":1187,"uris":["http://zotero.org/users/2484452/items/BAHLFWIS"],"uri":["http://zotero.org/users/2484452/items/BAHLFWIS"],"itemData":{"id":1187,"type":"article-journal","abstract":"The ataxia-telangiectasia mutated (ATM) protein kinase is activated by DNA double-strand breaks (DSBs) through the Mre11-Rad50-Nbs1 (MRN) DNA repair complex and orchestrates signaling cascades that initiate the DNA damage response. Cells lacking ATM are also hypersensitive to insults other than DSBs, particularly oxidative stress. We show that oxidation of ATM directly induces ATM activation in the absence of DNA DSBs and the MRN complex. The oxidized form of ATM is a disulfide-cross-linked dimer, and mutation of a critical cysteine residue involved in disulfide bond formation specifically blocked activation through the oxidation pathway. Identification of this pathway explains observations of ATM activation under conditions of oxidative stress and shows that ATM is an important sensor of reactive oxygen species in human cells.","container-title":"Science (New York, N.Y.)","DOI":"10.1126/science.1192912","ISSN":"1095-9203","issue":"6003","journalAbbreviation":"Science","language":"eng","note":"PMID: 20966255","page":"517-521","source":"PubMed","title":"ATM activation by oxidative stress","volume":"330","author":[{"family":"Guo","given":"Zhi"},{"family":"Kozlov","given":"Sergei"},{"family":"Lavin","given":"Martin F."},{"family":"Person","given":"Maria D."},{"family":"Paull","given":"Tanya T."}],"issued":{"date-parts":[["2010",10,22]]}}},{"id":79,"uris":["http://zotero.org/users/2484452/items/2G979HFS"],"uri":["http://zotero.org/users/2484452/items/2G979HFS"],"itemData":{"id":79,"type":"article-journal","abstract":"Ataxia-telangiectasia, mutated (ATM) protein plays a central role in phosphorylating a network of proteins in response to DNA damage. These proteins function in signaling pathways designed to maintain the stability of the genome and minimize the risk of disease by controlling cell cycle checkpoints, initiating DNA repair, and regulating gene expression. ATM kinase can be activated by a variety of stimuli, including oxidative stress. Here, we confirmed activation of cytoplasmic ATM by autophosphorylation at multiple sites. Then we employed a global quantitative phosphoproteomics approach to identify cytoplasmic proteins altered in their phosphorylation state in control and ataxia-telangiectasia (A-T) cells in response to oxidative damage. We demonstrated that ATM was activated by oxidative damage in the cytoplasm as well as in the nucleus and identified a total of 9,833 phosphorylation sites, including 6,686 high-confidence sites mapping to 2,536 unique proteins. A total of 62 differentially phosphorylated peptides were identified; of these, 43 were phosphorylated in control but not in A-T cells, and 19 varied in their level of phosphorylation. Motif enrichment analysis of phosphopeptides revealed that consensus ATM serine glutamine sites were overrepresented. When considering phosphorylation events, only observed in control cells (not observed in A-T cells), with predicted ATM sites phosphoSerine/phosphoThreonine glutamine, we narrowed this list to 11 candidate ATM-dependent cytoplasmic proteins. Two of these 11 were previously described as ATM substrates (HMGA1 and UIMCI/RAP80), another five were identified in a whole cell extract phosphoproteomic screens, and the remaining four proteins had not been identified previously in DNA damage response screens. We validated the phosphorylation of three of these proteins (oxidative stress responsive 1 (OSR1), HDGF, and ccdc82) as ATM dependent after H2O2 exposure, and another protein (S100A11) demonstrated ATM-dependence for translocation from the cytoplasm to the nucleus. These data provide new insights into the activation of ATM by oxidative stress through identification of novel substrates for ATM in the cytoplasm.","container-title":"Molecular &amp; cellular proteomics: MCP","DOI":"10.1074/mcp.M115.055723","ISSN":"1535-9484","issue":"3","journalAbbreviation":"Mol. Cell Proteomics","language":"eng","note":"PMID: 26699800\nPMCID: PMC4813686","page":"1032-1047","source":"PubMed","title":"Reactive Oxygen Species (ROS)-Activated ATM-Dependent Phosphorylation of Cytoplasmic Substrates Identified by Large-Scale Phosphoproteomics Screen","volume":"15","author":[{"family":"Kozlov","given":"Sergei V."},{"family":"Waardenberg","given":"Ashley J."},{"family":"Engholm-Keller","given":"Kasper"},{"family":"Arthur","given":"Jonathan W."},{"family":"Graham","given":"Mark E."},{"family":"Lavin","given":"Martin"}],"issued":{"date-parts":[["2016",3]]}}}],"schema":"https://github.com/citation-style-language/schema/raw/master/csl-citation.json"} </w:instrText>
      </w:r>
      <w:r w:rsidR="00787475">
        <w:rPr>
          <w:rFonts w:ascii="Arial" w:hAnsi="Arial" w:cs="Arial"/>
          <w:sz w:val="22"/>
          <w:szCs w:val="22"/>
          <w:lang w:val="en-US"/>
        </w:rPr>
        <w:fldChar w:fldCharType="separate"/>
      </w:r>
      <w:r w:rsidR="00787475">
        <w:rPr>
          <w:rFonts w:ascii="Arial" w:hAnsi="Arial" w:cs="Arial"/>
          <w:noProof/>
          <w:sz w:val="22"/>
          <w:szCs w:val="22"/>
          <w:lang w:val="en-US"/>
        </w:rPr>
        <w:t>(Alexander and Walker, 2010; Guo et al., 2010; Kozlov et al., 2016)</w:t>
      </w:r>
      <w:r w:rsidR="00787475">
        <w:rPr>
          <w:rFonts w:ascii="Arial" w:hAnsi="Arial" w:cs="Arial"/>
          <w:sz w:val="22"/>
          <w:szCs w:val="22"/>
          <w:lang w:val="en-US"/>
        </w:rPr>
        <w:fldChar w:fldCharType="end"/>
      </w:r>
      <w:r w:rsidR="00787475">
        <w:rPr>
          <w:rFonts w:ascii="Arial" w:hAnsi="Arial" w:cs="Arial"/>
          <w:sz w:val="22"/>
          <w:szCs w:val="22"/>
          <w:lang w:val="en-US"/>
        </w:rPr>
        <w:t xml:space="preserve">. </w:t>
      </w:r>
      <w:r w:rsidR="00D1066B">
        <w:rPr>
          <w:rFonts w:ascii="Arial" w:hAnsi="Arial" w:cs="Arial"/>
          <w:sz w:val="22"/>
          <w:szCs w:val="22"/>
          <w:lang w:val="en-US"/>
        </w:rPr>
        <w:t xml:space="preserve">That being the case, staining of BM sections </w:t>
      </w:r>
      <w:r w:rsidR="00313D09" w:rsidRPr="00D1066B">
        <w:rPr>
          <w:rFonts w:ascii="Arial" w:hAnsi="Arial" w:cs="Arial"/>
          <w:sz w:val="22"/>
          <w:szCs w:val="22"/>
          <w:lang w:val="en-US"/>
        </w:rPr>
        <w:t>suggested</w:t>
      </w:r>
      <w:r w:rsidR="00D1066B" w:rsidRPr="00D1066B">
        <w:rPr>
          <w:rFonts w:ascii="Arial" w:hAnsi="Arial" w:cs="Arial"/>
          <w:sz w:val="22"/>
          <w:szCs w:val="22"/>
          <w:lang w:val="en-US"/>
        </w:rPr>
        <w:t xml:space="preserve"> a </w:t>
      </w:r>
      <w:r w:rsidR="00D1066B">
        <w:rPr>
          <w:rFonts w:ascii="Arial" w:hAnsi="Arial" w:cs="Arial"/>
          <w:sz w:val="22"/>
          <w:szCs w:val="22"/>
          <w:lang w:val="en-US"/>
        </w:rPr>
        <w:t>minor</w:t>
      </w:r>
      <w:r w:rsidR="00D1066B" w:rsidRPr="00D1066B">
        <w:rPr>
          <w:rFonts w:ascii="Arial" w:hAnsi="Arial" w:cs="Arial"/>
          <w:sz w:val="22"/>
          <w:szCs w:val="22"/>
          <w:lang w:val="en-US"/>
        </w:rPr>
        <w:t xml:space="preserve"> </w:t>
      </w:r>
      <w:r w:rsidR="00D1066B">
        <w:rPr>
          <w:rFonts w:ascii="Arial" w:hAnsi="Arial" w:cs="Arial"/>
          <w:sz w:val="22"/>
          <w:szCs w:val="22"/>
          <w:lang w:val="en-US"/>
        </w:rPr>
        <w:t>level of oxidative and replication-induced stress</w:t>
      </w:r>
      <w:r w:rsidR="00D1066B" w:rsidRPr="00D1066B">
        <w:rPr>
          <w:rFonts w:ascii="Arial" w:hAnsi="Arial" w:cs="Arial"/>
          <w:sz w:val="22"/>
          <w:szCs w:val="22"/>
          <w:lang w:val="en-US"/>
        </w:rPr>
        <w:t xml:space="preserve">, not </w:t>
      </w:r>
      <w:r w:rsidR="00D1066B">
        <w:rPr>
          <w:rFonts w:ascii="Arial" w:hAnsi="Arial" w:cs="Arial"/>
          <w:sz w:val="22"/>
          <w:szCs w:val="22"/>
          <w:lang w:val="en-US"/>
        </w:rPr>
        <w:t xml:space="preserve">crossing </w:t>
      </w:r>
      <w:r w:rsidR="00313D09">
        <w:rPr>
          <w:rFonts w:ascii="Arial" w:hAnsi="Arial" w:cs="Arial"/>
          <w:sz w:val="22"/>
          <w:szCs w:val="22"/>
          <w:lang w:val="en-US"/>
        </w:rPr>
        <w:t>geno</w:t>
      </w:r>
      <w:r w:rsidR="00D1066B">
        <w:rPr>
          <w:rFonts w:ascii="Arial" w:hAnsi="Arial" w:cs="Arial"/>
          <w:sz w:val="22"/>
          <w:szCs w:val="22"/>
          <w:lang w:val="en-US"/>
        </w:rPr>
        <w:t xml:space="preserve">toxic levels, which would be </w:t>
      </w:r>
      <w:r w:rsidR="00D1066B" w:rsidRPr="00D1066B">
        <w:rPr>
          <w:rFonts w:ascii="Arial" w:hAnsi="Arial" w:cs="Arial"/>
          <w:sz w:val="22"/>
          <w:szCs w:val="22"/>
          <w:lang w:val="en-US"/>
        </w:rPr>
        <w:t>converted into double-strand DNA breaks</w:t>
      </w:r>
      <w:r w:rsidR="00D1066B">
        <w:rPr>
          <w:rFonts w:ascii="Arial" w:hAnsi="Arial" w:cs="Arial"/>
          <w:sz w:val="22"/>
          <w:szCs w:val="22"/>
          <w:lang w:val="en-US"/>
        </w:rPr>
        <w:t xml:space="preserve"> and </w:t>
      </w:r>
      <w:r w:rsidR="00313D09">
        <w:rPr>
          <w:rFonts w:ascii="Arial" w:hAnsi="Arial" w:cs="Arial"/>
          <w:sz w:val="22"/>
          <w:szCs w:val="22"/>
          <w:lang w:val="en-US"/>
        </w:rPr>
        <w:t xml:space="preserve">concomitant </w:t>
      </w:r>
      <w:r w:rsidR="00D1066B">
        <w:rPr>
          <w:rFonts w:ascii="Arial" w:hAnsi="Arial" w:cs="Arial"/>
          <w:sz w:val="22"/>
          <w:szCs w:val="22"/>
          <w:lang w:val="en-US"/>
        </w:rPr>
        <w:t>increase</w:t>
      </w:r>
      <w:r w:rsidR="00313D09">
        <w:rPr>
          <w:rFonts w:ascii="Arial" w:hAnsi="Arial" w:cs="Arial"/>
          <w:sz w:val="22"/>
          <w:szCs w:val="22"/>
          <w:lang w:val="en-US"/>
        </w:rPr>
        <w:t xml:space="preserve"> in</w:t>
      </w:r>
      <w:r w:rsidR="00D1066B">
        <w:rPr>
          <w:rFonts w:ascii="Arial" w:hAnsi="Arial" w:cs="Arial"/>
          <w:sz w:val="22"/>
          <w:szCs w:val="22"/>
          <w:lang w:val="en-US"/>
        </w:rPr>
        <w:t xml:space="preserve"> </w:t>
      </w:r>
      <w:r w:rsidR="00D1066B" w:rsidRPr="00FF550A">
        <w:rPr>
          <w:rFonts w:ascii="Arial" w:hAnsi="Arial" w:cs="Arial"/>
          <w:sz w:val="22"/>
          <w:szCs w:val="22"/>
          <w:lang w:val="en-US"/>
        </w:rPr>
        <w:t>γH2AX</w:t>
      </w:r>
      <w:r w:rsidR="00D1066B">
        <w:rPr>
          <w:rFonts w:ascii="Arial" w:hAnsi="Arial" w:cs="Arial"/>
          <w:sz w:val="22"/>
          <w:szCs w:val="22"/>
          <w:lang w:val="en-US"/>
        </w:rPr>
        <w:t xml:space="preserve"> positivity </w:t>
      </w:r>
      <w:r w:rsidR="004A3634">
        <w:rPr>
          <w:rFonts w:ascii="Arial" w:hAnsi="Arial" w:cs="Arial"/>
          <w:sz w:val="22"/>
          <w:szCs w:val="22"/>
          <w:lang w:val="en-US"/>
        </w:rPr>
        <w:t>throughout</w:t>
      </w:r>
      <w:r w:rsidR="00D1066B">
        <w:rPr>
          <w:rFonts w:ascii="Arial" w:hAnsi="Arial" w:cs="Arial"/>
          <w:sz w:val="22"/>
          <w:szCs w:val="22"/>
          <w:lang w:val="en-US"/>
        </w:rPr>
        <w:t xml:space="preserve"> proliferative stage of PV.</w:t>
      </w:r>
    </w:p>
    <w:p w14:paraId="3DAB7924" w14:textId="77777777" w:rsidR="004327B2" w:rsidRPr="003A5293" w:rsidRDefault="004327B2" w:rsidP="005D01C6">
      <w:pPr>
        <w:spacing w:line="360" w:lineRule="auto"/>
        <w:jc w:val="both"/>
        <w:rPr>
          <w:rFonts w:ascii="Arial" w:hAnsi="Arial" w:cs="Arial"/>
          <w:sz w:val="22"/>
          <w:szCs w:val="22"/>
          <w:lang w:val="en-US"/>
        </w:rPr>
      </w:pPr>
    </w:p>
    <w:p w14:paraId="765333D7" w14:textId="77777777" w:rsidR="0036587B" w:rsidRPr="003A5293" w:rsidRDefault="0036587B" w:rsidP="0036587B">
      <w:pPr>
        <w:rPr>
          <w:rFonts w:ascii="Arial" w:hAnsi="Arial" w:cs="Arial"/>
          <w:sz w:val="22"/>
          <w:szCs w:val="22"/>
          <w:lang w:val="en-US"/>
        </w:rPr>
      </w:pPr>
      <w:r w:rsidRPr="0036587B">
        <w:rPr>
          <w:rFonts w:ascii="Arial" w:hAnsi="Arial" w:cs="Arial"/>
          <w:sz w:val="22"/>
          <w:szCs w:val="22"/>
          <w:lang w:val="en-US"/>
        </w:rPr>
        <w:lastRenderedPageBreak/>
        <w:fldChar w:fldCharType="begin"/>
      </w:r>
      <w:r w:rsidRPr="0036587B">
        <w:rPr>
          <w:rFonts w:ascii="Arial" w:hAnsi="Arial" w:cs="Arial"/>
          <w:sz w:val="22"/>
          <w:szCs w:val="22"/>
          <w:lang w:val="en-US"/>
        </w:rPr>
        <w:instrText xml:space="preserve"> INCLUDEPICTURE "https://media.springernature.com/full/springer-static/image/art%3A10.1038%2Fs41388-019-0813-7/MediaObjects/41388_2019_813_Fig2_HTML.png" \* MERGEFORMATINET </w:instrText>
      </w:r>
      <w:r w:rsidRPr="0036587B">
        <w:rPr>
          <w:rFonts w:ascii="Arial" w:hAnsi="Arial" w:cs="Arial"/>
          <w:sz w:val="22"/>
          <w:szCs w:val="22"/>
          <w:lang w:val="en-US"/>
        </w:rPr>
        <w:fldChar w:fldCharType="separate"/>
      </w:r>
      <w:r w:rsidRPr="003A5293">
        <w:rPr>
          <w:rFonts w:ascii="Arial" w:hAnsi="Arial" w:cs="Arial"/>
          <w:noProof/>
          <w:sz w:val="22"/>
          <w:szCs w:val="22"/>
          <w:lang w:val="cs-CZ" w:eastAsia="cs-CZ"/>
        </w:rPr>
        <w:drawing>
          <wp:inline distT="0" distB="0" distL="0" distR="0" wp14:anchorId="771972E7" wp14:editId="265A0427">
            <wp:extent cx="5399405" cy="4558231"/>
            <wp:effectExtent l="0" t="0" r="0" b="1270"/>
            <wp:docPr id="25" name="Grafik 25"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2"/>
                    <pic:cNvPicPr>
                      <a:picLocks noChangeAspect="1" noChangeArrowheads="1"/>
                    </pic:cNvPicPr>
                  </pic:nvPicPr>
                  <pic:blipFill rotWithShape="1">
                    <a:blip r:embed="rId29">
                      <a:extLst>
                        <a:ext uri="{28A0092B-C50C-407E-A947-70E740481C1C}">
                          <a14:useLocalDpi xmlns:a14="http://schemas.microsoft.com/office/drawing/2010/main" val="0"/>
                        </a:ext>
                      </a:extLst>
                    </a:blip>
                    <a:srcRect t="1545" r="35064" b="57523"/>
                    <a:stretch/>
                  </pic:blipFill>
                  <pic:spPr bwMode="auto">
                    <a:xfrm>
                      <a:off x="0" y="0"/>
                      <a:ext cx="5400000" cy="4558733"/>
                    </a:xfrm>
                    <a:prstGeom prst="rect">
                      <a:avLst/>
                    </a:prstGeom>
                    <a:noFill/>
                    <a:ln>
                      <a:noFill/>
                    </a:ln>
                    <a:extLst>
                      <a:ext uri="{53640926-AAD7-44D8-BBD7-CCE9431645EC}">
                        <a14:shadowObscured xmlns:a14="http://schemas.microsoft.com/office/drawing/2010/main"/>
                      </a:ext>
                    </a:extLst>
                  </pic:spPr>
                </pic:pic>
              </a:graphicData>
            </a:graphic>
          </wp:inline>
        </w:drawing>
      </w:r>
      <w:r w:rsidRPr="0036587B">
        <w:rPr>
          <w:rFonts w:ascii="Arial" w:hAnsi="Arial" w:cs="Arial"/>
          <w:sz w:val="22"/>
          <w:szCs w:val="22"/>
          <w:lang w:val="en-US"/>
        </w:rPr>
        <w:fldChar w:fldCharType="end"/>
      </w:r>
    </w:p>
    <w:p w14:paraId="70F8B02B" w14:textId="77777777" w:rsidR="0036587B" w:rsidRDefault="0036587B" w:rsidP="005F45FF">
      <w:pPr>
        <w:spacing w:line="360" w:lineRule="auto"/>
        <w:jc w:val="both"/>
        <w:rPr>
          <w:rFonts w:ascii="Arial" w:hAnsi="Arial" w:cs="Arial"/>
          <w:sz w:val="22"/>
          <w:szCs w:val="22"/>
          <w:lang w:val="en-US"/>
        </w:rPr>
      </w:pPr>
      <w:r w:rsidRPr="003A5293">
        <w:rPr>
          <w:rFonts w:ascii="Arial" w:hAnsi="Arial" w:cs="Arial"/>
          <w:b/>
          <w:bCs/>
          <w:sz w:val="22"/>
          <w:szCs w:val="22"/>
          <w:lang w:val="en-US"/>
        </w:rPr>
        <w:t>Figure 15</w:t>
      </w:r>
      <w:r w:rsidRPr="003A5293">
        <w:rPr>
          <w:rFonts w:ascii="Arial" w:hAnsi="Arial" w:cs="Arial"/>
          <w:sz w:val="22"/>
          <w:szCs w:val="22"/>
          <w:lang w:val="en-US"/>
        </w:rPr>
        <w:t>:</w:t>
      </w:r>
      <w:r w:rsidR="005F45FF">
        <w:rPr>
          <w:rFonts w:ascii="Arial" w:hAnsi="Arial" w:cs="Arial"/>
          <w:sz w:val="22"/>
          <w:szCs w:val="22"/>
          <w:lang w:val="en-US"/>
        </w:rPr>
        <w:t xml:space="preserve"> </w:t>
      </w:r>
      <w:r w:rsidR="00971D81">
        <w:rPr>
          <w:rFonts w:ascii="Arial" w:hAnsi="Arial" w:cs="Arial"/>
          <w:sz w:val="22"/>
          <w:szCs w:val="22"/>
          <w:lang w:val="en-US"/>
        </w:rPr>
        <w:t xml:space="preserve">Representative </w:t>
      </w:r>
      <w:r w:rsidR="005F45FF" w:rsidRPr="005F45FF">
        <w:rPr>
          <w:rFonts w:ascii="Arial" w:hAnsi="Arial" w:cs="Arial"/>
          <w:sz w:val="22"/>
          <w:szCs w:val="22"/>
          <w:lang w:val="en-US"/>
        </w:rPr>
        <w:t xml:space="preserve">Immunohistochemistry </w:t>
      </w:r>
      <w:r w:rsidR="00971D81" w:rsidRPr="005F45FF">
        <w:rPr>
          <w:rFonts w:ascii="Arial" w:hAnsi="Arial" w:cs="Arial"/>
          <w:sz w:val="22"/>
          <w:szCs w:val="22"/>
          <w:lang w:val="en-US"/>
        </w:rPr>
        <w:t>staining</w:t>
      </w:r>
      <w:r w:rsidR="00971D81">
        <w:rPr>
          <w:rFonts w:ascii="Arial" w:hAnsi="Arial" w:cs="Arial"/>
          <w:sz w:val="22"/>
          <w:szCs w:val="22"/>
          <w:lang w:val="en-US"/>
        </w:rPr>
        <w:t>’s</w:t>
      </w:r>
      <w:r w:rsidR="005F45FF" w:rsidRPr="005F45FF">
        <w:rPr>
          <w:rFonts w:ascii="Arial" w:hAnsi="Arial" w:cs="Arial"/>
          <w:sz w:val="22"/>
          <w:szCs w:val="22"/>
          <w:lang w:val="en-US"/>
        </w:rPr>
        <w:t xml:space="preserve"> </w:t>
      </w:r>
      <w:r w:rsidR="00976BEA">
        <w:rPr>
          <w:rFonts w:ascii="Arial" w:hAnsi="Arial" w:cs="Arial"/>
          <w:sz w:val="22"/>
          <w:szCs w:val="22"/>
          <w:lang w:val="en-US"/>
        </w:rPr>
        <w:t xml:space="preserve">of patient BM sections </w:t>
      </w:r>
      <w:r w:rsidR="005F45FF" w:rsidRPr="005F45FF">
        <w:rPr>
          <w:rFonts w:ascii="Arial" w:hAnsi="Arial" w:cs="Arial"/>
          <w:sz w:val="22"/>
          <w:szCs w:val="22"/>
          <w:lang w:val="en-US"/>
        </w:rPr>
        <w:t xml:space="preserve">for </w:t>
      </w:r>
      <w:r w:rsidR="00971D81">
        <w:rPr>
          <w:rFonts w:ascii="Arial" w:hAnsi="Arial" w:cs="Arial"/>
          <w:sz w:val="22"/>
          <w:szCs w:val="22"/>
          <w:lang w:val="en-US"/>
        </w:rPr>
        <w:t>DNA damage, oxidative stress and DDR markers</w:t>
      </w:r>
      <w:r w:rsidR="005F45FF" w:rsidRPr="005F45FF">
        <w:rPr>
          <w:rFonts w:ascii="Arial" w:hAnsi="Arial" w:cs="Arial"/>
          <w:sz w:val="22"/>
          <w:szCs w:val="22"/>
          <w:lang w:val="en-US"/>
        </w:rPr>
        <w:t xml:space="preserve"> </w:t>
      </w:r>
      <w:r w:rsidR="00971D81">
        <w:rPr>
          <w:rFonts w:ascii="Arial" w:hAnsi="Arial" w:cs="Arial"/>
          <w:sz w:val="22"/>
          <w:szCs w:val="22"/>
          <w:lang w:val="en-US"/>
        </w:rPr>
        <w:t>along the progression of</w:t>
      </w:r>
      <w:r w:rsidR="005F45FF" w:rsidRPr="005F45FF">
        <w:rPr>
          <w:rFonts w:ascii="Arial" w:hAnsi="Arial" w:cs="Arial"/>
          <w:sz w:val="22"/>
          <w:szCs w:val="22"/>
          <w:lang w:val="en-US"/>
        </w:rPr>
        <w:t xml:space="preserve"> PV</w:t>
      </w:r>
      <w:r w:rsidR="00971D81">
        <w:rPr>
          <w:rFonts w:ascii="Arial" w:hAnsi="Arial" w:cs="Arial"/>
          <w:sz w:val="22"/>
          <w:szCs w:val="22"/>
          <w:lang w:val="en-US"/>
        </w:rPr>
        <w:t xml:space="preserve"> to</w:t>
      </w:r>
      <w:r w:rsidR="005F45FF" w:rsidRPr="005F45FF">
        <w:rPr>
          <w:rFonts w:ascii="Arial" w:hAnsi="Arial" w:cs="Arial"/>
          <w:sz w:val="22"/>
          <w:szCs w:val="22"/>
          <w:lang w:val="en-US"/>
        </w:rPr>
        <w:t xml:space="preserve"> MF-1/2 and post-PV MF-3. </w:t>
      </w:r>
      <w:r w:rsidR="00971D81">
        <w:rPr>
          <w:rFonts w:ascii="Arial" w:hAnsi="Arial" w:cs="Arial"/>
          <w:sz w:val="22"/>
          <w:szCs w:val="22"/>
          <w:lang w:val="en-US"/>
        </w:rPr>
        <w:t>R</w:t>
      </w:r>
      <w:r w:rsidR="005F45FF" w:rsidRPr="005F45FF">
        <w:rPr>
          <w:rFonts w:ascii="Arial" w:hAnsi="Arial" w:cs="Arial"/>
          <w:sz w:val="22"/>
          <w:szCs w:val="22"/>
          <w:lang w:val="en-US"/>
        </w:rPr>
        <w:t>ed asterisks</w:t>
      </w:r>
      <w:r w:rsidR="00971D81">
        <w:rPr>
          <w:rFonts w:ascii="Arial" w:hAnsi="Arial" w:cs="Arial"/>
          <w:sz w:val="22"/>
          <w:szCs w:val="22"/>
          <w:lang w:val="en-US"/>
        </w:rPr>
        <w:t xml:space="preserve"> in </w:t>
      </w:r>
      <w:r w:rsidR="00971D81" w:rsidRPr="005F45FF">
        <w:rPr>
          <w:rFonts w:ascii="Arial" w:hAnsi="Arial" w:cs="Arial"/>
          <w:sz w:val="22"/>
          <w:szCs w:val="22"/>
          <w:lang w:val="en-US"/>
        </w:rPr>
        <w:t>8-oxoguanine (8-oxoG) staining</w:t>
      </w:r>
      <w:r w:rsidR="005F45FF" w:rsidRPr="005F45FF">
        <w:rPr>
          <w:rFonts w:ascii="Arial" w:hAnsi="Arial" w:cs="Arial"/>
          <w:sz w:val="22"/>
          <w:szCs w:val="22"/>
          <w:lang w:val="en-US"/>
        </w:rPr>
        <w:t xml:space="preserve"> </w:t>
      </w:r>
      <w:r w:rsidR="00971D81">
        <w:rPr>
          <w:rFonts w:ascii="Arial" w:hAnsi="Arial" w:cs="Arial"/>
          <w:sz w:val="22"/>
          <w:szCs w:val="22"/>
          <w:lang w:val="en-US"/>
        </w:rPr>
        <w:t>denote</w:t>
      </w:r>
      <w:r w:rsidR="005F45FF" w:rsidRPr="005F45FF">
        <w:rPr>
          <w:rFonts w:ascii="Arial" w:hAnsi="Arial" w:cs="Arial"/>
          <w:sz w:val="22"/>
          <w:szCs w:val="22"/>
          <w:lang w:val="en-US"/>
        </w:rPr>
        <w:t xml:space="preserve"> positive megakaryocytes (MKs), black asterisks </w:t>
      </w:r>
      <w:r w:rsidR="00971D81">
        <w:rPr>
          <w:rFonts w:ascii="Arial" w:hAnsi="Arial" w:cs="Arial"/>
          <w:sz w:val="22"/>
          <w:szCs w:val="22"/>
          <w:lang w:val="en-US"/>
        </w:rPr>
        <w:t>mark</w:t>
      </w:r>
      <w:r w:rsidR="005F45FF" w:rsidRPr="005F45FF">
        <w:rPr>
          <w:rFonts w:ascii="Arial" w:hAnsi="Arial" w:cs="Arial"/>
          <w:sz w:val="22"/>
          <w:szCs w:val="22"/>
          <w:lang w:val="en-US"/>
        </w:rPr>
        <w:t xml:space="preserve"> negative MKs; scale bar, 100 µm. </w:t>
      </w:r>
      <w:r w:rsidR="00572CA9">
        <w:rPr>
          <w:rFonts w:ascii="Arial" w:hAnsi="Arial" w:cs="Arial"/>
          <w:sz w:val="22"/>
          <w:szCs w:val="22"/>
          <w:lang w:val="en-US"/>
        </w:rPr>
        <w:t>Inset in</w:t>
      </w:r>
      <w:r w:rsidR="005F45FF" w:rsidRPr="005F45FF">
        <w:rPr>
          <w:rFonts w:ascii="Arial" w:hAnsi="Arial" w:cs="Arial"/>
          <w:sz w:val="22"/>
          <w:szCs w:val="22"/>
          <w:lang w:val="en-US"/>
        </w:rPr>
        <w:t xml:space="preserve"> γH2AX staining</w:t>
      </w:r>
      <w:r w:rsidR="00572CA9">
        <w:rPr>
          <w:rFonts w:ascii="Arial" w:hAnsi="Arial" w:cs="Arial"/>
          <w:sz w:val="22"/>
          <w:szCs w:val="22"/>
          <w:lang w:val="en-US"/>
        </w:rPr>
        <w:t xml:space="preserve"> magnifies </w:t>
      </w:r>
      <w:r w:rsidR="005F45FF" w:rsidRPr="005F45FF">
        <w:rPr>
          <w:rFonts w:ascii="Arial" w:hAnsi="Arial" w:cs="Arial"/>
          <w:sz w:val="22"/>
          <w:szCs w:val="22"/>
          <w:lang w:val="en-US"/>
        </w:rPr>
        <w:t>cells stained positive for γH2AX</w:t>
      </w:r>
      <w:r w:rsidR="00572CA9">
        <w:rPr>
          <w:rFonts w:ascii="Arial" w:hAnsi="Arial" w:cs="Arial"/>
          <w:sz w:val="22"/>
          <w:szCs w:val="22"/>
          <w:lang w:val="en-US"/>
        </w:rPr>
        <w:t xml:space="preserve"> nuclear</w:t>
      </w:r>
      <w:r w:rsidR="005F45FF" w:rsidRPr="005F45FF">
        <w:rPr>
          <w:rFonts w:ascii="Arial" w:hAnsi="Arial" w:cs="Arial"/>
          <w:sz w:val="22"/>
          <w:szCs w:val="22"/>
          <w:lang w:val="en-US"/>
        </w:rPr>
        <w:t xml:space="preserve"> foci; scale bar, 20 µm. pATMS1981 </w:t>
      </w:r>
      <w:r w:rsidR="00572CA9">
        <w:rPr>
          <w:rFonts w:ascii="Arial" w:hAnsi="Arial" w:cs="Arial"/>
          <w:sz w:val="22"/>
          <w:szCs w:val="22"/>
          <w:lang w:val="en-US"/>
        </w:rPr>
        <w:t>staining show</w:t>
      </w:r>
      <w:r w:rsidR="005F45FF" w:rsidRPr="005F45FF">
        <w:rPr>
          <w:rFonts w:ascii="Arial" w:hAnsi="Arial" w:cs="Arial"/>
          <w:sz w:val="22"/>
          <w:szCs w:val="22"/>
          <w:lang w:val="en-US"/>
        </w:rPr>
        <w:t xml:space="preserve"> cytoplasmic </w:t>
      </w:r>
      <w:r w:rsidR="00572CA9">
        <w:rPr>
          <w:rFonts w:ascii="Arial" w:hAnsi="Arial" w:cs="Arial"/>
          <w:sz w:val="22"/>
          <w:szCs w:val="22"/>
          <w:lang w:val="en-US"/>
        </w:rPr>
        <w:t>localization of antigen compared to</w:t>
      </w:r>
      <w:r w:rsidR="005F45FF" w:rsidRPr="005F45FF">
        <w:rPr>
          <w:rFonts w:ascii="Arial" w:hAnsi="Arial" w:cs="Arial"/>
          <w:sz w:val="22"/>
          <w:szCs w:val="22"/>
          <w:lang w:val="en-US"/>
        </w:rPr>
        <w:t xml:space="preserve"> pATRT1989 nuclear positivity; scale bars, 20 µm. Boxplots show </w:t>
      </w:r>
      <w:r w:rsidR="00572CA9">
        <w:rPr>
          <w:rFonts w:ascii="Arial" w:hAnsi="Arial" w:cs="Arial"/>
          <w:sz w:val="22"/>
          <w:szCs w:val="22"/>
          <w:lang w:val="en-US"/>
        </w:rPr>
        <w:t xml:space="preserve">score based on </w:t>
      </w:r>
      <w:r w:rsidR="005F45FF" w:rsidRPr="005F45FF">
        <w:rPr>
          <w:rFonts w:ascii="Arial" w:hAnsi="Arial" w:cs="Arial"/>
          <w:sz w:val="22"/>
          <w:szCs w:val="22"/>
          <w:lang w:val="en-US"/>
        </w:rPr>
        <w:t>quantification of the number of cells expressing indicated markers. *P ≤ 0.05, **P ≤ 0.01, Mann–Whitney test</w:t>
      </w:r>
      <w:r w:rsidR="003F470E">
        <w:rPr>
          <w:rFonts w:ascii="Arial" w:hAnsi="Arial" w:cs="Arial"/>
          <w:sz w:val="22"/>
          <w:szCs w:val="22"/>
          <w:lang w:val="en-US"/>
        </w:rPr>
        <w:t>.</w:t>
      </w:r>
    </w:p>
    <w:p w14:paraId="0F8B6593" w14:textId="77777777" w:rsidR="003F470E" w:rsidRDefault="003F470E" w:rsidP="005F45FF">
      <w:pPr>
        <w:spacing w:line="360" w:lineRule="auto"/>
        <w:jc w:val="both"/>
        <w:rPr>
          <w:rFonts w:ascii="Arial" w:hAnsi="Arial" w:cs="Arial"/>
          <w:sz w:val="22"/>
          <w:szCs w:val="22"/>
          <w:lang w:val="en-US"/>
        </w:rPr>
      </w:pPr>
    </w:p>
    <w:p w14:paraId="71C466EE" w14:textId="77777777" w:rsidR="00243C38" w:rsidRDefault="00045F87" w:rsidP="005F45FF">
      <w:pPr>
        <w:spacing w:line="360" w:lineRule="auto"/>
        <w:jc w:val="both"/>
        <w:rPr>
          <w:rFonts w:ascii="Arial" w:hAnsi="Arial" w:cs="Arial"/>
          <w:sz w:val="22"/>
          <w:szCs w:val="22"/>
          <w:lang w:val="en-US"/>
        </w:rPr>
      </w:pPr>
      <w:r w:rsidRPr="009217CA">
        <w:rPr>
          <w:rFonts w:ascii="Arial" w:hAnsi="Arial" w:cs="Arial"/>
          <w:sz w:val="22"/>
          <w:szCs w:val="22"/>
          <w:lang w:val="en-US"/>
        </w:rPr>
        <w:t>We next examined whether we can also detect observed protection against DNA damage accumulation in HSCs and</w:t>
      </w:r>
      <w:r w:rsidR="009217CA">
        <w:rPr>
          <w:rFonts w:ascii="Arial" w:hAnsi="Arial" w:cs="Arial"/>
          <w:sz w:val="22"/>
          <w:szCs w:val="22"/>
          <w:lang w:val="en-US"/>
        </w:rPr>
        <w:t xml:space="preserve"> early</w:t>
      </w:r>
      <w:r w:rsidRPr="009217CA">
        <w:rPr>
          <w:rFonts w:ascii="Arial" w:hAnsi="Arial" w:cs="Arial"/>
          <w:sz w:val="22"/>
          <w:szCs w:val="22"/>
          <w:lang w:val="en-US"/>
        </w:rPr>
        <w:t xml:space="preserve"> progenitors</w:t>
      </w:r>
      <w:r w:rsidR="009217CA" w:rsidRPr="009217CA">
        <w:rPr>
          <w:rFonts w:ascii="Arial" w:hAnsi="Arial" w:cs="Arial"/>
          <w:sz w:val="22"/>
          <w:szCs w:val="22"/>
          <w:lang w:val="en-US"/>
        </w:rPr>
        <w:t xml:space="preserve"> of our </w:t>
      </w:r>
      <w:r w:rsidR="009217CA" w:rsidRPr="009217CA">
        <w:rPr>
          <w:rFonts w:ascii="Arial" w:hAnsi="Arial" w:cs="Arial"/>
          <w:i/>
          <w:iCs/>
          <w:sz w:val="22"/>
          <w:szCs w:val="22"/>
          <w:lang w:val="en-US"/>
        </w:rPr>
        <w:t>JAK2</w:t>
      </w:r>
      <w:r w:rsidR="009217CA" w:rsidRPr="009217CA">
        <w:rPr>
          <w:rFonts w:ascii="Arial" w:hAnsi="Arial" w:cs="Arial"/>
          <w:sz w:val="22"/>
          <w:szCs w:val="22"/>
          <w:lang w:val="en-US"/>
        </w:rPr>
        <w:t xml:space="preserve"> </w:t>
      </w:r>
      <w:proofErr w:type="spellStart"/>
      <w:r w:rsidR="009217CA" w:rsidRPr="009217CA">
        <w:rPr>
          <w:rFonts w:ascii="Arial" w:hAnsi="Arial" w:cs="Arial"/>
          <w:sz w:val="22"/>
          <w:szCs w:val="22"/>
          <w:lang w:val="en-US"/>
        </w:rPr>
        <w:t>wt</w:t>
      </w:r>
      <w:proofErr w:type="spellEnd"/>
      <w:r w:rsidR="009217CA" w:rsidRPr="009217CA">
        <w:rPr>
          <w:rFonts w:ascii="Arial" w:hAnsi="Arial" w:cs="Arial"/>
          <w:sz w:val="22"/>
          <w:szCs w:val="22"/>
          <w:lang w:val="en-US"/>
        </w:rPr>
        <w:t xml:space="preserve"> and </w:t>
      </w:r>
      <w:r w:rsidR="009217CA" w:rsidRPr="00CD395D">
        <w:rPr>
          <w:rFonts w:ascii="Arial" w:hAnsi="Arial" w:cs="Arial"/>
          <w:sz w:val="22"/>
          <w:szCs w:val="22"/>
          <w:lang w:val="en-US"/>
        </w:rPr>
        <w:t>V617F</w:t>
      </w:r>
      <w:r w:rsidR="009217CA" w:rsidRPr="009217CA">
        <w:rPr>
          <w:rFonts w:ascii="Arial" w:hAnsi="Arial" w:cs="Arial"/>
          <w:sz w:val="22"/>
          <w:szCs w:val="22"/>
          <w:vertAlign w:val="superscript"/>
          <w:lang w:val="en-US"/>
        </w:rPr>
        <w:t>+</w:t>
      </w:r>
      <w:r w:rsidR="009217CA" w:rsidRPr="009217CA">
        <w:rPr>
          <w:rFonts w:ascii="Arial" w:hAnsi="Arial" w:cs="Arial"/>
          <w:sz w:val="22"/>
          <w:szCs w:val="22"/>
          <w:lang w:val="en-US"/>
        </w:rPr>
        <w:t xml:space="preserve"> CD34</w:t>
      </w:r>
      <w:r w:rsidR="009217CA" w:rsidRPr="009217CA">
        <w:rPr>
          <w:rFonts w:ascii="Arial" w:hAnsi="Arial" w:cs="Arial"/>
          <w:sz w:val="22"/>
          <w:szCs w:val="22"/>
          <w:vertAlign w:val="superscript"/>
          <w:lang w:val="en-US"/>
        </w:rPr>
        <w:t>+</w:t>
      </w:r>
      <w:r w:rsidR="009217CA" w:rsidRPr="009217CA">
        <w:rPr>
          <w:rFonts w:ascii="Arial" w:hAnsi="Arial" w:cs="Arial"/>
          <w:sz w:val="22"/>
          <w:szCs w:val="22"/>
          <w:lang w:val="en-US"/>
        </w:rPr>
        <w:t xml:space="preserve"> P-ECs. In line with </w:t>
      </w:r>
      <w:r w:rsidR="009217CA" w:rsidRPr="001B1DAC">
        <w:rPr>
          <w:rFonts w:ascii="Arial" w:hAnsi="Arial" w:cs="Arial"/>
          <w:i/>
          <w:iCs/>
          <w:sz w:val="22"/>
          <w:szCs w:val="22"/>
          <w:lang w:val="en-US"/>
        </w:rPr>
        <w:t>in vivo</w:t>
      </w:r>
      <w:r w:rsidR="009217CA" w:rsidRPr="009217CA">
        <w:rPr>
          <w:rFonts w:ascii="Arial" w:hAnsi="Arial" w:cs="Arial"/>
          <w:sz w:val="22"/>
          <w:szCs w:val="22"/>
          <w:lang w:val="en-US"/>
        </w:rPr>
        <w:t xml:space="preserve"> results, immunostaining of embryoid bodies from CD34</w:t>
      </w:r>
      <w:r w:rsidR="009217CA" w:rsidRPr="009217CA">
        <w:rPr>
          <w:rFonts w:ascii="Arial" w:hAnsi="Arial" w:cs="Arial"/>
          <w:sz w:val="22"/>
          <w:szCs w:val="22"/>
          <w:vertAlign w:val="superscript"/>
          <w:lang w:val="en-US"/>
        </w:rPr>
        <w:t>+</w:t>
      </w:r>
      <w:r w:rsidR="009217CA" w:rsidRPr="009217CA">
        <w:rPr>
          <w:rFonts w:ascii="Arial" w:hAnsi="Arial" w:cs="Arial"/>
          <w:sz w:val="22"/>
          <w:szCs w:val="22"/>
          <w:lang w:val="en-US"/>
        </w:rPr>
        <w:t xml:space="preserve"> P-ECs embedded into paraffin revealed absence of mutagenic 8-oxoG in </w:t>
      </w:r>
      <w:r w:rsidR="009217CA" w:rsidRPr="001B1DAC">
        <w:rPr>
          <w:rFonts w:ascii="Arial" w:hAnsi="Arial" w:cs="Arial"/>
          <w:sz w:val="22"/>
          <w:szCs w:val="22"/>
          <w:lang w:val="en-US"/>
        </w:rPr>
        <w:t>V617F</w:t>
      </w:r>
      <w:r w:rsidR="009217CA" w:rsidRPr="009217CA">
        <w:rPr>
          <w:rFonts w:ascii="Arial" w:hAnsi="Arial" w:cs="Arial"/>
          <w:sz w:val="22"/>
          <w:szCs w:val="22"/>
          <w:vertAlign w:val="superscript"/>
          <w:lang w:val="en-US"/>
        </w:rPr>
        <w:t>+</w:t>
      </w:r>
      <w:r w:rsidR="009217CA" w:rsidRPr="009217CA">
        <w:rPr>
          <w:rFonts w:ascii="Arial" w:hAnsi="Arial" w:cs="Arial"/>
          <w:sz w:val="22"/>
          <w:szCs w:val="22"/>
          <w:lang w:val="en-US"/>
        </w:rPr>
        <w:t xml:space="preserve"> EBs even after treatment with inflammatory cytokines, while </w:t>
      </w:r>
      <w:r w:rsidR="009217CA" w:rsidRPr="009217CA">
        <w:rPr>
          <w:rFonts w:ascii="Arial" w:hAnsi="Arial" w:cs="Arial"/>
          <w:i/>
          <w:iCs/>
          <w:sz w:val="22"/>
          <w:szCs w:val="22"/>
          <w:lang w:val="en-US"/>
        </w:rPr>
        <w:t>JAK2</w:t>
      </w:r>
      <w:r w:rsidR="009217CA" w:rsidRPr="009217CA">
        <w:rPr>
          <w:rFonts w:ascii="Arial" w:hAnsi="Arial" w:cs="Arial"/>
          <w:sz w:val="22"/>
          <w:szCs w:val="22"/>
          <w:lang w:val="en-US"/>
        </w:rPr>
        <w:t xml:space="preserve"> </w:t>
      </w:r>
      <w:proofErr w:type="spellStart"/>
      <w:r w:rsidR="009217CA" w:rsidRPr="009217CA">
        <w:rPr>
          <w:rFonts w:ascii="Arial" w:hAnsi="Arial" w:cs="Arial"/>
          <w:sz w:val="22"/>
          <w:szCs w:val="22"/>
          <w:lang w:val="en-US"/>
        </w:rPr>
        <w:t>wt</w:t>
      </w:r>
      <w:proofErr w:type="spellEnd"/>
      <w:r w:rsidR="009217CA" w:rsidRPr="009217CA">
        <w:rPr>
          <w:rFonts w:ascii="Arial" w:hAnsi="Arial" w:cs="Arial"/>
          <w:sz w:val="22"/>
          <w:szCs w:val="22"/>
          <w:lang w:val="en-US"/>
        </w:rPr>
        <w:t xml:space="preserve"> EBs accumulated cells positive for this marker</w:t>
      </w:r>
      <w:r w:rsidR="009217CA">
        <w:rPr>
          <w:rFonts w:ascii="Arial" w:hAnsi="Arial" w:cs="Arial"/>
          <w:sz w:val="22"/>
          <w:szCs w:val="22"/>
          <w:lang w:val="en-US"/>
        </w:rPr>
        <w:t xml:space="preserve"> upon treatment</w:t>
      </w:r>
      <w:r w:rsidR="00243C38">
        <w:rPr>
          <w:rFonts w:ascii="Arial" w:hAnsi="Arial" w:cs="Arial"/>
          <w:sz w:val="22"/>
          <w:szCs w:val="22"/>
          <w:lang w:val="en-US"/>
        </w:rPr>
        <w:t xml:space="preserve"> (Figure 16)</w:t>
      </w:r>
      <w:r w:rsidR="009217CA" w:rsidRPr="009217CA">
        <w:rPr>
          <w:rFonts w:ascii="Arial" w:hAnsi="Arial" w:cs="Arial"/>
          <w:sz w:val="22"/>
          <w:szCs w:val="22"/>
          <w:lang w:val="en-US"/>
        </w:rPr>
        <w:t>.</w:t>
      </w:r>
    </w:p>
    <w:p w14:paraId="16ADB0F3" w14:textId="77777777" w:rsidR="0036587B" w:rsidRPr="0036587B" w:rsidRDefault="00D45011" w:rsidP="00243C38">
      <w:pPr>
        <w:rPr>
          <w:rFonts w:ascii="Arial" w:hAnsi="Arial" w:cs="Arial"/>
          <w:sz w:val="22"/>
          <w:szCs w:val="22"/>
        </w:rPr>
      </w:pPr>
      <w:r w:rsidRPr="003A5293">
        <w:rPr>
          <w:rFonts w:ascii="Arial" w:hAnsi="Arial" w:cs="Arial"/>
          <w:noProof/>
          <w:sz w:val="22"/>
          <w:szCs w:val="22"/>
          <w:lang w:val="cs-CZ" w:eastAsia="cs-CZ"/>
        </w:rPr>
        <w:lastRenderedPageBreak/>
        <w:drawing>
          <wp:inline distT="0" distB="0" distL="0" distR="0" wp14:anchorId="665E05F0" wp14:editId="4016A3C0">
            <wp:extent cx="5400000" cy="4461975"/>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ntitled-2.jpg"/>
                    <pic:cNvPicPr/>
                  </pic:nvPicPr>
                  <pic:blipFill>
                    <a:blip r:embed="rId30">
                      <a:extLst>
                        <a:ext uri="{28A0092B-C50C-407E-A947-70E740481C1C}">
                          <a14:useLocalDpi xmlns:a14="http://schemas.microsoft.com/office/drawing/2010/main" val="0"/>
                        </a:ext>
                      </a:extLst>
                    </a:blip>
                    <a:stretch>
                      <a:fillRect/>
                    </a:stretch>
                  </pic:blipFill>
                  <pic:spPr>
                    <a:xfrm>
                      <a:off x="0" y="0"/>
                      <a:ext cx="5400000" cy="4461975"/>
                    </a:xfrm>
                    <a:prstGeom prst="rect">
                      <a:avLst/>
                    </a:prstGeom>
                  </pic:spPr>
                </pic:pic>
              </a:graphicData>
            </a:graphic>
          </wp:inline>
        </w:drawing>
      </w:r>
    </w:p>
    <w:p w14:paraId="206A10C1" w14:textId="77777777" w:rsidR="0036587B" w:rsidRPr="003A5293" w:rsidRDefault="0036587B" w:rsidP="005D01C6">
      <w:pPr>
        <w:spacing w:line="360" w:lineRule="auto"/>
        <w:jc w:val="both"/>
        <w:rPr>
          <w:rFonts w:ascii="Arial" w:hAnsi="Arial" w:cs="Arial"/>
          <w:sz w:val="22"/>
          <w:szCs w:val="22"/>
          <w:lang w:val="en-US"/>
        </w:rPr>
      </w:pPr>
      <w:r w:rsidRPr="003A5293">
        <w:rPr>
          <w:rFonts w:ascii="Arial" w:hAnsi="Arial" w:cs="Arial"/>
          <w:b/>
          <w:bCs/>
          <w:sz w:val="22"/>
          <w:szCs w:val="22"/>
          <w:lang w:val="en-US"/>
        </w:rPr>
        <w:t>Figure 16</w:t>
      </w:r>
      <w:r w:rsidRPr="003A5293">
        <w:rPr>
          <w:rFonts w:ascii="Arial" w:hAnsi="Arial" w:cs="Arial"/>
          <w:sz w:val="22"/>
          <w:szCs w:val="22"/>
          <w:lang w:val="en-US"/>
        </w:rPr>
        <w:t xml:space="preserve">: </w:t>
      </w:r>
      <w:r w:rsidR="009E539B">
        <w:rPr>
          <w:rFonts w:ascii="Arial" w:hAnsi="Arial" w:cs="Arial"/>
          <w:sz w:val="22"/>
          <w:szCs w:val="22"/>
          <w:lang w:val="en-US"/>
        </w:rPr>
        <w:t xml:space="preserve">Immunocytochemistry staining for </w:t>
      </w:r>
      <w:r w:rsidR="009E539B" w:rsidRPr="009E539B">
        <w:rPr>
          <w:rFonts w:ascii="Arial" w:hAnsi="Arial" w:cs="Arial"/>
          <w:sz w:val="22"/>
          <w:szCs w:val="22"/>
          <w:lang w:val="en-US"/>
        </w:rPr>
        <w:t>8-oxoG</w:t>
      </w:r>
      <w:r w:rsidR="009E539B">
        <w:rPr>
          <w:rFonts w:ascii="Arial" w:hAnsi="Arial" w:cs="Arial"/>
          <w:sz w:val="22"/>
          <w:szCs w:val="22"/>
          <w:lang w:val="en-US"/>
        </w:rPr>
        <w:t xml:space="preserve"> on </w:t>
      </w:r>
      <w:r w:rsidR="00A45776" w:rsidRPr="00A45776">
        <w:rPr>
          <w:rFonts w:ascii="Arial" w:hAnsi="Arial" w:cs="Arial"/>
          <w:i/>
          <w:iCs/>
          <w:sz w:val="22"/>
          <w:szCs w:val="22"/>
          <w:lang w:val="en-US"/>
        </w:rPr>
        <w:t>JAK2</w:t>
      </w:r>
      <w:r w:rsidR="00A45776">
        <w:rPr>
          <w:rFonts w:ascii="Arial" w:hAnsi="Arial" w:cs="Arial"/>
          <w:sz w:val="22"/>
          <w:szCs w:val="22"/>
          <w:lang w:val="en-US"/>
        </w:rPr>
        <w:t xml:space="preserve"> </w:t>
      </w:r>
      <w:proofErr w:type="spellStart"/>
      <w:r w:rsidR="00A45776" w:rsidRPr="009E539B">
        <w:rPr>
          <w:rFonts w:ascii="Arial" w:hAnsi="Arial" w:cs="Arial"/>
          <w:sz w:val="22"/>
          <w:szCs w:val="22"/>
          <w:lang w:val="en-US"/>
        </w:rPr>
        <w:t>wt</w:t>
      </w:r>
      <w:proofErr w:type="spellEnd"/>
      <w:r w:rsidR="00A45776" w:rsidRPr="009E539B">
        <w:rPr>
          <w:rFonts w:ascii="Arial" w:hAnsi="Arial" w:cs="Arial"/>
          <w:sz w:val="22"/>
          <w:szCs w:val="22"/>
          <w:lang w:val="en-US"/>
        </w:rPr>
        <w:t xml:space="preserve"> and </w:t>
      </w:r>
      <w:r w:rsidR="00A45776" w:rsidRPr="00CD395D">
        <w:rPr>
          <w:rFonts w:ascii="Arial" w:hAnsi="Arial" w:cs="Arial"/>
          <w:sz w:val="22"/>
          <w:szCs w:val="22"/>
          <w:lang w:val="en-US"/>
        </w:rPr>
        <w:t>V617F</w:t>
      </w:r>
      <w:r w:rsidR="00A45776" w:rsidRPr="00A45776">
        <w:rPr>
          <w:rFonts w:ascii="Arial" w:hAnsi="Arial" w:cs="Arial"/>
          <w:sz w:val="22"/>
          <w:szCs w:val="22"/>
          <w:vertAlign w:val="superscript"/>
          <w:lang w:val="en-US"/>
        </w:rPr>
        <w:t>+</w:t>
      </w:r>
      <w:r w:rsidR="00A45776" w:rsidRPr="009E539B">
        <w:rPr>
          <w:rFonts w:ascii="Arial" w:hAnsi="Arial" w:cs="Arial"/>
          <w:sz w:val="22"/>
          <w:szCs w:val="22"/>
          <w:lang w:val="en-US"/>
        </w:rPr>
        <w:t xml:space="preserve"> </w:t>
      </w:r>
      <w:r w:rsidR="00A45776">
        <w:rPr>
          <w:rFonts w:ascii="Arial" w:hAnsi="Arial" w:cs="Arial"/>
          <w:sz w:val="22"/>
          <w:szCs w:val="22"/>
          <w:lang w:val="en-US"/>
        </w:rPr>
        <w:t>CD34</w:t>
      </w:r>
      <w:r w:rsidR="00A45776" w:rsidRPr="00A45776">
        <w:rPr>
          <w:rFonts w:ascii="Arial" w:hAnsi="Arial" w:cs="Arial"/>
          <w:sz w:val="22"/>
          <w:szCs w:val="22"/>
          <w:vertAlign w:val="superscript"/>
          <w:lang w:val="en-US"/>
        </w:rPr>
        <w:t>+</w:t>
      </w:r>
      <w:r w:rsidR="00A45776">
        <w:rPr>
          <w:rFonts w:ascii="Arial" w:hAnsi="Arial" w:cs="Arial"/>
          <w:sz w:val="22"/>
          <w:szCs w:val="22"/>
          <w:lang w:val="en-US"/>
        </w:rPr>
        <w:t xml:space="preserve"> P-ECs in </w:t>
      </w:r>
      <w:r w:rsidR="00A45776" w:rsidRPr="009E539B">
        <w:rPr>
          <w:rFonts w:ascii="Arial" w:hAnsi="Arial" w:cs="Arial"/>
          <w:sz w:val="22"/>
          <w:szCs w:val="22"/>
          <w:lang w:val="en-US"/>
        </w:rPr>
        <w:t>agarose gel matrix saturated with paraffin</w:t>
      </w:r>
      <w:r w:rsidR="00A45776">
        <w:rPr>
          <w:rFonts w:ascii="Arial" w:hAnsi="Arial" w:cs="Arial"/>
          <w:sz w:val="22"/>
          <w:szCs w:val="22"/>
          <w:lang w:val="en-US"/>
        </w:rPr>
        <w:t xml:space="preserve">; untreated in day 9 of differentiation (d9) or treated with inflammatory cytokines (d9 </w:t>
      </w:r>
      <w:proofErr w:type="spellStart"/>
      <w:r w:rsidR="00A45776">
        <w:rPr>
          <w:rFonts w:ascii="Arial" w:hAnsi="Arial" w:cs="Arial"/>
          <w:sz w:val="22"/>
          <w:szCs w:val="22"/>
          <w:lang w:val="en-US"/>
        </w:rPr>
        <w:t>cyt</w:t>
      </w:r>
      <w:proofErr w:type="spellEnd"/>
      <w:r w:rsidR="00A45776">
        <w:rPr>
          <w:rFonts w:ascii="Arial" w:hAnsi="Arial" w:cs="Arial"/>
          <w:sz w:val="22"/>
          <w:szCs w:val="22"/>
          <w:lang w:val="en-US"/>
        </w:rPr>
        <w:t>)</w:t>
      </w:r>
      <w:r w:rsidR="009E539B">
        <w:rPr>
          <w:rFonts w:ascii="Arial" w:hAnsi="Arial" w:cs="Arial"/>
          <w:sz w:val="22"/>
          <w:szCs w:val="22"/>
          <w:lang w:val="en-US"/>
        </w:rPr>
        <w:t>. Inset</w:t>
      </w:r>
      <w:r w:rsidR="00A45776">
        <w:rPr>
          <w:rFonts w:ascii="Arial" w:hAnsi="Arial" w:cs="Arial"/>
          <w:sz w:val="22"/>
          <w:szCs w:val="22"/>
          <w:lang w:val="en-US"/>
        </w:rPr>
        <w:t xml:space="preserve"> magnifies positive cells for the antigen.</w:t>
      </w:r>
    </w:p>
    <w:p w14:paraId="2011719D" w14:textId="77777777" w:rsidR="00DA3275" w:rsidRPr="003A5293" w:rsidRDefault="00DA3275" w:rsidP="005D01C6">
      <w:pPr>
        <w:spacing w:line="360" w:lineRule="auto"/>
        <w:jc w:val="both"/>
        <w:rPr>
          <w:rFonts w:ascii="Arial" w:hAnsi="Arial" w:cs="Arial"/>
          <w:sz w:val="22"/>
          <w:szCs w:val="22"/>
          <w:lang w:val="en-US"/>
        </w:rPr>
      </w:pPr>
    </w:p>
    <w:p w14:paraId="58406209" w14:textId="77777777" w:rsidR="00DA3275" w:rsidRPr="003A5293" w:rsidRDefault="00243C38" w:rsidP="005D01C6">
      <w:pPr>
        <w:spacing w:line="360" w:lineRule="auto"/>
        <w:jc w:val="both"/>
        <w:rPr>
          <w:rFonts w:ascii="Arial" w:hAnsi="Arial" w:cs="Arial"/>
          <w:sz w:val="22"/>
          <w:szCs w:val="22"/>
          <w:lang w:val="en-US"/>
        </w:rPr>
      </w:pPr>
      <w:r w:rsidRPr="009217CA">
        <w:rPr>
          <w:rFonts w:ascii="Arial" w:hAnsi="Arial" w:cs="Arial"/>
          <w:sz w:val="22"/>
          <w:szCs w:val="22"/>
          <w:lang w:val="en-US"/>
        </w:rPr>
        <w:t xml:space="preserve">Further </w:t>
      </w:r>
      <w:r>
        <w:rPr>
          <w:rFonts w:ascii="Arial" w:hAnsi="Arial" w:cs="Arial"/>
          <w:sz w:val="22"/>
          <w:szCs w:val="22"/>
          <w:lang w:val="en-US"/>
        </w:rPr>
        <w:t>a</w:t>
      </w:r>
      <w:r w:rsidRPr="009217CA">
        <w:rPr>
          <w:rFonts w:ascii="Arial" w:hAnsi="Arial" w:cs="Arial"/>
          <w:sz w:val="22"/>
          <w:szCs w:val="22"/>
          <w:lang w:val="en-US"/>
        </w:rPr>
        <w:t>ssessment of DDR</w:t>
      </w:r>
      <w:r>
        <w:rPr>
          <w:rFonts w:ascii="Arial" w:hAnsi="Arial" w:cs="Arial"/>
          <w:sz w:val="22"/>
          <w:szCs w:val="22"/>
          <w:lang w:val="en-US"/>
        </w:rPr>
        <w:t xml:space="preserve"> by immunocytochemistry for </w:t>
      </w:r>
      <w:r w:rsidRPr="009217CA">
        <w:rPr>
          <w:rFonts w:ascii="Arial" w:hAnsi="Arial" w:cs="Arial"/>
          <w:sz w:val="22"/>
          <w:szCs w:val="22"/>
          <w:lang w:val="en-US"/>
        </w:rPr>
        <w:t>γH2AX</w:t>
      </w:r>
      <w:r>
        <w:rPr>
          <w:rFonts w:ascii="Arial" w:hAnsi="Arial" w:cs="Arial"/>
          <w:sz w:val="22"/>
          <w:szCs w:val="22"/>
          <w:lang w:val="en-US"/>
        </w:rPr>
        <w:t xml:space="preserve"> </w:t>
      </w:r>
      <w:r w:rsidRPr="009217CA">
        <w:rPr>
          <w:rFonts w:ascii="Arial" w:hAnsi="Arial" w:cs="Arial"/>
          <w:sz w:val="22"/>
          <w:szCs w:val="22"/>
          <w:lang w:val="en-US"/>
        </w:rPr>
        <w:t xml:space="preserve">confirmed </w:t>
      </w:r>
      <w:r>
        <w:rPr>
          <w:rFonts w:ascii="Arial" w:hAnsi="Arial" w:cs="Arial"/>
          <w:sz w:val="22"/>
          <w:szCs w:val="22"/>
          <w:lang w:val="en-US"/>
        </w:rPr>
        <w:t>lack of excessive</w:t>
      </w:r>
      <w:r w:rsidRPr="009217CA">
        <w:rPr>
          <w:rFonts w:ascii="Arial" w:hAnsi="Arial" w:cs="Arial"/>
          <w:sz w:val="22"/>
          <w:szCs w:val="22"/>
          <w:lang w:val="en-US"/>
        </w:rPr>
        <w:t xml:space="preserve"> DNA damage</w:t>
      </w:r>
      <w:r>
        <w:rPr>
          <w:rFonts w:ascii="Arial" w:hAnsi="Arial" w:cs="Arial"/>
          <w:sz w:val="22"/>
          <w:szCs w:val="22"/>
          <w:lang w:val="en-US"/>
        </w:rPr>
        <w:t xml:space="preserve"> accumulation (fewer </w:t>
      </w:r>
      <w:r w:rsidRPr="009217CA">
        <w:rPr>
          <w:rFonts w:ascii="Arial" w:hAnsi="Arial" w:cs="Arial"/>
          <w:sz w:val="22"/>
          <w:szCs w:val="22"/>
          <w:lang w:val="en-US"/>
        </w:rPr>
        <w:t>γH2AX</w:t>
      </w:r>
      <w:r>
        <w:rPr>
          <w:rFonts w:ascii="Arial" w:hAnsi="Arial" w:cs="Arial"/>
          <w:sz w:val="22"/>
          <w:szCs w:val="22"/>
          <w:lang w:val="en-US"/>
        </w:rPr>
        <w:t xml:space="preserve"> foci in nucleus)</w:t>
      </w:r>
      <w:r w:rsidRPr="009217CA">
        <w:rPr>
          <w:rFonts w:ascii="Arial" w:hAnsi="Arial" w:cs="Arial"/>
          <w:sz w:val="22"/>
          <w:szCs w:val="22"/>
          <w:lang w:val="en-US"/>
        </w:rPr>
        <w:t xml:space="preserve"> in the </w:t>
      </w:r>
      <w:r w:rsidRPr="009217CA">
        <w:rPr>
          <w:rFonts w:ascii="Arial" w:hAnsi="Arial" w:cs="Arial"/>
          <w:i/>
          <w:iCs/>
          <w:sz w:val="22"/>
          <w:szCs w:val="22"/>
          <w:lang w:val="en-US"/>
        </w:rPr>
        <w:t xml:space="preserve">JAK2 </w:t>
      </w:r>
      <w:r w:rsidRPr="00CD395D">
        <w:rPr>
          <w:rFonts w:ascii="Arial" w:hAnsi="Arial" w:cs="Arial"/>
          <w:sz w:val="22"/>
          <w:szCs w:val="22"/>
          <w:lang w:val="en-US"/>
        </w:rPr>
        <w:t>V617F</w:t>
      </w:r>
      <w:r w:rsidRPr="009217CA">
        <w:rPr>
          <w:rFonts w:ascii="Arial" w:hAnsi="Arial" w:cs="Arial"/>
          <w:sz w:val="22"/>
          <w:szCs w:val="22"/>
          <w:vertAlign w:val="superscript"/>
          <w:lang w:val="en-US"/>
        </w:rPr>
        <w:t>+</w:t>
      </w:r>
      <w:r w:rsidRPr="009217CA">
        <w:rPr>
          <w:rFonts w:ascii="Arial" w:hAnsi="Arial" w:cs="Arial"/>
          <w:sz w:val="22"/>
          <w:szCs w:val="22"/>
          <w:lang w:val="en-US"/>
        </w:rPr>
        <w:t xml:space="preserve"> CD34</w:t>
      </w:r>
      <w:r w:rsidRPr="009217CA">
        <w:rPr>
          <w:rFonts w:ascii="Arial" w:hAnsi="Arial" w:cs="Arial"/>
          <w:sz w:val="22"/>
          <w:szCs w:val="22"/>
          <w:vertAlign w:val="superscript"/>
          <w:lang w:val="en-US"/>
        </w:rPr>
        <w:t>+</w:t>
      </w:r>
      <w:r w:rsidRPr="009217CA">
        <w:rPr>
          <w:rFonts w:ascii="Arial" w:hAnsi="Arial" w:cs="Arial"/>
          <w:sz w:val="22"/>
          <w:szCs w:val="22"/>
          <w:lang w:val="en-US"/>
        </w:rPr>
        <w:t xml:space="preserve"> P-ECs</w:t>
      </w:r>
      <w:r>
        <w:rPr>
          <w:rFonts w:ascii="Arial" w:hAnsi="Arial" w:cs="Arial"/>
          <w:sz w:val="22"/>
          <w:szCs w:val="22"/>
          <w:lang w:val="en-US"/>
        </w:rPr>
        <w:t xml:space="preserve"> treated with various combinations of inflammatory cytokines</w:t>
      </w:r>
      <w:r w:rsidRPr="009217CA">
        <w:rPr>
          <w:rFonts w:ascii="Arial" w:hAnsi="Arial" w:cs="Arial"/>
          <w:sz w:val="22"/>
          <w:szCs w:val="22"/>
          <w:lang w:val="en-US"/>
        </w:rPr>
        <w:t xml:space="preserve">, compared with </w:t>
      </w:r>
      <w:r w:rsidRPr="009217CA">
        <w:rPr>
          <w:rFonts w:ascii="Arial" w:hAnsi="Arial" w:cs="Arial"/>
          <w:i/>
          <w:iCs/>
          <w:sz w:val="22"/>
          <w:szCs w:val="22"/>
          <w:lang w:val="en-US"/>
        </w:rPr>
        <w:t>JAK2</w:t>
      </w:r>
      <w:r>
        <w:rPr>
          <w:rFonts w:ascii="Arial" w:hAnsi="Arial" w:cs="Arial"/>
          <w:sz w:val="22"/>
          <w:szCs w:val="22"/>
          <w:lang w:val="en-US"/>
        </w:rPr>
        <w:t xml:space="preserve"> </w:t>
      </w:r>
      <w:proofErr w:type="spellStart"/>
      <w:r w:rsidRPr="009217CA">
        <w:rPr>
          <w:rFonts w:ascii="Arial" w:hAnsi="Arial" w:cs="Arial"/>
          <w:sz w:val="22"/>
          <w:szCs w:val="22"/>
          <w:lang w:val="en-US"/>
        </w:rPr>
        <w:t>wt</w:t>
      </w:r>
      <w:proofErr w:type="spellEnd"/>
      <w:r w:rsidRPr="009217CA">
        <w:rPr>
          <w:rFonts w:ascii="Arial" w:hAnsi="Arial" w:cs="Arial"/>
          <w:sz w:val="22"/>
          <w:szCs w:val="22"/>
          <w:lang w:val="en-US"/>
        </w:rPr>
        <w:t xml:space="preserve"> </w:t>
      </w:r>
      <w:r>
        <w:rPr>
          <w:rFonts w:ascii="Arial" w:hAnsi="Arial" w:cs="Arial"/>
          <w:sz w:val="22"/>
          <w:szCs w:val="22"/>
          <w:lang w:val="en-US"/>
        </w:rPr>
        <w:t xml:space="preserve">cells (Figure 17). </w:t>
      </w:r>
      <w:r w:rsidRPr="00243C38">
        <w:rPr>
          <w:rFonts w:ascii="Arial" w:hAnsi="Arial" w:cs="Arial"/>
          <w:sz w:val="22"/>
          <w:szCs w:val="22"/>
          <w:lang w:val="en-US"/>
        </w:rPr>
        <w:t>Excessively used homologous recombination</w:t>
      </w:r>
      <w:r>
        <w:rPr>
          <w:rFonts w:ascii="Arial" w:hAnsi="Arial" w:cs="Arial"/>
          <w:sz w:val="22"/>
          <w:szCs w:val="22"/>
          <w:lang w:val="en-US"/>
        </w:rPr>
        <w:t xml:space="preserve"> (HR)</w:t>
      </w:r>
      <w:r w:rsidRPr="00243C38">
        <w:rPr>
          <w:rFonts w:ascii="Arial" w:hAnsi="Arial" w:cs="Arial"/>
          <w:sz w:val="22"/>
          <w:szCs w:val="22"/>
          <w:lang w:val="en-US"/>
        </w:rPr>
        <w:t xml:space="preserve">, denoted by increased RAD51 foci presence, have been previously demonstrated on </w:t>
      </w:r>
      <w:proofErr w:type="spellStart"/>
      <w:r w:rsidRPr="00243C38">
        <w:rPr>
          <w:rFonts w:ascii="Arial" w:hAnsi="Arial" w:cs="Arial"/>
          <w:i/>
          <w:iCs/>
          <w:sz w:val="22"/>
          <w:szCs w:val="22"/>
          <w:lang w:val="en-US"/>
        </w:rPr>
        <w:t>hEPO</w:t>
      </w:r>
      <w:proofErr w:type="spellEnd"/>
      <w:r w:rsidRPr="00243C38">
        <w:rPr>
          <w:rFonts w:ascii="Arial" w:hAnsi="Arial" w:cs="Arial"/>
          <w:sz w:val="22"/>
          <w:szCs w:val="22"/>
          <w:vertAlign w:val="superscript"/>
          <w:lang w:val="en-US"/>
        </w:rPr>
        <w:t>+</w:t>
      </w:r>
      <w:r w:rsidRPr="00243C38">
        <w:rPr>
          <w:rFonts w:ascii="Arial" w:hAnsi="Arial" w:cs="Arial"/>
          <w:sz w:val="22"/>
          <w:szCs w:val="22"/>
          <w:lang w:val="en-US"/>
        </w:rPr>
        <w:t xml:space="preserve"> </w:t>
      </w:r>
      <w:r w:rsidRPr="001B1DAC">
        <w:rPr>
          <w:rFonts w:ascii="Arial" w:hAnsi="Arial" w:cs="Arial"/>
          <w:sz w:val="22"/>
          <w:szCs w:val="22"/>
          <w:lang w:val="en-US"/>
        </w:rPr>
        <w:t>V617F</w:t>
      </w:r>
      <w:r w:rsidRPr="00243C38">
        <w:rPr>
          <w:rFonts w:ascii="Arial" w:hAnsi="Arial" w:cs="Arial"/>
          <w:sz w:val="22"/>
          <w:szCs w:val="22"/>
          <w:vertAlign w:val="superscript"/>
          <w:lang w:val="en-US"/>
        </w:rPr>
        <w:t>+</w:t>
      </w:r>
      <w:r w:rsidRPr="00243C38">
        <w:rPr>
          <w:rFonts w:ascii="Arial" w:hAnsi="Arial" w:cs="Arial"/>
          <w:sz w:val="22"/>
          <w:szCs w:val="22"/>
          <w:lang w:val="en-US"/>
        </w:rPr>
        <w:t xml:space="preserve"> Ba/F3 cell line. As </w:t>
      </w:r>
      <w:r w:rsidR="00670227">
        <w:rPr>
          <w:rFonts w:ascii="Arial" w:hAnsi="Arial" w:cs="Arial"/>
          <w:sz w:val="22"/>
          <w:szCs w:val="22"/>
          <w:lang w:val="en-US"/>
        </w:rPr>
        <w:t>HR</w:t>
      </w:r>
      <w:r w:rsidRPr="00243C38">
        <w:rPr>
          <w:rFonts w:ascii="Arial" w:hAnsi="Arial" w:cs="Arial"/>
          <w:sz w:val="22"/>
          <w:szCs w:val="22"/>
          <w:lang w:val="en-US"/>
        </w:rPr>
        <w:t>, might provide essential support for highly-replicating cells in inflammatory BM micromilieu, these results prompted us to test if our</w:t>
      </w:r>
      <w:r>
        <w:rPr>
          <w:rFonts w:ascii="Arial" w:hAnsi="Arial" w:cs="Arial"/>
          <w:sz w:val="22"/>
          <w:szCs w:val="22"/>
          <w:lang w:val="en-US"/>
        </w:rPr>
        <w:t xml:space="preserve"> </w:t>
      </w:r>
      <w:r w:rsidRPr="00243C38">
        <w:rPr>
          <w:rFonts w:ascii="Arial" w:hAnsi="Arial" w:cs="Arial"/>
          <w:i/>
          <w:iCs/>
          <w:sz w:val="22"/>
          <w:szCs w:val="22"/>
          <w:lang w:val="en-US"/>
        </w:rPr>
        <w:t xml:space="preserve">JAK2 </w:t>
      </w:r>
      <w:r w:rsidRPr="00CD395D">
        <w:rPr>
          <w:rFonts w:ascii="Arial" w:hAnsi="Arial" w:cs="Arial"/>
          <w:sz w:val="22"/>
          <w:szCs w:val="22"/>
          <w:lang w:val="en-US"/>
        </w:rPr>
        <w:t>V617F</w:t>
      </w:r>
      <w:r w:rsidRPr="00243C38">
        <w:rPr>
          <w:rFonts w:ascii="Arial" w:hAnsi="Arial" w:cs="Arial"/>
          <w:sz w:val="22"/>
          <w:szCs w:val="22"/>
          <w:vertAlign w:val="superscript"/>
          <w:lang w:val="en-US"/>
        </w:rPr>
        <w:t>+</w:t>
      </w:r>
      <w:r w:rsidRPr="00243C38">
        <w:rPr>
          <w:rFonts w:ascii="Arial" w:hAnsi="Arial" w:cs="Arial"/>
          <w:sz w:val="22"/>
          <w:szCs w:val="22"/>
          <w:lang w:val="en-US"/>
        </w:rPr>
        <w:t xml:space="preserve"> CD34</w:t>
      </w:r>
      <w:r w:rsidRPr="00243C38">
        <w:rPr>
          <w:rFonts w:ascii="Arial" w:hAnsi="Arial" w:cs="Arial"/>
          <w:sz w:val="22"/>
          <w:szCs w:val="22"/>
          <w:vertAlign w:val="superscript"/>
          <w:lang w:val="en-US"/>
        </w:rPr>
        <w:t>+</w:t>
      </w:r>
      <w:r w:rsidRPr="00243C38">
        <w:rPr>
          <w:rFonts w:ascii="Arial" w:hAnsi="Arial" w:cs="Arial"/>
          <w:sz w:val="22"/>
          <w:szCs w:val="22"/>
          <w:lang w:val="en-US"/>
        </w:rPr>
        <w:t xml:space="preserve"> </w:t>
      </w:r>
      <w:r>
        <w:rPr>
          <w:rFonts w:ascii="Arial" w:hAnsi="Arial" w:cs="Arial"/>
          <w:sz w:val="22"/>
          <w:szCs w:val="22"/>
          <w:lang w:val="en-US"/>
        </w:rPr>
        <w:t>P-ECs</w:t>
      </w:r>
      <w:r w:rsidRPr="00243C38">
        <w:rPr>
          <w:rFonts w:ascii="Arial" w:hAnsi="Arial" w:cs="Arial"/>
          <w:sz w:val="22"/>
          <w:szCs w:val="22"/>
          <w:lang w:val="en-US"/>
        </w:rPr>
        <w:t xml:space="preserve"> use HR to higher extent than </w:t>
      </w:r>
      <w:proofErr w:type="spellStart"/>
      <w:r w:rsidRPr="00243C38">
        <w:rPr>
          <w:rFonts w:ascii="Arial" w:hAnsi="Arial" w:cs="Arial"/>
          <w:sz w:val="22"/>
          <w:szCs w:val="22"/>
          <w:lang w:val="en-US"/>
        </w:rPr>
        <w:t>wt</w:t>
      </w:r>
      <w:proofErr w:type="spellEnd"/>
      <w:r w:rsidRPr="00243C38">
        <w:rPr>
          <w:rFonts w:ascii="Arial" w:hAnsi="Arial" w:cs="Arial"/>
          <w:sz w:val="22"/>
          <w:szCs w:val="22"/>
          <w:lang w:val="en-US"/>
        </w:rPr>
        <w:t xml:space="preserve"> cells. In our dual staining for nuclear γH2AX</w:t>
      </w:r>
      <w:r w:rsidR="00670227">
        <w:rPr>
          <w:rFonts w:ascii="Arial" w:hAnsi="Arial" w:cs="Arial"/>
          <w:sz w:val="22"/>
          <w:szCs w:val="22"/>
          <w:lang w:val="en-US"/>
        </w:rPr>
        <w:t>/</w:t>
      </w:r>
      <w:r w:rsidRPr="00243C38">
        <w:rPr>
          <w:rFonts w:ascii="Arial" w:hAnsi="Arial" w:cs="Arial"/>
          <w:sz w:val="22"/>
          <w:szCs w:val="22"/>
          <w:lang w:val="en-US"/>
        </w:rPr>
        <w:t xml:space="preserve">RAD51, </w:t>
      </w:r>
      <w:r w:rsidR="00670227">
        <w:rPr>
          <w:rFonts w:ascii="Arial" w:hAnsi="Arial" w:cs="Arial"/>
          <w:sz w:val="22"/>
          <w:szCs w:val="22"/>
          <w:lang w:val="en-US"/>
        </w:rPr>
        <w:t>with</w:t>
      </w:r>
      <w:r w:rsidRPr="00243C38">
        <w:rPr>
          <w:rFonts w:ascii="Arial" w:hAnsi="Arial" w:cs="Arial"/>
          <w:sz w:val="22"/>
          <w:szCs w:val="22"/>
          <w:lang w:val="en-US"/>
        </w:rPr>
        <w:t xml:space="preserve"> sequential </w:t>
      </w:r>
      <w:r w:rsidR="00670227">
        <w:rPr>
          <w:rFonts w:ascii="Arial" w:hAnsi="Arial" w:cs="Arial"/>
          <w:sz w:val="22"/>
          <w:szCs w:val="22"/>
          <w:lang w:val="en-US"/>
        </w:rPr>
        <w:t xml:space="preserve">primary-Abs </w:t>
      </w:r>
      <w:r w:rsidRPr="00243C38">
        <w:rPr>
          <w:rFonts w:ascii="Arial" w:hAnsi="Arial" w:cs="Arial"/>
          <w:sz w:val="22"/>
          <w:szCs w:val="22"/>
          <w:lang w:val="en-US"/>
        </w:rPr>
        <w:t>staining</w:t>
      </w:r>
      <w:r w:rsidR="00670227">
        <w:rPr>
          <w:rFonts w:ascii="Arial" w:hAnsi="Arial" w:cs="Arial"/>
          <w:sz w:val="22"/>
          <w:szCs w:val="22"/>
          <w:lang w:val="en-US"/>
        </w:rPr>
        <w:t xml:space="preserve"> </w:t>
      </w:r>
      <w:r w:rsidR="00670227">
        <w:rPr>
          <w:rFonts w:ascii="Arial" w:hAnsi="Arial" w:cs="Arial"/>
          <w:sz w:val="22"/>
          <w:szCs w:val="22"/>
          <w:lang w:val="en-US"/>
        </w:rPr>
        <w:fldChar w:fldCharType="begin"/>
      </w:r>
      <w:r w:rsidR="00670227">
        <w:rPr>
          <w:rFonts w:ascii="Arial" w:hAnsi="Arial" w:cs="Arial"/>
          <w:sz w:val="22"/>
          <w:szCs w:val="22"/>
          <w:lang w:val="en-US"/>
        </w:rPr>
        <w:instrText xml:space="preserve"> ADDIN ZOTERO_ITEM CSL_CITATION {"citationID":"3jgKGkMp","properties":{"formattedCitation":"(Bennett et al., 2009)","plainCitation":"(Bennett et al., 2009)","noteIndex":0},"citationItems":[{"id":263,"uris":["http://zotero.org/users/2484452/items/QUNC7WP3"],"uri":["http://zotero.org/users/2484452/items/QUNC7WP3"],"itemData":{"id":263,"type":"article-journal","abstract":"Immunofluorescence imaging has provided captivating visual evidence for numerous cellular events, from vesicular trafficking, organelle maturation and cell division to nuclear processes including the appearance of various proteins and chromatin components in distinct foci in response to DNA damaging agents. With the advent of new super-resolution microscope technologies such as 4Pi microscopy, standard immunofluorescence protocols deserve some reevaluation in order to take full advantage of these new technological accomplishments. Here we describe several methodological considerations that will help overcome some of the limitations that may result from the use of currently applied procedures, with particular attention paid to the analysis of possible colocalization of fluorescent signals. We conclude with an example of how application of optimized methods led to a breakthrough in super-resolution imaging of nuclear events occurring in response to DNA damage.","container-title":"Methods (San Diego, Calif.)","DOI":"10.1016/j.ymeth.2009.02.009","ISSN":"1095-9130","issue":"1","journalAbbreviation":"Methods","language":"eng","note":"PMID: 19245833\nPMCID: PMC3687552","page":"63-71","source":"PubMed","title":"Immunofluorescence imaging of DNA damage response proteins: optimizing protocols for super-resolution microscopy","title-short":"Immunofluorescence imaging of DNA damage response proteins","volume":"48","author":[{"family":"Bennett","given":"Brian T."},{"family":"Bewersdorf","given":"Jörg"},{"family":"Knight","given":"Kendall L."}],"issued":{"date-parts":[["2009",5]]}}}],"schema":"https://github.com/citation-style-language/schema/raw/master/csl-citation.json"} </w:instrText>
      </w:r>
      <w:r w:rsidR="00670227">
        <w:rPr>
          <w:rFonts w:ascii="Arial" w:hAnsi="Arial" w:cs="Arial"/>
          <w:sz w:val="22"/>
          <w:szCs w:val="22"/>
          <w:lang w:val="en-US"/>
        </w:rPr>
        <w:fldChar w:fldCharType="separate"/>
      </w:r>
      <w:r w:rsidR="00670227">
        <w:rPr>
          <w:rFonts w:ascii="Arial" w:hAnsi="Arial" w:cs="Arial"/>
          <w:noProof/>
          <w:sz w:val="22"/>
          <w:szCs w:val="22"/>
          <w:lang w:val="en-US"/>
        </w:rPr>
        <w:t>(Bennett et al., 2009)</w:t>
      </w:r>
      <w:r w:rsidR="00670227">
        <w:rPr>
          <w:rFonts w:ascii="Arial" w:hAnsi="Arial" w:cs="Arial"/>
          <w:sz w:val="22"/>
          <w:szCs w:val="22"/>
          <w:lang w:val="en-US"/>
        </w:rPr>
        <w:fldChar w:fldCharType="end"/>
      </w:r>
      <w:r w:rsidRPr="00243C38">
        <w:rPr>
          <w:rFonts w:ascii="Arial" w:hAnsi="Arial" w:cs="Arial"/>
          <w:sz w:val="22"/>
          <w:szCs w:val="22"/>
          <w:lang w:val="en-US"/>
        </w:rPr>
        <w:t xml:space="preserve"> assessment of RAD51 recruitment to DNA damage sites, marked by γ-H2AX foci as a readout of HR efficiency </w:t>
      </w:r>
      <w:r w:rsidR="00670227">
        <w:rPr>
          <w:rFonts w:ascii="Arial" w:hAnsi="Arial" w:cs="Arial"/>
          <w:sz w:val="22"/>
          <w:szCs w:val="22"/>
          <w:lang w:val="en-US"/>
        </w:rPr>
        <w:t>have not showed</w:t>
      </w:r>
      <w:r w:rsidRPr="00243C38">
        <w:rPr>
          <w:rFonts w:ascii="Arial" w:hAnsi="Arial" w:cs="Arial"/>
          <w:sz w:val="22"/>
          <w:szCs w:val="22"/>
          <w:lang w:val="en-US"/>
        </w:rPr>
        <w:t xml:space="preserve"> significantly altered RAD51 recruitment to these sites</w:t>
      </w:r>
      <w:r w:rsidR="00670227">
        <w:rPr>
          <w:rFonts w:ascii="Arial" w:hAnsi="Arial" w:cs="Arial"/>
          <w:sz w:val="22"/>
          <w:szCs w:val="22"/>
          <w:lang w:val="en-US"/>
        </w:rPr>
        <w:t xml:space="preserve"> (Figure 17)</w:t>
      </w:r>
      <w:r w:rsidRPr="00243C38">
        <w:rPr>
          <w:rFonts w:ascii="Arial" w:hAnsi="Arial" w:cs="Arial"/>
          <w:sz w:val="22"/>
          <w:szCs w:val="22"/>
          <w:lang w:val="en-US"/>
        </w:rPr>
        <w:t xml:space="preserve">. Rather RAD51 foci presence followed the trends of γH2AX </w:t>
      </w:r>
      <w:r w:rsidRPr="00243C38">
        <w:rPr>
          <w:rFonts w:ascii="Arial" w:hAnsi="Arial" w:cs="Arial"/>
          <w:sz w:val="22"/>
          <w:szCs w:val="22"/>
          <w:lang w:val="en-US"/>
        </w:rPr>
        <w:lastRenderedPageBreak/>
        <w:t xml:space="preserve">accumulation after treatment by inflammatory cytokines, suggesting </w:t>
      </w:r>
      <w:r w:rsidR="00670227">
        <w:rPr>
          <w:rFonts w:ascii="Arial" w:hAnsi="Arial" w:cs="Arial"/>
          <w:sz w:val="22"/>
          <w:szCs w:val="22"/>
          <w:lang w:val="en-US"/>
        </w:rPr>
        <w:t>intact</w:t>
      </w:r>
      <w:r w:rsidRPr="00243C38">
        <w:rPr>
          <w:rFonts w:ascii="Arial" w:hAnsi="Arial" w:cs="Arial"/>
          <w:sz w:val="22"/>
          <w:szCs w:val="22"/>
          <w:lang w:val="en-US"/>
        </w:rPr>
        <w:t xml:space="preserve"> regulation of HR.</w:t>
      </w:r>
    </w:p>
    <w:p w14:paraId="38FDD07B" w14:textId="77777777" w:rsidR="0036587B" w:rsidRPr="003A5293" w:rsidRDefault="0036587B" w:rsidP="005D01C6">
      <w:pPr>
        <w:spacing w:line="360" w:lineRule="auto"/>
        <w:jc w:val="both"/>
        <w:rPr>
          <w:rFonts w:ascii="Arial" w:hAnsi="Arial" w:cs="Arial"/>
          <w:sz w:val="22"/>
          <w:szCs w:val="22"/>
          <w:lang w:val="en-US"/>
        </w:rPr>
      </w:pPr>
      <w:r w:rsidRPr="003A5293">
        <w:rPr>
          <w:rFonts w:ascii="Arial" w:hAnsi="Arial" w:cs="Arial"/>
          <w:noProof/>
          <w:sz w:val="22"/>
          <w:szCs w:val="22"/>
          <w:lang w:val="cs-CZ" w:eastAsia="cs-CZ"/>
        </w:rPr>
        <w:drawing>
          <wp:inline distT="0" distB="0" distL="0" distR="0" wp14:anchorId="3F94D53E" wp14:editId="4BC572DB">
            <wp:extent cx="5400000" cy="5976780"/>
            <wp:effectExtent l="0" t="0" r="0" b="508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schirmfoto 2020-02-17 um 21.37.16.png"/>
                    <pic:cNvPicPr/>
                  </pic:nvPicPr>
                  <pic:blipFill rotWithShape="1">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l="1511" r="1505"/>
                    <a:stretch/>
                  </pic:blipFill>
                  <pic:spPr bwMode="auto">
                    <a:xfrm>
                      <a:off x="0" y="0"/>
                      <a:ext cx="5400000" cy="5976780"/>
                    </a:xfrm>
                    <a:prstGeom prst="rect">
                      <a:avLst/>
                    </a:prstGeom>
                    <a:ln>
                      <a:noFill/>
                    </a:ln>
                    <a:extLst>
                      <a:ext uri="{53640926-AAD7-44D8-BBD7-CCE9431645EC}">
                        <a14:shadowObscured xmlns:a14="http://schemas.microsoft.com/office/drawing/2010/main"/>
                      </a:ext>
                    </a:extLst>
                  </pic:spPr>
                </pic:pic>
              </a:graphicData>
            </a:graphic>
          </wp:inline>
        </w:drawing>
      </w:r>
    </w:p>
    <w:p w14:paraId="7C33D705" w14:textId="77777777" w:rsidR="0036587B" w:rsidRPr="003A5293" w:rsidRDefault="0036587B" w:rsidP="005D01C6">
      <w:pPr>
        <w:spacing w:line="360" w:lineRule="auto"/>
        <w:jc w:val="both"/>
        <w:rPr>
          <w:rFonts w:ascii="Arial" w:hAnsi="Arial" w:cs="Arial"/>
          <w:sz w:val="22"/>
          <w:szCs w:val="22"/>
          <w:lang w:val="en-US"/>
        </w:rPr>
      </w:pPr>
      <w:r w:rsidRPr="003A5293">
        <w:rPr>
          <w:rFonts w:ascii="Arial" w:hAnsi="Arial" w:cs="Arial"/>
          <w:b/>
          <w:bCs/>
          <w:sz w:val="22"/>
          <w:szCs w:val="22"/>
          <w:lang w:val="en-US"/>
        </w:rPr>
        <w:t>Figure 17</w:t>
      </w:r>
      <w:r w:rsidRPr="003A5293">
        <w:rPr>
          <w:rFonts w:ascii="Arial" w:hAnsi="Arial" w:cs="Arial"/>
          <w:sz w:val="22"/>
          <w:szCs w:val="22"/>
          <w:lang w:val="en-US"/>
        </w:rPr>
        <w:t xml:space="preserve">: </w:t>
      </w:r>
      <w:r w:rsidR="002B6894" w:rsidRPr="002B6894">
        <w:rPr>
          <w:rFonts w:ascii="Arial" w:eastAsia="+mn-ea" w:hAnsi="Arial" w:cs="Arial"/>
          <w:color w:val="000000"/>
          <w:kern w:val="24"/>
          <w:sz w:val="22"/>
          <w:szCs w:val="22"/>
          <w:lang w:val="en-US" w:eastAsia="cs-CZ"/>
        </w:rPr>
        <w:t xml:space="preserve">Immunocytochemistry staining for </w:t>
      </w:r>
      <w:r w:rsidR="002B6894">
        <w:rPr>
          <w:rFonts w:ascii="Arial" w:eastAsia="+mn-ea" w:hAnsi="Arial" w:cs="Arial"/>
          <w:color w:val="000000"/>
          <w:kern w:val="24"/>
          <w:sz w:val="22"/>
          <w:szCs w:val="22"/>
          <w:lang w:val="en-US" w:eastAsia="cs-CZ"/>
        </w:rPr>
        <w:t xml:space="preserve">DNA damage marker </w:t>
      </w:r>
      <w:r w:rsidR="002B6894" w:rsidRPr="002B6894">
        <w:rPr>
          <w:rFonts w:ascii="Arial" w:eastAsia="+mn-ea" w:hAnsi="Arial" w:cs="Arial"/>
          <w:color w:val="000000"/>
          <w:kern w:val="24"/>
          <w:sz w:val="22"/>
          <w:szCs w:val="22"/>
          <w:lang w:val="en-US" w:eastAsia="cs-CZ"/>
        </w:rPr>
        <w:t xml:space="preserve">γH2AX (red) and </w:t>
      </w:r>
      <w:r w:rsidR="002B6894">
        <w:rPr>
          <w:rFonts w:ascii="Arial" w:eastAsia="+mn-ea" w:hAnsi="Arial" w:cs="Arial"/>
          <w:color w:val="000000"/>
          <w:kern w:val="24"/>
          <w:sz w:val="22"/>
          <w:szCs w:val="22"/>
          <w:lang w:val="en-US" w:eastAsia="cs-CZ"/>
        </w:rPr>
        <w:t xml:space="preserve">DDR marker </w:t>
      </w:r>
      <w:r w:rsidR="002B6894" w:rsidRPr="002B6894">
        <w:rPr>
          <w:rFonts w:ascii="Arial" w:eastAsia="+mn-ea" w:hAnsi="Arial" w:cs="Arial"/>
          <w:color w:val="000000"/>
          <w:kern w:val="24"/>
          <w:sz w:val="22"/>
          <w:szCs w:val="22"/>
          <w:lang w:val="en-US" w:eastAsia="cs-CZ"/>
        </w:rPr>
        <w:t xml:space="preserve">RAD51 (green) </w:t>
      </w:r>
      <w:r w:rsidR="002B6894">
        <w:rPr>
          <w:rFonts w:ascii="Arial" w:eastAsia="+mn-ea" w:hAnsi="Arial" w:cs="Arial"/>
          <w:color w:val="000000"/>
          <w:kern w:val="24"/>
          <w:sz w:val="22"/>
          <w:szCs w:val="22"/>
          <w:lang w:val="en-US" w:eastAsia="cs-CZ"/>
        </w:rPr>
        <w:t>on</w:t>
      </w:r>
      <w:r w:rsidR="002B6894" w:rsidRPr="002B6894">
        <w:rPr>
          <w:rFonts w:ascii="Arial" w:eastAsia="+mn-ea" w:hAnsi="Arial" w:cs="Arial"/>
          <w:color w:val="000000"/>
          <w:kern w:val="24"/>
          <w:sz w:val="22"/>
          <w:szCs w:val="22"/>
          <w:lang w:val="en-US" w:eastAsia="cs-CZ"/>
        </w:rPr>
        <w:t xml:space="preserve"> d</w:t>
      </w:r>
      <w:r w:rsidR="002B6894">
        <w:rPr>
          <w:rFonts w:ascii="Arial" w:eastAsia="+mn-ea" w:hAnsi="Arial" w:cs="Arial"/>
          <w:color w:val="000000"/>
          <w:kern w:val="24"/>
          <w:sz w:val="22"/>
          <w:szCs w:val="22"/>
          <w:lang w:val="en-US" w:eastAsia="cs-CZ"/>
        </w:rPr>
        <w:t xml:space="preserve">ay </w:t>
      </w:r>
      <w:r w:rsidR="002B6894" w:rsidRPr="002B6894">
        <w:rPr>
          <w:rFonts w:ascii="Arial" w:eastAsia="+mn-ea" w:hAnsi="Arial" w:cs="Arial"/>
          <w:color w:val="000000"/>
          <w:kern w:val="24"/>
          <w:sz w:val="22"/>
          <w:szCs w:val="22"/>
          <w:lang w:val="en-US" w:eastAsia="cs-CZ"/>
        </w:rPr>
        <w:t xml:space="preserve">9 </w:t>
      </w:r>
      <w:r w:rsidR="002B6894" w:rsidRPr="002B6894">
        <w:rPr>
          <w:rFonts w:ascii="Arial" w:eastAsia="+mn-ea" w:hAnsi="Arial" w:cs="Arial"/>
          <w:i/>
          <w:iCs/>
          <w:color w:val="000000"/>
          <w:kern w:val="24"/>
          <w:sz w:val="22"/>
          <w:szCs w:val="22"/>
          <w:lang w:val="en-US" w:eastAsia="cs-CZ"/>
        </w:rPr>
        <w:t>JAK2</w:t>
      </w:r>
      <w:r w:rsidR="002B6894">
        <w:rPr>
          <w:rFonts w:ascii="Arial" w:eastAsia="+mn-ea" w:hAnsi="Arial" w:cs="Arial"/>
          <w:color w:val="000000"/>
          <w:kern w:val="24"/>
          <w:sz w:val="22"/>
          <w:szCs w:val="22"/>
          <w:lang w:val="en-US" w:eastAsia="cs-CZ"/>
        </w:rPr>
        <w:t xml:space="preserve"> </w:t>
      </w:r>
      <w:proofErr w:type="spellStart"/>
      <w:r w:rsidR="002B6894" w:rsidRPr="002B6894">
        <w:rPr>
          <w:rFonts w:ascii="Arial" w:eastAsia="+mn-ea" w:hAnsi="Arial" w:cs="Arial"/>
          <w:color w:val="000000"/>
          <w:kern w:val="24"/>
          <w:sz w:val="22"/>
          <w:szCs w:val="22"/>
          <w:lang w:val="en-US" w:eastAsia="cs-CZ"/>
        </w:rPr>
        <w:t>wt</w:t>
      </w:r>
      <w:proofErr w:type="spellEnd"/>
      <w:r w:rsidR="002B6894" w:rsidRPr="002B6894">
        <w:rPr>
          <w:rFonts w:ascii="Arial" w:eastAsia="+mn-ea" w:hAnsi="Arial" w:cs="Arial"/>
          <w:color w:val="000000"/>
          <w:kern w:val="24"/>
          <w:sz w:val="22"/>
          <w:szCs w:val="22"/>
          <w:lang w:val="en-US" w:eastAsia="cs-CZ"/>
        </w:rPr>
        <w:t xml:space="preserve"> and </w:t>
      </w:r>
      <w:r w:rsidR="002B6894" w:rsidRPr="002B6894">
        <w:rPr>
          <w:rFonts w:ascii="Arial" w:eastAsia="+mn-ea" w:hAnsi="Arial" w:cs="Arial"/>
          <w:i/>
          <w:iCs/>
          <w:color w:val="000000"/>
          <w:kern w:val="24"/>
          <w:sz w:val="22"/>
          <w:szCs w:val="22"/>
          <w:lang w:val="en-US" w:eastAsia="cs-CZ"/>
        </w:rPr>
        <w:t xml:space="preserve">JAK2 </w:t>
      </w:r>
      <w:r w:rsidR="002B6894" w:rsidRPr="00CD395D">
        <w:rPr>
          <w:rFonts w:ascii="Arial" w:eastAsia="+mn-ea" w:hAnsi="Arial" w:cs="Arial"/>
          <w:color w:val="000000"/>
          <w:kern w:val="24"/>
          <w:sz w:val="22"/>
          <w:szCs w:val="22"/>
          <w:lang w:val="en-US" w:eastAsia="cs-CZ"/>
        </w:rPr>
        <w:t>V617F</w:t>
      </w:r>
      <w:r w:rsidR="002B6894" w:rsidRPr="002B6894">
        <w:rPr>
          <w:rFonts w:ascii="Arial" w:eastAsia="+mn-ea" w:hAnsi="Arial" w:cs="Arial"/>
          <w:color w:val="000000"/>
          <w:kern w:val="24"/>
          <w:sz w:val="22"/>
          <w:szCs w:val="22"/>
          <w:vertAlign w:val="superscript"/>
          <w:lang w:val="en-US" w:eastAsia="cs-CZ"/>
        </w:rPr>
        <w:t>+</w:t>
      </w:r>
      <w:r w:rsidR="002B6894" w:rsidRPr="002B6894">
        <w:rPr>
          <w:rFonts w:ascii="Arial" w:eastAsia="+mn-ea" w:hAnsi="Arial" w:cs="Arial"/>
          <w:color w:val="000000"/>
          <w:kern w:val="24"/>
          <w:sz w:val="22"/>
          <w:szCs w:val="22"/>
          <w:lang w:val="en-US" w:eastAsia="cs-CZ"/>
        </w:rPr>
        <w:t xml:space="preserve"> CD34</w:t>
      </w:r>
      <w:r w:rsidR="002B6894" w:rsidRPr="002B6894">
        <w:rPr>
          <w:rFonts w:ascii="Arial" w:eastAsia="+mn-ea" w:hAnsi="Arial" w:cs="Arial"/>
          <w:color w:val="000000"/>
          <w:kern w:val="24"/>
          <w:sz w:val="22"/>
          <w:szCs w:val="22"/>
          <w:vertAlign w:val="superscript"/>
          <w:lang w:val="en-US" w:eastAsia="cs-CZ"/>
        </w:rPr>
        <w:t>+</w:t>
      </w:r>
      <w:r w:rsidR="002B6894" w:rsidRPr="002B6894">
        <w:rPr>
          <w:rFonts w:ascii="Arial" w:eastAsia="+mn-ea" w:hAnsi="Arial" w:cs="Arial"/>
          <w:color w:val="000000"/>
          <w:kern w:val="24"/>
          <w:sz w:val="22"/>
          <w:szCs w:val="22"/>
          <w:lang w:val="en-US" w:eastAsia="cs-CZ"/>
        </w:rPr>
        <w:t xml:space="preserve"> P-ECs, either untreated (Un) or treated with various combinations of inflammatory cytokines. Charts show percentage of cells ± SD</w:t>
      </w:r>
      <w:r w:rsidR="002B6894">
        <w:rPr>
          <w:rFonts w:ascii="Arial" w:eastAsia="+mn-ea" w:hAnsi="Arial" w:cs="Arial"/>
          <w:color w:val="000000"/>
          <w:kern w:val="24"/>
          <w:sz w:val="22"/>
          <w:szCs w:val="22"/>
          <w:lang w:val="en-US" w:eastAsia="cs-CZ"/>
        </w:rPr>
        <w:t xml:space="preserve"> (n=3)</w:t>
      </w:r>
      <w:r w:rsidR="002B6894" w:rsidRPr="002B6894">
        <w:rPr>
          <w:rFonts w:ascii="Arial" w:eastAsia="+mn-ea" w:hAnsi="Arial" w:cs="Arial"/>
          <w:color w:val="000000"/>
          <w:kern w:val="24"/>
          <w:sz w:val="22"/>
          <w:szCs w:val="22"/>
          <w:lang w:val="en-US" w:eastAsia="cs-CZ"/>
        </w:rPr>
        <w:t xml:space="preserve"> with more than five γH2AX or RAD51 foci per cell in nucleus. </w:t>
      </w:r>
      <w:r w:rsidR="002B6894" w:rsidRPr="002B6894">
        <w:rPr>
          <w:rFonts w:ascii="Arial" w:eastAsia="+mn-ea" w:hAnsi="Arial" w:cs="Arial"/>
          <w:i/>
          <w:iCs/>
          <w:color w:val="000000"/>
          <w:kern w:val="24"/>
          <w:sz w:val="22"/>
          <w:szCs w:val="22"/>
          <w:lang w:val="en-US" w:eastAsia="cs-CZ"/>
        </w:rPr>
        <w:t>*P≤0.05, **P ≤ 0.01</w:t>
      </w:r>
      <w:r w:rsidR="002B6894" w:rsidRPr="002B6894">
        <w:rPr>
          <w:rFonts w:ascii="Arial" w:eastAsia="+mn-ea" w:hAnsi="Arial" w:cs="Arial"/>
          <w:color w:val="000000"/>
          <w:kern w:val="24"/>
          <w:sz w:val="22"/>
          <w:szCs w:val="22"/>
          <w:lang w:val="en-US" w:eastAsia="cs-CZ"/>
        </w:rPr>
        <w:t xml:space="preserve">, </w:t>
      </w:r>
      <w:r w:rsidR="002B6894" w:rsidRPr="002B6894">
        <w:rPr>
          <w:rFonts w:ascii="Arial" w:eastAsia="+mn-ea" w:hAnsi="Arial" w:cs="Arial"/>
          <w:i/>
          <w:iCs/>
          <w:color w:val="000000"/>
          <w:kern w:val="24"/>
          <w:sz w:val="22"/>
          <w:szCs w:val="22"/>
          <w:lang w:val="en-US" w:eastAsia="cs-CZ"/>
        </w:rPr>
        <w:t>***P ≤ 0.001,</w:t>
      </w:r>
      <w:r w:rsidR="002B6894" w:rsidRPr="002B6894">
        <w:rPr>
          <w:rFonts w:ascii="Arial" w:eastAsia="+mn-ea" w:hAnsi="Arial" w:cs="Arial"/>
          <w:iCs/>
          <w:color w:val="000000"/>
          <w:kern w:val="24"/>
          <w:sz w:val="22"/>
          <w:szCs w:val="22"/>
          <w:lang w:val="en-US" w:eastAsia="cs-CZ"/>
        </w:rPr>
        <w:t xml:space="preserve"> two-way ANOVA</w:t>
      </w:r>
    </w:p>
    <w:p w14:paraId="6BCCE0F0" w14:textId="77777777" w:rsidR="00255297" w:rsidRDefault="00255297" w:rsidP="005D01C6">
      <w:pPr>
        <w:spacing w:line="360" w:lineRule="auto"/>
        <w:jc w:val="both"/>
        <w:rPr>
          <w:rFonts w:ascii="Arial" w:hAnsi="Arial" w:cs="Arial"/>
          <w:sz w:val="22"/>
          <w:szCs w:val="22"/>
          <w:lang w:val="en-US"/>
        </w:rPr>
      </w:pPr>
    </w:p>
    <w:p w14:paraId="2DDE366C" w14:textId="77777777" w:rsidR="00D45011" w:rsidRPr="00C90891" w:rsidRDefault="00670227" w:rsidP="005D01C6">
      <w:pPr>
        <w:spacing w:line="360" w:lineRule="auto"/>
        <w:jc w:val="both"/>
        <w:rPr>
          <w:rFonts w:ascii="Arial" w:hAnsi="Arial" w:cs="Arial"/>
          <w:sz w:val="22"/>
          <w:szCs w:val="22"/>
          <w:lang w:val="en-US"/>
        </w:rPr>
      </w:pPr>
      <w:r>
        <w:rPr>
          <w:rFonts w:ascii="Arial" w:hAnsi="Arial" w:cs="Arial"/>
          <w:sz w:val="22"/>
          <w:szCs w:val="22"/>
          <w:lang w:val="en-US"/>
        </w:rPr>
        <w:t xml:space="preserve">To determine if the </w:t>
      </w:r>
      <w:r w:rsidR="00255297">
        <w:rPr>
          <w:rFonts w:ascii="Arial" w:hAnsi="Arial" w:cs="Arial"/>
          <w:sz w:val="22"/>
          <w:szCs w:val="22"/>
          <w:lang w:val="en-US"/>
        </w:rPr>
        <w:t xml:space="preserve">inflammatory-primed </w:t>
      </w:r>
      <w:r w:rsidRPr="00670227">
        <w:rPr>
          <w:rFonts w:ascii="Arial" w:hAnsi="Arial" w:cs="Arial"/>
          <w:i/>
          <w:iCs/>
          <w:sz w:val="22"/>
          <w:szCs w:val="22"/>
          <w:lang w:val="en-US"/>
        </w:rPr>
        <w:t xml:space="preserve">JAK2 </w:t>
      </w:r>
      <w:r w:rsidRPr="00CD395D">
        <w:rPr>
          <w:rFonts w:ascii="Arial" w:hAnsi="Arial" w:cs="Arial"/>
          <w:sz w:val="22"/>
          <w:szCs w:val="22"/>
          <w:lang w:val="en-US"/>
        </w:rPr>
        <w:t>V617F</w:t>
      </w:r>
      <w:r w:rsidRPr="00670227">
        <w:rPr>
          <w:rFonts w:ascii="Arial" w:hAnsi="Arial" w:cs="Arial"/>
          <w:sz w:val="22"/>
          <w:szCs w:val="22"/>
          <w:vertAlign w:val="superscript"/>
          <w:lang w:val="en-US"/>
        </w:rPr>
        <w:t>+</w:t>
      </w:r>
      <w:r>
        <w:rPr>
          <w:rFonts w:ascii="Arial" w:hAnsi="Arial" w:cs="Arial"/>
          <w:sz w:val="22"/>
          <w:szCs w:val="22"/>
          <w:lang w:val="en-US"/>
        </w:rPr>
        <w:t xml:space="preserve"> CD34</w:t>
      </w:r>
      <w:r w:rsidRPr="00670227">
        <w:rPr>
          <w:rFonts w:ascii="Arial" w:hAnsi="Arial" w:cs="Arial"/>
          <w:sz w:val="22"/>
          <w:szCs w:val="22"/>
          <w:vertAlign w:val="superscript"/>
          <w:lang w:val="en-US"/>
        </w:rPr>
        <w:t>+</w:t>
      </w:r>
      <w:r>
        <w:rPr>
          <w:rFonts w:ascii="Arial" w:hAnsi="Arial" w:cs="Arial"/>
          <w:sz w:val="22"/>
          <w:szCs w:val="22"/>
          <w:lang w:val="en-US"/>
        </w:rPr>
        <w:t xml:space="preserve"> </w:t>
      </w:r>
      <w:r w:rsidR="00255297">
        <w:rPr>
          <w:rFonts w:ascii="Arial" w:hAnsi="Arial" w:cs="Arial"/>
          <w:sz w:val="22"/>
          <w:szCs w:val="22"/>
          <w:lang w:val="en-US"/>
        </w:rPr>
        <w:t xml:space="preserve">P-EC </w:t>
      </w:r>
      <w:r>
        <w:rPr>
          <w:rFonts w:ascii="Arial" w:hAnsi="Arial" w:cs="Arial"/>
          <w:sz w:val="22"/>
          <w:szCs w:val="22"/>
          <w:lang w:val="en-US"/>
        </w:rPr>
        <w:t xml:space="preserve">cells can also induce </w:t>
      </w:r>
      <w:r w:rsidR="00255297" w:rsidRPr="00255297">
        <w:rPr>
          <w:rFonts w:ascii="Arial" w:hAnsi="Arial" w:cs="Arial"/>
          <w:sz w:val="22"/>
          <w:szCs w:val="22"/>
          <w:lang w:val="en-US"/>
        </w:rPr>
        <w:t xml:space="preserve">bystander DNA damage </w:t>
      </w:r>
      <w:r w:rsidR="00255297">
        <w:rPr>
          <w:rFonts w:ascii="Arial" w:hAnsi="Arial" w:cs="Arial"/>
          <w:sz w:val="22"/>
          <w:szCs w:val="22"/>
          <w:lang w:val="en-US"/>
        </w:rPr>
        <w:t xml:space="preserve">by secreted factors to </w:t>
      </w:r>
      <w:r w:rsidR="00255297" w:rsidRPr="00255297">
        <w:rPr>
          <w:rFonts w:ascii="Arial" w:hAnsi="Arial" w:cs="Arial"/>
          <w:i/>
          <w:iCs/>
          <w:sz w:val="22"/>
          <w:szCs w:val="22"/>
          <w:lang w:val="en-US"/>
        </w:rPr>
        <w:t>JAK2</w:t>
      </w:r>
      <w:r w:rsidR="00255297">
        <w:rPr>
          <w:rFonts w:ascii="Arial" w:hAnsi="Arial" w:cs="Arial"/>
          <w:sz w:val="22"/>
          <w:szCs w:val="22"/>
          <w:lang w:val="en-US"/>
        </w:rPr>
        <w:t xml:space="preserve"> </w:t>
      </w:r>
      <w:proofErr w:type="spellStart"/>
      <w:r w:rsidR="00255297">
        <w:rPr>
          <w:rFonts w:ascii="Arial" w:hAnsi="Arial" w:cs="Arial"/>
          <w:sz w:val="22"/>
          <w:szCs w:val="22"/>
          <w:lang w:val="en-US"/>
        </w:rPr>
        <w:t>wt</w:t>
      </w:r>
      <w:proofErr w:type="spellEnd"/>
      <w:r w:rsidR="00255297">
        <w:rPr>
          <w:rFonts w:ascii="Arial" w:hAnsi="Arial" w:cs="Arial"/>
          <w:sz w:val="22"/>
          <w:szCs w:val="22"/>
          <w:lang w:val="en-US"/>
        </w:rPr>
        <w:t xml:space="preserve"> cells and thus possibly promote clonal dominance of </w:t>
      </w:r>
      <w:r w:rsidR="00255297" w:rsidRPr="00255297">
        <w:rPr>
          <w:rFonts w:ascii="Arial" w:hAnsi="Arial" w:cs="Arial"/>
          <w:i/>
          <w:iCs/>
          <w:sz w:val="22"/>
          <w:szCs w:val="22"/>
          <w:lang w:val="en-US"/>
        </w:rPr>
        <w:t>V617F</w:t>
      </w:r>
      <w:r w:rsidR="00255297" w:rsidRPr="00255297">
        <w:rPr>
          <w:rFonts w:ascii="Arial" w:hAnsi="Arial" w:cs="Arial"/>
          <w:sz w:val="22"/>
          <w:szCs w:val="22"/>
          <w:vertAlign w:val="superscript"/>
          <w:lang w:val="en-US"/>
        </w:rPr>
        <w:t>+</w:t>
      </w:r>
      <w:r w:rsidR="00255297">
        <w:rPr>
          <w:rFonts w:ascii="Arial" w:hAnsi="Arial" w:cs="Arial"/>
          <w:sz w:val="22"/>
          <w:szCs w:val="22"/>
          <w:lang w:val="en-US"/>
        </w:rPr>
        <w:t xml:space="preserve"> cells </w:t>
      </w:r>
      <w:r w:rsidR="00255297" w:rsidRPr="00255297">
        <w:rPr>
          <w:rFonts w:ascii="Arial" w:hAnsi="Arial" w:cs="Arial"/>
          <w:i/>
          <w:iCs/>
          <w:sz w:val="22"/>
          <w:szCs w:val="22"/>
          <w:lang w:val="en-US"/>
        </w:rPr>
        <w:t>in vivo</w:t>
      </w:r>
      <w:r w:rsidR="00255297">
        <w:rPr>
          <w:rFonts w:ascii="Arial" w:hAnsi="Arial" w:cs="Arial"/>
          <w:sz w:val="22"/>
          <w:szCs w:val="22"/>
          <w:lang w:val="en-US"/>
        </w:rPr>
        <w:t xml:space="preserve">, </w:t>
      </w:r>
      <w:r w:rsidR="00255297" w:rsidRPr="00255297">
        <w:rPr>
          <w:rFonts w:ascii="Arial" w:hAnsi="Arial" w:cs="Arial"/>
          <w:sz w:val="22"/>
          <w:szCs w:val="22"/>
          <w:lang w:val="en-US"/>
        </w:rPr>
        <w:t xml:space="preserve">we have collected conditioned media from </w:t>
      </w:r>
      <w:r w:rsidR="00255297" w:rsidRPr="00670227">
        <w:rPr>
          <w:rFonts w:ascii="Arial" w:hAnsi="Arial" w:cs="Arial"/>
          <w:i/>
          <w:iCs/>
          <w:sz w:val="22"/>
          <w:szCs w:val="22"/>
          <w:lang w:val="en-US"/>
        </w:rPr>
        <w:t xml:space="preserve">JAK2 </w:t>
      </w:r>
      <w:r w:rsidR="00255297" w:rsidRPr="00CD395D">
        <w:rPr>
          <w:rFonts w:ascii="Arial" w:hAnsi="Arial" w:cs="Arial"/>
          <w:sz w:val="22"/>
          <w:szCs w:val="22"/>
          <w:lang w:val="en-US"/>
        </w:rPr>
        <w:t>V617F</w:t>
      </w:r>
      <w:r w:rsidR="00255297" w:rsidRPr="00670227">
        <w:rPr>
          <w:rFonts w:ascii="Arial" w:hAnsi="Arial" w:cs="Arial"/>
          <w:sz w:val="22"/>
          <w:szCs w:val="22"/>
          <w:vertAlign w:val="superscript"/>
          <w:lang w:val="en-US"/>
        </w:rPr>
        <w:t>+</w:t>
      </w:r>
      <w:r w:rsidR="00255297">
        <w:rPr>
          <w:rFonts w:ascii="Arial" w:hAnsi="Arial" w:cs="Arial"/>
          <w:sz w:val="22"/>
          <w:szCs w:val="22"/>
          <w:lang w:val="en-US"/>
        </w:rPr>
        <w:t xml:space="preserve"> CD34</w:t>
      </w:r>
      <w:r w:rsidR="00255297" w:rsidRPr="00670227">
        <w:rPr>
          <w:rFonts w:ascii="Arial" w:hAnsi="Arial" w:cs="Arial"/>
          <w:sz w:val="22"/>
          <w:szCs w:val="22"/>
          <w:vertAlign w:val="superscript"/>
          <w:lang w:val="en-US"/>
        </w:rPr>
        <w:t>+</w:t>
      </w:r>
      <w:r w:rsidR="00255297">
        <w:rPr>
          <w:rFonts w:ascii="Arial" w:hAnsi="Arial" w:cs="Arial"/>
          <w:sz w:val="22"/>
          <w:szCs w:val="22"/>
          <w:lang w:val="en-US"/>
        </w:rPr>
        <w:t xml:space="preserve"> P-ECs</w:t>
      </w:r>
      <w:r w:rsidR="00255297" w:rsidRPr="00255297">
        <w:rPr>
          <w:rFonts w:ascii="Arial" w:hAnsi="Arial" w:cs="Arial"/>
          <w:sz w:val="22"/>
          <w:szCs w:val="22"/>
          <w:lang w:val="en-US"/>
        </w:rPr>
        <w:t xml:space="preserve"> and used it for cultivation of </w:t>
      </w:r>
      <w:r w:rsidR="00255297" w:rsidRPr="00C90891">
        <w:rPr>
          <w:rFonts w:ascii="Arial" w:hAnsi="Arial" w:cs="Arial"/>
          <w:i/>
          <w:iCs/>
          <w:sz w:val="22"/>
          <w:szCs w:val="22"/>
          <w:lang w:val="en-US"/>
        </w:rPr>
        <w:t>JAK2</w:t>
      </w:r>
      <w:r w:rsidR="00255297" w:rsidRPr="00255297">
        <w:rPr>
          <w:rFonts w:ascii="Arial" w:hAnsi="Arial" w:cs="Arial"/>
          <w:sz w:val="22"/>
          <w:szCs w:val="22"/>
          <w:lang w:val="en-US"/>
        </w:rPr>
        <w:t xml:space="preserve"> wildtype cells for 24 hours, </w:t>
      </w:r>
      <w:r w:rsidR="00255297" w:rsidRPr="00255297">
        <w:rPr>
          <w:rFonts w:ascii="Arial" w:hAnsi="Arial" w:cs="Arial"/>
          <w:sz w:val="22"/>
          <w:szCs w:val="22"/>
          <w:lang w:val="en-US"/>
        </w:rPr>
        <w:lastRenderedPageBreak/>
        <w:t>with subsequent measurement of γH2AX</w:t>
      </w:r>
      <w:r w:rsidR="00255297">
        <w:rPr>
          <w:rFonts w:ascii="Arial" w:hAnsi="Arial" w:cs="Arial"/>
          <w:sz w:val="22"/>
          <w:szCs w:val="22"/>
          <w:lang w:val="en-US"/>
        </w:rPr>
        <w:t xml:space="preserve"> and RAD51</w:t>
      </w:r>
      <w:r w:rsidR="00255297" w:rsidRPr="00255297">
        <w:rPr>
          <w:rFonts w:ascii="Arial" w:hAnsi="Arial" w:cs="Arial"/>
          <w:sz w:val="22"/>
          <w:szCs w:val="22"/>
          <w:lang w:val="en-US"/>
        </w:rPr>
        <w:t xml:space="preserve"> foci presence.</w:t>
      </w:r>
      <w:r w:rsidR="00255297" w:rsidRPr="00255297">
        <w:rPr>
          <w:lang w:val="en-US"/>
        </w:rPr>
        <w:t xml:space="preserve"> </w:t>
      </w:r>
      <w:r w:rsidR="00255297" w:rsidRPr="00255297">
        <w:rPr>
          <w:rFonts w:ascii="Arial" w:hAnsi="Arial" w:cs="Arial"/>
          <w:sz w:val="22"/>
          <w:szCs w:val="22"/>
          <w:lang w:val="en-US"/>
        </w:rPr>
        <w:t>Even though not statistically significant due to variations of γH2AX</w:t>
      </w:r>
      <w:r w:rsidR="00255297">
        <w:rPr>
          <w:rFonts w:ascii="Arial" w:hAnsi="Arial" w:cs="Arial"/>
          <w:sz w:val="22"/>
          <w:szCs w:val="22"/>
          <w:lang w:val="en-US"/>
        </w:rPr>
        <w:t>/RAD51</w:t>
      </w:r>
      <w:r w:rsidR="00255297" w:rsidRPr="00255297">
        <w:rPr>
          <w:rFonts w:ascii="Arial" w:hAnsi="Arial" w:cs="Arial"/>
          <w:sz w:val="22"/>
          <w:szCs w:val="22"/>
          <w:lang w:val="en-US"/>
        </w:rPr>
        <w:t xml:space="preserve"> foci basal levels, we have observed increase in γH2AX </w:t>
      </w:r>
      <w:r w:rsidR="00E11027">
        <w:rPr>
          <w:rFonts w:ascii="Arial" w:hAnsi="Arial" w:cs="Arial"/>
          <w:sz w:val="22"/>
          <w:szCs w:val="22"/>
          <w:lang w:val="en-US"/>
        </w:rPr>
        <w:t>and</w:t>
      </w:r>
      <w:r w:rsidR="00255297">
        <w:rPr>
          <w:rFonts w:ascii="Arial" w:hAnsi="Arial" w:cs="Arial"/>
          <w:sz w:val="22"/>
          <w:szCs w:val="22"/>
          <w:lang w:val="en-US"/>
        </w:rPr>
        <w:t xml:space="preserve"> RAD51 </w:t>
      </w:r>
      <w:r w:rsidR="00255297" w:rsidRPr="00255297">
        <w:rPr>
          <w:rFonts w:ascii="Arial" w:hAnsi="Arial" w:cs="Arial"/>
          <w:sz w:val="22"/>
          <w:szCs w:val="22"/>
          <w:lang w:val="en-US"/>
        </w:rPr>
        <w:t>foci in</w:t>
      </w:r>
      <w:r w:rsidR="00E11027">
        <w:rPr>
          <w:rFonts w:ascii="Arial" w:hAnsi="Arial" w:cs="Arial"/>
          <w:sz w:val="22"/>
          <w:szCs w:val="22"/>
          <w:lang w:val="en-US"/>
        </w:rPr>
        <w:t xml:space="preserve"> JAK2</w:t>
      </w:r>
      <w:r w:rsidR="00255297" w:rsidRPr="00255297">
        <w:rPr>
          <w:rFonts w:ascii="Arial" w:hAnsi="Arial" w:cs="Arial"/>
          <w:sz w:val="22"/>
          <w:szCs w:val="22"/>
          <w:lang w:val="en-US"/>
        </w:rPr>
        <w:t xml:space="preserve"> </w:t>
      </w:r>
      <w:proofErr w:type="spellStart"/>
      <w:r w:rsidR="00255297" w:rsidRPr="00255297">
        <w:rPr>
          <w:rFonts w:ascii="Arial" w:hAnsi="Arial" w:cs="Arial"/>
          <w:sz w:val="22"/>
          <w:szCs w:val="22"/>
          <w:lang w:val="en-US"/>
        </w:rPr>
        <w:t>wt</w:t>
      </w:r>
      <w:proofErr w:type="spellEnd"/>
      <w:r w:rsidR="00255297" w:rsidRPr="00255297">
        <w:rPr>
          <w:rFonts w:ascii="Arial" w:hAnsi="Arial" w:cs="Arial"/>
          <w:sz w:val="22"/>
          <w:szCs w:val="22"/>
          <w:lang w:val="en-US"/>
        </w:rPr>
        <w:t xml:space="preserve"> cells after treatment </w:t>
      </w:r>
      <w:r w:rsidR="00E11027">
        <w:rPr>
          <w:rFonts w:ascii="Arial" w:hAnsi="Arial" w:cs="Arial"/>
          <w:sz w:val="22"/>
          <w:szCs w:val="22"/>
          <w:lang w:val="en-US"/>
        </w:rPr>
        <w:t>with</w:t>
      </w:r>
      <w:r w:rsidR="00255297" w:rsidRPr="00255297">
        <w:rPr>
          <w:rFonts w:ascii="Arial" w:hAnsi="Arial" w:cs="Arial"/>
          <w:sz w:val="22"/>
          <w:szCs w:val="22"/>
          <w:lang w:val="en-US"/>
        </w:rPr>
        <w:t xml:space="preserve"> conditioned media in each experimental replicate</w:t>
      </w:r>
      <w:r w:rsidR="00E11027">
        <w:rPr>
          <w:rFonts w:ascii="Arial" w:hAnsi="Arial" w:cs="Arial"/>
          <w:sz w:val="22"/>
          <w:szCs w:val="22"/>
          <w:lang w:val="en-US"/>
        </w:rPr>
        <w:t xml:space="preserve"> </w:t>
      </w:r>
      <w:r w:rsidR="00255297" w:rsidRPr="00255297">
        <w:rPr>
          <w:rFonts w:ascii="Arial" w:hAnsi="Arial" w:cs="Arial"/>
          <w:sz w:val="22"/>
          <w:szCs w:val="22"/>
          <w:lang w:val="en-US"/>
        </w:rPr>
        <w:t xml:space="preserve">(Figure </w:t>
      </w:r>
      <w:r w:rsidR="00E11027">
        <w:rPr>
          <w:rFonts w:ascii="Arial" w:hAnsi="Arial" w:cs="Arial"/>
          <w:sz w:val="22"/>
          <w:szCs w:val="22"/>
          <w:lang w:val="en-US"/>
        </w:rPr>
        <w:t>18</w:t>
      </w:r>
      <w:r w:rsidR="00255297" w:rsidRPr="00255297">
        <w:rPr>
          <w:rFonts w:ascii="Arial" w:hAnsi="Arial" w:cs="Arial"/>
          <w:sz w:val="22"/>
          <w:szCs w:val="22"/>
          <w:lang w:val="en-US"/>
        </w:rPr>
        <w:t>)</w:t>
      </w:r>
      <w:r w:rsidR="00C90891">
        <w:rPr>
          <w:rFonts w:ascii="Arial" w:hAnsi="Arial" w:cs="Arial"/>
          <w:sz w:val="22"/>
          <w:szCs w:val="22"/>
          <w:lang w:val="en-US"/>
        </w:rPr>
        <w:t xml:space="preserve">. These data indicate further increase in </w:t>
      </w:r>
      <w:r w:rsidR="00C90891" w:rsidRPr="00C90891">
        <w:rPr>
          <w:rFonts w:ascii="Arial" w:hAnsi="Arial" w:cs="Arial"/>
          <w:sz w:val="22"/>
          <w:szCs w:val="22"/>
          <w:lang w:val="en-US"/>
        </w:rPr>
        <w:t xml:space="preserve">relative growth advantage </w:t>
      </w:r>
      <w:r w:rsidR="00C90891">
        <w:rPr>
          <w:rFonts w:ascii="Arial" w:hAnsi="Arial" w:cs="Arial"/>
          <w:sz w:val="22"/>
          <w:szCs w:val="22"/>
          <w:lang w:val="en-US"/>
        </w:rPr>
        <w:t xml:space="preserve">of </w:t>
      </w:r>
      <w:r w:rsidR="00C90891" w:rsidRPr="00670227">
        <w:rPr>
          <w:rFonts w:ascii="Arial" w:hAnsi="Arial" w:cs="Arial"/>
          <w:i/>
          <w:iCs/>
          <w:sz w:val="22"/>
          <w:szCs w:val="22"/>
          <w:lang w:val="en-US"/>
        </w:rPr>
        <w:t xml:space="preserve">JAK2 </w:t>
      </w:r>
      <w:r w:rsidR="00C90891" w:rsidRPr="00CD395D">
        <w:rPr>
          <w:rFonts w:ascii="Arial" w:hAnsi="Arial" w:cs="Arial"/>
          <w:sz w:val="22"/>
          <w:szCs w:val="22"/>
          <w:lang w:val="en-US"/>
        </w:rPr>
        <w:t>V617F</w:t>
      </w:r>
      <w:r w:rsidR="00C90891" w:rsidRPr="00670227">
        <w:rPr>
          <w:rFonts w:ascii="Arial" w:hAnsi="Arial" w:cs="Arial"/>
          <w:sz w:val="22"/>
          <w:szCs w:val="22"/>
          <w:vertAlign w:val="superscript"/>
          <w:lang w:val="en-US"/>
        </w:rPr>
        <w:t>+</w:t>
      </w:r>
      <w:r w:rsidR="00C90891">
        <w:rPr>
          <w:rFonts w:ascii="Arial" w:hAnsi="Arial" w:cs="Arial"/>
          <w:sz w:val="22"/>
          <w:szCs w:val="22"/>
          <w:lang w:val="en-US"/>
        </w:rPr>
        <w:t xml:space="preserve"> cells over </w:t>
      </w:r>
      <w:r w:rsidR="00C90891" w:rsidRPr="00C90891">
        <w:rPr>
          <w:rFonts w:ascii="Arial" w:hAnsi="Arial" w:cs="Arial"/>
          <w:i/>
          <w:iCs/>
          <w:sz w:val="22"/>
          <w:szCs w:val="22"/>
          <w:lang w:val="en-US"/>
        </w:rPr>
        <w:t>JAK2</w:t>
      </w:r>
      <w:r w:rsidR="00C90891">
        <w:rPr>
          <w:rFonts w:ascii="Arial" w:hAnsi="Arial" w:cs="Arial"/>
          <w:sz w:val="22"/>
          <w:szCs w:val="22"/>
          <w:lang w:val="en-US"/>
        </w:rPr>
        <w:t xml:space="preserve"> </w:t>
      </w:r>
      <w:proofErr w:type="spellStart"/>
      <w:r w:rsidR="00C90891">
        <w:rPr>
          <w:rFonts w:ascii="Arial" w:hAnsi="Arial" w:cs="Arial"/>
          <w:sz w:val="22"/>
          <w:szCs w:val="22"/>
          <w:lang w:val="en-US"/>
        </w:rPr>
        <w:t>wt</w:t>
      </w:r>
      <w:proofErr w:type="spellEnd"/>
      <w:r w:rsidR="00C90891">
        <w:rPr>
          <w:rFonts w:ascii="Arial" w:hAnsi="Arial" w:cs="Arial"/>
          <w:sz w:val="22"/>
          <w:szCs w:val="22"/>
          <w:lang w:val="en-US"/>
        </w:rPr>
        <w:t xml:space="preserve"> cells not only through increase in oncogene-dependent proliferation but also through cell-extrinsic inflammation-evoked mechanisms.</w:t>
      </w:r>
    </w:p>
    <w:p w14:paraId="40DAA1FB" w14:textId="77777777" w:rsidR="00DA3275" w:rsidRPr="003A5293" w:rsidRDefault="00DA3275" w:rsidP="00DA3275">
      <w:pPr>
        <w:spacing w:line="360" w:lineRule="auto"/>
        <w:jc w:val="center"/>
        <w:rPr>
          <w:rFonts w:ascii="Arial" w:hAnsi="Arial" w:cs="Arial"/>
          <w:sz w:val="22"/>
          <w:szCs w:val="22"/>
          <w:lang w:val="en-US"/>
        </w:rPr>
      </w:pPr>
      <w:r w:rsidRPr="003A5293">
        <w:rPr>
          <w:rFonts w:ascii="Arial" w:hAnsi="Arial" w:cs="Arial"/>
          <w:noProof/>
          <w:sz w:val="22"/>
          <w:szCs w:val="22"/>
          <w:lang w:val="cs-CZ" w:eastAsia="cs-CZ"/>
        </w:rPr>
        <w:drawing>
          <wp:inline distT="0" distB="0" distL="0" distR="0" wp14:anchorId="70D41266" wp14:editId="12D2C0E7">
            <wp:extent cx="3023235" cy="1593410"/>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schirmfoto 2020-02-17 um 21.44.49.png"/>
                    <pic:cNvPicPr/>
                  </pic:nvPicPr>
                  <pic:blipFill rotWithShape="1">
                    <a:blip r:embed="rId33" cstate="print">
                      <a:extLst>
                        <a:ext uri="{28A0092B-C50C-407E-A947-70E740481C1C}">
                          <a14:useLocalDpi xmlns:a14="http://schemas.microsoft.com/office/drawing/2010/main" val="0"/>
                        </a:ext>
                      </a:extLst>
                    </a:blip>
                    <a:srcRect r="63589" b="28293"/>
                    <a:stretch/>
                  </pic:blipFill>
                  <pic:spPr bwMode="auto">
                    <a:xfrm>
                      <a:off x="0" y="0"/>
                      <a:ext cx="3034815" cy="1599513"/>
                    </a:xfrm>
                    <a:prstGeom prst="rect">
                      <a:avLst/>
                    </a:prstGeom>
                    <a:ln>
                      <a:noFill/>
                    </a:ln>
                    <a:extLst>
                      <a:ext uri="{53640926-AAD7-44D8-BBD7-CCE9431645EC}">
                        <a14:shadowObscured xmlns:a14="http://schemas.microsoft.com/office/drawing/2010/main"/>
                      </a:ext>
                    </a:extLst>
                  </pic:spPr>
                </pic:pic>
              </a:graphicData>
            </a:graphic>
          </wp:inline>
        </w:drawing>
      </w:r>
      <w:r w:rsidRPr="003A5293">
        <w:rPr>
          <w:rFonts w:ascii="Arial" w:hAnsi="Arial" w:cs="Arial"/>
          <w:noProof/>
          <w:sz w:val="22"/>
          <w:szCs w:val="22"/>
          <w:lang w:val="cs-CZ" w:eastAsia="cs-CZ"/>
        </w:rPr>
        <w:drawing>
          <wp:inline distT="0" distB="0" distL="0" distR="0" wp14:anchorId="3A3F1C7C" wp14:editId="22348E3A">
            <wp:extent cx="5398748" cy="2000816"/>
            <wp:effectExtent l="0" t="0" r="0" b="635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schirmfoto 2020-02-17 um 21.44.49.png"/>
                    <pic:cNvPicPr/>
                  </pic:nvPicPr>
                  <pic:blipFill rotWithShape="1">
                    <a:blip r:embed="rId34" cstate="print">
                      <a:extLst>
                        <a:ext uri="{28A0092B-C50C-407E-A947-70E740481C1C}">
                          <a14:useLocalDpi xmlns:a14="http://schemas.microsoft.com/office/drawing/2010/main" val="0"/>
                        </a:ext>
                      </a:extLst>
                    </a:blip>
                    <a:srcRect l="36418" r="624" b="12815"/>
                    <a:stretch/>
                  </pic:blipFill>
                  <pic:spPr bwMode="auto">
                    <a:xfrm>
                      <a:off x="0" y="0"/>
                      <a:ext cx="5400000" cy="2001280"/>
                    </a:xfrm>
                    <a:prstGeom prst="rect">
                      <a:avLst/>
                    </a:prstGeom>
                    <a:ln>
                      <a:noFill/>
                    </a:ln>
                    <a:extLst>
                      <a:ext uri="{53640926-AAD7-44D8-BBD7-CCE9431645EC}">
                        <a14:shadowObscured xmlns:a14="http://schemas.microsoft.com/office/drawing/2010/main"/>
                      </a:ext>
                    </a:extLst>
                  </pic:spPr>
                </pic:pic>
              </a:graphicData>
            </a:graphic>
          </wp:inline>
        </w:drawing>
      </w:r>
    </w:p>
    <w:p w14:paraId="1E84DE5F" w14:textId="77777777" w:rsidR="006B6EFF" w:rsidRDefault="00DA3275" w:rsidP="00691721">
      <w:pPr>
        <w:spacing w:line="360" w:lineRule="auto"/>
        <w:jc w:val="both"/>
        <w:rPr>
          <w:rFonts w:ascii="Arial" w:eastAsia="+mn-ea" w:hAnsi="Arial" w:cs="Arial"/>
          <w:color w:val="000000"/>
          <w:kern w:val="24"/>
          <w:sz w:val="22"/>
          <w:szCs w:val="22"/>
          <w:lang w:val="en-US" w:eastAsia="cs-CZ"/>
        </w:rPr>
      </w:pPr>
      <w:r w:rsidRPr="003A5293">
        <w:rPr>
          <w:rFonts w:ascii="Arial" w:hAnsi="Arial" w:cs="Arial"/>
          <w:b/>
          <w:bCs/>
          <w:sz w:val="22"/>
          <w:szCs w:val="22"/>
          <w:lang w:val="en-US"/>
        </w:rPr>
        <w:t>Figure 18</w:t>
      </w:r>
      <w:r w:rsidRPr="003A5293">
        <w:rPr>
          <w:rFonts w:ascii="Arial" w:hAnsi="Arial" w:cs="Arial"/>
          <w:sz w:val="22"/>
          <w:szCs w:val="22"/>
          <w:lang w:val="en-US"/>
        </w:rPr>
        <w:t xml:space="preserve">: </w:t>
      </w:r>
      <w:r w:rsidR="00976BEA" w:rsidRPr="00976BEA">
        <w:rPr>
          <w:rFonts w:ascii="Arial" w:eastAsia="+mn-ea" w:hAnsi="Arial" w:cs="Arial"/>
          <w:i/>
          <w:iCs/>
          <w:color w:val="000000"/>
          <w:kern w:val="24"/>
          <w:sz w:val="22"/>
          <w:szCs w:val="22"/>
          <w:lang w:val="en-US" w:eastAsia="cs-CZ"/>
        </w:rPr>
        <w:t xml:space="preserve">JAK2 </w:t>
      </w:r>
      <w:r w:rsidR="00976BEA" w:rsidRPr="00CD395D">
        <w:rPr>
          <w:rFonts w:ascii="Arial" w:eastAsia="+mn-ea" w:hAnsi="Arial" w:cs="Arial"/>
          <w:color w:val="000000"/>
          <w:kern w:val="24"/>
          <w:sz w:val="22"/>
          <w:szCs w:val="22"/>
          <w:lang w:val="en-US" w:eastAsia="cs-CZ"/>
        </w:rPr>
        <w:t>V617F</w:t>
      </w:r>
      <w:r w:rsidR="00976BEA" w:rsidRPr="00976BEA">
        <w:rPr>
          <w:rFonts w:ascii="Arial" w:eastAsia="+mn-ea" w:hAnsi="Arial" w:cs="Arial"/>
          <w:color w:val="000000"/>
          <w:kern w:val="24"/>
          <w:sz w:val="22"/>
          <w:szCs w:val="22"/>
          <w:vertAlign w:val="superscript"/>
          <w:lang w:val="en-US" w:eastAsia="cs-CZ"/>
        </w:rPr>
        <w:t>+</w:t>
      </w:r>
      <w:r w:rsidR="00976BEA" w:rsidRPr="00976BEA">
        <w:rPr>
          <w:rFonts w:ascii="Arial" w:eastAsia="+mn-ea" w:hAnsi="Arial" w:cs="Arial"/>
          <w:color w:val="000000"/>
          <w:kern w:val="24"/>
          <w:sz w:val="22"/>
          <w:szCs w:val="22"/>
          <w:lang w:val="en-US" w:eastAsia="cs-CZ"/>
        </w:rPr>
        <w:t xml:space="preserve"> CD34</w:t>
      </w:r>
      <w:r w:rsidR="00976BEA" w:rsidRPr="00976BEA">
        <w:rPr>
          <w:rFonts w:ascii="Arial" w:eastAsia="+mn-ea" w:hAnsi="Arial" w:cs="Arial"/>
          <w:color w:val="000000"/>
          <w:kern w:val="24"/>
          <w:sz w:val="22"/>
          <w:szCs w:val="22"/>
          <w:vertAlign w:val="superscript"/>
          <w:lang w:val="en-US" w:eastAsia="cs-CZ"/>
        </w:rPr>
        <w:t>+</w:t>
      </w:r>
      <w:r w:rsidR="00976BEA" w:rsidRPr="00976BEA">
        <w:rPr>
          <w:rFonts w:ascii="Arial" w:eastAsia="+mn-ea" w:hAnsi="Arial" w:cs="Arial"/>
          <w:color w:val="000000"/>
          <w:kern w:val="24"/>
          <w:sz w:val="22"/>
          <w:szCs w:val="22"/>
          <w:lang w:val="en-US" w:eastAsia="cs-CZ"/>
        </w:rPr>
        <w:t xml:space="preserve"> P-ECs (V617F d9) </w:t>
      </w:r>
      <w:r w:rsidR="00976BEA">
        <w:rPr>
          <w:rFonts w:ascii="Arial" w:eastAsia="+mn-ea" w:hAnsi="Arial" w:cs="Arial"/>
          <w:color w:val="000000"/>
          <w:kern w:val="24"/>
          <w:sz w:val="22"/>
          <w:szCs w:val="22"/>
          <w:lang w:val="en-US" w:eastAsia="cs-CZ"/>
        </w:rPr>
        <w:t>induce paracrine DNA damage through c</w:t>
      </w:r>
      <w:r w:rsidR="00976BEA" w:rsidRPr="00976BEA">
        <w:rPr>
          <w:rFonts w:ascii="Arial" w:eastAsia="+mn-ea" w:hAnsi="Arial" w:cs="Arial"/>
          <w:color w:val="000000"/>
          <w:kern w:val="24"/>
          <w:sz w:val="22"/>
          <w:szCs w:val="22"/>
          <w:lang w:val="en-US" w:eastAsia="cs-CZ"/>
        </w:rPr>
        <w:t>onditioned medium (CM) used for treatment of</w:t>
      </w:r>
      <w:r w:rsidR="00976BEA">
        <w:rPr>
          <w:rFonts w:ascii="Arial" w:eastAsia="+mn-ea" w:hAnsi="Arial" w:cs="Arial"/>
          <w:color w:val="000000"/>
          <w:kern w:val="24"/>
          <w:sz w:val="22"/>
          <w:szCs w:val="22"/>
          <w:lang w:val="en-US" w:eastAsia="cs-CZ"/>
        </w:rPr>
        <w:t xml:space="preserve"> day9</w:t>
      </w:r>
      <w:r w:rsidR="00976BEA" w:rsidRPr="00976BEA">
        <w:rPr>
          <w:rFonts w:ascii="Arial" w:eastAsia="+mn-ea" w:hAnsi="Arial" w:cs="Arial"/>
          <w:color w:val="000000"/>
          <w:kern w:val="24"/>
          <w:sz w:val="22"/>
          <w:szCs w:val="22"/>
          <w:lang w:val="en-US" w:eastAsia="cs-CZ"/>
        </w:rPr>
        <w:t xml:space="preserve"> </w:t>
      </w:r>
      <w:r w:rsidR="00976BEA" w:rsidRPr="00054680">
        <w:rPr>
          <w:rFonts w:ascii="Arial" w:eastAsia="+mn-ea" w:hAnsi="Arial" w:cs="Arial"/>
          <w:i/>
          <w:iCs/>
          <w:color w:val="000000"/>
          <w:kern w:val="24"/>
          <w:sz w:val="22"/>
          <w:szCs w:val="22"/>
          <w:lang w:val="en-US" w:eastAsia="cs-CZ"/>
        </w:rPr>
        <w:t>JAK2</w:t>
      </w:r>
      <w:r w:rsidR="00976BEA">
        <w:rPr>
          <w:rFonts w:ascii="Arial" w:eastAsia="+mn-ea" w:hAnsi="Arial" w:cs="Arial"/>
          <w:color w:val="000000"/>
          <w:kern w:val="24"/>
          <w:sz w:val="22"/>
          <w:szCs w:val="22"/>
          <w:lang w:val="en-US" w:eastAsia="cs-CZ"/>
        </w:rPr>
        <w:t xml:space="preserve"> </w:t>
      </w:r>
      <w:proofErr w:type="spellStart"/>
      <w:r w:rsidR="00976BEA" w:rsidRPr="00976BEA">
        <w:rPr>
          <w:rFonts w:ascii="Arial" w:eastAsia="+mn-ea" w:hAnsi="Arial" w:cs="Arial"/>
          <w:color w:val="000000"/>
          <w:kern w:val="24"/>
          <w:sz w:val="22"/>
          <w:szCs w:val="22"/>
          <w:lang w:val="en-US" w:eastAsia="cs-CZ"/>
        </w:rPr>
        <w:t>wt</w:t>
      </w:r>
      <w:proofErr w:type="spellEnd"/>
      <w:r w:rsidR="00976BEA" w:rsidRPr="00976BEA">
        <w:rPr>
          <w:rFonts w:ascii="Arial" w:eastAsia="+mn-ea" w:hAnsi="Arial" w:cs="Arial"/>
          <w:color w:val="000000"/>
          <w:kern w:val="24"/>
          <w:sz w:val="22"/>
          <w:szCs w:val="22"/>
          <w:lang w:val="en-US" w:eastAsia="cs-CZ"/>
        </w:rPr>
        <w:t xml:space="preserve"> CD34</w:t>
      </w:r>
      <w:r w:rsidR="00976BEA" w:rsidRPr="00976BEA">
        <w:rPr>
          <w:rFonts w:ascii="Arial" w:eastAsia="+mn-ea" w:hAnsi="Arial" w:cs="Arial"/>
          <w:color w:val="000000"/>
          <w:kern w:val="24"/>
          <w:sz w:val="22"/>
          <w:szCs w:val="22"/>
          <w:vertAlign w:val="superscript"/>
          <w:lang w:val="en-US" w:eastAsia="cs-CZ"/>
        </w:rPr>
        <w:t>+</w:t>
      </w:r>
      <w:r w:rsidR="00976BEA" w:rsidRPr="00976BEA">
        <w:rPr>
          <w:rFonts w:ascii="Arial" w:eastAsia="+mn-ea" w:hAnsi="Arial" w:cs="Arial"/>
          <w:color w:val="000000"/>
          <w:kern w:val="24"/>
          <w:sz w:val="22"/>
          <w:szCs w:val="22"/>
          <w:lang w:val="en-US" w:eastAsia="cs-CZ"/>
        </w:rPr>
        <w:t xml:space="preserve"> P-ECs (</w:t>
      </w:r>
      <w:proofErr w:type="spellStart"/>
      <w:r w:rsidR="00976BEA" w:rsidRPr="00976BEA">
        <w:rPr>
          <w:rFonts w:ascii="Arial" w:eastAsia="+mn-ea" w:hAnsi="Arial" w:cs="Arial"/>
          <w:color w:val="000000"/>
          <w:kern w:val="24"/>
          <w:sz w:val="22"/>
          <w:szCs w:val="22"/>
          <w:lang w:val="en-US" w:eastAsia="cs-CZ"/>
        </w:rPr>
        <w:t>wt</w:t>
      </w:r>
      <w:proofErr w:type="spellEnd"/>
      <w:r w:rsidR="00976BEA" w:rsidRPr="00976BEA">
        <w:rPr>
          <w:rFonts w:ascii="Arial" w:eastAsia="+mn-ea" w:hAnsi="Arial" w:cs="Arial"/>
          <w:color w:val="000000"/>
          <w:kern w:val="24"/>
          <w:sz w:val="22"/>
          <w:szCs w:val="22"/>
          <w:lang w:val="en-US" w:eastAsia="cs-CZ"/>
        </w:rPr>
        <w:t xml:space="preserve"> d9) for 24 h. Bar charts and before-after graphs present percentages of cells ± SD</w:t>
      </w:r>
      <w:r w:rsidR="00976BEA">
        <w:rPr>
          <w:rFonts w:ascii="Arial" w:eastAsia="+mn-ea" w:hAnsi="Arial" w:cs="Arial"/>
          <w:color w:val="000000"/>
          <w:kern w:val="24"/>
          <w:sz w:val="22"/>
          <w:szCs w:val="22"/>
          <w:lang w:val="en-US" w:eastAsia="cs-CZ"/>
        </w:rPr>
        <w:t xml:space="preserve"> (n=3)</w:t>
      </w:r>
      <w:r w:rsidR="00976BEA" w:rsidRPr="00976BEA">
        <w:rPr>
          <w:rFonts w:ascii="Arial" w:eastAsia="+mn-ea" w:hAnsi="Arial" w:cs="Arial"/>
          <w:color w:val="000000"/>
          <w:kern w:val="24"/>
          <w:sz w:val="22"/>
          <w:szCs w:val="22"/>
          <w:lang w:val="en-US" w:eastAsia="cs-CZ"/>
        </w:rPr>
        <w:t xml:space="preserve"> with more than five γH2AX or RAD51 foci per cell in nucleus</w:t>
      </w:r>
      <w:r w:rsidR="00054680">
        <w:rPr>
          <w:rFonts w:ascii="Arial" w:eastAsia="+mn-ea" w:hAnsi="Arial" w:cs="Arial"/>
          <w:color w:val="000000"/>
          <w:kern w:val="24"/>
          <w:sz w:val="22"/>
          <w:szCs w:val="22"/>
          <w:lang w:val="en-US" w:eastAsia="cs-CZ"/>
        </w:rPr>
        <w:t>.</w:t>
      </w:r>
      <w:r w:rsidR="006B6EFF">
        <w:rPr>
          <w:rFonts w:ascii="Arial" w:eastAsia="+mn-ea" w:hAnsi="Arial" w:cs="Arial"/>
          <w:color w:val="000000"/>
          <w:kern w:val="24"/>
          <w:sz w:val="22"/>
          <w:szCs w:val="22"/>
          <w:lang w:val="en-US" w:eastAsia="cs-CZ"/>
        </w:rPr>
        <w:t xml:space="preserve"> </w:t>
      </w:r>
    </w:p>
    <w:p w14:paraId="6A53A139" w14:textId="77777777" w:rsidR="00E11027" w:rsidRPr="00691721" w:rsidRDefault="00E11027" w:rsidP="00691721">
      <w:pPr>
        <w:spacing w:line="360" w:lineRule="auto"/>
        <w:jc w:val="both"/>
        <w:rPr>
          <w:rFonts w:ascii="Arial" w:hAnsi="Arial" w:cs="Arial"/>
          <w:sz w:val="22"/>
          <w:szCs w:val="22"/>
          <w:lang w:val="en-US"/>
        </w:rPr>
      </w:pPr>
    </w:p>
    <w:p w14:paraId="255D092F" w14:textId="77777777" w:rsidR="006B6EFF" w:rsidRPr="00691721" w:rsidRDefault="00E11027" w:rsidP="00691721">
      <w:pPr>
        <w:spacing w:line="360" w:lineRule="auto"/>
        <w:jc w:val="both"/>
        <w:rPr>
          <w:rFonts w:ascii="Arial" w:hAnsi="Arial" w:cs="Arial"/>
          <w:sz w:val="22"/>
          <w:szCs w:val="22"/>
          <w:lang w:val="en-US"/>
        </w:rPr>
      </w:pPr>
      <w:r w:rsidRPr="00691721">
        <w:rPr>
          <w:rFonts w:ascii="Arial" w:hAnsi="Arial" w:cs="Arial"/>
          <w:sz w:val="22"/>
          <w:szCs w:val="22"/>
          <w:lang w:val="en-US"/>
        </w:rPr>
        <w:t>To study how is the protection against DNA damage accumulation reflected on the global regulation</w:t>
      </w:r>
      <w:r w:rsidR="008F7C99">
        <w:rPr>
          <w:rFonts w:ascii="Arial" w:hAnsi="Arial" w:cs="Arial"/>
          <w:sz w:val="22"/>
          <w:szCs w:val="22"/>
          <w:lang w:val="en-US"/>
        </w:rPr>
        <w:t>,</w:t>
      </w:r>
      <w:r w:rsidRPr="00691721">
        <w:rPr>
          <w:rFonts w:ascii="Arial" w:hAnsi="Arial" w:cs="Arial"/>
          <w:sz w:val="22"/>
          <w:szCs w:val="22"/>
          <w:lang w:val="en-US"/>
        </w:rPr>
        <w:t xml:space="preserve"> we have analyzed expression of DNA damage response gene set </w:t>
      </w:r>
      <w:r w:rsidR="00691721" w:rsidRPr="00691721">
        <w:rPr>
          <w:rFonts w:ascii="Arial" w:hAnsi="Arial" w:cs="Arial"/>
          <w:sz w:val="22"/>
          <w:szCs w:val="22"/>
          <w:lang w:val="en-US"/>
        </w:rPr>
        <w:t>and associated DDR categories</w:t>
      </w:r>
      <w:r w:rsidR="00691721">
        <w:rPr>
          <w:rFonts w:ascii="Arial" w:hAnsi="Arial" w:cs="Arial"/>
          <w:sz w:val="22"/>
          <w:szCs w:val="22"/>
          <w:lang w:val="en-US"/>
        </w:rPr>
        <w:t xml:space="preserve"> </w:t>
      </w:r>
      <w:r w:rsidR="00691721">
        <w:rPr>
          <w:rFonts w:ascii="Arial" w:hAnsi="Arial" w:cs="Arial"/>
          <w:sz w:val="22"/>
          <w:szCs w:val="22"/>
          <w:lang w:val="en-US"/>
        </w:rPr>
        <w:fldChar w:fldCharType="begin"/>
      </w:r>
      <w:r w:rsidR="00691721">
        <w:rPr>
          <w:rFonts w:ascii="Arial" w:hAnsi="Arial" w:cs="Arial"/>
          <w:sz w:val="22"/>
          <w:szCs w:val="22"/>
          <w:lang w:val="en-US"/>
        </w:rPr>
        <w:instrText xml:space="preserve"> ADDIN ZOTERO_ITEM CSL_CITATION {"citationID":"JH1RKBcx","properties":{"formattedCitation":"(Pearl et al., 2015)","plainCitation":"(Pearl et al., 2015)","noteIndex":0},"citationItems":[{"id":111,"uris":["http://zotero.org/users/2484452/items/JP2BZTN4"],"uri":["http://zotero.org/users/2484452/items/JP2BZTN4"],"itemData":{"id":111,"type":"article-journal","abstract":"&lt;p&gt;This Analysis uses the published literature to form a DNA damage response network and then uses this to identify potential synthetic lethal interactions and to assess the druggability of proteins in the DNA damage response network.&lt;/p&gt;","container-title":"Nature Reviews Cancer","DOI":"10.1038/nrc3891","ISSN":"1474-1768","issue":"3","language":"en","page":"nrc3891","source":"www.nature.com","title":"Therapeutic opportunities within the DNA damage response","volume":"15","author":[{"family":"Pearl","given":"Laurence H."},{"family":"Schierz","given":"Amanda C."},{"family":"Ward","given":"Simon E."},{"family":"Al-Lazikani","given":"Bissan"},{"family":"Pearl","given":"Frances M. G."}],"issued":{"date-parts":[["2015",2,24]]}}}],"schema":"https://github.com/citation-style-language/schema/raw/master/csl-citation.json"} </w:instrText>
      </w:r>
      <w:r w:rsidR="00691721">
        <w:rPr>
          <w:rFonts w:ascii="Arial" w:hAnsi="Arial" w:cs="Arial"/>
          <w:sz w:val="22"/>
          <w:szCs w:val="22"/>
          <w:lang w:val="en-US"/>
        </w:rPr>
        <w:fldChar w:fldCharType="separate"/>
      </w:r>
      <w:r w:rsidR="00691721">
        <w:rPr>
          <w:rFonts w:ascii="Arial" w:hAnsi="Arial" w:cs="Arial"/>
          <w:noProof/>
          <w:sz w:val="22"/>
          <w:szCs w:val="22"/>
          <w:lang w:val="en-US"/>
        </w:rPr>
        <w:t>(Pearl et al., 2015)</w:t>
      </w:r>
      <w:r w:rsidR="00691721">
        <w:rPr>
          <w:rFonts w:ascii="Arial" w:hAnsi="Arial" w:cs="Arial"/>
          <w:sz w:val="22"/>
          <w:szCs w:val="22"/>
          <w:lang w:val="en-US"/>
        </w:rPr>
        <w:fldChar w:fldCharType="end"/>
      </w:r>
      <w:r w:rsidR="00691721">
        <w:rPr>
          <w:rFonts w:ascii="Arial" w:hAnsi="Arial" w:cs="Arial"/>
          <w:sz w:val="22"/>
          <w:szCs w:val="22"/>
          <w:lang w:val="en-US"/>
        </w:rPr>
        <w:t xml:space="preserve">. We have found statistically significant decrease in expression of single-strand break repair genes in </w:t>
      </w:r>
      <w:r w:rsidR="00691721" w:rsidRPr="00670227">
        <w:rPr>
          <w:rFonts w:ascii="Arial" w:hAnsi="Arial" w:cs="Arial"/>
          <w:i/>
          <w:iCs/>
          <w:sz w:val="22"/>
          <w:szCs w:val="22"/>
          <w:lang w:val="en-US"/>
        </w:rPr>
        <w:t xml:space="preserve">JAK2 </w:t>
      </w:r>
      <w:r w:rsidR="00691721" w:rsidRPr="00CD395D">
        <w:rPr>
          <w:rFonts w:ascii="Arial" w:hAnsi="Arial" w:cs="Arial"/>
          <w:sz w:val="22"/>
          <w:szCs w:val="22"/>
          <w:lang w:val="en-US"/>
        </w:rPr>
        <w:t>V617F</w:t>
      </w:r>
      <w:r w:rsidR="00691721" w:rsidRPr="00670227">
        <w:rPr>
          <w:rFonts w:ascii="Arial" w:hAnsi="Arial" w:cs="Arial"/>
          <w:sz w:val="22"/>
          <w:szCs w:val="22"/>
          <w:vertAlign w:val="superscript"/>
          <w:lang w:val="en-US"/>
        </w:rPr>
        <w:t>+</w:t>
      </w:r>
      <w:r w:rsidR="00691721">
        <w:rPr>
          <w:rFonts w:ascii="Arial" w:hAnsi="Arial" w:cs="Arial"/>
          <w:sz w:val="22"/>
          <w:szCs w:val="22"/>
          <w:lang w:val="en-US"/>
        </w:rPr>
        <w:t xml:space="preserve"> CD34</w:t>
      </w:r>
      <w:r w:rsidR="00691721" w:rsidRPr="00670227">
        <w:rPr>
          <w:rFonts w:ascii="Arial" w:hAnsi="Arial" w:cs="Arial"/>
          <w:sz w:val="22"/>
          <w:szCs w:val="22"/>
          <w:vertAlign w:val="superscript"/>
          <w:lang w:val="en-US"/>
        </w:rPr>
        <w:t>+</w:t>
      </w:r>
      <w:r w:rsidR="00691721">
        <w:rPr>
          <w:rFonts w:ascii="Arial" w:hAnsi="Arial" w:cs="Arial"/>
          <w:sz w:val="22"/>
          <w:szCs w:val="22"/>
          <w:lang w:val="en-US"/>
        </w:rPr>
        <w:t xml:space="preserve"> P-ECs (Figure 19A,B), pointing towards protection up-stream of these genes</w:t>
      </w:r>
      <w:r w:rsidR="00203EBF">
        <w:rPr>
          <w:rFonts w:ascii="Arial" w:hAnsi="Arial" w:cs="Arial"/>
          <w:sz w:val="22"/>
          <w:szCs w:val="22"/>
          <w:lang w:val="en-US"/>
        </w:rPr>
        <w:t xml:space="preserve">, most likely </w:t>
      </w:r>
      <w:r w:rsidR="00691721">
        <w:rPr>
          <w:rFonts w:ascii="Arial" w:hAnsi="Arial" w:cs="Arial"/>
          <w:sz w:val="22"/>
          <w:szCs w:val="22"/>
          <w:lang w:val="en-US"/>
        </w:rPr>
        <w:t>with</w:t>
      </w:r>
      <w:r w:rsidR="00203EBF">
        <w:rPr>
          <w:rFonts w:ascii="Arial" w:hAnsi="Arial" w:cs="Arial"/>
          <w:sz w:val="22"/>
          <w:szCs w:val="22"/>
          <w:lang w:val="en-US"/>
        </w:rPr>
        <w:t xml:space="preserve"> contribution of</w:t>
      </w:r>
      <w:r w:rsidR="00691721">
        <w:rPr>
          <w:rFonts w:ascii="Arial" w:hAnsi="Arial" w:cs="Arial"/>
          <w:sz w:val="22"/>
          <w:szCs w:val="22"/>
          <w:lang w:val="en-US"/>
        </w:rPr>
        <w:t xml:space="preserve"> increased ROS buffering system</w:t>
      </w:r>
      <w:r w:rsidR="00203EBF">
        <w:rPr>
          <w:rFonts w:ascii="Arial" w:hAnsi="Arial" w:cs="Arial"/>
          <w:sz w:val="22"/>
          <w:szCs w:val="22"/>
          <w:lang w:val="en-US"/>
        </w:rPr>
        <w:t xml:space="preserve"> activity.</w:t>
      </w:r>
      <w:r w:rsidR="006B6EFF" w:rsidRPr="00691721">
        <w:rPr>
          <w:rFonts w:ascii="Arial" w:hAnsi="Arial" w:cs="Arial"/>
          <w:sz w:val="22"/>
          <w:szCs w:val="22"/>
          <w:lang w:val="en-US"/>
        </w:rPr>
        <w:br w:type="page"/>
      </w:r>
    </w:p>
    <w:p w14:paraId="7D36251D" w14:textId="77777777" w:rsidR="0008739E" w:rsidRPr="006B6EFF" w:rsidRDefault="006B6EFF" w:rsidP="005D01C6">
      <w:pPr>
        <w:spacing w:line="360" w:lineRule="auto"/>
        <w:jc w:val="both"/>
        <w:rPr>
          <w:rFonts w:ascii="Arial" w:hAnsi="Arial" w:cs="Arial"/>
          <w:b/>
          <w:bCs/>
          <w:sz w:val="22"/>
          <w:szCs w:val="22"/>
          <w:lang w:val="en-US"/>
        </w:rPr>
      </w:pPr>
      <w:r w:rsidRPr="003A5293">
        <w:rPr>
          <w:rFonts w:ascii="Arial" w:hAnsi="Arial" w:cs="Arial"/>
          <w:noProof/>
          <w:lang w:val="cs-CZ" w:eastAsia="cs-CZ"/>
        </w:rPr>
        <w:lastRenderedPageBreak/>
        <w:drawing>
          <wp:anchor distT="0" distB="0" distL="114300" distR="114300" simplePos="0" relativeHeight="251660288" behindDoc="0" locked="0" layoutInCell="1" allowOverlap="1" wp14:anchorId="5540FDFE" wp14:editId="395CD895">
            <wp:simplePos x="0" y="0"/>
            <wp:positionH relativeFrom="column">
              <wp:posOffset>15875</wp:posOffset>
            </wp:positionH>
            <wp:positionV relativeFrom="paragraph">
              <wp:posOffset>176530</wp:posOffset>
            </wp:positionV>
            <wp:extent cx="2380615" cy="6403975"/>
            <wp:effectExtent l="0" t="0" r="0" b="0"/>
            <wp:wrapSquare wrapText="bothSides"/>
            <wp:docPr id="35" name="Grafik 35"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7117" t="27609" b="6355"/>
                    <a:stretch/>
                  </pic:blipFill>
                  <pic:spPr bwMode="auto">
                    <a:xfrm>
                      <a:off x="0" y="0"/>
                      <a:ext cx="2380615" cy="6403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6EFF">
        <w:rPr>
          <w:rFonts w:ascii="Arial" w:eastAsia="+mn-ea" w:hAnsi="Arial" w:cs="Arial"/>
          <w:b/>
          <w:bCs/>
          <w:color w:val="000000"/>
          <w:kern w:val="24"/>
          <w:sz w:val="22"/>
          <w:szCs w:val="22"/>
          <w:lang w:val="en-US" w:eastAsia="cs-CZ"/>
        </w:rPr>
        <w:t>A</w:t>
      </w:r>
      <w:r w:rsidRPr="006B6EFF">
        <w:rPr>
          <w:rFonts w:ascii="Arial" w:eastAsia="+mn-ea" w:hAnsi="Arial" w:cs="Arial"/>
          <w:b/>
          <w:bCs/>
          <w:color w:val="000000"/>
          <w:kern w:val="24"/>
          <w:sz w:val="22"/>
          <w:szCs w:val="22"/>
          <w:lang w:val="en-US" w:eastAsia="cs-CZ"/>
        </w:rPr>
        <w:tab/>
      </w:r>
      <w:r w:rsidRPr="006B6EFF">
        <w:rPr>
          <w:rFonts w:ascii="Arial" w:eastAsia="+mn-ea" w:hAnsi="Arial" w:cs="Arial"/>
          <w:b/>
          <w:bCs/>
          <w:color w:val="000000"/>
          <w:kern w:val="24"/>
          <w:sz w:val="22"/>
          <w:szCs w:val="22"/>
          <w:lang w:val="en-US" w:eastAsia="cs-CZ"/>
        </w:rPr>
        <w:tab/>
      </w:r>
      <w:r w:rsidRPr="006B6EFF">
        <w:rPr>
          <w:rFonts w:ascii="Arial" w:eastAsia="+mn-ea" w:hAnsi="Arial" w:cs="Arial"/>
          <w:b/>
          <w:bCs/>
          <w:color w:val="000000"/>
          <w:kern w:val="24"/>
          <w:sz w:val="22"/>
          <w:szCs w:val="22"/>
          <w:lang w:val="en-US" w:eastAsia="cs-CZ"/>
        </w:rPr>
        <w:tab/>
      </w:r>
      <w:r w:rsidRPr="006B6EFF">
        <w:rPr>
          <w:rFonts w:ascii="Arial" w:eastAsia="+mn-ea" w:hAnsi="Arial" w:cs="Arial"/>
          <w:b/>
          <w:bCs/>
          <w:color w:val="000000"/>
          <w:kern w:val="24"/>
          <w:sz w:val="22"/>
          <w:szCs w:val="22"/>
          <w:lang w:val="en-US" w:eastAsia="cs-CZ"/>
        </w:rPr>
        <w:tab/>
      </w:r>
      <w:r w:rsidRPr="006B6EFF">
        <w:rPr>
          <w:rFonts w:ascii="Arial" w:eastAsia="+mn-ea" w:hAnsi="Arial" w:cs="Arial"/>
          <w:b/>
          <w:bCs/>
          <w:color w:val="000000"/>
          <w:kern w:val="24"/>
          <w:sz w:val="22"/>
          <w:szCs w:val="22"/>
          <w:lang w:val="en-US" w:eastAsia="cs-CZ"/>
        </w:rPr>
        <w:tab/>
      </w:r>
      <w:r w:rsidRPr="006B6EFF">
        <w:rPr>
          <w:rFonts w:ascii="Arial" w:eastAsia="+mn-ea" w:hAnsi="Arial" w:cs="Arial"/>
          <w:b/>
          <w:bCs/>
          <w:color w:val="000000"/>
          <w:kern w:val="24"/>
          <w:sz w:val="22"/>
          <w:szCs w:val="22"/>
          <w:lang w:val="en-US" w:eastAsia="cs-CZ"/>
        </w:rPr>
        <w:tab/>
        <w:t xml:space="preserve">    B</w:t>
      </w:r>
    </w:p>
    <w:p w14:paraId="213ACFF5" w14:textId="77777777" w:rsidR="0008739E" w:rsidRPr="0008739E" w:rsidRDefault="0008739E" w:rsidP="0008739E">
      <w:pPr>
        <w:rPr>
          <w:rFonts w:ascii="Arial" w:hAnsi="Arial" w:cs="Arial"/>
        </w:rPr>
      </w:pPr>
      <w:r w:rsidRPr="0008739E">
        <w:rPr>
          <w:rFonts w:ascii="Arial" w:hAnsi="Arial" w:cs="Arial"/>
        </w:rPr>
        <w:fldChar w:fldCharType="begin"/>
      </w:r>
      <w:r w:rsidRPr="0008739E">
        <w:rPr>
          <w:rFonts w:ascii="Arial" w:hAnsi="Arial" w:cs="Arial"/>
        </w:rPr>
        <w:instrText xml:space="preserve"> INCLUDEPICTURE "https://media.springernature.com/full/springer-static/image/art%3A10.1038%2Fs41388-019-0813-7/MediaObjects/41388_2019_813_Fig2_HTML.png" \* MERGEFORMATINET </w:instrText>
      </w:r>
      <w:r w:rsidRPr="0008739E">
        <w:rPr>
          <w:rFonts w:ascii="Arial" w:hAnsi="Arial" w:cs="Arial"/>
        </w:rPr>
        <w:fldChar w:fldCharType="end"/>
      </w:r>
      <w:r w:rsidR="006B6EFF" w:rsidRPr="0008739E">
        <w:rPr>
          <w:rFonts w:ascii="Arial" w:hAnsi="Arial" w:cs="Arial"/>
        </w:rPr>
        <w:fldChar w:fldCharType="begin"/>
      </w:r>
      <w:r w:rsidR="006B6EFF" w:rsidRPr="0008739E">
        <w:rPr>
          <w:rFonts w:ascii="Arial" w:hAnsi="Arial" w:cs="Arial"/>
        </w:rPr>
        <w:instrText xml:space="preserve"> INCLUDEPICTURE "https://media.springernature.com/full/springer-static/image/art%3A10.1038%2Fs41388-019-0813-7/MediaObjects/41388_2019_813_Fig2_HTML.png" \* MERGEFORMATINET </w:instrText>
      </w:r>
      <w:r w:rsidR="006B6EFF" w:rsidRPr="0008739E">
        <w:rPr>
          <w:rFonts w:ascii="Arial" w:hAnsi="Arial" w:cs="Arial"/>
        </w:rPr>
        <w:fldChar w:fldCharType="separate"/>
      </w:r>
      <w:r w:rsidR="006B6EFF" w:rsidRPr="003A5293">
        <w:rPr>
          <w:rFonts w:ascii="Arial" w:hAnsi="Arial" w:cs="Arial"/>
          <w:noProof/>
          <w:lang w:val="cs-CZ" w:eastAsia="cs-CZ"/>
        </w:rPr>
        <w:drawing>
          <wp:inline distT="0" distB="0" distL="0" distR="0" wp14:anchorId="39EDA7C4" wp14:editId="6D49E9A9">
            <wp:extent cx="2398597" cy="2488942"/>
            <wp:effectExtent l="0" t="0" r="1905" b="635"/>
            <wp:docPr id="36" name="Grafik 36"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2"/>
                    <pic:cNvPicPr>
                      <a:picLocks noChangeAspect="1" noChangeArrowheads="1"/>
                    </pic:cNvPicPr>
                  </pic:nvPicPr>
                  <pic:blipFill rotWithShape="1">
                    <a:blip r:embed="rId29">
                      <a:extLst>
                        <a:ext uri="{28A0092B-C50C-407E-A947-70E740481C1C}">
                          <a14:useLocalDpi xmlns:a14="http://schemas.microsoft.com/office/drawing/2010/main" val="0"/>
                        </a:ext>
                      </a:extLst>
                    </a:blip>
                    <a:srcRect l="69672" t="3134" r="2123" b="75013"/>
                    <a:stretch/>
                  </pic:blipFill>
                  <pic:spPr bwMode="auto">
                    <a:xfrm>
                      <a:off x="0" y="0"/>
                      <a:ext cx="2410771" cy="2501575"/>
                    </a:xfrm>
                    <a:prstGeom prst="rect">
                      <a:avLst/>
                    </a:prstGeom>
                    <a:noFill/>
                    <a:ln>
                      <a:noFill/>
                    </a:ln>
                    <a:extLst>
                      <a:ext uri="{53640926-AAD7-44D8-BBD7-CCE9431645EC}">
                        <a14:shadowObscured xmlns:a14="http://schemas.microsoft.com/office/drawing/2010/main"/>
                      </a:ext>
                    </a:extLst>
                  </pic:spPr>
                </pic:pic>
              </a:graphicData>
            </a:graphic>
          </wp:inline>
        </w:drawing>
      </w:r>
      <w:r w:rsidR="006B6EFF" w:rsidRPr="0008739E">
        <w:rPr>
          <w:rFonts w:ascii="Arial" w:hAnsi="Arial" w:cs="Arial"/>
        </w:rPr>
        <w:fldChar w:fldCharType="end"/>
      </w:r>
    </w:p>
    <w:p w14:paraId="6848BEBF" w14:textId="77777777" w:rsidR="0008739E" w:rsidRPr="003A5293" w:rsidRDefault="0008739E" w:rsidP="005D01C6">
      <w:pPr>
        <w:spacing w:line="360" w:lineRule="auto"/>
        <w:jc w:val="both"/>
        <w:rPr>
          <w:rFonts w:ascii="Arial" w:hAnsi="Arial" w:cs="Arial"/>
          <w:sz w:val="22"/>
          <w:szCs w:val="22"/>
          <w:lang w:val="en-US"/>
        </w:rPr>
      </w:pPr>
    </w:p>
    <w:p w14:paraId="49CA8FEF" w14:textId="77777777" w:rsidR="00E07EE3" w:rsidRPr="003A5293" w:rsidRDefault="00E07EE3" w:rsidP="005D01C6">
      <w:pPr>
        <w:spacing w:line="360" w:lineRule="auto"/>
        <w:jc w:val="both"/>
        <w:rPr>
          <w:rFonts w:ascii="Arial" w:hAnsi="Arial" w:cs="Arial"/>
          <w:sz w:val="22"/>
          <w:szCs w:val="22"/>
          <w:lang w:val="en-US"/>
        </w:rPr>
      </w:pPr>
    </w:p>
    <w:p w14:paraId="7B00A8E6" w14:textId="77777777" w:rsidR="0008739E" w:rsidRPr="003A5293" w:rsidRDefault="0008739E" w:rsidP="005D01C6">
      <w:pPr>
        <w:spacing w:line="360" w:lineRule="auto"/>
        <w:jc w:val="both"/>
        <w:rPr>
          <w:rFonts w:ascii="Arial" w:hAnsi="Arial" w:cs="Arial"/>
          <w:sz w:val="22"/>
          <w:szCs w:val="22"/>
          <w:lang w:val="en-US"/>
        </w:rPr>
      </w:pPr>
    </w:p>
    <w:p w14:paraId="635C8107" w14:textId="77777777" w:rsidR="0008739E" w:rsidRPr="003A5293" w:rsidRDefault="0008739E" w:rsidP="005D01C6">
      <w:pPr>
        <w:spacing w:line="360" w:lineRule="auto"/>
        <w:jc w:val="both"/>
        <w:rPr>
          <w:rFonts w:ascii="Arial" w:hAnsi="Arial" w:cs="Arial"/>
          <w:sz w:val="22"/>
          <w:szCs w:val="22"/>
          <w:lang w:val="en-US"/>
        </w:rPr>
      </w:pPr>
    </w:p>
    <w:p w14:paraId="6ECEE4F3" w14:textId="77777777" w:rsidR="0008739E" w:rsidRPr="003A5293" w:rsidRDefault="0008739E" w:rsidP="005D01C6">
      <w:pPr>
        <w:spacing w:line="360" w:lineRule="auto"/>
        <w:jc w:val="both"/>
        <w:rPr>
          <w:rFonts w:ascii="Arial" w:hAnsi="Arial" w:cs="Arial"/>
          <w:sz w:val="22"/>
          <w:szCs w:val="22"/>
          <w:lang w:val="en-US"/>
        </w:rPr>
      </w:pPr>
    </w:p>
    <w:p w14:paraId="12321E57" w14:textId="77777777" w:rsidR="0008739E" w:rsidRPr="003A5293" w:rsidRDefault="0008739E" w:rsidP="005D01C6">
      <w:pPr>
        <w:spacing w:line="360" w:lineRule="auto"/>
        <w:jc w:val="both"/>
        <w:rPr>
          <w:rFonts w:ascii="Arial" w:hAnsi="Arial" w:cs="Arial"/>
          <w:sz w:val="22"/>
          <w:szCs w:val="22"/>
          <w:lang w:val="en-US"/>
        </w:rPr>
      </w:pPr>
    </w:p>
    <w:p w14:paraId="27C29DFD" w14:textId="77777777" w:rsidR="0008739E" w:rsidRPr="003A5293" w:rsidRDefault="0008739E" w:rsidP="005D01C6">
      <w:pPr>
        <w:spacing w:line="360" w:lineRule="auto"/>
        <w:jc w:val="both"/>
        <w:rPr>
          <w:rFonts w:ascii="Arial" w:hAnsi="Arial" w:cs="Arial"/>
          <w:sz w:val="22"/>
          <w:szCs w:val="22"/>
          <w:lang w:val="en-US"/>
        </w:rPr>
      </w:pPr>
    </w:p>
    <w:p w14:paraId="7033B718" w14:textId="77777777" w:rsidR="0008739E" w:rsidRPr="003A5293" w:rsidRDefault="0008739E" w:rsidP="005D01C6">
      <w:pPr>
        <w:spacing w:line="360" w:lineRule="auto"/>
        <w:jc w:val="both"/>
        <w:rPr>
          <w:rFonts w:ascii="Arial" w:hAnsi="Arial" w:cs="Arial"/>
          <w:sz w:val="22"/>
          <w:szCs w:val="22"/>
          <w:lang w:val="en-US"/>
        </w:rPr>
      </w:pPr>
    </w:p>
    <w:p w14:paraId="0B03F8CD" w14:textId="77777777" w:rsidR="0008739E" w:rsidRPr="003A5293" w:rsidRDefault="0008739E" w:rsidP="005D01C6">
      <w:pPr>
        <w:spacing w:line="360" w:lineRule="auto"/>
        <w:jc w:val="both"/>
        <w:rPr>
          <w:rFonts w:ascii="Arial" w:hAnsi="Arial" w:cs="Arial"/>
          <w:sz w:val="22"/>
          <w:szCs w:val="22"/>
          <w:lang w:val="en-US"/>
        </w:rPr>
      </w:pPr>
    </w:p>
    <w:p w14:paraId="326C854C" w14:textId="77777777" w:rsidR="0008739E" w:rsidRPr="003A5293" w:rsidRDefault="0008739E" w:rsidP="005D01C6">
      <w:pPr>
        <w:spacing w:line="360" w:lineRule="auto"/>
        <w:jc w:val="both"/>
        <w:rPr>
          <w:rFonts w:ascii="Arial" w:hAnsi="Arial" w:cs="Arial"/>
          <w:sz w:val="22"/>
          <w:szCs w:val="22"/>
          <w:lang w:val="en-US"/>
        </w:rPr>
      </w:pPr>
    </w:p>
    <w:p w14:paraId="084290A0" w14:textId="77777777" w:rsidR="0008739E" w:rsidRPr="003A5293" w:rsidRDefault="0008739E" w:rsidP="005D01C6">
      <w:pPr>
        <w:spacing w:line="360" w:lineRule="auto"/>
        <w:jc w:val="both"/>
        <w:rPr>
          <w:rFonts w:ascii="Arial" w:hAnsi="Arial" w:cs="Arial"/>
          <w:sz w:val="22"/>
          <w:szCs w:val="22"/>
          <w:lang w:val="en-US"/>
        </w:rPr>
      </w:pPr>
    </w:p>
    <w:p w14:paraId="7CB2FFB2" w14:textId="77777777" w:rsidR="0008739E" w:rsidRPr="003A5293" w:rsidRDefault="0008739E" w:rsidP="005D01C6">
      <w:pPr>
        <w:spacing w:line="360" w:lineRule="auto"/>
        <w:jc w:val="both"/>
        <w:rPr>
          <w:rFonts w:ascii="Arial" w:hAnsi="Arial" w:cs="Arial"/>
          <w:sz w:val="22"/>
          <w:szCs w:val="22"/>
          <w:lang w:val="en-US"/>
        </w:rPr>
      </w:pPr>
    </w:p>
    <w:p w14:paraId="7A084AFE" w14:textId="77777777" w:rsidR="0008739E" w:rsidRPr="003A5293" w:rsidRDefault="0008739E" w:rsidP="005D01C6">
      <w:pPr>
        <w:spacing w:line="360" w:lineRule="auto"/>
        <w:jc w:val="both"/>
        <w:rPr>
          <w:rFonts w:ascii="Arial" w:hAnsi="Arial" w:cs="Arial"/>
          <w:sz w:val="22"/>
          <w:szCs w:val="22"/>
          <w:lang w:val="en-US"/>
        </w:rPr>
      </w:pPr>
    </w:p>
    <w:p w14:paraId="2B31F1E1" w14:textId="77777777" w:rsidR="0008739E" w:rsidRPr="003A5293" w:rsidRDefault="0008739E" w:rsidP="005D01C6">
      <w:pPr>
        <w:spacing w:line="360" w:lineRule="auto"/>
        <w:jc w:val="both"/>
        <w:rPr>
          <w:rFonts w:ascii="Arial" w:hAnsi="Arial" w:cs="Arial"/>
          <w:sz w:val="22"/>
          <w:szCs w:val="22"/>
          <w:lang w:val="en-US"/>
        </w:rPr>
      </w:pPr>
    </w:p>
    <w:p w14:paraId="3619051A" w14:textId="77777777" w:rsidR="0008739E" w:rsidRPr="003A5293" w:rsidRDefault="0008739E" w:rsidP="005D01C6">
      <w:pPr>
        <w:spacing w:line="360" w:lineRule="auto"/>
        <w:jc w:val="both"/>
        <w:rPr>
          <w:rFonts w:ascii="Arial" w:hAnsi="Arial" w:cs="Arial"/>
          <w:sz w:val="22"/>
          <w:szCs w:val="22"/>
          <w:lang w:val="en-US"/>
        </w:rPr>
      </w:pPr>
    </w:p>
    <w:p w14:paraId="78E59168" w14:textId="77777777" w:rsidR="006B6EFF" w:rsidRDefault="006B6EFF" w:rsidP="005D01C6">
      <w:pPr>
        <w:spacing w:line="360" w:lineRule="auto"/>
        <w:jc w:val="both"/>
        <w:rPr>
          <w:rFonts w:ascii="Arial" w:hAnsi="Arial" w:cs="Arial"/>
          <w:sz w:val="22"/>
          <w:szCs w:val="22"/>
          <w:lang w:val="en-US"/>
        </w:rPr>
      </w:pPr>
    </w:p>
    <w:p w14:paraId="1A083041" w14:textId="77777777" w:rsidR="0008739E" w:rsidRPr="003A5293" w:rsidRDefault="0008739E" w:rsidP="005D01C6">
      <w:pPr>
        <w:spacing w:line="360" w:lineRule="auto"/>
        <w:jc w:val="both"/>
        <w:rPr>
          <w:rFonts w:ascii="Arial" w:hAnsi="Arial" w:cs="Arial"/>
          <w:sz w:val="22"/>
          <w:szCs w:val="22"/>
          <w:lang w:val="en-US"/>
        </w:rPr>
      </w:pPr>
      <w:r w:rsidRPr="003A5293">
        <w:rPr>
          <w:rFonts w:ascii="Arial" w:hAnsi="Arial" w:cs="Arial"/>
          <w:b/>
          <w:bCs/>
          <w:sz w:val="22"/>
          <w:szCs w:val="22"/>
          <w:lang w:val="en-US"/>
        </w:rPr>
        <w:t>F</w:t>
      </w:r>
      <w:r w:rsidR="006B6EFF">
        <w:rPr>
          <w:rFonts w:ascii="Arial" w:hAnsi="Arial" w:cs="Arial"/>
          <w:b/>
          <w:bCs/>
          <w:sz w:val="22"/>
          <w:szCs w:val="22"/>
          <w:lang w:val="en-US"/>
        </w:rPr>
        <w:t>ig</w:t>
      </w:r>
      <w:r w:rsidRPr="003A5293">
        <w:rPr>
          <w:rFonts w:ascii="Arial" w:hAnsi="Arial" w:cs="Arial"/>
          <w:b/>
          <w:bCs/>
          <w:sz w:val="22"/>
          <w:szCs w:val="22"/>
          <w:lang w:val="en-US"/>
        </w:rPr>
        <w:t>ure 19</w:t>
      </w:r>
      <w:r w:rsidRPr="003A5293">
        <w:rPr>
          <w:rFonts w:ascii="Arial" w:hAnsi="Arial" w:cs="Arial"/>
          <w:sz w:val="22"/>
          <w:szCs w:val="22"/>
          <w:lang w:val="en-US"/>
        </w:rPr>
        <w:t xml:space="preserve">: </w:t>
      </w:r>
      <w:r w:rsidR="00663CBE">
        <w:rPr>
          <w:rFonts w:ascii="Arial" w:hAnsi="Arial" w:cs="Arial"/>
          <w:b/>
          <w:bCs/>
          <w:sz w:val="22"/>
          <w:szCs w:val="22"/>
          <w:lang w:val="en-US"/>
        </w:rPr>
        <w:t>A</w:t>
      </w:r>
      <w:r w:rsidR="00663CBE" w:rsidRPr="00663CBE">
        <w:rPr>
          <w:rFonts w:ascii="Arial" w:hAnsi="Arial" w:cs="Arial"/>
          <w:sz w:val="22"/>
          <w:szCs w:val="22"/>
          <w:lang w:val="en-US"/>
        </w:rPr>
        <w:t xml:space="preserve"> Heatmap of single-strand repair gene set</w:t>
      </w:r>
      <w:r w:rsidR="00060047">
        <w:rPr>
          <w:rFonts w:ascii="Arial" w:hAnsi="Arial" w:cs="Arial"/>
          <w:sz w:val="22"/>
          <w:szCs w:val="22"/>
          <w:lang w:val="en-US"/>
        </w:rPr>
        <w:t xml:space="preserve"> </w:t>
      </w:r>
      <w:r w:rsidR="00060047">
        <w:rPr>
          <w:rFonts w:ascii="Arial" w:hAnsi="Arial" w:cs="Arial"/>
          <w:sz w:val="22"/>
          <w:szCs w:val="22"/>
          <w:lang w:val="en-US"/>
        </w:rPr>
        <w:fldChar w:fldCharType="begin"/>
      </w:r>
      <w:r w:rsidR="00060047">
        <w:rPr>
          <w:rFonts w:ascii="Arial" w:hAnsi="Arial" w:cs="Arial"/>
          <w:sz w:val="22"/>
          <w:szCs w:val="22"/>
          <w:lang w:val="en-US"/>
        </w:rPr>
        <w:instrText xml:space="preserve"> ADDIN ZOTERO_ITEM CSL_CITATION {"citationID":"UbOiL042","properties":{"formattedCitation":"(Pearl et al., 2015)","plainCitation":"(Pearl et al., 2015)","noteIndex":0},"citationItems":[{"id":111,"uris":["http://zotero.org/users/2484452/items/JP2BZTN4"],"uri":["http://zotero.org/users/2484452/items/JP2BZTN4"],"itemData":{"id":111,"type":"article-journal","abstract":"&lt;p&gt;This Analysis uses the published literature to form a DNA damage response network and then uses this to identify potential synthetic lethal interactions and to assess the druggability of proteins in the DNA damage response network.&lt;/p&gt;","container-title":"Nature Reviews Cancer","DOI":"10.1038/nrc3891","ISSN":"1474-1768","issue":"3","language":"en","page":"nrc3891","source":"www.nature.com","title":"Therapeutic opportunities within the DNA damage response","volume":"15","author":[{"family":"Pearl","given":"Laurence H."},{"family":"Schierz","given":"Amanda C."},{"family":"Ward","given":"Simon E."},{"family":"Al-Lazikani","given":"Bissan"},{"family":"Pearl","given":"Frances M. G."}],"issued":{"date-parts":[["2015",2,24]]}}}],"schema":"https://github.com/citation-style-language/schema/raw/master/csl-citation.json"} </w:instrText>
      </w:r>
      <w:r w:rsidR="00060047">
        <w:rPr>
          <w:rFonts w:ascii="Arial" w:hAnsi="Arial" w:cs="Arial"/>
          <w:sz w:val="22"/>
          <w:szCs w:val="22"/>
          <w:lang w:val="en-US"/>
        </w:rPr>
        <w:fldChar w:fldCharType="separate"/>
      </w:r>
      <w:r w:rsidR="00060047">
        <w:rPr>
          <w:rFonts w:ascii="Arial" w:hAnsi="Arial" w:cs="Arial"/>
          <w:noProof/>
          <w:sz w:val="22"/>
          <w:szCs w:val="22"/>
          <w:lang w:val="en-US"/>
        </w:rPr>
        <w:t>(Pearl et al., 2015)</w:t>
      </w:r>
      <w:r w:rsidR="00060047">
        <w:rPr>
          <w:rFonts w:ascii="Arial" w:hAnsi="Arial" w:cs="Arial"/>
          <w:sz w:val="22"/>
          <w:szCs w:val="22"/>
          <w:lang w:val="en-US"/>
        </w:rPr>
        <w:fldChar w:fldCharType="end"/>
      </w:r>
      <w:r w:rsidR="00663CBE" w:rsidRPr="00663CBE">
        <w:rPr>
          <w:rFonts w:ascii="Arial" w:hAnsi="Arial" w:cs="Arial"/>
          <w:sz w:val="22"/>
          <w:szCs w:val="22"/>
          <w:lang w:val="en-US"/>
        </w:rPr>
        <w:t xml:space="preserve"> expression in</w:t>
      </w:r>
      <w:r w:rsidR="00060047" w:rsidRPr="00060047">
        <w:rPr>
          <w:rFonts w:ascii="Arial" w:hAnsi="Arial" w:cs="Arial"/>
          <w:sz w:val="22"/>
          <w:szCs w:val="22"/>
          <w:lang w:val="en-US"/>
        </w:rPr>
        <w:t xml:space="preserve"> d</w:t>
      </w:r>
      <w:r w:rsidR="00060047">
        <w:rPr>
          <w:rFonts w:ascii="Arial" w:hAnsi="Arial" w:cs="Arial"/>
          <w:sz w:val="22"/>
          <w:szCs w:val="22"/>
          <w:lang w:val="en-US"/>
        </w:rPr>
        <w:t xml:space="preserve">ay </w:t>
      </w:r>
      <w:r w:rsidR="00060047" w:rsidRPr="00060047">
        <w:rPr>
          <w:rFonts w:ascii="Arial" w:hAnsi="Arial" w:cs="Arial"/>
          <w:sz w:val="22"/>
          <w:szCs w:val="22"/>
          <w:lang w:val="en-US"/>
        </w:rPr>
        <w:t xml:space="preserve">9 </w:t>
      </w:r>
      <w:r w:rsidR="00060047" w:rsidRPr="00060047">
        <w:rPr>
          <w:rFonts w:ascii="Arial" w:hAnsi="Arial" w:cs="Arial"/>
          <w:i/>
          <w:iCs/>
          <w:sz w:val="22"/>
          <w:szCs w:val="22"/>
          <w:lang w:val="en-US"/>
        </w:rPr>
        <w:t>JAK2</w:t>
      </w:r>
      <w:r w:rsidR="00060047">
        <w:rPr>
          <w:rFonts w:ascii="Arial" w:hAnsi="Arial" w:cs="Arial"/>
          <w:sz w:val="22"/>
          <w:szCs w:val="22"/>
          <w:lang w:val="en-US"/>
        </w:rPr>
        <w:t xml:space="preserve"> </w:t>
      </w:r>
      <w:proofErr w:type="spellStart"/>
      <w:r w:rsidR="00060047" w:rsidRPr="00060047">
        <w:rPr>
          <w:rFonts w:ascii="Arial" w:hAnsi="Arial" w:cs="Arial"/>
          <w:sz w:val="22"/>
          <w:szCs w:val="22"/>
          <w:lang w:val="en-US"/>
        </w:rPr>
        <w:t>wt</w:t>
      </w:r>
      <w:proofErr w:type="spellEnd"/>
      <w:r w:rsidR="00060047" w:rsidRPr="00060047">
        <w:rPr>
          <w:rFonts w:ascii="Arial" w:hAnsi="Arial" w:cs="Arial"/>
          <w:sz w:val="22"/>
          <w:szCs w:val="22"/>
          <w:lang w:val="en-US"/>
        </w:rPr>
        <w:t xml:space="preserve"> and </w:t>
      </w:r>
      <w:r w:rsidR="00060047" w:rsidRPr="00060047">
        <w:rPr>
          <w:rFonts w:ascii="Arial" w:hAnsi="Arial" w:cs="Arial"/>
          <w:i/>
          <w:iCs/>
          <w:sz w:val="22"/>
          <w:szCs w:val="22"/>
          <w:lang w:val="en-US"/>
        </w:rPr>
        <w:t xml:space="preserve">JAK2 </w:t>
      </w:r>
      <w:r w:rsidR="00060047" w:rsidRPr="00CD395D">
        <w:rPr>
          <w:rFonts w:ascii="Arial" w:hAnsi="Arial" w:cs="Arial"/>
          <w:sz w:val="22"/>
          <w:szCs w:val="22"/>
          <w:lang w:val="en-US"/>
        </w:rPr>
        <w:t>V617F</w:t>
      </w:r>
      <w:r w:rsidR="00060047" w:rsidRPr="00060047">
        <w:rPr>
          <w:rFonts w:ascii="Arial" w:hAnsi="Arial" w:cs="Arial"/>
          <w:sz w:val="22"/>
          <w:szCs w:val="22"/>
          <w:vertAlign w:val="superscript"/>
          <w:lang w:val="en-US"/>
        </w:rPr>
        <w:t>+</w:t>
      </w:r>
      <w:r w:rsidR="00060047" w:rsidRPr="00060047">
        <w:rPr>
          <w:rFonts w:ascii="Arial" w:hAnsi="Arial" w:cs="Arial"/>
          <w:sz w:val="22"/>
          <w:szCs w:val="22"/>
          <w:lang w:val="en-US"/>
        </w:rPr>
        <w:t xml:space="preserve"> CD34</w:t>
      </w:r>
      <w:r w:rsidR="00060047" w:rsidRPr="00060047">
        <w:rPr>
          <w:rFonts w:ascii="Arial" w:hAnsi="Arial" w:cs="Arial"/>
          <w:sz w:val="22"/>
          <w:szCs w:val="22"/>
          <w:vertAlign w:val="superscript"/>
          <w:lang w:val="en-US"/>
        </w:rPr>
        <w:t>+</w:t>
      </w:r>
      <w:r w:rsidR="00060047" w:rsidRPr="00060047">
        <w:rPr>
          <w:rFonts w:ascii="Arial" w:hAnsi="Arial" w:cs="Arial"/>
          <w:sz w:val="22"/>
          <w:szCs w:val="22"/>
          <w:lang w:val="en-US"/>
        </w:rPr>
        <w:t xml:space="preserve"> P-ECs, untreated (d9) or treated with inflammatory cytokines (d9 </w:t>
      </w:r>
      <w:proofErr w:type="spellStart"/>
      <w:r w:rsidR="00060047" w:rsidRPr="00060047">
        <w:rPr>
          <w:rFonts w:ascii="Arial" w:hAnsi="Arial" w:cs="Arial"/>
          <w:sz w:val="22"/>
          <w:szCs w:val="22"/>
          <w:lang w:val="en-US"/>
        </w:rPr>
        <w:t>cyt</w:t>
      </w:r>
      <w:proofErr w:type="spellEnd"/>
      <w:r w:rsidR="00060047" w:rsidRPr="00060047">
        <w:rPr>
          <w:rFonts w:ascii="Arial" w:hAnsi="Arial" w:cs="Arial"/>
          <w:sz w:val="22"/>
          <w:szCs w:val="22"/>
          <w:lang w:val="en-US"/>
        </w:rPr>
        <w:t>)</w:t>
      </w:r>
      <w:r w:rsidR="00663CBE" w:rsidRPr="00663CBE">
        <w:rPr>
          <w:rFonts w:ascii="Arial" w:hAnsi="Arial" w:cs="Arial"/>
          <w:sz w:val="22"/>
          <w:szCs w:val="22"/>
          <w:lang w:val="en-US"/>
        </w:rPr>
        <w:t xml:space="preserve">. </w:t>
      </w:r>
      <w:r w:rsidR="00060047">
        <w:rPr>
          <w:rFonts w:ascii="Arial" w:hAnsi="Arial" w:cs="Arial"/>
          <w:sz w:val="22"/>
          <w:szCs w:val="22"/>
          <w:lang w:val="en-US"/>
        </w:rPr>
        <w:t>Two biological replicates</w:t>
      </w:r>
      <w:r w:rsidR="00663CBE" w:rsidRPr="00663CBE">
        <w:rPr>
          <w:rFonts w:ascii="Arial" w:hAnsi="Arial" w:cs="Arial"/>
          <w:sz w:val="22"/>
          <w:szCs w:val="22"/>
          <w:lang w:val="en-US"/>
        </w:rPr>
        <w:t xml:space="preserve"> (1, 2)</w:t>
      </w:r>
      <w:r w:rsidR="00060047">
        <w:rPr>
          <w:rFonts w:ascii="Arial" w:hAnsi="Arial" w:cs="Arial"/>
          <w:sz w:val="22"/>
          <w:szCs w:val="22"/>
          <w:lang w:val="en-US"/>
        </w:rPr>
        <w:t xml:space="preserve"> were used for each condition</w:t>
      </w:r>
      <w:r w:rsidR="00663CBE" w:rsidRPr="00663CBE">
        <w:rPr>
          <w:rFonts w:ascii="Arial" w:hAnsi="Arial" w:cs="Arial"/>
          <w:sz w:val="22"/>
          <w:szCs w:val="22"/>
          <w:lang w:val="en-US"/>
        </w:rPr>
        <w:t xml:space="preserve">. </w:t>
      </w:r>
      <w:r w:rsidR="00060047">
        <w:rPr>
          <w:rFonts w:ascii="Arial" w:hAnsi="Arial" w:cs="Arial"/>
          <w:sz w:val="22"/>
          <w:szCs w:val="22"/>
          <w:lang w:val="en-US"/>
        </w:rPr>
        <w:t>Clusters of d</w:t>
      </w:r>
      <w:r w:rsidR="00663CBE" w:rsidRPr="00663CBE">
        <w:rPr>
          <w:rFonts w:ascii="Arial" w:hAnsi="Arial" w:cs="Arial"/>
          <w:sz w:val="22"/>
          <w:szCs w:val="22"/>
          <w:lang w:val="en-US"/>
        </w:rPr>
        <w:t>ifferentially downregulated</w:t>
      </w:r>
      <w:r w:rsidR="00060047">
        <w:rPr>
          <w:rFonts w:ascii="Arial" w:hAnsi="Arial" w:cs="Arial"/>
          <w:sz w:val="22"/>
          <w:szCs w:val="22"/>
          <w:lang w:val="en-US"/>
        </w:rPr>
        <w:t xml:space="preserve"> </w:t>
      </w:r>
      <w:r w:rsidR="00663CBE" w:rsidRPr="00663CBE">
        <w:rPr>
          <w:rFonts w:ascii="Arial" w:hAnsi="Arial" w:cs="Arial"/>
          <w:sz w:val="22"/>
          <w:szCs w:val="22"/>
          <w:lang w:val="en-US"/>
        </w:rPr>
        <w:t xml:space="preserve">genes in </w:t>
      </w:r>
      <w:r w:rsidR="00663CBE" w:rsidRPr="001B1DAC">
        <w:rPr>
          <w:rFonts w:ascii="Arial" w:hAnsi="Arial" w:cs="Arial"/>
          <w:sz w:val="22"/>
          <w:szCs w:val="22"/>
          <w:lang w:val="en-US"/>
        </w:rPr>
        <w:t>V617F</w:t>
      </w:r>
      <w:r w:rsidR="00663CBE" w:rsidRPr="00060047">
        <w:rPr>
          <w:rFonts w:ascii="Arial" w:hAnsi="Arial" w:cs="Arial"/>
          <w:sz w:val="22"/>
          <w:szCs w:val="22"/>
          <w:vertAlign w:val="superscript"/>
          <w:lang w:val="en-US"/>
        </w:rPr>
        <w:t>+</w:t>
      </w:r>
      <w:r w:rsidR="00663CBE" w:rsidRPr="00663CBE">
        <w:rPr>
          <w:rFonts w:ascii="Arial" w:hAnsi="Arial" w:cs="Arial"/>
          <w:sz w:val="22"/>
          <w:szCs w:val="22"/>
          <w:lang w:val="en-US"/>
        </w:rPr>
        <w:t xml:space="preserve"> samples are highlighted by </w:t>
      </w:r>
      <w:r w:rsidR="00060047">
        <w:rPr>
          <w:rFonts w:ascii="Arial" w:hAnsi="Arial" w:cs="Arial"/>
          <w:sz w:val="22"/>
          <w:szCs w:val="22"/>
          <w:lang w:val="en-US"/>
        </w:rPr>
        <w:t xml:space="preserve">two </w:t>
      </w:r>
      <w:r w:rsidR="00663CBE" w:rsidRPr="00663CBE">
        <w:rPr>
          <w:rFonts w:ascii="Arial" w:hAnsi="Arial" w:cs="Arial"/>
          <w:sz w:val="22"/>
          <w:szCs w:val="22"/>
          <w:lang w:val="en-US"/>
        </w:rPr>
        <w:t>yellow box</w:t>
      </w:r>
      <w:r w:rsidR="00060047">
        <w:rPr>
          <w:rFonts w:ascii="Arial" w:hAnsi="Arial" w:cs="Arial"/>
          <w:sz w:val="22"/>
          <w:szCs w:val="22"/>
          <w:lang w:val="en-US"/>
        </w:rPr>
        <w:t>es</w:t>
      </w:r>
      <w:r w:rsidR="00663CBE" w:rsidRPr="00663CBE">
        <w:rPr>
          <w:rFonts w:ascii="Arial" w:hAnsi="Arial" w:cs="Arial"/>
          <w:sz w:val="22"/>
          <w:szCs w:val="22"/>
          <w:lang w:val="en-US"/>
        </w:rPr>
        <w:t xml:space="preserve"> with low variance between experimental duplicates (#A) and higher variance (#B). </w:t>
      </w:r>
      <w:r w:rsidR="00060047">
        <w:rPr>
          <w:rFonts w:ascii="Arial" w:hAnsi="Arial" w:cs="Arial"/>
          <w:sz w:val="22"/>
          <w:szCs w:val="22"/>
          <w:lang w:val="en-US"/>
        </w:rPr>
        <w:t>Cluster</w:t>
      </w:r>
      <w:r w:rsidR="00663CBE" w:rsidRPr="00663CBE">
        <w:rPr>
          <w:rFonts w:ascii="Arial" w:hAnsi="Arial" w:cs="Arial"/>
          <w:sz w:val="22"/>
          <w:szCs w:val="22"/>
          <w:lang w:val="en-US"/>
        </w:rPr>
        <w:t xml:space="preserve"> of genes upregulated between experimental duplicates</w:t>
      </w:r>
      <w:r w:rsidR="00060047">
        <w:rPr>
          <w:rFonts w:ascii="Arial" w:hAnsi="Arial" w:cs="Arial"/>
          <w:sz w:val="22"/>
          <w:szCs w:val="22"/>
          <w:lang w:val="en-US"/>
        </w:rPr>
        <w:t xml:space="preserve"> </w:t>
      </w:r>
      <w:r w:rsidR="00663CBE" w:rsidRPr="00663CBE">
        <w:rPr>
          <w:rFonts w:ascii="Arial" w:hAnsi="Arial" w:cs="Arial"/>
          <w:sz w:val="22"/>
          <w:szCs w:val="22"/>
          <w:lang w:val="en-US"/>
        </w:rPr>
        <w:t xml:space="preserve">in </w:t>
      </w:r>
      <w:r w:rsidR="00663CBE" w:rsidRPr="001B1DAC">
        <w:rPr>
          <w:rFonts w:ascii="Arial" w:hAnsi="Arial" w:cs="Arial"/>
          <w:sz w:val="22"/>
          <w:szCs w:val="22"/>
          <w:lang w:val="en-US"/>
        </w:rPr>
        <w:t>V617F</w:t>
      </w:r>
      <w:r w:rsidR="00663CBE" w:rsidRPr="00060047">
        <w:rPr>
          <w:rFonts w:ascii="Arial" w:hAnsi="Arial" w:cs="Arial"/>
          <w:sz w:val="22"/>
          <w:szCs w:val="22"/>
          <w:vertAlign w:val="superscript"/>
          <w:lang w:val="en-US"/>
        </w:rPr>
        <w:t>+</w:t>
      </w:r>
      <w:r w:rsidR="00663CBE" w:rsidRPr="00663CBE">
        <w:rPr>
          <w:rFonts w:ascii="Arial" w:hAnsi="Arial" w:cs="Arial"/>
          <w:sz w:val="22"/>
          <w:szCs w:val="22"/>
          <w:lang w:val="en-US"/>
        </w:rPr>
        <w:t xml:space="preserve"> samples</w:t>
      </w:r>
      <w:r w:rsidR="00060047">
        <w:rPr>
          <w:rFonts w:ascii="Arial" w:hAnsi="Arial" w:cs="Arial"/>
          <w:sz w:val="22"/>
          <w:szCs w:val="22"/>
          <w:lang w:val="en-US"/>
        </w:rPr>
        <w:t xml:space="preserve"> with low variance</w:t>
      </w:r>
      <w:r w:rsidR="00060047" w:rsidRPr="00060047">
        <w:rPr>
          <w:rFonts w:ascii="Arial" w:hAnsi="Arial" w:cs="Arial"/>
          <w:sz w:val="22"/>
          <w:szCs w:val="22"/>
          <w:lang w:val="en-US"/>
        </w:rPr>
        <w:t xml:space="preserve"> </w:t>
      </w:r>
      <w:r w:rsidR="00060047">
        <w:rPr>
          <w:rFonts w:ascii="Arial" w:hAnsi="Arial" w:cs="Arial"/>
          <w:sz w:val="22"/>
          <w:szCs w:val="22"/>
          <w:lang w:val="en-US"/>
        </w:rPr>
        <w:t>is delineated by blue box</w:t>
      </w:r>
      <w:r w:rsidR="00663CBE" w:rsidRPr="00663CBE">
        <w:rPr>
          <w:rFonts w:ascii="Arial" w:hAnsi="Arial" w:cs="Arial"/>
          <w:sz w:val="22"/>
          <w:szCs w:val="22"/>
          <w:lang w:val="en-US"/>
        </w:rPr>
        <w:t xml:space="preserve"> (#C). </w:t>
      </w:r>
      <w:r w:rsidR="00663CBE">
        <w:rPr>
          <w:rFonts w:ascii="Arial" w:hAnsi="Arial" w:cs="Arial"/>
          <w:b/>
          <w:bCs/>
          <w:sz w:val="22"/>
          <w:szCs w:val="22"/>
          <w:lang w:val="en-US"/>
        </w:rPr>
        <w:t>B</w:t>
      </w:r>
      <w:r w:rsidR="00663CBE" w:rsidRPr="00663CBE">
        <w:rPr>
          <w:rFonts w:ascii="Arial" w:hAnsi="Arial" w:cs="Arial"/>
          <w:sz w:val="22"/>
          <w:szCs w:val="22"/>
          <w:lang w:val="en-US"/>
        </w:rPr>
        <w:t xml:space="preserve"> </w:t>
      </w:r>
      <w:r w:rsidR="00060047">
        <w:rPr>
          <w:rFonts w:ascii="Arial" w:hAnsi="Arial" w:cs="Arial"/>
          <w:sz w:val="22"/>
          <w:szCs w:val="22"/>
          <w:lang w:val="en-US"/>
        </w:rPr>
        <w:t>G</w:t>
      </w:r>
      <w:r w:rsidR="00060047" w:rsidRPr="00060047">
        <w:rPr>
          <w:rFonts w:ascii="Arial" w:hAnsi="Arial" w:cs="Arial"/>
          <w:sz w:val="22"/>
          <w:szCs w:val="22"/>
          <w:lang w:val="en-US"/>
        </w:rPr>
        <w:t>ene set enrichment</w:t>
      </w:r>
      <w:r w:rsidR="00060047">
        <w:rPr>
          <w:rFonts w:ascii="Arial" w:hAnsi="Arial" w:cs="Arial"/>
          <w:sz w:val="22"/>
          <w:szCs w:val="22"/>
          <w:lang w:val="en-US"/>
        </w:rPr>
        <w:t xml:space="preserve"> (GSEA)</w:t>
      </w:r>
      <w:r w:rsidR="00060047" w:rsidRPr="00060047">
        <w:rPr>
          <w:rFonts w:ascii="Arial" w:hAnsi="Arial" w:cs="Arial"/>
          <w:sz w:val="22"/>
          <w:szCs w:val="22"/>
          <w:lang w:val="en-US"/>
        </w:rPr>
        <w:t xml:space="preserve"> plot </w:t>
      </w:r>
      <w:r w:rsidR="00663CBE" w:rsidRPr="00663CBE">
        <w:rPr>
          <w:rFonts w:ascii="Arial" w:hAnsi="Arial" w:cs="Arial"/>
          <w:sz w:val="22"/>
          <w:szCs w:val="22"/>
          <w:lang w:val="en-US"/>
        </w:rPr>
        <w:t>of</w:t>
      </w:r>
      <w:r w:rsidR="00CA7CD4">
        <w:rPr>
          <w:rFonts w:ascii="Arial" w:hAnsi="Arial" w:cs="Arial"/>
          <w:sz w:val="22"/>
          <w:szCs w:val="22"/>
          <w:lang w:val="en-US"/>
        </w:rPr>
        <w:t xml:space="preserve"> </w:t>
      </w:r>
      <w:r w:rsidR="00CA7CD4" w:rsidRPr="00663CBE">
        <w:rPr>
          <w:rFonts w:ascii="Arial" w:hAnsi="Arial" w:cs="Arial"/>
          <w:sz w:val="22"/>
          <w:szCs w:val="22"/>
          <w:lang w:val="en-US"/>
        </w:rPr>
        <w:t>single-strand repair genes</w:t>
      </w:r>
      <w:r w:rsidR="00CA7CD4">
        <w:rPr>
          <w:rFonts w:ascii="Arial" w:hAnsi="Arial" w:cs="Arial"/>
          <w:sz w:val="22"/>
          <w:szCs w:val="22"/>
          <w:lang w:val="en-US"/>
        </w:rPr>
        <w:t xml:space="preserve"> from</w:t>
      </w:r>
      <w:r w:rsidR="00663CBE" w:rsidRPr="00663CBE">
        <w:rPr>
          <w:rFonts w:ascii="Arial" w:hAnsi="Arial" w:cs="Arial"/>
          <w:sz w:val="22"/>
          <w:szCs w:val="22"/>
          <w:lang w:val="en-US"/>
        </w:rPr>
        <w:t xml:space="preserve"> d9 </w:t>
      </w:r>
      <w:proofErr w:type="spellStart"/>
      <w:r w:rsidR="00663CBE" w:rsidRPr="00663CBE">
        <w:rPr>
          <w:rFonts w:ascii="Arial" w:hAnsi="Arial" w:cs="Arial"/>
          <w:sz w:val="22"/>
          <w:szCs w:val="22"/>
          <w:lang w:val="en-US"/>
        </w:rPr>
        <w:t>cyt</w:t>
      </w:r>
      <w:proofErr w:type="spellEnd"/>
      <w:r w:rsidR="00663CBE" w:rsidRPr="00663CBE">
        <w:rPr>
          <w:rFonts w:ascii="Arial" w:hAnsi="Arial" w:cs="Arial"/>
          <w:sz w:val="22"/>
          <w:szCs w:val="22"/>
          <w:lang w:val="en-US"/>
        </w:rPr>
        <w:t xml:space="preserve"> </w:t>
      </w:r>
      <w:r w:rsidR="00663CBE" w:rsidRPr="00663CBE">
        <w:rPr>
          <w:rFonts w:ascii="Arial" w:hAnsi="Arial" w:cs="Arial"/>
          <w:i/>
          <w:iCs/>
          <w:sz w:val="22"/>
          <w:szCs w:val="22"/>
          <w:lang w:val="en-US"/>
        </w:rPr>
        <w:t xml:space="preserve">JAK2 </w:t>
      </w:r>
      <w:r w:rsidR="00663CBE" w:rsidRPr="00CD395D">
        <w:rPr>
          <w:rFonts w:ascii="Arial" w:hAnsi="Arial" w:cs="Arial"/>
          <w:sz w:val="22"/>
          <w:szCs w:val="22"/>
          <w:lang w:val="en-US"/>
        </w:rPr>
        <w:t>V617F</w:t>
      </w:r>
      <w:r w:rsidR="00663CBE" w:rsidRPr="00663CBE">
        <w:rPr>
          <w:rFonts w:ascii="Arial" w:hAnsi="Arial" w:cs="Arial"/>
          <w:sz w:val="22"/>
          <w:szCs w:val="22"/>
          <w:vertAlign w:val="superscript"/>
          <w:lang w:val="en-US"/>
        </w:rPr>
        <w:t>+</w:t>
      </w:r>
      <w:r w:rsidR="00663CBE" w:rsidRPr="00663CBE">
        <w:rPr>
          <w:rFonts w:ascii="Arial" w:hAnsi="Arial" w:cs="Arial"/>
          <w:sz w:val="22"/>
          <w:szCs w:val="22"/>
          <w:lang w:val="en-US"/>
        </w:rPr>
        <w:t xml:space="preserve"> and </w:t>
      </w:r>
      <w:r w:rsidR="00663CBE" w:rsidRPr="00663CBE">
        <w:rPr>
          <w:rFonts w:ascii="Arial" w:hAnsi="Arial" w:cs="Arial"/>
          <w:i/>
          <w:iCs/>
          <w:sz w:val="22"/>
          <w:szCs w:val="22"/>
          <w:lang w:val="en-US"/>
        </w:rPr>
        <w:t>JAK2</w:t>
      </w:r>
      <w:r w:rsidR="00663CBE">
        <w:rPr>
          <w:rFonts w:ascii="Arial" w:hAnsi="Arial" w:cs="Arial"/>
          <w:sz w:val="22"/>
          <w:szCs w:val="22"/>
          <w:lang w:val="en-US"/>
        </w:rPr>
        <w:t xml:space="preserve"> </w:t>
      </w:r>
      <w:proofErr w:type="spellStart"/>
      <w:r w:rsidR="00663CBE" w:rsidRPr="00663CBE">
        <w:rPr>
          <w:rFonts w:ascii="Arial" w:hAnsi="Arial" w:cs="Arial"/>
          <w:sz w:val="22"/>
          <w:szCs w:val="22"/>
          <w:lang w:val="en-US"/>
        </w:rPr>
        <w:t>wt</w:t>
      </w:r>
      <w:proofErr w:type="spellEnd"/>
      <w:r w:rsidR="00663CBE" w:rsidRPr="00663CBE">
        <w:rPr>
          <w:rFonts w:ascii="Arial" w:hAnsi="Arial" w:cs="Arial"/>
          <w:sz w:val="22"/>
          <w:szCs w:val="22"/>
          <w:lang w:val="en-US"/>
        </w:rPr>
        <w:t xml:space="preserve"> CD34</w:t>
      </w:r>
      <w:r w:rsidR="00663CBE" w:rsidRPr="00663CBE">
        <w:rPr>
          <w:rFonts w:ascii="Arial" w:hAnsi="Arial" w:cs="Arial"/>
          <w:sz w:val="22"/>
          <w:szCs w:val="22"/>
          <w:vertAlign w:val="superscript"/>
          <w:lang w:val="en-US"/>
        </w:rPr>
        <w:t>+</w:t>
      </w:r>
      <w:r w:rsidR="00663CBE" w:rsidRPr="00663CBE">
        <w:rPr>
          <w:rFonts w:ascii="Arial" w:hAnsi="Arial" w:cs="Arial"/>
          <w:sz w:val="22"/>
          <w:szCs w:val="22"/>
          <w:lang w:val="en-US"/>
        </w:rPr>
        <w:t xml:space="preserve"> P-ECs.</w:t>
      </w:r>
    </w:p>
    <w:p w14:paraId="472FEFA0" w14:textId="77777777" w:rsidR="0008739E" w:rsidRPr="003A5293" w:rsidRDefault="00C7765A" w:rsidP="00C0605F">
      <w:pPr>
        <w:spacing w:line="360" w:lineRule="auto"/>
        <w:jc w:val="both"/>
        <w:rPr>
          <w:rFonts w:ascii="Arial" w:hAnsi="Arial" w:cs="Arial"/>
          <w:sz w:val="22"/>
          <w:szCs w:val="22"/>
          <w:lang w:val="en-US"/>
        </w:rPr>
      </w:pPr>
      <w:r>
        <w:rPr>
          <w:rFonts w:ascii="Arial" w:hAnsi="Arial" w:cs="Arial"/>
          <w:sz w:val="22"/>
          <w:szCs w:val="22"/>
          <w:lang w:val="en-US"/>
        </w:rPr>
        <w:lastRenderedPageBreak/>
        <w:t xml:space="preserve">Absence of significant DDR upon oncogenic signaling </w:t>
      </w:r>
      <w:r w:rsidR="0028291F">
        <w:rPr>
          <w:rFonts w:ascii="Arial" w:hAnsi="Arial" w:cs="Arial"/>
          <w:sz w:val="22"/>
          <w:szCs w:val="22"/>
          <w:lang w:val="en-US"/>
        </w:rPr>
        <w:t>in</w:t>
      </w:r>
      <w:r w:rsidR="0036460F">
        <w:rPr>
          <w:rFonts w:ascii="Arial" w:hAnsi="Arial" w:cs="Arial"/>
          <w:sz w:val="22"/>
          <w:szCs w:val="22"/>
          <w:lang w:val="en-US"/>
        </w:rPr>
        <w:t xml:space="preserve"> the</w:t>
      </w:r>
      <w:r w:rsidR="0028291F">
        <w:rPr>
          <w:rFonts w:ascii="Arial" w:hAnsi="Arial" w:cs="Arial"/>
          <w:sz w:val="22"/>
          <w:szCs w:val="22"/>
          <w:lang w:val="en-US"/>
        </w:rPr>
        <w:t xml:space="preserve"> presence of</w:t>
      </w:r>
      <w:r>
        <w:rPr>
          <w:rFonts w:ascii="Arial" w:hAnsi="Arial" w:cs="Arial"/>
          <w:sz w:val="22"/>
          <w:szCs w:val="22"/>
          <w:lang w:val="en-US"/>
        </w:rPr>
        <w:t xml:space="preserve"> i</w:t>
      </w:r>
      <w:r w:rsidR="0028291F">
        <w:rPr>
          <w:rFonts w:ascii="Arial" w:hAnsi="Arial" w:cs="Arial"/>
          <w:sz w:val="22"/>
          <w:szCs w:val="22"/>
          <w:lang w:val="en-US"/>
        </w:rPr>
        <w:t>nflammatory factors in</w:t>
      </w:r>
      <w:r>
        <w:rPr>
          <w:rFonts w:ascii="Arial" w:hAnsi="Arial" w:cs="Arial"/>
          <w:sz w:val="22"/>
          <w:szCs w:val="22"/>
          <w:lang w:val="en-US"/>
        </w:rPr>
        <w:t xml:space="preserve"> </w:t>
      </w:r>
      <w:r w:rsidRPr="00060047">
        <w:rPr>
          <w:rFonts w:ascii="Arial" w:hAnsi="Arial" w:cs="Arial"/>
          <w:i/>
          <w:iCs/>
          <w:sz w:val="22"/>
          <w:szCs w:val="22"/>
          <w:lang w:val="en-US"/>
        </w:rPr>
        <w:t xml:space="preserve">JAK2 </w:t>
      </w:r>
      <w:r w:rsidRPr="00CD395D">
        <w:rPr>
          <w:rFonts w:ascii="Arial" w:hAnsi="Arial" w:cs="Arial"/>
          <w:sz w:val="22"/>
          <w:szCs w:val="22"/>
          <w:lang w:val="en-US"/>
        </w:rPr>
        <w:t>V617F</w:t>
      </w:r>
      <w:r w:rsidRPr="00060047">
        <w:rPr>
          <w:rFonts w:ascii="Arial" w:hAnsi="Arial" w:cs="Arial"/>
          <w:sz w:val="22"/>
          <w:szCs w:val="22"/>
          <w:vertAlign w:val="superscript"/>
          <w:lang w:val="en-US"/>
        </w:rPr>
        <w:t>+</w:t>
      </w:r>
      <w:r w:rsidRPr="00060047">
        <w:rPr>
          <w:rFonts w:ascii="Arial" w:hAnsi="Arial" w:cs="Arial"/>
          <w:sz w:val="22"/>
          <w:szCs w:val="22"/>
          <w:lang w:val="en-US"/>
        </w:rPr>
        <w:t xml:space="preserve"> </w:t>
      </w:r>
      <w:r>
        <w:rPr>
          <w:rFonts w:ascii="Arial" w:hAnsi="Arial" w:cs="Arial"/>
          <w:sz w:val="22"/>
          <w:szCs w:val="22"/>
          <w:lang w:val="en-US"/>
        </w:rPr>
        <w:t xml:space="preserve">HSCs of </w:t>
      </w:r>
      <w:r w:rsidRPr="00060047">
        <w:rPr>
          <w:rFonts w:ascii="Arial" w:hAnsi="Arial" w:cs="Arial"/>
          <w:sz w:val="22"/>
          <w:szCs w:val="22"/>
          <w:lang w:val="en-US"/>
        </w:rPr>
        <w:t>CD34</w:t>
      </w:r>
      <w:r w:rsidRPr="00060047">
        <w:rPr>
          <w:rFonts w:ascii="Arial" w:hAnsi="Arial" w:cs="Arial"/>
          <w:sz w:val="22"/>
          <w:szCs w:val="22"/>
          <w:vertAlign w:val="superscript"/>
          <w:lang w:val="en-US"/>
        </w:rPr>
        <w:t>+</w:t>
      </w:r>
      <w:r w:rsidRPr="00060047">
        <w:rPr>
          <w:rFonts w:ascii="Arial" w:hAnsi="Arial" w:cs="Arial"/>
          <w:sz w:val="22"/>
          <w:szCs w:val="22"/>
          <w:lang w:val="en-US"/>
        </w:rPr>
        <w:t xml:space="preserve"> P-ECs</w:t>
      </w:r>
      <w:r>
        <w:rPr>
          <w:rFonts w:ascii="Arial" w:hAnsi="Arial" w:cs="Arial"/>
          <w:sz w:val="22"/>
          <w:szCs w:val="22"/>
          <w:lang w:val="en-US"/>
        </w:rPr>
        <w:t xml:space="preserve"> and patient BM sections</w:t>
      </w:r>
      <w:r w:rsidR="0028291F">
        <w:rPr>
          <w:rFonts w:ascii="Arial" w:hAnsi="Arial" w:cs="Arial"/>
          <w:sz w:val="22"/>
          <w:szCs w:val="22"/>
          <w:lang w:val="en-US"/>
        </w:rPr>
        <w:t xml:space="preserve"> suggest </w:t>
      </w:r>
      <w:r w:rsidR="0028291F" w:rsidRPr="0028291F">
        <w:rPr>
          <w:rFonts w:ascii="Arial" w:hAnsi="Arial" w:cs="Arial"/>
          <w:sz w:val="22"/>
          <w:szCs w:val="22"/>
          <w:lang w:val="en-US"/>
        </w:rPr>
        <w:t>creation of a barrier preventing</w:t>
      </w:r>
      <w:r w:rsidR="0028291F">
        <w:rPr>
          <w:rFonts w:ascii="Arial" w:hAnsi="Arial" w:cs="Arial"/>
          <w:sz w:val="22"/>
          <w:szCs w:val="22"/>
          <w:lang w:val="en-US"/>
        </w:rPr>
        <w:t xml:space="preserve"> </w:t>
      </w:r>
      <w:r w:rsidR="0028291F" w:rsidRPr="0028291F">
        <w:rPr>
          <w:rFonts w:ascii="Arial" w:hAnsi="Arial" w:cs="Arial"/>
          <w:sz w:val="22"/>
          <w:szCs w:val="22"/>
          <w:lang w:val="en-US"/>
        </w:rPr>
        <w:t>checkpoint signaling</w:t>
      </w:r>
      <w:r w:rsidR="0028291F">
        <w:rPr>
          <w:rFonts w:ascii="Arial" w:hAnsi="Arial" w:cs="Arial"/>
          <w:sz w:val="22"/>
          <w:szCs w:val="22"/>
          <w:lang w:val="en-US"/>
        </w:rPr>
        <w:t xml:space="preserve"> and</w:t>
      </w:r>
      <w:r w:rsidR="0028291F" w:rsidRPr="0028291F">
        <w:rPr>
          <w:rFonts w:ascii="Arial" w:hAnsi="Arial" w:cs="Arial"/>
          <w:sz w:val="22"/>
          <w:szCs w:val="22"/>
          <w:lang w:val="en-US"/>
        </w:rPr>
        <w:t xml:space="preserve"> cell cycle arrest</w:t>
      </w:r>
      <w:r w:rsidR="0028291F">
        <w:rPr>
          <w:rFonts w:ascii="Arial" w:hAnsi="Arial" w:cs="Arial"/>
          <w:sz w:val="22"/>
          <w:szCs w:val="22"/>
          <w:lang w:val="en-US"/>
        </w:rPr>
        <w:t xml:space="preserve">. Therefore, to study </w:t>
      </w:r>
      <w:r w:rsidR="001F6418">
        <w:rPr>
          <w:rFonts w:ascii="Arial" w:hAnsi="Arial" w:cs="Arial"/>
          <w:sz w:val="22"/>
          <w:szCs w:val="22"/>
          <w:lang w:val="en-US"/>
        </w:rPr>
        <w:t>how are sub-threshold levels of DNA damage relayed to cell cycle machinery</w:t>
      </w:r>
      <w:r w:rsidR="00BF31B4">
        <w:rPr>
          <w:rFonts w:ascii="Arial" w:hAnsi="Arial" w:cs="Arial"/>
          <w:sz w:val="22"/>
          <w:szCs w:val="22"/>
          <w:lang w:val="en-US"/>
        </w:rPr>
        <w:t>,</w:t>
      </w:r>
      <w:r w:rsidR="0036460F">
        <w:rPr>
          <w:rFonts w:ascii="Arial" w:hAnsi="Arial" w:cs="Arial"/>
          <w:sz w:val="22"/>
          <w:szCs w:val="22"/>
          <w:lang w:val="en-US"/>
        </w:rPr>
        <w:t xml:space="preserve"> we</w:t>
      </w:r>
      <w:r w:rsidR="001F6418">
        <w:rPr>
          <w:rFonts w:ascii="Arial" w:hAnsi="Arial" w:cs="Arial"/>
          <w:sz w:val="22"/>
          <w:szCs w:val="22"/>
          <w:lang w:val="en-US"/>
        </w:rPr>
        <w:t xml:space="preserve"> </w:t>
      </w:r>
      <w:r w:rsidR="001F6418" w:rsidRPr="001F6418">
        <w:rPr>
          <w:rFonts w:ascii="Arial" w:hAnsi="Arial" w:cs="Arial"/>
          <w:sz w:val="22"/>
          <w:szCs w:val="22"/>
          <w:lang w:val="en-US"/>
        </w:rPr>
        <w:t xml:space="preserve">have decided to use dual pulse labelling with propidium iodide and </w:t>
      </w:r>
      <w:proofErr w:type="spellStart"/>
      <w:r w:rsidR="001F6418" w:rsidRPr="001F6418">
        <w:rPr>
          <w:rFonts w:ascii="Arial" w:hAnsi="Arial" w:cs="Arial"/>
          <w:sz w:val="22"/>
          <w:szCs w:val="22"/>
          <w:lang w:val="en-US"/>
        </w:rPr>
        <w:t>BrDU</w:t>
      </w:r>
      <w:proofErr w:type="spellEnd"/>
      <w:r w:rsidR="001F6418" w:rsidRPr="001F6418">
        <w:rPr>
          <w:rFonts w:ascii="Arial" w:hAnsi="Arial" w:cs="Arial"/>
          <w:sz w:val="22"/>
          <w:szCs w:val="22"/>
          <w:lang w:val="en-US"/>
        </w:rPr>
        <w:t xml:space="preserve"> incorporation on synchronized </w:t>
      </w:r>
      <w:r w:rsidR="00941B33" w:rsidRPr="00060047">
        <w:rPr>
          <w:rFonts w:ascii="Arial" w:hAnsi="Arial" w:cs="Arial"/>
          <w:i/>
          <w:iCs/>
          <w:sz w:val="22"/>
          <w:szCs w:val="22"/>
          <w:lang w:val="en-US"/>
        </w:rPr>
        <w:t xml:space="preserve">JAK2 </w:t>
      </w:r>
      <w:r w:rsidR="00941B33" w:rsidRPr="00CD395D">
        <w:rPr>
          <w:rFonts w:ascii="Arial" w:hAnsi="Arial" w:cs="Arial"/>
          <w:sz w:val="22"/>
          <w:szCs w:val="22"/>
          <w:lang w:val="en-US"/>
        </w:rPr>
        <w:t>V617F</w:t>
      </w:r>
      <w:r w:rsidR="00941B33" w:rsidRPr="00060047">
        <w:rPr>
          <w:rFonts w:ascii="Arial" w:hAnsi="Arial" w:cs="Arial"/>
          <w:sz w:val="22"/>
          <w:szCs w:val="22"/>
          <w:vertAlign w:val="superscript"/>
          <w:lang w:val="en-US"/>
        </w:rPr>
        <w:t>+</w:t>
      </w:r>
      <w:r w:rsidR="00941B33" w:rsidRPr="00060047">
        <w:rPr>
          <w:rFonts w:ascii="Arial" w:hAnsi="Arial" w:cs="Arial"/>
          <w:sz w:val="22"/>
          <w:szCs w:val="22"/>
          <w:lang w:val="en-US"/>
        </w:rPr>
        <w:t xml:space="preserve"> </w:t>
      </w:r>
      <w:r w:rsidR="00941B33">
        <w:rPr>
          <w:rFonts w:ascii="Arial" w:hAnsi="Arial" w:cs="Arial"/>
          <w:sz w:val="22"/>
          <w:szCs w:val="22"/>
          <w:lang w:val="en-US"/>
        </w:rPr>
        <w:t xml:space="preserve">and </w:t>
      </w:r>
      <w:proofErr w:type="spellStart"/>
      <w:r w:rsidR="00941B33">
        <w:rPr>
          <w:rFonts w:ascii="Arial" w:hAnsi="Arial" w:cs="Arial"/>
          <w:sz w:val="22"/>
          <w:szCs w:val="22"/>
          <w:lang w:val="en-US"/>
        </w:rPr>
        <w:t>wt</w:t>
      </w:r>
      <w:proofErr w:type="spellEnd"/>
      <w:r w:rsidR="00941B33">
        <w:rPr>
          <w:rFonts w:ascii="Arial" w:hAnsi="Arial" w:cs="Arial"/>
          <w:sz w:val="22"/>
          <w:szCs w:val="22"/>
          <w:lang w:val="en-US"/>
        </w:rPr>
        <w:t xml:space="preserve"> </w:t>
      </w:r>
      <w:r w:rsidR="00941B33" w:rsidRPr="00060047">
        <w:rPr>
          <w:rFonts w:ascii="Arial" w:hAnsi="Arial" w:cs="Arial"/>
          <w:sz w:val="22"/>
          <w:szCs w:val="22"/>
          <w:lang w:val="en-US"/>
        </w:rPr>
        <w:t>CD34</w:t>
      </w:r>
      <w:r w:rsidR="00941B33" w:rsidRPr="00060047">
        <w:rPr>
          <w:rFonts w:ascii="Arial" w:hAnsi="Arial" w:cs="Arial"/>
          <w:sz w:val="22"/>
          <w:szCs w:val="22"/>
          <w:vertAlign w:val="superscript"/>
          <w:lang w:val="en-US"/>
        </w:rPr>
        <w:t>+</w:t>
      </w:r>
      <w:r w:rsidR="00941B33" w:rsidRPr="00060047">
        <w:rPr>
          <w:rFonts w:ascii="Arial" w:hAnsi="Arial" w:cs="Arial"/>
          <w:sz w:val="22"/>
          <w:szCs w:val="22"/>
          <w:lang w:val="en-US"/>
        </w:rPr>
        <w:t xml:space="preserve"> P-ECs</w:t>
      </w:r>
      <w:r w:rsidR="00941B33">
        <w:rPr>
          <w:rFonts w:ascii="Arial" w:hAnsi="Arial" w:cs="Arial"/>
          <w:sz w:val="22"/>
          <w:szCs w:val="22"/>
          <w:lang w:val="en-US"/>
        </w:rPr>
        <w:t xml:space="preserve"> </w:t>
      </w:r>
      <w:r w:rsidR="001F6418" w:rsidRPr="001F6418">
        <w:rPr>
          <w:rFonts w:ascii="Arial" w:hAnsi="Arial" w:cs="Arial"/>
          <w:sz w:val="22"/>
          <w:szCs w:val="22"/>
          <w:lang w:val="en-US"/>
        </w:rPr>
        <w:t>cells by 12 hours growth factors withdrawal</w:t>
      </w:r>
      <w:r w:rsidR="00941B33">
        <w:rPr>
          <w:rFonts w:ascii="Arial" w:hAnsi="Arial" w:cs="Arial"/>
          <w:sz w:val="22"/>
          <w:szCs w:val="22"/>
          <w:lang w:val="en-US"/>
        </w:rPr>
        <w:t xml:space="preserve"> (experimental set-up and time course is further described in materials and methods and Figure 20A). As presented in Figure 20B, </w:t>
      </w:r>
      <w:r w:rsidR="00941B33" w:rsidRPr="00941B33">
        <w:rPr>
          <w:rFonts w:ascii="Arial" w:hAnsi="Arial" w:cs="Arial"/>
          <w:i/>
          <w:iCs/>
          <w:sz w:val="22"/>
          <w:szCs w:val="22"/>
          <w:lang w:val="en-US"/>
        </w:rPr>
        <w:t xml:space="preserve">JAK2 </w:t>
      </w:r>
      <w:r w:rsidR="00941B33" w:rsidRPr="00CD395D">
        <w:rPr>
          <w:rFonts w:ascii="Arial" w:hAnsi="Arial" w:cs="Arial"/>
          <w:sz w:val="22"/>
          <w:szCs w:val="22"/>
          <w:lang w:val="en-US"/>
        </w:rPr>
        <w:t>V617F</w:t>
      </w:r>
      <w:r w:rsidR="00941B33" w:rsidRPr="00941B33">
        <w:rPr>
          <w:rFonts w:ascii="Arial" w:hAnsi="Arial" w:cs="Arial"/>
          <w:sz w:val="22"/>
          <w:szCs w:val="22"/>
          <w:vertAlign w:val="superscript"/>
          <w:lang w:val="en-US"/>
        </w:rPr>
        <w:t>+</w:t>
      </w:r>
      <w:r w:rsidR="00941B33" w:rsidRPr="00941B33">
        <w:rPr>
          <w:rFonts w:ascii="Arial" w:hAnsi="Arial" w:cs="Arial"/>
          <w:sz w:val="22"/>
          <w:szCs w:val="22"/>
          <w:lang w:val="en-US"/>
        </w:rPr>
        <w:t xml:space="preserve"> </w:t>
      </w:r>
      <w:r w:rsidR="00941B33">
        <w:rPr>
          <w:rFonts w:ascii="Arial" w:hAnsi="Arial" w:cs="Arial"/>
          <w:sz w:val="22"/>
          <w:szCs w:val="22"/>
          <w:lang w:val="en-US"/>
        </w:rPr>
        <w:t>cells</w:t>
      </w:r>
      <w:r w:rsidR="00941B33" w:rsidRPr="00941B33">
        <w:rPr>
          <w:rFonts w:ascii="Arial" w:hAnsi="Arial" w:cs="Arial"/>
          <w:sz w:val="22"/>
          <w:szCs w:val="22"/>
          <w:lang w:val="en-US"/>
        </w:rPr>
        <w:t xml:space="preserve"> have higher proliferation rate, compared to </w:t>
      </w:r>
      <w:proofErr w:type="spellStart"/>
      <w:r w:rsidR="00941B33" w:rsidRPr="00941B33">
        <w:rPr>
          <w:rFonts w:ascii="Arial" w:hAnsi="Arial" w:cs="Arial"/>
          <w:sz w:val="22"/>
          <w:szCs w:val="22"/>
          <w:lang w:val="en-US"/>
        </w:rPr>
        <w:t>wt</w:t>
      </w:r>
      <w:proofErr w:type="spellEnd"/>
      <w:r w:rsidR="00941B33" w:rsidRPr="00941B33">
        <w:rPr>
          <w:rFonts w:ascii="Arial" w:hAnsi="Arial" w:cs="Arial"/>
          <w:sz w:val="22"/>
          <w:szCs w:val="22"/>
          <w:lang w:val="en-US"/>
        </w:rPr>
        <w:t xml:space="preserve"> cells, </w:t>
      </w:r>
      <w:r w:rsidR="00941B33">
        <w:rPr>
          <w:rFonts w:ascii="Arial" w:hAnsi="Arial" w:cs="Arial"/>
          <w:sz w:val="22"/>
          <w:szCs w:val="22"/>
          <w:lang w:val="en-US"/>
        </w:rPr>
        <w:t>demonstrated</w:t>
      </w:r>
      <w:r w:rsidR="00941B33" w:rsidRPr="00941B33">
        <w:rPr>
          <w:rFonts w:ascii="Arial" w:hAnsi="Arial" w:cs="Arial"/>
          <w:sz w:val="22"/>
          <w:szCs w:val="22"/>
          <w:lang w:val="en-US"/>
        </w:rPr>
        <w:t xml:space="preserve"> by </w:t>
      </w:r>
      <w:r w:rsidR="00941B33">
        <w:rPr>
          <w:rFonts w:ascii="Arial" w:hAnsi="Arial" w:cs="Arial"/>
          <w:sz w:val="22"/>
          <w:szCs w:val="22"/>
          <w:lang w:val="en-US"/>
        </w:rPr>
        <w:t xml:space="preserve">significantly </w:t>
      </w:r>
      <w:r w:rsidR="00941B33" w:rsidRPr="00941B33">
        <w:rPr>
          <w:rFonts w:ascii="Arial" w:hAnsi="Arial" w:cs="Arial"/>
          <w:sz w:val="22"/>
          <w:szCs w:val="22"/>
          <w:lang w:val="en-US"/>
        </w:rPr>
        <w:t xml:space="preserve">lower percentage of cells in G0/G1 phase and more cells in S-phase as a result of oncogene driven propagation. </w:t>
      </w:r>
      <w:r w:rsidR="00C44DA1">
        <w:rPr>
          <w:rFonts w:ascii="Arial" w:hAnsi="Arial" w:cs="Arial"/>
          <w:sz w:val="22"/>
          <w:szCs w:val="22"/>
          <w:lang w:val="en-US"/>
        </w:rPr>
        <w:t>T</w:t>
      </w:r>
      <w:r w:rsidR="00941B33" w:rsidRPr="00941B33">
        <w:rPr>
          <w:rFonts w:ascii="Arial" w:hAnsi="Arial" w:cs="Arial"/>
          <w:sz w:val="22"/>
          <w:szCs w:val="22"/>
          <w:lang w:val="en-US"/>
        </w:rPr>
        <w:t>reatment with inflammatory cytokine</w:t>
      </w:r>
      <w:r w:rsidR="00C44DA1">
        <w:rPr>
          <w:rFonts w:ascii="Arial" w:hAnsi="Arial" w:cs="Arial"/>
          <w:sz w:val="22"/>
          <w:szCs w:val="22"/>
          <w:lang w:val="en-US"/>
        </w:rPr>
        <w:t>s decreased number of cells undergoing S-phase more significantly in</w:t>
      </w:r>
      <w:r w:rsidR="00941B33" w:rsidRPr="00941B33">
        <w:rPr>
          <w:rFonts w:ascii="Arial" w:hAnsi="Arial" w:cs="Arial"/>
          <w:sz w:val="22"/>
          <w:szCs w:val="22"/>
          <w:lang w:val="en-US"/>
        </w:rPr>
        <w:t xml:space="preserve"> </w:t>
      </w:r>
      <w:proofErr w:type="spellStart"/>
      <w:r w:rsidR="00941B33" w:rsidRPr="00941B33">
        <w:rPr>
          <w:rFonts w:ascii="Arial" w:hAnsi="Arial" w:cs="Arial"/>
          <w:sz w:val="22"/>
          <w:szCs w:val="22"/>
          <w:lang w:val="en-US"/>
        </w:rPr>
        <w:t>wt</w:t>
      </w:r>
      <w:proofErr w:type="spellEnd"/>
      <w:r w:rsidR="00941B33" w:rsidRPr="00941B33">
        <w:rPr>
          <w:rFonts w:ascii="Arial" w:hAnsi="Arial" w:cs="Arial"/>
          <w:sz w:val="22"/>
          <w:szCs w:val="22"/>
          <w:lang w:val="en-US"/>
        </w:rPr>
        <w:t xml:space="preserve"> cells, compared to </w:t>
      </w:r>
      <w:r w:rsidR="00941B33" w:rsidRPr="00CD395D">
        <w:rPr>
          <w:rFonts w:ascii="Arial" w:hAnsi="Arial" w:cs="Arial"/>
          <w:sz w:val="22"/>
          <w:szCs w:val="22"/>
          <w:lang w:val="en-US"/>
        </w:rPr>
        <w:t>V617F</w:t>
      </w:r>
      <w:r w:rsidR="00941B33" w:rsidRPr="00941B33">
        <w:rPr>
          <w:rFonts w:ascii="Arial" w:hAnsi="Arial" w:cs="Arial"/>
          <w:sz w:val="22"/>
          <w:szCs w:val="22"/>
          <w:vertAlign w:val="superscript"/>
          <w:lang w:val="en-US"/>
        </w:rPr>
        <w:t>+</w:t>
      </w:r>
      <w:r w:rsidR="00941B33" w:rsidRPr="00941B33">
        <w:rPr>
          <w:rFonts w:ascii="Arial" w:hAnsi="Arial" w:cs="Arial"/>
          <w:sz w:val="22"/>
          <w:szCs w:val="22"/>
          <w:lang w:val="en-US"/>
        </w:rPr>
        <w:t xml:space="preserve"> cells, with concomitant increase in G2/M populations</w:t>
      </w:r>
      <w:r w:rsidR="00C44DA1">
        <w:rPr>
          <w:rFonts w:ascii="Arial" w:hAnsi="Arial" w:cs="Arial"/>
          <w:sz w:val="22"/>
          <w:szCs w:val="22"/>
          <w:lang w:val="en-US"/>
        </w:rPr>
        <w:t xml:space="preserve"> (Figure 20B).</w:t>
      </w:r>
      <w:r w:rsidR="00043B23">
        <w:rPr>
          <w:rFonts w:ascii="Arial" w:hAnsi="Arial" w:cs="Arial"/>
          <w:sz w:val="22"/>
          <w:szCs w:val="22"/>
          <w:lang w:val="en-US"/>
        </w:rPr>
        <w:t xml:space="preserve"> Moreover, we have harvested protein lysates from each biological replicate used for cell cycle analysis which showed </w:t>
      </w:r>
      <w:r w:rsidR="00F67FAB">
        <w:rPr>
          <w:rFonts w:ascii="Arial" w:hAnsi="Arial" w:cs="Arial"/>
          <w:sz w:val="22"/>
          <w:szCs w:val="22"/>
          <w:lang w:val="en-US"/>
        </w:rPr>
        <w:t>reduced activation of</w:t>
      </w:r>
      <w:r w:rsidR="00043B23">
        <w:rPr>
          <w:rFonts w:ascii="Arial" w:hAnsi="Arial" w:cs="Arial"/>
          <w:sz w:val="22"/>
          <w:szCs w:val="22"/>
          <w:lang w:val="en-US"/>
        </w:rPr>
        <w:t xml:space="preserve"> important checkpoint signaling nodes</w:t>
      </w:r>
      <w:r w:rsidR="000902EF">
        <w:rPr>
          <w:rFonts w:ascii="Arial" w:hAnsi="Arial" w:cs="Arial"/>
          <w:sz w:val="22"/>
          <w:szCs w:val="22"/>
          <w:lang w:val="en-US"/>
        </w:rPr>
        <w:t xml:space="preserve"> in </w:t>
      </w:r>
      <w:r w:rsidR="000902EF" w:rsidRPr="00060047">
        <w:rPr>
          <w:rFonts w:ascii="Arial" w:hAnsi="Arial" w:cs="Arial"/>
          <w:i/>
          <w:iCs/>
          <w:sz w:val="22"/>
          <w:szCs w:val="22"/>
          <w:lang w:val="en-US"/>
        </w:rPr>
        <w:t xml:space="preserve">JAK2 </w:t>
      </w:r>
      <w:r w:rsidR="000902EF" w:rsidRPr="00CD395D">
        <w:rPr>
          <w:rFonts w:ascii="Arial" w:hAnsi="Arial" w:cs="Arial"/>
          <w:sz w:val="22"/>
          <w:szCs w:val="22"/>
          <w:lang w:val="en-US"/>
        </w:rPr>
        <w:t>V617F</w:t>
      </w:r>
      <w:r w:rsidR="000902EF" w:rsidRPr="00060047">
        <w:rPr>
          <w:rFonts w:ascii="Arial" w:hAnsi="Arial" w:cs="Arial"/>
          <w:sz w:val="22"/>
          <w:szCs w:val="22"/>
          <w:vertAlign w:val="superscript"/>
          <w:lang w:val="en-US"/>
        </w:rPr>
        <w:t>+</w:t>
      </w:r>
      <w:r w:rsidR="000902EF" w:rsidRPr="00060047">
        <w:rPr>
          <w:rFonts w:ascii="Arial" w:hAnsi="Arial" w:cs="Arial"/>
          <w:sz w:val="22"/>
          <w:szCs w:val="22"/>
          <w:lang w:val="en-US"/>
        </w:rPr>
        <w:t xml:space="preserve"> CD34</w:t>
      </w:r>
      <w:r w:rsidR="000902EF" w:rsidRPr="00060047">
        <w:rPr>
          <w:rFonts w:ascii="Arial" w:hAnsi="Arial" w:cs="Arial"/>
          <w:sz w:val="22"/>
          <w:szCs w:val="22"/>
          <w:vertAlign w:val="superscript"/>
          <w:lang w:val="en-US"/>
        </w:rPr>
        <w:t>+</w:t>
      </w:r>
      <w:r w:rsidR="000902EF" w:rsidRPr="00060047">
        <w:rPr>
          <w:rFonts w:ascii="Arial" w:hAnsi="Arial" w:cs="Arial"/>
          <w:sz w:val="22"/>
          <w:szCs w:val="22"/>
          <w:lang w:val="en-US"/>
        </w:rPr>
        <w:t xml:space="preserve"> P-ECs</w:t>
      </w:r>
      <w:r w:rsidR="00F67FAB">
        <w:rPr>
          <w:rFonts w:ascii="Arial" w:hAnsi="Arial" w:cs="Arial"/>
          <w:sz w:val="22"/>
          <w:szCs w:val="22"/>
          <w:lang w:val="en-US"/>
        </w:rPr>
        <w:t xml:space="preserve">, as evidenced by lack of </w:t>
      </w:r>
      <w:r w:rsidR="00043B23">
        <w:rPr>
          <w:rFonts w:ascii="Arial" w:hAnsi="Arial" w:cs="Arial"/>
          <w:sz w:val="22"/>
          <w:szCs w:val="22"/>
          <w:lang w:val="en-US"/>
        </w:rPr>
        <w:t xml:space="preserve">p53 </w:t>
      </w:r>
      <w:r w:rsidR="00F67FAB">
        <w:rPr>
          <w:rFonts w:ascii="Arial" w:hAnsi="Arial" w:cs="Arial"/>
          <w:sz w:val="22"/>
          <w:szCs w:val="22"/>
          <w:lang w:val="en-US"/>
        </w:rPr>
        <w:t xml:space="preserve">and Chk1 </w:t>
      </w:r>
      <w:r w:rsidR="00043B23">
        <w:rPr>
          <w:rFonts w:ascii="Arial" w:hAnsi="Arial" w:cs="Arial"/>
          <w:sz w:val="22"/>
          <w:szCs w:val="22"/>
          <w:lang w:val="en-US"/>
        </w:rPr>
        <w:t>activation</w:t>
      </w:r>
      <w:r w:rsidR="000902EF">
        <w:rPr>
          <w:rFonts w:ascii="Arial" w:hAnsi="Arial" w:cs="Arial"/>
          <w:sz w:val="22"/>
          <w:szCs w:val="22"/>
          <w:lang w:val="en-US"/>
        </w:rPr>
        <w:t xml:space="preserve">, compared to robust </w:t>
      </w:r>
      <w:r w:rsidR="000902EF" w:rsidRPr="000902EF">
        <w:rPr>
          <w:rFonts w:ascii="Arial" w:hAnsi="Arial" w:cs="Arial"/>
          <w:i/>
          <w:iCs/>
          <w:sz w:val="22"/>
          <w:szCs w:val="22"/>
          <w:lang w:val="en-US"/>
        </w:rPr>
        <w:t>JAK2</w:t>
      </w:r>
      <w:r w:rsidR="000902EF">
        <w:rPr>
          <w:rFonts w:ascii="Arial" w:hAnsi="Arial" w:cs="Arial"/>
          <w:sz w:val="22"/>
          <w:szCs w:val="22"/>
          <w:lang w:val="en-US"/>
        </w:rPr>
        <w:t xml:space="preserve"> </w:t>
      </w:r>
      <w:proofErr w:type="spellStart"/>
      <w:r w:rsidR="000902EF">
        <w:rPr>
          <w:rFonts w:ascii="Arial" w:hAnsi="Arial" w:cs="Arial"/>
          <w:sz w:val="22"/>
          <w:szCs w:val="22"/>
          <w:lang w:val="en-US"/>
        </w:rPr>
        <w:t>wt</w:t>
      </w:r>
      <w:proofErr w:type="spellEnd"/>
      <w:r w:rsidR="000902EF">
        <w:rPr>
          <w:rFonts w:ascii="Arial" w:hAnsi="Arial" w:cs="Arial"/>
          <w:sz w:val="22"/>
          <w:szCs w:val="22"/>
          <w:lang w:val="en-US"/>
        </w:rPr>
        <w:t xml:space="preserve"> responses</w:t>
      </w:r>
      <w:r w:rsidR="00BD77A5">
        <w:rPr>
          <w:rFonts w:ascii="Arial" w:hAnsi="Arial" w:cs="Arial"/>
          <w:sz w:val="22"/>
          <w:szCs w:val="22"/>
          <w:lang w:val="en-US"/>
        </w:rPr>
        <w:t xml:space="preserve"> (Figure 21)</w:t>
      </w:r>
      <w:r w:rsidR="000902EF">
        <w:rPr>
          <w:rFonts w:ascii="Arial" w:hAnsi="Arial" w:cs="Arial"/>
          <w:sz w:val="22"/>
          <w:szCs w:val="22"/>
          <w:lang w:val="en-US"/>
        </w:rPr>
        <w:t>. These results complement our data on low ATR/ATM</w:t>
      </w:r>
      <w:r w:rsidR="00C0605F">
        <w:rPr>
          <w:rFonts w:ascii="Arial" w:hAnsi="Arial" w:cs="Arial"/>
          <w:sz w:val="22"/>
          <w:szCs w:val="22"/>
          <w:lang w:val="en-US"/>
        </w:rPr>
        <w:t xml:space="preserve"> </w:t>
      </w:r>
      <w:r w:rsidR="000902EF">
        <w:rPr>
          <w:rFonts w:ascii="Arial" w:hAnsi="Arial" w:cs="Arial"/>
          <w:sz w:val="22"/>
          <w:szCs w:val="22"/>
          <w:lang w:val="en-US"/>
        </w:rPr>
        <w:t>signaling in PV patient BMs</w:t>
      </w:r>
      <w:r w:rsidR="00C0605F">
        <w:rPr>
          <w:rFonts w:ascii="Arial" w:hAnsi="Arial" w:cs="Arial"/>
          <w:sz w:val="22"/>
          <w:szCs w:val="22"/>
          <w:lang w:val="en-US"/>
        </w:rPr>
        <w:t xml:space="preserve">, suggesting that </w:t>
      </w:r>
      <w:r w:rsidR="000902EF" w:rsidRPr="000902EF">
        <w:rPr>
          <w:rFonts w:ascii="Arial" w:hAnsi="Arial" w:cs="Arial"/>
          <w:sz w:val="22"/>
          <w:szCs w:val="22"/>
          <w:lang w:val="en-US"/>
        </w:rPr>
        <w:t xml:space="preserve">inflammatory factors induce only </w:t>
      </w:r>
      <w:r w:rsidR="00C0605F">
        <w:rPr>
          <w:rFonts w:ascii="Arial" w:hAnsi="Arial" w:cs="Arial"/>
          <w:sz w:val="22"/>
          <w:szCs w:val="22"/>
          <w:lang w:val="en-US"/>
        </w:rPr>
        <w:t>moderate</w:t>
      </w:r>
      <w:r w:rsidR="000902EF" w:rsidRPr="000902EF">
        <w:rPr>
          <w:rFonts w:ascii="Arial" w:hAnsi="Arial" w:cs="Arial"/>
          <w:sz w:val="22"/>
          <w:szCs w:val="22"/>
          <w:lang w:val="en-US"/>
        </w:rPr>
        <w:t xml:space="preserve"> degree </w:t>
      </w:r>
      <w:r w:rsidR="00C0605F">
        <w:rPr>
          <w:rFonts w:ascii="Arial" w:hAnsi="Arial" w:cs="Arial"/>
          <w:sz w:val="22"/>
          <w:szCs w:val="22"/>
          <w:lang w:val="en-US"/>
        </w:rPr>
        <w:t>of oxidative stress (buffered by ROS buffering system) and DDR</w:t>
      </w:r>
      <w:r w:rsidR="000902EF" w:rsidRPr="000902EF">
        <w:rPr>
          <w:rFonts w:ascii="Arial" w:hAnsi="Arial" w:cs="Arial"/>
          <w:sz w:val="22"/>
          <w:szCs w:val="22"/>
          <w:lang w:val="en-US"/>
        </w:rPr>
        <w:t xml:space="preserve"> signaling</w:t>
      </w:r>
      <w:r w:rsidR="00C0605F">
        <w:rPr>
          <w:rFonts w:ascii="Arial" w:hAnsi="Arial" w:cs="Arial"/>
          <w:sz w:val="22"/>
          <w:szCs w:val="22"/>
          <w:lang w:val="en-US"/>
        </w:rPr>
        <w:t xml:space="preserve"> in </w:t>
      </w:r>
      <w:r w:rsidR="00C0605F" w:rsidRPr="00941B33">
        <w:rPr>
          <w:rFonts w:ascii="Arial" w:hAnsi="Arial" w:cs="Arial"/>
          <w:i/>
          <w:iCs/>
          <w:sz w:val="22"/>
          <w:szCs w:val="22"/>
          <w:lang w:val="en-US"/>
        </w:rPr>
        <w:t xml:space="preserve">JAK2 </w:t>
      </w:r>
      <w:r w:rsidR="00C0605F" w:rsidRPr="00CD395D">
        <w:rPr>
          <w:rFonts w:ascii="Arial" w:hAnsi="Arial" w:cs="Arial"/>
          <w:sz w:val="22"/>
          <w:szCs w:val="22"/>
          <w:lang w:val="en-US"/>
        </w:rPr>
        <w:t>V617F</w:t>
      </w:r>
      <w:r w:rsidR="00C0605F" w:rsidRPr="00941B33">
        <w:rPr>
          <w:rFonts w:ascii="Arial" w:hAnsi="Arial" w:cs="Arial"/>
          <w:sz w:val="22"/>
          <w:szCs w:val="22"/>
          <w:vertAlign w:val="superscript"/>
          <w:lang w:val="en-US"/>
        </w:rPr>
        <w:t>+</w:t>
      </w:r>
      <w:r w:rsidR="00C0605F" w:rsidRPr="00941B33">
        <w:rPr>
          <w:rFonts w:ascii="Arial" w:hAnsi="Arial" w:cs="Arial"/>
          <w:sz w:val="22"/>
          <w:szCs w:val="22"/>
          <w:lang w:val="en-US"/>
        </w:rPr>
        <w:t xml:space="preserve"> </w:t>
      </w:r>
      <w:r w:rsidR="00C0605F">
        <w:rPr>
          <w:rFonts w:ascii="Arial" w:hAnsi="Arial" w:cs="Arial"/>
          <w:sz w:val="22"/>
          <w:szCs w:val="22"/>
          <w:lang w:val="en-US"/>
        </w:rPr>
        <w:t>cells</w:t>
      </w:r>
      <w:r w:rsidR="000902EF" w:rsidRPr="000902EF">
        <w:rPr>
          <w:rFonts w:ascii="Arial" w:hAnsi="Arial" w:cs="Arial"/>
          <w:sz w:val="22"/>
          <w:szCs w:val="22"/>
          <w:lang w:val="en-US"/>
        </w:rPr>
        <w:t xml:space="preserve">, compatible with </w:t>
      </w:r>
      <w:r w:rsidR="00C0605F">
        <w:rPr>
          <w:rFonts w:ascii="Arial" w:hAnsi="Arial" w:cs="Arial"/>
          <w:sz w:val="22"/>
          <w:szCs w:val="22"/>
          <w:lang w:val="en-US"/>
        </w:rPr>
        <w:t>more dynamic cell cycle progression of PV cells in the latent proliferative stage</w:t>
      </w:r>
      <w:r w:rsidR="000902EF" w:rsidRPr="000902EF">
        <w:rPr>
          <w:rFonts w:ascii="Arial" w:hAnsi="Arial" w:cs="Arial"/>
          <w:sz w:val="22"/>
          <w:szCs w:val="22"/>
          <w:lang w:val="en-US"/>
        </w:rPr>
        <w:t xml:space="preserve">, </w:t>
      </w:r>
      <w:r w:rsidR="00C0605F">
        <w:rPr>
          <w:rFonts w:ascii="Arial" w:hAnsi="Arial" w:cs="Arial"/>
          <w:sz w:val="22"/>
          <w:szCs w:val="22"/>
          <w:lang w:val="en-US"/>
        </w:rPr>
        <w:t>protecting cells from sig</w:t>
      </w:r>
      <w:r w:rsidR="00E53EBE">
        <w:rPr>
          <w:rFonts w:ascii="Arial" w:hAnsi="Arial" w:cs="Arial"/>
          <w:sz w:val="22"/>
          <w:szCs w:val="22"/>
          <w:lang w:val="en-US"/>
        </w:rPr>
        <w:t>na</w:t>
      </w:r>
      <w:r w:rsidR="00C0605F">
        <w:rPr>
          <w:rFonts w:ascii="Arial" w:hAnsi="Arial" w:cs="Arial"/>
          <w:sz w:val="22"/>
          <w:szCs w:val="22"/>
          <w:lang w:val="en-US"/>
        </w:rPr>
        <w:t xml:space="preserve">ling that </w:t>
      </w:r>
      <w:r w:rsidR="000902EF" w:rsidRPr="000902EF">
        <w:rPr>
          <w:rFonts w:ascii="Arial" w:hAnsi="Arial" w:cs="Arial"/>
          <w:sz w:val="22"/>
          <w:szCs w:val="22"/>
          <w:lang w:val="en-US"/>
        </w:rPr>
        <w:t>could</w:t>
      </w:r>
      <w:r w:rsidR="00C0605F">
        <w:rPr>
          <w:rFonts w:ascii="Arial" w:hAnsi="Arial" w:cs="Arial"/>
          <w:sz w:val="22"/>
          <w:szCs w:val="22"/>
          <w:lang w:val="en-US"/>
        </w:rPr>
        <w:t xml:space="preserve"> eventually</w:t>
      </w:r>
      <w:r w:rsidR="000902EF" w:rsidRPr="000902EF">
        <w:rPr>
          <w:rFonts w:ascii="Arial" w:hAnsi="Arial" w:cs="Arial"/>
          <w:sz w:val="22"/>
          <w:szCs w:val="22"/>
          <w:lang w:val="en-US"/>
        </w:rPr>
        <w:t xml:space="preserve"> trigger cell cycle arrest and senescence.</w:t>
      </w:r>
    </w:p>
    <w:p w14:paraId="1508A7F1" w14:textId="77777777" w:rsidR="006B6EFF" w:rsidRDefault="006B6EFF">
      <w:pPr>
        <w:rPr>
          <w:rFonts w:ascii="Arial" w:hAnsi="Arial" w:cs="Arial"/>
          <w:b/>
          <w:bCs/>
          <w:sz w:val="22"/>
          <w:szCs w:val="22"/>
          <w:lang w:val="en-US"/>
        </w:rPr>
      </w:pPr>
      <w:r>
        <w:rPr>
          <w:rFonts w:ascii="Arial" w:hAnsi="Arial" w:cs="Arial"/>
          <w:b/>
          <w:bCs/>
          <w:sz w:val="22"/>
          <w:szCs w:val="22"/>
          <w:lang w:val="en-US"/>
        </w:rPr>
        <w:br w:type="page"/>
      </w:r>
    </w:p>
    <w:p w14:paraId="081F81BA" w14:textId="77777777" w:rsidR="0008739E" w:rsidRPr="006B6EFF" w:rsidRDefault="006B6EFF" w:rsidP="003A5293">
      <w:pPr>
        <w:spacing w:line="360" w:lineRule="auto"/>
        <w:jc w:val="both"/>
        <w:rPr>
          <w:rFonts w:ascii="Arial" w:hAnsi="Arial" w:cs="Arial"/>
          <w:b/>
          <w:bCs/>
          <w:sz w:val="22"/>
          <w:szCs w:val="22"/>
          <w:lang w:val="en-US"/>
        </w:rPr>
      </w:pPr>
      <w:r w:rsidRPr="006B6EFF">
        <w:rPr>
          <w:rFonts w:ascii="Arial" w:hAnsi="Arial" w:cs="Arial"/>
          <w:b/>
          <w:bCs/>
          <w:sz w:val="22"/>
          <w:szCs w:val="22"/>
          <w:lang w:val="en-US"/>
        </w:rPr>
        <w:lastRenderedPageBreak/>
        <w:t>A</w:t>
      </w:r>
    </w:p>
    <w:p w14:paraId="3BC06063" w14:textId="77777777" w:rsidR="003A5293" w:rsidRDefault="000A3477" w:rsidP="006B6EFF">
      <w:pPr>
        <w:spacing w:line="360" w:lineRule="auto"/>
        <w:jc w:val="center"/>
        <w:rPr>
          <w:rFonts w:ascii="Arial" w:hAnsi="Arial" w:cs="Arial"/>
          <w:sz w:val="22"/>
          <w:szCs w:val="22"/>
          <w:lang w:val="en-US"/>
        </w:rPr>
      </w:pPr>
      <w:r>
        <w:rPr>
          <w:rFonts w:ascii="Arial" w:hAnsi="Arial" w:cs="Arial"/>
          <w:noProof/>
          <w:sz w:val="22"/>
          <w:szCs w:val="22"/>
          <w:lang w:val="cs-CZ" w:eastAsia="cs-CZ"/>
        </w:rPr>
        <w:drawing>
          <wp:inline distT="0" distB="0" distL="0" distR="0" wp14:anchorId="4795E1F8" wp14:editId="5C0ABE62">
            <wp:extent cx="4149165" cy="2332165"/>
            <wp:effectExtent l="0" t="0" r="3810" b="508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schirmfoto 2020-02-17 um 22.15.04.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78327" cy="2348556"/>
                    </a:xfrm>
                    <a:prstGeom prst="rect">
                      <a:avLst/>
                    </a:prstGeom>
                  </pic:spPr>
                </pic:pic>
              </a:graphicData>
            </a:graphic>
          </wp:inline>
        </w:drawing>
      </w:r>
    </w:p>
    <w:p w14:paraId="5E3E890F" w14:textId="77777777" w:rsidR="006B6EFF" w:rsidRPr="006B6EFF" w:rsidRDefault="006B6EFF" w:rsidP="003A5293">
      <w:pPr>
        <w:spacing w:line="360" w:lineRule="auto"/>
        <w:jc w:val="both"/>
        <w:rPr>
          <w:rFonts w:ascii="Arial" w:hAnsi="Arial" w:cs="Arial"/>
          <w:b/>
          <w:bCs/>
          <w:sz w:val="22"/>
          <w:szCs w:val="22"/>
          <w:lang w:val="en-US"/>
        </w:rPr>
      </w:pPr>
      <w:r w:rsidRPr="006B6EFF">
        <w:rPr>
          <w:rFonts w:ascii="Arial" w:hAnsi="Arial" w:cs="Arial"/>
          <w:b/>
          <w:bCs/>
          <w:sz w:val="22"/>
          <w:szCs w:val="22"/>
          <w:lang w:val="en-US"/>
        </w:rPr>
        <w:t>B</w:t>
      </w:r>
    </w:p>
    <w:p w14:paraId="201CEF26" w14:textId="77777777" w:rsidR="003A5293" w:rsidRPr="003A5293" w:rsidRDefault="0008739E" w:rsidP="003A5293">
      <w:pPr>
        <w:spacing w:line="360" w:lineRule="auto"/>
        <w:jc w:val="both"/>
        <w:rPr>
          <w:rFonts w:ascii="Arial" w:hAnsi="Arial" w:cs="Arial"/>
          <w:sz w:val="22"/>
          <w:szCs w:val="22"/>
          <w:lang w:val="en-US"/>
        </w:rPr>
      </w:pPr>
      <w:r w:rsidRPr="003A5293">
        <w:rPr>
          <w:rFonts w:ascii="Arial" w:hAnsi="Arial" w:cs="Arial"/>
          <w:noProof/>
          <w:sz w:val="22"/>
          <w:szCs w:val="22"/>
          <w:lang w:val="cs-CZ" w:eastAsia="cs-CZ"/>
        </w:rPr>
        <w:drawing>
          <wp:inline distT="0" distB="0" distL="0" distR="0" wp14:anchorId="2336A6E5" wp14:editId="02AD6B3F">
            <wp:extent cx="5395595" cy="4227830"/>
            <wp:effectExtent l="0" t="0" r="1905" b="127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Untitled-2.jpg"/>
                    <pic:cNvPicPr/>
                  </pic:nvPicPr>
                  <pic:blipFill>
                    <a:blip r:embed="rId37">
                      <a:extLst>
                        <a:ext uri="{28A0092B-C50C-407E-A947-70E740481C1C}">
                          <a14:useLocalDpi xmlns:a14="http://schemas.microsoft.com/office/drawing/2010/main" val="0"/>
                        </a:ext>
                      </a:extLst>
                    </a:blip>
                    <a:stretch>
                      <a:fillRect/>
                    </a:stretch>
                  </pic:blipFill>
                  <pic:spPr>
                    <a:xfrm>
                      <a:off x="0" y="0"/>
                      <a:ext cx="5395595" cy="4227830"/>
                    </a:xfrm>
                    <a:prstGeom prst="rect">
                      <a:avLst/>
                    </a:prstGeom>
                  </pic:spPr>
                </pic:pic>
              </a:graphicData>
            </a:graphic>
          </wp:inline>
        </w:drawing>
      </w:r>
    </w:p>
    <w:p w14:paraId="110F5176" w14:textId="77777777" w:rsidR="003A5293" w:rsidRPr="00B74951" w:rsidRDefault="003A5293" w:rsidP="003A5293">
      <w:pPr>
        <w:spacing w:line="360" w:lineRule="auto"/>
        <w:jc w:val="both"/>
        <w:rPr>
          <w:rFonts w:ascii="Arial" w:hAnsi="Arial" w:cs="Arial"/>
          <w:sz w:val="22"/>
          <w:szCs w:val="22"/>
          <w:lang w:val="en-US"/>
        </w:rPr>
      </w:pPr>
      <w:r w:rsidRPr="00B74951">
        <w:rPr>
          <w:rFonts w:ascii="Arial" w:hAnsi="Arial" w:cs="Arial"/>
          <w:b/>
          <w:bCs/>
          <w:sz w:val="22"/>
          <w:szCs w:val="22"/>
          <w:lang w:val="en-US"/>
        </w:rPr>
        <w:t>Figure 20</w:t>
      </w:r>
      <w:r w:rsidRPr="00B74951">
        <w:rPr>
          <w:rFonts w:ascii="Arial" w:hAnsi="Arial" w:cs="Arial"/>
          <w:sz w:val="22"/>
          <w:szCs w:val="22"/>
          <w:lang w:val="en-US"/>
        </w:rPr>
        <w:t>:</w:t>
      </w:r>
      <w:r w:rsidR="006B6EFF" w:rsidRPr="00B74951">
        <w:rPr>
          <w:rFonts w:ascii="Arial" w:eastAsia="+mn-ea" w:hAnsi="Arial" w:cs="Arial"/>
          <w:bCs/>
          <w:color w:val="000000"/>
          <w:kern w:val="24"/>
          <w:sz w:val="22"/>
          <w:szCs w:val="22"/>
          <w:lang w:val="en-US" w:eastAsia="cs-CZ"/>
        </w:rPr>
        <w:t xml:space="preserve"> </w:t>
      </w:r>
      <w:r w:rsidR="00B74951" w:rsidRPr="00B74951">
        <w:rPr>
          <w:rFonts w:ascii="Arial" w:eastAsia="+mn-ea" w:hAnsi="Arial" w:cs="Arial"/>
          <w:b/>
          <w:color w:val="000000"/>
          <w:kern w:val="24"/>
          <w:sz w:val="22"/>
          <w:szCs w:val="22"/>
          <w:lang w:val="en-US" w:eastAsia="cs-CZ"/>
        </w:rPr>
        <w:t>A</w:t>
      </w:r>
      <w:r w:rsidR="00B74951" w:rsidRPr="00B74951">
        <w:rPr>
          <w:rFonts w:eastAsia="+mn-ea"/>
          <w:bCs/>
          <w:color w:val="000000"/>
          <w:kern w:val="24"/>
          <w:sz w:val="22"/>
          <w:szCs w:val="22"/>
          <w:lang w:val="en-US" w:eastAsia="cs-CZ"/>
        </w:rPr>
        <w:t xml:space="preserve"> </w:t>
      </w:r>
      <w:r w:rsidR="00B74951" w:rsidRPr="00B74951">
        <w:rPr>
          <w:rFonts w:ascii="Arial" w:eastAsia="+mn-ea" w:hAnsi="Arial" w:cs="Arial"/>
          <w:bCs/>
          <w:color w:val="000000"/>
          <w:kern w:val="24"/>
          <w:sz w:val="22"/>
          <w:szCs w:val="22"/>
          <w:lang w:val="en-US" w:eastAsia="cs-CZ"/>
        </w:rPr>
        <w:t>T</w:t>
      </w:r>
      <w:r w:rsidR="006B6EFF" w:rsidRPr="00B74951">
        <w:rPr>
          <w:rFonts w:ascii="Arial" w:eastAsia="+mn-ea" w:hAnsi="Arial" w:cs="Arial"/>
          <w:bCs/>
          <w:color w:val="000000"/>
          <w:kern w:val="24"/>
          <w:sz w:val="22"/>
          <w:szCs w:val="22"/>
          <w:lang w:val="en-US" w:eastAsia="cs-CZ"/>
        </w:rPr>
        <w:t xml:space="preserve">ime course </w:t>
      </w:r>
      <w:r w:rsidR="00B74951" w:rsidRPr="00B74951">
        <w:rPr>
          <w:rFonts w:ascii="Arial" w:eastAsia="+mn-ea" w:hAnsi="Arial" w:cs="Arial"/>
          <w:bCs/>
          <w:color w:val="000000"/>
          <w:kern w:val="24"/>
          <w:sz w:val="22"/>
          <w:szCs w:val="22"/>
          <w:lang w:val="en-US" w:eastAsia="cs-CZ"/>
        </w:rPr>
        <w:t xml:space="preserve">scheme </w:t>
      </w:r>
      <w:r w:rsidR="006B6EFF" w:rsidRPr="00B74951">
        <w:rPr>
          <w:rFonts w:ascii="Arial" w:eastAsia="+mn-ea" w:hAnsi="Arial" w:cs="Arial"/>
          <w:bCs/>
          <w:color w:val="000000"/>
          <w:kern w:val="24"/>
          <w:sz w:val="22"/>
          <w:szCs w:val="22"/>
          <w:lang w:val="en-US" w:eastAsia="cs-CZ"/>
        </w:rPr>
        <w:t xml:space="preserve">for </w:t>
      </w:r>
      <w:r w:rsidR="006B6EFF" w:rsidRPr="00B74951">
        <w:rPr>
          <w:rFonts w:ascii="Arial" w:eastAsia="+mn-ea" w:hAnsi="Arial" w:cs="Arial"/>
          <w:color w:val="000000"/>
          <w:kern w:val="24"/>
          <w:sz w:val="22"/>
          <w:szCs w:val="22"/>
          <w:lang w:val="en-US" w:eastAsia="cs-CZ"/>
        </w:rPr>
        <w:t>CD34</w:t>
      </w:r>
      <w:r w:rsidR="006B6EFF" w:rsidRPr="00B74951">
        <w:rPr>
          <w:rFonts w:ascii="Arial" w:eastAsia="+mn-ea" w:hAnsi="Arial" w:cs="Arial"/>
          <w:color w:val="000000"/>
          <w:kern w:val="24"/>
          <w:sz w:val="22"/>
          <w:szCs w:val="22"/>
          <w:vertAlign w:val="superscript"/>
          <w:lang w:val="en-US" w:eastAsia="cs-CZ"/>
        </w:rPr>
        <w:t>+</w:t>
      </w:r>
      <w:r w:rsidR="006B6EFF" w:rsidRPr="00B74951">
        <w:rPr>
          <w:rFonts w:ascii="Arial" w:eastAsia="+mn-ea" w:hAnsi="Arial" w:cs="Arial"/>
          <w:color w:val="000000"/>
          <w:kern w:val="24"/>
          <w:sz w:val="22"/>
          <w:szCs w:val="22"/>
          <w:lang w:val="en-US" w:eastAsia="cs-CZ"/>
        </w:rPr>
        <w:t xml:space="preserve"> P-EC </w:t>
      </w:r>
      <w:r w:rsidR="006B6EFF" w:rsidRPr="00B74951">
        <w:rPr>
          <w:rFonts w:ascii="Arial" w:eastAsia="+mn-ea" w:hAnsi="Arial" w:cs="Arial"/>
          <w:bCs/>
          <w:color w:val="000000"/>
          <w:kern w:val="24"/>
          <w:sz w:val="22"/>
          <w:szCs w:val="22"/>
          <w:lang w:val="en-US" w:eastAsia="cs-CZ"/>
        </w:rPr>
        <w:t>cell cycle synchronization</w:t>
      </w:r>
      <w:r w:rsidR="006B6EFF" w:rsidRPr="00B74951">
        <w:rPr>
          <w:rFonts w:ascii="Arial" w:eastAsia="+mn-ea" w:hAnsi="Arial" w:cs="Arial"/>
          <w:color w:val="000000"/>
          <w:kern w:val="24"/>
          <w:sz w:val="22"/>
          <w:szCs w:val="22"/>
          <w:lang w:val="en-US" w:eastAsia="cs-CZ"/>
        </w:rPr>
        <w:t>. Growth factors (GFs) were</w:t>
      </w:r>
      <w:r w:rsidR="00B74951">
        <w:rPr>
          <w:rFonts w:ascii="Arial" w:eastAsia="+mn-ea" w:hAnsi="Arial" w:cs="Arial"/>
          <w:color w:val="000000"/>
          <w:kern w:val="24"/>
          <w:sz w:val="22"/>
          <w:szCs w:val="22"/>
          <w:lang w:val="en-US" w:eastAsia="cs-CZ"/>
        </w:rPr>
        <w:t xml:space="preserve"> (</w:t>
      </w:r>
      <w:r w:rsidR="00B74951" w:rsidRPr="00B74951">
        <w:rPr>
          <w:rFonts w:ascii="Arial" w:eastAsia="+mn-ea" w:hAnsi="Arial" w:cs="Arial"/>
          <w:i/>
          <w:iCs/>
          <w:color w:val="000000"/>
          <w:kern w:val="24"/>
          <w:sz w:val="22"/>
          <w:szCs w:val="22"/>
          <w:lang w:val="en-US" w:eastAsia="cs-CZ"/>
        </w:rPr>
        <w:t>top</w:t>
      </w:r>
      <w:r w:rsidR="00B74951">
        <w:rPr>
          <w:rFonts w:ascii="Arial" w:eastAsia="+mn-ea" w:hAnsi="Arial" w:cs="Arial"/>
          <w:color w:val="000000"/>
          <w:kern w:val="24"/>
          <w:sz w:val="22"/>
          <w:szCs w:val="22"/>
          <w:lang w:val="en-US" w:eastAsia="cs-CZ"/>
        </w:rPr>
        <w:t xml:space="preserve">) </w:t>
      </w:r>
      <w:r w:rsidR="006B6EFF" w:rsidRPr="00B74951">
        <w:rPr>
          <w:rFonts w:ascii="Arial" w:eastAsia="+mn-ea" w:hAnsi="Arial" w:cs="Arial"/>
          <w:color w:val="000000"/>
          <w:kern w:val="24"/>
          <w:sz w:val="22"/>
          <w:szCs w:val="22"/>
          <w:lang w:val="en-US" w:eastAsia="cs-CZ"/>
        </w:rPr>
        <w:t>/</w:t>
      </w:r>
      <w:r w:rsidR="00B74951">
        <w:rPr>
          <w:rFonts w:ascii="Arial" w:eastAsia="+mn-ea" w:hAnsi="Arial" w:cs="Arial"/>
          <w:color w:val="000000"/>
          <w:kern w:val="24"/>
          <w:sz w:val="22"/>
          <w:szCs w:val="22"/>
          <w:lang w:val="en-US" w:eastAsia="cs-CZ"/>
        </w:rPr>
        <w:t xml:space="preserve"> </w:t>
      </w:r>
      <w:r w:rsidR="006B6EFF" w:rsidRPr="00B74951">
        <w:rPr>
          <w:rFonts w:ascii="Arial" w:eastAsia="+mn-ea" w:hAnsi="Arial" w:cs="Arial"/>
          <w:color w:val="000000"/>
          <w:kern w:val="24"/>
          <w:sz w:val="22"/>
          <w:szCs w:val="22"/>
          <w:lang w:val="en-US" w:eastAsia="cs-CZ"/>
        </w:rPr>
        <w:t>were not</w:t>
      </w:r>
      <w:r w:rsidR="00B74951">
        <w:rPr>
          <w:rFonts w:ascii="Arial" w:eastAsia="+mn-ea" w:hAnsi="Arial" w:cs="Arial"/>
          <w:color w:val="000000"/>
          <w:kern w:val="24"/>
          <w:sz w:val="22"/>
          <w:szCs w:val="22"/>
          <w:lang w:val="en-US" w:eastAsia="cs-CZ"/>
        </w:rPr>
        <w:t xml:space="preserve"> (</w:t>
      </w:r>
      <w:r w:rsidR="00B74951" w:rsidRPr="00B74951">
        <w:rPr>
          <w:rFonts w:ascii="Arial" w:eastAsia="+mn-ea" w:hAnsi="Arial" w:cs="Arial"/>
          <w:i/>
          <w:iCs/>
          <w:color w:val="000000"/>
          <w:kern w:val="24"/>
          <w:sz w:val="22"/>
          <w:szCs w:val="22"/>
          <w:lang w:val="en-US" w:eastAsia="cs-CZ"/>
        </w:rPr>
        <w:t>down</w:t>
      </w:r>
      <w:r w:rsidR="00B74951">
        <w:rPr>
          <w:rFonts w:ascii="Arial" w:eastAsia="+mn-ea" w:hAnsi="Arial" w:cs="Arial"/>
          <w:color w:val="000000"/>
          <w:kern w:val="24"/>
          <w:sz w:val="22"/>
          <w:szCs w:val="22"/>
          <w:lang w:val="en-US" w:eastAsia="cs-CZ"/>
        </w:rPr>
        <w:t>)</w:t>
      </w:r>
      <w:r w:rsidR="006B6EFF" w:rsidRPr="00B74951">
        <w:rPr>
          <w:rFonts w:ascii="Arial" w:eastAsia="+mn-ea" w:hAnsi="Arial" w:cs="Arial"/>
          <w:color w:val="000000"/>
          <w:kern w:val="24"/>
          <w:sz w:val="22"/>
          <w:szCs w:val="22"/>
          <w:lang w:val="en-US" w:eastAsia="cs-CZ"/>
        </w:rPr>
        <w:t xml:space="preserve"> removed from medium, followed by dual pulse </w:t>
      </w:r>
      <w:r w:rsidR="00B74951">
        <w:rPr>
          <w:rFonts w:ascii="Arial" w:eastAsia="+mn-ea" w:hAnsi="Arial" w:cs="Arial"/>
          <w:color w:val="000000"/>
          <w:kern w:val="24"/>
          <w:sz w:val="22"/>
          <w:szCs w:val="22"/>
          <w:lang w:val="en-US" w:eastAsia="cs-CZ"/>
        </w:rPr>
        <w:t xml:space="preserve">chase </w:t>
      </w:r>
      <w:r w:rsidR="006B6EFF" w:rsidRPr="00B74951">
        <w:rPr>
          <w:rFonts w:ascii="Arial" w:eastAsia="+mn-ea" w:hAnsi="Arial" w:cs="Arial"/>
          <w:color w:val="000000"/>
          <w:kern w:val="24"/>
          <w:sz w:val="22"/>
          <w:szCs w:val="22"/>
          <w:lang w:val="en-US" w:eastAsia="cs-CZ"/>
        </w:rPr>
        <w:t xml:space="preserve">labelling with propidium iodide and </w:t>
      </w:r>
      <w:proofErr w:type="spellStart"/>
      <w:r w:rsidR="006B6EFF" w:rsidRPr="00B74951">
        <w:rPr>
          <w:rFonts w:ascii="Arial" w:eastAsia="+mn-ea" w:hAnsi="Arial" w:cs="Arial"/>
          <w:color w:val="000000"/>
          <w:kern w:val="24"/>
          <w:sz w:val="22"/>
          <w:szCs w:val="22"/>
          <w:lang w:val="en-US" w:eastAsia="cs-CZ"/>
        </w:rPr>
        <w:t>BrdU</w:t>
      </w:r>
      <w:proofErr w:type="spellEnd"/>
      <w:r w:rsidR="006B6EFF" w:rsidRPr="00B74951">
        <w:rPr>
          <w:rFonts w:ascii="Arial" w:eastAsia="+mn-ea" w:hAnsi="Arial" w:cs="Arial"/>
          <w:color w:val="000000"/>
          <w:kern w:val="24"/>
          <w:sz w:val="22"/>
          <w:szCs w:val="22"/>
          <w:lang w:val="en-US" w:eastAsia="cs-CZ"/>
        </w:rPr>
        <w:t xml:space="preserve"> incorporation</w:t>
      </w:r>
      <w:r w:rsidR="00B74951" w:rsidRPr="00B74951">
        <w:rPr>
          <w:rFonts w:ascii="Arial" w:eastAsia="+mn-ea" w:hAnsi="Arial" w:cs="Arial"/>
          <w:color w:val="000000"/>
          <w:kern w:val="24"/>
          <w:sz w:val="22"/>
          <w:szCs w:val="22"/>
          <w:lang w:val="en-US" w:eastAsia="cs-CZ"/>
        </w:rPr>
        <w:t>.</w:t>
      </w:r>
      <w:r w:rsidR="006B6EFF" w:rsidRPr="00B74951">
        <w:rPr>
          <w:rFonts w:ascii="Arial" w:eastAsia="+mn-ea" w:hAnsi="Arial" w:cs="Arial"/>
          <w:color w:val="000000"/>
          <w:kern w:val="24"/>
          <w:sz w:val="22"/>
          <w:szCs w:val="22"/>
          <w:lang w:val="en-US" w:eastAsia="cs-CZ"/>
        </w:rPr>
        <w:t xml:space="preserve"> </w:t>
      </w:r>
      <w:r w:rsidR="00B74951" w:rsidRPr="00B74951">
        <w:rPr>
          <w:rFonts w:ascii="Arial" w:eastAsia="+mn-ea" w:hAnsi="Arial" w:cs="Arial"/>
          <w:b/>
          <w:bCs/>
          <w:color w:val="000000"/>
          <w:kern w:val="24"/>
          <w:sz w:val="22"/>
          <w:szCs w:val="22"/>
          <w:lang w:val="en-US" w:eastAsia="cs-CZ"/>
        </w:rPr>
        <w:t>B</w:t>
      </w:r>
      <w:r w:rsidR="00B74951">
        <w:rPr>
          <w:rFonts w:ascii="Arial" w:eastAsia="+mn-ea" w:hAnsi="Arial" w:cs="Arial"/>
          <w:color w:val="000000"/>
          <w:kern w:val="24"/>
          <w:sz w:val="22"/>
          <w:szCs w:val="22"/>
          <w:lang w:val="en-US" w:eastAsia="cs-CZ"/>
        </w:rPr>
        <w:t xml:space="preserve"> </w:t>
      </w:r>
      <w:r w:rsidR="006B6EFF" w:rsidRPr="00B74951">
        <w:rPr>
          <w:rFonts w:ascii="Arial" w:hAnsi="Arial" w:cs="Arial"/>
          <w:sz w:val="22"/>
          <w:szCs w:val="22"/>
          <w:lang w:val="en-US"/>
        </w:rPr>
        <w:t>Cell cycle analysis</w:t>
      </w:r>
      <w:r w:rsidR="00B74951">
        <w:rPr>
          <w:rFonts w:ascii="Arial" w:hAnsi="Arial" w:cs="Arial"/>
          <w:sz w:val="22"/>
          <w:szCs w:val="22"/>
          <w:lang w:val="en-US"/>
        </w:rPr>
        <w:t xml:space="preserve"> of synchronized cells</w:t>
      </w:r>
      <w:r w:rsidR="006B6EFF" w:rsidRPr="00B74951">
        <w:rPr>
          <w:rFonts w:ascii="Arial" w:hAnsi="Arial" w:cs="Arial"/>
          <w:sz w:val="22"/>
          <w:szCs w:val="22"/>
          <w:lang w:val="en-US"/>
        </w:rPr>
        <w:t xml:space="preserve"> by dual pulse labelling with propidium iodide and </w:t>
      </w:r>
      <w:proofErr w:type="spellStart"/>
      <w:r w:rsidR="006B6EFF" w:rsidRPr="00B74951">
        <w:rPr>
          <w:rFonts w:ascii="Arial" w:hAnsi="Arial" w:cs="Arial"/>
          <w:sz w:val="22"/>
          <w:szCs w:val="22"/>
          <w:lang w:val="en-US"/>
        </w:rPr>
        <w:t>BrDU</w:t>
      </w:r>
      <w:proofErr w:type="spellEnd"/>
      <w:r w:rsidR="006B6EFF" w:rsidRPr="00B74951">
        <w:rPr>
          <w:rFonts w:ascii="Arial" w:hAnsi="Arial" w:cs="Arial"/>
          <w:sz w:val="22"/>
          <w:szCs w:val="22"/>
          <w:lang w:val="en-US"/>
        </w:rPr>
        <w:t xml:space="preserve"> incorporation</w:t>
      </w:r>
      <w:r w:rsidR="00B74951">
        <w:rPr>
          <w:rFonts w:ascii="Arial" w:hAnsi="Arial" w:cs="Arial"/>
          <w:sz w:val="22"/>
          <w:szCs w:val="22"/>
          <w:lang w:val="en-US"/>
        </w:rPr>
        <w:t xml:space="preserve">. </w:t>
      </w:r>
      <w:r w:rsidR="006B6EFF" w:rsidRPr="00B74951">
        <w:rPr>
          <w:rFonts w:ascii="Arial" w:hAnsi="Arial" w:cs="Arial"/>
          <w:sz w:val="22"/>
          <w:szCs w:val="22"/>
          <w:lang w:val="en-US"/>
        </w:rPr>
        <w:t>Charts showing percentage ±</w:t>
      </w:r>
      <w:r w:rsidR="00B74951">
        <w:rPr>
          <w:rFonts w:ascii="Arial" w:hAnsi="Arial" w:cs="Arial"/>
          <w:sz w:val="22"/>
          <w:szCs w:val="22"/>
          <w:lang w:val="en-US"/>
        </w:rPr>
        <w:t xml:space="preserve"> </w:t>
      </w:r>
      <w:r w:rsidR="006B6EFF" w:rsidRPr="00B74951">
        <w:rPr>
          <w:rFonts w:ascii="Arial" w:hAnsi="Arial" w:cs="Arial"/>
          <w:sz w:val="22"/>
          <w:szCs w:val="22"/>
          <w:lang w:val="en-US"/>
        </w:rPr>
        <w:t>SD</w:t>
      </w:r>
      <w:r w:rsidR="00B74951">
        <w:rPr>
          <w:rFonts w:ascii="Arial" w:hAnsi="Arial" w:cs="Arial"/>
          <w:sz w:val="22"/>
          <w:szCs w:val="22"/>
          <w:lang w:val="en-US"/>
        </w:rPr>
        <w:t xml:space="preserve"> (n=3)</w:t>
      </w:r>
      <w:r w:rsidR="006B6EFF" w:rsidRPr="00B74951">
        <w:rPr>
          <w:rFonts w:ascii="Arial" w:hAnsi="Arial" w:cs="Arial"/>
          <w:sz w:val="22"/>
          <w:szCs w:val="22"/>
          <w:lang w:val="en-US"/>
        </w:rPr>
        <w:t xml:space="preserve"> of </w:t>
      </w:r>
      <w:r w:rsidR="006B6EFF" w:rsidRPr="00B74951">
        <w:rPr>
          <w:rFonts w:ascii="Arial" w:hAnsi="Arial" w:cs="Arial"/>
          <w:i/>
          <w:iCs/>
          <w:sz w:val="22"/>
          <w:szCs w:val="22"/>
          <w:lang w:val="en-US"/>
        </w:rPr>
        <w:t>JAK2</w:t>
      </w:r>
      <w:r w:rsidR="006B6EFF" w:rsidRPr="00B74951">
        <w:rPr>
          <w:rFonts w:ascii="Arial" w:hAnsi="Arial" w:cs="Arial"/>
          <w:sz w:val="22"/>
          <w:szCs w:val="22"/>
          <w:lang w:val="en-US"/>
        </w:rPr>
        <w:t xml:space="preserve"> </w:t>
      </w:r>
      <w:proofErr w:type="spellStart"/>
      <w:r w:rsidR="006B6EFF" w:rsidRPr="00B74951">
        <w:rPr>
          <w:rFonts w:ascii="Arial" w:hAnsi="Arial" w:cs="Arial"/>
          <w:sz w:val="22"/>
          <w:szCs w:val="22"/>
          <w:lang w:val="en-US"/>
        </w:rPr>
        <w:t>wt</w:t>
      </w:r>
      <w:proofErr w:type="spellEnd"/>
      <w:r w:rsidR="006B6EFF" w:rsidRPr="00B74951">
        <w:rPr>
          <w:rFonts w:ascii="Arial" w:hAnsi="Arial" w:cs="Arial"/>
          <w:sz w:val="22"/>
          <w:szCs w:val="22"/>
          <w:lang w:val="en-US"/>
        </w:rPr>
        <w:t xml:space="preserve"> (WT) and </w:t>
      </w:r>
      <w:r w:rsidR="006B6EFF" w:rsidRPr="00B74951">
        <w:rPr>
          <w:rFonts w:ascii="Arial" w:hAnsi="Arial" w:cs="Arial"/>
          <w:i/>
          <w:iCs/>
          <w:sz w:val="22"/>
          <w:szCs w:val="22"/>
          <w:lang w:val="en-US"/>
        </w:rPr>
        <w:t xml:space="preserve">JAK2 </w:t>
      </w:r>
      <w:r w:rsidR="006B6EFF" w:rsidRPr="00CD395D">
        <w:rPr>
          <w:rFonts w:ascii="Arial" w:hAnsi="Arial" w:cs="Arial"/>
          <w:sz w:val="22"/>
          <w:szCs w:val="22"/>
          <w:lang w:val="en-US"/>
        </w:rPr>
        <w:t>V617F</w:t>
      </w:r>
      <w:r w:rsidR="006B6EFF" w:rsidRPr="00B74951">
        <w:rPr>
          <w:rFonts w:ascii="Arial" w:hAnsi="Arial" w:cs="Arial"/>
          <w:sz w:val="22"/>
          <w:szCs w:val="22"/>
          <w:vertAlign w:val="superscript"/>
          <w:lang w:val="en-US"/>
        </w:rPr>
        <w:t xml:space="preserve">+ </w:t>
      </w:r>
      <w:r w:rsidR="006B6EFF" w:rsidRPr="00B74951">
        <w:rPr>
          <w:rFonts w:ascii="Arial" w:hAnsi="Arial" w:cs="Arial"/>
          <w:sz w:val="22"/>
          <w:szCs w:val="22"/>
          <w:lang w:val="en-US"/>
        </w:rPr>
        <w:t xml:space="preserve">(V617F) </w:t>
      </w:r>
      <w:r w:rsidR="00EC7AFD">
        <w:rPr>
          <w:rFonts w:ascii="Arial" w:hAnsi="Arial" w:cs="Arial"/>
          <w:sz w:val="22"/>
          <w:szCs w:val="22"/>
          <w:lang w:val="en-US"/>
        </w:rPr>
        <w:t>CD34</w:t>
      </w:r>
      <w:r w:rsidR="00EC7AFD" w:rsidRPr="00EC7AFD">
        <w:rPr>
          <w:rFonts w:ascii="Arial" w:hAnsi="Arial" w:cs="Arial"/>
          <w:sz w:val="22"/>
          <w:szCs w:val="22"/>
          <w:vertAlign w:val="superscript"/>
          <w:lang w:val="en-US"/>
        </w:rPr>
        <w:t>+</w:t>
      </w:r>
      <w:r w:rsidR="00EC7AFD">
        <w:rPr>
          <w:rFonts w:ascii="Arial" w:hAnsi="Arial" w:cs="Arial"/>
          <w:sz w:val="22"/>
          <w:szCs w:val="22"/>
          <w:lang w:val="en-US"/>
        </w:rPr>
        <w:t xml:space="preserve"> P-ECs cells</w:t>
      </w:r>
      <w:r w:rsidR="006B6EFF" w:rsidRPr="00B74951">
        <w:rPr>
          <w:rFonts w:ascii="Arial" w:hAnsi="Arial" w:cs="Arial"/>
          <w:sz w:val="22"/>
          <w:szCs w:val="22"/>
          <w:lang w:val="en-US"/>
        </w:rPr>
        <w:t xml:space="preserve"> in each phase of cell cycle</w:t>
      </w:r>
      <w:r w:rsidR="00B74951">
        <w:rPr>
          <w:rFonts w:ascii="Arial" w:hAnsi="Arial" w:cs="Arial"/>
          <w:sz w:val="22"/>
          <w:szCs w:val="22"/>
          <w:lang w:val="en-US"/>
        </w:rPr>
        <w:t>,</w:t>
      </w:r>
      <w:r w:rsidR="006B6EFF" w:rsidRPr="00B74951">
        <w:rPr>
          <w:rFonts w:ascii="Arial" w:hAnsi="Arial" w:cs="Arial"/>
          <w:sz w:val="22"/>
          <w:szCs w:val="22"/>
          <w:lang w:val="en-US"/>
        </w:rPr>
        <w:t xml:space="preserve"> either untreated (Un) or after treatment with </w:t>
      </w:r>
      <w:r w:rsidR="00B74951">
        <w:rPr>
          <w:rFonts w:ascii="Arial" w:hAnsi="Arial" w:cs="Arial"/>
          <w:sz w:val="22"/>
          <w:szCs w:val="22"/>
          <w:lang w:val="en-US"/>
        </w:rPr>
        <w:t>inflammatory cytokines</w:t>
      </w:r>
      <w:r w:rsidR="006B6EFF" w:rsidRPr="00B74951">
        <w:rPr>
          <w:rFonts w:ascii="Arial" w:hAnsi="Arial" w:cs="Arial"/>
          <w:sz w:val="22"/>
          <w:szCs w:val="22"/>
          <w:lang w:val="en-US"/>
        </w:rPr>
        <w:t xml:space="preserve"> (</w:t>
      </w:r>
      <w:proofErr w:type="spellStart"/>
      <w:r w:rsidR="006B6EFF" w:rsidRPr="00B74951">
        <w:rPr>
          <w:rFonts w:ascii="Arial" w:hAnsi="Arial" w:cs="Arial"/>
          <w:sz w:val="22"/>
          <w:szCs w:val="22"/>
          <w:lang w:val="en-US"/>
        </w:rPr>
        <w:t>Cyt</w:t>
      </w:r>
      <w:proofErr w:type="spellEnd"/>
      <w:r w:rsidR="006B6EFF" w:rsidRPr="00B74951">
        <w:rPr>
          <w:rFonts w:ascii="Arial" w:hAnsi="Arial" w:cs="Arial"/>
          <w:sz w:val="22"/>
          <w:szCs w:val="22"/>
          <w:lang w:val="en-US"/>
        </w:rPr>
        <w:t>). *P≤0.05, **P ≤ 0.01, ***P ≤ 0.001, ****P ≤ 0.0001.</w:t>
      </w:r>
    </w:p>
    <w:p w14:paraId="13B4C861" w14:textId="77777777" w:rsidR="003A5293" w:rsidRPr="003A5293" w:rsidRDefault="003A5293" w:rsidP="003A5293">
      <w:pPr>
        <w:spacing w:line="360" w:lineRule="auto"/>
        <w:jc w:val="both"/>
        <w:rPr>
          <w:rFonts w:ascii="Arial" w:hAnsi="Arial" w:cs="Arial"/>
          <w:sz w:val="22"/>
          <w:szCs w:val="22"/>
          <w:lang w:val="en-US"/>
        </w:rPr>
      </w:pPr>
    </w:p>
    <w:p w14:paraId="1977E0AC" w14:textId="77777777" w:rsidR="0008739E" w:rsidRDefault="003A5293" w:rsidP="003A5293">
      <w:pPr>
        <w:jc w:val="center"/>
        <w:rPr>
          <w:rFonts w:ascii="Arial" w:hAnsi="Arial" w:cs="Arial"/>
          <w:sz w:val="22"/>
          <w:szCs w:val="22"/>
        </w:rPr>
      </w:pPr>
      <w:r w:rsidRPr="0008739E">
        <w:rPr>
          <w:rFonts w:ascii="Arial" w:hAnsi="Arial" w:cs="Arial"/>
          <w:sz w:val="22"/>
          <w:szCs w:val="22"/>
        </w:rPr>
        <w:fldChar w:fldCharType="begin"/>
      </w:r>
      <w:r w:rsidRPr="0008739E">
        <w:rPr>
          <w:rFonts w:ascii="Arial" w:hAnsi="Arial" w:cs="Arial"/>
          <w:sz w:val="22"/>
          <w:szCs w:val="22"/>
        </w:rPr>
        <w:instrText xml:space="preserve"> INCLUDEPICTURE "https://media.springernature.com/full/springer-static/image/art%3A10.1038%2Fs41388-019-0813-7/MediaObjects/41388_2019_813_Fig3_HTML.png" \* MERGEFORMATINET </w:instrText>
      </w:r>
      <w:r w:rsidRPr="0008739E">
        <w:rPr>
          <w:rFonts w:ascii="Arial" w:hAnsi="Arial" w:cs="Arial"/>
          <w:sz w:val="22"/>
          <w:szCs w:val="22"/>
        </w:rPr>
        <w:fldChar w:fldCharType="separate"/>
      </w:r>
      <w:r w:rsidRPr="003A5293">
        <w:rPr>
          <w:rFonts w:ascii="Arial" w:hAnsi="Arial" w:cs="Arial"/>
          <w:noProof/>
          <w:sz w:val="22"/>
          <w:szCs w:val="22"/>
          <w:lang w:val="cs-CZ" w:eastAsia="cs-CZ"/>
        </w:rPr>
        <w:drawing>
          <wp:inline distT="0" distB="0" distL="0" distR="0" wp14:anchorId="51F81160" wp14:editId="34BF6047">
            <wp:extent cx="3793401" cy="3231749"/>
            <wp:effectExtent l="0" t="0" r="4445" b="0"/>
            <wp:docPr id="37" name="Grafik 37" descr="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213" t="46537" r="56199" b="21607"/>
                    <a:stretch/>
                  </pic:blipFill>
                  <pic:spPr bwMode="auto">
                    <a:xfrm>
                      <a:off x="0" y="0"/>
                      <a:ext cx="3817620" cy="3252383"/>
                    </a:xfrm>
                    <a:prstGeom prst="rect">
                      <a:avLst/>
                    </a:prstGeom>
                    <a:noFill/>
                    <a:ln>
                      <a:noFill/>
                    </a:ln>
                    <a:extLst>
                      <a:ext uri="{53640926-AAD7-44D8-BBD7-CCE9431645EC}">
                        <a14:shadowObscured xmlns:a14="http://schemas.microsoft.com/office/drawing/2010/main"/>
                      </a:ext>
                    </a:extLst>
                  </pic:spPr>
                </pic:pic>
              </a:graphicData>
            </a:graphic>
          </wp:inline>
        </w:drawing>
      </w:r>
      <w:r w:rsidRPr="0008739E">
        <w:rPr>
          <w:rFonts w:ascii="Arial" w:hAnsi="Arial" w:cs="Arial"/>
          <w:sz w:val="22"/>
          <w:szCs w:val="22"/>
        </w:rPr>
        <w:fldChar w:fldCharType="end"/>
      </w:r>
      <w:r w:rsidRPr="0008739E">
        <w:rPr>
          <w:rFonts w:ascii="Arial" w:hAnsi="Arial" w:cs="Arial"/>
          <w:sz w:val="22"/>
          <w:szCs w:val="22"/>
        </w:rPr>
        <w:fldChar w:fldCharType="begin"/>
      </w:r>
      <w:r w:rsidRPr="0008739E">
        <w:rPr>
          <w:rFonts w:ascii="Arial" w:hAnsi="Arial" w:cs="Arial"/>
          <w:sz w:val="22"/>
          <w:szCs w:val="22"/>
        </w:rPr>
        <w:instrText xml:space="preserve"> INCLUDEPICTURE "https://media.springernature.com/full/springer-static/image/art%3A10.1038%2Fs41388-019-0813-7/MediaObjects/41388_2019_813_Fig3_HTML.png" \* MERGEFORMATINET </w:instrText>
      </w:r>
      <w:r w:rsidRPr="0008739E">
        <w:rPr>
          <w:rFonts w:ascii="Arial" w:hAnsi="Arial" w:cs="Arial"/>
          <w:sz w:val="22"/>
          <w:szCs w:val="22"/>
        </w:rPr>
        <w:fldChar w:fldCharType="separate"/>
      </w:r>
      <w:r w:rsidRPr="003A5293">
        <w:rPr>
          <w:rFonts w:ascii="Arial" w:hAnsi="Arial" w:cs="Arial"/>
          <w:noProof/>
          <w:sz w:val="22"/>
          <w:szCs w:val="22"/>
          <w:lang w:val="cs-CZ" w:eastAsia="cs-CZ"/>
        </w:rPr>
        <w:drawing>
          <wp:inline distT="0" distB="0" distL="0" distR="0" wp14:anchorId="2CDD4A74" wp14:editId="407E02A2">
            <wp:extent cx="3492657" cy="1404000"/>
            <wp:effectExtent l="0" t="0" r="0" b="5715"/>
            <wp:docPr id="39" name="Grafik 39" descr="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7039" t="47452" r="9415" b="36422"/>
                    <a:stretch/>
                  </pic:blipFill>
                  <pic:spPr bwMode="auto">
                    <a:xfrm>
                      <a:off x="0" y="0"/>
                      <a:ext cx="3492657" cy="1404000"/>
                    </a:xfrm>
                    <a:prstGeom prst="rect">
                      <a:avLst/>
                    </a:prstGeom>
                    <a:noFill/>
                    <a:ln>
                      <a:noFill/>
                    </a:ln>
                    <a:extLst>
                      <a:ext uri="{53640926-AAD7-44D8-BBD7-CCE9431645EC}">
                        <a14:shadowObscured xmlns:a14="http://schemas.microsoft.com/office/drawing/2010/main"/>
                      </a:ext>
                    </a:extLst>
                  </pic:spPr>
                </pic:pic>
              </a:graphicData>
            </a:graphic>
          </wp:inline>
        </w:drawing>
      </w:r>
      <w:r w:rsidRPr="0008739E">
        <w:rPr>
          <w:rFonts w:ascii="Arial" w:hAnsi="Arial" w:cs="Arial"/>
          <w:sz w:val="22"/>
          <w:szCs w:val="22"/>
        </w:rPr>
        <w:fldChar w:fldCharType="end"/>
      </w:r>
      <w:r w:rsidRPr="0008739E">
        <w:rPr>
          <w:rFonts w:ascii="Arial" w:hAnsi="Arial" w:cs="Arial"/>
          <w:sz w:val="22"/>
          <w:szCs w:val="22"/>
        </w:rPr>
        <w:fldChar w:fldCharType="begin"/>
      </w:r>
      <w:r w:rsidRPr="0008739E">
        <w:rPr>
          <w:rFonts w:ascii="Arial" w:hAnsi="Arial" w:cs="Arial"/>
          <w:sz w:val="22"/>
          <w:szCs w:val="22"/>
        </w:rPr>
        <w:instrText xml:space="preserve"> INCLUDEPICTURE "https://media.springernature.com/full/springer-static/image/art%3A10.1038%2Fs41388-019-0813-7/MediaObjects/41388_2019_813_Fig3_HTML.png" \* MERGEFORMATINET </w:instrText>
      </w:r>
      <w:r w:rsidRPr="0008739E">
        <w:rPr>
          <w:rFonts w:ascii="Arial" w:hAnsi="Arial" w:cs="Arial"/>
          <w:sz w:val="22"/>
          <w:szCs w:val="22"/>
        </w:rPr>
        <w:fldChar w:fldCharType="separate"/>
      </w:r>
      <w:r w:rsidRPr="003A5293">
        <w:rPr>
          <w:rFonts w:ascii="Arial" w:hAnsi="Arial" w:cs="Arial"/>
          <w:noProof/>
          <w:sz w:val="22"/>
          <w:szCs w:val="22"/>
          <w:lang w:val="cs-CZ" w:eastAsia="cs-CZ"/>
        </w:rPr>
        <w:drawing>
          <wp:inline distT="0" distB="0" distL="0" distR="0" wp14:anchorId="3D37C70F" wp14:editId="1FDC6BDC">
            <wp:extent cx="1846847" cy="1404000"/>
            <wp:effectExtent l="0" t="0" r="0" b="5715"/>
            <wp:docPr id="41" name="Grafik 41" descr="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5872" t="62701" r="31102" b="21173"/>
                    <a:stretch/>
                  </pic:blipFill>
                  <pic:spPr bwMode="auto">
                    <a:xfrm>
                      <a:off x="0" y="0"/>
                      <a:ext cx="1846847" cy="1404000"/>
                    </a:xfrm>
                    <a:prstGeom prst="rect">
                      <a:avLst/>
                    </a:prstGeom>
                    <a:noFill/>
                    <a:ln>
                      <a:noFill/>
                    </a:ln>
                    <a:extLst>
                      <a:ext uri="{53640926-AAD7-44D8-BBD7-CCE9431645EC}">
                        <a14:shadowObscured xmlns:a14="http://schemas.microsoft.com/office/drawing/2010/main"/>
                      </a:ext>
                    </a:extLst>
                  </pic:spPr>
                </pic:pic>
              </a:graphicData>
            </a:graphic>
          </wp:inline>
        </w:drawing>
      </w:r>
      <w:r w:rsidRPr="0008739E">
        <w:rPr>
          <w:rFonts w:ascii="Arial" w:hAnsi="Arial" w:cs="Arial"/>
          <w:sz w:val="22"/>
          <w:szCs w:val="22"/>
        </w:rPr>
        <w:fldChar w:fldCharType="end"/>
      </w:r>
    </w:p>
    <w:p w14:paraId="26F2D923" w14:textId="77777777" w:rsidR="003A5293" w:rsidRPr="00EC7AFD" w:rsidRDefault="003A5293" w:rsidP="00FF493F">
      <w:pPr>
        <w:spacing w:line="360" w:lineRule="auto"/>
        <w:jc w:val="both"/>
        <w:rPr>
          <w:rFonts w:ascii="Arial" w:hAnsi="Arial" w:cs="Arial"/>
          <w:sz w:val="22"/>
          <w:szCs w:val="22"/>
          <w:lang w:val="en-US"/>
        </w:rPr>
      </w:pPr>
    </w:p>
    <w:p w14:paraId="4D80E576" w14:textId="77777777" w:rsidR="003A5293" w:rsidRPr="00D53C50" w:rsidRDefault="003A5293" w:rsidP="00FF493F">
      <w:pPr>
        <w:spacing w:line="360" w:lineRule="auto"/>
        <w:jc w:val="both"/>
        <w:rPr>
          <w:rFonts w:ascii="Arial" w:hAnsi="Arial" w:cs="Arial"/>
          <w:sz w:val="22"/>
          <w:szCs w:val="22"/>
          <w:lang w:val="en-US"/>
        </w:rPr>
      </w:pPr>
      <w:r w:rsidRPr="00EC7AFD">
        <w:rPr>
          <w:rFonts w:ascii="Arial" w:hAnsi="Arial" w:cs="Arial"/>
          <w:b/>
          <w:bCs/>
          <w:sz w:val="22"/>
          <w:szCs w:val="22"/>
          <w:lang w:val="en-US"/>
        </w:rPr>
        <w:t>Figure 21</w:t>
      </w:r>
      <w:r w:rsidRPr="00D53C50">
        <w:rPr>
          <w:rFonts w:ascii="Arial" w:hAnsi="Arial" w:cs="Arial"/>
          <w:sz w:val="22"/>
          <w:szCs w:val="22"/>
          <w:lang w:val="en-US"/>
        </w:rPr>
        <w:t>:</w:t>
      </w:r>
      <w:r w:rsidR="00EC7AFD">
        <w:rPr>
          <w:rFonts w:ascii="Arial" w:hAnsi="Arial" w:cs="Arial"/>
          <w:sz w:val="22"/>
          <w:szCs w:val="22"/>
          <w:lang w:val="en-US"/>
        </w:rPr>
        <w:t xml:space="preserve"> Representative w</w:t>
      </w:r>
      <w:r w:rsidR="00EC7AFD" w:rsidRPr="00EC7AFD">
        <w:rPr>
          <w:rFonts w:ascii="Arial" w:hAnsi="Arial" w:cs="Arial"/>
          <w:sz w:val="22"/>
          <w:szCs w:val="22"/>
          <w:lang w:val="en-US"/>
        </w:rPr>
        <w:t xml:space="preserve">estern </w:t>
      </w:r>
      <w:r w:rsidR="00EC7AFD">
        <w:rPr>
          <w:rFonts w:ascii="Arial" w:hAnsi="Arial" w:cs="Arial"/>
          <w:sz w:val="22"/>
          <w:szCs w:val="22"/>
          <w:lang w:val="en-US"/>
        </w:rPr>
        <w:t xml:space="preserve">blots </w:t>
      </w:r>
      <w:r w:rsidR="00EC7AFD" w:rsidRPr="00EC7AFD">
        <w:rPr>
          <w:rFonts w:ascii="Arial" w:hAnsi="Arial" w:cs="Arial"/>
          <w:sz w:val="22"/>
          <w:szCs w:val="22"/>
          <w:lang w:val="en-US"/>
        </w:rPr>
        <w:t>of checkpoint proteins</w:t>
      </w:r>
      <w:r w:rsidR="00FF493F">
        <w:rPr>
          <w:rFonts w:ascii="Arial" w:hAnsi="Arial" w:cs="Arial"/>
          <w:sz w:val="22"/>
          <w:szCs w:val="22"/>
          <w:lang w:val="en-US"/>
        </w:rPr>
        <w:t>, either total or phosphor-form/active</w:t>
      </w:r>
      <w:r w:rsidR="00EC7AFD" w:rsidRPr="00EC7AFD">
        <w:rPr>
          <w:rFonts w:ascii="Arial" w:hAnsi="Arial" w:cs="Arial"/>
          <w:sz w:val="22"/>
          <w:szCs w:val="22"/>
          <w:lang w:val="en-US"/>
        </w:rPr>
        <w:t xml:space="preserve"> </w:t>
      </w:r>
      <w:r w:rsidR="00FF493F">
        <w:rPr>
          <w:rFonts w:ascii="Arial" w:hAnsi="Arial" w:cs="Arial"/>
          <w:sz w:val="22"/>
          <w:szCs w:val="22"/>
          <w:lang w:val="en-US"/>
        </w:rPr>
        <w:t>from protein lysates of synchronized</w:t>
      </w:r>
      <w:r w:rsidR="00EC7AFD" w:rsidRPr="00EC7AFD">
        <w:rPr>
          <w:rFonts w:ascii="Arial" w:hAnsi="Arial" w:cs="Arial"/>
          <w:sz w:val="22"/>
          <w:szCs w:val="22"/>
          <w:lang w:val="en-US"/>
        </w:rPr>
        <w:t xml:space="preserve"> d</w:t>
      </w:r>
      <w:r w:rsidR="00FF493F">
        <w:rPr>
          <w:rFonts w:ascii="Arial" w:hAnsi="Arial" w:cs="Arial"/>
          <w:sz w:val="22"/>
          <w:szCs w:val="22"/>
          <w:lang w:val="en-US"/>
        </w:rPr>
        <w:t xml:space="preserve">ay </w:t>
      </w:r>
      <w:r w:rsidR="00EC7AFD" w:rsidRPr="00EC7AFD">
        <w:rPr>
          <w:rFonts w:ascii="Arial" w:hAnsi="Arial" w:cs="Arial"/>
          <w:sz w:val="22"/>
          <w:szCs w:val="22"/>
          <w:lang w:val="en-US"/>
        </w:rPr>
        <w:t xml:space="preserve">9 </w:t>
      </w:r>
      <w:r w:rsidR="00FF493F">
        <w:rPr>
          <w:rFonts w:ascii="Arial" w:hAnsi="Arial" w:cs="Arial"/>
          <w:sz w:val="22"/>
          <w:szCs w:val="22"/>
          <w:lang w:val="en-US"/>
        </w:rPr>
        <w:t>differentiated</w:t>
      </w:r>
      <w:r w:rsidR="00EC7AFD" w:rsidRPr="00EC7AFD">
        <w:rPr>
          <w:rFonts w:ascii="Arial" w:hAnsi="Arial" w:cs="Arial"/>
          <w:sz w:val="22"/>
          <w:szCs w:val="22"/>
          <w:lang w:val="en-US"/>
        </w:rPr>
        <w:t xml:space="preserve"> </w:t>
      </w:r>
      <w:r w:rsidR="00EC7AFD" w:rsidRPr="00FF493F">
        <w:rPr>
          <w:rFonts w:ascii="Arial" w:hAnsi="Arial" w:cs="Arial"/>
          <w:i/>
          <w:iCs/>
          <w:sz w:val="22"/>
          <w:szCs w:val="22"/>
          <w:lang w:val="en-US"/>
        </w:rPr>
        <w:t>JAK2</w:t>
      </w:r>
      <w:r w:rsidR="00FF493F">
        <w:rPr>
          <w:rFonts w:ascii="Arial" w:hAnsi="Arial" w:cs="Arial"/>
          <w:sz w:val="22"/>
          <w:szCs w:val="22"/>
          <w:lang w:val="en-US"/>
        </w:rPr>
        <w:t xml:space="preserve"> </w:t>
      </w:r>
      <w:proofErr w:type="spellStart"/>
      <w:r w:rsidR="00EC7AFD" w:rsidRPr="00EC7AFD">
        <w:rPr>
          <w:rFonts w:ascii="Arial" w:hAnsi="Arial" w:cs="Arial"/>
          <w:sz w:val="22"/>
          <w:szCs w:val="22"/>
          <w:lang w:val="en-US"/>
        </w:rPr>
        <w:t>wt</w:t>
      </w:r>
      <w:proofErr w:type="spellEnd"/>
      <w:r w:rsidR="00EC7AFD" w:rsidRPr="00EC7AFD">
        <w:rPr>
          <w:rFonts w:ascii="Arial" w:hAnsi="Arial" w:cs="Arial"/>
          <w:sz w:val="22"/>
          <w:szCs w:val="22"/>
          <w:lang w:val="en-US"/>
        </w:rPr>
        <w:t xml:space="preserve"> and </w:t>
      </w:r>
      <w:r w:rsidR="00EC7AFD" w:rsidRPr="00FF493F">
        <w:rPr>
          <w:rFonts w:ascii="Arial" w:hAnsi="Arial" w:cs="Arial"/>
          <w:i/>
          <w:iCs/>
          <w:sz w:val="22"/>
          <w:szCs w:val="22"/>
          <w:lang w:val="en-US"/>
        </w:rPr>
        <w:t>JAK2</w:t>
      </w:r>
      <w:r w:rsidR="00FF493F" w:rsidRPr="00FF493F">
        <w:rPr>
          <w:rFonts w:ascii="Arial" w:hAnsi="Arial" w:cs="Arial"/>
          <w:i/>
          <w:iCs/>
          <w:sz w:val="22"/>
          <w:szCs w:val="22"/>
          <w:lang w:val="en-US"/>
        </w:rPr>
        <w:t xml:space="preserve"> </w:t>
      </w:r>
      <w:r w:rsidR="00EC7AFD" w:rsidRPr="00CD395D">
        <w:rPr>
          <w:rFonts w:ascii="Arial" w:hAnsi="Arial" w:cs="Arial"/>
          <w:sz w:val="22"/>
          <w:szCs w:val="22"/>
          <w:lang w:val="en-US"/>
        </w:rPr>
        <w:t>V617F</w:t>
      </w:r>
      <w:r w:rsidR="00EC7AFD" w:rsidRPr="00FF493F">
        <w:rPr>
          <w:rFonts w:ascii="Arial" w:hAnsi="Arial" w:cs="Arial"/>
          <w:sz w:val="22"/>
          <w:szCs w:val="22"/>
          <w:vertAlign w:val="superscript"/>
          <w:lang w:val="en-US"/>
        </w:rPr>
        <w:t>+</w:t>
      </w:r>
      <w:r w:rsidR="00EC7AFD" w:rsidRPr="00EC7AFD">
        <w:rPr>
          <w:rFonts w:ascii="Arial" w:hAnsi="Arial" w:cs="Arial"/>
          <w:sz w:val="22"/>
          <w:szCs w:val="22"/>
          <w:lang w:val="en-US"/>
        </w:rPr>
        <w:t xml:space="preserve"> CD34</w:t>
      </w:r>
      <w:r w:rsidR="00EC7AFD" w:rsidRPr="00FF493F">
        <w:rPr>
          <w:rFonts w:ascii="Arial" w:hAnsi="Arial" w:cs="Arial"/>
          <w:sz w:val="22"/>
          <w:szCs w:val="22"/>
          <w:vertAlign w:val="superscript"/>
          <w:lang w:val="en-US"/>
        </w:rPr>
        <w:t>+</w:t>
      </w:r>
      <w:r w:rsidR="00EC7AFD" w:rsidRPr="00EC7AFD">
        <w:rPr>
          <w:rFonts w:ascii="Arial" w:hAnsi="Arial" w:cs="Arial"/>
          <w:sz w:val="22"/>
          <w:szCs w:val="22"/>
          <w:lang w:val="en-US"/>
        </w:rPr>
        <w:t xml:space="preserve"> P-ECs. Charts show relative expression (mean ± SD, n = 2)</w:t>
      </w:r>
      <w:r w:rsidR="00FF493F">
        <w:rPr>
          <w:rFonts w:ascii="Arial" w:hAnsi="Arial" w:cs="Arial"/>
          <w:sz w:val="22"/>
          <w:szCs w:val="22"/>
          <w:lang w:val="en-US"/>
        </w:rPr>
        <w:t xml:space="preserve"> of proteins phosphor-form</w:t>
      </w:r>
      <w:r w:rsidR="00EC7AFD" w:rsidRPr="00EC7AFD">
        <w:rPr>
          <w:rFonts w:ascii="Arial" w:hAnsi="Arial" w:cs="Arial"/>
          <w:sz w:val="22"/>
          <w:szCs w:val="22"/>
          <w:lang w:val="en-US"/>
        </w:rPr>
        <w:t xml:space="preserve"> normalized to actin. *P ≤ 0.05, two-way ANOVA.</w:t>
      </w:r>
    </w:p>
    <w:p w14:paraId="64EFC039" w14:textId="77777777" w:rsidR="0008739E" w:rsidRPr="003A5293" w:rsidRDefault="0008739E" w:rsidP="00EC7AFD">
      <w:pPr>
        <w:spacing w:line="360" w:lineRule="auto"/>
        <w:jc w:val="both"/>
        <w:rPr>
          <w:rFonts w:ascii="Arial" w:hAnsi="Arial" w:cs="Arial"/>
          <w:sz w:val="22"/>
          <w:szCs w:val="22"/>
          <w:lang w:val="en-US"/>
        </w:rPr>
      </w:pPr>
    </w:p>
    <w:p w14:paraId="5CAE3B2C" w14:textId="58817A3E" w:rsidR="00E07EE3" w:rsidRPr="003A5293" w:rsidRDefault="00506169" w:rsidP="001B608A">
      <w:pPr>
        <w:pStyle w:val="Formatvorlage1"/>
        <w:rPr>
          <w:rFonts w:cs="Arial"/>
        </w:rPr>
      </w:pPr>
      <w:bookmarkStart w:id="21" w:name="_Toc57582496"/>
      <w:r w:rsidRPr="003A5293">
        <w:rPr>
          <w:rFonts w:cs="Arial"/>
        </w:rPr>
        <w:t xml:space="preserve">Overexpression of DUSP1 facilitates survival and proliferation of </w:t>
      </w:r>
      <w:r w:rsidRPr="00A41BDE">
        <w:rPr>
          <w:rFonts w:cs="Arial"/>
          <w:i/>
          <w:iCs/>
        </w:rPr>
        <w:t>JAK2</w:t>
      </w:r>
      <w:r w:rsidR="00A41BDE" w:rsidRPr="00A41BDE">
        <w:rPr>
          <w:rFonts w:cs="Arial"/>
          <w:i/>
          <w:iCs/>
        </w:rPr>
        <w:t xml:space="preserve"> </w:t>
      </w:r>
      <w:r w:rsidRPr="00CD395D">
        <w:rPr>
          <w:rFonts w:cs="Arial"/>
        </w:rPr>
        <w:t>V617F</w:t>
      </w:r>
      <w:r w:rsidRPr="003A5293">
        <w:rPr>
          <w:rFonts w:cs="Arial"/>
          <w:vertAlign w:val="superscript"/>
        </w:rPr>
        <w:t xml:space="preserve">+ </w:t>
      </w:r>
      <w:r w:rsidRPr="003A5293">
        <w:rPr>
          <w:rFonts w:cs="Arial"/>
        </w:rPr>
        <w:t>cells in inflammatory conditions</w:t>
      </w:r>
      <w:bookmarkEnd w:id="21"/>
    </w:p>
    <w:p w14:paraId="2320F97A" w14:textId="77777777" w:rsidR="00E07EE3" w:rsidRDefault="00E07EE3" w:rsidP="001E0B16">
      <w:pPr>
        <w:spacing w:line="360" w:lineRule="auto"/>
        <w:jc w:val="both"/>
        <w:rPr>
          <w:rFonts w:ascii="Arial" w:hAnsi="Arial" w:cs="Arial"/>
          <w:sz w:val="22"/>
          <w:szCs w:val="22"/>
          <w:lang w:val="en-US"/>
        </w:rPr>
      </w:pPr>
    </w:p>
    <w:p w14:paraId="430F85C7" w14:textId="77777777" w:rsidR="00EF469E" w:rsidRDefault="00EE5BD7" w:rsidP="001E0B16">
      <w:pPr>
        <w:spacing w:line="360" w:lineRule="auto"/>
        <w:jc w:val="both"/>
        <w:rPr>
          <w:rFonts w:ascii="Arial" w:hAnsi="Arial" w:cs="Arial"/>
          <w:sz w:val="22"/>
          <w:szCs w:val="22"/>
          <w:lang w:val="en-US"/>
        </w:rPr>
      </w:pPr>
      <w:r>
        <w:rPr>
          <w:rFonts w:ascii="Arial" w:hAnsi="Arial" w:cs="Arial"/>
          <w:sz w:val="22"/>
          <w:szCs w:val="22"/>
          <w:lang w:val="en-US"/>
        </w:rPr>
        <w:tab/>
      </w:r>
      <w:r w:rsidR="00EE691C">
        <w:rPr>
          <w:rFonts w:ascii="Arial" w:hAnsi="Arial" w:cs="Arial"/>
          <w:sz w:val="22"/>
          <w:szCs w:val="22"/>
          <w:lang w:val="en-US"/>
        </w:rPr>
        <w:t xml:space="preserve">Essential signaling junction governing cellular responses upon inputs from DDR and </w:t>
      </w:r>
      <w:r w:rsidRPr="00EE5BD7">
        <w:rPr>
          <w:rFonts w:ascii="Arial" w:hAnsi="Arial" w:cs="Arial"/>
          <w:sz w:val="22"/>
          <w:szCs w:val="22"/>
          <w:lang w:val="en-US"/>
        </w:rPr>
        <w:t xml:space="preserve">inflammatory </w:t>
      </w:r>
      <w:r w:rsidR="00EE691C">
        <w:rPr>
          <w:rFonts w:ascii="Arial" w:hAnsi="Arial" w:cs="Arial"/>
          <w:sz w:val="22"/>
          <w:szCs w:val="22"/>
          <w:lang w:val="en-US"/>
        </w:rPr>
        <w:t>signaling</w:t>
      </w:r>
      <w:r w:rsidRPr="00EE5BD7">
        <w:rPr>
          <w:rFonts w:ascii="Arial" w:hAnsi="Arial" w:cs="Arial"/>
          <w:sz w:val="22"/>
          <w:szCs w:val="22"/>
          <w:lang w:val="en-US"/>
        </w:rPr>
        <w:t xml:space="preserve"> involves stress-activated protein kinases (SAPKs) from MAPK superfamily</w:t>
      </w:r>
      <w:r w:rsidR="00382A11">
        <w:rPr>
          <w:rFonts w:ascii="Arial" w:hAnsi="Arial" w:cs="Arial"/>
          <w:sz w:val="22"/>
          <w:szCs w:val="22"/>
          <w:lang w:val="en-US"/>
        </w:rPr>
        <w:t xml:space="preserve"> </w:t>
      </w:r>
      <w:r w:rsidR="00382A11">
        <w:rPr>
          <w:rFonts w:ascii="Arial" w:hAnsi="Arial" w:cs="Arial"/>
          <w:sz w:val="22"/>
          <w:szCs w:val="22"/>
          <w:lang w:val="en-US"/>
        </w:rPr>
        <w:fldChar w:fldCharType="begin"/>
      </w:r>
      <w:r w:rsidR="00382A11">
        <w:rPr>
          <w:rFonts w:ascii="Arial" w:hAnsi="Arial" w:cs="Arial"/>
          <w:sz w:val="22"/>
          <w:szCs w:val="22"/>
          <w:lang w:val="en-US"/>
        </w:rPr>
        <w:instrText xml:space="preserve"> ADDIN ZOTERO_ITEM CSL_CITATION {"citationID":"jp8nNb9d","properties":{"formattedCitation":"(Lee et al., 2018)","plainCitation":"(Lee et al., 2018)","noteIndex":0},"citationItems":[{"id":75,"uris":["http://zotero.org/users/2484452/items/2EBZ4X6G"],"uri":["http://zotero.org/users/2484452/items/2EBZ4X6G"],"itemData":{"id":75,"type":"article-journal","abstract":"Stress-activated MAP kinases (SAPKs) respond to a wide variety of stressors. In most cases, the pathways through which specific stress signals are transmitted to the SAPKs are not known. Our recent findings have begun to address two important and related questions. First, do various stresses activate a SAPK through common pathways initiated at the cell surface, or through alternative, intracellular inputs? Second, how does an activated SAPK mount a specific response appropriate to the particular stress experienced? Our work has uncovered the mechanisms by which two stresses, arsenite treatment and DNA damage, stimulate the yeast SAPKs Hog1 and Mpk1, respectively. We found that these stresses activate the SAPKs through intracellular inputs that modulate their basal phosphorylation, rather than by activation of the protein kinase cascades known to stimulate them. Both stresses act through targeting, in different ways, the tyrosine-specific or dual-specificity protein phosphatases that normally maintain the SAPKs in a low-activity state. Previous work has demonstrated that basal signal flux through SAPK pathways is important for the sensitivity and dynamic response to external signals. Our work reveals that basal activity of SAPKs is additionally important to allow SAPK activation by intracellular inputs that modulate that activity. Additionally, because different stressors may activate SAPKs by modulation of basal signal through inputs at distinct nodes along the canonical activation pathway, stress-specific SAPK outputs may be controlled, in part, by the specific intracellular mechanisms of their activation. Thus, understanding the intracellular pathways through which various stressors activate SAPKs is likely to provide insight into how they elicit physiologically coherent responses to the specific stress experienced.","container-title":"Current Genetics","DOI":"10.1007/s00294-018-0898-5","ISSN":"1432-0983","journalAbbreviation":"Curr. Genet.","language":"eng","note":"PMID: 30377756","source":"PubMed","title":"Stressing out or stressing in: intracellular pathways for SAPK activation","title-short":"Stressing out or stressing in","author":[{"family":"Lee","given":"Jongmin"},{"family":"Liu","given":"Li"},{"family":"Levin","given":"David E."}],"issued":{"date-parts":[["2018",10,30]]}}}],"schema":"https://github.com/citation-style-language/schema/raw/master/csl-citation.json"} </w:instrText>
      </w:r>
      <w:r w:rsidR="00382A11">
        <w:rPr>
          <w:rFonts w:ascii="Arial" w:hAnsi="Arial" w:cs="Arial"/>
          <w:sz w:val="22"/>
          <w:szCs w:val="22"/>
          <w:lang w:val="en-US"/>
        </w:rPr>
        <w:fldChar w:fldCharType="separate"/>
      </w:r>
      <w:r w:rsidR="00382A11">
        <w:rPr>
          <w:rFonts w:ascii="Arial" w:hAnsi="Arial" w:cs="Arial"/>
          <w:noProof/>
          <w:sz w:val="22"/>
          <w:szCs w:val="22"/>
          <w:lang w:val="en-US"/>
        </w:rPr>
        <w:t>(Lee et al., 2018)</w:t>
      </w:r>
      <w:r w:rsidR="00382A11">
        <w:rPr>
          <w:rFonts w:ascii="Arial" w:hAnsi="Arial" w:cs="Arial"/>
          <w:sz w:val="22"/>
          <w:szCs w:val="22"/>
          <w:lang w:val="en-US"/>
        </w:rPr>
        <w:fldChar w:fldCharType="end"/>
      </w:r>
      <w:r w:rsidR="00EE691C">
        <w:rPr>
          <w:rFonts w:ascii="Arial" w:hAnsi="Arial" w:cs="Arial"/>
          <w:sz w:val="22"/>
          <w:szCs w:val="22"/>
          <w:lang w:val="en-US"/>
        </w:rPr>
        <w:t xml:space="preserve">. </w:t>
      </w:r>
      <w:r w:rsidR="00382A11">
        <w:rPr>
          <w:rFonts w:ascii="Arial" w:hAnsi="Arial" w:cs="Arial"/>
          <w:sz w:val="22"/>
          <w:szCs w:val="22"/>
          <w:lang w:val="en-US"/>
        </w:rPr>
        <w:t>Main SAPKs components</w:t>
      </w:r>
      <w:r w:rsidR="00E12E23">
        <w:rPr>
          <w:rFonts w:ascii="Arial" w:hAnsi="Arial" w:cs="Arial"/>
          <w:sz w:val="22"/>
          <w:szCs w:val="22"/>
          <w:lang w:val="en-US"/>
        </w:rPr>
        <w:t xml:space="preserve">, </w:t>
      </w:r>
      <w:r w:rsidRPr="00EE5BD7">
        <w:rPr>
          <w:rFonts w:ascii="Arial" w:hAnsi="Arial" w:cs="Arial"/>
          <w:sz w:val="22"/>
          <w:szCs w:val="22"/>
          <w:lang w:val="en-US"/>
        </w:rPr>
        <w:t>Jun kinases (JNKs) and p38MAPK</w:t>
      </w:r>
      <w:r w:rsidR="00382A11">
        <w:rPr>
          <w:rFonts w:ascii="Arial" w:hAnsi="Arial" w:cs="Arial"/>
          <w:sz w:val="22"/>
          <w:szCs w:val="22"/>
          <w:lang w:val="en-US"/>
        </w:rPr>
        <w:t>,</w:t>
      </w:r>
      <w:r w:rsidR="00E12E23">
        <w:rPr>
          <w:rFonts w:ascii="Arial" w:hAnsi="Arial" w:cs="Arial"/>
          <w:sz w:val="22"/>
          <w:szCs w:val="22"/>
          <w:lang w:val="en-US"/>
        </w:rPr>
        <w:t xml:space="preserve"> </w:t>
      </w:r>
      <w:r w:rsidR="00382A11" w:rsidRPr="00382A11">
        <w:rPr>
          <w:rFonts w:ascii="Arial" w:hAnsi="Arial" w:cs="Arial"/>
          <w:sz w:val="22"/>
          <w:szCs w:val="22"/>
          <w:lang w:val="en-US"/>
        </w:rPr>
        <w:t xml:space="preserve">maintain </w:t>
      </w:r>
      <w:r w:rsidR="00382A11">
        <w:rPr>
          <w:rFonts w:ascii="Arial" w:hAnsi="Arial" w:cs="Arial"/>
          <w:sz w:val="22"/>
          <w:szCs w:val="22"/>
          <w:lang w:val="en-US"/>
        </w:rPr>
        <w:t>balance</w:t>
      </w:r>
      <w:r w:rsidR="00382A11" w:rsidRPr="00382A11">
        <w:rPr>
          <w:rFonts w:ascii="Arial" w:hAnsi="Arial" w:cs="Arial"/>
          <w:sz w:val="22"/>
          <w:szCs w:val="22"/>
          <w:lang w:val="en-US"/>
        </w:rPr>
        <w:t xml:space="preserve"> of</w:t>
      </w:r>
      <w:r w:rsidR="00382A11">
        <w:rPr>
          <w:rFonts w:ascii="Arial" w:hAnsi="Arial" w:cs="Arial"/>
          <w:sz w:val="22"/>
          <w:szCs w:val="22"/>
          <w:lang w:val="en-US"/>
        </w:rPr>
        <w:t xml:space="preserve"> survival versus </w:t>
      </w:r>
      <w:r w:rsidR="00382A11" w:rsidRPr="00382A11">
        <w:rPr>
          <w:rFonts w:ascii="Arial" w:hAnsi="Arial" w:cs="Arial"/>
          <w:sz w:val="22"/>
          <w:szCs w:val="22"/>
          <w:lang w:val="en-US"/>
        </w:rPr>
        <w:t>senescence</w:t>
      </w:r>
      <w:r w:rsidR="00382A11">
        <w:rPr>
          <w:rFonts w:ascii="Arial" w:hAnsi="Arial" w:cs="Arial"/>
          <w:sz w:val="22"/>
          <w:szCs w:val="22"/>
          <w:lang w:val="en-US"/>
        </w:rPr>
        <w:t xml:space="preserve"> and apoptosis</w:t>
      </w:r>
      <w:r w:rsidR="002F0A7D">
        <w:rPr>
          <w:rFonts w:ascii="Arial" w:hAnsi="Arial" w:cs="Arial"/>
          <w:sz w:val="22"/>
          <w:szCs w:val="22"/>
          <w:lang w:val="en-US"/>
        </w:rPr>
        <w:t xml:space="preserve"> based on amount of signaling inputs</w:t>
      </w:r>
      <w:r w:rsidR="00382A11">
        <w:rPr>
          <w:rFonts w:ascii="Arial" w:hAnsi="Arial" w:cs="Arial"/>
          <w:sz w:val="22"/>
          <w:szCs w:val="22"/>
          <w:lang w:val="en-US"/>
        </w:rPr>
        <w:t xml:space="preserve"> in inflammatory microenvironment </w:t>
      </w:r>
      <w:r w:rsidR="00382A11">
        <w:rPr>
          <w:rFonts w:ascii="Arial" w:hAnsi="Arial" w:cs="Arial"/>
          <w:sz w:val="22"/>
          <w:szCs w:val="22"/>
          <w:lang w:val="en-US"/>
        </w:rPr>
        <w:fldChar w:fldCharType="begin"/>
      </w:r>
      <w:r w:rsidR="002F0A7D">
        <w:rPr>
          <w:rFonts w:ascii="Arial" w:hAnsi="Arial" w:cs="Arial"/>
          <w:sz w:val="22"/>
          <w:szCs w:val="22"/>
          <w:lang w:val="en-US"/>
        </w:rPr>
        <w:instrText xml:space="preserve"> ADDIN ZOTERO_ITEM CSL_CITATION {"citationID":"FERhcFEv","properties":{"formattedCitation":"(Arthur and Ley, 2013; Iwasa et al., 2003; Karigane et al., 2016)","plainCitation":"(Arthur and Ley, 2013; Iwasa et al., 2003; Karigane et al., 2016)","noteIndex":0},"citationItems":[{"id":74,"uris":["http://zotero.org/users/2484452/items/NN9ZVAAB"],"uri":["http://zotero.org/users/2484452/items/NN9ZVAAB"],"itemData":{"id":74,"type":"article-journal","abstract":"Following pathogen infection or tissue damage, the stimulation of pattern recognition receptors on the cell surface and in the cytoplasm of innate immune cells activates members of each of the major mitogen-activated protein kinase (MAPK) subfamilies--the extracellular signal-regulated kinase (ERK), p38 and Jun N-terminal kinase (JNK) subfamilies. In conjunction with the activation of nuclear factor-κB and interferon-regulatory factor transcription factors, MAPK activation induces the expression of multiple genes that together regulate the inflammatory response. In this Review, we discuss our current knowledge about the regulation and the function of MAPKs in innate immunity, as well as the importance of negative feedback loops in limiting MAPK activity to prevent host tissue damage. We also examine how pathogens have evolved complex mechanisms to manipulate MAPK activation to increase their virulence. Finally, we consider the potential of the pharmacological targeting of MAPK pathways to treat autoimmune and inflammatory diseases.","container-title":"Nature Reviews. Immunology","DOI":"10.1038/nri3495","ISSN":"1474-1741","issue":"9","journalAbbreviation":"Nat. Rev. Immunol.","language":"eng","note":"PMID: 23954936","page":"679-692","source":"PubMed","title":"Mitogen-activated protein kinases in innate immunity","volume":"13","author":[{"family":"Arthur","given":"J. Simon C."},{"family":"Ley","given":"Steven C."}],"issued":{"date-parts":[["2013",9]]}}},{"id":72,"uris":["http://zotero.org/users/2484452/items/HB3JGVFI"],"uri":["http://zotero.org/users/2484452/items/HB3JGVFI"],"itemData":{"id":72,"type":"article-journal","abstract":"BACKGROUND: Cellular senescence is a state of irreversible growth arrest shown by normal cells, and has been most extensively studied in replicative senescence caused by telomere shortening. Several conditions, including oncogenic Ras over-expression and inappropriate culture conditions, also induce senescence without telomere shortening. However, it remains unclear how a common set of senescence phenotypes is indistinguishably induced in various types of senescence.\nRESULTS: We demonstrate that p38 mitogen-activated protein kinase (MAPK) plays important causative roles in senescent cells following telomere shortening, Ras-Raf activation, oxidative stress or inappropriate culture conditions. By monitoring the kinetics of p38 activation, we suggest that p38 is activated not directly by the initial stimuli, but in response to unidentified cellular conditions caused by these stimuli. Importantly, this p38-activating condition appears to be defined quantitatively as a sum of continuous and low-level stresses, and remains even after the initial stimuli are withdrawn, which may explain the well-known irreversible nature of cellular senescence. We also show that papilloma virus E7 abolishes the p38-induced growth arrest but not other senescence-associated phenotypes, indicating the differential role of pRb in the downstream of p38.\nCONCLUSION: These results indicate that p38 comprises the senescence-executing pathway in response to diverse stimuli.","container-title":"Genes to Cells: Devoted to Molecular &amp; Cellular Mechanisms","ISSN":"1356-9597","issue":"2","journalAbbreviation":"Genes Cells","language":"eng","note":"PMID: 12581156","page":"131-144","source":"PubMed","title":"Mitogen-activated protein kinase p38 defines the common senescence-signalling pathway","volume":"8","author":[{"family":"Iwasa","given":"Hiroaki"},{"family":"Han","given":"Jiahuai"},{"family":"Ishikawa","given":"Fuyuki"}],"issued":{"date-parts":[["2003",2]]}}},{"id":73,"uris":["http://zotero.org/users/2484452/items/DV4RW8V5"],"uri":["http://zotero.org/users/2484452/items/DV4RW8V5"],"itemData":{"id":73,"type":"article-journal","abstract":"Hematopoietic stem cells (HSCs) maintain quiescence by activating specific metabolic pathways, including glycolysis. We do not yet have a clear understanding of how this metabolic activity changes during stress hematopoiesis, such as bone marrow transplantation. Here, we report a critical role for the p38MAPK family isoform p38α in initiating hematopoietic stem and progenitor cell (HSPC) proliferation during stress hematopoiesis in mice. We found that p38MAPK is immediately phosphorylated in HSPCs after a hematological stress, preceding increased HSPC cycling. Conditional deletion of p38α led to defective recovery from hematological stress and a delay in initiation of HSPC proliferation. Mechanistically, p38α signaling increases expression of inosine-5'-monophosphate dehydrogenase 2 in HSPCs, leading to altered levels of amino acids and purine-related metabolites and changes in cell-cycle progression in vitro and in vivo. Our studies have therefore uncovered a p38α-mediated pathway that alters HSPC metabolism to respond to stress and promote recovery.","container-title":"Cell Stem Cell","DOI":"10.1016/j.stem.2016.05.013","ISSN":"1875-9777","issue":"2","journalAbbreviation":"Cell Stem Cell","language":"eng","note":"PMID: 27345838","page":"192-204","source":"PubMed","title":"p38α Activates Purine Metabolism to Initiate Hematopoietic Stem/Progenitor Cell Cycling in Response to Stress","volume":"19","author":[{"family":"Karigane","given":"Daiki"},{"family":"Kobayashi","given":"Hiroshi"},{"family":"Morikawa","given":"Takayuki"},{"family":"Ootomo","given":"Yukako"},{"family":"Sakai","given":"Mashito"},{"family":"Nagamatsu","given":"Go"},{"family":"Kubota","given":"Yoshiaki"},{"family":"Goda","given":"Nobuhito"},{"family":"Matsumoto","given":"Michihiro"},{"family":"Nishimura","given":"Emi K."},{"family":"Soga","given":"Tomoyoshi"},{"family":"Otsu","given":"Kinya"},{"family":"Suematsu","given":"Makoto"},{"family":"Okamoto","given":"Shinichiro"},{"family":"Suda","given":"Toshio"},{"family":"Takubo","given":"Keiyo"}],"issued":{"date-parts":[["2016"]],"season":"04"}}}],"schema":"https://github.com/citation-style-language/schema/raw/master/csl-citation.json"} </w:instrText>
      </w:r>
      <w:r w:rsidR="00382A11">
        <w:rPr>
          <w:rFonts w:ascii="Arial" w:hAnsi="Arial" w:cs="Arial"/>
          <w:sz w:val="22"/>
          <w:szCs w:val="22"/>
          <w:lang w:val="en-US"/>
        </w:rPr>
        <w:fldChar w:fldCharType="separate"/>
      </w:r>
      <w:r w:rsidR="002F0A7D">
        <w:rPr>
          <w:rFonts w:ascii="Arial" w:hAnsi="Arial" w:cs="Arial"/>
          <w:noProof/>
          <w:sz w:val="22"/>
          <w:szCs w:val="22"/>
          <w:lang w:val="en-US"/>
        </w:rPr>
        <w:t>(Arthur and Ley, 2013; Iwasa et al., 2003; Karigane et al., 2016)</w:t>
      </w:r>
      <w:r w:rsidR="00382A11">
        <w:rPr>
          <w:rFonts w:ascii="Arial" w:hAnsi="Arial" w:cs="Arial"/>
          <w:sz w:val="22"/>
          <w:szCs w:val="22"/>
          <w:lang w:val="en-US"/>
        </w:rPr>
        <w:fldChar w:fldCharType="end"/>
      </w:r>
      <w:r w:rsidR="002F0A7D">
        <w:rPr>
          <w:rFonts w:ascii="Arial" w:hAnsi="Arial" w:cs="Arial"/>
          <w:sz w:val="22"/>
          <w:szCs w:val="22"/>
          <w:lang w:val="en-US"/>
        </w:rPr>
        <w:t xml:space="preserve">, vital even in MPN hematopoiesis </w:t>
      </w:r>
      <w:r w:rsidR="002F0A7D">
        <w:rPr>
          <w:rFonts w:ascii="Arial" w:hAnsi="Arial" w:cs="Arial"/>
          <w:sz w:val="22"/>
          <w:szCs w:val="22"/>
          <w:lang w:val="en-US"/>
        </w:rPr>
        <w:fldChar w:fldCharType="begin"/>
      </w:r>
      <w:r w:rsidR="002F0A7D">
        <w:rPr>
          <w:rFonts w:ascii="Arial" w:hAnsi="Arial" w:cs="Arial"/>
          <w:sz w:val="22"/>
          <w:szCs w:val="22"/>
          <w:lang w:val="en-US"/>
        </w:rPr>
        <w:instrText xml:space="preserve"> ADDIN ZOTERO_ITEM CSL_CITATION {"citationID":"5tajLLIJ","properties":{"formattedCitation":"(Lu et al., 2010)","plainCitation":"(Lu et al., 2010)","noteIndex":0},"citationItems":[{"id":71,"uris":["http://zotero.org/users/2484452/items/X2ZSHCS8"],"uri":["http://zotero.org/users/2484452/items/X2ZSHCS8"],"itemData":{"id":71,"type":"article-journal","abstract":"OBJECTIVE: Interferon-alpha (IFNalpha) therapy leads to hematological remissions and a reduction of the JAK2V617F allele burden in patients with polycythemia vera (PV). In this study, the cellular target by which IFNalpha affects hematopoiesis in PV patients was evaluated.\nMATERIALS AND METHODS: CD34(+) cells were isolated from normal bone marrow and the peripheral blood of patients with PV and were treated in vitro with each of the three commercially available forms of IFNalpha: IFNalpha 2b, pegylated IFNalpha 2a (Peg-IFNalpha 2a), and pegylated IFNalpha 2b (Peg-IFNalpha 2b).\nRESULTS: Each form of IFNalpha was equally potent in suppressing hematopoietic colony formation by normal CD34(+) cells, but Peg-IFNalpha 2a and IFNalpha 2b were more effective than Peg-IFNalpha 2b in inhibiting burst-forming unit erythroid-derived colony formation by PV CD34(+) cells. In addition, exposure of PV CD34(+) cells to equal doses of Peg-IFNalpha 2a and IFNalpha 2b resulted in a 38% to 40% reduction in the proportion of JAK2V617F-positive hematopoietic progenitor cells (HPC), while equivalent doses of Peg-IFNalpha 2b did not reduce the number of malignant HPC. Further studies explored the mechanism by which IFNalpha induced PV HPC growth inhibition. Treatment of Peg-IFNalpha 2a increased the rate of apoptosis of PV CD34(+) cells and the phosphorylation/activation of p38 mitogen-activated protein kinase in PV CD34(+) cells, while the p38-specific inhibitor SB203580 reversed the growth inhibition and apoptosis induced by Peg-IFNalpha 2a.\nCONCLUSION: These data suggest that low doses of IFNalpha selectively and directly suppress PV JAK2V617F HPC and that these agents act through the p38 mitogen-activated protein kinase pathway.","container-title":"Experimental Hematology","DOI":"10.1016/j.exphem.2010.03.005","ISSN":"1873-2399","issue":"6","journalAbbreviation":"Exp. Hematol.","language":"eng","note":"PMID: 20303384\nPMCID: PMC4293703","page":"472-480","source":"PubMed","title":"Interferon-alpha targets JAK2V617F-positive hematopoietic progenitor cells and acts through the p38 MAPK pathway","volume":"38","author":[{"family":"Lu","given":"Min"},{"family":"Zhang","given":"Wei"},{"family":"Li","given":"Yan"},{"family":"Berenzon","given":"Dmitriy"},{"family":"Wang","given":"Xiaoli"},{"family":"Wang","given":"Jiapeng"},{"family":"Mascarenhas","given":"John"},{"family":"Xu","given":"Mingjiang"},{"family":"Hoffman","given":"Ronald"}],"issued":{"date-parts":[["2010",6]]}}}],"schema":"https://github.com/citation-style-language/schema/raw/master/csl-citation.json"} </w:instrText>
      </w:r>
      <w:r w:rsidR="002F0A7D">
        <w:rPr>
          <w:rFonts w:ascii="Arial" w:hAnsi="Arial" w:cs="Arial"/>
          <w:sz w:val="22"/>
          <w:szCs w:val="22"/>
          <w:lang w:val="en-US"/>
        </w:rPr>
        <w:fldChar w:fldCharType="separate"/>
      </w:r>
      <w:r w:rsidR="002F0A7D">
        <w:rPr>
          <w:rFonts w:ascii="Arial" w:hAnsi="Arial" w:cs="Arial"/>
          <w:noProof/>
          <w:sz w:val="22"/>
          <w:szCs w:val="22"/>
          <w:lang w:val="en-US"/>
        </w:rPr>
        <w:t>(Lu et al., 2010)</w:t>
      </w:r>
      <w:r w:rsidR="002F0A7D">
        <w:rPr>
          <w:rFonts w:ascii="Arial" w:hAnsi="Arial" w:cs="Arial"/>
          <w:sz w:val="22"/>
          <w:szCs w:val="22"/>
          <w:lang w:val="en-US"/>
        </w:rPr>
        <w:fldChar w:fldCharType="end"/>
      </w:r>
      <w:r w:rsidR="00382A11">
        <w:rPr>
          <w:rFonts w:ascii="Arial" w:hAnsi="Arial" w:cs="Arial"/>
          <w:sz w:val="22"/>
          <w:szCs w:val="22"/>
          <w:lang w:val="en-US"/>
        </w:rPr>
        <w:t>.</w:t>
      </w:r>
      <w:r w:rsidR="00382A11" w:rsidRPr="00382A11">
        <w:rPr>
          <w:rFonts w:ascii="Arial" w:hAnsi="Arial" w:cs="Arial"/>
          <w:sz w:val="22"/>
          <w:szCs w:val="22"/>
          <w:lang w:val="en-US"/>
        </w:rPr>
        <w:t xml:space="preserve"> </w:t>
      </w:r>
      <w:r w:rsidR="002F0A7D" w:rsidRPr="002F0A7D">
        <w:rPr>
          <w:rFonts w:ascii="Arial" w:hAnsi="Arial" w:cs="Arial"/>
          <w:sz w:val="22"/>
          <w:szCs w:val="22"/>
          <w:lang w:val="en-US"/>
        </w:rPr>
        <w:t xml:space="preserve">We </w:t>
      </w:r>
      <w:r w:rsidR="002F0A7D">
        <w:rPr>
          <w:rFonts w:ascii="Arial" w:hAnsi="Arial" w:cs="Arial"/>
          <w:sz w:val="22"/>
          <w:szCs w:val="22"/>
          <w:lang w:val="en-US"/>
        </w:rPr>
        <w:t>have</w:t>
      </w:r>
      <w:r w:rsidR="00BF31B4">
        <w:rPr>
          <w:rFonts w:ascii="Arial" w:hAnsi="Arial" w:cs="Arial"/>
          <w:sz w:val="22"/>
          <w:szCs w:val="22"/>
          <w:lang w:val="en-US"/>
        </w:rPr>
        <w:t>,</w:t>
      </w:r>
      <w:r w:rsidR="002F0A7D">
        <w:rPr>
          <w:rFonts w:ascii="Arial" w:hAnsi="Arial" w:cs="Arial"/>
          <w:sz w:val="22"/>
          <w:szCs w:val="22"/>
          <w:lang w:val="en-US"/>
        </w:rPr>
        <w:t xml:space="preserve"> therefore</w:t>
      </w:r>
      <w:r w:rsidR="00BF31B4">
        <w:rPr>
          <w:rFonts w:ascii="Arial" w:hAnsi="Arial" w:cs="Arial"/>
          <w:sz w:val="22"/>
          <w:szCs w:val="22"/>
          <w:lang w:val="en-US"/>
        </w:rPr>
        <w:t>,</w:t>
      </w:r>
      <w:r w:rsidR="002F0A7D">
        <w:rPr>
          <w:rFonts w:ascii="Arial" w:hAnsi="Arial" w:cs="Arial"/>
          <w:sz w:val="22"/>
          <w:szCs w:val="22"/>
          <w:lang w:val="en-US"/>
        </w:rPr>
        <w:t xml:space="preserve"> </w:t>
      </w:r>
      <w:r w:rsidR="002F0A7D" w:rsidRPr="002F0A7D">
        <w:rPr>
          <w:rFonts w:ascii="Arial" w:hAnsi="Arial" w:cs="Arial"/>
          <w:sz w:val="22"/>
          <w:szCs w:val="22"/>
          <w:lang w:val="en-US"/>
        </w:rPr>
        <w:t xml:space="preserve">hypothesized that observed intrinsic </w:t>
      </w:r>
      <w:r w:rsidR="002F0A7D">
        <w:rPr>
          <w:rFonts w:ascii="Arial" w:hAnsi="Arial" w:cs="Arial"/>
          <w:sz w:val="22"/>
          <w:szCs w:val="22"/>
          <w:lang w:val="en-US"/>
        </w:rPr>
        <w:t>protection</w:t>
      </w:r>
      <w:r w:rsidR="002F0A7D" w:rsidRPr="002F0A7D">
        <w:rPr>
          <w:rFonts w:ascii="Arial" w:hAnsi="Arial" w:cs="Arial"/>
          <w:sz w:val="22"/>
          <w:szCs w:val="22"/>
          <w:lang w:val="en-US"/>
        </w:rPr>
        <w:t xml:space="preserve"> of the </w:t>
      </w:r>
      <w:r w:rsidR="002F0A7D">
        <w:rPr>
          <w:rFonts w:ascii="Arial" w:hAnsi="Arial" w:cs="Arial"/>
          <w:sz w:val="22"/>
          <w:szCs w:val="22"/>
          <w:lang w:val="en-US"/>
        </w:rPr>
        <w:t>PV</w:t>
      </w:r>
      <w:r w:rsidR="002F0A7D" w:rsidRPr="002F0A7D">
        <w:rPr>
          <w:rFonts w:ascii="Arial" w:hAnsi="Arial" w:cs="Arial"/>
          <w:sz w:val="22"/>
          <w:szCs w:val="22"/>
          <w:lang w:val="en-US"/>
        </w:rPr>
        <w:t xml:space="preserve"> </w:t>
      </w:r>
      <w:r w:rsidR="002F0A7D" w:rsidRPr="002F0A7D">
        <w:rPr>
          <w:rFonts w:ascii="Arial" w:hAnsi="Arial" w:cs="Arial"/>
          <w:sz w:val="22"/>
          <w:szCs w:val="22"/>
          <w:lang w:val="en-US"/>
        </w:rPr>
        <w:lastRenderedPageBreak/>
        <w:t xml:space="preserve">progenitors against inflammation-evoked DNA damage involves </w:t>
      </w:r>
      <w:r w:rsidR="002F0A7D">
        <w:rPr>
          <w:rFonts w:ascii="Arial" w:hAnsi="Arial" w:cs="Arial"/>
          <w:sz w:val="22"/>
          <w:szCs w:val="22"/>
          <w:lang w:val="en-US"/>
        </w:rPr>
        <w:t xml:space="preserve">suppression </w:t>
      </w:r>
      <w:r w:rsidR="00E12E23">
        <w:rPr>
          <w:rFonts w:ascii="Arial" w:hAnsi="Arial" w:cs="Arial"/>
          <w:sz w:val="22"/>
          <w:szCs w:val="22"/>
          <w:lang w:val="en-US"/>
        </w:rPr>
        <w:t xml:space="preserve">of </w:t>
      </w:r>
      <w:r w:rsidR="002F0A7D" w:rsidRPr="002F0A7D">
        <w:rPr>
          <w:rFonts w:ascii="Arial" w:hAnsi="Arial" w:cs="Arial"/>
          <w:sz w:val="22"/>
          <w:szCs w:val="22"/>
          <w:lang w:val="en-US"/>
        </w:rPr>
        <w:t>SAPKs</w:t>
      </w:r>
      <w:r w:rsidR="00E12E23">
        <w:rPr>
          <w:rFonts w:ascii="Arial" w:hAnsi="Arial" w:cs="Arial"/>
          <w:sz w:val="22"/>
          <w:szCs w:val="22"/>
          <w:lang w:val="en-US"/>
        </w:rPr>
        <w:t xml:space="preserve"> signaling</w:t>
      </w:r>
      <w:r w:rsidR="002F0A7D">
        <w:rPr>
          <w:rFonts w:ascii="Arial" w:hAnsi="Arial" w:cs="Arial"/>
          <w:sz w:val="22"/>
          <w:szCs w:val="22"/>
          <w:lang w:val="en-US"/>
        </w:rPr>
        <w:t>.</w:t>
      </w:r>
      <w:r w:rsidR="00EF469E">
        <w:rPr>
          <w:rFonts w:ascii="Arial" w:hAnsi="Arial" w:cs="Arial"/>
          <w:sz w:val="22"/>
          <w:szCs w:val="22"/>
          <w:lang w:val="en-US"/>
        </w:rPr>
        <w:t xml:space="preserve"> </w:t>
      </w:r>
    </w:p>
    <w:p w14:paraId="458BEF92" w14:textId="16320944" w:rsidR="00EE5BD7" w:rsidRDefault="00EF469E" w:rsidP="001E0B16">
      <w:pPr>
        <w:spacing w:line="360" w:lineRule="auto"/>
        <w:jc w:val="both"/>
        <w:rPr>
          <w:rFonts w:ascii="Arial" w:hAnsi="Arial" w:cs="Arial"/>
          <w:sz w:val="22"/>
          <w:szCs w:val="22"/>
          <w:lang w:val="en-US"/>
        </w:rPr>
      </w:pPr>
      <w:r>
        <w:rPr>
          <w:rFonts w:ascii="Arial" w:hAnsi="Arial" w:cs="Arial"/>
          <w:sz w:val="22"/>
          <w:szCs w:val="22"/>
          <w:lang w:val="en-US"/>
        </w:rPr>
        <w:t xml:space="preserve">We have detected differential and global </w:t>
      </w:r>
      <w:r w:rsidR="000B34A3">
        <w:rPr>
          <w:rFonts w:ascii="Arial" w:hAnsi="Arial" w:cs="Arial"/>
          <w:sz w:val="22"/>
          <w:szCs w:val="22"/>
          <w:lang w:val="en-US"/>
        </w:rPr>
        <w:t xml:space="preserve">transcriptional </w:t>
      </w:r>
      <w:r>
        <w:rPr>
          <w:rFonts w:ascii="Arial" w:hAnsi="Arial" w:cs="Arial"/>
          <w:sz w:val="22"/>
          <w:szCs w:val="22"/>
          <w:lang w:val="en-US"/>
        </w:rPr>
        <w:t xml:space="preserve">overexpression of </w:t>
      </w:r>
      <w:r w:rsidRPr="00EF469E">
        <w:rPr>
          <w:rFonts w:ascii="Arial" w:hAnsi="Arial" w:cs="Arial"/>
          <w:sz w:val="22"/>
          <w:szCs w:val="22"/>
          <w:lang w:val="en-US"/>
        </w:rPr>
        <w:t xml:space="preserve">Dual-specificity </w:t>
      </w:r>
      <w:r>
        <w:rPr>
          <w:rFonts w:ascii="Arial" w:hAnsi="Arial" w:cs="Arial"/>
          <w:sz w:val="22"/>
          <w:szCs w:val="22"/>
          <w:lang w:val="en-US"/>
        </w:rPr>
        <w:t>MAPK</w:t>
      </w:r>
      <w:r w:rsidRPr="00EF469E">
        <w:rPr>
          <w:rFonts w:ascii="Arial" w:hAnsi="Arial" w:cs="Arial"/>
          <w:sz w:val="22"/>
          <w:szCs w:val="22"/>
          <w:lang w:val="en-US"/>
        </w:rPr>
        <w:t xml:space="preserve"> phosphatases (MKPs or DUSPs)</w:t>
      </w:r>
      <w:r>
        <w:rPr>
          <w:rFonts w:ascii="Arial" w:hAnsi="Arial" w:cs="Arial"/>
          <w:sz w:val="22"/>
          <w:szCs w:val="22"/>
          <w:lang w:val="en-US"/>
        </w:rPr>
        <w:t xml:space="preserve"> in our </w:t>
      </w:r>
      <w:r w:rsidRPr="00FF493F">
        <w:rPr>
          <w:rFonts w:ascii="Arial" w:hAnsi="Arial" w:cs="Arial"/>
          <w:i/>
          <w:iCs/>
          <w:sz w:val="22"/>
          <w:szCs w:val="22"/>
          <w:lang w:val="en-US"/>
        </w:rPr>
        <w:t xml:space="preserve">JAK2 </w:t>
      </w:r>
      <w:r w:rsidRPr="00CD395D">
        <w:rPr>
          <w:rFonts w:ascii="Arial" w:hAnsi="Arial" w:cs="Arial"/>
          <w:sz w:val="22"/>
          <w:szCs w:val="22"/>
          <w:lang w:val="en-US"/>
        </w:rPr>
        <w:t>V617F</w:t>
      </w:r>
      <w:r w:rsidRPr="00FF493F">
        <w:rPr>
          <w:rFonts w:ascii="Arial" w:hAnsi="Arial" w:cs="Arial"/>
          <w:sz w:val="22"/>
          <w:szCs w:val="22"/>
          <w:vertAlign w:val="superscript"/>
          <w:lang w:val="en-US"/>
        </w:rPr>
        <w:t>+</w:t>
      </w:r>
      <w:r w:rsidRPr="00EC7AFD">
        <w:rPr>
          <w:rFonts w:ascii="Arial" w:hAnsi="Arial" w:cs="Arial"/>
          <w:sz w:val="22"/>
          <w:szCs w:val="22"/>
          <w:lang w:val="en-US"/>
        </w:rPr>
        <w:t xml:space="preserve"> CD34</w:t>
      </w:r>
      <w:r w:rsidRPr="00FF493F">
        <w:rPr>
          <w:rFonts w:ascii="Arial" w:hAnsi="Arial" w:cs="Arial"/>
          <w:sz w:val="22"/>
          <w:szCs w:val="22"/>
          <w:vertAlign w:val="superscript"/>
          <w:lang w:val="en-US"/>
        </w:rPr>
        <w:t>+</w:t>
      </w:r>
      <w:r w:rsidRPr="00EC7AFD">
        <w:rPr>
          <w:rFonts w:ascii="Arial" w:hAnsi="Arial" w:cs="Arial"/>
          <w:sz w:val="22"/>
          <w:szCs w:val="22"/>
          <w:lang w:val="en-US"/>
        </w:rPr>
        <w:t xml:space="preserve"> P-ECs</w:t>
      </w:r>
      <w:r>
        <w:rPr>
          <w:rFonts w:ascii="Arial" w:hAnsi="Arial" w:cs="Arial"/>
          <w:sz w:val="22"/>
          <w:szCs w:val="22"/>
          <w:lang w:val="en-US"/>
        </w:rPr>
        <w:t xml:space="preserve"> (Figure 2</w:t>
      </w:r>
      <w:r w:rsidR="00BD77A5">
        <w:rPr>
          <w:rFonts w:ascii="Arial" w:hAnsi="Arial" w:cs="Arial"/>
          <w:sz w:val="22"/>
          <w:szCs w:val="22"/>
          <w:lang w:val="en-US"/>
        </w:rPr>
        <w:t>2</w:t>
      </w:r>
      <w:r>
        <w:rPr>
          <w:rFonts w:ascii="Arial" w:hAnsi="Arial" w:cs="Arial"/>
          <w:sz w:val="22"/>
          <w:szCs w:val="22"/>
          <w:lang w:val="en-US"/>
        </w:rPr>
        <w:t>), which d</w:t>
      </w:r>
      <w:r w:rsidRPr="00EF469E">
        <w:rPr>
          <w:rFonts w:ascii="Arial" w:hAnsi="Arial" w:cs="Arial"/>
          <w:sz w:val="22"/>
          <w:szCs w:val="22"/>
          <w:lang w:val="en-US"/>
        </w:rPr>
        <w:t xml:space="preserve">ephosphorylate and </w:t>
      </w:r>
      <w:r>
        <w:rPr>
          <w:rFonts w:ascii="Arial" w:hAnsi="Arial" w:cs="Arial"/>
          <w:sz w:val="22"/>
          <w:szCs w:val="22"/>
          <w:lang w:val="en-US"/>
        </w:rPr>
        <w:t xml:space="preserve">thus </w:t>
      </w:r>
      <w:r w:rsidRPr="00EF469E">
        <w:rPr>
          <w:rFonts w:ascii="Arial" w:hAnsi="Arial" w:cs="Arial"/>
          <w:sz w:val="22"/>
          <w:szCs w:val="22"/>
          <w:lang w:val="en-US"/>
        </w:rPr>
        <w:t>inactivate different MAPK isoforms</w:t>
      </w:r>
      <w:r>
        <w:rPr>
          <w:rFonts w:ascii="Arial" w:hAnsi="Arial" w:cs="Arial"/>
          <w:sz w:val="22"/>
          <w:szCs w:val="22"/>
          <w:lang w:val="en-US"/>
        </w:rPr>
        <w:t xml:space="preserve"> </w:t>
      </w:r>
      <w:r>
        <w:rPr>
          <w:rFonts w:ascii="Arial" w:hAnsi="Arial" w:cs="Arial"/>
          <w:sz w:val="22"/>
          <w:szCs w:val="22"/>
          <w:lang w:val="en-US"/>
        </w:rPr>
        <w:fldChar w:fldCharType="begin"/>
      </w:r>
      <w:r>
        <w:rPr>
          <w:rFonts w:ascii="Arial" w:hAnsi="Arial" w:cs="Arial"/>
          <w:sz w:val="22"/>
          <w:szCs w:val="22"/>
          <w:lang w:val="en-US"/>
        </w:rPr>
        <w:instrText xml:space="preserve"> ADDIN ZOTERO_ITEM CSL_CITATION {"citationID":"bHG39jyX","properties":{"formattedCitation":"(Kidger and Keyse, 2016)","plainCitation":"(Kidger and Keyse, 2016)","noteIndex":0},"citationItems":[{"id":70,"uris":["http://zotero.org/users/2484452/items/NJS4PN7D"],"uri":["http://zotero.org/users/2484452/items/NJS4PN7D"],"itemData":{"id":70,"type":"article-journal","abstract":"Dual-specificity MAP kinase (MAPK) phosphatases (MKPs or DUSPs) are well-established negative regulators of MAPK signalling in mammalian cells and tissues. By virtue of their differential subcellular localisation and ability to specifically recognise, dephosphorylate and inactivate different MAPK isoforms, they are key spatiotemporal regulators of pathway activity. Furthermore, as they are transcriptionally regulated as downstream targets of MAPK signalling they can either act as classical negative feedback regulators or mediate cross talk between distinct MAPK pathways. Because MAPKs and particularly Ras/ERK signalling are implicated in cancer initiation and development, the observation that MKPs are abnormally regulated in human tumours has been interpreted as evidence that these enzymes can either suppress or promote carcinogenesis. However, definitive evidence of such roles has been lacking. Here we review recent work based on the use of mouse models, biochemical studies and clinical data that demonstrate key roles for MKPs in modulating the oncogenic potential of Ras/ERK signalling and also indicate that these enzymes may play a role in the response of tumours to certain anticancer drugs. Overall, this work reinforces the importance of negative regulatory mechanisms in modulating the activity of oncogenic MAPK signalling and indicates that MKPs may provide novel targets for therapeutic intervention in cancer.","container-title":"Seminars in Cell &amp; Developmental Biology","DOI":"10.1016/j.semcdb.2016.01.009","ISSN":"1096-3634","journalAbbreviation":"Semin. Cell Dev. Biol.","language":"eng","note":"PMID: 26791049\nPMCID: PMC5056954","page":"125-132","source":"PubMed","title":"The regulation of oncogenic Ras/ERK signalling by dual-specificity mitogen activated protein kinase phosphatases (MKPs)","volume":"50","author":[{"family":"Kidger","given":"Andrew M."},{"family":"Keyse","given":"Stephen M."}],"issued":{"date-parts":[["2016",2]]}}}],"schema":"https://github.com/citation-style-language/schema/raw/master/csl-citation.json"} </w:instrText>
      </w:r>
      <w:r>
        <w:rPr>
          <w:rFonts w:ascii="Arial" w:hAnsi="Arial" w:cs="Arial"/>
          <w:sz w:val="22"/>
          <w:szCs w:val="22"/>
          <w:lang w:val="en-US"/>
        </w:rPr>
        <w:fldChar w:fldCharType="separate"/>
      </w:r>
      <w:r>
        <w:rPr>
          <w:rFonts w:ascii="Arial" w:hAnsi="Arial" w:cs="Arial"/>
          <w:noProof/>
          <w:sz w:val="22"/>
          <w:szCs w:val="22"/>
          <w:lang w:val="en-US"/>
        </w:rPr>
        <w:t>(Kidger and Keyse, 2016)</w:t>
      </w:r>
      <w:r>
        <w:rPr>
          <w:rFonts w:ascii="Arial" w:hAnsi="Arial" w:cs="Arial"/>
          <w:sz w:val="22"/>
          <w:szCs w:val="22"/>
          <w:lang w:val="en-US"/>
        </w:rPr>
        <w:fldChar w:fldCharType="end"/>
      </w:r>
      <w:r>
        <w:rPr>
          <w:rFonts w:ascii="Arial" w:hAnsi="Arial" w:cs="Arial"/>
          <w:sz w:val="22"/>
          <w:szCs w:val="22"/>
          <w:lang w:val="en-US"/>
        </w:rPr>
        <w:t>.</w:t>
      </w:r>
      <w:r w:rsidR="00754136">
        <w:rPr>
          <w:rFonts w:ascii="Arial" w:hAnsi="Arial" w:cs="Arial"/>
          <w:sz w:val="22"/>
          <w:szCs w:val="22"/>
          <w:lang w:val="en-US"/>
        </w:rPr>
        <w:t xml:space="preserve"> This included k</w:t>
      </w:r>
      <w:r w:rsidR="00754136" w:rsidRPr="00EF469E">
        <w:rPr>
          <w:rFonts w:ascii="Arial" w:hAnsi="Arial" w:cs="Arial"/>
          <w:sz w:val="22"/>
          <w:szCs w:val="22"/>
          <w:lang w:val="en-US"/>
        </w:rPr>
        <w:t xml:space="preserve">ey spatiotemporal </w:t>
      </w:r>
      <w:r w:rsidR="00754136">
        <w:rPr>
          <w:rFonts w:ascii="Arial" w:hAnsi="Arial" w:cs="Arial"/>
          <w:sz w:val="22"/>
          <w:szCs w:val="22"/>
          <w:lang w:val="en-US"/>
        </w:rPr>
        <w:t>modulators</w:t>
      </w:r>
      <w:r w:rsidR="00754136" w:rsidRPr="00EF469E">
        <w:rPr>
          <w:rFonts w:ascii="Arial" w:hAnsi="Arial" w:cs="Arial"/>
          <w:sz w:val="22"/>
          <w:szCs w:val="22"/>
          <w:lang w:val="en-US"/>
        </w:rPr>
        <w:t xml:space="preserve"> of </w:t>
      </w:r>
      <w:r w:rsidR="00754136">
        <w:rPr>
          <w:rFonts w:ascii="Arial" w:hAnsi="Arial" w:cs="Arial"/>
          <w:sz w:val="22"/>
          <w:szCs w:val="22"/>
          <w:lang w:val="en-US"/>
        </w:rPr>
        <w:t xml:space="preserve">p38MAPK/JNK </w:t>
      </w:r>
      <w:r w:rsidR="00754136" w:rsidRPr="00EF469E">
        <w:rPr>
          <w:rFonts w:ascii="Arial" w:hAnsi="Arial" w:cs="Arial"/>
          <w:sz w:val="22"/>
          <w:szCs w:val="22"/>
          <w:lang w:val="en-US"/>
        </w:rPr>
        <w:t>pathway activity</w:t>
      </w:r>
      <w:r w:rsidR="00754136">
        <w:rPr>
          <w:rFonts w:ascii="Arial" w:hAnsi="Arial" w:cs="Arial"/>
          <w:sz w:val="22"/>
          <w:szCs w:val="22"/>
          <w:lang w:val="en-US"/>
        </w:rPr>
        <w:t xml:space="preserve">, DUSP1, 8 and 16 </w:t>
      </w:r>
      <w:r w:rsidR="00754136">
        <w:rPr>
          <w:rFonts w:ascii="Arial" w:hAnsi="Arial" w:cs="Arial"/>
          <w:sz w:val="22"/>
          <w:szCs w:val="22"/>
          <w:lang w:val="en-US"/>
        </w:rPr>
        <w:fldChar w:fldCharType="begin"/>
      </w:r>
      <w:r w:rsidR="00754136">
        <w:rPr>
          <w:rFonts w:ascii="Arial" w:hAnsi="Arial" w:cs="Arial"/>
          <w:sz w:val="22"/>
          <w:szCs w:val="22"/>
          <w:lang w:val="en-US"/>
        </w:rPr>
        <w:instrText xml:space="preserve"> ADDIN ZOTERO_ITEM CSL_CITATION {"citationID":"PXI96jLe","properties":{"formattedCitation":"(Kidger and Keyse, 2016)","plainCitation":"(Kidger and Keyse, 2016)","noteIndex":0},"citationItems":[{"id":70,"uris":["http://zotero.org/users/2484452/items/NJS4PN7D"],"uri":["http://zotero.org/users/2484452/items/NJS4PN7D"],"itemData":{"id":70,"type":"article-journal","abstract":"Dual-specificity MAP kinase (MAPK) phosphatases (MKPs or DUSPs) are well-established negative regulators of MAPK signalling in mammalian cells and tissues. By virtue of their differential subcellular localisation and ability to specifically recognise, dephosphorylate and inactivate different MAPK isoforms, they are key spatiotemporal regulators of pathway activity. Furthermore, as they are transcriptionally regulated as downstream targets of MAPK signalling they can either act as classical negative feedback regulators or mediate cross talk between distinct MAPK pathways. Because MAPKs and particularly Ras/ERK signalling are implicated in cancer initiation and development, the observation that MKPs are abnormally regulated in human tumours has been interpreted as evidence that these enzymes can either suppress or promote carcinogenesis. However, definitive evidence of such roles has been lacking. Here we review recent work based on the use of mouse models, biochemical studies and clinical data that demonstrate key roles for MKPs in modulating the oncogenic potential of Ras/ERK signalling and also indicate that these enzymes may play a role in the response of tumours to certain anticancer drugs. Overall, this work reinforces the importance of negative regulatory mechanisms in modulating the activity of oncogenic MAPK signalling and indicates that MKPs may provide novel targets for therapeutic intervention in cancer.","container-title":"Seminars in Cell &amp; Developmental Biology","DOI":"10.1016/j.semcdb.2016.01.009","ISSN":"1096-3634","journalAbbreviation":"Semin. Cell Dev. Biol.","language":"eng","note":"PMID: 26791049\nPMCID: PMC5056954","page":"125-132","source":"PubMed","title":"The regulation of oncogenic Ras/ERK signalling by dual-specificity mitogen activated protein kinase phosphatases (MKPs)","volume":"50","author":[{"family":"Kidger","given":"Andrew M."},{"family":"Keyse","given":"Stephen M."}],"issued":{"date-parts":[["2016",2]]}}}],"schema":"https://github.com/citation-style-language/schema/raw/master/csl-citation.json"} </w:instrText>
      </w:r>
      <w:r w:rsidR="00754136">
        <w:rPr>
          <w:rFonts w:ascii="Arial" w:hAnsi="Arial" w:cs="Arial"/>
          <w:sz w:val="22"/>
          <w:szCs w:val="22"/>
          <w:lang w:val="en-US"/>
        </w:rPr>
        <w:fldChar w:fldCharType="separate"/>
      </w:r>
      <w:r w:rsidR="00754136">
        <w:rPr>
          <w:rFonts w:ascii="Arial" w:hAnsi="Arial" w:cs="Arial"/>
          <w:noProof/>
          <w:sz w:val="22"/>
          <w:szCs w:val="22"/>
          <w:lang w:val="en-US"/>
        </w:rPr>
        <w:t>(Kidger and Keyse, 2016)</w:t>
      </w:r>
      <w:r w:rsidR="00754136">
        <w:rPr>
          <w:rFonts w:ascii="Arial" w:hAnsi="Arial" w:cs="Arial"/>
          <w:sz w:val="22"/>
          <w:szCs w:val="22"/>
          <w:lang w:val="en-US"/>
        </w:rPr>
        <w:fldChar w:fldCharType="end"/>
      </w:r>
      <w:r w:rsidR="00754136">
        <w:rPr>
          <w:rFonts w:ascii="Arial" w:hAnsi="Arial" w:cs="Arial"/>
          <w:sz w:val="22"/>
          <w:szCs w:val="22"/>
          <w:lang w:val="en-US"/>
        </w:rPr>
        <w:t>, present in intrinsically upregulated cluster of genes (c</w:t>
      </w:r>
      <w:r w:rsidR="00754136" w:rsidRPr="00B142A2">
        <w:rPr>
          <w:rFonts w:ascii="Arial" w:hAnsi="Arial" w:cs="Arial"/>
          <w:sz w:val="22"/>
          <w:szCs w:val="22"/>
          <w:lang w:val="en-US"/>
        </w:rPr>
        <w:t>luster #A</w:t>
      </w:r>
      <w:r w:rsidR="00754136">
        <w:rPr>
          <w:rFonts w:ascii="Arial" w:hAnsi="Arial" w:cs="Arial"/>
          <w:sz w:val="22"/>
          <w:szCs w:val="22"/>
          <w:lang w:val="en-US"/>
        </w:rPr>
        <w:t>; Figure 2</w:t>
      </w:r>
      <w:r w:rsidR="00BD77A5">
        <w:rPr>
          <w:rFonts w:ascii="Arial" w:hAnsi="Arial" w:cs="Arial"/>
          <w:sz w:val="22"/>
          <w:szCs w:val="22"/>
          <w:lang w:val="en-US"/>
        </w:rPr>
        <w:t>2</w:t>
      </w:r>
      <w:r w:rsidR="00754136">
        <w:rPr>
          <w:rFonts w:ascii="Arial" w:hAnsi="Arial" w:cs="Arial"/>
          <w:sz w:val="22"/>
          <w:szCs w:val="22"/>
          <w:lang w:val="en-US"/>
        </w:rPr>
        <w:t xml:space="preserve">) of </w:t>
      </w:r>
      <w:r w:rsidR="00754136" w:rsidRPr="00FF493F">
        <w:rPr>
          <w:rFonts w:ascii="Arial" w:hAnsi="Arial" w:cs="Arial"/>
          <w:i/>
          <w:iCs/>
          <w:sz w:val="22"/>
          <w:szCs w:val="22"/>
          <w:lang w:val="en-US"/>
        </w:rPr>
        <w:t xml:space="preserve">JAK2 </w:t>
      </w:r>
      <w:r w:rsidR="00754136" w:rsidRPr="00CD395D">
        <w:rPr>
          <w:rFonts w:ascii="Arial" w:hAnsi="Arial" w:cs="Arial"/>
          <w:sz w:val="22"/>
          <w:szCs w:val="22"/>
          <w:lang w:val="en-US"/>
        </w:rPr>
        <w:t>V617F</w:t>
      </w:r>
      <w:r w:rsidR="00754136" w:rsidRPr="00FF493F">
        <w:rPr>
          <w:rFonts w:ascii="Arial" w:hAnsi="Arial" w:cs="Arial"/>
          <w:sz w:val="22"/>
          <w:szCs w:val="22"/>
          <w:vertAlign w:val="superscript"/>
          <w:lang w:val="en-US"/>
        </w:rPr>
        <w:t>+</w:t>
      </w:r>
      <w:r w:rsidR="00754136" w:rsidRPr="00EC7AFD">
        <w:rPr>
          <w:rFonts w:ascii="Arial" w:hAnsi="Arial" w:cs="Arial"/>
          <w:sz w:val="22"/>
          <w:szCs w:val="22"/>
          <w:lang w:val="en-US"/>
        </w:rPr>
        <w:t xml:space="preserve"> CD34</w:t>
      </w:r>
      <w:r w:rsidR="00754136" w:rsidRPr="00FF493F">
        <w:rPr>
          <w:rFonts w:ascii="Arial" w:hAnsi="Arial" w:cs="Arial"/>
          <w:sz w:val="22"/>
          <w:szCs w:val="22"/>
          <w:vertAlign w:val="superscript"/>
          <w:lang w:val="en-US"/>
        </w:rPr>
        <w:t>+</w:t>
      </w:r>
      <w:r w:rsidR="00754136" w:rsidRPr="00EC7AFD">
        <w:rPr>
          <w:rFonts w:ascii="Arial" w:hAnsi="Arial" w:cs="Arial"/>
          <w:sz w:val="22"/>
          <w:szCs w:val="22"/>
          <w:lang w:val="en-US"/>
        </w:rPr>
        <w:t xml:space="preserve"> P-ECs</w:t>
      </w:r>
      <w:r w:rsidR="00754136">
        <w:rPr>
          <w:rFonts w:ascii="Arial" w:hAnsi="Arial" w:cs="Arial"/>
          <w:sz w:val="22"/>
          <w:szCs w:val="22"/>
          <w:lang w:val="en-US"/>
        </w:rPr>
        <w:t xml:space="preserve">. Among those </w:t>
      </w:r>
      <w:r w:rsidR="00754136" w:rsidRPr="00593278">
        <w:rPr>
          <w:rFonts w:ascii="Arial" w:hAnsi="Arial" w:cs="Arial"/>
          <w:i/>
          <w:sz w:val="22"/>
          <w:szCs w:val="22"/>
          <w:lang w:val="en-US"/>
        </w:rPr>
        <w:t>DUSP1</w:t>
      </w:r>
      <w:r w:rsidR="000B34A3">
        <w:rPr>
          <w:rFonts w:ascii="Arial" w:hAnsi="Arial" w:cs="Arial"/>
          <w:sz w:val="22"/>
          <w:szCs w:val="22"/>
          <w:lang w:val="en-US"/>
        </w:rPr>
        <w:t xml:space="preserve">, known </w:t>
      </w:r>
      <w:r w:rsidR="000B34A3" w:rsidRPr="000B34A3">
        <w:rPr>
          <w:rFonts w:ascii="Arial" w:hAnsi="Arial" w:cs="Arial"/>
          <w:sz w:val="22"/>
          <w:szCs w:val="22"/>
          <w:lang w:val="en-US"/>
        </w:rPr>
        <w:t>NF-</w:t>
      </w:r>
      <w:proofErr w:type="spellStart"/>
      <w:r w:rsidR="000B34A3" w:rsidRPr="000B34A3">
        <w:rPr>
          <w:rFonts w:ascii="Arial" w:hAnsi="Arial" w:cs="Arial"/>
          <w:sz w:val="22"/>
          <w:szCs w:val="22"/>
          <w:lang w:val="en-US"/>
        </w:rPr>
        <w:t>κB</w:t>
      </w:r>
      <w:proofErr w:type="spellEnd"/>
      <w:r w:rsidR="000B34A3" w:rsidRPr="000B34A3">
        <w:rPr>
          <w:rFonts w:ascii="Arial" w:hAnsi="Arial" w:cs="Arial"/>
          <w:sz w:val="22"/>
          <w:szCs w:val="22"/>
          <w:lang w:val="en-US"/>
        </w:rPr>
        <w:t xml:space="preserve"> target</w:t>
      </w:r>
      <w:r w:rsidR="000B34A3">
        <w:rPr>
          <w:rFonts w:ascii="Arial" w:hAnsi="Arial" w:cs="Arial"/>
          <w:sz w:val="22"/>
          <w:szCs w:val="22"/>
          <w:lang w:val="en-US"/>
        </w:rPr>
        <w:t xml:space="preserve"> </w:t>
      </w:r>
      <w:r w:rsidR="000B34A3">
        <w:rPr>
          <w:rFonts w:ascii="Arial" w:hAnsi="Arial" w:cs="Arial"/>
          <w:sz w:val="22"/>
          <w:szCs w:val="22"/>
          <w:lang w:val="en-US"/>
        </w:rPr>
        <w:fldChar w:fldCharType="begin"/>
      </w:r>
      <w:r w:rsidR="000B34A3">
        <w:rPr>
          <w:rFonts w:ascii="Arial" w:hAnsi="Arial" w:cs="Arial"/>
          <w:sz w:val="22"/>
          <w:szCs w:val="22"/>
          <w:lang w:val="en-US"/>
        </w:rPr>
        <w:instrText xml:space="preserve"> ADDIN ZOTERO_ITEM CSL_CITATION {"citationID":"QZ1gfQ4V","properties":{"formattedCitation":"(Zhou et al., 2003)","plainCitation":"(Zhou et al., 2003)","noteIndex":0},"citationItems":[{"id":67,"uris":["http://zotero.org/users/2484452/items/NDKMPKAR"],"uri":["http://zotero.org/users/2484452/items/NDKMPKAR"],"itemData":{"id":67,"type":"article-journal","abstract":"Tumor necrosis factor alpha (TNF alpha) is a proinflammatory cytokine with important roles in regulating inflammatory responses as well as cell cycle proliferation and apoptosis. Although TNFalpha stimulates apoptosis, it also activates the transcription factor NF-kappa B, and studies have shown that inhibition of NF-kappa B potentiates the cytotoxicity of TNFalpha. Since several chemotherapy agents act like TNFalpha to both promote apoptosis and activate NF-kappa B, understanding the role of NF-kappa B in suppressing apoptosis may have significant clinical applications. To understand the effects of stimulation with TNFalpha and the role of NF-kappa B in regulating this response, a 23k human cDNA microarray was used to screen TNFalpha-inducible genes in HeLa cells. Real-time PCR verified expression changes in 16 of these genes and revealed three distinct temporal patterns of expression after TNFalpha stimulation. Using RNA interference to disrupt expression of the p65 subunit of NF-kappa B, all but two of the genes were shown to depend on this transcription factor for their expression, which correlated well with the existence of NF-kappa B binding sites in most of their promoters. Inflammatory, proapoptotic, and antiapoptotic genes were all shown to be regulated by NF-kappa B, demonstrating the wide variety of targets activated by NF-kappa B signaling and the necessity of differentiating among these genes for therapeutic purposes.","container-title":"Oncogene","DOI":"10.1038/sj.onc.1206262","ISSN":"0950-9232","issue":"13","journalAbbreviation":"Oncogene","language":"eng","note":"PMID: 12673210","page":"2054-2064","source":"PubMed","title":"Identification of NF-kappa B-regulated genes induced by TNFalpha utilizing expression profiling and RNA interference","volume":"22","author":[{"family":"Zhou","given":"Anwu"},{"family":"Scoggin","given":"Shane"},{"family":"Gaynor","given":"Richard B."},{"family":"Williams","given":"Noelle Sevilir"}],"issued":{"date-parts":[["2003",4,3]]}}}],"schema":"https://github.com/citation-style-language/schema/raw/master/csl-citation.json"} </w:instrText>
      </w:r>
      <w:r w:rsidR="000B34A3">
        <w:rPr>
          <w:rFonts w:ascii="Arial" w:hAnsi="Arial" w:cs="Arial"/>
          <w:sz w:val="22"/>
          <w:szCs w:val="22"/>
          <w:lang w:val="en-US"/>
        </w:rPr>
        <w:fldChar w:fldCharType="separate"/>
      </w:r>
      <w:r w:rsidR="000B34A3">
        <w:rPr>
          <w:rFonts w:ascii="Arial" w:hAnsi="Arial" w:cs="Arial"/>
          <w:noProof/>
          <w:sz w:val="22"/>
          <w:szCs w:val="22"/>
          <w:lang w:val="en-US"/>
        </w:rPr>
        <w:t>(Zhou et al., 2003)</w:t>
      </w:r>
      <w:r w:rsidR="000B34A3">
        <w:rPr>
          <w:rFonts w:ascii="Arial" w:hAnsi="Arial" w:cs="Arial"/>
          <w:sz w:val="22"/>
          <w:szCs w:val="22"/>
          <w:lang w:val="en-US"/>
        </w:rPr>
        <w:fldChar w:fldCharType="end"/>
      </w:r>
      <w:r w:rsidR="000B34A3">
        <w:rPr>
          <w:rFonts w:ascii="Arial" w:hAnsi="Arial" w:cs="Arial"/>
          <w:sz w:val="22"/>
          <w:szCs w:val="22"/>
          <w:lang w:val="en-US"/>
        </w:rPr>
        <w:t>,</w:t>
      </w:r>
      <w:r w:rsidR="00754136">
        <w:rPr>
          <w:rFonts w:ascii="Arial" w:hAnsi="Arial" w:cs="Arial"/>
          <w:sz w:val="22"/>
          <w:szCs w:val="22"/>
          <w:lang w:val="en-US"/>
        </w:rPr>
        <w:t xml:space="preserve"> was already published to have important </w:t>
      </w:r>
      <w:proofErr w:type="spellStart"/>
      <w:r w:rsidR="00754136">
        <w:rPr>
          <w:rFonts w:ascii="Arial" w:hAnsi="Arial" w:cs="Arial"/>
          <w:sz w:val="22"/>
          <w:szCs w:val="22"/>
          <w:lang w:val="en-US"/>
        </w:rPr>
        <w:t>prosurvival</w:t>
      </w:r>
      <w:proofErr w:type="spellEnd"/>
      <w:r w:rsidR="00754136">
        <w:rPr>
          <w:rFonts w:ascii="Arial" w:hAnsi="Arial" w:cs="Arial"/>
          <w:sz w:val="22"/>
          <w:szCs w:val="22"/>
          <w:lang w:val="en-US"/>
        </w:rPr>
        <w:t xml:space="preserve"> roles in CML pathogenesis and resistance to TKIs and was suggested to play pivotal role also in </w:t>
      </w:r>
      <w:r w:rsidR="007A1233">
        <w:rPr>
          <w:rFonts w:ascii="Arial" w:hAnsi="Arial" w:cs="Arial"/>
          <w:sz w:val="22"/>
          <w:szCs w:val="22"/>
          <w:lang w:val="en-US"/>
        </w:rPr>
        <w:t xml:space="preserve">protection of </w:t>
      </w:r>
      <w:r w:rsidR="00754136" w:rsidRPr="001B1DAC">
        <w:rPr>
          <w:rFonts w:ascii="Arial" w:hAnsi="Arial" w:cs="Arial"/>
          <w:sz w:val="22"/>
          <w:szCs w:val="22"/>
          <w:lang w:val="en-US"/>
        </w:rPr>
        <w:t>V617F</w:t>
      </w:r>
      <w:r w:rsidR="00754136">
        <w:rPr>
          <w:rFonts w:ascii="Arial" w:hAnsi="Arial" w:cs="Arial"/>
          <w:sz w:val="22"/>
          <w:szCs w:val="22"/>
          <w:lang w:val="en-US"/>
        </w:rPr>
        <w:t xml:space="preserve"> compartment</w:t>
      </w:r>
      <w:r w:rsidR="007A1233">
        <w:rPr>
          <w:rFonts w:ascii="Arial" w:hAnsi="Arial" w:cs="Arial"/>
          <w:sz w:val="22"/>
          <w:szCs w:val="22"/>
          <w:lang w:val="en-US"/>
        </w:rPr>
        <w:t xml:space="preserve"> </w:t>
      </w:r>
      <w:r w:rsidR="007A1233">
        <w:rPr>
          <w:rFonts w:ascii="Arial" w:hAnsi="Arial" w:cs="Arial"/>
          <w:sz w:val="22"/>
          <w:szCs w:val="22"/>
          <w:lang w:val="en-US"/>
        </w:rPr>
        <w:fldChar w:fldCharType="begin"/>
      </w:r>
      <w:r w:rsidR="00593278">
        <w:rPr>
          <w:rFonts w:ascii="Arial" w:hAnsi="Arial" w:cs="Arial"/>
          <w:sz w:val="22"/>
          <w:szCs w:val="22"/>
          <w:lang w:val="en-US"/>
        </w:rPr>
        <w:instrText xml:space="preserve"> ADDIN ZOTERO_ITEM CSL_CITATION {"citationID":"GhCHRq8x","properties":{"formattedCitation":"(Kesarwani et al., 2018, 2017)","plainCitation":"(Kesarwani et al., 2018, 2017)","noteIndex":0},"citationItems":[{"id":1193,"uris":["http://zotero.org/users/2484452/items/TS24LGNM"],"uri":["http://zotero.org/users/2484452/items/TS24LGNM"],"itemData":{"id":1193,"type":"article-journal","abstract":"Abstract. Introduction.Myeloproliferative neoplasm (MPNs) are clonal stem cell disorders characterized by increased production of mature blood cells. Ph-negati","container-title":"Blood","DOI":"10.1182/blood-2018-99-115503","ISSN":"0006-4971","issue":"Supplement 1","journalAbbreviation":"Blood","language":"en","page":"51-51","source":"ashpublications.org","title":"Loss of DUSP1 Is Synthetic Lethal to JAK2V617F","volume":"132","author":[{"family":"Kesarwani","given":"Meenu"},{"family":"Kincaid","given":"Zachary"},{"family":"Latif","given":"Tahir"},{"family":"Azam","given":"Mohammad"}],"issued":{"date-parts":[["2018",11,29]]}}},{"id":68,"uris":["http://zotero.org/users/2484452/items/3GV4I96M"],"uri":["http://zotero.org/users/2484452/items/3GV4I96M"],"itemData":{"id":68,"type":"article-journal","abstract":"Tyrosine-kinase inhibitor (TKI) therapy for human cancers is not curative, and relapse occurs owing to the continued presence of tumor cells, referred to as minimal residual disease (MRD). The survival of MRD stem or progenitor cells in the absence of oncogenic kinase signaling, a phenomenon referred to as intrinsic resistance, depends on diverse growth factors. Here we report that oncogenic kinase and growth-factor signaling converge to induce the expression of the signaling proteins FBJ osteosarcoma oncogene (c-FOS, encoded by Fos) and dual-specificity phosphatase 1 (DUSP1). Genetic deletion of Fos and Dusp1 suppressed tumor growth in a BCR-ABL fusion protein kinase-induced mouse model of chronic myeloid leukemia (CML). Pharmacological inhibition of c-FOS, DUSP1 and BCR-ABL eradicated MRD in multiple in vivo models, as well as in mice xenotransplanted with patient-derived primary CML cells. Growth-factor signaling also conferred TKI resistance and induced FOS and DUSP1 expression in tumor cells modeling other types of kinase-driven leukemias. Our data demonstrate that c-FOS and DUSP1 expression levels determine the threshold of TKI efficacy, such that growth-factor-induced expression of c-FOS and DUSP1 confers intrinsic resistance to TKI therapy in a wide-ranging set of leukemias, and might represent a unifying Achilles' heel of kinase-driven cancers.","container-title":"Nature Medicine","DOI":"10.1038/nm.4310","ISSN":"1546-170X","issue":"4","journalAbbreviation":"Nat. Med.","language":"eng","note":"PMID: 28319094\nPMCID: PMC5424814","page":"472-482","source":"PubMed","title":"Targeting c-FOS and DUSP1 abrogates intrinsic resistance to tyrosine-kinase inhibitor therapy in BCR-ABL-induced leukemia","volume":"23","author":[{"family":"Kesarwani","given":"Meenu"},{"family":"Kincaid","given":"Zachary"},{"family":"Gomaa","given":"Ahmed"},{"family":"Huber","given":"Erika"},{"family":"Rohrabaugh","given":"Sara"},{"family":"Siddiqui","given":"Zain"},{"family":"Bouso","given":"Muhammad F."},{"family":"Latif","given":"Tahir"},{"family":"Xu","given":"Ming"},{"family":"Komurov","given":"Kakajan"},{"family":"Mulloy","given":"James C."},{"family":"Cancelas","given":"Jose A."},{"family":"Grimes","given":"H. Leighton"},{"family":"Azam","given":"Mohammad"}],"issued":{"date-parts":[["2017",4]]}}}],"schema":"https://github.com/citation-style-language/schema/raw/master/csl-citation.json"} </w:instrText>
      </w:r>
      <w:r w:rsidR="007A1233">
        <w:rPr>
          <w:rFonts w:ascii="Arial" w:hAnsi="Arial" w:cs="Arial"/>
          <w:sz w:val="22"/>
          <w:szCs w:val="22"/>
          <w:lang w:val="en-US"/>
        </w:rPr>
        <w:fldChar w:fldCharType="separate"/>
      </w:r>
      <w:r w:rsidR="00593278">
        <w:rPr>
          <w:rFonts w:ascii="Arial" w:hAnsi="Arial" w:cs="Arial"/>
          <w:noProof/>
          <w:sz w:val="22"/>
          <w:szCs w:val="22"/>
          <w:lang w:val="en-US"/>
        </w:rPr>
        <w:t>(Kesarwani et al., 2018, 2017)</w:t>
      </w:r>
      <w:r w:rsidR="007A1233">
        <w:rPr>
          <w:rFonts w:ascii="Arial" w:hAnsi="Arial" w:cs="Arial"/>
          <w:sz w:val="22"/>
          <w:szCs w:val="22"/>
          <w:lang w:val="en-US"/>
        </w:rPr>
        <w:fldChar w:fldCharType="end"/>
      </w:r>
      <w:r w:rsidR="000B34A3">
        <w:rPr>
          <w:rFonts w:ascii="Arial" w:hAnsi="Arial" w:cs="Arial"/>
          <w:sz w:val="22"/>
          <w:szCs w:val="22"/>
          <w:lang w:val="en-US"/>
        </w:rPr>
        <w:t>.</w:t>
      </w:r>
    </w:p>
    <w:p w14:paraId="24728A6F" w14:textId="77777777" w:rsidR="00F13502" w:rsidRPr="001E0B16" w:rsidRDefault="00F13502" w:rsidP="001E0B16">
      <w:pPr>
        <w:spacing w:line="360" w:lineRule="auto"/>
        <w:jc w:val="both"/>
        <w:rPr>
          <w:rFonts w:ascii="Arial" w:hAnsi="Arial" w:cs="Arial"/>
          <w:sz w:val="22"/>
          <w:szCs w:val="22"/>
          <w:lang w:val="en-US"/>
        </w:rPr>
      </w:pPr>
    </w:p>
    <w:p w14:paraId="5935885C" w14:textId="77777777" w:rsidR="00E53EBE" w:rsidRPr="00754136" w:rsidRDefault="00E53EBE" w:rsidP="00751A82">
      <w:pPr>
        <w:spacing w:line="360" w:lineRule="auto"/>
        <w:jc w:val="center"/>
        <w:rPr>
          <w:rFonts w:ascii="Arial" w:hAnsi="Arial" w:cs="Arial"/>
          <w:sz w:val="22"/>
          <w:szCs w:val="22"/>
          <w:lang w:val="en-US"/>
        </w:rPr>
      </w:pPr>
      <w:r w:rsidRPr="001E0B16">
        <w:rPr>
          <w:rFonts w:ascii="Arial" w:hAnsi="Arial" w:cs="Arial"/>
          <w:sz w:val="22"/>
          <w:szCs w:val="22"/>
        </w:rPr>
        <w:fldChar w:fldCharType="begin"/>
      </w:r>
      <w:r w:rsidRPr="00754136">
        <w:rPr>
          <w:rFonts w:ascii="Arial" w:hAnsi="Arial" w:cs="Arial"/>
          <w:sz w:val="22"/>
          <w:szCs w:val="22"/>
          <w:lang w:val="en-US"/>
        </w:rPr>
        <w:instrText xml:space="preserve"> INCLUDEPICTURE "https://media.springernature.com/full/springer-static/image/art%3A10.1038%2Fs41388-019-0813-7/MediaObjects/41388_2019_813_Fig4_HTML.png" \* MERGEFORMATINET </w:instrText>
      </w:r>
      <w:r w:rsidRPr="001E0B16">
        <w:rPr>
          <w:rFonts w:ascii="Arial" w:hAnsi="Arial" w:cs="Arial"/>
          <w:sz w:val="22"/>
          <w:szCs w:val="22"/>
        </w:rPr>
        <w:fldChar w:fldCharType="separate"/>
      </w:r>
      <w:r w:rsidRPr="001E0B16">
        <w:rPr>
          <w:rFonts w:ascii="Arial" w:hAnsi="Arial" w:cs="Arial"/>
          <w:noProof/>
          <w:sz w:val="22"/>
          <w:szCs w:val="22"/>
          <w:lang w:val="cs-CZ" w:eastAsia="cs-CZ"/>
        </w:rPr>
        <w:drawing>
          <wp:inline distT="0" distB="0" distL="0" distR="0" wp14:anchorId="66228F7E" wp14:editId="56E7B3EE">
            <wp:extent cx="3879810" cy="3992578"/>
            <wp:effectExtent l="0" t="0" r="0" b="0"/>
            <wp:docPr id="28" name="Grafik 28"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4"/>
                    <pic:cNvPicPr>
                      <a:picLocks noChangeAspect="1" noChangeArrowheads="1"/>
                    </pic:cNvPicPr>
                  </pic:nvPicPr>
                  <pic:blipFill rotWithShape="1">
                    <a:blip r:embed="rId39">
                      <a:extLst>
                        <a:ext uri="{28A0092B-C50C-407E-A947-70E740481C1C}">
                          <a14:useLocalDpi xmlns:a14="http://schemas.microsoft.com/office/drawing/2010/main" val="0"/>
                        </a:ext>
                      </a:extLst>
                    </a:blip>
                    <a:srcRect t="1481" r="68955" b="76836"/>
                    <a:stretch/>
                  </pic:blipFill>
                  <pic:spPr bwMode="auto">
                    <a:xfrm>
                      <a:off x="0" y="0"/>
                      <a:ext cx="3911267" cy="4024949"/>
                    </a:xfrm>
                    <a:prstGeom prst="rect">
                      <a:avLst/>
                    </a:prstGeom>
                    <a:noFill/>
                    <a:ln>
                      <a:noFill/>
                    </a:ln>
                    <a:extLst>
                      <a:ext uri="{53640926-AAD7-44D8-BBD7-CCE9431645EC}">
                        <a14:shadowObscured xmlns:a14="http://schemas.microsoft.com/office/drawing/2010/main"/>
                      </a:ext>
                    </a:extLst>
                  </pic:spPr>
                </pic:pic>
              </a:graphicData>
            </a:graphic>
          </wp:inline>
        </w:drawing>
      </w:r>
      <w:r w:rsidRPr="001E0B16">
        <w:rPr>
          <w:rFonts w:ascii="Arial" w:hAnsi="Arial" w:cs="Arial"/>
          <w:sz w:val="22"/>
          <w:szCs w:val="22"/>
        </w:rPr>
        <w:fldChar w:fldCharType="end"/>
      </w:r>
    </w:p>
    <w:p w14:paraId="75BD088F" w14:textId="77777777" w:rsidR="001E0B16" w:rsidRDefault="001E0B16" w:rsidP="00B142A2">
      <w:pPr>
        <w:spacing w:line="360" w:lineRule="auto"/>
        <w:jc w:val="both"/>
        <w:rPr>
          <w:rFonts w:ascii="Arial" w:hAnsi="Arial" w:cs="Arial"/>
          <w:sz w:val="22"/>
          <w:szCs w:val="22"/>
          <w:lang w:val="en-US"/>
        </w:rPr>
      </w:pPr>
      <w:r w:rsidRPr="009C25F6">
        <w:rPr>
          <w:rFonts w:ascii="Arial" w:hAnsi="Arial" w:cs="Arial"/>
          <w:b/>
          <w:bCs/>
          <w:sz w:val="22"/>
          <w:szCs w:val="22"/>
          <w:lang w:val="en-US"/>
        </w:rPr>
        <w:t>Figure 2</w:t>
      </w:r>
      <w:r w:rsidR="00BD77A5">
        <w:rPr>
          <w:rFonts w:ascii="Arial" w:hAnsi="Arial" w:cs="Arial"/>
          <w:b/>
          <w:bCs/>
          <w:sz w:val="22"/>
          <w:szCs w:val="22"/>
          <w:lang w:val="en-US"/>
        </w:rPr>
        <w:t>2</w:t>
      </w:r>
      <w:r>
        <w:rPr>
          <w:rFonts w:ascii="Arial" w:hAnsi="Arial" w:cs="Arial"/>
          <w:sz w:val="22"/>
          <w:szCs w:val="22"/>
          <w:lang w:val="en-US"/>
        </w:rPr>
        <w:t>:</w:t>
      </w:r>
      <w:r w:rsidR="00B142A2">
        <w:rPr>
          <w:rFonts w:ascii="Arial" w:hAnsi="Arial" w:cs="Arial"/>
          <w:sz w:val="22"/>
          <w:szCs w:val="22"/>
          <w:lang w:val="en-US"/>
        </w:rPr>
        <w:t xml:space="preserve"> Heatmap representation and accompanied cluster analysis of d</w:t>
      </w:r>
      <w:r w:rsidR="00B142A2" w:rsidRPr="00B142A2">
        <w:rPr>
          <w:rFonts w:ascii="Arial" w:hAnsi="Arial" w:cs="Arial"/>
          <w:sz w:val="22"/>
          <w:szCs w:val="22"/>
          <w:lang w:val="en-US"/>
        </w:rPr>
        <w:t>ual</w:t>
      </w:r>
      <w:r w:rsidR="00B142A2">
        <w:rPr>
          <w:rFonts w:ascii="Arial" w:hAnsi="Arial" w:cs="Arial"/>
          <w:sz w:val="22"/>
          <w:szCs w:val="22"/>
          <w:lang w:val="en-US"/>
        </w:rPr>
        <w:t>-</w:t>
      </w:r>
      <w:r w:rsidR="00B142A2" w:rsidRPr="00B142A2">
        <w:rPr>
          <w:rFonts w:ascii="Arial" w:hAnsi="Arial" w:cs="Arial"/>
          <w:sz w:val="22"/>
          <w:szCs w:val="22"/>
          <w:lang w:val="en-US"/>
        </w:rPr>
        <w:t>specificity phosphatase</w:t>
      </w:r>
      <w:r w:rsidR="008377CC">
        <w:rPr>
          <w:rFonts w:ascii="Arial" w:hAnsi="Arial" w:cs="Arial"/>
          <w:sz w:val="22"/>
          <w:szCs w:val="22"/>
          <w:lang w:val="en-US"/>
        </w:rPr>
        <w:t xml:space="preserve"> (DUSP)</w:t>
      </w:r>
      <w:r w:rsidR="00B142A2">
        <w:rPr>
          <w:rFonts w:ascii="Arial" w:hAnsi="Arial" w:cs="Arial"/>
          <w:sz w:val="22"/>
          <w:szCs w:val="22"/>
          <w:lang w:val="en-US"/>
        </w:rPr>
        <w:t xml:space="preserve"> family genes expression</w:t>
      </w:r>
      <w:r w:rsidR="00B142A2" w:rsidRPr="00B142A2">
        <w:rPr>
          <w:rFonts w:ascii="Arial" w:hAnsi="Arial" w:cs="Arial"/>
          <w:sz w:val="22"/>
          <w:szCs w:val="22"/>
          <w:lang w:val="en-US"/>
        </w:rPr>
        <w:t xml:space="preserve"> in </w:t>
      </w:r>
      <w:r w:rsidR="00B142A2">
        <w:rPr>
          <w:rFonts w:ascii="Arial" w:hAnsi="Arial" w:cs="Arial"/>
          <w:sz w:val="22"/>
          <w:szCs w:val="22"/>
          <w:lang w:val="en-US"/>
        </w:rPr>
        <w:t>untreated (d9)</w:t>
      </w:r>
      <w:r w:rsidR="00B142A2" w:rsidRPr="00B142A2">
        <w:rPr>
          <w:rFonts w:ascii="Arial" w:hAnsi="Arial" w:cs="Arial"/>
          <w:sz w:val="22"/>
          <w:szCs w:val="22"/>
          <w:lang w:val="en-US"/>
        </w:rPr>
        <w:t xml:space="preserve"> and </w:t>
      </w:r>
      <w:r w:rsidR="00B142A2">
        <w:rPr>
          <w:rFonts w:ascii="Arial" w:hAnsi="Arial" w:cs="Arial"/>
          <w:sz w:val="22"/>
          <w:szCs w:val="22"/>
          <w:lang w:val="en-US"/>
        </w:rPr>
        <w:t xml:space="preserve">inflammatory cytokine treated (d9 </w:t>
      </w:r>
      <w:proofErr w:type="spellStart"/>
      <w:r w:rsidR="00B142A2">
        <w:rPr>
          <w:rFonts w:ascii="Arial" w:hAnsi="Arial" w:cs="Arial"/>
          <w:sz w:val="22"/>
          <w:szCs w:val="22"/>
          <w:lang w:val="en-US"/>
        </w:rPr>
        <w:t>cyt</w:t>
      </w:r>
      <w:proofErr w:type="spellEnd"/>
      <w:r w:rsidR="00B142A2">
        <w:rPr>
          <w:rFonts w:ascii="Arial" w:hAnsi="Arial" w:cs="Arial"/>
          <w:sz w:val="22"/>
          <w:szCs w:val="22"/>
          <w:lang w:val="en-US"/>
        </w:rPr>
        <w:t>)</w:t>
      </w:r>
      <w:r w:rsidR="00B142A2" w:rsidRPr="00B142A2">
        <w:rPr>
          <w:rFonts w:ascii="Arial" w:hAnsi="Arial" w:cs="Arial"/>
          <w:sz w:val="22"/>
          <w:szCs w:val="22"/>
          <w:lang w:val="en-US"/>
        </w:rPr>
        <w:t xml:space="preserve"> </w:t>
      </w:r>
      <w:r w:rsidR="00B142A2" w:rsidRPr="00B142A2">
        <w:rPr>
          <w:rFonts w:ascii="Arial" w:hAnsi="Arial" w:cs="Arial"/>
          <w:i/>
          <w:iCs/>
          <w:sz w:val="22"/>
          <w:szCs w:val="22"/>
          <w:lang w:val="en-US"/>
        </w:rPr>
        <w:t>JAK2</w:t>
      </w:r>
      <w:r w:rsidR="00B142A2">
        <w:rPr>
          <w:rFonts w:ascii="Arial" w:hAnsi="Arial" w:cs="Arial"/>
          <w:sz w:val="22"/>
          <w:szCs w:val="22"/>
          <w:lang w:val="en-US"/>
        </w:rPr>
        <w:t xml:space="preserve"> </w:t>
      </w:r>
      <w:proofErr w:type="spellStart"/>
      <w:r w:rsidR="00B142A2" w:rsidRPr="00B142A2">
        <w:rPr>
          <w:rFonts w:ascii="Arial" w:hAnsi="Arial" w:cs="Arial"/>
          <w:sz w:val="22"/>
          <w:szCs w:val="22"/>
          <w:lang w:val="en-US"/>
        </w:rPr>
        <w:t>wt</w:t>
      </w:r>
      <w:proofErr w:type="spellEnd"/>
      <w:r w:rsidR="00B142A2" w:rsidRPr="00B142A2">
        <w:rPr>
          <w:rFonts w:ascii="Arial" w:hAnsi="Arial" w:cs="Arial"/>
          <w:sz w:val="22"/>
          <w:szCs w:val="22"/>
          <w:lang w:val="en-US"/>
        </w:rPr>
        <w:t xml:space="preserve"> and </w:t>
      </w:r>
      <w:r w:rsidR="00B142A2" w:rsidRPr="00B142A2">
        <w:rPr>
          <w:rFonts w:ascii="Arial" w:hAnsi="Arial" w:cs="Arial"/>
          <w:i/>
          <w:iCs/>
          <w:sz w:val="22"/>
          <w:szCs w:val="22"/>
          <w:lang w:val="en-US"/>
        </w:rPr>
        <w:t xml:space="preserve">JAK2 </w:t>
      </w:r>
      <w:r w:rsidR="00B142A2" w:rsidRPr="00CD395D">
        <w:rPr>
          <w:rFonts w:ascii="Arial" w:hAnsi="Arial" w:cs="Arial"/>
          <w:sz w:val="22"/>
          <w:szCs w:val="22"/>
          <w:lang w:val="en-US"/>
        </w:rPr>
        <w:t>V617F</w:t>
      </w:r>
      <w:r w:rsidR="00B142A2" w:rsidRPr="00B142A2">
        <w:rPr>
          <w:rFonts w:ascii="Arial" w:hAnsi="Arial" w:cs="Arial"/>
          <w:sz w:val="22"/>
          <w:szCs w:val="22"/>
          <w:vertAlign w:val="superscript"/>
          <w:lang w:val="en-US"/>
        </w:rPr>
        <w:t>+</w:t>
      </w:r>
      <w:r w:rsidR="00B142A2" w:rsidRPr="00B142A2">
        <w:rPr>
          <w:rFonts w:ascii="Arial" w:hAnsi="Arial" w:cs="Arial"/>
          <w:sz w:val="22"/>
          <w:szCs w:val="22"/>
          <w:lang w:val="en-US"/>
        </w:rPr>
        <w:t xml:space="preserve"> CD34</w:t>
      </w:r>
      <w:r w:rsidR="00B142A2" w:rsidRPr="00B142A2">
        <w:rPr>
          <w:rFonts w:ascii="Arial" w:hAnsi="Arial" w:cs="Arial"/>
          <w:sz w:val="22"/>
          <w:szCs w:val="22"/>
          <w:vertAlign w:val="superscript"/>
          <w:lang w:val="en-US"/>
        </w:rPr>
        <w:t>+</w:t>
      </w:r>
      <w:r w:rsidR="00B142A2" w:rsidRPr="00B142A2">
        <w:rPr>
          <w:rFonts w:ascii="Arial" w:hAnsi="Arial" w:cs="Arial"/>
          <w:sz w:val="22"/>
          <w:szCs w:val="22"/>
          <w:lang w:val="en-US"/>
        </w:rPr>
        <w:t xml:space="preserve"> P-ECs</w:t>
      </w:r>
      <w:r w:rsidR="008377CC">
        <w:rPr>
          <w:rFonts w:ascii="Arial" w:hAnsi="Arial" w:cs="Arial"/>
          <w:sz w:val="22"/>
          <w:szCs w:val="22"/>
          <w:lang w:val="en-US"/>
        </w:rPr>
        <w:t xml:space="preserve"> (n=2 per group)</w:t>
      </w:r>
      <w:r w:rsidR="00B142A2" w:rsidRPr="00B142A2">
        <w:rPr>
          <w:rFonts w:ascii="Arial" w:hAnsi="Arial" w:cs="Arial"/>
          <w:sz w:val="22"/>
          <w:szCs w:val="22"/>
          <w:lang w:val="en-US"/>
        </w:rPr>
        <w:t xml:space="preserve">. </w:t>
      </w:r>
      <w:r w:rsidR="008377CC" w:rsidRPr="00B142A2">
        <w:rPr>
          <w:rFonts w:ascii="Arial" w:hAnsi="Arial" w:cs="Arial"/>
          <w:sz w:val="22"/>
          <w:szCs w:val="22"/>
          <w:lang w:val="en-US"/>
        </w:rPr>
        <w:t xml:space="preserve">Cluster #A </w:t>
      </w:r>
      <w:r w:rsidR="008377CC">
        <w:rPr>
          <w:rFonts w:ascii="Arial" w:hAnsi="Arial" w:cs="Arial"/>
          <w:sz w:val="22"/>
          <w:szCs w:val="22"/>
          <w:lang w:val="en-US"/>
        </w:rPr>
        <w:t>consists of</w:t>
      </w:r>
      <w:r w:rsidR="008377CC" w:rsidRPr="00B142A2">
        <w:rPr>
          <w:rFonts w:ascii="Arial" w:hAnsi="Arial" w:cs="Arial"/>
          <w:sz w:val="22"/>
          <w:szCs w:val="22"/>
          <w:lang w:val="en-US"/>
        </w:rPr>
        <w:t xml:space="preserve"> intrinsically upregulated DUSPs</w:t>
      </w:r>
      <w:r w:rsidR="008377CC">
        <w:rPr>
          <w:rFonts w:ascii="Arial" w:hAnsi="Arial" w:cs="Arial"/>
          <w:sz w:val="22"/>
          <w:szCs w:val="22"/>
          <w:lang w:val="en-US"/>
        </w:rPr>
        <w:t xml:space="preserve">, while </w:t>
      </w:r>
      <w:r w:rsidR="008377CC" w:rsidRPr="00B142A2">
        <w:rPr>
          <w:rFonts w:ascii="Arial" w:hAnsi="Arial" w:cs="Arial"/>
          <w:sz w:val="22"/>
          <w:szCs w:val="22"/>
          <w:lang w:val="en-US"/>
        </w:rPr>
        <w:t xml:space="preserve">cluster #B contains DUSPs upregulated in d9 </w:t>
      </w:r>
      <w:proofErr w:type="spellStart"/>
      <w:r w:rsidR="008377CC" w:rsidRPr="00B142A2">
        <w:rPr>
          <w:rFonts w:ascii="Arial" w:hAnsi="Arial" w:cs="Arial"/>
          <w:sz w:val="22"/>
          <w:szCs w:val="22"/>
          <w:lang w:val="en-US"/>
        </w:rPr>
        <w:t>cyt</w:t>
      </w:r>
      <w:proofErr w:type="spellEnd"/>
      <w:r w:rsidR="008377CC" w:rsidRPr="00B142A2">
        <w:rPr>
          <w:rFonts w:ascii="Arial" w:hAnsi="Arial" w:cs="Arial"/>
          <w:sz w:val="22"/>
          <w:szCs w:val="22"/>
          <w:lang w:val="en-US"/>
        </w:rPr>
        <w:t xml:space="preserve"> </w:t>
      </w:r>
      <w:r w:rsidR="008377CC" w:rsidRPr="008377CC">
        <w:rPr>
          <w:rFonts w:ascii="Arial" w:hAnsi="Arial" w:cs="Arial"/>
          <w:i/>
          <w:iCs/>
          <w:sz w:val="22"/>
          <w:szCs w:val="22"/>
          <w:lang w:val="en-US"/>
        </w:rPr>
        <w:t xml:space="preserve">JAK2 </w:t>
      </w:r>
      <w:r w:rsidR="008377CC" w:rsidRPr="00CD395D">
        <w:rPr>
          <w:rFonts w:ascii="Arial" w:hAnsi="Arial" w:cs="Arial"/>
          <w:sz w:val="22"/>
          <w:szCs w:val="22"/>
          <w:lang w:val="en-US"/>
        </w:rPr>
        <w:t>V617F</w:t>
      </w:r>
      <w:r w:rsidR="008377CC" w:rsidRPr="008377CC">
        <w:rPr>
          <w:rFonts w:ascii="Arial" w:hAnsi="Arial" w:cs="Arial"/>
          <w:sz w:val="22"/>
          <w:szCs w:val="22"/>
          <w:vertAlign w:val="superscript"/>
          <w:lang w:val="en-US"/>
        </w:rPr>
        <w:t>+</w:t>
      </w:r>
      <w:r w:rsidR="008377CC" w:rsidRPr="00B142A2">
        <w:rPr>
          <w:rFonts w:ascii="Arial" w:hAnsi="Arial" w:cs="Arial"/>
          <w:sz w:val="22"/>
          <w:szCs w:val="22"/>
          <w:lang w:val="en-US"/>
        </w:rPr>
        <w:t xml:space="preserve"> CD34</w:t>
      </w:r>
      <w:r w:rsidR="008377CC" w:rsidRPr="008377CC">
        <w:rPr>
          <w:rFonts w:ascii="Arial" w:hAnsi="Arial" w:cs="Arial"/>
          <w:sz w:val="22"/>
          <w:szCs w:val="22"/>
          <w:vertAlign w:val="superscript"/>
          <w:lang w:val="en-US"/>
        </w:rPr>
        <w:t>+</w:t>
      </w:r>
      <w:r w:rsidR="008377CC" w:rsidRPr="00B142A2">
        <w:rPr>
          <w:rFonts w:ascii="Arial" w:hAnsi="Arial" w:cs="Arial"/>
          <w:sz w:val="22"/>
          <w:szCs w:val="22"/>
          <w:lang w:val="en-US"/>
        </w:rPr>
        <w:t xml:space="preserve"> P-ECs.</w:t>
      </w:r>
      <w:r w:rsidR="008377CC">
        <w:rPr>
          <w:rFonts w:ascii="Arial" w:hAnsi="Arial" w:cs="Arial"/>
          <w:sz w:val="22"/>
          <w:szCs w:val="22"/>
          <w:lang w:val="en-US"/>
        </w:rPr>
        <w:t xml:space="preserve"> </w:t>
      </w:r>
      <w:r w:rsidR="00B142A2" w:rsidRPr="00B142A2">
        <w:rPr>
          <w:rFonts w:ascii="Arial" w:hAnsi="Arial" w:cs="Arial"/>
          <w:sz w:val="22"/>
          <w:szCs w:val="22"/>
          <w:lang w:val="en-US"/>
        </w:rPr>
        <w:t xml:space="preserve">Heatmap was </w:t>
      </w:r>
      <w:r w:rsidR="008377CC">
        <w:rPr>
          <w:rFonts w:ascii="Arial" w:hAnsi="Arial" w:cs="Arial"/>
          <w:sz w:val="22"/>
          <w:szCs w:val="22"/>
          <w:lang w:val="en-US"/>
        </w:rPr>
        <w:t>clustered</w:t>
      </w:r>
      <w:r w:rsidR="00B142A2" w:rsidRPr="00B142A2">
        <w:rPr>
          <w:rFonts w:ascii="Arial" w:hAnsi="Arial" w:cs="Arial"/>
          <w:sz w:val="22"/>
          <w:szCs w:val="22"/>
          <w:lang w:val="en-US"/>
        </w:rPr>
        <w:t xml:space="preserve"> by using Kendall’s Tau Distance Measurement Method and Centroid Linkage Clustering Method.</w:t>
      </w:r>
    </w:p>
    <w:p w14:paraId="6FFE5FAA" w14:textId="77777777" w:rsidR="001E0B16" w:rsidRDefault="001E0B16" w:rsidP="001E0B16">
      <w:pPr>
        <w:spacing w:line="360" w:lineRule="auto"/>
        <w:rPr>
          <w:rFonts w:ascii="Arial" w:hAnsi="Arial" w:cs="Arial"/>
          <w:sz w:val="22"/>
          <w:szCs w:val="22"/>
          <w:lang w:val="en-US"/>
        </w:rPr>
      </w:pPr>
    </w:p>
    <w:p w14:paraId="0CA8F792" w14:textId="77777777" w:rsidR="001E0B16" w:rsidRDefault="000B34A3" w:rsidP="000B34A3">
      <w:pPr>
        <w:spacing w:line="360" w:lineRule="auto"/>
        <w:jc w:val="both"/>
        <w:rPr>
          <w:rFonts w:ascii="Arial" w:hAnsi="Arial" w:cs="Arial"/>
          <w:sz w:val="22"/>
          <w:szCs w:val="22"/>
          <w:lang w:val="en-US"/>
        </w:rPr>
      </w:pPr>
      <w:r>
        <w:rPr>
          <w:rFonts w:ascii="Arial" w:hAnsi="Arial" w:cs="Arial"/>
          <w:sz w:val="22"/>
          <w:szCs w:val="22"/>
          <w:lang w:val="en-US"/>
        </w:rPr>
        <w:lastRenderedPageBreak/>
        <w:t xml:space="preserve">We have therefore sought to further investigate </w:t>
      </w:r>
      <w:r w:rsidR="000570BC">
        <w:rPr>
          <w:rFonts w:ascii="Arial" w:hAnsi="Arial" w:cs="Arial"/>
          <w:sz w:val="22"/>
          <w:szCs w:val="22"/>
          <w:lang w:val="en-US"/>
        </w:rPr>
        <w:t xml:space="preserve">intrinsic and induced </w:t>
      </w:r>
      <w:r>
        <w:rPr>
          <w:rFonts w:ascii="Arial" w:hAnsi="Arial" w:cs="Arial"/>
          <w:sz w:val="22"/>
          <w:szCs w:val="22"/>
          <w:lang w:val="en-US"/>
        </w:rPr>
        <w:t xml:space="preserve">overexpression of DUSP1 at the protein level, where we confirmed overexpression of DUSP1 in </w:t>
      </w:r>
      <w:r w:rsidRPr="008377CC">
        <w:rPr>
          <w:rFonts w:ascii="Arial" w:hAnsi="Arial" w:cs="Arial"/>
          <w:i/>
          <w:iCs/>
          <w:sz w:val="22"/>
          <w:szCs w:val="22"/>
          <w:lang w:val="en-US"/>
        </w:rPr>
        <w:t xml:space="preserve">JAK2 </w:t>
      </w:r>
      <w:r w:rsidRPr="00CD395D">
        <w:rPr>
          <w:rFonts w:ascii="Arial" w:hAnsi="Arial" w:cs="Arial"/>
          <w:sz w:val="22"/>
          <w:szCs w:val="22"/>
          <w:lang w:val="en-US"/>
        </w:rPr>
        <w:t>V617F</w:t>
      </w:r>
      <w:r w:rsidRPr="008377CC">
        <w:rPr>
          <w:rFonts w:ascii="Arial" w:hAnsi="Arial" w:cs="Arial"/>
          <w:sz w:val="22"/>
          <w:szCs w:val="22"/>
          <w:vertAlign w:val="superscript"/>
          <w:lang w:val="en-US"/>
        </w:rPr>
        <w:t>+</w:t>
      </w:r>
      <w:r w:rsidRPr="00B142A2">
        <w:rPr>
          <w:rFonts w:ascii="Arial" w:hAnsi="Arial" w:cs="Arial"/>
          <w:sz w:val="22"/>
          <w:szCs w:val="22"/>
          <w:lang w:val="en-US"/>
        </w:rPr>
        <w:t xml:space="preserve"> CD34</w:t>
      </w:r>
      <w:r w:rsidRPr="008377CC">
        <w:rPr>
          <w:rFonts w:ascii="Arial" w:hAnsi="Arial" w:cs="Arial"/>
          <w:sz w:val="22"/>
          <w:szCs w:val="22"/>
          <w:vertAlign w:val="superscript"/>
          <w:lang w:val="en-US"/>
        </w:rPr>
        <w:t>+</w:t>
      </w:r>
      <w:r w:rsidRPr="00B142A2">
        <w:rPr>
          <w:rFonts w:ascii="Arial" w:hAnsi="Arial" w:cs="Arial"/>
          <w:sz w:val="22"/>
          <w:szCs w:val="22"/>
          <w:lang w:val="en-US"/>
        </w:rPr>
        <w:t xml:space="preserve"> P-ECs</w:t>
      </w:r>
      <w:r>
        <w:rPr>
          <w:rFonts w:ascii="Arial" w:hAnsi="Arial" w:cs="Arial"/>
          <w:sz w:val="22"/>
          <w:szCs w:val="22"/>
          <w:lang w:val="en-US"/>
        </w:rPr>
        <w:t>, further increased upon treatment with inflammatory cytokines (Figure 2</w:t>
      </w:r>
      <w:r w:rsidR="007B66A0">
        <w:rPr>
          <w:rFonts w:ascii="Arial" w:hAnsi="Arial" w:cs="Arial"/>
          <w:sz w:val="22"/>
          <w:szCs w:val="22"/>
          <w:lang w:val="en-US"/>
        </w:rPr>
        <w:t>3</w:t>
      </w:r>
      <w:r>
        <w:rPr>
          <w:rFonts w:ascii="Arial" w:hAnsi="Arial" w:cs="Arial"/>
          <w:sz w:val="22"/>
          <w:szCs w:val="22"/>
          <w:lang w:val="en-US"/>
        </w:rPr>
        <w:t>A)</w:t>
      </w:r>
      <w:r w:rsidR="00FF315A">
        <w:rPr>
          <w:rFonts w:ascii="Arial" w:hAnsi="Arial" w:cs="Arial"/>
          <w:sz w:val="22"/>
          <w:szCs w:val="22"/>
          <w:lang w:val="en-US"/>
        </w:rPr>
        <w:t>,</w:t>
      </w:r>
      <w:r>
        <w:rPr>
          <w:rFonts w:ascii="Arial" w:hAnsi="Arial" w:cs="Arial"/>
          <w:sz w:val="22"/>
          <w:szCs w:val="22"/>
          <w:lang w:val="en-US"/>
        </w:rPr>
        <w:t xml:space="preserve"> and detected constitutive presence </w:t>
      </w:r>
      <w:r w:rsidR="00FF315A">
        <w:rPr>
          <w:rFonts w:ascii="Arial" w:hAnsi="Arial" w:cs="Arial"/>
          <w:sz w:val="22"/>
          <w:szCs w:val="22"/>
          <w:lang w:val="en-US"/>
        </w:rPr>
        <w:t xml:space="preserve">of DUSP1 </w:t>
      </w:r>
      <w:r>
        <w:rPr>
          <w:rFonts w:ascii="Arial" w:hAnsi="Arial" w:cs="Arial"/>
          <w:sz w:val="22"/>
          <w:szCs w:val="22"/>
          <w:lang w:val="en-US"/>
        </w:rPr>
        <w:t xml:space="preserve">in PV patient BMs </w:t>
      </w:r>
      <w:r w:rsidR="000570BC">
        <w:rPr>
          <w:rFonts w:ascii="Arial" w:hAnsi="Arial" w:cs="Arial"/>
          <w:sz w:val="22"/>
          <w:szCs w:val="22"/>
          <w:lang w:val="en-US"/>
        </w:rPr>
        <w:t xml:space="preserve">across disease stages </w:t>
      </w:r>
      <w:r>
        <w:rPr>
          <w:rFonts w:ascii="Arial" w:hAnsi="Arial" w:cs="Arial"/>
          <w:sz w:val="22"/>
          <w:szCs w:val="22"/>
          <w:lang w:val="en-US"/>
        </w:rPr>
        <w:t>(Figure 2</w:t>
      </w:r>
      <w:r w:rsidR="007B66A0">
        <w:rPr>
          <w:rFonts w:ascii="Arial" w:hAnsi="Arial" w:cs="Arial"/>
          <w:sz w:val="22"/>
          <w:szCs w:val="22"/>
          <w:lang w:val="en-US"/>
        </w:rPr>
        <w:t>3</w:t>
      </w:r>
      <w:r>
        <w:rPr>
          <w:rFonts w:ascii="Arial" w:hAnsi="Arial" w:cs="Arial"/>
          <w:sz w:val="22"/>
          <w:szCs w:val="22"/>
          <w:lang w:val="en-US"/>
        </w:rPr>
        <w:t>B).</w:t>
      </w:r>
    </w:p>
    <w:p w14:paraId="492E446D" w14:textId="77777777" w:rsidR="00751A82" w:rsidRDefault="00751A82">
      <w:pPr>
        <w:rPr>
          <w:rFonts w:ascii="Arial" w:hAnsi="Arial" w:cs="Arial"/>
          <w:b/>
          <w:bCs/>
          <w:sz w:val="22"/>
          <w:szCs w:val="22"/>
          <w:lang w:val="en-US"/>
        </w:rPr>
      </w:pPr>
    </w:p>
    <w:p w14:paraId="0F03DFC5" w14:textId="77777777" w:rsidR="001E0B16" w:rsidRPr="001E0B16" w:rsidRDefault="001E0B16" w:rsidP="001E0B16">
      <w:pPr>
        <w:spacing w:line="360" w:lineRule="auto"/>
        <w:rPr>
          <w:rFonts w:ascii="Arial" w:hAnsi="Arial" w:cs="Arial"/>
          <w:b/>
          <w:bCs/>
          <w:sz w:val="22"/>
          <w:szCs w:val="22"/>
          <w:lang w:val="en-US"/>
        </w:rPr>
      </w:pPr>
      <w:r w:rsidRPr="001E0B16">
        <w:rPr>
          <w:rFonts w:ascii="Arial" w:hAnsi="Arial" w:cs="Arial"/>
          <w:b/>
          <w:bCs/>
          <w:sz w:val="22"/>
          <w:szCs w:val="22"/>
          <w:lang w:val="en-US"/>
        </w:rPr>
        <w:t>A</w:t>
      </w:r>
      <w:r w:rsidRPr="001E0B16">
        <w:rPr>
          <w:rFonts w:ascii="Arial" w:hAnsi="Arial" w:cs="Arial"/>
          <w:b/>
          <w:bCs/>
          <w:sz w:val="22"/>
          <w:szCs w:val="22"/>
          <w:lang w:val="en-US"/>
        </w:rPr>
        <w:tab/>
      </w:r>
      <w:r w:rsidRPr="001E0B16">
        <w:rPr>
          <w:rFonts w:ascii="Arial" w:hAnsi="Arial" w:cs="Arial"/>
          <w:b/>
          <w:bCs/>
          <w:sz w:val="22"/>
          <w:szCs w:val="22"/>
          <w:lang w:val="en-US"/>
        </w:rPr>
        <w:tab/>
      </w:r>
      <w:r w:rsidRPr="001E0B16">
        <w:rPr>
          <w:rFonts w:ascii="Arial" w:hAnsi="Arial" w:cs="Arial"/>
          <w:b/>
          <w:bCs/>
          <w:sz w:val="22"/>
          <w:szCs w:val="22"/>
          <w:lang w:val="en-US"/>
        </w:rPr>
        <w:tab/>
      </w:r>
      <w:r w:rsidRPr="001E0B16">
        <w:rPr>
          <w:rFonts w:ascii="Arial" w:hAnsi="Arial" w:cs="Arial"/>
          <w:b/>
          <w:bCs/>
          <w:sz w:val="22"/>
          <w:szCs w:val="22"/>
          <w:lang w:val="en-US"/>
        </w:rPr>
        <w:tab/>
      </w:r>
      <w:r w:rsidRPr="001E0B16">
        <w:rPr>
          <w:rFonts w:ascii="Arial" w:hAnsi="Arial" w:cs="Arial"/>
          <w:b/>
          <w:bCs/>
          <w:sz w:val="22"/>
          <w:szCs w:val="22"/>
          <w:lang w:val="en-US"/>
        </w:rPr>
        <w:tab/>
      </w:r>
      <w:r w:rsidRPr="001E0B16">
        <w:rPr>
          <w:rFonts w:ascii="Arial" w:hAnsi="Arial" w:cs="Arial"/>
          <w:b/>
          <w:bCs/>
          <w:sz w:val="22"/>
          <w:szCs w:val="22"/>
          <w:lang w:val="en-US"/>
        </w:rPr>
        <w:tab/>
      </w:r>
      <w:r w:rsidRPr="001E0B16">
        <w:rPr>
          <w:rFonts w:ascii="Arial" w:hAnsi="Arial" w:cs="Arial"/>
          <w:b/>
          <w:bCs/>
          <w:sz w:val="22"/>
          <w:szCs w:val="22"/>
          <w:lang w:val="en-US"/>
        </w:rPr>
        <w:tab/>
      </w:r>
      <w:r w:rsidRPr="001E0B16">
        <w:rPr>
          <w:rFonts w:ascii="Arial" w:hAnsi="Arial" w:cs="Arial"/>
          <w:b/>
          <w:bCs/>
          <w:sz w:val="22"/>
          <w:szCs w:val="22"/>
          <w:lang w:val="en-US"/>
        </w:rPr>
        <w:tab/>
        <w:t xml:space="preserve">     </w:t>
      </w:r>
    </w:p>
    <w:p w14:paraId="22AC37B3" w14:textId="77777777" w:rsidR="00A961CF" w:rsidRDefault="001E0B16" w:rsidP="001E0B16">
      <w:pPr>
        <w:spacing w:line="360" w:lineRule="auto"/>
        <w:jc w:val="center"/>
        <w:rPr>
          <w:rFonts w:ascii="Arial" w:hAnsi="Arial" w:cs="Arial"/>
          <w:sz w:val="22"/>
          <w:szCs w:val="22"/>
          <w:lang w:val="en-US"/>
        </w:rPr>
      </w:pPr>
      <w:r w:rsidRPr="001E0B16">
        <w:rPr>
          <w:rFonts w:ascii="Arial" w:hAnsi="Arial" w:cs="Arial"/>
          <w:sz w:val="22"/>
          <w:szCs w:val="22"/>
          <w:lang w:val="en-US"/>
        </w:rPr>
        <w:fldChar w:fldCharType="begin"/>
      </w:r>
      <w:r w:rsidRPr="001E0B16">
        <w:rPr>
          <w:rFonts w:ascii="Arial" w:hAnsi="Arial" w:cs="Arial"/>
          <w:sz w:val="22"/>
          <w:szCs w:val="22"/>
          <w:lang w:val="en-US"/>
        </w:rPr>
        <w:instrText xml:space="preserve"> INCLUDEPICTURE "https://media.springernature.com/full/springer-static/image/art%3A10.1038%2Fs41388-019-0813-7/MediaObjects/41388_2019_813_Fig4_HTML.png" \* MERGEFORMATINET </w:instrText>
      </w:r>
      <w:r w:rsidRPr="001E0B16">
        <w:rPr>
          <w:rFonts w:ascii="Arial" w:hAnsi="Arial" w:cs="Arial"/>
          <w:sz w:val="22"/>
          <w:szCs w:val="22"/>
          <w:lang w:val="en-US"/>
        </w:rPr>
        <w:fldChar w:fldCharType="separate"/>
      </w:r>
      <w:r w:rsidRPr="001E0B16">
        <w:rPr>
          <w:rFonts w:ascii="Arial" w:hAnsi="Arial" w:cs="Arial"/>
          <w:noProof/>
          <w:sz w:val="22"/>
          <w:szCs w:val="22"/>
          <w:lang w:val="cs-CZ" w:eastAsia="cs-CZ"/>
        </w:rPr>
        <w:drawing>
          <wp:inline distT="0" distB="0" distL="0" distR="0" wp14:anchorId="11EEA587" wp14:editId="0B50ED62">
            <wp:extent cx="3722306" cy="1339912"/>
            <wp:effectExtent l="0" t="0" r="0" b="0"/>
            <wp:docPr id="43" name="Grafik 43"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4"/>
                    <pic:cNvPicPr>
                      <a:picLocks noChangeAspect="1" noChangeArrowheads="1"/>
                    </pic:cNvPicPr>
                  </pic:nvPicPr>
                  <pic:blipFill rotWithShape="1">
                    <a:blip r:embed="rId39">
                      <a:extLst>
                        <a:ext uri="{28A0092B-C50C-407E-A947-70E740481C1C}">
                          <a14:useLocalDpi xmlns:a14="http://schemas.microsoft.com/office/drawing/2010/main" val="0"/>
                        </a:ext>
                      </a:extLst>
                    </a:blip>
                    <a:srcRect l="33819" t="979" r="22830" b="88430"/>
                    <a:stretch/>
                  </pic:blipFill>
                  <pic:spPr bwMode="auto">
                    <a:xfrm>
                      <a:off x="0" y="0"/>
                      <a:ext cx="3768143" cy="1356412"/>
                    </a:xfrm>
                    <a:prstGeom prst="rect">
                      <a:avLst/>
                    </a:prstGeom>
                    <a:noFill/>
                    <a:ln>
                      <a:noFill/>
                    </a:ln>
                    <a:extLst>
                      <a:ext uri="{53640926-AAD7-44D8-BBD7-CCE9431645EC}">
                        <a14:shadowObscured xmlns:a14="http://schemas.microsoft.com/office/drawing/2010/main"/>
                      </a:ext>
                    </a:extLst>
                  </pic:spPr>
                </pic:pic>
              </a:graphicData>
            </a:graphic>
          </wp:inline>
        </w:drawing>
      </w:r>
      <w:r w:rsidRPr="001E0B16">
        <w:rPr>
          <w:rFonts w:ascii="Arial" w:hAnsi="Arial" w:cs="Arial"/>
          <w:sz w:val="22"/>
          <w:szCs w:val="22"/>
          <w:lang w:val="en-US"/>
        </w:rPr>
        <w:fldChar w:fldCharType="end"/>
      </w:r>
      <w:r w:rsidRPr="001E0B16">
        <w:rPr>
          <w:rFonts w:ascii="Arial" w:hAnsi="Arial" w:cs="Arial"/>
          <w:sz w:val="22"/>
          <w:szCs w:val="22"/>
          <w:lang w:val="en-US"/>
        </w:rPr>
        <w:fldChar w:fldCharType="begin"/>
      </w:r>
      <w:r w:rsidRPr="001E0B16">
        <w:rPr>
          <w:rFonts w:ascii="Arial" w:hAnsi="Arial" w:cs="Arial"/>
          <w:sz w:val="22"/>
          <w:szCs w:val="22"/>
          <w:lang w:val="en-US"/>
        </w:rPr>
        <w:instrText xml:space="preserve"> INCLUDEPICTURE "https://media.springernature.com/full/springer-static/image/art%3A10.1038%2Fs41388-019-0813-7/MediaObjects/41388_2019_813_Fig4_HTML.png" \* MERGEFORMATINET </w:instrText>
      </w:r>
      <w:r w:rsidRPr="001E0B16">
        <w:rPr>
          <w:rFonts w:ascii="Arial" w:hAnsi="Arial" w:cs="Arial"/>
          <w:sz w:val="22"/>
          <w:szCs w:val="22"/>
          <w:lang w:val="en-US"/>
        </w:rPr>
        <w:fldChar w:fldCharType="separate"/>
      </w:r>
      <w:r w:rsidRPr="001E0B16">
        <w:rPr>
          <w:rFonts w:ascii="Arial" w:hAnsi="Arial" w:cs="Arial"/>
          <w:noProof/>
          <w:sz w:val="22"/>
          <w:szCs w:val="22"/>
          <w:lang w:val="cs-CZ" w:eastAsia="cs-CZ"/>
        </w:rPr>
        <w:drawing>
          <wp:inline distT="0" distB="0" distL="0" distR="0" wp14:anchorId="3AAF8B10" wp14:editId="7B76C312">
            <wp:extent cx="1557196" cy="1426210"/>
            <wp:effectExtent l="0" t="0" r="5080" b="0"/>
            <wp:docPr id="44" name="Grafik 44"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4"/>
                    <pic:cNvPicPr>
                      <a:picLocks noChangeAspect="1" noChangeArrowheads="1"/>
                    </pic:cNvPicPr>
                  </pic:nvPicPr>
                  <pic:blipFill rotWithShape="1">
                    <a:blip r:embed="rId39">
                      <a:extLst>
                        <a:ext uri="{28A0092B-C50C-407E-A947-70E740481C1C}">
                          <a14:useLocalDpi xmlns:a14="http://schemas.microsoft.com/office/drawing/2010/main" val="0"/>
                        </a:ext>
                      </a:extLst>
                    </a:blip>
                    <a:srcRect l="82952" t="1248" r="10" b="88161"/>
                    <a:stretch/>
                  </pic:blipFill>
                  <pic:spPr bwMode="auto">
                    <a:xfrm>
                      <a:off x="0" y="0"/>
                      <a:ext cx="1558594" cy="1427490"/>
                    </a:xfrm>
                    <a:prstGeom prst="rect">
                      <a:avLst/>
                    </a:prstGeom>
                    <a:noFill/>
                    <a:ln>
                      <a:noFill/>
                    </a:ln>
                    <a:extLst>
                      <a:ext uri="{53640926-AAD7-44D8-BBD7-CCE9431645EC}">
                        <a14:shadowObscured xmlns:a14="http://schemas.microsoft.com/office/drawing/2010/main"/>
                      </a:ext>
                    </a:extLst>
                  </pic:spPr>
                </pic:pic>
              </a:graphicData>
            </a:graphic>
          </wp:inline>
        </w:drawing>
      </w:r>
      <w:r w:rsidRPr="001E0B16">
        <w:rPr>
          <w:rFonts w:ascii="Arial" w:hAnsi="Arial" w:cs="Arial"/>
          <w:sz w:val="22"/>
          <w:szCs w:val="22"/>
          <w:lang w:val="en-US"/>
        </w:rPr>
        <w:fldChar w:fldCharType="end"/>
      </w:r>
    </w:p>
    <w:p w14:paraId="43E18B2B" w14:textId="77777777" w:rsidR="001E0B16" w:rsidRPr="001E0B16" w:rsidRDefault="005C6F60" w:rsidP="001E0B16">
      <w:pPr>
        <w:spacing w:line="360" w:lineRule="auto"/>
        <w:rPr>
          <w:rFonts w:ascii="Arial" w:hAnsi="Arial" w:cs="Arial"/>
          <w:b/>
          <w:bCs/>
          <w:sz w:val="22"/>
          <w:szCs w:val="22"/>
          <w:lang w:val="en-US"/>
        </w:rPr>
      </w:pPr>
      <w:r>
        <w:rPr>
          <w:rFonts w:ascii="Arial" w:hAnsi="Arial" w:cs="Arial"/>
          <w:b/>
          <w:bCs/>
          <w:sz w:val="22"/>
          <w:szCs w:val="22"/>
          <w:lang w:val="en-US"/>
        </w:rPr>
        <w:t>B</w:t>
      </w:r>
    </w:p>
    <w:p w14:paraId="3EA4D2DA" w14:textId="77777777" w:rsidR="001E0B16" w:rsidRPr="001E0B16" w:rsidRDefault="001E0B16" w:rsidP="001E0B16">
      <w:pPr>
        <w:spacing w:line="360" w:lineRule="auto"/>
        <w:jc w:val="center"/>
        <w:rPr>
          <w:rFonts w:ascii="Arial" w:hAnsi="Arial" w:cs="Arial"/>
          <w:sz w:val="22"/>
          <w:szCs w:val="22"/>
          <w:lang w:val="en-US"/>
        </w:rPr>
      </w:pPr>
      <w:r w:rsidRPr="001E0B16">
        <w:rPr>
          <w:rFonts w:ascii="Arial" w:hAnsi="Arial" w:cs="Arial"/>
          <w:sz w:val="22"/>
          <w:szCs w:val="22"/>
          <w:lang w:val="en-US"/>
        </w:rPr>
        <w:fldChar w:fldCharType="begin"/>
      </w:r>
      <w:r w:rsidRPr="001E0B16">
        <w:rPr>
          <w:rFonts w:ascii="Arial" w:hAnsi="Arial" w:cs="Arial"/>
          <w:sz w:val="22"/>
          <w:szCs w:val="22"/>
          <w:lang w:val="en-US"/>
        </w:rPr>
        <w:instrText xml:space="preserve"> INCLUDEPICTURE "https://media.springernature.com/full/springer-static/image/art%3A10.1038%2Fs41388-019-0813-7/MediaObjects/41388_2019_813_Fig4_HTML.png" \* MERGEFORMATINET </w:instrText>
      </w:r>
      <w:r w:rsidRPr="001E0B16">
        <w:rPr>
          <w:rFonts w:ascii="Arial" w:hAnsi="Arial" w:cs="Arial"/>
          <w:sz w:val="22"/>
          <w:szCs w:val="22"/>
          <w:lang w:val="en-US"/>
        </w:rPr>
        <w:fldChar w:fldCharType="separate"/>
      </w:r>
      <w:r w:rsidRPr="001E0B16">
        <w:rPr>
          <w:rFonts w:ascii="Arial" w:hAnsi="Arial" w:cs="Arial"/>
          <w:noProof/>
          <w:sz w:val="22"/>
          <w:szCs w:val="22"/>
          <w:lang w:val="cs-CZ" w:eastAsia="cs-CZ"/>
        </w:rPr>
        <w:drawing>
          <wp:inline distT="0" distB="0" distL="0" distR="0" wp14:anchorId="162676B6" wp14:editId="5CA4F09E">
            <wp:extent cx="5400000" cy="1333867"/>
            <wp:effectExtent l="0" t="0" r="0" b="0"/>
            <wp:docPr id="45" name="Grafik 45"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4"/>
                    <pic:cNvPicPr>
                      <a:picLocks noChangeAspect="1" noChangeArrowheads="1"/>
                    </pic:cNvPicPr>
                  </pic:nvPicPr>
                  <pic:blipFill rotWithShape="1">
                    <a:blip r:embed="rId39">
                      <a:extLst>
                        <a:ext uri="{28A0092B-C50C-407E-A947-70E740481C1C}">
                          <a14:useLocalDpi xmlns:a14="http://schemas.microsoft.com/office/drawing/2010/main" val="0"/>
                        </a:ext>
                      </a:extLst>
                    </a:blip>
                    <a:srcRect l="33417" t="13649" r="780" b="75319"/>
                    <a:stretch/>
                  </pic:blipFill>
                  <pic:spPr bwMode="auto">
                    <a:xfrm>
                      <a:off x="0" y="0"/>
                      <a:ext cx="5400000" cy="1333867"/>
                    </a:xfrm>
                    <a:prstGeom prst="rect">
                      <a:avLst/>
                    </a:prstGeom>
                    <a:noFill/>
                    <a:ln>
                      <a:noFill/>
                    </a:ln>
                    <a:extLst>
                      <a:ext uri="{53640926-AAD7-44D8-BBD7-CCE9431645EC}">
                        <a14:shadowObscured xmlns:a14="http://schemas.microsoft.com/office/drawing/2010/main"/>
                      </a:ext>
                    </a:extLst>
                  </pic:spPr>
                </pic:pic>
              </a:graphicData>
            </a:graphic>
          </wp:inline>
        </w:drawing>
      </w:r>
      <w:r w:rsidRPr="001E0B16">
        <w:rPr>
          <w:rFonts w:ascii="Arial" w:hAnsi="Arial" w:cs="Arial"/>
          <w:sz w:val="22"/>
          <w:szCs w:val="22"/>
          <w:lang w:val="en-US"/>
        </w:rPr>
        <w:fldChar w:fldCharType="end"/>
      </w:r>
    </w:p>
    <w:p w14:paraId="5439D40E" w14:textId="77777777" w:rsidR="00E07EE3" w:rsidRDefault="001E0B16" w:rsidP="005D01C6">
      <w:pPr>
        <w:spacing w:line="360" w:lineRule="auto"/>
        <w:jc w:val="both"/>
        <w:rPr>
          <w:rFonts w:ascii="Arial" w:hAnsi="Arial" w:cs="Arial"/>
          <w:sz w:val="22"/>
          <w:szCs w:val="22"/>
          <w:lang w:val="en-US"/>
        </w:rPr>
      </w:pPr>
      <w:r w:rsidRPr="009C25F6">
        <w:rPr>
          <w:rFonts w:ascii="Arial" w:hAnsi="Arial" w:cs="Arial"/>
          <w:b/>
          <w:bCs/>
          <w:sz w:val="22"/>
          <w:szCs w:val="22"/>
          <w:lang w:val="en-US"/>
        </w:rPr>
        <w:t>Figure 2</w:t>
      </w:r>
      <w:r w:rsidR="007B66A0">
        <w:rPr>
          <w:rFonts w:ascii="Arial" w:hAnsi="Arial" w:cs="Arial"/>
          <w:b/>
          <w:bCs/>
          <w:sz w:val="22"/>
          <w:szCs w:val="22"/>
          <w:lang w:val="en-US"/>
        </w:rPr>
        <w:t>3</w:t>
      </w:r>
      <w:r>
        <w:rPr>
          <w:rFonts w:ascii="Arial" w:hAnsi="Arial" w:cs="Arial"/>
          <w:sz w:val="22"/>
          <w:szCs w:val="22"/>
          <w:lang w:val="en-US"/>
        </w:rPr>
        <w:t>:</w:t>
      </w:r>
      <w:r w:rsidR="00201675">
        <w:rPr>
          <w:rFonts w:ascii="Arial" w:hAnsi="Arial" w:cs="Arial"/>
          <w:sz w:val="22"/>
          <w:szCs w:val="22"/>
          <w:lang w:val="en-US"/>
        </w:rPr>
        <w:t xml:space="preserve"> </w:t>
      </w:r>
      <w:r w:rsidR="00201675" w:rsidRPr="00201675">
        <w:rPr>
          <w:rFonts w:ascii="Arial" w:hAnsi="Arial" w:cs="Arial"/>
          <w:b/>
          <w:bCs/>
          <w:sz w:val="22"/>
          <w:szCs w:val="22"/>
          <w:lang w:val="en-US"/>
        </w:rPr>
        <w:t>A</w:t>
      </w:r>
      <w:r w:rsidR="00201675" w:rsidRPr="00201675">
        <w:rPr>
          <w:rFonts w:ascii="Arial" w:hAnsi="Arial" w:cs="Arial"/>
          <w:sz w:val="22"/>
          <w:szCs w:val="22"/>
          <w:lang w:val="en-US"/>
        </w:rPr>
        <w:t xml:space="preserve"> </w:t>
      </w:r>
      <w:r w:rsidR="00201675">
        <w:rPr>
          <w:rFonts w:ascii="Arial" w:hAnsi="Arial" w:cs="Arial"/>
          <w:sz w:val="22"/>
          <w:szCs w:val="22"/>
          <w:lang w:val="en-US"/>
        </w:rPr>
        <w:t>Representative w</w:t>
      </w:r>
      <w:r w:rsidR="00201675" w:rsidRPr="00201675">
        <w:rPr>
          <w:rFonts w:ascii="Arial" w:hAnsi="Arial" w:cs="Arial"/>
          <w:sz w:val="22"/>
          <w:szCs w:val="22"/>
          <w:lang w:val="en-US"/>
        </w:rPr>
        <w:t xml:space="preserve">estern </w:t>
      </w:r>
      <w:r w:rsidR="00201675">
        <w:rPr>
          <w:rFonts w:ascii="Arial" w:hAnsi="Arial" w:cs="Arial"/>
          <w:sz w:val="22"/>
          <w:szCs w:val="22"/>
          <w:lang w:val="en-US"/>
        </w:rPr>
        <w:t>blot</w:t>
      </w:r>
      <w:r w:rsidR="00201675" w:rsidRPr="00201675">
        <w:rPr>
          <w:rFonts w:ascii="Arial" w:hAnsi="Arial" w:cs="Arial"/>
          <w:sz w:val="22"/>
          <w:szCs w:val="22"/>
          <w:lang w:val="en-US"/>
        </w:rPr>
        <w:t xml:space="preserve"> of DUSP1 </w:t>
      </w:r>
      <w:r w:rsidR="00201675">
        <w:rPr>
          <w:rFonts w:ascii="Arial" w:hAnsi="Arial" w:cs="Arial"/>
          <w:sz w:val="22"/>
          <w:szCs w:val="22"/>
          <w:lang w:val="en-US"/>
        </w:rPr>
        <w:t>from</w:t>
      </w:r>
      <w:r w:rsidR="00201675" w:rsidRPr="00201675">
        <w:rPr>
          <w:rFonts w:ascii="Arial" w:hAnsi="Arial" w:cs="Arial"/>
          <w:sz w:val="22"/>
          <w:szCs w:val="22"/>
          <w:lang w:val="en-US"/>
        </w:rPr>
        <w:t xml:space="preserve"> </w:t>
      </w:r>
      <w:r w:rsidR="00201675">
        <w:rPr>
          <w:rFonts w:ascii="Arial" w:hAnsi="Arial" w:cs="Arial"/>
          <w:sz w:val="22"/>
          <w:szCs w:val="22"/>
          <w:lang w:val="en-US"/>
        </w:rPr>
        <w:t xml:space="preserve">lysates of </w:t>
      </w:r>
      <w:r w:rsidR="00201675" w:rsidRPr="00201675">
        <w:rPr>
          <w:rFonts w:ascii="Arial" w:hAnsi="Arial" w:cs="Arial"/>
          <w:sz w:val="22"/>
          <w:szCs w:val="22"/>
          <w:lang w:val="en-US"/>
        </w:rPr>
        <w:t xml:space="preserve">untreated (d9) or </w:t>
      </w:r>
      <w:r w:rsidR="00201675">
        <w:rPr>
          <w:rFonts w:ascii="Arial" w:hAnsi="Arial" w:cs="Arial"/>
          <w:sz w:val="22"/>
          <w:szCs w:val="22"/>
          <w:lang w:val="en-US"/>
        </w:rPr>
        <w:t>inflammatory cytokine treated</w:t>
      </w:r>
      <w:r w:rsidR="00201675" w:rsidRPr="00201675">
        <w:rPr>
          <w:rFonts w:ascii="Arial" w:hAnsi="Arial" w:cs="Arial"/>
          <w:sz w:val="22"/>
          <w:szCs w:val="22"/>
          <w:lang w:val="en-US"/>
        </w:rPr>
        <w:t xml:space="preserve"> (d9 </w:t>
      </w:r>
      <w:proofErr w:type="spellStart"/>
      <w:r w:rsidR="00201675" w:rsidRPr="00201675">
        <w:rPr>
          <w:rFonts w:ascii="Arial" w:hAnsi="Arial" w:cs="Arial"/>
          <w:sz w:val="22"/>
          <w:szCs w:val="22"/>
          <w:lang w:val="en-US"/>
        </w:rPr>
        <w:t>cyt</w:t>
      </w:r>
      <w:proofErr w:type="spellEnd"/>
      <w:r w:rsidR="00201675" w:rsidRPr="00201675">
        <w:rPr>
          <w:rFonts w:ascii="Arial" w:hAnsi="Arial" w:cs="Arial"/>
          <w:sz w:val="22"/>
          <w:szCs w:val="22"/>
          <w:lang w:val="en-US"/>
        </w:rPr>
        <w:t xml:space="preserve">) </w:t>
      </w:r>
      <w:r w:rsidR="00201675" w:rsidRPr="00B142A2">
        <w:rPr>
          <w:rFonts w:ascii="Arial" w:hAnsi="Arial" w:cs="Arial"/>
          <w:i/>
          <w:iCs/>
          <w:sz w:val="22"/>
          <w:szCs w:val="22"/>
          <w:lang w:val="en-US"/>
        </w:rPr>
        <w:t>JAK2</w:t>
      </w:r>
      <w:r w:rsidR="00201675">
        <w:rPr>
          <w:rFonts w:ascii="Arial" w:hAnsi="Arial" w:cs="Arial"/>
          <w:sz w:val="22"/>
          <w:szCs w:val="22"/>
          <w:lang w:val="en-US"/>
        </w:rPr>
        <w:t xml:space="preserve"> </w:t>
      </w:r>
      <w:proofErr w:type="spellStart"/>
      <w:r w:rsidR="00201675" w:rsidRPr="00B142A2">
        <w:rPr>
          <w:rFonts w:ascii="Arial" w:hAnsi="Arial" w:cs="Arial"/>
          <w:sz w:val="22"/>
          <w:szCs w:val="22"/>
          <w:lang w:val="en-US"/>
        </w:rPr>
        <w:t>wt</w:t>
      </w:r>
      <w:proofErr w:type="spellEnd"/>
      <w:r w:rsidR="00201675" w:rsidRPr="00B142A2">
        <w:rPr>
          <w:rFonts w:ascii="Arial" w:hAnsi="Arial" w:cs="Arial"/>
          <w:sz w:val="22"/>
          <w:szCs w:val="22"/>
          <w:lang w:val="en-US"/>
        </w:rPr>
        <w:t xml:space="preserve"> and </w:t>
      </w:r>
      <w:r w:rsidR="00201675" w:rsidRPr="00B142A2">
        <w:rPr>
          <w:rFonts w:ascii="Arial" w:hAnsi="Arial" w:cs="Arial"/>
          <w:i/>
          <w:iCs/>
          <w:sz w:val="22"/>
          <w:szCs w:val="22"/>
          <w:lang w:val="en-US"/>
        </w:rPr>
        <w:t xml:space="preserve">JAK2 </w:t>
      </w:r>
      <w:r w:rsidR="00201675" w:rsidRPr="00CD395D">
        <w:rPr>
          <w:rFonts w:ascii="Arial" w:hAnsi="Arial" w:cs="Arial"/>
          <w:sz w:val="22"/>
          <w:szCs w:val="22"/>
          <w:lang w:val="en-US"/>
        </w:rPr>
        <w:t>V617F</w:t>
      </w:r>
      <w:r w:rsidR="00201675" w:rsidRPr="00B142A2">
        <w:rPr>
          <w:rFonts w:ascii="Arial" w:hAnsi="Arial" w:cs="Arial"/>
          <w:sz w:val="22"/>
          <w:szCs w:val="22"/>
          <w:vertAlign w:val="superscript"/>
          <w:lang w:val="en-US"/>
        </w:rPr>
        <w:t>+</w:t>
      </w:r>
      <w:r w:rsidR="00201675" w:rsidRPr="00B142A2">
        <w:rPr>
          <w:rFonts w:ascii="Arial" w:hAnsi="Arial" w:cs="Arial"/>
          <w:sz w:val="22"/>
          <w:szCs w:val="22"/>
          <w:lang w:val="en-US"/>
        </w:rPr>
        <w:t xml:space="preserve"> CD34</w:t>
      </w:r>
      <w:r w:rsidR="00201675" w:rsidRPr="00B142A2">
        <w:rPr>
          <w:rFonts w:ascii="Arial" w:hAnsi="Arial" w:cs="Arial"/>
          <w:sz w:val="22"/>
          <w:szCs w:val="22"/>
          <w:vertAlign w:val="superscript"/>
          <w:lang w:val="en-US"/>
        </w:rPr>
        <w:t>+</w:t>
      </w:r>
      <w:r w:rsidR="00201675" w:rsidRPr="00B142A2">
        <w:rPr>
          <w:rFonts w:ascii="Arial" w:hAnsi="Arial" w:cs="Arial"/>
          <w:sz w:val="22"/>
          <w:szCs w:val="22"/>
          <w:lang w:val="en-US"/>
        </w:rPr>
        <w:t xml:space="preserve"> P-ECs</w:t>
      </w:r>
      <w:r w:rsidR="00201675" w:rsidRPr="00201675">
        <w:rPr>
          <w:rFonts w:ascii="Arial" w:hAnsi="Arial" w:cs="Arial"/>
          <w:sz w:val="22"/>
          <w:szCs w:val="22"/>
          <w:lang w:val="en-US"/>
        </w:rPr>
        <w:t xml:space="preserve">. </w:t>
      </w:r>
      <w:r w:rsidR="005C6F60">
        <w:rPr>
          <w:rFonts w:ascii="Arial" w:hAnsi="Arial" w:cs="Arial"/>
          <w:sz w:val="22"/>
          <w:szCs w:val="22"/>
          <w:lang w:val="en-US"/>
        </w:rPr>
        <w:t>Bar graph</w:t>
      </w:r>
      <w:r w:rsidR="00201675" w:rsidRPr="00201675">
        <w:rPr>
          <w:rFonts w:ascii="Arial" w:hAnsi="Arial" w:cs="Arial"/>
          <w:sz w:val="22"/>
          <w:szCs w:val="22"/>
          <w:lang w:val="en-US"/>
        </w:rPr>
        <w:t xml:space="preserve"> shows relative expression of DUSP1</w:t>
      </w:r>
      <w:r w:rsidR="005C6F60">
        <w:rPr>
          <w:rFonts w:ascii="Arial" w:hAnsi="Arial" w:cs="Arial"/>
          <w:sz w:val="22"/>
          <w:szCs w:val="22"/>
          <w:lang w:val="en-US"/>
        </w:rPr>
        <w:t xml:space="preserve"> protein</w:t>
      </w:r>
      <w:r w:rsidR="00201675" w:rsidRPr="00201675">
        <w:rPr>
          <w:rFonts w:ascii="Arial" w:hAnsi="Arial" w:cs="Arial"/>
          <w:sz w:val="22"/>
          <w:szCs w:val="22"/>
          <w:lang w:val="en-US"/>
        </w:rPr>
        <w:t xml:space="preserve"> normalized to actin</w:t>
      </w:r>
      <w:r w:rsidR="005C6F60">
        <w:rPr>
          <w:rFonts w:ascii="Arial" w:hAnsi="Arial" w:cs="Arial"/>
          <w:sz w:val="22"/>
          <w:szCs w:val="22"/>
          <w:lang w:val="en-US"/>
        </w:rPr>
        <w:t xml:space="preserve"> (n=3)</w:t>
      </w:r>
      <w:r w:rsidR="00201675" w:rsidRPr="00201675">
        <w:rPr>
          <w:rFonts w:ascii="Arial" w:hAnsi="Arial" w:cs="Arial"/>
          <w:sz w:val="22"/>
          <w:szCs w:val="22"/>
          <w:lang w:val="en-US"/>
        </w:rPr>
        <w:t xml:space="preserve">. </w:t>
      </w:r>
      <w:r w:rsidR="005C6F60" w:rsidRPr="005C6F60">
        <w:rPr>
          <w:rFonts w:ascii="Arial" w:hAnsi="Arial" w:cs="Arial"/>
          <w:b/>
          <w:bCs/>
          <w:sz w:val="22"/>
          <w:szCs w:val="22"/>
          <w:lang w:val="en-US"/>
        </w:rPr>
        <w:t>B</w:t>
      </w:r>
      <w:r w:rsidR="00201675" w:rsidRPr="00201675">
        <w:rPr>
          <w:rFonts w:ascii="Arial" w:hAnsi="Arial" w:cs="Arial"/>
          <w:sz w:val="22"/>
          <w:szCs w:val="22"/>
          <w:lang w:val="en-US"/>
        </w:rPr>
        <w:t xml:space="preserve"> Representative IHC staining of DUSP1 </w:t>
      </w:r>
      <w:r w:rsidR="005C6F60">
        <w:rPr>
          <w:rFonts w:ascii="Arial" w:hAnsi="Arial" w:cs="Arial"/>
          <w:sz w:val="22"/>
          <w:szCs w:val="22"/>
          <w:lang w:val="en-US"/>
        </w:rPr>
        <w:t>on patient BM sections along the progression of PV</w:t>
      </w:r>
      <w:r w:rsidR="00201675" w:rsidRPr="00201675">
        <w:rPr>
          <w:rFonts w:ascii="Arial" w:hAnsi="Arial" w:cs="Arial"/>
          <w:sz w:val="22"/>
          <w:szCs w:val="22"/>
          <w:lang w:val="en-US"/>
        </w:rPr>
        <w:t xml:space="preserve">. Scale bar, 50 µm. Boxplot shows quantification of the DUSP1 </w:t>
      </w:r>
      <w:r w:rsidR="005C6F60">
        <w:rPr>
          <w:rFonts w:ascii="Arial" w:hAnsi="Arial" w:cs="Arial"/>
          <w:sz w:val="22"/>
          <w:szCs w:val="22"/>
          <w:lang w:val="en-US"/>
        </w:rPr>
        <w:t>expressing cells</w:t>
      </w:r>
      <w:r w:rsidR="00201675" w:rsidRPr="00201675">
        <w:rPr>
          <w:rFonts w:ascii="Arial" w:hAnsi="Arial" w:cs="Arial"/>
          <w:sz w:val="22"/>
          <w:szCs w:val="22"/>
          <w:lang w:val="en-US"/>
        </w:rPr>
        <w:t>.</w:t>
      </w:r>
    </w:p>
    <w:p w14:paraId="4988F547" w14:textId="77777777" w:rsidR="000B34A3" w:rsidRDefault="000B34A3" w:rsidP="005D01C6">
      <w:pPr>
        <w:spacing w:line="360" w:lineRule="auto"/>
        <w:jc w:val="both"/>
        <w:rPr>
          <w:rFonts w:ascii="Arial" w:hAnsi="Arial" w:cs="Arial"/>
          <w:sz w:val="22"/>
          <w:szCs w:val="22"/>
          <w:lang w:val="en-US"/>
        </w:rPr>
      </w:pPr>
    </w:p>
    <w:p w14:paraId="2636769E" w14:textId="702A18DA" w:rsidR="00A41BDE" w:rsidRDefault="00A41BDE" w:rsidP="00A41BDE">
      <w:pPr>
        <w:spacing w:line="360" w:lineRule="auto"/>
        <w:jc w:val="both"/>
        <w:rPr>
          <w:rFonts w:ascii="Arial" w:hAnsi="Arial" w:cs="Arial"/>
          <w:sz w:val="22"/>
          <w:szCs w:val="22"/>
          <w:lang w:val="en-US"/>
        </w:rPr>
      </w:pPr>
      <w:r>
        <w:rPr>
          <w:rFonts w:ascii="Arial" w:hAnsi="Arial" w:cs="Arial"/>
          <w:sz w:val="22"/>
          <w:szCs w:val="22"/>
          <w:lang w:val="en-US"/>
        </w:rPr>
        <w:t xml:space="preserve">In order to functionally probe the role of DUSP1 in </w:t>
      </w:r>
      <w:r w:rsidRPr="00A41BDE">
        <w:rPr>
          <w:rFonts w:ascii="Arial" w:hAnsi="Arial" w:cs="Arial"/>
          <w:i/>
          <w:iCs/>
          <w:sz w:val="22"/>
          <w:szCs w:val="22"/>
          <w:lang w:val="en-US"/>
        </w:rPr>
        <w:t xml:space="preserve">JAK2 </w:t>
      </w:r>
      <w:r w:rsidRPr="00CD395D">
        <w:rPr>
          <w:rFonts w:ascii="Arial" w:hAnsi="Arial" w:cs="Arial"/>
          <w:sz w:val="22"/>
          <w:szCs w:val="22"/>
          <w:lang w:val="en-US"/>
        </w:rPr>
        <w:t>V617F</w:t>
      </w:r>
      <w:r w:rsidRPr="00A41BDE">
        <w:rPr>
          <w:rFonts w:ascii="Arial" w:hAnsi="Arial" w:cs="Arial"/>
          <w:sz w:val="22"/>
          <w:szCs w:val="22"/>
          <w:vertAlign w:val="superscript"/>
          <w:lang w:val="en-US"/>
        </w:rPr>
        <w:t>+</w:t>
      </w:r>
      <w:r>
        <w:rPr>
          <w:rFonts w:ascii="Arial" w:hAnsi="Arial" w:cs="Arial"/>
          <w:sz w:val="22"/>
          <w:szCs w:val="22"/>
          <w:lang w:val="en-US"/>
        </w:rPr>
        <w:t xml:space="preserve"> cells, my colleague Dr. </w:t>
      </w:r>
      <w:r w:rsidR="003C43E2" w:rsidRPr="003C43E2">
        <w:rPr>
          <w:rFonts w:ascii="Arial" w:hAnsi="Arial" w:cs="Arial"/>
          <w:sz w:val="22"/>
          <w:szCs w:val="22"/>
          <w:lang w:val="en-US"/>
        </w:rPr>
        <w:t xml:space="preserve">Lucie </w:t>
      </w:r>
      <w:proofErr w:type="spellStart"/>
      <w:r w:rsidR="003C43E2" w:rsidRPr="003C43E2">
        <w:rPr>
          <w:rFonts w:ascii="Arial" w:hAnsi="Arial" w:cs="Arial"/>
          <w:sz w:val="22"/>
          <w:szCs w:val="22"/>
          <w:lang w:val="en-US"/>
        </w:rPr>
        <w:t>Lán</w:t>
      </w:r>
      <w:r w:rsidR="00FF315A">
        <w:rPr>
          <w:rFonts w:ascii="Arial" w:hAnsi="Arial" w:cs="Arial"/>
          <w:sz w:val="22"/>
          <w:szCs w:val="22"/>
          <w:lang w:val="en-US"/>
        </w:rPr>
        <w:t>í</w:t>
      </w:r>
      <w:r w:rsidR="003C43E2" w:rsidRPr="003C43E2">
        <w:rPr>
          <w:rFonts w:ascii="Arial" w:hAnsi="Arial" w:cs="Arial"/>
          <w:sz w:val="22"/>
          <w:szCs w:val="22"/>
          <w:lang w:val="en-US"/>
        </w:rPr>
        <w:t>ková</w:t>
      </w:r>
      <w:proofErr w:type="spellEnd"/>
      <w:r w:rsidR="003C43E2" w:rsidRPr="003C43E2">
        <w:rPr>
          <w:rFonts w:ascii="Arial" w:hAnsi="Arial" w:cs="Arial"/>
          <w:sz w:val="22"/>
          <w:szCs w:val="22"/>
          <w:lang w:val="en-US"/>
        </w:rPr>
        <w:t xml:space="preserve"> </w:t>
      </w:r>
      <w:r>
        <w:rPr>
          <w:rFonts w:ascii="Arial" w:hAnsi="Arial" w:cs="Arial"/>
          <w:sz w:val="22"/>
          <w:szCs w:val="22"/>
          <w:lang w:val="en-US"/>
        </w:rPr>
        <w:t>(</w:t>
      </w:r>
      <w:r w:rsidRPr="00A41BDE">
        <w:rPr>
          <w:rFonts w:ascii="Arial" w:hAnsi="Arial" w:cs="Arial"/>
          <w:sz w:val="22"/>
          <w:szCs w:val="22"/>
          <w:lang w:val="en-US"/>
        </w:rPr>
        <w:t xml:space="preserve">Department of Biology, Faculty of Medicine and Dentistry, </w:t>
      </w:r>
      <w:proofErr w:type="spellStart"/>
      <w:r w:rsidRPr="00A41BDE">
        <w:rPr>
          <w:rFonts w:ascii="Arial" w:hAnsi="Arial" w:cs="Arial"/>
          <w:sz w:val="22"/>
          <w:szCs w:val="22"/>
          <w:lang w:val="en-US"/>
        </w:rPr>
        <w:t>Palacky</w:t>
      </w:r>
      <w:proofErr w:type="spellEnd"/>
      <w:r w:rsidRPr="00A41BDE">
        <w:rPr>
          <w:rFonts w:ascii="Arial" w:hAnsi="Arial" w:cs="Arial"/>
          <w:sz w:val="22"/>
          <w:szCs w:val="22"/>
          <w:lang w:val="en-US"/>
        </w:rPr>
        <w:t xml:space="preserve"> University Olomouc</w:t>
      </w:r>
      <w:r>
        <w:rPr>
          <w:rFonts w:ascii="Arial" w:hAnsi="Arial" w:cs="Arial"/>
          <w:sz w:val="22"/>
          <w:szCs w:val="22"/>
          <w:lang w:val="en-US"/>
        </w:rPr>
        <w:t xml:space="preserve"> and </w:t>
      </w:r>
      <w:r w:rsidRPr="00A41BDE">
        <w:rPr>
          <w:rFonts w:ascii="Arial" w:hAnsi="Arial" w:cs="Arial"/>
          <w:sz w:val="22"/>
          <w:szCs w:val="22"/>
          <w:lang w:val="en-US"/>
        </w:rPr>
        <w:t>Laboratory of Cell and Developmental Biology, Institute of Molecular Genetics of the ASCR</w:t>
      </w:r>
      <w:r>
        <w:rPr>
          <w:rFonts w:ascii="Arial" w:hAnsi="Arial" w:cs="Arial"/>
          <w:sz w:val="22"/>
          <w:szCs w:val="22"/>
          <w:lang w:val="en-US"/>
        </w:rPr>
        <w:t>)</w:t>
      </w:r>
      <w:r w:rsidR="003C43E2">
        <w:rPr>
          <w:rFonts w:ascii="Arial" w:hAnsi="Arial" w:cs="Arial"/>
          <w:sz w:val="22"/>
          <w:szCs w:val="22"/>
          <w:lang w:val="en-US"/>
        </w:rPr>
        <w:t xml:space="preserve"> generated corrected/edited</w:t>
      </w:r>
      <w:r w:rsidR="003C43E2" w:rsidRPr="003C43E2">
        <w:rPr>
          <w:rFonts w:ascii="Arial" w:hAnsi="Arial" w:cs="Arial"/>
          <w:sz w:val="22"/>
          <w:szCs w:val="22"/>
          <w:lang w:val="en-US"/>
        </w:rPr>
        <w:t xml:space="preserve"> HEL cell line</w:t>
      </w:r>
      <w:r w:rsidR="003C43E2">
        <w:rPr>
          <w:rFonts w:ascii="Arial" w:hAnsi="Arial" w:cs="Arial"/>
          <w:sz w:val="22"/>
          <w:szCs w:val="22"/>
          <w:lang w:val="en-US"/>
        </w:rPr>
        <w:t xml:space="preserve"> (</w:t>
      </w:r>
      <w:r w:rsidR="003C43E2" w:rsidRPr="003C43E2">
        <w:rPr>
          <w:rFonts w:ascii="Arial" w:hAnsi="Arial" w:cs="Arial"/>
          <w:i/>
          <w:iCs/>
          <w:sz w:val="22"/>
          <w:szCs w:val="22"/>
          <w:lang w:val="en-US"/>
        </w:rPr>
        <w:t>JAK2</w:t>
      </w:r>
      <w:r w:rsidR="003C43E2">
        <w:rPr>
          <w:rFonts w:ascii="Arial" w:hAnsi="Arial" w:cs="Arial"/>
          <w:sz w:val="22"/>
          <w:szCs w:val="22"/>
          <w:lang w:val="en-US"/>
        </w:rPr>
        <w:t xml:space="preserve"> </w:t>
      </w:r>
      <w:proofErr w:type="spellStart"/>
      <w:r w:rsidR="003C43E2">
        <w:rPr>
          <w:rFonts w:ascii="Arial" w:hAnsi="Arial" w:cs="Arial"/>
          <w:sz w:val="22"/>
          <w:szCs w:val="22"/>
          <w:lang w:val="en-US"/>
        </w:rPr>
        <w:t>wt</w:t>
      </w:r>
      <w:proofErr w:type="spellEnd"/>
      <w:r w:rsidR="003C43E2">
        <w:rPr>
          <w:rFonts w:ascii="Arial" w:hAnsi="Arial" w:cs="Arial"/>
          <w:sz w:val="22"/>
          <w:szCs w:val="22"/>
          <w:lang w:val="en-US"/>
        </w:rPr>
        <w:t xml:space="preserve">) from parental </w:t>
      </w:r>
      <w:r w:rsidR="003C43E2" w:rsidRPr="003C43E2">
        <w:rPr>
          <w:rFonts w:ascii="Arial" w:hAnsi="Arial" w:cs="Arial"/>
          <w:i/>
          <w:iCs/>
          <w:sz w:val="22"/>
          <w:szCs w:val="22"/>
          <w:lang w:val="en-US"/>
        </w:rPr>
        <w:t xml:space="preserve">JAK2 </w:t>
      </w:r>
      <w:r w:rsidR="003C43E2" w:rsidRPr="00CD395D">
        <w:rPr>
          <w:rFonts w:ascii="Arial" w:hAnsi="Arial" w:cs="Arial"/>
          <w:sz w:val="22"/>
          <w:szCs w:val="22"/>
          <w:lang w:val="en-US"/>
        </w:rPr>
        <w:t>V617F</w:t>
      </w:r>
      <w:r w:rsidR="003C43E2" w:rsidRPr="003C43E2">
        <w:rPr>
          <w:rFonts w:ascii="Arial" w:hAnsi="Arial" w:cs="Arial"/>
          <w:sz w:val="22"/>
          <w:szCs w:val="22"/>
          <w:vertAlign w:val="superscript"/>
          <w:lang w:val="en-US"/>
        </w:rPr>
        <w:t>+</w:t>
      </w:r>
      <w:r w:rsidR="003C43E2">
        <w:rPr>
          <w:rFonts w:ascii="Arial" w:hAnsi="Arial" w:cs="Arial"/>
          <w:sz w:val="22"/>
          <w:szCs w:val="22"/>
          <w:lang w:val="en-US"/>
        </w:rPr>
        <w:t xml:space="preserve"> </w:t>
      </w:r>
      <w:r w:rsidR="003C43E2" w:rsidRPr="00562011">
        <w:rPr>
          <w:rFonts w:ascii="Arial" w:hAnsi="Arial" w:cs="Arial"/>
          <w:sz w:val="22"/>
          <w:szCs w:val="22"/>
          <w:lang w:val="en-US"/>
        </w:rPr>
        <w:t>HEL</w:t>
      </w:r>
      <w:r w:rsidR="003C43E2">
        <w:rPr>
          <w:rFonts w:ascii="Arial" w:hAnsi="Arial" w:cs="Arial"/>
          <w:sz w:val="22"/>
          <w:szCs w:val="22"/>
          <w:lang w:val="en-US"/>
        </w:rPr>
        <w:t xml:space="preserve"> </w:t>
      </w:r>
      <w:r w:rsidR="00F13502">
        <w:rPr>
          <w:rFonts w:ascii="Arial" w:hAnsi="Arial" w:cs="Arial"/>
          <w:sz w:val="22"/>
          <w:szCs w:val="22"/>
          <w:lang w:val="en-US"/>
        </w:rPr>
        <w:t>cells</w:t>
      </w:r>
      <w:r w:rsidR="003C43E2">
        <w:rPr>
          <w:rFonts w:ascii="Arial" w:hAnsi="Arial" w:cs="Arial"/>
          <w:sz w:val="22"/>
          <w:szCs w:val="22"/>
          <w:lang w:val="en-US"/>
        </w:rPr>
        <w:t xml:space="preserve"> (</w:t>
      </w:r>
      <w:r w:rsidR="00935F8A" w:rsidRPr="00935F8A">
        <w:rPr>
          <w:rFonts w:ascii="Arial" w:hAnsi="Arial" w:cs="Arial"/>
          <w:sz w:val="22"/>
          <w:szCs w:val="22"/>
          <w:lang w:val="en-US"/>
        </w:rPr>
        <w:t>human erythroleukemia cell line</w:t>
      </w:r>
      <w:r w:rsidR="00935F8A">
        <w:rPr>
          <w:rFonts w:ascii="Arial" w:hAnsi="Arial" w:cs="Arial"/>
          <w:sz w:val="22"/>
          <w:szCs w:val="22"/>
          <w:lang w:val="en-US"/>
        </w:rPr>
        <w:t xml:space="preserve">; </w:t>
      </w:r>
      <w:r w:rsidR="003C43E2" w:rsidRPr="00562011">
        <w:rPr>
          <w:rFonts w:ascii="Arial" w:hAnsi="Arial" w:cs="Arial"/>
          <w:sz w:val="22"/>
          <w:szCs w:val="22"/>
          <w:lang w:val="en-US"/>
        </w:rPr>
        <w:t>HELV617F</w:t>
      </w:r>
      <w:r w:rsidR="00935F8A">
        <w:rPr>
          <w:rFonts w:ascii="Arial" w:hAnsi="Arial" w:cs="Arial"/>
          <w:sz w:val="22"/>
          <w:szCs w:val="22"/>
          <w:lang w:val="en-US"/>
        </w:rPr>
        <w:t xml:space="preserve">; </w:t>
      </w:r>
      <w:r w:rsidR="00935F8A" w:rsidRPr="00935F8A">
        <w:rPr>
          <w:rFonts w:ascii="Arial" w:hAnsi="Arial" w:cs="Arial"/>
          <w:sz w:val="22"/>
          <w:szCs w:val="22"/>
          <w:lang w:val="en-US"/>
        </w:rPr>
        <w:t xml:space="preserve">kind gift of T. </w:t>
      </w:r>
      <w:proofErr w:type="spellStart"/>
      <w:r w:rsidR="00935F8A" w:rsidRPr="00935F8A">
        <w:rPr>
          <w:rFonts w:ascii="Arial" w:hAnsi="Arial" w:cs="Arial"/>
          <w:sz w:val="22"/>
          <w:szCs w:val="22"/>
          <w:lang w:val="en-US"/>
        </w:rPr>
        <w:t>Stopka</w:t>
      </w:r>
      <w:proofErr w:type="spellEnd"/>
      <w:r w:rsidR="00935F8A" w:rsidRPr="00935F8A">
        <w:rPr>
          <w:rFonts w:ascii="Arial" w:hAnsi="Arial" w:cs="Arial"/>
          <w:sz w:val="22"/>
          <w:szCs w:val="22"/>
          <w:lang w:val="en-US"/>
        </w:rPr>
        <w:t xml:space="preserve"> lab, 1st Faculty of Medicine, Charles University Prague</w:t>
      </w:r>
      <w:r w:rsidR="003C43E2">
        <w:rPr>
          <w:rFonts w:ascii="Arial" w:hAnsi="Arial" w:cs="Arial"/>
          <w:sz w:val="22"/>
          <w:szCs w:val="22"/>
          <w:lang w:val="en-US"/>
        </w:rPr>
        <w:t xml:space="preserve">), which </w:t>
      </w:r>
      <w:r w:rsidR="003C43E2" w:rsidRPr="003C43E2">
        <w:rPr>
          <w:rFonts w:ascii="Arial" w:hAnsi="Arial" w:cs="Arial"/>
          <w:sz w:val="22"/>
          <w:szCs w:val="22"/>
          <w:lang w:val="en-US"/>
        </w:rPr>
        <w:t>was repaired by homologous recombination using CRISPR/Cas9 system (CRISPR construct pXPR_001 plasmid (</w:t>
      </w:r>
      <w:proofErr w:type="spellStart"/>
      <w:r w:rsidR="003C43E2" w:rsidRPr="003C43E2">
        <w:rPr>
          <w:rFonts w:ascii="Arial" w:hAnsi="Arial" w:cs="Arial"/>
          <w:sz w:val="22"/>
          <w:szCs w:val="22"/>
          <w:lang w:val="en-US"/>
        </w:rPr>
        <w:t>Addgene</w:t>
      </w:r>
      <w:proofErr w:type="spellEnd"/>
      <w:r w:rsidR="003C43E2" w:rsidRPr="003C43E2">
        <w:rPr>
          <w:rFonts w:ascii="Arial" w:hAnsi="Arial" w:cs="Arial"/>
          <w:sz w:val="22"/>
          <w:szCs w:val="22"/>
          <w:lang w:val="en-US"/>
        </w:rPr>
        <w:t xml:space="preserve"> plasmid #49535).</w:t>
      </w:r>
      <w:r w:rsidR="003C43E2">
        <w:rPr>
          <w:rFonts w:ascii="Arial" w:hAnsi="Arial" w:cs="Arial"/>
          <w:sz w:val="22"/>
          <w:szCs w:val="22"/>
          <w:lang w:val="en-US"/>
        </w:rPr>
        <w:t xml:space="preserve"> </w:t>
      </w:r>
      <w:r w:rsidR="003C43E2" w:rsidRPr="003C43E2">
        <w:rPr>
          <w:rFonts w:ascii="Arial" w:hAnsi="Arial" w:cs="Arial"/>
          <w:sz w:val="22"/>
          <w:szCs w:val="22"/>
          <w:lang w:val="en-US"/>
        </w:rPr>
        <w:t xml:space="preserve">To functionally </w:t>
      </w:r>
      <w:r w:rsidR="003C43E2">
        <w:rPr>
          <w:rFonts w:ascii="Arial" w:hAnsi="Arial" w:cs="Arial"/>
          <w:sz w:val="22"/>
          <w:szCs w:val="22"/>
          <w:lang w:val="en-US"/>
        </w:rPr>
        <w:t>compare</w:t>
      </w:r>
      <w:r w:rsidR="003C43E2" w:rsidRPr="003C43E2">
        <w:rPr>
          <w:rFonts w:ascii="Arial" w:hAnsi="Arial" w:cs="Arial"/>
          <w:sz w:val="22"/>
          <w:szCs w:val="22"/>
          <w:lang w:val="en-US"/>
        </w:rPr>
        <w:t xml:space="preserve"> </w:t>
      </w:r>
      <w:r w:rsidR="003C43E2" w:rsidRPr="00562011">
        <w:rPr>
          <w:rFonts w:ascii="Arial" w:hAnsi="Arial" w:cs="Arial"/>
          <w:sz w:val="22"/>
          <w:szCs w:val="22"/>
          <w:lang w:val="en-US"/>
        </w:rPr>
        <w:t>HEL-edited cells</w:t>
      </w:r>
      <w:r w:rsidR="003C43E2">
        <w:rPr>
          <w:rFonts w:ascii="Arial" w:hAnsi="Arial" w:cs="Arial"/>
          <w:sz w:val="22"/>
          <w:szCs w:val="22"/>
          <w:lang w:val="en-US"/>
        </w:rPr>
        <w:t xml:space="preserve"> to their parent counterparts</w:t>
      </w:r>
      <w:r w:rsidR="003C43E2" w:rsidRPr="003C43E2">
        <w:rPr>
          <w:rFonts w:ascii="Arial" w:hAnsi="Arial" w:cs="Arial"/>
          <w:sz w:val="22"/>
          <w:szCs w:val="22"/>
          <w:lang w:val="en-US"/>
        </w:rPr>
        <w:t xml:space="preserve">, a luciferase assay was performed by electroporating the clones with pGRR4-Luc luciferase reporter and the transfection control </w:t>
      </w:r>
      <w:proofErr w:type="spellStart"/>
      <w:r w:rsidR="003C43E2" w:rsidRPr="003C43E2">
        <w:rPr>
          <w:rFonts w:ascii="Arial" w:hAnsi="Arial" w:cs="Arial"/>
          <w:sz w:val="22"/>
          <w:szCs w:val="22"/>
          <w:lang w:val="en-US"/>
        </w:rPr>
        <w:t>Renilla</w:t>
      </w:r>
      <w:proofErr w:type="spellEnd"/>
      <w:r w:rsidR="003C43E2" w:rsidRPr="003C43E2">
        <w:rPr>
          <w:rFonts w:ascii="Arial" w:hAnsi="Arial" w:cs="Arial"/>
          <w:sz w:val="22"/>
          <w:szCs w:val="22"/>
          <w:lang w:val="en-US"/>
        </w:rPr>
        <w:t xml:space="preserve">. </w:t>
      </w:r>
      <w:r w:rsidR="003C43E2" w:rsidRPr="00562011">
        <w:rPr>
          <w:rFonts w:ascii="Arial" w:hAnsi="Arial" w:cs="Arial"/>
          <w:sz w:val="22"/>
          <w:szCs w:val="22"/>
          <w:lang w:val="en-US"/>
        </w:rPr>
        <w:t>HEL-edited cells</w:t>
      </w:r>
      <w:r w:rsidR="003C43E2">
        <w:rPr>
          <w:rFonts w:ascii="Arial" w:hAnsi="Arial" w:cs="Arial"/>
          <w:sz w:val="22"/>
          <w:szCs w:val="22"/>
          <w:lang w:val="en-US"/>
        </w:rPr>
        <w:t xml:space="preserve"> </w:t>
      </w:r>
      <w:r w:rsidR="003C43E2" w:rsidRPr="003C43E2">
        <w:rPr>
          <w:rFonts w:ascii="Arial" w:hAnsi="Arial" w:cs="Arial"/>
          <w:sz w:val="22"/>
          <w:szCs w:val="22"/>
          <w:lang w:val="en-US"/>
        </w:rPr>
        <w:t>exhibit</w:t>
      </w:r>
      <w:r w:rsidR="003C43E2">
        <w:rPr>
          <w:rFonts w:ascii="Arial" w:hAnsi="Arial" w:cs="Arial"/>
          <w:sz w:val="22"/>
          <w:szCs w:val="22"/>
          <w:lang w:val="en-US"/>
        </w:rPr>
        <w:t>ed</w:t>
      </w:r>
      <w:r w:rsidR="003C43E2" w:rsidRPr="003C43E2">
        <w:rPr>
          <w:rFonts w:ascii="Arial" w:hAnsi="Arial" w:cs="Arial"/>
          <w:sz w:val="22"/>
          <w:szCs w:val="22"/>
          <w:lang w:val="en-US"/>
        </w:rPr>
        <w:t xml:space="preserve"> statistically significant decrease of JAK2 </w:t>
      </w:r>
      <w:r w:rsidR="003C43E2">
        <w:rPr>
          <w:rFonts w:ascii="Arial" w:hAnsi="Arial" w:cs="Arial"/>
          <w:sz w:val="22"/>
          <w:szCs w:val="22"/>
          <w:lang w:val="en-US"/>
        </w:rPr>
        <w:t xml:space="preserve">mRNA and protein </w:t>
      </w:r>
      <w:r w:rsidR="003C43E2" w:rsidRPr="003C43E2">
        <w:rPr>
          <w:rFonts w:ascii="Arial" w:hAnsi="Arial" w:cs="Arial"/>
          <w:sz w:val="22"/>
          <w:szCs w:val="22"/>
          <w:lang w:val="en-US"/>
        </w:rPr>
        <w:lastRenderedPageBreak/>
        <w:t xml:space="preserve">expression </w:t>
      </w:r>
      <w:r w:rsidR="003C43E2">
        <w:rPr>
          <w:rFonts w:ascii="Arial" w:hAnsi="Arial" w:cs="Arial"/>
          <w:sz w:val="22"/>
          <w:szCs w:val="22"/>
          <w:lang w:val="en-US"/>
        </w:rPr>
        <w:t>compared to the</w:t>
      </w:r>
      <w:r w:rsidR="003C43E2" w:rsidRPr="003C43E2">
        <w:rPr>
          <w:rFonts w:ascii="Arial" w:hAnsi="Arial" w:cs="Arial"/>
          <w:sz w:val="22"/>
          <w:szCs w:val="22"/>
          <w:lang w:val="en-US"/>
        </w:rPr>
        <w:t xml:space="preserve"> </w:t>
      </w:r>
      <w:r w:rsidR="003C43E2">
        <w:rPr>
          <w:rFonts w:ascii="Arial" w:hAnsi="Arial" w:cs="Arial"/>
          <w:sz w:val="22"/>
          <w:szCs w:val="22"/>
          <w:lang w:val="en-US"/>
        </w:rPr>
        <w:t>parental</w:t>
      </w:r>
      <w:r w:rsidR="003C43E2" w:rsidRPr="003C43E2">
        <w:rPr>
          <w:rFonts w:ascii="Arial" w:hAnsi="Arial" w:cs="Arial"/>
          <w:sz w:val="22"/>
          <w:szCs w:val="22"/>
          <w:lang w:val="en-US"/>
        </w:rPr>
        <w:t xml:space="preserve"> clone</w:t>
      </w:r>
      <w:r w:rsidR="003C43E2">
        <w:rPr>
          <w:rFonts w:ascii="Arial" w:hAnsi="Arial" w:cs="Arial"/>
          <w:sz w:val="22"/>
          <w:szCs w:val="22"/>
          <w:lang w:val="en-US"/>
        </w:rPr>
        <w:t xml:space="preserve"> (Figure 2</w:t>
      </w:r>
      <w:r w:rsidR="007B66A0">
        <w:rPr>
          <w:rFonts w:ascii="Arial" w:hAnsi="Arial" w:cs="Arial"/>
          <w:sz w:val="22"/>
          <w:szCs w:val="22"/>
          <w:lang w:val="en-US"/>
        </w:rPr>
        <w:t>4</w:t>
      </w:r>
      <w:r w:rsidR="003C43E2">
        <w:rPr>
          <w:rFonts w:ascii="Arial" w:hAnsi="Arial" w:cs="Arial"/>
          <w:sz w:val="22"/>
          <w:szCs w:val="22"/>
          <w:lang w:val="en-US"/>
        </w:rPr>
        <w:t xml:space="preserve">). </w:t>
      </w:r>
      <w:r w:rsidR="003C43E2" w:rsidRPr="003C43E2">
        <w:rPr>
          <w:rFonts w:ascii="Arial" w:hAnsi="Arial" w:cs="Arial"/>
          <w:sz w:val="22"/>
          <w:szCs w:val="22"/>
          <w:lang w:val="en-US"/>
        </w:rPr>
        <w:t xml:space="preserve">As a result, STAT5 </w:t>
      </w:r>
      <w:r w:rsidR="003C43E2">
        <w:rPr>
          <w:rFonts w:ascii="Arial" w:hAnsi="Arial" w:cs="Arial"/>
          <w:sz w:val="22"/>
          <w:szCs w:val="22"/>
          <w:lang w:val="en-US"/>
        </w:rPr>
        <w:t>was</w:t>
      </w:r>
      <w:r w:rsidR="003C43E2" w:rsidRPr="003C43E2">
        <w:rPr>
          <w:rFonts w:ascii="Arial" w:hAnsi="Arial" w:cs="Arial"/>
          <w:sz w:val="22"/>
          <w:szCs w:val="22"/>
          <w:lang w:val="en-US"/>
        </w:rPr>
        <w:t xml:space="preserve"> phosphorylated less while the total amount of STAT5 remain</w:t>
      </w:r>
      <w:r w:rsidR="003C43E2">
        <w:rPr>
          <w:rFonts w:ascii="Arial" w:hAnsi="Arial" w:cs="Arial"/>
          <w:sz w:val="22"/>
          <w:szCs w:val="22"/>
          <w:lang w:val="en-US"/>
        </w:rPr>
        <w:t>ed</w:t>
      </w:r>
      <w:r w:rsidR="003C43E2" w:rsidRPr="003C43E2">
        <w:rPr>
          <w:rFonts w:ascii="Arial" w:hAnsi="Arial" w:cs="Arial"/>
          <w:sz w:val="22"/>
          <w:szCs w:val="22"/>
          <w:lang w:val="en-US"/>
        </w:rPr>
        <w:t xml:space="preserve"> the same as shown by immunoblotting</w:t>
      </w:r>
      <w:r w:rsidR="003C43E2">
        <w:rPr>
          <w:rFonts w:ascii="Arial" w:hAnsi="Arial" w:cs="Arial"/>
          <w:sz w:val="22"/>
          <w:szCs w:val="22"/>
          <w:lang w:val="en-US"/>
        </w:rPr>
        <w:t xml:space="preserve"> (Figure 2</w:t>
      </w:r>
      <w:r w:rsidR="007B66A0">
        <w:rPr>
          <w:rFonts w:ascii="Arial" w:hAnsi="Arial" w:cs="Arial"/>
          <w:sz w:val="22"/>
          <w:szCs w:val="22"/>
          <w:lang w:val="en-US"/>
        </w:rPr>
        <w:t>4</w:t>
      </w:r>
      <w:r w:rsidR="003C43E2">
        <w:rPr>
          <w:rFonts w:ascii="Arial" w:hAnsi="Arial" w:cs="Arial"/>
          <w:sz w:val="22"/>
          <w:szCs w:val="22"/>
          <w:lang w:val="en-US"/>
        </w:rPr>
        <w:t>)</w:t>
      </w:r>
      <w:r w:rsidR="003C43E2" w:rsidRPr="003C43E2">
        <w:rPr>
          <w:rFonts w:ascii="Arial" w:hAnsi="Arial" w:cs="Arial"/>
          <w:sz w:val="22"/>
          <w:szCs w:val="22"/>
          <w:lang w:val="en-US"/>
        </w:rPr>
        <w:t>.</w:t>
      </w:r>
    </w:p>
    <w:p w14:paraId="12714C5D" w14:textId="77777777" w:rsidR="001E0B16" w:rsidRDefault="001E0B16" w:rsidP="005D01C6">
      <w:pPr>
        <w:spacing w:line="360" w:lineRule="auto"/>
        <w:jc w:val="both"/>
        <w:rPr>
          <w:rFonts w:ascii="Arial" w:hAnsi="Arial" w:cs="Arial"/>
          <w:sz w:val="22"/>
          <w:szCs w:val="22"/>
          <w:lang w:val="en-US"/>
        </w:rPr>
      </w:pPr>
    </w:p>
    <w:p w14:paraId="1F8B51C5" w14:textId="77777777" w:rsidR="001E0B16" w:rsidRDefault="001E0B16" w:rsidP="005D01C6">
      <w:pPr>
        <w:spacing w:line="360" w:lineRule="auto"/>
        <w:jc w:val="both"/>
        <w:rPr>
          <w:rFonts w:ascii="Arial" w:hAnsi="Arial" w:cs="Arial"/>
          <w:sz w:val="22"/>
          <w:szCs w:val="22"/>
          <w:lang w:val="en-US"/>
        </w:rPr>
      </w:pPr>
      <w:r w:rsidRPr="00C55B3E">
        <w:rPr>
          <w:noProof/>
          <w:sz w:val="20"/>
          <w:lang w:val="cs-CZ" w:eastAsia="cs-CZ"/>
        </w:rPr>
        <w:drawing>
          <wp:inline distT="0" distB="0" distL="0" distR="0" wp14:anchorId="3EAFC8B2" wp14:editId="78B332B2">
            <wp:extent cx="5395595" cy="2145665"/>
            <wp:effectExtent l="0" t="0" r="1905" b="635"/>
            <wp:docPr id="46" name="Obrázek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1"/>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95595" cy="2145665"/>
                    </a:xfrm>
                    <a:prstGeom prst="rect">
                      <a:avLst/>
                    </a:prstGeom>
                    <a:noFill/>
                    <a:ln>
                      <a:noFill/>
                    </a:ln>
                  </pic:spPr>
                </pic:pic>
              </a:graphicData>
            </a:graphic>
          </wp:inline>
        </w:drawing>
      </w:r>
    </w:p>
    <w:p w14:paraId="3ECCBF12" w14:textId="77777777" w:rsidR="001E0B16" w:rsidRDefault="001E0B16" w:rsidP="00442857">
      <w:pPr>
        <w:spacing w:line="360" w:lineRule="auto"/>
        <w:jc w:val="both"/>
        <w:rPr>
          <w:rFonts w:ascii="Arial" w:hAnsi="Arial" w:cs="Arial"/>
          <w:sz w:val="22"/>
          <w:szCs w:val="22"/>
          <w:lang w:val="en-US"/>
        </w:rPr>
      </w:pPr>
      <w:r w:rsidRPr="009C25F6">
        <w:rPr>
          <w:rFonts w:ascii="Arial" w:hAnsi="Arial" w:cs="Arial"/>
          <w:b/>
          <w:bCs/>
          <w:sz w:val="22"/>
          <w:szCs w:val="22"/>
          <w:lang w:val="en-US"/>
        </w:rPr>
        <w:t>Figure 2</w:t>
      </w:r>
      <w:r w:rsidR="007B66A0">
        <w:rPr>
          <w:rFonts w:ascii="Arial" w:hAnsi="Arial" w:cs="Arial"/>
          <w:b/>
          <w:bCs/>
          <w:sz w:val="22"/>
          <w:szCs w:val="22"/>
          <w:lang w:val="en-US"/>
        </w:rPr>
        <w:t>4</w:t>
      </w:r>
      <w:r>
        <w:rPr>
          <w:rFonts w:ascii="Arial" w:hAnsi="Arial" w:cs="Arial"/>
          <w:sz w:val="22"/>
          <w:szCs w:val="22"/>
          <w:lang w:val="en-US"/>
        </w:rPr>
        <w:t>:</w:t>
      </w:r>
      <w:r w:rsidR="00562011">
        <w:rPr>
          <w:rFonts w:ascii="Arial" w:hAnsi="Arial" w:cs="Arial"/>
          <w:sz w:val="22"/>
          <w:szCs w:val="22"/>
          <w:lang w:val="en-US"/>
        </w:rPr>
        <w:t xml:space="preserve"> Functional characterization of </w:t>
      </w:r>
      <w:r w:rsidR="00562011" w:rsidRPr="00562011">
        <w:rPr>
          <w:rFonts w:ascii="Arial" w:hAnsi="Arial" w:cs="Arial"/>
          <w:sz w:val="22"/>
          <w:szCs w:val="22"/>
          <w:lang w:val="en-US"/>
        </w:rPr>
        <w:t>HELV617F (</w:t>
      </w:r>
      <w:r w:rsidR="00562011" w:rsidRPr="00562011">
        <w:rPr>
          <w:rFonts w:ascii="Arial" w:hAnsi="Arial" w:cs="Arial"/>
          <w:i/>
          <w:iCs/>
          <w:sz w:val="22"/>
          <w:szCs w:val="22"/>
          <w:lang w:val="en-US"/>
        </w:rPr>
        <w:t xml:space="preserve">JAK2 </w:t>
      </w:r>
      <w:r w:rsidR="00562011" w:rsidRPr="00CD395D">
        <w:rPr>
          <w:rFonts w:ascii="Arial" w:hAnsi="Arial" w:cs="Arial"/>
          <w:sz w:val="22"/>
          <w:szCs w:val="22"/>
          <w:lang w:val="en-US"/>
        </w:rPr>
        <w:t>V617F</w:t>
      </w:r>
      <w:r w:rsidR="00562011" w:rsidRPr="00562011">
        <w:rPr>
          <w:rFonts w:ascii="Arial" w:hAnsi="Arial" w:cs="Arial"/>
          <w:i/>
          <w:iCs/>
          <w:sz w:val="22"/>
          <w:szCs w:val="22"/>
          <w:vertAlign w:val="superscript"/>
          <w:lang w:val="en-US"/>
        </w:rPr>
        <w:t>+</w:t>
      </w:r>
      <w:r w:rsidR="00442857">
        <w:rPr>
          <w:rFonts w:ascii="Arial" w:hAnsi="Arial" w:cs="Arial"/>
          <w:sz w:val="22"/>
          <w:szCs w:val="22"/>
          <w:lang w:val="en-US"/>
        </w:rPr>
        <w:t>; control</w:t>
      </w:r>
      <w:r w:rsidR="00562011" w:rsidRPr="00562011">
        <w:rPr>
          <w:rFonts w:ascii="Arial" w:hAnsi="Arial" w:cs="Arial"/>
          <w:sz w:val="22"/>
          <w:szCs w:val="22"/>
          <w:lang w:val="en-US"/>
        </w:rPr>
        <w:t>) and HEL-edited cells (</w:t>
      </w:r>
      <w:r w:rsidR="00562011" w:rsidRPr="00562011">
        <w:rPr>
          <w:rFonts w:ascii="Arial" w:hAnsi="Arial" w:cs="Arial"/>
          <w:i/>
          <w:iCs/>
          <w:sz w:val="22"/>
          <w:szCs w:val="22"/>
          <w:lang w:val="en-US"/>
        </w:rPr>
        <w:t xml:space="preserve">JAK2 </w:t>
      </w:r>
      <w:proofErr w:type="spellStart"/>
      <w:r w:rsidR="00562011" w:rsidRPr="00562011">
        <w:rPr>
          <w:rFonts w:ascii="Arial" w:hAnsi="Arial" w:cs="Arial"/>
          <w:i/>
          <w:iCs/>
          <w:sz w:val="22"/>
          <w:szCs w:val="22"/>
          <w:lang w:val="en-US"/>
        </w:rPr>
        <w:t>w</w:t>
      </w:r>
      <w:r w:rsidR="00562011" w:rsidRPr="00562011">
        <w:rPr>
          <w:rFonts w:ascii="Arial" w:hAnsi="Arial" w:cs="Arial"/>
          <w:sz w:val="22"/>
          <w:szCs w:val="22"/>
          <w:lang w:val="en-US"/>
        </w:rPr>
        <w:t>t</w:t>
      </w:r>
      <w:proofErr w:type="spellEnd"/>
      <w:r w:rsidR="00562011" w:rsidRPr="00562011">
        <w:rPr>
          <w:rFonts w:ascii="Arial" w:hAnsi="Arial" w:cs="Arial"/>
          <w:sz w:val="22"/>
          <w:szCs w:val="22"/>
          <w:lang w:val="en-US"/>
        </w:rPr>
        <w:t>)</w:t>
      </w:r>
      <w:r w:rsidR="00562011">
        <w:rPr>
          <w:rFonts w:ascii="Arial" w:hAnsi="Arial" w:cs="Arial"/>
          <w:sz w:val="22"/>
          <w:szCs w:val="22"/>
          <w:lang w:val="en-US"/>
        </w:rPr>
        <w:t>.</w:t>
      </w:r>
      <w:r w:rsidR="00562011" w:rsidRPr="00562011">
        <w:rPr>
          <w:rFonts w:ascii="Arial" w:hAnsi="Arial" w:cs="Arial"/>
          <w:sz w:val="22"/>
          <w:szCs w:val="22"/>
          <w:lang w:val="en-US"/>
        </w:rPr>
        <w:t xml:space="preserve"> </w:t>
      </w:r>
      <w:r w:rsidR="00562011" w:rsidRPr="00562011">
        <w:rPr>
          <w:rFonts w:ascii="Arial" w:hAnsi="Arial" w:cs="Arial"/>
          <w:b/>
          <w:bCs/>
          <w:sz w:val="22"/>
          <w:szCs w:val="22"/>
          <w:lang w:val="en-US"/>
        </w:rPr>
        <w:t>A</w:t>
      </w:r>
      <w:r w:rsidR="00562011">
        <w:rPr>
          <w:rFonts w:ascii="Arial" w:hAnsi="Arial" w:cs="Arial"/>
          <w:sz w:val="22"/>
          <w:szCs w:val="22"/>
          <w:lang w:val="en-US"/>
        </w:rPr>
        <w:t xml:space="preserve"> Bar graph showing</w:t>
      </w:r>
      <w:r w:rsidR="00562011" w:rsidRPr="00562011">
        <w:rPr>
          <w:rFonts w:ascii="Arial" w:hAnsi="Arial" w:cs="Arial"/>
          <w:sz w:val="22"/>
          <w:szCs w:val="22"/>
          <w:lang w:val="en-US"/>
        </w:rPr>
        <w:t xml:space="preserve"> luciferase assay</w:t>
      </w:r>
      <w:r w:rsidR="00562011">
        <w:rPr>
          <w:rFonts w:ascii="Arial" w:hAnsi="Arial" w:cs="Arial"/>
          <w:sz w:val="22"/>
          <w:szCs w:val="22"/>
          <w:lang w:val="en-US"/>
        </w:rPr>
        <w:t xml:space="preserve"> readout after</w:t>
      </w:r>
      <w:r w:rsidR="00562011" w:rsidRPr="00562011">
        <w:rPr>
          <w:rFonts w:ascii="Arial" w:hAnsi="Arial" w:cs="Arial"/>
          <w:sz w:val="22"/>
          <w:szCs w:val="22"/>
          <w:lang w:val="en-US"/>
        </w:rPr>
        <w:t xml:space="preserve"> electroporating</w:t>
      </w:r>
      <w:r w:rsidR="00562011">
        <w:rPr>
          <w:rFonts w:ascii="Arial" w:hAnsi="Arial" w:cs="Arial"/>
          <w:sz w:val="22"/>
          <w:szCs w:val="22"/>
          <w:lang w:val="en-US"/>
        </w:rPr>
        <w:t xml:space="preserve"> </w:t>
      </w:r>
      <w:r w:rsidR="00562011" w:rsidRPr="00562011">
        <w:rPr>
          <w:rFonts w:ascii="Arial" w:hAnsi="Arial" w:cs="Arial"/>
          <w:sz w:val="22"/>
          <w:szCs w:val="22"/>
          <w:lang w:val="en-US"/>
        </w:rPr>
        <w:t xml:space="preserve">the </w:t>
      </w:r>
      <w:r w:rsidR="00442857" w:rsidRPr="00562011">
        <w:rPr>
          <w:rFonts w:ascii="Arial" w:hAnsi="Arial" w:cs="Arial"/>
          <w:sz w:val="22"/>
          <w:szCs w:val="22"/>
          <w:lang w:val="en-US"/>
        </w:rPr>
        <w:t>HELV617F (</w:t>
      </w:r>
      <w:r w:rsidR="00442857" w:rsidRPr="00442857">
        <w:rPr>
          <w:rFonts w:ascii="Arial" w:hAnsi="Arial" w:cs="Arial"/>
          <w:sz w:val="22"/>
          <w:szCs w:val="22"/>
          <w:lang w:val="en-US"/>
        </w:rPr>
        <w:t>control</w:t>
      </w:r>
      <w:r w:rsidR="00442857" w:rsidRPr="00562011">
        <w:rPr>
          <w:rFonts w:ascii="Arial" w:hAnsi="Arial" w:cs="Arial"/>
          <w:sz w:val="22"/>
          <w:szCs w:val="22"/>
          <w:lang w:val="en-US"/>
        </w:rPr>
        <w:t>) and HEL-edited cells (</w:t>
      </w:r>
      <w:r w:rsidR="00442857" w:rsidRPr="00562011">
        <w:rPr>
          <w:rFonts w:ascii="Arial" w:hAnsi="Arial" w:cs="Arial"/>
          <w:i/>
          <w:iCs/>
          <w:sz w:val="22"/>
          <w:szCs w:val="22"/>
          <w:lang w:val="en-US"/>
        </w:rPr>
        <w:t xml:space="preserve">JAK2 </w:t>
      </w:r>
      <w:proofErr w:type="spellStart"/>
      <w:r w:rsidR="00442857" w:rsidRPr="00562011">
        <w:rPr>
          <w:rFonts w:ascii="Arial" w:hAnsi="Arial" w:cs="Arial"/>
          <w:i/>
          <w:iCs/>
          <w:sz w:val="22"/>
          <w:szCs w:val="22"/>
          <w:lang w:val="en-US"/>
        </w:rPr>
        <w:t>w</w:t>
      </w:r>
      <w:r w:rsidR="00442857" w:rsidRPr="00562011">
        <w:rPr>
          <w:rFonts w:ascii="Arial" w:hAnsi="Arial" w:cs="Arial"/>
          <w:sz w:val="22"/>
          <w:szCs w:val="22"/>
          <w:lang w:val="en-US"/>
        </w:rPr>
        <w:t>t</w:t>
      </w:r>
      <w:proofErr w:type="spellEnd"/>
      <w:r w:rsidR="00442857" w:rsidRPr="00562011">
        <w:rPr>
          <w:rFonts w:ascii="Arial" w:hAnsi="Arial" w:cs="Arial"/>
          <w:sz w:val="22"/>
          <w:szCs w:val="22"/>
          <w:lang w:val="en-US"/>
        </w:rPr>
        <w:t>)</w:t>
      </w:r>
      <w:r w:rsidR="00562011" w:rsidRPr="00562011">
        <w:rPr>
          <w:rFonts w:ascii="Arial" w:hAnsi="Arial" w:cs="Arial"/>
          <w:sz w:val="22"/>
          <w:szCs w:val="22"/>
          <w:lang w:val="en-US"/>
        </w:rPr>
        <w:t xml:space="preserve"> with pGRR4-Luc luciferase reporter and the transfection control</w:t>
      </w:r>
      <w:r w:rsidR="00562011">
        <w:rPr>
          <w:rFonts w:ascii="Arial" w:hAnsi="Arial" w:cs="Arial"/>
          <w:sz w:val="22"/>
          <w:szCs w:val="22"/>
          <w:lang w:val="en-US"/>
        </w:rPr>
        <w:t xml:space="preserve"> -</w:t>
      </w:r>
      <w:r w:rsidR="00562011" w:rsidRPr="00562011">
        <w:rPr>
          <w:rFonts w:ascii="Arial" w:hAnsi="Arial" w:cs="Arial"/>
          <w:sz w:val="22"/>
          <w:szCs w:val="22"/>
          <w:lang w:val="en-US"/>
        </w:rPr>
        <w:t xml:space="preserve"> </w:t>
      </w:r>
      <w:proofErr w:type="spellStart"/>
      <w:r w:rsidR="00562011" w:rsidRPr="00562011">
        <w:rPr>
          <w:rFonts w:ascii="Arial" w:hAnsi="Arial" w:cs="Arial"/>
          <w:sz w:val="22"/>
          <w:szCs w:val="22"/>
          <w:lang w:val="en-US"/>
        </w:rPr>
        <w:t>Renilla</w:t>
      </w:r>
      <w:proofErr w:type="spellEnd"/>
      <w:r w:rsidR="00562011" w:rsidRPr="00562011">
        <w:rPr>
          <w:rFonts w:ascii="Arial" w:hAnsi="Arial" w:cs="Arial"/>
          <w:sz w:val="22"/>
          <w:szCs w:val="22"/>
          <w:lang w:val="en-US"/>
        </w:rPr>
        <w:t xml:space="preserve">. </w:t>
      </w:r>
      <w:r w:rsidR="00562011" w:rsidRPr="00562011">
        <w:rPr>
          <w:rFonts w:ascii="Arial" w:hAnsi="Arial" w:cs="Arial"/>
          <w:b/>
          <w:bCs/>
          <w:sz w:val="22"/>
          <w:szCs w:val="22"/>
          <w:lang w:val="en-US"/>
        </w:rPr>
        <w:t>B</w:t>
      </w:r>
      <w:r w:rsidR="00562011">
        <w:rPr>
          <w:rFonts w:ascii="Arial" w:hAnsi="Arial" w:cs="Arial"/>
          <w:sz w:val="22"/>
          <w:szCs w:val="22"/>
          <w:lang w:val="en-US"/>
        </w:rPr>
        <w:t xml:space="preserve"> </w:t>
      </w:r>
      <w:r w:rsidR="00442857">
        <w:rPr>
          <w:rFonts w:ascii="Arial" w:hAnsi="Arial" w:cs="Arial"/>
          <w:sz w:val="22"/>
          <w:szCs w:val="22"/>
          <w:lang w:val="en-US"/>
        </w:rPr>
        <w:t xml:space="preserve">Bar graph showing relative mRNA expression of </w:t>
      </w:r>
      <w:r w:rsidR="00442857" w:rsidRPr="00442857">
        <w:rPr>
          <w:rFonts w:ascii="Arial" w:hAnsi="Arial" w:cs="Arial"/>
          <w:i/>
          <w:iCs/>
          <w:sz w:val="22"/>
          <w:szCs w:val="22"/>
          <w:lang w:val="en-US"/>
        </w:rPr>
        <w:t>JAK2</w:t>
      </w:r>
      <w:r w:rsidR="00442857">
        <w:rPr>
          <w:rFonts w:ascii="Arial" w:hAnsi="Arial" w:cs="Arial"/>
          <w:sz w:val="22"/>
          <w:szCs w:val="22"/>
          <w:lang w:val="en-US"/>
        </w:rPr>
        <w:t xml:space="preserve"> in </w:t>
      </w:r>
      <w:r w:rsidR="00442857" w:rsidRPr="00562011">
        <w:rPr>
          <w:rFonts w:ascii="Arial" w:hAnsi="Arial" w:cs="Arial"/>
          <w:sz w:val="22"/>
          <w:szCs w:val="22"/>
          <w:lang w:val="en-US"/>
        </w:rPr>
        <w:t xml:space="preserve">HELV617F </w:t>
      </w:r>
      <w:r w:rsidR="00442857">
        <w:rPr>
          <w:rFonts w:ascii="Arial" w:hAnsi="Arial" w:cs="Arial"/>
          <w:sz w:val="22"/>
          <w:szCs w:val="22"/>
          <w:lang w:val="en-US"/>
        </w:rPr>
        <w:t>and</w:t>
      </w:r>
      <w:r w:rsidR="00442857" w:rsidRPr="00442857">
        <w:rPr>
          <w:rFonts w:ascii="Arial" w:hAnsi="Arial" w:cs="Arial"/>
          <w:sz w:val="22"/>
          <w:szCs w:val="22"/>
          <w:lang w:val="en-US"/>
        </w:rPr>
        <w:t xml:space="preserve"> </w:t>
      </w:r>
      <w:r w:rsidR="00442857" w:rsidRPr="00562011">
        <w:rPr>
          <w:rFonts w:ascii="Arial" w:hAnsi="Arial" w:cs="Arial"/>
          <w:sz w:val="22"/>
          <w:szCs w:val="22"/>
          <w:lang w:val="en-US"/>
        </w:rPr>
        <w:t>HEL-edited cells</w:t>
      </w:r>
      <w:r w:rsidR="00442857">
        <w:rPr>
          <w:rFonts w:ascii="Arial" w:hAnsi="Arial" w:cs="Arial"/>
          <w:sz w:val="22"/>
          <w:szCs w:val="22"/>
          <w:lang w:val="en-US"/>
        </w:rPr>
        <w:t xml:space="preserve"> </w:t>
      </w:r>
      <w:r w:rsidR="00442857" w:rsidRPr="00442857">
        <w:rPr>
          <w:rFonts w:ascii="Arial" w:hAnsi="Arial" w:cs="Arial"/>
          <w:b/>
          <w:bCs/>
          <w:sz w:val="22"/>
          <w:szCs w:val="22"/>
          <w:lang w:val="en-US"/>
        </w:rPr>
        <w:t>C</w:t>
      </w:r>
      <w:r w:rsidR="00442857">
        <w:rPr>
          <w:rFonts w:ascii="Arial" w:hAnsi="Arial" w:cs="Arial"/>
          <w:sz w:val="22"/>
          <w:szCs w:val="22"/>
          <w:lang w:val="en-US"/>
        </w:rPr>
        <w:t xml:space="preserve"> Representative western blot of phosphorylated and total JAK2 protein and its downstream target STAT5 in </w:t>
      </w:r>
      <w:r w:rsidR="00442857" w:rsidRPr="00562011">
        <w:rPr>
          <w:rFonts w:ascii="Arial" w:hAnsi="Arial" w:cs="Arial"/>
          <w:sz w:val="22"/>
          <w:szCs w:val="22"/>
          <w:lang w:val="en-US"/>
        </w:rPr>
        <w:t>HELV617F (</w:t>
      </w:r>
      <w:r w:rsidR="00442857" w:rsidRPr="00442857">
        <w:rPr>
          <w:rFonts w:ascii="Arial" w:hAnsi="Arial" w:cs="Arial"/>
          <w:sz w:val="22"/>
          <w:szCs w:val="22"/>
          <w:lang w:val="en-US"/>
        </w:rPr>
        <w:t>control</w:t>
      </w:r>
      <w:r w:rsidR="00442857" w:rsidRPr="00562011">
        <w:rPr>
          <w:rFonts w:ascii="Arial" w:hAnsi="Arial" w:cs="Arial"/>
          <w:sz w:val="22"/>
          <w:szCs w:val="22"/>
          <w:lang w:val="en-US"/>
        </w:rPr>
        <w:t>) and HEL-edited cells (</w:t>
      </w:r>
      <w:r w:rsidR="00442857" w:rsidRPr="00562011">
        <w:rPr>
          <w:rFonts w:ascii="Arial" w:hAnsi="Arial" w:cs="Arial"/>
          <w:i/>
          <w:iCs/>
          <w:sz w:val="22"/>
          <w:szCs w:val="22"/>
          <w:lang w:val="en-US"/>
        </w:rPr>
        <w:t xml:space="preserve">JAK2 </w:t>
      </w:r>
      <w:proofErr w:type="spellStart"/>
      <w:r w:rsidR="00442857" w:rsidRPr="00562011">
        <w:rPr>
          <w:rFonts w:ascii="Arial" w:hAnsi="Arial" w:cs="Arial"/>
          <w:i/>
          <w:iCs/>
          <w:sz w:val="22"/>
          <w:szCs w:val="22"/>
          <w:lang w:val="en-US"/>
        </w:rPr>
        <w:t>w</w:t>
      </w:r>
      <w:r w:rsidR="00442857" w:rsidRPr="00562011">
        <w:rPr>
          <w:rFonts w:ascii="Arial" w:hAnsi="Arial" w:cs="Arial"/>
          <w:sz w:val="22"/>
          <w:szCs w:val="22"/>
          <w:lang w:val="en-US"/>
        </w:rPr>
        <w:t>t</w:t>
      </w:r>
      <w:proofErr w:type="spellEnd"/>
      <w:r w:rsidR="00442857" w:rsidRPr="00562011">
        <w:rPr>
          <w:rFonts w:ascii="Arial" w:hAnsi="Arial" w:cs="Arial"/>
          <w:sz w:val="22"/>
          <w:szCs w:val="22"/>
          <w:lang w:val="en-US"/>
        </w:rPr>
        <w:t>)</w:t>
      </w:r>
      <w:r w:rsidR="00442857">
        <w:rPr>
          <w:rFonts w:ascii="Arial" w:hAnsi="Arial" w:cs="Arial"/>
          <w:sz w:val="22"/>
          <w:szCs w:val="22"/>
          <w:lang w:val="en-US"/>
        </w:rPr>
        <w:t xml:space="preserve">. </w:t>
      </w:r>
    </w:p>
    <w:p w14:paraId="4FCADA79" w14:textId="77777777" w:rsidR="00751A82" w:rsidRDefault="00751A82" w:rsidP="005D01C6">
      <w:pPr>
        <w:spacing w:line="360" w:lineRule="auto"/>
        <w:jc w:val="both"/>
        <w:rPr>
          <w:rFonts w:ascii="Arial" w:hAnsi="Arial" w:cs="Arial"/>
          <w:sz w:val="22"/>
          <w:szCs w:val="22"/>
          <w:lang w:val="en-US"/>
        </w:rPr>
      </w:pPr>
    </w:p>
    <w:p w14:paraId="342C31FE" w14:textId="77777777" w:rsidR="00751A82" w:rsidRDefault="00A80C9D" w:rsidP="005D01C6">
      <w:pPr>
        <w:spacing w:line="360" w:lineRule="auto"/>
        <w:jc w:val="both"/>
        <w:rPr>
          <w:rFonts w:ascii="Arial" w:hAnsi="Arial" w:cs="Arial"/>
          <w:sz w:val="22"/>
          <w:szCs w:val="22"/>
          <w:lang w:val="en-US"/>
        </w:rPr>
      </w:pPr>
      <w:r>
        <w:rPr>
          <w:rFonts w:ascii="Arial" w:hAnsi="Arial" w:cs="Arial"/>
          <w:sz w:val="22"/>
          <w:szCs w:val="22"/>
          <w:lang w:val="en-US"/>
        </w:rPr>
        <w:t xml:space="preserve">Upon correction of </w:t>
      </w:r>
      <w:r w:rsidRPr="00A80C9D">
        <w:rPr>
          <w:rFonts w:ascii="Arial" w:hAnsi="Arial" w:cs="Arial"/>
          <w:i/>
          <w:iCs/>
          <w:sz w:val="22"/>
          <w:szCs w:val="22"/>
          <w:lang w:val="en-US"/>
        </w:rPr>
        <w:t>JAK</w:t>
      </w:r>
      <w:r>
        <w:rPr>
          <w:rFonts w:ascii="Arial" w:hAnsi="Arial" w:cs="Arial"/>
          <w:sz w:val="22"/>
          <w:szCs w:val="22"/>
          <w:lang w:val="en-US"/>
        </w:rPr>
        <w:t xml:space="preserve">2 allele to the </w:t>
      </w:r>
      <w:proofErr w:type="spellStart"/>
      <w:r>
        <w:rPr>
          <w:rFonts w:ascii="Arial" w:hAnsi="Arial" w:cs="Arial"/>
          <w:sz w:val="22"/>
          <w:szCs w:val="22"/>
          <w:lang w:val="en-US"/>
        </w:rPr>
        <w:t>wt</w:t>
      </w:r>
      <w:proofErr w:type="spellEnd"/>
      <w:r>
        <w:rPr>
          <w:rFonts w:ascii="Arial" w:hAnsi="Arial" w:cs="Arial"/>
          <w:sz w:val="22"/>
          <w:szCs w:val="22"/>
          <w:lang w:val="en-US"/>
        </w:rPr>
        <w:t xml:space="preserve"> constitution HEL cells exhibited reduced intrinsic and inflammatory factors-induced expression of DUSP1 compared to the parental </w:t>
      </w:r>
      <w:r w:rsidRPr="00562011">
        <w:rPr>
          <w:rFonts w:ascii="Arial" w:hAnsi="Arial" w:cs="Arial"/>
          <w:sz w:val="22"/>
          <w:szCs w:val="22"/>
          <w:lang w:val="en-US"/>
        </w:rPr>
        <w:t>HELV617F</w:t>
      </w:r>
      <w:r>
        <w:rPr>
          <w:rFonts w:ascii="Arial" w:hAnsi="Arial" w:cs="Arial"/>
          <w:sz w:val="22"/>
          <w:szCs w:val="22"/>
          <w:lang w:val="en-US"/>
        </w:rPr>
        <w:t xml:space="preserve"> cells (Figure 2</w:t>
      </w:r>
      <w:r w:rsidR="007B66A0">
        <w:rPr>
          <w:rFonts w:ascii="Arial" w:hAnsi="Arial" w:cs="Arial"/>
          <w:sz w:val="22"/>
          <w:szCs w:val="22"/>
          <w:lang w:val="en-US"/>
        </w:rPr>
        <w:t>5</w:t>
      </w:r>
      <w:r>
        <w:rPr>
          <w:rFonts w:ascii="Arial" w:hAnsi="Arial" w:cs="Arial"/>
          <w:sz w:val="22"/>
          <w:szCs w:val="22"/>
          <w:lang w:val="en-US"/>
        </w:rPr>
        <w:t>). This prompted us to test dual-specific inhibitor BCI (</w:t>
      </w:r>
      <w:r w:rsidRPr="00A80C9D">
        <w:rPr>
          <w:rFonts w:ascii="Arial" w:hAnsi="Arial" w:cs="Arial"/>
          <w:sz w:val="22"/>
          <w:szCs w:val="22"/>
          <w:lang w:val="en-US"/>
        </w:rPr>
        <w:t>(E)-2-benzylidene-3-(cyclohexylamino)-2,3-dihydro-1H-inden-1-one</w:t>
      </w:r>
      <w:r>
        <w:rPr>
          <w:rFonts w:ascii="Arial" w:hAnsi="Arial" w:cs="Arial"/>
          <w:sz w:val="22"/>
          <w:szCs w:val="22"/>
          <w:lang w:val="en-US"/>
        </w:rPr>
        <w:t xml:space="preserve">), which was previously published to target DUSP1 and DUSP6 </w:t>
      </w:r>
      <w:r>
        <w:rPr>
          <w:rFonts w:ascii="Arial" w:hAnsi="Arial" w:cs="Arial"/>
          <w:sz w:val="22"/>
          <w:szCs w:val="22"/>
          <w:lang w:val="en-US"/>
        </w:rPr>
        <w:fldChar w:fldCharType="begin"/>
      </w:r>
      <w:r>
        <w:rPr>
          <w:rFonts w:ascii="Arial" w:hAnsi="Arial" w:cs="Arial"/>
          <w:sz w:val="22"/>
          <w:szCs w:val="22"/>
          <w:lang w:val="en-US"/>
        </w:rPr>
        <w:instrText xml:space="preserve"> ADDIN ZOTERO_ITEM CSL_CITATION {"citationID":"98jYGy9U","properties":{"formattedCitation":"(Molina et al., 2009)","plainCitation":"(Molina et al., 2009)","noteIndex":0},"citationItems":[{"id":66,"uris":["http://zotero.org/users/2484452/items/ZTESGRP8"],"uri":["http://zotero.org/users/2484452/items/ZTESGRP8"],"itemData":{"id":66,"type":"article-journal","abstract":"The dual-specificity phosphatase 6 (Dusp6) functions as a feedback regulator of fibroblast growth factor (FGF) signaling to limit the activity of extracellular signal-regulated kinases (ERKs) 1 and 2. We have identified a small-molecule inhibitor of Dusp6-(E)-2-benzylidene-3-(cyclohexylamino)-2,3-dihydro-1H-inden-1-one (BCI)-using a transgenic zebrafish chemical screen. BCI treatment blocked Dusp6 activity and enhanced FGF target gene expression in zebrafish embryos. Docking simulations predicted an allosteric binding site for BCI within the phosphatase domain. In vitro studies supported a model in which BCI inhibits Dusp6 catalytic activation by ERK2 substrate binding. We used BCI treatment at varying developmental stages to uncover a temporal role for Dusp6 in restricting cardiac progenitors and controlling heart organ size. This study highlights the power of in vivo zebrafish chemical screens to identify new compounds targeting Dusp6, a component of the FGF signaling pathway that has eluded traditional high-throughput in vitro screens.","container-title":"Nature Chemical Biology","DOI":"10.1038/nchembio.190","ISSN":"1552-4469","issue":"9","journalAbbreviation":"Nat. Chem. Biol.","language":"eng","note":"PMID: 19578332\nPMCID: PMC2771339","page":"680-687","source":"PubMed","title":"Zebrafish chemical screening reveals an inhibitor of Dusp6 that expands cardiac cell lineages","volume":"5","author":[{"family":"Molina","given":"Gabriela"},{"family":"Vogt","given":"Andreas"},{"family":"Bakan","given":"Ahmet"},{"family":"Dai","given":"Weixiang"},{"family":"Queiroz de Oliveira","given":"Pierre"},{"family":"Znosko","given":"Wade"},{"family":"Smithgall","given":"Thomas E."},{"family":"Bahar","given":"Ivet"},{"family":"Lazo","given":"John S."},{"family":"Day","given":"Billy W."},{"family":"Tsang","given":"Michael"}],"issued":{"date-parts":[["2009",9]]}}}],"schema":"https://github.com/citation-style-language/schema/raw/master/csl-citation.json"} </w:instrText>
      </w:r>
      <w:r>
        <w:rPr>
          <w:rFonts w:ascii="Arial" w:hAnsi="Arial" w:cs="Arial"/>
          <w:sz w:val="22"/>
          <w:szCs w:val="22"/>
          <w:lang w:val="en-US"/>
        </w:rPr>
        <w:fldChar w:fldCharType="separate"/>
      </w:r>
      <w:r>
        <w:rPr>
          <w:rFonts w:ascii="Arial" w:hAnsi="Arial" w:cs="Arial"/>
          <w:noProof/>
          <w:sz w:val="22"/>
          <w:szCs w:val="22"/>
          <w:lang w:val="en-US"/>
        </w:rPr>
        <w:t>(Molina et al., 2009)</w:t>
      </w:r>
      <w:r>
        <w:rPr>
          <w:rFonts w:ascii="Arial" w:hAnsi="Arial" w:cs="Arial"/>
          <w:sz w:val="22"/>
          <w:szCs w:val="22"/>
          <w:lang w:val="en-US"/>
        </w:rPr>
        <w:fldChar w:fldCharType="end"/>
      </w:r>
      <w:r>
        <w:rPr>
          <w:rFonts w:ascii="Arial" w:hAnsi="Arial" w:cs="Arial"/>
          <w:sz w:val="22"/>
          <w:szCs w:val="22"/>
          <w:lang w:val="en-US"/>
        </w:rPr>
        <w:t xml:space="preserve"> on </w:t>
      </w:r>
      <w:r w:rsidRPr="00F7124E">
        <w:rPr>
          <w:rFonts w:ascii="Arial" w:hAnsi="Arial" w:cs="Arial"/>
          <w:sz w:val="22"/>
          <w:szCs w:val="22"/>
          <w:lang w:val="en-US"/>
        </w:rPr>
        <w:t>HELV617F and HEL-edited</w:t>
      </w:r>
      <w:r>
        <w:rPr>
          <w:rFonts w:ascii="Arial" w:hAnsi="Arial" w:cs="Arial"/>
          <w:sz w:val="22"/>
          <w:szCs w:val="22"/>
          <w:lang w:val="en-US"/>
        </w:rPr>
        <w:t xml:space="preserve"> cells. We have also measured expression of other BCI target DUSP6 in HEL cells, </w:t>
      </w:r>
      <w:r w:rsidR="00665F8B">
        <w:rPr>
          <w:rFonts w:ascii="Arial" w:hAnsi="Arial" w:cs="Arial"/>
          <w:sz w:val="22"/>
          <w:szCs w:val="22"/>
          <w:lang w:val="en-US"/>
        </w:rPr>
        <w:t>and</w:t>
      </w:r>
      <w:r>
        <w:rPr>
          <w:rFonts w:ascii="Arial" w:hAnsi="Arial" w:cs="Arial"/>
          <w:sz w:val="22"/>
          <w:szCs w:val="22"/>
          <w:lang w:val="en-US"/>
        </w:rPr>
        <w:t xml:space="preserve"> even though we have detected </w:t>
      </w:r>
      <w:r w:rsidRPr="00A80C9D">
        <w:rPr>
          <w:rFonts w:ascii="Arial" w:hAnsi="Arial" w:cs="Arial"/>
          <w:sz w:val="22"/>
          <w:szCs w:val="22"/>
          <w:lang w:val="en-US"/>
        </w:rPr>
        <w:t xml:space="preserve">more elevated DUSP6 in the HELV617F cells compared with the HEL-edited </w:t>
      </w:r>
      <w:r w:rsidRPr="00665F8B">
        <w:rPr>
          <w:rFonts w:ascii="Arial" w:hAnsi="Arial" w:cs="Arial"/>
          <w:i/>
          <w:iCs/>
          <w:sz w:val="22"/>
          <w:szCs w:val="22"/>
          <w:lang w:val="en-US"/>
        </w:rPr>
        <w:t>JAK2</w:t>
      </w:r>
      <w:r w:rsidR="00665F8B">
        <w:rPr>
          <w:rFonts w:ascii="Arial" w:hAnsi="Arial" w:cs="Arial"/>
          <w:sz w:val="22"/>
          <w:szCs w:val="22"/>
          <w:lang w:val="en-US"/>
        </w:rPr>
        <w:t xml:space="preserve"> </w:t>
      </w:r>
      <w:proofErr w:type="spellStart"/>
      <w:r w:rsidRPr="00A80C9D">
        <w:rPr>
          <w:rFonts w:ascii="Arial" w:hAnsi="Arial" w:cs="Arial"/>
          <w:sz w:val="22"/>
          <w:szCs w:val="22"/>
          <w:lang w:val="en-US"/>
        </w:rPr>
        <w:t>wt</w:t>
      </w:r>
      <w:proofErr w:type="spellEnd"/>
      <w:r w:rsidRPr="00A80C9D">
        <w:rPr>
          <w:rFonts w:ascii="Arial" w:hAnsi="Arial" w:cs="Arial"/>
          <w:sz w:val="22"/>
          <w:szCs w:val="22"/>
          <w:lang w:val="en-US"/>
        </w:rPr>
        <w:t xml:space="preserve"> cells</w:t>
      </w:r>
      <w:r w:rsidR="00665F8B">
        <w:rPr>
          <w:rFonts w:ascii="Arial" w:hAnsi="Arial" w:cs="Arial"/>
          <w:sz w:val="22"/>
          <w:szCs w:val="22"/>
          <w:lang w:val="en-US"/>
        </w:rPr>
        <w:t>,</w:t>
      </w:r>
      <w:r w:rsidRPr="00A80C9D">
        <w:rPr>
          <w:rFonts w:ascii="Arial" w:hAnsi="Arial" w:cs="Arial"/>
          <w:sz w:val="22"/>
          <w:szCs w:val="22"/>
          <w:lang w:val="en-US"/>
        </w:rPr>
        <w:t xml:space="preserve"> DUSP6 expression after cytokine treatment </w:t>
      </w:r>
      <w:r>
        <w:rPr>
          <w:rFonts w:ascii="Arial" w:hAnsi="Arial" w:cs="Arial"/>
          <w:sz w:val="22"/>
          <w:szCs w:val="22"/>
          <w:lang w:val="en-US"/>
        </w:rPr>
        <w:t>significantly</w:t>
      </w:r>
      <w:r w:rsidRPr="00A80C9D">
        <w:rPr>
          <w:rFonts w:ascii="Arial" w:hAnsi="Arial" w:cs="Arial"/>
          <w:sz w:val="22"/>
          <w:szCs w:val="22"/>
          <w:lang w:val="en-US"/>
        </w:rPr>
        <w:t xml:space="preserve"> decreased</w:t>
      </w:r>
      <w:r w:rsidR="00665F8B">
        <w:rPr>
          <w:rFonts w:ascii="Arial" w:hAnsi="Arial" w:cs="Arial"/>
          <w:sz w:val="22"/>
          <w:szCs w:val="22"/>
          <w:lang w:val="en-US"/>
        </w:rPr>
        <w:t>, compared to further increase in DUSP1</w:t>
      </w:r>
      <w:r w:rsidR="00F86644">
        <w:rPr>
          <w:rFonts w:ascii="Arial" w:hAnsi="Arial" w:cs="Arial"/>
          <w:sz w:val="22"/>
          <w:szCs w:val="22"/>
          <w:lang w:val="en-US"/>
        </w:rPr>
        <w:t xml:space="preserve"> expression</w:t>
      </w:r>
      <w:r w:rsidRPr="00A80C9D">
        <w:rPr>
          <w:rFonts w:ascii="Arial" w:hAnsi="Arial" w:cs="Arial"/>
          <w:sz w:val="22"/>
          <w:szCs w:val="22"/>
          <w:lang w:val="en-US"/>
        </w:rPr>
        <w:t xml:space="preserve"> (</w:t>
      </w:r>
      <w:r>
        <w:rPr>
          <w:rFonts w:ascii="Arial" w:hAnsi="Arial" w:cs="Arial"/>
          <w:sz w:val="22"/>
          <w:szCs w:val="22"/>
          <w:lang w:val="en-US"/>
        </w:rPr>
        <w:t>Figure 2</w:t>
      </w:r>
      <w:r w:rsidR="007B66A0">
        <w:rPr>
          <w:rFonts w:ascii="Arial" w:hAnsi="Arial" w:cs="Arial"/>
          <w:sz w:val="22"/>
          <w:szCs w:val="22"/>
          <w:lang w:val="en-US"/>
        </w:rPr>
        <w:t>5</w:t>
      </w:r>
      <w:r w:rsidRPr="00A80C9D">
        <w:rPr>
          <w:rFonts w:ascii="Arial" w:hAnsi="Arial" w:cs="Arial"/>
          <w:sz w:val="22"/>
          <w:szCs w:val="22"/>
          <w:lang w:val="en-US"/>
        </w:rPr>
        <w:t>). These results suggested that DUSP1 is the main target of the BCI inhibitor in these cells.</w:t>
      </w:r>
    </w:p>
    <w:p w14:paraId="1E86B58B" w14:textId="77777777" w:rsidR="00751A82" w:rsidRDefault="00751A82" w:rsidP="005D01C6">
      <w:pPr>
        <w:spacing w:line="360" w:lineRule="auto"/>
        <w:jc w:val="both"/>
        <w:rPr>
          <w:rFonts w:ascii="Arial" w:hAnsi="Arial" w:cs="Arial"/>
          <w:sz w:val="22"/>
          <w:szCs w:val="22"/>
          <w:lang w:val="en-US"/>
        </w:rPr>
      </w:pPr>
    </w:p>
    <w:p w14:paraId="30EF47ED" w14:textId="77777777" w:rsidR="00751A82" w:rsidRDefault="00751A82" w:rsidP="005D01C6">
      <w:pPr>
        <w:spacing w:line="360" w:lineRule="auto"/>
        <w:jc w:val="both"/>
        <w:rPr>
          <w:rFonts w:ascii="Arial" w:hAnsi="Arial" w:cs="Arial"/>
          <w:sz w:val="22"/>
          <w:szCs w:val="22"/>
          <w:lang w:val="en-US"/>
        </w:rPr>
      </w:pPr>
    </w:p>
    <w:p w14:paraId="66A70BF0" w14:textId="77777777" w:rsidR="00751A82" w:rsidRDefault="00751A82" w:rsidP="005D01C6">
      <w:pPr>
        <w:spacing w:line="360" w:lineRule="auto"/>
        <w:jc w:val="both"/>
        <w:rPr>
          <w:rFonts w:ascii="Arial" w:hAnsi="Arial" w:cs="Arial"/>
          <w:sz w:val="22"/>
          <w:szCs w:val="22"/>
          <w:lang w:val="en-US"/>
        </w:rPr>
      </w:pPr>
    </w:p>
    <w:p w14:paraId="3181E2E9" w14:textId="77777777" w:rsidR="00751A82" w:rsidRDefault="00751A82" w:rsidP="005D01C6">
      <w:pPr>
        <w:spacing w:line="360" w:lineRule="auto"/>
        <w:jc w:val="both"/>
        <w:rPr>
          <w:rFonts w:ascii="Arial" w:hAnsi="Arial" w:cs="Arial"/>
          <w:sz w:val="22"/>
          <w:szCs w:val="22"/>
          <w:lang w:val="en-US"/>
        </w:rPr>
      </w:pPr>
    </w:p>
    <w:p w14:paraId="5EEACDA0" w14:textId="77777777" w:rsidR="00751A82" w:rsidRDefault="00751A82" w:rsidP="005D01C6">
      <w:pPr>
        <w:spacing w:line="360" w:lineRule="auto"/>
        <w:jc w:val="both"/>
        <w:rPr>
          <w:rFonts w:ascii="Arial" w:hAnsi="Arial" w:cs="Arial"/>
          <w:sz w:val="22"/>
          <w:szCs w:val="22"/>
          <w:lang w:val="en-US"/>
        </w:rPr>
      </w:pPr>
    </w:p>
    <w:p w14:paraId="70DF49D0" w14:textId="77777777" w:rsidR="00751A82" w:rsidRDefault="00751A82" w:rsidP="005D01C6">
      <w:pPr>
        <w:spacing w:line="360" w:lineRule="auto"/>
        <w:jc w:val="both"/>
        <w:rPr>
          <w:rFonts w:ascii="Arial" w:hAnsi="Arial" w:cs="Arial"/>
          <w:sz w:val="22"/>
          <w:szCs w:val="22"/>
          <w:lang w:val="en-US"/>
        </w:rPr>
      </w:pPr>
    </w:p>
    <w:p w14:paraId="411FB6D6" w14:textId="77777777" w:rsidR="001E0B16" w:rsidRPr="00751A82" w:rsidRDefault="00751A82" w:rsidP="005D01C6">
      <w:pPr>
        <w:spacing w:line="360" w:lineRule="auto"/>
        <w:jc w:val="both"/>
        <w:rPr>
          <w:rFonts w:ascii="Arial" w:hAnsi="Arial" w:cs="Arial"/>
          <w:b/>
          <w:bCs/>
          <w:sz w:val="22"/>
          <w:szCs w:val="22"/>
          <w:lang w:val="en-US"/>
        </w:rPr>
      </w:pPr>
      <w:r w:rsidRPr="00751A82">
        <w:rPr>
          <w:rFonts w:ascii="Arial" w:hAnsi="Arial" w:cs="Arial"/>
          <w:b/>
          <w:bCs/>
          <w:sz w:val="22"/>
          <w:szCs w:val="22"/>
          <w:lang w:val="en-US"/>
        </w:rPr>
        <w:t>A</w:t>
      </w:r>
      <w:r w:rsidRPr="00751A82">
        <w:rPr>
          <w:rFonts w:ascii="Arial" w:hAnsi="Arial" w:cs="Arial"/>
          <w:b/>
          <w:bCs/>
          <w:sz w:val="22"/>
          <w:szCs w:val="22"/>
          <w:lang w:val="en-US"/>
        </w:rPr>
        <w:tab/>
      </w:r>
      <w:r w:rsidRPr="00751A82">
        <w:rPr>
          <w:rFonts w:ascii="Arial" w:hAnsi="Arial" w:cs="Arial"/>
          <w:b/>
          <w:bCs/>
          <w:sz w:val="22"/>
          <w:szCs w:val="22"/>
          <w:lang w:val="en-US"/>
        </w:rPr>
        <w:tab/>
      </w:r>
      <w:r w:rsidRPr="00751A82">
        <w:rPr>
          <w:rFonts w:ascii="Arial" w:hAnsi="Arial" w:cs="Arial"/>
          <w:b/>
          <w:bCs/>
          <w:sz w:val="22"/>
          <w:szCs w:val="22"/>
          <w:lang w:val="en-US"/>
        </w:rPr>
        <w:tab/>
      </w:r>
      <w:r w:rsidRPr="00751A82">
        <w:rPr>
          <w:rFonts w:ascii="Arial" w:hAnsi="Arial" w:cs="Arial"/>
          <w:b/>
          <w:bCs/>
          <w:sz w:val="22"/>
          <w:szCs w:val="22"/>
          <w:lang w:val="en-US"/>
        </w:rPr>
        <w:tab/>
      </w:r>
      <w:r w:rsidRPr="00751A82">
        <w:rPr>
          <w:rFonts w:ascii="Arial" w:hAnsi="Arial" w:cs="Arial"/>
          <w:b/>
          <w:bCs/>
          <w:sz w:val="22"/>
          <w:szCs w:val="22"/>
          <w:lang w:val="en-US"/>
        </w:rPr>
        <w:tab/>
        <w:t>B</w:t>
      </w:r>
    </w:p>
    <w:p w14:paraId="78B5F665" w14:textId="77777777" w:rsidR="001E0B16" w:rsidRDefault="00751A82" w:rsidP="005D01C6">
      <w:pPr>
        <w:spacing w:line="360" w:lineRule="auto"/>
        <w:jc w:val="both"/>
        <w:rPr>
          <w:rFonts w:ascii="Arial" w:hAnsi="Arial" w:cs="Arial"/>
          <w:sz w:val="22"/>
          <w:szCs w:val="22"/>
          <w:lang w:val="en-US"/>
        </w:rPr>
      </w:pPr>
      <w:r>
        <w:rPr>
          <w:rFonts w:ascii="Arial" w:hAnsi="Arial" w:cs="Arial"/>
          <w:noProof/>
          <w:sz w:val="22"/>
          <w:szCs w:val="22"/>
          <w:lang w:val="cs-CZ" w:eastAsia="cs-CZ"/>
        </w:rPr>
        <w:drawing>
          <wp:inline distT="0" distB="0" distL="0" distR="0" wp14:anchorId="0DACD54C" wp14:editId="3A7F7730">
            <wp:extent cx="5395595" cy="1482090"/>
            <wp:effectExtent l="0" t="0" r="1905" b="381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schirmfoto 2020-02-22 um 21.39.36.png"/>
                    <pic:cNvPicPr/>
                  </pic:nvPicPr>
                  <pic:blipFill>
                    <a:blip r:embed="rId41">
                      <a:extLst>
                        <a:ext uri="{28A0092B-C50C-407E-A947-70E740481C1C}">
                          <a14:useLocalDpi xmlns:a14="http://schemas.microsoft.com/office/drawing/2010/main" val="0"/>
                        </a:ext>
                      </a:extLst>
                    </a:blip>
                    <a:stretch>
                      <a:fillRect/>
                    </a:stretch>
                  </pic:blipFill>
                  <pic:spPr>
                    <a:xfrm>
                      <a:off x="0" y="0"/>
                      <a:ext cx="5395595" cy="1482090"/>
                    </a:xfrm>
                    <a:prstGeom prst="rect">
                      <a:avLst/>
                    </a:prstGeom>
                  </pic:spPr>
                </pic:pic>
              </a:graphicData>
            </a:graphic>
          </wp:inline>
        </w:drawing>
      </w:r>
    </w:p>
    <w:p w14:paraId="77BA8BE8" w14:textId="77777777" w:rsidR="00751A82" w:rsidRDefault="00751A82" w:rsidP="005D01C6">
      <w:pPr>
        <w:spacing w:line="360" w:lineRule="auto"/>
        <w:jc w:val="both"/>
        <w:rPr>
          <w:rFonts w:ascii="Arial" w:hAnsi="Arial" w:cs="Arial"/>
          <w:sz w:val="22"/>
          <w:szCs w:val="22"/>
          <w:lang w:val="en-US"/>
        </w:rPr>
      </w:pPr>
      <w:r w:rsidRPr="009C25F6">
        <w:rPr>
          <w:rFonts w:ascii="Arial" w:hAnsi="Arial" w:cs="Arial"/>
          <w:b/>
          <w:bCs/>
          <w:sz w:val="22"/>
          <w:szCs w:val="22"/>
          <w:lang w:val="en-US"/>
        </w:rPr>
        <w:t>Figure 2</w:t>
      </w:r>
      <w:r w:rsidR="007B66A0">
        <w:rPr>
          <w:rFonts w:ascii="Arial" w:hAnsi="Arial" w:cs="Arial"/>
          <w:b/>
          <w:bCs/>
          <w:sz w:val="22"/>
          <w:szCs w:val="22"/>
          <w:lang w:val="en-US"/>
        </w:rPr>
        <w:t>5</w:t>
      </w:r>
      <w:r>
        <w:rPr>
          <w:rFonts w:ascii="Arial" w:hAnsi="Arial" w:cs="Arial"/>
          <w:sz w:val="22"/>
          <w:szCs w:val="22"/>
          <w:lang w:val="en-US"/>
        </w:rPr>
        <w:t>:</w:t>
      </w:r>
      <w:r w:rsidR="00F7124E">
        <w:rPr>
          <w:rFonts w:ascii="Arial" w:hAnsi="Arial" w:cs="Arial"/>
          <w:sz w:val="22"/>
          <w:szCs w:val="22"/>
          <w:lang w:val="en-US"/>
        </w:rPr>
        <w:t xml:space="preserve"> Representative w</w:t>
      </w:r>
      <w:r w:rsidR="00F7124E" w:rsidRPr="00F7124E">
        <w:rPr>
          <w:rFonts w:ascii="Arial" w:hAnsi="Arial" w:cs="Arial"/>
          <w:sz w:val="22"/>
          <w:szCs w:val="22"/>
          <w:lang w:val="en-US"/>
        </w:rPr>
        <w:t xml:space="preserve">estern blot of DUSP1 and DUSP6 </w:t>
      </w:r>
      <w:r w:rsidR="00F7124E">
        <w:rPr>
          <w:rFonts w:ascii="Arial" w:hAnsi="Arial" w:cs="Arial"/>
          <w:sz w:val="22"/>
          <w:szCs w:val="22"/>
          <w:lang w:val="en-US"/>
        </w:rPr>
        <w:t xml:space="preserve">protein </w:t>
      </w:r>
      <w:r w:rsidR="00F7124E" w:rsidRPr="00F7124E">
        <w:rPr>
          <w:rFonts w:ascii="Arial" w:hAnsi="Arial" w:cs="Arial"/>
          <w:sz w:val="22"/>
          <w:szCs w:val="22"/>
          <w:lang w:val="en-US"/>
        </w:rPr>
        <w:t>expression in HELV617F (JAK2V617F) and HEL-edited</w:t>
      </w:r>
      <w:r w:rsidR="00F7124E">
        <w:rPr>
          <w:rFonts w:ascii="Arial" w:hAnsi="Arial" w:cs="Arial"/>
          <w:sz w:val="22"/>
          <w:szCs w:val="22"/>
          <w:lang w:val="en-US"/>
        </w:rPr>
        <w:t xml:space="preserve"> </w:t>
      </w:r>
      <w:r w:rsidR="00F7124E" w:rsidRPr="00F7124E">
        <w:rPr>
          <w:rFonts w:ascii="Arial" w:hAnsi="Arial" w:cs="Arial"/>
          <w:sz w:val="22"/>
          <w:szCs w:val="22"/>
          <w:lang w:val="en-US"/>
        </w:rPr>
        <w:t>(JAK2wt) cells,</w:t>
      </w:r>
      <w:r w:rsidR="00F7124E">
        <w:rPr>
          <w:rFonts w:ascii="Arial" w:hAnsi="Arial" w:cs="Arial"/>
          <w:sz w:val="22"/>
          <w:szCs w:val="22"/>
          <w:lang w:val="en-US"/>
        </w:rPr>
        <w:t xml:space="preserve"> which were</w:t>
      </w:r>
      <w:r w:rsidR="00F7124E" w:rsidRPr="00F7124E">
        <w:rPr>
          <w:rFonts w:ascii="Arial" w:hAnsi="Arial" w:cs="Arial"/>
          <w:sz w:val="22"/>
          <w:szCs w:val="22"/>
          <w:lang w:val="en-US"/>
        </w:rPr>
        <w:t xml:space="preserve"> either untreated (un) or treated with inflammatory cytokines (</w:t>
      </w:r>
      <w:proofErr w:type="spellStart"/>
      <w:r w:rsidR="00F7124E" w:rsidRPr="00F7124E">
        <w:rPr>
          <w:rFonts w:ascii="Arial" w:hAnsi="Arial" w:cs="Arial"/>
          <w:sz w:val="22"/>
          <w:szCs w:val="22"/>
          <w:lang w:val="en-US"/>
        </w:rPr>
        <w:t>cyt</w:t>
      </w:r>
      <w:proofErr w:type="spellEnd"/>
      <w:r w:rsidR="00F7124E" w:rsidRPr="00F7124E">
        <w:rPr>
          <w:rFonts w:ascii="Arial" w:hAnsi="Arial" w:cs="Arial"/>
          <w:sz w:val="22"/>
          <w:szCs w:val="22"/>
          <w:lang w:val="en-US"/>
        </w:rPr>
        <w:t xml:space="preserve">). </w:t>
      </w:r>
      <w:r w:rsidR="00F7124E">
        <w:rPr>
          <w:rFonts w:ascii="Arial" w:hAnsi="Arial" w:cs="Arial"/>
          <w:sz w:val="22"/>
          <w:szCs w:val="22"/>
          <w:lang w:val="en-US"/>
        </w:rPr>
        <w:t>Accompanied bar graphs</w:t>
      </w:r>
      <w:r w:rsidR="00F7124E" w:rsidRPr="00F7124E">
        <w:rPr>
          <w:rFonts w:ascii="Arial" w:hAnsi="Arial" w:cs="Arial"/>
          <w:sz w:val="22"/>
          <w:szCs w:val="22"/>
          <w:lang w:val="en-US"/>
        </w:rPr>
        <w:t xml:space="preserve"> show DUSP1 and DUSP6 relative expression normalized to actin (mean ± SD, n = 3).</w:t>
      </w:r>
      <w:r w:rsidR="00FE5B5B">
        <w:rPr>
          <w:rFonts w:ascii="Arial" w:hAnsi="Arial" w:cs="Arial"/>
          <w:sz w:val="22"/>
          <w:szCs w:val="22"/>
          <w:lang w:val="en-US"/>
        </w:rPr>
        <w:t xml:space="preserve"> </w:t>
      </w:r>
      <w:r w:rsidR="00FE5B5B" w:rsidRPr="00FE5B5B">
        <w:rPr>
          <w:rFonts w:ascii="Arial" w:hAnsi="Arial" w:cs="Arial"/>
          <w:sz w:val="22"/>
          <w:szCs w:val="22"/>
          <w:lang w:val="en-US"/>
        </w:rPr>
        <w:t>*P ≤ 0.05, **P ≤ 0.01, two-way ANOVA.</w:t>
      </w:r>
    </w:p>
    <w:p w14:paraId="4A963000" w14:textId="77777777" w:rsidR="002B00FE" w:rsidRDefault="002B00FE" w:rsidP="005D01C6">
      <w:pPr>
        <w:spacing w:line="360" w:lineRule="auto"/>
        <w:jc w:val="both"/>
        <w:rPr>
          <w:rFonts w:ascii="Arial" w:hAnsi="Arial" w:cs="Arial"/>
          <w:sz w:val="22"/>
          <w:szCs w:val="22"/>
          <w:lang w:val="en-US"/>
        </w:rPr>
      </w:pPr>
    </w:p>
    <w:p w14:paraId="7EBC5F6A" w14:textId="77777777" w:rsidR="002B00FE" w:rsidRDefault="00F86644" w:rsidP="005D01C6">
      <w:pPr>
        <w:spacing w:line="360" w:lineRule="auto"/>
        <w:jc w:val="both"/>
        <w:rPr>
          <w:rFonts w:ascii="Arial" w:hAnsi="Arial" w:cs="Arial"/>
          <w:sz w:val="22"/>
          <w:szCs w:val="22"/>
          <w:lang w:val="en-US"/>
        </w:rPr>
      </w:pPr>
      <w:r>
        <w:rPr>
          <w:rFonts w:ascii="Arial" w:hAnsi="Arial" w:cs="Arial"/>
          <w:sz w:val="22"/>
          <w:szCs w:val="22"/>
          <w:lang w:val="en-US"/>
        </w:rPr>
        <w:t xml:space="preserve">Given the oscillatory nature of p38MAPK signaling </w:t>
      </w:r>
      <w:r>
        <w:rPr>
          <w:rFonts w:ascii="Arial" w:hAnsi="Arial" w:cs="Arial"/>
          <w:sz w:val="22"/>
          <w:szCs w:val="22"/>
          <w:lang w:val="en-US"/>
        </w:rPr>
        <w:fldChar w:fldCharType="begin"/>
      </w:r>
      <w:r>
        <w:rPr>
          <w:rFonts w:ascii="Arial" w:hAnsi="Arial" w:cs="Arial"/>
          <w:sz w:val="22"/>
          <w:szCs w:val="22"/>
          <w:lang w:val="en-US"/>
        </w:rPr>
        <w:instrText xml:space="preserve"> ADDIN ZOTERO_ITEM CSL_CITATION {"citationID":"luglhXiA","properties":{"formattedCitation":"(Zhang et al., 2017)","plainCitation":"(Zhang et al., 2017)","noteIndex":0},"citationItems":[{"id":1195,"uris":["http://zotero.org/users/2484452/items/BVMYFS4Q"],"uri":["http://zotero.org/users/2484452/items/BVMYFS4Q"],"itemData":{"id":1195,"type":"article-journal","abstract":"Recent experimental evidence reports that oscillations of p38 MAPK (p38) activity would efficiently induce pro-inflammatory gene expression, which might be deleterious to immune systems and may even cause cellular damage and apoptosis. It is widely accepted now that transcriptional and translational delays are ubiquitous in gene expression, which can typically result in oscillatory responses of gene regulations. Consequently, delay-driven sustained oscillations in p38 activity (p38*) could in principle be commonplace. Nevertheless, so far the studies of the impact of such delays on p38* have been lacking both experimentally and theoretically. Here, we use experimental data to develop a delayed mathematical model, with the aim of understanding how such delays affect oscillatory behaviour on p38*. We analyze the stability and oscillation of the model with and without explicit time delays. We show that a sufficiently input stimulation strength is prerequisite for generating p38* oscillations, and that an optimal rate of model parameters is also essential to these oscillations. Moreover, we find that the time delays required for transcription and translation in mitogen-activated protein kinase phosphatase-1 (MKP-1) gene expression can drive p38* to be oscillatory even when the concentration of p38* level is at a stable state. Furthermore, the length of these delays can determine the amplitude and period of the oscillations and can enormously extend the oscillatory ranges of model parameters. These results indicate that time delays in MKP-1 synthesis are required, albeit not sufficient, for p38* oscillations, which may lead to new insights related to p38 oscillations.","container-title":"Scientific Reports","DOI":"10.1038/s41598-017-11149-5","ISSN":"2045-2322","issue":"1","language":"en","page":"1-11","source":"www.nature.com","title":"Oscillatory dynamics of p38 activity with transcriptional and translational time delays","volume":"7","author":[{"family":"Zhang","given":"Yuan"},{"family":"Liu","given":"Haihong"},{"family":"Yan","given":"Fang"},{"family":"Zhou","given":"Jin"}],"issued":{"date-parts":[["2017",9,13]]}}}],"schema":"https://github.com/citation-style-language/schema/raw/master/csl-citation.json"} </w:instrText>
      </w:r>
      <w:r>
        <w:rPr>
          <w:rFonts w:ascii="Arial" w:hAnsi="Arial" w:cs="Arial"/>
          <w:sz w:val="22"/>
          <w:szCs w:val="22"/>
          <w:lang w:val="en-US"/>
        </w:rPr>
        <w:fldChar w:fldCharType="separate"/>
      </w:r>
      <w:r>
        <w:rPr>
          <w:rFonts w:ascii="Arial" w:hAnsi="Arial" w:cs="Arial"/>
          <w:noProof/>
          <w:sz w:val="22"/>
          <w:szCs w:val="22"/>
          <w:lang w:val="en-US"/>
        </w:rPr>
        <w:t>(Zhang et al., 2017)</w:t>
      </w:r>
      <w:r>
        <w:rPr>
          <w:rFonts w:ascii="Arial" w:hAnsi="Arial" w:cs="Arial"/>
          <w:sz w:val="22"/>
          <w:szCs w:val="22"/>
          <w:lang w:val="en-US"/>
        </w:rPr>
        <w:fldChar w:fldCharType="end"/>
      </w:r>
      <w:r w:rsidR="00963CFF">
        <w:rPr>
          <w:rFonts w:ascii="Arial" w:hAnsi="Arial" w:cs="Arial"/>
          <w:sz w:val="22"/>
          <w:szCs w:val="22"/>
          <w:lang w:val="en-US"/>
        </w:rPr>
        <w:t>,</w:t>
      </w:r>
      <w:r>
        <w:rPr>
          <w:rFonts w:ascii="Arial" w:hAnsi="Arial" w:cs="Arial"/>
          <w:sz w:val="22"/>
          <w:szCs w:val="22"/>
          <w:lang w:val="en-US"/>
        </w:rPr>
        <w:t xml:space="preserve"> we have first conducted extensive time-course analysis of BCI effects on p38MAPK/JNK signaling and DDR marker </w:t>
      </w:r>
      <w:r w:rsidRPr="00665F8B">
        <w:rPr>
          <w:rFonts w:ascii="Arial" w:hAnsi="Arial" w:cs="Arial"/>
          <w:sz w:val="22"/>
          <w:szCs w:val="22"/>
          <w:lang w:val="en-US"/>
        </w:rPr>
        <w:t>γH2AX</w:t>
      </w:r>
      <w:r>
        <w:rPr>
          <w:rFonts w:ascii="Arial" w:hAnsi="Arial" w:cs="Arial"/>
          <w:sz w:val="22"/>
          <w:szCs w:val="22"/>
          <w:lang w:val="en-US"/>
        </w:rPr>
        <w:t xml:space="preserve"> accumulation in </w:t>
      </w:r>
      <w:r w:rsidRPr="00F7124E">
        <w:rPr>
          <w:rFonts w:ascii="Arial" w:hAnsi="Arial" w:cs="Arial"/>
          <w:sz w:val="22"/>
          <w:szCs w:val="22"/>
          <w:lang w:val="en-US"/>
        </w:rPr>
        <w:t>HELV617F and HEL-edited</w:t>
      </w:r>
      <w:r>
        <w:rPr>
          <w:rFonts w:ascii="Arial" w:hAnsi="Arial" w:cs="Arial"/>
          <w:sz w:val="22"/>
          <w:szCs w:val="22"/>
          <w:lang w:val="en-US"/>
        </w:rPr>
        <w:t xml:space="preserve"> cells, which helped us to set a time-point post-BCI treatment for 1h, when we observed most extensive effects on parameters measured (Figure 2</w:t>
      </w:r>
      <w:r w:rsidR="007B66A0">
        <w:rPr>
          <w:rFonts w:ascii="Arial" w:hAnsi="Arial" w:cs="Arial"/>
          <w:sz w:val="22"/>
          <w:szCs w:val="22"/>
          <w:lang w:val="en-US"/>
        </w:rPr>
        <w:t>6</w:t>
      </w:r>
      <w:r>
        <w:rPr>
          <w:rFonts w:ascii="Arial" w:hAnsi="Arial" w:cs="Arial"/>
          <w:sz w:val="22"/>
          <w:szCs w:val="22"/>
          <w:lang w:val="en-US"/>
        </w:rPr>
        <w:t>).</w:t>
      </w:r>
    </w:p>
    <w:p w14:paraId="1BA56989" w14:textId="77777777" w:rsidR="00751A82" w:rsidRDefault="00751A82" w:rsidP="005D01C6">
      <w:pPr>
        <w:spacing w:line="360" w:lineRule="auto"/>
        <w:jc w:val="both"/>
        <w:rPr>
          <w:rFonts w:ascii="Arial" w:hAnsi="Arial" w:cs="Arial"/>
          <w:sz w:val="22"/>
          <w:szCs w:val="22"/>
          <w:lang w:val="en-US"/>
        </w:rPr>
      </w:pPr>
      <w:r>
        <w:rPr>
          <w:rFonts w:ascii="Arial" w:hAnsi="Arial" w:cs="Arial"/>
          <w:noProof/>
          <w:sz w:val="22"/>
          <w:szCs w:val="22"/>
          <w:lang w:val="cs-CZ" w:eastAsia="cs-CZ"/>
        </w:rPr>
        <w:drawing>
          <wp:inline distT="0" distB="0" distL="0" distR="0" wp14:anchorId="470C3737" wp14:editId="3AAF1D76">
            <wp:extent cx="5395595" cy="3000375"/>
            <wp:effectExtent l="0" t="0" r="1905"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schirmfoto 2020-02-22 um 21.42.05.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95595" cy="3000375"/>
                    </a:xfrm>
                    <a:prstGeom prst="rect">
                      <a:avLst/>
                    </a:prstGeom>
                  </pic:spPr>
                </pic:pic>
              </a:graphicData>
            </a:graphic>
          </wp:inline>
        </w:drawing>
      </w:r>
    </w:p>
    <w:p w14:paraId="33CE6258" w14:textId="77777777" w:rsidR="00751A82" w:rsidRDefault="00751A82" w:rsidP="005D01C6">
      <w:pPr>
        <w:spacing w:line="360" w:lineRule="auto"/>
        <w:jc w:val="both"/>
        <w:rPr>
          <w:rFonts w:ascii="Arial" w:hAnsi="Arial" w:cs="Arial"/>
          <w:sz w:val="22"/>
          <w:szCs w:val="22"/>
          <w:lang w:val="en-US"/>
        </w:rPr>
      </w:pPr>
      <w:r w:rsidRPr="009C25F6">
        <w:rPr>
          <w:rFonts w:ascii="Arial" w:hAnsi="Arial" w:cs="Arial"/>
          <w:b/>
          <w:bCs/>
          <w:sz w:val="22"/>
          <w:szCs w:val="22"/>
          <w:lang w:val="en-US"/>
        </w:rPr>
        <w:t>Figure 2</w:t>
      </w:r>
      <w:r w:rsidR="007B66A0">
        <w:rPr>
          <w:rFonts w:ascii="Arial" w:hAnsi="Arial" w:cs="Arial"/>
          <w:b/>
          <w:bCs/>
          <w:sz w:val="22"/>
          <w:szCs w:val="22"/>
          <w:lang w:val="en-US"/>
        </w:rPr>
        <w:t>6</w:t>
      </w:r>
      <w:r>
        <w:rPr>
          <w:rFonts w:ascii="Arial" w:hAnsi="Arial" w:cs="Arial"/>
          <w:sz w:val="22"/>
          <w:szCs w:val="22"/>
          <w:lang w:val="en-US"/>
        </w:rPr>
        <w:t>:</w:t>
      </w:r>
      <w:r w:rsidR="00F7124E">
        <w:rPr>
          <w:rFonts w:ascii="Arial" w:hAnsi="Arial" w:cs="Arial"/>
          <w:sz w:val="22"/>
          <w:szCs w:val="22"/>
          <w:lang w:val="en-US"/>
        </w:rPr>
        <w:t xml:space="preserve"> Representative western blot</w:t>
      </w:r>
      <w:r w:rsidR="00F7124E" w:rsidRPr="00F7124E">
        <w:rPr>
          <w:rFonts w:ascii="Arial" w:hAnsi="Arial" w:cs="Arial"/>
          <w:sz w:val="22"/>
          <w:szCs w:val="22"/>
          <w:lang w:val="en-US"/>
        </w:rPr>
        <w:t xml:space="preserve"> of γH2AX and </w:t>
      </w:r>
      <w:proofErr w:type="spellStart"/>
      <w:r w:rsidR="00F7124E" w:rsidRPr="00F7124E">
        <w:rPr>
          <w:rFonts w:ascii="Arial" w:hAnsi="Arial" w:cs="Arial"/>
          <w:sz w:val="22"/>
          <w:szCs w:val="22"/>
          <w:lang w:val="en-US"/>
        </w:rPr>
        <w:t>Thr</w:t>
      </w:r>
      <w:proofErr w:type="spellEnd"/>
      <w:r w:rsidR="00F7124E" w:rsidRPr="00F7124E">
        <w:rPr>
          <w:rFonts w:ascii="Arial" w:hAnsi="Arial" w:cs="Arial"/>
          <w:sz w:val="22"/>
          <w:szCs w:val="22"/>
          <w:lang w:val="en-US"/>
        </w:rPr>
        <w:t xml:space="preserve"> 180/Tyr 182-phosphorylated p38MAPK (p38 T180/Y182) in HELV617F (JAK2V617F) and HEL-edited cells (JAK2wt), either untreated or treated with inflammatory cytokines (</w:t>
      </w:r>
      <w:proofErr w:type="spellStart"/>
      <w:r w:rsidR="00F7124E" w:rsidRPr="00F7124E">
        <w:rPr>
          <w:rFonts w:ascii="Arial" w:hAnsi="Arial" w:cs="Arial"/>
          <w:sz w:val="22"/>
          <w:szCs w:val="22"/>
          <w:lang w:val="en-US"/>
        </w:rPr>
        <w:t>cyt</w:t>
      </w:r>
      <w:proofErr w:type="spellEnd"/>
      <w:r w:rsidR="00F7124E" w:rsidRPr="00F7124E">
        <w:rPr>
          <w:rFonts w:ascii="Arial" w:hAnsi="Arial" w:cs="Arial"/>
          <w:sz w:val="22"/>
          <w:szCs w:val="22"/>
          <w:lang w:val="en-US"/>
        </w:rPr>
        <w:t>) upon exposure to 10 µM DUSP 1/6 inhibitor in various time points.</w:t>
      </w:r>
    </w:p>
    <w:p w14:paraId="0F9F9EF1" w14:textId="77777777" w:rsidR="00963CFF" w:rsidRDefault="00963CFF" w:rsidP="005D01C6">
      <w:pPr>
        <w:spacing w:line="360" w:lineRule="auto"/>
        <w:jc w:val="both"/>
        <w:rPr>
          <w:rFonts w:ascii="Arial" w:hAnsi="Arial" w:cs="Arial"/>
          <w:sz w:val="22"/>
          <w:szCs w:val="22"/>
          <w:lang w:val="en-US"/>
        </w:rPr>
      </w:pPr>
    </w:p>
    <w:p w14:paraId="79A13646" w14:textId="77777777" w:rsidR="00751A82" w:rsidRDefault="005B69C2" w:rsidP="00A570C9">
      <w:pPr>
        <w:spacing w:line="360" w:lineRule="auto"/>
        <w:jc w:val="both"/>
        <w:rPr>
          <w:rFonts w:ascii="Arial" w:hAnsi="Arial" w:cs="Arial"/>
          <w:sz w:val="22"/>
          <w:szCs w:val="22"/>
          <w:lang w:val="en-US"/>
        </w:rPr>
      </w:pPr>
      <w:r w:rsidRPr="005B69C2">
        <w:rPr>
          <w:rFonts w:ascii="Arial" w:hAnsi="Arial" w:cs="Arial"/>
          <w:sz w:val="22"/>
          <w:szCs w:val="22"/>
          <w:lang w:val="en-US"/>
        </w:rPr>
        <w:t xml:space="preserve">As </w:t>
      </w:r>
      <w:r>
        <w:rPr>
          <w:rFonts w:ascii="Arial" w:hAnsi="Arial" w:cs="Arial"/>
          <w:sz w:val="22"/>
          <w:szCs w:val="22"/>
          <w:lang w:val="en-US"/>
        </w:rPr>
        <w:t xml:space="preserve">previously published </w:t>
      </w:r>
      <w:r>
        <w:rPr>
          <w:rFonts w:ascii="Arial" w:hAnsi="Arial" w:cs="Arial"/>
          <w:sz w:val="22"/>
          <w:szCs w:val="22"/>
          <w:lang w:val="en-US"/>
        </w:rPr>
        <w:fldChar w:fldCharType="begin"/>
      </w:r>
      <w:r>
        <w:rPr>
          <w:rFonts w:ascii="Arial" w:hAnsi="Arial" w:cs="Arial"/>
          <w:sz w:val="22"/>
          <w:szCs w:val="22"/>
          <w:lang w:val="en-US"/>
        </w:rPr>
        <w:instrText xml:space="preserve"> ADDIN ZOTERO_ITEM CSL_CITATION {"citationID":"kk3OyekV","properties":{"formattedCitation":"(Molina et al., 2009)","plainCitation":"(Molina et al., 2009)","noteIndex":0},"citationItems":[{"id":66,"uris":["http://zotero.org/users/2484452/items/ZTESGRP8"],"uri":["http://zotero.org/users/2484452/items/ZTESGRP8"],"itemData":{"id":66,"type":"article-journal","abstract":"The dual-specificity phosphatase 6 (Dusp6) functions as a feedback regulator of fibroblast growth factor (FGF) signaling to limit the activity of extracellular signal-regulated kinases (ERKs) 1 and 2. We have identified a small-molecule inhibitor of Dusp6-(E)-2-benzylidene-3-(cyclohexylamino)-2,3-dihydro-1H-inden-1-one (BCI)-using a transgenic zebrafish chemical screen. BCI treatment blocked Dusp6 activity and enhanced FGF target gene expression in zebrafish embryos. Docking simulations predicted an allosteric binding site for BCI within the phosphatase domain. In vitro studies supported a model in which BCI inhibits Dusp6 catalytic activation by ERK2 substrate binding. We used BCI treatment at varying developmental stages to uncover a temporal role for Dusp6 in restricting cardiac progenitors and controlling heart organ size. This study highlights the power of in vivo zebrafish chemical screens to identify new compounds targeting Dusp6, a component of the FGF signaling pathway that has eluded traditional high-throughput in vitro screens.","container-title":"Nature Chemical Biology","DOI":"10.1038/nchembio.190","ISSN":"1552-4469","issue":"9","journalAbbreviation":"Nat. Chem. Biol.","language":"eng","note":"PMID: 19578332\nPMCID: PMC2771339","page":"680-687","source":"PubMed","title":"Zebrafish chemical screening reveals an inhibitor of Dusp6 that expands cardiac cell lineages","volume":"5","author":[{"family":"Molina","given":"Gabriela"},{"family":"Vogt","given":"Andreas"},{"family":"Bakan","given":"Ahmet"},{"family":"Dai","given":"Weixiang"},{"family":"Queiroz de Oliveira","given":"Pierre"},{"family":"Znosko","given":"Wade"},{"family":"Smithgall","given":"Thomas E."},{"family":"Bahar","given":"Ivet"},{"family":"Lazo","given":"John S."},{"family":"Day","given":"Billy W."},{"family":"Tsang","given":"Michael"}],"issued":{"date-parts":[["2009",9]]}}}],"schema":"https://github.com/citation-style-language/schema/raw/master/csl-citation.json"} </w:instrText>
      </w:r>
      <w:r>
        <w:rPr>
          <w:rFonts w:ascii="Arial" w:hAnsi="Arial" w:cs="Arial"/>
          <w:sz w:val="22"/>
          <w:szCs w:val="22"/>
          <w:lang w:val="en-US"/>
        </w:rPr>
        <w:fldChar w:fldCharType="separate"/>
      </w:r>
      <w:r>
        <w:rPr>
          <w:rFonts w:ascii="Arial" w:hAnsi="Arial" w:cs="Arial"/>
          <w:noProof/>
          <w:sz w:val="22"/>
          <w:szCs w:val="22"/>
          <w:lang w:val="en-US"/>
        </w:rPr>
        <w:t>(Molina et al., 2009)</w:t>
      </w:r>
      <w:r>
        <w:rPr>
          <w:rFonts w:ascii="Arial" w:hAnsi="Arial" w:cs="Arial"/>
          <w:sz w:val="22"/>
          <w:szCs w:val="22"/>
          <w:lang w:val="en-US"/>
        </w:rPr>
        <w:fldChar w:fldCharType="end"/>
      </w:r>
      <w:r>
        <w:rPr>
          <w:rFonts w:ascii="Arial" w:hAnsi="Arial" w:cs="Arial"/>
          <w:sz w:val="22"/>
          <w:szCs w:val="22"/>
          <w:lang w:val="en-US"/>
        </w:rPr>
        <w:t xml:space="preserve"> and seen on our preliminary time course analysis of BCI effects (Figure 2</w:t>
      </w:r>
      <w:r w:rsidR="007B66A0">
        <w:rPr>
          <w:rFonts w:ascii="Arial" w:hAnsi="Arial" w:cs="Arial"/>
          <w:sz w:val="22"/>
          <w:szCs w:val="22"/>
          <w:lang w:val="en-US"/>
        </w:rPr>
        <w:t>6</w:t>
      </w:r>
      <w:r>
        <w:rPr>
          <w:rFonts w:ascii="Arial" w:hAnsi="Arial" w:cs="Arial"/>
          <w:sz w:val="22"/>
          <w:szCs w:val="22"/>
          <w:lang w:val="en-US"/>
        </w:rPr>
        <w:t>)</w:t>
      </w:r>
      <w:r w:rsidRPr="005B69C2">
        <w:rPr>
          <w:rFonts w:ascii="Arial" w:hAnsi="Arial" w:cs="Arial"/>
          <w:sz w:val="22"/>
          <w:szCs w:val="22"/>
          <w:lang w:val="en-US"/>
        </w:rPr>
        <w:t xml:space="preserve">, Thr180/Tyr182-phosphorylated p38MAPK (p38 T180/Y182) and Thr183/Tyr185-phosphorylated JNK (JNK T183/Y185) </w:t>
      </w:r>
      <w:r>
        <w:rPr>
          <w:rFonts w:ascii="Arial" w:hAnsi="Arial" w:cs="Arial"/>
          <w:sz w:val="22"/>
          <w:szCs w:val="22"/>
          <w:lang w:val="en-US"/>
        </w:rPr>
        <w:t xml:space="preserve">sharply </w:t>
      </w:r>
      <w:r w:rsidRPr="005B69C2">
        <w:rPr>
          <w:rFonts w:ascii="Arial" w:hAnsi="Arial" w:cs="Arial"/>
          <w:sz w:val="22"/>
          <w:szCs w:val="22"/>
          <w:lang w:val="en-US"/>
        </w:rPr>
        <w:t xml:space="preserve">increased after BCI treatment in both HELV617F and HEL-edited cells, regardless of </w:t>
      </w:r>
      <w:r>
        <w:rPr>
          <w:rFonts w:ascii="Arial" w:hAnsi="Arial" w:cs="Arial"/>
          <w:sz w:val="22"/>
          <w:szCs w:val="22"/>
          <w:lang w:val="en-US"/>
        </w:rPr>
        <w:t xml:space="preserve">inflammatory </w:t>
      </w:r>
      <w:r w:rsidRPr="005B69C2">
        <w:rPr>
          <w:rFonts w:ascii="Arial" w:hAnsi="Arial" w:cs="Arial"/>
          <w:sz w:val="22"/>
          <w:szCs w:val="22"/>
          <w:lang w:val="en-US"/>
        </w:rPr>
        <w:t>cytokine treatment (</w:t>
      </w:r>
      <w:r>
        <w:rPr>
          <w:rFonts w:ascii="Arial" w:hAnsi="Arial" w:cs="Arial"/>
          <w:sz w:val="22"/>
          <w:szCs w:val="22"/>
          <w:lang w:val="en-US"/>
        </w:rPr>
        <w:t>Figure 2</w:t>
      </w:r>
      <w:r w:rsidR="007B66A0">
        <w:rPr>
          <w:rFonts w:ascii="Arial" w:hAnsi="Arial" w:cs="Arial"/>
          <w:sz w:val="22"/>
          <w:szCs w:val="22"/>
          <w:lang w:val="en-US"/>
        </w:rPr>
        <w:t>7</w:t>
      </w:r>
      <w:r w:rsidRPr="005B69C2">
        <w:rPr>
          <w:rFonts w:ascii="Arial" w:hAnsi="Arial" w:cs="Arial"/>
          <w:sz w:val="22"/>
          <w:szCs w:val="22"/>
          <w:lang w:val="en-US"/>
        </w:rPr>
        <w:t>).</w:t>
      </w:r>
      <w:r>
        <w:rPr>
          <w:rFonts w:ascii="Arial" w:hAnsi="Arial" w:cs="Arial"/>
          <w:sz w:val="22"/>
          <w:szCs w:val="22"/>
          <w:lang w:val="en-US"/>
        </w:rPr>
        <w:t xml:space="preserve"> </w:t>
      </w:r>
      <w:r w:rsidR="008E3AB4">
        <w:rPr>
          <w:rFonts w:ascii="Arial" w:hAnsi="Arial" w:cs="Arial"/>
          <w:sz w:val="22"/>
          <w:szCs w:val="22"/>
          <w:lang w:val="en-US"/>
        </w:rPr>
        <w:t>However, we have detected differential effects of BCI-induced p38MAPK/JNK reactivation on global DDR marker,</w:t>
      </w:r>
      <w:r>
        <w:rPr>
          <w:rFonts w:ascii="Arial" w:hAnsi="Arial" w:cs="Arial"/>
          <w:sz w:val="22"/>
          <w:szCs w:val="22"/>
          <w:lang w:val="en-US"/>
        </w:rPr>
        <w:t xml:space="preserve"> </w:t>
      </w:r>
      <w:r w:rsidR="008E3AB4" w:rsidRPr="00F7124E">
        <w:rPr>
          <w:rFonts w:ascii="Arial" w:hAnsi="Arial" w:cs="Arial"/>
          <w:sz w:val="22"/>
          <w:szCs w:val="22"/>
          <w:lang w:val="en-US"/>
        </w:rPr>
        <w:t>γH2AX</w:t>
      </w:r>
      <w:r w:rsidR="008E3AB4">
        <w:rPr>
          <w:rFonts w:ascii="Arial" w:hAnsi="Arial" w:cs="Arial"/>
          <w:sz w:val="22"/>
          <w:szCs w:val="22"/>
          <w:lang w:val="en-US"/>
        </w:rPr>
        <w:t xml:space="preserve"> expression. Remarkably</w:t>
      </w:r>
      <w:r w:rsidR="00E66ADB">
        <w:rPr>
          <w:rFonts w:ascii="Arial" w:hAnsi="Arial" w:cs="Arial"/>
          <w:sz w:val="22"/>
          <w:szCs w:val="22"/>
          <w:lang w:val="en-US"/>
        </w:rPr>
        <w:t>,</w:t>
      </w:r>
      <w:r w:rsidR="008E3AB4">
        <w:rPr>
          <w:rFonts w:ascii="Arial" w:hAnsi="Arial" w:cs="Arial"/>
          <w:sz w:val="22"/>
          <w:szCs w:val="22"/>
          <w:lang w:val="en-US"/>
        </w:rPr>
        <w:t xml:space="preserve"> </w:t>
      </w:r>
      <w:r w:rsidR="008E3AB4" w:rsidRPr="00F7124E">
        <w:rPr>
          <w:rFonts w:ascii="Arial" w:hAnsi="Arial" w:cs="Arial"/>
          <w:sz w:val="22"/>
          <w:szCs w:val="22"/>
          <w:lang w:val="en-US"/>
        </w:rPr>
        <w:t>HELV617F</w:t>
      </w:r>
      <w:r w:rsidR="008E3AB4">
        <w:rPr>
          <w:rFonts w:ascii="Arial" w:hAnsi="Arial" w:cs="Arial"/>
          <w:sz w:val="22"/>
          <w:szCs w:val="22"/>
          <w:lang w:val="en-US"/>
        </w:rPr>
        <w:t xml:space="preserve"> cells treated with BCI were much more prone to express </w:t>
      </w:r>
      <w:r w:rsidR="008E3AB4" w:rsidRPr="00F7124E">
        <w:rPr>
          <w:rFonts w:ascii="Arial" w:hAnsi="Arial" w:cs="Arial"/>
          <w:sz w:val="22"/>
          <w:szCs w:val="22"/>
          <w:lang w:val="en-US"/>
        </w:rPr>
        <w:t>γH2AX</w:t>
      </w:r>
      <w:r w:rsidR="008E3AB4">
        <w:rPr>
          <w:rFonts w:ascii="Arial" w:hAnsi="Arial" w:cs="Arial"/>
          <w:sz w:val="22"/>
          <w:szCs w:val="22"/>
          <w:lang w:val="en-US"/>
        </w:rPr>
        <w:t xml:space="preserve">, compared to completely unchanged </w:t>
      </w:r>
      <w:r w:rsidR="008E3AB4" w:rsidRPr="00F7124E">
        <w:rPr>
          <w:rFonts w:ascii="Arial" w:hAnsi="Arial" w:cs="Arial"/>
          <w:sz w:val="22"/>
          <w:szCs w:val="22"/>
          <w:lang w:val="en-US"/>
        </w:rPr>
        <w:t>γH2AX</w:t>
      </w:r>
      <w:r w:rsidR="008E3AB4">
        <w:rPr>
          <w:rFonts w:ascii="Arial" w:hAnsi="Arial" w:cs="Arial"/>
          <w:sz w:val="22"/>
          <w:szCs w:val="22"/>
          <w:lang w:val="en-US"/>
        </w:rPr>
        <w:t xml:space="preserve"> levels in </w:t>
      </w:r>
      <w:r w:rsidR="008E3AB4" w:rsidRPr="005B69C2">
        <w:rPr>
          <w:rFonts w:ascii="Arial" w:hAnsi="Arial" w:cs="Arial"/>
          <w:sz w:val="22"/>
          <w:szCs w:val="22"/>
          <w:lang w:val="en-US"/>
        </w:rPr>
        <w:t>HEL-edited cells</w:t>
      </w:r>
      <w:r w:rsidR="008E3AB4">
        <w:rPr>
          <w:rFonts w:ascii="Arial" w:hAnsi="Arial" w:cs="Arial"/>
          <w:sz w:val="22"/>
          <w:szCs w:val="22"/>
          <w:lang w:val="en-US"/>
        </w:rPr>
        <w:t xml:space="preserve">, suggesting addiction of </w:t>
      </w:r>
      <w:r w:rsidR="008E3AB4" w:rsidRPr="00A41BDE">
        <w:rPr>
          <w:rFonts w:ascii="Arial" w:hAnsi="Arial" w:cs="Arial"/>
          <w:i/>
          <w:iCs/>
          <w:sz w:val="22"/>
          <w:szCs w:val="22"/>
          <w:lang w:val="en-US"/>
        </w:rPr>
        <w:t xml:space="preserve">JAK2 </w:t>
      </w:r>
      <w:r w:rsidR="008E3AB4" w:rsidRPr="00CD395D">
        <w:rPr>
          <w:rFonts w:ascii="Arial" w:hAnsi="Arial" w:cs="Arial"/>
          <w:sz w:val="22"/>
          <w:szCs w:val="22"/>
          <w:lang w:val="en-US"/>
        </w:rPr>
        <w:t>V617F</w:t>
      </w:r>
      <w:r w:rsidR="008E3AB4" w:rsidRPr="00A41BDE">
        <w:rPr>
          <w:rFonts w:ascii="Arial" w:hAnsi="Arial" w:cs="Arial"/>
          <w:sz w:val="22"/>
          <w:szCs w:val="22"/>
          <w:vertAlign w:val="superscript"/>
          <w:lang w:val="en-US"/>
        </w:rPr>
        <w:t>+</w:t>
      </w:r>
      <w:r w:rsidR="008E3AB4">
        <w:rPr>
          <w:rFonts w:ascii="Arial" w:hAnsi="Arial" w:cs="Arial"/>
          <w:sz w:val="22"/>
          <w:szCs w:val="22"/>
          <w:lang w:val="en-US"/>
        </w:rPr>
        <w:t xml:space="preserve"> cells towards DUSP1 activity</w:t>
      </w:r>
      <w:r w:rsidR="00882A85">
        <w:rPr>
          <w:rFonts w:ascii="Arial" w:hAnsi="Arial" w:cs="Arial"/>
          <w:sz w:val="22"/>
          <w:szCs w:val="22"/>
          <w:lang w:val="en-US"/>
        </w:rPr>
        <w:t xml:space="preserve"> (Figure 2</w:t>
      </w:r>
      <w:r w:rsidR="007B66A0">
        <w:rPr>
          <w:rFonts w:ascii="Arial" w:hAnsi="Arial" w:cs="Arial"/>
          <w:sz w:val="22"/>
          <w:szCs w:val="22"/>
          <w:lang w:val="en-US"/>
        </w:rPr>
        <w:t>7</w:t>
      </w:r>
      <w:r w:rsidR="00882A85">
        <w:rPr>
          <w:rFonts w:ascii="Arial" w:hAnsi="Arial" w:cs="Arial"/>
          <w:sz w:val="22"/>
          <w:szCs w:val="22"/>
          <w:lang w:val="en-US"/>
        </w:rPr>
        <w:t>)</w:t>
      </w:r>
      <w:r w:rsidR="008E3AB4">
        <w:rPr>
          <w:rFonts w:ascii="Arial" w:hAnsi="Arial" w:cs="Arial"/>
          <w:sz w:val="22"/>
          <w:szCs w:val="22"/>
          <w:lang w:val="en-US"/>
        </w:rPr>
        <w:t xml:space="preserve">. This was accompanied by analysis of cell cycle distribution and apoptosis, which revealed that </w:t>
      </w:r>
      <w:r w:rsidRPr="005B69C2">
        <w:rPr>
          <w:rFonts w:ascii="Arial" w:hAnsi="Arial" w:cs="Arial"/>
          <w:sz w:val="22"/>
          <w:szCs w:val="22"/>
          <w:lang w:val="en-US"/>
        </w:rPr>
        <w:t xml:space="preserve">increased </w:t>
      </w:r>
      <w:r w:rsidR="008E3AB4">
        <w:rPr>
          <w:rFonts w:ascii="Arial" w:hAnsi="Arial" w:cs="Arial"/>
          <w:sz w:val="22"/>
          <w:szCs w:val="22"/>
          <w:lang w:val="en-US"/>
        </w:rPr>
        <w:t>p38MAPK/JNK</w:t>
      </w:r>
      <w:r w:rsidRPr="005B69C2">
        <w:rPr>
          <w:rFonts w:ascii="Arial" w:hAnsi="Arial" w:cs="Arial"/>
          <w:sz w:val="22"/>
          <w:szCs w:val="22"/>
          <w:lang w:val="en-US"/>
        </w:rPr>
        <w:t xml:space="preserve"> activities </w:t>
      </w:r>
      <w:r w:rsidR="00882A85">
        <w:rPr>
          <w:rFonts w:ascii="Arial" w:hAnsi="Arial" w:cs="Arial"/>
          <w:sz w:val="22"/>
          <w:szCs w:val="22"/>
          <w:lang w:val="en-US"/>
        </w:rPr>
        <w:t xml:space="preserve">in </w:t>
      </w:r>
      <w:r w:rsidR="00882A85" w:rsidRPr="005B69C2">
        <w:rPr>
          <w:rFonts w:ascii="Arial" w:hAnsi="Arial" w:cs="Arial"/>
          <w:sz w:val="22"/>
          <w:szCs w:val="22"/>
          <w:lang w:val="en-US"/>
        </w:rPr>
        <w:t>HELV617F cells</w:t>
      </w:r>
      <w:r w:rsidR="00882A85">
        <w:rPr>
          <w:rFonts w:ascii="Arial" w:hAnsi="Arial" w:cs="Arial"/>
          <w:sz w:val="22"/>
          <w:szCs w:val="22"/>
          <w:lang w:val="en-US"/>
        </w:rPr>
        <w:t xml:space="preserve"> solely</w:t>
      </w:r>
      <w:r w:rsidR="00882A85" w:rsidRPr="005B69C2">
        <w:rPr>
          <w:rFonts w:ascii="Arial" w:hAnsi="Arial" w:cs="Arial"/>
          <w:sz w:val="22"/>
          <w:szCs w:val="22"/>
          <w:lang w:val="en-US"/>
        </w:rPr>
        <w:t xml:space="preserve"> </w:t>
      </w:r>
      <w:r w:rsidRPr="005B69C2">
        <w:rPr>
          <w:rFonts w:ascii="Arial" w:hAnsi="Arial" w:cs="Arial"/>
          <w:sz w:val="22"/>
          <w:szCs w:val="22"/>
          <w:lang w:val="en-US"/>
        </w:rPr>
        <w:t xml:space="preserve">after BCI </w:t>
      </w:r>
      <w:r w:rsidR="008E3AB4">
        <w:rPr>
          <w:rFonts w:ascii="Arial" w:hAnsi="Arial" w:cs="Arial"/>
          <w:sz w:val="22"/>
          <w:szCs w:val="22"/>
          <w:lang w:val="en-US"/>
        </w:rPr>
        <w:t>treatment</w:t>
      </w:r>
      <w:r w:rsidRPr="005B69C2">
        <w:rPr>
          <w:rFonts w:ascii="Arial" w:hAnsi="Arial" w:cs="Arial"/>
          <w:sz w:val="22"/>
          <w:szCs w:val="22"/>
          <w:lang w:val="en-US"/>
        </w:rPr>
        <w:t xml:space="preserve"> corresponded to significantly more cells in G1 phase and increased apoptosis, </w:t>
      </w:r>
      <w:r w:rsidR="00882A85">
        <w:rPr>
          <w:rFonts w:ascii="Arial" w:hAnsi="Arial" w:cs="Arial"/>
          <w:sz w:val="22"/>
          <w:szCs w:val="22"/>
          <w:lang w:val="en-US"/>
        </w:rPr>
        <w:t>suggesting unresolved G1 checkpoint activation</w:t>
      </w:r>
      <w:r w:rsidRPr="005B69C2">
        <w:rPr>
          <w:rFonts w:ascii="Arial" w:hAnsi="Arial" w:cs="Arial"/>
          <w:sz w:val="22"/>
          <w:szCs w:val="22"/>
          <w:lang w:val="en-US"/>
        </w:rPr>
        <w:t xml:space="preserve"> (</w:t>
      </w:r>
      <w:r w:rsidR="00882A85">
        <w:rPr>
          <w:rFonts w:ascii="Arial" w:hAnsi="Arial" w:cs="Arial"/>
          <w:sz w:val="22"/>
          <w:szCs w:val="22"/>
          <w:lang w:val="en-US"/>
        </w:rPr>
        <w:t>Figure 2</w:t>
      </w:r>
      <w:r w:rsidR="007B66A0">
        <w:rPr>
          <w:rFonts w:ascii="Arial" w:hAnsi="Arial" w:cs="Arial"/>
          <w:sz w:val="22"/>
          <w:szCs w:val="22"/>
          <w:lang w:val="en-US"/>
        </w:rPr>
        <w:t>7</w:t>
      </w:r>
      <w:r w:rsidRPr="005B69C2">
        <w:rPr>
          <w:rFonts w:ascii="Arial" w:hAnsi="Arial" w:cs="Arial"/>
          <w:sz w:val="22"/>
          <w:szCs w:val="22"/>
          <w:lang w:val="en-US"/>
        </w:rPr>
        <w:t>). The HEL-edited cells accumulated DNA damage</w:t>
      </w:r>
      <w:r w:rsidR="00882A85">
        <w:rPr>
          <w:rFonts w:ascii="Arial" w:hAnsi="Arial" w:cs="Arial"/>
          <w:sz w:val="22"/>
          <w:szCs w:val="22"/>
          <w:lang w:val="en-US"/>
        </w:rPr>
        <w:t xml:space="preserve">, marked by increase in </w:t>
      </w:r>
      <w:r w:rsidRPr="005B69C2">
        <w:rPr>
          <w:rFonts w:ascii="Arial" w:hAnsi="Arial" w:cs="Arial"/>
          <w:sz w:val="22"/>
          <w:szCs w:val="22"/>
          <w:lang w:val="en-US"/>
        </w:rPr>
        <w:t>γH2AX</w:t>
      </w:r>
      <w:r w:rsidR="00882A85">
        <w:rPr>
          <w:rFonts w:ascii="Arial" w:hAnsi="Arial" w:cs="Arial"/>
          <w:sz w:val="22"/>
          <w:szCs w:val="22"/>
          <w:lang w:val="en-US"/>
        </w:rPr>
        <w:t xml:space="preserve"> expression</w:t>
      </w:r>
      <w:r w:rsidRPr="005B69C2">
        <w:rPr>
          <w:rFonts w:ascii="Arial" w:hAnsi="Arial" w:cs="Arial"/>
          <w:sz w:val="22"/>
          <w:szCs w:val="22"/>
          <w:lang w:val="en-US"/>
        </w:rPr>
        <w:t xml:space="preserve"> and increased </w:t>
      </w:r>
      <w:r w:rsidR="00882A85">
        <w:rPr>
          <w:rFonts w:ascii="Arial" w:hAnsi="Arial" w:cs="Arial"/>
          <w:sz w:val="22"/>
          <w:szCs w:val="22"/>
          <w:lang w:val="en-US"/>
        </w:rPr>
        <w:t xml:space="preserve">proportion of </w:t>
      </w:r>
      <w:r w:rsidRPr="005B69C2">
        <w:rPr>
          <w:rFonts w:ascii="Arial" w:hAnsi="Arial" w:cs="Arial"/>
          <w:sz w:val="22"/>
          <w:szCs w:val="22"/>
          <w:lang w:val="en-US"/>
        </w:rPr>
        <w:t xml:space="preserve">apoptotic cells only when the BCI exposure was combined with </w:t>
      </w:r>
      <w:r w:rsidR="00882A85">
        <w:rPr>
          <w:rFonts w:ascii="Arial" w:hAnsi="Arial" w:cs="Arial"/>
          <w:sz w:val="22"/>
          <w:szCs w:val="22"/>
          <w:lang w:val="en-US"/>
        </w:rPr>
        <w:t xml:space="preserve">inflammatory </w:t>
      </w:r>
      <w:r w:rsidRPr="005B69C2">
        <w:rPr>
          <w:rFonts w:ascii="Arial" w:hAnsi="Arial" w:cs="Arial"/>
          <w:sz w:val="22"/>
          <w:szCs w:val="22"/>
          <w:lang w:val="en-US"/>
        </w:rPr>
        <w:t>cytokine treatment (</w:t>
      </w:r>
      <w:r w:rsidR="00882A85">
        <w:rPr>
          <w:rFonts w:ascii="Arial" w:hAnsi="Arial" w:cs="Arial"/>
          <w:sz w:val="22"/>
          <w:szCs w:val="22"/>
          <w:lang w:val="en-US"/>
        </w:rPr>
        <w:t>Figure 2</w:t>
      </w:r>
      <w:r w:rsidR="007B66A0">
        <w:rPr>
          <w:rFonts w:ascii="Arial" w:hAnsi="Arial" w:cs="Arial"/>
          <w:sz w:val="22"/>
          <w:szCs w:val="22"/>
          <w:lang w:val="en-US"/>
        </w:rPr>
        <w:t>7</w:t>
      </w:r>
      <w:r w:rsidR="00882A85">
        <w:rPr>
          <w:rFonts w:ascii="Arial" w:hAnsi="Arial" w:cs="Arial"/>
          <w:sz w:val="22"/>
          <w:szCs w:val="22"/>
          <w:lang w:val="en-US"/>
        </w:rPr>
        <w:t>).</w:t>
      </w:r>
    </w:p>
    <w:p w14:paraId="38AC1A82" w14:textId="1A0848CD" w:rsidR="0090014B" w:rsidRDefault="00A570C9" w:rsidP="00AF1ECC">
      <w:pPr>
        <w:spacing w:line="360" w:lineRule="auto"/>
        <w:jc w:val="both"/>
        <w:rPr>
          <w:rFonts w:ascii="Arial" w:hAnsi="Arial" w:cs="Arial"/>
          <w:sz w:val="22"/>
          <w:szCs w:val="22"/>
          <w:lang w:val="en-US"/>
        </w:rPr>
      </w:pPr>
      <w:r>
        <w:rPr>
          <w:rFonts w:ascii="Arial" w:hAnsi="Arial" w:cs="Arial"/>
          <w:sz w:val="22"/>
          <w:szCs w:val="22"/>
          <w:lang w:val="en-US"/>
        </w:rPr>
        <w:t>As chemical inhibitors are known to have various disadvantages in off-targets and un-specific cytotoxicity, we have decided to verify our results</w:t>
      </w:r>
      <w:r w:rsidR="00AF1ECC">
        <w:rPr>
          <w:rFonts w:ascii="Arial" w:hAnsi="Arial" w:cs="Arial"/>
          <w:sz w:val="22"/>
          <w:szCs w:val="22"/>
          <w:lang w:val="en-US"/>
        </w:rPr>
        <w:t xml:space="preserve"> from BCI treatment</w:t>
      </w:r>
      <w:r>
        <w:rPr>
          <w:rFonts w:ascii="Arial" w:hAnsi="Arial" w:cs="Arial"/>
          <w:sz w:val="22"/>
          <w:szCs w:val="22"/>
          <w:lang w:val="en-US"/>
        </w:rPr>
        <w:t xml:space="preserve"> using </w:t>
      </w:r>
      <w:r w:rsidR="00AF1ECC">
        <w:rPr>
          <w:rFonts w:ascii="Arial" w:hAnsi="Arial" w:cs="Arial"/>
          <w:sz w:val="22"/>
          <w:szCs w:val="22"/>
          <w:lang w:val="en-US"/>
        </w:rPr>
        <w:t xml:space="preserve">validated </w:t>
      </w:r>
      <w:r>
        <w:rPr>
          <w:rFonts w:ascii="Arial" w:hAnsi="Arial" w:cs="Arial"/>
          <w:sz w:val="22"/>
          <w:szCs w:val="22"/>
          <w:lang w:val="en-US"/>
        </w:rPr>
        <w:t>siRNA knock-down of DUSP1</w:t>
      </w:r>
      <w:r w:rsidR="00AF1ECC">
        <w:rPr>
          <w:rFonts w:ascii="Arial" w:hAnsi="Arial" w:cs="Arial"/>
          <w:sz w:val="22"/>
          <w:szCs w:val="22"/>
          <w:lang w:val="en-US"/>
        </w:rPr>
        <w:t xml:space="preserve"> in </w:t>
      </w:r>
      <w:r w:rsidR="00AF1ECC" w:rsidRPr="005B69C2">
        <w:rPr>
          <w:rFonts w:ascii="Arial" w:hAnsi="Arial" w:cs="Arial"/>
          <w:sz w:val="22"/>
          <w:szCs w:val="22"/>
          <w:lang w:val="en-US"/>
        </w:rPr>
        <w:t>HELV617F and HEL-edited cells</w:t>
      </w:r>
      <w:r w:rsidR="00AF1ECC">
        <w:rPr>
          <w:rFonts w:ascii="Arial" w:hAnsi="Arial" w:cs="Arial"/>
          <w:sz w:val="22"/>
          <w:szCs w:val="22"/>
          <w:lang w:val="en-US"/>
        </w:rPr>
        <w:t>. We have tested knock-down efficiency of our siRNA oligo, which proved to be efficient in significantly reducing DUSP1 expression on mRNA and protein level</w:t>
      </w:r>
      <w:r w:rsidR="00963CFF">
        <w:rPr>
          <w:rFonts w:ascii="Arial" w:hAnsi="Arial" w:cs="Arial"/>
          <w:sz w:val="22"/>
          <w:szCs w:val="22"/>
          <w:lang w:val="en-US"/>
        </w:rPr>
        <w:t>s</w:t>
      </w:r>
      <w:r w:rsidR="00AF1ECC">
        <w:rPr>
          <w:rFonts w:ascii="Arial" w:hAnsi="Arial" w:cs="Arial"/>
          <w:sz w:val="22"/>
          <w:szCs w:val="22"/>
          <w:lang w:val="en-US"/>
        </w:rPr>
        <w:t xml:space="preserve"> (Figure 2</w:t>
      </w:r>
      <w:r w:rsidR="007B66A0">
        <w:rPr>
          <w:rFonts w:ascii="Arial" w:hAnsi="Arial" w:cs="Arial"/>
          <w:sz w:val="22"/>
          <w:szCs w:val="22"/>
          <w:lang w:val="en-US"/>
        </w:rPr>
        <w:t>8</w:t>
      </w:r>
      <w:proofErr w:type="gramStart"/>
      <w:r w:rsidR="00AF1ECC">
        <w:rPr>
          <w:rFonts w:ascii="Arial" w:hAnsi="Arial" w:cs="Arial"/>
          <w:sz w:val="22"/>
          <w:szCs w:val="22"/>
          <w:lang w:val="en-US"/>
        </w:rPr>
        <w:t>A,B</w:t>
      </w:r>
      <w:proofErr w:type="gramEnd"/>
      <w:r w:rsidR="00AF1ECC">
        <w:rPr>
          <w:rFonts w:ascii="Arial" w:hAnsi="Arial" w:cs="Arial"/>
          <w:sz w:val="22"/>
          <w:szCs w:val="22"/>
          <w:lang w:val="en-US"/>
        </w:rPr>
        <w:t>). In addition to reduced DUSP1 expression</w:t>
      </w:r>
      <w:r w:rsidR="00963CFF">
        <w:rPr>
          <w:rFonts w:ascii="Arial" w:hAnsi="Arial" w:cs="Arial"/>
          <w:sz w:val="22"/>
          <w:szCs w:val="22"/>
          <w:lang w:val="en-US"/>
        </w:rPr>
        <w:t>,</w:t>
      </w:r>
      <w:r w:rsidR="00AF1ECC">
        <w:rPr>
          <w:rFonts w:ascii="Arial" w:hAnsi="Arial" w:cs="Arial"/>
          <w:sz w:val="22"/>
          <w:szCs w:val="22"/>
          <w:lang w:val="en-US"/>
        </w:rPr>
        <w:t xml:space="preserve"> our assessment of DDR and p38MAPK/JNK activity showed similar results to BCI inhibition with increase in p38MAPK/JNK activation, but increased DDR markers expression (</w:t>
      </w:r>
      <w:r w:rsidR="00AF1ECC" w:rsidRPr="005B69C2">
        <w:rPr>
          <w:rFonts w:ascii="Arial" w:hAnsi="Arial" w:cs="Arial"/>
          <w:sz w:val="22"/>
          <w:szCs w:val="22"/>
          <w:lang w:val="en-US"/>
        </w:rPr>
        <w:t>γH2AX</w:t>
      </w:r>
      <w:r w:rsidR="00AF1ECC">
        <w:rPr>
          <w:rFonts w:ascii="Arial" w:hAnsi="Arial" w:cs="Arial"/>
          <w:sz w:val="22"/>
          <w:szCs w:val="22"/>
          <w:lang w:val="en-US"/>
        </w:rPr>
        <w:t xml:space="preserve"> and KAP1 S824) only in </w:t>
      </w:r>
      <w:r w:rsidR="00AF1ECC" w:rsidRPr="005B69C2">
        <w:rPr>
          <w:rFonts w:ascii="Arial" w:hAnsi="Arial" w:cs="Arial"/>
          <w:sz w:val="22"/>
          <w:szCs w:val="22"/>
          <w:lang w:val="en-US"/>
        </w:rPr>
        <w:t xml:space="preserve">HELV617F </w:t>
      </w:r>
      <w:r w:rsidR="00AF1ECC">
        <w:rPr>
          <w:rFonts w:ascii="Arial" w:hAnsi="Arial" w:cs="Arial"/>
          <w:sz w:val="22"/>
          <w:szCs w:val="22"/>
          <w:lang w:val="en-US"/>
        </w:rPr>
        <w:t>cells with accompanied G1 checkpoint activation and increase in apoptosis (Figure 2</w:t>
      </w:r>
      <w:r w:rsidR="007B66A0">
        <w:rPr>
          <w:rFonts w:ascii="Arial" w:hAnsi="Arial" w:cs="Arial"/>
          <w:sz w:val="22"/>
          <w:szCs w:val="22"/>
          <w:lang w:val="en-US"/>
        </w:rPr>
        <w:t>8</w:t>
      </w:r>
      <w:proofErr w:type="gramStart"/>
      <w:r w:rsidR="00AF1ECC">
        <w:rPr>
          <w:rFonts w:ascii="Arial" w:hAnsi="Arial" w:cs="Arial"/>
          <w:sz w:val="22"/>
          <w:szCs w:val="22"/>
          <w:lang w:val="en-US"/>
        </w:rPr>
        <w:t>C,D</w:t>
      </w:r>
      <w:proofErr w:type="gramEnd"/>
      <w:r w:rsidR="00AF1ECC">
        <w:rPr>
          <w:rFonts w:ascii="Arial" w:hAnsi="Arial" w:cs="Arial"/>
          <w:sz w:val="22"/>
          <w:szCs w:val="22"/>
          <w:lang w:val="en-US"/>
        </w:rPr>
        <w:t>).</w:t>
      </w:r>
    </w:p>
    <w:p w14:paraId="3D81C977" w14:textId="77777777" w:rsidR="005B69C2" w:rsidRDefault="0090014B" w:rsidP="00AF1ECC">
      <w:pPr>
        <w:spacing w:line="360" w:lineRule="auto"/>
        <w:jc w:val="both"/>
        <w:rPr>
          <w:rFonts w:ascii="Arial" w:hAnsi="Arial" w:cs="Arial"/>
          <w:sz w:val="22"/>
          <w:szCs w:val="22"/>
          <w:lang w:val="en-US"/>
        </w:rPr>
      </w:pPr>
      <w:r>
        <w:rPr>
          <w:rFonts w:ascii="Arial" w:hAnsi="Arial" w:cs="Arial"/>
          <w:sz w:val="22"/>
          <w:szCs w:val="22"/>
          <w:lang w:val="en-US"/>
        </w:rPr>
        <w:t>Altogether, data from sections 2.3.1, 2.3.2 and 2.3.3 suggest</w:t>
      </w:r>
      <w:r w:rsidRPr="0090014B">
        <w:rPr>
          <w:rFonts w:ascii="Arial" w:hAnsi="Arial" w:cs="Arial"/>
          <w:sz w:val="22"/>
          <w:szCs w:val="22"/>
          <w:lang w:val="en-US"/>
        </w:rPr>
        <w:t xml:space="preserve"> that </w:t>
      </w:r>
      <w:r w:rsidRPr="0090014B">
        <w:rPr>
          <w:rFonts w:ascii="Arial" w:hAnsi="Arial" w:cs="Arial"/>
          <w:i/>
          <w:iCs/>
          <w:sz w:val="22"/>
          <w:szCs w:val="22"/>
          <w:lang w:val="en-US"/>
        </w:rPr>
        <w:t xml:space="preserve">JAK2 </w:t>
      </w:r>
      <w:r w:rsidRPr="00CD395D">
        <w:rPr>
          <w:rFonts w:ascii="Arial" w:hAnsi="Arial" w:cs="Arial"/>
          <w:sz w:val="22"/>
          <w:szCs w:val="22"/>
          <w:lang w:val="en-US"/>
        </w:rPr>
        <w:t>V617F</w:t>
      </w:r>
      <w:r w:rsidRPr="0090014B">
        <w:rPr>
          <w:rFonts w:ascii="Arial" w:hAnsi="Arial" w:cs="Arial"/>
          <w:sz w:val="22"/>
          <w:szCs w:val="22"/>
          <w:lang w:val="en-US"/>
        </w:rPr>
        <w:t xml:space="preserve"> induces cell-autonomous and non-cell autonomous </w:t>
      </w:r>
      <w:proofErr w:type="spellStart"/>
      <w:r w:rsidRPr="0090014B">
        <w:rPr>
          <w:rFonts w:ascii="Arial" w:hAnsi="Arial" w:cs="Arial"/>
          <w:sz w:val="22"/>
          <w:szCs w:val="22"/>
          <w:lang w:val="en-US"/>
        </w:rPr>
        <w:t>IFNγ</w:t>
      </w:r>
      <w:proofErr w:type="spellEnd"/>
      <w:r w:rsidRPr="0090014B">
        <w:rPr>
          <w:rFonts w:ascii="Arial" w:hAnsi="Arial" w:cs="Arial"/>
          <w:sz w:val="22"/>
          <w:szCs w:val="22"/>
          <w:lang w:val="en-US"/>
        </w:rPr>
        <w:t xml:space="preserve"> and NF-</w:t>
      </w:r>
      <w:proofErr w:type="spellStart"/>
      <w:r w:rsidRPr="0090014B">
        <w:rPr>
          <w:rFonts w:ascii="Arial" w:hAnsi="Arial" w:cs="Arial"/>
          <w:sz w:val="22"/>
          <w:szCs w:val="22"/>
          <w:lang w:val="en-US"/>
        </w:rPr>
        <w:t>κB</w:t>
      </w:r>
      <w:proofErr w:type="spellEnd"/>
      <w:r w:rsidRPr="0090014B">
        <w:rPr>
          <w:rFonts w:ascii="Arial" w:hAnsi="Arial" w:cs="Arial"/>
          <w:sz w:val="22"/>
          <w:szCs w:val="22"/>
          <w:lang w:val="en-US"/>
        </w:rPr>
        <w:t xml:space="preserve">-associated inflammatory program, and, as a consequence, upregulates </w:t>
      </w:r>
      <w:r>
        <w:rPr>
          <w:rFonts w:ascii="Arial" w:hAnsi="Arial" w:cs="Arial"/>
          <w:sz w:val="22"/>
          <w:szCs w:val="22"/>
          <w:lang w:val="en-US"/>
        </w:rPr>
        <w:t>ROS</w:t>
      </w:r>
      <w:r w:rsidRPr="0090014B">
        <w:rPr>
          <w:rFonts w:ascii="Arial" w:hAnsi="Arial" w:cs="Arial"/>
          <w:sz w:val="22"/>
          <w:szCs w:val="22"/>
          <w:lang w:val="en-US"/>
        </w:rPr>
        <w:t xml:space="preserve"> antioxidant system and expression of </w:t>
      </w:r>
      <w:r>
        <w:rPr>
          <w:rFonts w:ascii="Arial" w:hAnsi="Arial" w:cs="Arial"/>
          <w:sz w:val="22"/>
          <w:szCs w:val="22"/>
          <w:lang w:val="en-US"/>
        </w:rPr>
        <w:t>DUSP1</w:t>
      </w:r>
      <w:r w:rsidRPr="0090014B">
        <w:rPr>
          <w:rFonts w:ascii="Arial" w:hAnsi="Arial" w:cs="Arial"/>
          <w:sz w:val="22"/>
          <w:szCs w:val="22"/>
          <w:lang w:val="en-US"/>
        </w:rPr>
        <w:t xml:space="preserve">. </w:t>
      </w:r>
      <w:r>
        <w:rPr>
          <w:rFonts w:ascii="Arial" w:hAnsi="Arial" w:cs="Arial"/>
          <w:sz w:val="22"/>
          <w:szCs w:val="22"/>
          <w:lang w:val="en-US"/>
        </w:rPr>
        <w:t xml:space="preserve">Subsequently </w:t>
      </w:r>
      <w:r w:rsidRPr="0090014B">
        <w:rPr>
          <w:rFonts w:ascii="Arial" w:hAnsi="Arial" w:cs="Arial"/>
          <w:sz w:val="22"/>
          <w:szCs w:val="22"/>
          <w:lang w:val="en-US"/>
        </w:rPr>
        <w:t>DUSP1 specifically targets JNK and p38MAPK activities</w:t>
      </w:r>
      <w:r>
        <w:rPr>
          <w:rFonts w:ascii="Arial" w:hAnsi="Arial" w:cs="Arial"/>
          <w:sz w:val="22"/>
          <w:szCs w:val="22"/>
          <w:lang w:val="en-US"/>
        </w:rPr>
        <w:t xml:space="preserve"> to prevent</w:t>
      </w:r>
      <w:r w:rsidRPr="0090014B">
        <w:rPr>
          <w:rFonts w:ascii="Arial" w:hAnsi="Arial" w:cs="Arial"/>
          <w:sz w:val="22"/>
          <w:szCs w:val="22"/>
          <w:lang w:val="en-US"/>
        </w:rPr>
        <w:t xml:space="preserve"> accumulation of DNA damage</w:t>
      </w:r>
      <w:r>
        <w:rPr>
          <w:rFonts w:ascii="Arial" w:hAnsi="Arial" w:cs="Arial"/>
          <w:sz w:val="22"/>
          <w:szCs w:val="22"/>
          <w:lang w:val="en-US"/>
        </w:rPr>
        <w:t xml:space="preserve">, </w:t>
      </w:r>
      <w:r w:rsidRPr="0090014B">
        <w:rPr>
          <w:rFonts w:ascii="Arial" w:hAnsi="Arial" w:cs="Arial"/>
          <w:sz w:val="22"/>
          <w:szCs w:val="22"/>
          <w:lang w:val="en-US"/>
        </w:rPr>
        <w:t xml:space="preserve">accelerated cell cycle arrest and apoptosis of </w:t>
      </w:r>
      <w:r w:rsidRPr="00CD395D">
        <w:rPr>
          <w:rFonts w:ascii="Arial" w:hAnsi="Arial" w:cs="Arial"/>
          <w:i/>
          <w:iCs/>
          <w:sz w:val="22"/>
          <w:szCs w:val="22"/>
          <w:lang w:val="en-US"/>
        </w:rPr>
        <w:t>JAK2</w:t>
      </w:r>
      <w:r w:rsidR="00CD395D">
        <w:rPr>
          <w:rFonts w:ascii="Arial" w:hAnsi="Arial" w:cs="Arial"/>
          <w:sz w:val="22"/>
          <w:szCs w:val="22"/>
          <w:lang w:val="en-US"/>
        </w:rPr>
        <w:t xml:space="preserve"> </w:t>
      </w:r>
      <w:r w:rsidRPr="0090014B">
        <w:rPr>
          <w:rFonts w:ascii="Arial" w:hAnsi="Arial" w:cs="Arial"/>
          <w:sz w:val="22"/>
          <w:szCs w:val="22"/>
          <w:lang w:val="en-US"/>
        </w:rPr>
        <w:t xml:space="preserve">V617F-positive cells. Therefore, we provide evidence that hyperactivated ROS buffering system and overexpression of DUSP1 in </w:t>
      </w:r>
      <w:r w:rsidRPr="00CD395D">
        <w:rPr>
          <w:rFonts w:ascii="Arial" w:hAnsi="Arial" w:cs="Arial"/>
          <w:i/>
          <w:iCs/>
          <w:sz w:val="22"/>
          <w:szCs w:val="22"/>
          <w:lang w:val="en-US"/>
        </w:rPr>
        <w:t>JAK2</w:t>
      </w:r>
      <w:r w:rsidR="00CD395D">
        <w:rPr>
          <w:rFonts w:ascii="Arial" w:hAnsi="Arial" w:cs="Arial"/>
          <w:sz w:val="22"/>
          <w:szCs w:val="22"/>
          <w:lang w:val="en-US"/>
        </w:rPr>
        <w:t xml:space="preserve"> </w:t>
      </w:r>
      <w:r w:rsidRPr="0090014B">
        <w:rPr>
          <w:rFonts w:ascii="Arial" w:hAnsi="Arial" w:cs="Arial"/>
          <w:sz w:val="22"/>
          <w:szCs w:val="22"/>
          <w:lang w:val="en-US"/>
        </w:rPr>
        <w:t>V617F-positive cells is a candidate mechanism keeping fast-cycling PV progenitors in proliferative phase despite the presence of DNA damaging inflammatory microenvironment.</w:t>
      </w:r>
      <w:r w:rsidR="005B69C2">
        <w:rPr>
          <w:rFonts w:ascii="Arial" w:hAnsi="Arial" w:cs="Arial"/>
          <w:sz w:val="22"/>
          <w:szCs w:val="22"/>
          <w:lang w:val="en-US"/>
        </w:rPr>
        <w:br w:type="page"/>
      </w:r>
    </w:p>
    <w:p w14:paraId="371AA4B6" w14:textId="77777777" w:rsidR="00751A82" w:rsidRDefault="00751A82" w:rsidP="005D01C6">
      <w:pPr>
        <w:spacing w:line="360" w:lineRule="auto"/>
        <w:jc w:val="both"/>
        <w:rPr>
          <w:rFonts w:ascii="Arial" w:hAnsi="Arial" w:cs="Arial"/>
          <w:sz w:val="22"/>
          <w:szCs w:val="22"/>
          <w:lang w:val="en-US"/>
        </w:rPr>
      </w:pPr>
      <w:r w:rsidRPr="001E0B16">
        <w:rPr>
          <w:rFonts w:ascii="Arial" w:hAnsi="Arial" w:cs="Arial"/>
          <w:sz w:val="22"/>
          <w:szCs w:val="22"/>
          <w:lang w:val="en-US"/>
        </w:rPr>
        <w:lastRenderedPageBreak/>
        <w:fldChar w:fldCharType="begin"/>
      </w:r>
      <w:r w:rsidRPr="001E0B16">
        <w:rPr>
          <w:rFonts w:ascii="Arial" w:hAnsi="Arial" w:cs="Arial"/>
          <w:sz w:val="22"/>
          <w:szCs w:val="22"/>
          <w:lang w:val="en-US"/>
        </w:rPr>
        <w:instrText xml:space="preserve"> INCLUDEPICTURE "https://media.springernature.com/full/springer-static/image/art%3A10.1038%2Fs41388-019-0813-7/MediaObjects/41388_2019_813_Fig4_HTML.png" \* MERGEFORMATINET </w:instrText>
      </w:r>
      <w:r w:rsidRPr="001E0B16">
        <w:rPr>
          <w:rFonts w:ascii="Arial" w:hAnsi="Arial" w:cs="Arial"/>
          <w:sz w:val="22"/>
          <w:szCs w:val="22"/>
          <w:lang w:val="en-US"/>
        </w:rPr>
        <w:fldChar w:fldCharType="separate"/>
      </w:r>
      <w:r w:rsidRPr="001E0B16">
        <w:rPr>
          <w:rFonts w:ascii="Arial" w:hAnsi="Arial" w:cs="Arial"/>
          <w:noProof/>
          <w:sz w:val="22"/>
          <w:szCs w:val="22"/>
          <w:lang w:val="cs-CZ" w:eastAsia="cs-CZ"/>
        </w:rPr>
        <w:drawing>
          <wp:inline distT="0" distB="0" distL="0" distR="0" wp14:anchorId="6B0A0198" wp14:editId="79EC1A3A">
            <wp:extent cx="5400000" cy="4981485"/>
            <wp:effectExtent l="0" t="0" r="0" b="0"/>
            <wp:docPr id="49" name="Grafik 49"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178" t="24685" r="14721" b="23910"/>
                    <a:stretch/>
                  </pic:blipFill>
                  <pic:spPr bwMode="auto">
                    <a:xfrm>
                      <a:off x="0" y="0"/>
                      <a:ext cx="5400000" cy="4981485"/>
                    </a:xfrm>
                    <a:prstGeom prst="rect">
                      <a:avLst/>
                    </a:prstGeom>
                    <a:noFill/>
                    <a:ln>
                      <a:noFill/>
                    </a:ln>
                    <a:extLst>
                      <a:ext uri="{53640926-AAD7-44D8-BBD7-CCE9431645EC}">
                        <a14:shadowObscured xmlns:a14="http://schemas.microsoft.com/office/drawing/2010/main"/>
                      </a:ext>
                    </a:extLst>
                  </pic:spPr>
                </pic:pic>
              </a:graphicData>
            </a:graphic>
          </wp:inline>
        </w:drawing>
      </w:r>
      <w:r w:rsidRPr="001E0B16">
        <w:rPr>
          <w:rFonts w:ascii="Arial" w:hAnsi="Arial" w:cs="Arial"/>
          <w:sz w:val="22"/>
          <w:szCs w:val="22"/>
          <w:lang w:val="en-US"/>
        </w:rPr>
        <w:fldChar w:fldCharType="end"/>
      </w:r>
    </w:p>
    <w:p w14:paraId="142DA2BA" w14:textId="77777777" w:rsidR="00751A82" w:rsidRDefault="00751A82" w:rsidP="005D01C6">
      <w:pPr>
        <w:spacing w:line="360" w:lineRule="auto"/>
        <w:jc w:val="both"/>
        <w:rPr>
          <w:rFonts w:ascii="Arial" w:hAnsi="Arial" w:cs="Arial"/>
          <w:sz w:val="22"/>
          <w:szCs w:val="22"/>
          <w:lang w:val="en-US"/>
        </w:rPr>
      </w:pPr>
      <w:r w:rsidRPr="009C25F6">
        <w:rPr>
          <w:rFonts w:ascii="Arial" w:hAnsi="Arial" w:cs="Arial"/>
          <w:b/>
          <w:bCs/>
          <w:sz w:val="22"/>
          <w:szCs w:val="22"/>
          <w:lang w:val="en-US"/>
        </w:rPr>
        <w:t>Figure 2</w:t>
      </w:r>
      <w:r w:rsidR="007B66A0">
        <w:rPr>
          <w:rFonts w:ascii="Arial" w:hAnsi="Arial" w:cs="Arial"/>
          <w:b/>
          <w:bCs/>
          <w:sz w:val="22"/>
          <w:szCs w:val="22"/>
          <w:lang w:val="en-US"/>
        </w:rPr>
        <w:t>7</w:t>
      </w:r>
      <w:r>
        <w:rPr>
          <w:rFonts w:ascii="Arial" w:hAnsi="Arial" w:cs="Arial"/>
          <w:sz w:val="22"/>
          <w:szCs w:val="22"/>
          <w:lang w:val="en-US"/>
        </w:rPr>
        <w:t>:</w:t>
      </w:r>
      <w:r w:rsidR="007734AD">
        <w:rPr>
          <w:rFonts w:ascii="Arial" w:hAnsi="Arial" w:cs="Arial"/>
          <w:sz w:val="22"/>
          <w:szCs w:val="22"/>
          <w:lang w:val="en-US"/>
        </w:rPr>
        <w:t xml:space="preserve"> </w:t>
      </w:r>
      <w:r w:rsidR="007734AD" w:rsidRPr="007734AD">
        <w:rPr>
          <w:rFonts w:ascii="Arial" w:hAnsi="Arial" w:cs="Arial"/>
          <w:sz w:val="22"/>
          <w:szCs w:val="22"/>
          <w:lang w:val="en-US"/>
        </w:rPr>
        <w:t xml:space="preserve">Western blotting of </w:t>
      </w:r>
      <w:r w:rsidR="007734AD">
        <w:rPr>
          <w:rFonts w:ascii="Arial" w:hAnsi="Arial" w:cs="Arial"/>
          <w:sz w:val="22"/>
          <w:szCs w:val="22"/>
          <w:lang w:val="en-US"/>
        </w:rPr>
        <w:t>total and activated forms of DDR markers</w:t>
      </w:r>
      <w:r w:rsidR="007734AD" w:rsidRPr="007734AD">
        <w:rPr>
          <w:rFonts w:ascii="Arial" w:hAnsi="Arial" w:cs="Arial"/>
          <w:sz w:val="22"/>
          <w:szCs w:val="22"/>
          <w:lang w:val="en-US"/>
        </w:rPr>
        <w:t xml:space="preserve"> (γH2AX, KAP1) and SAPK (p38MAPK, JNK), </w:t>
      </w:r>
      <w:r w:rsidR="007734AD">
        <w:rPr>
          <w:rFonts w:ascii="Arial" w:hAnsi="Arial" w:cs="Arial"/>
          <w:sz w:val="22"/>
          <w:szCs w:val="22"/>
          <w:lang w:val="en-US"/>
        </w:rPr>
        <w:t xml:space="preserve">cell cycle analysis with </w:t>
      </w:r>
      <w:proofErr w:type="spellStart"/>
      <w:r w:rsidR="007734AD">
        <w:rPr>
          <w:rFonts w:ascii="Arial" w:hAnsi="Arial" w:cs="Arial"/>
          <w:sz w:val="22"/>
          <w:szCs w:val="22"/>
          <w:lang w:val="en-US"/>
        </w:rPr>
        <w:t>BrdU</w:t>
      </w:r>
      <w:proofErr w:type="spellEnd"/>
      <w:r w:rsidR="007734AD">
        <w:rPr>
          <w:rFonts w:ascii="Arial" w:hAnsi="Arial" w:cs="Arial"/>
          <w:sz w:val="22"/>
          <w:szCs w:val="22"/>
          <w:lang w:val="en-US"/>
        </w:rPr>
        <w:t>/PI staining</w:t>
      </w:r>
      <w:r w:rsidR="007734AD" w:rsidRPr="007734AD">
        <w:rPr>
          <w:rFonts w:ascii="Arial" w:hAnsi="Arial" w:cs="Arial"/>
          <w:sz w:val="22"/>
          <w:szCs w:val="22"/>
          <w:lang w:val="en-US"/>
        </w:rPr>
        <w:t xml:space="preserve"> and </w:t>
      </w:r>
      <w:r w:rsidR="007734AD">
        <w:rPr>
          <w:rFonts w:ascii="Arial" w:hAnsi="Arial" w:cs="Arial"/>
          <w:sz w:val="22"/>
          <w:szCs w:val="22"/>
          <w:lang w:val="en-US"/>
        </w:rPr>
        <w:t>number</w:t>
      </w:r>
      <w:r w:rsidR="007734AD" w:rsidRPr="007734AD">
        <w:rPr>
          <w:rFonts w:ascii="Arial" w:hAnsi="Arial" w:cs="Arial"/>
          <w:sz w:val="22"/>
          <w:szCs w:val="22"/>
          <w:lang w:val="en-US"/>
        </w:rPr>
        <w:t xml:space="preserve"> of apoptotic cells for HELV617F cells (JAK2V617F; upper </w:t>
      </w:r>
      <w:r w:rsidR="007734AD">
        <w:rPr>
          <w:rFonts w:ascii="Arial" w:hAnsi="Arial" w:cs="Arial"/>
          <w:sz w:val="22"/>
          <w:szCs w:val="22"/>
          <w:lang w:val="en-US"/>
        </w:rPr>
        <w:t>part</w:t>
      </w:r>
      <w:r w:rsidR="007734AD" w:rsidRPr="007734AD">
        <w:rPr>
          <w:rFonts w:ascii="Arial" w:hAnsi="Arial" w:cs="Arial"/>
          <w:sz w:val="22"/>
          <w:szCs w:val="22"/>
          <w:lang w:val="en-US"/>
        </w:rPr>
        <w:t xml:space="preserve">) and HEL-edited cells (JAK2wt; </w:t>
      </w:r>
      <w:r w:rsidR="007734AD">
        <w:rPr>
          <w:rFonts w:ascii="Arial" w:hAnsi="Arial" w:cs="Arial"/>
          <w:sz w:val="22"/>
          <w:szCs w:val="22"/>
          <w:lang w:val="en-US"/>
        </w:rPr>
        <w:t>lower part</w:t>
      </w:r>
      <w:r w:rsidR="007734AD" w:rsidRPr="007734AD">
        <w:rPr>
          <w:rFonts w:ascii="Arial" w:hAnsi="Arial" w:cs="Arial"/>
          <w:sz w:val="22"/>
          <w:szCs w:val="22"/>
          <w:lang w:val="en-US"/>
        </w:rPr>
        <w:t>)</w:t>
      </w:r>
      <w:r w:rsidR="007734AD">
        <w:rPr>
          <w:rFonts w:ascii="Arial" w:hAnsi="Arial" w:cs="Arial"/>
          <w:sz w:val="22"/>
          <w:szCs w:val="22"/>
          <w:lang w:val="en-US"/>
        </w:rPr>
        <w:t>. HEL cells clones were either</w:t>
      </w:r>
      <w:r w:rsidR="007734AD" w:rsidRPr="007734AD">
        <w:rPr>
          <w:rFonts w:ascii="Arial" w:hAnsi="Arial" w:cs="Arial"/>
          <w:sz w:val="22"/>
          <w:szCs w:val="22"/>
          <w:lang w:val="en-US"/>
        </w:rPr>
        <w:t xml:space="preserve"> untreated (Un) or treated with inflammatory cytokines (</w:t>
      </w:r>
      <w:proofErr w:type="spellStart"/>
      <w:r w:rsidR="007734AD" w:rsidRPr="007734AD">
        <w:rPr>
          <w:rFonts w:ascii="Arial" w:hAnsi="Arial" w:cs="Arial"/>
          <w:sz w:val="22"/>
          <w:szCs w:val="22"/>
          <w:lang w:val="en-US"/>
        </w:rPr>
        <w:t>Cyt</w:t>
      </w:r>
      <w:proofErr w:type="spellEnd"/>
      <w:r w:rsidR="007734AD" w:rsidRPr="007734AD">
        <w:rPr>
          <w:rFonts w:ascii="Arial" w:hAnsi="Arial" w:cs="Arial"/>
          <w:sz w:val="22"/>
          <w:szCs w:val="22"/>
          <w:lang w:val="en-US"/>
        </w:rPr>
        <w:t>)</w:t>
      </w:r>
      <w:r w:rsidR="007734AD">
        <w:rPr>
          <w:rFonts w:ascii="Arial" w:hAnsi="Arial" w:cs="Arial"/>
          <w:sz w:val="22"/>
          <w:szCs w:val="22"/>
          <w:lang w:val="en-US"/>
        </w:rPr>
        <w:t>; with or without</w:t>
      </w:r>
      <w:r w:rsidR="007734AD" w:rsidRPr="007734AD">
        <w:rPr>
          <w:rFonts w:ascii="Arial" w:hAnsi="Arial" w:cs="Arial"/>
          <w:sz w:val="22"/>
          <w:szCs w:val="22"/>
          <w:lang w:val="en-US"/>
        </w:rPr>
        <w:t xml:space="preserve"> BCI</w:t>
      </w:r>
      <w:r w:rsidR="007734AD">
        <w:rPr>
          <w:rFonts w:ascii="Arial" w:hAnsi="Arial" w:cs="Arial"/>
          <w:sz w:val="22"/>
          <w:szCs w:val="22"/>
          <w:lang w:val="en-US"/>
        </w:rPr>
        <w:t xml:space="preserve"> inhibitor</w:t>
      </w:r>
      <w:r w:rsidR="007734AD" w:rsidRPr="007734AD">
        <w:rPr>
          <w:rFonts w:ascii="Arial" w:hAnsi="Arial" w:cs="Arial"/>
          <w:sz w:val="22"/>
          <w:szCs w:val="22"/>
          <w:lang w:val="en-US"/>
        </w:rPr>
        <w:t xml:space="preserve"> (I). Charts show γH2AX, KAP1 S824 and p38 T180/Y182 relative expression </w:t>
      </w:r>
      <w:r w:rsidR="007734AD">
        <w:rPr>
          <w:rFonts w:ascii="Arial" w:hAnsi="Arial" w:cs="Arial"/>
          <w:sz w:val="22"/>
          <w:szCs w:val="22"/>
          <w:lang w:val="en-US"/>
        </w:rPr>
        <w:t>(</w:t>
      </w:r>
      <w:r w:rsidR="007734AD" w:rsidRPr="00F7124E">
        <w:rPr>
          <w:rFonts w:ascii="Arial" w:hAnsi="Arial" w:cs="Arial"/>
          <w:sz w:val="22"/>
          <w:szCs w:val="22"/>
          <w:lang w:val="en-US"/>
        </w:rPr>
        <w:t>mean ± SD, n = 3</w:t>
      </w:r>
      <w:r w:rsidR="007734AD">
        <w:rPr>
          <w:rFonts w:ascii="Arial" w:hAnsi="Arial" w:cs="Arial"/>
          <w:sz w:val="22"/>
          <w:szCs w:val="22"/>
          <w:lang w:val="en-US"/>
        </w:rPr>
        <w:t xml:space="preserve">) </w:t>
      </w:r>
      <w:r w:rsidR="007734AD" w:rsidRPr="007734AD">
        <w:rPr>
          <w:rFonts w:ascii="Arial" w:hAnsi="Arial" w:cs="Arial"/>
          <w:sz w:val="22"/>
          <w:szCs w:val="22"/>
          <w:lang w:val="en-US"/>
        </w:rPr>
        <w:t xml:space="preserve">normalized to actin. Cell cycle </w:t>
      </w:r>
      <w:r w:rsidR="007734AD">
        <w:rPr>
          <w:rFonts w:ascii="Arial" w:hAnsi="Arial" w:cs="Arial"/>
          <w:sz w:val="22"/>
          <w:szCs w:val="22"/>
          <w:lang w:val="en-US"/>
        </w:rPr>
        <w:t>analysis</w:t>
      </w:r>
      <w:r w:rsidR="007734AD" w:rsidRPr="007734AD">
        <w:rPr>
          <w:rFonts w:ascii="Arial" w:hAnsi="Arial" w:cs="Arial"/>
          <w:sz w:val="22"/>
          <w:szCs w:val="22"/>
          <w:lang w:val="en-US"/>
        </w:rPr>
        <w:t xml:space="preserve"> and apoptosis bar charts show percentage of cell numbers </w:t>
      </w:r>
      <w:r w:rsidR="007734AD">
        <w:rPr>
          <w:rFonts w:ascii="Arial" w:hAnsi="Arial" w:cs="Arial"/>
          <w:sz w:val="22"/>
          <w:szCs w:val="22"/>
          <w:lang w:val="en-US"/>
        </w:rPr>
        <w:t>(</w:t>
      </w:r>
      <w:r w:rsidR="007734AD" w:rsidRPr="007734AD">
        <w:rPr>
          <w:rFonts w:ascii="Arial" w:hAnsi="Arial" w:cs="Arial"/>
          <w:sz w:val="22"/>
          <w:szCs w:val="22"/>
          <w:lang w:val="en-US"/>
        </w:rPr>
        <w:t>± SD</w:t>
      </w:r>
      <w:r w:rsidR="007734AD">
        <w:rPr>
          <w:rFonts w:ascii="Arial" w:hAnsi="Arial" w:cs="Arial"/>
          <w:sz w:val="22"/>
          <w:szCs w:val="22"/>
          <w:lang w:val="en-US"/>
        </w:rPr>
        <w:t xml:space="preserve"> n=4)</w:t>
      </w:r>
      <w:r w:rsidR="007734AD" w:rsidRPr="007734AD">
        <w:rPr>
          <w:rFonts w:ascii="Arial" w:hAnsi="Arial" w:cs="Arial"/>
          <w:sz w:val="22"/>
          <w:szCs w:val="22"/>
          <w:lang w:val="en-US"/>
        </w:rPr>
        <w:t xml:space="preserve"> in each phase of cell cycle and percentage of apoptotic cells, respectively. *P ≤ 0.05, **P ≤ 0.01, ***P ≤ 0.001, ****P ≤ 0.0001, one-way (western blotting) and two-way (cell cycle and apoptosis) ANOVA.</w:t>
      </w:r>
    </w:p>
    <w:p w14:paraId="35C86D6C" w14:textId="77777777" w:rsidR="00D15CF5" w:rsidRDefault="00D15CF5">
      <w:pPr>
        <w:rPr>
          <w:rFonts w:ascii="Arial" w:hAnsi="Arial" w:cs="Arial"/>
          <w:sz w:val="22"/>
          <w:szCs w:val="22"/>
          <w:lang w:val="en-US"/>
        </w:rPr>
      </w:pPr>
      <w:r>
        <w:rPr>
          <w:rFonts w:ascii="Arial" w:hAnsi="Arial" w:cs="Arial"/>
          <w:sz w:val="22"/>
          <w:szCs w:val="22"/>
          <w:lang w:val="en-US"/>
        </w:rPr>
        <w:br w:type="page"/>
      </w:r>
    </w:p>
    <w:p w14:paraId="651A9662" w14:textId="77777777" w:rsidR="00751A82" w:rsidRPr="009E628C" w:rsidRDefault="00D15CF5" w:rsidP="005D01C6">
      <w:pPr>
        <w:spacing w:line="360" w:lineRule="auto"/>
        <w:jc w:val="both"/>
        <w:rPr>
          <w:rFonts w:ascii="Arial" w:hAnsi="Arial" w:cs="Arial"/>
          <w:b/>
          <w:bCs/>
          <w:sz w:val="22"/>
          <w:szCs w:val="22"/>
          <w:lang w:val="en-US"/>
        </w:rPr>
      </w:pPr>
      <w:r w:rsidRPr="009E628C">
        <w:rPr>
          <w:rFonts w:ascii="Arial" w:hAnsi="Arial" w:cs="Arial"/>
          <w:b/>
          <w:bCs/>
          <w:sz w:val="22"/>
          <w:szCs w:val="22"/>
          <w:lang w:val="en-US"/>
        </w:rPr>
        <w:lastRenderedPageBreak/>
        <w:t>A</w:t>
      </w:r>
      <w:r w:rsidRPr="009E628C">
        <w:rPr>
          <w:rFonts w:ascii="Arial" w:hAnsi="Arial" w:cs="Arial"/>
          <w:b/>
          <w:bCs/>
          <w:sz w:val="22"/>
          <w:szCs w:val="22"/>
          <w:lang w:val="en-US"/>
        </w:rPr>
        <w:tab/>
      </w:r>
      <w:r w:rsidRPr="009E628C">
        <w:rPr>
          <w:rFonts w:ascii="Arial" w:hAnsi="Arial" w:cs="Arial"/>
          <w:b/>
          <w:bCs/>
          <w:sz w:val="22"/>
          <w:szCs w:val="22"/>
          <w:lang w:val="en-US"/>
        </w:rPr>
        <w:tab/>
      </w:r>
      <w:r w:rsidRPr="009E628C">
        <w:rPr>
          <w:rFonts w:ascii="Arial" w:hAnsi="Arial" w:cs="Arial"/>
          <w:b/>
          <w:bCs/>
          <w:sz w:val="22"/>
          <w:szCs w:val="22"/>
          <w:lang w:val="en-US"/>
        </w:rPr>
        <w:tab/>
      </w:r>
      <w:r w:rsidRPr="009E628C">
        <w:rPr>
          <w:rFonts w:ascii="Arial" w:hAnsi="Arial" w:cs="Arial"/>
          <w:b/>
          <w:bCs/>
          <w:sz w:val="22"/>
          <w:szCs w:val="22"/>
          <w:lang w:val="en-US"/>
        </w:rPr>
        <w:tab/>
      </w:r>
      <w:r w:rsidRPr="009E628C">
        <w:rPr>
          <w:rFonts w:ascii="Arial" w:hAnsi="Arial" w:cs="Arial"/>
          <w:b/>
          <w:bCs/>
          <w:sz w:val="22"/>
          <w:szCs w:val="22"/>
          <w:lang w:val="en-US"/>
        </w:rPr>
        <w:tab/>
      </w:r>
      <w:r w:rsidRPr="009E628C">
        <w:rPr>
          <w:rFonts w:ascii="Arial" w:hAnsi="Arial" w:cs="Arial"/>
          <w:b/>
          <w:bCs/>
          <w:sz w:val="22"/>
          <w:szCs w:val="22"/>
          <w:lang w:val="en-US"/>
        </w:rPr>
        <w:tab/>
        <w:t>B</w:t>
      </w:r>
    </w:p>
    <w:p w14:paraId="480818C0" w14:textId="77777777" w:rsidR="00751A82" w:rsidRDefault="00D15CF5" w:rsidP="005D01C6">
      <w:pPr>
        <w:spacing w:line="360" w:lineRule="auto"/>
        <w:jc w:val="both"/>
        <w:rPr>
          <w:rFonts w:ascii="Arial" w:hAnsi="Arial" w:cs="Arial"/>
          <w:sz w:val="22"/>
          <w:szCs w:val="22"/>
          <w:lang w:val="en-US"/>
        </w:rPr>
      </w:pPr>
      <w:r>
        <w:rPr>
          <w:rFonts w:ascii="Arial" w:hAnsi="Arial" w:cs="Arial"/>
          <w:noProof/>
          <w:sz w:val="22"/>
          <w:szCs w:val="22"/>
          <w:lang w:val="cs-CZ" w:eastAsia="cs-CZ"/>
        </w:rPr>
        <w:drawing>
          <wp:inline distT="0" distB="0" distL="0" distR="0" wp14:anchorId="71B72691" wp14:editId="1A4F807D">
            <wp:extent cx="5400000" cy="1787144"/>
            <wp:effectExtent l="0" t="0" r="0" b="381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schirmfoto 2020-02-22 um 21.47.39.png"/>
                    <pic:cNvPicPr/>
                  </pic:nvPicPr>
                  <pic:blipFill rotWithShape="1">
                    <a:blip r:embed="rId44">
                      <a:extLst>
                        <a:ext uri="{28A0092B-C50C-407E-A947-70E740481C1C}">
                          <a14:useLocalDpi xmlns:a14="http://schemas.microsoft.com/office/drawing/2010/main" val="0"/>
                        </a:ext>
                      </a:extLst>
                    </a:blip>
                    <a:srcRect t="9553" r="3992"/>
                    <a:stretch/>
                  </pic:blipFill>
                  <pic:spPr bwMode="auto">
                    <a:xfrm>
                      <a:off x="0" y="0"/>
                      <a:ext cx="5400000" cy="1787144"/>
                    </a:xfrm>
                    <a:prstGeom prst="rect">
                      <a:avLst/>
                    </a:prstGeom>
                    <a:ln>
                      <a:noFill/>
                    </a:ln>
                    <a:extLst>
                      <a:ext uri="{53640926-AAD7-44D8-BBD7-CCE9431645EC}">
                        <a14:shadowObscured xmlns:a14="http://schemas.microsoft.com/office/drawing/2010/main"/>
                      </a:ext>
                    </a:extLst>
                  </pic:spPr>
                </pic:pic>
              </a:graphicData>
            </a:graphic>
          </wp:inline>
        </w:drawing>
      </w:r>
    </w:p>
    <w:p w14:paraId="79AA4DD8" w14:textId="77777777" w:rsidR="009E628C" w:rsidRPr="009E628C" w:rsidRDefault="009E628C" w:rsidP="005D01C6">
      <w:pPr>
        <w:spacing w:line="360" w:lineRule="auto"/>
        <w:jc w:val="both"/>
        <w:rPr>
          <w:rFonts w:ascii="Arial" w:hAnsi="Arial" w:cs="Arial"/>
          <w:b/>
          <w:bCs/>
          <w:sz w:val="22"/>
          <w:szCs w:val="22"/>
          <w:lang w:val="en-US"/>
        </w:rPr>
      </w:pPr>
      <w:r w:rsidRPr="009E628C">
        <w:rPr>
          <w:rFonts w:ascii="Arial" w:hAnsi="Arial" w:cs="Arial"/>
          <w:b/>
          <w:bCs/>
          <w:sz w:val="22"/>
          <w:szCs w:val="22"/>
          <w:lang w:val="en-US"/>
        </w:rPr>
        <w:t>C</w:t>
      </w:r>
    </w:p>
    <w:p w14:paraId="15795E58" w14:textId="77777777" w:rsidR="00D15CF5" w:rsidRDefault="00D15CF5" w:rsidP="009E628C">
      <w:pPr>
        <w:spacing w:line="360" w:lineRule="auto"/>
        <w:rPr>
          <w:rFonts w:ascii="Arial" w:hAnsi="Arial" w:cs="Arial"/>
          <w:sz w:val="22"/>
          <w:szCs w:val="22"/>
          <w:lang w:val="en-US"/>
        </w:rPr>
      </w:pPr>
      <w:r>
        <w:rPr>
          <w:rFonts w:ascii="Arial" w:hAnsi="Arial" w:cs="Arial"/>
          <w:noProof/>
          <w:sz w:val="22"/>
          <w:szCs w:val="22"/>
          <w:lang w:val="cs-CZ" w:eastAsia="cs-CZ"/>
        </w:rPr>
        <w:drawing>
          <wp:anchor distT="0" distB="0" distL="114300" distR="114300" simplePos="0" relativeHeight="251661312" behindDoc="0" locked="0" layoutInCell="1" allowOverlap="1" wp14:anchorId="7700FFF7" wp14:editId="7C68AEA6">
            <wp:simplePos x="0" y="0"/>
            <wp:positionH relativeFrom="column">
              <wp:posOffset>0</wp:posOffset>
            </wp:positionH>
            <wp:positionV relativeFrom="paragraph">
              <wp:posOffset>2540</wp:posOffset>
            </wp:positionV>
            <wp:extent cx="2520000" cy="2887160"/>
            <wp:effectExtent l="0" t="0" r="0" b="0"/>
            <wp:wrapSquare wrapText="bothSides"/>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schirmfoto 2020-02-22 um 21.52.21.png"/>
                    <pic:cNvPicPr/>
                  </pic:nvPicPr>
                  <pic:blipFill>
                    <a:blip r:embed="rId45">
                      <a:extLst>
                        <a:ext uri="{28A0092B-C50C-407E-A947-70E740481C1C}">
                          <a14:useLocalDpi xmlns:a14="http://schemas.microsoft.com/office/drawing/2010/main" val="0"/>
                        </a:ext>
                      </a:extLst>
                    </a:blip>
                    <a:stretch>
                      <a:fillRect/>
                    </a:stretch>
                  </pic:blipFill>
                  <pic:spPr>
                    <a:xfrm>
                      <a:off x="0" y="0"/>
                      <a:ext cx="2520000" cy="2887160"/>
                    </a:xfrm>
                    <a:prstGeom prst="rect">
                      <a:avLst/>
                    </a:prstGeom>
                  </pic:spPr>
                </pic:pic>
              </a:graphicData>
            </a:graphic>
            <wp14:sizeRelH relativeFrom="page">
              <wp14:pctWidth>0</wp14:pctWidth>
            </wp14:sizeRelH>
            <wp14:sizeRelV relativeFrom="page">
              <wp14:pctHeight>0</wp14:pctHeight>
            </wp14:sizeRelV>
          </wp:anchor>
        </w:drawing>
      </w:r>
      <w:r w:rsidR="009E628C">
        <w:rPr>
          <w:rFonts w:ascii="Arial" w:hAnsi="Arial" w:cs="Arial"/>
          <w:sz w:val="22"/>
          <w:szCs w:val="22"/>
          <w:lang w:val="en-US"/>
        </w:rPr>
        <w:t xml:space="preserve">  </w:t>
      </w:r>
      <w:r w:rsidR="009E628C" w:rsidRPr="001E0B16">
        <w:rPr>
          <w:rFonts w:ascii="Arial" w:hAnsi="Arial" w:cs="Arial"/>
          <w:sz w:val="22"/>
          <w:szCs w:val="22"/>
          <w:lang w:val="en-US"/>
        </w:rPr>
        <w:fldChar w:fldCharType="begin"/>
      </w:r>
      <w:r w:rsidR="009E628C" w:rsidRPr="001E0B16">
        <w:rPr>
          <w:rFonts w:ascii="Arial" w:hAnsi="Arial" w:cs="Arial"/>
          <w:sz w:val="22"/>
          <w:szCs w:val="22"/>
          <w:lang w:val="en-US"/>
        </w:rPr>
        <w:instrText xml:space="preserve"> INCLUDEPICTURE "https://media.springernature.com/full/springer-static/image/art%3A10.1038%2Fs41388-019-0813-7/MediaObjects/41388_2019_813_Fig4_HTML.png" \* MERGEFORMATINET </w:instrText>
      </w:r>
      <w:r w:rsidR="009E628C" w:rsidRPr="001E0B16">
        <w:rPr>
          <w:rFonts w:ascii="Arial" w:hAnsi="Arial" w:cs="Arial"/>
          <w:sz w:val="22"/>
          <w:szCs w:val="22"/>
          <w:lang w:val="en-US"/>
        </w:rPr>
        <w:fldChar w:fldCharType="separate"/>
      </w:r>
      <w:r w:rsidR="009E628C" w:rsidRPr="001E0B16">
        <w:rPr>
          <w:rFonts w:ascii="Arial" w:hAnsi="Arial" w:cs="Arial"/>
          <w:noProof/>
          <w:sz w:val="22"/>
          <w:szCs w:val="22"/>
          <w:lang w:val="cs-CZ" w:eastAsia="cs-CZ"/>
        </w:rPr>
        <w:drawing>
          <wp:inline distT="0" distB="0" distL="0" distR="0" wp14:anchorId="57010353" wp14:editId="5CE96C14">
            <wp:extent cx="1085850" cy="1412341"/>
            <wp:effectExtent l="0" t="0" r="0" b="0"/>
            <wp:docPr id="53" name="Grafik 53"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352" t="75981" r="83600" b="11617"/>
                    <a:stretch/>
                  </pic:blipFill>
                  <pic:spPr bwMode="auto">
                    <a:xfrm>
                      <a:off x="0" y="0"/>
                      <a:ext cx="1094599" cy="1423721"/>
                    </a:xfrm>
                    <a:prstGeom prst="rect">
                      <a:avLst/>
                    </a:prstGeom>
                    <a:noFill/>
                    <a:ln>
                      <a:noFill/>
                    </a:ln>
                    <a:extLst>
                      <a:ext uri="{53640926-AAD7-44D8-BBD7-CCE9431645EC}">
                        <a14:shadowObscured xmlns:a14="http://schemas.microsoft.com/office/drawing/2010/main"/>
                      </a:ext>
                    </a:extLst>
                  </pic:spPr>
                </pic:pic>
              </a:graphicData>
            </a:graphic>
          </wp:inline>
        </w:drawing>
      </w:r>
      <w:r w:rsidR="009E628C" w:rsidRPr="001E0B16">
        <w:rPr>
          <w:rFonts w:ascii="Arial" w:hAnsi="Arial" w:cs="Arial"/>
          <w:sz w:val="22"/>
          <w:szCs w:val="22"/>
          <w:lang w:val="en-US"/>
        </w:rPr>
        <w:fldChar w:fldCharType="end"/>
      </w:r>
      <w:r w:rsidR="009E628C">
        <w:rPr>
          <w:rFonts w:ascii="Arial" w:hAnsi="Arial" w:cs="Arial"/>
          <w:sz w:val="22"/>
          <w:szCs w:val="22"/>
          <w:lang w:val="en-US"/>
        </w:rPr>
        <w:t xml:space="preserve">        </w:t>
      </w:r>
      <w:r w:rsidR="009E628C" w:rsidRPr="001E0B16">
        <w:rPr>
          <w:rFonts w:ascii="Arial" w:hAnsi="Arial" w:cs="Arial"/>
          <w:sz w:val="22"/>
          <w:szCs w:val="22"/>
          <w:lang w:val="en-US"/>
        </w:rPr>
        <w:fldChar w:fldCharType="begin"/>
      </w:r>
      <w:r w:rsidR="009E628C" w:rsidRPr="001E0B16">
        <w:rPr>
          <w:rFonts w:ascii="Arial" w:hAnsi="Arial" w:cs="Arial"/>
          <w:sz w:val="22"/>
          <w:szCs w:val="22"/>
          <w:lang w:val="en-US"/>
        </w:rPr>
        <w:instrText xml:space="preserve"> INCLUDEPICTURE "https://media.springernature.com/full/springer-static/image/art%3A10.1038%2Fs41388-019-0813-7/MediaObjects/41388_2019_813_Fig4_HTML.png" \* MERGEFORMATINET </w:instrText>
      </w:r>
      <w:r w:rsidR="009E628C" w:rsidRPr="001E0B16">
        <w:rPr>
          <w:rFonts w:ascii="Arial" w:hAnsi="Arial" w:cs="Arial"/>
          <w:sz w:val="22"/>
          <w:szCs w:val="22"/>
          <w:lang w:val="en-US"/>
        </w:rPr>
        <w:fldChar w:fldCharType="separate"/>
      </w:r>
      <w:r w:rsidR="009E628C" w:rsidRPr="001E0B16">
        <w:rPr>
          <w:rFonts w:ascii="Arial" w:hAnsi="Arial" w:cs="Arial"/>
          <w:noProof/>
          <w:sz w:val="22"/>
          <w:szCs w:val="22"/>
          <w:lang w:val="cs-CZ" w:eastAsia="cs-CZ"/>
        </w:rPr>
        <w:drawing>
          <wp:inline distT="0" distB="0" distL="0" distR="0" wp14:anchorId="01E42ECF" wp14:editId="29E47220">
            <wp:extent cx="1085850" cy="1412341"/>
            <wp:effectExtent l="0" t="0" r="0" b="0"/>
            <wp:docPr id="56" name="Grafik 56"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172" t="88314" r="82780" b="-716"/>
                    <a:stretch/>
                  </pic:blipFill>
                  <pic:spPr bwMode="auto">
                    <a:xfrm>
                      <a:off x="0" y="0"/>
                      <a:ext cx="1094599" cy="1423721"/>
                    </a:xfrm>
                    <a:prstGeom prst="rect">
                      <a:avLst/>
                    </a:prstGeom>
                    <a:noFill/>
                    <a:ln>
                      <a:noFill/>
                    </a:ln>
                    <a:extLst>
                      <a:ext uri="{53640926-AAD7-44D8-BBD7-CCE9431645EC}">
                        <a14:shadowObscured xmlns:a14="http://schemas.microsoft.com/office/drawing/2010/main"/>
                      </a:ext>
                    </a:extLst>
                  </pic:spPr>
                </pic:pic>
              </a:graphicData>
            </a:graphic>
          </wp:inline>
        </w:drawing>
      </w:r>
      <w:r w:rsidR="009E628C" w:rsidRPr="001E0B16">
        <w:rPr>
          <w:rFonts w:ascii="Arial" w:hAnsi="Arial" w:cs="Arial"/>
          <w:sz w:val="22"/>
          <w:szCs w:val="22"/>
          <w:lang w:val="en-US"/>
        </w:rPr>
        <w:fldChar w:fldCharType="end"/>
      </w:r>
      <w:r w:rsidR="009E628C" w:rsidRPr="001E0B16">
        <w:rPr>
          <w:rFonts w:ascii="Arial" w:hAnsi="Arial" w:cs="Arial"/>
          <w:sz w:val="22"/>
          <w:szCs w:val="22"/>
          <w:lang w:val="en-US"/>
        </w:rPr>
        <w:fldChar w:fldCharType="begin"/>
      </w:r>
      <w:r w:rsidR="009E628C" w:rsidRPr="001E0B16">
        <w:rPr>
          <w:rFonts w:ascii="Arial" w:hAnsi="Arial" w:cs="Arial"/>
          <w:sz w:val="22"/>
          <w:szCs w:val="22"/>
          <w:lang w:val="en-US"/>
        </w:rPr>
        <w:instrText xml:space="preserve"> INCLUDEPICTURE "https://media.springernature.com/full/springer-static/image/art%3A10.1038%2Fs41388-019-0813-7/MediaObjects/41388_2019_813_Fig4_HTML.png" \* MERGEFORMATINET </w:instrText>
      </w:r>
      <w:r w:rsidR="009E628C" w:rsidRPr="001E0B16">
        <w:rPr>
          <w:rFonts w:ascii="Arial" w:hAnsi="Arial" w:cs="Arial"/>
          <w:sz w:val="22"/>
          <w:szCs w:val="22"/>
          <w:lang w:val="en-US"/>
        </w:rPr>
        <w:fldChar w:fldCharType="separate"/>
      </w:r>
      <w:r w:rsidR="009E628C" w:rsidRPr="001E0B16">
        <w:rPr>
          <w:rFonts w:ascii="Arial" w:hAnsi="Arial" w:cs="Arial"/>
          <w:noProof/>
          <w:sz w:val="22"/>
          <w:szCs w:val="22"/>
          <w:lang w:val="cs-CZ" w:eastAsia="cs-CZ"/>
        </w:rPr>
        <w:drawing>
          <wp:inline distT="0" distB="0" distL="0" distR="0" wp14:anchorId="3BFAEE93" wp14:editId="249F49AE">
            <wp:extent cx="1403287" cy="1412047"/>
            <wp:effectExtent l="0" t="0" r="0" b="0"/>
            <wp:docPr id="58" name="Grafik 58"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6759" t="76068" r="65082" b="11530"/>
                    <a:stretch/>
                  </pic:blipFill>
                  <pic:spPr bwMode="auto">
                    <a:xfrm>
                      <a:off x="0" y="0"/>
                      <a:ext cx="1414889" cy="1423721"/>
                    </a:xfrm>
                    <a:prstGeom prst="rect">
                      <a:avLst/>
                    </a:prstGeom>
                    <a:noFill/>
                    <a:ln>
                      <a:noFill/>
                    </a:ln>
                    <a:extLst>
                      <a:ext uri="{53640926-AAD7-44D8-BBD7-CCE9431645EC}">
                        <a14:shadowObscured xmlns:a14="http://schemas.microsoft.com/office/drawing/2010/main"/>
                      </a:ext>
                    </a:extLst>
                  </pic:spPr>
                </pic:pic>
              </a:graphicData>
            </a:graphic>
          </wp:inline>
        </w:drawing>
      </w:r>
      <w:r w:rsidR="009E628C" w:rsidRPr="001E0B16">
        <w:rPr>
          <w:rFonts w:ascii="Arial" w:hAnsi="Arial" w:cs="Arial"/>
          <w:sz w:val="22"/>
          <w:szCs w:val="22"/>
          <w:lang w:val="en-US"/>
        </w:rPr>
        <w:fldChar w:fldCharType="end"/>
      </w:r>
      <w:r w:rsidR="009E628C" w:rsidRPr="001E0B16">
        <w:rPr>
          <w:rFonts w:ascii="Arial" w:hAnsi="Arial" w:cs="Arial"/>
          <w:sz w:val="22"/>
          <w:szCs w:val="22"/>
          <w:lang w:val="en-US"/>
        </w:rPr>
        <w:fldChar w:fldCharType="begin"/>
      </w:r>
      <w:r w:rsidR="009E628C" w:rsidRPr="001E0B16">
        <w:rPr>
          <w:rFonts w:ascii="Arial" w:hAnsi="Arial" w:cs="Arial"/>
          <w:sz w:val="22"/>
          <w:szCs w:val="22"/>
          <w:lang w:val="en-US"/>
        </w:rPr>
        <w:instrText xml:space="preserve"> INCLUDEPICTURE "https://media.springernature.com/full/springer-static/image/art%3A10.1038%2Fs41388-019-0813-7/MediaObjects/41388_2019_813_Fig4_HTML.png" \* MERGEFORMATINET </w:instrText>
      </w:r>
      <w:r w:rsidR="009E628C" w:rsidRPr="001E0B16">
        <w:rPr>
          <w:rFonts w:ascii="Arial" w:hAnsi="Arial" w:cs="Arial"/>
          <w:sz w:val="22"/>
          <w:szCs w:val="22"/>
          <w:lang w:val="en-US"/>
        </w:rPr>
        <w:fldChar w:fldCharType="separate"/>
      </w:r>
      <w:r w:rsidR="009E628C" w:rsidRPr="001E0B16">
        <w:rPr>
          <w:rFonts w:ascii="Arial" w:hAnsi="Arial" w:cs="Arial"/>
          <w:noProof/>
          <w:sz w:val="22"/>
          <w:szCs w:val="22"/>
          <w:lang w:val="cs-CZ" w:eastAsia="cs-CZ"/>
        </w:rPr>
        <w:drawing>
          <wp:inline distT="0" distB="0" distL="0" distR="0" wp14:anchorId="0DDA6E9B" wp14:editId="0FD1F459">
            <wp:extent cx="1240325" cy="1412240"/>
            <wp:effectExtent l="0" t="0" r="4445" b="0"/>
            <wp:docPr id="57" name="Grafik 57"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7228" t="88473" r="66724" b="-875"/>
                    <a:stretch/>
                  </pic:blipFill>
                  <pic:spPr bwMode="auto">
                    <a:xfrm>
                      <a:off x="0" y="0"/>
                      <a:ext cx="1250408" cy="1423721"/>
                    </a:xfrm>
                    <a:prstGeom prst="rect">
                      <a:avLst/>
                    </a:prstGeom>
                    <a:noFill/>
                    <a:ln>
                      <a:noFill/>
                    </a:ln>
                    <a:extLst>
                      <a:ext uri="{53640926-AAD7-44D8-BBD7-CCE9431645EC}">
                        <a14:shadowObscured xmlns:a14="http://schemas.microsoft.com/office/drawing/2010/main"/>
                      </a:ext>
                    </a:extLst>
                  </pic:spPr>
                </pic:pic>
              </a:graphicData>
            </a:graphic>
          </wp:inline>
        </w:drawing>
      </w:r>
      <w:r w:rsidR="009E628C" w:rsidRPr="001E0B16">
        <w:rPr>
          <w:rFonts w:ascii="Arial" w:hAnsi="Arial" w:cs="Arial"/>
          <w:sz w:val="22"/>
          <w:szCs w:val="22"/>
          <w:lang w:val="en-US"/>
        </w:rPr>
        <w:fldChar w:fldCharType="end"/>
      </w:r>
    </w:p>
    <w:p w14:paraId="6C2507A5" w14:textId="77777777" w:rsidR="009E628C" w:rsidRPr="009E628C" w:rsidRDefault="009E628C" w:rsidP="009E628C">
      <w:pPr>
        <w:spacing w:line="360" w:lineRule="auto"/>
        <w:rPr>
          <w:rFonts w:ascii="Arial" w:hAnsi="Arial" w:cs="Arial"/>
          <w:b/>
          <w:bCs/>
          <w:sz w:val="22"/>
          <w:szCs w:val="22"/>
          <w:lang w:val="en-US"/>
        </w:rPr>
      </w:pPr>
      <w:r w:rsidRPr="009E628C">
        <w:rPr>
          <w:rFonts w:ascii="Arial" w:hAnsi="Arial" w:cs="Arial"/>
          <w:b/>
          <w:bCs/>
          <w:sz w:val="22"/>
          <w:szCs w:val="22"/>
          <w:lang w:val="en-US"/>
        </w:rPr>
        <w:t>D</w:t>
      </w:r>
    </w:p>
    <w:p w14:paraId="63A32F30" w14:textId="77777777" w:rsidR="002B00FE" w:rsidRDefault="002B00FE" w:rsidP="002B00FE">
      <w:r>
        <w:fldChar w:fldCharType="begin"/>
      </w:r>
      <w:r>
        <w:instrText xml:space="preserve"> INCLUDEPICTURE "https://media.springernature.com/full/springer-static/image/art%3A10.1038%2Fs41388-019-0813-7/MediaObjects/41388_2019_813_Fig4_HTML.png" \* MERGEFORMATINET </w:instrText>
      </w:r>
      <w:r>
        <w:fldChar w:fldCharType="separate"/>
      </w:r>
      <w:r>
        <w:rPr>
          <w:noProof/>
          <w:lang w:val="cs-CZ" w:eastAsia="cs-CZ"/>
        </w:rPr>
        <w:drawing>
          <wp:inline distT="0" distB="0" distL="0" distR="0" wp14:anchorId="0497AB1D" wp14:editId="498C3487">
            <wp:extent cx="2634558" cy="1248979"/>
            <wp:effectExtent l="0" t="0" r="0" b="0"/>
            <wp:docPr id="61" name="Grafik 61"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 4"/>
                    <pic:cNvPicPr>
                      <a:picLocks noChangeAspect="1" noChangeArrowheads="1"/>
                    </pic:cNvPicPr>
                  </pic:nvPicPr>
                  <pic:blipFill rotWithShape="1">
                    <a:blip r:embed="rId39">
                      <a:extLst>
                        <a:ext uri="{28A0092B-C50C-407E-A947-70E740481C1C}">
                          <a14:useLocalDpi xmlns:a14="http://schemas.microsoft.com/office/drawing/2010/main" val="0"/>
                        </a:ext>
                      </a:extLst>
                    </a:blip>
                    <a:srcRect l="57568" t="76639" r="4768" b="11243"/>
                    <a:stretch/>
                  </pic:blipFill>
                  <pic:spPr bwMode="auto">
                    <a:xfrm>
                      <a:off x="0" y="0"/>
                      <a:ext cx="2658419" cy="126029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begin"/>
      </w:r>
      <w:r>
        <w:instrText xml:space="preserve"> INCLUDEPICTURE "https://media.springernature.com/full/springer-static/image/art%3A10.1038%2Fs41388-019-0813-7/MediaObjects/41388_2019_813_Fig4_HTML.png" \* MERGEFORMATINET </w:instrText>
      </w:r>
      <w:r>
        <w:fldChar w:fldCharType="separate"/>
      </w:r>
      <w:r>
        <w:rPr>
          <w:noProof/>
          <w:lang w:val="cs-CZ" w:eastAsia="cs-CZ"/>
        </w:rPr>
        <w:drawing>
          <wp:inline distT="0" distB="0" distL="0" distR="0" wp14:anchorId="22C7F357" wp14:editId="6BCF1157">
            <wp:extent cx="2738045" cy="1293677"/>
            <wp:effectExtent l="0" t="0" r="5715" b="0"/>
            <wp:docPr id="62" name="Grafik 62"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 4"/>
                    <pic:cNvPicPr>
                      <a:picLocks noChangeAspect="1" noChangeArrowheads="1"/>
                    </pic:cNvPicPr>
                  </pic:nvPicPr>
                  <pic:blipFill rotWithShape="1">
                    <a:blip r:embed="rId39">
                      <a:extLst>
                        <a:ext uri="{28A0092B-C50C-407E-A947-70E740481C1C}">
                          <a14:useLocalDpi xmlns:a14="http://schemas.microsoft.com/office/drawing/2010/main" val="0"/>
                        </a:ext>
                      </a:extLst>
                    </a:blip>
                    <a:srcRect l="56920" t="88761" r="5290" b="-879"/>
                    <a:stretch/>
                  </pic:blipFill>
                  <pic:spPr bwMode="auto">
                    <a:xfrm>
                      <a:off x="0" y="0"/>
                      <a:ext cx="2784563" cy="1315656"/>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06563429" w14:textId="77777777" w:rsidR="009E628C" w:rsidRDefault="009E628C" w:rsidP="009E628C">
      <w:pPr>
        <w:spacing w:line="360" w:lineRule="auto"/>
        <w:rPr>
          <w:rFonts w:ascii="Arial" w:hAnsi="Arial" w:cs="Arial"/>
          <w:sz w:val="22"/>
          <w:szCs w:val="22"/>
          <w:lang w:val="en-US"/>
        </w:rPr>
      </w:pPr>
    </w:p>
    <w:p w14:paraId="341BB5B4" w14:textId="77777777" w:rsidR="00803EA7" w:rsidRPr="0002086C" w:rsidRDefault="00D15CF5" w:rsidP="00AF69C3">
      <w:pPr>
        <w:spacing w:line="360" w:lineRule="auto"/>
        <w:jc w:val="both"/>
        <w:rPr>
          <w:rFonts w:ascii="Arial" w:hAnsi="Arial" w:cs="Arial"/>
          <w:sz w:val="22"/>
          <w:szCs w:val="22"/>
          <w:lang w:val="en-US"/>
        </w:rPr>
      </w:pPr>
      <w:r w:rsidRPr="009C25F6">
        <w:rPr>
          <w:rFonts w:ascii="Arial" w:hAnsi="Arial" w:cs="Arial"/>
          <w:b/>
          <w:bCs/>
          <w:sz w:val="22"/>
          <w:szCs w:val="22"/>
          <w:lang w:val="en-US"/>
        </w:rPr>
        <w:t>Figure 2</w:t>
      </w:r>
      <w:r w:rsidR="007B66A0">
        <w:rPr>
          <w:rFonts w:ascii="Arial" w:hAnsi="Arial" w:cs="Arial"/>
          <w:b/>
          <w:bCs/>
          <w:sz w:val="22"/>
          <w:szCs w:val="22"/>
          <w:lang w:val="en-US"/>
        </w:rPr>
        <w:t>8</w:t>
      </w:r>
      <w:r>
        <w:rPr>
          <w:rFonts w:ascii="Arial" w:hAnsi="Arial" w:cs="Arial"/>
          <w:sz w:val="22"/>
          <w:szCs w:val="22"/>
          <w:lang w:val="en-US"/>
        </w:rPr>
        <w:t xml:space="preserve">: </w:t>
      </w:r>
      <w:r w:rsidR="00FE5B5B" w:rsidRPr="00FE5B5B">
        <w:rPr>
          <w:rFonts w:ascii="Arial" w:hAnsi="Arial" w:cs="Arial"/>
          <w:b/>
          <w:bCs/>
          <w:sz w:val="22"/>
          <w:szCs w:val="22"/>
          <w:lang w:val="en-US"/>
        </w:rPr>
        <w:t>A</w:t>
      </w:r>
      <w:r w:rsidR="00FE5B5B">
        <w:rPr>
          <w:rFonts w:ascii="Arial" w:hAnsi="Arial" w:cs="Arial"/>
          <w:sz w:val="22"/>
          <w:szCs w:val="22"/>
          <w:lang w:val="en-US"/>
        </w:rPr>
        <w:t xml:space="preserve"> Relative (mRNA) expression</w:t>
      </w:r>
      <w:r w:rsidR="00FE5B5B" w:rsidRPr="00FE5B5B">
        <w:rPr>
          <w:rFonts w:ascii="Arial" w:hAnsi="Arial" w:cs="Arial"/>
          <w:sz w:val="22"/>
          <w:szCs w:val="22"/>
          <w:lang w:val="en-US"/>
        </w:rPr>
        <w:t xml:space="preserve"> of </w:t>
      </w:r>
      <w:r w:rsidR="00FE5B5B" w:rsidRPr="00FE5B5B">
        <w:rPr>
          <w:rFonts w:ascii="Arial" w:hAnsi="Arial" w:cs="Arial"/>
          <w:i/>
          <w:iCs/>
          <w:sz w:val="22"/>
          <w:szCs w:val="22"/>
          <w:lang w:val="en-US"/>
        </w:rPr>
        <w:t>DUSP1</w:t>
      </w:r>
      <w:r w:rsidR="00FE5B5B" w:rsidRPr="00FE5B5B">
        <w:rPr>
          <w:rFonts w:ascii="Arial" w:hAnsi="Arial" w:cs="Arial"/>
          <w:sz w:val="22"/>
          <w:szCs w:val="22"/>
          <w:lang w:val="en-US"/>
        </w:rPr>
        <w:t xml:space="preserve"> 24, 48 and 72 h</w:t>
      </w:r>
      <w:r w:rsidR="00FE5B5B">
        <w:rPr>
          <w:rFonts w:ascii="Arial" w:hAnsi="Arial" w:cs="Arial"/>
          <w:sz w:val="22"/>
          <w:szCs w:val="22"/>
          <w:lang w:val="en-US"/>
        </w:rPr>
        <w:t xml:space="preserve">-post </w:t>
      </w:r>
      <w:r w:rsidR="00FE5B5B" w:rsidRPr="00FE5B5B">
        <w:rPr>
          <w:rFonts w:ascii="Arial" w:hAnsi="Arial" w:cs="Arial"/>
          <w:sz w:val="22"/>
          <w:szCs w:val="22"/>
          <w:lang w:val="en-US"/>
        </w:rPr>
        <w:t>DUSP1 siRNA transfection of HELV617F (V617F) and HEL-edited (</w:t>
      </w:r>
      <w:proofErr w:type="spellStart"/>
      <w:r w:rsidR="00FE5B5B" w:rsidRPr="00FE5B5B">
        <w:rPr>
          <w:rFonts w:ascii="Arial" w:hAnsi="Arial" w:cs="Arial"/>
          <w:sz w:val="22"/>
          <w:szCs w:val="22"/>
          <w:lang w:val="en-US"/>
        </w:rPr>
        <w:t>wt</w:t>
      </w:r>
      <w:proofErr w:type="spellEnd"/>
      <w:r w:rsidR="00FE5B5B" w:rsidRPr="00FE5B5B">
        <w:rPr>
          <w:rFonts w:ascii="Arial" w:hAnsi="Arial" w:cs="Arial"/>
          <w:sz w:val="22"/>
          <w:szCs w:val="22"/>
          <w:lang w:val="en-US"/>
        </w:rPr>
        <w:t>) cells.</w:t>
      </w:r>
      <w:r w:rsidR="00FE5B5B">
        <w:rPr>
          <w:rFonts w:ascii="Arial" w:hAnsi="Arial" w:cs="Arial"/>
          <w:sz w:val="22"/>
          <w:szCs w:val="22"/>
          <w:lang w:val="en-US"/>
        </w:rPr>
        <w:t xml:space="preserve"> </w:t>
      </w:r>
      <w:r w:rsidR="00FE5B5B" w:rsidRPr="00FE5B5B">
        <w:rPr>
          <w:rFonts w:ascii="Arial" w:hAnsi="Arial" w:cs="Arial"/>
          <w:b/>
          <w:bCs/>
          <w:sz w:val="22"/>
          <w:szCs w:val="22"/>
          <w:lang w:val="en-US"/>
        </w:rPr>
        <w:t>B</w:t>
      </w:r>
      <w:r w:rsidR="00FE5B5B">
        <w:rPr>
          <w:rFonts w:ascii="Arial" w:hAnsi="Arial" w:cs="Arial"/>
          <w:sz w:val="22"/>
          <w:szCs w:val="22"/>
          <w:lang w:val="en-US"/>
        </w:rPr>
        <w:t xml:space="preserve"> Representative western blot of </w:t>
      </w:r>
      <w:r w:rsidR="00FE5B5B" w:rsidRPr="00FE5B5B">
        <w:rPr>
          <w:rFonts w:ascii="Arial" w:hAnsi="Arial" w:cs="Arial"/>
          <w:sz w:val="22"/>
          <w:szCs w:val="22"/>
          <w:lang w:val="en-US"/>
        </w:rPr>
        <w:t>DUSP1 protein 72 h after HELV617F (V617F) and HEL-edited (</w:t>
      </w:r>
      <w:proofErr w:type="spellStart"/>
      <w:r w:rsidR="00FE5B5B" w:rsidRPr="00FE5B5B">
        <w:rPr>
          <w:rFonts w:ascii="Arial" w:hAnsi="Arial" w:cs="Arial"/>
          <w:sz w:val="22"/>
          <w:szCs w:val="22"/>
          <w:lang w:val="en-US"/>
        </w:rPr>
        <w:t>wt</w:t>
      </w:r>
      <w:proofErr w:type="spellEnd"/>
      <w:r w:rsidR="00FE5B5B" w:rsidRPr="00FE5B5B">
        <w:rPr>
          <w:rFonts w:ascii="Arial" w:hAnsi="Arial" w:cs="Arial"/>
          <w:sz w:val="22"/>
          <w:szCs w:val="22"/>
          <w:lang w:val="en-US"/>
        </w:rPr>
        <w:t>) cells</w:t>
      </w:r>
      <w:r w:rsidR="00FE5B5B">
        <w:rPr>
          <w:rFonts w:ascii="Arial" w:hAnsi="Arial" w:cs="Arial"/>
          <w:sz w:val="22"/>
          <w:szCs w:val="22"/>
          <w:lang w:val="en-US"/>
        </w:rPr>
        <w:t xml:space="preserve"> were transfected with</w:t>
      </w:r>
      <w:r w:rsidR="00FE5B5B" w:rsidRPr="00FE5B5B">
        <w:rPr>
          <w:rFonts w:ascii="Arial" w:hAnsi="Arial" w:cs="Arial"/>
          <w:sz w:val="22"/>
          <w:szCs w:val="22"/>
          <w:lang w:val="en-US"/>
        </w:rPr>
        <w:t xml:space="preserve"> DUSP1</w:t>
      </w:r>
      <w:r w:rsidR="00FE5B5B">
        <w:rPr>
          <w:rFonts w:ascii="Arial" w:hAnsi="Arial" w:cs="Arial"/>
          <w:sz w:val="22"/>
          <w:szCs w:val="22"/>
          <w:lang w:val="en-US"/>
        </w:rPr>
        <w:t xml:space="preserve"> (</w:t>
      </w:r>
      <w:proofErr w:type="spellStart"/>
      <w:r w:rsidR="00FE5B5B">
        <w:rPr>
          <w:rFonts w:ascii="Arial" w:hAnsi="Arial" w:cs="Arial"/>
          <w:sz w:val="22"/>
          <w:szCs w:val="22"/>
          <w:lang w:val="en-US"/>
        </w:rPr>
        <w:t>si</w:t>
      </w:r>
      <w:proofErr w:type="spellEnd"/>
      <w:r w:rsidR="00FE5B5B">
        <w:rPr>
          <w:rFonts w:ascii="Arial" w:hAnsi="Arial" w:cs="Arial"/>
          <w:sz w:val="22"/>
          <w:szCs w:val="22"/>
          <w:lang w:val="en-US"/>
        </w:rPr>
        <w:t>) or scrambled (</w:t>
      </w:r>
      <w:proofErr w:type="spellStart"/>
      <w:r w:rsidR="00FE5B5B">
        <w:rPr>
          <w:rFonts w:ascii="Arial" w:hAnsi="Arial" w:cs="Arial"/>
          <w:sz w:val="22"/>
          <w:szCs w:val="22"/>
          <w:lang w:val="en-US"/>
        </w:rPr>
        <w:t>scr</w:t>
      </w:r>
      <w:proofErr w:type="spellEnd"/>
      <w:r w:rsidR="00FE5B5B">
        <w:rPr>
          <w:rFonts w:ascii="Arial" w:hAnsi="Arial" w:cs="Arial"/>
          <w:sz w:val="22"/>
          <w:szCs w:val="22"/>
          <w:lang w:val="en-US"/>
        </w:rPr>
        <w:t>)</w:t>
      </w:r>
      <w:r w:rsidR="00FE5B5B" w:rsidRPr="00FE5B5B">
        <w:rPr>
          <w:rFonts w:ascii="Arial" w:hAnsi="Arial" w:cs="Arial"/>
          <w:sz w:val="22"/>
          <w:szCs w:val="22"/>
          <w:lang w:val="en-US"/>
        </w:rPr>
        <w:t xml:space="preserve"> siRNA</w:t>
      </w:r>
      <w:r w:rsidR="00FE5B5B">
        <w:rPr>
          <w:rFonts w:ascii="Arial" w:hAnsi="Arial" w:cs="Arial"/>
          <w:sz w:val="22"/>
          <w:szCs w:val="22"/>
          <w:lang w:val="en-US"/>
        </w:rPr>
        <w:t xml:space="preserve">. </w:t>
      </w:r>
      <w:r w:rsidR="00FE5B5B" w:rsidRPr="00FE5B5B">
        <w:rPr>
          <w:rFonts w:ascii="Arial" w:hAnsi="Arial" w:cs="Arial"/>
          <w:b/>
          <w:bCs/>
          <w:sz w:val="22"/>
          <w:szCs w:val="22"/>
          <w:lang w:val="en-US"/>
        </w:rPr>
        <w:t>C</w:t>
      </w:r>
      <w:r w:rsidR="00FE5B5B">
        <w:rPr>
          <w:rFonts w:ascii="Arial" w:hAnsi="Arial" w:cs="Arial"/>
          <w:sz w:val="22"/>
          <w:szCs w:val="22"/>
          <w:lang w:val="en-US"/>
        </w:rPr>
        <w:t xml:space="preserve"> </w:t>
      </w:r>
      <w:r w:rsidR="00FE5B5B" w:rsidRPr="00FE5B5B">
        <w:rPr>
          <w:rFonts w:ascii="Arial" w:hAnsi="Arial" w:cs="Arial"/>
          <w:sz w:val="22"/>
          <w:szCs w:val="22"/>
          <w:lang w:val="en-US"/>
        </w:rPr>
        <w:t xml:space="preserve">Western blot of </w:t>
      </w:r>
      <w:r w:rsidR="00FE5B5B">
        <w:rPr>
          <w:rFonts w:ascii="Arial" w:hAnsi="Arial" w:cs="Arial"/>
          <w:sz w:val="22"/>
          <w:szCs w:val="22"/>
          <w:lang w:val="en-US"/>
        </w:rPr>
        <w:t xml:space="preserve">DDR markers </w:t>
      </w:r>
      <w:r w:rsidR="00FE5B5B" w:rsidRPr="00FE5B5B">
        <w:rPr>
          <w:rFonts w:ascii="Arial" w:hAnsi="Arial" w:cs="Arial"/>
          <w:sz w:val="22"/>
          <w:szCs w:val="22"/>
          <w:lang w:val="en-US"/>
        </w:rPr>
        <w:t xml:space="preserve">(γH2AX, KAP1) and SAPK (p38MAPK, JNK) </w:t>
      </w:r>
      <w:r w:rsidR="00FE5B5B">
        <w:rPr>
          <w:rFonts w:ascii="Arial" w:hAnsi="Arial" w:cs="Arial"/>
          <w:sz w:val="22"/>
          <w:szCs w:val="22"/>
          <w:lang w:val="en-US"/>
        </w:rPr>
        <w:t>in</w:t>
      </w:r>
      <w:r w:rsidR="00FE5B5B" w:rsidRPr="00FE5B5B">
        <w:rPr>
          <w:rFonts w:ascii="Arial" w:hAnsi="Arial" w:cs="Arial"/>
          <w:sz w:val="22"/>
          <w:szCs w:val="22"/>
          <w:lang w:val="en-US"/>
        </w:rPr>
        <w:t xml:space="preserve"> HELV617F cells (JAK2V617F) and HEL-edited cells (JAK2wt)</w:t>
      </w:r>
      <w:r w:rsidR="00FE5B5B">
        <w:rPr>
          <w:rFonts w:ascii="Arial" w:hAnsi="Arial" w:cs="Arial"/>
          <w:sz w:val="22"/>
          <w:szCs w:val="22"/>
          <w:lang w:val="en-US"/>
        </w:rPr>
        <w:t xml:space="preserve"> 72h-post</w:t>
      </w:r>
      <w:r w:rsidR="00FE5B5B" w:rsidRPr="00FE5B5B">
        <w:rPr>
          <w:rFonts w:ascii="Arial" w:hAnsi="Arial" w:cs="Arial"/>
          <w:sz w:val="22"/>
          <w:szCs w:val="22"/>
          <w:lang w:val="en-US"/>
        </w:rPr>
        <w:t xml:space="preserve"> siRNA transfection with DUSP1 siRNA (</w:t>
      </w:r>
      <w:proofErr w:type="spellStart"/>
      <w:r w:rsidR="00FE5B5B" w:rsidRPr="00FE5B5B">
        <w:rPr>
          <w:rFonts w:ascii="Arial" w:hAnsi="Arial" w:cs="Arial"/>
          <w:sz w:val="22"/>
          <w:szCs w:val="22"/>
          <w:lang w:val="en-US"/>
        </w:rPr>
        <w:t>si</w:t>
      </w:r>
      <w:proofErr w:type="spellEnd"/>
      <w:r w:rsidR="00FE5B5B" w:rsidRPr="00FE5B5B">
        <w:rPr>
          <w:rFonts w:ascii="Arial" w:hAnsi="Arial" w:cs="Arial"/>
          <w:sz w:val="22"/>
          <w:szCs w:val="22"/>
          <w:lang w:val="en-US"/>
        </w:rPr>
        <w:t>) and scrambled control (</w:t>
      </w:r>
      <w:proofErr w:type="spellStart"/>
      <w:r w:rsidR="00FE5B5B" w:rsidRPr="00FE5B5B">
        <w:rPr>
          <w:rFonts w:ascii="Arial" w:hAnsi="Arial" w:cs="Arial"/>
          <w:sz w:val="22"/>
          <w:szCs w:val="22"/>
          <w:lang w:val="en-US"/>
        </w:rPr>
        <w:t>scr</w:t>
      </w:r>
      <w:proofErr w:type="spellEnd"/>
      <w:r w:rsidR="00FE5B5B" w:rsidRPr="00FE5B5B">
        <w:rPr>
          <w:rFonts w:ascii="Arial" w:hAnsi="Arial" w:cs="Arial"/>
          <w:sz w:val="22"/>
          <w:szCs w:val="22"/>
          <w:lang w:val="en-US"/>
        </w:rPr>
        <w:t>)</w:t>
      </w:r>
      <w:r w:rsidR="00FE5B5B">
        <w:rPr>
          <w:rFonts w:ascii="Arial" w:hAnsi="Arial" w:cs="Arial"/>
          <w:sz w:val="22"/>
          <w:szCs w:val="22"/>
          <w:lang w:val="en-US"/>
        </w:rPr>
        <w:t xml:space="preserve">. Bar graphs show relevant </w:t>
      </w:r>
      <w:r w:rsidR="00FE5B5B" w:rsidRPr="00FE5B5B">
        <w:rPr>
          <w:rFonts w:ascii="Arial" w:hAnsi="Arial" w:cs="Arial"/>
          <w:sz w:val="22"/>
          <w:szCs w:val="22"/>
          <w:lang w:val="en-US"/>
        </w:rPr>
        <w:t>γH2AX</w:t>
      </w:r>
      <w:r w:rsidR="0052433A">
        <w:rPr>
          <w:rFonts w:ascii="Arial" w:hAnsi="Arial" w:cs="Arial"/>
          <w:sz w:val="22"/>
          <w:szCs w:val="22"/>
          <w:lang w:val="en-US"/>
        </w:rPr>
        <w:t xml:space="preserve"> and </w:t>
      </w:r>
      <w:r w:rsidR="00FE5B5B" w:rsidRPr="00FE5B5B">
        <w:rPr>
          <w:rFonts w:ascii="Arial" w:hAnsi="Arial" w:cs="Arial"/>
          <w:sz w:val="22"/>
          <w:szCs w:val="22"/>
          <w:lang w:val="en-US"/>
        </w:rPr>
        <w:t xml:space="preserve">p38 T180/Y182 </w:t>
      </w:r>
      <w:r w:rsidR="0052433A">
        <w:rPr>
          <w:rFonts w:ascii="Arial" w:hAnsi="Arial" w:cs="Arial"/>
          <w:sz w:val="22"/>
          <w:szCs w:val="22"/>
          <w:lang w:val="en-US"/>
        </w:rPr>
        <w:t>protein</w:t>
      </w:r>
      <w:r w:rsidR="00FE5B5B" w:rsidRPr="00FE5B5B">
        <w:rPr>
          <w:rFonts w:ascii="Arial" w:hAnsi="Arial" w:cs="Arial"/>
          <w:sz w:val="22"/>
          <w:szCs w:val="22"/>
          <w:lang w:val="en-US"/>
        </w:rPr>
        <w:t xml:space="preserve"> expression </w:t>
      </w:r>
      <w:r w:rsidR="0052433A">
        <w:rPr>
          <w:rFonts w:ascii="Arial" w:hAnsi="Arial" w:cs="Arial"/>
          <w:sz w:val="22"/>
          <w:szCs w:val="22"/>
          <w:lang w:val="en-US"/>
        </w:rPr>
        <w:lastRenderedPageBreak/>
        <w:t>(</w:t>
      </w:r>
      <w:r w:rsidR="0052433A" w:rsidRPr="00F7124E">
        <w:rPr>
          <w:rFonts w:ascii="Arial" w:hAnsi="Arial" w:cs="Arial"/>
          <w:sz w:val="22"/>
          <w:szCs w:val="22"/>
          <w:lang w:val="en-US"/>
        </w:rPr>
        <w:t>mean ± SD, n = 3</w:t>
      </w:r>
      <w:r w:rsidR="0052433A">
        <w:rPr>
          <w:rFonts w:ascii="Arial" w:hAnsi="Arial" w:cs="Arial"/>
          <w:sz w:val="22"/>
          <w:szCs w:val="22"/>
          <w:lang w:val="en-US"/>
        </w:rPr>
        <w:t xml:space="preserve">) </w:t>
      </w:r>
      <w:r w:rsidR="00FE5B5B" w:rsidRPr="00FE5B5B">
        <w:rPr>
          <w:rFonts w:ascii="Arial" w:hAnsi="Arial" w:cs="Arial"/>
          <w:sz w:val="22"/>
          <w:szCs w:val="22"/>
          <w:lang w:val="en-US"/>
        </w:rPr>
        <w:t>normalized to actin</w:t>
      </w:r>
      <w:r w:rsidR="0052433A">
        <w:rPr>
          <w:rFonts w:ascii="Arial" w:hAnsi="Arial" w:cs="Arial"/>
          <w:sz w:val="22"/>
          <w:szCs w:val="22"/>
          <w:lang w:val="en-US"/>
        </w:rPr>
        <w:t xml:space="preserve">. </w:t>
      </w:r>
      <w:r w:rsidR="0052433A" w:rsidRPr="0052433A">
        <w:rPr>
          <w:rFonts w:ascii="Arial" w:hAnsi="Arial" w:cs="Arial"/>
          <w:sz w:val="22"/>
          <w:szCs w:val="22"/>
          <w:lang w:val="en-US"/>
        </w:rPr>
        <w:t>*P ≤ 0.05, ****P ≤ 0.0001, one-way</w:t>
      </w:r>
      <w:r w:rsidR="00FE5B5B">
        <w:rPr>
          <w:rFonts w:ascii="Arial" w:hAnsi="Arial" w:cs="Arial"/>
          <w:sz w:val="22"/>
          <w:szCs w:val="22"/>
          <w:lang w:val="en-US"/>
        </w:rPr>
        <w:t xml:space="preserve"> </w:t>
      </w:r>
      <w:r w:rsidR="0052433A">
        <w:rPr>
          <w:rFonts w:ascii="Arial" w:hAnsi="Arial" w:cs="Arial"/>
          <w:sz w:val="22"/>
          <w:szCs w:val="22"/>
          <w:lang w:val="en-US"/>
        </w:rPr>
        <w:t xml:space="preserve">ANOVA </w:t>
      </w:r>
      <w:r w:rsidR="00FE5B5B" w:rsidRPr="00FE5B5B">
        <w:rPr>
          <w:rFonts w:ascii="Arial" w:hAnsi="Arial" w:cs="Arial"/>
          <w:b/>
          <w:bCs/>
          <w:sz w:val="22"/>
          <w:szCs w:val="22"/>
          <w:lang w:val="en-US"/>
        </w:rPr>
        <w:t>D</w:t>
      </w:r>
      <w:r w:rsidR="00FE5B5B">
        <w:rPr>
          <w:rFonts w:ascii="Arial" w:hAnsi="Arial" w:cs="Arial"/>
          <w:sz w:val="22"/>
          <w:szCs w:val="22"/>
          <w:lang w:val="en-US"/>
        </w:rPr>
        <w:t xml:space="preserve"> </w:t>
      </w:r>
      <w:r w:rsidR="0052433A" w:rsidRPr="0052433A">
        <w:rPr>
          <w:rFonts w:ascii="Arial" w:hAnsi="Arial" w:cs="Arial"/>
          <w:sz w:val="22"/>
          <w:szCs w:val="22"/>
          <w:lang w:val="en-US"/>
        </w:rPr>
        <w:t>Cell cycle distribution and apoptosis bar charts show percentage of cell numbers </w:t>
      </w:r>
      <w:r w:rsidR="0052433A">
        <w:rPr>
          <w:rFonts w:ascii="Arial" w:hAnsi="Arial" w:cs="Arial"/>
          <w:sz w:val="22"/>
          <w:szCs w:val="22"/>
          <w:lang w:val="en-US"/>
        </w:rPr>
        <w:t xml:space="preserve">(mean </w:t>
      </w:r>
      <w:r w:rsidR="0052433A" w:rsidRPr="0052433A">
        <w:rPr>
          <w:rFonts w:ascii="Arial" w:hAnsi="Arial" w:cs="Arial"/>
          <w:sz w:val="22"/>
          <w:szCs w:val="22"/>
          <w:lang w:val="en-US"/>
        </w:rPr>
        <w:t>± SD</w:t>
      </w:r>
      <w:r w:rsidR="0052433A">
        <w:rPr>
          <w:rFonts w:ascii="Arial" w:hAnsi="Arial" w:cs="Arial"/>
          <w:sz w:val="22"/>
          <w:szCs w:val="22"/>
          <w:lang w:val="en-US"/>
        </w:rPr>
        <w:t xml:space="preserve">; n=4) </w:t>
      </w:r>
      <w:r w:rsidR="0052433A" w:rsidRPr="0052433A">
        <w:rPr>
          <w:rFonts w:ascii="Arial" w:hAnsi="Arial" w:cs="Arial"/>
          <w:sz w:val="22"/>
          <w:szCs w:val="22"/>
          <w:lang w:val="en-US"/>
        </w:rPr>
        <w:t>in each phase of cell cycle and percentage of apoptotic cells, respectively</w:t>
      </w:r>
      <w:r w:rsidR="0052433A">
        <w:rPr>
          <w:rFonts w:ascii="Arial" w:hAnsi="Arial" w:cs="Arial"/>
          <w:sz w:val="22"/>
          <w:szCs w:val="22"/>
          <w:lang w:val="en-US"/>
        </w:rPr>
        <w:t xml:space="preserve"> in </w:t>
      </w:r>
      <w:r w:rsidR="0052433A" w:rsidRPr="00FE5B5B">
        <w:rPr>
          <w:rFonts w:ascii="Arial" w:hAnsi="Arial" w:cs="Arial"/>
          <w:sz w:val="22"/>
          <w:szCs w:val="22"/>
          <w:lang w:val="en-US"/>
        </w:rPr>
        <w:t>HELV617F cells (JAK2V617F) and HEL-edited cells (JAK2wt)</w:t>
      </w:r>
      <w:r w:rsidR="0052433A">
        <w:rPr>
          <w:rFonts w:ascii="Arial" w:hAnsi="Arial" w:cs="Arial"/>
          <w:sz w:val="22"/>
          <w:szCs w:val="22"/>
          <w:lang w:val="en-US"/>
        </w:rPr>
        <w:t xml:space="preserve"> 72h-post</w:t>
      </w:r>
      <w:r w:rsidR="0052433A" w:rsidRPr="00FE5B5B">
        <w:rPr>
          <w:rFonts w:ascii="Arial" w:hAnsi="Arial" w:cs="Arial"/>
          <w:sz w:val="22"/>
          <w:szCs w:val="22"/>
          <w:lang w:val="en-US"/>
        </w:rPr>
        <w:t xml:space="preserve"> siRNA transfection with DUSP1 siRNA (</w:t>
      </w:r>
      <w:proofErr w:type="spellStart"/>
      <w:r w:rsidR="0052433A" w:rsidRPr="00FE5B5B">
        <w:rPr>
          <w:rFonts w:ascii="Arial" w:hAnsi="Arial" w:cs="Arial"/>
          <w:sz w:val="22"/>
          <w:szCs w:val="22"/>
          <w:lang w:val="en-US"/>
        </w:rPr>
        <w:t>si</w:t>
      </w:r>
      <w:proofErr w:type="spellEnd"/>
      <w:r w:rsidR="0052433A" w:rsidRPr="00FE5B5B">
        <w:rPr>
          <w:rFonts w:ascii="Arial" w:hAnsi="Arial" w:cs="Arial"/>
          <w:sz w:val="22"/>
          <w:szCs w:val="22"/>
          <w:lang w:val="en-US"/>
        </w:rPr>
        <w:t>) and scrambled control (</w:t>
      </w:r>
      <w:proofErr w:type="spellStart"/>
      <w:r w:rsidR="0052433A" w:rsidRPr="00FE5B5B">
        <w:rPr>
          <w:rFonts w:ascii="Arial" w:hAnsi="Arial" w:cs="Arial"/>
          <w:sz w:val="22"/>
          <w:szCs w:val="22"/>
          <w:lang w:val="en-US"/>
        </w:rPr>
        <w:t>scr</w:t>
      </w:r>
      <w:proofErr w:type="spellEnd"/>
      <w:r w:rsidR="0052433A" w:rsidRPr="00FE5B5B">
        <w:rPr>
          <w:rFonts w:ascii="Arial" w:hAnsi="Arial" w:cs="Arial"/>
          <w:sz w:val="22"/>
          <w:szCs w:val="22"/>
          <w:lang w:val="en-US"/>
        </w:rPr>
        <w:t>)</w:t>
      </w:r>
      <w:r w:rsidR="0052433A">
        <w:rPr>
          <w:rFonts w:ascii="Arial" w:hAnsi="Arial" w:cs="Arial"/>
          <w:sz w:val="22"/>
          <w:szCs w:val="22"/>
          <w:lang w:val="en-US"/>
        </w:rPr>
        <w:t>.</w:t>
      </w:r>
    </w:p>
    <w:p w14:paraId="261685B2" w14:textId="77777777" w:rsidR="00803EA7" w:rsidRDefault="00803EA7">
      <w:pPr>
        <w:rPr>
          <w:rFonts w:ascii="Arial" w:hAnsi="Arial" w:cs="Arial"/>
          <w:b/>
          <w:bCs/>
          <w:sz w:val="22"/>
          <w:szCs w:val="22"/>
          <w:lang w:val="en-US"/>
        </w:rPr>
      </w:pPr>
      <w:r>
        <w:rPr>
          <w:rFonts w:ascii="Arial" w:hAnsi="Arial" w:cs="Arial"/>
          <w:b/>
          <w:bCs/>
          <w:sz w:val="22"/>
          <w:szCs w:val="22"/>
          <w:lang w:val="en-US"/>
        </w:rPr>
        <w:br w:type="page"/>
      </w:r>
    </w:p>
    <w:p w14:paraId="4913C632" w14:textId="20ADAC11" w:rsidR="00AF69C3" w:rsidRPr="009B653F" w:rsidRDefault="00AF69C3" w:rsidP="009B653F">
      <w:pPr>
        <w:pStyle w:val="Formatvorlage1"/>
        <w:rPr>
          <w:rFonts w:cs="Arial"/>
        </w:rPr>
      </w:pPr>
      <w:bookmarkStart w:id="22" w:name="_Toc57582497"/>
      <w:r w:rsidRPr="009B653F">
        <w:rPr>
          <w:rFonts w:cs="Arial"/>
        </w:rPr>
        <w:lastRenderedPageBreak/>
        <w:t>Publications related to this aim:</w:t>
      </w:r>
      <w:bookmarkEnd w:id="22"/>
    </w:p>
    <w:p w14:paraId="54DC4270" w14:textId="77777777" w:rsidR="0080427B" w:rsidRDefault="0080427B" w:rsidP="00AF69C3">
      <w:pPr>
        <w:spacing w:line="360" w:lineRule="auto"/>
        <w:jc w:val="both"/>
        <w:rPr>
          <w:rFonts w:ascii="Arial" w:hAnsi="Arial" w:cs="Arial"/>
          <w:b/>
          <w:bCs/>
          <w:sz w:val="22"/>
          <w:szCs w:val="22"/>
          <w:lang w:val="en-US"/>
        </w:rPr>
      </w:pPr>
    </w:p>
    <w:p w14:paraId="16A73F6A" w14:textId="6337203A" w:rsidR="00AF69C3" w:rsidRPr="003A5293" w:rsidRDefault="00AF69C3" w:rsidP="00AF69C3">
      <w:pPr>
        <w:spacing w:line="360" w:lineRule="auto"/>
        <w:jc w:val="both"/>
        <w:rPr>
          <w:rFonts w:ascii="Arial" w:hAnsi="Arial" w:cs="Arial"/>
          <w:sz w:val="22"/>
          <w:szCs w:val="22"/>
          <w:lang w:val="en-US"/>
        </w:rPr>
      </w:pPr>
      <w:r w:rsidRPr="006E03E6">
        <w:rPr>
          <w:rFonts w:ascii="Arial" w:hAnsi="Arial" w:cs="Arial"/>
          <w:b/>
          <w:bCs/>
          <w:sz w:val="22"/>
          <w:szCs w:val="22"/>
          <w:lang w:val="en-US"/>
        </w:rPr>
        <w:t>Articles</w:t>
      </w:r>
      <w:r w:rsidRPr="003A5293">
        <w:rPr>
          <w:rFonts w:ascii="Arial" w:hAnsi="Arial" w:cs="Arial"/>
          <w:sz w:val="22"/>
          <w:szCs w:val="22"/>
          <w:lang w:val="en-US"/>
        </w:rPr>
        <w:t>:</w:t>
      </w:r>
    </w:p>
    <w:p w14:paraId="2938716B" w14:textId="77777777" w:rsidR="00336950" w:rsidRDefault="00336950" w:rsidP="00336950">
      <w:pPr>
        <w:spacing w:line="360" w:lineRule="auto"/>
        <w:jc w:val="both"/>
        <w:rPr>
          <w:rFonts w:ascii="Arial" w:hAnsi="Arial" w:cs="Arial"/>
          <w:sz w:val="22"/>
          <w:szCs w:val="22"/>
          <w:lang w:val="en-US"/>
        </w:rPr>
      </w:pPr>
      <w:proofErr w:type="spellStart"/>
      <w:r>
        <w:rPr>
          <w:rFonts w:ascii="Arial" w:hAnsi="Arial" w:cs="Arial"/>
          <w:sz w:val="22"/>
          <w:szCs w:val="22"/>
          <w:lang w:val="en-US"/>
        </w:rPr>
        <w:t>S</w:t>
      </w:r>
      <w:r w:rsidRPr="00336950">
        <w:rPr>
          <w:rFonts w:ascii="Arial" w:hAnsi="Arial" w:cs="Arial"/>
          <w:sz w:val="22"/>
          <w:szCs w:val="22"/>
          <w:lang w:val="en-US"/>
        </w:rPr>
        <w:t>tetka</w:t>
      </w:r>
      <w:proofErr w:type="spellEnd"/>
      <w:r w:rsidRPr="00336950">
        <w:rPr>
          <w:rFonts w:ascii="Arial" w:hAnsi="Arial" w:cs="Arial"/>
          <w:sz w:val="22"/>
          <w:szCs w:val="22"/>
          <w:lang w:val="en-US"/>
        </w:rPr>
        <w:t xml:space="preserve">, J., </w:t>
      </w:r>
      <w:proofErr w:type="spellStart"/>
      <w:r w:rsidRPr="00336950">
        <w:rPr>
          <w:rFonts w:ascii="Arial" w:hAnsi="Arial" w:cs="Arial"/>
          <w:sz w:val="22"/>
          <w:szCs w:val="22"/>
          <w:lang w:val="en-US"/>
        </w:rPr>
        <w:t>Vyhlidalova</w:t>
      </w:r>
      <w:proofErr w:type="spellEnd"/>
      <w:r w:rsidRPr="00336950">
        <w:rPr>
          <w:rFonts w:ascii="Arial" w:hAnsi="Arial" w:cs="Arial"/>
          <w:sz w:val="22"/>
          <w:szCs w:val="22"/>
          <w:lang w:val="en-US"/>
        </w:rPr>
        <w:t xml:space="preserve">, P., </w:t>
      </w:r>
      <w:proofErr w:type="spellStart"/>
      <w:r w:rsidRPr="00336950">
        <w:rPr>
          <w:rFonts w:ascii="Arial" w:hAnsi="Arial" w:cs="Arial"/>
          <w:sz w:val="22"/>
          <w:szCs w:val="22"/>
          <w:lang w:val="en-US"/>
        </w:rPr>
        <w:t>Lanikova</w:t>
      </w:r>
      <w:proofErr w:type="spellEnd"/>
      <w:r w:rsidRPr="00336950">
        <w:rPr>
          <w:rFonts w:ascii="Arial" w:hAnsi="Arial" w:cs="Arial"/>
          <w:sz w:val="22"/>
          <w:szCs w:val="22"/>
          <w:lang w:val="en-US"/>
        </w:rPr>
        <w:t xml:space="preserve">, L., </w:t>
      </w:r>
      <w:proofErr w:type="spellStart"/>
      <w:r w:rsidRPr="00336950">
        <w:rPr>
          <w:rFonts w:ascii="Arial" w:hAnsi="Arial" w:cs="Arial"/>
          <w:sz w:val="22"/>
          <w:szCs w:val="22"/>
          <w:lang w:val="en-US"/>
        </w:rPr>
        <w:t>Koralkova</w:t>
      </w:r>
      <w:proofErr w:type="spellEnd"/>
      <w:r w:rsidRPr="00336950">
        <w:rPr>
          <w:rFonts w:ascii="Arial" w:hAnsi="Arial" w:cs="Arial"/>
          <w:sz w:val="22"/>
          <w:szCs w:val="22"/>
          <w:lang w:val="en-US"/>
        </w:rPr>
        <w:t xml:space="preserve">, P., </w:t>
      </w:r>
      <w:proofErr w:type="spellStart"/>
      <w:r w:rsidRPr="00336950">
        <w:rPr>
          <w:rFonts w:ascii="Arial" w:hAnsi="Arial" w:cs="Arial"/>
          <w:sz w:val="22"/>
          <w:szCs w:val="22"/>
          <w:lang w:val="en-US"/>
        </w:rPr>
        <w:t>Gursky</w:t>
      </w:r>
      <w:proofErr w:type="spellEnd"/>
      <w:r w:rsidRPr="00336950">
        <w:rPr>
          <w:rFonts w:ascii="Arial" w:hAnsi="Arial" w:cs="Arial"/>
          <w:sz w:val="22"/>
          <w:szCs w:val="22"/>
          <w:lang w:val="en-US"/>
        </w:rPr>
        <w:t xml:space="preserve">, J., </w:t>
      </w:r>
      <w:proofErr w:type="spellStart"/>
      <w:r w:rsidRPr="00336950">
        <w:rPr>
          <w:rFonts w:ascii="Arial" w:hAnsi="Arial" w:cs="Arial"/>
          <w:sz w:val="22"/>
          <w:szCs w:val="22"/>
          <w:lang w:val="en-US"/>
        </w:rPr>
        <w:t>Hlusi</w:t>
      </w:r>
      <w:proofErr w:type="spellEnd"/>
      <w:r w:rsidRPr="00336950">
        <w:rPr>
          <w:rFonts w:ascii="Arial" w:hAnsi="Arial" w:cs="Arial"/>
          <w:sz w:val="22"/>
          <w:szCs w:val="22"/>
          <w:lang w:val="en-US"/>
        </w:rPr>
        <w:t xml:space="preserve">, A., </w:t>
      </w:r>
      <w:proofErr w:type="spellStart"/>
      <w:r w:rsidRPr="00336950">
        <w:rPr>
          <w:rFonts w:ascii="Arial" w:hAnsi="Arial" w:cs="Arial"/>
          <w:sz w:val="22"/>
          <w:szCs w:val="22"/>
          <w:lang w:val="en-US"/>
        </w:rPr>
        <w:t>Flodr</w:t>
      </w:r>
      <w:proofErr w:type="spellEnd"/>
      <w:r w:rsidRPr="00336950">
        <w:rPr>
          <w:rFonts w:ascii="Arial" w:hAnsi="Arial" w:cs="Arial"/>
          <w:sz w:val="22"/>
          <w:szCs w:val="22"/>
          <w:lang w:val="en-US"/>
        </w:rPr>
        <w:t xml:space="preserve">, P., </w:t>
      </w:r>
      <w:proofErr w:type="spellStart"/>
      <w:r w:rsidRPr="00336950">
        <w:rPr>
          <w:rFonts w:ascii="Arial" w:hAnsi="Arial" w:cs="Arial"/>
          <w:sz w:val="22"/>
          <w:szCs w:val="22"/>
          <w:lang w:val="en-US"/>
        </w:rPr>
        <w:t>Hubackova</w:t>
      </w:r>
      <w:proofErr w:type="spellEnd"/>
      <w:r w:rsidRPr="00336950">
        <w:rPr>
          <w:rFonts w:ascii="Arial" w:hAnsi="Arial" w:cs="Arial"/>
          <w:sz w:val="22"/>
          <w:szCs w:val="22"/>
          <w:lang w:val="en-US"/>
        </w:rPr>
        <w:t xml:space="preserve">, S., Bartek, J., </w:t>
      </w:r>
      <w:proofErr w:type="spellStart"/>
      <w:r w:rsidRPr="00336950">
        <w:rPr>
          <w:rFonts w:ascii="Arial" w:hAnsi="Arial" w:cs="Arial"/>
          <w:sz w:val="22"/>
          <w:szCs w:val="22"/>
          <w:lang w:val="en-US"/>
        </w:rPr>
        <w:t>Hodny</w:t>
      </w:r>
      <w:proofErr w:type="spellEnd"/>
      <w:r w:rsidRPr="00336950">
        <w:rPr>
          <w:rFonts w:ascii="Arial" w:hAnsi="Arial" w:cs="Arial"/>
          <w:sz w:val="22"/>
          <w:szCs w:val="22"/>
          <w:lang w:val="en-US"/>
        </w:rPr>
        <w:t xml:space="preserve">, Z., </w:t>
      </w:r>
      <w:proofErr w:type="spellStart"/>
      <w:r w:rsidRPr="00336950">
        <w:rPr>
          <w:rFonts w:ascii="Arial" w:hAnsi="Arial" w:cs="Arial"/>
          <w:sz w:val="22"/>
          <w:szCs w:val="22"/>
          <w:lang w:val="en-US"/>
        </w:rPr>
        <w:t>Divoky</w:t>
      </w:r>
      <w:proofErr w:type="spellEnd"/>
      <w:r w:rsidRPr="00336950">
        <w:rPr>
          <w:rFonts w:ascii="Arial" w:hAnsi="Arial" w:cs="Arial"/>
          <w:sz w:val="22"/>
          <w:szCs w:val="22"/>
          <w:lang w:val="en-US"/>
        </w:rPr>
        <w:t>, V., 2019. Addiction to DUSP1 protects JAK2V617F-driven polycythemia vera progenitors against inflammatory stress and DNA damage, allowing chronic proliferation. Oncogene 38, 5627–5642. https://doi.org/10.1038/s41388-019-0813-7</w:t>
      </w:r>
    </w:p>
    <w:p w14:paraId="7563DA47" w14:textId="77777777" w:rsidR="00336950" w:rsidRDefault="00336950" w:rsidP="005D01C6">
      <w:pPr>
        <w:spacing w:line="360" w:lineRule="auto"/>
        <w:jc w:val="both"/>
        <w:rPr>
          <w:rFonts w:ascii="Arial" w:hAnsi="Arial" w:cs="Arial"/>
          <w:sz w:val="22"/>
          <w:szCs w:val="22"/>
          <w:lang w:val="en-US"/>
        </w:rPr>
      </w:pPr>
    </w:p>
    <w:p w14:paraId="12B9CFC8" w14:textId="77777777" w:rsidR="00336950" w:rsidRDefault="00336950" w:rsidP="00336950">
      <w:pPr>
        <w:spacing w:line="360" w:lineRule="auto"/>
        <w:jc w:val="both"/>
        <w:rPr>
          <w:rFonts w:ascii="Arial" w:hAnsi="Arial" w:cs="Arial"/>
          <w:sz w:val="22"/>
          <w:szCs w:val="22"/>
          <w:lang w:val="en-US"/>
        </w:rPr>
      </w:pPr>
      <w:r w:rsidRPr="006E03E6">
        <w:rPr>
          <w:rFonts w:ascii="Arial" w:hAnsi="Arial" w:cs="Arial"/>
          <w:b/>
          <w:bCs/>
          <w:sz w:val="22"/>
          <w:szCs w:val="22"/>
          <w:lang w:val="en-US"/>
        </w:rPr>
        <w:t>Abstracts</w:t>
      </w:r>
      <w:r w:rsidRPr="003A5293">
        <w:rPr>
          <w:rFonts w:ascii="Arial" w:hAnsi="Arial" w:cs="Arial"/>
          <w:sz w:val="22"/>
          <w:szCs w:val="22"/>
          <w:lang w:val="en-US"/>
        </w:rPr>
        <w:t>:</w:t>
      </w:r>
    </w:p>
    <w:p w14:paraId="7D64D40A" w14:textId="77777777" w:rsidR="00336950" w:rsidRDefault="00336950" w:rsidP="00336950">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 Bartek</w:t>
      </w:r>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Divoky</w:t>
      </w:r>
      <w:proofErr w:type="spellEnd"/>
      <w:r>
        <w:rPr>
          <w:rFonts w:ascii="Arial" w:hAnsi="Arial" w:cs="Arial"/>
          <w:sz w:val="22"/>
          <w:szCs w:val="22"/>
          <w:lang w:val="en-US"/>
        </w:rPr>
        <w:t>,</w:t>
      </w:r>
      <w:r w:rsidRPr="006C276C">
        <w:rPr>
          <w:rFonts w:ascii="Arial" w:hAnsi="Arial" w:cs="Arial"/>
          <w:sz w:val="22"/>
          <w:szCs w:val="22"/>
          <w:lang w:val="en-US"/>
        </w:rPr>
        <w:t xml:space="preserve"> V.</w:t>
      </w:r>
      <w:r>
        <w:rPr>
          <w:rFonts w:ascii="Arial" w:hAnsi="Arial" w:cs="Arial"/>
          <w:sz w:val="22"/>
          <w:szCs w:val="22"/>
          <w:lang w:val="en-US"/>
        </w:rPr>
        <w:t>, 2015.</w:t>
      </w:r>
      <w:r w:rsidRPr="006C276C">
        <w:rPr>
          <w:rFonts w:ascii="Arial" w:hAnsi="Arial" w:cs="Arial"/>
          <w:sz w:val="22"/>
          <w:szCs w:val="22"/>
          <w:lang w:val="en-US"/>
        </w:rPr>
        <w:t xml:space="preserve"> Inflammatory response of hematopoietic progenitors differentiated from polycythemia vera patient-specific induced pluripotent stem cells. International Conference on the </w:t>
      </w:r>
      <w:proofErr w:type="spellStart"/>
      <w:r w:rsidRPr="006C276C">
        <w:rPr>
          <w:rFonts w:ascii="Arial" w:hAnsi="Arial" w:cs="Arial"/>
          <w:sz w:val="22"/>
          <w:szCs w:val="22"/>
          <w:lang w:val="en-US"/>
        </w:rPr>
        <w:t>tumour</w:t>
      </w:r>
      <w:proofErr w:type="spellEnd"/>
      <w:r w:rsidRPr="006C276C">
        <w:rPr>
          <w:rFonts w:ascii="Arial" w:hAnsi="Arial" w:cs="Arial"/>
          <w:sz w:val="22"/>
          <w:szCs w:val="22"/>
          <w:lang w:val="en-US"/>
        </w:rPr>
        <w:t xml:space="preserve"> microenvironment in the </w:t>
      </w:r>
      <w:proofErr w:type="spellStart"/>
      <w:r w:rsidRPr="006C276C">
        <w:rPr>
          <w:rFonts w:ascii="Arial" w:hAnsi="Arial" w:cs="Arial"/>
          <w:sz w:val="22"/>
          <w:szCs w:val="22"/>
          <w:lang w:val="en-US"/>
        </w:rPr>
        <w:t>haematological</w:t>
      </w:r>
      <w:proofErr w:type="spellEnd"/>
      <w:r w:rsidRPr="006C276C">
        <w:rPr>
          <w:rFonts w:ascii="Arial" w:hAnsi="Arial" w:cs="Arial"/>
          <w:sz w:val="22"/>
          <w:szCs w:val="22"/>
          <w:lang w:val="en-US"/>
        </w:rPr>
        <w:t xml:space="preserve"> malignancies and its therapeutic targeting, 201</w:t>
      </w:r>
      <w:r>
        <w:rPr>
          <w:rFonts w:ascii="Arial" w:hAnsi="Arial" w:cs="Arial"/>
          <w:sz w:val="22"/>
          <w:szCs w:val="22"/>
          <w:lang w:val="en-US"/>
        </w:rPr>
        <w:t>5</w:t>
      </w:r>
      <w:r w:rsidRPr="006C276C">
        <w:rPr>
          <w:rFonts w:ascii="Arial" w:hAnsi="Arial" w:cs="Arial"/>
          <w:sz w:val="22"/>
          <w:szCs w:val="22"/>
          <w:lang w:val="en-US"/>
        </w:rPr>
        <w:t xml:space="preserve">, Lisbon, Portugal, </w:t>
      </w:r>
      <w:r>
        <w:rPr>
          <w:rFonts w:ascii="Arial" w:hAnsi="Arial" w:cs="Arial"/>
          <w:sz w:val="22"/>
          <w:szCs w:val="22"/>
          <w:lang w:val="en-US"/>
        </w:rPr>
        <w:t>abstracts</w:t>
      </w:r>
      <w:r w:rsidRPr="006C276C">
        <w:rPr>
          <w:rFonts w:ascii="Arial" w:hAnsi="Arial" w:cs="Arial"/>
          <w:sz w:val="22"/>
          <w:szCs w:val="22"/>
          <w:lang w:val="en-US"/>
        </w:rPr>
        <w:t>, poster 24</w:t>
      </w:r>
    </w:p>
    <w:p w14:paraId="2027802A" w14:textId="77777777" w:rsidR="00336950" w:rsidRDefault="00336950" w:rsidP="00336950">
      <w:pPr>
        <w:spacing w:line="360" w:lineRule="auto"/>
        <w:jc w:val="both"/>
        <w:rPr>
          <w:rFonts w:ascii="Arial" w:hAnsi="Arial" w:cs="Arial"/>
          <w:sz w:val="22"/>
          <w:szCs w:val="22"/>
          <w:lang w:val="en-US"/>
        </w:rPr>
      </w:pPr>
    </w:p>
    <w:p w14:paraId="266CA0E7" w14:textId="77777777" w:rsidR="00336950" w:rsidRDefault="00336950" w:rsidP="00336950">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 Bartek</w:t>
      </w:r>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Divoky</w:t>
      </w:r>
      <w:proofErr w:type="spellEnd"/>
      <w:r>
        <w:rPr>
          <w:rFonts w:ascii="Arial" w:hAnsi="Arial" w:cs="Arial"/>
          <w:sz w:val="22"/>
          <w:szCs w:val="22"/>
          <w:lang w:val="en-US"/>
        </w:rPr>
        <w:t>,</w:t>
      </w:r>
      <w:r w:rsidRPr="006C276C">
        <w:rPr>
          <w:rFonts w:ascii="Arial" w:hAnsi="Arial" w:cs="Arial"/>
          <w:sz w:val="22"/>
          <w:szCs w:val="22"/>
          <w:lang w:val="en-US"/>
        </w:rPr>
        <w:t xml:space="preserve"> V.</w:t>
      </w:r>
      <w:r>
        <w:rPr>
          <w:rFonts w:ascii="Arial" w:hAnsi="Arial" w:cs="Arial"/>
          <w:sz w:val="22"/>
          <w:szCs w:val="22"/>
          <w:lang w:val="en-US"/>
        </w:rPr>
        <w:t>, 2015</w:t>
      </w:r>
      <w:r w:rsidRPr="006C276C">
        <w:rPr>
          <w:rFonts w:ascii="Arial" w:hAnsi="Arial" w:cs="Arial"/>
          <w:sz w:val="22"/>
          <w:szCs w:val="22"/>
          <w:lang w:val="en-US"/>
        </w:rPr>
        <w:t xml:space="preserve"> Inflammatory response of polycythemia vera hematopoietic progenitors differentiated from patient-specific induced pluripotent stem cells. </w:t>
      </w:r>
      <w:r w:rsidRPr="0007234B">
        <w:rPr>
          <w:rFonts w:ascii="Arial" w:hAnsi="Arial" w:cs="Arial"/>
          <w:sz w:val="22"/>
          <w:szCs w:val="22"/>
          <w:lang w:val="en-US"/>
        </w:rPr>
        <w:t>Olomouc Hematological Days</w:t>
      </w:r>
      <w:r w:rsidRPr="006C276C">
        <w:rPr>
          <w:rFonts w:ascii="Arial" w:hAnsi="Arial" w:cs="Arial"/>
          <w:sz w:val="22"/>
          <w:szCs w:val="22"/>
          <w:lang w:val="en-US"/>
        </w:rPr>
        <w:t xml:space="preserve">, 2015, Olomouc, </w:t>
      </w:r>
      <w:r>
        <w:rPr>
          <w:rFonts w:ascii="Arial" w:hAnsi="Arial" w:cs="Arial"/>
          <w:sz w:val="22"/>
          <w:szCs w:val="22"/>
          <w:lang w:val="en-US"/>
        </w:rPr>
        <w:t>abstracts,</w:t>
      </w:r>
      <w:r w:rsidRPr="006C276C">
        <w:rPr>
          <w:rFonts w:ascii="Arial" w:hAnsi="Arial" w:cs="Arial"/>
          <w:sz w:val="22"/>
          <w:szCs w:val="22"/>
          <w:lang w:val="en-US"/>
        </w:rPr>
        <w:t xml:space="preserve"> ISBN 978-80-244-4697-4</w:t>
      </w:r>
      <w:r>
        <w:rPr>
          <w:rFonts w:ascii="Arial" w:hAnsi="Arial" w:cs="Arial"/>
          <w:sz w:val="22"/>
          <w:szCs w:val="22"/>
          <w:lang w:val="en-US"/>
        </w:rPr>
        <w:t>, page</w:t>
      </w:r>
      <w:r w:rsidRPr="006C276C">
        <w:rPr>
          <w:rFonts w:ascii="Arial" w:hAnsi="Arial" w:cs="Arial"/>
          <w:sz w:val="22"/>
          <w:szCs w:val="22"/>
          <w:lang w:val="en-US"/>
        </w:rPr>
        <w:t xml:space="preserve"> 6</w:t>
      </w:r>
    </w:p>
    <w:p w14:paraId="306588FF" w14:textId="77777777" w:rsidR="00336950" w:rsidRDefault="00336950" w:rsidP="00336950">
      <w:pPr>
        <w:spacing w:line="360" w:lineRule="auto"/>
        <w:jc w:val="both"/>
        <w:rPr>
          <w:rFonts w:ascii="Arial" w:hAnsi="Arial" w:cs="Arial"/>
          <w:sz w:val="22"/>
          <w:szCs w:val="22"/>
          <w:lang w:val="en-US"/>
        </w:rPr>
      </w:pPr>
    </w:p>
    <w:p w14:paraId="424578A0" w14:textId="77777777" w:rsidR="00336950" w:rsidRDefault="00336950" w:rsidP="00336950">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Raskova</w:t>
      </w:r>
      <w:proofErr w:type="spellEnd"/>
      <w:r w:rsidRPr="006C276C">
        <w:rPr>
          <w:rFonts w:ascii="Arial" w:hAnsi="Arial" w:cs="Arial"/>
          <w:sz w:val="22"/>
          <w:szCs w:val="22"/>
          <w:lang w:val="en-US"/>
        </w:rPr>
        <w:t xml:space="preserve"> </w:t>
      </w:r>
      <w:proofErr w:type="spellStart"/>
      <w:r w:rsidRPr="006C276C">
        <w:rPr>
          <w:rFonts w:ascii="Arial" w:hAnsi="Arial" w:cs="Arial"/>
          <w:sz w:val="22"/>
          <w:szCs w:val="22"/>
          <w:lang w:val="en-US"/>
        </w:rPr>
        <w:t>Kafkova</w:t>
      </w:r>
      <w:proofErr w:type="spellEnd"/>
      <w:r w:rsidRPr="006C276C">
        <w:rPr>
          <w:rFonts w:ascii="Arial" w:hAnsi="Arial" w:cs="Arial"/>
          <w:sz w:val="22"/>
          <w:szCs w:val="22"/>
          <w:lang w:val="en-US"/>
        </w:rPr>
        <w:t xml:space="preserve">, L., </w:t>
      </w:r>
      <w:proofErr w:type="spellStart"/>
      <w:r w:rsidRPr="006C276C">
        <w:rPr>
          <w:rFonts w:ascii="Arial" w:hAnsi="Arial" w:cs="Arial"/>
          <w:sz w:val="22"/>
          <w:szCs w:val="22"/>
          <w:lang w:val="en-US"/>
        </w:rPr>
        <w:t>Somikova</w:t>
      </w:r>
      <w:proofErr w:type="spellEnd"/>
      <w:r w:rsidRPr="006C276C">
        <w:rPr>
          <w:rFonts w:ascii="Arial" w:hAnsi="Arial" w:cs="Arial"/>
          <w:sz w:val="22"/>
          <w:szCs w:val="22"/>
          <w:lang w:val="en-US"/>
        </w:rPr>
        <w:t xml:space="preserve">, Z., </w:t>
      </w:r>
      <w:proofErr w:type="spellStart"/>
      <w:r w:rsidRPr="006C276C">
        <w:rPr>
          <w:rFonts w:ascii="Arial" w:hAnsi="Arial" w:cs="Arial"/>
          <w:sz w:val="22"/>
          <w:szCs w:val="22"/>
          <w:lang w:val="en-US"/>
        </w:rPr>
        <w:t>Kucerova</w:t>
      </w:r>
      <w:proofErr w:type="spellEnd"/>
      <w:r w:rsidRPr="006C276C">
        <w:rPr>
          <w:rFonts w:ascii="Arial" w:hAnsi="Arial" w:cs="Arial"/>
          <w:sz w:val="22"/>
          <w:szCs w:val="22"/>
          <w:lang w:val="en-US"/>
        </w:rPr>
        <w:t xml:space="preserve">, J., </w:t>
      </w:r>
      <w:proofErr w:type="spellStart"/>
      <w:r w:rsidRPr="006C276C">
        <w:rPr>
          <w:rFonts w:ascii="Arial" w:hAnsi="Arial" w:cs="Arial"/>
          <w:sz w:val="22"/>
          <w:szCs w:val="22"/>
          <w:lang w:val="en-US"/>
        </w:rPr>
        <w:t>Calabkova</w:t>
      </w:r>
      <w:proofErr w:type="spellEnd"/>
      <w:r w:rsidRPr="006C276C">
        <w:rPr>
          <w:rFonts w:ascii="Arial" w:hAnsi="Arial" w:cs="Arial"/>
          <w:sz w:val="22"/>
          <w:szCs w:val="22"/>
          <w:lang w:val="en-US"/>
        </w:rPr>
        <w:t xml:space="preserve">, L., </w:t>
      </w:r>
      <w:proofErr w:type="spellStart"/>
      <w:r w:rsidRPr="006C276C">
        <w:rPr>
          <w:rFonts w:ascii="Arial" w:hAnsi="Arial" w:cs="Arial"/>
          <w:sz w:val="22"/>
          <w:szCs w:val="22"/>
          <w:lang w:val="en-US"/>
        </w:rPr>
        <w:t>Luzna</w:t>
      </w:r>
      <w:proofErr w:type="spellEnd"/>
      <w:r w:rsidRPr="006C276C">
        <w:rPr>
          <w:rFonts w:ascii="Arial" w:hAnsi="Arial" w:cs="Arial"/>
          <w:sz w:val="22"/>
          <w:szCs w:val="22"/>
          <w:lang w:val="en-US"/>
        </w:rPr>
        <w:t xml:space="preserve">, P., </w:t>
      </w:r>
      <w:proofErr w:type="spellStart"/>
      <w:r w:rsidRPr="006C276C">
        <w:rPr>
          <w:rFonts w:ascii="Arial" w:hAnsi="Arial" w:cs="Arial"/>
          <w:sz w:val="22"/>
          <w:szCs w:val="22"/>
          <w:lang w:val="en-US"/>
        </w:rPr>
        <w:t>Stetka</w:t>
      </w:r>
      <w:proofErr w:type="spellEnd"/>
      <w:r w:rsidRPr="006C276C">
        <w:rPr>
          <w:rFonts w:ascii="Arial" w:hAnsi="Arial" w:cs="Arial"/>
          <w:sz w:val="22"/>
          <w:szCs w:val="22"/>
          <w:lang w:val="en-US"/>
        </w:rPr>
        <w:t xml:space="preserve">, J., </w:t>
      </w:r>
      <w:proofErr w:type="spellStart"/>
      <w:r w:rsidRPr="006C276C">
        <w:rPr>
          <w:rFonts w:ascii="Arial" w:hAnsi="Arial" w:cs="Arial"/>
          <w:sz w:val="22"/>
          <w:szCs w:val="22"/>
          <w:lang w:val="en-US"/>
        </w:rPr>
        <w:t>Simkova</w:t>
      </w:r>
      <w:proofErr w:type="spellEnd"/>
      <w:r w:rsidRPr="006C276C">
        <w:rPr>
          <w:rFonts w:ascii="Arial" w:hAnsi="Arial" w:cs="Arial"/>
          <w:sz w:val="22"/>
          <w:szCs w:val="22"/>
          <w:lang w:val="en-US"/>
        </w:rPr>
        <w:t xml:space="preserve">, D., Dolezal, D., </w:t>
      </w:r>
      <w:proofErr w:type="spellStart"/>
      <w:r w:rsidRPr="006C276C">
        <w:rPr>
          <w:rFonts w:ascii="Arial" w:hAnsi="Arial" w:cs="Arial"/>
          <w:sz w:val="22"/>
          <w:szCs w:val="22"/>
          <w:lang w:val="en-US"/>
        </w:rPr>
        <w:t>Divoky</w:t>
      </w:r>
      <w:proofErr w:type="spellEnd"/>
      <w:r w:rsidRPr="006C276C">
        <w:rPr>
          <w:rFonts w:ascii="Arial" w:hAnsi="Arial" w:cs="Arial"/>
          <w:sz w:val="22"/>
          <w:szCs w:val="22"/>
          <w:lang w:val="en-US"/>
        </w:rPr>
        <w:t>, V., 2015. Iron Chelation Reinforces DNA Damage Response and Leads to G2/M Checkpoint Activation and Autophagy in Myeloid Bone Marrow Cells of Preleukemia Mouse Model. Blood 126, 3351–3351. https://doi.org/10.1182/blood.V126.23.3351.3351</w:t>
      </w:r>
    </w:p>
    <w:p w14:paraId="7E3171BB" w14:textId="77777777" w:rsidR="00336950" w:rsidRDefault="00336950" w:rsidP="00336950">
      <w:pPr>
        <w:spacing w:line="360" w:lineRule="auto"/>
        <w:jc w:val="both"/>
        <w:rPr>
          <w:rFonts w:ascii="Arial" w:hAnsi="Arial" w:cs="Arial"/>
          <w:sz w:val="22"/>
          <w:szCs w:val="22"/>
          <w:lang w:val="en-US"/>
        </w:rPr>
      </w:pPr>
    </w:p>
    <w:p w14:paraId="49E50A72" w14:textId="77777777" w:rsidR="00336950" w:rsidRDefault="00336950" w:rsidP="00336950">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Koralkova</w:t>
      </w:r>
      <w:proofErr w:type="spellEnd"/>
      <w:r>
        <w:rPr>
          <w:rFonts w:ascii="Arial" w:hAnsi="Arial" w:cs="Arial"/>
          <w:sz w:val="22"/>
          <w:szCs w:val="22"/>
          <w:lang w:val="en-US"/>
        </w:rPr>
        <w:t>,</w:t>
      </w:r>
      <w:r w:rsidRPr="0007234B">
        <w:rPr>
          <w:rFonts w:ascii="Arial" w:hAnsi="Arial" w:cs="Arial"/>
          <w:sz w:val="22"/>
          <w:szCs w:val="22"/>
          <w:lang w:val="en-US"/>
        </w:rPr>
        <w:t xml:space="preserve"> P</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Hodny</w:t>
      </w:r>
      <w:proofErr w:type="spellEnd"/>
      <w:r>
        <w:rPr>
          <w:rFonts w:ascii="Arial" w:hAnsi="Arial" w:cs="Arial"/>
          <w:sz w:val="22"/>
          <w:szCs w:val="22"/>
          <w:lang w:val="en-US"/>
        </w:rPr>
        <w:t>,</w:t>
      </w:r>
      <w:r w:rsidRPr="0007234B">
        <w:rPr>
          <w:rFonts w:ascii="Arial" w:hAnsi="Arial" w:cs="Arial"/>
          <w:sz w:val="22"/>
          <w:szCs w:val="22"/>
          <w:lang w:val="en-US"/>
        </w:rPr>
        <w:t xml:space="preserve"> Z</w:t>
      </w:r>
      <w:r>
        <w:rPr>
          <w:rFonts w:ascii="Arial" w:hAnsi="Arial" w:cs="Arial"/>
          <w:sz w:val="22"/>
          <w:szCs w:val="22"/>
          <w:lang w:val="en-US"/>
        </w:rPr>
        <w:t>.</w:t>
      </w:r>
      <w:r w:rsidRPr="0007234B">
        <w:rPr>
          <w:rFonts w:ascii="Arial" w:hAnsi="Arial" w:cs="Arial"/>
          <w:sz w:val="22"/>
          <w:szCs w:val="22"/>
          <w:lang w:val="en-US"/>
        </w:rPr>
        <w:t>, Prchal</w:t>
      </w:r>
      <w:r>
        <w:rPr>
          <w:rFonts w:ascii="Arial" w:hAnsi="Arial" w:cs="Arial"/>
          <w:sz w:val="22"/>
          <w:szCs w:val="22"/>
          <w:lang w:val="en-US"/>
        </w:rPr>
        <w:t>,</w:t>
      </w:r>
      <w:r w:rsidRPr="0007234B">
        <w:rPr>
          <w:rFonts w:ascii="Arial" w:hAnsi="Arial" w:cs="Arial"/>
          <w:sz w:val="22"/>
          <w:szCs w:val="22"/>
          <w:lang w:val="en-US"/>
        </w:rPr>
        <w:t xml:space="preserve"> J</w:t>
      </w:r>
      <w:r>
        <w:rPr>
          <w:rFonts w:ascii="Arial" w:hAnsi="Arial" w:cs="Arial"/>
          <w:sz w:val="22"/>
          <w:szCs w:val="22"/>
          <w:lang w:val="en-US"/>
        </w:rPr>
        <w:t>.</w:t>
      </w:r>
      <w:r w:rsidRPr="0007234B">
        <w:rPr>
          <w:rFonts w:ascii="Arial" w:hAnsi="Arial" w:cs="Arial"/>
          <w:sz w:val="22"/>
          <w:szCs w:val="22"/>
          <w:lang w:val="en-US"/>
        </w:rPr>
        <w:t>, Bartek</w:t>
      </w:r>
      <w:r>
        <w:rPr>
          <w:rFonts w:ascii="Arial" w:hAnsi="Arial" w:cs="Arial"/>
          <w:sz w:val="22"/>
          <w:szCs w:val="22"/>
          <w:lang w:val="en-US"/>
        </w:rPr>
        <w:t>,</w:t>
      </w:r>
      <w:r w:rsidRPr="0007234B">
        <w:rPr>
          <w:rFonts w:ascii="Arial" w:hAnsi="Arial" w:cs="Arial"/>
          <w:sz w:val="22"/>
          <w:szCs w:val="22"/>
          <w:lang w:val="en-US"/>
        </w:rPr>
        <w:t xml:space="preserve"> J</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Divoky</w:t>
      </w:r>
      <w:proofErr w:type="spellEnd"/>
      <w:r>
        <w:rPr>
          <w:rFonts w:ascii="Arial" w:hAnsi="Arial" w:cs="Arial"/>
          <w:sz w:val="22"/>
          <w:szCs w:val="22"/>
          <w:lang w:val="en-US"/>
        </w:rPr>
        <w:t>,</w:t>
      </w:r>
      <w:r w:rsidRPr="0007234B">
        <w:rPr>
          <w:rFonts w:ascii="Arial" w:hAnsi="Arial" w:cs="Arial"/>
          <w:sz w:val="22"/>
          <w:szCs w:val="22"/>
          <w:lang w:val="en-US"/>
        </w:rPr>
        <w:t xml:space="preserve"> V.</w:t>
      </w:r>
      <w:r>
        <w:rPr>
          <w:rFonts w:ascii="Arial" w:hAnsi="Arial" w:cs="Arial"/>
          <w:sz w:val="22"/>
          <w:szCs w:val="22"/>
          <w:lang w:val="en-US"/>
        </w:rPr>
        <w:t>, 2016.</w:t>
      </w:r>
      <w:r w:rsidRPr="0007234B">
        <w:rPr>
          <w:rFonts w:ascii="Arial" w:hAnsi="Arial" w:cs="Arial"/>
          <w:sz w:val="22"/>
          <w:szCs w:val="22"/>
          <w:lang w:val="en-US"/>
        </w:rPr>
        <w:t xml:space="preserve"> JAK2 V617F progenitors exhibit intrinsic inflammatory signaling and protection against inflammation induced DNA damage. ESH 7th International Conference on MYELOPROLIFERATIVE NEOPLASMS, 2016, Estoril, Portugal, </w:t>
      </w:r>
      <w:r>
        <w:rPr>
          <w:rFonts w:ascii="Arial" w:hAnsi="Arial" w:cs="Arial"/>
          <w:sz w:val="22"/>
          <w:szCs w:val="22"/>
          <w:lang w:val="en-US"/>
        </w:rPr>
        <w:t>abstracts</w:t>
      </w:r>
      <w:r w:rsidRPr="0007234B">
        <w:rPr>
          <w:rFonts w:ascii="Arial" w:hAnsi="Arial" w:cs="Arial"/>
          <w:sz w:val="22"/>
          <w:szCs w:val="22"/>
          <w:lang w:val="en-US"/>
        </w:rPr>
        <w:t>, poster 21</w:t>
      </w:r>
    </w:p>
    <w:p w14:paraId="72CE8676" w14:textId="77777777" w:rsidR="00336950" w:rsidRDefault="00336950" w:rsidP="00336950">
      <w:pPr>
        <w:spacing w:line="360" w:lineRule="auto"/>
        <w:jc w:val="both"/>
        <w:rPr>
          <w:rFonts w:ascii="Arial" w:hAnsi="Arial" w:cs="Arial"/>
          <w:sz w:val="22"/>
          <w:szCs w:val="22"/>
          <w:lang w:val="en-US"/>
        </w:rPr>
      </w:pPr>
    </w:p>
    <w:p w14:paraId="78094EE8" w14:textId="77777777" w:rsidR="00336950" w:rsidRDefault="00336950" w:rsidP="00336950">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Koralkova</w:t>
      </w:r>
      <w:proofErr w:type="spellEnd"/>
      <w:r>
        <w:rPr>
          <w:rFonts w:ascii="Arial" w:hAnsi="Arial" w:cs="Arial"/>
          <w:sz w:val="22"/>
          <w:szCs w:val="22"/>
          <w:lang w:val="en-US"/>
        </w:rPr>
        <w:t>,</w:t>
      </w:r>
      <w:r w:rsidRPr="0007234B">
        <w:rPr>
          <w:rFonts w:ascii="Arial" w:hAnsi="Arial" w:cs="Arial"/>
          <w:sz w:val="22"/>
          <w:szCs w:val="22"/>
          <w:lang w:val="en-US"/>
        </w:rPr>
        <w:t xml:space="preserve"> P</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Hodny</w:t>
      </w:r>
      <w:proofErr w:type="spellEnd"/>
      <w:r>
        <w:rPr>
          <w:rFonts w:ascii="Arial" w:hAnsi="Arial" w:cs="Arial"/>
          <w:sz w:val="22"/>
          <w:szCs w:val="22"/>
          <w:lang w:val="en-US"/>
        </w:rPr>
        <w:t>,</w:t>
      </w:r>
      <w:r w:rsidRPr="0007234B">
        <w:rPr>
          <w:rFonts w:ascii="Arial" w:hAnsi="Arial" w:cs="Arial"/>
          <w:sz w:val="22"/>
          <w:szCs w:val="22"/>
          <w:lang w:val="en-US"/>
        </w:rPr>
        <w:t xml:space="preserve"> Z</w:t>
      </w:r>
      <w:r>
        <w:rPr>
          <w:rFonts w:ascii="Arial" w:hAnsi="Arial" w:cs="Arial"/>
          <w:sz w:val="22"/>
          <w:szCs w:val="22"/>
          <w:lang w:val="en-US"/>
        </w:rPr>
        <w:t>.</w:t>
      </w:r>
      <w:r w:rsidRPr="0007234B">
        <w:rPr>
          <w:rFonts w:ascii="Arial" w:hAnsi="Arial" w:cs="Arial"/>
          <w:sz w:val="22"/>
          <w:szCs w:val="22"/>
          <w:lang w:val="en-US"/>
        </w:rPr>
        <w:t>, Bartek</w:t>
      </w:r>
      <w:r>
        <w:rPr>
          <w:rFonts w:ascii="Arial" w:hAnsi="Arial" w:cs="Arial"/>
          <w:sz w:val="22"/>
          <w:szCs w:val="22"/>
          <w:lang w:val="en-US"/>
        </w:rPr>
        <w:t>,</w:t>
      </w:r>
      <w:r w:rsidRPr="0007234B">
        <w:rPr>
          <w:rFonts w:ascii="Arial" w:hAnsi="Arial" w:cs="Arial"/>
          <w:sz w:val="22"/>
          <w:szCs w:val="22"/>
          <w:lang w:val="en-US"/>
        </w:rPr>
        <w:t xml:space="preserve"> J</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Divoky</w:t>
      </w:r>
      <w:proofErr w:type="spellEnd"/>
      <w:r>
        <w:rPr>
          <w:rFonts w:ascii="Arial" w:hAnsi="Arial" w:cs="Arial"/>
          <w:sz w:val="22"/>
          <w:szCs w:val="22"/>
          <w:lang w:val="en-US"/>
        </w:rPr>
        <w:t>,</w:t>
      </w:r>
      <w:r w:rsidRPr="0007234B">
        <w:rPr>
          <w:rFonts w:ascii="Arial" w:hAnsi="Arial" w:cs="Arial"/>
          <w:sz w:val="22"/>
          <w:szCs w:val="22"/>
          <w:lang w:val="en-US"/>
        </w:rPr>
        <w:t xml:space="preserve"> V.</w:t>
      </w:r>
      <w:r>
        <w:rPr>
          <w:rFonts w:ascii="Arial" w:hAnsi="Arial" w:cs="Arial"/>
          <w:sz w:val="22"/>
          <w:szCs w:val="22"/>
          <w:lang w:val="en-US"/>
        </w:rPr>
        <w:t>, 2016.</w:t>
      </w:r>
      <w:r w:rsidRPr="0007234B">
        <w:rPr>
          <w:rFonts w:ascii="Arial" w:hAnsi="Arial" w:cs="Arial"/>
          <w:sz w:val="22"/>
          <w:szCs w:val="22"/>
          <w:lang w:val="en-US"/>
        </w:rPr>
        <w:t xml:space="preserve"> JAK2 V617F progenitors exhibit intrinsic inflammatory signaling and protection against inflammation induced DNA damage. Olomouc Hematological Days, 2016, Olomouc, </w:t>
      </w:r>
      <w:r>
        <w:rPr>
          <w:rFonts w:ascii="Arial" w:hAnsi="Arial" w:cs="Arial"/>
          <w:sz w:val="22"/>
          <w:szCs w:val="22"/>
          <w:lang w:val="en-US"/>
        </w:rPr>
        <w:t>abstracts</w:t>
      </w:r>
      <w:r w:rsidRPr="0007234B">
        <w:rPr>
          <w:rFonts w:ascii="Arial" w:hAnsi="Arial" w:cs="Arial"/>
          <w:sz w:val="22"/>
          <w:szCs w:val="22"/>
          <w:lang w:val="en-US"/>
        </w:rPr>
        <w:t xml:space="preserve">, ISSN 1213-5763, </w:t>
      </w:r>
      <w:r>
        <w:rPr>
          <w:rFonts w:ascii="Arial" w:hAnsi="Arial" w:cs="Arial"/>
          <w:sz w:val="22"/>
          <w:szCs w:val="22"/>
          <w:lang w:val="en-US"/>
        </w:rPr>
        <w:t>page</w:t>
      </w:r>
      <w:r w:rsidRPr="0007234B">
        <w:rPr>
          <w:rFonts w:ascii="Arial" w:hAnsi="Arial" w:cs="Arial"/>
          <w:sz w:val="22"/>
          <w:szCs w:val="22"/>
          <w:lang w:val="en-US"/>
        </w:rPr>
        <w:t xml:space="preserve"> 28-29</w:t>
      </w:r>
    </w:p>
    <w:p w14:paraId="182505CE" w14:textId="77777777" w:rsidR="00917FA0" w:rsidRDefault="00917FA0" w:rsidP="00336950">
      <w:pPr>
        <w:spacing w:line="360" w:lineRule="auto"/>
        <w:jc w:val="both"/>
        <w:rPr>
          <w:rFonts w:ascii="Arial" w:hAnsi="Arial" w:cs="Arial"/>
          <w:sz w:val="22"/>
          <w:szCs w:val="22"/>
          <w:lang w:val="en-US"/>
        </w:rPr>
      </w:pPr>
    </w:p>
    <w:p w14:paraId="5F5C7C7C" w14:textId="77777777" w:rsidR="00336950" w:rsidRDefault="00336950" w:rsidP="00336950">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Koralkova</w:t>
      </w:r>
      <w:proofErr w:type="spellEnd"/>
      <w:r>
        <w:rPr>
          <w:rFonts w:ascii="Arial" w:hAnsi="Arial" w:cs="Arial"/>
          <w:sz w:val="22"/>
          <w:szCs w:val="22"/>
          <w:lang w:val="en-US"/>
        </w:rPr>
        <w:t>,</w:t>
      </w:r>
      <w:r w:rsidRPr="0007234B">
        <w:rPr>
          <w:rFonts w:ascii="Arial" w:hAnsi="Arial" w:cs="Arial"/>
          <w:sz w:val="22"/>
          <w:szCs w:val="22"/>
          <w:lang w:val="en-US"/>
        </w:rPr>
        <w:t xml:space="preserve"> P</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Hodny</w:t>
      </w:r>
      <w:proofErr w:type="spellEnd"/>
      <w:r>
        <w:rPr>
          <w:rFonts w:ascii="Arial" w:hAnsi="Arial" w:cs="Arial"/>
          <w:sz w:val="22"/>
          <w:szCs w:val="22"/>
          <w:lang w:val="en-US"/>
        </w:rPr>
        <w:t>,</w:t>
      </w:r>
      <w:r w:rsidRPr="0007234B">
        <w:rPr>
          <w:rFonts w:ascii="Arial" w:hAnsi="Arial" w:cs="Arial"/>
          <w:sz w:val="22"/>
          <w:szCs w:val="22"/>
          <w:lang w:val="en-US"/>
        </w:rPr>
        <w:t xml:space="preserve"> Z</w:t>
      </w:r>
      <w:r>
        <w:rPr>
          <w:rFonts w:ascii="Arial" w:hAnsi="Arial" w:cs="Arial"/>
          <w:sz w:val="22"/>
          <w:szCs w:val="22"/>
          <w:lang w:val="en-US"/>
        </w:rPr>
        <w:t>.</w:t>
      </w:r>
      <w:r w:rsidRPr="0007234B">
        <w:rPr>
          <w:rFonts w:ascii="Arial" w:hAnsi="Arial" w:cs="Arial"/>
          <w:sz w:val="22"/>
          <w:szCs w:val="22"/>
          <w:lang w:val="en-US"/>
        </w:rPr>
        <w:t>, Bartek</w:t>
      </w:r>
      <w:r>
        <w:rPr>
          <w:rFonts w:ascii="Arial" w:hAnsi="Arial" w:cs="Arial"/>
          <w:sz w:val="22"/>
          <w:szCs w:val="22"/>
          <w:lang w:val="en-US"/>
        </w:rPr>
        <w:t>,</w:t>
      </w:r>
      <w:r w:rsidRPr="0007234B">
        <w:rPr>
          <w:rFonts w:ascii="Arial" w:hAnsi="Arial" w:cs="Arial"/>
          <w:sz w:val="22"/>
          <w:szCs w:val="22"/>
          <w:lang w:val="en-US"/>
        </w:rPr>
        <w:t xml:space="preserve"> J</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Divoky</w:t>
      </w:r>
      <w:proofErr w:type="spellEnd"/>
      <w:r>
        <w:rPr>
          <w:rFonts w:ascii="Arial" w:hAnsi="Arial" w:cs="Arial"/>
          <w:sz w:val="22"/>
          <w:szCs w:val="22"/>
          <w:lang w:val="en-US"/>
        </w:rPr>
        <w:t>,</w:t>
      </w:r>
      <w:r w:rsidRPr="0007234B">
        <w:rPr>
          <w:rFonts w:ascii="Arial" w:hAnsi="Arial" w:cs="Arial"/>
          <w:sz w:val="22"/>
          <w:szCs w:val="22"/>
          <w:lang w:val="en-US"/>
        </w:rPr>
        <w:t xml:space="preserve"> V.</w:t>
      </w:r>
      <w:r>
        <w:rPr>
          <w:rFonts w:ascii="Arial" w:hAnsi="Arial" w:cs="Arial"/>
          <w:sz w:val="22"/>
          <w:szCs w:val="22"/>
          <w:lang w:val="en-US"/>
        </w:rPr>
        <w:t>, 2016.</w:t>
      </w:r>
      <w:r w:rsidRPr="0007234B">
        <w:rPr>
          <w:rFonts w:ascii="Arial" w:hAnsi="Arial" w:cs="Arial"/>
          <w:sz w:val="22"/>
          <w:szCs w:val="22"/>
          <w:lang w:val="en-US"/>
        </w:rPr>
        <w:t xml:space="preserve"> JAK2 V617F progenitors exhibit intrinsic inflammatory signaling and protection against inflammation induced DNA damage. 12th International Congress of Cell Biology in Prague, 2016, Praha, </w:t>
      </w:r>
      <w:r>
        <w:rPr>
          <w:rFonts w:ascii="Arial" w:hAnsi="Arial" w:cs="Arial"/>
          <w:sz w:val="22"/>
          <w:szCs w:val="22"/>
          <w:lang w:val="en-US"/>
        </w:rPr>
        <w:t>abstracts</w:t>
      </w:r>
      <w:r w:rsidRPr="0007234B">
        <w:rPr>
          <w:rFonts w:ascii="Arial" w:hAnsi="Arial" w:cs="Arial"/>
          <w:sz w:val="22"/>
          <w:szCs w:val="22"/>
          <w:lang w:val="en-US"/>
        </w:rPr>
        <w:t xml:space="preserve">, </w:t>
      </w:r>
      <w:r>
        <w:rPr>
          <w:rFonts w:ascii="Arial" w:hAnsi="Arial" w:cs="Arial"/>
          <w:sz w:val="22"/>
          <w:szCs w:val="22"/>
          <w:lang w:val="en-US"/>
        </w:rPr>
        <w:t>page</w:t>
      </w:r>
      <w:r w:rsidRPr="0007234B">
        <w:rPr>
          <w:rFonts w:ascii="Arial" w:hAnsi="Arial" w:cs="Arial"/>
          <w:sz w:val="22"/>
          <w:szCs w:val="22"/>
          <w:lang w:val="en-US"/>
        </w:rPr>
        <w:t xml:space="preserve"> 110</w:t>
      </w:r>
    </w:p>
    <w:p w14:paraId="7A209A47" w14:textId="77777777" w:rsidR="00336950" w:rsidRPr="003A5293" w:rsidRDefault="00336950" w:rsidP="00336950">
      <w:pPr>
        <w:spacing w:line="360" w:lineRule="auto"/>
        <w:jc w:val="both"/>
        <w:rPr>
          <w:rFonts w:ascii="Arial" w:hAnsi="Arial" w:cs="Arial"/>
          <w:sz w:val="22"/>
          <w:szCs w:val="22"/>
          <w:lang w:val="en-US"/>
        </w:rPr>
      </w:pPr>
    </w:p>
    <w:p w14:paraId="4FCB91F3" w14:textId="77777777" w:rsidR="00336950" w:rsidRPr="003A5293" w:rsidRDefault="00336950" w:rsidP="00336950">
      <w:pPr>
        <w:spacing w:line="360" w:lineRule="auto"/>
        <w:jc w:val="both"/>
        <w:rPr>
          <w:rFonts w:ascii="Arial" w:hAnsi="Arial" w:cs="Arial"/>
          <w:sz w:val="22"/>
          <w:szCs w:val="22"/>
          <w:lang w:val="en-US"/>
        </w:rPr>
      </w:pPr>
      <w:proofErr w:type="spellStart"/>
      <w:r w:rsidRPr="003A5293">
        <w:rPr>
          <w:rFonts w:ascii="Arial" w:hAnsi="Arial" w:cs="Arial"/>
          <w:sz w:val="22"/>
          <w:szCs w:val="22"/>
          <w:lang w:val="en-US"/>
        </w:rPr>
        <w:t>Stetka</w:t>
      </w:r>
      <w:proofErr w:type="spellEnd"/>
      <w:r w:rsidRPr="003A5293">
        <w:rPr>
          <w:rFonts w:ascii="Arial" w:hAnsi="Arial" w:cs="Arial"/>
          <w:sz w:val="22"/>
          <w:szCs w:val="22"/>
          <w:lang w:val="en-US"/>
        </w:rPr>
        <w:t xml:space="preserve">, J., </w:t>
      </w:r>
      <w:proofErr w:type="spellStart"/>
      <w:r w:rsidRPr="003A5293">
        <w:rPr>
          <w:rFonts w:ascii="Arial" w:hAnsi="Arial" w:cs="Arial"/>
          <w:sz w:val="22"/>
          <w:szCs w:val="22"/>
          <w:lang w:val="en-US"/>
        </w:rPr>
        <w:t>Luzna</w:t>
      </w:r>
      <w:proofErr w:type="spellEnd"/>
      <w:r w:rsidRPr="003A5293">
        <w:rPr>
          <w:rFonts w:ascii="Arial" w:hAnsi="Arial" w:cs="Arial"/>
          <w:sz w:val="22"/>
          <w:szCs w:val="22"/>
          <w:lang w:val="en-US"/>
        </w:rPr>
        <w:t xml:space="preserve">, P., </w:t>
      </w:r>
      <w:proofErr w:type="spellStart"/>
      <w:r w:rsidRPr="003A5293">
        <w:rPr>
          <w:rFonts w:ascii="Arial" w:hAnsi="Arial" w:cs="Arial"/>
          <w:sz w:val="22"/>
          <w:szCs w:val="22"/>
          <w:lang w:val="en-US"/>
        </w:rPr>
        <w:t>Lanikova</w:t>
      </w:r>
      <w:proofErr w:type="spellEnd"/>
      <w:r w:rsidRPr="003A5293">
        <w:rPr>
          <w:rFonts w:ascii="Arial" w:hAnsi="Arial" w:cs="Arial"/>
          <w:sz w:val="22"/>
          <w:szCs w:val="22"/>
          <w:lang w:val="en-US"/>
        </w:rPr>
        <w:t xml:space="preserve">, L., </w:t>
      </w:r>
      <w:proofErr w:type="spellStart"/>
      <w:r w:rsidRPr="003A5293">
        <w:rPr>
          <w:rFonts w:ascii="Arial" w:hAnsi="Arial" w:cs="Arial"/>
          <w:sz w:val="22"/>
          <w:szCs w:val="22"/>
          <w:lang w:val="en-US"/>
        </w:rPr>
        <w:t>Koralkova</w:t>
      </w:r>
      <w:proofErr w:type="spellEnd"/>
      <w:r w:rsidRPr="003A5293">
        <w:rPr>
          <w:rFonts w:ascii="Arial" w:hAnsi="Arial" w:cs="Arial"/>
          <w:sz w:val="22"/>
          <w:szCs w:val="22"/>
          <w:lang w:val="en-US"/>
        </w:rPr>
        <w:t xml:space="preserve">, P., </w:t>
      </w:r>
      <w:proofErr w:type="spellStart"/>
      <w:r w:rsidRPr="003A5293">
        <w:rPr>
          <w:rFonts w:ascii="Arial" w:hAnsi="Arial" w:cs="Arial"/>
          <w:sz w:val="22"/>
          <w:szCs w:val="22"/>
          <w:lang w:val="en-US"/>
        </w:rPr>
        <w:t>Gursky</w:t>
      </w:r>
      <w:proofErr w:type="spellEnd"/>
      <w:r w:rsidRPr="003A5293">
        <w:rPr>
          <w:rFonts w:ascii="Arial" w:hAnsi="Arial" w:cs="Arial"/>
          <w:sz w:val="22"/>
          <w:szCs w:val="22"/>
          <w:lang w:val="en-US"/>
        </w:rPr>
        <w:t xml:space="preserve">, J., </w:t>
      </w:r>
      <w:proofErr w:type="spellStart"/>
      <w:r w:rsidRPr="003A5293">
        <w:rPr>
          <w:rFonts w:ascii="Arial" w:hAnsi="Arial" w:cs="Arial"/>
          <w:sz w:val="22"/>
          <w:szCs w:val="22"/>
          <w:lang w:val="en-US"/>
        </w:rPr>
        <w:t>Hodny</w:t>
      </w:r>
      <w:proofErr w:type="spellEnd"/>
      <w:r w:rsidRPr="003A5293">
        <w:rPr>
          <w:rFonts w:ascii="Arial" w:hAnsi="Arial" w:cs="Arial"/>
          <w:sz w:val="22"/>
          <w:szCs w:val="22"/>
          <w:lang w:val="en-US"/>
        </w:rPr>
        <w:t xml:space="preserve">, Z., S., Bartek, J., </w:t>
      </w:r>
      <w:proofErr w:type="spellStart"/>
      <w:r w:rsidRPr="003A5293">
        <w:rPr>
          <w:rFonts w:ascii="Arial" w:hAnsi="Arial" w:cs="Arial"/>
          <w:sz w:val="22"/>
          <w:szCs w:val="22"/>
          <w:lang w:val="en-US"/>
        </w:rPr>
        <w:t>Divoky</w:t>
      </w:r>
      <w:proofErr w:type="spellEnd"/>
      <w:r w:rsidRPr="003A5293">
        <w:rPr>
          <w:rFonts w:ascii="Arial" w:hAnsi="Arial" w:cs="Arial"/>
          <w:sz w:val="22"/>
          <w:szCs w:val="22"/>
          <w:lang w:val="en-US"/>
        </w:rPr>
        <w:t>, V., 2017. JAK2 V617F Progenitors Utilize Adaptations to Cell-Autonomous and Microenvironment-Dependent Inflammatory Stress in Polycythemia Vera, Likely Exhibiting Barrier Against Rapid Transformation to Myelofibrosis. Blood 130, (Supplement 1): 1667</w:t>
      </w:r>
    </w:p>
    <w:p w14:paraId="4FAAF05E" w14:textId="77777777" w:rsidR="00336950" w:rsidRPr="003A5293" w:rsidRDefault="00336950" w:rsidP="005D01C6">
      <w:pPr>
        <w:spacing w:line="360" w:lineRule="auto"/>
        <w:jc w:val="both"/>
        <w:rPr>
          <w:rFonts w:ascii="Arial" w:hAnsi="Arial" w:cs="Arial"/>
          <w:sz w:val="22"/>
          <w:szCs w:val="22"/>
          <w:lang w:val="en-US"/>
        </w:rPr>
      </w:pPr>
    </w:p>
    <w:p w14:paraId="6BD41EDC" w14:textId="77777777" w:rsidR="00AF69C3" w:rsidRPr="003A5293" w:rsidRDefault="00AF69C3">
      <w:pPr>
        <w:rPr>
          <w:rFonts w:ascii="Arial" w:eastAsiaTheme="majorEastAsia" w:hAnsi="Arial" w:cs="Arial"/>
          <w:bCs/>
          <w:color w:val="000000" w:themeColor="text1"/>
          <w:sz w:val="48"/>
          <w:szCs w:val="48"/>
          <w:lang w:val="en-US"/>
        </w:rPr>
      </w:pPr>
      <w:r w:rsidRPr="003A5293">
        <w:rPr>
          <w:rFonts w:ascii="Arial" w:hAnsi="Arial" w:cs="Arial"/>
          <w:b/>
          <w:bCs/>
          <w:sz w:val="48"/>
          <w:szCs w:val="48"/>
          <w:lang w:val="en-US"/>
        </w:rPr>
        <w:br w:type="page"/>
      </w:r>
    </w:p>
    <w:p w14:paraId="43B0E086" w14:textId="0541013C" w:rsidR="00E25BA9" w:rsidRPr="003A5293" w:rsidRDefault="00E25BA9" w:rsidP="00E25BA9">
      <w:pPr>
        <w:pStyle w:val="Formatvorlage1"/>
        <w:rPr>
          <w:rFonts w:cs="Arial"/>
        </w:rPr>
      </w:pPr>
      <w:bookmarkStart w:id="23" w:name="_Toc57582498"/>
      <w:r>
        <w:rPr>
          <w:rFonts w:cs="Arial"/>
          <w:sz w:val="36"/>
          <w:szCs w:val="36"/>
        </w:rPr>
        <w:lastRenderedPageBreak/>
        <w:t>Aim 4</w:t>
      </w:r>
      <w:r w:rsidRPr="003A5293">
        <w:rPr>
          <w:rFonts w:cs="Arial"/>
        </w:rPr>
        <w:t xml:space="preserve"> </w:t>
      </w:r>
      <w:r w:rsidR="00927618" w:rsidRPr="00927618">
        <w:rPr>
          <w:rFonts w:cs="Arial"/>
        </w:rPr>
        <w:t xml:space="preserve">Investigate the role of interferon signaling on hematopoietic stem cells </w:t>
      </w:r>
      <w:r w:rsidR="007F1217" w:rsidRPr="00927618">
        <w:rPr>
          <w:rFonts w:cs="Arial"/>
        </w:rPr>
        <w:t>heterogeneity</w:t>
      </w:r>
      <w:r w:rsidR="00927618" w:rsidRPr="00927618">
        <w:rPr>
          <w:rFonts w:cs="Arial"/>
        </w:rPr>
        <w:t xml:space="preserve"> in MPN mouse model.</w:t>
      </w:r>
      <w:bookmarkEnd w:id="23"/>
    </w:p>
    <w:p w14:paraId="73A23F3B" w14:textId="77777777" w:rsidR="00E25BA9" w:rsidRPr="003A5293" w:rsidRDefault="00E25BA9" w:rsidP="00F60D50">
      <w:pPr>
        <w:spacing w:line="360" w:lineRule="auto"/>
        <w:jc w:val="both"/>
        <w:rPr>
          <w:rFonts w:ascii="Arial" w:hAnsi="Arial" w:cs="Arial"/>
          <w:sz w:val="22"/>
          <w:szCs w:val="22"/>
          <w:lang w:val="en-US"/>
        </w:rPr>
      </w:pPr>
    </w:p>
    <w:p w14:paraId="3260B05F" w14:textId="77777777" w:rsidR="00C231ED" w:rsidRDefault="00E86731" w:rsidP="00F60D50">
      <w:pPr>
        <w:spacing w:line="360" w:lineRule="auto"/>
        <w:jc w:val="both"/>
        <w:rPr>
          <w:rFonts w:ascii="Arial" w:hAnsi="Arial" w:cs="Arial"/>
          <w:sz w:val="22"/>
          <w:szCs w:val="22"/>
          <w:lang w:val="en-US"/>
        </w:rPr>
      </w:pPr>
      <w:r>
        <w:rPr>
          <w:rFonts w:ascii="Arial" w:hAnsi="Arial" w:cs="Arial"/>
          <w:sz w:val="22"/>
          <w:szCs w:val="22"/>
          <w:lang w:val="en-US"/>
        </w:rPr>
        <w:tab/>
        <w:t xml:space="preserve">Recent studies </w:t>
      </w:r>
      <w:r w:rsidR="00F60D50">
        <w:rPr>
          <w:rFonts w:ascii="Arial" w:hAnsi="Arial" w:cs="Arial"/>
          <w:sz w:val="22"/>
          <w:szCs w:val="22"/>
          <w:lang w:val="en-US"/>
        </w:rPr>
        <w:t xml:space="preserve">showed that </w:t>
      </w:r>
      <w:r w:rsidR="00C231ED">
        <w:rPr>
          <w:rFonts w:ascii="Arial" w:hAnsi="Arial" w:cs="Arial"/>
          <w:sz w:val="22"/>
          <w:szCs w:val="22"/>
          <w:lang w:val="en-US"/>
        </w:rPr>
        <w:t>HSC</w:t>
      </w:r>
      <w:r w:rsidR="00F60D50">
        <w:rPr>
          <w:rFonts w:ascii="Arial" w:hAnsi="Arial" w:cs="Arial"/>
          <w:sz w:val="22"/>
          <w:szCs w:val="22"/>
          <w:lang w:val="en-US"/>
        </w:rPr>
        <w:t xml:space="preserve"> compartment can be subdivide into </w:t>
      </w:r>
      <w:r w:rsidRPr="00E86731">
        <w:rPr>
          <w:rFonts w:ascii="Arial" w:hAnsi="Arial" w:cs="Arial"/>
          <w:sz w:val="22"/>
          <w:szCs w:val="22"/>
          <w:lang w:val="en-US"/>
        </w:rPr>
        <w:t>functionally heterogeneous</w:t>
      </w:r>
      <w:r w:rsidR="00F60D50">
        <w:rPr>
          <w:rFonts w:ascii="Arial" w:hAnsi="Arial" w:cs="Arial"/>
          <w:sz w:val="22"/>
          <w:szCs w:val="22"/>
          <w:lang w:val="en-US"/>
        </w:rPr>
        <w:t xml:space="preserve"> populations</w:t>
      </w:r>
      <w:r w:rsidRPr="00E86731">
        <w:rPr>
          <w:rFonts w:ascii="Arial" w:hAnsi="Arial" w:cs="Arial"/>
          <w:sz w:val="22"/>
          <w:szCs w:val="22"/>
          <w:lang w:val="en-US"/>
        </w:rPr>
        <w:t xml:space="preserve">. </w:t>
      </w:r>
      <w:r w:rsidR="00F60D50" w:rsidRPr="00E86731">
        <w:rPr>
          <w:rFonts w:ascii="Arial" w:hAnsi="Arial" w:cs="Arial"/>
          <w:sz w:val="22"/>
          <w:szCs w:val="22"/>
          <w:lang w:val="en-US"/>
        </w:rPr>
        <w:t>In particular,</w:t>
      </w:r>
      <w:r w:rsidR="00F60D50">
        <w:rPr>
          <w:rFonts w:ascii="Arial" w:hAnsi="Arial" w:cs="Arial"/>
          <w:sz w:val="22"/>
          <w:szCs w:val="22"/>
          <w:lang w:val="en-US"/>
        </w:rPr>
        <w:t xml:space="preserve"> testing functionality </w:t>
      </w:r>
      <w:r w:rsidR="00C231ED">
        <w:rPr>
          <w:rFonts w:ascii="Arial" w:hAnsi="Arial" w:cs="Arial"/>
          <w:sz w:val="22"/>
          <w:szCs w:val="22"/>
          <w:lang w:val="en-US"/>
        </w:rPr>
        <w:t xml:space="preserve">of </w:t>
      </w:r>
      <w:r w:rsidR="00F60D50">
        <w:rPr>
          <w:rFonts w:ascii="Arial" w:hAnsi="Arial" w:cs="Arial"/>
          <w:sz w:val="22"/>
          <w:szCs w:val="22"/>
          <w:lang w:val="en-US"/>
        </w:rPr>
        <w:t xml:space="preserve">individual HSCs through transplantation assays and </w:t>
      </w:r>
      <w:r w:rsidR="00F60D50" w:rsidRPr="00F60D50">
        <w:rPr>
          <w:rFonts w:ascii="Arial" w:hAnsi="Arial" w:cs="Arial"/>
          <w:i/>
          <w:iCs/>
          <w:sz w:val="22"/>
          <w:szCs w:val="22"/>
          <w:lang w:val="en-US"/>
        </w:rPr>
        <w:t>in vivo</w:t>
      </w:r>
      <w:r w:rsidR="00F60D50" w:rsidRPr="00E86731">
        <w:rPr>
          <w:rFonts w:ascii="Arial" w:hAnsi="Arial" w:cs="Arial"/>
          <w:sz w:val="22"/>
          <w:szCs w:val="22"/>
          <w:lang w:val="en-US"/>
        </w:rPr>
        <w:t xml:space="preserve"> fate mapping</w:t>
      </w:r>
      <w:r w:rsidR="00F60D50">
        <w:rPr>
          <w:rFonts w:ascii="Arial" w:hAnsi="Arial" w:cs="Arial"/>
          <w:sz w:val="22"/>
          <w:szCs w:val="22"/>
          <w:lang w:val="en-US"/>
        </w:rPr>
        <w:t xml:space="preserve"> showed selective linage bias or restriction of various subpopulation</w:t>
      </w:r>
      <w:r w:rsidR="00C231ED">
        <w:rPr>
          <w:rFonts w:ascii="Arial" w:hAnsi="Arial" w:cs="Arial"/>
          <w:sz w:val="22"/>
          <w:szCs w:val="22"/>
          <w:lang w:val="en-US"/>
        </w:rPr>
        <w:t xml:space="preserve"> </w:t>
      </w:r>
      <w:r w:rsidR="00C231ED">
        <w:rPr>
          <w:rFonts w:ascii="Arial" w:hAnsi="Arial" w:cs="Arial"/>
          <w:sz w:val="22"/>
          <w:szCs w:val="22"/>
          <w:lang w:val="en-US"/>
        </w:rPr>
        <w:fldChar w:fldCharType="begin"/>
      </w:r>
      <w:r w:rsidR="00C231ED">
        <w:rPr>
          <w:rFonts w:ascii="Arial" w:hAnsi="Arial" w:cs="Arial"/>
          <w:sz w:val="22"/>
          <w:szCs w:val="22"/>
          <w:lang w:val="en-US"/>
        </w:rPr>
        <w:instrText xml:space="preserve"> ADDIN ZOTERO_ITEM CSL_CITATION {"citationID":"F0TvSthO","properties":{"formattedCitation":"(Carrelha et al., 2018)","plainCitation":"(Carrelha et al., 2018)","noteIndex":0},"citationItems":[{"id":1451,"uris":["http://zotero.org/users/2484452/items/FFHCVI7V"],"uri":["http://zotero.org/users/2484452/items/FFHCVI7V"],"itemData":{"id":1451,"type":"article-journal","abstract":"Rare multipotent haematopoietic stem cells (HSCs) in adult bone marrow with extensive self-renewal potential can efficiently replenish all myeloid and lymphoid blood cells, securing long-term multilineage reconstitution after physiological and clinical challenges such as chemotherapy and haematopoietic transplantations. HSC transplantation remains the only curative treatment for many haematological malignancies, but inefficient blood-lineage replenishment remains a major cause of morbidity and mortality. Single-cell transplantation has uncovered considerable heterogeneity among reconstituting HSCs, a finding that is supported by studies of unperturbed haematopoiesis and may reflect different propensities for lineage-fate decisions by distinct myeloid-, lymphoid- and platelet-biased HSCs. Other studies suggested that such lineage bias might reflect generation of unipotent or oligopotent self-renewing progenitors within the phenotypic HSC compartment, and implicated uncoupling of the defining HSC properties of self-renewal and multipotency. Here we use highly sensitive tracking of progenitors and mature cells of the megakaryocyte/platelet, erythroid, myeloid and B and T cell lineages, produced from singly transplanted HSCs, to reveal a highly organized, predictable and stable framework for lineage-restricted fates of long-term self-renewing HSCs. Most notably, a distinct class of HSCs adopts a fate towards effective and stable replenishment of a megakaryocyte/platelet-lineage tree but not of other blood cell lineages, despite sustained multipotency. No HSCs contribute exclusively to any other single blood-cell lineage. Single multipotent HSCs can also fully restrict towards simultaneous replenishment of megakaryocyte, erythroid and myeloid lineages without executing their sustained lymphoid lineage potential. Genetic lineage-tracing analysis also provides evidence for an important role of platelet-biased HSCs in unperturbed adult haematopoiesis. These findings uncover a limited repertoire of distinct HSC subsets, defined by a predictable and hierarchical propensity to adopt a fate towards replenishment of a restricted set of blood lineages, before loss of self-renewal and multipotency.","container-title":"Nature","DOI":"10.1038/nature25455","ISSN":"1476-4687","issue":"7690","journalAbbreviation":"Nature","language":"eng","note":"PMID: 29298288","page":"106-111","source":"PubMed","title":"Hierarchically related lineage-restricted fates of multipotent haematopoietic stem cells","volume":"554","author":[{"family":"Carrelha","given":"Joana"},{"family":"Meng","given":"Yiran"},{"family":"Kettyle","given":"Laura M."},{"family":"Luis","given":"Tiago C."},{"family":"Norfo","given":"Ruggiero"},{"family":"Alcolea","given":"Verónica"},{"family":"Boukarabila","given":"Hanane"},{"family":"Grasso","given":"Francesca"},{"family":"Gambardella","given":"Adriana"},{"family":"Grover","given":"Amit"},{"family":"Högstrand","given":"Kari"},{"family":"Lord","given":"Allegra M."},{"family":"Sanjuan-Pla","given":"Alejandra"},{"family":"Woll","given":"Petter S."},{"family":"Nerlov","given":"Claus"},{"family":"Jacobsen","given":"Sten Eirik W."}],"issued":{"date-parts":[["2018"]],"season":"01"}}}],"schema":"https://github.com/citation-style-language/schema/raw/master/csl-citation.json"} </w:instrText>
      </w:r>
      <w:r w:rsidR="00C231ED">
        <w:rPr>
          <w:rFonts w:ascii="Arial" w:hAnsi="Arial" w:cs="Arial"/>
          <w:sz w:val="22"/>
          <w:szCs w:val="22"/>
          <w:lang w:val="en-US"/>
        </w:rPr>
        <w:fldChar w:fldCharType="separate"/>
      </w:r>
      <w:r w:rsidR="00C231ED">
        <w:rPr>
          <w:rFonts w:ascii="Arial" w:hAnsi="Arial" w:cs="Arial"/>
          <w:noProof/>
          <w:sz w:val="22"/>
          <w:szCs w:val="22"/>
          <w:lang w:val="en-US"/>
        </w:rPr>
        <w:t>(Carrelha et al., 2018)</w:t>
      </w:r>
      <w:r w:rsidR="00C231ED">
        <w:rPr>
          <w:rFonts w:ascii="Arial" w:hAnsi="Arial" w:cs="Arial"/>
          <w:sz w:val="22"/>
          <w:szCs w:val="22"/>
          <w:lang w:val="en-US"/>
        </w:rPr>
        <w:fldChar w:fldCharType="end"/>
      </w:r>
      <w:r w:rsidR="00F60D50">
        <w:rPr>
          <w:rFonts w:ascii="Arial" w:hAnsi="Arial" w:cs="Arial"/>
          <w:sz w:val="22"/>
          <w:szCs w:val="22"/>
          <w:lang w:val="en-US"/>
        </w:rPr>
        <w:t>. Furthermore, the composition of HSC pool is significantly change</w:t>
      </w:r>
      <w:r w:rsidR="00C231ED">
        <w:rPr>
          <w:rFonts w:ascii="Arial" w:hAnsi="Arial" w:cs="Arial"/>
          <w:sz w:val="22"/>
          <w:szCs w:val="22"/>
          <w:lang w:val="en-US"/>
        </w:rPr>
        <w:t>d</w:t>
      </w:r>
      <w:r w:rsidR="00F60D50">
        <w:rPr>
          <w:rFonts w:ascii="Arial" w:hAnsi="Arial" w:cs="Arial"/>
          <w:sz w:val="22"/>
          <w:szCs w:val="22"/>
          <w:lang w:val="en-US"/>
        </w:rPr>
        <w:t xml:space="preserve"> with aging </w:t>
      </w:r>
      <w:r w:rsidR="00907A8C">
        <w:rPr>
          <w:rFonts w:ascii="Arial" w:hAnsi="Arial" w:cs="Arial"/>
          <w:sz w:val="22"/>
          <w:szCs w:val="22"/>
          <w:lang w:val="en-US"/>
        </w:rPr>
        <w:t>towards</w:t>
      </w:r>
      <w:r w:rsidR="00F60D50">
        <w:rPr>
          <w:rFonts w:ascii="Arial" w:hAnsi="Arial" w:cs="Arial"/>
          <w:sz w:val="22"/>
          <w:szCs w:val="22"/>
          <w:lang w:val="en-US"/>
        </w:rPr>
        <w:t xml:space="preserve"> increase in </w:t>
      </w:r>
      <w:r w:rsidR="00907A8C">
        <w:rPr>
          <w:rFonts w:ascii="Arial" w:hAnsi="Arial" w:cs="Arial"/>
          <w:sz w:val="22"/>
          <w:szCs w:val="22"/>
          <w:lang w:val="en-US"/>
        </w:rPr>
        <w:t xml:space="preserve">megakaryocyte-biased (Mk-biased) HSC frequencies and </w:t>
      </w:r>
      <w:r w:rsidR="00F60D50">
        <w:rPr>
          <w:rFonts w:ascii="Arial" w:hAnsi="Arial" w:cs="Arial"/>
          <w:sz w:val="22"/>
          <w:szCs w:val="22"/>
          <w:lang w:val="en-US"/>
        </w:rPr>
        <w:t>platelets production</w:t>
      </w:r>
      <w:r w:rsidR="00907A8C">
        <w:rPr>
          <w:rFonts w:ascii="Arial" w:hAnsi="Arial" w:cs="Arial"/>
          <w:sz w:val="22"/>
          <w:szCs w:val="22"/>
          <w:lang w:val="en-US"/>
        </w:rPr>
        <w:t xml:space="preserve">, with </w:t>
      </w:r>
      <w:r w:rsidR="00C231ED">
        <w:rPr>
          <w:rFonts w:ascii="Arial" w:hAnsi="Arial" w:cs="Arial"/>
          <w:sz w:val="22"/>
          <w:szCs w:val="22"/>
          <w:lang w:val="en-US"/>
        </w:rPr>
        <w:t>decrease in l</w:t>
      </w:r>
      <w:r w:rsidR="00C231ED" w:rsidRPr="00C231ED">
        <w:rPr>
          <w:rFonts w:ascii="Arial" w:hAnsi="Arial" w:cs="Arial"/>
          <w:sz w:val="22"/>
          <w:szCs w:val="22"/>
          <w:lang w:val="en-US"/>
        </w:rPr>
        <w:t>ymphoid lineage output</w:t>
      </w:r>
      <w:r w:rsidR="00C231ED">
        <w:rPr>
          <w:rFonts w:ascii="Arial" w:hAnsi="Arial" w:cs="Arial"/>
          <w:sz w:val="22"/>
          <w:szCs w:val="22"/>
          <w:lang w:val="en-US"/>
        </w:rPr>
        <w:t xml:space="preserve"> </w:t>
      </w:r>
      <w:r w:rsidR="00C231ED">
        <w:rPr>
          <w:rFonts w:ascii="Arial" w:hAnsi="Arial" w:cs="Arial"/>
          <w:sz w:val="22"/>
          <w:szCs w:val="22"/>
          <w:lang w:val="en-US"/>
        </w:rPr>
        <w:fldChar w:fldCharType="begin"/>
      </w:r>
      <w:r w:rsidR="00C231ED">
        <w:rPr>
          <w:rFonts w:ascii="Arial" w:hAnsi="Arial" w:cs="Arial"/>
          <w:sz w:val="22"/>
          <w:szCs w:val="22"/>
          <w:lang w:val="en-US"/>
        </w:rPr>
        <w:instrText xml:space="preserve"> ADDIN ZOTERO_ITEM CSL_CITATION {"citationID":"ple9ILV0","properties":{"formattedCitation":"(Grover et al., 2016)","plainCitation":"(Grover et al., 2016)","noteIndex":0},"citationItems":[{"id":1448,"uris":["http://zotero.org/users/2484452/items/DDFY9ZBQ"],"uri":["http://zotero.org/users/2484452/items/DDFY9ZBQ"],"itemData":{"id":1448,"type":"article-journal","abstract":"Aged haematopoietic stem cells (HSCs) generate more myeloid cells and fewer lymphoid cells compared with young HSCs, contributing to decreased adaptive immunity in aged individuals. However, it is not known how intrinsic changes to HSCs and shifts in the balance between biased HSC subsets each contribute to the altered lineage output. Here, by analysing HSC transcriptomes and HSC function at the single-cell level, we identify increased molecular platelet priming and functional platelet bias as the predominant age-dependent change to HSCs, including a significant increase in a previously unrecognized class of HSCs that exclusively produce platelets. Depletion of HSC platelet programming through loss of the FOG-1 transcription factor is accompanied by increased lymphoid output. Therefore, increased platelet bias may contribute to the age-associated decrease in lymphopoiesis.","container-title":"Nature Communications","DOI":"10.1038/ncomms11075","ISSN":"2041-1723","journalAbbreviation":"Nat Commun","language":"eng","note":"PMID: 27009448\nPMCID: PMC4820843","page":"11075","source":"PubMed","title":"Single-cell RNA sequencing reveals molecular and functional platelet bias of aged haematopoietic stem cells","volume":"7","author":[{"family":"Grover","given":"Amit"},{"family":"Sanjuan-Pla","given":"Alejandra"},{"family":"Thongjuea","given":"Supat"},{"family":"Carrelha","given":"Joana"},{"family":"Giustacchini","given":"Alice"},{"family":"Gambardella","given":"Adriana"},{"family":"Macaulay","given":"Iain"},{"family":"Mancini","given":"Elena"},{"family":"Luis","given":"Tiago C."},{"family":"Mead","given":"Adam"},{"family":"Jacobsen","given":"Sten Eirik W."},{"family":"Nerlov","given":"Claus"}],"issued":{"date-parts":[["2016",3,24]]}}}],"schema":"https://github.com/citation-style-language/schema/raw/master/csl-citation.json"} </w:instrText>
      </w:r>
      <w:r w:rsidR="00C231ED">
        <w:rPr>
          <w:rFonts w:ascii="Arial" w:hAnsi="Arial" w:cs="Arial"/>
          <w:sz w:val="22"/>
          <w:szCs w:val="22"/>
          <w:lang w:val="en-US"/>
        </w:rPr>
        <w:fldChar w:fldCharType="separate"/>
      </w:r>
      <w:r w:rsidR="00C231ED">
        <w:rPr>
          <w:rFonts w:ascii="Arial" w:hAnsi="Arial" w:cs="Arial"/>
          <w:noProof/>
          <w:sz w:val="22"/>
          <w:szCs w:val="22"/>
          <w:lang w:val="en-US"/>
        </w:rPr>
        <w:t>(Grover et al., 2016)</w:t>
      </w:r>
      <w:r w:rsidR="00C231ED">
        <w:rPr>
          <w:rFonts w:ascii="Arial" w:hAnsi="Arial" w:cs="Arial"/>
          <w:sz w:val="22"/>
          <w:szCs w:val="22"/>
          <w:lang w:val="en-US"/>
        </w:rPr>
        <w:fldChar w:fldCharType="end"/>
      </w:r>
      <w:r w:rsidR="00F60D50">
        <w:rPr>
          <w:rFonts w:ascii="Arial" w:hAnsi="Arial" w:cs="Arial"/>
          <w:sz w:val="22"/>
          <w:szCs w:val="22"/>
          <w:lang w:val="en-US"/>
        </w:rPr>
        <w:t>. However</w:t>
      </w:r>
      <w:r w:rsidR="00FF315A">
        <w:rPr>
          <w:rFonts w:ascii="Arial" w:hAnsi="Arial" w:cs="Arial"/>
          <w:sz w:val="22"/>
          <w:szCs w:val="22"/>
          <w:lang w:val="en-US"/>
        </w:rPr>
        <w:t>,</w:t>
      </w:r>
      <w:r w:rsidR="00F60D50">
        <w:rPr>
          <w:rFonts w:ascii="Arial" w:hAnsi="Arial" w:cs="Arial"/>
          <w:sz w:val="22"/>
          <w:szCs w:val="22"/>
          <w:lang w:val="en-US"/>
        </w:rPr>
        <w:t xml:space="preserve"> how are these subpopulati</w:t>
      </w:r>
      <w:r w:rsidR="00C231ED">
        <w:rPr>
          <w:rFonts w:ascii="Arial" w:hAnsi="Arial" w:cs="Arial"/>
          <w:sz w:val="22"/>
          <w:szCs w:val="22"/>
          <w:lang w:val="en-US"/>
        </w:rPr>
        <w:t>ons related to long-term engraftment, stemness and eventually modulated by oncogene and inflammatory conditions had been so far unexplored.</w:t>
      </w:r>
    </w:p>
    <w:p w14:paraId="425B02C1" w14:textId="77777777" w:rsidR="007F1217" w:rsidRDefault="00C231ED" w:rsidP="00F60D50">
      <w:pPr>
        <w:spacing w:line="360" w:lineRule="auto"/>
        <w:jc w:val="both"/>
        <w:rPr>
          <w:rFonts w:ascii="Arial" w:hAnsi="Arial" w:cs="Arial"/>
          <w:sz w:val="22"/>
          <w:szCs w:val="22"/>
          <w:lang w:val="en-US"/>
        </w:rPr>
      </w:pPr>
      <w:r>
        <w:rPr>
          <w:rFonts w:ascii="Arial" w:hAnsi="Arial" w:cs="Arial"/>
          <w:sz w:val="22"/>
          <w:szCs w:val="22"/>
          <w:lang w:val="en-US"/>
        </w:rPr>
        <w:t xml:space="preserve">In </w:t>
      </w:r>
      <w:r w:rsidR="00357849">
        <w:rPr>
          <w:rFonts w:ascii="Arial" w:hAnsi="Arial" w:cs="Arial"/>
          <w:sz w:val="22"/>
          <w:szCs w:val="22"/>
          <w:lang w:val="en-US"/>
        </w:rPr>
        <w:t xml:space="preserve">a </w:t>
      </w:r>
      <w:r>
        <w:rPr>
          <w:rFonts w:ascii="Arial" w:hAnsi="Arial" w:cs="Arial"/>
          <w:sz w:val="22"/>
          <w:szCs w:val="22"/>
          <w:lang w:val="en-US"/>
        </w:rPr>
        <w:t>recent paper</w:t>
      </w:r>
      <w:r w:rsidR="00357849">
        <w:rPr>
          <w:rFonts w:ascii="Arial" w:hAnsi="Arial" w:cs="Arial"/>
          <w:sz w:val="22"/>
          <w:szCs w:val="22"/>
          <w:lang w:val="en-US"/>
        </w:rPr>
        <w:t xml:space="preserve"> on which I had an opportunity to collaborate</w:t>
      </w:r>
      <w:r w:rsidR="00FF315A">
        <w:rPr>
          <w:rFonts w:ascii="Arial" w:hAnsi="Arial" w:cs="Arial"/>
          <w:sz w:val="22"/>
          <w:szCs w:val="22"/>
          <w:lang w:val="en-US"/>
        </w:rPr>
        <w:t>,</w:t>
      </w:r>
      <w:r w:rsidR="00357849">
        <w:rPr>
          <w:rFonts w:ascii="Arial" w:hAnsi="Arial" w:cs="Arial"/>
          <w:sz w:val="22"/>
          <w:szCs w:val="22"/>
          <w:lang w:val="en-US"/>
        </w:rPr>
        <w:t xml:space="preserve"> </w:t>
      </w:r>
      <w:r>
        <w:rPr>
          <w:rFonts w:ascii="Arial" w:hAnsi="Arial" w:cs="Arial"/>
          <w:sz w:val="22"/>
          <w:szCs w:val="22"/>
          <w:lang w:val="en-US"/>
        </w:rPr>
        <w:t xml:space="preserve">we have explored the functional role of Mk-biased HSCs in </w:t>
      </w:r>
      <w:r w:rsidRPr="00C231ED">
        <w:rPr>
          <w:rFonts w:ascii="Arial" w:hAnsi="Arial" w:cs="Arial"/>
          <w:i/>
          <w:iCs/>
          <w:sz w:val="22"/>
          <w:szCs w:val="22"/>
          <w:lang w:val="en-US"/>
        </w:rPr>
        <w:t>JAK2</w:t>
      </w:r>
      <w:r>
        <w:rPr>
          <w:rFonts w:ascii="Arial" w:hAnsi="Arial" w:cs="Arial"/>
          <w:sz w:val="22"/>
          <w:szCs w:val="22"/>
          <w:lang w:val="en-US"/>
        </w:rPr>
        <w:t xml:space="preserve"> V617F</w:t>
      </w:r>
      <w:r w:rsidRPr="00C231ED">
        <w:rPr>
          <w:rFonts w:ascii="Arial" w:hAnsi="Arial" w:cs="Arial"/>
          <w:sz w:val="22"/>
          <w:szCs w:val="22"/>
          <w:vertAlign w:val="superscript"/>
          <w:lang w:val="en-US"/>
        </w:rPr>
        <w:t>+</w:t>
      </w:r>
      <w:r>
        <w:rPr>
          <w:rFonts w:ascii="Arial" w:hAnsi="Arial" w:cs="Arial"/>
          <w:sz w:val="22"/>
          <w:szCs w:val="22"/>
          <w:lang w:val="en-US"/>
        </w:rPr>
        <w:t xml:space="preserve"> MPN mouse model. Currently</w:t>
      </w:r>
      <w:r w:rsidR="00FF315A">
        <w:rPr>
          <w:rFonts w:ascii="Arial" w:hAnsi="Arial" w:cs="Arial"/>
          <w:sz w:val="22"/>
          <w:szCs w:val="22"/>
          <w:lang w:val="en-US"/>
        </w:rPr>
        <w:t>,</w:t>
      </w:r>
      <w:r>
        <w:rPr>
          <w:rFonts w:ascii="Arial" w:hAnsi="Arial" w:cs="Arial"/>
          <w:sz w:val="22"/>
          <w:szCs w:val="22"/>
          <w:lang w:val="en-US"/>
        </w:rPr>
        <w:t xml:space="preserve"> pegylated IFN alpha (</w:t>
      </w:r>
      <w:proofErr w:type="spellStart"/>
      <w:r>
        <w:rPr>
          <w:rFonts w:ascii="Arial" w:hAnsi="Arial" w:cs="Arial"/>
          <w:sz w:val="22"/>
          <w:szCs w:val="22"/>
          <w:lang w:val="en-US"/>
        </w:rPr>
        <w:t>pegIFN</w:t>
      </w:r>
      <w:proofErr w:type="spellEnd"/>
      <w:r>
        <w:rPr>
          <w:rFonts w:ascii="Arial" w:hAnsi="Arial" w:cs="Arial"/>
          <w:sz w:val="22"/>
          <w:szCs w:val="22"/>
          <w:lang w:val="en-US"/>
        </w:rPr>
        <w:sym w:font="Symbol" w:char="F061"/>
      </w:r>
      <w:r w:rsidR="00E85D53">
        <w:rPr>
          <w:rFonts w:ascii="Arial" w:hAnsi="Arial" w:cs="Arial"/>
          <w:sz w:val="22"/>
          <w:szCs w:val="22"/>
          <w:lang w:val="en-US"/>
        </w:rPr>
        <w:t>)</w:t>
      </w:r>
      <w:r>
        <w:rPr>
          <w:rFonts w:ascii="Arial" w:hAnsi="Arial" w:cs="Arial"/>
          <w:sz w:val="22"/>
          <w:szCs w:val="22"/>
          <w:lang w:val="en-US"/>
        </w:rPr>
        <w:t xml:space="preserve"> therapy is the only treatment for MPNs, which is able to directly </w:t>
      </w:r>
      <w:r w:rsidR="00E85D53">
        <w:rPr>
          <w:rFonts w:ascii="Arial" w:hAnsi="Arial" w:cs="Arial"/>
          <w:sz w:val="22"/>
          <w:szCs w:val="22"/>
          <w:lang w:val="en-US"/>
        </w:rPr>
        <w:t>target</w:t>
      </w:r>
      <w:r>
        <w:rPr>
          <w:rFonts w:ascii="Arial" w:hAnsi="Arial" w:cs="Arial"/>
          <w:sz w:val="22"/>
          <w:szCs w:val="22"/>
          <w:lang w:val="en-US"/>
        </w:rPr>
        <w:t xml:space="preserve"> </w:t>
      </w:r>
      <w:r w:rsidR="00E85D53">
        <w:rPr>
          <w:rFonts w:ascii="Arial" w:hAnsi="Arial" w:cs="Arial"/>
          <w:sz w:val="22"/>
          <w:szCs w:val="22"/>
          <w:lang w:val="en-US"/>
        </w:rPr>
        <w:t xml:space="preserve">and reduce </w:t>
      </w:r>
      <w:r w:rsidR="00E85D53" w:rsidRPr="00C231ED">
        <w:rPr>
          <w:rFonts w:ascii="Arial" w:hAnsi="Arial" w:cs="Arial"/>
          <w:i/>
          <w:iCs/>
          <w:sz w:val="22"/>
          <w:szCs w:val="22"/>
          <w:lang w:val="en-US"/>
        </w:rPr>
        <w:t>JAK2</w:t>
      </w:r>
      <w:r w:rsidR="00E85D53">
        <w:rPr>
          <w:rFonts w:ascii="Arial" w:hAnsi="Arial" w:cs="Arial"/>
          <w:sz w:val="22"/>
          <w:szCs w:val="22"/>
          <w:lang w:val="en-US"/>
        </w:rPr>
        <w:t xml:space="preserve"> V617F</w:t>
      </w:r>
      <w:r w:rsidR="00E85D53" w:rsidRPr="00C231ED">
        <w:rPr>
          <w:rFonts w:ascii="Arial" w:hAnsi="Arial" w:cs="Arial"/>
          <w:sz w:val="22"/>
          <w:szCs w:val="22"/>
          <w:vertAlign w:val="superscript"/>
          <w:lang w:val="en-US"/>
        </w:rPr>
        <w:t>+</w:t>
      </w:r>
      <w:r w:rsidR="00E85D53">
        <w:rPr>
          <w:rFonts w:ascii="Arial" w:hAnsi="Arial" w:cs="Arial"/>
          <w:sz w:val="22"/>
          <w:szCs w:val="22"/>
          <w:vertAlign w:val="superscript"/>
          <w:lang w:val="en-US"/>
        </w:rPr>
        <w:t xml:space="preserve"> </w:t>
      </w:r>
      <w:r>
        <w:rPr>
          <w:rFonts w:ascii="Arial" w:hAnsi="Arial" w:cs="Arial"/>
          <w:sz w:val="22"/>
          <w:szCs w:val="22"/>
          <w:lang w:val="en-US"/>
        </w:rPr>
        <w:t xml:space="preserve">HSC </w:t>
      </w:r>
      <w:r w:rsidR="00E85D53">
        <w:rPr>
          <w:rFonts w:ascii="Arial" w:hAnsi="Arial" w:cs="Arial"/>
          <w:sz w:val="22"/>
          <w:szCs w:val="22"/>
          <w:lang w:val="en-US"/>
        </w:rPr>
        <w:t xml:space="preserve">pool. </w:t>
      </w:r>
      <w:r w:rsidR="00907A8C">
        <w:rPr>
          <w:rFonts w:ascii="Arial" w:hAnsi="Arial" w:cs="Arial"/>
          <w:sz w:val="22"/>
          <w:szCs w:val="22"/>
          <w:lang w:val="en-US"/>
        </w:rPr>
        <w:t>Thus, w</w:t>
      </w:r>
      <w:r w:rsidR="00E85D53">
        <w:rPr>
          <w:rFonts w:ascii="Arial" w:hAnsi="Arial" w:cs="Arial"/>
          <w:sz w:val="22"/>
          <w:szCs w:val="22"/>
          <w:lang w:val="en-US"/>
        </w:rPr>
        <w:t xml:space="preserve">e have also assessed impact of long-term treatment with </w:t>
      </w:r>
      <w:proofErr w:type="spellStart"/>
      <w:r w:rsidR="00E85D53">
        <w:rPr>
          <w:rFonts w:ascii="Arial" w:hAnsi="Arial" w:cs="Arial"/>
          <w:sz w:val="22"/>
          <w:szCs w:val="22"/>
          <w:lang w:val="en-US"/>
        </w:rPr>
        <w:t>pegIFN</w:t>
      </w:r>
      <w:proofErr w:type="spellEnd"/>
      <w:r w:rsidR="00E85D53">
        <w:rPr>
          <w:rFonts w:ascii="Arial" w:hAnsi="Arial" w:cs="Arial"/>
          <w:sz w:val="22"/>
          <w:szCs w:val="22"/>
          <w:lang w:val="en-US"/>
        </w:rPr>
        <w:sym w:font="Symbol" w:char="F061"/>
      </w:r>
      <w:r w:rsidR="00E85D53">
        <w:rPr>
          <w:rFonts w:ascii="Arial" w:hAnsi="Arial" w:cs="Arial"/>
          <w:sz w:val="22"/>
          <w:szCs w:val="22"/>
          <w:lang w:val="en-US"/>
        </w:rPr>
        <w:t xml:space="preserve"> on composition of MPN HSC pool.</w:t>
      </w:r>
    </w:p>
    <w:p w14:paraId="38858293" w14:textId="77777777" w:rsidR="007F1217" w:rsidRDefault="00981CDB" w:rsidP="00F60D50">
      <w:pPr>
        <w:spacing w:line="360" w:lineRule="auto"/>
        <w:jc w:val="both"/>
        <w:rPr>
          <w:rFonts w:ascii="Arial" w:hAnsi="Arial" w:cs="Arial"/>
          <w:sz w:val="22"/>
          <w:szCs w:val="22"/>
          <w:lang w:val="en-US"/>
        </w:rPr>
      </w:pPr>
      <w:r>
        <w:rPr>
          <w:rFonts w:ascii="Arial" w:hAnsi="Arial" w:cs="Arial"/>
          <w:sz w:val="22"/>
          <w:szCs w:val="22"/>
          <w:lang w:val="en-US"/>
        </w:rPr>
        <w:t xml:space="preserve">I have participated in part or full in transplantations </w:t>
      </w:r>
      <w:r w:rsidR="0002086C">
        <w:rPr>
          <w:rFonts w:ascii="Arial" w:hAnsi="Arial" w:cs="Arial"/>
          <w:sz w:val="22"/>
          <w:szCs w:val="22"/>
          <w:lang w:val="en-US"/>
        </w:rPr>
        <w:t xml:space="preserve">for repopulation with </w:t>
      </w:r>
      <w:r w:rsidR="0002086C" w:rsidRPr="00907A8C">
        <w:rPr>
          <w:rFonts w:ascii="Arial" w:hAnsi="Arial" w:cs="Arial"/>
          <w:i/>
          <w:iCs/>
          <w:sz w:val="22"/>
          <w:szCs w:val="22"/>
          <w:lang w:val="en-US"/>
        </w:rPr>
        <w:t>JAK2</w:t>
      </w:r>
      <w:r w:rsidR="0002086C">
        <w:rPr>
          <w:rFonts w:ascii="Arial" w:hAnsi="Arial" w:cs="Arial"/>
          <w:sz w:val="22"/>
          <w:szCs w:val="22"/>
          <w:lang w:val="en-US"/>
        </w:rPr>
        <w:t xml:space="preserve"> </w:t>
      </w:r>
      <w:r w:rsidR="0002086C" w:rsidRPr="00605651">
        <w:rPr>
          <w:rFonts w:ascii="Arial" w:hAnsi="Arial" w:cs="Arial"/>
          <w:sz w:val="22"/>
          <w:szCs w:val="22"/>
          <w:lang w:val="en-US"/>
        </w:rPr>
        <w:t>V617F</w:t>
      </w:r>
      <w:r w:rsidR="0002086C">
        <w:rPr>
          <w:rFonts w:ascii="Arial" w:hAnsi="Arial" w:cs="Arial"/>
          <w:sz w:val="22"/>
          <w:szCs w:val="22"/>
          <w:lang w:val="en-US"/>
        </w:rPr>
        <w:t xml:space="preserve"> (</w:t>
      </w:r>
      <w:r w:rsidR="0002086C" w:rsidRPr="00907A8C">
        <w:rPr>
          <w:rFonts w:ascii="Arial" w:hAnsi="Arial" w:cs="Arial"/>
          <w:i/>
          <w:iCs/>
          <w:sz w:val="22"/>
          <w:szCs w:val="22"/>
          <w:lang w:val="en-US"/>
        </w:rPr>
        <w:t>VF</w:t>
      </w:r>
      <w:r w:rsidR="0002086C">
        <w:rPr>
          <w:rFonts w:ascii="Arial" w:hAnsi="Arial" w:cs="Arial"/>
          <w:sz w:val="22"/>
          <w:szCs w:val="22"/>
          <w:lang w:val="en-US"/>
        </w:rPr>
        <w:t xml:space="preserve">) subsets of HSCs </w:t>
      </w:r>
      <w:r>
        <w:rPr>
          <w:rFonts w:ascii="Arial" w:hAnsi="Arial" w:cs="Arial"/>
          <w:sz w:val="22"/>
          <w:szCs w:val="22"/>
          <w:lang w:val="en-US"/>
        </w:rPr>
        <w:t xml:space="preserve">and treatment of MPN mouse models and </w:t>
      </w:r>
      <w:r w:rsidRPr="00E6025C">
        <w:rPr>
          <w:rFonts w:ascii="Arial" w:hAnsi="Arial" w:cs="Arial"/>
          <w:i/>
          <w:iCs/>
          <w:sz w:val="22"/>
          <w:szCs w:val="22"/>
          <w:lang w:val="en-US"/>
        </w:rPr>
        <w:t>WT</w:t>
      </w:r>
      <w:r>
        <w:rPr>
          <w:rFonts w:ascii="Arial" w:hAnsi="Arial" w:cs="Arial"/>
          <w:sz w:val="22"/>
          <w:szCs w:val="22"/>
          <w:lang w:val="en-US"/>
        </w:rPr>
        <w:t xml:space="preserve"> mice intended for treatments with saline as a control, </w:t>
      </w:r>
      <w:proofErr w:type="spellStart"/>
      <w:proofErr w:type="gramStart"/>
      <w:r>
        <w:rPr>
          <w:rFonts w:ascii="Arial" w:hAnsi="Arial" w:cs="Arial"/>
          <w:sz w:val="22"/>
          <w:szCs w:val="22"/>
          <w:lang w:val="en-US"/>
        </w:rPr>
        <w:t>p</w:t>
      </w:r>
      <w:r w:rsidRPr="001E7069">
        <w:rPr>
          <w:rFonts w:ascii="Arial" w:hAnsi="Arial" w:cs="Arial"/>
          <w:sz w:val="22"/>
          <w:szCs w:val="22"/>
          <w:lang w:val="en-US"/>
        </w:rPr>
        <w:t>olyinosinic:polycytidylic</w:t>
      </w:r>
      <w:proofErr w:type="spellEnd"/>
      <w:proofErr w:type="gramEnd"/>
      <w:r w:rsidRPr="001E7069">
        <w:rPr>
          <w:rFonts w:ascii="Arial" w:hAnsi="Arial" w:cs="Arial"/>
          <w:sz w:val="22"/>
          <w:szCs w:val="22"/>
          <w:lang w:val="en-US"/>
        </w:rPr>
        <w:t xml:space="preserve"> acid</w:t>
      </w:r>
      <w:r w:rsidRPr="005A478D">
        <w:rPr>
          <w:rFonts w:ascii="Arial" w:hAnsi="Arial" w:cs="Arial"/>
          <w:sz w:val="22"/>
          <w:szCs w:val="22"/>
          <w:lang w:val="en-US"/>
        </w:rPr>
        <w:t xml:space="preserve"> </w:t>
      </w:r>
      <w:r>
        <w:rPr>
          <w:rFonts w:ascii="Arial" w:hAnsi="Arial" w:cs="Arial"/>
          <w:sz w:val="22"/>
          <w:szCs w:val="22"/>
          <w:lang w:val="en-US"/>
        </w:rPr>
        <w:t>(</w:t>
      </w:r>
      <w:proofErr w:type="spellStart"/>
      <w:r w:rsidRPr="005A478D">
        <w:rPr>
          <w:rFonts w:ascii="Arial" w:hAnsi="Arial" w:cs="Arial"/>
          <w:sz w:val="22"/>
          <w:szCs w:val="22"/>
          <w:lang w:val="en-US"/>
        </w:rPr>
        <w:t>pIpC</w:t>
      </w:r>
      <w:proofErr w:type="spellEnd"/>
      <w:r>
        <w:rPr>
          <w:rFonts w:ascii="Arial" w:hAnsi="Arial" w:cs="Arial"/>
          <w:sz w:val="22"/>
          <w:szCs w:val="22"/>
          <w:lang w:val="en-US"/>
        </w:rPr>
        <w:t xml:space="preserve">), </w:t>
      </w:r>
      <w:proofErr w:type="spellStart"/>
      <w:r w:rsidRPr="00C96B8A">
        <w:rPr>
          <w:rFonts w:ascii="Arial" w:hAnsi="Arial" w:cs="Arial"/>
          <w:sz w:val="22"/>
          <w:szCs w:val="22"/>
          <w:lang w:val="en-US"/>
        </w:rPr>
        <w:t>pegIFN</w:t>
      </w:r>
      <w:proofErr w:type="spellEnd"/>
      <w:r w:rsidRPr="00C96B8A">
        <w:rPr>
          <w:rFonts w:ascii="Arial" w:hAnsi="Arial" w:cs="Arial"/>
          <w:sz w:val="22"/>
          <w:szCs w:val="22"/>
          <w:lang w:val="en-US"/>
        </w:rPr>
        <w:t>α</w:t>
      </w:r>
      <w:r>
        <w:rPr>
          <w:rFonts w:ascii="Arial" w:hAnsi="Arial" w:cs="Arial"/>
          <w:sz w:val="22"/>
          <w:szCs w:val="22"/>
          <w:lang w:val="en-US"/>
        </w:rPr>
        <w:t xml:space="preserve">, thrombopoietin </w:t>
      </w:r>
      <w:r w:rsidRPr="00981CDB">
        <w:rPr>
          <w:rFonts w:ascii="Arial" w:hAnsi="Arial" w:cs="Arial"/>
          <w:sz w:val="22"/>
          <w:szCs w:val="22"/>
          <w:lang w:val="en-US"/>
        </w:rPr>
        <w:t>(</w:t>
      </w:r>
      <w:r>
        <w:rPr>
          <w:rFonts w:ascii="Arial" w:hAnsi="Arial" w:cs="Arial"/>
          <w:sz w:val="22"/>
          <w:szCs w:val="22"/>
          <w:lang w:val="en-US"/>
        </w:rPr>
        <w:t xml:space="preserve">TPO) and all the downstream experiments intended to resolve long-term HSC </w:t>
      </w:r>
      <w:r w:rsidR="00E6025C">
        <w:rPr>
          <w:rFonts w:ascii="Arial" w:hAnsi="Arial" w:cs="Arial"/>
          <w:sz w:val="22"/>
          <w:szCs w:val="22"/>
          <w:lang w:val="en-US"/>
        </w:rPr>
        <w:t>subpopulations</w:t>
      </w:r>
      <w:r>
        <w:rPr>
          <w:rFonts w:ascii="Arial" w:hAnsi="Arial" w:cs="Arial"/>
          <w:sz w:val="22"/>
          <w:szCs w:val="22"/>
          <w:lang w:val="en-US"/>
        </w:rPr>
        <w:t xml:space="preserve"> in bone marrow and spleen. To </w:t>
      </w:r>
      <w:r w:rsidR="00AF623F">
        <w:rPr>
          <w:rFonts w:ascii="Arial" w:hAnsi="Arial" w:cs="Arial"/>
          <w:sz w:val="22"/>
          <w:szCs w:val="22"/>
          <w:lang w:val="en-US"/>
        </w:rPr>
        <w:t xml:space="preserve">keep the dataset understandable, I have included necessary minimum of the data from my colleague </w:t>
      </w:r>
      <w:r w:rsidR="00AF623F" w:rsidRPr="00357849">
        <w:rPr>
          <w:rFonts w:ascii="Arial" w:hAnsi="Arial" w:cs="Arial"/>
          <w:sz w:val="22"/>
          <w:szCs w:val="22"/>
          <w:lang w:val="en-US"/>
        </w:rPr>
        <w:t>Nageswara Rao Tata</w:t>
      </w:r>
      <w:r w:rsidR="00AF623F">
        <w:rPr>
          <w:rFonts w:ascii="Arial" w:hAnsi="Arial" w:cs="Arial"/>
          <w:sz w:val="22"/>
          <w:szCs w:val="22"/>
          <w:lang w:val="en-US"/>
        </w:rPr>
        <w:t xml:space="preserve"> (Radek Skoda lab, </w:t>
      </w:r>
      <w:r w:rsidR="00AF623F" w:rsidRPr="00357849">
        <w:rPr>
          <w:rFonts w:ascii="Arial" w:hAnsi="Arial" w:cs="Arial"/>
          <w:sz w:val="22"/>
          <w:szCs w:val="22"/>
          <w:lang w:val="en-US"/>
        </w:rPr>
        <w:t xml:space="preserve">University Hospital </w:t>
      </w:r>
      <w:r w:rsidR="00AF623F">
        <w:rPr>
          <w:rFonts w:ascii="Arial" w:hAnsi="Arial" w:cs="Arial"/>
          <w:sz w:val="22"/>
          <w:szCs w:val="22"/>
          <w:lang w:val="en-US"/>
        </w:rPr>
        <w:t xml:space="preserve">and University </w:t>
      </w:r>
      <w:r w:rsidR="00AF623F" w:rsidRPr="00357849">
        <w:rPr>
          <w:rFonts w:ascii="Arial" w:hAnsi="Arial" w:cs="Arial"/>
          <w:sz w:val="22"/>
          <w:szCs w:val="22"/>
          <w:lang w:val="en-US"/>
        </w:rPr>
        <w:t>Basel, Switzerland</w:t>
      </w:r>
      <w:r w:rsidR="00AF623F">
        <w:rPr>
          <w:rFonts w:ascii="Arial" w:hAnsi="Arial" w:cs="Arial"/>
          <w:sz w:val="22"/>
          <w:szCs w:val="22"/>
          <w:lang w:val="en-US"/>
        </w:rPr>
        <w:t xml:space="preserve">). This involves </w:t>
      </w:r>
      <w:r w:rsidR="00AF623F" w:rsidRPr="00357849">
        <w:rPr>
          <w:rFonts w:ascii="Arial" w:hAnsi="Arial" w:cs="Arial"/>
          <w:sz w:val="22"/>
          <w:szCs w:val="22"/>
          <w:lang w:val="en-US"/>
        </w:rPr>
        <w:t xml:space="preserve">single cell liquid cultures of FACS sorted </w:t>
      </w:r>
      <w:r w:rsidR="00AF623F">
        <w:rPr>
          <w:rFonts w:ascii="Arial" w:hAnsi="Arial" w:cs="Arial"/>
          <w:sz w:val="22"/>
          <w:szCs w:val="22"/>
          <w:lang w:val="en-US"/>
        </w:rPr>
        <w:t>HSCs.</w:t>
      </w:r>
    </w:p>
    <w:p w14:paraId="74EF20C8" w14:textId="77777777" w:rsidR="00AF623F" w:rsidRDefault="00AF623F" w:rsidP="00F60D50">
      <w:pPr>
        <w:spacing w:line="360" w:lineRule="auto"/>
        <w:jc w:val="both"/>
        <w:rPr>
          <w:rFonts w:ascii="Arial" w:hAnsi="Arial" w:cs="Arial"/>
          <w:sz w:val="22"/>
          <w:szCs w:val="22"/>
          <w:lang w:val="en-US"/>
        </w:rPr>
      </w:pPr>
    </w:p>
    <w:p w14:paraId="14C9A1A1" w14:textId="77777777" w:rsidR="00605651" w:rsidRDefault="002B4EDA" w:rsidP="00F60D50">
      <w:pPr>
        <w:spacing w:line="360" w:lineRule="auto"/>
        <w:jc w:val="both"/>
        <w:rPr>
          <w:rFonts w:ascii="Arial" w:hAnsi="Arial" w:cs="Arial"/>
          <w:sz w:val="22"/>
          <w:szCs w:val="22"/>
          <w:lang w:val="en-US"/>
        </w:rPr>
      </w:pPr>
      <w:r>
        <w:rPr>
          <w:rFonts w:ascii="Arial" w:eastAsiaTheme="majorEastAsia" w:hAnsi="Arial" w:cs="Arial"/>
          <w:b/>
          <w:color w:val="000000" w:themeColor="text1"/>
          <w:szCs w:val="32"/>
          <w:lang w:val="en-US"/>
        </w:rPr>
        <w:t xml:space="preserve">Functionally impaired </w:t>
      </w:r>
      <w:r w:rsidR="007F1217" w:rsidRPr="007F1217">
        <w:rPr>
          <w:rFonts w:ascii="Arial" w:eastAsiaTheme="majorEastAsia" w:hAnsi="Arial" w:cs="Arial"/>
          <w:b/>
          <w:color w:val="000000" w:themeColor="text1"/>
          <w:szCs w:val="32"/>
          <w:lang w:val="en-US"/>
        </w:rPr>
        <w:t>Mk-biased HSCs</w:t>
      </w:r>
      <w:r w:rsidR="00605651">
        <w:rPr>
          <w:rFonts w:ascii="Arial" w:eastAsiaTheme="majorEastAsia" w:hAnsi="Arial" w:cs="Arial"/>
          <w:b/>
          <w:color w:val="000000" w:themeColor="text1"/>
          <w:szCs w:val="32"/>
          <w:lang w:val="en-US"/>
        </w:rPr>
        <w:t xml:space="preserve"> frequencies are increased in </w:t>
      </w:r>
      <w:r w:rsidR="00605651" w:rsidRPr="00605651">
        <w:rPr>
          <w:rFonts w:ascii="Arial" w:eastAsiaTheme="majorEastAsia" w:hAnsi="Arial" w:cs="Arial"/>
          <w:b/>
          <w:i/>
          <w:iCs/>
          <w:color w:val="000000" w:themeColor="text1"/>
          <w:szCs w:val="32"/>
          <w:lang w:val="en-US"/>
        </w:rPr>
        <w:t>JAK2</w:t>
      </w:r>
      <w:r w:rsidR="00605651">
        <w:rPr>
          <w:rFonts w:ascii="Arial" w:eastAsiaTheme="majorEastAsia" w:hAnsi="Arial" w:cs="Arial"/>
          <w:b/>
          <w:color w:val="000000" w:themeColor="text1"/>
          <w:szCs w:val="32"/>
          <w:lang w:val="en-US"/>
        </w:rPr>
        <w:t xml:space="preserve"> V617F MPN mouse model</w:t>
      </w:r>
    </w:p>
    <w:p w14:paraId="164A5277" w14:textId="77777777" w:rsidR="00605651" w:rsidRDefault="00605651" w:rsidP="00F60D50">
      <w:pPr>
        <w:spacing w:line="360" w:lineRule="auto"/>
        <w:jc w:val="both"/>
        <w:rPr>
          <w:rFonts w:ascii="Arial" w:hAnsi="Arial" w:cs="Arial"/>
          <w:sz w:val="22"/>
          <w:szCs w:val="22"/>
          <w:lang w:val="en-US"/>
        </w:rPr>
      </w:pPr>
    </w:p>
    <w:p w14:paraId="3C4A62D1" w14:textId="77777777" w:rsidR="00184AD1" w:rsidRDefault="00605651" w:rsidP="006F5ABC">
      <w:pPr>
        <w:spacing w:line="360" w:lineRule="auto"/>
        <w:ind w:firstLine="708"/>
        <w:jc w:val="both"/>
        <w:rPr>
          <w:rFonts w:ascii="Arial" w:hAnsi="Arial" w:cs="Arial"/>
          <w:sz w:val="22"/>
          <w:szCs w:val="22"/>
          <w:lang w:val="en-US"/>
        </w:rPr>
      </w:pPr>
      <w:r>
        <w:rPr>
          <w:rFonts w:ascii="Arial" w:hAnsi="Arial" w:cs="Arial"/>
          <w:sz w:val="22"/>
          <w:szCs w:val="22"/>
          <w:lang w:val="en-US"/>
        </w:rPr>
        <w:t xml:space="preserve">As </w:t>
      </w:r>
      <w:r w:rsidR="00907A8C">
        <w:rPr>
          <w:rFonts w:ascii="Arial" w:hAnsi="Arial" w:cs="Arial"/>
          <w:sz w:val="22"/>
          <w:szCs w:val="22"/>
          <w:lang w:val="en-US"/>
        </w:rPr>
        <w:t>Mk-biased</w:t>
      </w:r>
      <w:r w:rsidR="00907A8C" w:rsidRPr="00605651">
        <w:rPr>
          <w:rFonts w:ascii="Arial" w:hAnsi="Arial" w:cs="Arial"/>
          <w:sz w:val="22"/>
          <w:szCs w:val="22"/>
          <w:lang w:val="en-US"/>
        </w:rPr>
        <w:t xml:space="preserve"> </w:t>
      </w:r>
      <w:r w:rsidR="00907A8C">
        <w:rPr>
          <w:rFonts w:ascii="Arial" w:hAnsi="Arial" w:cs="Arial"/>
          <w:sz w:val="22"/>
          <w:szCs w:val="22"/>
          <w:lang w:val="en-US"/>
        </w:rPr>
        <w:t>HSCs were described to have high surface expression of CD41 (CD41</w:t>
      </w:r>
      <w:r w:rsidR="00907A8C" w:rsidRPr="00907A8C">
        <w:rPr>
          <w:rFonts w:ascii="Arial" w:hAnsi="Arial" w:cs="Arial"/>
          <w:sz w:val="22"/>
          <w:szCs w:val="22"/>
          <w:vertAlign w:val="superscript"/>
          <w:lang w:val="en-US"/>
        </w:rPr>
        <w:t>hi</w:t>
      </w:r>
      <w:r w:rsidR="00443069">
        <w:rPr>
          <w:rFonts w:ascii="Arial" w:hAnsi="Arial" w:cs="Arial"/>
          <w:sz w:val="22"/>
          <w:szCs w:val="22"/>
          <w:vertAlign w:val="superscript"/>
          <w:lang w:val="en-US"/>
        </w:rPr>
        <w:t xml:space="preserve"> </w:t>
      </w:r>
      <w:r w:rsidR="00443069">
        <w:rPr>
          <w:rFonts w:ascii="Arial" w:hAnsi="Arial" w:cs="Arial"/>
          <w:sz w:val="22"/>
          <w:szCs w:val="22"/>
          <w:lang w:val="en-US"/>
        </w:rPr>
        <w:t xml:space="preserve">, </w:t>
      </w:r>
      <w:r w:rsidR="00443069">
        <w:rPr>
          <w:rFonts w:ascii="Arial" w:hAnsi="Arial" w:cs="Arial"/>
          <w:sz w:val="22"/>
          <w:szCs w:val="22"/>
          <w:lang w:val="en-US"/>
        </w:rPr>
        <w:fldChar w:fldCharType="begin"/>
      </w:r>
      <w:r w:rsidR="00443069">
        <w:rPr>
          <w:rFonts w:ascii="Arial" w:hAnsi="Arial" w:cs="Arial"/>
          <w:sz w:val="22"/>
          <w:szCs w:val="22"/>
          <w:lang w:val="en-US"/>
        </w:rPr>
        <w:instrText xml:space="preserve"> ADDIN ZOTERO_ITEM CSL_CITATION {"citationID":"f8yJD0g5","properties":{"formattedCitation":"(Gekas and Graf, 2013, p. 41; Sanjuan-Pla et al., 2013)","plainCitation":"(Gekas and Graf, 2013, p. 41; Sanjuan-Pla et al., 2013)","noteIndex":0},"citationItems":[{"id":1453,"uris":["http://zotero.org/users/2484452/items/8Q8CEEL7"],"uri":["http://zotero.org/users/2484452/items/8Q8CEEL7"],"itemData":{"id":1453,"type":"article-journal","abstract":"The hematopoietic stem cell (HSC) compartment is heterogeneous, yet our understanding of the identities of different HSC subtypes is limited. Here we show that platelet integrin CD41 (αIIb), currently thought to only transiently mark fetal HSCs, is expressed on an adult HSC subtype that accumulates with age. CD41+ HSCs were largely quiescent and exhibited myeloerythroid and megakaryocyte gene priming, governed by Gata1, whereas CD41- HSCs were more proliferative and exhibited lymphoid gene priming. When isolated without the use of blocking antibodies, CD41+ HSCs possessed long-term repopulation capacity on serial transplantations and showed a marked myeloid bias compared with CD41- HSCs, which yielded a more lymphoid-biased progeny. CD41-knockout (KO) mice displayed multilineage hematopoietic defects coupled with decreased quiescence and survival of HSCs, suggesting that CD41 is functionally relevant for HSC maintenance and hematopoietic homeostasis. Transplantation experiments indicated that CD41-KO-associated defects are long-term transplantable, HSC-derived and, in part, mediated through the loss of platelet mass leading to decreases in HSC exposure to important platelet released cytokines, such as transforming growth factor β1. In summary, our data provide a novel marker to identify a myeloid-biased HSC subtype that becomes prevalent with age and highlights the dogma of HSC regulation by their progeny.","container-title":"Blood","DOI":"10.1182/blood-2012-09-457929","ISSN":"1528-0020","issue":"22","journalAbbreviation":"Blood","language":"eng","note":"PMID: 23564910","page":"4463-4472","source":"PubMed","title":"CD41 expression marks myeloid-biased adult hematopoietic stem cells and increases with age","volume":"121","author":[{"family":"Gekas","given":"Christos"},{"family":"Graf","given":"Thomas"}],"issued":{"date-parts":[["2013",5,30]]}},"locator":"41"},{"id":1455,"uris":["http://zotero.org/users/2484452/items/MSAVWTHU"],"uri":["http://zotero.org/users/2484452/items/MSAVWTHU"],"itemData":{"id":1455,"type":"article-journal","abstract":"The blood system is maintained by a small pool of haematopoietic stem cells (HSCs), which are required and sufficient for replenishing all human blood cell lineages at millions of cells per second throughout life. Megakaryocytes in the bone marrow are responsible for the continuous production of platelets in the blood, crucial for preventing bleeding--a common and life-threatening side effect of many cancer therapies--and major efforts are focused at identifying the most suitable cellular and molecular targets to enhance platelet production after bone marrow transplantation or chemotherapy. Although it has become clear that distinct HSC subsets exist that are stably biased towards the generation of lymphoid or myeloid blood cells, we are yet to learn whether other types of lineage-biased HSC exist or understand their inter-relationships and how differently lineage-biased HSCs are generated and maintained. The functional relevance of notable phenotypic and molecular similarities between megakaryocytes and bone marrow cells with an HSC cell-surface phenotype remains unclear. Here we identify and prospectively isolate a molecularly and functionally distinct mouse HSC subset primed for platelet-specific gene expression, with enhanced propensity for short- and long-term reconstitution of platelets. Maintenance of platelet-biased HSCs crucially depends on thrombopoietin, the primary extrinsic regulator of platelet development. Platelet-primed HSCs also frequently have a long-term myeloid lineage bias, can self-renew and give rise to lymphoid-biased HSCs. These findings show that HSC subtypes can be organized into a cellular hierarchy, with platelet-primed HSCs at the apex. They also demonstrate that molecular and functional priming for platelet development initiates already in a distinct HSC population. The identification of a platelet-primed HSC population should enable the rational design of therapies enhancing platelet output.","container-title":"Nature","DOI":"10.1038/nature12495","ISSN":"1476-4687","issue":"7470","journalAbbreviation":"Nature","language":"eng","note":"PMID: 23934107","page":"232-236","source":"PubMed","title":"Platelet-biased stem cells reside at the apex of the haematopoietic stem-cell hierarchy","volume":"502","author":[{"family":"Sanjuan-Pla","given":"Alejandra"},{"family":"Macaulay","given":"Iain C."},{"family":"Jensen","given":"Christina T."},{"family":"Woll","given":"Petter S."},{"family":"Luis","given":"Tiago C."},{"family":"Mead","given":"Adam"},{"family":"Moore","given":"Susan"},{"family":"Carella","given":"Cintia"},{"family":"Matsuoka","given":"Sahoko"},{"family":"Bouriez Jones","given":"Tiphaine"},{"family":"Chowdhury","given":"Onima"},{"family":"Stenson","given":"Laura"},{"family":"Lutteropp","given":"Michael"},{"family":"Green","given":"Joanna C. A."},{"family":"Facchini","given":"Raffaella"},{"family":"Boukarabila","given":"Hanane"},{"family":"Grover","given":"Amit"},{"family":"Gambardella","given":"Adriana"},{"family":"Thongjuea","given":"Supat"},{"family":"Carrelha","given":"Joana"},{"family":"Tarrant","given":"Paul"},{"family":"Atkinson","given":"Deborah"},{"family":"Clark","given":"Sally-Ann"},{"family":"Nerlov","given":"Claus"},{"family":"Jacobsen","given":"Sten Eirik W."}],"issued":{"date-parts":[["2013",10,10]]}}}],"schema":"https://github.com/citation-style-language/schema/raw/master/csl-citation.json"} </w:instrText>
      </w:r>
      <w:r w:rsidR="00443069">
        <w:rPr>
          <w:rFonts w:ascii="Arial" w:hAnsi="Arial" w:cs="Arial"/>
          <w:sz w:val="22"/>
          <w:szCs w:val="22"/>
          <w:lang w:val="en-US"/>
        </w:rPr>
        <w:fldChar w:fldCharType="separate"/>
      </w:r>
      <w:r w:rsidR="00443069">
        <w:rPr>
          <w:rFonts w:ascii="Arial" w:hAnsi="Arial" w:cs="Arial"/>
          <w:noProof/>
          <w:sz w:val="22"/>
          <w:szCs w:val="22"/>
          <w:lang w:val="en-US"/>
        </w:rPr>
        <w:t>(Gekas and Graf, 2013, p. 41; Sanjuan-Pla et al., 2013)</w:t>
      </w:r>
      <w:r w:rsidR="00443069">
        <w:rPr>
          <w:rFonts w:ascii="Arial" w:hAnsi="Arial" w:cs="Arial"/>
          <w:sz w:val="22"/>
          <w:szCs w:val="22"/>
          <w:lang w:val="en-US"/>
        </w:rPr>
        <w:fldChar w:fldCharType="end"/>
      </w:r>
      <w:r w:rsidR="00907A8C">
        <w:rPr>
          <w:rFonts w:ascii="Arial" w:hAnsi="Arial" w:cs="Arial"/>
          <w:sz w:val="22"/>
          <w:szCs w:val="22"/>
          <w:lang w:val="en-US"/>
        </w:rPr>
        <w:t>) w</w:t>
      </w:r>
      <w:r w:rsidRPr="00605651">
        <w:rPr>
          <w:rFonts w:ascii="Arial" w:hAnsi="Arial" w:cs="Arial"/>
          <w:sz w:val="22"/>
          <w:szCs w:val="22"/>
          <w:lang w:val="en-US"/>
        </w:rPr>
        <w:t xml:space="preserve">e determined the </w:t>
      </w:r>
      <w:r w:rsidR="00907A8C">
        <w:rPr>
          <w:rFonts w:ascii="Arial" w:hAnsi="Arial" w:cs="Arial"/>
          <w:sz w:val="22"/>
          <w:szCs w:val="22"/>
          <w:lang w:val="en-US"/>
        </w:rPr>
        <w:t xml:space="preserve">HSC </w:t>
      </w:r>
      <w:r w:rsidRPr="00605651">
        <w:rPr>
          <w:rFonts w:ascii="Arial" w:hAnsi="Arial" w:cs="Arial"/>
          <w:sz w:val="22"/>
          <w:szCs w:val="22"/>
          <w:lang w:val="en-US"/>
        </w:rPr>
        <w:t xml:space="preserve">frequencies </w:t>
      </w:r>
      <w:r w:rsidR="00907A8C">
        <w:rPr>
          <w:rFonts w:ascii="Arial" w:hAnsi="Arial" w:cs="Arial"/>
          <w:sz w:val="22"/>
          <w:szCs w:val="22"/>
          <w:lang w:val="en-US"/>
        </w:rPr>
        <w:t xml:space="preserve">of </w:t>
      </w:r>
      <w:r w:rsidRPr="00605651">
        <w:rPr>
          <w:rFonts w:ascii="Arial" w:hAnsi="Arial" w:cs="Arial"/>
          <w:sz w:val="22"/>
          <w:szCs w:val="22"/>
          <w:lang w:val="en-US"/>
        </w:rPr>
        <w:t>CD41</w:t>
      </w:r>
      <w:r w:rsidRPr="00907A8C">
        <w:rPr>
          <w:rFonts w:ascii="Arial" w:hAnsi="Arial" w:cs="Arial"/>
          <w:sz w:val="22"/>
          <w:szCs w:val="22"/>
          <w:vertAlign w:val="superscript"/>
          <w:lang w:val="en-US"/>
        </w:rPr>
        <w:t>hi</w:t>
      </w:r>
      <w:r w:rsidRPr="00605651">
        <w:rPr>
          <w:rFonts w:ascii="Arial" w:hAnsi="Arial" w:cs="Arial"/>
          <w:sz w:val="22"/>
          <w:szCs w:val="22"/>
          <w:lang w:val="en-US"/>
        </w:rPr>
        <w:t xml:space="preserve"> and CD41</w:t>
      </w:r>
      <w:r w:rsidRPr="00907A8C">
        <w:rPr>
          <w:rFonts w:ascii="Arial" w:hAnsi="Arial" w:cs="Arial"/>
          <w:sz w:val="22"/>
          <w:szCs w:val="22"/>
          <w:vertAlign w:val="superscript"/>
          <w:lang w:val="en-US"/>
        </w:rPr>
        <w:t>lo</w:t>
      </w:r>
      <w:r w:rsidRPr="00605651">
        <w:rPr>
          <w:rFonts w:ascii="Arial" w:hAnsi="Arial" w:cs="Arial"/>
          <w:sz w:val="22"/>
          <w:szCs w:val="22"/>
          <w:lang w:val="en-US"/>
        </w:rPr>
        <w:t xml:space="preserve"> </w:t>
      </w:r>
      <w:r w:rsidR="00907A8C">
        <w:rPr>
          <w:rFonts w:ascii="Arial" w:hAnsi="Arial" w:cs="Arial"/>
          <w:sz w:val="22"/>
          <w:szCs w:val="22"/>
          <w:lang w:val="en-US"/>
        </w:rPr>
        <w:t xml:space="preserve">(CD41 low expression) </w:t>
      </w:r>
      <w:r w:rsidRPr="00605651">
        <w:rPr>
          <w:rFonts w:ascii="Arial" w:hAnsi="Arial" w:cs="Arial"/>
          <w:sz w:val="22"/>
          <w:szCs w:val="22"/>
          <w:lang w:val="en-US"/>
        </w:rPr>
        <w:t xml:space="preserve">in the </w:t>
      </w:r>
      <w:proofErr w:type="spellStart"/>
      <w:r w:rsidRPr="00605651">
        <w:rPr>
          <w:rFonts w:ascii="Arial" w:hAnsi="Arial" w:cs="Arial"/>
          <w:sz w:val="22"/>
          <w:szCs w:val="22"/>
          <w:lang w:val="en-US"/>
        </w:rPr>
        <w:t>Cre</w:t>
      </w:r>
      <w:proofErr w:type="spellEnd"/>
      <w:r w:rsidRPr="00605651">
        <w:rPr>
          <w:rFonts w:ascii="Arial" w:hAnsi="Arial" w:cs="Arial"/>
          <w:sz w:val="22"/>
          <w:szCs w:val="22"/>
          <w:lang w:val="en-US"/>
        </w:rPr>
        <w:t xml:space="preserve">-inducible mice expressing the human </w:t>
      </w:r>
      <w:r w:rsidRPr="00907A8C">
        <w:rPr>
          <w:rFonts w:ascii="Arial" w:hAnsi="Arial" w:cs="Arial"/>
          <w:i/>
          <w:iCs/>
          <w:sz w:val="22"/>
          <w:szCs w:val="22"/>
          <w:lang w:val="en-US"/>
        </w:rPr>
        <w:t>JAK2</w:t>
      </w:r>
      <w:r w:rsidR="00907A8C">
        <w:rPr>
          <w:rFonts w:ascii="Arial" w:hAnsi="Arial" w:cs="Arial"/>
          <w:sz w:val="22"/>
          <w:szCs w:val="22"/>
          <w:lang w:val="en-US"/>
        </w:rPr>
        <w:t xml:space="preserve"> </w:t>
      </w:r>
      <w:r w:rsidRPr="00605651">
        <w:rPr>
          <w:rFonts w:ascii="Arial" w:hAnsi="Arial" w:cs="Arial"/>
          <w:sz w:val="22"/>
          <w:szCs w:val="22"/>
          <w:lang w:val="en-US"/>
        </w:rPr>
        <w:t>V617F</w:t>
      </w:r>
      <w:r w:rsidR="00907A8C">
        <w:rPr>
          <w:rFonts w:ascii="Arial" w:hAnsi="Arial" w:cs="Arial"/>
          <w:sz w:val="22"/>
          <w:szCs w:val="22"/>
          <w:lang w:val="en-US"/>
        </w:rPr>
        <w:t xml:space="preserve"> transgene.</w:t>
      </w:r>
      <w:r w:rsidR="00357849">
        <w:rPr>
          <w:rFonts w:ascii="Arial" w:hAnsi="Arial" w:cs="Arial"/>
          <w:sz w:val="22"/>
          <w:szCs w:val="22"/>
          <w:lang w:val="en-US"/>
        </w:rPr>
        <w:t xml:space="preserve"> We show in Figure </w:t>
      </w:r>
      <w:r w:rsidR="007F1F27">
        <w:rPr>
          <w:rFonts w:ascii="Arial" w:hAnsi="Arial" w:cs="Arial"/>
          <w:sz w:val="22"/>
          <w:szCs w:val="22"/>
          <w:lang w:val="en-US"/>
        </w:rPr>
        <w:t>29</w:t>
      </w:r>
      <w:r w:rsidR="00357849">
        <w:rPr>
          <w:rFonts w:ascii="Arial" w:hAnsi="Arial" w:cs="Arial"/>
          <w:sz w:val="22"/>
          <w:szCs w:val="22"/>
          <w:lang w:val="en-US"/>
        </w:rPr>
        <w:t>, that compared to wildtype (</w:t>
      </w:r>
      <w:r w:rsidR="00357849" w:rsidRPr="00357849">
        <w:rPr>
          <w:rFonts w:ascii="Arial" w:hAnsi="Arial" w:cs="Arial"/>
          <w:i/>
          <w:iCs/>
          <w:sz w:val="22"/>
          <w:szCs w:val="22"/>
          <w:lang w:val="en-US"/>
        </w:rPr>
        <w:t>WT</w:t>
      </w:r>
      <w:r w:rsidR="00357849">
        <w:rPr>
          <w:rFonts w:ascii="Arial" w:hAnsi="Arial" w:cs="Arial"/>
          <w:sz w:val="22"/>
          <w:szCs w:val="22"/>
          <w:lang w:val="en-US"/>
        </w:rPr>
        <w:t xml:space="preserve">) littermates the </w:t>
      </w:r>
      <w:r w:rsidR="00357849" w:rsidRPr="00357849">
        <w:rPr>
          <w:rFonts w:ascii="Arial" w:hAnsi="Arial" w:cs="Arial"/>
          <w:i/>
          <w:iCs/>
          <w:sz w:val="22"/>
          <w:szCs w:val="22"/>
          <w:lang w:val="en-US"/>
        </w:rPr>
        <w:t>VF</w:t>
      </w:r>
      <w:r w:rsidR="00357849">
        <w:rPr>
          <w:rFonts w:ascii="Arial" w:hAnsi="Arial" w:cs="Arial"/>
          <w:sz w:val="22"/>
          <w:szCs w:val="22"/>
          <w:lang w:val="en-US"/>
        </w:rPr>
        <w:t xml:space="preserve"> mice have significantly expanded CD41</w:t>
      </w:r>
      <w:r w:rsidR="00357849" w:rsidRPr="00357849">
        <w:rPr>
          <w:rFonts w:ascii="Arial" w:hAnsi="Arial" w:cs="Arial"/>
          <w:sz w:val="22"/>
          <w:szCs w:val="22"/>
          <w:vertAlign w:val="superscript"/>
          <w:lang w:val="en-US"/>
        </w:rPr>
        <w:t>hi</w:t>
      </w:r>
      <w:r w:rsidR="00357849">
        <w:rPr>
          <w:rFonts w:ascii="Arial" w:hAnsi="Arial" w:cs="Arial"/>
          <w:sz w:val="22"/>
          <w:szCs w:val="22"/>
          <w:lang w:val="en-US"/>
        </w:rPr>
        <w:t xml:space="preserve"> HSCs</w:t>
      </w:r>
      <w:r w:rsidR="00782158">
        <w:rPr>
          <w:rFonts w:ascii="Arial" w:hAnsi="Arial" w:cs="Arial"/>
          <w:sz w:val="22"/>
          <w:szCs w:val="22"/>
          <w:lang w:val="en-US"/>
        </w:rPr>
        <w:t xml:space="preserve"> frequencies</w:t>
      </w:r>
      <w:r w:rsidR="00357849">
        <w:rPr>
          <w:rFonts w:ascii="Arial" w:hAnsi="Arial" w:cs="Arial"/>
          <w:sz w:val="22"/>
          <w:szCs w:val="22"/>
          <w:lang w:val="en-US"/>
        </w:rPr>
        <w:t xml:space="preserve"> in absolute </w:t>
      </w:r>
      <w:r w:rsidR="00782158">
        <w:rPr>
          <w:rFonts w:ascii="Arial" w:hAnsi="Arial" w:cs="Arial"/>
          <w:sz w:val="22"/>
          <w:szCs w:val="22"/>
          <w:lang w:val="en-US"/>
        </w:rPr>
        <w:t>(</w:t>
      </w:r>
      <w:r w:rsidR="00782158" w:rsidRPr="00357849">
        <w:rPr>
          <w:rFonts w:ascii="Arial" w:hAnsi="Arial" w:cs="Arial"/>
          <w:sz w:val="22"/>
          <w:szCs w:val="22"/>
          <w:lang w:val="en-US"/>
        </w:rPr>
        <w:t>‰</w:t>
      </w:r>
      <w:r w:rsidR="00782158">
        <w:rPr>
          <w:rFonts w:ascii="Arial" w:hAnsi="Arial" w:cs="Arial"/>
          <w:sz w:val="22"/>
          <w:szCs w:val="22"/>
          <w:lang w:val="en-US"/>
        </w:rPr>
        <w:t xml:space="preserve"> out of total) </w:t>
      </w:r>
      <w:r w:rsidR="00357849">
        <w:rPr>
          <w:rFonts w:ascii="Arial" w:hAnsi="Arial" w:cs="Arial"/>
          <w:sz w:val="22"/>
          <w:szCs w:val="22"/>
          <w:lang w:val="en-US"/>
        </w:rPr>
        <w:t>and relative (</w:t>
      </w:r>
      <w:r w:rsidR="00782158">
        <w:rPr>
          <w:rFonts w:ascii="Arial" w:hAnsi="Arial" w:cs="Arial"/>
          <w:sz w:val="22"/>
          <w:szCs w:val="22"/>
          <w:lang w:val="en-US"/>
        </w:rPr>
        <w:t xml:space="preserve">% </w:t>
      </w:r>
      <w:r w:rsidR="00357849">
        <w:rPr>
          <w:rFonts w:ascii="Arial" w:hAnsi="Arial" w:cs="Arial"/>
          <w:sz w:val="22"/>
          <w:szCs w:val="22"/>
          <w:lang w:val="en-US"/>
        </w:rPr>
        <w:t>out of HSCs) numbers</w:t>
      </w:r>
      <w:r w:rsidR="00184AD1">
        <w:rPr>
          <w:rFonts w:ascii="Arial" w:hAnsi="Arial" w:cs="Arial"/>
          <w:sz w:val="22"/>
          <w:szCs w:val="22"/>
          <w:lang w:val="en-US"/>
        </w:rPr>
        <w:t xml:space="preserve"> (Figure </w:t>
      </w:r>
      <w:r w:rsidR="003C29D4">
        <w:rPr>
          <w:rFonts w:ascii="Arial" w:hAnsi="Arial" w:cs="Arial"/>
          <w:sz w:val="22"/>
          <w:szCs w:val="22"/>
          <w:lang w:val="en-US"/>
        </w:rPr>
        <w:t>29</w:t>
      </w:r>
      <w:r w:rsidR="00184AD1">
        <w:rPr>
          <w:rFonts w:ascii="Arial" w:hAnsi="Arial" w:cs="Arial"/>
          <w:sz w:val="22"/>
          <w:szCs w:val="22"/>
          <w:lang w:val="en-US"/>
        </w:rPr>
        <w:t>A,B)</w:t>
      </w:r>
      <w:r w:rsidR="00357849">
        <w:rPr>
          <w:rFonts w:ascii="Arial" w:hAnsi="Arial" w:cs="Arial"/>
          <w:sz w:val="22"/>
          <w:szCs w:val="22"/>
          <w:lang w:val="en-US"/>
        </w:rPr>
        <w:t xml:space="preserve">. </w:t>
      </w:r>
      <w:r w:rsidR="00782158">
        <w:rPr>
          <w:rFonts w:ascii="Arial" w:hAnsi="Arial" w:cs="Arial"/>
          <w:sz w:val="22"/>
          <w:szCs w:val="22"/>
          <w:lang w:val="en-US"/>
        </w:rPr>
        <w:t xml:space="preserve">This expression was inversely correlated to </w:t>
      </w:r>
      <w:proofErr w:type="spellStart"/>
      <w:r w:rsidR="00782158">
        <w:rPr>
          <w:rFonts w:ascii="Arial" w:hAnsi="Arial" w:cs="Arial"/>
          <w:sz w:val="22"/>
          <w:szCs w:val="22"/>
          <w:lang w:val="en-US"/>
        </w:rPr>
        <w:t>Epcr</w:t>
      </w:r>
      <w:proofErr w:type="spellEnd"/>
      <w:r w:rsidR="00782158">
        <w:rPr>
          <w:rFonts w:ascii="Arial" w:hAnsi="Arial" w:cs="Arial"/>
          <w:sz w:val="22"/>
          <w:szCs w:val="22"/>
          <w:lang w:val="en-US"/>
        </w:rPr>
        <w:t xml:space="preserve"> expression</w:t>
      </w:r>
      <w:r w:rsidR="00F1593B">
        <w:rPr>
          <w:rFonts w:ascii="Arial" w:hAnsi="Arial" w:cs="Arial"/>
          <w:sz w:val="22"/>
          <w:szCs w:val="22"/>
          <w:lang w:val="en-US"/>
        </w:rPr>
        <w:t xml:space="preserve"> </w:t>
      </w:r>
      <w:r w:rsidR="007B66A0">
        <w:rPr>
          <w:rFonts w:ascii="Arial" w:hAnsi="Arial" w:cs="Arial"/>
          <w:sz w:val="22"/>
          <w:szCs w:val="22"/>
          <w:lang w:val="en-US"/>
        </w:rPr>
        <w:br/>
      </w:r>
      <w:r w:rsidR="00F1593B">
        <w:rPr>
          <w:rFonts w:ascii="Arial" w:hAnsi="Arial" w:cs="Arial"/>
          <w:sz w:val="22"/>
          <w:szCs w:val="22"/>
          <w:lang w:val="en-US"/>
        </w:rPr>
        <w:lastRenderedPageBreak/>
        <w:t xml:space="preserve">(Figure </w:t>
      </w:r>
      <w:r w:rsidR="003C29D4">
        <w:rPr>
          <w:rFonts w:ascii="Arial" w:hAnsi="Arial" w:cs="Arial"/>
          <w:sz w:val="22"/>
          <w:szCs w:val="22"/>
          <w:lang w:val="en-US"/>
        </w:rPr>
        <w:t>29</w:t>
      </w:r>
      <w:r w:rsidR="00F1593B">
        <w:rPr>
          <w:rFonts w:ascii="Arial" w:hAnsi="Arial" w:cs="Arial"/>
          <w:sz w:val="22"/>
          <w:szCs w:val="22"/>
          <w:lang w:val="en-US"/>
        </w:rPr>
        <w:t>D)</w:t>
      </w:r>
      <w:r w:rsidR="00782158">
        <w:rPr>
          <w:rFonts w:ascii="Arial" w:hAnsi="Arial" w:cs="Arial"/>
          <w:sz w:val="22"/>
          <w:szCs w:val="22"/>
          <w:lang w:val="en-US"/>
        </w:rPr>
        <w:t xml:space="preserve">, well-described stemness and quiescence marker of HSCs </w:t>
      </w:r>
      <w:r w:rsidR="00782158">
        <w:rPr>
          <w:rFonts w:ascii="Arial" w:hAnsi="Arial" w:cs="Arial"/>
          <w:sz w:val="22"/>
          <w:szCs w:val="22"/>
          <w:lang w:val="en-US"/>
        </w:rPr>
        <w:fldChar w:fldCharType="begin"/>
      </w:r>
      <w:r w:rsidR="00782158">
        <w:rPr>
          <w:rFonts w:ascii="Arial" w:hAnsi="Arial" w:cs="Arial"/>
          <w:sz w:val="22"/>
          <w:szCs w:val="22"/>
          <w:lang w:val="en-US"/>
        </w:rPr>
        <w:instrText xml:space="preserve"> ADDIN ZOTERO_ITEM CSL_CITATION {"citationID":"RlccNAxn","properties":{"formattedCitation":"(Balazs et al., 2006; Iwasaki et al., 2010; Zhou et al., 2016)","plainCitation":"(Balazs et al., 2006; Iwasaki et al., 2010; Zhou et al., 2016)","noteIndex":0},"citationItems":[{"id":1461,"uris":["http://zotero.org/users/2484452/items/N2PGH6LQ"],"uri":["http://zotero.org/users/2484452/items/N2PGH6LQ"],"itemData":{"id":1461,"type":"article-journal","abstract":"The hematopoietic stem cell (HSC) is a unique cell type found in bone marrow, which has the capacity for both self-renewal and differentiation into all blood lineages. The identification of genes expressed specifically in HSCs may help identify gene products vital to the control of self-renewal and/or differentiation, as well as antigens capable of forming the basis for improved methods of stem cell isolation. In previous studies, we identified a number of genes that appeared to be differentially expressed in murine bone marrow-derived HSCs, using microarray technology. We report here that one of those genes, encoding the murine endothelial protein C receptor (EPCR), is expressed at high levels within the bone marrow in HSCs. Bone marrow cells isolated on the basis of EPCR expression alone are highly enriched for hematopoietic reconstitution activity, showing levels of engraftment in vivo comparable to that of stem cells purified using the most effective conventional methods. Moreover, evaluation of cell populations first enriched for stem cell activity by conventional methods and subsequently fractionated on the basis of EPCR expression indicates that stem cell activity is always associated with EPCR-expressing cells. Based on our findings, we believe EPCR represents the first known marker that 'explicitly' identifies hematopoietic stem cells within murine bone marrow.","container-title":"Blood","DOI":"10.1182/blood-2005-06-2249","ISSN":"0006-4971","issue":"6","journalAbbreviation":"Blood","language":"eng","note":"PMID: 16304059\nPMCID: PMC1895725","page":"2317-2321","source":"PubMed","title":"Endothelial protein C receptor (CD201) explicitly identifies hematopoietic stem cells in murine bone marrow","volume":"107","author":[{"family":"Balazs","given":"Alejandro B."},{"family":"Fabian","given":"Attila J."},{"family":"Esmon","given":"Charles T."},{"family":"Mulligan","given":"Richard C."}],"issued":{"date-parts":[["2006",3,15]]}}},{"id":1459,"uris":["http://zotero.org/users/2484452/items/AWCCUCM2"],"uri":["http://zotero.org/users/2484452/items/AWCCUCM2"],"itemData":{"id":1459,"type":"article-journal","abstract":"Hematopoietic stem cells (HSCs) are maintained in specialized niches in adult bone marrow. However, niche and HSC maintenance mechanism in fetal liver (FL) still remains unclear. Here, we investigated the niche and the molecular mechanism of HSC maintenance in mouse FL using HSCs expressing endothelial protein C receptor (EPCR). The antiapoptotic effect of activated protein C (APC) on EPCR(+) HSCs and the expression of protease-activated receptor 1 (Par-1) mRNA in these cells suggested the involvement of the cytoprotective APC/EPCR/Par-1 pathway in HSC maintenance. Immunohistochemistry revealed that EPCR(+) cells were localized adjacent to, or integrated in, the Lyve-1(+) sinusoidal network, where APC and extracellular matrix (ECM) are abundant, suggesting that HSCs in FL were maintained in the APC- and ECM-rich perisinusoidal niche. EPCR(+) HSCs were in a relatively slow cycling state, consistent with their high expression levels of p57 and p18. Furthermore, the long-term reconstitution activity of EPCR(+) HSCs decreased significantly after short culture but not when cocultured with feeder layer of FL-derived Lyve-1(+) cells, which suggests that the maintenance of the self-renewal activity of FL HSCs largely depended on the interaction with the perisinusoidal niche. In conclusion, EPCR(+) HSCs resided in the perisinusoidal niche in mouse FL.","container-title":"Blood","DOI":"10.1182/blood-2009-08-240903","ISSN":"1528-0020","issue":"4","journalAbbreviation":"Blood","language":"eng","note":"PMID: 20442369","page":"544-553","source":"PubMed","title":"Endothelial protein C receptor-expressing hematopoietic stem cells reside in the perisinusoidal niche in fetal liver","volume":"116","author":[{"family":"Iwasaki","given":"Hiroko"},{"family":"Arai","given":"Fumio"},{"family":"Kubota","given":"Yoshiaki"},{"family":"Dahl","given":"Maria"},{"family":"Suda","given":"Toshio"}],"issued":{"date-parts":[["2010",7,29]]}}},{"id":1457,"uris":["http://zotero.org/users/2484452/items/DMQAJ828"],"uri":["http://zotero.org/users/2484452/items/DMQAJ828"],"itemData":{"id":1457,"type":"article-journal","abstract":"Haematopoietic stem cells (HSCs) are derived early from embryonic precursors, such as haemogenic endothelial cells and pre-haematopoietic stem cells (pre-HSCs), the molecular identity of which still remains elusive. Here we use potent surface markers to capture the nascent pre-HSCs at high purity, as rigorously validated by single-cell-initiated serial transplantation. Then we apply single-cell RNA sequencing to analyse endothelial cells, CD45(-) and CD45(+) pre-HSCs in the aorta-gonad-mesonephros region, and HSCs in fetal liver. Pre-HSCs show unique features in transcriptional machinery, arterial signature, metabolism state, signalling pathway, and transcription factor network. Functionally, activation of mechanistic targets of rapamycin (mTOR) is shown to be indispensable for the emergence of HSCs but not haematopoietic progenitors. Transcriptome data-based functional analysis reveals remarkable heterogeneity in cell-cycle status of pre-HSCs. Finally, the core molecular signature of pre-HSCs is identified. Collectively, our work paves the way for dissection of complex molecular mechanisms regulating stepwise generation of HSCs in vivo, informing future efforts to engineer HSCs for clinical applications.","container-title":"Nature","DOI":"10.1038/nature17997","ISSN":"1476-4687","issue":"7604","journalAbbreviation":"Nature","language":"eng","note":"PMID: 27225119","page":"487-492","source":"PubMed","title":"Tracing haematopoietic stem cell formation at single-cell resolution","volume":"533","author":[{"family":"Zhou","given":"Fan"},{"family":"Li","given":"Xianlong"},{"family":"Wang","given":"Weili"},{"family":"Zhu","given":"Ping"},{"family":"Zhou","given":"Jie"},{"family":"He","given":"Wenyan"},{"family":"Ding","given":"Meng"},{"family":"Xiong","given":"Fuyin"},{"family":"Zheng","given":"Xiaona"},{"family":"Li","given":"Zhuan"},{"family":"Ni","given":"Yanli"},{"family":"Mu","given":"Xiaohuan"},{"family":"Wen","given":"Lu"},{"family":"Cheng","given":"Tao"},{"family":"Lan","given":"Yu"},{"family":"Yuan","given":"Weiping"},{"family":"Tang","given":"Fuchou"},{"family":"Liu","given":"Bing"}],"issued":{"date-parts":[["2016"]],"season":"26"}}}],"schema":"https://github.com/citation-style-language/schema/raw/master/csl-citation.json"} </w:instrText>
      </w:r>
      <w:r w:rsidR="00782158">
        <w:rPr>
          <w:rFonts w:ascii="Arial" w:hAnsi="Arial" w:cs="Arial"/>
          <w:sz w:val="22"/>
          <w:szCs w:val="22"/>
          <w:lang w:val="en-US"/>
        </w:rPr>
        <w:fldChar w:fldCharType="separate"/>
      </w:r>
      <w:r w:rsidR="00782158">
        <w:rPr>
          <w:rFonts w:ascii="Arial" w:hAnsi="Arial" w:cs="Arial"/>
          <w:noProof/>
          <w:sz w:val="22"/>
          <w:szCs w:val="22"/>
          <w:lang w:val="en-US"/>
        </w:rPr>
        <w:t>(Balazs et al., 2006; Iwasaki et al., 2010; Zhou et al., 2016)</w:t>
      </w:r>
      <w:r w:rsidR="00782158">
        <w:rPr>
          <w:rFonts w:ascii="Arial" w:hAnsi="Arial" w:cs="Arial"/>
          <w:sz w:val="22"/>
          <w:szCs w:val="22"/>
          <w:lang w:val="en-US"/>
        </w:rPr>
        <w:fldChar w:fldCharType="end"/>
      </w:r>
      <w:r w:rsidR="00782158">
        <w:rPr>
          <w:rFonts w:ascii="Arial" w:hAnsi="Arial" w:cs="Arial"/>
          <w:sz w:val="22"/>
          <w:szCs w:val="22"/>
          <w:lang w:val="en-US"/>
        </w:rPr>
        <w:t xml:space="preserve">. </w:t>
      </w:r>
      <w:r w:rsidR="00357849">
        <w:rPr>
          <w:rFonts w:ascii="Arial" w:hAnsi="Arial" w:cs="Arial"/>
          <w:sz w:val="22"/>
          <w:szCs w:val="22"/>
          <w:lang w:val="en-US"/>
        </w:rPr>
        <w:t xml:space="preserve">Furthermore, as my colleague </w:t>
      </w:r>
      <w:r w:rsidR="00357849" w:rsidRPr="00357849">
        <w:rPr>
          <w:rFonts w:ascii="Arial" w:hAnsi="Arial" w:cs="Arial"/>
          <w:sz w:val="22"/>
          <w:szCs w:val="22"/>
          <w:lang w:val="en-US"/>
        </w:rPr>
        <w:t>Nageswara Rao Tata</w:t>
      </w:r>
      <w:r w:rsidR="00357849">
        <w:rPr>
          <w:rFonts w:ascii="Arial" w:hAnsi="Arial" w:cs="Arial"/>
          <w:sz w:val="22"/>
          <w:szCs w:val="22"/>
          <w:lang w:val="en-US"/>
        </w:rPr>
        <w:t xml:space="preserve"> shows in his </w:t>
      </w:r>
      <w:proofErr w:type="spellStart"/>
      <w:r w:rsidR="003C29D4">
        <w:rPr>
          <w:rFonts w:ascii="Arial" w:hAnsi="Arial" w:cs="Arial"/>
          <w:sz w:val="22"/>
          <w:szCs w:val="22"/>
          <w:lang w:val="en-US"/>
        </w:rPr>
        <w:t>submited</w:t>
      </w:r>
      <w:proofErr w:type="spellEnd"/>
      <w:r w:rsidR="00443069">
        <w:rPr>
          <w:rFonts w:ascii="Arial" w:hAnsi="Arial" w:cs="Arial"/>
          <w:sz w:val="22"/>
          <w:szCs w:val="22"/>
          <w:lang w:val="en-US"/>
        </w:rPr>
        <w:t xml:space="preserve"> paper (Tata et al., 2020, </w:t>
      </w:r>
      <w:r w:rsidR="009517EE" w:rsidRPr="00336950">
        <w:rPr>
          <w:rFonts w:ascii="Arial" w:hAnsi="Arial" w:cs="Arial"/>
          <w:i/>
          <w:iCs/>
          <w:sz w:val="22"/>
          <w:szCs w:val="22"/>
          <w:lang w:val="en-US"/>
        </w:rPr>
        <w:t>Manuscript</w:t>
      </w:r>
      <w:r w:rsidR="009517EE">
        <w:rPr>
          <w:rFonts w:ascii="Arial" w:hAnsi="Arial" w:cs="Arial"/>
          <w:sz w:val="22"/>
          <w:szCs w:val="22"/>
          <w:lang w:val="en-US"/>
        </w:rPr>
        <w:t xml:space="preserve"> </w:t>
      </w:r>
      <w:r w:rsidR="009517EE">
        <w:rPr>
          <w:rFonts w:ascii="Arial" w:hAnsi="Arial" w:cs="Arial"/>
          <w:i/>
          <w:iCs/>
          <w:sz w:val="22"/>
          <w:szCs w:val="22"/>
          <w:lang w:val="en-US"/>
        </w:rPr>
        <w:t>s</w:t>
      </w:r>
      <w:r w:rsidR="009517EE" w:rsidRPr="00336950">
        <w:rPr>
          <w:rFonts w:ascii="Arial" w:hAnsi="Arial" w:cs="Arial"/>
          <w:i/>
          <w:iCs/>
          <w:sz w:val="22"/>
          <w:szCs w:val="22"/>
          <w:lang w:val="en-US"/>
        </w:rPr>
        <w:t>ubmitted in</w:t>
      </w:r>
      <w:r w:rsidR="00443069">
        <w:rPr>
          <w:rFonts w:ascii="Arial" w:hAnsi="Arial" w:cs="Arial"/>
          <w:sz w:val="22"/>
          <w:szCs w:val="22"/>
          <w:lang w:val="en-US"/>
        </w:rPr>
        <w:t xml:space="preserve"> </w:t>
      </w:r>
      <w:r w:rsidR="00443069" w:rsidRPr="00443069">
        <w:rPr>
          <w:rFonts w:ascii="Arial" w:hAnsi="Arial" w:cs="Arial"/>
          <w:i/>
          <w:iCs/>
          <w:sz w:val="22"/>
          <w:szCs w:val="22"/>
          <w:lang w:val="en-US"/>
        </w:rPr>
        <w:t>Blood</w:t>
      </w:r>
      <w:r w:rsidR="00443069">
        <w:rPr>
          <w:rFonts w:ascii="Arial" w:hAnsi="Arial" w:cs="Arial"/>
          <w:sz w:val="22"/>
          <w:szCs w:val="22"/>
          <w:lang w:val="en-US"/>
        </w:rPr>
        <w:t>)</w:t>
      </w:r>
      <w:r w:rsidR="00357849">
        <w:rPr>
          <w:rFonts w:ascii="Arial" w:hAnsi="Arial" w:cs="Arial"/>
          <w:sz w:val="22"/>
          <w:szCs w:val="22"/>
          <w:lang w:val="en-US"/>
        </w:rPr>
        <w:t xml:space="preserve"> </w:t>
      </w:r>
      <w:r w:rsidR="00357849" w:rsidRPr="00357849">
        <w:rPr>
          <w:rFonts w:ascii="Arial" w:hAnsi="Arial" w:cs="Arial"/>
          <w:sz w:val="22"/>
          <w:szCs w:val="22"/>
          <w:lang w:val="en-US"/>
        </w:rPr>
        <w:t>CD41</w:t>
      </w:r>
      <w:r w:rsidR="00357849" w:rsidRPr="00357849">
        <w:rPr>
          <w:rFonts w:ascii="Arial" w:hAnsi="Arial" w:cs="Arial"/>
          <w:sz w:val="22"/>
          <w:szCs w:val="22"/>
          <w:vertAlign w:val="superscript"/>
          <w:lang w:val="en-US"/>
        </w:rPr>
        <w:t>hi</w:t>
      </w:r>
      <w:r w:rsidR="00357849" w:rsidRPr="00357849">
        <w:rPr>
          <w:rFonts w:ascii="Arial" w:hAnsi="Arial" w:cs="Arial"/>
          <w:sz w:val="22"/>
          <w:szCs w:val="22"/>
          <w:lang w:val="en-US"/>
        </w:rPr>
        <w:t xml:space="preserve"> </w:t>
      </w:r>
      <w:r w:rsidR="00F1593B">
        <w:rPr>
          <w:rFonts w:ascii="Arial" w:hAnsi="Arial" w:cs="Arial"/>
          <w:sz w:val="22"/>
          <w:szCs w:val="22"/>
          <w:lang w:val="en-US"/>
        </w:rPr>
        <w:t xml:space="preserve">and </w:t>
      </w:r>
      <w:proofErr w:type="spellStart"/>
      <w:r w:rsidR="00F1593B">
        <w:rPr>
          <w:rFonts w:ascii="Arial" w:hAnsi="Arial" w:cs="Arial"/>
          <w:sz w:val="22"/>
          <w:szCs w:val="22"/>
          <w:lang w:val="en-US"/>
        </w:rPr>
        <w:t>Epcr</w:t>
      </w:r>
      <w:r w:rsidR="00F1593B" w:rsidRPr="00F1593B">
        <w:rPr>
          <w:rFonts w:ascii="Arial" w:hAnsi="Arial" w:cs="Arial"/>
          <w:sz w:val="22"/>
          <w:szCs w:val="22"/>
          <w:vertAlign w:val="superscript"/>
          <w:lang w:val="en-US"/>
        </w:rPr>
        <w:t>lo</w:t>
      </w:r>
      <w:proofErr w:type="spellEnd"/>
      <w:r w:rsidR="00F1593B">
        <w:rPr>
          <w:rFonts w:ascii="Arial" w:hAnsi="Arial" w:cs="Arial"/>
          <w:sz w:val="22"/>
          <w:szCs w:val="22"/>
          <w:lang w:val="en-US"/>
        </w:rPr>
        <w:t xml:space="preserve"> </w:t>
      </w:r>
      <w:r w:rsidR="00357849" w:rsidRPr="00357849">
        <w:rPr>
          <w:rFonts w:ascii="Arial" w:hAnsi="Arial" w:cs="Arial"/>
          <w:sz w:val="22"/>
          <w:szCs w:val="22"/>
          <w:lang w:val="en-US"/>
        </w:rPr>
        <w:t>HSCs also showed increased Mk differentiation potential</w:t>
      </w:r>
      <w:r w:rsidR="00357849">
        <w:rPr>
          <w:rFonts w:ascii="Arial" w:hAnsi="Arial" w:cs="Arial"/>
          <w:sz w:val="22"/>
          <w:szCs w:val="22"/>
          <w:lang w:val="en-US"/>
        </w:rPr>
        <w:t xml:space="preserve"> in </w:t>
      </w:r>
      <w:r w:rsidR="00357849" w:rsidRPr="00357849">
        <w:rPr>
          <w:rFonts w:ascii="Arial" w:hAnsi="Arial" w:cs="Arial"/>
          <w:sz w:val="22"/>
          <w:szCs w:val="22"/>
          <w:lang w:val="en-US"/>
        </w:rPr>
        <w:t>single cell liquid cultures of FACS sorted CD41</w:t>
      </w:r>
      <w:r w:rsidR="00357849" w:rsidRPr="00357849">
        <w:rPr>
          <w:rFonts w:ascii="Arial" w:hAnsi="Arial" w:cs="Arial"/>
          <w:sz w:val="22"/>
          <w:szCs w:val="22"/>
          <w:vertAlign w:val="superscript"/>
          <w:lang w:val="en-US"/>
        </w:rPr>
        <w:t>hi</w:t>
      </w:r>
      <w:r w:rsidR="00357849" w:rsidRPr="00357849">
        <w:rPr>
          <w:rFonts w:ascii="Arial" w:hAnsi="Arial" w:cs="Arial"/>
          <w:sz w:val="22"/>
          <w:szCs w:val="22"/>
          <w:lang w:val="en-US"/>
        </w:rPr>
        <w:t xml:space="preserve"> or CD41</w:t>
      </w:r>
      <w:r w:rsidR="00357849" w:rsidRPr="00357849">
        <w:rPr>
          <w:rFonts w:ascii="Arial" w:hAnsi="Arial" w:cs="Arial"/>
          <w:sz w:val="22"/>
          <w:szCs w:val="22"/>
          <w:vertAlign w:val="superscript"/>
          <w:lang w:val="en-US"/>
        </w:rPr>
        <w:t>lo</w:t>
      </w:r>
      <w:r w:rsidR="00357849" w:rsidRPr="00357849">
        <w:rPr>
          <w:rFonts w:ascii="Arial" w:hAnsi="Arial" w:cs="Arial"/>
          <w:sz w:val="22"/>
          <w:szCs w:val="22"/>
          <w:lang w:val="en-US"/>
        </w:rPr>
        <w:t xml:space="preserve"> HSCs</w:t>
      </w:r>
      <w:r w:rsidR="00184AD1">
        <w:rPr>
          <w:rFonts w:ascii="Arial" w:hAnsi="Arial" w:cs="Arial"/>
          <w:sz w:val="22"/>
          <w:szCs w:val="22"/>
          <w:lang w:val="en-US"/>
        </w:rPr>
        <w:t xml:space="preserve"> (Figure </w:t>
      </w:r>
      <w:r w:rsidR="007F1F27">
        <w:rPr>
          <w:rFonts w:ascii="Arial" w:hAnsi="Arial" w:cs="Arial"/>
          <w:sz w:val="22"/>
          <w:szCs w:val="22"/>
          <w:lang w:val="en-US"/>
        </w:rPr>
        <w:t>29</w:t>
      </w:r>
      <w:r w:rsidR="00184AD1">
        <w:rPr>
          <w:rFonts w:ascii="Arial" w:hAnsi="Arial" w:cs="Arial"/>
          <w:sz w:val="22"/>
          <w:szCs w:val="22"/>
          <w:lang w:val="en-US"/>
        </w:rPr>
        <w:t>C</w:t>
      </w:r>
      <w:r w:rsidR="007F1F27">
        <w:rPr>
          <w:rFonts w:ascii="Arial" w:hAnsi="Arial" w:cs="Arial"/>
          <w:sz w:val="22"/>
          <w:szCs w:val="22"/>
          <w:lang w:val="en-US"/>
        </w:rPr>
        <w:t>,E</w:t>
      </w:r>
      <w:r w:rsidR="00184AD1">
        <w:rPr>
          <w:rFonts w:ascii="Arial" w:hAnsi="Arial" w:cs="Arial"/>
          <w:sz w:val="22"/>
          <w:szCs w:val="22"/>
          <w:lang w:val="en-US"/>
        </w:rPr>
        <w:t>).</w:t>
      </w:r>
    </w:p>
    <w:p w14:paraId="0CBDBFA0" w14:textId="77777777" w:rsidR="00907A8C" w:rsidRDefault="00152FDA" w:rsidP="00605651">
      <w:pPr>
        <w:spacing w:line="360" w:lineRule="auto"/>
        <w:jc w:val="both"/>
        <w:rPr>
          <w:rFonts w:ascii="Arial" w:hAnsi="Arial" w:cs="Arial"/>
          <w:sz w:val="22"/>
          <w:szCs w:val="22"/>
          <w:lang w:val="en-US"/>
        </w:rPr>
      </w:pPr>
      <w:r w:rsidRPr="00152FDA">
        <w:rPr>
          <w:rFonts w:ascii="Arial" w:hAnsi="Arial" w:cs="Arial"/>
          <w:noProof/>
          <w:sz w:val="22"/>
          <w:szCs w:val="22"/>
          <w:lang w:val="cs-CZ" w:eastAsia="cs-CZ"/>
        </w:rPr>
        <w:drawing>
          <wp:inline distT="0" distB="0" distL="0" distR="0" wp14:anchorId="01D9346A" wp14:editId="04BC7917">
            <wp:extent cx="5395595" cy="3552825"/>
            <wp:effectExtent l="0" t="0" r="1905"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95595" cy="3552825"/>
                    </a:xfrm>
                    <a:prstGeom prst="rect">
                      <a:avLst/>
                    </a:prstGeom>
                  </pic:spPr>
                </pic:pic>
              </a:graphicData>
            </a:graphic>
          </wp:inline>
        </w:drawing>
      </w:r>
    </w:p>
    <w:p w14:paraId="666D0C7A" w14:textId="77777777" w:rsidR="00907ED3" w:rsidRDefault="00184AD1" w:rsidP="00443069">
      <w:pPr>
        <w:spacing w:line="360" w:lineRule="auto"/>
        <w:jc w:val="both"/>
        <w:rPr>
          <w:rFonts w:ascii="Arial" w:hAnsi="Arial" w:cs="Arial"/>
          <w:sz w:val="22"/>
          <w:szCs w:val="22"/>
          <w:lang w:val="en-US"/>
        </w:rPr>
      </w:pPr>
      <w:r w:rsidRPr="00152FDA">
        <w:rPr>
          <w:rFonts w:ascii="Arial" w:hAnsi="Arial" w:cs="Arial"/>
          <w:b/>
          <w:bCs/>
          <w:sz w:val="22"/>
          <w:szCs w:val="22"/>
          <w:lang w:val="en-US"/>
        </w:rPr>
        <w:t xml:space="preserve">Figure </w:t>
      </w:r>
      <w:r w:rsidR="00750F84">
        <w:rPr>
          <w:rFonts w:ascii="Arial" w:hAnsi="Arial" w:cs="Arial"/>
          <w:b/>
          <w:bCs/>
          <w:sz w:val="22"/>
          <w:szCs w:val="22"/>
          <w:lang w:val="en-US"/>
        </w:rPr>
        <w:t>29</w:t>
      </w:r>
      <w:r w:rsidRPr="00152FDA">
        <w:rPr>
          <w:rFonts w:ascii="Arial" w:hAnsi="Arial" w:cs="Arial"/>
          <w:b/>
          <w:bCs/>
          <w:sz w:val="22"/>
          <w:szCs w:val="22"/>
          <w:lang w:val="en-US"/>
        </w:rPr>
        <w:t>:</w:t>
      </w:r>
      <w:r w:rsidR="00D671AE" w:rsidRPr="00152FDA">
        <w:rPr>
          <w:rFonts w:ascii="Arial" w:hAnsi="Arial" w:cs="Arial"/>
          <w:b/>
          <w:bCs/>
          <w:sz w:val="22"/>
          <w:szCs w:val="22"/>
          <w:lang w:val="en-US"/>
        </w:rPr>
        <w:t xml:space="preserve"> </w:t>
      </w:r>
      <w:r w:rsidR="00443069" w:rsidRPr="005864D2">
        <w:rPr>
          <w:rFonts w:ascii="Arial" w:hAnsi="Arial" w:cs="Arial"/>
          <w:b/>
          <w:bCs/>
          <w:sz w:val="22"/>
          <w:szCs w:val="22"/>
          <w:lang w:val="en-US"/>
        </w:rPr>
        <w:t>A</w:t>
      </w:r>
      <w:r w:rsidR="00443069" w:rsidRPr="00443069">
        <w:rPr>
          <w:rFonts w:ascii="Arial" w:hAnsi="Arial" w:cs="Arial"/>
          <w:sz w:val="22"/>
          <w:szCs w:val="22"/>
          <w:lang w:val="en-US"/>
        </w:rPr>
        <w:t xml:space="preserve"> </w:t>
      </w:r>
      <w:r w:rsidR="00443069">
        <w:rPr>
          <w:rFonts w:ascii="Arial" w:hAnsi="Arial" w:cs="Arial"/>
          <w:sz w:val="22"/>
          <w:szCs w:val="22"/>
          <w:lang w:val="en-US"/>
        </w:rPr>
        <w:t>G</w:t>
      </w:r>
      <w:r w:rsidR="00443069" w:rsidRPr="00443069">
        <w:rPr>
          <w:rFonts w:ascii="Arial" w:hAnsi="Arial" w:cs="Arial"/>
          <w:sz w:val="22"/>
          <w:szCs w:val="22"/>
          <w:lang w:val="en-US"/>
        </w:rPr>
        <w:t>ating strategy for CD41</w:t>
      </w:r>
      <w:r w:rsidR="00D321A4">
        <w:rPr>
          <w:rFonts w:ascii="Arial" w:hAnsi="Arial" w:cs="Arial"/>
          <w:sz w:val="22"/>
          <w:szCs w:val="22"/>
          <w:lang w:val="en-US"/>
        </w:rPr>
        <w:t xml:space="preserve"> and </w:t>
      </w:r>
      <w:proofErr w:type="spellStart"/>
      <w:r w:rsidR="00D321A4">
        <w:rPr>
          <w:rFonts w:ascii="Arial" w:hAnsi="Arial" w:cs="Arial"/>
          <w:sz w:val="22"/>
          <w:szCs w:val="22"/>
          <w:lang w:val="en-US"/>
        </w:rPr>
        <w:t>Epcr</w:t>
      </w:r>
      <w:proofErr w:type="spellEnd"/>
      <w:r w:rsidR="00443069" w:rsidRPr="00443069">
        <w:rPr>
          <w:rFonts w:ascii="Arial" w:hAnsi="Arial" w:cs="Arial"/>
          <w:sz w:val="22"/>
          <w:szCs w:val="22"/>
          <w:lang w:val="en-US"/>
        </w:rPr>
        <w:t xml:space="preserve"> </w:t>
      </w:r>
      <w:r w:rsidR="00443069">
        <w:rPr>
          <w:rFonts w:ascii="Arial" w:hAnsi="Arial" w:cs="Arial"/>
          <w:sz w:val="22"/>
          <w:szCs w:val="22"/>
          <w:lang w:val="en-US"/>
        </w:rPr>
        <w:t>surface expression</w:t>
      </w:r>
      <w:r w:rsidR="00443069" w:rsidRPr="00443069">
        <w:rPr>
          <w:rFonts w:ascii="Arial" w:hAnsi="Arial" w:cs="Arial"/>
          <w:sz w:val="22"/>
          <w:szCs w:val="22"/>
          <w:lang w:val="en-US"/>
        </w:rPr>
        <w:t xml:space="preserve"> in the </w:t>
      </w:r>
      <w:r w:rsidR="00443069">
        <w:rPr>
          <w:rFonts w:ascii="Arial" w:hAnsi="Arial" w:cs="Arial"/>
          <w:sz w:val="22"/>
          <w:szCs w:val="22"/>
          <w:lang w:val="en-US"/>
        </w:rPr>
        <w:t>long-term</w:t>
      </w:r>
      <w:r w:rsidR="00443069" w:rsidRPr="00443069">
        <w:rPr>
          <w:rFonts w:ascii="Arial" w:hAnsi="Arial" w:cs="Arial"/>
          <w:sz w:val="22"/>
          <w:szCs w:val="22"/>
          <w:lang w:val="en-US"/>
        </w:rPr>
        <w:t xml:space="preserve"> HSC (</w:t>
      </w:r>
      <w:r w:rsidR="00443069">
        <w:rPr>
          <w:rFonts w:ascii="Arial" w:hAnsi="Arial" w:cs="Arial"/>
          <w:sz w:val="22"/>
          <w:szCs w:val="22"/>
          <w:lang w:val="en-US"/>
        </w:rPr>
        <w:t>Linage</w:t>
      </w:r>
      <w:r w:rsidR="00443069" w:rsidRPr="00443069">
        <w:rPr>
          <w:rFonts w:ascii="Arial" w:hAnsi="Arial" w:cs="Arial"/>
          <w:sz w:val="22"/>
          <w:szCs w:val="22"/>
          <w:vertAlign w:val="superscript"/>
          <w:lang w:val="en-US"/>
        </w:rPr>
        <w:t>-,</w:t>
      </w:r>
      <w:r w:rsidR="00443069">
        <w:rPr>
          <w:rFonts w:ascii="Arial" w:hAnsi="Arial" w:cs="Arial"/>
          <w:sz w:val="22"/>
          <w:szCs w:val="22"/>
          <w:lang w:val="en-US"/>
        </w:rPr>
        <w:t xml:space="preserve"> c-Kit</w:t>
      </w:r>
      <w:r w:rsidR="00443069" w:rsidRPr="00443069">
        <w:rPr>
          <w:rFonts w:ascii="Arial" w:hAnsi="Arial" w:cs="Arial"/>
          <w:sz w:val="22"/>
          <w:szCs w:val="22"/>
          <w:vertAlign w:val="superscript"/>
          <w:lang w:val="en-US"/>
        </w:rPr>
        <w:t>+</w:t>
      </w:r>
      <w:r w:rsidR="00443069">
        <w:rPr>
          <w:rFonts w:ascii="Arial" w:hAnsi="Arial" w:cs="Arial"/>
          <w:sz w:val="22"/>
          <w:szCs w:val="22"/>
          <w:lang w:val="en-US"/>
        </w:rPr>
        <w:t>, Sca-1</w:t>
      </w:r>
      <w:r w:rsidR="00443069" w:rsidRPr="00443069">
        <w:rPr>
          <w:rFonts w:ascii="Arial" w:hAnsi="Arial" w:cs="Arial"/>
          <w:sz w:val="22"/>
          <w:szCs w:val="22"/>
          <w:vertAlign w:val="superscript"/>
          <w:lang w:val="en-US"/>
        </w:rPr>
        <w:t>+</w:t>
      </w:r>
      <w:r w:rsidR="00443069">
        <w:rPr>
          <w:rFonts w:ascii="Arial" w:hAnsi="Arial" w:cs="Arial"/>
          <w:sz w:val="22"/>
          <w:szCs w:val="22"/>
          <w:lang w:val="en-US"/>
        </w:rPr>
        <w:t xml:space="preserve">, </w:t>
      </w:r>
      <w:r w:rsidR="00443069" w:rsidRPr="00443069">
        <w:rPr>
          <w:rFonts w:ascii="Arial" w:hAnsi="Arial" w:cs="Arial"/>
          <w:sz w:val="22"/>
          <w:szCs w:val="22"/>
          <w:lang w:val="en-US"/>
        </w:rPr>
        <w:t>CD48</w:t>
      </w:r>
      <w:r w:rsidR="00443069" w:rsidRPr="00443069">
        <w:rPr>
          <w:rFonts w:ascii="Arial" w:hAnsi="Arial" w:cs="Arial"/>
          <w:sz w:val="22"/>
          <w:szCs w:val="22"/>
          <w:vertAlign w:val="superscript"/>
          <w:lang w:val="en-US"/>
        </w:rPr>
        <w:t>+</w:t>
      </w:r>
      <w:r w:rsidR="00443069">
        <w:rPr>
          <w:rFonts w:ascii="Arial" w:hAnsi="Arial" w:cs="Arial"/>
          <w:sz w:val="22"/>
          <w:szCs w:val="22"/>
          <w:lang w:val="en-US"/>
        </w:rPr>
        <w:t xml:space="preserve">, </w:t>
      </w:r>
      <w:r w:rsidR="00443069" w:rsidRPr="00443069">
        <w:rPr>
          <w:rFonts w:ascii="Arial" w:hAnsi="Arial" w:cs="Arial"/>
          <w:sz w:val="22"/>
          <w:szCs w:val="22"/>
          <w:lang w:val="en-US"/>
        </w:rPr>
        <w:t>CD150</w:t>
      </w:r>
      <w:r w:rsidR="00443069" w:rsidRPr="00443069">
        <w:rPr>
          <w:rFonts w:ascii="Arial" w:hAnsi="Arial" w:cs="Arial"/>
          <w:sz w:val="22"/>
          <w:szCs w:val="22"/>
          <w:vertAlign w:val="superscript"/>
          <w:lang w:val="en-US"/>
        </w:rPr>
        <w:t>+</w:t>
      </w:r>
      <w:r w:rsidR="00443069" w:rsidRPr="00443069">
        <w:rPr>
          <w:rFonts w:ascii="Arial" w:hAnsi="Arial" w:cs="Arial"/>
          <w:sz w:val="22"/>
          <w:szCs w:val="22"/>
          <w:lang w:val="en-US"/>
        </w:rPr>
        <w:t xml:space="preserve">) </w:t>
      </w:r>
      <w:r w:rsidR="00443069">
        <w:rPr>
          <w:rFonts w:ascii="Arial" w:hAnsi="Arial" w:cs="Arial"/>
          <w:sz w:val="22"/>
          <w:szCs w:val="22"/>
          <w:lang w:val="en-US"/>
        </w:rPr>
        <w:t>compartment</w:t>
      </w:r>
      <w:r w:rsidR="00443069" w:rsidRPr="00443069">
        <w:rPr>
          <w:rFonts w:ascii="Arial" w:hAnsi="Arial" w:cs="Arial"/>
          <w:sz w:val="22"/>
          <w:szCs w:val="22"/>
          <w:lang w:val="en-US"/>
        </w:rPr>
        <w:t xml:space="preserve"> </w:t>
      </w:r>
      <w:r w:rsidR="00443069">
        <w:rPr>
          <w:rFonts w:ascii="Arial" w:hAnsi="Arial" w:cs="Arial"/>
          <w:sz w:val="22"/>
          <w:szCs w:val="22"/>
          <w:lang w:val="en-US"/>
        </w:rPr>
        <w:t>of</w:t>
      </w:r>
      <w:r w:rsidR="00443069" w:rsidRPr="00443069">
        <w:rPr>
          <w:rFonts w:ascii="Arial" w:hAnsi="Arial" w:cs="Arial"/>
          <w:sz w:val="22"/>
          <w:szCs w:val="22"/>
          <w:lang w:val="en-US"/>
        </w:rPr>
        <w:t xml:space="preserve"> the bone marrow. </w:t>
      </w:r>
      <w:r w:rsidR="00BE5D5F">
        <w:rPr>
          <w:rFonts w:ascii="Arial" w:hAnsi="Arial" w:cs="Arial"/>
          <w:sz w:val="22"/>
          <w:szCs w:val="22"/>
          <w:lang w:val="en-US"/>
        </w:rPr>
        <w:br/>
      </w:r>
      <w:r w:rsidR="00443069" w:rsidRPr="005864D2">
        <w:rPr>
          <w:rFonts w:ascii="Arial" w:hAnsi="Arial" w:cs="Arial"/>
          <w:b/>
          <w:bCs/>
          <w:sz w:val="22"/>
          <w:szCs w:val="22"/>
          <w:lang w:val="en-US"/>
        </w:rPr>
        <w:t>B</w:t>
      </w:r>
      <w:r w:rsidR="00443069" w:rsidRPr="00443069">
        <w:rPr>
          <w:rFonts w:ascii="Arial" w:hAnsi="Arial" w:cs="Arial"/>
          <w:sz w:val="22"/>
          <w:szCs w:val="22"/>
          <w:lang w:val="en-US"/>
        </w:rPr>
        <w:t xml:space="preserve"> Stacking bar graphs showing frequencies (left panel) and the percentages</w:t>
      </w:r>
      <w:r w:rsidR="005864D2">
        <w:rPr>
          <w:rFonts w:ascii="Arial" w:hAnsi="Arial" w:cs="Arial"/>
          <w:sz w:val="22"/>
          <w:szCs w:val="22"/>
          <w:lang w:val="en-US"/>
        </w:rPr>
        <w:t xml:space="preserve"> </w:t>
      </w:r>
      <w:r w:rsidR="00443069" w:rsidRPr="00443069">
        <w:rPr>
          <w:rFonts w:ascii="Arial" w:hAnsi="Arial" w:cs="Arial"/>
          <w:sz w:val="22"/>
          <w:szCs w:val="22"/>
          <w:lang w:val="en-US"/>
        </w:rPr>
        <w:t>(right panel) of CD41</w:t>
      </w:r>
      <w:r w:rsidR="00443069" w:rsidRPr="005864D2">
        <w:rPr>
          <w:rFonts w:ascii="Arial" w:hAnsi="Arial" w:cs="Arial"/>
          <w:sz w:val="22"/>
          <w:szCs w:val="22"/>
          <w:vertAlign w:val="superscript"/>
          <w:lang w:val="en-US"/>
        </w:rPr>
        <w:t>hi</w:t>
      </w:r>
      <w:r w:rsidR="00443069" w:rsidRPr="00443069">
        <w:rPr>
          <w:rFonts w:ascii="Arial" w:hAnsi="Arial" w:cs="Arial"/>
          <w:sz w:val="22"/>
          <w:szCs w:val="22"/>
          <w:lang w:val="en-US"/>
        </w:rPr>
        <w:t xml:space="preserve"> and CD41</w:t>
      </w:r>
      <w:r w:rsidR="00443069" w:rsidRPr="005864D2">
        <w:rPr>
          <w:rFonts w:ascii="Arial" w:hAnsi="Arial" w:cs="Arial"/>
          <w:sz w:val="22"/>
          <w:szCs w:val="22"/>
          <w:vertAlign w:val="superscript"/>
          <w:lang w:val="en-US"/>
        </w:rPr>
        <w:t>lo</w:t>
      </w:r>
      <w:r w:rsidR="00443069" w:rsidRPr="00443069">
        <w:rPr>
          <w:rFonts w:ascii="Arial" w:hAnsi="Arial" w:cs="Arial"/>
          <w:sz w:val="22"/>
          <w:szCs w:val="22"/>
          <w:lang w:val="en-US"/>
        </w:rPr>
        <w:t xml:space="preserve"> HSCs. The genotypes are indicated (n=7 mice per genotype). </w:t>
      </w:r>
      <w:r w:rsidR="00BE5D5F">
        <w:rPr>
          <w:rFonts w:ascii="Arial" w:hAnsi="Arial" w:cs="Arial"/>
          <w:sz w:val="22"/>
          <w:szCs w:val="22"/>
          <w:lang w:val="en-US"/>
        </w:rPr>
        <w:br/>
      </w:r>
      <w:r w:rsidR="00443069" w:rsidRPr="005864D2">
        <w:rPr>
          <w:rFonts w:ascii="Arial" w:hAnsi="Arial" w:cs="Arial"/>
          <w:b/>
          <w:bCs/>
          <w:sz w:val="22"/>
          <w:szCs w:val="22"/>
          <w:lang w:val="en-US"/>
        </w:rPr>
        <w:t>C</w:t>
      </w:r>
      <w:r w:rsidR="00443069" w:rsidRPr="00443069">
        <w:rPr>
          <w:lang w:val="en-US"/>
        </w:rPr>
        <w:t xml:space="preserve"> </w:t>
      </w:r>
      <w:r w:rsidR="00443069" w:rsidRPr="00443069">
        <w:rPr>
          <w:rFonts w:ascii="Arial" w:hAnsi="Arial" w:cs="Arial"/>
          <w:sz w:val="22"/>
          <w:szCs w:val="22"/>
          <w:lang w:val="en-US"/>
        </w:rPr>
        <w:t>Analysis of colonies grown from FACS</w:t>
      </w:r>
      <w:r w:rsidR="00443069">
        <w:rPr>
          <w:rFonts w:ascii="Arial" w:hAnsi="Arial" w:cs="Arial"/>
          <w:sz w:val="22"/>
          <w:szCs w:val="22"/>
          <w:lang w:val="en-US"/>
        </w:rPr>
        <w:t xml:space="preserve"> </w:t>
      </w:r>
      <w:r w:rsidR="00443069" w:rsidRPr="00443069">
        <w:rPr>
          <w:rFonts w:ascii="Arial" w:hAnsi="Arial" w:cs="Arial"/>
          <w:sz w:val="22"/>
          <w:szCs w:val="22"/>
          <w:lang w:val="en-US"/>
        </w:rPr>
        <w:t>sorted single CD41</w:t>
      </w:r>
      <w:r w:rsidR="00443069" w:rsidRPr="005864D2">
        <w:rPr>
          <w:rFonts w:ascii="Arial" w:hAnsi="Arial" w:cs="Arial"/>
          <w:sz w:val="22"/>
          <w:szCs w:val="22"/>
          <w:vertAlign w:val="superscript"/>
          <w:lang w:val="en-US"/>
        </w:rPr>
        <w:t>hi</w:t>
      </w:r>
      <w:r w:rsidR="00443069" w:rsidRPr="00443069">
        <w:rPr>
          <w:rFonts w:ascii="Arial" w:hAnsi="Arial" w:cs="Arial"/>
          <w:sz w:val="22"/>
          <w:szCs w:val="22"/>
          <w:lang w:val="en-US"/>
        </w:rPr>
        <w:t xml:space="preserve"> or CD41</w:t>
      </w:r>
      <w:r w:rsidR="00443069" w:rsidRPr="005864D2">
        <w:rPr>
          <w:rFonts w:ascii="Arial" w:hAnsi="Arial" w:cs="Arial"/>
          <w:sz w:val="22"/>
          <w:szCs w:val="22"/>
          <w:vertAlign w:val="superscript"/>
          <w:lang w:val="en-US"/>
        </w:rPr>
        <w:t>lo</w:t>
      </w:r>
      <w:r w:rsidR="00443069" w:rsidRPr="00443069">
        <w:rPr>
          <w:rFonts w:ascii="Arial" w:hAnsi="Arial" w:cs="Arial"/>
          <w:sz w:val="22"/>
          <w:szCs w:val="22"/>
          <w:lang w:val="en-US"/>
        </w:rPr>
        <w:t xml:space="preserve"> HSCs in liquid culture. Bar graph shows the percentages of</w:t>
      </w:r>
      <w:r w:rsidR="00443069">
        <w:rPr>
          <w:rFonts w:ascii="Arial" w:hAnsi="Arial" w:cs="Arial"/>
          <w:sz w:val="22"/>
          <w:szCs w:val="22"/>
          <w:lang w:val="en-US"/>
        </w:rPr>
        <w:t xml:space="preserve"> </w:t>
      </w:r>
      <w:r w:rsidR="00443069" w:rsidRPr="00443069">
        <w:rPr>
          <w:rFonts w:ascii="Arial" w:hAnsi="Arial" w:cs="Arial"/>
          <w:sz w:val="22"/>
          <w:szCs w:val="22"/>
          <w:lang w:val="en-US"/>
        </w:rPr>
        <w:t>colonies containing Mk (CD41</w:t>
      </w:r>
      <w:r w:rsidR="00443069" w:rsidRPr="005864D2">
        <w:rPr>
          <w:rFonts w:ascii="Arial" w:hAnsi="Arial" w:cs="Arial"/>
          <w:sz w:val="22"/>
          <w:szCs w:val="22"/>
          <w:vertAlign w:val="superscript"/>
          <w:lang w:val="en-US"/>
        </w:rPr>
        <w:t>+</w:t>
      </w:r>
      <w:r w:rsidR="00443069" w:rsidRPr="00443069">
        <w:rPr>
          <w:rFonts w:ascii="Arial" w:hAnsi="Arial" w:cs="Arial"/>
          <w:sz w:val="22"/>
          <w:szCs w:val="22"/>
          <w:lang w:val="en-US"/>
        </w:rPr>
        <w:t>), myeloid (CD16</w:t>
      </w:r>
      <w:r w:rsidR="00443069" w:rsidRPr="005864D2">
        <w:rPr>
          <w:rFonts w:ascii="Arial" w:hAnsi="Arial" w:cs="Arial"/>
          <w:sz w:val="22"/>
          <w:szCs w:val="22"/>
          <w:vertAlign w:val="superscript"/>
          <w:lang w:val="en-US"/>
        </w:rPr>
        <w:t>+</w:t>
      </w:r>
      <w:r w:rsidR="00443069" w:rsidRPr="00443069">
        <w:rPr>
          <w:rFonts w:ascii="Arial" w:hAnsi="Arial" w:cs="Arial"/>
          <w:sz w:val="22"/>
          <w:szCs w:val="22"/>
          <w:lang w:val="en-US"/>
        </w:rPr>
        <w:t>), or mixed (Mk and myeloid,</w:t>
      </w:r>
      <w:r w:rsidR="00443069">
        <w:rPr>
          <w:rFonts w:ascii="Arial" w:hAnsi="Arial" w:cs="Arial"/>
          <w:sz w:val="22"/>
          <w:szCs w:val="22"/>
          <w:lang w:val="en-US"/>
        </w:rPr>
        <w:t xml:space="preserve"> </w:t>
      </w:r>
      <w:r w:rsidR="00443069" w:rsidRPr="00443069">
        <w:rPr>
          <w:rFonts w:ascii="Arial" w:hAnsi="Arial" w:cs="Arial"/>
          <w:sz w:val="22"/>
          <w:szCs w:val="22"/>
          <w:lang w:val="en-US"/>
        </w:rPr>
        <w:t>CD41</w:t>
      </w:r>
      <w:r w:rsidR="00443069" w:rsidRPr="005864D2">
        <w:rPr>
          <w:rFonts w:ascii="Arial" w:hAnsi="Arial" w:cs="Arial"/>
          <w:sz w:val="22"/>
          <w:szCs w:val="22"/>
          <w:vertAlign w:val="superscript"/>
          <w:lang w:val="en-US"/>
        </w:rPr>
        <w:t>+</w:t>
      </w:r>
      <w:r w:rsidR="00443069" w:rsidRPr="00443069">
        <w:rPr>
          <w:rFonts w:ascii="Arial" w:hAnsi="Arial" w:cs="Arial"/>
          <w:sz w:val="22"/>
          <w:szCs w:val="22"/>
          <w:lang w:val="en-US"/>
        </w:rPr>
        <w:t>/CD16</w:t>
      </w:r>
      <w:r w:rsidR="00443069" w:rsidRPr="005864D2">
        <w:rPr>
          <w:rFonts w:ascii="Arial" w:hAnsi="Arial" w:cs="Arial"/>
          <w:sz w:val="22"/>
          <w:szCs w:val="22"/>
          <w:vertAlign w:val="superscript"/>
          <w:lang w:val="en-US"/>
        </w:rPr>
        <w:t>+</w:t>
      </w:r>
      <w:r w:rsidR="00443069" w:rsidRPr="00443069">
        <w:rPr>
          <w:rFonts w:ascii="Arial" w:hAnsi="Arial" w:cs="Arial"/>
          <w:sz w:val="22"/>
          <w:szCs w:val="22"/>
          <w:lang w:val="en-US"/>
        </w:rPr>
        <w:t>) cells after 10 days of culture.</w:t>
      </w:r>
      <w:r w:rsidR="00D321A4">
        <w:rPr>
          <w:rFonts w:ascii="Arial" w:hAnsi="Arial" w:cs="Arial"/>
          <w:sz w:val="22"/>
          <w:szCs w:val="22"/>
          <w:lang w:val="en-US"/>
        </w:rPr>
        <w:t xml:space="preserve"> </w:t>
      </w:r>
      <w:r w:rsidR="00BE5D5F">
        <w:rPr>
          <w:rFonts w:ascii="Arial" w:hAnsi="Arial" w:cs="Arial"/>
          <w:sz w:val="22"/>
          <w:szCs w:val="22"/>
          <w:lang w:val="en-US"/>
        </w:rPr>
        <w:br/>
      </w:r>
      <w:r w:rsidR="00D321A4">
        <w:rPr>
          <w:rFonts w:ascii="Arial" w:hAnsi="Arial" w:cs="Arial"/>
          <w:b/>
          <w:bCs/>
          <w:sz w:val="22"/>
          <w:szCs w:val="22"/>
          <w:lang w:val="en-US"/>
        </w:rPr>
        <w:t>D</w:t>
      </w:r>
      <w:r w:rsidR="00D321A4" w:rsidRPr="00443069">
        <w:rPr>
          <w:rFonts w:ascii="Arial" w:hAnsi="Arial" w:cs="Arial"/>
          <w:sz w:val="22"/>
          <w:szCs w:val="22"/>
          <w:lang w:val="en-US"/>
        </w:rPr>
        <w:t xml:space="preserve"> Stacking bar graphs showing frequencies (left panel) and the percentages</w:t>
      </w:r>
      <w:r w:rsidR="00D321A4">
        <w:rPr>
          <w:rFonts w:ascii="Arial" w:hAnsi="Arial" w:cs="Arial"/>
          <w:sz w:val="22"/>
          <w:szCs w:val="22"/>
          <w:lang w:val="en-US"/>
        </w:rPr>
        <w:t xml:space="preserve"> </w:t>
      </w:r>
      <w:r w:rsidR="00D321A4" w:rsidRPr="00443069">
        <w:rPr>
          <w:rFonts w:ascii="Arial" w:hAnsi="Arial" w:cs="Arial"/>
          <w:sz w:val="22"/>
          <w:szCs w:val="22"/>
          <w:lang w:val="en-US"/>
        </w:rPr>
        <w:t xml:space="preserve">(right panel) of </w:t>
      </w:r>
      <w:proofErr w:type="spellStart"/>
      <w:r w:rsidR="00D321A4">
        <w:rPr>
          <w:rFonts w:ascii="Arial" w:hAnsi="Arial" w:cs="Arial"/>
          <w:sz w:val="22"/>
          <w:szCs w:val="22"/>
          <w:lang w:val="en-US"/>
        </w:rPr>
        <w:t>Epcr</w:t>
      </w:r>
      <w:r w:rsidR="00D321A4" w:rsidRPr="005864D2">
        <w:rPr>
          <w:rFonts w:ascii="Arial" w:hAnsi="Arial" w:cs="Arial"/>
          <w:sz w:val="22"/>
          <w:szCs w:val="22"/>
          <w:vertAlign w:val="superscript"/>
          <w:lang w:val="en-US"/>
        </w:rPr>
        <w:t>hi</w:t>
      </w:r>
      <w:proofErr w:type="spellEnd"/>
      <w:r w:rsidR="00D321A4" w:rsidRPr="00443069">
        <w:rPr>
          <w:rFonts w:ascii="Arial" w:hAnsi="Arial" w:cs="Arial"/>
          <w:sz w:val="22"/>
          <w:szCs w:val="22"/>
          <w:lang w:val="en-US"/>
        </w:rPr>
        <w:t xml:space="preserve"> and </w:t>
      </w:r>
      <w:proofErr w:type="spellStart"/>
      <w:r w:rsidR="00D321A4">
        <w:rPr>
          <w:rFonts w:ascii="Arial" w:hAnsi="Arial" w:cs="Arial"/>
          <w:sz w:val="22"/>
          <w:szCs w:val="22"/>
          <w:lang w:val="en-US"/>
        </w:rPr>
        <w:t>Epcr</w:t>
      </w:r>
      <w:r w:rsidR="00D321A4" w:rsidRPr="005864D2">
        <w:rPr>
          <w:rFonts w:ascii="Arial" w:hAnsi="Arial" w:cs="Arial"/>
          <w:sz w:val="22"/>
          <w:szCs w:val="22"/>
          <w:vertAlign w:val="superscript"/>
          <w:lang w:val="en-US"/>
        </w:rPr>
        <w:t>lo</w:t>
      </w:r>
      <w:proofErr w:type="spellEnd"/>
      <w:r w:rsidR="00D321A4" w:rsidRPr="00443069">
        <w:rPr>
          <w:rFonts w:ascii="Arial" w:hAnsi="Arial" w:cs="Arial"/>
          <w:sz w:val="22"/>
          <w:szCs w:val="22"/>
          <w:lang w:val="en-US"/>
        </w:rPr>
        <w:t xml:space="preserve"> HSCs. The genotypes are indicated (n=7 mice per genotype). </w:t>
      </w:r>
      <w:r w:rsidR="00BE5D5F">
        <w:rPr>
          <w:rFonts w:ascii="Arial" w:hAnsi="Arial" w:cs="Arial"/>
          <w:sz w:val="22"/>
          <w:szCs w:val="22"/>
          <w:lang w:val="en-US"/>
        </w:rPr>
        <w:br/>
      </w:r>
      <w:r w:rsidR="00BE5D5F">
        <w:rPr>
          <w:rFonts w:ascii="Arial" w:hAnsi="Arial" w:cs="Arial"/>
          <w:b/>
          <w:bCs/>
          <w:sz w:val="22"/>
          <w:szCs w:val="22"/>
          <w:lang w:val="en-US"/>
        </w:rPr>
        <w:t>E</w:t>
      </w:r>
      <w:r w:rsidR="00D321A4" w:rsidRPr="00443069">
        <w:rPr>
          <w:lang w:val="en-US"/>
        </w:rPr>
        <w:t xml:space="preserve"> </w:t>
      </w:r>
      <w:r w:rsidR="00D321A4" w:rsidRPr="00443069">
        <w:rPr>
          <w:rFonts w:ascii="Arial" w:hAnsi="Arial" w:cs="Arial"/>
          <w:sz w:val="22"/>
          <w:szCs w:val="22"/>
          <w:lang w:val="en-US"/>
        </w:rPr>
        <w:t>Analysis of colonies grown</w:t>
      </w:r>
      <w:r w:rsidR="00D321A4">
        <w:rPr>
          <w:rFonts w:ascii="Arial" w:hAnsi="Arial" w:cs="Arial"/>
          <w:sz w:val="22"/>
          <w:szCs w:val="22"/>
          <w:lang w:val="en-US"/>
        </w:rPr>
        <w:t xml:space="preserve"> for</w:t>
      </w:r>
      <w:r w:rsidR="00D321A4" w:rsidRPr="00443069">
        <w:rPr>
          <w:rFonts w:ascii="Arial" w:hAnsi="Arial" w:cs="Arial"/>
          <w:sz w:val="22"/>
          <w:szCs w:val="22"/>
          <w:lang w:val="en-US"/>
        </w:rPr>
        <w:t xml:space="preserve"> 10 days </w:t>
      </w:r>
      <w:r w:rsidR="00D321A4">
        <w:rPr>
          <w:rFonts w:ascii="Arial" w:hAnsi="Arial" w:cs="Arial"/>
          <w:sz w:val="22"/>
          <w:szCs w:val="22"/>
          <w:lang w:val="en-US"/>
        </w:rPr>
        <w:t>in</w:t>
      </w:r>
      <w:r w:rsidR="00D321A4" w:rsidRPr="00443069">
        <w:rPr>
          <w:rFonts w:ascii="Arial" w:hAnsi="Arial" w:cs="Arial"/>
          <w:sz w:val="22"/>
          <w:szCs w:val="22"/>
          <w:lang w:val="en-US"/>
        </w:rPr>
        <w:t xml:space="preserve"> </w:t>
      </w:r>
      <w:r w:rsidR="00D321A4">
        <w:rPr>
          <w:rFonts w:ascii="Arial" w:hAnsi="Arial" w:cs="Arial"/>
          <w:sz w:val="22"/>
          <w:szCs w:val="22"/>
          <w:lang w:val="en-US"/>
        </w:rPr>
        <w:t xml:space="preserve">liquid </w:t>
      </w:r>
      <w:r w:rsidR="00D321A4" w:rsidRPr="00443069">
        <w:rPr>
          <w:rFonts w:ascii="Arial" w:hAnsi="Arial" w:cs="Arial"/>
          <w:sz w:val="22"/>
          <w:szCs w:val="22"/>
          <w:lang w:val="en-US"/>
        </w:rPr>
        <w:t>culture from FACS</w:t>
      </w:r>
      <w:r w:rsidR="00D321A4">
        <w:rPr>
          <w:rFonts w:ascii="Arial" w:hAnsi="Arial" w:cs="Arial"/>
          <w:sz w:val="22"/>
          <w:szCs w:val="22"/>
          <w:lang w:val="en-US"/>
        </w:rPr>
        <w:t xml:space="preserve"> </w:t>
      </w:r>
      <w:r w:rsidR="00D321A4" w:rsidRPr="00443069">
        <w:rPr>
          <w:rFonts w:ascii="Arial" w:hAnsi="Arial" w:cs="Arial"/>
          <w:sz w:val="22"/>
          <w:szCs w:val="22"/>
          <w:lang w:val="en-US"/>
        </w:rPr>
        <w:t xml:space="preserve">sorted single </w:t>
      </w:r>
      <w:proofErr w:type="spellStart"/>
      <w:r w:rsidR="00D321A4">
        <w:rPr>
          <w:rFonts w:ascii="Arial" w:hAnsi="Arial" w:cs="Arial"/>
          <w:sz w:val="22"/>
          <w:szCs w:val="22"/>
          <w:lang w:val="en-US"/>
        </w:rPr>
        <w:t>Epcr</w:t>
      </w:r>
      <w:r w:rsidR="00D321A4" w:rsidRPr="005864D2">
        <w:rPr>
          <w:rFonts w:ascii="Arial" w:hAnsi="Arial" w:cs="Arial"/>
          <w:sz w:val="22"/>
          <w:szCs w:val="22"/>
          <w:vertAlign w:val="superscript"/>
          <w:lang w:val="en-US"/>
        </w:rPr>
        <w:t>hi</w:t>
      </w:r>
      <w:proofErr w:type="spellEnd"/>
      <w:r w:rsidR="00D321A4" w:rsidRPr="00443069">
        <w:rPr>
          <w:rFonts w:ascii="Arial" w:hAnsi="Arial" w:cs="Arial"/>
          <w:sz w:val="22"/>
          <w:szCs w:val="22"/>
          <w:lang w:val="en-US"/>
        </w:rPr>
        <w:t xml:space="preserve"> or </w:t>
      </w:r>
      <w:proofErr w:type="spellStart"/>
      <w:r w:rsidR="00D321A4">
        <w:rPr>
          <w:rFonts w:ascii="Arial" w:hAnsi="Arial" w:cs="Arial"/>
          <w:sz w:val="22"/>
          <w:szCs w:val="22"/>
          <w:lang w:val="en-US"/>
        </w:rPr>
        <w:t>Epcr</w:t>
      </w:r>
      <w:r w:rsidR="00D321A4" w:rsidRPr="005864D2">
        <w:rPr>
          <w:rFonts w:ascii="Arial" w:hAnsi="Arial" w:cs="Arial"/>
          <w:sz w:val="22"/>
          <w:szCs w:val="22"/>
          <w:vertAlign w:val="superscript"/>
          <w:lang w:val="en-US"/>
        </w:rPr>
        <w:t>lo</w:t>
      </w:r>
      <w:proofErr w:type="spellEnd"/>
      <w:r w:rsidR="00D321A4" w:rsidRPr="00443069">
        <w:rPr>
          <w:rFonts w:ascii="Arial" w:hAnsi="Arial" w:cs="Arial"/>
          <w:sz w:val="22"/>
          <w:szCs w:val="22"/>
          <w:lang w:val="en-US"/>
        </w:rPr>
        <w:t xml:space="preserve"> HSCs. Bar graph shows the percentages of</w:t>
      </w:r>
      <w:r w:rsidR="00D321A4">
        <w:rPr>
          <w:rFonts w:ascii="Arial" w:hAnsi="Arial" w:cs="Arial"/>
          <w:sz w:val="22"/>
          <w:szCs w:val="22"/>
          <w:lang w:val="en-US"/>
        </w:rPr>
        <w:t xml:space="preserve"> </w:t>
      </w:r>
      <w:r w:rsidR="00D321A4" w:rsidRPr="00443069">
        <w:rPr>
          <w:rFonts w:ascii="Arial" w:hAnsi="Arial" w:cs="Arial"/>
          <w:sz w:val="22"/>
          <w:szCs w:val="22"/>
          <w:lang w:val="en-US"/>
        </w:rPr>
        <w:t>colonies containing Mk (CD41</w:t>
      </w:r>
      <w:r w:rsidR="00D321A4" w:rsidRPr="005864D2">
        <w:rPr>
          <w:rFonts w:ascii="Arial" w:hAnsi="Arial" w:cs="Arial"/>
          <w:sz w:val="22"/>
          <w:szCs w:val="22"/>
          <w:vertAlign w:val="superscript"/>
          <w:lang w:val="en-US"/>
        </w:rPr>
        <w:t>+</w:t>
      </w:r>
      <w:r w:rsidR="00D321A4" w:rsidRPr="00443069">
        <w:rPr>
          <w:rFonts w:ascii="Arial" w:hAnsi="Arial" w:cs="Arial"/>
          <w:sz w:val="22"/>
          <w:szCs w:val="22"/>
          <w:lang w:val="en-US"/>
        </w:rPr>
        <w:t>), myeloid (CD16</w:t>
      </w:r>
      <w:r w:rsidR="00D321A4" w:rsidRPr="005864D2">
        <w:rPr>
          <w:rFonts w:ascii="Arial" w:hAnsi="Arial" w:cs="Arial"/>
          <w:sz w:val="22"/>
          <w:szCs w:val="22"/>
          <w:vertAlign w:val="superscript"/>
          <w:lang w:val="en-US"/>
        </w:rPr>
        <w:t>+</w:t>
      </w:r>
      <w:r w:rsidR="00D321A4" w:rsidRPr="00443069">
        <w:rPr>
          <w:rFonts w:ascii="Arial" w:hAnsi="Arial" w:cs="Arial"/>
          <w:sz w:val="22"/>
          <w:szCs w:val="22"/>
          <w:lang w:val="en-US"/>
        </w:rPr>
        <w:t>), or mixed (Mk and myeloid,</w:t>
      </w:r>
      <w:r w:rsidR="00D321A4">
        <w:rPr>
          <w:rFonts w:ascii="Arial" w:hAnsi="Arial" w:cs="Arial"/>
          <w:sz w:val="22"/>
          <w:szCs w:val="22"/>
          <w:lang w:val="en-US"/>
        </w:rPr>
        <w:t xml:space="preserve"> </w:t>
      </w:r>
      <w:r w:rsidR="00D321A4" w:rsidRPr="00443069">
        <w:rPr>
          <w:rFonts w:ascii="Arial" w:hAnsi="Arial" w:cs="Arial"/>
          <w:sz w:val="22"/>
          <w:szCs w:val="22"/>
          <w:lang w:val="en-US"/>
        </w:rPr>
        <w:t>CD41</w:t>
      </w:r>
      <w:r w:rsidR="00D321A4" w:rsidRPr="005864D2">
        <w:rPr>
          <w:rFonts w:ascii="Arial" w:hAnsi="Arial" w:cs="Arial"/>
          <w:sz w:val="22"/>
          <w:szCs w:val="22"/>
          <w:vertAlign w:val="superscript"/>
          <w:lang w:val="en-US"/>
        </w:rPr>
        <w:t>+</w:t>
      </w:r>
      <w:r w:rsidR="00D321A4" w:rsidRPr="00443069">
        <w:rPr>
          <w:rFonts w:ascii="Arial" w:hAnsi="Arial" w:cs="Arial"/>
          <w:sz w:val="22"/>
          <w:szCs w:val="22"/>
          <w:lang w:val="en-US"/>
        </w:rPr>
        <w:t>/CD16</w:t>
      </w:r>
      <w:r w:rsidR="00D321A4" w:rsidRPr="005864D2">
        <w:rPr>
          <w:rFonts w:ascii="Arial" w:hAnsi="Arial" w:cs="Arial"/>
          <w:sz w:val="22"/>
          <w:szCs w:val="22"/>
          <w:vertAlign w:val="superscript"/>
          <w:lang w:val="en-US"/>
        </w:rPr>
        <w:t>+</w:t>
      </w:r>
      <w:r w:rsidR="00D321A4" w:rsidRPr="00443069">
        <w:rPr>
          <w:rFonts w:ascii="Arial" w:hAnsi="Arial" w:cs="Arial"/>
          <w:sz w:val="22"/>
          <w:szCs w:val="22"/>
          <w:lang w:val="en-US"/>
        </w:rPr>
        <w:t xml:space="preserve">) </w:t>
      </w:r>
      <w:r w:rsidR="00D321A4">
        <w:rPr>
          <w:rFonts w:ascii="Arial" w:hAnsi="Arial" w:cs="Arial"/>
          <w:sz w:val="22"/>
          <w:szCs w:val="22"/>
          <w:lang w:val="en-US"/>
        </w:rPr>
        <w:t>cells.</w:t>
      </w:r>
    </w:p>
    <w:p w14:paraId="00849CBC" w14:textId="77777777" w:rsidR="001E24CE" w:rsidRDefault="001E24CE" w:rsidP="00443069">
      <w:pPr>
        <w:spacing w:line="360" w:lineRule="auto"/>
        <w:jc w:val="both"/>
        <w:rPr>
          <w:rFonts w:ascii="Arial" w:hAnsi="Arial" w:cs="Arial"/>
          <w:sz w:val="22"/>
          <w:szCs w:val="22"/>
          <w:lang w:val="en-US"/>
        </w:rPr>
      </w:pPr>
    </w:p>
    <w:p w14:paraId="7A7D87CC" w14:textId="77777777" w:rsidR="002B4EDA" w:rsidRDefault="002B4EDA" w:rsidP="00925148">
      <w:pPr>
        <w:spacing w:line="360" w:lineRule="auto"/>
        <w:jc w:val="both"/>
        <w:rPr>
          <w:rFonts w:ascii="Arial" w:hAnsi="Arial" w:cs="Arial"/>
          <w:sz w:val="22"/>
          <w:szCs w:val="22"/>
          <w:lang w:val="en-US"/>
        </w:rPr>
      </w:pPr>
      <w:r>
        <w:rPr>
          <w:rFonts w:ascii="Arial" w:hAnsi="Arial" w:cs="Arial"/>
          <w:sz w:val="22"/>
          <w:szCs w:val="22"/>
          <w:lang w:val="en-US"/>
        </w:rPr>
        <w:t xml:space="preserve">To examine long-term hematopoietic repopulation capacity and thus functionality, 50 FACS-sorted </w:t>
      </w:r>
      <w:r w:rsidRPr="00925148">
        <w:rPr>
          <w:rFonts w:ascii="Arial" w:hAnsi="Arial" w:cs="Arial"/>
          <w:i/>
          <w:iCs/>
          <w:sz w:val="22"/>
          <w:szCs w:val="22"/>
          <w:lang w:val="en-US"/>
        </w:rPr>
        <w:t>VF</w:t>
      </w:r>
      <w:r>
        <w:rPr>
          <w:rFonts w:ascii="Arial" w:hAnsi="Arial" w:cs="Arial"/>
          <w:sz w:val="22"/>
          <w:szCs w:val="22"/>
          <w:lang w:val="en-US"/>
        </w:rPr>
        <w:t xml:space="preserve"> </w:t>
      </w:r>
      <w:r w:rsidR="003C29D4">
        <w:rPr>
          <w:rFonts w:ascii="Arial" w:hAnsi="Arial" w:cs="Arial"/>
          <w:sz w:val="22"/>
          <w:szCs w:val="22"/>
          <w:lang w:val="en-US"/>
        </w:rPr>
        <w:t xml:space="preserve">or </w:t>
      </w:r>
      <w:r w:rsidR="003C29D4" w:rsidRPr="003C29D4">
        <w:rPr>
          <w:rFonts w:ascii="Arial" w:hAnsi="Arial" w:cs="Arial"/>
          <w:i/>
          <w:iCs/>
          <w:sz w:val="22"/>
          <w:szCs w:val="22"/>
          <w:lang w:val="en-US"/>
        </w:rPr>
        <w:t>WT</w:t>
      </w:r>
      <w:r w:rsidR="003C29D4">
        <w:rPr>
          <w:rFonts w:ascii="Arial" w:hAnsi="Arial" w:cs="Arial"/>
          <w:sz w:val="22"/>
          <w:szCs w:val="22"/>
          <w:lang w:val="en-US"/>
        </w:rPr>
        <w:t xml:space="preserve"> </w:t>
      </w:r>
      <w:r>
        <w:rPr>
          <w:rFonts w:ascii="Arial" w:hAnsi="Arial" w:cs="Arial"/>
          <w:sz w:val="22"/>
          <w:szCs w:val="22"/>
          <w:lang w:val="en-US"/>
        </w:rPr>
        <w:t>CD41</w:t>
      </w:r>
      <w:r>
        <w:rPr>
          <w:rFonts w:ascii="Arial" w:hAnsi="Arial" w:cs="Arial"/>
          <w:sz w:val="22"/>
          <w:szCs w:val="22"/>
          <w:vertAlign w:val="superscript"/>
          <w:lang w:val="en-US"/>
        </w:rPr>
        <w:t xml:space="preserve">hi </w:t>
      </w:r>
      <w:r w:rsidR="003C29D4">
        <w:rPr>
          <w:rFonts w:ascii="Arial" w:hAnsi="Arial" w:cs="Arial"/>
          <w:sz w:val="22"/>
          <w:szCs w:val="22"/>
          <w:lang w:val="en-US"/>
        </w:rPr>
        <w:t>and</w:t>
      </w:r>
      <w:r w:rsidRPr="002B4EDA">
        <w:rPr>
          <w:rFonts w:ascii="Arial" w:hAnsi="Arial" w:cs="Arial"/>
          <w:sz w:val="22"/>
          <w:szCs w:val="22"/>
          <w:lang w:val="en-US"/>
        </w:rPr>
        <w:t xml:space="preserve"> CD41</w:t>
      </w:r>
      <w:r>
        <w:rPr>
          <w:rFonts w:ascii="Arial" w:hAnsi="Arial" w:cs="Arial"/>
          <w:sz w:val="22"/>
          <w:szCs w:val="22"/>
          <w:vertAlign w:val="superscript"/>
          <w:lang w:val="en-US"/>
        </w:rPr>
        <w:t xml:space="preserve">lo </w:t>
      </w:r>
      <w:r w:rsidRPr="002B4EDA">
        <w:rPr>
          <w:rFonts w:ascii="Arial" w:hAnsi="Arial" w:cs="Arial"/>
          <w:sz w:val="22"/>
          <w:szCs w:val="22"/>
          <w:lang w:val="en-US"/>
        </w:rPr>
        <w:t>HSC</w:t>
      </w:r>
      <w:r>
        <w:rPr>
          <w:rFonts w:ascii="Arial" w:hAnsi="Arial" w:cs="Arial"/>
          <w:sz w:val="22"/>
          <w:szCs w:val="22"/>
          <w:lang w:val="en-US"/>
        </w:rPr>
        <w:t>s (GFP</w:t>
      </w:r>
      <w:r w:rsidRPr="002B4EDA">
        <w:rPr>
          <w:rFonts w:ascii="Arial" w:hAnsi="Arial" w:cs="Arial"/>
          <w:sz w:val="22"/>
          <w:szCs w:val="22"/>
          <w:vertAlign w:val="superscript"/>
          <w:lang w:val="en-US"/>
        </w:rPr>
        <w:t>+</w:t>
      </w:r>
      <w:r>
        <w:rPr>
          <w:rFonts w:ascii="Arial" w:hAnsi="Arial" w:cs="Arial"/>
          <w:sz w:val="22"/>
          <w:szCs w:val="22"/>
          <w:lang w:val="en-US"/>
        </w:rPr>
        <w:t xml:space="preserve">) were transplanted into lethally irradiated </w:t>
      </w:r>
      <w:r w:rsidR="00925148">
        <w:rPr>
          <w:rFonts w:ascii="Arial" w:hAnsi="Arial" w:cs="Arial"/>
          <w:sz w:val="22"/>
          <w:szCs w:val="22"/>
          <w:lang w:val="en-US"/>
        </w:rPr>
        <w:t>recipients with</w:t>
      </w:r>
      <w:r>
        <w:rPr>
          <w:rFonts w:ascii="Arial" w:hAnsi="Arial" w:cs="Arial"/>
          <w:sz w:val="22"/>
          <w:szCs w:val="22"/>
          <w:lang w:val="en-US"/>
        </w:rPr>
        <w:t xml:space="preserve"> one million </w:t>
      </w:r>
      <w:r w:rsidRPr="00925148">
        <w:rPr>
          <w:rFonts w:ascii="Arial" w:hAnsi="Arial" w:cs="Arial"/>
          <w:i/>
          <w:iCs/>
          <w:sz w:val="22"/>
          <w:szCs w:val="22"/>
          <w:lang w:val="en-US"/>
        </w:rPr>
        <w:t>WT</w:t>
      </w:r>
      <w:r>
        <w:rPr>
          <w:rFonts w:ascii="Arial" w:hAnsi="Arial" w:cs="Arial"/>
          <w:sz w:val="22"/>
          <w:szCs w:val="22"/>
          <w:lang w:val="en-US"/>
        </w:rPr>
        <w:t xml:space="preserve"> competitor cells</w:t>
      </w:r>
      <w:r w:rsidR="00925148">
        <w:rPr>
          <w:rFonts w:ascii="Arial" w:hAnsi="Arial" w:cs="Arial"/>
          <w:sz w:val="22"/>
          <w:szCs w:val="22"/>
          <w:lang w:val="en-US"/>
        </w:rPr>
        <w:t>. After follow-up (</w:t>
      </w:r>
      <w:r w:rsidR="0002086C">
        <w:rPr>
          <w:rFonts w:ascii="Arial" w:hAnsi="Arial" w:cs="Arial"/>
          <w:sz w:val="22"/>
          <w:szCs w:val="22"/>
          <w:lang w:val="en-US"/>
        </w:rPr>
        <w:t>12</w:t>
      </w:r>
      <w:r w:rsidR="00925148">
        <w:rPr>
          <w:rFonts w:ascii="Arial" w:hAnsi="Arial" w:cs="Arial"/>
          <w:sz w:val="22"/>
          <w:szCs w:val="22"/>
          <w:lang w:val="en-US"/>
        </w:rPr>
        <w:t xml:space="preserve"> weeks) </w:t>
      </w:r>
      <w:r w:rsidR="00925148">
        <w:rPr>
          <w:rFonts w:ascii="Arial" w:hAnsi="Arial" w:cs="Arial"/>
          <w:sz w:val="22"/>
          <w:szCs w:val="22"/>
          <w:lang w:val="en-US"/>
        </w:rPr>
        <w:lastRenderedPageBreak/>
        <w:t>CD41</w:t>
      </w:r>
      <w:r w:rsidR="00925148" w:rsidRPr="00925148">
        <w:rPr>
          <w:rFonts w:ascii="Arial" w:hAnsi="Arial" w:cs="Arial"/>
          <w:sz w:val="22"/>
          <w:szCs w:val="22"/>
          <w:vertAlign w:val="superscript"/>
          <w:lang w:val="en-US"/>
        </w:rPr>
        <w:t xml:space="preserve">hi </w:t>
      </w:r>
      <w:r w:rsidR="00925148">
        <w:rPr>
          <w:rFonts w:ascii="Arial" w:hAnsi="Arial" w:cs="Arial"/>
          <w:sz w:val="22"/>
          <w:szCs w:val="22"/>
          <w:lang w:val="en-US"/>
        </w:rPr>
        <w:t>HSCs, compared to CD41</w:t>
      </w:r>
      <w:r w:rsidR="00925148" w:rsidRPr="00925148">
        <w:rPr>
          <w:rFonts w:ascii="Arial" w:hAnsi="Arial" w:cs="Arial"/>
          <w:sz w:val="22"/>
          <w:szCs w:val="22"/>
          <w:vertAlign w:val="superscript"/>
          <w:lang w:val="en-US"/>
        </w:rPr>
        <w:t>lo</w:t>
      </w:r>
      <w:r w:rsidR="00925148">
        <w:rPr>
          <w:rFonts w:ascii="Arial" w:hAnsi="Arial" w:cs="Arial"/>
          <w:sz w:val="22"/>
          <w:szCs w:val="22"/>
          <w:lang w:val="en-US"/>
        </w:rPr>
        <w:t xml:space="preserve"> showed decreased functionality shown by </w:t>
      </w:r>
      <w:r w:rsidR="00925148" w:rsidRPr="00925148">
        <w:rPr>
          <w:rFonts w:ascii="Arial" w:hAnsi="Arial" w:cs="Arial"/>
          <w:sz w:val="22"/>
          <w:szCs w:val="22"/>
          <w:lang w:val="en-US"/>
        </w:rPr>
        <w:t xml:space="preserve">less efficient </w:t>
      </w:r>
      <w:r w:rsidR="00925148">
        <w:rPr>
          <w:rFonts w:ascii="Arial" w:hAnsi="Arial" w:cs="Arial"/>
          <w:sz w:val="22"/>
          <w:szCs w:val="22"/>
          <w:lang w:val="en-US"/>
        </w:rPr>
        <w:t>hematopoiesis reconstitution</w:t>
      </w:r>
      <w:r w:rsidR="001E24CE">
        <w:rPr>
          <w:rFonts w:ascii="Arial" w:hAnsi="Arial" w:cs="Arial"/>
          <w:sz w:val="22"/>
          <w:szCs w:val="22"/>
          <w:lang w:val="en-US"/>
        </w:rPr>
        <w:t>,</w:t>
      </w:r>
      <w:r w:rsidR="00925148" w:rsidRPr="00925148">
        <w:rPr>
          <w:rFonts w:ascii="Arial" w:hAnsi="Arial" w:cs="Arial"/>
          <w:sz w:val="22"/>
          <w:szCs w:val="22"/>
          <w:lang w:val="en-US"/>
        </w:rPr>
        <w:t xml:space="preserve"> </w:t>
      </w:r>
      <w:r w:rsidR="00925148">
        <w:rPr>
          <w:rFonts w:ascii="Arial" w:hAnsi="Arial" w:cs="Arial"/>
          <w:sz w:val="22"/>
          <w:szCs w:val="22"/>
          <w:lang w:val="en-US"/>
        </w:rPr>
        <w:t xml:space="preserve">unable to outcompete </w:t>
      </w:r>
      <w:r w:rsidR="00925148" w:rsidRPr="00925148">
        <w:rPr>
          <w:rFonts w:ascii="Arial" w:hAnsi="Arial" w:cs="Arial"/>
          <w:i/>
          <w:iCs/>
          <w:sz w:val="22"/>
          <w:szCs w:val="22"/>
          <w:lang w:val="en-US"/>
        </w:rPr>
        <w:t>WT</w:t>
      </w:r>
      <w:r w:rsidR="00925148" w:rsidRPr="00925148">
        <w:rPr>
          <w:rFonts w:ascii="Arial" w:hAnsi="Arial" w:cs="Arial"/>
          <w:sz w:val="22"/>
          <w:szCs w:val="22"/>
          <w:lang w:val="en-US"/>
        </w:rPr>
        <w:t xml:space="preserve"> HSCs</w:t>
      </w:r>
      <w:r w:rsidR="00925148">
        <w:rPr>
          <w:rFonts w:ascii="Arial" w:hAnsi="Arial" w:cs="Arial"/>
          <w:sz w:val="22"/>
          <w:szCs w:val="22"/>
          <w:lang w:val="en-US"/>
        </w:rPr>
        <w:t xml:space="preserve"> </w:t>
      </w:r>
      <w:r w:rsidR="00B6262E">
        <w:rPr>
          <w:rFonts w:ascii="Arial" w:hAnsi="Arial" w:cs="Arial"/>
          <w:sz w:val="22"/>
          <w:szCs w:val="22"/>
          <w:lang w:val="en-US"/>
        </w:rPr>
        <w:t>(Figure</w:t>
      </w:r>
      <w:r w:rsidR="00925148">
        <w:rPr>
          <w:rFonts w:ascii="Arial" w:hAnsi="Arial" w:cs="Arial"/>
          <w:sz w:val="22"/>
          <w:szCs w:val="22"/>
          <w:lang w:val="en-US"/>
        </w:rPr>
        <w:t xml:space="preserve"> </w:t>
      </w:r>
      <w:r w:rsidR="007F1F27">
        <w:rPr>
          <w:rFonts w:ascii="Arial" w:hAnsi="Arial" w:cs="Arial"/>
          <w:sz w:val="22"/>
          <w:szCs w:val="22"/>
          <w:lang w:val="en-US"/>
        </w:rPr>
        <w:t>30</w:t>
      </w:r>
      <w:r w:rsidR="00925148">
        <w:rPr>
          <w:rFonts w:ascii="Arial" w:hAnsi="Arial" w:cs="Arial"/>
          <w:sz w:val="22"/>
          <w:szCs w:val="22"/>
          <w:lang w:val="en-US"/>
        </w:rPr>
        <w:t>).</w:t>
      </w:r>
    </w:p>
    <w:p w14:paraId="3CCFA375" w14:textId="77777777" w:rsidR="007B6194" w:rsidRDefault="007B6194" w:rsidP="00925148">
      <w:pPr>
        <w:spacing w:line="360" w:lineRule="auto"/>
        <w:jc w:val="both"/>
        <w:rPr>
          <w:rFonts w:ascii="Arial" w:hAnsi="Arial" w:cs="Arial"/>
          <w:sz w:val="22"/>
          <w:szCs w:val="22"/>
          <w:lang w:val="en-US"/>
        </w:rPr>
      </w:pPr>
    </w:p>
    <w:p w14:paraId="04BE98BF" w14:textId="77777777" w:rsidR="00184AD1" w:rsidRDefault="007B6194" w:rsidP="00605651">
      <w:pPr>
        <w:spacing w:line="360" w:lineRule="auto"/>
        <w:jc w:val="both"/>
        <w:rPr>
          <w:rFonts w:ascii="Arial" w:hAnsi="Arial" w:cs="Arial"/>
          <w:sz w:val="22"/>
          <w:szCs w:val="22"/>
          <w:lang w:val="en-US"/>
        </w:rPr>
      </w:pPr>
      <w:r w:rsidRPr="007B6194">
        <w:rPr>
          <w:rFonts w:ascii="Arial" w:hAnsi="Arial" w:cs="Arial"/>
          <w:noProof/>
          <w:sz w:val="22"/>
          <w:szCs w:val="22"/>
          <w:lang w:val="cs-CZ" w:eastAsia="cs-CZ"/>
        </w:rPr>
        <w:drawing>
          <wp:inline distT="0" distB="0" distL="0" distR="0" wp14:anchorId="4D7E0BC6" wp14:editId="77968009">
            <wp:extent cx="5395595" cy="1674254"/>
            <wp:effectExtent l="0" t="0" r="1905" b="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66764"/>
                    <a:stretch/>
                  </pic:blipFill>
                  <pic:spPr bwMode="auto">
                    <a:xfrm>
                      <a:off x="0" y="0"/>
                      <a:ext cx="5395595" cy="1674254"/>
                    </a:xfrm>
                    <a:prstGeom prst="rect">
                      <a:avLst/>
                    </a:prstGeom>
                    <a:ln>
                      <a:noFill/>
                    </a:ln>
                    <a:extLst>
                      <a:ext uri="{53640926-AAD7-44D8-BBD7-CCE9431645EC}">
                        <a14:shadowObscured xmlns:a14="http://schemas.microsoft.com/office/drawing/2010/main"/>
                      </a:ext>
                    </a:extLst>
                  </pic:spPr>
                </pic:pic>
              </a:graphicData>
            </a:graphic>
          </wp:inline>
        </w:drawing>
      </w:r>
      <w:r w:rsidR="0027657D">
        <w:rPr>
          <w:rFonts w:ascii="Arial" w:hAnsi="Arial" w:cs="Arial"/>
          <w:noProof/>
          <w:sz w:val="22"/>
          <w:szCs w:val="22"/>
          <w:lang w:val="cs-CZ" w:eastAsia="cs-CZ"/>
        </w:rPr>
        <w:drawing>
          <wp:inline distT="0" distB="0" distL="0" distR="0" wp14:anchorId="63BAD75F" wp14:editId="11E54C54">
            <wp:extent cx="5395595" cy="3361690"/>
            <wp:effectExtent l="0" t="0" r="1905" b="381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95595" cy="3361690"/>
                    </a:xfrm>
                    <a:prstGeom prst="rect">
                      <a:avLst/>
                    </a:prstGeom>
                  </pic:spPr>
                </pic:pic>
              </a:graphicData>
            </a:graphic>
          </wp:inline>
        </w:drawing>
      </w:r>
    </w:p>
    <w:p w14:paraId="1EF697AD" w14:textId="77777777" w:rsidR="00907ED3" w:rsidRDefault="00744C3B" w:rsidP="00B6262E">
      <w:pPr>
        <w:spacing w:line="360" w:lineRule="auto"/>
        <w:jc w:val="both"/>
        <w:rPr>
          <w:rFonts w:ascii="Arial" w:hAnsi="Arial" w:cs="Arial"/>
          <w:sz w:val="22"/>
          <w:szCs w:val="22"/>
          <w:lang w:val="en-US"/>
        </w:rPr>
      </w:pPr>
      <w:r w:rsidRPr="00B6262E">
        <w:rPr>
          <w:rFonts w:ascii="Arial" w:hAnsi="Arial" w:cs="Arial"/>
          <w:b/>
          <w:bCs/>
          <w:sz w:val="22"/>
          <w:szCs w:val="22"/>
          <w:lang w:val="en-US"/>
        </w:rPr>
        <w:t xml:space="preserve">Figure </w:t>
      </w:r>
      <w:r w:rsidR="00750F84">
        <w:rPr>
          <w:rFonts w:ascii="Arial" w:hAnsi="Arial" w:cs="Arial"/>
          <w:b/>
          <w:bCs/>
          <w:sz w:val="22"/>
          <w:szCs w:val="22"/>
          <w:lang w:val="en-US"/>
        </w:rPr>
        <w:t>30</w:t>
      </w:r>
      <w:r>
        <w:rPr>
          <w:rFonts w:ascii="Arial" w:hAnsi="Arial" w:cs="Arial"/>
          <w:sz w:val="22"/>
          <w:szCs w:val="22"/>
          <w:lang w:val="en-US"/>
        </w:rPr>
        <w:t>:</w:t>
      </w:r>
      <w:r w:rsidR="00B6262E">
        <w:rPr>
          <w:rFonts w:ascii="Arial" w:hAnsi="Arial" w:cs="Arial"/>
          <w:sz w:val="22"/>
          <w:szCs w:val="22"/>
          <w:lang w:val="en-US"/>
        </w:rPr>
        <w:t xml:space="preserve"> Scheme of </w:t>
      </w:r>
      <w:r w:rsidR="00B6262E" w:rsidRPr="00B6262E">
        <w:rPr>
          <w:rFonts w:ascii="Arial" w:hAnsi="Arial" w:cs="Arial"/>
          <w:sz w:val="22"/>
          <w:szCs w:val="22"/>
          <w:lang w:val="en-US"/>
        </w:rPr>
        <w:t>transplantation</w:t>
      </w:r>
      <w:r w:rsidR="00B6262E">
        <w:rPr>
          <w:rFonts w:ascii="Arial" w:hAnsi="Arial" w:cs="Arial"/>
          <w:sz w:val="22"/>
          <w:szCs w:val="22"/>
          <w:lang w:val="en-US"/>
        </w:rPr>
        <w:t xml:space="preserve"> setup </w:t>
      </w:r>
      <w:r w:rsidR="00B6262E" w:rsidRPr="00B6262E">
        <w:rPr>
          <w:rFonts w:ascii="Arial" w:hAnsi="Arial" w:cs="Arial"/>
          <w:sz w:val="22"/>
          <w:szCs w:val="22"/>
          <w:lang w:val="en-US"/>
        </w:rPr>
        <w:t xml:space="preserve">with </w:t>
      </w:r>
      <w:r w:rsidR="00B6262E">
        <w:rPr>
          <w:rFonts w:ascii="Arial" w:hAnsi="Arial" w:cs="Arial"/>
          <w:sz w:val="22"/>
          <w:szCs w:val="22"/>
          <w:lang w:val="en-US"/>
        </w:rPr>
        <w:t>FACS-sorted</w:t>
      </w:r>
      <w:r w:rsidR="00B6262E" w:rsidRPr="00B6262E">
        <w:rPr>
          <w:rFonts w:ascii="Arial" w:hAnsi="Arial" w:cs="Arial"/>
          <w:sz w:val="22"/>
          <w:szCs w:val="22"/>
          <w:lang w:val="en-US"/>
        </w:rPr>
        <w:t xml:space="preserve"> CD41</w:t>
      </w:r>
      <w:r w:rsidR="00B6262E" w:rsidRPr="00B6262E">
        <w:rPr>
          <w:rFonts w:ascii="Arial" w:hAnsi="Arial" w:cs="Arial"/>
          <w:sz w:val="22"/>
          <w:szCs w:val="22"/>
          <w:vertAlign w:val="superscript"/>
          <w:lang w:val="en-US"/>
        </w:rPr>
        <w:t>hi</w:t>
      </w:r>
      <w:r w:rsidR="00B6262E" w:rsidRPr="00B6262E">
        <w:rPr>
          <w:rFonts w:ascii="Arial" w:hAnsi="Arial" w:cs="Arial"/>
          <w:sz w:val="22"/>
          <w:szCs w:val="22"/>
          <w:lang w:val="en-US"/>
        </w:rPr>
        <w:t xml:space="preserve"> </w:t>
      </w:r>
      <w:r w:rsidR="00B6262E">
        <w:rPr>
          <w:rFonts w:ascii="Arial" w:hAnsi="Arial" w:cs="Arial"/>
          <w:sz w:val="22"/>
          <w:szCs w:val="22"/>
          <w:lang w:val="en-US"/>
        </w:rPr>
        <w:t>or</w:t>
      </w:r>
      <w:r w:rsidR="00B6262E" w:rsidRPr="00B6262E">
        <w:rPr>
          <w:rFonts w:ascii="Arial" w:hAnsi="Arial" w:cs="Arial"/>
          <w:sz w:val="22"/>
          <w:szCs w:val="22"/>
          <w:lang w:val="en-US"/>
        </w:rPr>
        <w:t xml:space="preserve"> CD41</w:t>
      </w:r>
      <w:r w:rsidR="00B6262E" w:rsidRPr="00B6262E">
        <w:rPr>
          <w:rFonts w:ascii="Arial" w:hAnsi="Arial" w:cs="Arial"/>
          <w:sz w:val="22"/>
          <w:szCs w:val="22"/>
          <w:vertAlign w:val="superscript"/>
          <w:lang w:val="en-US"/>
        </w:rPr>
        <w:t>lo</w:t>
      </w:r>
      <w:r w:rsidR="00B6262E" w:rsidRPr="00B6262E">
        <w:rPr>
          <w:rFonts w:ascii="Arial" w:hAnsi="Arial" w:cs="Arial"/>
          <w:sz w:val="22"/>
          <w:szCs w:val="22"/>
          <w:lang w:val="en-US"/>
        </w:rPr>
        <w:t xml:space="preserve"> HSC into lethally irradiated</w:t>
      </w:r>
      <w:r w:rsidR="00B6262E">
        <w:rPr>
          <w:rFonts w:ascii="Arial" w:hAnsi="Arial" w:cs="Arial"/>
          <w:sz w:val="22"/>
          <w:szCs w:val="22"/>
          <w:lang w:val="en-US"/>
        </w:rPr>
        <w:t xml:space="preserve"> </w:t>
      </w:r>
      <w:r w:rsidR="00B6262E" w:rsidRPr="00B6262E">
        <w:rPr>
          <w:rFonts w:ascii="Arial" w:hAnsi="Arial" w:cs="Arial"/>
          <w:sz w:val="22"/>
          <w:szCs w:val="22"/>
          <w:lang w:val="en-US"/>
        </w:rPr>
        <w:t>recipients (n=</w:t>
      </w:r>
      <w:r w:rsidR="00F11394">
        <w:rPr>
          <w:rFonts w:ascii="Arial" w:hAnsi="Arial" w:cs="Arial"/>
          <w:sz w:val="22"/>
          <w:szCs w:val="22"/>
          <w:lang w:val="en-US"/>
        </w:rPr>
        <w:t>12</w:t>
      </w:r>
      <w:r w:rsidR="00B6262E" w:rsidRPr="00B6262E">
        <w:rPr>
          <w:rFonts w:ascii="Arial" w:hAnsi="Arial" w:cs="Arial"/>
          <w:sz w:val="22"/>
          <w:szCs w:val="22"/>
          <w:lang w:val="en-US"/>
        </w:rPr>
        <w:t xml:space="preserve"> mice per cell type</w:t>
      </w:r>
      <w:r w:rsidR="00F11394">
        <w:rPr>
          <w:rFonts w:ascii="Arial" w:hAnsi="Arial" w:cs="Arial"/>
          <w:sz w:val="22"/>
          <w:szCs w:val="22"/>
          <w:lang w:val="en-US"/>
        </w:rPr>
        <w:t>; two independent donors were used</w:t>
      </w:r>
      <w:r w:rsidR="00B6262E" w:rsidRPr="00B6262E">
        <w:rPr>
          <w:rFonts w:ascii="Arial" w:hAnsi="Arial" w:cs="Arial"/>
          <w:sz w:val="22"/>
          <w:szCs w:val="22"/>
          <w:lang w:val="en-US"/>
        </w:rPr>
        <w:t xml:space="preserve">). </w:t>
      </w:r>
      <w:r w:rsidR="00B6262E">
        <w:rPr>
          <w:rFonts w:ascii="Arial" w:hAnsi="Arial" w:cs="Arial"/>
          <w:sz w:val="22"/>
          <w:szCs w:val="22"/>
          <w:lang w:val="en-US"/>
        </w:rPr>
        <w:t>Blood counts, spleen weight (</w:t>
      </w:r>
      <w:r w:rsidR="00B6262E" w:rsidRPr="00B6262E">
        <w:rPr>
          <w:rFonts w:ascii="Arial" w:hAnsi="Arial" w:cs="Arial"/>
          <w:i/>
          <w:iCs/>
          <w:sz w:val="22"/>
          <w:szCs w:val="22"/>
          <w:lang w:val="en-US"/>
        </w:rPr>
        <w:t>upper</w:t>
      </w:r>
      <w:r w:rsidR="00B6262E">
        <w:rPr>
          <w:rFonts w:ascii="Arial" w:hAnsi="Arial" w:cs="Arial"/>
          <w:sz w:val="22"/>
          <w:szCs w:val="22"/>
          <w:lang w:val="en-US"/>
        </w:rPr>
        <w:t xml:space="preserve"> part)</w:t>
      </w:r>
      <w:r w:rsidR="00B6262E" w:rsidRPr="00B6262E">
        <w:rPr>
          <w:rFonts w:ascii="Arial" w:hAnsi="Arial" w:cs="Arial"/>
          <w:sz w:val="22"/>
          <w:szCs w:val="22"/>
          <w:lang w:val="en-US"/>
        </w:rPr>
        <w:t xml:space="preserve"> and donor chimerism</w:t>
      </w:r>
      <w:r w:rsidR="00B6262E">
        <w:rPr>
          <w:rFonts w:ascii="Arial" w:hAnsi="Arial" w:cs="Arial"/>
          <w:sz w:val="22"/>
          <w:szCs w:val="22"/>
          <w:lang w:val="en-US"/>
        </w:rPr>
        <w:t xml:space="preserve"> (</w:t>
      </w:r>
      <w:r w:rsidR="00B6262E" w:rsidRPr="00B6262E">
        <w:rPr>
          <w:rFonts w:ascii="Arial" w:hAnsi="Arial" w:cs="Arial"/>
          <w:i/>
          <w:iCs/>
          <w:sz w:val="22"/>
          <w:szCs w:val="22"/>
          <w:lang w:val="en-US"/>
        </w:rPr>
        <w:t>lower</w:t>
      </w:r>
      <w:r w:rsidR="00B6262E">
        <w:rPr>
          <w:rFonts w:ascii="Arial" w:hAnsi="Arial" w:cs="Arial"/>
          <w:sz w:val="22"/>
          <w:szCs w:val="22"/>
          <w:lang w:val="en-US"/>
        </w:rPr>
        <w:t xml:space="preserve"> part)</w:t>
      </w:r>
      <w:r w:rsidR="00B6262E" w:rsidRPr="00B6262E">
        <w:rPr>
          <w:rFonts w:ascii="Arial" w:hAnsi="Arial" w:cs="Arial"/>
          <w:sz w:val="22"/>
          <w:szCs w:val="22"/>
          <w:lang w:val="en-US"/>
        </w:rPr>
        <w:t xml:space="preserve"> </w:t>
      </w:r>
      <w:r w:rsidR="00B6262E">
        <w:rPr>
          <w:rFonts w:ascii="Arial" w:hAnsi="Arial" w:cs="Arial"/>
          <w:sz w:val="22"/>
          <w:szCs w:val="22"/>
          <w:lang w:val="en-US"/>
        </w:rPr>
        <w:t>are shown</w:t>
      </w:r>
      <w:r w:rsidR="00B6262E" w:rsidRPr="00B6262E">
        <w:rPr>
          <w:rFonts w:ascii="Arial" w:hAnsi="Arial" w:cs="Arial"/>
          <w:sz w:val="22"/>
          <w:szCs w:val="22"/>
          <w:lang w:val="en-US"/>
        </w:rPr>
        <w:t xml:space="preserve">. </w:t>
      </w:r>
      <w:r w:rsidR="00B6262E">
        <w:rPr>
          <w:rFonts w:ascii="Arial" w:hAnsi="Arial" w:cs="Arial"/>
          <w:sz w:val="22"/>
          <w:szCs w:val="22"/>
          <w:lang w:val="en-US"/>
        </w:rPr>
        <w:t>Two</w:t>
      </w:r>
      <w:r w:rsidR="00B6262E" w:rsidRPr="00B6262E">
        <w:rPr>
          <w:rFonts w:ascii="Arial" w:hAnsi="Arial" w:cs="Arial"/>
          <w:sz w:val="22"/>
          <w:szCs w:val="22"/>
          <w:lang w:val="en-US"/>
        </w:rPr>
        <w:t>-way ANOVA test. All</w:t>
      </w:r>
      <w:r w:rsidR="00B6262E">
        <w:rPr>
          <w:rFonts w:ascii="Arial" w:hAnsi="Arial" w:cs="Arial"/>
          <w:sz w:val="22"/>
          <w:szCs w:val="22"/>
          <w:lang w:val="en-US"/>
        </w:rPr>
        <w:t xml:space="preserve"> </w:t>
      </w:r>
      <w:r w:rsidR="00B6262E" w:rsidRPr="00B6262E">
        <w:rPr>
          <w:rFonts w:ascii="Arial" w:hAnsi="Arial" w:cs="Arial"/>
          <w:sz w:val="22"/>
          <w:szCs w:val="22"/>
          <w:lang w:val="en-US"/>
        </w:rPr>
        <w:t xml:space="preserve">data shown are mean ± SEM. </w:t>
      </w:r>
      <w:r w:rsidR="00B6262E" w:rsidRPr="00B6262E">
        <w:rPr>
          <w:rFonts w:ascii="Cambria Math" w:hAnsi="Cambria Math" w:cs="Cambria Math"/>
          <w:sz w:val="22"/>
          <w:szCs w:val="22"/>
          <w:lang w:val="en-US"/>
        </w:rPr>
        <w:t>∗</w:t>
      </w:r>
      <w:r w:rsidR="00B6262E" w:rsidRPr="00B6262E">
        <w:rPr>
          <w:rFonts w:ascii="Arial" w:hAnsi="Arial" w:cs="Arial"/>
          <w:sz w:val="22"/>
          <w:szCs w:val="22"/>
          <w:lang w:val="en-US"/>
        </w:rPr>
        <w:t xml:space="preserve">p &lt;0.05; </w:t>
      </w:r>
      <w:r w:rsidR="00B6262E" w:rsidRPr="00B6262E">
        <w:rPr>
          <w:rFonts w:ascii="Cambria Math" w:hAnsi="Cambria Math" w:cs="Cambria Math"/>
          <w:sz w:val="22"/>
          <w:szCs w:val="22"/>
          <w:lang w:val="en-US"/>
        </w:rPr>
        <w:t>∗∗∗</w:t>
      </w:r>
      <w:r w:rsidR="00B6262E" w:rsidRPr="00B6262E">
        <w:rPr>
          <w:rFonts w:ascii="Arial" w:hAnsi="Arial" w:cs="Arial"/>
          <w:sz w:val="22"/>
          <w:szCs w:val="22"/>
          <w:lang w:val="en-US"/>
        </w:rPr>
        <w:t xml:space="preserve">p &lt; </w:t>
      </w:r>
      <w:proofErr w:type="gramStart"/>
      <w:r w:rsidR="00B6262E" w:rsidRPr="00B6262E">
        <w:rPr>
          <w:rFonts w:ascii="Arial" w:hAnsi="Arial" w:cs="Arial"/>
          <w:sz w:val="22"/>
          <w:szCs w:val="22"/>
          <w:lang w:val="en-US"/>
        </w:rPr>
        <w:t>0.001;</w:t>
      </w:r>
      <w:r w:rsidR="00B6262E" w:rsidRPr="00B6262E">
        <w:rPr>
          <w:rFonts w:ascii="Cambria Math" w:hAnsi="Cambria Math" w:cs="Cambria Math"/>
          <w:sz w:val="22"/>
          <w:szCs w:val="22"/>
          <w:lang w:val="en-US"/>
        </w:rPr>
        <w:t>∗</w:t>
      </w:r>
      <w:proofErr w:type="gramEnd"/>
      <w:r w:rsidR="00B6262E" w:rsidRPr="00B6262E">
        <w:rPr>
          <w:rFonts w:ascii="Cambria Math" w:hAnsi="Cambria Math" w:cs="Cambria Math"/>
          <w:sz w:val="22"/>
          <w:szCs w:val="22"/>
          <w:lang w:val="en-US"/>
        </w:rPr>
        <w:t>∗∗∗</w:t>
      </w:r>
      <w:r w:rsidR="00B6262E" w:rsidRPr="00B6262E">
        <w:rPr>
          <w:rFonts w:ascii="Arial" w:hAnsi="Arial" w:cs="Arial"/>
          <w:sz w:val="22"/>
          <w:szCs w:val="22"/>
          <w:lang w:val="en-US"/>
        </w:rPr>
        <w:t>p &lt; 0.0001.</w:t>
      </w:r>
    </w:p>
    <w:p w14:paraId="75259BD7" w14:textId="77777777" w:rsidR="00907ED3" w:rsidRDefault="00907ED3" w:rsidP="00605651">
      <w:pPr>
        <w:spacing w:line="360" w:lineRule="auto"/>
        <w:jc w:val="both"/>
        <w:rPr>
          <w:rFonts w:ascii="Arial" w:hAnsi="Arial" w:cs="Arial"/>
          <w:sz w:val="22"/>
          <w:szCs w:val="22"/>
          <w:lang w:val="en-US"/>
        </w:rPr>
      </w:pPr>
    </w:p>
    <w:p w14:paraId="3ED878B2" w14:textId="77777777" w:rsidR="00744C3B" w:rsidRPr="00744C3B" w:rsidRDefault="00744C3B" w:rsidP="00605651">
      <w:pPr>
        <w:spacing w:line="360" w:lineRule="auto"/>
        <w:jc w:val="both"/>
        <w:rPr>
          <w:rFonts w:ascii="Arial" w:eastAsiaTheme="majorEastAsia" w:hAnsi="Arial" w:cs="Arial"/>
          <w:b/>
          <w:color w:val="000000" w:themeColor="text1"/>
          <w:szCs w:val="32"/>
          <w:lang w:val="en-US"/>
        </w:rPr>
      </w:pPr>
      <w:r w:rsidRPr="00744C3B">
        <w:rPr>
          <w:rFonts w:ascii="Arial" w:eastAsiaTheme="majorEastAsia" w:hAnsi="Arial" w:cs="Arial"/>
          <w:b/>
          <w:color w:val="000000" w:themeColor="text1"/>
          <w:szCs w:val="32"/>
          <w:lang w:val="en-US"/>
        </w:rPr>
        <w:t>JAK2 and IFN signaling drives expansion of CD41</w:t>
      </w:r>
      <w:r w:rsidRPr="00CC163C">
        <w:rPr>
          <w:rFonts w:ascii="Arial" w:eastAsiaTheme="majorEastAsia" w:hAnsi="Arial" w:cs="Arial"/>
          <w:b/>
          <w:color w:val="000000" w:themeColor="text1"/>
          <w:szCs w:val="32"/>
          <w:vertAlign w:val="superscript"/>
          <w:lang w:val="en-US"/>
        </w:rPr>
        <w:t>hi</w:t>
      </w:r>
      <w:r w:rsidRPr="00744C3B">
        <w:rPr>
          <w:rFonts w:ascii="Arial" w:eastAsiaTheme="majorEastAsia" w:hAnsi="Arial" w:cs="Arial"/>
          <w:b/>
          <w:color w:val="000000" w:themeColor="text1"/>
          <w:szCs w:val="32"/>
          <w:lang w:val="en-US"/>
        </w:rPr>
        <w:t xml:space="preserve"> HSCs in MPN mouse model</w:t>
      </w:r>
    </w:p>
    <w:p w14:paraId="119B2C98" w14:textId="77777777" w:rsidR="005A478D" w:rsidRDefault="005A478D" w:rsidP="005A478D">
      <w:pPr>
        <w:spacing w:line="360" w:lineRule="auto"/>
        <w:jc w:val="both"/>
        <w:rPr>
          <w:rFonts w:ascii="Arial" w:hAnsi="Arial" w:cs="Arial"/>
          <w:sz w:val="22"/>
          <w:szCs w:val="22"/>
          <w:lang w:val="en-US"/>
        </w:rPr>
      </w:pPr>
    </w:p>
    <w:p w14:paraId="090A743A" w14:textId="77777777" w:rsidR="005A478D" w:rsidRDefault="005A478D" w:rsidP="00F120DD">
      <w:pPr>
        <w:spacing w:line="360" w:lineRule="auto"/>
        <w:ind w:firstLine="708"/>
        <w:jc w:val="both"/>
        <w:rPr>
          <w:rFonts w:ascii="Arial" w:hAnsi="Arial" w:cs="Arial"/>
          <w:sz w:val="22"/>
          <w:szCs w:val="22"/>
          <w:lang w:val="en-US"/>
        </w:rPr>
      </w:pPr>
      <w:r w:rsidRPr="005A478D">
        <w:rPr>
          <w:rFonts w:ascii="Arial" w:hAnsi="Arial" w:cs="Arial"/>
          <w:sz w:val="22"/>
          <w:szCs w:val="22"/>
          <w:lang w:val="en-US"/>
        </w:rPr>
        <w:t xml:space="preserve">To </w:t>
      </w:r>
      <w:r>
        <w:rPr>
          <w:rFonts w:ascii="Arial" w:hAnsi="Arial" w:cs="Arial"/>
          <w:sz w:val="22"/>
          <w:szCs w:val="22"/>
          <w:lang w:val="en-US"/>
        </w:rPr>
        <w:t>investigate the role of</w:t>
      </w:r>
      <w:r w:rsidR="001E24CE">
        <w:rPr>
          <w:rFonts w:ascii="Arial" w:hAnsi="Arial" w:cs="Arial"/>
          <w:sz w:val="22"/>
          <w:szCs w:val="22"/>
          <w:lang w:val="en-US"/>
        </w:rPr>
        <w:t xml:space="preserve"> short-term and chronic</w:t>
      </w:r>
      <w:r>
        <w:rPr>
          <w:rFonts w:ascii="Arial" w:hAnsi="Arial" w:cs="Arial"/>
          <w:sz w:val="22"/>
          <w:szCs w:val="22"/>
          <w:lang w:val="en-US"/>
        </w:rPr>
        <w:t xml:space="preserve"> </w:t>
      </w:r>
      <w:r w:rsidRPr="005A478D">
        <w:rPr>
          <w:rFonts w:ascii="Arial" w:hAnsi="Arial" w:cs="Arial"/>
          <w:sz w:val="22"/>
          <w:szCs w:val="22"/>
          <w:lang w:val="en-US"/>
        </w:rPr>
        <w:t>IFN</w:t>
      </w:r>
      <w:r w:rsidR="001E7069">
        <w:rPr>
          <w:rFonts w:ascii="Arial" w:hAnsi="Arial" w:cs="Arial"/>
          <w:sz w:val="22"/>
          <w:szCs w:val="22"/>
          <w:lang w:val="en-US"/>
        </w:rPr>
        <w:t xml:space="preserve"> signaling</w:t>
      </w:r>
      <w:r w:rsidRPr="005A478D">
        <w:rPr>
          <w:rFonts w:ascii="Arial" w:hAnsi="Arial" w:cs="Arial"/>
          <w:sz w:val="22"/>
          <w:szCs w:val="22"/>
          <w:lang w:val="en-US"/>
        </w:rPr>
        <w:t xml:space="preserve"> on CD41 subsets of HSCs </w:t>
      </w:r>
      <w:r w:rsidRPr="005A478D">
        <w:rPr>
          <w:rFonts w:ascii="Arial" w:hAnsi="Arial" w:cs="Arial"/>
          <w:i/>
          <w:iCs/>
          <w:sz w:val="22"/>
          <w:szCs w:val="22"/>
          <w:lang w:val="en-US"/>
        </w:rPr>
        <w:t>in vivo</w:t>
      </w:r>
      <w:r w:rsidRPr="005A478D">
        <w:rPr>
          <w:rFonts w:ascii="Arial" w:hAnsi="Arial" w:cs="Arial"/>
          <w:sz w:val="22"/>
          <w:szCs w:val="22"/>
          <w:lang w:val="en-US"/>
        </w:rPr>
        <w:t xml:space="preserve">, we treated </w:t>
      </w:r>
      <w:r w:rsidRPr="001E7069">
        <w:rPr>
          <w:rFonts w:ascii="Arial" w:hAnsi="Arial" w:cs="Arial"/>
          <w:i/>
          <w:iCs/>
          <w:sz w:val="22"/>
          <w:szCs w:val="22"/>
          <w:lang w:val="en-US"/>
        </w:rPr>
        <w:t>VF</w:t>
      </w:r>
      <w:r w:rsidRPr="005A478D">
        <w:rPr>
          <w:rFonts w:ascii="Arial" w:hAnsi="Arial" w:cs="Arial"/>
          <w:sz w:val="22"/>
          <w:szCs w:val="22"/>
          <w:lang w:val="en-US"/>
        </w:rPr>
        <w:t xml:space="preserve"> and</w:t>
      </w:r>
      <w:r w:rsidR="001E7069">
        <w:rPr>
          <w:rFonts w:ascii="Arial" w:hAnsi="Arial" w:cs="Arial"/>
          <w:sz w:val="22"/>
          <w:szCs w:val="22"/>
          <w:lang w:val="en-US"/>
        </w:rPr>
        <w:t xml:space="preserve"> </w:t>
      </w:r>
      <w:r w:rsidR="001E7069" w:rsidRPr="001E7069">
        <w:rPr>
          <w:rFonts w:ascii="Arial" w:hAnsi="Arial" w:cs="Arial"/>
          <w:i/>
          <w:iCs/>
          <w:sz w:val="22"/>
          <w:szCs w:val="22"/>
          <w:lang w:val="en-US"/>
        </w:rPr>
        <w:t>WT</w:t>
      </w:r>
      <w:r w:rsidRPr="005A478D">
        <w:rPr>
          <w:rFonts w:ascii="Arial" w:hAnsi="Arial" w:cs="Arial"/>
          <w:sz w:val="22"/>
          <w:szCs w:val="22"/>
          <w:lang w:val="en-US"/>
        </w:rPr>
        <w:t xml:space="preserve"> mice </w:t>
      </w:r>
      <w:r w:rsidR="001E24CE">
        <w:rPr>
          <w:rFonts w:ascii="Arial" w:hAnsi="Arial" w:cs="Arial"/>
          <w:sz w:val="22"/>
          <w:szCs w:val="22"/>
          <w:lang w:val="en-US"/>
        </w:rPr>
        <w:t xml:space="preserve">either </w:t>
      </w:r>
      <w:r w:rsidRPr="005A478D">
        <w:rPr>
          <w:rFonts w:ascii="Arial" w:hAnsi="Arial" w:cs="Arial"/>
          <w:sz w:val="22"/>
          <w:szCs w:val="22"/>
          <w:lang w:val="en-US"/>
        </w:rPr>
        <w:t>with</w:t>
      </w:r>
      <w:r w:rsidR="001E7069">
        <w:rPr>
          <w:rFonts w:ascii="Arial" w:hAnsi="Arial" w:cs="Arial"/>
          <w:sz w:val="22"/>
          <w:szCs w:val="22"/>
          <w:lang w:val="en-US"/>
        </w:rPr>
        <w:t xml:space="preserve"> </w:t>
      </w:r>
      <w:proofErr w:type="spellStart"/>
      <w:r w:rsidRPr="005A478D">
        <w:rPr>
          <w:rFonts w:ascii="Arial" w:hAnsi="Arial" w:cs="Arial"/>
          <w:sz w:val="22"/>
          <w:szCs w:val="22"/>
          <w:lang w:val="en-US"/>
        </w:rPr>
        <w:t>pIpC</w:t>
      </w:r>
      <w:proofErr w:type="spellEnd"/>
      <w:r w:rsidRPr="005A478D">
        <w:rPr>
          <w:rFonts w:ascii="Arial" w:hAnsi="Arial" w:cs="Arial"/>
          <w:sz w:val="22"/>
          <w:szCs w:val="22"/>
          <w:lang w:val="en-US"/>
        </w:rPr>
        <w:t>, an IFN-inducing agent</w:t>
      </w:r>
      <w:r w:rsidR="001E7069">
        <w:rPr>
          <w:rFonts w:ascii="Arial" w:hAnsi="Arial" w:cs="Arial"/>
          <w:sz w:val="22"/>
          <w:szCs w:val="22"/>
          <w:lang w:val="en-US"/>
        </w:rPr>
        <w:t xml:space="preserve"> </w:t>
      </w:r>
      <w:r w:rsidR="001E7069">
        <w:rPr>
          <w:rFonts w:ascii="Arial" w:hAnsi="Arial" w:cs="Arial"/>
          <w:sz w:val="22"/>
          <w:szCs w:val="22"/>
          <w:lang w:val="en-US"/>
        </w:rPr>
        <w:lastRenderedPageBreak/>
        <w:fldChar w:fldCharType="begin"/>
      </w:r>
      <w:r w:rsidR="001E7069">
        <w:rPr>
          <w:rFonts w:ascii="Arial" w:hAnsi="Arial" w:cs="Arial"/>
          <w:sz w:val="22"/>
          <w:szCs w:val="22"/>
          <w:lang w:val="en-US"/>
        </w:rPr>
        <w:instrText xml:space="preserve"> ADDIN ZOTERO_ITEM CSL_CITATION {"citationID":"seLa0LyG","properties":{"formattedCitation":"(Baldridge et al., 2010; Essers et al., 2009; Pietras et al., 2014)","plainCitation":"(Baldridge et al., 2010; Essers et al., 2009; Pietras et al., 2014)","noteIndex":0},"citationItems":[{"id":1471,"uris":["http://zotero.org/users/2484452/items/MS27P2NJ"],"uri":["http://zotero.org/users/2484452/items/MS27P2NJ"],"itemData":{"id":1471,"type":"article-journal","abstract":"Lymphocytes and neutrophils are rapidly depleted by systemic infection. Progenitor cells of the hematopoietic system, such as common myeloid progenitors (CMPs) and common lymphoid progenitors (CLPs), increase the production of immune cells to restore and maintain homeostasis during chronic infection, but the contribution of hematopoietic stem cells (HSCs) to this process is largely unknown. Using an in vivo mouse model of Mycobacterium avium infection, we show that an increased proportion of long-term repopulating HSCs (LT-HSCs) proliferate during M. avium infection, and that this response requires interferon-gamma (IFNγ) but not interferon-alpha (IFNα) signaling. Thus, the hematopoietic response to chronic bacterial infection involves the activation not only of intermediate blood progenitors but of LT-HSCs as well. IFNγ is sufficient to promote LT-HSC proliferation in vivo; furthermore, HSCs from mice deficient in IFNγ have a lower proliferative rate, indicating that baseline IFNγ tone regulates HSC activity. These findings are the first to implicate IFNγ both as a regulator of HSCs during homeostasis and under conditions of infectious stress. Our studies contribute to a deeper understanding of hematologic responses in patients with chronic infections such as HIV/AIDS or tuberculosis-.","container-title":"Nature","DOI":"10.1038/nature09135","ISSN":"0028-0836","issue":"7299","journalAbbreviation":"Nature","note":"PMID: 20535209\nPMCID: PMC2935898","page":"793-797","source":"PubMed Central","title":"Quiescent hematopoietic stem cells are activated by IFNγ in response to chronic infection","volume":"465","author":[{"family":"Baldridge","given":"Megan T."},{"family":"King","given":"Katherine Y."},{"family":"Boles","given":"Nathan C."},{"family":"Weksberg","given":"David C."},{"family":"Goodell","given":"Margaret A."}],"issued":{"date-parts":[["2010",6,10]]}}},{"id":1475,"uris":["http://zotero.org/users/2484452/items/GHFJVZA7"],"uri":["http://zotero.org/users/2484452/items/GHFJVZA7"],"itemData":{"id":1475,"type":"article-journal","abstract":"Maintenance of the blood system is dependent on dormant haematopoietic stem cells (HSCs) with long-term self-renewal capacity. After injury these cells are induced to proliferate to quickly re-establish homeostasis. The signalling molecules promoting the exit of HSCs out of the dormant stage remain largely unknown. Here we show that in response to treatment of mice with interferon-alpha (IFNalpha), HSCs efficiently exit G(0) and enter an active cell cycle. HSCs respond to IFNalpha treatment by the increased phosphorylation of STAT1 and PKB/Akt (also known as AKT1), the expression of IFNalpha target genes, and the upregulation of stem cell antigen-1 (Sca-1, also known as LY6A). HSCs lacking the IFNalpha/beta receptor (IFNAR), STAT1 (ref. 3) or Sca-1 (ref. 4) are insensitive to IFNalpha stimulation, demonstrating that STAT1 and Sca-1 mediate IFNalpha-induced HSC proliferation. Although dormant HSCs are resistant to the anti-proliferative chemotherapeutic agent 5-fluoro-uracil, HSCs pre-treated (primed) with IFNalpha and thus induced to proliferate are efficiently eliminated by 5-fluoro-uracil exposure in vivo. Conversely, HSCs chronically activated by IFNalpha are functionally compromised and are rapidly out-competed by non-activatable Ifnar(-/-) cells in competitive repopulation assays. Whereas chronic activation of the IFNalpha pathway in HSCs impairs their function, acute IFNalpha treatment promotes the proliferation of dormant HSCs in vivo. These data may help to clarify the so far unexplained clinical effects of IFNalpha on leukaemic cells, and raise the possibility for new applications of type I interferons to target cancer stem cells.","container-title":"Nature","DOI":"10.1038/nature07815","ISSN":"1476-4687","issue":"7240","journalAbbreviation":"Nature","language":"eng","note":"PMID: 19212321","page":"904-908","source":"PubMed","title":"IFNalpha activates dormant haematopoietic stem cells in vivo","volume":"458","author":[{"family":"Essers","given":"Marieke A. G."},{"family":"Offner","given":"Sandra"},{"family":"Blanco-Bose","given":"William E."},{"family":"Waibler","given":"Zoe"},{"family":"Kalinke","given":"Ulrich"},{"family":"Duchosal","given":"Michel A."},{"family":"Trumpp","given":"Andreas"}],"issued":{"date-parts":[["2009",4,16]]}}},{"id":1469,"uris":["http://zotero.org/users/2484452/items/CYYIM37D"],"uri":["http://zotero.org/users/2484452/items/CYYIM37D"],"itemData":{"id":1469,"type":"article-journal","abstract":"Quiescence acts as a safeguard mechanism to ensure survival of the HSC pool during chronic IFN-1 exposure, Type I interferons (IFN-1s) are antiviral cytokines that suppress blood production while paradoxically inducing hematopoietic stem cell (HSC) proliferation. Here, we clarify the relationship between the proliferative and suppressive effects of IFN-1s on HSC function during acute and chronic IFN-1 exposure. We show that IFN-1–driven HSC proliferation is a transient event resulting from a brief relaxation of quiescence-enforcing mechanisms in response to acute IFN-1 exposure, which occurs exclusively in vivo. We find that this proliferative burst fails to exhaust the HSC pool, which rapidly returns to quiescence in response to chronic IFN-1 exposure. Moreover, we demonstrate that IFN-1–exposed HSCs with reestablished quiescence are largely protected from the killing effects of IFNs unless forced back into the cell cycle due to culture, transplantation, or myeloablative treatment, at which point they activate a p53-dependent proapoptotic gene program. Collectively, our results demonstrate that quiescence acts as a safeguard mechanism to ensure survival of the HSC pool during chronic IFN-1 exposure. We show that IFN-1s can poise HSCs for apoptosis but induce direct cell killing only upon active proliferation, thereby establishing a mechanism for the suppressive effects of IFN-1s on HSC function.","container-title":"The Journal of Experimental Medicine","DOI":"10.1084/jem.20131043","ISSN":"0022-1007","issue":"2","journalAbbreviation":"J Exp Med","note":"PMID: 24493802\nPMCID: PMC3920566","page":"245-262","source":"PubMed Central","title":"Re-entry into quiescence protects hematopoietic stem cells from the killing effect of chronic exposure to type I interferons","volume":"211","author":[{"family":"Pietras","given":"Eric M."},{"family":"Lakshminarasimhan","given":"Ranjani"},{"family":"Techner","given":"Jose-Marc"},{"family":"Fong","given":"Sarah"},{"family":"Flach","given":"Johanna"},{"family":"Binnewies","given":"Mikhail"},{"family":"Passegué","given":"Emmanuelle"}],"issued":{"date-parts":[["2014",2,10]]}}}],"schema":"https://github.com/citation-style-language/schema/raw/master/csl-citation.json"} </w:instrText>
      </w:r>
      <w:r w:rsidR="001E7069">
        <w:rPr>
          <w:rFonts w:ascii="Arial" w:hAnsi="Arial" w:cs="Arial"/>
          <w:sz w:val="22"/>
          <w:szCs w:val="22"/>
          <w:lang w:val="en-US"/>
        </w:rPr>
        <w:fldChar w:fldCharType="separate"/>
      </w:r>
      <w:r w:rsidR="001E7069">
        <w:rPr>
          <w:rFonts w:ascii="Arial" w:hAnsi="Arial" w:cs="Arial"/>
          <w:noProof/>
          <w:sz w:val="22"/>
          <w:szCs w:val="22"/>
          <w:lang w:val="en-US"/>
        </w:rPr>
        <w:t>(Baldridge et al., 2010; Essers et al., 2009; Pietras et al., 2014)</w:t>
      </w:r>
      <w:r w:rsidR="001E7069">
        <w:rPr>
          <w:rFonts w:ascii="Arial" w:hAnsi="Arial" w:cs="Arial"/>
          <w:sz w:val="22"/>
          <w:szCs w:val="22"/>
          <w:lang w:val="en-US"/>
        </w:rPr>
        <w:fldChar w:fldCharType="end"/>
      </w:r>
      <w:r w:rsidR="001E24CE">
        <w:rPr>
          <w:rFonts w:ascii="Arial" w:hAnsi="Arial" w:cs="Arial"/>
          <w:sz w:val="22"/>
          <w:szCs w:val="22"/>
          <w:lang w:val="en-US"/>
        </w:rPr>
        <w:t xml:space="preserve"> for 24 hours</w:t>
      </w:r>
      <w:r w:rsidR="00F120DD">
        <w:rPr>
          <w:rFonts w:ascii="Arial" w:hAnsi="Arial" w:cs="Arial"/>
          <w:sz w:val="22"/>
          <w:szCs w:val="22"/>
          <w:lang w:val="en-US"/>
        </w:rPr>
        <w:t xml:space="preserve"> (Figure </w:t>
      </w:r>
      <w:r w:rsidR="007F1F27">
        <w:rPr>
          <w:rFonts w:ascii="Arial" w:hAnsi="Arial" w:cs="Arial"/>
          <w:sz w:val="22"/>
          <w:szCs w:val="22"/>
          <w:lang w:val="en-US"/>
        </w:rPr>
        <w:t>31</w:t>
      </w:r>
      <w:r w:rsidR="00F120DD">
        <w:rPr>
          <w:rFonts w:ascii="Arial" w:hAnsi="Arial" w:cs="Arial"/>
          <w:sz w:val="22"/>
          <w:szCs w:val="22"/>
          <w:lang w:val="en-US"/>
        </w:rPr>
        <w:t>A)</w:t>
      </w:r>
      <w:r w:rsidR="001E24CE">
        <w:rPr>
          <w:rFonts w:ascii="Arial" w:hAnsi="Arial" w:cs="Arial"/>
          <w:sz w:val="22"/>
          <w:szCs w:val="22"/>
          <w:lang w:val="en-US"/>
        </w:rPr>
        <w:t xml:space="preserve"> or </w:t>
      </w:r>
      <w:proofErr w:type="spellStart"/>
      <w:r w:rsidR="001E24CE">
        <w:rPr>
          <w:rFonts w:ascii="Arial" w:hAnsi="Arial" w:cs="Arial"/>
          <w:sz w:val="22"/>
          <w:szCs w:val="22"/>
          <w:lang w:val="en-US"/>
        </w:rPr>
        <w:t>pegIFN</w:t>
      </w:r>
      <w:proofErr w:type="spellEnd"/>
      <w:r w:rsidR="001E24CE">
        <w:rPr>
          <w:rFonts w:ascii="Arial" w:hAnsi="Arial" w:cs="Arial"/>
          <w:sz w:val="22"/>
          <w:szCs w:val="22"/>
          <w:lang w:val="en-US"/>
        </w:rPr>
        <w:sym w:font="Symbol" w:char="F061"/>
      </w:r>
      <w:r w:rsidR="001E24CE">
        <w:rPr>
          <w:rFonts w:ascii="Arial" w:hAnsi="Arial" w:cs="Arial"/>
          <w:sz w:val="22"/>
          <w:szCs w:val="22"/>
          <w:lang w:val="en-US"/>
        </w:rPr>
        <w:t xml:space="preserve"> for 22 weeks</w:t>
      </w:r>
      <w:r w:rsidR="00F120DD">
        <w:rPr>
          <w:rFonts w:ascii="Arial" w:hAnsi="Arial" w:cs="Arial"/>
          <w:sz w:val="22"/>
          <w:szCs w:val="22"/>
          <w:lang w:val="en-US"/>
        </w:rPr>
        <w:t xml:space="preserve"> (Figure 3</w:t>
      </w:r>
      <w:r w:rsidR="007F1F27">
        <w:rPr>
          <w:rFonts w:ascii="Arial" w:hAnsi="Arial" w:cs="Arial"/>
          <w:sz w:val="22"/>
          <w:szCs w:val="22"/>
          <w:lang w:val="en-US"/>
        </w:rPr>
        <w:t>3</w:t>
      </w:r>
      <w:r w:rsidR="00F120DD">
        <w:rPr>
          <w:rFonts w:ascii="Arial" w:hAnsi="Arial" w:cs="Arial"/>
          <w:sz w:val="22"/>
          <w:szCs w:val="22"/>
          <w:lang w:val="en-US"/>
        </w:rPr>
        <w:t>).</w:t>
      </w:r>
    </w:p>
    <w:p w14:paraId="7119809A" w14:textId="77777777" w:rsidR="00744C3B" w:rsidRDefault="00F120DD" w:rsidP="00F120DD">
      <w:pPr>
        <w:spacing w:line="360" w:lineRule="auto"/>
        <w:jc w:val="both"/>
        <w:rPr>
          <w:rFonts w:ascii="Arial" w:hAnsi="Arial" w:cs="Arial"/>
          <w:sz w:val="22"/>
          <w:szCs w:val="22"/>
          <w:lang w:val="en-US"/>
        </w:rPr>
      </w:pPr>
      <w:r w:rsidRPr="00F120DD">
        <w:rPr>
          <w:rFonts w:ascii="Arial" w:hAnsi="Arial" w:cs="Arial"/>
          <w:i/>
          <w:iCs/>
          <w:sz w:val="22"/>
          <w:szCs w:val="22"/>
          <w:lang w:val="en-US"/>
        </w:rPr>
        <w:t>VF</w:t>
      </w:r>
      <w:r>
        <w:rPr>
          <w:rFonts w:ascii="Arial" w:hAnsi="Arial" w:cs="Arial"/>
          <w:sz w:val="22"/>
          <w:szCs w:val="22"/>
          <w:lang w:val="en-US"/>
        </w:rPr>
        <w:t xml:space="preserve"> and </w:t>
      </w:r>
      <w:r w:rsidRPr="00F120DD">
        <w:rPr>
          <w:rFonts w:ascii="Arial" w:hAnsi="Arial" w:cs="Arial"/>
          <w:i/>
          <w:iCs/>
          <w:sz w:val="22"/>
          <w:szCs w:val="22"/>
          <w:lang w:val="en-US"/>
        </w:rPr>
        <w:t>WT</w:t>
      </w:r>
      <w:r>
        <w:rPr>
          <w:rFonts w:ascii="Arial" w:hAnsi="Arial" w:cs="Arial"/>
          <w:sz w:val="22"/>
          <w:szCs w:val="22"/>
          <w:lang w:val="en-US"/>
        </w:rPr>
        <w:t xml:space="preserve"> mice treated with single injection</w:t>
      </w:r>
      <w:r w:rsidR="005A478D" w:rsidRPr="005A478D">
        <w:rPr>
          <w:rFonts w:ascii="Arial" w:hAnsi="Arial" w:cs="Arial"/>
          <w:sz w:val="22"/>
          <w:szCs w:val="22"/>
          <w:lang w:val="en-US"/>
        </w:rPr>
        <w:t xml:space="preserve"> of </w:t>
      </w:r>
      <w:proofErr w:type="spellStart"/>
      <w:r w:rsidR="005A478D" w:rsidRPr="005A478D">
        <w:rPr>
          <w:rFonts w:ascii="Arial" w:hAnsi="Arial" w:cs="Arial"/>
          <w:sz w:val="22"/>
          <w:szCs w:val="22"/>
          <w:lang w:val="en-US"/>
        </w:rPr>
        <w:t>pIpC</w:t>
      </w:r>
      <w:proofErr w:type="spellEnd"/>
      <w:r>
        <w:rPr>
          <w:rFonts w:ascii="Arial" w:hAnsi="Arial" w:cs="Arial"/>
          <w:sz w:val="22"/>
          <w:szCs w:val="22"/>
          <w:lang w:val="en-US"/>
        </w:rPr>
        <w:t xml:space="preserve"> for 24 hours</w:t>
      </w:r>
      <w:r w:rsidR="005A478D">
        <w:rPr>
          <w:rFonts w:ascii="Arial" w:hAnsi="Arial" w:cs="Arial"/>
          <w:sz w:val="22"/>
          <w:szCs w:val="22"/>
          <w:lang w:val="en-US"/>
        </w:rPr>
        <w:t xml:space="preserve"> </w:t>
      </w:r>
      <w:r w:rsidR="005A478D" w:rsidRPr="005A478D">
        <w:rPr>
          <w:rFonts w:ascii="Arial" w:hAnsi="Arial" w:cs="Arial"/>
          <w:sz w:val="22"/>
          <w:szCs w:val="22"/>
          <w:lang w:val="en-US"/>
        </w:rPr>
        <w:t xml:space="preserve">significantly increased </w:t>
      </w:r>
      <w:r>
        <w:rPr>
          <w:rFonts w:ascii="Arial" w:hAnsi="Arial" w:cs="Arial"/>
          <w:sz w:val="22"/>
          <w:szCs w:val="22"/>
          <w:lang w:val="en-US"/>
        </w:rPr>
        <w:t>percentages</w:t>
      </w:r>
      <w:r w:rsidR="005A478D" w:rsidRPr="005A478D">
        <w:rPr>
          <w:rFonts w:ascii="Arial" w:hAnsi="Arial" w:cs="Arial"/>
          <w:sz w:val="22"/>
          <w:szCs w:val="22"/>
          <w:lang w:val="en-US"/>
        </w:rPr>
        <w:t xml:space="preserve"> of CD41</w:t>
      </w:r>
      <w:r w:rsidR="005A478D" w:rsidRPr="00F120DD">
        <w:rPr>
          <w:rFonts w:ascii="Arial" w:hAnsi="Arial" w:cs="Arial"/>
          <w:sz w:val="22"/>
          <w:szCs w:val="22"/>
          <w:vertAlign w:val="superscript"/>
          <w:lang w:val="en-US"/>
        </w:rPr>
        <w:t xml:space="preserve">hi </w:t>
      </w:r>
      <w:r w:rsidR="005A478D" w:rsidRPr="005A478D">
        <w:rPr>
          <w:rFonts w:ascii="Arial" w:hAnsi="Arial" w:cs="Arial"/>
          <w:sz w:val="22"/>
          <w:szCs w:val="22"/>
          <w:lang w:val="en-US"/>
        </w:rPr>
        <w:t xml:space="preserve">HSCs within </w:t>
      </w:r>
      <w:r>
        <w:rPr>
          <w:rFonts w:ascii="Arial" w:hAnsi="Arial" w:cs="Arial"/>
          <w:sz w:val="22"/>
          <w:szCs w:val="22"/>
          <w:lang w:val="en-US"/>
        </w:rPr>
        <w:t>the pool of HSCs</w:t>
      </w:r>
      <w:r w:rsidR="005A478D" w:rsidRPr="005A478D">
        <w:rPr>
          <w:rFonts w:ascii="Arial" w:hAnsi="Arial" w:cs="Arial"/>
          <w:sz w:val="22"/>
          <w:szCs w:val="22"/>
          <w:lang w:val="en-US"/>
        </w:rPr>
        <w:t xml:space="preserve"> (</w:t>
      </w:r>
      <w:r>
        <w:rPr>
          <w:rFonts w:ascii="Arial" w:hAnsi="Arial" w:cs="Arial"/>
          <w:sz w:val="22"/>
          <w:szCs w:val="22"/>
          <w:lang w:val="en-US"/>
        </w:rPr>
        <w:t>Figure 3</w:t>
      </w:r>
      <w:r w:rsidR="007F1F27">
        <w:rPr>
          <w:rFonts w:ascii="Arial" w:hAnsi="Arial" w:cs="Arial"/>
          <w:sz w:val="22"/>
          <w:szCs w:val="22"/>
          <w:lang w:val="en-US"/>
        </w:rPr>
        <w:t>1</w:t>
      </w:r>
      <w:r>
        <w:rPr>
          <w:rFonts w:ascii="Arial" w:hAnsi="Arial" w:cs="Arial"/>
          <w:sz w:val="22"/>
          <w:szCs w:val="22"/>
          <w:lang w:val="en-US"/>
        </w:rPr>
        <w:t>B</w:t>
      </w:r>
      <w:r w:rsidR="005A478D" w:rsidRPr="005A478D">
        <w:rPr>
          <w:rFonts w:ascii="Arial" w:hAnsi="Arial" w:cs="Arial"/>
          <w:sz w:val="22"/>
          <w:szCs w:val="22"/>
          <w:lang w:val="en-US"/>
        </w:rPr>
        <w:t xml:space="preserve">). </w:t>
      </w:r>
      <w:r w:rsidR="001D0420">
        <w:rPr>
          <w:rFonts w:ascii="Arial" w:hAnsi="Arial" w:cs="Arial"/>
          <w:sz w:val="22"/>
          <w:szCs w:val="22"/>
          <w:lang w:val="en-US"/>
        </w:rPr>
        <w:t>Consistently</w:t>
      </w:r>
      <w:r>
        <w:rPr>
          <w:rFonts w:ascii="Arial" w:hAnsi="Arial" w:cs="Arial"/>
          <w:sz w:val="22"/>
          <w:szCs w:val="22"/>
          <w:lang w:val="en-US"/>
        </w:rPr>
        <w:t xml:space="preserve"> with previous data</w:t>
      </w:r>
      <w:r w:rsidR="005A478D" w:rsidRPr="005A478D">
        <w:rPr>
          <w:rFonts w:ascii="Arial" w:hAnsi="Arial" w:cs="Arial"/>
          <w:sz w:val="22"/>
          <w:szCs w:val="22"/>
          <w:lang w:val="en-US"/>
        </w:rPr>
        <w:t xml:space="preserve">, </w:t>
      </w:r>
      <w:proofErr w:type="spellStart"/>
      <w:r w:rsidR="005A478D" w:rsidRPr="005A478D">
        <w:rPr>
          <w:rFonts w:ascii="Arial" w:hAnsi="Arial" w:cs="Arial"/>
          <w:sz w:val="22"/>
          <w:szCs w:val="22"/>
          <w:lang w:val="en-US"/>
        </w:rPr>
        <w:t>pIpC</w:t>
      </w:r>
      <w:proofErr w:type="spellEnd"/>
      <w:r w:rsidR="005A478D" w:rsidRPr="005A478D">
        <w:rPr>
          <w:rFonts w:ascii="Arial" w:hAnsi="Arial" w:cs="Arial"/>
          <w:sz w:val="22"/>
          <w:szCs w:val="22"/>
          <w:lang w:val="en-US"/>
        </w:rPr>
        <w:t xml:space="preserve"> treatment </w:t>
      </w:r>
      <w:r>
        <w:rPr>
          <w:rFonts w:ascii="Arial" w:hAnsi="Arial" w:cs="Arial"/>
          <w:sz w:val="22"/>
          <w:szCs w:val="22"/>
          <w:lang w:val="en-US"/>
        </w:rPr>
        <w:t xml:space="preserve">had converse effects on </w:t>
      </w:r>
      <w:proofErr w:type="spellStart"/>
      <w:r>
        <w:rPr>
          <w:rFonts w:ascii="Arial" w:hAnsi="Arial" w:cs="Arial"/>
          <w:sz w:val="22"/>
          <w:szCs w:val="22"/>
          <w:lang w:val="en-US"/>
        </w:rPr>
        <w:t>Epcr</w:t>
      </w:r>
      <w:proofErr w:type="spellEnd"/>
      <w:r>
        <w:rPr>
          <w:rFonts w:ascii="Arial" w:hAnsi="Arial" w:cs="Arial"/>
          <w:sz w:val="22"/>
          <w:szCs w:val="22"/>
          <w:lang w:val="en-US"/>
        </w:rPr>
        <w:t xml:space="preserve"> positivity within this pool,</w:t>
      </w:r>
      <w:r w:rsidR="005A478D" w:rsidRPr="005A478D">
        <w:rPr>
          <w:rFonts w:ascii="Arial" w:hAnsi="Arial" w:cs="Arial"/>
          <w:sz w:val="22"/>
          <w:szCs w:val="22"/>
          <w:lang w:val="en-US"/>
        </w:rPr>
        <w:t xml:space="preserve"> decreas</w:t>
      </w:r>
      <w:r>
        <w:rPr>
          <w:rFonts w:ascii="Arial" w:hAnsi="Arial" w:cs="Arial"/>
          <w:sz w:val="22"/>
          <w:szCs w:val="22"/>
          <w:lang w:val="en-US"/>
        </w:rPr>
        <w:t>ing</w:t>
      </w:r>
      <w:r w:rsidR="005A478D" w:rsidRPr="005A478D">
        <w:rPr>
          <w:rFonts w:ascii="Arial" w:hAnsi="Arial" w:cs="Arial"/>
          <w:sz w:val="22"/>
          <w:szCs w:val="22"/>
          <w:lang w:val="en-US"/>
        </w:rPr>
        <w:t xml:space="preserve"> the percentages</w:t>
      </w:r>
      <w:r w:rsidR="005A478D">
        <w:rPr>
          <w:rFonts w:ascii="Arial" w:hAnsi="Arial" w:cs="Arial"/>
          <w:sz w:val="22"/>
          <w:szCs w:val="22"/>
          <w:lang w:val="en-US"/>
        </w:rPr>
        <w:t xml:space="preserve"> </w:t>
      </w:r>
      <w:r w:rsidR="005A478D" w:rsidRPr="005A478D">
        <w:rPr>
          <w:rFonts w:ascii="Arial" w:hAnsi="Arial" w:cs="Arial"/>
          <w:sz w:val="22"/>
          <w:szCs w:val="22"/>
          <w:lang w:val="en-US"/>
        </w:rPr>
        <w:t xml:space="preserve">of </w:t>
      </w:r>
      <w:proofErr w:type="spellStart"/>
      <w:r w:rsidR="005A478D" w:rsidRPr="005A478D">
        <w:rPr>
          <w:rFonts w:ascii="Arial" w:hAnsi="Arial" w:cs="Arial"/>
          <w:sz w:val="22"/>
          <w:szCs w:val="22"/>
          <w:lang w:val="en-US"/>
        </w:rPr>
        <w:t>Epcr</w:t>
      </w:r>
      <w:r w:rsidR="005A478D" w:rsidRPr="00F120DD">
        <w:rPr>
          <w:rFonts w:ascii="Arial" w:hAnsi="Arial" w:cs="Arial"/>
          <w:sz w:val="22"/>
          <w:szCs w:val="22"/>
          <w:vertAlign w:val="superscript"/>
          <w:lang w:val="en-US"/>
        </w:rPr>
        <w:t>hi</w:t>
      </w:r>
      <w:proofErr w:type="spellEnd"/>
      <w:r w:rsidR="005A478D" w:rsidRPr="005A478D">
        <w:rPr>
          <w:rFonts w:ascii="Arial" w:hAnsi="Arial" w:cs="Arial"/>
          <w:sz w:val="22"/>
          <w:szCs w:val="22"/>
          <w:lang w:val="en-US"/>
        </w:rPr>
        <w:t xml:space="preserve"> HSC subsets in both </w:t>
      </w:r>
      <w:r w:rsidR="005A478D" w:rsidRPr="00F120DD">
        <w:rPr>
          <w:rFonts w:ascii="Arial" w:hAnsi="Arial" w:cs="Arial"/>
          <w:i/>
          <w:iCs/>
          <w:sz w:val="22"/>
          <w:szCs w:val="22"/>
          <w:lang w:val="en-US"/>
        </w:rPr>
        <w:t>VF</w:t>
      </w:r>
      <w:r w:rsidR="005A478D" w:rsidRPr="005A478D">
        <w:rPr>
          <w:rFonts w:ascii="Arial" w:hAnsi="Arial" w:cs="Arial"/>
          <w:sz w:val="22"/>
          <w:szCs w:val="22"/>
          <w:lang w:val="en-US"/>
        </w:rPr>
        <w:t xml:space="preserve"> and </w:t>
      </w:r>
      <w:r w:rsidRPr="00F120DD">
        <w:rPr>
          <w:rFonts w:ascii="Arial" w:hAnsi="Arial" w:cs="Arial"/>
          <w:i/>
          <w:iCs/>
          <w:sz w:val="22"/>
          <w:szCs w:val="22"/>
          <w:lang w:val="en-US"/>
        </w:rPr>
        <w:t>WT</w:t>
      </w:r>
      <w:r w:rsidR="005A478D" w:rsidRPr="005A478D">
        <w:rPr>
          <w:rFonts w:ascii="Arial" w:hAnsi="Arial" w:cs="Arial"/>
          <w:sz w:val="22"/>
          <w:szCs w:val="22"/>
          <w:lang w:val="en-US"/>
        </w:rPr>
        <w:t xml:space="preserve"> mice (Figure </w:t>
      </w:r>
      <w:r>
        <w:rPr>
          <w:rFonts w:ascii="Arial" w:hAnsi="Arial" w:cs="Arial"/>
          <w:sz w:val="22"/>
          <w:szCs w:val="22"/>
          <w:lang w:val="en-US"/>
        </w:rPr>
        <w:t>3</w:t>
      </w:r>
      <w:r w:rsidR="007F1F27">
        <w:rPr>
          <w:rFonts w:ascii="Arial" w:hAnsi="Arial" w:cs="Arial"/>
          <w:sz w:val="22"/>
          <w:szCs w:val="22"/>
          <w:lang w:val="en-US"/>
        </w:rPr>
        <w:t>1</w:t>
      </w:r>
      <w:r w:rsidR="005A478D" w:rsidRPr="005A478D">
        <w:rPr>
          <w:rFonts w:ascii="Arial" w:hAnsi="Arial" w:cs="Arial"/>
          <w:sz w:val="22"/>
          <w:szCs w:val="22"/>
          <w:lang w:val="en-US"/>
        </w:rPr>
        <w:t xml:space="preserve">B). </w:t>
      </w:r>
    </w:p>
    <w:p w14:paraId="7A67823D" w14:textId="77777777" w:rsidR="005A478D" w:rsidRPr="005A478D" w:rsidRDefault="00F120DD" w:rsidP="005A478D">
      <w:pPr>
        <w:spacing w:line="360" w:lineRule="auto"/>
        <w:jc w:val="both"/>
        <w:rPr>
          <w:rFonts w:ascii="Arial" w:hAnsi="Arial" w:cs="Arial"/>
          <w:sz w:val="22"/>
          <w:szCs w:val="22"/>
          <w:lang w:val="en-US"/>
        </w:rPr>
      </w:pPr>
      <w:r>
        <w:rPr>
          <w:rFonts w:ascii="Arial" w:hAnsi="Arial" w:cs="Arial"/>
          <w:sz w:val="22"/>
          <w:szCs w:val="22"/>
          <w:lang w:val="en-US"/>
        </w:rPr>
        <w:t xml:space="preserve">We </w:t>
      </w:r>
      <w:r w:rsidR="001D0420">
        <w:rPr>
          <w:rFonts w:ascii="Arial" w:hAnsi="Arial" w:cs="Arial"/>
          <w:sz w:val="22"/>
          <w:szCs w:val="22"/>
          <w:lang w:val="en-US"/>
        </w:rPr>
        <w:t xml:space="preserve">have </w:t>
      </w:r>
      <w:r>
        <w:rPr>
          <w:rFonts w:ascii="Arial" w:hAnsi="Arial" w:cs="Arial"/>
          <w:sz w:val="22"/>
          <w:szCs w:val="22"/>
          <w:lang w:val="en-US"/>
        </w:rPr>
        <w:t xml:space="preserve">also </w:t>
      </w:r>
      <w:r w:rsidR="001D0420">
        <w:rPr>
          <w:rFonts w:ascii="Arial" w:hAnsi="Arial" w:cs="Arial"/>
          <w:sz w:val="22"/>
          <w:szCs w:val="22"/>
          <w:lang w:val="en-US"/>
        </w:rPr>
        <w:t>explored</w:t>
      </w:r>
      <w:r w:rsidR="005A478D" w:rsidRPr="005A478D">
        <w:rPr>
          <w:rFonts w:ascii="Arial" w:hAnsi="Arial" w:cs="Arial"/>
          <w:sz w:val="22"/>
          <w:szCs w:val="22"/>
          <w:lang w:val="en-US"/>
        </w:rPr>
        <w:t xml:space="preserve">, </w:t>
      </w:r>
      <w:r>
        <w:rPr>
          <w:rFonts w:ascii="Arial" w:hAnsi="Arial" w:cs="Arial"/>
          <w:sz w:val="22"/>
          <w:szCs w:val="22"/>
          <w:lang w:val="en-US"/>
        </w:rPr>
        <w:t>if</w:t>
      </w:r>
      <w:r w:rsidR="005A478D" w:rsidRPr="005A478D">
        <w:rPr>
          <w:rFonts w:ascii="Arial" w:hAnsi="Arial" w:cs="Arial"/>
          <w:sz w:val="22"/>
          <w:szCs w:val="22"/>
          <w:lang w:val="en-US"/>
        </w:rPr>
        <w:t xml:space="preserve"> the observed </w:t>
      </w:r>
      <w:r>
        <w:rPr>
          <w:rFonts w:ascii="Arial" w:hAnsi="Arial" w:cs="Arial"/>
          <w:sz w:val="22"/>
          <w:szCs w:val="22"/>
          <w:lang w:val="en-US"/>
        </w:rPr>
        <w:t>increased baseline</w:t>
      </w:r>
      <w:r w:rsidR="005A478D" w:rsidRPr="005A478D">
        <w:rPr>
          <w:rFonts w:ascii="Arial" w:hAnsi="Arial" w:cs="Arial"/>
          <w:sz w:val="22"/>
          <w:szCs w:val="22"/>
          <w:lang w:val="en-US"/>
        </w:rPr>
        <w:t xml:space="preserve"> </w:t>
      </w:r>
      <w:r>
        <w:rPr>
          <w:rFonts w:ascii="Arial" w:hAnsi="Arial" w:cs="Arial"/>
          <w:sz w:val="22"/>
          <w:szCs w:val="22"/>
          <w:lang w:val="en-US"/>
        </w:rPr>
        <w:t>of CD41</w:t>
      </w:r>
      <w:r w:rsidRPr="001D0420">
        <w:rPr>
          <w:rFonts w:ascii="Arial" w:hAnsi="Arial" w:cs="Arial"/>
          <w:sz w:val="22"/>
          <w:szCs w:val="22"/>
          <w:vertAlign w:val="superscript"/>
          <w:lang w:val="en-US"/>
        </w:rPr>
        <w:t>hi</w:t>
      </w:r>
      <w:r>
        <w:rPr>
          <w:rFonts w:ascii="Arial" w:hAnsi="Arial" w:cs="Arial"/>
          <w:sz w:val="22"/>
          <w:szCs w:val="22"/>
          <w:lang w:val="en-US"/>
        </w:rPr>
        <w:t xml:space="preserve"> HSCs</w:t>
      </w:r>
      <w:r w:rsidR="005A478D" w:rsidRPr="005A478D">
        <w:rPr>
          <w:rFonts w:ascii="Arial" w:hAnsi="Arial" w:cs="Arial"/>
          <w:sz w:val="22"/>
          <w:szCs w:val="22"/>
          <w:lang w:val="en-US"/>
        </w:rPr>
        <w:t xml:space="preserve"> </w:t>
      </w:r>
      <w:r>
        <w:rPr>
          <w:rFonts w:ascii="Arial" w:hAnsi="Arial" w:cs="Arial"/>
          <w:sz w:val="22"/>
          <w:szCs w:val="22"/>
          <w:lang w:val="en-US"/>
        </w:rPr>
        <w:t>sub</w:t>
      </w:r>
      <w:r w:rsidR="005A478D" w:rsidRPr="005A478D">
        <w:rPr>
          <w:rFonts w:ascii="Arial" w:hAnsi="Arial" w:cs="Arial"/>
          <w:sz w:val="22"/>
          <w:szCs w:val="22"/>
          <w:lang w:val="en-US"/>
        </w:rPr>
        <w:t>fractions</w:t>
      </w:r>
      <w:r>
        <w:rPr>
          <w:rFonts w:ascii="Arial" w:hAnsi="Arial" w:cs="Arial"/>
          <w:sz w:val="22"/>
          <w:szCs w:val="22"/>
          <w:lang w:val="en-US"/>
        </w:rPr>
        <w:t xml:space="preserve"> in </w:t>
      </w:r>
      <w:r w:rsidRPr="00F120DD">
        <w:rPr>
          <w:rFonts w:ascii="Arial" w:hAnsi="Arial" w:cs="Arial"/>
          <w:i/>
          <w:iCs/>
          <w:sz w:val="22"/>
          <w:szCs w:val="22"/>
          <w:lang w:val="en-US"/>
        </w:rPr>
        <w:t>VF</w:t>
      </w:r>
      <w:r>
        <w:rPr>
          <w:rFonts w:ascii="Arial" w:hAnsi="Arial" w:cs="Arial"/>
          <w:sz w:val="22"/>
          <w:szCs w:val="22"/>
          <w:lang w:val="en-US"/>
        </w:rPr>
        <w:t xml:space="preserve"> mice are</w:t>
      </w:r>
      <w:r w:rsidR="005A478D" w:rsidRPr="005A478D">
        <w:rPr>
          <w:rFonts w:ascii="Arial" w:hAnsi="Arial" w:cs="Arial"/>
          <w:sz w:val="22"/>
          <w:szCs w:val="22"/>
          <w:lang w:val="en-US"/>
        </w:rPr>
        <w:t xml:space="preserve"> specific to JAK2</w:t>
      </w:r>
      <w:r>
        <w:rPr>
          <w:rFonts w:ascii="Arial" w:hAnsi="Arial" w:cs="Arial"/>
          <w:sz w:val="22"/>
          <w:szCs w:val="22"/>
          <w:lang w:val="en-US"/>
        </w:rPr>
        <w:t xml:space="preserve"> </w:t>
      </w:r>
      <w:r w:rsidR="005A478D" w:rsidRPr="005A478D">
        <w:rPr>
          <w:rFonts w:ascii="Arial" w:hAnsi="Arial" w:cs="Arial"/>
          <w:sz w:val="22"/>
          <w:szCs w:val="22"/>
          <w:lang w:val="en-US"/>
        </w:rPr>
        <w:t xml:space="preserve">mutant </w:t>
      </w:r>
      <w:r>
        <w:rPr>
          <w:rFonts w:ascii="Arial" w:hAnsi="Arial" w:cs="Arial"/>
          <w:sz w:val="22"/>
          <w:szCs w:val="22"/>
          <w:lang w:val="en-US"/>
        </w:rPr>
        <w:t>signaling</w:t>
      </w:r>
      <w:r w:rsidR="005A478D" w:rsidRPr="005A478D">
        <w:rPr>
          <w:rFonts w:ascii="Arial" w:hAnsi="Arial" w:cs="Arial"/>
          <w:sz w:val="22"/>
          <w:szCs w:val="22"/>
          <w:lang w:val="en-US"/>
        </w:rPr>
        <w:t xml:space="preserve"> or </w:t>
      </w:r>
      <w:r>
        <w:rPr>
          <w:rFonts w:ascii="Arial" w:hAnsi="Arial" w:cs="Arial"/>
          <w:sz w:val="22"/>
          <w:szCs w:val="22"/>
          <w:lang w:val="en-US"/>
        </w:rPr>
        <w:t>to</w:t>
      </w:r>
      <w:r w:rsidR="005A478D" w:rsidRPr="005A478D">
        <w:rPr>
          <w:rFonts w:ascii="Arial" w:hAnsi="Arial" w:cs="Arial"/>
          <w:sz w:val="22"/>
          <w:szCs w:val="22"/>
          <w:lang w:val="en-US"/>
        </w:rPr>
        <w:t xml:space="preserve"> constitutive </w:t>
      </w:r>
      <w:r w:rsidR="00F43A5F">
        <w:rPr>
          <w:rFonts w:ascii="Arial" w:hAnsi="Arial" w:cs="Arial"/>
          <w:sz w:val="22"/>
          <w:szCs w:val="22"/>
          <w:lang w:val="en-US"/>
        </w:rPr>
        <w:br/>
      </w:r>
      <w:r w:rsidR="005A478D" w:rsidRPr="005A478D">
        <w:rPr>
          <w:rFonts w:ascii="Arial" w:hAnsi="Arial" w:cs="Arial"/>
          <w:sz w:val="22"/>
          <w:szCs w:val="22"/>
          <w:lang w:val="en-US"/>
        </w:rPr>
        <w:t>JAK</w:t>
      </w:r>
      <w:r w:rsidR="00F43A5F">
        <w:rPr>
          <w:rFonts w:ascii="Arial" w:hAnsi="Arial" w:cs="Arial"/>
          <w:sz w:val="22"/>
          <w:szCs w:val="22"/>
          <w:lang w:val="en-US"/>
        </w:rPr>
        <w:t>-</w:t>
      </w:r>
      <w:r w:rsidR="005A478D" w:rsidRPr="005A478D">
        <w:rPr>
          <w:rFonts w:ascii="Arial" w:hAnsi="Arial" w:cs="Arial"/>
          <w:sz w:val="22"/>
          <w:szCs w:val="22"/>
          <w:lang w:val="en-US"/>
        </w:rPr>
        <w:t>STAT signaling in general</w:t>
      </w:r>
      <w:r>
        <w:rPr>
          <w:rFonts w:ascii="Arial" w:hAnsi="Arial" w:cs="Arial"/>
          <w:sz w:val="22"/>
          <w:szCs w:val="22"/>
          <w:lang w:val="en-US"/>
        </w:rPr>
        <w:t xml:space="preserve">. </w:t>
      </w:r>
      <w:r w:rsidR="005A478D" w:rsidRPr="005A478D">
        <w:rPr>
          <w:rFonts w:ascii="Arial" w:hAnsi="Arial" w:cs="Arial"/>
          <w:sz w:val="22"/>
          <w:szCs w:val="22"/>
          <w:lang w:val="en-US"/>
        </w:rPr>
        <w:t xml:space="preserve">To address this issue, we treated </w:t>
      </w:r>
      <w:r w:rsidRPr="00F120DD">
        <w:rPr>
          <w:rFonts w:ascii="Arial" w:hAnsi="Arial" w:cs="Arial"/>
          <w:i/>
          <w:iCs/>
          <w:sz w:val="22"/>
          <w:szCs w:val="22"/>
          <w:lang w:val="en-US"/>
        </w:rPr>
        <w:t>WT</w:t>
      </w:r>
      <w:r>
        <w:rPr>
          <w:rFonts w:ascii="Arial" w:hAnsi="Arial" w:cs="Arial"/>
          <w:sz w:val="22"/>
          <w:szCs w:val="22"/>
          <w:lang w:val="en-US"/>
        </w:rPr>
        <w:t xml:space="preserve"> </w:t>
      </w:r>
      <w:r w:rsidR="005A478D" w:rsidRPr="005A478D">
        <w:rPr>
          <w:rFonts w:ascii="Arial" w:hAnsi="Arial" w:cs="Arial"/>
          <w:sz w:val="22"/>
          <w:szCs w:val="22"/>
          <w:lang w:val="en-US"/>
        </w:rPr>
        <w:t xml:space="preserve">and </w:t>
      </w:r>
      <w:r w:rsidR="005A478D" w:rsidRPr="00F120DD">
        <w:rPr>
          <w:rFonts w:ascii="Arial" w:hAnsi="Arial" w:cs="Arial"/>
          <w:i/>
          <w:iCs/>
          <w:sz w:val="22"/>
          <w:szCs w:val="22"/>
          <w:lang w:val="en-US"/>
        </w:rPr>
        <w:t>VF</w:t>
      </w:r>
      <w:r w:rsidR="005A478D" w:rsidRPr="005A478D">
        <w:rPr>
          <w:rFonts w:ascii="Arial" w:hAnsi="Arial" w:cs="Arial"/>
          <w:sz w:val="22"/>
          <w:szCs w:val="22"/>
          <w:lang w:val="en-US"/>
        </w:rPr>
        <w:t xml:space="preserve"> mice with recombinant mouse TPO </w:t>
      </w:r>
      <w:r w:rsidR="001D0420">
        <w:rPr>
          <w:rFonts w:ascii="Arial" w:hAnsi="Arial" w:cs="Arial"/>
          <w:sz w:val="22"/>
          <w:szCs w:val="22"/>
          <w:lang w:val="en-US"/>
        </w:rPr>
        <w:t xml:space="preserve">and </w:t>
      </w:r>
      <w:r w:rsidR="005A478D" w:rsidRPr="005A478D">
        <w:rPr>
          <w:rFonts w:ascii="Arial" w:hAnsi="Arial" w:cs="Arial"/>
          <w:sz w:val="22"/>
          <w:szCs w:val="22"/>
          <w:lang w:val="en-US"/>
        </w:rPr>
        <w:t>assessed the</w:t>
      </w:r>
      <w:r>
        <w:rPr>
          <w:rFonts w:ascii="Arial" w:hAnsi="Arial" w:cs="Arial"/>
          <w:sz w:val="22"/>
          <w:szCs w:val="22"/>
          <w:lang w:val="en-US"/>
        </w:rPr>
        <w:t xml:space="preserve"> p</w:t>
      </w:r>
      <w:r w:rsidR="005A478D" w:rsidRPr="005A478D">
        <w:rPr>
          <w:rFonts w:ascii="Arial" w:hAnsi="Arial" w:cs="Arial"/>
          <w:sz w:val="22"/>
          <w:szCs w:val="22"/>
          <w:lang w:val="en-US"/>
        </w:rPr>
        <w:t>ercentages of CD41</w:t>
      </w:r>
      <w:r w:rsidR="005A478D" w:rsidRPr="00F120DD">
        <w:rPr>
          <w:rFonts w:ascii="Arial" w:hAnsi="Arial" w:cs="Arial"/>
          <w:sz w:val="22"/>
          <w:szCs w:val="22"/>
          <w:vertAlign w:val="superscript"/>
          <w:lang w:val="en-US"/>
        </w:rPr>
        <w:t>hi/lo</w:t>
      </w:r>
      <w:r w:rsidR="005A478D" w:rsidRPr="005A478D">
        <w:rPr>
          <w:rFonts w:ascii="Arial" w:hAnsi="Arial" w:cs="Arial"/>
          <w:sz w:val="22"/>
          <w:szCs w:val="22"/>
          <w:lang w:val="en-US"/>
        </w:rPr>
        <w:t xml:space="preserve"> HSCs and </w:t>
      </w:r>
      <w:proofErr w:type="spellStart"/>
      <w:r w:rsidR="005A478D" w:rsidRPr="005A478D">
        <w:rPr>
          <w:rFonts w:ascii="Arial" w:hAnsi="Arial" w:cs="Arial"/>
          <w:sz w:val="22"/>
          <w:szCs w:val="22"/>
          <w:lang w:val="en-US"/>
        </w:rPr>
        <w:t>Epcr</w:t>
      </w:r>
      <w:r w:rsidR="005A478D" w:rsidRPr="00F120DD">
        <w:rPr>
          <w:rFonts w:ascii="Arial" w:hAnsi="Arial" w:cs="Arial"/>
          <w:sz w:val="22"/>
          <w:szCs w:val="22"/>
          <w:vertAlign w:val="superscript"/>
          <w:lang w:val="en-US"/>
        </w:rPr>
        <w:t>hi</w:t>
      </w:r>
      <w:proofErr w:type="spellEnd"/>
      <w:r w:rsidR="005A478D" w:rsidRPr="00F120DD">
        <w:rPr>
          <w:rFonts w:ascii="Arial" w:hAnsi="Arial" w:cs="Arial"/>
          <w:sz w:val="22"/>
          <w:szCs w:val="22"/>
          <w:vertAlign w:val="superscript"/>
          <w:lang w:val="en-US"/>
        </w:rPr>
        <w:t>/lo</w:t>
      </w:r>
      <w:r w:rsidR="005A478D" w:rsidRPr="005A478D">
        <w:rPr>
          <w:rFonts w:ascii="Arial" w:hAnsi="Arial" w:cs="Arial"/>
          <w:sz w:val="22"/>
          <w:szCs w:val="22"/>
          <w:lang w:val="en-US"/>
        </w:rPr>
        <w:t xml:space="preserve"> HSCs in the bone marrow (Figure</w:t>
      </w:r>
      <w:r>
        <w:rPr>
          <w:rFonts w:ascii="Arial" w:hAnsi="Arial" w:cs="Arial"/>
          <w:sz w:val="22"/>
          <w:szCs w:val="22"/>
          <w:lang w:val="en-US"/>
        </w:rPr>
        <w:t xml:space="preserve"> 3</w:t>
      </w:r>
      <w:r w:rsidR="007F1F27">
        <w:rPr>
          <w:rFonts w:ascii="Arial" w:hAnsi="Arial" w:cs="Arial"/>
          <w:sz w:val="22"/>
          <w:szCs w:val="22"/>
          <w:lang w:val="en-US"/>
        </w:rPr>
        <w:t>1</w:t>
      </w:r>
      <w:r>
        <w:rPr>
          <w:rFonts w:ascii="Arial" w:hAnsi="Arial" w:cs="Arial"/>
          <w:sz w:val="22"/>
          <w:szCs w:val="22"/>
          <w:lang w:val="en-US"/>
        </w:rPr>
        <w:t>B</w:t>
      </w:r>
      <w:r w:rsidR="005A478D" w:rsidRPr="005A478D">
        <w:rPr>
          <w:rFonts w:ascii="Arial" w:hAnsi="Arial" w:cs="Arial"/>
          <w:sz w:val="22"/>
          <w:szCs w:val="22"/>
          <w:lang w:val="en-US"/>
        </w:rPr>
        <w:t>).</w:t>
      </w:r>
      <w:r>
        <w:rPr>
          <w:rFonts w:ascii="Arial" w:hAnsi="Arial" w:cs="Arial"/>
          <w:sz w:val="22"/>
          <w:szCs w:val="22"/>
          <w:lang w:val="en-US"/>
        </w:rPr>
        <w:t xml:space="preserve"> </w:t>
      </w:r>
      <w:r w:rsidR="005A478D" w:rsidRPr="005A478D">
        <w:rPr>
          <w:rFonts w:ascii="Arial" w:hAnsi="Arial" w:cs="Arial"/>
          <w:sz w:val="22"/>
          <w:szCs w:val="22"/>
          <w:lang w:val="en-US"/>
        </w:rPr>
        <w:t>A single dose of recombinant TPO increased the percentages of</w:t>
      </w:r>
      <w:r>
        <w:rPr>
          <w:rFonts w:ascii="Arial" w:hAnsi="Arial" w:cs="Arial"/>
          <w:sz w:val="22"/>
          <w:szCs w:val="22"/>
          <w:lang w:val="en-US"/>
        </w:rPr>
        <w:t xml:space="preserve"> </w:t>
      </w:r>
      <w:r w:rsidR="005A478D" w:rsidRPr="005A478D">
        <w:rPr>
          <w:rFonts w:ascii="Arial" w:hAnsi="Arial" w:cs="Arial"/>
          <w:sz w:val="22"/>
          <w:szCs w:val="22"/>
          <w:lang w:val="en-US"/>
        </w:rPr>
        <w:t>CD41</w:t>
      </w:r>
      <w:r w:rsidR="005A478D" w:rsidRPr="00F120DD">
        <w:rPr>
          <w:rFonts w:ascii="Arial" w:hAnsi="Arial" w:cs="Arial"/>
          <w:sz w:val="22"/>
          <w:szCs w:val="22"/>
          <w:vertAlign w:val="superscript"/>
          <w:lang w:val="en-US"/>
        </w:rPr>
        <w:t>hi</w:t>
      </w:r>
      <w:r w:rsidR="005A478D" w:rsidRPr="005A478D">
        <w:rPr>
          <w:rFonts w:ascii="Arial" w:hAnsi="Arial" w:cs="Arial"/>
          <w:sz w:val="22"/>
          <w:szCs w:val="22"/>
          <w:lang w:val="en-US"/>
        </w:rPr>
        <w:t xml:space="preserve"> HSCs in </w:t>
      </w:r>
      <w:r w:rsidR="005A478D" w:rsidRPr="00F120DD">
        <w:rPr>
          <w:rFonts w:ascii="Arial" w:hAnsi="Arial" w:cs="Arial"/>
          <w:i/>
          <w:iCs/>
          <w:sz w:val="22"/>
          <w:szCs w:val="22"/>
          <w:lang w:val="en-US"/>
        </w:rPr>
        <w:t>WT</w:t>
      </w:r>
      <w:r w:rsidR="005A478D" w:rsidRPr="005A478D">
        <w:rPr>
          <w:rFonts w:ascii="Arial" w:hAnsi="Arial" w:cs="Arial"/>
          <w:sz w:val="22"/>
          <w:szCs w:val="22"/>
          <w:lang w:val="en-US"/>
        </w:rPr>
        <w:t xml:space="preserve"> mice to levels similar as the baseline (saline) in </w:t>
      </w:r>
      <w:r w:rsidR="005A478D" w:rsidRPr="00F120DD">
        <w:rPr>
          <w:rFonts w:ascii="Arial" w:hAnsi="Arial" w:cs="Arial"/>
          <w:i/>
          <w:iCs/>
          <w:sz w:val="22"/>
          <w:szCs w:val="22"/>
          <w:lang w:val="en-US"/>
        </w:rPr>
        <w:t>VF</w:t>
      </w:r>
      <w:r w:rsidR="005A478D" w:rsidRPr="005A478D">
        <w:rPr>
          <w:rFonts w:ascii="Arial" w:hAnsi="Arial" w:cs="Arial"/>
          <w:sz w:val="22"/>
          <w:szCs w:val="22"/>
          <w:lang w:val="en-US"/>
        </w:rPr>
        <w:t xml:space="preserve"> mice, but to lower levels than </w:t>
      </w:r>
      <w:proofErr w:type="spellStart"/>
      <w:r w:rsidR="005A478D" w:rsidRPr="005A478D">
        <w:rPr>
          <w:rFonts w:ascii="Arial" w:hAnsi="Arial" w:cs="Arial"/>
          <w:sz w:val="22"/>
          <w:szCs w:val="22"/>
          <w:lang w:val="en-US"/>
        </w:rPr>
        <w:t>pIpC</w:t>
      </w:r>
      <w:proofErr w:type="spellEnd"/>
      <w:r w:rsidR="005A478D" w:rsidRPr="005A478D">
        <w:rPr>
          <w:rFonts w:ascii="Arial" w:hAnsi="Arial" w:cs="Arial"/>
          <w:sz w:val="22"/>
          <w:szCs w:val="22"/>
          <w:lang w:val="en-US"/>
        </w:rPr>
        <w:t xml:space="preserve"> in </w:t>
      </w:r>
      <w:r w:rsidR="005A478D" w:rsidRPr="00F120DD">
        <w:rPr>
          <w:rFonts w:ascii="Arial" w:hAnsi="Arial" w:cs="Arial"/>
          <w:i/>
          <w:iCs/>
          <w:sz w:val="22"/>
          <w:szCs w:val="22"/>
          <w:lang w:val="en-US"/>
        </w:rPr>
        <w:t>WT</w:t>
      </w:r>
      <w:r w:rsidR="005A478D" w:rsidRPr="005A478D">
        <w:rPr>
          <w:rFonts w:ascii="Arial" w:hAnsi="Arial" w:cs="Arial"/>
          <w:sz w:val="22"/>
          <w:szCs w:val="22"/>
          <w:lang w:val="en-US"/>
        </w:rPr>
        <w:t xml:space="preserve"> mice</w:t>
      </w:r>
      <w:r>
        <w:rPr>
          <w:rFonts w:ascii="Arial" w:hAnsi="Arial" w:cs="Arial"/>
          <w:sz w:val="22"/>
          <w:szCs w:val="22"/>
          <w:lang w:val="en-US"/>
        </w:rPr>
        <w:t xml:space="preserve"> (Figure 3</w:t>
      </w:r>
      <w:r w:rsidR="007F1F27">
        <w:rPr>
          <w:rFonts w:ascii="Arial" w:hAnsi="Arial" w:cs="Arial"/>
          <w:sz w:val="22"/>
          <w:szCs w:val="22"/>
          <w:lang w:val="en-US"/>
        </w:rPr>
        <w:t>1</w:t>
      </w:r>
      <w:r>
        <w:rPr>
          <w:rFonts w:ascii="Arial" w:hAnsi="Arial" w:cs="Arial"/>
          <w:sz w:val="22"/>
          <w:szCs w:val="22"/>
          <w:lang w:val="en-US"/>
        </w:rPr>
        <w:t xml:space="preserve">B). </w:t>
      </w:r>
      <w:r w:rsidR="005A478D" w:rsidRPr="005A478D">
        <w:rPr>
          <w:rFonts w:ascii="Arial" w:hAnsi="Arial" w:cs="Arial"/>
          <w:sz w:val="22"/>
          <w:szCs w:val="22"/>
          <w:lang w:val="en-US"/>
        </w:rPr>
        <w:t xml:space="preserve">In </w:t>
      </w:r>
      <w:r w:rsidR="005A478D" w:rsidRPr="00F120DD">
        <w:rPr>
          <w:rFonts w:ascii="Arial" w:hAnsi="Arial" w:cs="Arial"/>
          <w:i/>
          <w:iCs/>
          <w:sz w:val="22"/>
          <w:szCs w:val="22"/>
          <w:lang w:val="en-US"/>
        </w:rPr>
        <w:t>VF</w:t>
      </w:r>
      <w:r w:rsidR="005A478D" w:rsidRPr="005A478D">
        <w:rPr>
          <w:rFonts w:ascii="Arial" w:hAnsi="Arial" w:cs="Arial"/>
          <w:sz w:val="22"/>
          <w:szCs w:val="22"/>
          <w:lang w:val="en-US"/>
        </w:rPr>
        <w:t xml:space="preserve"> mice, TPO treatment increased the percentages of CD41</w:t>
      </w:r>
      <w:r w:rsidR="005A478D" w:rsidRPr="00F120DD">
        <w:rPr>
          <w:rFonts w:ascii="Arial" w:hAnsi="Arial" w:cs="Arial"/>
          <w:sz w:val="22"/>
          <w:szCs w:val="22"/>
          <w:vertAlign w:val="superscript"/>
          <w:lang w:val="en-US"/>
        </w:rPr>
        <w:t>hi</w:t>
      </w:r>
      <w:r w:rsidR="005A478D" w:rsidRPr="005A478D">
        <w:rPr>
          <w:rFonts w:ascii="Arial" w:hAnsi="Arial" w:cs="Arial"/>
          <w:sz w:val="22"/>
          <w:szCs w:val="22"/>
          <w:lang w:val="en-US"/>
        </w:rPr>
        <w:t xml:space="preserve"> HSCs to higher</w:t>
      </w:r>
      <w:r>
        <w:rPr>
          <w:rFonts w:ascii="Arial" w:hAnsi="Arial" w:cs="Arial"/>
          <w:sz w:val="22"/>
          <w:szCs w:val="22"/>
          <w:lang w:val="en-US"/>
        </w:rPr>
        <w:t xml:space="preserve"> </w:t>
      </w:r>
      <w:r w:rsidR="005A478D" w:rsidRPr="005A478D">
        <w:rPr>
          <w:rFonts w:ascii="Arial" w:hAnsi="Arial" w:cs="Arial"/>
          <w:sz w:val="22"/>
          <w:szCs w:val="22"/>
          <w:lang w:val="en-US"/>
        </w:rPr>
        <w:t xml:space="preserve">levels than in </w:t>
      </w:r>
      <w:r w:rsidR="005A478D" w:rsidRPr="00F120DD">
        <w:rPr>
          <w:rFonts w:ascii="Arial" w:hAnsi="Arial" w:cs="Arial"/>
          <w:i/>
          <w:iCs/>
          <w:sz w:val="22"/>
          <w:szCs w:val="22"/>
          <w:lang w:val="en-US"/>
        </w:rPr>
        <w:t>WT</w:t>
      </w:r>
      <w:r w:rsidR="005A478D" w:rsidRPr="005A478D">
        <w:rPr>
          <w:rFonts w:ascii="Arial" w:hAnsi="Arial" w:cs="Arial"/>
          <w:sz w:val="22"/>
          <w:szCs w:val="22"/>
          <w:lang w:val="en-US"/>
        </w:rPr>
        <w:t xml:space="preserve"> mice, in fact the CD41</w:t>
      </w:r>
      <w:r w:rsidR="005A478D" w:rsidRPr="00F120DD">
        <w:rPr>
          <w:rFonts w:ascii="Arial" w:hAnsi="Arial" w:cs="Arial"/>
          <w:sz w:val="22"/>
          <w:szCs w:val="22"/>
          <w:vertAlign w:val="superscript"/>
          <w:lang w:val="en-US"/>
        </w:rPr>
        <w:t>hi</w:t>
      </w:r>
      <w:r w:rsidR="005A478D" w:rsidRPr="005A478D">
        <w:rPr>
          <w:rFonts w:ascii="Arial" w:hAnsi="Arial" w:cs="Arial"/>
          <w:sz w:val="22"/>
          <w:szCs w:val="22"/>
          <w:lang w:val="en-US"/>
        </w:rPr>
        <w:t xml:space="preserve"> HSCs reached the same levels as VF</w:t>
      </w:r>
      <w:r>
        <w:rPr>
          <w:rFonts w:ascii="Arial" w:hAnsi="Arial" w:cs="Arial"/>
          <w:sz w:val="22"/>
          <w:szCs w:val="22"/>
          <w:lang w:val="en-US"/>
        </w:rPr>
        <w:t xml:space="preserve"> </w:t>
      </w:r>
      <w:r w:rsidR="005A478D" w:rsidRPr="005A478D">
        <w:rPr>
          <w:rFonts w:ascii="Arial" w:hAnsi="Arial" w:cs="Arial"/>
          <w:sz w:val="22"/>
          <w:szCs w:val="22"/>
          <w:lang w:val="en-US"/>
        </w:rPr>
        <w:t xml:space="preserve">mice treated with </w:t>
      </w:r>
      <w:proofErr w:type="spellStart"/>
      <w:r w:rsidR="005A478D" w:rsidRPr="005A478D">
        <w:rPr>
          <w:rFonts w:ascii="Arial" w:hAnsi="Arial" w:cs="Arial"/>
          <w:sz w:val="22"/>
          <w:szCs w:val="22"/>
          <w:lang w:val="en-US"/>
        </w:rPr>
        <w:t>pIpC</w:t>
      </w:r>
      <w:proofErr w:type="spellEnd"/>
      <w:r w:rsidR="005A478D" w:rsidRPr="005A478D">
        <w:rPr>
          <w:rFonts w:ascii="Arial" w:hAnsi="Arial" w:cs="Arial"/>
          <w:sz w:val="22"/>
          <w:szCs w:val="22"/>
          <w:lang w:val="en-US"/>
        </w:rPr>
        <w:t xml:space="preserve"> </w:t>
      </w:r>
      <w:r w:rsidR="007B66A0">
        <w:rPr>
          <w:rFonts w:ascii="Arial" w:hAnsi="Arial" w:cs="Arial"/>
          <w:sz w:val="22"/>
          <w:szCs w:val="22"/>
          <w:lang w:val="en-US"/>
        </w:rPr>
        <w:br/>
      </w:r>
      <w:r w:rsidR="005A478D" w:rsidRPr="005A478D">
        <w:rPr>
          <w:rFonts w:ascii="Arial" w:hAnsi="Arial" w:cs="Arial"/>
          <w:sz w:val="22"/>
          <w:szCs w:val="22"/>
          <w:lang w:val="en-US"/>
        </w:rPr>
        <w:t xml:space="preserve">(Figure </w:t>
      </w:r>
      <w:r>
        <w:rPr>
          <w:rFonts w:ascii="Arial" w:hAnsi="Arial" w:cs="Arial"/>
          <w:sz w:val="22"/>
          <w:szCs w:val="22"/>
          <w:lang w:val="en-US"/>
        </w:rPr>
        <w:t>3</w:t>
      </w:r>
      <w:r w:rsidR="007F1F27">
        <w:rPr>
          <w:rFonts w:ascii="Arial" w:hAnsi="Arial" w:cs="Arial"/>
          <w:sz w:val="22"/>
          <w:szCs w:val="22"/>
          <w:lang w:val="en-US"/>
        </w:rPr>
        <w:t>1</w:t>
      </w:r>
      <w:r>
        <w:rPr>
          <w:rFonts w:ascii="Arial" w:hAnsi="Arial" w:cs="Arial"/>
          <w:sz w:val="22"/>
          <w:szCs w:val="22"/>
          <w:lang w:val="en-US"/>
        </w:rPr>
        <w:t>B</w:t>
      </w:r>
      <w:r w:rsidR="005A478D" w:rsidRPr="005A478D">
        <w:rPr>
          <w:rFonts w:ascii="Arial" w:hAnsi="Arial" w:cs="Arial"/>
          <w:sz w:val="22"/>
          <w:szCs w:val="22"/>
          <w:lang w:val="en-US"/>
        </w:rPr>
        <w:t>), suggesting that TPO signaling through</w:t>
      </w:r>
      <w:r>
        <w:rPr>
          <w:rFonts w:ascii="Arial" w:hAnsi="Arial" w:cs="Arial"/>
          <w:sz w:val="22"/>
          <w:szCs w:val="22"/>
          <w:lang w:val="en-US"/>
        </w:rPr>
        <w:t xml:space="preserve"> </w:t>
      </w:r>
      <w:r w:rsidRPr="00C765B8">
        <w:rPr>
          <w:rFonts w:ascii="Arial" w:hAnsi="Arial" w:cs="Arial"/>
          <w:i/>
          <w:iCs/>
          <w:sz w:val="22"/>
          <w:szCs w:val="22"/>
          <w:lang w:val="en-US"/>
        </w:rPr>
        <w:t>J</w:t>
      </w:r>
      <w:r w:rsidR="005A478D" w:rsidRPr="00C765B8">
        <w:rPr>
          <w:rFonts w:ascii="Arial" w:hAnsi="Arial" w:cs="Arial"/>
          <w:i/>
          <w:iCs/>
          <w:sz w:val="22"/>
          <w:szCs w:val="22"/>
          <w:lang w:val="en-US"/>
        </w:rPr>
        <w:t>AK2</w:t>
      </w:r>
      <w:r w:rsidR="00C765B8">
        <w:rPr>
          <w:rFonts w:ascii="Arial" w:hAnsi="Arial" w:cs="Arial"/>
          <w:sz w:val="22"/>
          <w:szCs w:val="22"/>
          <w:lang w:val="en-US"/>
        </w:rPr>
        <w:t xml:space="preserve"> </w:t>
      </w:r>
      <w:r w:rsidR="005A478D" w:rsidRPr="005A478D">
        <w:rPr>
          <w:rFonts w:ascii="Arial" w:hAnsi="Arial" w:cs="Arial"/>
          <w:sz w:val="22"/>
          <w:szCs w:val="22"/>
          <w:lang w:val="en-US"/>
        </w:rPr>
        <w:t>V617F is amplified and elicits a stronger signal than through wildtype</w:t>
      </w:r>
      <w:r>
        <w:rPr>
          <w:rFonts w:ascii="Arial" w:hAnsi="Arial" w:cs="Arial"/>
          <w:sz w:val="22"/>
          <w:szCs w:val="22"/>
          <w:lang w:val="en-US"/>
        </w:rPr>
        <w:t xml:space="preserve"> </w:t>
      </w:r>
      <w:r w:rsidR="005A478D" w:rsidRPr="00C765B8">
        <w:rPr>
          <w:rFonts w:ascii="Arial" w:hAnsi="Arial" w:cs="Arial"/>
          <w:i/>
          <w:iCs/>
          <w:sz w:val="22"/>
          <w:szCs w:val="22"/>
          <w:lang w:val="en-US"/>
        </w:rPr>
        <w:t>J</w:t>
      </w:r>
      <w:r w:rsidR="00C765B8">
        <w:rPr>
          <w:rFonts w:ascii="Arial" w:hAnsi="Arial" w:cs="Arial"/>
          <w:i/>
          <w:iCs/>
          <w:sz w:val="22"/>
          <w:szCs w:val="22"/>
          <w:lang w:val="en-US"/>
        </w:rPr>
        <w:t>ak2</w:t>
      </w:r>
      <w:r w:rsidR="005A478D" w:rsidRPr="005A478D">
        <w:rPr>
          <w:rFonts w:ascii="Arial" w:hAnsi="Arial" w:cs="Arial"/>
          <w:sz w:val="22"/>
          <w:szCs w:val="22"/>
          <w:lang w:val="en-US"/>
        </w:rPr>
        <w:t xml:space="preserve">. Thus, activating </w:t>
      </w:r>
      <w:r w:rsidR="00C765B8">
        <w:rPr>
          <w:rFonts w:ascii="Arial" w:hAnsi="Arial" w:cs="Arial"/>
          <w:sz w:val="22"/>
          <w:szCs w:val="22"/>
          <w:lang w:val="en-US"/>
        </w:rPr>
        <w:t>JAK</w:t>
      </w:r>
      <w:r w:rsidR="00F43A5F">
        <w:rPr>
          <w:rFonts w:ascii="Arial" w:hAnsi="Arial" w:cs="Arial"/>
          <w:sz w:val="22"/>
          <w:szCs w:val="22"/>
          <w:lang w:val="en-US"/>
        </w:rPr>
        <w:t>-</w:t>
      </w:r>
      <w:r w:rsidR="00C765B8">
        <w:rPr>
          <w:rFonts w:ascii="Arial" w:hAnsi="Arial" w:cs="Arial"/>
          <w:sz w:val="22"/>
          <w:szCs w:val="22"/>
          <w:lang w:val="en-US"/>
        </w:rPr>
        <w:t xml:space="preserve">STAT </w:t>
      </w:r>
      <w:r w:rsidR="005A478D" w:rsidRPr="005A478D">
        <w:rPr>
          <w:rFonts w:ascii="Arial" w:hAnsi="Arial" w:cs="Arial"/>
          <w:sz w:val="22"/>
          <w:szCs w:val="22"/>
          <w:lang w:val="en-US"/>
        </w:rPr>
        <w:t>signaling by TPO is able to induce a rapid</w:t>
      </w:r>
      <w:r>
        <w:rPr>
          <w:rFonts w:ascii="Arial" w:hAnsi="Arial" w:cs="Arial"/>
          <w:sz w:val="22"/>
          <w:szCs w:val="22"/>
          <w:lang w:val="en-US"/>
        </w:rPr>
        <w:t xml:space="preserve"> </w:t>
      </w:r>
      <w:r w:rsidR="005A478D" w:rsidRPr="005A478D">
        <w:rPr>
          <w:rFonts w:ascii="Arial" w:hAnsi="Arial" w:cs="Arial"/>
          <w:sz w:val="22"/>
          <w:szCs w:val="22"/>
          <w:lang w:val="en-US"/>
        </w:rPr>
        <w:t>increase in CD41</w:t>
      </w:r>
      <w:r w:rsidR="005A478D" w:rsidRPr="00C765B8">
        <w:rPr>
          <w:rFonts w:ascii="Arial" w:hAnsi="Arial" w:cs="Arial"/>
          <w:sz w:val="22"/>
          <w:szCs w:val="22"/>
          <w:vertAlign w:val="superscript"/>
          <w:lang w:val="en-US"/>
        </w:rPr>
        <w:t>hi</w:t>
      </w:r>
      <w:r w:rsidR="005A478D" w:rsidRPr="005A478D">
        <w:rPr>
          <w:rFonts w:ascii="Arial" w:hAnsi="Arial" w:cs="Arial"/>
          <w:sz w:val="22"/>
          <w:szCs w:val="22"/>
          <w:lang w:val="en-US"/>
        </w:rPr>
        <w:t xml:space="preserve"> HSCs, demonstrating that the phenotypic shift to CD41</w:t>
      </w:r>
      <w:r w:rsidR="005A478D" w:rsidRPr="00C765B8">
        <w:rPr>
          <w:rFonts w:ascii="Arial" w:hAnsi="Arial" w:cs="Arial"/>
          <w:sz w:val="22"/>
          <w:szCs w:val="22"/>
          <w:vertAlign w:val="superscript"/>
          <w:lang w:val="en-US"/>
        </w:rPr>
        <w:t>hi</w:t>
      </w:r>
      <w:r w:rsidR="005A478D" w:rsidRPr="005A478D">
        <w:rPr>
          <w:rFonts w:ascii="Arial" w:hAnsi="Arial" w:cs="Arial"/>
          <w:sz w:val="22"/>
          <w:szCs w:val="22"/>
          <w:lang w:val="en-US"/>
        </w:rPr>
        <w:t xml:space="preserve"> is</w:t>
      </w:r>
      <w:r>
        <w:rPr>
          <w:rFonts w:ascii="Arial" w:hAnsi="Arial" w:cs="Arial"/>
          <w:sz w:val="22"/>
          <w:szCs w:val="22"/>
          <w:lang w:val="en-US"/>
        </w:rPr>
        <w:t xml:space="preserve"> </w:t>
      </w:r>
      <w:r w:rsidR="005A478D" w:rsidRPr="005A478D">
        <w:rPr>
          <w:rFonts w:ascii="Arial" w:hAnsi="Arial" w:cs="Arial"/>
          <w:sz w:val="22"/>
          <w:szCs w:val="22"/>
          <w:lang w:val="en-US"/>
        </w:rPr>
        <w:t>not specific to the mutant JAK2.</w:t>
      </w:r>
    </w:p>
    <w:p w14:paraId="6FFC4662" w14:textId="77777777" w:rsidR="00F91560" w:rsidRDefault="005A478D" w:rsidP="005A478D">
      <w:pPr>
        <w:spacing w:line="360" w:lineRule="auto"/>
        <w:jc w:val="both"/>
        <w:rPr>
          <w:rFonts w:ascii="Arial" w:hAnsi="Arial" w:cs="Arial"/>
          <w:sz w:val="22"/>
          <w:szCs w:val="22"/>
          <w:lang w:val="en-US"/>
        </w:rPr>
      </w:pPr>
      <w:r w:rsidRPr="005A478D">
        <w:rPr>
          <w:rFonts w:ascii="Arial" w:hAnsi="Arial" w:cs="Arial"/>
          <w:sz w:val="22"/>
          <w:szCs w:val="22"/>
          <w:lang w:val="en-US"/>
        </w:rPr>
        <w:t>Interestingly and contrary to expectations, TPO in the same experiment did not</w:t>
      </w:r>
      <w:r w:rsidR="00F120DD">
        <w:rPr>
          <w:rFonts w:ascii="Arial" w:hAnsi="Arial" w:cs="Arial"/>
          <w:sz w:val="22"/>
          <w:szCs w:val="22"/>
          <w:lang w:val="en-US"/>
        </w:rPr>
        <w:t xml:space="preserve"> </w:t>
      </w:r>
      <w:r w:rsidRPr="005A478D">
        <w:rPr>
          <w:rFonts w:ascii="Arial" w:hAnsi="Arial" w:cs="Arial"/>
          <w:sz w:val="22"/>
          <w:szCs w:val="22"/>
          <w:lang w:val="en-US"/>
        </w:rPr>
        <w:t xml:space="preserve">reduce the percentages of </w:t>
      </w:r>
      <w:proofErr w:type="spellStart"/>
      <w:r w:rsidRPr="005A478D">
        <w:rPr>
          <w:rFonts w:ascii="Arial" w:hAnsi="Arial" w:cs="Arial"/>
          <w:sz w:val="22"/>
          <w:szCs w:val="22"/>
          <w:lang w:val="en-US"/>
        </w:rPr>
        <w:t>Epcr</w:t>
      </w:r>
      <w:r w:rsidRPr="00C765B8">
        <w:rPr>
          <w:rFonts w:ascii="Arial" w:hAnsi="Arial" w:cs="Arial"/>
          <w:sz w:val="22"/>
          <w:szCs w:val="22"/>
          <w:vertAlign w:val="superscript"/>
          <w:lang w:val="en-US"/>
        </w:rPr>
        <w:t>hi</w:t>
      </w:r>
      <w:proofErr w:type="spellEnd"/>
      <w:r w:rsidRPr="005A478D">
        <w:rPr>
          <w:rFonts w:ascii="Arial" w:hAnsi="Arial" w:cs="Arial"/>
          <w:sz w:val="22"/>
          <w:szCs w:val="22"/>
          <w:lang w:val="en-US"/>
        </w:rPr>
        <w:t xml:space="preserve"> HSCs in </w:t>
      </w:r>
      <w:r w:rsidRPr="00C765B8">
        <w:rPr>
          <w:rFonts w:ascii="Arial" w:hAnsi="Arial" w:cs="Arial"/>
          <w:i/>
          <w:iCs/>
          <w:sz w:val="22"/>
          <w:szCs w:val="22"/>
          <w:lang w:val="en-US"/>
        </w:rPr>
        <w:t>WT</w:t>
      </w:r>
      <w:r w:rsidRPr="005A478D">
        <w:rPr>
          <w:rFonts w:ascii="Arial" w:hAnsi="Arial" w:cs="Arial"/>
          <w:sz w:val="22"/>
          <w:szCs w:val="22"/>
          <w:lang w:val="en-US"/>
        </w:rPr>
        <w:t xml:space="preserve"> or </w:t>
      </w:r>
      <w:r w:rsidRPr="00C765B8">
        <w:rPr>
          <w:rFonts w:ascii="Arial" w:hAnsi="Arial" w:cs="Arial"/>
          <w:i/>
          <w:iCs/>
          <w:sz w:val="22"/>
          <w:szCs w:val="22"/>
          <w:lang w:val="en-US"/>
        </w:rPr>
        <w:t>VF</w:t>
      </w:r>
      <w:r w:rsidRPr="005A478D">
        <w:rPr>
          <w:rFonts w:ascii="Arial" w:hAnsi="Arial" w:cs="Arial"/>
          <w:sz w:val="22"/>
          <w:szCs w:val="22"/>
          <w:lang w:val="en-US"/>
        </w:rPr>
        <w:t xml:space="preserve"> mice, while </w:t>
      </w:r>
      <w:proofErr w:type="spellStart"/>
      <w:r w:rsidRPr="005A478D">
        <w:rPr>
          <w:rFonts w:ascii="Arial" w:hAnsi="Arial" w:cs="Arial"/>
          <w:sz w:val="22"/>
          <w:szCs w:val="22"/>
          <w:lang w:val="en-US"/>
        </w:rPr>
        <w:t>pIpC</w:t>
      </w:r>
      <w:proofErr w:type="spellEnd"/>
      <w:r w:rsidRPr="005A478D">
        <w:rPr>
          <w:rFonts w:ascii="Arial" w:hAnsi="Arial" w:cs="Arial"/>
          <w:sz w:val="22"/>
          <w:szCs w:val="22"/>
          <w:lang w:val="en-US"/>
        </w:rPr>
        <w:t xml:space="preserve"> led to </w:t>
      </w:r>
      <w:r w:rsidR="00C765B8" w:rsidRPr="005A478D">
        <w:rPr>
          <w:rFonts w:ascii="Arial" w:hAnsi="Arial" w:cs="Arial"/>
          <w:sz w:val="22"/>
          <w:szCs w:val="22"/>
          <w:lang w:val="en-US"/>
        </w:rPr>
        <w:t>the</w:t>
      </w:r>
      <w:r w:rsidRPr="005A478D">
        <w:rPr>
          <w:rFonts w:ascii="Arial" w:hAnsi="Arial" w:cs="Arial"/>
          <w:sz w:val="22"/>
          <w:szCs w:val="22"/>
          <w:lang w:val="en-US"/>
        </w:rPr>
        <w:t xml:space="preserve"> expected substantial decrease of </w:t>
      </w:r>
      <w:proofErr w:type="spellStart"/>
      <w:r w:rsidRPr="005A478D">
        <w:rPr>
          <w:rFonts w:ascii="Arial" w:hAnsi="Arial" w:cs="Arial"/>
          <w:sz w:val="22"/>
          <w:szCs w:val="22"/>
          <w:lang w:val="en-US"/>
        </w:rPr>
        <w:t>Epcr</w:t>
      </w:r>
      <w:r w:rsidRPr="00C765B8">
        <w:rPr>
          <w:rFonts w:ascii="Arial" w:hAnsi="Arial" w:cs="Arial"/>
          <w:sz w:val="22"/>
          <w:szCs w:val="22"/>
          <w:vertAlign w:val="superscript"/>
          <w:lang w:val="en-US"/>
        </w:rPr>
        <w:t>hi</w:t>
      </w:r>
      <w:proofErr w:type="spellEnd"/>
      <w:r w:rsidRPr="005A478D">
        <w:rPr>
          <w:rFonts w:ascii="Arial" w:hAnsi="Arial" w:cs="Arial"/>
          <w:sz w:val="22"/>
          <w:szCs w:val="22"/>
          <w:lang w:val="en-US"/>
        </w:rPr>
        <w:t xml:space="preserve"> HSCs in both </w:t>
      </w:r>
      <w:r w:rsidRPr="00C765B8">
        <w:rPr>
          <w:rFonts w:ascii="Arial" w:hAnsi="Arial" w:cs="Arial"/>
          <w:i/>
          <w:iCs/>
          <w:sz w:val="22"/>
          <w:szCs w:val="22"/>
          <w:lang w:val="en-US"/>
        </w:rPr>
        <w:t>VF</w:t>
      </w:r>
      <w:r w:rsidRPr="005A478D">
        <w:rPr>
          <w:rFonts w:ascii="Arial" w:hAnsi="Arial" w:cs="Arial"/>
          <w:sz w:val="22"/>
          <w:szCs w:val="22"/>
          <w:lang w:val="en-US"/>
        </w:rPr>
        <w:t xml:space="preserve"> and </w:t>
      </w:r>
      <w:r w:rsidRPr="00C765B8">
        <w:rPr>
          <w:rFonts w:ascii="Arial" w:hAnsi="Arial" w:cs="Arial"/>
          <w:i/>
          <w:iCs/>
          <w:sz w:val="22"/>
          <w:szCs w:val="22"/>
          <w:lang w:val="en-US"/>
        </w:rPr>
        <w:t>WT</w:t>
      </w:r>
      <w:r w:rsidRPr="005A478D">
        <w:rPr>
          <w:rFonts w:ascii="Arial" w:hAnsi="Arial" w:cs="Arial"/>
          <w:sz w:val="22"/>
          <w:szCs w:val="22"/>
          <w:lang w:val="en-US"/>
        </w:rPr>
        <w:t xml:space="preserve"> mice</w:t>
      </w:r>
      <w:r w:rsidR="00F120DD">
        <w:rPr>
          <w:rFonts w:ascii="Arial" w:hAnsi="Arial" w:cs="Arial"/>
          <w:sz w:val="22"/>
          <w:szCs w:val="22"/>
          <w:lang w:val="en-US"/>
        </w:rPr>
        <w:t xml:space="preserve"> </w:t>
      </w:r>
      <w:r w:rsidRPr="005A478D">
        <w:rPr>
          <w:rFonts w:ascii="Arial" w:hAnsi="Arial" w:cs="Arial"/>
          <w:sz w:val="22"/>
          <w:szCs w:val="22"/>
          <w:lang w:val="en-US"/>
        </w:rPr>
        <w:t xml:space="preserve">(Figure </w:t>
      </w:r>
      <w:r w:rsidR="00C765B8">
        <w:rPr>
          <w:rFonts w:ascii="Arial" w:hAnsi="Arial" w:cs="Arial"/>
          <w:sz w:val="22"/>
          <w:szCs w:val="22"/>
          <w:lang w:val="en-US"/>
        </w:rPr>
        <w:t>3</w:t>
      </w:r>
      <w:r w:rsidR="007F1F27">
        <w:rPr>
          <w:rFonts w:ascii="Arial" w:hAnsi="Arial" w:cs="Arial"/>
          <w:sz w:val="22"/>
          <w:szCs w:val="22"/>
          <w:lang w:val="en-US"/>
        </w:rPr>
        <w:t>1</w:t>
      </w:r>
      <w:r w:rsidR="00C765B8">
        <w:rPr>
          <w:rFonts w:ascii="Arial" w:hAnsi="Arial" w:cs="Arial"/>
          <w:sz w:val="22"/>
          <w:szCs w:val="22"/>
          <w:lang w:val="en-US"/>
        </w:rPr>
        <w:t>B</w:t>
      </w:r>
      <w:r w:rsidRPr="005A478D">
        <w:rPr>
          <w:rFonts w:ascii="Arial" w:hAnsi="Arial" w:cs="Arial"/>
          <w:sz w:val="22"/>
          <w:szCs w:val="22"/>
          <w:lang w:val="en-US"/>
        </w:rPr>
        <w:t xml:space="preserve">). These data show that CD41 and </w:t>
      </w:r>
      <w:proofErr w:type="spellStart"/>
      <w:r w:rsidRPr="005A478D">
        <w:rPr>
          <w:rFonts w:ascii="Arial" w:hAnsi="Arial" w:cs="Arial"/>
          <w:sz w:val="22"/>
          <w:szCs w:val="22"/>
          <w:lang w:val="en-US"/>
        </w:rPr>
        <w:t>Epcr</w:t>
      </w:r>
      <w:proofErr w:type="spellEnd"/>
      <w:r w:rsidRPr="005A478D">
        <w:rPr>
          <w:rFonts w:ascii="Arial" w:hAnsi="Arial" w:cs="Arial"/>
          <w:sz w:val="22"/>
          <w:szCs w:val="22"/>
          <w:lang w:val="en-US"/>
        </w:rPr>
        <w:t xml:space="preserve"> subpopulations of HSCs do</w:t>
      </w:r>
      <w:r w:rsidR="00F120DD">
        <w:rPr>
          <w:rFonts w:ascii="Arial" w:hAnsi="Arial" w:cs="Arial"/>
          <w:sz w:val="22"/>
          <w:szCs w:val="22"/>
          <w:lang w:val="en-US"/>
        </w:rPr>
        <w:t xml:space="preserve"> </w:t>
      </w:r>
      <w:r w:rsidRPr="005A478D">
        <w:rPr>
          <w:rFonts w:ascii="Arial" w:hAnsi="Arial" w:cs="Arial"/>
          <w:sz w:val="22"/>
          <w:szCs w:val="22"/>
          <w:lang w:val="en-US"/>
        </w:rPr>
        <w:t xml:space="preserve">not always behave reciprocally. </w:t>
      </w:r>
      <w:r w:rsidR="00871707">
        <w:rPr>
          <w:rFonts w:ascii="Arial" w:hAnsi="Arial" w:cs="Arial"/>
          <w:sz w:val="22"/>
          <w:szCs w:val="22"/>
          <w:lang w:val="en-US"/>
        </w:rPr>
        <w:t xml:space="preserve">As </w:t>
      </w:r>
      <w:r w:rsidRPr="005A478D">
        <w:rPr>
          <w:rFonts w:ascii="Arial" w:hAnsi="Arial" w:cs="Arial"/>
          <w:sz w:val="22"/>
          <w:szCs w:val="22"/>
          <w:lang w:val="en-US"/>
        </w:rPr>
        <w:t>TPO was shown to increase the expression of</w:t>
      </w:r>
      <w:r w:rsidR="00F120DD">
        <w:rPr>
          <w:rFonts w:ascii="Arial" w:hAnsi="Arial" w:cs="Arial"/>
          <w:sz w:val="22"/>
          <w:szCs w:val="22"/>
          <w:lang w:val="en-US"/>
        </w:rPr>
        <w:t xml:space="preserve"> </w:t>
      </w:r>
      <w:proofErr w:type="spellStart"/>
      <w:r w:rsidRPr="005A478D">
        <w:rPr>
          <w:rFonts w:ascii="Arial" w:hAnsi="Arial" w:cs="Arial"/>
          <w:sz w:val="22"/>
          <w:szCs w:val="22"/>
          <w:lang w:val="en-US"/>
        </w:rPr>
        <w:t>Epcr</w:t>
      </w:r>
      <w:proofErr w:type="spellEnd"/>
      <w:r w:rsidRPr="005A478D">
        <w:rPr>
          <w:rFonts w:ascii="Arial" w:hAnsi="Arial" w:cs="Arial"/>
          <w:sz w:val="22"/>
          <w:szCs w:val="22"/>
          <w:lang w:val="en-US"/>
        </w:rPr>
        <w:t xml:space="preserve"> </w:t>
      </w:r>
      <w:r w:rsidR="00C765B8">
        <w:rPr>
          <w:rFonts w:ascii="Arial" w:hAnsi="Arial" w:cs="Arial"/>
          <w:sz w:val="22"/>
          <w:szCs w:val="22"/>
          <w:lang w:val="en-US"/>
        </w:rPr>
        <w:fldChar w:fldCharType="begin"/>
      </w:r>
      <w:r w:rsidR="00C765B8">
        <w:rPr>
          <w:rFonts w:ascii="Arial" w:hAnsi="Arial" w:cs="Arial"/>
          <w:sz w:val="22"/>
          <w:szCs w:val="22"/>
          <w:lang w:val="en-US"/>
        </w:rPr>
        <w:instrText xml:space="preserve"> ADDIN ZOTERO_ITEM CSL_CITATION {"citationID":"bg9fincJ","properties":{"formattedCitation":"(Kohlscheen et al., 2019)","plainCitation":"(Kohlscheen et al., 2019)","noteIndex":0},"citationItems":[{"id":1477,"uris":["http://zotero.org/users/2484452/items/93GTRS82"],"uri":["http://zotero.org/users/2484452/items/93GTRS82"],"itemData":{"id":1477,"type":"article-journal","abstract":"Thrombopoietin (Thpo)/myeloproliferative leukemia virus oncogene (Mpl) signaling controls hematopoietic stem cell (HSC) self-renewal and quiescence; however, how these 2 seemingly opposing functions are controlled is not well understood. By transplantation of lentiviral-transduced hematopoietic cells in the Mpl-deficient mouse model, we addressed whether known or predicted Thpo target genes were able to rescue the Mpl-deficient phenotype of the mice. Among the tested genes, we identified endothelial protein C receptor (Epcr) to expand HSCs with the long-term (LT)-HSC surface phenotype in Mpl-/- mice and to enable secondary transplantation of Mpl-deficient bone marrow (BM). Epcr-transduced Mpl-/- HSCs enter quiescence earlier after transplantation than control-transduced Mpl-/- cells, and upregulated expression of the anti-apoptotic gene Bcl-xL. Also, in the wild-type background, Epcr expression marked the engrafting population in the BM. Furthermore, Epcr expression in Mpl-/- hematopoiesis increased the number of megakaryocytes in the BM. In vitro Thpo supported the surface expression of Epcr on primary murine hematopoietic stem and progenitor cells. With these data, we add new insights into Thpo-dependent influence on HSC engraftment after transplantation. This may be of use for the in vitro manipulation of HSCs, also in the context of gene therapy.","container-title":"Blood","DOI":"10.1182/blood-2018-03-837344","ISSN":"1528-0020","issue":"13","journalAbbreviation":"Blood","language":"eng","note":"PMID: 30683655","page":"1465-1478","source":"PubMed","title":"Endothelial protein C receptor supports hematopoietic stem cell engraftment and expansion in Mpl-deficient mice","volume":"133","author":[{"family":"Kohlscheen","given":"Saskia"},{"family":"Schenk","given":"Franziska"},{"family":"Rommel","given":"Marcel G. E."},{"family":"Cullmann","given":"Katharina"},{"family":"Modlich","given":"Ute"}],"issued":{"date-parts":[["2019"]],"season":"28"}}}],"schema":"https://github.com/citation-style-language/schema/raw/master/csl-citation.json"} </w:instrText>
      </w:r>
      <w:r w:rsidR="00C765B8">
        <w:rPr>
          <w:rFonts w:ascii="Arial" w:hAnsi="Arial" w:cs="Arial"/>
          <w:sz w:val="22"/>
          <w:szCs w:val="22"/>
          <w:lang w:val="en-US"/>
        </w:rPr>
        <w:fldChar w:fldCharType="separate"/>
      </w:r>
      <w:r w:rsidR="00C765B8">
        <w:rPr>
          <w:rFonts w:ascii="Arial" w:hAnsi="Arial" w:cs="Arial"/>
          <w:noProof/>
          <w:sz w:val="22"/>
          <w:szCs w:val="22"/>
          <w:lang w:val="en-US"/>
        </w:rPr>
        <w:t>(Kohlscheen et al., 2019)</w:t>
      </w:r>
      <w:r w:rsidR="00C765B8">
        <w:rPr>
          <w:rFonts w:ascii="Arial" w:hAnsi="Arial" w:cs="Arial"/>
          <w:sz w:val="22"/>
          <w:szCs w:val="22"/>
          <w:lang w:val="en-US"/>
        </w:rPr>
        <w:fldChar w:fldCharType="end"/>
      </w:r>
      <w:r w:rsidR="00871707">
        <w:rPr>
          <w:rFonts w:ascii="Arial" w:hAnsi="Arial" w:cs="Arial"/>
          <w:sz w:val="22"/>
          <w:szCs w:val="22"/>
          <w:lang w:val="en-US"/>
        </w:rPr>
        <w:t>,</w:t>
      </w:r>
      <w:r w:rsidRPr="005A478D">
        <w:rPr>
          <w:rFonts w:ascii="Arial" w:hAnsi="Arial" w:cs="Arial"/>
          <w:sz w:val="22"/>
          <w:szCs w:val="22"/>
          <w:lang w:val="en-US"/>
        </w:rPr>
        <w:t xml:space="preserve"> It remains to be determined whether </w:t>
      </w:r>
      <w:proofErr w:type="spellStart"/>
      <w:r w:rsidRPr="005A478D">
        <w:rPr>
          <w:rFonts w:ascii="Arial" w:hAnsi="Arial" w:cs="Arial"/>
          <w:sz w:val="22"/>
          <w:szCs w:val="22"/>
          <w:lang w:val="en-US"/>
        </w:rPr>
        <w:t>Epcr</w:t>
      </w:r>
      <w:proofErr w:type="spellEnd"/>
      <w:r w:rsidRPr="005A478D">
        <w:rPr>
          <w:rFonts w:ascii="Arial" w:hAnsi="Arial" w:cs="Arial"/>
          <w:sz w:val="22"/>
          <w:szCs w:val="22"/>
          <w:lang w:val="en-US"/>
        </w:rPr>
        <w:t xml:space="preserve"> is just</w:t>
      </w:r>
      <w:r w:rsidR="00F120DD">
        <w:rPr>
          <w:rFonts w:ascii="Arial" w:hAnsi="Arial" w:cs="Arial"/>
          <w:sz w:val="22"/>
          <w:szCs w:val="22"/>
          <w:lang w:val="en-US"/>
        </w:rPr>
        <w:t xml:space="preserve"> </w:t>
      </w:r>
      <w:r w:rsidRPr="005A478D">
        <w:rPr>
          <w:rFonts w:ascii="Arial" w:hAnsi="Arial" w:cs="Arial"/>
          <w:sz w:val="22"/>
          <w:szCs w:val="22"/>
          <w:lang w:val="en-US"/>
        </w:rPr>
        <w:t>a marker for quiescence, or if increased expression may also exert functional</w:t>
      </w:r>
      <w:r w:rsidR="00F120DD">
        <w:rPr>
          <w:rFonts w:ascii="Arial" w:hAnsi="Arial" w:cs="Arial"/>
          <w:sz w:val="22"/>
          <w:szCs w:val="22"/>
          <w:lang w:val="en-US"/>
        </w:rPr>
        <w:t xml:space="preserve"> </w:t>
      </w:r>
      <w:r w:rsidRPr="005A478D">
        <w:rPr>
          <w:rFonts w:ascii="Arial" w:hAnsi="Arial" w:cs="Arial"/>
          <w:sz w:val="22"/>
          <w:szCs w:val="22"/>
          <w:lang w:val="en-US"/>
        </w:rPr>
        <w:t>effects on HSCs on its own</w:t>
      </w:r>
      <w:r w:rsidR="00871707">
        <w:rPr>
          <w:rFonts w:ascii="Arial" w:hAnsi="Arial" w:cs="Arial"/>
          <w:sz w:val="22"/>
          <w:szCs w:val="22"/>
          <w:lang w:val="en-US"/>
        </w:rPr>
        <w:t>.</w:t>
      </w:r>
    </w:p>
    <w:p w14:paraId="3C2510EB" w14:textId="77777777" w:rsidR="00C765B8" w:rsidRDefault="00C765B8" w:rsidP="00C765B8">
      <w:pPr>
        <w:spacing w:line="360" w:lineRule="auto"/>
        <w:jc w:val="center"/>
        <w:rPr>
          <w:rFonts w:ascii="Arial" w:hAnsi="Arial" w:cs="Arial"/>
          <w:sz w:val="22"/>
          <w:szCs w:val="22"/>
          <w:lang w:val="en-US"/>
        </w:rPr>
      </w:pPr>
      <w:r w:rsidRPr="000D0D78">
        <w:rPr>
          <w:rFonts w:ascii="Arial" w:hAnsi="Arial" w:cs="Arial"/>
          <w:noProof/>
          <w:sz w:val="22"/>
          <w:szCs w:val="22"/>
          <w:lang w:val="cs-CZ" w:eastAsia="cs-CZ"/>
        </w:rPr>
        <w:lastRenderedPageBreak/>
        <w:drawing>
          <wp:inline distT="0" distB="0" distL="0" distR="0" wp14:anchorId="24ADECD0" wp14:editId="3F62A72D">
            <wp:extent cx="3888188" cy="3888188"/>
            <wp:effectExtent l="0" t="0" r="0" b="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893420" cy="3893420"/>
                    </a:xfrm>
                    <a:prstGeom prst="rect">
                      <a:avLst/>
                    </a:prstGeom>
                  </pic:spPr>
                </pic:pic>
              </a:graphicData>
            </a:graphic>
          </wp:inline>
        </w:drawing>
      </w:r>
    </w:p>
    <w:p w14:paraId="7506CFD3" w14:textId="77777777" w:rsidR="00C765B8" w:rsidRPr="006F5ABC" w:rsidRDefault="00C765B8" w:rsidP="00C765B8">
      <w:pPr>
        <w:spacing w:line="360" w:lineRule="auto"/>
        <w:jc w:val="both"/>
        <w:rPr>
          <w:rFonts w:ascii="Arial" w:hAnsi="Arial" w:cs="Arial"/>
          <w:sz w:val="22"/>
          <w:szCs w:val="22"/>
          <w:lang w:val="en-US"/>
        </w:rPr>
      </w:pPr>
      <w:r w:rsidRPr="006F5ABC">
        <w:rPr>
          <w:rFonts w:ascii="Arial" w:hAnsi="Arial" w:cs="Arial"/>
          <w:b/>
          <w:bCs/>
          <w:sz w:val="22"/>
          <w:szCs w:val="22"/>
          <w:lang w:val="en-US"/>
        </w:rPr>
        <w:t>Figure 3</w:t>
      </w:r>
      <w:r w:rsidR="00750F84">
        <w:rPr>
          <w:rFonts w:ascii="Arial" w:hAnsi="Arial" w:cs="Arial"/>
          <w:b/>
          <w:bCs/>
          <w:sz w:val="22"/>
          <w:szCs w:val="22"/>
          <w:lang w:val="en-US"/>
        </w:rPr>
        <w:t>1</w:t>
      </w:r>
      <w:r w:rsidRPr="006F5ABC">
        <w:rPr>
          <w:rFonts w:ascii="Arial" w:hAnsi="Arial" w:cs="Arial"/>
          <w:sz w:val="22"/>
          <w:szCs w:val="22"/>
          <w:lang w:val="en-US"/>
        </w:rPr>
        <w:t xml:space="preserve">: Effects of mouse TPO and </w:t>
      </w:r>
      <w:proofErr w:type="spellStart"/>
      <w:r w:rsidRPr="006F5ABC">
        <w:rPr>
          <w:rFonts w:ascii="Arial" w:hAnsi="Arial" w:cs="Arial"/>
          <w:sz w:val="22"/>
          <w:szCs w:val="22"/>
          <w:lang w:val="en-US"/>
        </w:rPr>
        <w:t>pIpC</w:t>
      </w:r>
      <w:proofErr w:type="spellEnd"/>
      <w:r w:rsidRPr="006F5ABC">
        <w:rPr>
          <w:rFonts w:ascii="Arial" w:hAnsi="Arial" w:cs="Arial"/>
          <w:sz w:val="22"/>
          <w:szCs w:val="22"/>
          <w:lang w:val="en-US"/>
        </w:rPr>
        <w:t xml:space="preserve"> on percentages of bone marrow CD41</w:t>
      </w:r>
      <w:r w:rsidRPr="006F5ABC">
        <w:rPr>
          <w:rFonts w:ascii="Arial" w:hAnsi="Arial" w:cs="Arial"/>
          <w:sz w:val="22"/>
          <w:szCs w:val="22"/>
          <w:vertAlign w:val="superscript"/>
          <w:lang w:val="en-US"/>
        </w:rPr>
        <w:t>hi</w:t>
      </w:r>
      <w:r w:rsidRPr="006F5ABC">
        <w:rPr>
          <w:rFonts w:ascii="Arial" w:hAnsi="Arial" w:cs="Arial"/>
          <w:sz w:val="22"/>
          <w:szCs w:val="22"/>
          <w:lang w:val="en-US"/>
        </w:rPr>
        <w:t xml:space="preserve"> and </w:t>
      </w:r>
      <w:proofErr w:type="spellStart"/>
      <w:r w:rsidRPr="006F5ABC">
        <w:rPr>
          <w:rFonts w:ascii="Arial" w:hAnsi="Arial" w:cs="Arial"/>
          <w:sz w:val="22"/>
          <w:szCs w:val="22"/>
          <w:lang w:val="en-US"/>
        </w:rPr>
        <w:t>Epcr</w:t>
      </w:r>
      <w:r w:rsidRPr="006F5ABC">
        <w:rPr>
          <w:rFonts w:ascii="Arial" w:hAnsi="Arial" w:cs="Arial"/>
          <w:sz w:val="22"/>
          <w:szCs w:val="22"/>
          <w:vertAlign w:val="superscript"/>
          <w:lang w:val="en-US"/>
        </w:rPr>
        <w:t>hi</w:t>
      </w:r>
      <w:proofErr w:type="spellEnd"/>
      <w:r w:rsidRPr="006F5ABC">
        <w:rPr>
          <w:rFonts w:ascii="Arial" w:hAnsi="Arial" w:cs="Arial"/>
          <w:sz w:val="22"/>
          <w:szCs w:val="22"/>
          <w:lang w:val="en-US"/>
        </w:rPr>
        <w:t xml:space="preserve"> HSCs in </w:t>
      </w:r>
      <w:r w:rsidRPr="006F5ABC">
        <w:rPr>
          <w:rFonts w:ascii="Arial" w:hAnsi="Arial" w:cs="Arial"/>
          <w:i/>
          <w:iCs/>
          <w:sz w:val="22"/>
          <w:szCs w:val="22"/>
          <w:lang w:val="en-US"/>
        </w:rPr>
        <w:t>WT</w:t>
      </w:r>
      <w:r w:rsidRPr="006F5ABC">
        <w:rPr>
          <w:rFonts w:ascii="Arial" w:hAnsi="Arial" w:cs="Arial"/>
          <w:sz w:val="22"/>
          <w:szCs w:val="22"/>
          <w:lang w:val="en-US"/>
        </w:rPr>
        <w:t xml:space="preserve"> and </w:t>
      </w:r>
      <w:r w:rsidRPr="006F5ABC">
        <w:rPr>
          <w:rFonts w:ascii="Arial" w:hAnsi="Arial" w:cs="Arial"/>
          <w:i/>
          <w:iCs/>
          <w:sz w:val="22"/>
          <w:szCs w:val="22"/>
          <w:lang w:val="en-US"/>
        </w:rPr>
        <w:t>VF</w:t>
      </w:r>
      <w:r w:rsidRPr="006F5ABC">
        <w:rPr>
          <w:rFonts w:ascii="Arial" w:hAnsi="Arial" w:cs="Arial"/>
          <w:sz w:val="22"/>
          <w:szCs w:val="22"/>
          <w:lang w:val="en-US"/>
        </w:rPr>
        <w:t xml:space="preserve"> mice. </w:t>
      </w:r>
      <w:r w:rsidRPr="006F5ABC">
        <w:rPr>
          <w:rFonts w:ascii="Arial" w:hAnsi="Arial" w:cs="Arial"/>
          <w:b/>
          <w:bCs/>
          <w:sz w:val="22"/>
          <w:szCs w:val="22"/>
          <w:lang w:val="en-US"/>
        </w:rPr>
        <w:t>A</w:t>
      </w:r>
      <w:r w:rsidRPr="006F5ABC">
        <w:rPr>
          <w:rFonts w:ascii="Arial" w:hAnsi="Arial" w:cs="Arial"/>
          <w:sz w:val="22"/>
          <w:szCs w:val="22"/>
          <w:lang w:val="en-US"/>
        </w:rPr>
        <w:t xml:space="preserve"> Schematic showing </w:t>
      </w:r>
      <w:r w:rsidRPr="006F5ABC">
        <w:rPr>
          <w:rFonts w:ascii="Arial" w:hAnsi="Arial" w:cs="Arial"/>
          <w:i/>
          <w:iCs/>
          <w:sz w:val="22"/>
          <w:szCs w:val="22"/>
          <w:lang w:val="en-US"/>
        </w:rPr>
        <w:t>in vivo</w:t>
      </w:r>
      <w:r w:rsidRPr="006F5ABC">
        <w:rPr>
          <w:rFonts w:ascii="Arial" w:hAnsi="Arial" w:cs="Arial"/>
          <w:sz w:val="22"/>
          <w:szCs w:val="22"/>
          <w:lang w:val="en-US"/>
        </w:rPr>
        <w:t xml:space="preserve"> TPO (200μg/kg; </w:t>
      </w:r>
      <w:proofErr w:type="spellStart"/>
      <w:r w:rsidRPr="006F5ABC">
        <w:rPr>
          <w:rFonts w:ascii="Arial" w:hAnsi="Arial" w:cs="Arial"/>
          <w:sz w:val="22"/>
          <w:szCs w:val="22"/>
          <w:lang w:val="en-US"/>
        </w:rPr>
        <w:t>i.p.</w:t>
      </w:r>
      <w:proofErr w:type="spellEnd"/>
      <w:r w:rsidRPr="006F5ABC">
        <w:rPr>
          <w:rFonts w:ascii="Arial" w:hAnsi="Arial" w:cs="Arial"/>
          <w:sz w:val="22"/>
          <w:szCs w:val="22"/>
          <w:lang w:val="en-US"/>
        </w:rPr>
        <w:t xml:space="preserve">) or </w:t>
      </w:r>
      <w:proofErr w:type="spellStart"/>
      <w:r w:rsidRPr="006F5ABC">
        <w:rPr>
          <w:rFonts w:ascii="Arial" w:hAnsi="Arial" w:cs="Arial"/>
          <w:sz w:val="22"/>
          <w:szCs w:val="22"/>
          <w:lang w:val="en-US"/>
        </w:rPr>
        <w:t>pIpC</w:t>
      </w:r>
      <w:proofErr w:type="spellEnd"/>
      <w:r w:rsidRPr="006F5ABC">
        <w:rPr>
          <w:rFonts w:ascii="Arial" w:hAnsi="Arial" w:cs="Arial"/>
          <w:sz w:val="22"/>
          <w:szCs w:val="22"/>
          <w:lang w:val="en-US"/>
        </w:rPr>
        <w:t xml:space="preserve"> (300μg/mouse </w:t>
      </w:r>
      <w:proofErr w:type="spellStart"/>
      <w:r w:rsidRPr="006F5ABC">
        <w:rPr>
          <w:rFonts w:ascii="Arial" w:hAnsi="Arial" w:cs="Arial"/>
          <w:sz w:val="22"/>
          <w:szCs w:val="22"/>
          <w:lang w:val="en-US"/>
        </w:rPr>
        <w:t>i.p.</w:t>
      </w:r>
      <w:proofErr w:type="spellEnd"/>
      <w:r w:rsidRPr="006F5ABC">
        <w:rPr>
          <w:rFonts w:ascii="Arial" w:hAnsi="Arial" w:cs="Arial"/>
          <w:sz w:val="22"/>
          <w:szCs w:val="22"/>
          <w:lang w:val="en-US"/>
        </w:rPr>
        <w:t>) stimulation and assessment of CD41</w:t>
      </w:r>
      <w:r w:rsidRPr="006F5ABC">
        <w:rPr>
          <w:rFonts w:ascii="Arial" w:hAnsi="Arial" w:cs="Arial"/>
          <w:sz w:val="22"/>
          <w:szCs w:val="22"/>
          <w:vertAlign w:val="superscript"/>
          <w:lang w:val="en-US"/>
        </w:rPr>
        <w:t>hi</w:t>
      </w:r>
      <w:r w:rsidRPr="006F5ABC">
        <w:rPr>
          <w:rFonts w:ascii="Arial" w:hAnsi="Arial" w:cs="Arial"/>
          <w:sz w:val="22"/>
          <w:szCs w:val="22"/>
          <w:lang w:val="en-US"/>
        </w:rPr>
        <w:t xml:space="preserve"> HSCs in </w:t>
      </w:r>
      <w:r w:rsidRPr="006F5ABC">
        <w:rPr>
          <w:rFonts w:ascii="Arial" w:hAnsi="Arial" w:cs="Arial"/>
          <w:i/>
          <w:iCs/>
          <w:sz w:val="22"/>
          <w:szCs w:val="22"/>
          <w:lang w:val="en-US"/>
        </w:rPr>
        <w:t>WT</w:t>
      </w:r>
      <w:r w:rsidRPr="006F5ABC">
        <w:rPr>
          <w:rFonts w:ascii="Arial" w:hAnsi="Arial" w:cs="Arial"/>
          <w:sz w:val="22"/>
          <w:szCs w:val="22"/>
          <w:lang w:val="en-US"/>
        </w:rPr>
        <w:t xml:space="preserve"> and </w:t>
      </w:r>
      <w:r w:rsidRPr="006F5ABC">
        <w:rPr>
          <w:rFonts w:ascii="Arial" w:hAnsi="Arial" w:cs="Arial"/>
          <w:i/>
          <w:iCs/>
          <w:sz w:val="22"/>
          <w:szCs w:val="22"/>
          <w:lang w:val="en-US"/>
        </w:rPr>
        <w:t>VF</w:t>
      </w:r>
      <w:r w:rsidRPr="006F5ABC">
        <w:rPr>
          <w:rFonts w:ascii="Arial" w:hAnsi="Arial" w:cs="Arial"/>
          <w:sz w:val="22"/>
          <w:szCs w:val="22"/>
          <w:lang w:val="en-US"/>
        </w:rPr>
        <w:t xml:space="preserve"> mice. </w:t>
      </w:r>
      <w:r w:rsidRPr="006F5ABC">
        <w:rPr>
          <w:rFonts w:ascii="Arial" w:hAnsi="Arial" w:cs="Arial"/>
          <w:b/>
          <w:bCs/>
          <w:sz w:val="22"/>
          <w:szCs w:val="22"/>
          <w:lang w:val="en-US"/>
        </w:rPr>
        <w:t>B</w:t>
      </w:r>
      <w:r w:rsidRPr="006F5ABC">
        <w:rPr>
          <w:rFonts w:ascii="Arial" w:hAnsi="Arial" w:cs="Arial"/>
          <w:sz w:val="22"/>
          <w:szCs w:val="22"/>
          <w:lang w:val="en-US"/>
        </w:rPr>
        <w:t xml:space="preserve"> Graph showing the percentages of CD41</w:t>
      </w:r>
      <w:r w:rsidRPr="006F5ABC">
        <w:rPr>
          <w:rFonts w:ascii="Arial" w:hAnsi="Arial" w:cs="Arial"/>
          <w:sz w:val="22"/>
          <w:szCs w:val="22"/>
          <w:vertAlign w:val="superscript"/>
          <w:lang w:val="en-US"/>
        </w:rPr>
        <w:t>hi</w:t>
      </w:r>
      <w:r w:rsidRPr="006F5ABC">
        <w:rPr>
          <w:rFonts w:ascii="Arial" w:hAnsi="Arial" w:cs="Arial"/>
          <w:sz w:val="22"/>
          <w:szCs w:val="22"/>
          <w:lang w:val="en-US"/>
        </w:rPr>
        <w:t xml:space="preserve"> and </w:t>
      </w:r>
      <w:proofErr w:type="spellStart"/>
      <w:r w:rsidRPr="006F5ABC">
        <w:rPr>
          <w:rFonts w:ascii="Arial" w:hAnsi="Arial" w:cs="Arial"/>
          <w:sz w:val="22"/>
          <w:szCs w:val="22"/>
          <w:lang w:val="en-US"/>
        </w:rPr>
        <w:t>Epcr</w:t>
      </w:r>
      <w:r w:rsidRPr="006F5ABC">
        <w:rPr>
          <w:rFonts w:ascii="Arial" w:hAnsi="Arial" w:cs="Arial"/>
          <w:sz w:val="22"/>
          <w:szCs w:val="22"/>
          <w:vertAlign w:val="superscript"/>
          <w:lang w:val="en-US"/>
        </w:rPr>
        <w:t>hi</w:t>
      </w:r>
      <w:proofErr w:type="spellEnd"/>
      <w:r w:rsidRPr="006F5ABC">
        <w:rPr>
          <w:rFonts w:ascii="Arial" w:hAnsi="Arial" w:cs="Arial"/>
          <w:sz w:val="22"/>
          <w:szCs w:val="22"/>
          <w:lang w:val="en-US"/>
        </w:rPr>
        <w:t xml:space="preserve"> HSCs in </w:t>
      </w:r>
      <w:r w:rsidRPr="006F5ABC">
        <w:rPr>
          <w:rFonts w:ascii="Arial" w:hAnsi="Arial" w:cs="Arial"/>
          <w:i/>
          <w:iCs/>
          <w:sz w:val="22"/>
          <w:szCs w:val="22"/>
          <w:lang w:val="en-US"/>
        </w:rPr>
        <w:t>WT</w:t>
      </w:r>
      <w:r w:rsidRPr="006F5ABC">
        <w:rPr>
          <w:rFonts w:ascii="Arial" w:hAnsi="Arial" w:cs="Arial"/>
          <w:sz w:val="22"/>
          <w:szCs w:val="22"/>
          <w:lang w:val="en-US"/>
        </w:rPr>
        <w:t xml:space="preserve"> and </w:t>
      </w:r>
      <w:r w:rsidRPr="006F5ABC">
        <w:rPr>
          <w:rFonts w:ascii="Arial" w:hAnsi="Arial" w:cs="Arial"/>
          <w:i/>
          <w:iCs/>
          <w:sz w:val="22"/>
          <w:szCs w:val="22"/>
          <w:lang w:val="en-US"/>
        </w:rPr>
        <w:t>VF</w:t>
      </w:r>
      <w:r w:rsidRPr="006F5ABC">
        <w:rPr>
          <w:rFonts w:ascii="Arial" w:hAnsi="Arial" w:cs="Arial"/>
          <w:sz w:val="22"/>
          <w:szCs w:val="22"/>
          <w:lang w:val="en-US"/>
        </w:rPr>
        <w:t xml:space="preserve"> mice treated with saline or TPO or </w:t>
      </w:r>
      <w:proofErr w:type="spellStart"/>
      <w:r w:rsidRPr="006F5ABC">
        <w:rPr>
          <w:rFonts w:ascii="Arial" w:hAnsi="Arial" w:cs="Arial"/>
          <w:sz w:val="22"/>
          <w:szCs w:val="22"/>
          <w:lang w:val="en-US"/>
        </w:rPr>
        <w:t>pIpC</w:t>
      </w:r>
      <w:proofErr w:type="spellEnd"/>
      <w:r w:rsidRPr="006F5ABC">
        <w:rPr>
          <w:rFonts w:ascii="Arial" w:hAnsi="Arial" w:cs="Arial"/>
          <w:sz w:val="22"/>
          <w:szCs w:val="22"/>
          <w:lang w:val="en-US"/>
        </w:rPr>
        <w:t xml:space="preserve">. One-way ANOVA test. All data shown are mean ± SEM. </w:t>
      </w:r>
      <w:r w:rsidRPr="006F5ABC">
        <w:rPr>
          <w:rFonts w:ascii="Cambria Math" w:hAnsi="Cambria Math" w:cs="Cambria Math"/>
          <w:sz w:val="22"/>
          <w:szCs w:val="22"/>
          <w:lang w:val="en-US"/>
        </w:rPr>
        <w:t>∗</w:t>
      </w:r>
      <w:r w:rsidRPr="006F5ABC">
        <w:rPr>
          <w:rFonts w:ascii="Arial" w:hAnsi="Arial" w:cs="Arial"/>
          <w:sz w:val="22"/>
          <w:szCs w:val="22"/>
          <w:lang w:val="en-US"/>
        </w:rPr>
        <w:t xml:space="preserve">p &lt;0.05; </w:t>
      </w:r>
      <w:r w:rsidRPr="006F5ABC">
        <w:rPr>
          <w:rFonts w:ascii="Cambria Math" w:hAnsi="Cambria Math" w:cs="Cambria Math"/>
          <w:sz w:val="22"/>
          <w:szCs w:val="22"/>
          <w:lang w:val="en-US"/>
        </w:rPr>
        <w:t>∗∗∗</w:t>
      </w:r>
      <w:r w:rsidRPr="006F5ABC">
        <w:rPr>
          <w:rFonts w:ascii="Arial" w:hAnsi="Arial" w:cs="Arial"/>
          <w:sz w:val="22"/>
          <w:szCs w:val="22"/>
          <w:lang w:val="en-US"/>
        </w:rPr>
        <w:t xml:space="preserve">p &lt; </w:t>
      </w:r>
      <w:proofErr w:type="gramStart"/>
      <w:r w:rsidRPr="006F5ABC">
        <w:rPr>
          <w:rFonts w:ascii="Arial" w:hAnsi="Arial" w:cs="Arial"/>
          <w:sz w:val="22"/>
          <w:szCs w:val="22"/>
          <w:lang w:val="en-US"/>
        </w:rPr>
        <w:t>0.001;</w:t>
      </w:r>
      <w:r w:rsidRPr="006F5ABC">
        <w:rPr>
          <w:rFonts w:ascii="Cambria Math" w:hAnsi="Cambria Math" w:cs="Cambria Math"/>
          <w:sz w:val="22"/>
          <w:szCs w:val="22"/>
          <w:lang w:val="en-US"/>
        </w:rPr>
        <w:t>∗</w:t>
      </w:r>
      <w:proofErr w:type="gramEnd"/>
      <w:r w:rsidRPr="006F5ABC">
        <w:rPr>
          <w:rFonts w:ascii="Cambria Math" w:hAnsi="Cambria Math" w:cs="Cambria Math"/>
          <w:sz w:val="22"/>
          <w:szCs w:val="22"/>
          <w:lang w:val="en-US"/>
        </w:rPr>
        <w:t>∗∗∗</w:t>
      </w:r>
      <w:r w:rsidRPr="006F5ABC">
        <w:rPr>
          <w:rFonts w:ascii="Arial" w:hAnsi="Arial" w:cs="Arial"/>
          <w:sz w:val="22"/>
          <w:szCs w:val="22"/>
          <w:lang w:val="en-US"/>
        </w:rPr>
        <w:t>p &lt; 0.0001.</w:t>
      </w:r>
    </w:p>
    <w:p w14:paraId="215FC44B" w14:textId="77777777" w:rsidR="00871707" w:rsidRPr="006F5ABC" w:rsidRDefault="00871707" w:rsidP="00C765B8">
      <w:pPr>
        <w:spacing w:line="360" w:lineRule="auto"/>
        <w:jc w:val="both"/>
        <w:rPr>
          <w:rFonts w:ascii="Arial" w:hAnsi="Arial" w:cs="Arial"/>
          <w:sz w:val="22"/>
          <w:szCs w:val="22"/>
          <w:lang w:val="en-US"/>
        </w:rPr>
      </w:pPr>
    </w:p>
    <w:p w14:paraId="71FA47C9" w14:textId="77777777" w:rsidR="00A62011" w:rsidRPr="006F5ABC" w:rsidRDefault="00A62011" w:rsidP="00A62011">
      <w:pPr>
        <w:spacing w:line="360" w:lineRule="auto"/>
        <w:jc w:val="both"/>
        <w:rPr>
          <w:rFonts w:ascii="Arial" w:hAnsi="Arial" w:cs="Arial"/>
          <w:sz w:val="22"/>
          <w:szCs w:val="22"/>
          <w:lang w:val="en-US"/>
        </w:rPr>
      </w:pPr>
      <w:r w:rsidRPr="006F5ABC">
        <w:rPr>
          <w:rFonts w:ascii="Arial" w:hAnsi="Arial" w:cs="Arial"/>
          <w:sz w:val="22"/>
          <w:szCs w:val="22"/>
          <w:lang w:val="en-US"/>
        </w:rPr>
        <w:t xml:space="preserve">Since expression of Sca-1, as one of the interferon responsive genes, varies upon interferon treatment </w:t>
      </w:r>
      <w:r w:rsidRPr="006F5ABC">
        <w:rPr>
          <w:rFonts w:ascii="Arial" w:hAnsi="Arial" w:cs="Arial"/>
          <w:sz w:val="22"/>
          <w:szCs w:val="22"/>
          <w:lang w:val="en-US"/>
        </w:rPr>
        <w:fldChar w:fldCharType="begin"/>
      </w:r>
      <w:r w:rsidRPr="006F5ABC">
        <w:rPr>
          <w:rFonts w:ascii="Arial" w:hAnsi="Arial" w:cs="Arial"/>
          <w:sz w:val="22"/>
          <w:szCs w:val="22"/>
          <w:lang w:val="en-US"/>
        </w:rPr>
        <w:instrText xml:space="preserve"> ADDIN ZOTERO_ITEM CSL_CITATION {"citationID":"3Q1FZ2vo","properties":{"formattedCitation":"(Dumont et al., 1986)","plainCitation":"(Dumont et al., 1986)","noteIndex":0},"citationItems":[{"id":1464,"uris":["http://zotero.org/users/2484452/items/RGQEXP3B"],"uri":["http://zotero.org/users/2484452/items/RGQEXP3B"],"itemData":{"id":1464,"type":"article-journal","abstract":"The murine Ly-6 locus controls multiple cell surface antigenic specificities with distinct cellular and tissue distributions. Although the functions of Ly-6 antigens are unknown, several of these antigens represent interesting markers of T cell differentiation and activation. In this work we used a panel of monoclonal antibodies (MAb) in conjunction with flow cytofluorometry (FCF) analysis to investigate the effect of interferon (IFN) on the surface representation of T cell-associated Ly-6 antigens. It was found that in vitro treatment of purified T cells from both C57Bl/6 (Ly-6.2) and BALB/c (Ly-6.1) mice with 10 to 10(4) U IFN-alpha/beta/ml results in a dose-dependent enhancement of Ly-6 antigen expression. This effect was already detectable after 12 to 18 hr and culminated after 48 hr of incubation. Both frequencies and brightness of Ly-6 bearing cells were increased. The most dramatic shifts were observed for the Ly-6A, D, and E antigens, which were augmented by eightfold to 20-fold upon exposure to 10(4) U IFN alpha/beta/ml. Expression of Ly-6C antigens was enhanced by fourfold to sixfold under the same conditions. Immunochemical analyses and use of metabolic inhibitors additionally demonstrated that such IFN-alpha/beta-induced phenotypic alterations of T cells reflect augmented de novo biosynthesis of Ly-6 molecules. Comparison of purified IFN-alpha and IFN-beta revealed that both are equally active in influencing Ly-6. IFN-gamma also enhanced Ly-6 expression but less efficiently than IFN-alpha/beta. Additional experiments were carried out to determine the selectivity of IFN-alpha/beta action on T cell phenotype. These studies demonstrated that IFN-induced Ly-6 enhancement occurs without emergence of interleukin 2 or transferrin receptors. Expression of H-2 and beta 2m antigens, previously known to be sensitive to IFN, was increased but to a much lesser extent than Ly-6. Most other cell surface antigens examined were minimally affected by IFN-alpha/beta with the exception of Ly-11 and Ly-23. Augmentation of these latter markers was lower than for Ly-6 antigens, however. Therefore the Ly-6 locus appears to be preferentially activated by IFN-alpha/beta in resting T cells. Additional exploration of this phenomenon should provide insight into both the biological significance of Ly-6 antigens and the mechanism(s) by which IFN affect T cell functions.","container-title":"Journal of Immunology (Baltimore, Md.: 1950)","ISSN":"0022-1767","issue":"1","journalAbbreviation":"J. Immunol.","language":"eng","note":"PMID: 2423601","page":"201-210","source":"PubMed","title":"Phenotypic changes induced by interferon in resting T cells: major enhancement of Ly-6 antigen expression","title-short":"Phenotypic changes induced by interferon in resting T cells","volume":"137","author":[{"family":"Dumont","given":"F. J."},{"family":"Palfree","given":"R. G."},{"family":"Coker","given":"L. Z."}],"issued":{"date-parts":[["1986",7,1]]}}}],"schema":"https://github.com/citation-style-language/schema/raw/master/csl-citation.json"} </w:instrText>
      </w:r>
      <w:r w:rsidRPr="006F5ABC">
        <w:rPr>
          <w:rFonts w:ascii="Arial" w:hAnsi="Arial" w:cs="Arial"/>
          <w:sz w:val="22"/>
          <w:szCs w:val="22"/>
          <w:lang w:val="en-US"/>
        </w:rPr>
        <w:fldChar w:fldCharType="separate"/>
      </w:r>
      <w:r w:rsidRPr="006F5ABC">
        <w:rPr>
          <w:rFonts w:ascii="Arial" w:hAnsi="Arial" w:cs="Arial"/>
          <w:noProof/>
          <w:sz w:val="22"/>
          <w:szCs w:val="22"/>
          <w:lang w:val="en-US"/>
        </w:rPr>
        <w:t>(Dumont et al., 1986)</w:t>
      </w:r>
      <w:r w:rsidRPr="006F5ABC">
        <w:rPr>
          <w:rFonts w:ascii="Arial" w:hAnsi="Arial" w:cs="Arial"/>
          <w:sz w:val="22"/>
          <w:szCs w:val="22"/>
          <w:lang w:val="en-US"/>
        </w:rPr>
        <w:fldChar w:fldCharType="end"/>
      </w:r>
      <w:r w:rsidRPr="006F5ABC">
        <w:rPr>
          <w:rFonts w:ascii="Arial" w:hAnsi="Arial" w:cs="Arial"/>
          <w:sz w:val="22"/>
          <w:szCs w:val="22"/>
          <w:lang w:val="en-US"/>
        </w:rPr>
        <w:t>; we needed to verify if the gating strategy of CD41</w:t>
      </w:r>
      <w:r w:rsidRPr="006F5ABC">
        <w:rPr>
          <w:rFonts w:ascii="Arial" w:hAnsi="Arial" w:cs="Arial"/>
          <w:sz w:val="22"/>
          <w:szCs w:val="22"/>
          <w:vertAlign w:val="superscript"/>
          <w:lang w:val="en-US"/>
        </w:rPr>
        <w:t>hi</w:t>
      </w:r>
      <w:r w:rsidRPr="006F5ABC">
        <w:rPr>
          <w:rFonts w:ascii="Arial" w:hAnsi="Arial" w:cs="Arial"/>
          <w:sz w:val="22"/>
          <w:szCs w:val="22"/>
          <w:lang w:val="en-US"/>
        </w:rPr>
        <w:t xml:space="preserve"> HSCs (CD48</w:t>
      </w:r>
      <w:r w:rsidRPr="006F5ABC">
        <w:rPr>
          <w:rFonts w:ascii="Arial" w:hAnsi="Arial" w:cs="Arial"/>
          <w:sz w:val="22"/>
          <w:szCs w:val="22"/>
          <w:vertAlign w:val="superscript"/>
          <w:lang w:val="en-US"/>
        </w:rPr>
        <w:t>-</w:t>
      </w:r>
      <w:r w:rsidRPr="006F5ABC">
        <w:rPr>
          <w:rFonts w:ascii="Arial" w:hAnsi="Arial" w:cs="Arial"/>
          <w:sz w:val="22"/>
          <w:szCs w:val="22"/>
          <w:lang w:val="en-US"/>
        </w:rPr>
        <w:t>, CD150</w:t>
      </w:r>
      <w:r w:rsidRPr="006F5ABC">
        <w:rPr>
          <w:rFonts w:ascii="Arial" w:hAnsi="Arial" w:cs="Arial"/>
          <w:sz w:val="22"/>
          <w:szCs w:val="22"/>
          <w:vertAlign w:val="superscript"/>
          <w:lang w:val="en-US"/>
        </w:rPr>
        <w:t>+</w:t>
      </w:r>
      <w:r w:rsidRPr="006F5ABC">
        <w:rPr>
          <w:rFonts w:ascii="Arial" w:hAnsi="Arial" w:cs="Arial"/>
          <w:sz w:val="22"/>
          <w:szCs w:val="22"/>
          <w:lang w:val="en-US"/>
        </w:rPr>
        <w:t>, CD41</w:t>
      </w:r>
      <w:r w:rsidRPr="006F5ABC">
        <w:rPr>
          <w:rFonts w:ascii="Arial" w:hAnsi="Arial" w:cs="Arial"/>
          <w:sz w:val="22"/>
          <w:szCs w:val="22"/>
          <w:vertAlign w:val="superscript"/>
          <w:lang w:val="en-US"/>
        </w:rPr>
        <w:t>hi</w:t>
      </w:r>
      <w:r w:rsidRPr="006F5ABC">
        <w:rPr>
          <w:rFonts w:ascii="Arial" w:hAnsi="Arial" w:cs="Arial"/>
          <w:sz w:val="22"/>
          <w:szCs w:val="22"/>
          <w:lang w:val="en-US"/>
        </w:rPr>
        <w:t>) from the LSK (Linage</w:t>
      </w:r>
      <w:r w:rsidRPr="006F5ABC">
        <w:rPr>
          <w:rFonts w:ascii="Arial" w:hAnsi="Arial" w:cs="Arial"/>
          <w:sz w:val="22"/>
          <w:szCs w:val="22"/>
          <w:vertAlign w:val="superscript"/>
          <w:lang w:val="en-US"/>
        </w:rPr>
        <w:t>-</w:t>
      </w:r>
      <w:r w:rsidRPr="006F5ABC">
        <w:rPr>
          <w:rFonts w:ascii="Arial" w:hAnsi="Arial" w:cs="Arial"/>
          <w:sz w:val="22"/>
          <w:szCs w:val="22"/>
          <w:lang w:val="en-US"/>
        </w:rPr>
        <w:t>, c-Kit</w:t>
      </w:r>
      <w:r w:rsidRPr="006F5ABC">
        <w:rPr>
          <w:rFonts w:ascii="Arial" w:hAnsi="Arial" w:cs="Arial"/>
          <w:sz w:val="22"/>
          <w:szCs w:val="22"/>
          <w:vertAlign w:val="superscript"/>
          <w:lang w:val="en-US"/>
        </w:rPr>
        <w:t>+</w:t>
      </w:r>
      <w:r w:rsidRPr="006F5ABC">
        <w:rPr>
          <w:rFonts w:ascii="Arial" w:hAnsi="Arial" w:cs="Arial"/>
          <w:sz w:val="22"/>
          <w:szCs w:val="22"/>
          <w:lang w:val="en-US"/>
        </w:rPr>
        <w:t>, Sca-1</w:t>
      </w:r>
      <w:r w:rsidRPr="006F5ABC">
        <w:rPr>
          <w:rFonts w:ascii="Arial" w:hAnsi="Arial" w:cs="Arial"/>
          <w:sz w:val="22"/>
          <w:szCs w:val="22"/>
          <w:vertAlign w:val="superscript"/>
          <w:lang w:val="en-US"/>
        </w:rPr>
        <w:t>+</w:t>
      </w:r>
      <w:r w:rsidRPr="006F5ABC">
        <w:rPr>
          <w:rFonts w:ascii="Arial" w:hAnsi="Arial" w:cs="Arial"/>
          <w:sz w:val="22"/>
          <w:szCs w:val="22"/>
          <w:lang w:val="en-US"/>
        </w:rPr>
        <w:t>) compartment is correct. This is mainly due to possible contamination of megakaryocyte progenitors (</w:t>
      </w:r>
      <w:proofErr w:type="spellStart"/>
      <w:r w:rsidRPr="006F5ABC">
        <w:rPr>
          <w:rFonts w:ascii="Arial" w:hAnsi="Arial" w:cs="Arial"/>
          <w:sz w:val="22"/>
          <w:szCs w:val="22"/>
          <w:lang w:val="en-US"/>
        </w:rPr>
        <w:t>MkPs</w:t>
      </w:r>
      <w:proofErr w:type="spellEnd"/>
      <w:r w:rsidR="00C765B8" w:rsidRPr="006F5ABC">
        <w:rPr>
          <w:rFonts w:ascii="Arial" w:hAnsi="Arial" w:cs="Arial"/>
          <w:sz w:val="22"/>
          <w:szCs w:val="22"/>
          <w:lang w:val="en-US"/>
        </w:rPr>
        <w:t>:</w:t>
      </w:r>
      <w:r w:rsidRPr="006F5ABC">
        <w:rPr>
          <w:rFonts w:ascii="Arial" w:hAnsi="Arial" w:cs="Arial"/>
          <w:sz w:val="22"/>
          <w:szCs w:val="22"/>
          <w:lang w:val="en-US"/>
        </w:rPr>
        <w:t xml:space="preserve"> Linage</w:t>
      </w:r>
      <w:r w:rsidRPr="006F5ABC">
        <w:rPr>
          <w:rFonts w:ascii="Arial" w:hAnsi="Arial" w:cs="Arial"/>
          <w:sz w:val="22"/>
          <w:szCs w:val="22"/>
          <w:vertAlign w:val="superscript"/>
          <w:lang w:val="en-US"/>
        </w:rPr>
        <w:t>-</w:t>
      </w:r>
      <w:r w:rsidRPr="006F5ABC">
        <w:rPr>
          <w:rFonts w:ascii="Arial" w:hAnsi="Arial" w:cs="Arial"/>
          <w:sz w:val="22"/>
          <w:szCs w:val="22"/>
          <w:lang w:val="en-US"/>
        </w:rPr>
        <w:t>, c-Kit</w:t>
      </w:r>
      <w:r w:rsidRPr="006F5ABC">
        <w:rPr>
          <w:rFonts w:ascii="Arial" w:hAnsi="Arial" w:cs="Arial"/>
          <w:sz w:val="22"/>
          <w:szCs w:val="22"/>
          <w:vertAlign w:val="superscript"/>
          <w:lang w:val="en-US"/>
        </w:rPr>
        <w:t>+</w:t>
      </w:r>
      <w:r w:rsidRPr="006F5ABC">
        <w:rPr>
          <w:rFonts w:ascii="Arial" w:hAnsi="Arial" w:cs="Arial"/>
          <w:sz w:val="22"/>
          <w:szCs w:val="22"/>
          <w:lang w:val="en-US"/>
        </w:rPr>
        <w:t>, Sca-1</w:t>
      </w:r>
      <w:r w:rsidRPr="006F5ABC">
        <w:rPr>
          <w:rFonts w:ascii="Arial" w:hAnsi="Arial" w:cs="Arial"/>
          <w:sz w:val="22"/>
          <w:szCs w:val="22"/>
          <w:vertAlign w:val="superscript"/>
          <w:lang w:val="en-US"/>
        </w:rPr>
        <w:t>-</w:t>
      </w:r>
      <w:r w:rsidRPr="006F5ABC">
        <w:rPr>
          <w:rFonts w:ascii="Arial" w:hAnsi="Arial" w:cs="Arial"/>
          <w:sz w:val="22"/>
          <w:szCs w:val="22"/>
          <w:lang w:val="en-US"/>
        </w:rPr>
        <w:t>, CD150+, CD41</w:t>
      </w:r>
      <w:r w:rsidRPr="006F5ABC">
        <w:rPr>
          <w:rFonts w:ascii="Arial" w:hAnsi="Arial" w:cs="Arial"/>
          <w:sz w:val="22"/>
          <w:szCs w:val="22"/>
          <w:vertAlign w:val="superscript"/>
          <w:lang w:val="en-US"/>
        </w:rPr>
        <w:t>hi</w:t>
      </w:r>
      <w:r w:rsidRPr="006F5ABC">
        <w:rPr>
          <w:rFonts w:ascii="Arial" w:hAnsi="Arial" w:cs="Arial"/>
          <w:sz w:val="22"/>
          <w:szCs w:val="22"/>
          <w:lang w:val="en-US"/>
        </w:rPr>
        <w:t>), which might become Sca-1</w:t>
      </w:r>
      <w:r w:rsidRPr="006F5ABC">
        <w:rPr>
          <w:rFonts w:ascii="Arial" w:hAnsi="Arial" w:cs="Arial"/>
          <w:sz w:val="22"/>
          <w:szCs w:val="22"/>
          <w:vertAlign w:val="superscript"/>
          <w:lang w:val="en-US"/>
        </w:rPr>
        <w:t>+</w:t>
      </w:r>
      <w:r w:rsidRPr="006F5ABC">
        <w:rPr>
          <w:rFonts w:ascii="Arial" w:hAnsi="Arial" w:cs="Arial"/>
          <w:sz w:val="22"/>
          <w:szCs w:val="22"/>
          <w:lang w:val="en-US"/>
        </w:rPr>
        <w:t xml:space="preserve"> after activation of IFN-responsive </w:t>
      </w:r>
      <w:proofErr w:type="spellStart"/>
      <w:r w:rsidRPr="006F5ABC">
        <w:rPr>
          <w:rFonts w:ascii="Arial" w:hAnsi="Arial" w:cs="Arial"/>
          <w:sz w:val="22"/>
          <w:szCs w:val="22"/>
          <w:lang w:val="en-US"/>
        </w:rPr>
        <w:t>programe</w:t>
      </w:r>
      <w:proofErr w:type="spellEnd"/>
      <w:r w:rsidRPr="006F5ABC">
        <w:rPr>
          <w:rFonts w:ascii="Arial" w:hAnsi="Arial" w:cs="Arial"/>
          <w:sz w:val="22"/>
          <w:szCs w:val="22"/>
          <w:lang w:val="en-US"/>
        </w:rPr>
        <w:t xml:space="preserve"> and ending up in LSK </w:t>
      </w:r>
      <w:proofErr w:type="spellStart"/>
      <w:r w:rsidRPr="006F5ABC">
        <w:rPr>
          <w:rFonts w:ascii="Arial" w:hAnsi="Arial" w:cs="Arial"/>
          <w:sz w:val="22"/>
          <w:szCs w:val="22"/>
          <w:lang w:val="en-US"/>
        </w:rPr>
        <w:t>gate.We</w:t>
      </w:r>
      <w:proofErr w:type="spellEnd"/>
      <w:r w:rsidRPr="006F5ABC">
        <w:rPr>
          <w:rFonts w:ascii="Arial" w:hAnsi="Arial" w:cs="Arial"/>
          <w:sz w:val="22"/>
          <w:szCs w:val="22"/>
          <w:lang w:val="en-US"/>
        </w:rPr>
        <w:t xml:space="preserve"> have therefore conducted additional experiments to check the purity of CD41</w:t>
      </w:r>
      <w:r w:rsidRPr="006F5ABC">
        <w:rPr>
          <w:rFonts w:ascii="Arial" w:hAnsi="Arial" w:cs="Arial"/>
          <w:sz w:val="22"/>
          <w:szCs w:val="22"/>
          <w:vertAlign w:val="superscript"/>
          <w:lang w:val="en-US"/>
        </w:rPr>
        <w:t xml:space="preserve">lo/hi </w:t>
      </w:r>
      <w:r w:rsidRPr="006F5ABC">
        <w:rPr>
          <w:rFonts w:ascii="Arial" w:hAnsi="Arial" w:cs="Arial"/>
          <w:sz w:val="22"/>
          <w:szCs w:val="22"/>
          <w:lang w:val="en-US"/>
        </w:rPr>
        <w:t>HSCs by adding an alternative HSC marker</w:t>
      </w:r>
      <w:r w:rsidR="00B83266" w:rsidRPr="006F5ABC">
        <w:rPr>
          <w:rFonts w:ascii="Arial" w:hAnsi="Arial" w:cs="Arial"/>
          <w:sz w:val="22"/>
          <w:szCs w:val="22"/>
          <w:lang w:val="en-US"/>
        </w:rPr>
        <w:t xml:space="preserve"> absent on </w:t>
      </w:r>
      <w:proofErr w:type="spellStart"/>
      <w:r w:rsidR="00B83266" w:rsidRPr="006F5ABC">
        <w:rPr>
          <w:rFonts w:ascii="Arial" w:hAnsi="Arial" w:cs="Arial"/>
          <w:sz w:val="22"/>
          <w:szCs w:val="22"/>
          <w:lang w:val="en-US"/>
        </w:rPr>
        <w:t>MkPs</w:t>
      </w:r>
      <w:proofErr w:type="spellEnd"/>
      <w:r w:rsidRPr="006F5ABC">
        <w:rPr>
          <w:rFonts w:ascii="Arial" w:hAnsi="Arial" w:cs="Arial"/>
          <w:sz w:val="22"/>
          <w:szCs w:val="22"/>
          <w:lang w:val="en-US"/>
        </w:rPr>
        <w:t xml:space="preserve">, Esam1 </w:t>
      </w:r>
      <w:r w:rsidR="00B83266" w:rsidRPr="006F5ABC">
        <w:rPr>
          <w:rFonts w:ascii="Arial" w:hAnsi="Arial" w:cs="Arial"/>
          <w:sz w:val="22"/>
          <w:szCs w:val="22"/>
          <w:lang w:val="en-US"/>
        </w:rPr>
        <w:fldChar w:fldCharType="begin"/>
      </w:r>
      <w:r w:rsidR="00B83266" w:rsidRPr="006F5ABC">
        <w:rPr>
          <w:rFonts w:ascii="Arial" w:hAnsi="Arial" w:cs="Arial"/>
          <w:sz w:val="22"/>
          <w:szCs w:val="22"/>
          <w:lang w:val="en-US"/>
        </w:rPr>
        <w:instrText xml:space="preserve"> ADDIN ZOTERO_ITEM CSL_CITATION {"citationID":"2SjXtCWO","properties":{"formattedCitation":"(Lisa Ooi et al., 2009)","plainCitation":"(Lisa Ooi et al., 2009)","noteIndex":0},"citationItems":[{"id":1466,"uris":["http://zotero.org/users/2484452/items/ZCUIWVRN"],"uri":["http://zotero.org/users/2484452/items/ZCUIWVRN"],"itemData":{"id":1466,"type":"article-journal","abstract":"Hematopoietic stem cells (HSC) have been highly enriched using combinations of 12–14 surface markers. Genes specifically expressed by HSC as compared to other multipotent progenitors may yield new stem cell enrichment markers, as well as elucidate self-renewal and differentiation mechanisms. We previously reported that multiple cell surface molecules are enriched on mouse HSC compared to more differentiated progeny. Here, we present a definitive expression profile of the cell adhesion molecule Esam1 in hematopoietic cells using RT-qPCR and flow cytometry studies. We found Esam1 highly and selectively expressed by HSC from mouse bone marrow. Esam1 is also a viable positive HSC marker in fetal, young and aged mice, as well as in mice of several different strains. In addition, we find robust levels of Esam1 transcripts in purified human HSC. Esam1−/− mice do not exhibit severe hematopoietic defects, however, Esam1−/− BM has an increased frequency of HSC and fewer T cells. HSC from Esam1−/− mice give rise to more granulocyte/monocytes in culture and a higher T cell:B cell ratio upon transplantation into congenic mice. These studies identify Esam1 as a novel, widely applicable HSC-selective marker and suggest that Esam1 may play roles in both HSC proliferation and lineage decisions.","container-title":"Stem cells (Dayton, Ohio)","DOI":"10.1634/stemcells.2008-0824","ISSN":"1066-5099","issue":"3","journalAbbreviation":"Stem Cells","note":"PMID: 19074415\nPMCID: PMC4186794","page":"653-661","source":"PubMed Central","title":"The adhesion molecule ESAM1 is a novel hematopoietic stem cell marker","volume":"27","author":[{"family":"Lisa Ooi","given":"A. G."},{"family":"Karsunky","given":"Holger"},{"family":"Majeti","given":"Ravindra"},{"family":"Butz","given":"Stefan"},{"family":"Vestweber","given":"Dietmar"},{"family":"Ishida","given":"Tatsuro"},{"family":"Quertermous","given":"Thomas"},{"family":"Weissman","given":"Irving L."},{"family":"Forsberg","given":"E. Camilla"}],"issued":{"date-parts":[["2009",3]]}}}],"schema":"https://github.com/citation-style-language/schema/raw/master/csl-citation.json"} </w:instrText>
      </w:r>
      <w:r w:rsidR="00B83266" w:rsidRPr="006F5ABC">
        <w:rPr>
          <w:rFonts w:ascii="Arial" w:hAnsi="Arial" w:cs="Arial"/>
          <w:sz w:val="22"/>
          <w:szCs w:val="22"/>
          <w:lang w:val="en-US"/>
        </w:rPr>
        <w:fldChar w:fldCharType="separate"/>
      </w:r>
      <w:r w:rsidR="00B83266" w:rsidRPr="006F5ABC">
        <w:rPr>
          <w:rFonts w:ascii="Arial" w:hAnsi="Arial" w:cs="Arial"/>
          <w:noProof/>
          <w:sz w:val="22"/>
          <w:szCs w:val="22"/>
          <w:lang w:val="en-US"/>
        </w:rPr>
        <w:t>(Lisa Ooi et al., 2009)</w:t>
      </w:r>
      <w:r w:rsidR="00B83266" w:rsidRPr="006F5ABC">
        <w:rPr>
          <w:rFonts w:ascii="Arial" w:hAnsi="Arial" w:cs="Arial"/>
          <w:sz w:val="22"/>
          <w:szCs w:val="22"/>
          <w:lang w:val="en-US"/>
        </w:rPr>
        <w:fldChar w:fldCharType="end"/>
      </w:r>
      <w:r w:rsidRPr="006F5ABC">
        <w:rPr>
          <w:rFonts w:ascii="Arial" w:hAnsi="Arial" w:cs="Arial"/>
          <w:sz w:val="22"/>
          <w:szCs w:val="22"/>
          <w:lang w:val="en-US"/>
        </w:rPr>
        <w:t>.</w:t>
      </w:r>
    </w:p>
    <w:p w14:paraId="29A0E25B" w14:textId="77777777" w:rsidR="00A62011" w:rsidRPr="006F5ABC" w:rsidRDefault="00A62011" w:rsidP="00A62011">
      <w:pPr>
        <w:spacing w:line="360" w:lineRule="auto"/>
        <w:jc w:val="both"/>
        <w:rPr>
          <w:rFonts w:ascii="Arial" w:hAnsi="Arial" w:cs="Arial"/>
          <w:sz w:val="22"/>
          <w:szCs w:val="22"/>
          <w:lang w:val="en-US"/>
        </w:rPr>
      </w:pPr>
      <w:r w:rsidRPr="006F5ABC">
        <w:rPr>
          <w:rFonts w:ascii="Arial" w:hAnsi="Arial" w:cs="Arial"/>
          <w:sz w:val="22"/>
          <w:szCs w:val="22"/>
          <w:lang w:val="en-US"/>
        </w:rPr>
        <w:t>We found that virtually all CD41</w:t>
      </w:r>
      <w:r w:rsidR="00B83266" w:rsidRPr="006F5ABC">
        <w:rPr>
          <w:rFonts w:ascii="Arial" w:hAnsi="Arial" w:cs="Arial"/>
          <w:sz w:val="22"/>
          <w:szCs w:val="22"/>
          <w:vertAlign w:val="superscript"/>
          <w:lang w:val="en-US"/>
        </w:rPr>
        <w:t>lo</w:t>
      </w:r>
      <w:r w:rsidRPr="006F5ABC">
        <w:rPr>
          <w:rFonts w:ascii="Arial" w:hAnsi="Arial" w:cs="Arial"/>
          <w:sz w:val="22"/>
          <w:szCs w:val="22"/>
          <w:lang w:val="en-US"/>
        </w:rPr>
        <w:t xml:space="preserve"> and CD41</w:t>
      </w:r>
      <w:r w:rsidRPr="006F5ABC">
        <w:rPr>
          <w:rFonts w:ascii="Arial" w:hAnsi="Arial" w:cs="Arial"/>
          <w:sz w:val="22"/>
          <w:szCs w:val="22"/>
          <w:vertAlign w:val="superscript"/>
          <w:lang w:val="en-US"/>
        </w:rPr>
        <w:t>hi</w:t>
      </w:r>
      <w:r w:rsidRPr="006F5ABC">
        <w:rPr>
          <w:rFonts w:ascii="Arial" w:hAnsi="Arial" w:cs="Arial"/>
          <w:sz w:val="22"/>
          <w:szCs w:val="22"/>
          <w:lang w:val="en-US"/>
        </w:rPr>
        <w:t xml:space="preserve"> HSC subsets were </w:t>
      </w:r>
      <w:proofErr w:type="spellStart"/>
      <w:r w:rsidRPr="006F5ABC">
        <w:rPr>
          <w:rFonts w:ascii="Arial" w:hAnsi="Arial" w:cs="Arial"/>
          <w:sz w:val="22"/>
          <w:szCs w:val="22"/>
          <w:lang w:val="en-US"/>
        </w:rPr>
        <w:t>Esam</w:t>
      </w:r>
      <w:proofErr w:type="spellEnd"/>
      <w:r w:rsidR="00B83266" w:rsidRPr="006F5ABC">
        <w:rPr>
          <w:rFonts w:ascii="Arial" w:hAnsi="Arial" w:cs="Arial"/>
          <w:sz w:val="22"/>
          <w:szCs w:val="22"/>
          <w:lang w:val="en-US"/>
        </w:rPr>
        <w:t>-</w:t>
      </w:r>
      <w:r w:rsidRPr="006F5ABC">
        <w:rPr>
          <w:rFonts w:ascii="Arial" w:hAnsi="Arial" w:cs="Arial"/>
          <w:sz w:val="22"/>
          <w:szCs w:val="22"/>
          <w:lang w:val="en-US"/>
        </w:rPr>
        <w:t xml:space="preserve">positive both in control (saline) and </w:t>
      </w:r>
      <w:proofErr w:type="spellStart"/>
      <w:r w:rsidRPr="006F5ABC">
        <w:rPr>
          <w:rFonts w:ascii="Arial" w:hAnsi="Arial" w:cs="Arial"/>
          <w:sz w:val="22"/>
          <w:szCs w:val="22"/>
          <w:lang w:val="en-US"/>
        </w:rPr>
        <w:t>pIpC</w:t>
      </w:r>
      <w:proofErr w:type="spellEnd"/>
      <w:r w:rsidRPr="006F5ABC">
        <w:rPr>
          <w:rFonts w:ascii="Arial" w:hAnsi="Arial" w:cs="Arial"/>
          <w:sz w:val="22"/>
          <w:szCs w:val="22"/>
          <w:lang w:val="en-US"/>
        </w:rPr>
        <w:t xml:space="preserve"> treated </w:t>
      </w:r>
      <w:r w:rsidRPr="006F5ABC">
        <w:rPr>
          <w:rFonts w:ascii="Arial" w:hAnsi="Arial" w:cs="Arial"/>
          <w:i/>
          <w:iCs/>
          <w:sz w:val="22"/>
          <w:szCs w:val="22"/>
          <w:lang w:val="en-US"/>
        </w:rPr>
        <w:t>WT</w:t>
      </w:r>
      <w:r w:rsidRPr="006F5ABC">
        <w:rPr>
          <w:rFonts w:ascii="Arial" w:hAnsi="Arial" w:cs="Arial"/>
          <w:sz w:val="22"/>
          <w:szCs w:val="22"/>
          <w:lang w:val="en-US"/>
        </w:rPr>
        <w:t xml:space="preserve"> and </w:t>
      </w:r>
      <w:r w:rsidRPr="006F5ABC">
        <w:rPr>
          <w:rFonts w:ascii="Arial" w:hAnsi="Arial" w:cs="Arial"/>
          <w:i/>
          <w:iCs/>
          <w:sz w:val="22"/>
          <w:szCs w:val="22"/>
          <w:lang w:val="en-US"/>
        </w:rPr>
        <w:t>VF</w:t>
      </w:r>
      <w:r w:rsidRPr="006F5ABC">
        <w:rPr>
          <w:rFonts w:ascii="Arial" w:hAnsi="Arial" w:cs="Arial"/>
          <w:sz w:val="22"/>
          <w:szCs w:val="22"/>
          <w:lang w:val="en-US"/>
        </w:rPr>
        <w:t xml:space="preserve"> mice (Figure </w:t>
      </w:r>
      <w:r w:rsidR="000C3F0E" w:rsidRPr="006F5ABC">
        <w:rPr>
          <w:rFonts w:ascii="Arial" w:hAnsi="Arial" w:cs="Arial"/>
          <w:sz w:val="22"/>
          <w:szCs w:val="22"/>
          <w:lang w:val="en-US"/>
        </w:rPr>
        <w:t>3</w:t>
      </w:r>
      <w:r w:rsidR="007F1F27">
        <w:rPr>
          <w:rFonts w:ascii="Arial" w:hAnsi="Arial" w:cs="Arial"/>
          <w:sz w:val="22"/>
          <w:szCs w:val="22"/>
          <w:lang w:val="en-US"/>
        </w:rPr>
        <w:t>2</w:t>
      </w:r>
      <w:r w:rsidR="000C3F0E" w:rsidRPr="006F5ABC">
        <w:rPr>
          <w:rFonts w:ascii="Arial" w:hAnsi="Arial" w:cs="Arial"/>
          <w:sz w:val="22"/>
          <w:szCs w:val="22"/>
          <w:lang w:val="en-US"/>
        </w:rPr>
        <w:t>A</w:t>
      </w:r>
      <w:r w:rsidRPr="006F5ABC">
        <w:rPr>
          <w:rFonts w:ascii="Arial" w:hAnsi="Arial" w:cs="Arial"/>
          <w:sz w:val="22"/>
          <w:szCs w:val="22"/>
          <w:lang w:val="en-US"/>
        </w:rPr>
        <w:t xml:space="preserve">). Likewise, assessment of </w:t>
      </w:r>
      <w:proofErr w:type="spellStart"/>
      <w:r w:rsidRPr="006F5ABC">
        <w:rPr>
          <w:rFonts w:ascii="Arial" w:hAnsi="Arial" w:cs="Arial"/>
          <w:sz w:val="22"/>
          <w:szCs w:val="22"/>
          <w:lang w:val="en-US"/>
        </w:rPr>
        <w:t>Epcr</w:t>
      </w:r>
      <w:r w:rsidRPr="006F5ABC">
        <w:rPr>
          <w:rFonts w:ascii="Arial" w:hAnsi="Arial" w:cs="Arial"/>
          <w:sz w:val="22"/>
          <w:szCs w:val="22"/>
          <w:vertAlign w:val="superscript"/>
          <w:lang w:val="en-US"/>
        </w:rPr>
        <w:t>lo</w:t>
      </w:r>
      <w:proofErr w:type="spellEnd"/>
      <w:r w:rsidRPr="006F5ABC">
        <w:rPr>
          <w:rFonts w:ascii="Arial" w:hAnsi="Arial" w:cs="Arial"/>
          <w:sz w:val="22"/>
          <w:szCs w:val="22"/>
          <w:lang w:val="en-US"/>
        </w:rPr>
        <w:t xml:space="preserve"> and </w:t>
      </w:r>
      <w:proofErr w:type="spellStart"/>
      <w:r w:rsidRPr="006F5ABC">
        <w:rPr>
          <w:rFonts w:ascii="Arial" w:hAnsi="Arial" w:cs="Arial"/>
          <w:sz w:val="22"/>
          <w:szCs w:val="22"/>
          <w:lang w:val="en-US"/>
        </w:rPr>
        <w:t>Epcr</w:t>
      </w:r>
      <w:r w:rsidRPr="006F5ABC">
        <w:rPr>
          <w:rFonts w:ascii="Arial" w:hAnsi="Arial" w:cs="Arial"/>
          <w:sz w:val="22"/>
          <w:szCs w:val="22"/>
          <w:vertAlign w:val="superscript"/>
          <w:lang w:val="en-US"/>
        </w:rPr>
        <w:t>hi</w:t>
      </w:r>
      <w:proofErr w:type="spellEnd"/>
      <w:r w:rsidRPr="006F5ABC">
        <w:rPr>
          <w:rFonts w:ascii="Arial" w:hAnsi="Arial" w:cs="Arial"/>
          <w:sz w:val="22"/>
          <w:szCs w:val="22"/>
          <w:lang w:val="en-US"/>
        </w:rPr>
        <w:t xml:space="preserve"> HSC subsets showed a similar Esam1 expression pattern in both in control (saline) and </w:t>
      </w:r>
      <w:proofErr w:type="spellStart"/>
      <w:r w:rsidRPr="006F5ABC">
        <w:rPr>
          <w:rFonts w:ascii="Arial" w:hAnsi="Arial" w:cs="Arial"/>
          <w:sz w:val="22"/>
          <w:szCs w:val="22"/>
          <w:lang w:val="en-US"/>
        </w:rPr>
        <w:t>pIpC</w:t>
      </w:r>
      <w:proofErr w:type="spellEnd"/>
      <w:r w:rsidRPr="006F5ABC">
        <w:rPr>
          <w:rFonts w:ascii="Arial" w:hAnsi="Arial" w:cs="Arial"/>
          <w:sz w:val="22"/>
          <w:szCs w:val="22"/>
          <w:lang w:val="en-US"/>
        </w:rPr>
        <w:t xml:space="preserve"> treated </w:t>
      </w:r>
      <w:r w:rsidR="00B83266" w:rsidRPr="006F5ABC">
        <w:rPr>
          <w:rFonts w:ascii="Arial" w:hAnsi="Arial" w:cs="Arial"/>
          <w:i/>
          <w:iCs/>
          <w:sz w:val="22"/>
          <w:szCs w:val="22"/>
          <w:lang w:val="en-US"/>
        </w:rPr>
        <w:t>WT</w:t>
      </w:r>
      <w:r w:rsidRPr="006F5ABC">
        <w:rPr>
          <w:rFonts w:ascii="Arial" w:hAnsi="Arial" w:cs="Arial"/>
          <w:sz w:val="22"/>
          <w:szCs w:val="22"/>
          <w:lang w:val="en-US"/>
        </w:rPr>
        <w:t xml:space="preserve"> and </w:t>
      </w:r>
      <w:r w:rsidRPr="006F5ABC">
        <w:rPr>
          <w:rFonts w:ascii="Arial" w:hAnsi="Arial" w:cs="Arial"/>
          <w:i/>
          <w:iCs/>
          <w:sz w:val="22"/>
          <w:szCs w:val="22"/>
          <w:lang w:val="en-US"/>
        </w:rPr>
        <w:t>VF</w:t>
      </w:r>
      <w:r w:rsidRPr="006F5ABC">
        <w:rPr>
          <w:rFonts w:ascii="Arial" w:hAnsi="Arial" w:cs="Arial"/>
          <w:sz w:val="22"/>
          <w:szCs w:val="22"/>
          <w:lang w:val="en-US"/>
        </w:rPr>
        <w:t xml:space="preserve"> mice (Figure </w:t>
      </w:r>
      <w:r w:rsidR="000C3F0E" w:rsidRPr="006F5ABC">
        <w:rPr>
          <w:rFonts w:ascii="Arial" w:hAnsi="Arial" w:cs="Arial"/>
          <w:sz w:val="22"/>
          <w:szCs w:val="22"/>
          <w:lang w:val="en-US"/>
        </w:rPr>
        <w:t>3</w:t>
      </w:r>
      <w:r w:rsidR="007F1F27">
        <w:rPr>
          <w:rFonts w:ascii="Arial" w:hAnsi="Arial" w:cs="Arial"/>
          <w:sz w:val="22"/>
          <w:szCs w:val="22"/>
          <w:lang w:val="en-US"/>
        </w:rPr>
        <w:t>2</w:t>
      </w:r>
      <w:r w:rsidR="000C3F0E" w:rsidRPr="006F5ABC">
        <w:rPr>
          <w:rFonts w:ascii="Arial" w:hAnsi="Arial" w:cs="Arial"/>
          <w:sz w:val="22"/>
          <w:szCs w:val="22"/>
          <w:lang w:val="en-US"/>
        </w:rPr>
        <w:t>B</w:t>
      </w:r>
      <w:r w:rsidRPr="006F5ABC">
        <w:rPr>
          <w:rFonts w:ascii="Arial" w:hAnsi="Arial" w:cs="Arial"/>
          <w:sz w:val="22"/>
          <w:szCs w:val="22"/>
          <w:lang w:val="en-US"/>
        </w:rPr>
        <w:t xml:space="preserve">). Together, these data </w:t>
      </w:r>
      <w:r w:rsidRPr="006F5ABC">
        <w:rPr>
          <w:rFonts w:ascii="Arial" w:hAnsi="Arial" w:cs="Arial"/>
          <w:sz w:val="22"/>
          <w:szCs w:val="22"/>
          <w:lang w:val="en-US"/>
        </w:rPr>
        <w:lastRenderedPageBreak/>
        <w:t>indicate that CD41</w:t>
      </w:r>
      <w:r w:rsidRPr="006F5ABC">
        <w:rPr>
          <w:rFonts w:ascii="Arial" w:hAnsi="Arial" w:cs="Arial"/>
          <w:sz w:val="22"/>
          <w:szCs w:val="22"/>
          <w:vertAlign w:val="superscript"/>
          <w:lang w:val="en-US"/>
        </w:rPr>
        <w:t xml:space="preserve">lo/hi </w:t>
      </w:r>
      <w:r w:rsidRPr="006F5ABC">
        <w:rPr>
          <w:rFonts w:ascii="Arial" w:hAnsi="Arial" w:cs="Arial"/>
          <w:sz w:val="22"/>
          <w:szCs w:val="22"/>
          <w:lang w:val="en-US"/>
        </w:rPr>
        <w:t>HSCs are not contaminant of progenitor cells expressing CD41, and further validate the appropriateness of our FACS gating strategy.</w:t>
      </w:r>
    </w:p>
    <w:p w14:paraId="1C188C1C" w14:textId="77777777" w:rsidR="00744C3B" w:rsidRDefault="00744C3B" w:rsidP="00605651">
      <w:pPr>
        <w:spacing w:line="360" w:lineRule="auto"/>
        <w:jc w:val="both"/>
        <w:rPr>
          <w:rFonts w:ascii="Arial" w:hAnsi="Arial" w:cs="Arial"/>
          <w:sz w:val="22"/>
          <w:szCs w:val="22"/>
          <w:lang w:val="en-US"/>
        </w:rPr>
      </w:pPr>
    </w:p>
    <w:p w14:paraId="74C3D9D9" w14:textId="77777777" w:rsidR="00F10D69" w:rsidRDefault="00F10D69" w:rsidP="00605651">
      <w:pPr>
        <w:spacing w:line="360" w:lineRule="auto"/>
        <w:jc w:val="both"/>
        <w:rPr>
          <w:rFonts w:ascii="Arial" w:hAnsi="Arial" w:cs="Arial"/>
          <w:sz w:val="22"/>
          <w:szCs w:val="22"/>
          <w:lang w:val="en-US"/>
        </w:rPr>
      </w:pPr>
    </w:p>
    <w:p w14:paraId="18894535" w14:textId="77777777" w:rsidR="00F10D69" w:rsidRDefault="00F10D69" w:rsidP="00605651">
      <w:pPr>
        <w:spacing w:line="360" w:lineRule="auto"/>
        <w:jc w:val="both"/>
        <w:rPr>
          <w:rFonts w:ascii="Arial" w:hAnsi="Arial" w:cs="Arial"/>
          <w:sz w:val="22"/>
          <w:szCs w:val="22"/>
          <w:lang w:val="en-US"/>
        </w:rPr>
      </w:pPr>
    </w:p>
    <w:p w14:paraId="6530C0F8" w14:textId="77777777" w:rsidR="00F10D69" w:rsidRDefault="00F10D69" w:rsidP="00605651">
      <w:pPr>
        <w:spacing w:line="360" w:lineRule="auto"/>
        <w:jc w:val="both"/>
        <w:rPr>
          <w:rFonts w:ascii="Arial" w:hAnsi="Arial" w:cs="Arial"/>
          <w:sz w:val="22"/>
          <w:szCs w:val="22"/>
          <w:lang w:val="en-US"/>
        </w:rPr>
      </w:pPr>
    </w:p>
    <w:p w14:paraId="1A67C536" w14:textId="77777777" w:rsidR="00F10D69" w:rsidRDefault="00F10D69" w:rsidP="00605651">
      <w:pPr>
        <w:spacing w:line="360" w:lineRule="auto"/>
        <w:jc w:val="both"/>
        <w:rPr>
          <w:rFonts w:ascii="Arial" w:hAnsi="Arial" w:cs="Arial"/>
          <w:sz w:val="22"/>
          <w:szCs w:val="22"/>
          <w:lang w:val="en-US"/>
        </w:rPr>
      </w:pPr>
    </w:p>
    <w:p w14:paraId="1A05574D" w14:textId="77777777" w:rsidR="00F10D69" w:rsidRDefault="00F10D69" w:rsidP="00605651">
      <w:pPr>
        <w:spacing w:line="360" w:lineRule="auto"/>
        <w:jc w:val="both"/>
        <w:rPr>
          <w:rFonts w:ascii="Arial" w:hAnsi="Arial" w:cs="Arial"/>
          <w:sz w:val="22"/>
          <w:szCs w:val="22"/>
          <w:lang w:val="en-US"/>
        </w:rPr>
      </w:pPr>
    </w:p>
    <w:p w14:paraId="59F2DEAB" w14:textId="77777777" w:rsidR="00F10D69" w:rsidRDefault="00F10D69" w:rsidP="00605651">
      <w:pPr>
        <w:spacing w:line="360" w:lineRule="auto"/>
        <w:jc w:val="both"/>
        <w:rPr>
          <w:rFonts w:ascii="Arial" w:hAnsi="Arial" w:cs="Arial"/>
          <w:sz w:val="22"/>
          <w:szCs w:val="22"/>
          <w:lang w:val="en-US"/>
        </w:rPr>
      </w:pPr>
    </w:p>
    <w:p w14:paraId="55551AB7" w14:textId="77777777" w:rsidR="00F91560" w:rsidRDefault="00F91560" w:rsidP="00C765B8">
      <w:pPr>
        <w:spacing w:line="360" w:lineRule="auto"/>
        <w:jc w:val="center"/>
        <w:rPr>
          <w:rFonts w:ascii="Arial" w:hAnsi="Arial" w:cs="Arial"/>
          <w:sz w:val="22"/>
          <w:szCs w:val="22"/>
          <w:lang w:val="en-US"/>
        </w:rPr>
      </w:pPr>
      <w:r w:rsidRPr="00F91560">
        <w:rPr>
          <w:rFonts w:ascii="Arial" w:hAnsi="Arial" w:cs="Arial"/>
          <w:noProof/>
          <w:sz w:val="22"/>
          <w:szCs w:val="22"/>
          <w:lang w:val="cs-CZ" w:eastAsia="cs-CZ"/>
        </w:rPr>
        <w:lastRenderedPageBreak/>
        <w:drawing>
          <wp:inline distT="0" distB="0" distL="0" distR="0" wp14:anchorId="46B44B5B" wp14:editId="0DBBAC04">
            <wp:extent cx="5207412" cy="7100515"/>
            <wp:effectExtent l="0" t="0" r="0" b="0"/>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08418" cy="7101887"/>
                    </a:xfrm>
                    <a:prstGeom prst="rect">
                      <a:avLst/>
                    </a:prstGeom>
                  </pic:spPr>
                </pic:pic>
              </a:graphicData>
            </a:graphic>
          </wp:inline>
        </w:drawing>
      </w:r>
    </w:p>
    <w:p w14:paraId="3CEEBB18" w14:textId="77777777" w:rsidR="00F91560" w:rsidRDefault="00F91560" w:rsidP="00C765B8">
      <w:pPr>
        <w:spacing w:line="360" w:lineRule="auto"/>
        <w:jc w:val="both"/>
        <w:rPr>
          <w:rFonts w:ascii="Arial" w:hAnsi="Arial" w:cs="Arial"/>
          <w:sz w:val="22"/>
          <w:szCs w:val="22"/>
          <w:lang w:val="en-US"/>
        </w:rPr>
      </w:pPr>
      <w:r w:rsidRPr="00C765B8">
        <w:rPr>
          <w:rFonts w:ascii="Arial" w:hAnsi="Arial" w:cs="Arial"/>
          <w:b/>
          <w:bCs/>
          <w:sz w:val="22"/>
          <w:szCs w:val="22"/>
          <w:lang w:val="en-US"/>
        </w:rPr>
        <w:t xml:space="preserve">Figure </w:t>
      </w:r>
      <w:r w:rsidR="00B55479" w:rsidRPr="00C765B8">
        <w:rPr>
          <w:rFonts w:ascii="Arial" w:hAnsi="Arial" w:cs="Arial"/>
          <w:b/>
          <w:bCs/>
          <w:sz w:val="22"/>
          <w:szCs w:val="22"/>
          <w:lang w:val="en-US"/>
        </w:rPr>
        <w:t>3</w:t>
      </w:r>
      <w:r w:rsidR="00750F84">
        <w:rPr>
          <w:rFonts w:ascii="Arial" w:hAnsi="Arial" w:cs="Arial"/>
          <w:b/>
          <w:bCs/>
          <w:sz w:val="22"/>
          <w:szCs w:val="22"/>
          <w:lang w:val="en-US"/>
        </w:rPr>
        <w:t>2</w:t>
      </w:r>
      <w:r>
        <w:rPr>
          <w:rFonts w:ascii="Arial" w:hAnsi="Arial" w:cs="Arial"/>
          <w:sz w:val="22"/>
          <w:szCs w:val="22"/>
          <w:lang w:val="en-US"/>
        </w:rPr>
        <w:t>:</w:t>
      </w:r>
      <w:r w:rsidR="00C765B8">
        <w:rPr>
          <w:rFonts w:ascii="Arial" w:hAnsi="Arial" w:cs="Arial"/>
          <w:sz w:val="22"/>
          <w:szCs w:val="22"/>
          <w:lang w:val="en-US"/>
        </w:rPr>
        <w:t xml:space="preserve"> </w:t>
      </w:r>
      <w:r w:rsidR="00C765B8" w:rsidRPr="00C765B8">
        <w:rPr>
          <w:rFonts w:ascii="Arial" w:hAnsi="Arial" w:cs="Arial"/>
          <w:b/>
          <w:bCs/>
          <w:sz w:val="22"/>
          <w:szCs w:val="22"/>
          <w:lang w:val="en-US"/>
        </w:rPr>
        <w:t>A</w:t>
      </w:r>
      <w:r w:rsidR="00C765B8">
        <w:rPr>
          <w:rFonts w:ascii="Arial" w:hAnsi="Arial" w:cs="Arial"/>
          <w:sz w:val="22"/>
          <w:szCs w:val="22"/>
          <w:lang w:val="en-US"/>
        </w:rPr>
        <w:t xml:space="preserve"> </w:t>
      </w:r>
      <w:r w:rsidR="00C765B8" w:rsidRPr="00C765B8">
        <w:rPr>
          <w:rFonts w:ascii="Arial" w:hAnsi="Arial" w:cs="Arial"/>
          <w:sz w:val="22"/>
          <w:szCs w:val="22"/>
          <w:lang w:val="en-US"/>
        </w:rPr>
        <w:t>Esam1 expression on</w:t>
      </w:r>
      <w:r w:rsidR="00C765B8">
        <w:rPr>
          <w:rFonts w:ascii="Arial" w:hAnsi="Arial" w:cs="Arial"/>
          <w:sz w:val="22"/>
          <w:szCs w:val="22"/>
          <w:lang w:val="en-US"/>
        </w:rPr>
        <w:t xml:space="preserve"> </w:t>
      </w:r>
      <w:r w:rsidR="00C765B8" w:rsidRPr="00C765B8">
        <w:rPr>
          <w:rFonts w:ascii="Arial" w:hAnsi="Arial" w:cs="Arial"/>
          <w:sz w:val="22"/>
          <w:szCs w:val="22"/>
          <w:lang w:val="en-US"/>
        </w:rPr>
        <w:t>CD41</w:t>
      </w:r>
      <w:r w:rsidR="00C765B8" w:rsidRPr="00C765B8">
        <w:rPr>
          <w:rFonts w:ascii="Arial" w:hAnsi="Arial" w:cs="Arial"/>
          <w:sz w:val="22"/>
          <w:szCs w:val="22"/>
          <w:vertAlign w:val="superscript"/>
          <w:lang w:val="en-US"/>
        </w:rPr>
        <w:t xml:space="preserve">lo/hi </w:t>
      </w:r>
      <w:r w:rsidR="00C765B8" w:rsidRPr="00C765B8">
        <w:rPr>
          <w:rFonts w:ascii="Arial" w:hAnsi="Arial" w:cs="Arial"/>
          <w:sz w:val="22"/>
          <w:szCs w:val="22"/>
          <w:lang w:val="en-US"/>
        </w:rPr>
        <w:t>HSCs. Esam1 expression</w:t>
      </w:r>
      <w:r w:rsidR="00C765B8">
        <w:rPr>
          <w:rFonts w:ascii="Arial" w:hAnsi="Arial" w:cs="Arial"/>
          <w:sz w:val="22"/>
          <w:szCs w:val="22"/>
          <w:lang w:val="en-US"/>
        </w:rPr>
        <w:t xml:space="preserve"> </w:t>
      </w:r>
      <w:r w:rsidR="00C765B8" w:rsidRPr="00C765B8">
        <w:rPr>
          <w:rFonts w:ascii="Arial" w:hAnsi="Arial" w:cs="Arial"/>
          <w:sz w:val="22"/>
          <w:szCs w:val="22"/>
          <w:lang w:val="en-US"/>
        </w:rPr>
        <w:t>on CD41</w:t>
      </w:r>
      <w:r w:rsidR="00C765B8" w:rsidRPr="00C765B8">
        <w:rPr>
          <w:rFonts w:ascii="Arial" w:hAnsi="Arial" w:cs="Arial"/>
          <w:sz w:val="22"/>
          <w:szCs w:val="22"/>
          <w:vertAlign w:val="superscript"/>
          <w:lang w:val="en-US"/>
        </w:rPr>
        <w:t xml:space="preserve">hi </w:t>
      </w:r>
      <w:r w:rsidR="00C765B8" w:rsidRPr="00C765B8">
        <w:rPr>
          <w:rFonts w:ascii="Arial" w:hAnsi="Arial" w:cs="Arial"/>
          <w:sz w:val="22"/>
          <w:szCs w:val="22"/>
          <w:lang w:val="en-US"/>
        </w:rPr>
        <w:t>(</w:t>
      </w:r>
      <w:r w:rsidR="00C765B8" w:rsidRPr="00C765B8">
        <w:rPr>
          <w:rFonts w:ascii="Arial" w:hAnsi="Arial" w:cs="Arial"/>
          <w:i/>
          <w:iCs/>
          <w:sz w:val="22"/>
          <w:szCs w:val="22"/>
          <w:lang w:val="en-US"/>
        </w:rPr>
        <w:t>upper</w:t>
      </w:r>
      <w:r w:rsidR="00C765B8" w:rsidRPr="00C765B8">
        <w:rPr>
          <w:rFonts w:ascii="Arial" w:hAnsi="Arial" w:cs="Arial"/>
          <w:sz w:val="22"/>
          <w:szCs w:val="22"/>
          <w:lang w:val="en-US"/>
        </w:rPr>
        <w:t xml:space="preserve"> panel) and CD41</w:t>
      </w:r>
      <w:r w:rsidR="00C765B8" w:rsidRPr="00C765B8">
        <w:rPr>
          <w:rFonts w:ascii="Arial" w:hAnsi="Arial" w:cs="Arial"/>
          <w:sz w:val="22"/>
          <w:szCs w:val="22"/>
          <w:vertAlign w:val="superscript"/>
          <w:lang w:val="en-US"/>
        </w:rPr>
        <w:t>lo</w:t>
      </w:r>
      <w:r w:rsidR="00C765B8">
        <w:rPr>
          <w:rFonts w:ascii="Arial" w:hAnsi="Arial" w:cs="Arial"/>
          <w:sz w:val="22"/>
          <w:szCs w:val="22"/>
          <w:lang w:val="en-US"/>
        </w:rPr>
        <w:t xml:space="preserve"> </w:t>
      </w:r>
      <w:r w:rsidR="00C765B8" w:rsidRPr="00C765B8">
        <w:rPr>
          <w:rFonts w:ascii="Arial" w:hAnsi="Arial" w:cs="Arial"/>
          <w:sz w:val="22"/>
          <w:szCs w:val="22"/>
          <w:lang w:val="en-US"/>
        </w:rPr>
        <w:t>HSCs (</w:t>
      </w:r>
      <w:r w:rsidR="00C765B8" w:rsidRPr="00C765B8">
        <w:rPr>
          <w:rFonts w:ascii="Arial" w:hAnsi="Arial" w:cs="Arial"/>
          <w:i/>
          <w:iCs/>
          <w:sz w:val="22"/>
          <w:szCs w:val="22"/>
          <w:lang w:val="en-US"/>
        </w:rPr>
        <w:t>lower</w:t>
      </w:r>
      <w:r w:rsidR="00C765B8" w:rsidRPr="00C765B8">
        <w:rPr>
          <w:rFonts w:ascii="Arial" w:hAnsi="Arial" w:cs="Arial"/>
          <w:sz w:val="22"/>
          <w:szCs w:val="22"/>
          <w:lang w:val="en-US"/>
        </w:rPr>
        <w:t xml:space="preserve"> panel) in the bone</w:t>
      </w:r>
      <w:r w:rsidR="00C765B8">
        <w:rPr>
          <w:rFonts w:ascii="Arial" w:hAnsi="Arial" w:cs="Arial"/>
          <w:sz w:val="22"/>
          <w:szCs w:val="22"/>
          <w:lang w:val="en-US"/>
        </w:rPr>
        <w:t xml:space="preserve"> </w:t>
      </w:r>
      <w:r w:rsidR="00C765B8" w:rsidRPr="00C765B8">
        <w:rPr>
          <w:rFonts w:ascii="Arial" w:hAnsi="Arial" w:cs="Arial"/>
          <w:sz w:val="22"/>
          <w:szCs w:val="22"/>
          <w:lang w:val="en-US"/>
        </w:rPr>
        <w:t xml:space="preserve">marrow of control (saline), </w:t>
      </w:r>
      <w:proofErr w:type="spellStart"/>
      <w:r w:rsidR="00C765B8" w:rsidRPr="00C765B8">
        <w:rPr>
          <w:rFonts w:ascii="Arial" w:hAnsi="Arial" w:cs="Arial"/>
          <w:sz w:val="22"/>
          <w:szCs w:val="22"/>
          <w:lang w:val="en-US"/>
        </w:rPr>
        <w:t>Tpo</w:t>
      </w:r>
      <w:proofErr w:type="spellEnd"/>
      <w:r w:rsidR="00C765B8" w:rsidRPr="00C765B8">
        <w:rPr>
          <w:rFonts w:ascii="Arial" w:hAnsi="Arial" w:cs="Arial"/>
          <w:sz w:val="22"/>
          <w:szCs w:val="22"/>
          <w:lang w:val="en-US"/>
        </w:rPr>
        <w:t xml:space="preserve"> and </w:t>
      </w:r>
      <w:proofErr w:type="spellStart"/>
      <w:r w:rsidR="00C765B8" w:rsidRPr="00C765B8">
        <w:rPr>
          <w:rFonts w:ascii="Arial" w:hAnsi="Arial" w:cs="Arial"/>
          <w:sz w:val="22"/>
          <w:szCs w:val="22"/>
          <w:lang w:val="en-US"/>
        </w:rPr>
        <w:t>pIpC</w:t>
      </w:r>
      <w:proofErr w:type="spellEnd"/>
      <w:r w:rsidR="00C765B8" w:rsidRPr="00C765B8">
        <w:rPr>
          <w:rFonts w:ascii="Arial" w:hAnsi="Arial" w:cs="Arial"/>
          <w:sz w:val="22"/>
          <w:szCs w:val="22"/>
          <w:lang w:val="en-US"/>
        </w:rPr>
        <w:t xml:space="preserve"> treated </w:t>
      </w:r>
      <w:r w:rsidR="00C765B8" w:rsidRPr="00C765B8">
        <w:rPr>
          <w:rFonts w:ascii="Arial" w:hAnsi="Arial" w:cs="Arial"/>
          <w:i/>
          <w:iCs/>
          <w:sz w:val="22"/>
          <w:szCs w:val="22"/>
          <w:lang w:val="en-US"/>
        </w:rPr>
        <w:t>WT</w:t>
      </w:r>
      <w:r w:rsidR="00C765B8" w:rsidRPr="00C765B8">
        <w:rPr>
          <w:rFonts w:ascii="Arial" w:hAnsi="Arial" w:cs="Arial"/>
          <w:sz w:val="22"/>
          <w:szCs w:val="22"/>
          <w:lang w:val="en-US"/>
        </w:rPr>
        <w:t xml:space="preserve"> and</w:t>
      </w:r>
      <w:r w:rsidR="00C765B8">
        <w:rPr>
          <w:rFonts w:ascii="Arial" w:hAnsi="Arial" w:cs="Arial"/>
          <w:sz w:val="22"/>
          <w:szCs w:val="22"/>
          <w:lang w:val="en-US"/>
        </w:rPr>
        <w:t xml:space="preserve"> </w:t>
      </w:r>
      <w:r w:rsidR="00C765B8" w:rsidRPr="00C765B8">
        <w:rPr>
          <w:rFonts w:ascii="Arial" w:hAnsi="Arial" w:cs="Arial"/>
          <w:i/>
          <w:iCs/>
          <w:sz w:val="22"/>
          <w:szCs w:val="22"/>
          <w:lang w:val="en-US"/>
        </w:rPr>
        <w:t>VF</w:t>
      </w:r>
      <w:r w:rsidR="00C765B8" w:rsidRPr="00C765B8">
        <w:rPr>
          <w:rFonts w:ascii="Arial" w:hAnsi="Arial" w:cs="Arial"/>
          <w:sz w:val="22"/>
          <w:szCs w:val="22"/>
          <w:lang w:val="en-US"/>
        </w:rPr>
        <w:t xml:space="preserve"> mice. The percentages of </w:t>
      </w:r>
      <w:proofErr w:type="spellStart"/>
      <w:r w:rsidR="00C765B8" w:rsidRPr="00C765B8">
        <w:rPr>
          <w:rFonts w:ascii="Arial" w:hAnsi="Arial" w:cs="Arial"/>
          <w:sz w:val="22"/>
          <w:szCs w:val="22"/>
          <w:lang w:val="en-US"/>
        </w:rPr>
        <w:t>Esam</w:t>
      </w:r>
      <w:proofErr w:type="spellEnd"/>
      <w:r w:rsidR="00C765B8" w:rsidRPr="00C765B8">
        <w:rPr>
          <w:rFonts w:ascii="Arial" w:hAnsi="Arial" w:cs="Arial"/>
          <w:sz w:val="22"/>
          <w:szCs w:val="22"/>
          <w:vertAlign w:val="superscript"/>
          <w:lang w:val="en-US"/>
        </w:rPr>
        <w:t>+</w:t>
      </w:r>
      <w:r w:rsidR="00C765B8">
        <w:rPr>
          <w:rFonts w:ascii="Arial" w:hAnsi="Arial" w:cs="Arial"/>
          <w:sz w:val="22"/>
          <w:szCs w:val="22"/>
          <w:lang w:val="en-US"/>
        </w:rPr>
        <w:t xml:space="preserve"> </w:t>
      </w:r>
      <w:r w:rsidR="00C765B8" w:rsidRPr="00C765B8">
        <w:rPr>
          <w:rFonts w:ascii="Arial" w:hAnsi="Arial" w:cs="Arial"/>
          <w:sz w:val="22"/>
          <w:szCs w:val="22"/>
          <w:lang w:val="en-US"/>
        </w:rPr>
        <w:t>HSCs within the CD41</w:t>
      </w:r>
      <w:r w:rsidR="00C765B8" w:rsidRPr="00C765B8">
        <w:rPr>
          <w:rFonts w:ascii="Arial" w:hAnsi="Arial" w:cs="Arial"/>
          <w:sz w:val="22"/>
          <w:szCs w:val="22"/>
          <w:vertAlign w:val="superscript"/>
          <w:lang w:val="en-US"/>
        </w:rPr>
        <w:t>hi</w:t>
      </w:r>
      <w:r w:rsidR="00C765B8" w:rsidRPr="00C765B8">
        <w:rPr>
          <w:rFonts w:ascii="Arial" w:hAnsi="Arial" w:cs="Arial"/>
          <w:sz w:val="22"/>
          <w:szCs w:val="22"/>
          <w:lang w:val="en-US"/>
        </w:rPr>
        <w:t xml:space="preserve"> HSCs (</w:t>
      </w:r>
      <w:r w:rsidR="00C765B8" w:rsidRPr="00C765B8">
        <w:rPr>
          <w:rFonts w:ascii="Arial" w:hAnsi="Arial" w:cs="Arial"/>
          <w:i/>
          <w:iCs/>
          <w:sz w:val="22"/>
          <w:szCs w:val="22"/>
          <w:lang w:val="en-US"/>
        </w:rPr>
        <w:t>left</w:t>
      </w:r>
      <w:r w:rsidR="00C765B8" w:rsidRPr="00C765B8">
        <w:rPr>
          <w:rFonts w:ascii="Arial" w:hAnsi="Arial" w:cs="Arial"/>
          <w:sz w:val="22"/>
          <w:szCs w:val="22"/>
          <w:lang w:val="en-US"/>
        </w:rPr>
        <w:t>)</w:t>
      </w:r>
      <w:r w:rsidR="00C765B8">
        <w:rPr>
          <w:rFonts w:ascii="Arial" w:hAnsi="Arial" w:cs="Arial"/>
          <w:sz w:val="22"/>
          <w:szCs w:val="22"/>
          <w:lang w:val="en-US"/>
        </w:rPr>
        <w:t xml:space="preserve"> </w:t>
      </w:r>
      <w:r w:rsidR="00C765B8" w:rsidRPr="00C765B8">
        <w:rPr>
          <w:rFonts w:ascii="Arial" w:hAnsi="Arial" w:cs="Arial"/>
          <w:sz w:val="22"/>
          <w:szCs w:val="22"/>
          <w:lang w:val="en-US"/>
        </w:rPr>
        <w:t xml:space="preserve">and </w:t>
      </w:r>
      <w:proofErr w:type="spellStart"/>
      <w:r w:rsidR="00C765B8" w:rsidRPr="00C765B8">
        <w:rPr>
          <w:rFonts w:ascii="Arial" w:hAnsi="Arial" w:cs="Arial"/>
          <w:sz w:val="22"/>
          <w:szCs w:val="22"/>
          <w:lang w:val="en-US"/>
        </w:rPr>
        <w:t>Esam</w:t>
      </w:r>
      <w:proofErr w:type="spellEnd"/>
      <w:r w:rsidR="00C765B8" w:rsidRPr="00C765B8">
        <w:rPr>
          <w:rFonts w:ascii="Arial" w:hAnsi="Arial" w:cs="Arial"/>
          <w:sz w:val="22"/>
          <w:szCs w:val="22"/>
          <w:vertAlign w:val="superscript"/>
          <w:lang w:val="en-US"/>
        </w:rPr>
        <w:t>+</w:t>
      </w:r>
      <w:r w:rsidR="00C765B8" w:rsidRPr="00C765B8">
        <w:rPr>
          <w:rFonts w:ascii="Arial" w:hAnsi="Arial" w:cs="Arial"/>
          <w:sz w:val="22"/>
          <w:szCs w:val="22"/>
          <w:lang w:val="en-US"/>
        </w:rPr>
        <w:t xml:space="preserve"> HSCs within the CD41</w:t>
      </w:r>
      <w:r w:rsidR="00C765B8" w:rsidRPr="00C765B8">
        <w:rPr>
          <w:rFonts w:ascii="Arial" w:hAnsi="Arial" w:cs="Arial"/>
          <w:sz w:val="22"/>
          <w:szCs w:val="22"/>
          <w:vertAlign w:val="superscript"/>
          <w:lang w:val="en-US"/>
        </w:rPr>
        <w:t>lo</w:t>
      </w:r>
      <w:r w:rsidR="00C765B8">
        <w:rPr>
          <w:rFonts w:ascii="Arial" w:hAnsi="Arial" w:cs="Arial"/>
          <w:sz w:val="22"/>
          <w:szCs w:val="22"/>
          <w:lang w:val="en-US"/>
        </w:rPr>
        <w:t xml:space="preserve"> </w:t>
      </w:r>
      <w:r w:rsidR="00C765B8" w:rsidRPr="00C765B8">
        <w:rPr>
          <w:rFonts w:ascii="Arial" w:hAnsi="Arial" w:cs="Arial"/>
          <w:sz w:val="22"/>
          <w:szCs w:val="22"/>
          <w:lang w:val="en-US"/>
        </w:rPr>
        <w:t>HSC fraction are shown below.</w:t>
      </w:r>
      <w:r w:rsidR="00C765B8">
        <w:rPr>
          <w:rFonts w:ascii="Arial" w:hAnsi="Arial" w:cs="Arial"/>
          <w:sz w:val="22"/>
          <w:szCs w:val="22"/>
          <w:lang w:val="en-US"/>
        </w:rPr>
        <w:t xml:space="preserve"> </w:t>
      </w:r>
      <w:r w:rsidR="00C765B8" w:rsidRPr="00C765B8">
        <w:rPr>
          <w:rFonts w:ascii="Arial" w:hAnsi="Arial" w:cs="Arial"/>
          <w:b/>
          <w:bCs/>
          <w:sz w:val="22"/>
          <w:szCs w:val="22"/>
          <w:lang w:val="en-US"/>
        </w:rPr>
        <w:t xml:space="preserve">B </w:t>
      </w:r>
      <w:r w:rsidR="00C765B8" w:rsidRPr="00C765B8">
        <w:rPr>
          <w:rFonts w:ascii="Arial" w:hAnsi="Arial" w:cs="Arial"/>
          <w:sz w:val="22"/>
          <w:szCs w:val="22"/>
          <w:lang w:val="en-US"/>
        </w:rPr>
        <w:t>Esam1 expression</w:t>
      </w:r>
      <w:r w:rsidR="00C765B8">
        <w:rPr>
          <w:rFonts w:ascii="Arial" w:hAnsi="Arial" w:cs="Arial"/>
          <w:sz w:val="22"/>
          <w:szCs w:val="22"/>
          <w:lang w:val="en-US"/>
        </w:rPr>
        <w:t xml:space="preserve"> </w:t>
      </w:r>
      <w:r w:rsidR="00C765B8" w:rsidRPr="00C765B8">
        <w:rPr>
          <w:rFonts w:ascii="Arial" w:hAnsi="Arial" w:cs="Arial"/>
          <w:sz w:val="22"/>
          <w:szCs w:val="22"/>
          <w:lang w:val="en-US"/>
        </w:rPr>
        <w:t xml:space="preserve">on </w:t>
      </w:r>
      <w:proofErr w:type="spellStart"/>
      <w:r w:rsidR="00C765B8" w:rsidRPr="00C765B8">
        <w:rPr>
          <w:rFonts w:ascii="Arial" w:hAnsi="Arial" w:cs="Arial"/>
          <w:sz w:val="22"/>
          <w:szCs w:val="22"/>
          <w:lang w:val="en-US"/>
        </w:rPr>
        <w:t>Epcr</w:t>
      </w:r>
      <w:r w:rsidR="00C765B8" w:rsidRPr="00C765B8">
        <w:rPr>
          <w:rFonts w:ascii="Arial" w:hAnsi="Arial" w:cs="Arial"/>
          <w:sz w:val="22"/>
          <w:szCs w:val="22"/>
          <w:vertAlign w:val="superscript"/>
          <w:lang w:val="en-US"/>
        </w:rPr>
        <w:t>hi</w:t>
      </w:r>
      <w:proofErr w:type="spellEnd"/>
      <w:r w:rsidR="00C765B8" w:rsidRPr="00C765B8">
        <w:rPr>
          <w:rFonts w:ascii="Arial" w:hAnsi="Arial" w:cs="Arial"/>
          <w:sz w:val="22"/>
          <w:szCs w:val="22"/>
          <w:lang w:val="en-US"/>
        </w:rPr>
        <w:t xml:space="preserve"> (</w:t>
      </w:r>
      <w:r w:rsidR="00C765B8" w:rsidRPr="00C765B8">
        <w:rPr>
          <w:rFonts w:ascii="Arial" w:hAnsi="Arial" w:cs="Arial"/>
          <w:i/>
          <w:iCs/>
          <w:sz w:val="22"/>
          <w:szCs w:val="22"/>
          <w:lang w:val="en-US"/>
        </w:rPr>
        <w:t>upper</w:t>
      </w:r>
      <w:r w:rsidR="00C765B8" w:rsidRPr="00C765B8">
        <w:rPr>
          <w:rFonts w:ascii="Arial" w:hAnsi="Arial" w:cs="Arial"/>
          <w:sz w:val="22"/>
          <w:szCs w:val="22"/>
          <w:lang w:val="en-US"/>
        </w:rPr>
        <w:t xml:space="preserve"> panel) and</w:t>
      </w:r>
      <w:r w:rsidR="00C765B8">
        <w:rPr>
          <w:rFonts w:ascii="Arial" w:hAnsi="Arial" w:cs="Arial"/>
          <w:sz w:val="22"/>
          <w:szCs w:val="22"/>
          <w:lang w:val="en-US"/>
        </w:rPr>
        <w:t xml:space="preserve"> </w:t>
      </w:r>
      <w:proofErr w:type="spellStart"/>
      <w:r w:rsidR="00C765B8" w:rsidRPr="00C765B8">
        <w:rPr>
          <w:rFonts w:ascii="Arial" w:hAnsi="Arial" w:cs="Arial"/>
          <w:sz w:val="22"/>
          <w:szCs w:val="22"/>
          <w:lang w:val="en-US"/>
        </w:rPr>
        <w:t>Epcr</w:t>
      </w:r>
      <w:r w:rsidR="00C765B8" w:rsidRPr="00C765B8">
        <w:rPr>
          <w:rFonts w:ascii="Arial" w:hAnsi="Arial" w:cs="Arial"/>
          <w:sz w:val="22"/>
          <w:szCs w:val="22"/>
          <w:vertAlign w:val="superscript"/>
          <w:lang w:val="en-US"/>
        </w:rPr>
        <w:t>lo</w:t>
      </w:r>
      <w:proofErr w:type="spellEnd"/>
      <w:r w:rsidR="00C765B8" w:rsidRPr="00C765B8">
        <w:rPr>
          <w:rFonts w:ascii="Arial" w:hAnsi="Arial" w:cs="Arial"/>
          <w:sz w:val="22"/>
          <w:szCs w:val="22"/>
          <w:lang w:val="en-US"/>
        </w:rPr>
        <w:t xml:space="preserve"> HSCs (</w:t>
      </w:r>
      <w:r w:rsidR="00C765B8" w:rsidRPr="00C765B8">
        <w:rPr>
          <w:rFonts w:ascii="Arial" w:hAnsi="Arial" w:cs="Arial"/>
          <w:i/>
          <w:iCs/>
          <w:sz w:val="22"/>
          <w:szCs w:val="22"/>
          <w:lang w:val="en-US"/>
        </w:rPr>
        <w:t>lower</w:t>
      </w:r>
      <w:r w:rsidR="00C765B8" w:rsidRPr="00C765B8">
        <w:rPr>
          <w:rFonts w:ascii="Arial" w:hAnsi="Arial" w:cs="Arial"/>
          <w:sz w:val="22"/>
          <w:szCs w:val="22"/>
          <w:lang w:val="en-US"/>
        </w:rPr>
        <w:t xml:space="preserve"> panel) in</w:t>
      </w:r>
      <w:r w:rsidR="00C765B8">
        <w:rPr>
          <w:rFonts w:ascii="Arial" w:hAnsi="Arial" w:cs="Arial"/>
          <w:sz w:val="22"/>
          <w:szCs w:val="22"/>
          <w:lang w:val="en-US"/>
        </w:rPr>
        <w:t xml:space="preserve"> </w:t>
      </w:r>
      <w:r w:rsidR="00C765B8" w:rsidRPr="00C765B8">
        <w:rPr>
          <w:rFonts w:ascii="Arial" w:hAnsi="Arial" w:cs="Arial"/>
          <w:sz w:val="22"/>
          <w:szCs w:val="22"/>
          <w:lang w:val="en-US"/>
        </w:rPr>
        <w:t>the bone marrow of mice.</w:t>
      </w:r>
      <w:r w:rsidR="00C765B8">
        <w:rPr>
          <w:rFonts w:ascii="Arial" w:hAnsi="Arial" w:cs="Arial"/>
          <w:sz w:val="22"/>
          <w:szCs w:val="22"/>
          <w:lang w:val="en-US"/>
        </w:rPr>
        <w:t xml:space="preserve"> </w:t>
      </w:r>
      <w:r w:rsidR="00C765B8" w:rsidRPr="00C765B8">
        <w:rPr>
          <w:rFonts w:ascii="Arial" w:hAnsi="Arial" w:cs="Arial"/>
          <w:sz w:val="22"/>
          <w:szCs w:val="22"/>
          <w:lang w:val="en-US"/>
        </w:rPr>
        <w:t>Graphs showing the</w:t>
      </w:r>
      <w:r w:rsidR="00C765B8">
        <w:rPr>
          <w:rFonts w:ascii="Arial" w:hAnsi="Arial" w:cs="Arial"/>
          <w:sz w:val="22"/>
          <w:szCs w:val="22"/>
          <w:lang w:val="en-US"/>
        </w:rPr>
        <w:t xml:space="preserve"> </w:t>
      </w:r>
      <w:r w:rsidR="00C765B8" w:rsidRPr="00C765B8">
        <w:rPr>
          <w:rFonts w:ascii="Arial" w:hAnsi="Arial" w:cs="Arial"/>
          <w:sz w:val="22"/>
          <w:szCs w:val="22"/>
          <w:lang w:val="en-US"/>
        </w:rPr>
        <w:t>percentages of Esam1+ HSCs</w:t>
      </w:r>
      <w:r w:rsidR="00C765B8">
        <w:rPr>
          <w:rFonts w:ascii="Arial" w:hAnsi="Arial" w:cs="Arial"/>
          <w:sz w:val="22"/>
          <w:szCs w:val="22"/>
          <w:lang w:val="en-US"/>
        </w:rPr>
        <w:t xml:space="preserve"> </w:t>
      </w:r>
      <w:r w:rsidR="00C765B8" w:rsidRPr="00C765B8">
        <w:rPr>
          <w:rFonts w:ascii="Arial" w:hAnsi="Arial" w:cs="Arial"/>
          <w:sz w:val="22"/>
          <w:szCs w:val="22"/>
          <w:lang w:val="en-US"/>
        </w:rPr>
        <w:t xml:space="preserve">within the </w:t>
      </w:r>
      <w:proofErr w:type="spellStart"/>
      <w:r w:rsidR="00C765B8" w:rsidRPr="00C765B8">
        <w:rPr>
          <w:rFonts w:ascii="Arial" w:hAnsi="Arial" w:cs="Arial"/>
          <w:sz w:val="22"/>
          <w:szCs w:val="22"/>
          <w:lang w:val="en-US"/>
        </w:rPr>
        <w:t>Epc</w:t>
      </w:r>
      <w:r w:rsidR="00C765B8" w:rsidRPr="00C765B8">
        <w:rPr>
          <w:rFonts w:ascii="Arial" w:hAnsi="Arial" w:cs="Arial"/>
          <w:sz w:val="22"/>
          <w:szCs w:val="22"/>
          <w:vertAlign w:val="superscript"/>
          <w:lang w:val="en-US"/>
        </w:rPr>
        <w:t>rhi</w:t>
      </w:r>
      <w:proofErr w:type="spellEnd"/>
      <w:r w:rsidR="00C765B8" w:rsidRPr="00C765B8">
        <w:rPr>
          <w:rFonts w:ascii="Arial" w:hAnsi="Arial" w:cs="Arial"/>
          <w:sz w:val="22"/>
          <w:szCs w:val="22"/>
          <w:lang w:val="en-US"/>
        </w:rPr>
        <w:t xml:space="preserve"> HSCs (</w:t>
      </w:r>
      <w:r w:rsidR="00C765B8" w:rsidRPr="00C765B8">
        <w:rPr>
          <w:rFonts w:ascii="Arial" w:hAnsi="Arial" w:cs="Arial"/>
          <w:i/>
          <w:iCs/>
          <w:sz w:val="22"/>
          <w:szCs w:val="22"/>
          <w:lang w:val="en-US"/>
        </w:rPr>
        <w:t>left</w:t>
      </w:r>
      <w:r w:rsidR="00C765B8" w:rsidRPr="00C765B8">
        <w:rPr>
          <w:rFonts w:ascii="Arial" w:hAnsi="Arial" w:cs="Arial"/>
          <w:sz w:val="22"/>
          <w:szCs w:val="22"/>
          <w:lang w:val="en-US"/>
        </w:rPr>
        <w:t>)</w:t>
      </w:r>
      <w:r w:rsidR="00C765B8">
        <w:rPr>
          <w:rFonts w:ascii="Arial" w:hAnsi="Arial" w:cs="Arial"/>
          <w:sz w:val="22"/>
          <w:szCs w:val="22"/>
          <w:lang w:val="en-US"/>
        </w:rPr>
        <w:t xml:space="preserve"> </w:t>
      </w:r>
      <w:r w:rsidR="00C765B8" w:rsidRPr="00C765B8">
        <w:rPr>
          <w:rFonts w:ascii="Arial" w:hAnsi="Arial" w:cs="Arial"/>
          <w:sz w:val="22"/>
          <w:szCs w:val="22"/>
          <w:lang w:val="en-US"/>
        </w:rPr>
        <w:t>and Esam1</w:t>
      </w:r>
      <w:r w:rsidR="00C765B8" w:rsidRPr="00C765B8">
        <w:rPr>
          <w:rFonts w:ascii="Arial" w:hAnsi="Arial" w:cs="Arial"/>
          <w:sz w:val="22"/>
          <w:szCs w:val="22"/>
          <w:vertAlign w:val="superscript"/>
          <w:lang w:val="en-US"/>
        </w:rPr>
        <w:t>+</w:t>
      </w:r>
      <w:r w:rsidR="00C765B8" w:rsidRPr="00C765B8">
        <w:rPr>
          <w:rFonts w:ascii="Arial" w:hAnsi="Arial" w:cs="Arial"/>
          <w:sz w:val="22"/>
          <w:szCs w:val="22"/>
          <w:lang w:val="en-US"/>
        </w:rPr>
        <w:t xml:space="preserve"> HSCs within the</w:t>
      </w:r>
      <w:r w:rsidR="00C765B8">
        <w:rPr>
          <w:rFonts w:ascii="Arial" w:hAnsi="Arial" w:cs="Arial"/>
          <w:sz w:val="22"/>
          <w:szCs w:val="22"/>
          <w:lang w:val="en-US"/>
        </w:rPr>
        <w:t xml:space="preserve"> </w:t>
      </w:r>
      <w:proofErr w:type="spellStart"/>
      <w:r w:rsidR="00C765B8" w:rsidRPr="00C765B8">
        <w:rPr>
          <w:rFonts w:ascii="Arial" w:hAnsi="Arial" w:cs="Arial"/>
          <w:sz w:val="22"/>
          <w:szCs w:val="22"/>
          <w:lang w:val="en-US"/>
        </w:rPr>
        <w:t>Epcr</w:t>
      </w:r>
      <w:r w:rsidR="00C765B8" w:rsidRPr="00C765B8">
        <w:rPr>
          <w:rFonts w:ascii="Arial" w:hAnsi="Arial" w:cs="Arial"/>
          <w:sz w:val="22"/>
          <w:szCs w:val="22"/>
          <w:vertAlign w:val="superscript"/>
          <w:lang w:val="en-US"/>
        </w:rPr>
        <w:t>lo</w:t>
      </w:r>
      <w:proofErr w:type="spellEnd"/>
      <w:r w:rsidR="00C765B8" w:rsidRPr="00C765B8">
        <w:rPr>
          <w:rFonts w:ascii="Arial" w:hAnsi="Arial" w:cs="Arial"/>
          <w:sz w:val="22"/>
          <w:szCs w:val="22"/>
          <w:lang w:val="en-US"/>
        </w:rPr>
        <w:t xml:space="preserve"> HSC fraction are shown</w:t>
      </w:r>
      <w:r w:rsidR="00C765B8">
        <w:rPr>
          <w:rFonts w:ascii="Arial" w:hAnsi="Arial" w:cs="Arial"/>
          <w:sz w:val="22"/>
          <w:szCs w:val="22"/>
          <w:lang w:val="en-US"/>
        </w:rPr>
        <w:t xml:space="preserve"> </w:t>
      </w:r>
      <w:r w:rsidR="00C765B8" w:rsidRPr="00C765B8">
        <w:rPr>
          <w:rFonts w:ascii="Arial" w:hAnsi="Arial" w:cs="Arial"/>
          <w:sz w:val="22"/>
          <w:szCs w:val="22"/>
          <w:lang w:val="en-US"/>
        </w:rPr>
        <w:t>below.</w:t>
      </w:r>
    </w:p>
    <w:p w14:paraId="2D8C4EAD" w14:textId="77777777" w:rsidR="00573F0A" w:rsidRDefault="00204C87" w:rsidP="00605651">
      <w:pPr>
        <w:spacing w:line="360" w:lineRule="auto"/>
        <w:jc w:val="both"/>
        <w:rPr>
          <w:rFonts w:ascii="Arial" w:hAnsi="Arial" w:cs="Arial"/>
          <w:sz w:val="22"/>
          <w:szCs w:val="22"/>
          <w:lang w:val="en-US"/>
        </w:rPr>
      </w:pPr>
      <w:r>
        <w:rPr>
          <w:rFonts w:ascii="Arial" w:hAnsi="Arial" w:cs="Arial"/>
          <w:sz w:val="22"/>
          <w:szCs w:val="22"/>
          <w:lang w:val="en-US"/>
        </w:rPr>
        <w:lastRenderedPageBreak/>
        <w:t xml:space="preserve">Finally, to model effects of </w:t>
      </w:r>
      <w:proofErr w:type="spellStart"/>
      <w:r w:rsidRPr="00C96B8A">
        <w:rPr>
          <w:rFonts w:ascii="Arial" w:hAnsi="Arial" w:cs="Arial"/>
          <w:sz w:val="22"/>
          <w:szCs w:val="22"/>
          <w:lang w:val="en-US"/>
        </w:rPr>
        <w:t>pegIFN</w:t>
      </w:r>
      <w:proofErr w:type="spellEnd"/>
      <w:r w:rsidRPr="00C96B8A">
        <w:rPr>
          <w:rFonts w:ascii="Arial" w:hAnsi="Arial" w:cs="Arial"/>
          <w:sz w:val="22"/>
          <w:szCs w:val="22"/>
          <w:lang w:val="en-US"/>
        </w:rPr>
        <w:t>α</w:t>
      </w:r>
      <w:r>
        <w:rPr>
          <w:rFonts w:ascii="Arial" w:hAnsi="Arial" w:cs="Arial"/>
          <w:sz w:val="22"/>
          <w:szCs w:val="22"/>
          <w:lang w:val="en-US"/>
        </w:rPr>
        <w:t xml:space="preserve"> therapy in MPN we have transplanted </w:t>
      </w:r>
      <w:r w:rsidRPr="00204C87">
        <w:rPr>
          <w:rFonts w:ascii="Arial" w:hAnsi="Arial" w:cs="Arial"/>
          <w:i/>
          <w:iCs/>
          <w:sz w:val="22"/>
          <w:szCs w:val="22"/>
          <w:lang w:val="en-US"/>
        </w:rPr>
        <w:t>VF</w:t>
      </w:r>
      <w:r>
        <w:rPr>
          <w:rFonts w:ascii="Arial" w:hAnsi="Arial" w:cs="Arial"/>
          <w:sz w:val="22"/>
          <w:szCs w:val="22"/>
          <w:lang w:val="en-US"/>
        </w:rPr>
        <w:t xml:space="preserve"> mice bone marrow in 1:1 ratio with </w:t>
      </w:r>
      <w:r w:rsidRPr="00204C87">
        <w:rPr>
          <w:rFonts w:ascii="Arial" w:hAnsi="Arial" w:cs="Arial"/>
          <w:i/>
          <w:iCs/>
          <w:sz w:val="22"/>
          <w:szCs w:val="22"/>
          <w:lang w:val="en-US"/>
        </w:rPr>
        <w:t>WT</w:t>
      </w:r>
      <w:r>
        <w:rPr>
          <w:rFonts w:ascii="Arial" w:hAnsi="Arial" w:cs="Arial"/>
          <w:sz w:val="22"/>
          <w:szCs w:val="22"/>
          <w:lang w:val="en-US"/>
        </w:rPr>
        <w:t xml:space="preserve"> competitor bone marrow cells into lethally irradiated recipients</w:t>
      </w:r>
      <w:r w:rsidR="00205DAE">
        <w:rPr>
          <w:rFonts w:ascii="Arial" w:hAnsi="Arial" w:cs="Arial"/>
          <w:sz w:val="22"/>
          <w:szCs w:val="22"/>
          <w:lang w:val="en-US"/>
        </w:rPr>
        <w:t xml:space="preserve"> (Figure 3</w:t>
      </w:r>
      <w:r w:rsidR="007F1F27">
        <w:rPr>
          <w:rFonts w:ascii="Arial" w:hAnsi="Arial" w:cs="Arial"/>
          <w:sz w:val="22"/>
          <w:szCs w:val="22"/>
          <w:lang w:val="en-US"/>
        </w:rPr>
        <w:t>3</w:t>
      </w:r>
      <w:r w:rsidR="00205DAE">
        <w:rPr>
          <w:rFonts w:ascii="Arial" w:hAnsi="Arial" w:cs="Arial"/>
          <w:sz w:val="22"/>
          <w:szCs w:val="22"/>
          <w:lang w:val="en-US"/>
        </w:rPr>
        <w:t>A)</w:t>
      </w:r>
      <w:r>
        <w:rPr>
          <w:rFonts w:ascii="Arial" w:hAnsi="Arial" w:cs="Arial"/>
          <w:sz w:val="22"/>
          <w:szCs w:val="22"/>
          <w:lang w:val="en-US"/>
        </w:rPr>
        <w:t xml:space="preserve">. 6 weeks post-transplantation we have randomized engrafted mice and commenced the treatment with </w:t>
      </w:r>
      <w:proofErr w:type="spellStart"/>
      <w:r w:rsidRPr="00C96B8A">
        <w:rPr>
          <w:rFonts w:ascii="Arial" w:hAnsi="Arial" w:cs="Arial"/>
          <w:sz w:val="22"/>
          <w:szCs w:val="22"/>
          <w:lang w:val="en-US"/>
        </w:rPr>
        <w:t>pegIFN</w:t>
      </w:r>
      <w:proofErr w:type="spellEnd"/>
      <w:r w:rsidRPr="00C96B8A">
        <w:rPr>
          <w:rFonts w:ascii="Arial" w:hAnsi="Arial" w:cs="Arial"/>
          <w:sz w:val="22"/>
          <w:szCs w:val="22"/>
          <w:lang w:val="en-US"/>
        </w:rPr>
        <w:t>α</w:t>
      </w:r>
      <w:r>
        <w:rPr>
          <w:rFonts w:ascii="Arial" w:hAnsi="Arial" w:cs="Arial"/>
          <w:sz w:val="22"/>
          <w:szCs w:val="22"/>
          <w:lang w:val="en-US"/>
        </w:rPr>
        <w:t xml:space="preserve"> injections weekly for 22 weeks. After complete hematological response marked by normalized blood counts </w:t>
      </w:r>
      <w:r w:rsidR="00205DAE">
        <w:rPr>
          <w:rFonts w:ascii="Arial" w:hAnsi="Arial" w:cs="Arial"/>
          <w:sz w:val="22"/>
          <w:szCs w:val="22"/>
          <w:lang w:val="en-US"/>
        </w:rPr>
        <w:t xml:space="preserve">and spleen weight </w:t>
      </w:r>
      <w:r>
        <w:rPr>
          <w:rFonts w:ascii="Arial" w:hAnsi="Arial" w:cs="Arial"/>
          <w:sz w:val="22"/>
          <w:szCs w:val="22"/>
          <w:lang w:val="en-US"/>
        </w:rPr>
        <w:t>(Figure 3</w:t>
      </w:r>
      <w:r w:rsidR="007F1F27">
        <w:rPr>
          <w:rFonts w:ascii="Arial" w:hAnsi="Arial" w:cs="Arial"/>
          <w:sz w:val="22"/>
          <w:szCs w:val="22"/>
          <w:lang w:val="en-US"/>
        </w:rPr>
        <w:t>3</w:t>
      </w:r>
      <w:r>
        <w:rPr>
          <w:rFonts w:ascii="Arial" w:hAnsi="Arial" w:cs="Arial"/>
          <w:sz w:val="22"/>
          <w:szCs w:val="22"/>
          <w:lang w:val="en-US"/>
        </w:rPr>
        <w:t>A) we have terminated the experiment and analyzed the HSC subfractions (Figure 3</w:t>
      </w:r>
      <w:r w:rsidR="007F1F27">
        <w:rPr>
          <w:rFonts w:ascii="Arial" w:hAnsi="Arial" w:cs="Arial"/>
          <w:sz w:val="22"/>
          <w:szCs w:val="22"/>
          <w:lang w:val="en-US"/>
        </w:rPr>
        <w:t>3</w:t>
      </w:r>
      <w:r>
        <w:rPr>
          <w:rFonts w:ascii="Arial" w:hAnsi="Arial" w:cs="Arial"/>
          <w:sz w:val="22"/>
          <w:szCs w:val="22"/>
          <w:lang w:val="en-US"/>
        </w:rPr>
        <w:t xml:space="preserve">B). We have observed reduction of mutant </w:t>
      </w:r>
      <w:r w:rsidRPr="00204C87">
        <w:rPr>
          <w:rFonts w:ascii="Arial" w:hAnsi="Arial" w:cs="Arial"/>
          <w:i/>
          <w:iCs/>
          <w:sz w:val="22"/>
          <w:szCs w:val="22"/>
          <w:lang w:val="en-US"/>
        </w:rPr>
        <w:t>VF</w:t>
      </w:r>
      <w:r>
        <w:rPr>
          <w:rFonts w:ascii="Arial" w:hAnsi="Arial" w:cs="Arial"/>
          <w:sz w:val="22"/>
          <w:szCs w:val="22"/>
          <w:lang w:val="en-US"/>
        </w:rPr>
        <w:t xml:space="preserve"> HSCs in total numbers with significant increase of CD41</w:t>
      </w:r>
      <w:r w:rsidRPr="00204C87">
        <w:rPr>
          <w:rFonts w:ascii="Arial" w:hAnsi="Arial" w:cs="Arial"/>
          <w:sz w:val="22"/>
          <w:szCs w:val="22"/>
          <w:vertAlign w:val="superscript"/>
          <w:lang w:val="en-US"/>
        </w:rPr>
        <w:t>hi</w:t>
      </w:r>
      <w:r>
        <w:rPr>
          <w:rFonts w:ascii="Arial" w:hAnsi="Arial" w:cs="Arial"/>
          <w:sz w:val="22"/>
          <w:szCs w:val="22"/>
          <w:lang w:val="en-US"/>
        </w:rPr>
        <w:t xml:space="preserve"> HSCs in residual mutant HSC pool.</w:t>
      </w:r>
    </w:p>
    <w:p w14:paraId="7AB31D35" w14:textId="77777777" w:rsidR="00F91560" w:rsidRDefault="00C96B8A" w:rsidP="00605651">
      <w:pPr>
        <w:spacing w:line="360" w:lineRule="auto"/>
        <w:jc w:val="both"/>
        <w:rPr>
          <w:rFonts w:ascii="Arial" w:hAnsi="Arial" w:cs="Arial"/>
          <w:sz w:val="22"/>
          <w:szCs w:val="22"/>
          <w:lang w:val="en-US"/>
        </w:rPr>
      </w:pPr>
      <w:r w:rsidRPr="00C96B8A">
        <w:rPr>
          <w:rFonts w:ascii="Arial" w:hAnsi="Arial" w:cs="Arial"/>
          <w:noProof/>
          <w:sz w:val="22"/>
          <w:szCs w:val="22"/>
          <w:lang w:val="cs-CZ" w:eastAsia="cs-CZ"/>
        </w:rPr>
        <w:drawing>
          <wp:inline distT="0" distB="0" distL="0" distR="0" wp14:anchorId="73C2D3A4" wp14:editId="143E31A4">
            <wp:extent cx="5395595" cy="5226050"/>
            <wp:effectExtent l="0" t="0" r="1905" b="6350"/>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95595" cy="5226050"/>
                    </a:xfrm>
                    <a:prstGeom prst="rect">
                      <a:avLst/>
                    </a:prstGeom>
                  </pic:spPr>
                </pic:pic>
              </a:graphicData>
            </a:graphic>
          </wp:inline>
        </w:drawing>
      </w:r>
    </w:p>
    <w:p w14:paraId="44747CB4" w14:textId="77777777" w:rsidR="00C96B8A" w:rsidRDefault="00C96B8A" w:rsidP="00C96B8A">
      <w:pPr>
        <w:spacing w:line="360" w:lineRule="auto"/>
        <w:jc w:val="both"/>
        <w:rPr>
          <w:rFonts w:ascii="Arial" w:hAnsi="Arial" w:cs="Arial"/>
          <w:sz w:val="22"/>
          <w:szCs w:val="22"/>
          <w:lang w:val="en-US"/>
        </w:rPr>
      </w:pPr>
      <w:r w:rsidRPr="00C96B8A">
        <w:rPr>
          <w:rFonts w:ascii="Arial" w:hAnsi="Arial" w:cs="Arial"/>
          <w:b/>
          <w:bCs/>
          <w:sz w:val="22"/>
          <w:szCs w:val="22"/>
          <w:lang w:val="en-US"/>
        </w:rPr>
        <w:t>Figure 3</w:t>
      </w:r>
      <w:r w:rsidR="00750F84">
        <w:rPr>
          <w:rFonts w:ascii="Arial" w:hAnsi="Arial" w:cs="Arial"/>
          <w:b/>
          <w:bCs/>
          <w:sz w:val="22"/>
          <w:szCs w:val="22"/>
          <w:lang w:val="en-US"/>
        </w:rPr>
        <w:t>3</w:t>
      </w:r>
      <w:r>
        <w:rPr>
          <w:rFonts w:ascii="Arial" w:hAnsi="Arial" w:cs="Arial"/>
          <w:sz w:val="22"/>
          <w:szCs w:val="22"/>
          <w:lang w:val="en-US"/>
        </w:rPr>
        <w:t xml:space="preserve">: </w:t>
      </w:r>
      <w:r w:rsidRPr="00C96B8A">
        <w:rPr>
          <w:rFonts w:ascii="Arial" w:hAnsi="Arial" w:cs="Arial"/>
          <w:b/>
          <w:bCs/>
          <w:sz w:val="22"/>
          <w:szCs w:val="22"/>
          <w:lang w:val="en-US"/>
        </w:rPr>
        <w:t>A</w:t>
      </w:r>
      <w:r>
        <w:rPr>
          <w:rFonts w:ascii="Arial" w:hAnsi="Arial" w:cs="Arial"/>
          <w:sz w:val="22"/>
          <w:szCs w:val="22"/>
          <w:lang w:val="en-US"/>
        </w:rPr>
        <w:t xml:space="preserve"> Scheme of competitive transplantation and </w:t>
      </w:r>
      <w:proofErr w:type="spellStart"/>
      <w:r w:rsidRPr="00C96B8A">
        <w:rPr>
          <w:rFonts w:ascii="Arial" w:hAnsi="Arial" w:cs="Arial"/>
          <w:sz w:val="22"/>
          <w:szCs w:val="22"/>
          <w:lang w:val="en-US"/>
        </w:rPr>
        <w:t>pegIFN</w:t>
      </w:r>
      <w:proofErr w:type="spellEnd"/>
      <w:r w:rsidRPr="00C96B8A">
        <w:rPr>
          <w:rFonts w:ascii="Arial" w:hAnsi="Arial" w:cs="Arial"/>
          <w:sz w:val="22"/>
          <w:szCs w:val="22"/>
          <w:lang w:val="en-US"/>
        </w:rPr>
        <w:t>α</w:t>
      </w:r>
      <w:r>
        <w:rPr>
          <w:rFonts w:ascii="Arial" w:hAnsi="Arial" w:cs="Arial"/>
          <w:sz w:val="22"/>
          <w:szCs w:val="22"/>
          <w:lang w:val="en-US"/>
        </w:rPr>
        <w:t xml:space="preserve"> regimen (</w:t>
      </w:r>
      <w:r w:rsidRPr="00C96B8A">
        <w:rPr>
          <w:rFonts w:ascii="Arial" w:hAnsi="Arial" w:cs="Arial"/>
          <w:i/>
          <w:iCs/>
          <w:sz w:val="22"/>
          <w:szCs w:val="22"/>
          <w:lang w:val="en-US"/>
        </w:rPr>
        <w:t>left</w:t>
      </w:r>
      <w:r>
        <w:rPr>
          <w:rFonts w:ascii="Arial" w:hAnsi="Arial" w:cs="Arial"/>
          <w:sz w:val="22"/>
          <w:szCs w:val="22"/>
          <w:lang w:val="en-US"/>
        </w:rPr>
        <w:t>) together with observed reduction in hemoglobin, platelets and spleen weight (</w:t>
      </w:r>
      <w:r w:rsidRPr="00C96B8A">
        <w:rPr>
          <w:rFonts w:ascii="Arial" w:hAnsi="Arial" w:cs="Arial"/>
          <w:i/>
          <w:iCs/>
          <w:sz w:val="22"/>
          <w:szCs w:val="22"/>
          <w:lang w:val="en-US"/>
        </w:rPr>
        <w:t>right</w:t>
      </w:r>
      <w:r>
        <w:rPr>
          <w:rFonts w:ascii="Arial" w:hAnsi="Arial" w:cs="Arial"/>
          <w:sz w:val="22"/>
          <w:szCs w:val="22"/>
          <w:lang w:val="en-US"/>
        </w:rPr>
        <w:t xml:space="preserve">) </w:t>
      </w:r>
      <w:r w:rsidRPr="00C96B8A">
        <w:rPr>
          <w:rFonts w:ascii="Arial" w:hAnsi="Arial" w:cs="Arial"/>
          <w:b/>
          <w:bCs/>
          <w:sz w:val="22"/>
          <w:szCs w:val="22"/>
          <w:lang w:val="en-US"/>
        </w:rPr>
        <w:t>B</w:t>
      </w:r>
      <w:r>
        <w:rPr>
          <w:rFonts w:ascii="Arial" w:hAnsi="Arial" w:cs="Arial"/>
          <w:sz w:val="22"/>
          <w:szCs w:val="22"/>
          <w:lang w:val="en-US"/>
        </w:rPr>
        <w:t xml:space="preserve"> </w:t>
      </w:r>
      <w:r w:rsidRPr="00C96B8A">
        <w:rPr>
          <w:rFonts w:ascii="Arial" w:hAnsi="Arial" w:cs="Arial"/>
          <w:sz w:val="22"/>
          <w:szCs w:val="22"/>
          <w:lang w:val="en-US"/>
        </w:rPr>
        <w:t>Analysis of GFP-positive and GFP-negativ</w:t>
      </w:r>
      <w:r>
        <w:rPr>
          <w:rFonts w:ascii="Arial" w:hAnsi="Arial" w:cs="Arial"/>
          <w:sz w:val="22"/>
          <w:szCs w:val="22"/>
          <w:lang w:val="en-US"/>
        </w:rPr>
        <w:t>e</w:t>
      </w:r>
      <w:r w:rsidRPr="00C96B8A">
        <w:rPr>
          <w:rFonts w:ascii="Arial" w:hAnsi="Arial" w:cs="Arial"/>
          <w:sz w:val="22"/>
          <w:szCs w:val="22"/>
          <w:lang w:val="en-US"/>
        </w:rPr>
        <w:t xml:space="preserve"> subpopulations of </w:t>
      </w:r>
      <w:r>
        <w:rPr>
          <w:rFonts w:ascii="Arial" w:hAnsi="Arial" w:cs="Arial"/>
          <w:sz w:val="22"/>
          <w:szCs w:val="22"/>
          <w:lang w:val="en-US"/>
        </w:rPr>
        <w:t>HSCs</w:t>
      </w:r>
      <w:r w:rsidRPr="00C96B8A">
        <w:rPr>
          <w:rFonts w:ascii="Arial" w:hAnsi="Arial" w:cs="Arial"/>
          <w:sz w:val="22"/>
          <w:szCs w:val="22"/>
          <w:lang w:val="en-US"/>
        </w:rPr>
        <w:t xml:space="preserve"> after</w:t>
      </w:r>
      <w:r>
        <w:rPr>
          <w:rFonts w:ascii="Arial" w:hAnsi="Arial" w:cs="Arial"/>
          <w:sz w:val="22"/>
          <w:szCs w:val="22"/>
          <w:lang w:val="en-US"/>
        </w:rPr>
        <w:t xml:space="preserve"> </w:t>
      </w:r>
      <w:r w:rsidRPr="00C96B8A">
        <w:rPr>
          <w:rFonts w:ascii="Arial" w:hAnsi="Arial" w:cs="Arial"/>
          <w:sz w:val="22"/>
          <w:szCs w:val="22"/>
          <w:lang w:val="en-US"/>
        </w:rPr>
        <w:t xml:space="preserve">22 weeks of treatment with </w:t>
      </w:r>
      <w:proofErr w:type="spellStart"/>
      <w:r w:rsidRPr="00C96B8A">
        <w:rPr>
          <w:rFonts w:ascii="Arial" w:hAnsi="Arial" w:cs="Arial"/>
          <w:sz w:val="22"/>
          <w:szCs w:val="22"/>
          <w:lang w:val="en-US"/>
        </w:rPr>
        <w:t>pegIFN</w:t>
      </w:r>
      <w:proofErr w:type="spellEnd"/>
      <w:r w:rsidRPr="00C96B8A">
        <w:rPr>
          <w:rFonts w:ascii="Arial" w:hAnsi="Arial" w:cs="Arial"/>
          <w:sz w:val="22"/>
          <w:szCs w:val="22"/>
          <w:lang w:val="en-US"/>
        </w:rPr>
        <w:t>α. The frequencies per 1x10</w:t>
      </w:r>
      <w:r w:rsidRPr="00C96B8A">
        <w:rPr>
          <w:rFonts w:ascii="Arial" w:hAnsi="Arial" w:cs="Arial"/>
          <w:sz w:val="22"/>
          <w:szCs w:val="22"/>
          <w:vertAlign w:val="superscript"/>
          <w:lang w:val="en-US"/>
        </w:rPr>
        <w:t>3</w:t>
      </w:r>
      <w:r w:rsidRPr="00C96B8A">
        <w:rPr>
          <w:rFonts w:ascii="Arial" w:hAnsi="Arial" w:cs="Arial"/>
          <w:sz w:val="22"/>
          <w:szCs w:val="22"/>
          <w:lang w:val="en-US"/>
        </w:rPr>
        <w:t xml:space="preserve"> bone marrow cells and the</w:t>
      </w:r>
      <w:r>
        <w:rPr>
          <w:rFonts w:ascii="Arial" w:hAnsi="Arial" w:cs="Arial"/>
          <w:sz w:val="22"/>
          <w:szCs w:val="22"/>
          <w:lang w:val="en-US"/>
        </w:rPr>
        <w:t xml:space="preserve"> </w:t>
      </w:r>
      <w:r w:rsidRPr="00C96B8A">
        <w:rPr>
          <w:rFonts w:ascii="Arial" w:hAnsi="Arial" w:cs="Arial"/>
          <w:sz w:val="22"/>
          <w:szCs w:val="22"/>
          <w:lang w:val="en-US"/>
        </w:rPr>
        <w:t xml:space="preserve">percentages of donor derived (GFP+) </w:t>
      </w:r>
      <w:r>
        <w:rPr>
          <w:rFonts w:ascii="Arial" w:hAnsi="Arial" w:cs="Arial"/>
          <w:sz w:val="22"/>
          <w:szCs w:val="22"/>
          <w:lang w:val="en-US"/>
        </w:rPr>
        <w:t>HSC</w:t>
      </w:r>
      <w:r w:rsidRPr="00C96B8A">
        <w:rPr>
          <w:rFonts w:ascii="Arial" w:hAnsi="Arial" w:cs="Arial"/>
          <w:sz w:val="22"/>
          <w:szCs w:val="22"/>
          <w:lang w:val="en-US"/>
        </w:rPr>
        <w:t xml:space="preserve"> subsets in recipient mice treated with </w:t>
      </w:r>
      <w:proofErr w:type="spellStart"/>
      <w:r w:rsidRPr="00C96B8A">
        <w:rPr>
          <w:rFonts w:ascii="Arial" w:hAnsi="Arial" w:cs="Arial"/>
          <w:sz w:val="22"/>
          <w:szCs w:val="22"/>
          <w:lang w:val="en-US"/>
        </w:rPr>
        <w:t>pegIFN</w:t>
      </w:r>
      <w:proofErr w:type="spellEnd"/>
      <w:r w:rsidRPr="00C96B8A">
        <w:rPr>
          <w:rFonts w:ascii="Arial" w:hAnsi="Arial" w:cs="Arial"/>
          <w:sz w:val="22"/>
          <w:szCs w:val="22"/>
          <w:lang w:val="en-US"/>
        </w:rPr>
        <w:t>α or</w:t>
      </w:r>
      <w:r>
        <w:rPr>
          <w:rFonts w:ascii="Arial" w:hAnsi="Arial" w:cs="Arial"/>
          <w:sz w:val="22"/>
          <w:szCs w:val="22"/>
          <w:lang w:val="en-US"/>
        </w:rPr>
        <w:t xml:space="preserve"> </w:t>
      </w:r>
      <w:r w:rsidRPr="00C96B8A">
        <w:rPr>
          <w:rFonts w:ascii="Arial" w:hAnsi="Arial" w:cs="Arial"/>
          <w:sz w:val="22"/>
          <w:szCs w:val="22"/>
          <w:lang w:val="en-US"/>
        </w:rPr>
        <w:t xml:space="preserve">vehicle are shown (n=5 mice per group). All data shown are mean ± SEM. </w:t>
      </w:r>
      <w:r w:rsidRPr="00C96B8A">
        <w:rPr>
          <w:rFonts w:ascii="Cambria Math" w:hAnsi="Cambria Math" w:cs="Cambria Math"/>
          <w:sz w:val="22"/>
          <w:szCs w:val="22"/>
          <w:lang w:val="en-US"/>
        </w:rPr>
        <w:t>∗</w:t>
      </w:r>
      <w:r w:rsidRPr="00C96B8A">
        <w:rPr>
          <w:rFonts w:ascii="Arial" w:hAnsi="Arial" w:cs="Arial"/>
          <w:sz w:val="22"/>
          <w:szCs w:val="22"/>
          <w:lang w:val="en-US"/>
        </w:rPr>
        <w:t xml:space="preserve">p &lt; 0.05; </w:t>
      </w:r>
      <w:r w:rsidRPr="00C96B8A">
        <w:rPr>
          <w:rFonts w:ascii="Cambria Math" w:hAnsi="Cambria Math" w:cs="Cambria Math"/>
          <w:sz w:val="22"/>
          <w:szCs w:val="22"/>
          <w:lang w:val="en-US"/>
        </w:rPr>
        <w:t>∗∗</w:t>
      </w:r>
      <w:r w:rsidRPr="00C96B8A">
        <w:rPr>
          <w:rFonts w:ascii="Arial" w:hAnsi="Arial" w:cs="Arial"/>
          <w:sz w:val="22"/>
          <w:szCs w:val="22"/>
          <w:lang w:val="en-US"/>
        </w:rPr>
        <w:t xml:space="preserve">p &lt;0.01; </w:t>
      </w:r>
      <w:r w:rsidRPr="00C96B8A">
        <w:rPr>
          <w:rFonts w:ascii="Cambria Math" w:hAnsi="Cambria Math" w:cs="Cambria Math"/>
          <w:sz w:val="22"/>
          <w:szCs w:val="22"/>
          <w:lang w:val="en-US"/>
        </w:rPr>
        <w:t>∗∗∗</w:t>
      </w:r>
      <w:r w:rsidRPr="00C96B8A">
        <w:rPr>
          <w:rFonts w:ascii="Arial" w:hAnsi="Arial" w:cs="Arial"/>
          <w:sz w:val="22"/>
          <w:szCs w:val="22"/>
          <w:lang w:val="en-US"/>
        </w:rPr>
        <w:t xml:space="preserve">p &lt; 0.001; </w:t>
      </w:r>
      <w:r w:rsidRPr="00C96B8A">
        <w:rPr>
          <w:rFonts w:ascii="Cambria Math" w:hAnsi="Cambria Math" w:cs="Cambria Math"/>
          <w:sz w:val="22"/>
          <w:szCs w:val="22"/>
          <w:lang w:val="en-US"/>
        </w:rPr>
        <w:t>∗∗∗∗</w:t>
      </w:r>
      <w:r w:rsidRPr="00C96B8A">
        <w:rPr>
          <w:rFonts w:ascii="Arial" w:hAnsi="Arial" w:cs="Arial"/>
          <w:sz w:val="22"/>
          <w:szCs w:val="22"/>
          <w:lang w:val="en-US"/>
        </w:rPr>
        <w:t>p &lt; 0.0001. Two-way ANOVA tests were performed</w:t>
      </w:r>
    </w:p>
    <w:p w14:paraId="43E0E85F" w14:textId="77777777" w:rsidR="00F00B5B" w:rsidRDefault="003C29D4" w:rsidP="00F00B5B">
      <w:pPr>
        <w:spacing w:line="360" w:lineRule="auto"/>
        <w:jc w:val="both"/>
        <w:rPr>
          <w:rFonts w:ascii="Arial" w:hAnsi="Arial" w:cs="Arial"/>
          <w:sz w:val="22"/>
          <w:szCs w:val="22"/>
          <w:lang w:val="en-US"/>
        </w:rPr>
      </w:pPr>
      <w:r>
        <w:rPr>
          <w:rFonts w:ascii="Arial" w:hAnsi="Arial" w:cs="Arial"/>
          <w:sz w:val="22"/>
          <w:szCs w:val="22"/>
          <w:lang w:val="en-US"/>
        </w:rPr>
        <w:lastRenderedPageBreak/>
        <w:t>Overall,</w:t>
      </w:r>
      <w:r w:rsidR="00204C87">
        <w:rPr>
          <w:rFonts w:ascii="Arial" w:hAnsi="Arial" w:cs="Arial"/>
          <w:sz w:val="22"/>
          <w:szCs w:val="22"/>
          <w:lang w:val="en-US"/>
        </w:rPr>
        <w:t xml:space="preserve"> these data suggest</w:t>
      </w:r>
      <w:r w:rsidR="00204C87" w:rsidRPr="00204C87">
        <w:rPr>
          <w:rFonts w:ascii="Arial" w:hAnsi="Arial" w:cs="Arial"/>
          <w:sz w:val="22"/>
          <w:szCs w:val="22"/>
          <w:lang w:val="en-US"/>
        </w:rPr>
        <w:t xml:space="preserve"> the apparent expansion of the CD41</w:t>
      </w:r>
      <w:r w:rsidR="00204C87" w:rsidRPr="00204C87">
        <w:rPr>
          <w:rFonts w:ascii="Arial" w:hAnsi="Arial" w:cs="Arial"/>
          <w:sz w:val="22"/>
          <w:szCs w:val="22"/>
          <w:vertAlign w:val="superscript"/>
          <w:lang w:val="en-US"/>
        </w:rPr>
        <w:t>hi</w:t>
      </w:r>
      <w:r w:rsidR="00204C87" w:rsidRPr="00204C87">
        <w:rPr>
          <w:rFonts w:ascii="Arial" w:hAnsi="Arial" w:cs="Arial"/>
          <w:sz w:val="22"/>
          <w:szCs w:val="22"/>
          <w:lang w:val="en-US"/>
        </w:rPr>
        <w:t xml:space="preserve"> subset</w:t>
      </w:r>
      <w:r w:rsidR="00F00B5B">
        <w:rPr>
          <w:rFonts w:ascii="Arial" w:hAnsi="Arial" w:cs="Arial"/>
          <w:sz w:val="22"/>
          <w:szCs w:val="22"/>
          <w:lang w:val="en-US"/>
        </w:rPr>
        <w:t xml:space="preserve"> </w:t>
      </w:r>
      <w:r w:rsidR="00204C87" w:rsidRPr="00204C87">
        <w:rPr>
          <w:rFonts w:ascii="Arial" w:hAnsi="Arial" w:cs="Arial"/>
          <w:sz w:val="22"/>
          <w:szCs w:val="22"/>
          <w:lang w:val="en-US"/>
        </w:rPr>
        <w:t>occurred</w:t>
      </w:r>
      <w:r w:rsidR="00F00B5B">
        <w:rPr>
          <w:rFonts w:ascii="Arial" w:hAnsi="Arial" w:cs="Arial"/>
          <w:sz w:val="22"/>
          <w:szCs w:val="22"/>
          <w:lang w:val="en-US"/>
        </w:rPr>
        <w:t xml:space="preserve"> </w:t>
      </w:r>
      <w:r w:rsidR="00204C87" w:rsidRPr="00204C87">
        <w:rPr>
          <w:rFonts w:ascii="Arial" w:hAnsi="Arial" w:cs="Arial"/>
          <w:sz w:val="22"/>
          <w:szCs w:val="22"/>
          <w:lang w:val="en-US"/>
        </w:rPr>
        <w:t>because CD41</w:t>
      </w:r>
      <w:r w:rsidR="00204C87" w:rsidRPr="00204C87">
        <w:rPr>
          <w:rFonts w:ascii="Arial" w:hAnsi="Arial" w:cs="Arial"/>
          <w:sz w:val="22"/>
          <w:szCs w:val="22"/>
          <w:vertAlign w:val="superscript"/>
          <w:lang w:val="en-US"/>
        </w:rPr>
        <w:t>lo</w:t>
      </w:r>
      <w:r w:rsidR="00204C87" w:rsidRPr="00204C87">
        <w:rPr>
          <w:rFonts w:ascii="Arial" w:hAnsi="Arial" w:cs="Arial"/>
          <w:sz w:val="22"/>
          <w:szCs w:val="22"/>
          <w:lang w:val="en-US"/>
        </w:rPr>
        <w:t xml:space="preserve"> HSC were more sensitive to IFN signaling (shown by short-</w:t>
      </w:r>
      <w:r w:rsidR="00204C87">
        <w:rPr>
          <w:rFonts w:ascii="Arial" w:hAnsi="Arial" w:cs="Arial"/>
          <w:sz w:val="22"/>
          <w:szCs w:val="22"/>
          <w:lang w:val="en-US"/>
        </w:rPr>
        <w:t xml:space="preserve">term treatment with </w:t>
      </w:r>
      <w:proofErr w:type="spellStart"/>
      <w:r w:rsidR="00204C87">
        <w:rPr>
          <w:rFonts w:ascii="Arial" w:hAnsi="Arial" w:cs="Arial"/>
          <w:sz w:val="22"/>
          <w:szCs w:val="22"/>
          <w:lang w:val="en-US"/>
        </w:rPr>
        <w:t>pIpC</w:t>
      </w:r>
      <w:proofErr w:type="spellEnd"/>
      <w:r w:rsidR="00204C87">
        <w:rPr>
          <w:rFonts w:ascii="Arial" w:hAnsi="Arial" w:cs="Arial"/>
          <w:sz w:val="22"/>
          <w:szCs w:val="22"/>
          <w:lang w:val="en-US"/>
        </w:rPr>
        <w:t>)</w:t>
      </w:r>
      <w:r w:rsidR="00204C87" w:rsidRPr="00204C87">
        <w:rPr>
          <w:rFonts w:ascii="Arial" w:hAnsi="Arial" w:cs="Arial"/>
          <w:sz w:val="22"/>
          <w:szCs w:val="22"/>
          <w:lang w:val="en-US"/>
        </w:rPr>
        <w:t>, and while responding they converted to CD41</w:t>
      </w:r>
      <w:r w:rsidR="00204C87" w:rsidRPr="00204C87">
        <w:rPr>
          <w:rFonts w:ascii="Arial" w:hAnsi="Arial" w:cs="Arial"/>
          <w:sz w:val="22"/>
          <w:szCs w:val="22"/>
          <w:vertAlign w:val="superscript"/>
          <w:lang w:val="en-US"/>
        </w:rPr>
        <w:t>hi</w:t>
      </w:r>
      <w:r w:rsidR="00204C87" w:rsidRPr="00204C87">
        <w:rPr>
          <w:rFonts w:ascii="Arial" w:hAnsi="Arial" w:cs="Arial"/>
          <w:sz w:val="22"/>
          <w:szCs w:val="22"/>
          <w:lang w:val="en-US"/>
        </w:rPr>
        <w:t>. This would fit with the higher expression of IFN</w:t>
      </w:r>
      <w:r w:rsidR="00204C87" w:rsidRPr="00204C87">
        <w:rPr>
          <w:rFonts w:ascii="Arial" w:hAnsi="Arial" w:cs="Arial"/>
          <w:sz w:val="22"/>
          <w:szCs w:val="22"/>
          <w:lang w:val="de-DE"/>
        </w:rPr>
        <w:t>α</w:t>
      </w:r>
      <w:r w:rsidR="00204C87">
        <w:rPr>
          <w:rFonts w:ascii="Arial" w:hAnsi="Arial" w:cs="Arial"/>
          <w:sz w:val="22"/>
          <w:szCs w:val="22"/>
          <w:lang w:val="en-US"/>
        </w:rPr>
        <w:t xml:space="preserve"> </w:t>
      </w:r>
      <w:r w:rsidR="00204C87" w:rsidRPr="00204C87">
        <w:rPr>
          <w:rFonts w:ascii="Arial" w:hAnsi="Arial" w:cs="Arial"/>
          <w:sz w:val="22"/>
          <w:szCs w:val="22"/>
          <w:lang w:val="en-US"/>
        </w:rPr>
        <w:t>response pathway genes in CD41</w:t>
      </w:r>
      <w:r w:rsidR="00204C87" w:rsidRPr="00204C87">
        <w:rPr>
          <w:rFonts w:ascii="Arial" w:hAnsi="Arial" w:cs="Arial"/>
          <w:sz w:val="22"/>
          <w:szCs w:val="22"/>
          <w:vertAlign w:val="superscript"/>
          <w:lang w:val="en-US"/>
        </w:rPr>
        <w:t>lo</w:t>
      </w:r>
      <w:r w:rsidR="00204C87" w:rsidRPr="00204C87">
        <w:rPr>
          <w:rFonts w:ascii="Arial" w:hAnsi="Arial" w:cs="Arial"/>
          <w:sz w:val="22"/>
          <w:szCs w:val="22"/>
          <w:lang w:val="en-US"/>
        </w:rPr>
        <w:t xml:space="preserve"> HSCs</w:t>
      </w:r>
      <w:r w:rsidR="00204C87">
        <w:rPr>
          <w:rFonts w:ascii="Arial" w:hAnsi="Arial" w:cs="Arial"/>
          <w:sz w:val="22"/>
          <w:szCs w:val="22"/>
          <w:lang w:val="en-US"/>
        </w:rPr>
        <w:t xml:space="preserve"> shown by Rao et al. in his </w:t>
      </w:r>
      <w:proofErr w:type="spellStart"/>
      <w:r w:rsidR="00F00B5B">
        <w:rPr>
          <w:rFonts w:ascii="Arial" w:hAnsi="Arial" w:cs="Arial"/>
          <w:sz w:val="22"/>
          <w:szCs w:val="22"/>
          <w:lang w:val="en-US"/>
        </w:rPr>
        <w:t>RNAseq</w:t>
      </w:r>
      <w:proofErr w:type="spellEnd"/>
      <w:r w:rsidR="00F00B5B">
        <w:rPr>
          <w:rFonts w:ascii="Arial" w:hAnsi="Arial" w:cs="Arial"/>
          <w:sz w:val="22"/>
          <w:szCs w:val="22"/>
          <w:lang w:val="en-US"/>
        </w:rPr>
        <w:t xml:space="preserve"> analysis of these two distinct subpopulations (data not shown)</w:t>
      </w:r>
      <w:r w:rsidR="00204C87" w:rsidRPr="00204C87">
        <w:rPr>
          <w:rFonts w:ascii="Arial" w:hAnsi="Arial" w:cs="Arial"/>
          <w:sz w:val="22"/>
          <w:szCs w:val="22"/>
          <w:lang w:val="en-US"/>
        </w:rPr>
        <w:t>. Consistently, long-term treatment</w:t>
      </w:r>
      <w:r w:rsidR="00F00B5B">
        <w:rPr>
          <w:rFonts w:ascii="Arial" w:hAnsi="Arial" w:cs="Arial"/>
          <w:sz w:val="22"/>
          <w:szCs w:val="22"/>
          <w:lang w:val="en-US"/>
        </w:rPr>
        <w:t xml:space="preserve"> </w:t>
      </w:r>
      <w:r w:rsidR="00204C87" w:rsidRPr="00204C87">
        <w:rPr>
          <w:rFonts w:ascii="Arial" w:hAnsi="Arial" w:cs="Arial"/>
          <w:sz w:val="22"/>
          <w:szCs w:val="22"/>
          <w:lang w:val="en-US"/>
        </w:rPr>
        <w:t xml:space="preserve">with </w:t>
      </w:r>
      <w:proofErr w:type="spellStart"/>
      <w:r w:rsidR="00204C87" w:rsidRPr="00204C87">
        <w:rPr>
          <w:rFonts w:ascii="Arial" w:hAnsi="Arial" w:cs="Arial"/>
          <w:sz w:val="22"/>
          <w:szCs w:val="22"/>
          <w:lang w:val="en-US"/>
        </w:rPr>
        <w:t>pegIFN</w:t>
      </w:r>
      <w:proofErr w:type="spellEnd"/>
      <w:r w:rsidR="00204C87" w:rsidRPr="00204C87">
        <w:rPr>
          <w:rFonts w:ascii="Arial" w:hAnsi="Arial" w:cs="Arial"/>
          <w:sz w:val="22"/>
          <w:szCs w:val="22"/>
          <w:lang w:val="de-DE"/>
        </w:rPr>
        <w:t>α</w:t>
      </w:r>
      <w:r w:rsidR="00204C87" w:rsidRPr="00204C87">
        <w:rPr>
          <w:rFonts w:ascii="Arial" w:hAnsi="Arial" w:cs="Arial"/>
          <w:sz w:val="22"/>
          <w:szCs w:val="22"/>
          <w:lang w:val="en-US"/>
        </w:rPr>
        <w:t xml:space="preserve"> decreased the frequencies of the </w:t>
      </w:r>
      <w:r w:rsidR="00204C87" w:rsidRPr="00204C87">
        <w:rPr>
          <w:rFonts w:ascii="Arial" w:hAnsi="Arial" w:cs="Arial"/>
          <w:i/>
          <w:iCs/>
          <w:sz w:val="22"/>
          <w:szCs w:val="22"/>
          <w:lang w:val="en-US"/>
        </w:rPr>
        <w:t>VF</w:t>
      </w:r>
      <w:r w:rsidR="00204C87" w:rsidRPr="00204C87">
        <w:rPr>
          <w:rFonts w:ascii="Arial" w:hAnsi="Arial" w:cs="Arial"/>
          <w:sz w:val="22"/>
          <w:szCs w:val="22"/>
          <w:lang w:val="en-US"/>
        </w:rPr>
        <w:t xml:space="preserve"> HSCs and within the </w:t>
      </w:r>
      <w:r w:rsidR="00204C87" w:rsidRPr="00204C87">
        <w:rPr>
          <w:rFonts w:ascii="Arial" w:hAnsi="Arial" w:cs="Arial"/>
          <w:i/>
          <w:iCs/>
          <w:sz w:val="22"/>
          <w:szCs w:val="22"/>
          <w:lang w:val="en-US"/>
        </w:rPr>
        <w:t>VF</w:t>
      </w:r>
      <w:r w:rsidR="00F00B5B">
        <w:rPr>
          <w:rFonts w:ascii="Arial" w:hAnsi="Arial" w:cs="Arial"/>
          <w:sz w:val="22"/>
          <w:szCs w:val="22"/>
          <w:lang w:val="en-US"/>
        </w:rPr>
        <w:t xml:space="preserve"> </w:t>
      </w:r>
      <w:r w:rsidR="00204C87" w:rsidRPr="00204C87">
        <w:rPr>
          <w:rFonts w:ascii="Arial" w:hAnsi="Arial" w:cs="Arial"/>
          <w:sz w:val="22"/>
          <w:szCs w:val="22"/>
          <w:lang w:val="en-US"/>
        </w:rPr>
        <w:t>HSCs (GFP</w:t>
      </w:r>
      <w:r w:rsidR="00204C87" w:rsidRPr="000D1B97">
        <w:rPr>
          <w:rFonts w:ascii="Arial" w:hAnsi="Arial" w:cs="Arial"/>
          <w:sz w:val="22"/>
          <w:szCs w:val="22"/>
          <w:vertAlign w:val="superscript"/>
          <w:lang w:val="en-US"/>
        </w:rPr>
        <w:t>+</w:t>
      </w:r>
      <w:r w:rsidR="00204C87" w:rsidRPr="00204C87">
        <w:rPr>
          <w:rFonts w:ascii="Arial" w:hAnsi="Arial" w:cs="Arial"/>
          <w:sz w:val="22"/>
          <w:szCs w:val="22"/>
          <w:lang w:val="en-US"/>
        </w:rPr>
        <w:t>) the proportion of CD41</w:t>
      </w:r>
      <w:r w:rsidR="00204C87" w:rsidRPr="00204C87">
        <w:rPr>
          <w:rFonts w:ascii="Arial" w:hAnsi="Arial" w:cs="Arial"/>
          <w:sz w:val="22"/>
          <w:szCs w:val="22"/>
          <w:vertAlign w:val="superscript"/>
          <w:lang w:val="en-US"/>
        </w:rPr>
        <w:t>hi</w:t>
      </w:r>
      <w:r w:rsidR="00204C87" w:rsidRPr="00204C87">
        <w:rPr>
          <w:rFonts w:ascii="Arial" w:hAnsi="Arial" w:cs="Arial"/>
          <w:sz w:val="22"/>
          <w:szCs w:val="22"/>
          <w:lang w:val="en-US"/>
        </w:rPr>
        <w:t xml:space="preserve"> HSCs was increased (Figure </w:t>
      </w:r>
      <w:r w:rsidR="00F00B5B">
        <w:rPr>
          <w:rFonts w:ascii="Arial" w:hAnsi="Arial" w:cs="Arial"/>
          <w:sz w:val="22"/>
          <w:szCs w:val="22"/>
          <w:lang w:val="en-US"/>
        </w:rPr>
        <w:t>3</w:t>
      </w:r>
      <w:r w:rsidR="007B66A0">
        <w:rPr>
          <w:rFonts w:ascii="Arial" w:hAnsi="Arial" w:cs="Arial"/>
          <w:sz w:val="22"/>
          <w:szCs w:val="22"/>
          <w:lang w:val="en-US"/>
        </w:rPr>
        <w:t>7</w:t>
      </w:r>
      <w:r w:rsidR="00F00B5B">
        <w:rPr>
          <w:rFonts w:ascii="Arial" w:hAnsi="Arial" w:cs="Arial"/>
          <w:sz w:val="22"/>
          <w:szCs w:val="22"/>
          <w:lang w:val="en-US"/>
        </w:rPr>
        <w:t>B</w:t>
      </w:r>
      <w:r w:rsidR="00204C87" w:rsidRPr="00204C87">
        <w:rPr>
          <w:rFonts w:ascii="Arial" w:hAnsi="Arial" w:cs="Arial"/>
          <w:sz w:val="22"/>
          <w:szCs w:val="22"/>
          <w:lang w:val="en-US"/>
        </w:rPr>
        <w:t>)</w:t>
      </w:r>
      <w:r w:rsidR="00F00B5B">
        <w:rPr>
          <w:rFonts w:ascii="Arial" w:hAnsi="Arial" w:cs="Arial"/>
          <w:sz w:val="22"/>
          <w:szCs w:val="22"/>
          <w:lang w:val="en-US"/>
        </w:rPr>
        <w:t xml:space="preserve">, suggesting </w:t>
      </w:r>
      <w:r w:rsidR="00F00B5B" w:rsidRPr="00F00B5B">
        <w:rPr>
          <w:rFonts w:ascii="Arial" w:hAnsi="Arial" w:cs="Arial"/>
          <w:sz w:val="22"/>
          <w:szCs w:val="22"/>
          <w:lang w:val="en-US"/>
        </w:rPr>
        <w:t>that continuous conversion of</w:t>
      </w:r>
      <w:r w:rsidR="00F00B5B">
        <w:rPr>
          <w:rFonts w:ascii="Arial" w:hAnsi="Arial" w:cs="Arial"/>
          <w:sz w:val="22"/>
          <w:szCs w:val="22"/>
          <w:lang w:val="en-US"/>
        </w:rPr>
        <w:t xml:space="preserve"> </w:t>
      </w:r>
      <w:r w:rsidR="00F00B5B" w:rsidRPr="00F00B5B">
        <w:rPr>
          <w:rFonts w:ascii="Arial" w:hAnsi="Arial" w:cs="Arial"/>
          <w:sz w:val="22"/>
          <w:szCs w:val="22"/>
          <w:lang w:val="en-US"/>
        </w:rPr>
        <w:t>CD41</w:t>
      </w:r>
      <w:r w:rsidR="00F00B5B" w:rsidRPr="00F00B5B">
        <w:rPr>
          <w:rFonts w:ascii="Arial" w:hAnsi="Arial" w:cs="Arial"/>
          <w:sz w:val="22"/>
          <w:szCs w:val="22"/>
          <w:vertAlign w:val="superscript"/>
          <w:lang w:val="en-US"/>
        </w:rPr>
        <w:t>lo</w:t>
      </w:r>
      <w:r w:rsidR="00F00B5B" w:rsidRPr="00F00B5B">
        <w:rPr>
          <w:rFonts w:ascii="Arial" w:hAnsi="Arial" w:cs="Arial"/>
          <w:sz w:val="22"/>
          <w:szCs w:val="22"/>
          <w:lang w:val="en-US"/>
        </w:rPr>
        <w:t xml:space="preserve"> to the CD41</w:t>
      </w:r>
      <w:r w:rsidR="00F00B5B" w:rsidRPr="00F00B5B">
        <w:rPr>
          <w:rFonts w:ascii="Arial" w:hAnsi="Arial" w:cs="Arial"/>
          <w:sz w:val="22"/>
          <w:szCs w:val="22"/>
          <w:vertAlign w:val="superscript"/>
          <w:lang w:val="en-US"/>
        </w:rPr>
        <w:t>hi</w:t>
      </w:r>
      <w:r w:rsidR="00F00B5B" w:rsidRPr="00F00B5B">
        <w:rPr>
          <w:rFonts w:ascii="Arial" w:hAnsi="Arial" w:cs="Arial"/>
          <w:sz w:val="22"/>
          <w:szCs w:val="22"/>
          <w:lang w:val="en-US"/>
        </w:rPr>
        <w:t xml:space="preserve"> HSC subset might be a mechanism of how IFNα preferentially targets</w:t>
      </w:r>
      <w:r w:rsidR="00F00B5B">
        <w:rPr>
          <w:rFonts w:ascii="Arial" w:hAnsi="Arial" w:cs="Arial"/>
          <w:sz w:val="22"/>
          <w:szCs w:val="22"/>
          <w:lang w:val="en-US"/>
        </w:rPr>
        <w:t xml:space="preserve"> </w:t>
      </w:r>
      <w:r w:rsidR="00F00B5B" w:rsidRPr="00F00B5B">
        <w:rPr>
          <w:rFonts w:ascii="Arial" w:hAnsi="Arial" w:cs="Arial"/>
          <w:sz w:val="22"/>
          <w:szCs w:val="22"/>
          <w:lang w:val="en-US"/>
        </w:rPr>
        <w:t>and exhausts the JAK2 mutant clone.</w:t>
      </w:r>
    </w:p>
    <w:p w14:paraId="263F5C54" w14:textId="77777777" w:rsidR="004B06E5" w:rsidRDefault="004B06E5" w:rsidP="00F00B5B">
      <w:pPr>
        <w:spacing w:line="360" w:lineRule="auto"/>
        <w:jc w:val="both"/>
        <w:rPr>
          <w:rFonts w:ascii="Arial" w:hAnsi="Arial" w:cs="Arial"/>
          <w:sz w:val="22"/>
          <w:szCs w:val="22"/>
          <w:lang w:val="en-US"/>
        </w:rPr>
      </w:pPr>
    </w:p>
    <w:p w14:paraId="67C5D7DB" w14:textId="77777777" w:rsidR="004B06E5" w:rsidRDefault="004B06E5">
      <w:pPr>
        <w:rPr>
          <w:rFonts w:ascii="Arial" w:hAnsi="Arial" w:cs="Arial"/>
          <w:b/>
          <w:bCs/>
          <w:sz w:val="22"/>
          <w:szCs w:val="22"/>
          <w:lang w:val="en-US"/>
        </w:rPr>
      </w:pPr>
      <w:r>
        <w:rPr>
          <w:rFonts w:ascii="Arial" w:hAnsi="Arial" w:cs="Arial"/>
          <w:b/>
          <w:bCs/>
          <w:sz w:val="22"/>
          <w:szCs w:val="22"/>
          <w:lang w:val="en-US"/>
        </w:rPr>
        <w:br w:type="page"/>
      </w:r>
    </w:p>
    <w:p w14:paraId="2BF6E87E" w14:textId="65D6C258" w:rsidR="004B06E5" w:rsidRPr="009B653F" w:rsidRDefault="004B06E5" w:rsidP="009B653F">
      <w:pPr>
        <w:pStyle w:val="Formatvorlage1"/>
        <w:rPr>
          <w:rFonts w:cs="Arial"/>
        </w:rPr>
      </w:pPr>
      <w:bookmarkStart w:id="24" w:name="_Toc57582499"/>
      <w:r w:rsidRPr="009B653F">
        <w:rPr>
          <w:rFonts w:cs="Arial"/>
        </w:rPr>
        <w:lastRenderedPageBreak/>
        <w:t>Publications related to this aim:</w:t>
      </w:r>
      <w:bookmarkEnd w:id="24"/>
    </w:p>
    <w:p w14:paraId="5595247C" w14:textId="77777777" w:rsidR="0080427B" w:rsidRDefault="0080427B" w:rsidP="004B06E5">
      <w:pPr>
        <w:spacing w:line="360" w:lineRule="auto"/>
        <w:jc w:val="both"/>
        <w:rPr>
          <w:rFonts w:ascii="Arial" w:hAnsi="Arial" w:cs="Arial"/>
          <w:b/>
          <w:bCs/>
          <w:sz w:val="22"/>
          <w:szCs w:val="22"/>
          <w:lang w:val="en-US"/>
        </w:rPr>
      </w:pPr>
    </w:p>
    <w:p w14:paraId="3A41EDE2" w14:textId="20ED95B6" w:rsidR="004B06E5" w:rsidRPr="003A5293" w:rsidRDefault="004B06E5" w:rsidP="004B06E5">
      <w:pPr>
        <w:spacing w:line="360" w:lineRule="auto"/>
        <w:jc w:val="both"/>
        <w:rPr>
          <w:rFonts w:ascii="Arial" w:hAnsi="Arial" w:cs="Arial"/>
          <w:sz w:val="22"/>
          <w:szCs w:val="22"/>
          <w:lang w:val="en-US"/>
        </w:rPr>
      </w:pPr>
      <w:r w:rsidRPr="006E03E6">
        <w:rPr>
          <w:rFonts w:ascii="Arial" w:hAnsi="Arial" w:cs="Arial"/>
          <w:b/>
          <w:bCs/>
          <w:sz w:val="22"/>
          <w:szCs w:val="22"/>
          <w:lang w:val="en-US"/>
        </w:rPr>
        <w:t>Articles</w:t>
      </w:r>
      <w:r w:rsidRPr="003A5293">
        <w:rPr>
          <w:rFonts w:ascii="Arial" w:hAnsi="Arial" w:cs="Arial"/>
          <w:sz w:val="22"/>
          <w:szCs w:val="22"/>
          <w:lang w:val="en-US"/>
        </w:rPr>
        <w:t>:</w:t>
      </w:r>
    </w:p>
    <w:p w14:paraId="0E4FD537" w14:textId="77777777" w:rsidR="004F4CED" w:rsidRDefault="004B06E5" w:rsidP="00626FF0">
      <w:pPr>
        <w:spacing w:line="360" w:lineRule="auto"/>
        <w:jc w:val="both"/>
        <w:rPr>
          <w:rFonts w:ascii="Arial" w:hAnsi="Arial" w:cs="Arial"/>
          <w:i/>
          <w:iCs/>
          <w:sz w:val="22"/>
          <w:szCs w:val="22"/>
          <w:lang w:val="en-US"/>
        </w:rPr>
      </w:pPr>
      <w:r w:rsidRPr="004B06E5">
        <w:rPr>
          <w:rFonts w:ascii="Arial" w:hAnsi="Arial" w:cs="Arial"/>
          <w:sz w:val="22"/>
          <w:szCs w:val="22"/>
          <w:lang w:val="en-US"/>
        </w:rPr>
        <w:t xml:space="preserve">Rao, T.N., </w:t>
      </w:r>
      <w:r w:rsidRPr="00553DCD">
        <w:rPr>
          <w:rFonts w:ascii="Arial" w:hAnsi="Arial" w:cs="Arial"/>
          <w:sz w:val="22"/>
          <w:szCs w:val="22"/>
          <w:lang w:val="en-US"/>
        </w:rPr>
        <w:t xml:space="preserve">Hansen, N., </w:t>
      </w:r>
      <w:proofErr w:type="spellStart"/>
      <w:r w:rsidRPr="00553DCD">
        <w:rPr>
          <w:rFonts w:ascii="Arial" w:hAnsi="Arial" w:cs="Arial"/>
          <w:sz w:val="22"/>
          <w:szCs w:val="22"/>
          <w:lang w:val="en-US"/>
        </w:rPr>
        <w:t>Stetka</w:t>
      </w:r>
      <w:proofErr w:type="spellEnd"/>
      <w:r w:rsidRPr="00553DCD">
        <w:rPr>
          <w:rFonts w:ascii="Arial" w:hAnsi="Arial" w:cs="Arial"/>
          <w:sz w:val="22"/>
          <w:szCs w:val="22"/>
          <w:lang w:val="en-US"/>
        </w:rPr>
        <w:t xml:space="preserve">, J., </w:t>
      </w:r>
      <w:proofErr w:type="spellStart"/>
      <w:r w:rsidR="00626FF0" w:rsidRPr="00553DCD">
        <w:rPr>
          <w:rFonts w:ascii="Arial" w:hAnsi="Arial" w:cs="Arial"/>
          <w:sz w:val="22"/>
          <w:szCs w:val="22"/>
          <w:lang w:val="en-US"/>
        </w:rPr>
        <w:t>Kalmer</w:t>
      </w:r>
      <w:proofErr w:type="spellEnd"/>
      <w:r w:rsidRPr="00553DCD">
        <w:rPr>
          <w:rFonts w:ascii="Arial" w:hAnsi="Arial" w:cs="Arial"/>
          <w:sz w:val="22"/>
          <w:szCs w:val="22"/>
          <w:lang w:val="en-US"/>
        </w:rPr>
        <w:t xml:space="preserve">, </w:t>
      </w:r>
      <w:r w:rsidR="00626FF0" w:rsidRPr="00553DCD">
        <w:rPr>
          <w:rFonts w:ascii="Arial" w:hAnsi="Arial" w:cs="Arial"/>
          <w:sz w:val="22"/>
          <w:szCs w:val="22"/>
          <w:lang w:val="en-US"/>
        </w:rPr>
        <w:t>M</w:t>
      </w:r>
      <w:r w:rsidRPr="00553DCD">
        <w:rPr>
          <w:rFonts w:ascii="Arial" w:hAnsi="Arial" w:cs="Arial"/>
          <w:sz w:val="22"/>
          <w:szCs w:val="22"/>
          <w:lang w:val="en-US"/>
        </w:rPr>
        <w:t xml:space="preserve">., </w:t>
      </w:r>
      <w:proofErr w:type="spellStart"/>
      <w:r w:rsidR="00626FF0" w:rsidRPr="00553DCD">
        <w:rPr>
          <w:rFonts w:ascii="Arial" w:hAnsi="Arial" w:cs="Arial"/>
          <w:sz w:val="22"/>
          <w:szCs w:val="22"/>
          <w:lang w:val="en-US"/>
        </w:rPr>
        <w:t>Hilfiker</w:t>
      </w:r>
      <w:proofErr w:type="spellEnd"/>
      <w:r w:rsidRPr="00553DCD">
        <w:rPr>
          <w:rFonts w:ascii="Arial" w:hAnsi="Arial" w:cs="Arial"/>
          <w:sz w:val="22"/>
          <w:szCs w:val="22"/>
          <w:lang w:val="en-US"/>
        </w:rPr>
        <w:t xml:space="preserve">, J., </w:t>
      </w:r>
      <w:proofErr w:type="spellStart"/>
      <w:r w:rsidR="00626FF0" w:rsidRPr="00553DCD">
        <w:rPr>
          <w:rFonts w:ascii="Arial" w:hAnsi="Arial" w:cs="Arial"/>
          <w:sz w:val="22"/>
          <w:szCs w:val="22"/>
          <w:lang w:val="en-US"/>
        </w:rPr>
        <w:t>Endele</w:t>
      </w:r>
      <w:proofErr w:type="spellEnd"/>
      <w:r w:rsidRPr="00553DCD">
        <w:rPr>
          <w:rFonts w:ascii="Arial" w:hAnsi="Arial" w:cs="Arial"/>
          <w:sz w:val="22"/>
          <w:szCs w:val="22"/>
          <w:lang w:val="en-US"/>
        </w:rPr>
        <w:t xml:space="preserve">, </w:t>
      </w:r>
      <w:r w:rsidR="00626FF0" w:rsidRPr="00553DCD">
        <w:rPr>
          <w:rFonts w:ascii="Arial" w:hAnsi="Arial" w:cs="Arial"/>
          <w:sz w:val="22"/>
          <w:szCs w:val="22"/>
          <w:lang w:val="en-US"/>
        </w:rPr>
        <w:t>M</w:t>
      </w:r>
      <w:r w:rsidRPr="00553DCD">
        <w:rPr>
          <w:rFonts w:ascii="Arial" w:hAnsi="Arial" w:cs="Arial"/>
          <w:sz w:val="22"/>
          <w:szCs w:val="22"/>
          <w:lang w:val="en-US"/>
        </w:rPr>
        <w:t xml:space="preserve">., </w:t>
      </w:r>
      <w:proofErr w:type="spellStart"/>
      <w:r w:rsidR="00626FF0" w:rsidRPr="00553DCD">
        <w:rPr>
          <w:rFonts w:ascii="Arial" w:hAnsi="Arial" w:cs="Arial"/>
          <w:sz w:val="22"/>
          <w:szCs w:val="22"/>
          <w:lang w:val="en-US"/>
        </w:rPr>
        <w:t>Kubovcakova</w:t>
      </w:r>
      <w:proofErr w:type="spellEnd"/>
      <w:r w:rsidRPr="00553DCD">
        <w:rPr>
          <w:rFonts w:ascii="Arial" w:hAnsi="Arial" w:cs="Arial"/>
          <w:sz w:val="22"/>
          <w:szCs w:val="22"/>
          <w:lang w:val="en-US"/>
        </w:rPr>
        <w:t xml:space="preserve">, </w:t>
      </w:r>
      <w:r w:rsidR="00626FF0" w:rsidRPr="00553DCD">
        <w:rPr>
          <w:rFonts w:ascii="Arial" w:hAnsi="Arial" w:cs="Arial"/>
          <w:sz w:val="22"/>
          <w:szCs w:val="22"/>
          <w:lang w:val="en-US"/>
        </w:rPr>
        <w:t>L</w:t>
      </w:r>
      <w:r w:rsidRPr="00553DCD">
        <w:rPr>
          <w:rFonts w:ascii="Arial" w:hAnsi="Arial" w:cs="Arial"/>
          <w:sz w:val="22"/>
          <w:szCs w:val="22"/>
          <w:lang w:val="en-US"/>
        </w:rPr>
        <w:t xml:space="preserve">., </w:t>
      </w:r>
      <w:proofErr w:type="spellStart"/>
      <w:r w:rsidR="00626FF0" w:rsidRPr="00553DCD">
        <w:rPr>
          <w:rFonts w:ascii="Arial" w:hAnsi="Arial" w:cs="Arial"/>
          <w:sz w:val="22"/>
          <w:szCs w:val="22"/>
          <w:lang w:val="en-US"/>
        </w:rPr>
        <w:t>Rybarikova</w:t>
      </w:r>
      <w:proofErr w:type="spellEnd"/>
      <w:r w:rsidRPr="00553DCD">
        <w:rPr>
          <w:rFonts w:ascii="Arial" w:hAnsi="Arial" w:cs="Arial"/>
          <w:sz w:val="22"/>
          <w:szCs w:val="22"/>
          <w:lang w:val="en-US"/>
        </w:rPr>
        <w:t xml:space="preserve">, </w:t>
      </w:r>
      <w:r w:rsidR="00626FF0" w:rsidRPr="00553DCD">
        <w:rPr>
          <w:rFonts w:ascii="Arial" w:hAnsi="Arial" w:cs="Arial"/>
          <w:sz w:val="22"/>
          <w:szCs w:val="22"/>
          <w:lang w:val="en-US"/>
        </w:rPr>
        <w:t>M</w:t>
      </w:r>
      <w:r w:rsidRPr="00553DCD">
        <w:rPr>
          <w:rFonts w:ascii="Arial" w:hAnsi="Arial" w:cs="Arial"/>
          <w:sz w:val="22"/>
          <w:szCs w:val="22"/>
          <w:lang w:val="en-US"/>
        </w:rPr>
        <w:t xml:space="preserve">., </w:t>
      </w:r>
      <w:r w:rsidR="00626FF0" w:rsidRPr="00553DCD">
        <w:rPr>
          <w:rFonts w:ascii="Arial" w:hAnsi="Arial" w:cs="Arial"/>
          <w:sz w:val="22"/>
          <w:szCs w:val="22"/>
          <w:lang w:val="en-US"/>
        </w:rPr>
        <w:t>Hao-Shen</w:t>
      </w:r>
      <w:r w:rsidRPr="00553DCD">
        <w:rPr>
          <w:rFonts w:ascii="Arial" w:hAnsi="Arial" w:cs="Arial"/>
          <w:sz w:val="22"/>
          <w:szCs w:val="22"/>
          <w:lang w:val="en-US"/>
        </w:rPr>
        <w:t xml:space="preserve">, </w:t>
      </w:r>
      <w:r w:rsidR="00626FF0" w:rsidRPr="00553DCD">
        <w:rPr>
          <w:rFonts w:ascii="Arial" w:hAnsi="Arial" w:cs="Arial"/>
          <w:sz w:val="22"/>
          <w:szCs w:val="22"/>
          <w:lang w:val="en-US"/>
        </w:rPr>
        <w:t>H</w:t>
      </w:r>
      <w:r w:rsidRPr="00553DCD">
        <w:rPr>
          <w:rFonts w:ascii="Arial" w:hAnsi="Arial" w:cs="Arial"/>
          <w:sz w:val="22"/>
          <w:szCs w:val="22"/>
          <w:lang w:val="en-US"/>
        </w:rPr>
        <w:t xml:space="preserve">., </w:t>
      </w:r>
      <w:r w:rsidR="00626FF0" w:rsidRPr="00553DCD">
        <w:rPr>
          <w:rFonts w:ascii="Arial" w:hAnsi="Arial" w:cs="Arial"/>
          <w:sz w:val="22"/>
          <w:szCs w:val="22"/>
          <w:lang w:val="en-US"/>
        </w:rPr>
        <w:t>Geier</w:t>
      </w:r>
      <w:r w:rsidRPr="00553DCD">
        <w:rPr>
          <w:rFonts w:ascii="Arial" w:hAnsi="Arial" w:cs="Arial"/>
          <w:sz w:val="22"/>
          <w:szCs w:val="22"/>
          <w:lang w:val="en-US"/>
        </w:rPr>
        <w:t xml:space="preserve">, </w:t>
      </w:r>
      <w:r w:rsidR="00626FF0" w:rsidRPr="00553DCD">
        <w:rPr>
          <w:rFonts w:ascii="Arial" w:hAnsi="Arial" w:cs="Arial"/>
          <w:sz w:val="22"/>
          <w:szCs w:val="22"/>
          <w:lang w:val="en-US"/>
        </w:rPr>
        <w:t>F</w:t>
      </w:r>
      <w:r w:rsidRPr="00553DCD">
        <w:rPr>
          <w:rFonts w:ascii="Arial" w:hAnsi="Arial" w:cs="Arial"/>
          <w:sz w:val="22"/>
          <w:szCs w:val="22"/>
          <w:lang w:val="en-US"/>
        </w:rPr>
        <w:t xml:space="preserve">., </w:t>
      </w:r>
      <w:proofErr w:type="spellStart"/>
      <w:r w:rsidR="00626FF0" w:rsidRPr="00553DCD">
        <w:rPr>
          <w:rFonts w:ascii="Arial" w:hAnsi="Arial" w:cs="Arial"/>
          <w:sz w:val="22"/>
          <w:szCs w:val="22"/>
          <w:lang w:val="en-US"/>
        </w:rPr>
        <w:t>Beisel</w:t>
      </w:r>
      <w:proofErr w:type="spellEnd"/>
      <w:r w:rsidRPr="00553DCD">
        <w:rPr>
          <w:rFonts w:ascii="Arial" w:hAnsi="Arial" w:cs="Arial"/>
          <w:sz w:val="22"/>
          <w:szCs w:val="22"/>
          <w:lang w:val="en-US"/>
        </w:rPr>
        <w:t xml:space="preserve">, </w:t>
      </w:r>
      <w:r w:rsidR="00626FF0" w:rsidRPr="00553DCD">
        <w:rPr>
          <w:rFonts w:ascii="Arial" w:hAnsi="Arial" w:cs="Arial"/>
          <w:sz w:val="22"/>
          <w:szCs w:val="22"/>
          <w:lang w:val="en-US"/>
        </w:rPr>
        <w:t>Ch</w:t>
      </w:r>
      <w:r w:rsidRPr="00553DCD">
        <w:rPr>
          <w:rFonts w:ascii="Arial" w:hAnsi="Arial" w:cs="Arial"/>
          <w:sz w:val="22"/>
          <w:szCs w:val="22"/>
          <w:lang w:val="en-US"/>
        </w:rPr>
        <w:t xml:space="preserve">., </w:t>
      </w:r>
      <w:proofErr w:type="spellStart"/>
      <w:r w:rsidR="00626FF0" w:rsidRPr="00553DCD">
        <w:rPr>
          <w:rFonts w:ascii="Arial" w:hAnsi="Arial" w:cs="Arial"/>
          <w:sz w:val="22"/>
          <w:szCs w:val="22"/>
          <w:lang w:val="en-US"/>
        </w:rPr>
        <w:t>Dirnhofer</w:t>
      </w:r>
      <w:proofErr w:type="spellEnd"/>
      <w:r w:rsidRPr="00553DCD">
        <w:rPr>
          <w:rFonts w:ascii="Arial" w:hAnsi="Arial" w:cs="Arial"/>
          <w:sz w:val="22"/>
          <w:szCs w:val="22"/>
          <w:lang w:val="en-US"/>
        </w:rPr>
        <w:t xml:space="preserve">, </w:t>
      </w:r>
      <w:r w:rsidR="00626FF0" w:rsidRPr="00553DCD">
        <w:rPr>
          <w:rFonts w:ascii="Arial" w:hAnsi="Arial" w:cs="Arial"/>
          <w:sz w:val="22"/>
          <w:szCs w:val="22"/>
          <w:lang w:val="en-US"/>
        </w:rPr>
        <w:t>S</w:t>
      </w:r>
      <w:r w:rsidRPr="00553DCD">
        <w:rPr>
          <w:rFonts w:ascii="Arial" w:hAnsi="Arial" w:cs="Arial"/>
          <w:sz w:val="22"/>
          <w:szCs w:val="22"/>
          <w:lang w:val="en-US"/>
        </w:rPr>
        <w:t xml:space="preserve">., </w:t>
      </w:r>
      <w:r w:rsidR="00626FF0" w:rsidRPr="00553DCD">
        <w:rPr>
          <w:rFonts w:ascii="Arial" w:hAnsi="Arial" w:cs="Arial"/>
          <w:sz w:val="22"/>
          <w:szCs w:val="22"/>
          <w:lang w:val="en-US"/>
        </w:rPr>
        <w:t>Schroeder</w:t>
      </w:r>
      <w:r w:rsidRPr="00553DCD">
        <w:rPr>
          <w:rFonts w:ascii="Arial" w:hAnsi="Arial" w:cs="Arial"/>
          <w:sz w:val="22"/>
          <w:szCs w:val="22"/>
          <w:lang w:val="en-US"/>
        </w:rPr>
        <w:t xml:space="preserve">, </w:t>
      </w:r>
      <w:r w:rsidR="00626FF0" w:rsidRPr="00553DCD">
        <w:rPr>
          <w:rFonts w:ascii="Arial" w:hAnsi="Arial" w:cs="Arial"/>
          <w:sz w:val="22"/>
          <w:szCs w:val="22"/>
          <w:lang w:val="en-US"/>
        </w:rPr>
        <w:t>T</w:t>
      </w:r>
      <w:r w:rsidRPr="00553DCD">
        <w:rPr>
          <w:rFonts w:ascii="Arial" w:hAnsi="Arial" w:cs="Arial"/>
          <w:sz w:val="22"/>
          <w:szCs w:val="22"/>
          <w:lang w:val="en-US"/>
        </w:rPr>
        <w:t xml:space="preserve">., </w:t>
      </w:r>
      <w:proofErr w:type="spellStart"/>
      <w:r w:rsidR="00626FF0" w:rsidRPr="00553DCD">
        <w:rPr>
          <w:rFonts w:ascii="Arial" w:hAnsi="Arial" w:cs="Arial"/>
          <w:sz w:val="22"/>
          <w:szCs w:val="22"/>
          <w:lang w:val="en-US"/>
        </w:rPr>
        <w:t>Brümmendorf</w:t>
      </w:r>
      <w:proofErr w:type="spellEnd"/>
      <w:r w:rsidRPr="00553DCD">
        <w:rPr>
          <w:rFonts w:ascii="Arial" w:hAnsi="Arial" w:cs="Arial"/>
          <w:sz w:val="22"/>
          <w:szCs w:val="22"/>
          <w:lang w:val="en-US"/>
        </w:rPr>
        <w:t xml:space="preserve">, </w:t>
      </w:r>
      <w:r w:rsidR="00626FF0" w:rsidRPr="00553DCD">
        <w:rPr>
          <w:rFonts w:ascii="Arial" w:hAnsi="Arial" w:cs="Arial"/>
          <w:sz w:val="22"/>
          <w:szCs w:val="22"/>
          <w:lang w:val="en-US"/>
        </w:rPr>
        <w:t>T</w:t>
      </w:r>
      <w:r w:rsidRPr="00553DCD">
        <w:rPr>
          <w:rFonts w:ascii="Arial" w:hAnsi="Arial" w:cs="Arial"/>
          <w:sz w:val="22"/>
          <w:szCs w:val="22"/>
          <w:lang w:val="en-US"/>
        </w:rPr>
        <w:t xml:space="preserve">., </w:t>
      </w:r>
      <w:r w:rsidR="00626FF0" w:rsidRPr="00553DCD">
        <w:rPr>
          <w:rFonts w:ascii="Arial" w:hAnsi="Arial" w:cs="Arial"/>
          <w:sz w:val="22"/>
          <w:szCs w:val="22"/>
          <w:lang w:val="en-US"/>
        </w:rPr>
        <w:t>Wolf</w:t>
      </w:r>
      <w:r w:rsidRPr="00553DCD">
        <w:rPr>
          <w:rFonts w:ascii="Arial" w:hAnsi="Arial" w:cs="Arial"/>
          <w:sz w:val="22"/>
          <w:szCs w:val="22"/>
          <w:lang w:val="en-US"/>
        </w:rPr>
        <w:t xml:space="preserve">, </w:t>
      </w:r>
      <w:r w:rsidR="00626FF0" w:rsidRPr="00553DCD">
        <w:rPr>
          <w:rFonts w:ascii="Arial" w:hAnsi="Arial" w:cs="Arial"/>
          <w:sz w:val="22"/>
          <w:szCs w:val="22"/>
          <w:lang w:val="en-US"/>
        </w:rPr>
        <w:t>D</w:t>
      </w:r>
      <w:r w:rsidRPr="00553DCD">
        <w:rPr>
          <w:rFonts w:ascii="Arial" w:hAnsi="Arial" w:cs="Arial"/>
          <w:sz w:val="22"/>
          <w:szCs w:val="22"/>
          <w:lang w:val="en-US"/>
        </w:rPr>
        <w:t xml:space="preserve">., </w:t>
      </w:r>
      <w:proofErr w:type="spellStart"/>
      <w:r w:rsidR="00626FF0" w:rsidRPr="00553DCD">
        <w:rPr>
          <w:rFonts w:ascii="Arial" w:hAnsi="Arial" w:cs="Arial"/>
          <w:sz w:val="22"/>
          <w:szCs w:val="22"/>
          <w:lang w:val="en-US"/>
        </w:rPr>
        <w:t>Koschmieder</w:t>
      </w:r>
      <w:proofErr w:type="spellEnd"/>
      <w:r w:rsidRPr="00553DCD">
        <w:rPr>
          <w:rFonts w:ascii="Arial" w:hAnsi="Arial" w:cs="Arial"/>
          <w:sz w:val="22"/>
          <w:szCs w:val="22"/>
          <w:lang w:val="en-US"/>
        </w:rPr>
        <w:t>,</w:t>
      </w:r>
      <w:r w:rsidR="0091531C" w:rsidRPr="00553DCD">
        <w:rPr>
          <w:rFonts w:ascii="Arial" w:hAnsi="Arial" w:cs="Arial"/>
          <w:sz w:val="22"/>
          <w:szCs w:val="22"/>
          <w:lang w:val="en-US"/>
        </w:rPr>
        <w:t xml:space="preserve"> S.,</w:t>
      </w:r>
      <w:r w:rsidRPr="00553DCD">
        <w:rPr>
          <w:rFonts w:ascii="Arial" w:hAnsi="Arial" w:cs="Arial"/>
          <w:sz w:val="22"/>
          <w:szCs w:val="22"/>
          <w:lang w:val="en-US"/>
        </w:rPr>
        <w:t xml:space="preserve"> Skoda, R.C., 20</w:t>
      </w:r>
      <w:r w:rsidR="00626FF0" w:rsidRPr="00553DCD">
        <w:rPr>
          <w:rFonts w:ascii="Arial" w:hAnsi="Arial" w:cs="Arial"/>
          <w:sz w:val="22"/>
          <w:szCs w:val="22"/>
          <w:lang w:val="en-US"/>
        </w:rPr>
        <w:t>20</w:t>
      </w:r>
      <w:r w:rsidRPr="00553DCD">
        <w:rPr>
          <w:rFonts w:ascii="Arial" w:hAnsi="Arial" w:cs="Arial"/>
          <w:sz w:val="22"/>
          <w:szCs w:val="22"/>
          <w:lang w:val="en-US"/>
        </w:rPr>
        <w:t xml:space="preserve">. </w:t>
      </w:r>
      <w:r w:rsidR="00626FF0" w:rsidRPr="00626FF0">
        <w:rPr>
          <w:rFonts w:ascii="Arial" w:hAnsi="Arial" w:cs="Arial"/>
          <w:sz w:val="22"/>
          <w:szCs w:val="22"/>
          <w:lang w:val="en-US"/>
        </w:rPr>
        <w:t>Interferon-α achieves molecular remission in myeloproliferative neoplasms by inducing</w:t>
      </w:r>
      <w:r w:rsidR="00626FF0">
        <w:rPr>
          <w:rFonts w:ascii="Arial" w:hAnsi="Arial" w:cs="Arial"/>
          <w:sz w:val="22"/>
          <w:szCs w:val="22"/>
          <w:lang w:val="en-US"/>
        </w:rPr>
        <w:t xml:space="preserve"> </w:t>
      </w:r>
      <w:r w:rsidR="00626FF0" w:rsidRPr="00626FF0">
        <w:rPr>
          <w:rFonts w:ascii="Arial" w:hAnsi="Arial" w:cs="Arial"/>
          <w:sz w:val="22"/>
          <w:szCs w:val="22"/>
          <w:lang w:val="en-US"/>
        </w:rPr>
        <w:t>megakaryocyte-biased stem cells</w:t>
      </w:r>
      <w:r w:rsidRPr="004B06E5">
        <w:rPr>
          <w:rFonts w:ascii="Arial" w:hAnsi="Arial" w:cs="Arial"/>
          <w:sz w:val="22"/>
          <w:szCs w:val="22"/>
          <w:lang w:val="en-US"/>
        </w:rPr>
        <w:t xml:space="preserve">. </w:t>
      </w:r>
      <w:r w:rsidR="009517EE" w:rsidRPr="00336950">
        <w:rPr>
          <w:rFonts w:ascii="Arial" w:hAnsi="Arial" w:cs="Arial"/>
          <w:i/>
          <w:iCs/>
          <w:sz w:val="22"/>
          <w:szCs w:val="22"/>
          <w:lang w:val="en-US"/>
        </w:rPr>
        <w:t>Manuscript</w:t>
      </w:r>
      <w:r w:rsidR="009517EE">
        <w:rPr>
          <w:rFonts w:ascii="Arial" w:hAnsi="Arial" w:cs="Arial"/>
          <w:sz w:val="22"/>
          <w:szCs w:val="22"/>
          <w:lang w:val="en-US"/>
        </w:rPr>
        <w:t xml:space="preserve"> </w:t>
      </w:r>
      <w:r w:rsidR="009517EE">
        <w:rPr>
          <w:rFonts w:ascii="Arial" w:hAnsi="Arial" w:cs="Arial"/>
          <w:i/>
          <w:iCs/>
          <w:sz w:val="22"/>
          <w:szCs w:val="22"/>
          <w:lang w:val="en-US"/>
        </w:rPr>
        <w:t>s</w:t>
      </w:r>
      <w:r w:rsidR="009517EE" w:rsidRPr="00336950">
        <w:rPr>
          <w:rFonts w:ascii="Arial" w:hAnsi="Arial" w:cs="Arial"/>
          <w:i/>
          <w:iCs/>
          <w:sz w:val="22"/>
          <w:szCs w:val="22"/>
          <w:lang w:val="en-US"/>
        </w:rPr>
        <w:t xml:space="preserve">ubmitted </w:t>
      </w:r>
      <w:r w:rsidR="00626FF0" w:rsidRPr="00626FF0">
        <w:rPr>
          <w:rFonts w:ascii="Arial" w:hAnsi="Arial" w:cs="Arial"/>
          <w:i/>
          <w:iCs/>
          <w:sz w:val="22"/>
          <w:szCs w:val="22"/>
          <w:lang w:val="en-US"/>
        </w:rPr>
        <w:t xml:space="preserve">in </w:t>
      </w:r>
      <w:r w:rsidRPr="00626FF0">
        <w:rPr>
          <w:rFonts w:ascii="Arial" w:hAnsi="Arial" w:cs="Arial"/>
          <w:i/>
          <w:iCs/>
          <w:sz w:val="22"/>
          <w:szCs w:val="22"/>
          <w:lang w:val="en-US"/>
        </w:rPr>
        <w:t>Blood</w:t>
      </w:r>
    </w:p>
    <w:p w14:paraId="27B357DA" w14:textId="77777777" w:rsidR="004F4CED" w:rsidRDefault="004F4CED">
      <w:pPr>
        <w:rPr>
          <w:rFonts w:ascii="Arial" w:hAnsi="Arial" w:cs="Arial"/>
          <w:i/>
          <w:iCs/>
          <w:sz w:val="22"/>
          <w:szCs w:val="22"/>
          <w:lang w:val="en-US"/>
        </w:rPr>
      </w:pPr>
      <w:r>
        <w:rPr>
          <w:rFonts w:ascii="Arial" w:hAnsi="Arial" w:cs="Arial"/>
          <w:i/>
          <w:iCs/>
          <w:sz w:val="22"/>
          <w:szCs w:val="22"/>
          <w:lang w:val="en-US"/>
        </w:rPr>
        <w:br w:type="page"/>
      </w:r>
    </w:p>
    <w:p w14:paraId="263E1ADE" w14:textId="647A733B" w:rsidR="004F4CED" w:rsidRDefault="004F4CED" w:rsidP="004F4CED">
      <w:pPr>
        <w:pStyle w:val="Formatvorlage1"/>
        <w:rPr>
          <w:rFonts w:cs="Arial"/>
          <w:sz w:val="22"/>
          <w:szCs w:val="22"/>
        </w:rPr>
      </w:pPr>
      <w:bookmarkStart w:id="25" w:name="_Toc57582500"/>
      <w:r>
        <w:rPr>
          <w:rFonts w:cs="Arial"/>
          <w:sz w:val="36"/>
          <w:szCs w:val="36"/>
        </w:rPr>
        <w:lastRenderedPageBreak/>
        <w:t>Aim 5</w:t>
      </w:r>
      <w:r w:rsidRPr="003A5293">
        <w:rPr>
          <w:rFonts w:cs="Arial"/>
        </w:rPr>
        <w:t xml:space="preserve"> </w:t>
      </w:r>
      <w:r>
        <w:rPr>
          <w:rFonts w:cs="Arial"/>
          <w:sz w:val="22"/>
          <w:szCs w:val="22"/>
        </w:rPr>
        <w:t>Explore role of iron availability on MPN phenotype manifestation.</w:t>
      </w:r>
      <w:bookmarkEnd w:id="25"/>
    </w:p>
    <w:p w14:paraId="379973DE" w14:textId="77777777" w:rsidR="004F4CED" w:rsidRPr="003A5293" w:rsidRDefault="004F4CED" w:rsidP="004F4CED">
      <w:pPr>
        <w:pStyle w:val="Formatvorlage1"/>
        <w:rPr>
          <w:rFonts w:cs="Arial"/>
        </w:rPr>
      </w:pPr>
    </w:p>
    <w:p w14:paraId="14FECE7D" w14:textId="1A1D4B79" w:rsidR="00DF64FE" w:rsidRPr="00A12603" w:rsidRDefault="00593278" w:rsidP="00083948">
      <w:pPr>
        <w:spacing w:line="360" w:lineRule="auto"/>
        <w:ind w:right="-142" w:firstLine="708"/>
        <w:jc w:val="both"/>
        <w:rPr>
          <w:rFonts w:ascii="Arial" w:hAnsi="Arial" w:cs="Arial"/>
          <w:sz w:val="22"/>
          <w:szCs w:val="22"/>
          <w:lang w:val="en-US"/>
        </w:rPr>
      </w:pPr>
      <w:r>
        <w:rPr>
          <w:rFonts w:ascii="Arial" w:hAnsi="Arial" w:cs="Arial"/>
          <w:color w:val="000000" w:themeColor="text1"/>
          <w:sz w:val="22"/>
          <w:szCs w:val="22"/>
          <w:lang w:val="en-US"/>
        </w:rPr>
        <w:t>As previously discussed</w:t>
      </w:r>
      <w:r w:rsidR="00F23C28">
        <w:rPr>
          <w:rFonts w:ascii="Arial" w:hAnsi="Arial" w:cs="Arial"/>
          <w:color w:val="000000" w:themeColor="text1"/>
          <w:sz w:val="22"/>
          <w:szCs w:val="22"/>
          <w:lang w:val="en-US"/>
        </w:rPr>
        <w:t>,</w:t>
      </w:r>
      <w:r>
        <w:rPr>
          <w:rFonts w:ascii="Arial" w:hAnsi="Arial" w:cs="Arial"/>
          <w:color w:val="000000" w:themeColor="text1"/>
          <w:sz w:val="22"/>
          <w:szCs w:val="22"/>
          <w:lang w:val="en-US"/>
        </w:rPr>
        <w:t xml:space="preserve"> </w:t>
      </w:r>
      <w:r w:rsidR="00DF64FE" w:rsidRPr="00A12603">
        <w:rPr>
          <w:rFonts w:ascii="Arial" w:hAnsi="Arial" w:cs="Arial"/>
          <w:color w:val="000000" w:themeColor="text1"/>
          <w:sz w:val="22"/>
          <w:szCs w:val="22"/>
          <w:lang w:val="en-US"/>
        </w:rPr>
        <w:t xml:space="preserve">MPN patients with </w:t>
      </w:r>
      <w:r w:rsidR="00DF64FE" w:rsidRPr="00A12603">
        <w:rPr>
          <w:rFonts w:ascii="Arial" w:hAnsi="Arial" w:cs="Arial"/>
          <w:i/>
          <w:color w:val="000000" w:themeColor="text1"/>
          <w:sz w:val="22"/>
          <w:szCs w:val="22"/>
          <w:lang w:val="en-US"/>
        </w:rPr>
        <w:t xml:space="preserve">JAK2 </w:t>
      </w:r>
      <w:r w:rsidR="00DF64FE" w:rsidRPr="00A12603">
        <w:rPr>
          <w:rFonts w:ascii="Arial" w:hAnsi="Arial" w:cs="Arial"/>
          <w:color w:val="000000" w:themeColor="text1"/>
          <w:sz w:val="22"/>
          <w:szCs w:val="22"/>
          <w:lang w:val="en-US"/>
        </w:rPr>
        <w:t>V617F mutation</w:t>
      </w:r>
      <w:r>
        <w:rPr>
          <w:rFonts w:ascii="Arial" w:hAnsi="Arial" w:cs="Arial"/>
          <w:color w:val="000000" w:themeColor="text1"/>
          <w:sz w:val="22"/>
          <w:szCs w:val="22"/>
          <w:lang w:val="en-US"/>
        </w:rPr>
        <w:t xml:space="preserve"> </w:t>
      </w:r>
      <w:r w:rsidR="00DF64FE" w:rsidRPr="00A12603">
        <w:rPr>
          <w:rFonts w:ascii="Arial" w:hAnsi="Arial" w:cs="Arial"/>
          <w:color w:val="000000" w:themeColor="text1"/>
          <w:sz w:val="22"/>
          <w:szCs w:val="22"/>
          <w:lang w:val="en-US"/>
        </w:rPr>
        <w:t xml:space="preserve">can manifest as </w:t>
      </w:r>
      <w:r>
        <w:rPr>
          <w:rFonts w:ascii="Arial" w:hAnsi="Arial" w:cs="Arial"/>
          <w:color w:val="000000" w:themeColor="text1"/>
          <w:sz w:val="22"/>
          <w:szCs w:val="22"/>
          <w:lang w:val="en-US"/>
        </w:rPr>
        <w:t>PV</w:t>
      </w:r>
      <w:r w:rsidR="00DF64FE" w:rsidRPr="00A12603">
        <w:rPr>
          <w:rFonts w:ascii="Arial" w:hAnsi="Arial" w:cs="Arial"/>
          <w:color w:val="000000" w:themeColor="text1"/>
          <w:sz w:val="22"/>
          <w:szCs w:val="22"/>
          <w:lang w:val="en-US"/>
        </w:rPr>
        <w:t xml:space="preserve"> with significant expansion of erythropoiesis, </w:t>
      </w:r>
      <w:r>
        <w:rPr>
          <w:rFonts w:ascii="Arial" w:hAnsi="Arial" w:cs="Arial"/>
          <w:color w:val="000000" w:themeColor="text1"/>
          <w:sz w:val="22"/>
          <w:szCs w:val="22"/>
          <w:lang w:val="en-US"/>
        </w:rPr>
        <w:t>ET</w:t>
      </w:r>
      <w:r w:rsidR="00DF64FE" w:rsidRPr="00A12603">
        <w:rPr>
          <w:rFonts w:ascii="Arial" w:hAnsi="Arial" w:cs="Arial"/>
          <w:color w:val="000000" w:themeColor="text1"/>
          <w:sz w:val="22"/>
          <w:szCs w:val="22"/>
          <w:lang w:val="en-US"/>
        </w:rPr>
        <w:t xml:space="preserve"> with increased production of megakaryocytes and platelets, or </w:t>
      </w:r>
      <w:r>
        <w:rPr>
          <w:rFonts w:ascii="Arial" w:hAnsi="Arial" w:cs="Arial"/>
          <w:color w:val="000000" w:themeColor="text1"/>
          <w:sz w:val="22"/>
          <w:szCs w:val="22"/>
          <w:lang w:val="en-US"/>
        </w:rPr>
        <w:t>PMF</w:t>
      </w:r>
      <w:r w:rsidR="00DF64FE" w:rsidRPr="00A12603">
        <w:rPr>
          <w:rFonts w:ascii="Arial" w:hAnsi="Arial" w:cs="Arial"/>
          <w:color w:val="000000" w:themeColor="text1"/>
          <w:sz w:val="22"/>
          <w:szCs w:val="22"/>
          <w:lang w:val="en-US"/>
        </w:rPr>
        <w:t xml:space="preserve"> with extramedullary hematopoiesis in spleen </w:t>
      </w:r>
      <w:r w:rsidR="00DF64FE" w:rsidRPr="00A12603">
        <w:rPr>
          <w:rFonts w:ascii="Arial" w:hAnsi="Arial" w:cs="Arial"/>
          <w:color w:val="000000" w:themeColor="text1"/>
          <w:sz w:val="22"/>
          <w:szCs w:val="22"/>
          <w:lang w:val="en-US"/>
        </w:rPr>
        <w:fldChar w:fldCharType="begin"/>
      </w:r>
      <w:r w:rsidR="00DF64FE" w:rsidRPr="00A12603">
        <w:rPr>
          <w:rFonts w:ascii="Arial" w:hAnsi="Arial" w:cs="Arial"/>
          <w:color w:val="000000" w:themeColor="text1"/>
          <w:sz w:val="22"/>
          <w:szCs w:val="22"/>
          <w:lang w:val="en-US"/>
        </w:rPr>
        <w:instrText xml:space="preserve"> ADDIN ZOTERO_ITEM CSL_CITATION {"citationID":"kqmsb8yn","properties":{"formattedCitation":"(Arber et al., 2016; Levine and Gilliland, 2008)","plainCitation":"(Arber et al., 2016; Levine and Gilliland, 2008)","noteIndex":0},"citationItems":[{"id":55,"uris":["http://zotero.org/users/2484452/items/ZNVSY635"],"uri":["http://zotero.org/users/2484452/items/ZNVSY635"],"itemData":{"id":55,"type":"article-journal","abstract":"The World Health Organization (WHO) classification of tumors of the hematopoietic and lymphoid tissues was last updated in 2008. Since then, there have been numerous advances in the identification of unique biomarkers associated with some myeloid neoplasms and acute leukemias, largely derived from gene expression analysis and next-generation sequencing that can significantly improve the diagnostic criteria as well as the prognostic relevance of entities currently included in the WHO classification and that also suggest new entities that should be added. Therefore, there is a clear need for a revision to the current classification. The revisions to the categories of myeloid neoplasms and acute leukemia will be published in a monograph in 2016 and reflect a consensus of opinion of hematopathologists, hematologists, oncologists, and geneticists. The 2016 edition represents a revision of the prior classification rather than an entirely new classification and attempts to incorporate new clinical, prognostic, morphologic, immunophenotypic, and genetic data that have emerged since the last edition. The major changes in the classification and their rationale are presented here.","container-title":"Blood","DOI":"10.1182/blood-2016-03-643544","ISSN":"1528-0020","issue":"20","journalAbbreviation":"Blood","language":"eng","note":"PMID: 27069254","page":"2391-2405","source":"PubMed","title":"The 2016 revision to the World Health Organization classification of myeloid neoplasms and acute leukemia","volume":"127","author":[{"family":"Arber","given":"Daniel A."},{"family":"Orazi","given":"Attilio"},{"family":"Hasserjian","given":"Robert"},{"family":"Thiele","given":"Jürgen"},{"family":"Borowitz","given":"Michael J."},{"family":"Le Beau","given":"Michelle M."},{"family":"Bloomfield","given":"Clara D."},{"family":"Cazzola","given":"Mario"},{"family":"Vardiman","given":"James W."}],"issued":{"date-parts":[["2016"]],"season":"19"}}},{"id":1494,"uris":["http://zotero.org/users/2484452/items/DK97XD6B"],"uri":["http://zotero.org/users/2484452/items/DK97XD6B"],"itemData":{"id":1494,"type":"article-journal","abstract":"Abstract. In 1951 William Dameshek classified polycythemia vera (PV), essential thombocytosis (ET), and primary myelofibrosis (PMF) as pathogenetically related","container-title":"Blood","DOI":"10.1182/blood-2008-03-077966","ISSN":"0006-4971","issue":"6","journalAbbreviation":"Blood","language":"en","note":"publisher: American Society of Hematology","page":"2190-2198","source":"ashpublications.org","title":"Myeloproliferative disorders","volume":"112","author":[{"family":"Levine","given":"Ross L."},{"family":"Gilliland","given":"D. Gary"}],"issued":{"date-parts":[["2008",9,15]]}}}],"schema":"https://github.com/citation-style-language/schema/raw/master/csl-citation.json"} </w:instrText>
      </w:r>
      <w:r w:rsidR="00DF64FE" w:rsidRPr="00A12603">
        <w:rPr>
          <w:rFonts w:ascii="Arial" w:hAnsi="Arial" w:cs="Arial"/>
          <w:color w:val="000000" w:themeColor="text1"/>
          <w:sz w:val="22"/>
          <w:szCs w:val="22"/>
          <w:lang w:val="en-US"/>
        </w:rPr>
        <w:fldChar w:fldCharType="separate"/>
      </w:r>
      <w:r w:rsidR="00DF64FE" w:rsidRPr="00A12603">
        <w:rPr>
          <w:rFonts w:ascii="Arial" w:hAnsi="Arial" w:cs="Arial"/>
          <w:noProof/>
          <w:color w:val="000000" w:themeColor="text1"/>
          <w:sz w:val="22"/>
          <w:szCs w:val="22"/>
          <w:lang w:val="en-US"/>
        </w:rPr>
        <w:t>(Arber et al., 2016; Levine and Gilliland, 2008)</w:t>
      </w:r>
      <w:r w:rsidR="00DF64FE" w:rsidRPr="00A12603">
        <w:rPr>
          <w:rFonts w:ascii="Arial" w:hAnsi="Arial" w:cs="Arial"/>
          <w:color w:val="000000" w:themeColor="text1"/>
          <w:sz w:val="22"/>
          <w:szCs w:val="22"/>
          <w:lang w:val="en-US"/>
        </w:rPr>
        <w:fldChar w:fldCharType="end"/>
      </w:r>
      <w:r w:rsidR="00DF64FE" w:rsidRPr="00A12603">
        <w:rPr>
          <w:rFonts w:ascii="Arial" w:hAnsi="Arial" w:cs="Arial"/>
          <w:color w:val="000000" w:themeColor="text1"/>
          <w:sz w:val="22"/>
          <w:szCs w:val="22"/>
          <w:lang w:val="en-US"/>
        </w:rPr>
        <w:t xml:space="preserve">. In contrast, MPN patients with mutations in </w:t>
      </w:r>
      <w:r w:rsidR="00DF64FE" w:rsidRPr="00A12603">
        <w:rPr>
          <w:rFonts w:ascii="Arial" w:hAnsi="Arial" w:cs="Arial"/>
          <w:i/>
          <w:color w:val="000000" w:themeColor="text1"/>
          <w:sz w:val="22"/>
          <w:szCs w:val="22"/>
          <w:lang w:val="en-US"/>
        </w:rPr>
        <w:t>JAK2</w:t>
      </w:r>
      <w:r w:rsidR="00DF64FE" w:rsidRPr="00A12603">
        <w:rPr>
          <w:rFonts w:ascii="Arial" w:hAnsi="Arial" w:cs="Arial"/>
          <w:color w:val="000000" w:themeColor="text1"/>
          <w:sz w:val="22"/>
          <w:szCs w:val="22"/>
          <w:lang w:val="en-US"/>
        </w:rPr>
        <w:t xml:space="preserve"> </w:t>
      </w:r>
      <w:r w:rsidR="00DF64FE" w:rsidRPr="00A12603">
        <w:rPr>
          <w:rFonts w:ascii="Arial" w:hAnsi="Arial" w:cs="Arial"/>
          <w:i/>
          <w:color w:val="000000"/>
          <w:sz w:val="22"/>
          <w:szCs w:val="22"/>
          <w:lang w:val="en-US"/>
        </w:rPr>
        <w:t>exon 12</w:t>
      </w:r>
      <w:r w:rsidR="00DF64FE" w:rsidRPr="00A12603">
        <w:rPr>
          <w:rFonts w:ascii="Arial" w:hAnsi="Arial" w:cs="Arial"/>
          <w:color w:val="000000"/>
          <w:sz w:val="22"/>
          <w:szCs w:val="22"/>
          <w:lang w:val="en-US"/>
        </w:rPr>
        <w:t xml:space="preserve"> invariably </w:t>
      </w:r>
      <w:r w:rsidR="00DF64FE" w:rsidRPr="00A12603">
        <w:rPr>
          <w:rFonts w:ascii="Arial" w:hAnsi="Arial" w:cs="Arial"/>
          <w:color w:val="000000" w:themeColor="text1"/>
          <w:sz w:val="22"/>
          <w:szCs w:val="22"/>
          <w:lang w:val="en-US"/>
        </w:rPr>
        <w:t>display PV phenotype with predominant erythrocytosis</w:t>
      </w:r>
      <w:r w:rsidR="00DF64FE" w:rsidRPr="00A12603">
        <w:rPr>
          <w:rFonts w:ascii="Arial" w:hAnsi="Arial" w:cs="Arial"/>
          <w:color w:val="000000"/>
          <w:sz w:val="22"/>
          <w:szCs w:val="22"/>
          <w:lang w:val="en-US"/>
        </w:rPr>
        <w:t xml:space="preserve"> </w:t>
      </w:r>
      <w:r w:rsidR="00DF64FE" w:rsidRPr="00A12603">
        <w:rPr>
          <w:rFonts w:ascii="Arial" w:hAnsi="Arial" w:cs="Arial"/>
          <w:color w:val="000000"/>
          <w:sz w:val="22"/>
          <w:szCs w:val="22"/>
          <w:lang w:val="en-US"/>
        </w:rPr>
        <w:fldChar w:fldCharType="begin"/>
      </w:r>
      <w:r w:rsidR="00DF64FE" w:rsidRPr="00A12603">
        <w:rPr>
          <w:rFonts w:ascii="Arial" w:hAnsi="Arial" w:cs="Arial"/>
          <w:color w:val="000000"/>
          <w:sz w:val="22"/>
          <w:szCs w:val="22"/>
          <w:lang w:val="en-US"/>
        </w:rPr>
        <w:instrText xml:space="preserve"> ADDIN ZOTERO_ITEM CSL_CITATION {"citationID":"Q5UEKMAL","properties":{"formattedCitation":"(Passamonti et al., 2011; Scott et al., 2007)","plainCitation":"(Passamonti et al., 2011; Scott et al., 2007)","noteIndex":0},"citationItems":[{"id":1500,"uris":["http://zotero.org/users/2484452/items/B8Q5RZ6A"],"uri":["http://zotero.org/users/2484452/items/B8Q5RZ6A"],"itemData":{"id":1500,"type":"article-journal","abstract":"Abstract. Although approximately 95% of patients with polycythemia vera (PV) harbor the V617F mutation in JAK2 exon 14, several mutations in exon 12 have been d","container-title":"Blood","DOI":"10.1182/blood-2010-11-316810","ISSN":"0006-4971","issue":"10","journalAbbreviation":"Blood","language":"en","note":"publisher: American Society of Hematology","page":"2813-2816","source":"ashpublications.org","title":"Molecular and clinical features of the myeloproliferative neoplasm associated with JAK2 exon 12 mutations","volume":"117","author":[{"family":"Passamonti","given":"Francesco"},{"family":"Elena","given":"Chiara"},{"family":"Schnittger","given":"Susanne"},{"family":"Skoda","given":"Radek C."},{"family":"Green","given":"Anthony R."},{"family":"Girodon","given":"François"},{"family":"Kiladjian","given":"Jean-Jacques"},{"family":"McMullin","given":"Mary Frances"},{"family":"Ruggeri","given":"Marco"},{"family":"Besses","given":"Carles"},{"family":"Vannucchi","given":"Alessandro M."},{"family":"Lippert","given":"Eric"},{"family":"Gisslinger","given":"Heinz"},{"family":"Rumi","given":"Elisa"},{"family":"Lehmann","given":"Thomas"},{"family":"Ortmann","given":"Christina A."},{"family":"Pietra","given":"Daniela"},{"family":"Pascutto","given":"Cristiana"},{"family":"Haferlach","given":"Torsten"},{"family":"Cazzola","given":"Mario"}],"issued":{"date-parts":[["2011",3,10]]}}},{"id":1497,"uris":["http://zotero.org/users/2484452/items/VUJLRZG7"],"uri":["http://zotero.org/users/2484452/items/VUJLRZG7"],"itemData":{"id":1497,"type":"article-journal","abstract":"BACKGROUND: The V617F mutation, which causes the substitution of phenylalanine for valine at position 617 of the Janus kinase (JAK) 2 gene (JAK2), is often present in patients with polycythemia vera, essential thrombocythemia, and idiopathic myelofibrosis. However, the molecular basis of these myeloproliferative disorders in patients without the V617F mutation is unclear.\nMETHODS: We searched for new mutations in members of the JAK and signal transducer and activator of transcription (STAT) gene families in patients with V617F-negative polycythemia vera or idiopathic erythrocytosis. The mutations were characterized biochemically and in a murine model of bone marrow transplantation.\nRESULTS: We identified four somatic gain-of-function mutations affecting JAK2 exon 12 in 10 V617F-negative patients. Those with a JAK2 exon 12 mutation presented with an isolated erythrocytosis and distinctive bone marrow morphology, and several also had reduced serum erythropoietin levels. Erythroid colonies could be grown from their blood samples in the absence of exogenous erythropoietin. All such erythroid colonies were heterozygous for the mutation, whereas colonies homozygous for the mutation occur in most patients with V617F-positive polycythemia vera. BaF3 cells expressing the murine erythropoietin receptor and also carrying exon 12 mutations could proliferate without added interleukin-3. They also exhibited increased phosphorylation of JAK2 and extracellular regulated kinase 1 and 2, as compared with cells transduced by wild-type JAK2 or V617F JAK2. Three of the exon 12 mutations included a substitution of leucine for lysine at position 539 of JAK2. This mutation resulted in a myeloproliferative phenotype, including erythrocytosis, in a murine model of retroviral bone marrow transplantation.\nCONCLUSIONS: JAK2 exon 12 mutations define a distinctive myeloproliferative syndrome that affects patients who currently receive a diagnosis of polycythemia vera or idiopathic erythrocytosis.","container-title":"The New England Journal of Medicine","DOI":"10.1056/NEJMoa065202","ISSN":"1533-4406","issue":"5","journalAbbreviation":"N Engl J Med","language":"eng","note":"PMID: 17267906\nPMCID: PMC2873834","page":"459-468","source":"PubMed","title":"JAK2 exon 12 mutations in polycythemia vera and idiopathic erythrocytosis","volume":"356","author":[{"family":"Scott","given":"Linda M."},{"family":"Tong","given":"Wei"},{"family":"Levine","given":"Ross L."},{"family":"Scott","given":"Mike A."},{"family":"Beer","given":"Philip A."},{"family":"Stratton","given":"Michael R."},{"family":"Futreal","given":"P. Andrew"},{"family":"Erber","given":"Wendy N."},{"family":"McMullin","given":"Mary Frances"},{"family":"Harrison","given":"Claire N."},{"family":"Warren","given":"Alan J."},{"family":"Gilliland","given":"D. Gary"},{"family":"Lodish","given":"Harvey F."},{"family":"Green","given":"Anthony R."}],"issued":{"date-parts":[["2007",2,1]]}}}],"schema":"https://github.com/citation-style-language/schema/raw/master/csl-citation.json"} </w:instrText>
      </w:r>
      <w:r w:rsidR="00DF64FE" w:rsidRPr="00A12603">
        <w:rPr>
          <w:rFonts w:ascii="Arial" w:hAnsi="Arial" w:cs="Arial"/>
          <w:color w:val="000000"/>
          <w:sz w:val="22"/>
          <w:szCs w:val="22"/>
          <w:lang w:val="en-US"/>
        </w:rPr>
        <w:fldChar w:fldCharType="separate"/>
      </w:r>
      <w:r w:rsidR="00DF64FE" w:rsidRPr="00A12603">
        <w:rPr>
          <w:rFonts w:ascii="Arial" w:hAnsi="Arial" w:cs="Arial"/>
          <w:noProof/>
          <w:color w:val="000000"/>
          <w:sz w:val="22"/>
          <w:szCs w:val="22"/>
          <w:lang w:val="en-US"/>
        </w:rPr>
        <w:t>(Passamonti et al., 2011; Scott et al., 2007)</w:t>
      </w:r>
      <w:r w:rsidR="00DF64FE" w:rsidRPr="00A12603">
        <w:rPr>
          <w:rFonts w:ascii="Arial" w:hAnsi="Arial" w:cs="Arial"/>
          <w:color w:val="000000"/>
          <w:sz w:val="22"/>
          <w:szCs w:val="22"/>
          <w:lang w:val="en-US"/>
        </w:rPr>
        <w:fldChar w:fldCharType="end"/>
      </w:r>
      <w:r w:rsidR="00DF64FE" w:rsidRPr="00A12603">
        <w:rPr>
          <w:rFonts w:ascii="Arial" w:hAnsi="Arial" w:cs="Arial"/>
          <w:color w:val="000000"/>
          <w:sz w:val="22"/>
          <w:szCs w:val="22"/>
          <w:lang w:val="en-US"/>
        </w:rPr>
        <w:t>.</w:t>
      </w:r>
    </w:p>
    <w:p w14:paraId="0E4445CA" w14:textId="77777777" w:rsidR="00DF64FE" w:rsidRPr="00A12603" w:rsidRDefault="00DF64FE" w:rsidP="00DF64FE">
      <w:pPr>
        <w:spacing w:line="360" w:lineRule="auto"/>
        <w:ind w:right="-205"/>
        <w:jc w:val="both"/>
        <w:rPr>
          <w:rFonts w:ascii="Arial" w:hAnsi="Arial" w:cs="Arial"/>
          <w:color w:val="000000" w:themeColor="text1"/>
          <w:sz w:val="22"/>
          <w:szCs w:val="22"/>
          <w:lang w:val="en-US"/>
        </w:rPr>
      </w:pPr>
      <w:r w:rsidRPr="00A12603">
        <w:rPr>
          <w:rFonts w:ascii="Arial" w:hAnsi="Arial" w:cs="Arial"/>
          <w:color w:val="000000" w:themeColor="text1"/>
          <w:sz w:val="22"/>
          <w:szCs w:val="22"/>
          <w:lang w:val="en-US"/>
        </w:rPr>
        <w:t>The molecular mechanisms of the variable phenotype in pat</w:t>
      </w:r>
      <w:r w:rsidR="00597EA6">
        <w:rPr>
          <w:rFonts w:ascii="Arial" w:hAnsi="Arial" w:cs="Arial"/>
          <w:color w:val="000000" w:themeColor="text1"/>
          <w:sz w:val="22"/>
          <w:szCs w:val="22"/>
          <w:lang w:val="en-US"/>
        </w:rPr>
        <w:t>i</w:t>
      </w:r>
      <w:r w:rsidRPr="00A12603">
        <w:rPr>
          <w:rFonts w:ascii="Arial" w:hAnsi="Arial" w:cs="Arial"/>
          <w:color w:val="000000" w:themeColor="text1"/>
          <w:sz w:val="22"/>
          <w:szCs w:val="22"/>
          <w:lang w:val="en-US"/>
        </w:rPr>
        <w:t xml:space="preserve">ents with </w:t>
      </w:r>
      <w:r w:rsidRPr="00A12603">
        <w:rPr>
          <w:rFonts w:ascii="Arial" w:hAnsi="Arial" w:cs="Arial"/>
          <w:i/>
          <w:iCs/>
          <w:color w:val="000000" w:themeColor="text1"/>
          <w:sz w:val="22"/>
          <w:szCs w:val="22"/>
          <w:lang w:val="en-US"/>
        </w:rPr>
        <w:t>JAK2</w:t>
      </w:r>
      <w:r w:rsidRPr="00A12603">
        <w:rPr>
          <w:rFonts w:ascii="Arial" w:hAnsi="Arial" w:cs="Arial"/>
          <w:color w:val="000000" w:themeColor="text1"/>
          <w:sz w:val="22"/>
          <w:szCs w:val="22"/>
          <w:lang w:val="en-US"/>
        </w:rPr>
        <w:t xml:space="preserve"> mutations are unknown. Iron strongly affects erythropoiesis since in normal subjects </w:t>
      </w:r>
      <w:r w:rsidR="00E06737" w:rsidRPr="00A12603">
        <w:rPr>
          <w:rFonts w:ascii="Arial" w:hAnsi="Arial" w:cs="Arial"/>
          <w:color w:val="000000" w:themeColor="text1"/>
          <w:sz w:val="22"/>
          <w:szCs w:val="22"/>
          <w:lang w:val="en-US"/>
        </w:rPr>
        <w:t>majority of</w:t>
      </w:r>
      <w:r w:rsidRPr="00A12603">
        <w:rPr>
          <w:rFonts w:ascii="Arial" w:hAnsi="Arial" w:cs="Arial"/>
          <w:color w:val="000000" w:themeColor="text1"/>
          <w:sz w:val="22"/>
          <w:szCs w:val="22"/>
          <w:lang w:val="en-US"/>
        </w:rPr>
        <w:t xml:space="preserve"> circulating iron is consumed for hemoglobin production</w:t>
      </w:r>
      <w:r w:rsidR="00A12603" w:rsidRPr="00A12603">
        <w:rPr>
          <w:rFonts w:ascii="Arial" w:hAnsi="Arial" w:cs="Arial"/>
          <w:color w:val="000000" w:themeColor="text1"/>
          <w:sz w:val="22"/>
          <w:szCs w:val="22"/>
          <w:lang w:val="en-US"/>
        </w:rPr>
        <w:t xml:space="preserve"> </w:t>
      </w:r>
      <w:r w:rsidR="00A12603" w:rsidRPr="00A12603">
        <w:rPr>
          <w:rFonts w:ascii="Arial" w:hAnsi="Arial" w:cs="Arial"/>
          <w:color w:val="000000" w:themeColor="text1"/>
          <w:sz w:val="22"/>
          <w:szCs w:val="22"/>
          <w:lang w:val="en-US"/>
        </w:rPr>
        <w:fldChar w:fldCharType="begin"/>
      </w:r>
      <w:r w:rsidR="00A12603" w:rsidRPr="00A12603">
        <w:rPr>
          <w:rFonts w:ascii="Arial" w:hAnsi="Arial" w:cs="Arial"/>
          <w:color w:val="000000" w:themeColor="text1"/>
          <w:sz w:val="22"/>
          <w:szCs w:val="22"/>
          <w:lang w:val="en-US"/>
        </w:rPr>
        <w:instrText xml:space="preserve"> ADDIN ZOTERO_ITEM CSL_CITATION {"citationID":"PVkEI9Ga","properties":{"formattedCitation":"(Camaschella and Pagani, 2018)","plainCitation":"(Camaschella and Pagani, 2018)","noteIndex":0},"citationItems":[{"id":1518,"uris":["http://zotero.org/users/2484452/items/99X3PYTN"],"uri":["http://zotero.org/users/2484452/items/99X3PYTN"],"itemData":{"id":1518,"type":"article-journal","abstract":"Recent years have witnessed impressive advances in our understanding of iron metabolism. A number of studies of iron disorders and of their animal models have provided landmark insights into the mechanisms of iron trafficking, distribution and homeostatic regulation, the latter essential to prevent both iron deficiency and iron excess. Our perception of iron metabolism has been completely changed by an improved definition of cellular and systemic iron homeostasis, of the molecular pathogenesis of iron disorders, the fine tuning of the iron hormone hepcidin by activators and inhibitors and the dissection of the components of the hepcidin regulatory pathway. Important for haematology, the crosstalk of erythropoiesis, the most important iron consumer, and the hepcidin pathway has been at least partially clarified. Novel potential biomarkers are available and novel therapeutic targets for iron-related disorders have been tested in murine models. These preclinical studies provided proofs of principle and are laying the ground for clinical trials. Understanding iron control in tissues other than erythropoiesis remains a challenge for the future.","container-title":"British Journal of Haematology","DOI":"https://doi.org/10.1111/bjh.15403","ISSN":"1365-2141","issue":"4","language":"en","note":"_eprint: https://onlinelibrary.wiley.com/doi/pdf/10.1111/bjh.15403","page":"481-494","source":"Wiley Online Library","title":"Advances in understanding iron metabolism and its crosstalk with erythropoiesis","volume":"182","author":[{"family":"Camaschella","given":"Clara"},{"family":"Pagani","given":"Alessia"}],"issued":{"date-parts":[["2018"]]}}}],"schema":"https://github.com/citation-style-language/schema/raw/master/csl-citation.json"} </w:instrText>
      </w:r>
      <w:r w:rsidR="00A12603" w:rsidRPr="00A12603">
        <w:rPr>
          <w:rFonts w:ascii="Arial" w:hAnsi="Arial" w:cs="Arial"/>
          <w:color w:val="000000" w:themeColor="text1"/>
          <w:sz w:val="22"/>
          <w:szCs w:val="22"/>
          <w:lang w:val="en-US"/>
        </w:rPr>
        <w:fldChar w:fldCharType="separate"/>
      </w:r>
      <w:r w:rsidR="00A12603" w:rsidRPr="00A12603">
        <w:rPr>
          <w:rFonts w:ascii="Arial" w:hAnsi="Arial" w:cs="Arial"/>
          <w:noProof/>
          <w:color w:val="000000" w:themeColor="text1"/>
          <w:sz w:val="22"/>
          <w:szCs w:val="22"/>
          <w:lang w:val="en-US"/>
        </w:rPr>
        <w:t>(Camaschella and Pagani, 2018)</w:t>
      </w:r>
      <w:r w:rsidR="00A12603" w:rsidRPr="00A12603">
        <w:rPr>
          <w:rFonts w:ascii="Arial" w:hAnsi="Arial" w:cs="Arial"/>
          <w:color w:val="000000" w:themeColor="text1"/>
          <w:sz w:val="22"/>
          <w:szCs w:val="22"/>
          <w:lang w:val="en-US"/>
        </w:rPr>
        <w:fldChar w:fldCharType="end"/>
      </w:r>
      <w:r w:rsidRPr="00A12603">
        <w:rPr>
          <w:rFonts w:ascii="Arial" w:hAnsi="Arial" w:cs="Arial"/>
          <w:color w:val="000000" w:themeColor="text1"/>
          <w:sz w:val="22"/>
          <w:szCs w:val="22"/>
          <w:lang w:val="en-US"/>
        </w:rPr>
        <w:t>. To maintain the high hemoglobin levels of PV</w:t>
      </w:r>
      <w:r w:rsidR="00C36ED9" w:rsidRPr="00A12603">
        <w:rPr>
          <w:rFonts w:ascii="Arial" w:hAnsi="Arial" w:cs="Arial"/>
          <w:color w:val="000000" w:themeColor="text1"/>
          <w:sz w:val="22"/>
          <w:szCs w:val="22"/>
          <w:lang w:val="en-US"/>
        </w:rPr>
        <w:t>,</w:t>
      </w:r>
      <w:r w:rsidRPr="00A12603">
        <w:rPr>
          <w:rFonts w:ascii="Arial" w:hAnsi="Arial" w:cs="Arial"/>
          <w:color w:val="000000" w:themeColor="text1"/>
          <w:sz w:val="22"/>
          <w:szCs w:val="22"/>
          <w:lang w:val="en-US"/>
        </w:rPr>
        <w:t xml:space="preserve"> iron homeostasis </w:t>
      </w:r>
      <w:r w:rsidR="00C36ED9" w:rsidRPr="00A12603">
        <w:rPr>
          <w:rFonts w:ascii="Arial" w:hAnsi="Arial" w:cs="Arial"/>
          <w:color w:val="000000" w:themeColor="text1"/>
          <w:sz w:val="22"/>
          <w:szCs w:val="22"/>
          <w:lang w:val="en-US"/>
        </w:rPr>
        <w:t>has to be adjusted</w:t>
      </w:r>
      <w:r w:rsidRPr="00A12603">
        <w:rPr>
          <w:rFonts w:ascii="Arial" w:hAnsi="Arial" w:cs="Arial"/>
          <w:color w:val="000000" w:themeColor="text1"/>
          <w:sz w:val="22"/>
          <w:szCs w:val="22"/>
          <w:lang w:val="en-US"/>
        </w:rPr>
        <w:t>: to increase plasma iron</w:t>
      </w:r>
      <w:r w:rsidR="00C36ED9" w:rsidRPr="00A12603">
        <w:rPr>
          <w:rFonts w:ascii="Arial" w:hAnsi="Arial" w:cs="Arial"/>
          <w:color w:val="000000" w:themeColor="text1"/>
          <w:sz w:val="22"/>
          <w:szCs w:val="22"/>
          <w:lang w:val="en-US"/>
        </w:rPr>
        <w:t>,</w:t>
      </w:r>
      <w:r w:rsidRPr="00A12603">
        <w:rPr>
          <w:rFonts w:ascii="Arial" w:hAnsi="Arial" w:cs="Arial"/>
          <w:color w:val="000000" w:themeColor="text1"/>
          <w:sz w:val="22"/>
          <w:szCs w:val="22"/>
          <w:lang w:val="en-US"/>
        </w:rPr>
        <w:t xml:space="preserve"> the production of the iron regulatory peptide hepcidin that inhibits iron absorption and recycling</w:t>
      </w:r>
      <w:r w:rsidR="00E06737" w:rsidRPr="00A12603">
        <w:rPr>
          <w:rFonts w:ascii="Arial" w:hAnsi="Arial" w:cs="Arial"/>
          <w:color w:val="000000" w:themeColor="text1"/>
          <w:sz w:val="22"/>
          <w:szCs w:val="22"/>
          <w:lang w:val="en-US"/>
        </w:rPr>
        <w:t xml:space="preserve"> </w:t>
      </w:r>
      <w:r w:rsidR="00E06737" w:rsidRPr="00A12603">
        <w:rPr>
          <w:rFonts w:ascii="Arial" w:hAnsi="Arial" w:cs="Arial"/>
          <w:color w:val="000000" w:themeColor="text1"/>
          <w:sz w:val="22"/>
          <w:szCs w:val="22"/>
          <w:lang w:val="en-US"/>
        </w:rPr>
        <w:fldChar w:fldCharType="begin"/>
      </w:r>
      <w:r w:rsidR="00E06737" w:rsidRPr="00A12603">
        <w:rPr>
          <w:rFonts w:ascii="Arial" w:hAnsi="Arial" w:cs="Arial"/>
          <w:color w:val="000000" w:themeColor="text1"/>
          <w:sz w:val="22"/>
          <w:szCs w:val="22"/>
          <w:lang w:val="en-US"/>
        </w:rPr>
        <w:instrText xml:space="preserve"> ADDIN ZOTERO_ITEM CSL_CITATION {"citationID":"MaiUD41z","properties":{"formattedCitation":"(Nemeth et al., 2004)","plainCitation":"(Nemeth et al., 2004)","noteIndex":0},"citationItems":[{"id":1503,"uris":["http://zotero.org/users/2484452/items/FT3DXRFM"],"uri":["http://zotero.org/users/2484452/items/FT3DXRFM"],"itemData":{"id":1503,"type":"article-journal","abstract":"Hepcidin is a peptide hormone secreted by the liver in response to iron loading and inflammation. Decreased hepcidin leads to tissue iron overload, whereas hepcidin overproduction leads to hypoferremia and the anemia of inflammation. Ferroportin is an iron exporter present on the surface of absorptive enterocytes, macrophages, hepatocytes, and placental cells. Here we report that hepcidin bound to ferroportin in tissue culture cells. After binding, ferroportin was internalized and degraded, leading to decreased export of cellular iron. The posttranslational regulation of ferroportin by hepcidin may thus complete a homeostatic loop: Iron regulates the secretion of hepcidin, which in turn controls the concentration of ferroportin on the cell surface.\nA peptide hormone controls iron levels in cells by degrading a transporter that pumps out excess iron; deregulation of this hormone may contribute to anemia and other disorders.\nA peptide hormone controls iron levels in cells by degrading a transporter that pumps out excess iron; deregulation of this hormone may contribute to anemia and other disorders.","container-title":"Science","DOI":"10.1126/science.1104742","ISSN":"0036-8075, 1095-9203","issue":"5704","language":"en","note":"publisher: American Association for the Advancement of Science\nsection: Report\nPMID: 15514116","page":"2090-2093","source":"science.sciencemag.org","title":"Hepcidin Regulates Cellular Iron Efflux by Binding to Ferroportin and Inducing Its Internalization","volume":"306","author":[{"family":"Nemeth","given":"Elizabeta"},{"family":"Tuttle","given":"Marie S."},{"family":"Powelson","given":"Julie"},{"family":"Vaughn","given":"Michael B."},{"family":"Donovan","given":"Adriana"},{"family":"Ward","given":"Diane McVey"},{"family":"Ganz","given":"Tomas"},{"family":"Kaplan","given":"Jerry"}],"issued":{"date-parts":[["2004",12,17]]}}}],"schema":"https://github.com/citation-style-language/schema/raw/master/csl-citation.json"} </w:instrText>
      </w:r>
      <w:r w:rsidR="00E06737" w:rsidRPr="00A12603">
        <w:rPr>
          <w:rFonts w:ascii="Arial" w:hAnsi="Arial" w:cs="Arial"/>
          <w:color w:val="000000" w:themeColor="text1"/>
          <w:sz w:val="22"/>
          <w:szCs w:val="22"/>
          <w:lang w:val="en-US"/>
        </w:rPr>
        <w:fldChar w:fldCharType="separate"/>
      </w:r>
      <w:r w:rsidR="00E06737" w:rsidRPr="00A12603">
        <w:rPr>
          <w:rFonts w:ascii="Arial" w:hAnsi="Arial" w:cs="Arial"/>
          <w:noProof/>
          <w:color w:val="000000" w:themeColor="text1"/>
          <w:sz w:val="22"/>
          <w:szCs w:val="22"/>
          <w:lang w:val="en-US"/>
        </w:rPr>
        <w:t>(Nemeth et al., 2004)</w:t>
      </w:r>
      <w:r w:rsidR="00E06737" w:rsidRPr="00A12603">
        <w:rPr>
          <w:rFonts w:ascii="Arial" w:hAnsi="Arial" w:cs="Arial"/>
          <w:color w:val="000000" w:themeColor="text1"/>
          <w:sz w:val="22"/>
          <w:szCs w:val="22"/>
          <w:lang w:val="en-US"/>
        </w:rPr>
        <w:fldChar w:fldCharType="end"/>
      </w:r>
      <w:r w:rsidRPr="00A12603">
        <w:rPr>
          <w:rFonts w:ascii="Arial" w:hAnsi="Arial" w:cs="Arial"/>
          <w:color w:val="000000" w:themeColor="text1"/>
          <w:sz w:val="22"/>
          <w:szCs w:val="22"/>
          <w:lang w:val="en-US"/>
        </w:rPr>
        <w:t xml:space="preserve"> is suppressed </w:t>
      </w:r>
      <w:r w:rsidR="00B01CDC" w:rsidRPr="00A12603">
        <w:rPr>
          <w:rFonts w:ascii="Arial" w:hAnsi="Arial" w:cs="Arial"/>
          <w:color w:val="000000" w:themeColor="text1"/>
          <w:sz w:val="22"/>
          <w:szCs w:val="22"/>
          <w:lang w:val="en-US"/>
        </w:rPr>
        <w:fldChar w:fldCharType="begin"/>
      </w:r>
      <w:r w:rsidR="00B01CDC" w:rsidRPr="00A12603">
        <w:rPr>
          <w:rFonts w:ascii="Arial" w:hAnsi="Arial" w:cs="Arial"/>
          <w:color w:val="000000" w:themeColor="text1"/>
          <w:sz w:val="22"/>
          <w:szCs w:val="22"/>
          <w:lang w:val="en-US"/>
        </w:rPr>
        <w:instrText xml:space="preserve"> ADDIN ZOTERO_ITEM CSL_CITATION {"citationID":"lnd1I4oP","properties":{"formattedCitation":"(Ginzburg et al., 2018)","plainCitation":"(Ginzburg et al., 2018)","noteIndex":0},"citationItems":[{"id":1507,"uris":["http://zotero.org/users/2484452/items/LM9WGRXC"],"uri":["http://zotero.org/users/2484452/items/LM9WGRXC"],"itemData":{"id":1507,"type":"article-journal","abstract":"Polycythemia vera (PV) is a chronic myeloproliferative neoplasm. Virtually all PV patients are iron deficient at presentation and/or during the course of their disease. The co-existence of iron deficiency and polycythemia presents a physiological disconnect. Hepcidin, the master regulator of iron metabolism, is regulated by circulating iron levels, erythroblast secretion of erythroferrone, and inflammation. Both decreased circulating iron and increased erythroferrone levels, which occur as a consequence of erythroid hyperplasia in PV, are anticipated to suppress hepcidin and enable recovery from iron deficiency. Inflammation which accompanies PV is likely to counteract hepcidin suppression, but the relatively low serum ferritin levels observed suggest that inflammation is not a major contributor to the dysregulated iron metabolism. Furthermore, potential defects in iron absorption, aberrant hypoxia sensing and signaling, and frequency of bleeding to account for iron deficiency in PV patients have not been fully elucidated. Insufficiently suppressed hepcidin given the degree of iron deficiency in PV patients strongly suggests that disordered iron metabolism is an important component of the pathobiology of PV. Normalization of hematocrit levels using therapeutic phlebotomy is the most common approach for reducing the incidence of thrombotic complications, a therapy which exacerbates iron deficiency, contributing to a variety of non-hematological symptoms. The use of cytoreductive therapy in high-risk PV patients frequently works more effectively to reverse PV-associated symptoms in iron-deficient relative to iron-replete patients. Lastly, differences in iron-related parameters between PV patients and mice with JAK2 V617F and JAK2 exon 12 mutations suggest that specific regions in JAK2 may influence iron metabolism by nuanced changes of erythropoietin receptor signaling. In this review, we comprehensively discuss the clinical consequences of iron deficiency in PV, provide a framework for understanding the potential dysregulation of iron metabolism, and present a rationale for additional therapeutic options for iron-deficient PV patients.","container-title":"Leukemia","DOI":"10.1038/s41375-018-0207-9","ISSN":"1476-5551","issue":"10","language":"en","note":"number: 10\npublisher: Nature Publishing Group","page":"2105-2116","source":"www.nature.com","title":"Dysregulated iron metabolism in polycythemia vera: etiology and consequences","title-short":"Dysregulated iron metabolism in polycythemia vera","volume":"32","author":[{"family":"Ginzburg","given":"Yelena Z."},{"family":"Feola","given":"Maria"},{"family":"Zimran","given":"Eran"},{"family":"Varkonyi","given":"Judit"},{"family":"Ganz","given":"Tomas"},{"family":"Hoffman","given":"Ronald"}],"issued":{"date-parts":[["2018",10]]}}}],"schema":"https://github.com/citation-style-language/schema/raw/master/csl-citation.json"} </w:instrText>
      </w:r>
      <w:r w:rsidR="00B01CDC" w:rsidRPr="00A12603">
        <w:rPr>
          <w:rFonts w:ascii="Arial" w:hAnsi="Arial" w:cs="Arial"/>
          <w:color w:val="000000" w:themeColor="text1"/>
          <w:sz w:val="22"/>
          <w:szCs w:val="22"/>
          <w:lang w:val="en-US"/>
        </w:rPr>
        <w:fldChar w:fldCharType="separate"/>
      </w:r>
      <w:r w:rsidR="00B01CDC" w:rsidRPr="00A12603">
        <w:rPr>
          <w:rFonts w:ascii="Arial" w:hAnsi="Arial" w:cs="Arial"/>
          <w:noProof/>
          <w:color w:val="000000" w:themeColor="text1"/>
          <w:sz w:val="22"/>
          <w:szCs w:val="22"/>
          <w:lang w:val="en-US"/>
        </w:rPr>
        <w:t>(Ginzburg et al., 2018)</w:t>
      </w:r>
      <w:r w:rsidR="00B01CDC" w:rsidRPr="00A12603">
        <w:rPr>
          <w:rFonts w:ascii="Arial" w:hAnsi="Arial" w:cs="Arial"/>
          <w:color w:val="000000" w:themeColor="text1"/>
          <w:sz w:val="22"/>
          <w:szCs w:val="22"/>
          <w:lang w:val="en-US"/>
        </w:rPr>
        <w:fldChar w:fldCharType="end"/>
      </w:r>
      <w:r w:rsidRPr="00A12603">
        <w:rPr>
          <w:rFonts w:ascii="Arial" w:hAnsi="Arial" w:cs="Arial"/>
          <w:color w:val="000000" w:themeColor="text1"/>
          <w:sz w:val="22"/>
          <w:szCs w:val="22"/>
          <w:lang w:val="en-US"/>
        </w:rPr>
        <w:t>. This process is mediated by erythroferrone, a molecule released from maturing erythroblasts that inhibit</w:t>
      </w:r>
      <w:r w:rsidR="00597EA6">
        <w:rPr>
          <w:rFonts w:ascii="Arial" w:hAnsi="Arial" w:cs="Arial"/>
          <w:color w:val="000000" w:themeColor="text1"/>
          <w:sz w:val="22"/>
          <w:szCs w:val="22"/>
          <w:lang w:val="en-US"/>
        </w:rPr>
        <w:t>s</w:t>
      </w:r>
      <w:r w:rsidRPr="00A12603">
        <w:rPr>
          <w:rFonts w:ascii="Arial" w:hAnsi="Arial" w:cs="Arial"/>
          <w:color w:val="000000" w:themeColor="text1"/>
          <w:sz w:val="22"/>
          <w:szCs w:val="22"/>
          <w:lang w:val="en-US"/>
        </w:rPr>
        <w:t xml:space="preserve"> hepcidin expression</w:t>
      </w:r>
      <w:r w:rsidR="00B01CDC" w:rsidRPr="00A12603">
        <w:rPr>
          <w:rFonts w:ascii="Arial" w:hAnsi="Arial" w:cs="Arial"/>
          <w:color w:val="000000" w:themeColor="text1"/>
          <w:sz w:val="22"/>
          <w:szCs w:val="22"/>
          <w:lang w:val="en-US"/>
        </w:rPr>
        <w:t xml:space="preserve"> </w:t>
      </w:r>
      <w:r w:rsidR="00B01CDC" w:rsidRPr="00A12603">
        <w:rPr>
          <w:rFonts w:ascii="Arial" w:hAnsi="Arial" w:cs="Arial"/>
          <w:color w:val="000000" w:themeColor="text1"/>
          <w:sz w:val="22"/>
          <w:szCs w:val="22"/>
          <w:lang w:val="en-US"/>
        </w:rPr>
        <w:fldChar w:fldCharType="begin"/>
      </w:r>
      <w:r w:rsidR="00B01CDC" w:rsidRPr="00A12603">
        <w:rPr>
          <w:rFonts w:ascii="Arial" w:hAnsi="Arial" w:cs="Arial"/>
          <w:color w:val="000000" w:themeColor="text1"/>
          <w:sz w:val="22"/>
          <w:szCs w:val="22"/>
          <w:lang w:val="en-US"/>
        </w:rPr>
        <w:instrText xml:space="preserve"> ADDIN ZOTERO_ITEM CSL_CITATION {"citationID":"euni9sHQ","properties":{"formattedCitation":"(Kautz et al., 2014)","plainCitation":"(Kautz et al., 2014)","noteIndex":0},"citationItems":[{"id":1512,"uris":["http://zotero.org/users/2484452/items/WUZY82FU"],"uri":["http://zotero.org/users/2484452/items/WUZY82FU"],"itemData":{"id":1512,"type":"article-journal","abstract":"Recovery from blood loss requires a greatly enhanced supply of iron to support expanded erythropoiesis. After hemorrhage, suppression of the iron-regulatory hormone hepcidin allows increased iron absorption and mobilization from stores. We identified a new hormone, erythroferrone (ERFE), that mediates hepcidin suppression during stress erythropoiesis. ERFE is produced by erythroblasts in response to erythropoietin. ERFE-deficient mice fail to suppress hepcidin rapidly after hemorrhage and exhibit a delay in recovery from blood loss. ERFE expression is greatly increased in Hbb(th3/+) mice with thalassemia intermedia, where it contributes to the suppression of hepcidin and the systemic iron overload characteristic of this disease.","container-title":"Nature Genetics","DOI":"10.1038/ng.2996","ISSN":"1546-1718","issue":"7","journalAbbreviation":"Nat Genet","language":"eng","note":"PMID: 24880340\nPMCID: PMC4104984","page":"678-684","source":"PubMed","title":"Identification of erythroferrone as an erythroid regulator of iron metabolism","volume":"46","author":[{"family":"Kautz","given":"Léon"},{"family":"Jung","given":"Grace"},{"family":"Valore","given":"Erika V."},{"family":"Rivella","given":"Stefano"},{"family":"Nemeth","given":"Elizabeta"},{"family":"Ganz","given":"Tomas"}],"issued":{"date-parts":[["2014",7]]}}}],"schema":"https://github.com/citation-style-language/schema/raw/master/csl-citation.json"} </w:instrText>
      </w:r>
      <w:r w:rsidR="00B01CDC" w:rsidRPr="00A12603">
        <w:rPr>
          <w:rFonts w:ascii="Arial" w:hAnsi="Arial" w:cs="Arial"/>
          <w:color w:val="000000" w:themeColor="text1"/>
          <w:sz w:val="22"/>
          <w:szCs w:val="22"/>
          <w:lang w:val="en-US"/>
        </w:rPr>
        <w:fldChar w:fldCharType="separate"/>
      </w:r>
      <w:r w:rsidR="00B01CDC" w:rsidRPr="00A12603">
        <w:rPr>
          <w:rFonts w:ascii="Arial" w:hAnsi="Arial" w:cs="Arial"/>
          <w:noProof/>
          <w:color w:val="000000" w:themeColor="text1"/>
          <w:sz w:val="22"/>
          <w:szCs w:val="22"/>
          <w:lang w:val="en-US"/>
        </w:rPr>
        <w:t>(Kautz et al., 2014)</w:t>
      </w:r>
      <w:r w:rsidR="00B01CDC" w:rsidRPr="00A12603">
        <w:rPr>
          <w:rFonts w:ascii="Arial" w:hAnsi="Arial" w:cs="Arial"/>
          <w:color w:val="000000" w:themeColor="text1"/>
          <w:sz w:val="22"/>
          <w:szCs w:val="22"/>
          <w:lang w:val="en-US"/>
        </w:rPr>
        <w:fldChar w:fldCharType="end"/>
      </w:r>
      <w:r w:rsidRPr="00A12603">
        <w:rPr>
          <w:rFonts w:ascii="Arial" w:hAnsi="Arial" w:cs="Arial"/>
          <w:color w:val="000000" w:themeColor="text1"/>
          <w:sz w:val="22"/>
          <w:szCs w:val="22"/>
          <w:lang w:val="en-US"/>
        </w:rPr>
        <w:t xml:space="preserve"> by sequestering the hepcidin activating Bone Morphogenetic Proteins </w:t>
      </w:r>
      <w:r w:rsidR="00B01CDC" w:rsidRPr="00A12603">
        <w:rPr>
          <w:rFonts w:ascii="Arial" w:hAnsi="Arial" w:cs="Arial"/>
          <w:color w:val="000000" w:themeColor="text1"/>
          <w:sz w:val="22"/>
          <w:szCs w:val="22"/>
          <w:lang w:val="en-US"/>
        </w:rPr>
        <w:fldChar w:fldCharType="begin"/>
      </w:r>
      <w:r w:rsidR="00B01CDC" w:rsidRPr="00A12603">
        <w:rPr>
          <w:rFonts w:ascii="Arial" w:hAnsi="Arial" w:cs="Arial"/>
          <w:color w:val="000000" w:themeColor="text1"/>
          <w:sz w:val="22"/>
          <w:szCs w:val="22"/>
          <w:lang w:val="en-US"/>
        </w:rPr>
        <w:instrText xml:space="preserve"> ADDIN ZOTERO_ITEM CSL_CITATION {"citationID":"ZwMbcI7E","properties":{"formattedCitation":"(Lim et al., 2019)","plainCitation":"(Lim et al., 2019)","noteIndex":0},"citationItems":[{"id":1515,"uris":["http://zotero.org/users/2484452/items/DVQKQPW8"],"uri":["http://zotero.org/users/2484452/items/DVQKQPW8"],"itemData":{"id":1515,"type":"article-journal","abstract":"Iron is critical for life but toxic in excess because of iron-catalysed formation of pro-oxidants that cause tissue damage in a range of disorders. The Nrf2 transcription factor orchestrates cell-intrinsic protective antioxidant responses, and the peptide hormone hepcidin maintains systemic iron homeostasis, but is pathophysiologically decreased in haemochromatosis and beta-thalassaemia. Here, we show that Nrf2 is activated by iron-induced, mitochondria-derived pro-oxidants and drives Bmp6 expression in liver sinusoid endothelial cells, which in turn increases hepcidin synthesis by neighbouring hepatocytes. In Nrf2 knockout mice, the Bmp6-hepcidin response to oral and parenteral iron is impaired and iron accumulation and hepatic damage are increased. Pharmacological activation of Nrf2 stimulates the Bmp6-hepcidin axis, improving iron homeostasis in haemochromatosis and counteracting the inhibition of Bmp6 by erythroferrone in beta-thalassaemia. We propose that Nrf2 links cellular sensing of excess toxic iron to control of systemic iron homeostasis and antioxidant responses, and may be a therapeutic target for iron-associated disorders.","container-title":"Nature metabolism","DOI":"10.1038/s42255-019-0063-6","ISSN":"2522-5812","issue":"5","journalAbbreviation":"Nat Metab","note":"PMID: 31276102\nPMCID: PMC6609153","page":"519-531","source":"PubMed Central","title":"Nrf2 controls iron homeostasis in haemochromatosis and thalassaemia via Bmp6 and hepcidin","volume":"1","author":[{"family":"Lim","given":"Pei Jin"},{"family":"Duarte","given":"Tiago L."},{"family":"Arezes","given":"João"},{"family":"Garcia-Santos","given":"Daniel"},{"family":"Hamdi","given":"Amel"},{"family":"Pasricha","given":"Sant-Rayn"},{"family":"Armitage","given":"Andrew E."},{"family":"Mehta","given":"Hema"},{"family":"Wideman","given":"Sarah"},{"family":"Santos","given":"Ana G."},{"family":"Santos-Gonçalves","given":"Andreia"},{"family":"Morovat","given":"Alireza"},{"family":"Hughes","given":"Jim R."},{"family":"Soilleux","given":"Elizabeth"},{"family":"Wang","given":"Chia-Yu"},{"family":"Bayer","given":"Abraham L."},{"family":"Klenerman","given":"Paul"},{"family":"Willberg","given":"Christian B."},{"family":"Hartley","given":"Richard C."},{"family":"Murphy","given":"Michael P."},{"family":"Babitt","given":"Jodie L."},{"family":"Ponka","given":"Prem"},{"family":"Porto","given":"Graça"},{"family":"Drakesmith","given":"Hal"}],"issued":{"date-parts":[["2019",5]]}}}],"schema":"https://github.com/citation-style-language/schema/raw/master/csl-citation.json"} </w:instrText>
      </w:r>
      <w:r w:rsidR="00B01CDC" w:rsidRPr="00A12603">
        <w:rPr>
          <w:rFonts w:ascii="Arial" w:hAnsi="Arial" w:cs="Arial"/>
          <w:color w:val="000000" w:themeColor="text1"/>
          <w:sz w:val="22"/>
          <w:szCs w:val="22"/>
          <w:lang w:val="en-US"/>
        </w:rPr>
        <w:fldChar w:fldCharType="separate"/>
      </w:r>
      <w:r w:rsidR="00B01CDC" w:rsidRPr="00A12603">
        <w:rPr>
          <w:rFonts w:ascii="Arial" w:hAnsi="Arial" w:cs="Arial"/>
          <w:noProof/>
          <w:color w:val="000000" w:themeColor="text1"/>
          <w:sz w:val="22"/>
          <w:szCs w:val="22"/>
          <w:lang w:val="en-US"/>
        </w:rPr>
        <w:t>(Lim et al., 2019)</w:t>
      </w:r>
      <w:r w:rsidR="00B01CDC" w:rsidRPr="00A12603">
        <w:rPr>
          <w:rFonts w:ascii="Arial" w:hAnsi="Arial" w:cs="Arial"/>
          <w:color w:val="000000" w:themeColor="text1"/>
          <w:sz w:val="22"/>
          <w:szCs w:val="22"/>
          <w:lang w:val="en-US"/>
        </w:rPr>
        <w:fldChar w:fldCharType="end"/>
      </w:r>
      <w:r w:rsidRPr="00A12603">
        <w:rPr>
          <w:rFonts w:ascii="Arial" w:hAnsi="Arial" w:cs="Arial"/>
          <w:color w:val="000000" w:themeColor="text1"/>
          <w:sz w:val="22"/>
          <w:szCs w:val="22"/>
          <w:lang w:val="en-US"/>
        </w:rPr>
        <w:t>. This adjustment does not occur equally in all MPN</w:t>
      </w:r>
      <w:r w:rsidR="00597EA6">
        <w:rPr>
          <w:rFonts w:ascii="Arial" w:hAnsi="Arial" w:cs="Arial"/>
          <w:color w:val="000000" w:themeColor="text1"/>
          <w:sz w:val="22"/>
          <w:szCs w:val="22"/>
          <w:lang w:val="en-US"/>
        </w:rPr>
        <w:t>s</w:t>
      </w:r>
      <w:r w:rsidRPr="00A12603">
        <w:rPr>
          <w:rFonts w:ascii="Arial" w:hAnsi="Arial" w:cs="Arial"/>
          <w:color w:val="000000" w:themeColor="text1"/>
          <w:sz w:val="22"/>
          <w:szCs w:val="22"/>
          <w:lang w:val="en-US"/>
        </w:rPr>
        <w:t xml:space="preserve">. Previous data in MPN animal models showed that hepcidin suppression and iron acquisition are stronger in </w:t>
      </w:r>
      <w:r w:rsidRPr="00A12603">
        <w:rPr>
          <w:rFonts w:ascii="Arial" w:hAnsi="Arial" w:cs="Arial"/>
          <w:i/>
          <w:iCs/>
          <w:color w:val="000000" w:themeColor="text1"/>
          <w:sz w:val="22"/>
          <w:szCs w:val="22"/>
          <w:lang w:val="en-US"/>
        </w:rPr>
        <w:t>JAK2</w:t>
      </w:r>
      <w:r w:rsidR="00C36ED9" w:rsidRPr="00A12603">
        <w:rPr>
          <w:rFonts w:ascii="Arial" w:hAnsi="Arial" w:cs="Arial"/>
          <w:color w:val="000000" w:themeColor="text1"/>
          <w:sz w:val="22"/>
          <w:szCs w:val="22"/>
          <w:lang w:val="en-US"/>
        </w:rPr>
        <w:t xml:space="preserve"> </w:t>
      </w:r>
      <w:r w:rsidRPr="00A12603">
        <w:rPr>
          <w:rFonts w:ascii="Arial" w:hAnsi="Arial" w:cs="Arial"/>
          <w:color w:val="000000" w:themeColor="text1"/>
          <w:sz w:val="22"/>
          <w:szCs w:val="22"/>
          <w:lang w:val="en-US"/>
        </w:rPr>
        <w:t xml:space="preserve">E12 as compared with </w:t>
      </w:r>
      <w:r w:rsidR="00C36ED9" w:rsidRPr="00A12603">
        <w:rPr>
          <w:rFonts w:ascii="Arial" w:hAnsi="Arial" w:cs="Arial"/>
          <w:i/>
          <w:color w:val="000000" w:themeColor="text1"/>
          <w:sz w:val="22"/>
          <w:szCs w:val="22"/>
          <w:lang w:val="en-US"/>
        </w:rPr>
        <w:t xml:space="preserve">JAK2 </w:t>
      </w:r>
      <w:r w:rsidR="00C36ED9" w:rsidRPr="00A12603">
        <w:rPr>
          <w:rFonts w:ascii="Arial" w:hAnsi="Arial" w:cs="Arial"/>
          <w:color w:val="000000" w:themeColor="text1"/>
          <w:sz w:val="22"/>
          <w:szCs w:val="22"/>
          <w:lang w:val="en-US"/>
        </w:rPr>
        <w:t xml:space="preserve">V617F </w:t>
      </w:r>
      <w:r w:rsidRPr="00A12603">
        <w:rPr>
          <w:rFonts w:ascii="Arial" w:hAnsi="Arial" w:cs="Arial"/>
          <w:color w:val="000000" w:themeColor="text1"/>
          <w:sz w:val="22"/>
          <w:szCs w:val="22"/>
          <w:lang w:val="en-US"/>
        </w:rPr>
        <w:t xml:space="preserve">mice </w:t>
      </w:r>
      <w:r w:rsidR="00B01CDC" w:rsidRPr="00A12603">
        <w:rPr>
          <w:rFonts w:ascii="Arial" w:hAnsi="Arial" w:cs="Arial"/>
          <w:color w:val="000000" w:themeColor="text1"/>
          <w:sz w:val="22"/>
          <w:szCs w:val="22"/>
          <w:lang w:val="en-US"/>
        </w:rPr>
        <w:fldChar w:fldCharType="begin"/>
      </w:r>
      <w:r w:rsidR="00B01CDC" w:rsidRPr="00A12603">
        <w:rPr>
          <w:rFonts w:ascii="Arial" w:hAnsi="Arial" w:cs="Arial"/>
          <w:color w:val="000000" w:themeColor="text1"/>
          <w:sz w:val="22"/>
          <w:szCs w:val="22"/>
          <w:lang w:val="en-US"/>
        </w:rPr>
        <w:instrText xml:space="preserve"> ADDIN ZOTERO_ITEM CSL_CITATION {"citationID":"nHTWMbxp","properties":{"formattedCitation":"(Grisouard et al., 2016)","plainCitation":"(Grisouard et al., 2016)","noteIndex":0},"citationItems":[{"id":215,"uris":["http://zotero.org/users/2484452/items/7P5DJBTR"],"uri":["http://zotero.org/users/2484452/items/7P5DJBTR"],"itemData":{"id":215,"type":"article-journal","abstract":"Mutations in JAK2 exon 12 are frequently found in patients with polycythemia vera (PV) that do not carry a JAK2-V617F mutation. The majority of these patients display isolated erythrocytosis. We generated a mouse model that expresses JAK2-N542-E543del, the most frequent JAK2 exon 12 mutation found in PV patients. Mice expressing the human JAK2-N542-E543del (Ex12) showed a strong increase in red blood cell parameters but normal neutrophil and platelet counts, and reduced overall survival. Erythropoiesis was increased in the bone marrow and spleen, with normal megakaryopoiesis and absence of myelofibrosis in histopathology. Erythroid progenitors and precursors were increased in hematopoietic tissues, but the numbers of megakaryocytic precursors were unchanged. Phosphorylation Stat3 and Erk1/2 proteins were increased, and a trend toward increased phospho-Stat5 and phospho-Stat1 was noted. However, Stat1 knock out in Ex12 mice induced no changes in platelet or red cell parameters, indicating that Stat1 does not play a central role in mediating the effects of Ex12 signaling on megakaryopoiesis or erythropoiesis. Ex12 mice showed decreased expression of hepcidin and increased expression of transferrin receptor-1 and erythroferrone, suggesting that the strong erythroid phenotype in Ex12 mutant mice is favored by changes in iron metabolism that optimize iron availability to allow maximal production of red cells.","container-title":"Blood","DOI":"10.1182/blood-2015-12-689216","ISSN":"1528-0020","issue":"6","journalAbbreviation":"Blood","language":"eng","note":"PMID: 27288519","page":"839-851","source":"PubMed","title":"JAK2 exon 12 mutant mice display isolated erythrocytosis and changes in iron metabolism favoring increased erythropoiesis","volume":"128","author":[{"family":"Grisouard","given":"Jean"},{"family":"Li","given":"Sai"},{"family":"Kubovcakova","given":"Lucia"},{"family":"Rao","given":"Tata Nageswara"},{"family":"Meyer","given":"Sara C."},{"family":"Lundberg","given":"Pontus"},{"family":"Hao-Shen","given":"Hui"},{"family":"Romanet","given":"Vincent"},{"family":"Murakami","given":"Masato"},{"family":"Radimerski","given":"Thomas"},{"family":"Dirnhofer","given":"Stephan"},{"family":"Skoda","given":"Radek C."}],"issued":{"date-parts":[["2016"]],"season":"11"}}}],"schema":"https://github.com/citation-style-language/schema/raw/master/csl-citation.json"} </w:instrText>
      </w:r>
      <w:r w:rsidR="00B01CDC" w:rsidRPr="00A12603">
        <w:rPr>
          <w:rFonts w:ascii="Arial" w:hAnsi="Arial" w:cs="Arial"/>
          <w:color w:val="000000" w:themeColor="text1"/>
          <w:sz w:val="22"/>
          <w:szCs w:val="22"/>
          <w:lang w:val="en-US"/>
        </w:rPr>
        <w:fldChar w:fldCharType="separate"/>
      </w:r>
      <w:r w:rsidR="00B01CDC" w:rsidRPr="00A12603">
        <w:rPr>
          <w:rFonts w:ascii="Arial" w:hAnsi="Arial" w:cs="Arial"/>
          <w:noProof/>
          <w:color w:val="000000" w:themeColor="text1"/>
          <w:sz w:val="22"/>
          <w:szCs w:val="22"/>
          <w:lang w:val="en-US"/>
        </w:rPr>
        <w:t>(Grisouard et al., 2016)</w:t>
      </w:r>
      <w:r w:rsidR="00B01CDC" w:rsidRPr="00A12603">
        <w:rPr>
          <w:rFonts w:ascii="Arial" w:hAnsi="Arial" w:cs="Arial"/>
          <w:color w:val="000000" w:themeColor="text1"/>
          <w:sz w:val="22"/>
          <w:szCs w:val="22"/>
          <w:lang w:val="en-US"/>
        </w:rPr>
        <w:fldChar w:fldCharType="end"/>
      </w:r>
      <w:r w:rsidR="00B01CDC" w:rsidRPr="00A12603">
        <w:rPr>
          <w:rFonts w:ascii="Arial" w:hAnsi="Arial" w:cs="Arial"/>
          <w:color w:val="000000" w:themeColor="text1"/>
          <w:sz w:val="22"/>
          <w:szCs w:val="22"/>
          <w:lang w:val="en-US"/>
        </w:rPr>
        <w:t xml:space="preserve"> </w:t>
      </w:r>
      <w:r w:rsidRPr="00A12603">
        <w:rPr>
          <w:rFonts w:ascii="Arial" w:hAnsi="Arial" w:cs="Arial"/>
          <w:color w:val="000000" w:themeColor="text1"/>
          <w:sz w:val="22"/>
          <w:szCs w:val="22"/>
          <w:lang w:val="en-US"/>
        </w:rPr>
        <w:t>suggesting a potential role of iron in favoring PV vs ET phenotype.</w:t>
      </w:r>
    </w:p>
    <w:p w14:paraId="6C360895" w14:textId="77777777" w:rsidR="004B06E5" w:rsidRPr="00A12603" w:rsidRDefault="00C36ED9" w:rsidP="00DF64FE">
      <w:pPr>
        <w:spacing w:line="360" w:lineRule="auto"/>
        <w:ind w:right="-205"/>
        <w:jc w:val="both"/>
        <w:rPr>
          <w:rFonts w:ascii="Arial" w:hAnsi="Arial" w:cs="Arial"/>
          <w:color w:val="000000" w:themeColor="text1"/>
          <w:sz w:val="22"/>
          <w:szCs w:val="22"/>
          <w:lang w:val="en-US"/>
        </w:rPr>
      </w:pPr>
      <w:r w:rsidRPr="00A12603">
        <w:rPr>
          <w:rFonts w:ascii="Arial" w:hAnsi="Arial" w:cs="Arial"/>
          <w:color w:val="000000" w:themeColor="text1"/>
          <w:sz w:val="22"/>
          <w:szCs w:val="22"/>
          <w:lang w:val="en-US"/>
        </w:rPr>
        <w:t>Thus,</w:t>
      </w:r>
      <w:r w:rsidR="00DF64FE" w:rsidRPr="00A12603">
        <w:rPr>
          <w:rFonts w:ascii="Arial" w:hAnsi="Arial" w:cs="Arial"/>
          <w:color w:val="000000" w:themeColor="text1"/>
          <w:sz w:val="22"/>
          <w:szCs w:val="22"/>
          <w:lang w:val="en-US"/>
        </w:rPr>
        <w:t xml:space="preserve"> I investigated the functional role of iron on MPN phenotype by inducing either iron deficiency in models of PV or increasing total body iron by parenteral iron injection in models of ET</w:t>
      </w:r>
      <w:r w:rsidRPr="00A12603">
        <w:rPr>
          <w:rFonts w:ascii="Arial" w:hAnsi="Arial" w:cs="Arial"/>
          <w:color w:val="000000" w:themeColor="text1"/>
          <w:sz w:val="22"/>
          <w:szCs w:val="22"/>
          <w:lang w:val="en-US"/>
        </w:rPr>
        <w:t xml:space="preserve"> and PV</w:t>
      </w:r>
      <w:r w:rsidR="00DF64FE" w:rsidRPr="00A12603">
        <w:rPr>
          <w:rFonts w:ascii="Arial" w:hAnsi="Arial" w:cs="Arial"/>
          <w:color w:val="000000" w:themeColor="text1"/>
          <w:sz w:val="22"/>
          <w:szCs w:val="22"/>
          <w:lang w:val="en-US"/>
        </w:rPr>
        <w:t xml:space="preserve">. The results of these opposite approaches converge on the essential role of iron in the alternative phenotype presentation caused by mutated </w:t>
      </w:r>
      <w:r w:rsidR="00DF64FE" w:rsidRPr="00A12603">
        <w:rPr>
          <w:rFonts w:ascii="Arial" w:hAnsi="Arial" w:cs="Arial"/>
          <w:i/>
          <w:iCs/>
          <w:color w:val="000000" w:themeColor="text1"/>
          <w:sz w:val="22"/>
          <w:szCs w:val="22"/>
          <w:lang w:val="en-US"/>
        </w:rPr>
        <w:t>JAK2</w:t>
      </w:r>
      <w:r w:rsidR="00DF64FE" w:rsidRPr="00A12603">
        <w:rPr>
          <w:rFonts w:ascii="Arial" w:hAnsi="Arial" w:cs="Arial"/>
          <w:color w:val="000000" w:themeColor="text1"/>
          <w:sz w:val="22"/>
          <w:szCs w:val="22"/>
          <w:lang w:val="en-US"/>
        </w:rPr>
        <w:t>.</w:t>
      </w:r>
    </w:p>
    <w:p w14:paraId="6FF430CA" w14:textId="77777777" w:rsidR="00A12603" w:rsidRPr="00A12603" w:rsidRDefault="00A12603" w:rsidP="00DF64FE">
      <w:pPr>
        <w:spacing w:line="360" w:lineRule="auto"/>
        <w:ind w:right="-205"/>
        <w:jc w:val="both"/>
        <w:rPr>
          <w:rFonts w:ascii="Arial" w:hAnsi="Arial" w:cs="Arial"/>
          <w:color w:val="000000" w:themeColor="text1"/>
          <w:sz w:val="22"/>
          <w:szCs w:val="22"/>
          <w:lang w:val="en-US"/>
        </w:rPr>
      </w:pPr>
    </w:p>
    <w:p w14:paraId="0600AE8C" w14:textId="77777777" w:rsidR="00A12603" w:rsidRPr="00A12603" w:rsidRDefault="00A12603" w:rsidP="00A12603">
      <w:pPr>
        <w:spacing w:line="360" w:lineRule="auto"/>
        <w:jc w:val="both"/>
        <w:rPr>
          <w:rFonts w:ascii="Arial" w:eastAsiaTheme="majorEastAsia" w:hAnsi="Arial" w:cs="Arial"/>
          <w:b/>
          <w:color w:val="000000" w:themeColor="text1"/>
          <w:sz w:val="22"/>
          <w:szCs w:val="22"/>
          <w:lang w:val="en-US"/>
        </w:rPr>
      </w:pPr>
      <w:r>
        <w:rPr>
          <w:rFonts w:ascii="Arial" w:eastAsiaTheme="majorEastAsia" w:hAnsi="Arial" w:cs="Arial"/>
          <w:b/>
          <w:color w:val="000000" w:themeColor="text1"/>
          <w:sz w:val="22"/>
          <w:szCs w:val="22"/>
          <w:lang w:val="en-US"/>
        </w:rPr>
        <w:t xml:space="preserve">Iron deficiency induced a switch from PV to ET-like phenotype in </w:t>
      </w:r>
      <w:r w:rsidRPr="00A12603">
        <w:rPr>
          <w:rFonts w:ascii="Arial" w:eastAsiaTheme="majorEastAsia" w:hAnsi="Arial" w:cs="Arial"/>
          <w:b/>
          <w:i/>
          <w:iCs/>
          <w:color w:val="000000" w:themeColor="text1"/>
          <w:sz w:val="22"/>
          <w:szCs w:val="22"/>
          <w:lang w:val="en-US"/>
        </w:rPr>
        <w:t>JAK2</w:t>
      </w:r>
      <w:r>
        <w:rPr>
          <w:rFonts w:ascii="Arial" w:eastAsiaTheme="majorEastAsia" w:hAnsi="Arial" w:cs="Arial"/>
          <w:b/>
          <w:color w:val="000000" w:themeColor="text1"/>
          <w:sz w:val="22"/>
          <w:szCs w:val="22"/>
          <w:lang w:val="en-US"/>
        </w:rPr>
        <w:t xml:space="preserve"> mutant mouse models of MPN</w:t>
      </w:r>
    </w:p>
    <w:p w14:paraId="6334D965" w14:textId="77777777" w:rsidR="00A12603" w:rsidRDefault="00A12603" w:rsidP="00A12603">
      <w:pPr>
        <w:spacing w:line="360" w:lineRule="auto"/>
        <w:jc w:val="both"/>
        <w:rPr>
          <w:rFonts w:ascii="Arial" w:hAnsi="Arial" w:cs="Arial"/>
          <w:b/>
          <w:color w:val="000000" w:themeColor="text1"/>
          <w:sz w:val="22"/>
          <w:szCs w:val="22"/>
          <w:lang w:val="en-US"/>
        </w:rPr>
      </w:pPr>
    </w:p>
    <w:p w14:paraId="7D84DBCB" w14:textId="77777777" w:rsidR="00A12603" w:rsidRPr="00A12603" w:rsidRDefault="00A12603" w:rsidP="00083948">
      <w:pPr>
        <w:spacing w:line="360" w:lineRule="auto"/>
        <w:ind w:firstLine="708"/>
        <w:jc w:val="both"/>
        <w:rPr>
          <w:rFonts w:ascii="Arial" w:hAnsi="Arial" w:cs="Arial"/>
          <w:color w:val="000000" w:themeColor="text1"/>
          <w:sz w:val="22"/>
          <w:szCs w:val="22"/>
          <w:lang w:val="en-US"/>
        </w:rPr>
      </w:pPr>
      <w:r w:rsidRPr="00A12603">
        <w:rPr>
          <w:rFonts w:ascii="Arial" w:hAnsi="Arial" w:cs="Arial"/>
          <w:color w:val="000000" w:themeColor="text1"/>
          <w:sz w:val="22"/>
          <w:szCs w:val="22"/>
          <w:lang w:val="en-US"/>
        </w:rPr>
        <w:t xml:space="preserve">First, we examined the effects of iron deficiency </w:t>
      </w:r>
      <w:r w:rsidRPr="00A12603">
        <w:rPr>
          <w:rFonts w:ascii="Arial" w:hAnsi="Arial" w:cs="Arial"/>
          <w:i/>
          <w:color w:val="000000" w:themeColor="text1"/>
          <w:sz w:val="22"/>
          <w:szCs w:val="22"/>
          <w:lang w:val="en-US"/>
        </w:rPr>
        <w:t>in vivo</w:t>
      </w:r>
      <w:r w:rsidRPr="00A12603">
        <w:rPr>
          <w:rFonts w:ascii="Arial" w:hAnsi="Arial" w:cs="Arial"/>
          <w:color w:val="000000" w:themeColor="text1"/>
          <w:sz w:val="22"/>
          <w:szCs w:val="22"/>
          <w:lang w:val="en-US"/>
        </w:rPr>
        <w:t xml:space="preserve"> in MPN models of PV. To generate sufficient numbers of </w:t>
      </w:r>
      <w:r w:rsidRPr="00A12603">
        <w:rPr>
          <w:rFonts w:ascii="Arial" w:hAnsi="Arial" w:cs="Arial"/>
          <w:i/>
          <w:color w:val="000000" w:themeColor="text1"/>
          <w:sz w:val="22"/>
          <w:szCs w:val="22"/>
          <w:lang w:val="en-US"/>
        </w:rPr>
        <w:t>JAK2</w:t>
      </w:r>
      <w:r w:rsidRPr="00A12603">
        <w:rPr>
          <w:rFonts w:ascii="Arial" w:hAnsi="Arial" w:cs="Arial"/>
          <w:color w:val="000000" w:themeColor="text1"/>
          <w:sz w:val="22"/>
          <w:szCs w:val="22"/>
          <w:lang w:val="en-US"/>
        </w:rPr>
        <w:t xml:space="preserve">-mutant mice for exposure to iron deficiency </w:t>
      </w:r>
      <w:r w:rsidRPr="00A12603">
        <w:rPr>
          <w:rFonts w:ascii="Arial" w:hAnsi="Arial" w:cs="Arial"/>
          <w:i/>
          <w:color w:val="000000" w:themeColor="text1"/>
          <w:sz w:val="22"/>
          <w:szCs w:val="22"/>
          <w:lang w:val="en-US"/>
        </w:rPr>
        <w:t>in vivo</w:t>
      </w:r>
      <w:r w:rsidRPr="00A12603">
        <w:rPr>
          <w:rFonts w:ascii="Arial" w:hAnsi="Arial" w:cs="Arial"/>
          <w:color w:val="000000" w:themeColor="text1"/>
          <w:sz w:val="22"/>
          <w:szCs w:val="22"/>
          <w:lang w:val="en-US"/>
        </w:rPr>
        <w:t xml:space="preserve">, we performed bone marrow transplantations into lethally irradiated wildtype recipient mice (Figure </w:t>
      </w:r>
      <w:r w:rsidR="004B0BA9">
        <w:rPr>
          <w:rFonts w:ascii="Arial" w:hAnsi="Arial" w:cs="Arial"/>
          <w:color w:val="000000" w:themeColor="text1"/>
          <w:sz w:val="22"/>
          <w:szCs w:val="22"/>
          <w:lang w:val="en-US"/>
        </w:rPr>
        <w:t>34</w:t>
      </w:r>
      <w:r w:rsidRPr="00A12603">
        <w:rPr>
          <w:rFonts w:ascii="Arial" w:hAnsi="Arial" w:cs="Arial"/>
          <w:color w:val="000000" w:themeColor="text1"/>
          <w:sz w:val="22"/>
          <w:szCs w:val="22"/>
          <w:lang w:val="en-US"/>
        </w:rPr>
        <w:t xml:space="preserve">A). </w:t>
      </w:r>
      <w:r w:rsidRPr="00A12603">
        <w:rPr>
          <w:rFonts w:ascii="Arial" w:hAnsi="Arial" w:cs="Arial"/>
          <w:i/>
          <w:color w:val="000000"/>
          <w:sz w:val="22"/>
          <w:szCs w:val="22"/>
          <w:lang w:val="en-US"/>
        </w:rPr>
        <w:t>SclCre</w:t>
      </w:r>
      <w:r w:rsidRPr="00A12603">
        <w:rPr>
          <w:rFonts w:ascii="Arial" w:hAnsi="Arial" w:cs="Arial"/>
          <w:i/>
          <w:color w:val="000000"/>
          <w:sz w:val="22"/>
          <w:szCs w:val="22"/>
          <w:vertAlign w:val="superscript"/>
          <w:lang w:val="en-US"/>
        </w:rPr>
        <w:t>ER</w:t>
      </w:r>
      <w:r w:rsidRPr="00A12603">
        <w:rPr>
          <w:rFonts w:ascii="Arial" w:hAnsi="Arial" w:cs="Arial"/>
          <w:i/>
          <w:color w:val="000000" w:themeColor="text1"/>
          <w:sz w:val="22"/>
          <w:szCs w:val="22"/>
          <w:lang w:val="en-US"/>
        </w:rPr>
        <w:t>;Jak2</w:t>
      </w:r>
      <w:r w:rsidRPr="00A12603">
        <w:rPr>
          <w:rFonts w:ascii="Arial" w:hAnsi="Arial" w:cs="Arial"/>
          <w:color w:val="000000" w:themeColor="text1"/>
          <w:sz w:val="22"/>
          <w:szCs w:val="22"/>
          <w:lang w:val="en-US"/>
        </w:rPr>
        <w:t>-V617F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or </w:t>
      </w:r>
      <w:r w:rsidRPr="00A12603">
        <w:rPr>
          <w:rFonts w:ascii="Arial" w:hAnsi="Arial" w:cs="Arial"/>
          <w:i/>
          <w:color w:val="000000"/>
          <w:sz w:val="22"/>
          <w:szCs w:val="22"/>
          <w:lang w:val="en-US"/>
        </w:rPr>
        <w:t>SclCre</w:t>
      </w:r>
      <w:r w:rsidRPr="00A12603">
        <w:rPr>
          <w:rFonts w:ascii="Arial" w:hAnsi="Arial" w:cs="Arial"/>
          <w:i/>
          <w:color w:val="000000"/>
          <w:sz w:val="22"/>
          <w:szCs w:val="22"/>
          <w:vertAlign w:val="superscript"/>
          <w:lang w:val="en-US"/>
        </w:rPr>
        <w:t>ER</w:t>
      </w:r>
      <w:r w:rsidRPr="00A12603">
        <w:rPr>
          <w:rFonts w:ascii="Arial" w:hAnsi="Arial" w:cs="Arial"/>
          <w:i/>
          <w:color w:val="000000" w:themeColor="text1"/>
          <w:sz w:val="22"/>
          <w:szCs w:val="22"/>
          <w:lang w:val="en-US"/>
        </w:rPr>
        <w:t>;JAK2 exon12</w:t>
      </w:r>
      <w:r w:rsidRPr="00A12603">
        <w:rPr>
          <w:rFonts w:ascii="Arial" w:hAnsi="Arial" w:cs="Arial"/>
          <w:color w:val="000000" w:themeColor="text1"/>
          <w:sz w:val="22"/>
          <w:szCs w:val="22"/>
          <w:lang w:val="en-US"/>
        </w:rPr>
        <w:t xml:space="preserve"> mutant </w:t>
      </w:r>
      <w:r w:rsidRPr="00A12603">
        <w:rPr>
          <w:rFonts w:ascii="Arial" w:hAnsi="Arial" w:cs="Arial"/>
          <w:i/>
          <w:color w:val="000000" w:themeColor="text1"/>
          <w:sz w:val="22"/>
          <w:szCs w:val="22"/>
          <w:lang w:val="en-US"/>
        </w:rPr>
        <w:t>(E12)</w:t>
      </w:r>
      <w:r w:rsidRPr="00A12603">
        <w:rPr>
          <w:rFonts w:ascii="Arial" w:hAnsi="Arial" w:cs="Arial"/>
          <w:color w:val="000000" w:themeColor="text1"/>
          <w:sz w:val="22"/>
          <w:szCs w:val="22"/>
          <w:lang w:val="en-US"/>
        </w:rPr>
        <w:t xml:space="preserve"> mice were induced by tamoxifen  and sacrificed as bone marrow donors 8 weeks later when they displayed PV phenotype. Wildtype donor mice (</w:t>
      </w:r>
      <w:r w:rsidRPr="00A12603">
        <w:rPr>
          <w:rFonts w:ascii="Arial" w:hAnsi="Arial" w:cs="Arial"/>
          <w:i/>
          <w:color w:val="000000" w:themeColor="text1"/>
          <w:sz w:val="22"/>
          <w:szCs w:val="22"/>
          <w:lang w:val="en-US"/>
        </w:rPr>
        <w:t>WT</w:t>
      </w:r>
      <w:r w:rsidRPr="00A12603">
        <w:rPr>
          <w:rFonts w:ascii="Arial" w:hAnsi="Arial" w:cs="Arial"/>
          <w:color w:val="000000" w:themeColor="text1"/>
          <w:sz w:val="22"/>
          <w:szCs w:val="22"/>
          <w:lang w:val="en-US"/>
        </w:rPr>
        <w:t xml:space="preserve">) treated with tamoxifen served as controls. Four weeks after transplantation, blood counts were performed in the </w:t>
      </w:r>
      <w:r w:rsidRPr="00A12603">
        <w:rPr>
          <w:rFonts w:ascii="Arial" w:hAnsi="Arial" w:cs="Arial"/>
          <w:color w:val="000000" w:themeColor="text1"/>
          <w:sz w:val="22"/>
          <w:szCs w:val="22"/>
          <w:lang w:val="en-US"/>
        </w:rPr>
        <w:lastRenderedPageBreak/>
        <w:t xml:space="preserve">recipients (time point 0). The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and </w:t>
      </w:r>
      <w:r w:rsidRPr="00A12603">
        <w:rPr>
          <w:rFonts w:ascii="Arial" w:hAnsi="Arial" w:cs="Arial"/>
          <w:i/>
          <w:color w:val="000000" w:themeColor="text1"/>
          <w:sz w:val="22"/>
          <w:szCs w:val="22"/>
          <w:lang w:val="en-US"/>
        </w:rPr>
        <w:t>E12</w:t>
      </w:r>
      <w:r w:rsidRPr="00A12603">
        <w:rPr>
          <w:rFonts w:ascii="Arial" w:hAnsi="Arial" w:cs="Arial"/>
          <w:color w:val="000000" w:themeColor="text1"/>
          <w:sz w:val="22"/>
          <w:szCs w:val="22"/>
          <w:lang w:val="en-US"/>
        </w:rPr>
        <w:t xml:space="preserve"> mice already displayed elevated hemoglobin levels and were randomized in groups to be either placed on iron deficient diet (5mg iron/kg food) or iron deficient diet combined with phlebotomy, or on control diet supplemented with iron (200mg iron/kg food). We noted that the mice initially had difficulties with the switch to iron deficient diet, </w:t>
      </w:r>
      <w:r>
        <w:rPr>
          <w:rFonts w:ascii="Arial" w:hAnsi="Arial" w:cs="Arial"/>
          <w:color w:val="000000" w:themeColor="text1"/>
          <w:sz w:val="22"/>
          <w:szCs w:val="22"/>
          <w:lang w:val="en-US"/>
        </w:rPr>
        <w:t>which</w:t>
      </w:r>
      <w:r w:rsidRPr="00A12603">
        <w:rPr>
          <w:rFonts w:ascii="Arial" w:hAnsi="Arial" w:cs="Arial"/>
          <w:color w:val="000000" w:themeColor="text1"/>
          <w:sz w:val="22"/>
          <w:szCs w:val="22"/>
          <w:lang w:val="en-US"/>
        </w:rPr>
        <w:t xml:space="preserve"> resulted in a drop in body weight in the first 2 weeks, followed by normalization to the initial values after the mice became adapted to the new chow (Figure </w:t>
      </w:r>
      <w:r w:rsidR="004B0BA9">
        <w:rPr>
          <w:rFonts w:ascii="Arial" w:hAnsi="Arial" w:cs="Arial"/>
          <w:color w:val="000000" w:themeColor="text1"/>
          <w:sz w:val="22"/>
          <w:szCs w:val="22"/>
          <w:lang w:val="en-US"/>
        </w:rPr>
        <w:t>34</w:t>
      </w:r>
      <w:r w:rsidRPr="00A12603">
        <w:rPr>
          <w:rFonts w:ascii="Arial" w:hAnsi="Arial" w:cs="Arial"/>
          <w:color w:val="000000" w:themeColor="text1"/>
          <w:sz w:val="22"/>
          <w:szCs w:val="22"/>
          <w:lang w:val="en-US"/>
        </w:rPr>
        <w:t>B).</w:t>
      </w:r>
    </w:p>
    <w:p w14:paraId="6CF0EE5C" w14:textId="77777777" w:rsidR="00A12603" w:rsidRPr="00A12603" w:rsidRDefault="00A12603" w:rsidP="00A12603">
      <w:pPr>
        <w:spacing w:line="360" w:lineRule="auto"/>
        <w:jc w:val="both"/>
        <w:rPr>
          <w:rFonts w:ascii="Arial" w:hAnsi="Arial" w:cs="Arial"/>
          <w:color w:val="000000" w:themeColor="text1"/>
          <w:sz w:val="22"/>
          <w:szCs w:val="22"/>
          <w:lang w:val="en-US"/>
        </w:rPr>
      </w:pP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mice developed thrombocytosis within 8 weeks after transplantation, while </w:t>
      </w:r>
      <w:r w:rsidRPr="00A12603">
        <w:rPr>
          <w:rFonts w:ascii="Arial" w:hAnsi="Arial" w:cs="Arial"/>
          <w:i/>
          <w:color w:val="000000" w:themeColor="text1"/>
          <w:sz w:val="22"/>
          <w:szCs w:val="22"/>
          <w:lang w:val="en-US"/>
        </w:rPr>
        <w:t>E12</w:t>
      </w:r>
      <w:r w:rsidRPr="00A12603">
        <w:rPr>
          <w:rFonts w:ascii="Arial" w:hAnsi="Arial" w:cs="Arial"/>
          <w:color w:val="000000" w:themeColor="text1"/>
          <w:sz w:val="22"/>
          <w:szCs w:val="22"/>
          <w:lang w:val="en-US"/>
        </w:rPr>
        <w:t xml:space="preserve"> and </w:t>
      </w:r>
      <w:r w:rsidRPr="00A12603">
        <w:rPr>
          <w:rFonts w:ascii="Arial" w:hAnsi="Arial" w:cs="Arial"/>
          <w:i/>
          <w:color w:val="000000" w:themeColor="text1"/>
          <w:sz w:val="22"/>
          <w:szCs w:val="22"/>
          <w:lang w:val="en-US"/>
        </w:rPr>
        <w:t>WT</w:t>
      </w:r>
      <w:r w:rsidRPr="00A12603">
        <w:rPr>
          <w:rFonts w:ascii="Arial" w:hAnsi="Arial" w:cs="Arial"/>
          <w:color w:val="000000" w:themeColor="text1"/>
          <w:sz w:val="22"/>
          <w:szCs w:val="22"/>
          <w:lang w:val="en-US"/>
        </w:rPr>
        <w:t xml:space="preserve"> mice, as expected, maintained platelet counts in the normal range (Figure </w:t>
      </w:r>
      <w:r w:rsidR="004B0BA9">
        <w:rPr>
          <w:rFonts w:ascii="Arial" w:hAnsi="Arial" w:cs="Arial"/>
          <w:color w:val="000000" w:themeColor="text1"/>
          <w:sz w:val="22"/>
          <w:szCs w:val="22"/>
          <w:lang w:val="en-US"/>
        </w:rPr>
        <w:t>34</w:t>
      </w:r>
      <w:r w:rsidRPr="00A12603">
        <w:rPr>
          <w:rFonts w:ascii="Arial" w:hAnsi="Arial" w:cs="Arial"/>
          <w:color w:val="000000" w:themeColor="text1"/>
          <w:sz w:val="22"/>
          <w:szCs w:val="22"/>
          <w:lang w:val="en-US"/>
        </w:rPr>
        <w:t xml:space="preserve">C).  Iron deficient diet increased platelet counts and megakaryocyte numbers in bone marrow in mice of all three genotypes compared with control diet, and this increase was further accentuated by additional phlebotomy (Figure </w:t>
      </w:r>
      <w:r w:rsidR="004B0BA9">
        <w:rPr>
          <w:rFonts w:ascii="Arial" w:hAnsi="Arial" w:cs="Arial"/>
          <w:color w:val="000000" w:themeColor="text1"/>
          <w:sz w:val="22"/>
          <w:szCs w:val="22"/>
          <w:lang w:val="en-US"/>
        </w:rPr>
        <w:t>34</w:t>
      </w:r>
      <w:r w:rsidRPr="00A12603">
        <w:rPr>
          <w:rFonts w:ascii="Arial" w:hAnsi="Arial" w:cs="Arial"/>
          <w:color w:val="000000" w:themeColor="text1"/>
          <w:sz w:val="22"/>
          <w:szCs w:val="22"/>
          <w:lang w:val="en-US"/>
        </w:rPr>
        <w:t xml:space="preserve">C and </w:t>
      </w:r>
      <w:r w:rsidR="004B0BA9">
        <w:rPr>
          <w:rFonts w:ascii="Arial" w:hAnsi="Arial" w:cs="Arial"/>
          <w:color w:val="000000" w:themeColor="text1"/>
          <w:sz w:val="22"/>
          <w:szCs w:val="22"/>
          <w:lang w:val="en-US"/>
        </w:rPr>
        <w:t>34</w:t>
      </w:r>
      <w:r w:rsidRPr="00A12603">
        <w:rPr>
          <w:rFonts w:ascii="Arial" w:hAnsi="Arial" w:cs="Arial"/>
          <w:color w:val="000000" w:themeColor="text1"/>
          <w:sz w:val="22"/>
          <w:szCs w:val="22"/>
          <w:lang w:val="en-US"/>
        </w:rPr>
        <w:t xml:space="preserve">D, left panel). The increase in platelet counts and megakaryocyte numbers in </w:t>
      </w:r>
      <w:r w:rsidRPr="00A12603">
        <w:rPr>
          <w:rFonts w:ascii="Arial" w:hAnsi="Arial" w:cs="Arial"/>
          <w:i/>
          <w:color w:val="000000" w:themeColor="text1"/>
          <w:sz w:val="22"/>
          <w:szCs w:val="22"/>
          <w:lang w:val="en-US"/>
        </w:rPr>
        <w:t>WT</w:t>
      </w:r>
      <w:r w:rsidRPr="00A12603">
        <w:rPr>
          <w:rFonts w:ascii="Arial" w:hAnsi="Arial" w:cs="Arial"/>
          <w:color w:val="000000" w:themeColor="text1"/>
          <w:sz w:val="22"/>
          <w:szCs w:val="22"/>
          <w:lang w:val="en-US"/>
        </w:rPr>
        <w:t xml:space="preserve"> and </w:t>
      </w:r>
      <w:r w:rsidRPr="00A12603">
        <w:rPr>
          <w:rFonts w:ascii="Arial" w:hAnsi="Arial" w:cs="Arial"/>
          <w:i/>
          <w:color w:val="000000" w:themeColor="text1"/>
          <w:sz w:val="22"/>
          <w:szCs w:val="22"/>
          <w:lang w:val="en-US"/>
        </w:rPr>
        <w:t>E12</w:t>
      </w:r>
      <w:r w:rsidRPr="00A12603">
        <w:rPr>
          <w:rFonts w:ascii="Arial" w:hAnsi="Arial" w:cs="Arial"/>
          <w:color w:val="000000" w:themeColor="text1"/>
          <w:sz w:val="22"/>
          <w:szCs w:val="22"/>
          <w:lang w:val="en-US"/>
        </w:rPr>
        <w:t xml:space="preserve"> mice inversely correlated with decrease in </w:t>
      </w:r>
      <w:proofErr w:type="spellStart"/>
      <w:r w:rsidRPr="00A12603">
        <w:rPr>
          <w:rFonts w:ascii="Arial" w:hAnsi="Arial" w:cs="Arial"/>
          <w:color w:val="000000" w:themeColor="text1"/>
          <w:sz w:val="22"/>
          <w:szCs w:val="22"/>
          <w:lang w:val="en-US"/>
        </w:rPr>
        <w:t>Tpo</w:t>
      </w:r>
      <w:proofErr w:type="spellEnd"/>
      <w:r w:rsidRPr="00A12603">
        <w:rPr>
          <w:rFonts w:ascii="Arial" w:hAnsi="Arial" w:cs="Arial"/>
          <w:color w:val="000000" w:themeColor="text1"/>
          <w:sz w:val="22"/>
          <w:szCs w:val="22"/>
          <w:lang w:val="en-US"/>
        </w:rPr>
        <w:t xml:space="preserve"> concentrations in bone marrow (Figure </w:t>
      </w:r>
      <w:r w:rsidR="004B0BA9">
        <w:rPr>
          <w:rFonts w:ascii="Arial" w:hAnsi="Arial" w:cs="Arial"/>
          <w:color w:val="000000" w:themeColor="text1"/>
          <w:sz w:val="22"/>
          <w:szCs w:val="22"/>
          <w:lang w:val="en-US"/>
        </w:rPr>
        <w:t>34</w:t>
      </w:r>
      <w:r w:rsidRPr="00A12603">
        <w:rPr>
          <w:rFonts w:ascii="Arial" w:hAnsi="Arial" w:cs="Arial"/>
          <w:color w:val="000000" w:themeColor="text1"/>
          <w:sz w:val="22"/>
          <w:szCs w:val="22"/>
          <w:lang w:val="en-US"/>
        </w:rPr>
        <w:t>D, right panel)</w:t>
      </w:r>
      <w:r>
        <w:rPr>
          <w:rFonts w:ascii="Arial" w:hAnsi="Arial" w:cs="Arial"/>
          <w:color w:val="000000" w:themeColor="text1"/>
          <w:sz w:val="22"/>
          <w:szCs w:val="22"/>
          <w:lang w:val="en-US"/>
        </w:rPr>
        <w:t xml:space="preserve">. </w:t>
      </w:r>
      <w:r w:rsidRPr="00A12603">
        <w:rPr>
          <w:rFonts w:ascii="Arial" w:hAnsi="Arial" w:cs="Arial"/>
          <w:color w:val="000000" w:themeColor="text1"/>
          <w:sz w:val="22"/>
          <w:szCs w:val="22"/>
          <w:lang w:val="en-US"/>
        </w:rPr>
        <w:t xml:space="preserve">In contrast,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mice maintained low </w:t>
      </w:r>
      <w:proofErr w:type="spellStart"/>
      <w:r w:rsidRPr="00A12603">
        <w:rPr>
          <w:rFonts w:ascii="Arial" w:hAnsi="Arial" w:cs="Arial"/>
          <w:color w:val="000000" w:themeColor="text1"/>
          <w:sz w:val="22"/>
          <w:szCs w:val="22"/>
          <w:lang w:val="en-US"/>
        </w:rPr>
        <w:t>Tpo</w:t>
      </w:r>
      <w:proofErr w:type="spellEnd"/>
      <w:r w:rsidRPr="00A12603">
        <w:rPr>
          <w:rFonts w:ascii="Arial" w:hAnsi="Arial" w:cs="Arial"/>
          <w:color w:val="000000" w:themeColor="text1"/>
          <w:sz w:val="22"/>
          <w:szCs w:val="22"/>
          <w:lang w:val="en-US"/>
        </w:rPr>
        <w:t xml:space="preserve"> irrespective of the treatment group, which is explained by very high baseline platelet and megakaryocyte numbers already on control diet</w:t>
      </w:r>
      <w:r>
        <w:rPr>
          <w:rFonts w:ascii="Arial" w:hAnsi="Arial" w:cs="Arial"/>
          <w:color w:val="000000" w:themeColor="text1"/>
          <w:sz w:val="22"/>
          <w:szCs w:val="22"/>
          <w:lang w:val="en-US"/>
        </w:rPr>
        <w:t>.</w:t>
      </w:r>
    </w:p>
    <w:p w14:paraId="71F523C0" w14:textId="77777777" w:rsidR="00A12603" w:rsidRPr="00A12603" w:rsidRDefault="00A12603" w:rsidP="00A12603">
      <w:pPr>
        <w:spacing w:line="360" w:lineRule="auto"/>
        <w:jc w:val="both"/>
        <w:rPr>
          <w:rFonts w:ascii="Arial" w:hAnsi="Arial" w:cs="Arial"/>
          <w:color w:val="000000" w:themeColor="text1"/>
          <w:sz w:val="22"/>
          <w:szCs w:val="22"/>
          <w:lang w:val="en-US"/>
        </w:rPr>
      </w:pPr>
      <w:r w:rsidRPr="00A12603">
        <w:rPr>
          <w:rFonts w:ascii="Arial" w:hAnsi="Arial" w:cs="Arial"/>
          <w:color w:val="000000" w:themeColor="text1"/>
          <w:sz w:val="22"/>
          <w:szCs w:val="22"/>
          <w:lang w:val="en-US"/>
        </w:rPr>
        <w:t xml:space="preserve">Mice on iron deficient diet also showed the expected decrease in hemoglobin and red cell parameters in peripheral blood (Figure </w:t>
      </w:r>
      <w:r w:rsidR="004B0BA9">
        <w:rPr>
          <w:rFonts w:ascii="Arial" w:hAnsi="Arial" w:cs="Arial"/>
          <w:color w:val="000000" w:themeColor="text1"/>
          <w:sz w:val="22"/>
          <w:szCs w:val="22"/>
          <w:lang w:val="en-US"/>
        </w:rPr>
        <w:t>34</w:t>
      </w:r>
      <w:r w:rsidRPr="00A12603">
        <w:rPr>
          <w:rFonts w:ascii="Arial" w:hAnsi="Arial" w:cs="Arial"/>
          <w:color w:val="000000" w:themeColor="text1"/>
          <w:sz w:val="22"/>
          <w:szCs w:val="22"/>
          <w:lang w:val="en-US"/>
        </w:rPr>
        <w:t xml:space="preserve">E). On iron deficient diet combined with phlebotomies, anemia developed in all three genotypes, but was most severe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mice and therefore, this group had to be terminated already after 8 weeks of treatment. </w:t>
      </w:r>
      <w:r w:rsidRPr="00A12603">
        <w:rPr>
          <w:rFonts w:ascii="Arial" w:hAnsi="Arial" w:cs="Arial"/>
          <w:i/>
          <w:color w:val="000000" w:themeColor="text1"/>
          <w:sz w:val="22"/>
          <w:szCs w:val="22"/>
          <w:lang w:val="en-US"/>
        </w:rPr>
        <w:t>E12</w:t>
      </w:r>
      <w:r w:rsidRPr="00A12603">
        <w:rPr>
          <w:rFonts w:ascii="Arial" w:hAnsi="Arial" w:cs="Arial"/>
          <w:color w:val="000000" w:themeColor="text1"/>
          <w:sz w:val="22"/>
          <w:szCs w:val="22"/>
          <w:lang w:val="en-US"/>
        </w:rPr>
        <w:t xml:space="preserve"> mice were more resistant to iron deficient diet and after 12 weeks still maintained normal hemoglobin levels. The very low erythrocyte indexes, </w:t>
      </w:r>
      <w:r w:rsidR="00F64751" w:rsidRPr="00A12603">
        <w:rPr>
          <w:rFonts w:ascii="Arial" w:hAnsi="Arial" w:cs="Arial"/>
          <w:color w:val="000000" w:themeColor="text1"/>
          <w:sz w:val="22"/>
          <w:szCs w:val="22"/>
          <w:lang w:val="en-US"/>
        </w:rPr>
        <w:t>i.e.,</w:t>
      </w:r>
      <w:r w:rsidRPr="00A12603">
        <w:rPr>
          <w:rFonts w:ascii="Arial" w:hAnsi="Arial" w:cs="Arial"/>
          <w:color w:val="000000" w:themeColor="text1"/>
          <w:sz w:val="22"/>
          <w:szCs w:val="22"/>
          <w:lang w:val="en-US"/>
        </w:rPr>
        <w:t xml:space="preserve"> mean corpuscular volume (MCV) and mean corpuscular hemoglobin (MCH), show that even on control diet, with 200 mg iron/kg food, both MPN models became iron deficient after MPN hematopoiesis engrafted and erythropoiesis fully expanded.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mice, MCV and MCH further decreased when exposed to diet plus phlebotomy, whereas </w:t>
      </w:r>
      <w:r w:rsidRPr="00A12603">
        <w:rPr>
          <w:rFonts w:ascii="Arial" w:hAnsi="Arial" w:cs="Arial"/>
          <w:i/>
          <w:color w:val="000000" w:themeColor="text1"/>
          <w:sz w:val="22"/>
          <w:szCs w:val="22"/>
          <w:lang w:val="en-US"/>
        </w:rPr>
        <w:t>E12</w:t>
      </w:r>
      <w:r w:rsidRPr="00A12603">
        <w:rPr>
          <w:rFonts w:ascii="Arial" w:hAnsi="Arial" w:cs="Arial"/>
          <w:color w:val="000000" w:themeColor="text1"/>
          <w:sz w:val="22"/>
          <w:szCs w:val="22"/>
          <w:lang w:val="en-US"/>
        </w:rPr>
        <w:t xml:space="preserve"> mice showed only minimal decrease in MCH (Figure </w:t>
      </w:r>
      <w:r w:rsidR="004B0BA9">
        <w:rPr>
          <w:rFonts w:ascii="Arial" w:hAnsi="Arial" w:cs="Arial"/>
          <w:color w:val="000000" w:themeColor="text1"/>
          <w:sz w:val="22"/>
          <w:szCs w:val="22"/>
          <w:lang w:val="en-US"/>
        </w:rPr>
        <w:t>34</w:t>
      </w:r>
      <w:r w:rsidRPr="00A12603">
        <w:rPr>
          <w:rFonts w:ascii="Arial" w:hAnsi="Arial" w:cs="Arial"/>
          <w:color w:val="000000" w:themeColor="text1"/>
          <w:sz w:val="22"/>
          <w:szCs w:val="22"/>
          <w:lang w:val="en-US"/>
        </w:rPr>
        <w:t>E. lower panel).</w:t>
      </w:r>
    </w:p>
    <w:p w14:paraId="64695EFB" w14:textId="77777777" w:rsidR="00A12603" w:rsidRPr="00A12603" w:rsidRDefault="00A12603" w:rsidP="00A12603">
      <w:pPr>
        <w:spacing w:line="360" w:lineRule="auto"/>
        <w:jc w:val="both"/>
        <w:rPr>
          <w:rFonts w:ascii="Arial" w:hAnsi="Arial" w:cs="Arial"/>
          <w:color w:val="000000" w:themeColor="text1"/>
          <w:sz w:val="22"/>
          <w:szCs w:val="22"/>
          <w:lang w:val="en-US"/>
        </w:rPr>
      </w:pPr>
      <w:r w:rsidRPr="00A12603">
        <w:rPr>
          <w:rFonts w:ascii="Arial" w:hAnsi="Arial" w:cs="Arial"/>
          <w:color w:val="000000" w:themeColor="text1"/>
          <w:sz w:val="22"/>
          <w:szCs w:val="22"/>
          <w:lang w:val="en-US"/>
        </w:rPr>
        <w:t xml:space="preserve">Analysis of iron parameters and regulatory cytokines is shown in Figure </w:t>
      </w:r>
      <w:r w:rsidR="004B0BA9">
        <w:rPr>
          <w:rFonts w:ascii="Arial" w:hAnsi="Arial" w:cs="Arial"/>
          <w:color w:val="000000" w:themeColor="text1"/>
          <w:sz w:val="22"/>
          <w:szCs w:val="22"/>
          <w:lang w:val="en-US"/>
        </w:rPr>
        <w:t>34</w:t>
      </w:r>
      <w:r w:rsidRPr="00A12603">
        <w:rPr>
          <w:rFonts w:ascii="Arial" w:hAnsi="Arial" w:cs="Arial"/>
          <w:color w:val="000000" w:themeColor="text1"/>
          <w:sz w:val="22"/>
          <w:szCs w:val="22"/>
          <w:lang w:val="en-US"/>
        </w:rPr>
        <w:t xml:space="preserve">F. </w:t>
      </w:r>
      <w:r w:rsidRPr="00A12603">
        <w:rPr>
          <w:rFonts w:ascii="Arial" w:hAnsi="Arial" w:cs="Arial"/>
          <w:i/>
          <w:color w:val="000000" w:themeColor="text1"/>
          <w:sz w:val="22"/>
          <w:szCs w:val="22"/>
          <w:lang w:val="en-US"/>
        </w:rPr>
        <w:t>WT</w:t>
      </w:r>
      <w:r w:rsidRPr="00A12603">
        <w:rPr>
          <w:rFonts w:ascii="Arial" w:hAnsi="Arial" w:cs="Arial"/>
          <w:color w:val="000000" w:themeColor="text1"/>
          <w:sz w:val="22"/>
          <w:szCs w:val="22"/>
          <w:lang w:val="en-US"/>
        </w:rPr>
        <w:t xml:space="preserve"> mice after 12 weeks on iron deficient diet showed the expected decrease in liver iron, an indicator of total body iron, and lower serum iron levels, accompanied by increase in total iron binding capacity (TIBC) and decrease in transferrin saturation (Figure </w:t>
      </w:r>
      <w:r w:rsidR="004B0BA9">
        <w:rPr>
          <w:rFonts w:ascii="Arial" w:hAnsi="Arial" w:cs="Arial"/>
          <w:color w:val="000000" w:themeColor="text1"/>
          <w:sz w:val="22"/>
          <w:szCs w:val="22"/>
          <w:lang w:val="en-US"/>
        </w:rPr>
        <w:t>34</w:t>
      </w:r>
      <w:r w:rsidRPr="00A12603">
        <w:rPr>
          <w:rFonts w:ascii="Arial" w:hAnsi="Arial" w:cs="Arial"/>
          <w:color w:val="000000" w:themeColor="text1"/>
          <w:sz w:val="22"/>
          <w:szCs w:val="22"/>
          <w:lang w:val="en-US"/>
        </w:rPr>
        <w:t xml:space="preserve">F).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mice on control diet already showed depletion of liver iron stores, but serum iron decreased only on iron deficient diet plus phlebotomy, in parallel with decrease in MCV and MCH. </w:t>
      </w:r>
      <w:r w:rsidRPr="00A12603">
        <w:rPr>
          <w:rFonts w:ascii="Arial" w:hAnsi="Arial" w:cs="Arial"/>
          <w:i/>
          <w:color w:val="000000" w:themeColor="text1"/>
          <w:sz w:val="22"/>
          <w:szCs w:val="22"/>
          <w:lang w:val="en-US"/>
        </w:rPr>
        <w:t>E12</w:t>
      </w:r>
      <w:r w:rsidRPr="00A12603">
        <w:rPr>
          <w:rFonts w:ascii="Arial" w:hAnsi="Arial" w:cs="Arial"/>
          <w:color w:val="000000" w:themeColor="text1"/>
          <w:sz w:val="22"/>
          <w:szCs w:val="22"/>
          <w:lang w:val="en-US"/>
        </w:rPr>
        <w:t xml:space="preserve"> mice maintained almost normal liver iron levels and high hemoglobin on control diet, but on iron deficient diet </w:t>
      </w:r>
      <w:r w:rsidRPr="00A12603">
        <w:rPr>
          <w:rFonts w:ascii="Arial" w:eastAsia="MS Gothic" w:hAnsi="Arial" w:cs="Arial"/>
          <w:color w:val="000000"/>
          <w:sz w:val="22"/>
          <w:szCs w:val="22"/>
          <w:lang w:val="en-US"/>
        </w:rPr>
        <w:t>±</w:t>
      </w:r>
      <w:r w:rsidRPr="00A12603">
        <w:rPr>
          <w:rFonts w:ascii="Arial" w:hAnsi="Arial" w:cs="Arial"/>
          <w:color w:val="000000" w:themeColor="text1"/>
          <w:sz w:val="22"/>
          <w:szCs w:val="22"/>
          <w:lang w:val="en-US"/>
        </w:rPr>
        <w:t xml:space="preserve"> phlebotomy showed depletion of liver iron stores accompanied by decrease in hemoglobin. As expected for PV, </w:t>
      </w:r>
      <w:proofErr w:type="spellStart"/>
      <w:r w:rsidRPr="00A12603">
        <w:rPr>
          <w:rFonts w:ascii="Arial" w:hAnsi="Arial" w:cs="Arial"/>
          <w:color w:val="000000" w:themeColor="text1"/>
          <w:sz w:val="22"/>
          <w:szCs w:val="22"/>
          <w:lang w:val="en-US"/>
        </w:rPr>
        <w:t>Epo</w:t>
      </w:r>
      <w:proofErr w:type="spellEnd"/>
      <w:r w:rsidRPr="00A12603">
        <w:rPr>
          <w:rFonts w:ascii="Arial" w:hAnsi="Arial" w:cs="Arial"/>
          <w:color w:val="000000" w:themeColor="text1"/>
          <w:sz w:val="22"/>
          <w:szCs w:val="22"/>
          <w:lang w:val="en-US"/>
        </w:rPr>
        <w:t xml:space="preserve"> levels were low and suppressed in </w:t>
      </w:r>
      <w:r w:rsidRPr="00A12603">
        <w:rPr>
          <w:rFonts w:ascii="Arial" w:hAnsi="Arial" w:cs="Arial"/>
          <w:i/>
          <w:color w:val="000000" w:themeColor="text1"/>
          <w:sz w:val="22"/>
          <w:szCs w:val="22"/>
          <w:lang w:val="en-US"/>
        </w:rPr>
        <w:lastRenderedPageBreak/>
        <w:t>Ki</w:t>
      </w:r>
      <w:r w:rsidRPr="00A12603">
        <w:rPr>
          <w:rFonts w:ascii="Arial" w:hAnsi="Arial" w:cs="Arial"/>
          <w:color w:val="000000" w:themeColor="text1"/>
          <w:sz w:val="22"/>
          <w:szCs w:val="22"/>
          <w:lang w:val="en-US"/>
        </w:rPr>
        <w:t xml:space="preserve"> and </w:t>
      </w:r>
      <w:r w:rsidRPr="00A12603">
        <w:rPr>
          <w:rFonts w:ascii="Arial" w:hAnsi="Arial" w:cs="Arial"/>
          <w:i/>
          <w:color w:val="000000" w:themeColor="text1"/>
          <w:sz w:val="22"/>
          <w:szCs w:val="22"/>
          <w:lang w:val="en-US"/>
        </w:rPr>
        <w:t>E12</w:t>
      </w:r>
      <w:r w:rsidRPr="00A12603">
        <w:rPr>
          <w:rFonts w:ascii="Arial" w:hAnsi="Arial" w:cs="Arial"/>
          <w:color w:val="000000" w:themeColor="text1"/>
          <w:sz w:val="22"/>
          <w:szCs w:val="22"/>
          <w:lang w:val="en-US"/>
        </w:rPr>
        <w:t xml:space="preserve"> mice on control diet, but </w:t>
      </w:r>
      <w:proofErr w:type="spellStart"/>
      <w:r w:rsidRPr="00A12603">
        <w:rPr>
          <w:rFonts w:ascii="Arial" w:hAnsi="Arial" w:cs="Arial"/>
          <w:color w:val="000000" w:themeColor="text1"/>
          <w:sz w:val="22"/>
          <w:szCs w:val="22"/>
          <w:lang w:val="en-US"/>
        </w:rPr>
        <w:t>Epo</w:t>
      </w:r>
      <w:proofErr w:type="spellEnd"/>
      <w:r w:rsidRPr="00A12603">
        <w:rPr>
          <w:rFonts w:ascii="Arial" w:hAnsi="Arial" w:cs="Arial"/>
          <w:color w:val="000000" w:themeColor="text1"/>
          <w:sz w:val="22"/>
          <w:szCs w:val="22"/>
          <w:lang w:val="en-US"/>
        </w:rPr>
        <w:t xml:space="preserve"> increased in response to lowering hemoglobin levels on iron deficient diet </w:t>
      </w:r>
      <w:r w:rsidRPr="00A12603">
        <w:rPr>
          <w:rFonts w:ascii="Arial" w:eastAsia="MS Gothic" w:hAnsi="Arial" w:cs="Arial"/>
          <w:color w:val="000000"/>
          <w:sz w:val="22"/>
          <w:szCs w:val="22"/>
          <w:lang w:val="en-US"/>
        </w:rPr>
        <w:t>±</w:t>
      </w:r>
      <w:r w:rsidRPr="00A12603">
        <w:rPr>
          <w:rFonts w:ascii="Arial" w:hAnsi="Arial" w:cs="Arial"/>
          <w:color w:val="000000" w:themeColor="text1"/>
          <w:sz w:val="22"/>
          <w:szCs w:val="22"/>
          <w:lang w:val="en-US"/>
        </w:rPr>
        <w:t xml:space="preserve"> phlebotomy. </w:t>
      </w:r>
      <w:proofErr w:type="spellStart"/>
      <w:r w:rsidRPr="00A12603">
        <w:rPr>
          <w:rFonts w:ascii="Arial" w:hAnsi="Arial" w:cs="Arial"/>
          <w:color w:val="000000" w:themeColor="text1"/>
          <w:sz w:val="22"/>
          <w:szCs w:val="22"/>
          <w:lang w:val="en-US"/>
        </w:rPr>
        <w:t>Erythroferron</w:t>
      </w:r>
      <w:proofErr w:type="spellEnd"/>
      <w:r w:rsidRPr="00A12603">
        <w:rPr>
          <w:rFonts w:ascii="Arial" w:hAnsi="Arial" w:cs="Arial"/>
          <w:color w:val="000000" w:themeColor="text1"/>
          <w:sz w:val="22"/>
          <w:szCs w:val="22"/>
          <w:lang w:val="en-US"/>
        </w:rPr>
        <w:t xml:space="preserve"> levels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and </w:t>
      </w:r>
      <w:r w:rsidRPr="00A12603">
        <w:rPr>
          <w:rFonts w:ascii="Arial" w:hAnsi="Arial" w:cs="Arial"/>
          <w:i/>
          <w:color w:val="000000" w:themeColor="text1"/>
          <w:sz w:val="22"/>
          <w:szCs w:val="22"/>
          <w:lang w:val="en-US"/>
        </w:rPr>
        <w:t>E12</w:t>
      </w:r>
      <w:r w:rsidRPr="00A12603">
        <w:rPr>
          <w:rFonts w:ascii="Arial" w:hAnsi="Arial" w:cs="Arial"/>
          <w:color w:val="000000" w:themeColor="text1"/>
          <w:sz w:val="22"/>
          <w:szCs w:val="22"/>
          <w:lang w:val="en-US"/>
        </w:rPr>
        <w:t xml:space="preserve"> mice on control diet were elevated despite low </w:t>
      </w:r>
      <w:proofErr w:type="spellStart"/>
      <w:r w:rsidRPr="00A12603">
        <w:rPr>
          <w:rFonts w:ascii="Arial" w:hAnsi="Arial" w:cs="Arial"/>
          <w:color w:val="000000" w:themeColor="text1"/>
          <w:sz w:val="22"/>
          <w:szCs w:val="22"/>
          <w:lang w:val="en-US"/>
        </w:rPr>
        <w:t>Epo</w:t>
      </w:r>
      <w:proofErr w:type="spellEnd"/>
      <w:r w:rsidRPr="00A12603">
        <w:rPr>
          <w:rFonts w:ascii="Arial" w:hAnsi="Arial" w:cs="Arial"/>
          <w:color w:val="000000" w:themeColor="text1"/>
          <w:sz w:val="22"/>
          <w:szCs w:val="22"/>
          <w:lang w:val="en-US"/>
        </w:rPr>
        <w:t xml:space="preserve"> serum levels, likely due to increased </w:t>
      </w:r>
      <w:proofErr w:type="spellStart"/>
      <w:r w:rsidRPr="00A12603">
        <w:rPr>
          <w:rFonts w:ascii="Arial" w:hAnsi="Arial" w:cs="Arial"/>
          <w:color w:val="000000" w:themeColor="text1"/>
          <w:sz w:val="22"/>
          <w:szCs w:val="22"/>
          <w:lang w:val="en-US"/>
        </w:rPr>
        <w:t>Epo</w:t>
      </w:r>
      <w:proofErr w:type="spellEnd"/>
      <w:r w:rsidRPr="00A12603">
        <w:rPr>
          <w:rFonts w:ascii="Arial" w:hAnsi="Arial" w:cs="Arial"/>
          <w:color w:val="000000" w:themeColor="text1"/>
          <w:sz w:val="22"/>
          <w:szCs w:val="22"/>
          <w:lang w:val="en-US"/>
        </w:rPr>
        <w:t xml:space="preserve">-receptor signaling in erythroid progenitors expressing the mutant </w:t>
      </w:r>
      <w:r w:rsidRPr="00A12603">
        <w:rPr>
          <w:rFonts w:ascii="Arial" w:hAnsi="Arial" w:cs="Arial"/>
          <w:i/>
          <w:color w:val="000000" w:themeColor="text1"/>
          <w:sz w:val="22"/>
          <w:szCs w:val="22"/>
          <w:lang w:val="en-US"/>
        </w:rPr>
        <w:t>JAK2</w:t>
      </w:r>
      <w:r w:rsidRPr="00A12603">
        <w:rPr>
          <w:rFonts w:ascii="Arial" w:hAnsi="Arial" w:cs="Arial"/>
          <w:color w:val="000000" w:themeColor="text1"/>
          <w:sz w:val="22"/>
          <w:szCs w:val="22"/>
          <w:lang w:val="en-US"/>
        </w:rPr>
        <w:t xml:space="preserve">. As a consequence, Hepcidin levels were suppressed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and </w:t>
      </w:r>
      <w:r w:rsidRPr="00A12603">
        <w:rPr>
          <w:rFonts w:ascii="Arial" w:hAnsi="Arial" w:cs="Arial"/>
          <w:i/>
          <w:color w:val="000000" w:themeColor="text1"/>
          <w:sz w:val="22"/>
          <w:szCs w:val="22"/>
          <w:lang w:val="en-US"/>
        </w:rPr>
        <w:t>E12</w:t>
      </w:r>
      <w:r w:rsidRPr="00A12603">
        <w:rPr>
          <w:rFonts w:ascii="Arial" w:hAnsi="Arial" w:cs="Arial"/>
          <w:color w:val="000000" w:themeColor="text1"/>
          <w:sz w:val="22"/>
          <w:szCs w:val="22"/>
          <w:lang w:val="en-US"/>
        </w:rPr>
        <w:t xml:space="preserve"> mice irrespective of the diet, while in </w:t>
      </w:r>
      <w:r w:rsidRPr="00A12603">
        <w:rPr>
          <w:rFonts w:ascii="Arial" w:hAnsi="Arial" w:cs="Arial"/>
          <w:i/>
          <w:color w:val="000000" w:themeColor="text1"/>
          <w:sz w:val="22"/>
          <w:szCs w:val="22"/>
          <w:lang w:val="en-US"/>
        </w:rPr>
        <w:t>WT</w:t>
      </w:r>
      <w:r w:rsidRPr="00A12603">
        <w:rPr>
          <w:rFonts w:ascii="Arial" w:hAnsi="Arial" w:cs="Arial"/>
          <w:color w:val="000000" w:themeColor="text1"/>
          <w:sz w:val="22"/>
          <w:szCs w:val="22"/>
          <w:lang w:val="en-US"/>
        </w:rPr>
        <w:t xml:space="preserve"> mice increase in erythroferrone and decrease in Hepcidin was only seen on iron deficient diet </w:t>
      </w:r>
      <w:r w:rsidRPr="00A12603">
        <w:rPr>
          <w:rFonts w:ascii="Arial" w:eastAsia="MS Gothic" w:hAnsi="Arial" w:cs="Arial"/>
          <w:color w:val="000000"/>
          <w:sz w:val="22"/>
          <w:szCs w:val="22"/>
          <w:lang w:val="en-US"/>
        </w:rPr>
        <w:t>±</w:t>
      </w:r>
      <w:r w:rsidRPr="00A12603">
        <w:rPr>
          <w:rFonts w:ascii="Arial" w:hAnsi="Arial" w:cs="Arial"/>
          <w:color w:val="000000" w:themeColor="text1"/>
          <w:sz w:val="22"/>
          <w:szCs w:val="22"/>
          <w:lang w:val="en-US"/>
        </w:rPr>
        <w:t xml:space="preserve"> phlebotomy. Hemoglobin was lower and erythropoiesis expansion more limited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mice compared to </w:t>
      </w:r>
      <w:r w:rsidRPr="00A12603">
        <w:rPr>
          <w:rFonts w:ascii="Arial" w:hAnsi="Arial" w:cs="Arial"/>
          <w:i/>
          <w:color w:val="000000" w:themeColor="text1"/>
          <w:sz w:val="22"/>
          <w:szCs w:val="22"/>
          <w:lang w:val="en-US"/>
        </w:rPr>
        <w:t>E12</w:t>
      </w:r>
      <w:r w:rsidRPr="00A12603">
        <w:rPr>
          <w:rFonts w:ascii="Arial" w:hAnsi="Arial" w:cs="Arial"/>
          <w:color w:val="000000" w:themeColor="text1"/>
          <w:sz w:val="22"/>
          <w:szCs w:val="22"/>
          <w:lang w:val="en-US"/>
        </w:rPr>
        <w:t xml:space="preserve">, indicating a remarkable ability to compensate iron deficiency by </w:t>
      </w:r>
      <w:r w:rsidRPr="00A12603">
        <w:rPr>
          <w:rFonts w:ascii="Arial" w:hAnsi="Arial" w:cs="Arial"/>
          <w:i/>
          <w:color w:val="000000" w:themeColor="text1"/>
          <w:sz w:val="22"/>
          <w:szCs w:val="22"/>
          <w:lang w:val="en-US"/>
        </w:rPr>
        <w:t>E12</w:t>
      </w:r>
      <w:r w:rsidRPr="00A12603">
        <w:rPr>
          <w:rFonts w:ascii="Arial" w:hAnsi="Arial" w:cs="Arial"/>
          <w:color w:val="000000" w:themeColor="text1"/>
          <w:sz w:val="22"/>
          <w:szCs w:val="22"/>
          <w:lang w:val="en-US"/>
        </w:rPr>
        <w:t xml:space="preserve"> mice. Overall, iron deficiency induced reciprocal increase in platelet counts and decrease in hemoglobin levels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and in </w:t>
      </w:r>
      <w:r w:rsidRPr="00A12603">
        <w:rPr>
          <w:rFonts w:ascii="Arial" w:hAnsi="Arial" w:cs="Arial"/>
          <w:i/>
          <w:color w:val="000000" w:themeColor="text1"/>
          <w:sz w:val="22"/>
          <w:szCs w:val="22"/>
          <w:lang w:val="en-US"/>
        </w:rPr>
        <w:t>E12</w:t>
      </w:r>
      <w:r w:rsidRPr="00A12603">
        <w:rPr>
          <w:rFonts w:ascii="Arial" w:hAnsi="Arial" w:cs="Arial"/>
          <w:color w:val="000000" w:themeColor="text1"/>
          <w:sz w:val="22"/>
          <w:szCs w:val="22"/>
          <w:lang w:val="en-US"/>
        </w:rPr>
        <w:t xml:space="preserve"> mice. These results are compatible with the concept of iron-dependent switch towards an ET-like phenotype in MPN.</w:t>
      </w:r>
    </w:p>
    <w:p w14:paraId="396DA21E" w14:textId="77777777" w:rsidR="00A12603" w:rsidRDefault="00A12603" w:rsidP="00A12603">
      <w:pPr>
        <w:spacing w:line="360" w:lineRule="auto"/>
        <w:ind w:right="-205"/>
        <w:jc w:val="both"/>
        <w:rPr>
          <w:rFonts w:ascii="Arial" w:hAnsi="Arial" w:cs="Arial"/>
          <w:color w:val="000000" w:themeColor="text1"/>
          <w:sz w:val="22"/>
          <w:szCs w:val="22"/>
          <w:lang w:val="en-US"/>
        </w:rPr>
      </w:pPr>
    </w:p>
    <w:p w14:paraId="3DF1380F" w14:textId="77777777" w:rsidR="004B0BA9" w:rsidRDefault="004B0BA9" w:rsidP="00A12603">
      <w:pPr>
        <w:spacing w:line="360" w:lineRule="auto"/>
        <w:ind w:right="-205"/>
        <w:jc w:val="both"/>
        <w:rPr>
          <w:rFonts w:ascii="Arial" w:hAnsi="Arial" w:cs="Arial"/>
          <w:color w:val="000000" w:themeColor="text1"/>
          <w:sz w:val="22"/>
          <w:szCs w:val="22"/>
          <w:lang w:val="en-US"/>
        </w:rPr>
      </w:pPr>
      <w:r w:rsidRPr="004B0BA9">
        <w:rPr>
          <w:rFonts w:ascii="Arial" w:hAnsi="Arial" w:cs="Arial"/>
          <w:noProof/>
          <w:color w:val="000000" w:themeColor="text1"/>
          <w:sz w:val="22"/>
          <w:szCs w:val="22"/>
          <w:lang w:val="cs-CZ" w:eastAsia="cs-CZ"/>
        </w:rPr>
        <w:lastRenderedPageBreak/>
        <w:drawing>
          <wp:inline distT="0" distB="0" distL="0" distR="0" wp14:anchorId="31032C2F" wp14:editId="61C2C51D">
            <wp:extent cx="5395595" cy="7092979"/>
            <wp:effectExtent l="0" t="0" r="1905" b="6350"/>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Grafik 496"/>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395595" cy="7092979"/>
                    </a:xfrm>
                    <a:prstGeom prst="rect">
                      <a:avLst/>
                    </a:prstGeom>
                    <a:ln>
                      <a:noFill/>
                    </a:ln>
                    <a:extLst>
                      <a:ext uri="{53640926-AAD7-44D8-BBD7-CCE9431645EC}">
                        <a14:shadowObscured xmlns:a14="http://schemas.microsoft.com/office/drawing/2010/main"/>
                      </a:ext>
                    </a:extLst>
                  </pic:spPr>
                </pic:pic>
              </a:graphicData>
            </a:graphic>
          </wp:inline>
        </w:drawing>
      </w:r>
    </w:p>
    <w:p w14:paraId="6A006526" w14:textId="77777777" w:rsidR="004B0BA9" w:rsidRPr="004B0BA9" w:rsidRDefault="004B0BA9" w:rsidP="004B0BA9">
      <w:pPr>
        <w:spacing w:line="360" w:lineRule="auto"/>
        <w:jc w:val="both"/>
        <w:rPr>
          <w:rFonts w:ascii="Arial" w:hAnsi="Arial" w:cs="Arial"/>
          <w:sz w:val="22"/>
          <w:szCs w:val="22"/>
          <w:lang w:val="en-US"/>
        </w:rPr>
      </w:pPr>
      <w:r w:rsidRPr="004B0BA9">
        <w:rPr>
          <w:rFonts w:ascii="Arial" w:hAnsi="Arial" w:cs="Arial"/>
          <w:b/>
          <w:bCs/>
          <w:sz w:val="22"/>
          <w:szCs w:val="22"/>
          <w:lang w:val="en-US"/>
        </w:rPr>
        <w:t>Figure 34</w:t>
      </w:r>
      <w:r w:rsidRPr="004B0BA9">
        <w:rPr>
          <w:rFonts w:ascii="Arial" w:hAnsi="Arial" w:cs="Arial"/>
          <w:sz w:val="22"/>
          <w:szCs w:val="22"/>
          <w:lang w:val="en-US"/>
        </w:rPr>
        <w:t xml:space="preserve">: </w:t>
      </w:r>
      <w:r w:rsidRPr="004B0BA9">
        <w:rPr>
          <w:rFonts w:ascii="Arial" w:hAnsi="Arial" w:cs="Arial"/>
          <w:b/>
          <w:bCs/>
          <w:sz w:val="22"/>
          <w:szCs w:val="22"/>
          <w:lang w:val="en-US"/>
        </w:rPr>
        <w:t xml:space="preserve">Figure 1. Effects of iron deficiency on MPN phenotype. </w:t>
      </w:r>
      <w:r w:rsidRPr="004B0BA9">
        <w:rPr>
          <w:rFonts w:ascii="Arial" w:hAnsi="Arial" w:cs="Arial"/>
          <w:sz w:val="22"/>
          <w:szCs w:val="22"/>
          <w:lang w:val="en-US"/>
        </w:rPr>
        <w:t>(</w:t>
      </w:r>
      <w:r w:rsidRPr="004B0BA9">
        <w:rPr>
          <w:rFonts w:ascii="Arial" w:hAnsi="Arial" w:cs="Arial"/>
          <w:b/>
          <w:bCs/>
          <w:sz w:val="22"/>
          <w:szCs w:val="22"/>
          <w:lang w:val="en-US"/>
        </w:rPr>
        <w:t>A</w:t>
      </w:r>
      <w:r w:rsidRPr="004B0BA9">
        <w:rPr>
          <w:rFonts w:ascii="Arial" w:hAnsi="Arial" w:cs="Arial"/>
          <w:sz w:val="22"/>
          <w:szCs w:val="22"/>
          <w:lang w:val="en-US"/>
        </w:rPr>
        <w:t xml:space="preserve">) Schematic drawing of the </w:t>
      </w:r>
      <w:r w:rsidRPr="004B0BA9">
        <w:rPr>
          <w:rFonts w:ascii="Arial" w:hAnsi="Arial" w:cs="Arial"/>
          <w:color w:val="000000" w:themeColor="text1"/>
          <w:sz w:val="22"/>
          <w:szCs w:val="22"/>
          <w:lang w:val="en-US"/>
        </w:rPr>
        <w:t xml:space="preserve">experimental setup for the bone marrow transplantations and iron deficient regimens. </w:t>
      </w:r>
      <w:r w:rsidRPr="004B0BA9">
        <w:rPr>
          <w:rFonts w:ascii="Arial" w:hAnsi="Arial" w:cs="Arial"/>
          <w:sz w:val="22"/>
          <w:szCs w:val="22"/>
          <w:lang w:val="en-US"/>
        </w:rPr>
        <w:t>(</w:t>
      </w:r>
      <w:r w:rsidRPr="004B0BA9">
        <w:rPr>
          <w:rFonts w:ascii="Arial" w:hAnsi="Arial" w:cs="Arial"/>
          <w:b/>
          <w:bCs/>
          <w:sz w:val="22"/>
          <w:szCs w:val="22"/>
          <w:lang w:val="en-US"/>
        </w:rPr>
        <w:t>B</w:t>
      </w:r>
      <w:r w:rsidRPr="004B0BA9">
        <w:rPr>
          <w:rFonts w:ascii="Arial" w:hAnsi="Arial" w:cs="Arial"/>
          <w:sz w:val="22"/>
          <w:szCs w:val="22"/>
          <w:lang w:val="en-US"/>
        </w:rPr>
        <w:t xml:space="preserve">) </w:t>
      </w:r>
      <w:r w:rsidRPr="004B0BA9">
        <w:rPr>
          <w:rFonts w:ascii="Arial" w:hAnsi="Arial" w:cs="Arial"/>
          <w:color w:val="000000" w:themeColor="text1"/>
          <w:sz w:val="22"/>
          <w:szCs w:val="22"/>
          <w:lang w:val="en-US"/>
        </w:rPr>
        <w:t xml:space="preserve">Time course of body weight. C, control diet; ID, iron deficient diet; </w:t>
      </w:r>
      <w:proofErr w:type="spellStart"/>
      <w:r w:rsidRPr="004B0BA9">
        <w:rPr>
          <w:rFonts w:ascii="Arial" w:hAnsi="Arial" w:cs="Arial"/>
          <w:color w:val="000000" w:themeColor="text1"/>
          <w:sz w:val="22"/>
          <w:szCs w:val="22"/>
          <w:lang w:val="en-US"/>
        </w:rPr>
        <w:t>ID+Phl</w:t>
      </w:r>
      <w:proofErr w:type="spellEnd"/>
      <w:r w:rsidRPr="004B0BA9">
        <w:rPr>
          <w:rFonts w:ascii="Arial" w:hAnsi="Arial" w:cs="Arial"/>
          <w:color w:val="000000" w:themeColor="text1"/>
          <w:sz w:val="22"/>
          <w:szCs w:val="22"/>
          <w:lang w:val="en-US"/>
        </w:rPr>
        <w:t xml:space="preserve">, iron deficient diet plus phlebotomy.  </w:t>
      </w:r>
      <w:r w:rsidRPr="004B0BA9">
        <w:rPr>
          <w:rFonts w:ascii="Arial" w:hAnsi="Arial" w:cs="Arial"/>
          <w:sz w:val="22"/>
          <w:szCs w:val="22"/>
          <w:lang w:val="en-US"/>
        </w:rPr>
        <w:t>(</w:t>
      </w:r>
      <w:r w:rsidRPr="004B0BA9">
        <w:rPr>
          <w:rFonts w:ascii="Arial" w:hAnsi="Arial" w:cs="Arial"/>
          <w:b/>
          <w:bCs/>
          <w:sz w:val="22"/>
          <w:szCs w:val="22"/>
          <w:lang w:val="en-US"/>
        </w:rPr>
        <w:t>C</w:t>
      </w:r>
      <w:r w:rsidRPr="004B0BA9">
        <w:rPr>
          <w:rFonts w:ascii="Arial" w:hAnsi="Arial" w:cs="Arial"/>
          <w:sz w:val="22"/>
          <w:szCs w:val="22"/>
          <w:lang w:val="en-US"/>
        </w:rPr>
        <w:t>) Platelet counts of recipient mice (n = 8 mice per genotype) are shown at the indicated times. (</w:t>
      </w:r>
      <w:r w:rsidRPr="004B0BA9">
        <w:rPr>
          <w:rFonts w:ascii="Arial" w:hAnsi="Arial" w:cs="Arial"/>
          <w:b/>
          <w:bCs/>
          <w:sz w:val="22"/>
          <w:szCs w:val="22"/>
          <w:lang w:val="en-US"/>
        </w:rPr>
        <w:t>D</w:t>
      </w:r>
      <w:r w:rsidRPr="004B0BA9">
        <w:rPr>
          <w:rFonts w:ascii="Arial" w:hAnsi="Arial" w:cs="Arial"/>
          <w:sz w:val="22"/>
          <w:szCs w:val="22"/>
          <w:lang w:val="en-US"/>
        </w:rPr>
        <w:t xml:space="preserve">) </w:t>
      </w:r>
      <w:r>
        <w:rPr>
          <w:rFonts w:ascii="Arial" w:hAnsi="Arial" w:cs="Arial"/>
          <w:sz w:val="22"/>
          <w:szCs w:val="22"/>
          <w:lang w:val="en-US"/>
        </w:rPr>
        <w:t>Left</w:t>
      </w:r>
      <w:r w:rsidRPr="004B0BA9">
        <w:rPr>
          <w:rFonts w:ascii="Arial" w:hAnsi="Arial" w:cs="Arial"/>
          <w:sz w:val="22"/>
          <w:szCs w:val="22"/>
          <w:lang w:val="en-US"/>
        </w:rPr>
        <w:t xml:space="preserve"> panel shows numbers of megakaryocytes (</w:t>
      </w:r>
      <w:proofErr w:type="spellStart"/>
      <w:r w:rsidRPr="004B0BA9">
        <w:rPr>
          <w:rFonts w:ascii="Arial" w:hAnsi="Arial" w:cs="Arial"/>
          <w:sz w:val="22"/>
          <w:szCs w:val="22"/>
          <w:lang w:val="en-US"/>
        </w:rPr>
        <w:t>Mks</w:t>
      </w:r>
      <w:proofErr w:type="spellEnd"/>
      <w:r w:rsidRPr="004B0BA9">
        <w:rPr>
          <w:rFonts w:ascii="Arial" w:hAnsi="Arial" w:cs="Arial"/>
          <w:sz w:val="22"/>
          <w:szCs w:val="22"/>
          <w:lang w:val="en-US"/>
        </w:rPr>
        <w:t xml:space="preserve">) per 10 high power fields (HPF) counted in sternum sections of mice at 40x magnification. N = 3 mice per genotype and treatment group. </w:t>
      </w:r>
      <w:r>
        <w:rPr>
          <w:rFonts w:ascii="Arial" w:hAnsi="Arial" w:cs="Arial"/>
          <w:sz w:val="22"/>
          <w:szCs w:val="22"/>
          <w:lang w:val="en-US"/>
        </w:rPr>
        <w:t xml:space="preserve">Right panel </w:t>
      </w:r>
      <w:r>
        <w:rPr>
          <w:rFonts w:ascii="Arial" w:hAnsi="Arial" w:cs="Arial"/>
          <w:sz w:val="22"/>
          <w:szCs w:val="22"/>
          <w:lang w:val="en-US"/>
        </w:rPr>
        <w:lastRenderedPageBreak/>
        <w:t>shows t</w:t>
      </w:r>
      <w:r w:rsidRPr="004B0BA9">
        <w:rPr>
          <w:rFonts w:ascii="Arial" w:hAnsi="Arial" w:cs="Arial"/>
          <w:sz w:val="22"/>
          <w:szCs w:val="22"/>
          <w:lang w:val="en-US"/>
        </w:rPr>
        <w:t>hrombopoietin (</w:t>
      </w:r>
      <w:proofErr w:type="spellStart"/>
      <w:r w:rsidRPr="004B0BA9">
        <w:rPr>
          <w:rFonts w:ascii="Arial" w:hAnsi="Arial" w:cs="Arial"/>
          <w:sz w:val="22"/>
          <w:szCs w:val="22"/>
          <w:lang w:val="en-US"/>
        </w:rPr>
        <w:t>Tpo</w:t>
      </w:r>
      <w:proofErr w:type="spellEnd"/>
      <w:r w:rsidRPr="004B0BA9">
        <w:rPr>
          <w:rFonts w:ascii="Arial" w:hAnsi="Arial" w:cs="Arial"/>
          <w:sz w:val="22"/>
          <w:szCs w:val="22"/>
          <w:lang w:val="en-US"/>
        </w:rPr>
        <w:t xml:space="preserve">) concentration in bone morrow (BM) lavage (one femur and one tibia) </w:t>
      </w:r>
      <w:r w:rsidRPr="004B0BA9">
        <w:rPr>
          <w:rFonts w:ascii="Arial" w:hAnsi="Arial" w:cs="Arial"/>
          <w:color w:val="000000" w:themeColor="text1"/>
          <w:sz w:val="22"/>
          <w:szCs w:val="22"/>
          <w:lang w:val="en-US"/>
        </w:rPr>
        <w:t>determined at terminal workup 8-12 weeks after start of the treatment</w:t>
      </w:r>
      <w:r w:rsidRPr="004B0BA9">
        <w:rPr>
          <w:rFonts w:ascii="Arial" w:hAnsi="Arial" w:cs="Arial"/>
          <w:sz w:val="22"/>
          <w:szCs w:val="22"/>
          <w:lang w:val="en-US"/>
        </w:rPr>
        <w:t xml:space="preserve">. Dotted line indicates the limit of detection of the assay. </w:t>
      </w:r>
      <w:r w:rsidRPr="004B0BA9">
        <w:rPr>
          <w:rFonts w:ascii="Arial" w:hAnsi="Arial" w:cs="Arial"/>
          <w:b/>
          <w:sz w:val="22"/>
          <w:szCs w:val="22"/>
          <w:lang w:val="en-US"/>
        </w:rPr>
        <w:t>(E)</w:t>
      </w:r>
      <w:r w:rsidRPr="004B0BA9">
        <w:rPr>
          <w:rFonts w:ascii="Arial" w:hAnsi="Arial" w:cs="Arial"/>
          <w:sz w:val="22"/>
          <w:szCs w:val="22"/>
          <w:lang w:val="en-US"/>
        </w:rPr>
        <w:t xml:space="preserve"> Red blood cell </w:t>
      </w:r>
      <w:proofErr w:type="spellStart"/>
      <w:r w:rsidRPr="004B0BA9">
        <w:rPr>
          <w:rFonts w:ascii="Arial" w:hAnsi="Arial" w:cs="Arial"/>
          <w:sz w:val="22"/>
          <w:szCs w:val="22"/>
          <w:lang w:val="en-US"/>
        </w:rPr>
        <w:t>paramethers</w:t>
      </w:r>
      <w:proofErr w:type="spellEnd"/>
      <w:r w:rsidRPr="004B0BA9">
        <w:rPr>
          <w:rFonts w:ascii="Arial" w:hAnsi="Arial" w:cs="Arial"/>
          <w:sz w:val="22"/>
          <w:szCs w:val="22"/>
          <w:lang w:val="en-US"/>
        </w:rPr>
        <w:t xml:space="preserve"> (n = 8 mice per genotype) are shown at the indicated times.</w:t>
      </w:r>
      <w:r>
        <w:rPr>
          <w:rFonts w:ascii="Arial" w:hAnsi="Arial" w:cs="Arial"/>
          <w:sz w:val="22"/>
          <w:szCs w:val="22"/>
          <w:lang w:val="en-US"/>
        </w:rPr>
        <w:t xml:space="preserve"> </w:t>
      </w:r>
      <w:r w:rsidRPr="004B0BA9">
        <w:rPr>
          <w:rFonts w:ascii="Arial" w:hAnsi="Arial" w:cs="Arial"/>
          <w:sz w:val="22"/>
          <w:szCs w:val="22"/>
          <w:lang w:val="en-US"/>
        </w:rPr>
        <w:t>(</w:t>
      </w:r>
      <w:r w:rsidRPr="004B0BA9">
        <w:rPr>
          <w:rFonts w:ascii="Arial" w:hAnsi="Arial" w:cs="Arial"/>
          <w:b/>
          <w:bCs/>
          <w:sz w:val="22"/>
          <w:szCs w:val="22"/>
          <w:lang w:val="en-US"/>
        </w:rPr>
        <w:t>F</w:t>
      </w:r>
      <w:r w:rsidRPr="004B0BA9">
        <w:rPr>
          <w:rFonts w:ascii="Arial" w:hAnsi="Arial" w:cs="Arial"/>
          <w:sz w:val="22"/>
          <w:szCs w:val="22"/>
          <w:lang w:val="en-US"/>
        </w:rPr>
        <w:t xml:space="preserve">) </w:t>
      </w:r>
      <w:r w:rsidRPr="004B0BA9">
        <w:rPr>
          <w:rFonts w:ascii="Arial" w:hAnsi="Arial" w:cs="Arial"/>
          <w:bCs/>
          <w:sz w:val="22"/>
          <w:szCs w:val="22"/>
          <w:lang w:val="en-US"/>
        </w:rPr>
        <w:t xml:space="preserve">Iron parameters and regulatory cytokines. </w:t>
      </w:r>
      <w:r w:rsidRPr="004B0BA9">
        <w:rPr>
          <w:rFonts w:ascii="Arial" w:hAnsi="Arial" w:cs="Arial"/>
          <w:sz w:val="22"/>
          <w:szCs w:val="22"/>
          <w:lang w:val="en-US"/>
        </w:rPr>
        <w:t>Group size was n= 4-8 mice per genotype and treatment group. Erythropoietin (</w:t>
      </w:r>
      <w:proofErr w:type="spellStart"/>
      <w:r w:rsidRPr="004B0BA9">
        <w:rPr>
          <w:rFonts w:ascii="Arial" w:hAnsi="Arial" w:cs="Arial"/>
          <w:sz w:val="22"/>
          <w:szCs w:val="22"/>
          <w:lang w:val="en-US"/>
        </w:rPr>
        <w:t>Epo</w:t>
      </w:r>
      <w:proofErr w:type="spellEnd"/>
      <w:r w:rsidRPr="004B0BA9">
        <w:rPr>
          <w:rFonts w:ascii="Arial" w:hAnsi="Arial" w:cs="Arial"/>
          <w:sz w:val="22"/>
          <w:szCs w:val="22"/>
          <w:lang w:val="en-US"/>
        </w:rPr>
        <w:t>), Erythroferrone and Hepcidin levels were determined in serum. Two-way analyses of variance (ANOVAs) with subsequent Dunnett posttest (C</w:t>
      </w:r>
      <w:r>
        <w:rPr>
          <w:rFonts w:ascii="Arial" w:hAnsi="Arial" w:cs="Arial"/>
          <w:sz w:val="22"/>
          <w:szCs w:val="22"/>
          <w:lang w:val="en-US"/>
        </w:rPr>
        <w:t>, E</w:t>
      </w:r>
      <w:r w:rsidRPr="004B0BA9">
        <w:rPr>
          <w:rFonts w:ascii="Arial" w:hAnsi="Arial" w:cs="Arial"/>
          <w:sz w:val="22"/>
          <w:szCs w:val="22"/>
          <w:lang w:val="en-US"/>
        </w:rPr>
        <w:t>) or Tukey’s test (</w:t>
      </w:r>
      <w:proofErr w:type="gramStart"/>
      <w:r w:rsidRPr="004B0BA9">
        <w:rPr>
          <w:rFonts w:ascii="Arial" w:hAnsi="Arial" w:cs="Arial"/>
          <w:sz w:val="22"/>
          <w:szCs w:val="22"/>
          <w:lang w:val="en-US"/>
        </w:rPr>
        <w:t>D</w:t>
      </w:r>
      <w:r>
        <w:rPr>
          <w:rFonts w:ascii="Arial" w:hAnsi="Arial" w:cs="Arial"/>
          <w:sz w:val="22"/>
          <w:szCs w:val="22"/>
          <w:lang w:val="en-US"/>
        </w:rPr>
        <w:t>,F</w:t>
      </w:r>
      <w:proofErr w:type="gramEnd"/>
      <w:r w:rsidRPr="004B0BA9">
        <w:rPr>
          <w:rFonts w:ascii="Arial" w:hAnsi="Arial" w:cs="Arial"/>
          <w:sz w:val="22"/>
          <w:szCs w:val="22"/>
          <w:lang w:val="en-US"/>
        </w:rPr>
        <w:t xml:space="preserve">) were used for multiple-group comparisons. *P &lt; .05, **P &lt; .01, ***P &lt; .001, ****P &lt; .0001. CBC, complete blood count; </w:t>
      </w:r>
      <w:proofErr w:type="spellStart"/>
      <w:r w:rsidRPr="004B0BA9">
        <w:rPr>
          <w:rFonts w:ascii="Arial" w:hAnsi="Arial" w:cs="Arial"/>
          <w:sz w:val="22"/>
          <w:szCs w:val="22"/>
          <w:lang w:val="en-US"/>
        </w:rPr>
        <w:t>Phleb</w:t>
      </w:r>
      <w:proofErr w:type="spellEnd"/>
      <w:r w:rsidRPr="004B0BA9">
        <w:rPr>
          <w:rFonts w:ascii="Arial" w:hAnsi="Arial" w:cs="Arial"/>
          <w:sz w:val="22"/>
          <w:szCs w:val="22"/>
          <w:lang w:val="en-US"/>
        </w:rPr>
        <w:t>., phlebotomy.</w:t>
      </w:r>
    </w:p>
    <w:p w14:paraId="2C354A82" w14:textId="77777777" w:rsidR="004B0BA9" w:rsidRDefault="004B0BA9" w:rsidP="004B0BA9">
      <w:pPr>
        <w:spacing w:line="360" w:lineRule="auto"/>
        <w:jc w:val="both"/>
        <w:rPr>
          <w:rFonts w:ascii="Arial" w:hAnsi="Arial" w:cs="Arial"/>
          <w:sz w:val="22"/>
          <w:szCs w:val="22"/>
          <w:lang w:val="en-US"/>
        </w:rPr>
      </w:pPr>
    </w:p>
    <w:p w14:paraId="13781FB1" w14:textId="77777777" w:rsidR="00061DDF" w:rsidRPr="00A12603" w:rsidRDefault="00061DDF" w:rsidP="00061DDF">
      <w:pPr>
        <w:spacing w:line="360" w:lineRule="auto"/>
        <w:jc w:val="both"/>
        <w:rPr>
          <w:rFonts w:ascii="Arial" w:eastAsiaTheme="majorEastAsia" w:hAnsi="Arial" w:cs="Arial"/>
          <w:b/>
          <w:color w:val="000000" w:themeColor="text1"/>
          <w:sz w:val="22"/>
          <w:szCs w:val="22"/>
          <w:lang w:val="en-US"/>
        </w:rPr>
      </w:pPr>
      <w:r>
        <w:rPr>
          <w:rFonts w:ascii="Arial" w:eastAsiaTheme="majorEastAsia" w:hAnsi="Arial" w:cs="Arial"/>
          <w:b/>
          <w:color w:val="000000" w:themeColor="text1"/>
          <w:sz w:val="22"/>
          <w:szCs w:val="22"/>
          <w:lang w:val="en-US"/>
        </w:rPr>
        <w:t xml:space="preserve">Effects of parenteral administration of iron dextran on the phenotype of </w:t>
      </w:r>
      <w:r w:rsidRPr="00061DDF">
        <w:rPr>
          <w:rFonts w:ascii="Arial" w:eastAsiaTheme="majorEastAsia" w:hAnsi="Arial" w:cs="Arial"/>
          <w:b/>
          <w:i/>
          <w:iCs/>
          <w:color w:val="000000" w:themeColor="text1"/>
          <w:sz w:val="22"/>
          <w:szCs w:val="22"/>
          <w:lang w:val="en-US"/>
        </w:rPr>
        <w:t>JAK2</w:t>
      </w:r>
      <w:r>
        <w:rPr>
          <w:rFonts w:ascii="Arial" w:eastAsiaTheme="majorEastAsia" w:hAnsi="Arial" w:cs="Arial"/>
          <w:b/>
          <w:color w:val="000000" w:themeColor="text1"/>
          <w:sz w:val="22"/>
          <w:szCs w:val="22"/>
          <w:lang w:val="en-US"/>
        </w:rPr>
        <w:t xml:space="preserve"> mutant MPN mice</w:t>
      </w:r>
    </w:p>
    <w:p w14:paraId="02648134" w14:textId="77777777" w:rsidR="00061DDF" w:rsidRDefault="00061DDF" w:rsidP="00A12603">
      <w:pPr>
        <w:spacing w:line="360" w:lineRule="auto"/>
        <w:ind w:right="-205"/>
        <w:jc w:val="both"/>
        <w:rPr>
          <w:rFonts w:ascii="Arial" w:hAnsi="Arial" w:cs="Arial"/>
          <w:color w:val="000000" w:themeColor="text1"/>
          <w:sz w:val="22"/>
          <w:szCs w:val="22"/>
          <w:lang w:val="en-US"/>
        </w:rPr>
      </w:pPr>
    </w:p>
    <w:p w14:paraId="64BD4855" w14:textId="77777777" w:rsidR="00A12603" w:rsidRPr="00A12603" w:rsidRDefault="00A12603" w:rsidP="00083948">
      <w:pPr>
        <w:spacing w:line="360" w:lineRule="auto"/>
        <w:ind w:right="-205" w:firstLine="708"/>
        <w:jc w:val="both"/>
        <w:rPr>
          <w:rFonts w:ascii="Arial" w:hAnsi="Arial" w:cs="Arial"/>
          <w:color w:val="000000" w:themeColor="text1"/>
          <w:sz w:val="22"/>
          <w:szCs w:val="22"/>
          <w:lang w:val="en-US"/>
        </w:rPr>
      </w:pPr>
      <w:r w:rsidRPr="00A12603">
        <w:rPr>
          <w:rFonts w:ascii="Arial" w:hAnsi="Arial" w:cs="Arial"/>
          <w:color w:val="000000" w:themeColor="text1"/>
          <w:sz w:val="22"/>
          <w:szCs w:val="22"/>
          <w:lang w:val="en-US"/>
        </w:rPr>
        <w:t xml:space="preserve">We next examined whether parenteral iron supplementation can have the opposite effect on </w:t>
      </w:r>
      <w:proofErr w:type="spellStart"/>
      <w:r w:rsidRPr="00A12603">
        <w:rPr>
          <w:rFonts w:ascii="Arial" w:hAnsi="Arial" w:cs="Arial"/>
          <w:color w:val="000000" w:themeColor="text1"/>
          <w:sz w:val="22"/>
          <w:szCs w:val="22"/>
          <w:lang w:val="en-US"/>
        </w:rPr>
        <w:t>megakaryopoiesis</w:t>
      </w:r>
      <w:proofErr w:type="spellEnd"/>
      <w:r w:rsidRPr="00A12603">
        <w:rPr>
          <w:rFonts w:ascii="Arial" w:hAnsi="Arial" w:cs="Arial"/>
          <w:color w:val="000000" w:themeColor="text1"/>
          <w:sz w:val="22"/>
          <w:szCs w:val="22"/>
          <w:lang w:val="en-US"/>
        </w:rPr>
        <w:t xml:space="preserve"> and erythropoiesis in </w:t>
      </w:r>
      <w:r w:rsidRPr="00A12603">
        <w:rPr>
          <w:rFonts w:ascii="Arial" w:hAnsi="Arial" w:cs="Arial"/>
          <w:i/>
          <w:iCs/>
          <w:color w:val="000000" w:themeColor="text1"/>
          <w:sz w:val="22"/>
          <w:szCs w:val="22"/>
          <w:lang w:val="en-US"/>
        </w:rPr>
        <w:t>JAK2</w:t>
      </w:r>
      <w:r w:rsidR="00061DDF">
        <w:rPr>
          <w:rFonts w:ascii="Arial" w:hAnsi="Arial" w:cs="Arial"/>
          <w:color w:val="000000" w:themeColor="text1"/>
          <w:sz w:val="22"/>
          <w:szCs w:val="22"/>
          <w:lang w:val="en-US"/>
        </w:rPr>
        <w:t xml:space="preserve"> </w:t>
      </w:r>
      <w:r w:rsidRPr="00A12603">
        <w:rPr>
          <w:rFonts w:ascii="Arial" w:hAnsi="Arial" w:cs="Arial"/>
          <w:color w:val="000000" w:themeColor="text1"/>
          <w:sz w:val="22"/>
          <w:szCs w:val="22"/>
          <w:lang w:val="en-US"/>
        </w:rPr>
        <w:t xml:space="preserve">V617F mice. In addition to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mice we also examined </w:t>
      </w:r>
      <w:proofErr w:type="gramStart"/>
      <w:r w:rsidRPr="00A12603">
        <w:rPr>
          <w:rFonts w:ascii="Arial" w:hAnsi="Arial" w:cs="Arial"/>
          <w:i/>
          <w:color w:val="000000" w:themeColor="text1"/>
          <w:sz w:val="22"/>
          <w:szCs w:val="22"/>
          <w:lang w:val="en-US"/>
        </w:rPr>
        <w:t>VavCre;FF</w:t>
      </w:r>
      <w:proofErr w:type="gramEnd"/>
      <w:r w:rsidRPr="00A12603">
        <w:rPr>
          <w:rFonts w:ascii="Arial" w:hAnsi="Arial" w:cs="Arial"/>
          <w:i/>
          <w:color w:val="000000" w:themeColor="text1"/>
          <w:sz w:val="22"/>
          <w:szCs w:val="22"/>
          <w:lang w:val="en-US"/>
        </w:rPr>
        <w:t>1</w:t>
      </w:r>
      <w:r w:rsidRPr="00A12603">
        <w:rPr>
          <w:rFonts w:ascii="Arial" w:hAnsi="Arial" w:cs="Arial"/>
          <w:color w:val="000000" w:themeColor="text1"/>
          <w:sz w:val="22"/>
          <w:szCs w:val="22"/>
          <w:lang w:val="en-US"/>
        </w:rPr>
        <w:t xml:space="preserve"> mice (</w:t>
      </w:r>
      <w:proofErr w:type="spellStart"/>
      <w:r w:rsidRPr="00A12603">
        <w:rPr>
          <w:rFonts w:ascii="Arial" w:hAnsi="Arial" w:cs="Arial"/>
          <w:i/>
          <w:color w:val="000000" w:themeColor="text1"/>
          <w:sz w:val="22"/>
          <w:szCs w:val="22"/>
          <w:lang w:val="en-US"/>
        </w:rPr>
        <w:t>VaF</w:t>
      </w:r>
      <w:proofErr w:type="spellEnd"/>
      <w:r w:rsidRPr="00A12603">
        <w:rPr>
          <w:rFonts w:ascii="Arial" w:hAnsi="Arial" w:cs="Arial"/>
          <w:color w:val="000000" w:themeColor="text1"/>
          <w:sz w:val="22"/>
          <w:szCs w:val="22"/>
          <w:lang w:val="en-US"/>
        </w:rPr>
        <w:t xml:space="preserve">) that express the human </w:t>
      </w:r>
      <w:r w:rsidRPr="00A12603">
        <w:rPr>
          <w:rFonts w:ascii="Arial" w:hAnsi="Arial" w:cs="Arial"/>
          <w:i/>
          <w:color w:val="000000" w:themeColor="text1"/>
          <w:sz w:val="22"/>
          <w:szCs w:val="22"/>
          <w:lang w:val="en-US"/>
        </w:rPr>
        <w:t>JAK2</w:t>
      </w:r>
      <w:r w:rsidRPr="00A12603">
        <w:rPr>
          <w:rFonts w:ascii="Arial" w:hAnsi="Arial" w:cs="Arial"/>
          <w:color w:val="000000" w:themeColor="text1"/>
          <w:sz w:val="22"/>
          <w:szCs w:val="22"/>
          <w:lang w:val="en-US"/>
        </w:rPr>
        <w:t xml:space="preserve">-V617F and display pure ET phenotype with very high platelet count and normal hemoglobin values, and </w:t>
      </w:r>
      <w:r w:rsidRPr="00A12603">
        <w:rPr>
          <w:rFonts w:ascii="Arial" w:hAnsi="Arial" w:cs="Arial"/>
          <w:i/>
          <w:color w:val="000000"/>
          <w:sz w:val="22"/>
          <w:szCs w:val="22"/>
          <w:lang w:val="en-US"/>
        </w:rPr>
        <w:t>SclCre</w:t>
      </w:r>
      <w:r w:rsidRPr="00A12603">
        <w:rPr>
          <w:rFonts w:ascii="Arial" w:hAnsi="Arial" w:cs="Arial"/>
          <w:i/>
          <w:color w:val="000000"/>
          <w:sz w:val="22"/>
          <w:szCs w:val="22"/>
          <w:vertAlign w:val="superscript"/>
          <w:lang w:val="en-US"/>
        </w:rPr>
        <w:t>ER</w:t>
      </w:r>
      <w:r w:rsidRPr="00A12603">
        <w:rPr>
          <w:rFonts w:ascii="Arial" w:hAnsi="Arial" w:cs="Arial"/>
          <w:i/>
          <w:color w:val="000000" w:themeColor="text1"/>
          <w:sz w:val="22"/>
          <w:szCs w:val="22"/>
          <w:lang w:val="en-US"/>
        </w:rPr>
        <w:t>;FF1</w:t>
      </w:r>
      <w:r w:rsidRPr="00A12603">
        <w:rPr>
          <w:rFonts w:ascii="Arial" w:hAnsi="Arial" w:cs="Arial"/>
          <w:color w:val="000000" w:themeColor="text1"/>
          <w:sz w:val="22"/>
          <w:szCs w:val="22"/>
          <w:lang w:val="en-US"/>
        </w:rPr>
        <w:t xml:space="preserve"> mice </w:t>
      </w:r>
      <w:r w:rsidRPr="00A12603">
        <w:rPr>
          <w:rFonts w:ascii="Arial" w:hAnsi="Arial" w:cs="Arial"/>
          <w:i/>
          <w:color w:val="000000" w:themeColor="text1"/>
          <w:sz w:val="22"/>
          <w:szCs w:val="22"/>
          <w:lang w:val="en-US"/>
        </w:rPr>
        <w:t>(</w:t>
      </w:r>
      <w:proofErr w:type="spellStart"/>
      <w:r w:rsidRPr="00A12603">
        <w:rPr>
          <w:rFonts w:ascii="Arial" w:hAnsi="Arial" w:cs="Arial"/>
          <w:i/>
          <w:color w:val="000000" w:themeColor="text1"/>
          <w:sz w:val="22"/>
          <w:szCs w:val="22"/>
          <w:lang w:val="en-US"/>
        </w:rPr>
        <w:t>ScF</w:t>
      </w:r>
      <w:proofErr w:type="spellEnd"/>
      <w:r w:rsidRPr="00A12603">
        <w:rPr>
          <w:rFonts w:ascii="Arial" w:hAnsi="Arial" w:cs="Arial"/>
          <w:i/>
          <w:color w:val="000000" w:themeColor="text1"/>
          <w:sz w:val="22"/>
          <w:szCs w:val="22"/>
          <w:lang w:val="en-US"/>
        </w:rPr>
        <w:t>)</w:t>
      </w:r>
      <w:r w:rsidRPr="00A12603">
        <w:rPr>
          <w:rFonts w:ascii="Arial" w:hAnsi="Arial" w:cs="Arial"/>
          <w:color w:val="000000" w:themeColor="text1"/>
          <w:sz w:val="22"/>
          <w:szCs w:val="22"/>
          <w:lang w:val="en-US"/>
        </w:rPr>
        <w:t xml:space="preserve"> that display PV phenotype with very high platelets. To generate sufficient numbers of </w:t>
      </w:r>
      <w:r w:rsidRPr="00A12603">
        <w:rPr>
          <w:rFonts w:ascii="Arial" w:hAnsi="Arial" w:cs="Arial"/>
          <w:i/>
          <w:color w:val="000000" w:themeColor="text1"/>
          <w:sz w:val="22"/>
          <w:szCs w:val="22"/>
          <w:lang w:val="en-US"/>
        </w:rPr>
        <w:t>JAK2</w:t>
      </w:r>
      <w:r w:rsidRPr="00A12603">
        <w:rPr>
          <w:rFonts w:ascii="Arial" w:hAnsi="Arial" w:cs="Arial"/>
          <w:color w:val="000000" w:themeColor="text1"/>
          <w:sz w:val="22"/>
          <w:szCs w:val="22"/>
          <w:lang w:val="en-US"/>
        </w:rPr>
        <w:t>-mutant mice, we again performed bone marrow transplantations into lethally irradiated wildtype recipient mice (Figure 3</w:t>
      </w:r>
      <w:r w:rsidR="00B32DB7">
        <w:rPr>
          <w:rFonts w:ascii="Arial" w:hAnsi="Arial" w:cs="Arial"/>
          <w:color w:val="000000" w:themeColor="text1"/>
          <w:sz w:val="22"/>
          <w:szCs w:val="22"/>
          <w:lang w:val="en-US"/>
        </w:rPr>
        <w:t>5</w:t>
      </w:r>
      <w:r w:rsidRPr="00A12603">
        <w:rPr>
          <w:rFonts w:ascii="Arial" w:hAnsi="Arial" w:cs="Arial"/>
          <w:color w:val="000000" w:themeColor="text1"/>
          <w:sz w:val="22"/>
          <w:szCs w:val="22"/>
          <w:lang w:val="en-US"/>
        </w:rPr>
        <w:t>A). Iron dextran was administered intraperitoneally at week 1 and week 4 post transplantation (Figure 3</w:t>
      </w:r>
      <w:r w:rsidR="00B32DB7">
        <w:rPr>
          <w:rFonts w:ascii="Arial" w:hAnsi="Arial" w:cs="Arial"/>
          <w:color w:val="000000" w:themeColor="text1"/>
          <w:sz w:val="22"/>
          <w:szCs w:val="22"/>
          <w:lang w:val="en-US"/>
        </w:rPr>
        <w:t>5</w:t>
      </w:r>
      <w:r w:rsidRPr="00A12603">
        <w:rPr>
          <w:rFonts w:ascii="Arial" w:hAnsi="Arial" w:cs="Arial"/>
          <w:color w:val="000000" w:themeColor="text1"/>
          <w:sz w:val="22"/>
          <w:szCs w:val="22"/>
          <w:lang w:val="en-US"/>
        </w:rPr>
        <w:t xml:space="preserve">A). Body weight was unchanged in the treatment groups, except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mice injected with iron that lost weight (Figure 3</w:t>
      </w:r>
      <w:r w:rsidR="00B32DB7">
        <w:rPr>
          <w:rFonts w:ascii="Arial" w:hAnsi="Arial" w:cs="Arial"/>
          <w:color w:val="000000" w:themeColor="text1"/>
          <w:sz w:val="22"/>
          <w:szCs w:val="22"/>
          <w:lang w:val="en-US"/>
        </w:rPr>
        <w:t>5</w:t>
      </w:r>
      <w:r w:rsidRPr="00A12603">
        <w:rPr>
          <w:rFonts w:ascii="Arial" w:hAnsi="Arial" w:cs="Arial"/>
          <w:color w:val="000000" w:themeColor="text1"/>
          <w:sz w:val="22"/>
          <w:szCs w:val="22"/>
          <w:lang w:val="en-US"/>
        </w:rPr>
        <w:t xml:space="preserve">B). Iron injections also decreased platelet counts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w:t>
      </w:r>
      <w:proofErr w:type="spellStart"/>
      <w:r w:rsidRPr="00A12603">
        <w:rPr>
          <w:rFonts w:ascii="Arial" w:hAnsi="Arial" w:cs="Arial"/>
          <w:i/>
          <w:color w:val="000000" w:themeColor="text1"/>
          <w:sz w:val="22"/>
          <w:szCs w:val="22"/>
          <w:lang w:val="en-US"/>
        </w:rPr>
        <w:t>ScF</w:t>
      </w:r>
      <w:proofErr w:type="spellEnd"/>
      <w:r w:rsidRPr="00A12603">
        <w:rPr>
          <w:rFonts w:ascii="Arial" w:hAnsi="Arial" w:cs="Arial"/>
          <w:color w:val="000000" w:themeColor="text1"/>
          <w:sz w:val="22"/>
          <w:szCs w:val="22"/>
          <w:lang w:val="en-US"/>
        </w:rPr>
        <w:t xml:space="preserve"> and </w:t>
      </w:r>
      <w:r w:rsidRPr="00A12603">
        <w:rPr>
          <w:rFonts w:ascii="Arial" w:hAnsi="Arial" w:cs="Arial"/>
          <w:i/>
          <w:color w:val="000000" w:themeColor="text1"/>
          <w:sz w:val="22"/>
          <w:szCs w:val="22"/>
          <w:lang w:val="en-US"/>
        </w:rPr>
        <w:t>WT</w:t>
      </w:r>
      <w:r w:rsidRPr="00A12603">
        <w:rPr>
          <w:rFonts w:ascii="Arial" w:hAnsi="Arial" w:cs="Arial"/>
          <w:color w:val="000000" w:themeColor="text1"/>
          <w:sz w:val="22"/>
          <w:szCs w:val="22"/>
          <w:lang w:val="en-US"/>
        </w:rPr>
        <w:t xml:space="preserve"> mice, but did not alter thrombocytosis in </w:t>
      </w:r>
      <w:proofErr w:type="spellStart"/>
      <w:r w:rsidRPr="00A12603">
        <w:rPr>
          <w:rFonts w:ascii="Arial" w:hAnsi="Arial" w:cs="Arial"/>
          <w:i/>
          <w:color w:val="000000" w:themeColor="text1"/>
          <w:sz w:val="22"/>
          <w:szCs w:val="22"/>
          <w:lang w:val="en-US"/>
        </w:rPr>
        <w:t>VaF</w:t>
      </w:r>
      <w:proofErr w:type="spellEnd"/>
      <w:r w:rsidRPr="00A12603">
        <w:rPr>
          <w:rFonts w:ascii="Arial" w:hAnsi="Arial" w:cs="Arial"/>
          <w:color w:val="000000" w:themeColor="text1"/>
          <w:sz w:val="22"/>
          <w:szCs w:val="22"/>
          <w:lang w:val="en-US"/>
        </w:rPr>
        <w:t xml:space="preserve"> mice (Figure 3</w:t>
      </w:r>
      <w:r w:rsidR="00B32DB7">
        <w:rPr>
          <w:rFonts w:ascii="Arial" w:hAnsi="Arial" w:cs="Arial"/>
          <w:color w:val="000000" w:themeColor="text1"/>
          <w:sz w:val="22"/>
          <w:szCs w:val="22"/>
          <w:lang w:val="en-US"/>
        </w:rPr>
        <w:t>5</w:t>
      </w:r>
      <w:r w:rsidRPr="00A12603">
        <w:rPr>
          <w:rFonts w:ascii="Arial" w:hAnsi="Arial" w:cs="Arial"/>
          <w:color w:val="000000" w:themeColor="text1"/>
          <w:sz w:val="22"/>
          <w:szCs w:val="22"/>
          <w:lang w:val="en-US"/>
        </w:rPr>
        <w:t xml:space="preserve">C). Spleen weight increased in Ki and </w:t>
      </w:r>
      <w:proofErr w:type="spellStart"/>
      <w:r w:rsidRPr="00A12603">
        <w:rPr>
          <w:rFonts w:ascii="Arial" w:hAnsi="Arial" w:cs="Arial"/>
          <w:color w:val="000000" w:themeColor="text1"/>
          <w:sz w:val="22"/>
          <w:szCs w:val="22"/>
          <w:lang w:val="en-US"/>
        </w:rPr>
        <w:t>ScF</w:t>
      </w:r>
      <w:proofErr w:type="spellEnd"/>
      <w:r w:rsidRPr="00A12603">
        <w:rPr>
          <w:rFonts w:ascii="Arial" w:hAnsi="Arial" w:cs="Arial"/>
          <w:color w:val="000000" w:themeColor="text1"/>
          <w:sz w:val="22"/>
          <w:szCs w:val="22"/>
          <w:lang w:val="en-US"/>
        </w:rPr>
        <w:t xml:space="preserve"> mice upon iron injections, but not in </w:t>
      </w:r>
      <w:proofErr w:type="spellStart"/>
      <w:r w:rsidRPr="00A12603">
        <w:rPr>
          <w:rFonts w:ascii="Arial" w:hAnsi="Arial" w:cs="Arial"/>
          <w:i/>
          <w:color w:val="000000" w:themeColor="text1"/>
          <w:sz w:val="22"/>
          <w:szCs w:val="22"/>
          <w:lang w:val="en-US"/>
        </w:rPr>
        <w:t>VaF</w:t>
      </w:r>
      <w:proofErr w:type="spellEnd"/>
      <w:r w:rsidRPr="00A12603">
        <w:rPr>
          <w:rFonts w:ascii="Arial" w:hAnsi="Arial" w:cs="Arial"/>
          <w:color w:val="000000" w:themeColor="text1"/>
          <w:sz w:val="22"/>
          <w:szCs w:val="22"/>
          <w:lang w:val="en-US"/>
        </w:rPr>
        <w:t xml:space="preserve"> and </w:t>
      </w:r>
      <w:r w:rsidRPr="00A12603">
        <w:rPr>
          <w:rFonts w:ascii="Arial" w:hAnsi="Arial" w:cs="Arial"/>
          <w:i/>
          <w:color w:val="000000" w:themeColor="text1"/>
          <w:sz w:val="22"/>
          <w:szCs w:val="22"/>
          <w:lang w:val="en-US"/>
        </w:rPr>
        <w:t>WT</w:t>
      </w:r>
      <w:r w:rsidRPr="00A12603">
        <w:rPr>
          <w:rFonts w:ascii="Arial" w:hAnsi="Arial" w:cs="Arial"/>
          <w:color w:val="000000" w:themeColor="text1"/>
          <w:sz w:val="22"/>
          <w:szCs w:val="22"/>
          <w:lang w:val="en-US"/>
        </w:rPr>
        <w:t xml:space="preserve"> mice (Figure 3</w:t>
      </w:r>
      <w:r w:rsidR="00B32DB7">
        <w:rPr>
          <w:rFonts w:ascii="Arial" w:hAnsi="Arial" w:cs="Arial"/>
          <w:color w:val="000000" w:themeColor="text1"/>
          <w:sz w:val="22"/>
          <w:szCs w:val="22"/>
          <w:lang w:val="en-US"/>
        </w:rPr>
        <w:t>5</w:t>
      </w:r>
      <w:r w:rsidRPr="00A12603">
        <w:rPr>
          <w:rFonts w:ascii="Arial" w:hAnsi="Arial" w:cs="Arial"/>
          <w:color w:val="000000" w:themeColor="text1"/>
          <w:sz w:val="22"/>
          <w:szCs w:val="22"/>
          <w:lang w:val="en-US"/>
        </w:rPr>
        <w:t xml:space="preserve">D). </w:t>
      </w:r>
    </w:p>
    <w:p w14:paraId="4C8CD7AC" w14:textId="77777777" w:rsidR="00A12603" w:rsidRPr="00083948" w:rsidRDefault="00A12603" w:rsidP="00A12603">
      <w:pPr>
        <w:spacing w:line="360" w:lineRule="auto"/>
        <w:ind w:right="-205"/>
        <w:jc w:val="both"/>
        <w:rPr>
          <w:rFonts w:ascii="Arial" w:hAnsi="Arial" w:cs="Arial"/>
          <w:color w:val="0000FF"/>
          <w:sz w:val="22"/>
          <w:szCs w:val="22"/>
          <w:lang w:val="en-US"/>
        </w:rPr>
      </w:pP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and </w:t>
      </w:r>
      <w:proofErr w:type="spellStart"/>
      <w:r w:rsidRPr="00A12603">
        <w:rPr>
          <w:rFonts w:ascii="Arial" w:hAnsi="Arial" w:cs="Arial"/>
          <w:i/>
          <w:color w:val="000000" w:themeColor="text1"/>
          <w:sz w:val="22"/>
          <w:szCs w:val="22"/>
          <w:lang w:val="en-US"/>
        </w:rPr>
        <w:t>ScF</w:t>
      </w:r>
      <w:proofErr w:type="spellEnd"/>
      <w:r w:rsidRPr="00A12603">
        <w:rPr>
          <w:rFonts w:ascii="Arial" w:hAnsi="Arial" w:cs="Arial"/>
          <w:color w:val="000000" w:themeColor="text1"/>
          <w:sz w:val="22"/>
          <w:szCs w:val="22"/>
          <w:lang w:val="en-US"/>
        </w:rPr>
        <w:t xml:space="preserve"> mice injected with iron maintained a strong PV phenotype and did not show a decrease in hemoglobin and red cell red cell numbers at 8 weeks post transplantation, contrary to the vehicle treated mice (Figure 3</w:t>
      </w:r>
      <w:r w:rsidR="00B32DB7">
        <w:rPr>
          <w:rFonts w:ascii="Arial" w:hAnsi="Arial" w:cs="Arial"/>
          <w:color w:val="000000" w:themeColor="text1"/>
          <w:sz w:val="22"/>
          <w:szCs w:val="22"/>
          <w:lang w:val="en-US"/>
        </w:rPr>
        <w:t>5</w:t>
      </w:r>
      <w:r w:rsidRPr="00A12603">
        <w:rPr>
          <w:rFonts w:ascii="Arial" w:hAnsi="Arial" w:cs="Arial"/>
          <w:color w:val="000000" w:themeColor="text1"/>
          <w:sz w:val="22"/>
          <w:szCs w:val="22"/>
          <w:lang w:val="en-US"/>
        </w:rPr>
        <w:t xml:space="preserve">E). MCV and MCH values were higher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mice that received iron injections compared to vehicle, but at 8 weeks post transplantation,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mice that received iron injections were visibly impaired and had to be sacrificed prematurely. </w:t>
      </w:r>
      <w:proofErr w:type="spellStart"/>
      <w:r w:rsidRPr="00A12603">
        <w:rPr>
          <w:rFonts w:ascii="Arial" w:hAnsi="Arial" w:cs="Arial"/>
          <w:i/>
          <w:color w:val="000000" w:themeColor="text1"/>
          <w:sz w:val="22"/>
          <w:szCs w:val="22"/>
          <w:lang w:val="en-US"/>
        </w:rPr>
        <w:t>VaF</w:t>
      </w:r>
      <w:proofErr w:type="spellEnd"/>
      <w:r w:rsidRPr="00A12603">
        <w:rPr>
          <w:rFonts w:ascii="Arial" w:hAnsi="Arial" w:cs="Arial"/>
          <w:color w:val="000000" w:themeColor="text1"/>
          <w:sz w:val="22"/>
          <w:szCs w:val="22"/>
          <w:lang w:val="en-US"/>
        </w:rPr>
        <w:t xml:space="preserve"> mice displayed no changes in hemoglobin or red cell parameters except a small increase in in MCV and MCH. </w:t>
      </w:r>
    </w:p>
    <w:p w14:paraId="523AB674" w14:textId="77777777" w:rsidR="00A12603" w:rsidRDefault="00A12603" w:rsidP="00A12603">
      <w:pPr>
        <w:spacing w:line="360" w:lineRule="auto"/>
        <w:ind w:right="-205"/>
        <w:jc w:val="both"/>
        <w:rPr>
          <w:rFonts w:ascii="Arial" w:hAnsi="Arial" w:cs="Arial"/>
          <w:color w:val="000000" w:themeColor="text1"/>
          <w:sz w:val="22"/>
          <w:szCs w:val="22"/>
          <w:lang w:val="en-US"/>
        </w:rPr>
      </w:pPr>
      <w:r w:rsidRPr="00A12603">
        <w:rPr>
          <w:rFonts w:ascii="Arial" w:hAnsi="Arial" w:cs="Arial"/>
          <w:color w:val="000000" w:themeColor="text1"/>
          <w:sz w:val="22"/>
          <w:szCs w:val="22"/>
          <w:lang w:val="en-US"/>
        </w:rPr>
        <w:t xml:space="preserve">Liver iron in vehicle treated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and </w:t>
      </w:r>
      <w:proofErr w:type="spellStart"/>
      <w:r w:rsidRPr="00A12603">
        <w:rPr>
          <w:rFonts w:ascii="Arial" w:hAnsi="Arial" w:cs="Arial"/>
          <w:i/>
          <w:color w:val="000000" w:themeColor="text1"/>
          <w:sz w:val="22"/>
          <w:szCs w:val="22"/>
          <w:lang w:val="en-US"/>
        </w:rPr>
        <w:t>ScF</w:t>
      </w:r>
      <w:proofErr w:type="spellEnd"/>
      <w:r w:rsidRPr="00A12603">
        <w:rPr>
          <w:rFonts w:ascii="Arial" w:hAnsi="Arial" w:cs="Arial"/>
          <w:color w:val="000000" w:themeColor="text1"/>
          <w:sz w:val="22"/>
          <w:szCs w:val="22"/>
          <w:lang w:val="en-US"/>
        </w:rPr>
        <w:t xml:space="preserve"> mice was decreased, but </w:t>
      </w:r>
      <w:proofErr w:type="spellStart"/>
      <w:r w:rsidRPr="00A12603">
        <w:rPr>
          <w:rFonts w:ascii="Arial" w:hAnsi="Arial" w:cs="Arial"/>
          <w:i/>
          <w:color w:val="000000" w:themeColor="text1"/>
          <w:sz w:val="22"/>
          <w:szCs w:val="22"/>
          <w:lang w:val="en-US"/>
        </w:rPr>
        <w:t>VaF</w:t>
      </w:r>
      <w:proofErr w:type="spellEnd"/>
      <w:r w:rsidRPr="00A12603">
        <w:rPr>
          <w:rFonts w:ascii="Arial" w:hAnsi="Arial" w:cs="Arial"/>
          <w:color w:val="000000" w:themeColor="text1"/>
          <w:sz w:val="22"/>
          <w:szCs w:val="22"/>
          <w:lang w:val="en-US"/>
        </w:rPr>
        <w:t xml:space="preserve"> displayed iron content similar to </w:t>
      </w:r>
      <w:r w:rsidRPr="00A12603">
        <w:rPr>
          <w:rFonts w:ascii="Arial" w:hAnsi="Arial" w:cs="Arial"/>
          <w:i/>
          <w:color w:val="000000" w:themeColor="text1"/>
          <w:sz w:val="22"/>
          <w:szCs w:val="22"/>
          <w:lang w:val="en-US"/>
        </w:rPr>
        <w:t>WT</w:t>
      </w:r>
      <w:r w:rsidRPr="00A12603">
        <w:rPr>
          <w:rFonts w:ascii="Arial" w:hAnsi="Arial" w:cs="Arial"/>
          <w:color w:val="000000" w:themeColor="text1"/>
          <w:sz w:val="22"/>
          <w:szCs w:val="22"/>
          <w:lang w:val="en-US"/>
        </w:rPr>
        <w:t xml:space="preserve"> mice (Figure 3</w:t>
      </w:r>
      <w:r w:rsidR="00B32DB7">
        <w:rPr>
          <w:rFonts w:ascii="Arial" w:hAnsi="Arial" w:cs="Arial"/>
          <w:color w:val="000000" w:themeColor="text1"/>
          <w:sz w:val="22"/>
          <w:szCs w:val="22"/>
          <w:lang w:val="en-US"/>
        </w:rPr>
        <w:t>5</w:t>
      </w:r>
      <w:r w:rsidRPr="00A12603">
        <w:rPr>
          <w:rFonts w:ascii="Arial" w:hAnsi="Arial" w:cs="Arial"/>
          <w:color w:val="000000" w:themeColor="text1"/>
          <w:sz w:val="22"/>
          <w:szCs w:val="22"/>
          <w:lang w:val="en-US"/>
        </w:rPr>
        <w:t xml:space="preserve">F). Upon iron injections, liver iron strongly increased in all genotypes, but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mice sacrificed at 8 weeks had significantly lower liver iron stores than </w:t>
      </w:r>
      <w:proofErr w:type="spellStart"/>
      <w:r w:rsidRPr="00A12603">
        <w:rPr>
          <w:rFonts w:ascii="Arial" w:hAnsi="Arial" w:cs="Arial"/>
          <w:i/>
          <w:color w:val="000000" w:themeColor="text1"/>
          <w:sz w:val="22"/>
          <w:szCs w:val="22"/>
          <w:lang w:val="en-US"/>
        </w:rPr>
        <w:t>ScF</w:t>
      </w:r>
      <w:proofErr w:type="spellEnd"/>
      <w:r w:rsidRPr="00A12603">
        <w:rPr>
          <w:rFonts w:ascii="Arial" w:hAnsi="Arial" w:cs="Arial"/>
          <w:color w:val="000000" w:themeColor="text1"/>
          <w:sz w:val="22"/>
          <w:szCs w:val="22"/>
          <w:lang w:val="en-US"/>
        </w:rPr>
        <w:t xml:space="preserve"> mice after 14 weeks (Figure 3</w:t>
      </w:r>
      <w:r w:rsidR="00B32DB7">
        <w:rPr>
          <w:rFonts w:ascii="Arial" w:hAnsi="Arial" w:cs="Arial"/>
          <w:color w:val="000000" w:themeColor="text1"/>
          <w:sz w:val="22"/>
          <w:szCs w:val="22"/>
          <w:lang w:val="en-US"/>
        </w:rPr>
        <w:t>5</w:t>
      </w:r>
      <w:r w:rsidRPr="00A12603">
        <w:rPr>
          <w:rFonts w:ascii="Arial" w:hAnsi="Arial" w:cs="Arial"/>
          <w:color w:val="000000" w:themeColor="text1"/>
          <w:sz w:val="22"/>
          <w:szCs w:val="22"/>
          <w:lang w:val="en-US"/>
        </w:rPr>
        <w:t xml:space="preserve">F, right panel). Serum iron increased in </w:t>
      </w:r>
      <w:r w:rsidRPr="00A12603">
        <w:rPr>
          <w:rFonts w:ascii="Arial" w:hAnsi="Arial" w:cs="Arial"/>
          <w:i/>
          <w:color w:val="000000" w:themeColor="text1"/>
          <w:sz w:val="22"/>
          <w:szCs w:val="22"/>
          <w:lang w:val="en-US"/>
        </w:rPr>
        <w:t>WT</w:t>
      </w:r>
      <w:r w:rsidRPr="00A12603">
        <w:rPr>
          <w:rFonts w:ascii="Arial" w:hAnsi="Arial" w:cs="Arial"/>
          <w:color w:val="000000" w:themeColor="text1"/>
          <w:sz w:val="22"/>
          <w:szCs w:val="22"/>
          <w:lang w:val="en-US"/>
        </w:rPr>
        <w:t xml:space="preserve"> and </w:t>
      </w:r>
      <w:proofErr w:type="spellStart"/>
      <w:r w:rsidRPr="00A12603">
        <w:rPr>
          <w:rFonts w:ascii="Arial" w:hAnsi="Arial" w:cs="Arial"/>
          <w:i/>
          <w:color w:val="000000" w:themeColor="text1"/>
          <w:sz w:val="22"/>
          <w:szCs w:val="22"/>
          <w:lang w:val="en-US"/>
        </w:rPr>
        <w:lastRenderedPageBreak/>
        <w:t>VaF</w:t>
      </w:r>
      <w:proofErr w:type="spellEnd"/>
      <w:r w:rsidRPr="00A12603">
        <w:rPr>
          <w:rFonts w:ascii="Arial" w:hAnsi="Arial" w:cs="Arial"/>
          <w:color w:val="000000" w:themeColor="text1"/>
          <w:sz w:val="22"/>
          <w:szCs w:val="22"/>
          <w:lang w:val="en-US"/>
        </w:rPr>
        <w:t xml:space="preserve"> mice, but decreased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and </w:t>
      </w:r>
      <w:proofErr w:type="spellStart"/>
      <w:r w:rsidRPr="00A12603">
        <w:rPr>
          <w:rFonts w:ascii="Arial" w:hAnsi="Arial" w:cs="Arial"/>
          <w:i/>
          <w:color w:val="000000" w:themeColor="text1"/>
          <w:sz w:val="22"/>
          <w:szCs w:val="22"/>
          <w:lang w:val="en-US"/>
        </w:rPr>
        <w:t>ScF</w:t>
      </w:r>
      <w:proofErr w:type="spellEnd"/>
      <w:r w:rsidRPr="00A12603">
        <w:rPr>
          <w:rFonts w:ascii="Arial" w:hAnsi="Arial" w:cs="Arial"/>
          <w:color w:val="000000" w:themeColor="text1"/>
          <w:sz w:val="22"/>
          <w:szCs w:val="22"/>
          <w:lang w:val="en-US"/>
        </w:rPr>
        <w:t xml:space="preserve"> mice injected with iron, reflecting increased demand in the latter mice due to massively increased erythropoiesis. Accordingly, erythroferrone was elevated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and </w:t>
      </w:r>
      <w:proofErr w:type="spellStart"/>
      <w:r w:rsidRPr="00A12603">
        <w:rPr>
          <w:rFonts w:ascii="Arial" w:hAnsi="Arial" w:cs="Arial"/>
          <w:i/>
          <w:color w:val="000000" w:themeColor="text1"/>
          <w:sz w:val="22"/>
          <w:szCs w:val="22"/>
          <w:lang w:val="en-US"/>
        </w:rPr>
        <w:t>ScF</w:t>
      </w:r>
      <w:proofErr w:type="spellEnd"/>
      <w:r w:rsidRPr="00A12603">
        <w:rPr>
          <w:rFonts w:ascii="Arial" w:hAnsi="Arial" w:cs="Arial"/>
          <w:color w:val="000000" w:themeColor="text1"/>
          <w:sz w:val="22"/>
          <w:szCs w:val="22"/>
          <w:lang w:val="en-US"/>
        </w:rPr>
        <w:t xml:space="preserve"> mice and hepcidin suppressed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mice but not in </w:t>
      </w:r>
      <w:proofErr w:type="spellStart"/>
      <w:r w:rsidRPr="00A12603">
        <w:rPr>
          <w:rFonts w:ascii="Arial" w:hAnsi="Arial" w:cs="Arial"/>
          <w:color w:val="000000" w:themeColor="text1"/>
          <w:sz w:val="22"/>
          <w:szCs w:val="22"/>
          <w:lang w:val="en-US"/>
        </w:rPr>
        <w:t>ScF</w:t>
      </w:r>
      <w:proofErr w:type="spellEnd"/>
      <w:r w:rsidRPr="00A12603">
        <w:rPr>
          <w:rFonts w:ascii="Arial" w:hAnsi="Arial" w:cs="Arial"/>
          <w:color w:val="000000" w:themeColor="text1"/>
          <w:sz w:val="22"/>
          <w:szCs w:val="22"/>
          <w:lang w:val="en-US"/>
        </w:rPr>
        <w:t xml:space="preserve"> mice, suggesting that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mice displayed the highest demand for iron to support erythropoiesis. TIBC and transferrin saturation was lower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and </w:t>
      </w:r>
      <w:proofErr w:type="spellStart"/>
      <w:r w:rsidRPr="00A12603">
        <w:rPr>
          <w:rFonts w:ascii="Arial" w:hAnsi="Arial" w:cs="Arial"/>
          <w:i/>
          <w:color w:val="000000" w:themeColor="text1"/>
          <w:sz w:val="22"/>
          <w:szCs w:val="22"/>
          <w:lang w:val="en-US"/>
        </w:rPr>
        <w:t>ScF</w:t>
      </w:r>
      <w:proofErr w:type="spellEnd"/>
      <w:r w:rsidRPr="00A12603">
        <w:rPr>
          <w:rFonts w:ascii="Arial" w:hAnsi="Arial" w:cs="Arial"/>
          <w:color w:val="000000" w:themeColor="text1"/>
          <w:sz w:val="22"/>
          <w:szCs w:val="22"/>
          <w:lang w:val="en-US"/>
        </w:rPr>
        <w:t xml:space="preserve"> mice injected with iron, whereas </w:t>
      </w:r>
      <w:r w:rsidRPr="00A12603">
        <w:rPr>
          <w:rFonts w:ascii="Arial" w:hAnsi="Arial" w:cs="Arial"/>
          <w:i/>
          <w:color w:val="000000" w:themeColor="text1"/>
          <w:sz w:val="22"/>
          <w:szCs w:val="22"/>
          <w:lang w:val="en-US"/>
        </w:rPr>
        <w:t>WT</w:t>
      </w:r>
      <w:r w:rsidRPr="00A12603">
        <w:rPr>
          <w:rFonts w:ascii="Arial" w:hAnsi="Arial" w:cs="Arial"/>
          <w:color w:val="000000" w:themeColor="text1"/>
          <w:sz w:val="22"/>
          <w:szCs w:val="22"/>
          <w:lang w:val="en-US"/>
        </w:rPr>
        <w:t xml:space="preserve"> and </w:t>
      </w:r>
      <w:proofErr w:type="spellStart"/>
      <w:r w:rsidRPr="00A12603">
        <w:rPr>
          <w:rFonts w:ascii="Arial" w:hAnsi="Arial" w:cs="Arial"/>
          <w:i/>
          <w:color w:val="000000" w:themeColor="text1"/>
          <w:sz w:val="22"/>
          <w:szCs w:val="22"/>
          <w:lang w:val="en-US"/>
        </w:rPr>
        <w:t>VaF</w:t>
      </w:r>
      <w:proofErr w:type="spellEnd"/>
      <w:r w:rsidRPr="00A12603">
        <w:rPr>
          <w:rFonts w:ascii="Arial" w:hAnsi="Arial" w:cs="Arial"/>
          <w:color w:val="000000" w:themeColor="text1"/>
          <w:sz w:val="22"/>
          <w:szCs w:val="22"/>
          <w:lang w:val="en-US"/>
        </w:rPr>
        <w:t xml:space="preserve"> mice showed the expected increase in transferrin saturation. Tfr1 protein expression levels were highest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mice, but lower than </w:t>
      </w:r>
      <w:r w:rsidRPr="00A12603">
        <w:rPr>
          <w:rFonts w:ascii="Arial" w:hAnsi="Arial" w:cs="Arial"/>
          <w:i/>
          <w:color w:val="000000" w:themeColor="text1"/>
          <w:sz w:val="22"/>
          <w:szCs w:val="22"/>
          <w:lang w:val="en-US"/>
        </w:rPr>
        <w:t>WT</w:t>
      </w:r>
      <w:r w:rsidRPr="00A12603">
        <w:rPr>
          <w:rFonts w:ascii="Arial" w:hAnsi="Arial" w:cs="Arial"/>
          <w:color w:val="000000" w:themeColor="text1"/>
          <w:sz w:val="22"/>
          <w:szCs w:val="22"/>
          <w:lang w:val="en-US"/>
        </w:rPr>
        <w:t xml:space="preserve"> in </w:t>
      </w:r>
      <w:proofErr w:type="spellStart"/>
      <w:r w:rsidRPr="00A12603">
        <w:rPr>
          <w:rFonts w:ascii="Arial" w:hAnsi="Arial" w:cs="Arial"/>
          <w:i/>
          <w:color w:val="000000" w:themeColor="text1"/>
          <w:sz w:val="22"/>
          <w:szCs w:val="22"/>
          <w:lang w:val="en-US"/>
        </w:rPr>
        <w:t>ScF</w:t>
      </w:r>
      <w:proofErr w:type="spellEnd"/>
      <w:r w:rsidRPr="00A12603">
        <w:rPr>
          <w:rFonts w:ascii="Arial" w:hAnsi="Arial" w:cs="Arial"/>
          <w:color w:val="000000" w:themeColor="text1"/>
          <w:sz w:val="22"/>
          <w:szCs w:val="22"/>
          <w:lang w:val="en-US"/>
        </w:rPr>
        <w:t xml:space="preserve"> mice and Tfr1 expression decreased upon iron injections in WT mice. </w:t>
      </w:r>
    </w:p>
    <w:p w14:paraId="3176593B" w14:textId="77777777" w:rsidR="00061DDF" w:rsidRDefault="00061DDF" w:rsidP="00A12603">
      <w:pPr>
        <w:spacing w:line="360" w:lineRule="auto"/>
        <w:ind w:right="-205"/>
        <w:jc w:val="both"/>
        <w:rPr>
          <w:rFonts w:ascii="Arial" w:hAnsi="Arial" w:cs="Arial"/>
          <w:color w:val="000000" w:themeColor="text1"/>
          <w:sz w:val="22"/>
          <w:szCs w:val="22"/>
          <w:lang w:val="en-US"/>
        </w:rPr>
      </w:pPr>
    </w:p>
    <w:p w14:paraId="244A0527" w14:textId="77777777" w:rsidR="00061DDF" w:rsidRPr="00A12603" w:rsidRDefault="00061DDF" w:rsidP="00A12603">
      <w:pPr>
        <w:spacing w:line="360" w:lineRule="auto"/>
        <w:ind w:right="-205"/>
        <w:jc w:val="both"/>
        <w:rPr>
          <w:rFonts w:ascii="Arial" w:hAnsi="Arial" w:cs="Arial"/>
          <w:color w:val="000000" w:themeColor="text1"/>
          <w:sz w:val="22"/>
          <w:szCs w:val="22"/>
          <w:lang w:val="en-US"/>
        </w:rPr>
      </w:pPr>
      <w:r w:rsidRPr="00061DDF">
        <w:rPr>
          <w:rFonts w:ascii="Arial" w:hAnsi="Arial" w:cs="Arial"/>
          <w:noProof/>
          <w:color w:val="000000" w:themeColor="text1"/>
          <w:sz w:val="22"/>
          <w:szCs w:val="22"/>
          <w:lang w:val="cs-CZ" w:eastAsia="cs-CZ"/>
        </w:rPr>
        <w:lastRenderedPageBreak/>
        <w:drawing>
          <wp:inline distT="0" distB="0" distL="0" distR="0" wp14:anchorId="0810D2AA" wp14:editId="086E712B">
            <wp:extent cx="5380892" cy="7051040"/>
            <wp:effectExtent l="0" t="0" r="4445" b="0"/>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Grafik 500"/>
                    <pic:cNvPicPr/>
                  </pic:nvPicPr>
                  <pic:blipFill rotWithShape="1">
                    <a:blip r:embed="rId53" cstate="print">
                      <a:extLst>
                        <a:ext uri="{28A0092B-C50C-407E-A947-70E740481C1C}">
                          <a14:useLocalDpi xmlns:a14="http://schemas.microsoft.com/office/drawing/2010/main" val="0"/>
                        </a:ext>
                      </a:extLst>
                    </a:blip>
                    <a:srcRect r="267"/>
                    <a:stretch/>
                  </pic:blipFill>
                  <pic:spPr bwMode="auto">
                    <a:xfrm>
                      <a:off x="0" y="0"/>
                      <a:ext cx="5381231" cy="7051484"/>
                    </a:xfrm>
                    <a:prstGeom prst="rect">
                      <a:avLst/>
                    </a:prstGeom>
                    <a:ln>
                      <a:noFill/>
                    </a:ln>
                    <a:extLst>
                      <a:ext uri="{53640926-AAD7-44D8-BBD7-CCE9431645EC}">
                        <a14:shadowObscured xmlns:a14="http://schemas.microsoft.com/office/drawing/2010/main"/>
                      </a:ext>
                    </a:extLst>
                  </pic:spPr>
                </pic:pic>
              </a:graphicData>
            </a:graphic>
          </wp:inline>
        </w:drawing>
      </w:r>
    </w:p>
    <w:p w14:paraId="46B45F0B" w14:textId="6A299471" w:rsidR="00B32DB7" w:rsidRPr="00B32DB7" w:rsidRDefault="00B32DB7" w:rsidP="00B32DB7">
      <w:pPr>
        <w:spacing w:line="360" w:lineRule="auto"/>
        <w:jc w:val="both"/>
        <w:rPr>
          <w:rFonts w:ascii="Arial" w:hAnsi="Arial" w:cs="Arial"/>
          <w:sz w:val="22"/>
          <w:szCs w:val="22"/>
          <w:lang w:val="en-US"/>
        </w:rPr>
      </w:pPr>
      <w:r w:rsidRPr="00B32DB7">
        <w:rPr>
          <w:rFonts w:ascii="Arial" w:hAnsi="Arial" w:cs="Arial"/>
          <w:b/>
          <w:bCs/>
          <w:sz w:val="22"/>
          <w:szCs w:val="22"/>
          <w:lang w:val="en-US"/>
        </w:rPr>
        <w:t xml:space="preserve">Figure </w:t>
      </w:r>
      <w:r>
        <w:rPr>
          <w:rFonts w:ascii="Arial" w:hAnsi="Arial" w:cs="Arial"/>
          <w:b/>
          <w:bCs/>
          <w:sz w:val="22"/>
          <w:szCs w:val="22"/>
          <w:lang w:val="en-US"/>
        </w:rPr>
        <w:t>35:</w:t>
      </w:r>
      <w:r w:rsidRPr="00B32DB7">
        <w:rPr>
          <w:rFonts w:ascii="Arial" w:hAnsi="Arial" w:cs="Arial"/>
          <w:b/>
          <w:bCs/>
          <w:sz w:val="22"/>
          <w:szCs w:val="22"/>
          <w:lang w:val="en-US"/>
        </w:rPr>
        <w:t xml:space="preserve"> Effects of parenteral iron injections on platelet and red cell production in </w:t>
      </w:r>
      <w:r w:rsidRPr="00B32DB7">
        <w:rPr>
          <w:rFonts w:ascii="Arial" w:hAnsi="Arial" w:cs="Arial"/>
          <w:b/>
          <w:sz w:val="22"/>
          <w:szCs w:val="22"/>
          <w:lang w:val="en-US"/>
        </w:rPr>
        <w:t>MPN mouse models with very high platelet counts</w:t>
      </w:r>
      <w:r w:rsidRPr="00B32DB7">
        <w:rPr>
          <w:rFonts w:ascii="Arial" w:hAnsi="Arial" w:cs="Arial"/>
          <w:b/>
          <w:bCs/>
          <w:sz w:val="22"/>
          <w:szCs w:val="22"/>
          <w:lang w:val="en-US"/>
        </w:rPr>
        <w:t>.</w:t>
      </w:r>
      <w:r w:rsidRPr="00B32DB7">
        <w:rPr>
          <w:rFonts w:ascii="Arial" w:hAnsi="Arial" w:cs="Arial"/>
          <w:bCs/>
          <w:sz w:val="22"/>
          <w:szCs w:val="22"/>
          <w:lang w:val="en-US"/>
        </w:rPr>
        <w:t xml:space="preserve"> </w:t>
      </w:r>
      <w:r w:rsidRPr="00B32DB7">
        <w:rPr>
          <w:rFonts w:ascii="Arial" w:hAnsi="Arial" w:cs="Arial"/>
          <w:sz w:val="22"/>
          <w:szCs w:val="22"/>
          <w:lang w:val="en-US"/>
        </w:rPr>
        <w:t>(</w:t>
      </w:r>
      <w:r w:rsidRPr="00B32DB7">
        <w:rPr>
          <w:rFonts w:ascii="Arial" w:hAnsi="Arial" w:cs="Arial"/>
          <w:b/>
          <w:bCs/>
          <w:sz w:val="22"/>
          <w:szCs w:val="22"/>
          <w:lang w:val="en-US"/>
        </w:rPr>
        <w:t>A</w:t>
      </w:r>
      <w:r w:rsidRPr="00B32DB7">
        <w:rPr>
          <w:rFonts w:ascii="Arial" w:hAnsi="Arial" w:cs="Arial"/>
          <w:sz w:val="22"/>
          <w:szCs w:val="22"/>
          <w:lang w:val="en-US"/>
        </w:rPr>
        <w:t xml:space="preserve">) Schematic drawing of the </w:t>
      </w:r>
      <w:r w:rsidRPr="00B32DB7">
        <w:rPr>
          <w:rFonts w:ascii="Arial" w:hAnsi="Arial" w:cs="Arial"/>
          <w:color w:val="000000" w:themeColor="text1"/>
          <w:sz w:val="22"/>
          <w:szCs w:val="22"/>
          <w:lang w:val="en-US"/>
        </w:rPr>
        <w:t xml:space="preserve">experimental setup for the bone marrow transplantations and iron injections. </w:t>
      </w:r>
      <w:r w:rsidRPr="00B32DB7">
        <w:rPr>
          <w:rFonts w:ascii="Arial" w:hAnsi="Arial" w:cs="Arial"/>
          <w:sz w:val="22"/>
          <w:szCs w:val="22"/>
          <w:lang w:val="en-US"/>
        </w:rPr>
        <w:t>(</w:t>
      </w:r>
      <w:r w:rsidRPr="00B32DB7">
        <w:rPr>
          <w:rFonts w:ascii="Arial" w:hAnsi="Arial" w:cs="Arial"/>
          <w:b/>
          <w:bCs/>
          <w:sz w:val="22"/>
          <w:szCs w:val="22"/>
          <w:lang w:val="en-US"/>
        </w:rPr>
        <w:t>B</w:t>
      </w:r>
      <w:r w:rsidRPr="00B32DB7">
        <w:rPr>
          <w:rFonts w:ascii="Arial" w:hAnsi="Arial" w:cs="Arial"/>
          <w:sz w:val="22"/>
          <w:szCs w:val="22"/>
          <w:lang w:val="en-US"/>
        </w:rPr>
        <w:t xml:space="preserve">) Time course of body weight. </w:t>
      </w:r>
      <w:r>
        <w:rPr>
          <w:rFonts w:ascii="Arial" w:hAnsi="Arial" w:cs="Arial"/>
          <w:sz w:val="22"/>
          <w:szCs w:val="22"/>
          <w:lang w:val="en-US"/>
        </w:rPr>
        <w:t>(</w:t>
      </w:r>
      <w:r w:rsidRPr="00B32DB7">
        <w:rPr>
          <w:rFonts w:ascii="Arial" w:hAnsi="Arial" w:cs="Arial"/>
          <w:b/>
          <w:bCs/>
          <w:sz w:val="22"/>
          <w:szCs w:val="22"/>
          <w:lang w:val="en-US"/>
        </w:rPr>
        <w:t>C</w:t>
      </w:r>
      <w:r w:rsidRPr="00B32DB7">
        <w:rPr>
          <w:rFonts w:ascii="Arial" w:hAnsi="Arial" w:cs="Arial"/>
          <w:sz w:val="22"/>
          <w:szCs w:val="22"/>
          <w:lang w:val="en-US"/>
        </w:rPr>
        <w:t xml:space="preserve">) Time course of platelet counts </w:t>
      </w:r>
      <w:r>
        <w:rPr>
          <w:rFonts w:ascii="Arial" w:hAnsi="Arial" w:cs="Arial"/>
          <w:sz w:val="22"/>
          <w:szCs w:val="22"/>
          <w:lang w:val="en-US"/>
        </w:rPr>
        <w:t>(n</w:t>
      </w:r>
      <w:r w:rsidRPr="004B0BA9">
        <w:rPr>
          <w:rFonts w:ascii="Arial" w:hAnsi="Arial" w:cs="Arial"/>
          <w:sz w:val="22"/>
          <w:szCs w:val="22"/>
          <w:lang w:val="en-US"/>
        </w:rPr>
        <w:t xml:space="preserve">= </w:t>
      </w:r>
      <w:r>
        <w:rPr>
          <w:rFonts w:ascii="Arial" w:hAnsi="Arial" w:cs="Arial"/>
          <w:sz w:val="22"/>
          <w:szCs w:val="22"/>
          <w:lang w:val="en-US"/>
        </w:rPr>
        <w:t xml:space="preserve">6-8 </w:t>
      </w:r>
      <w:r w:rsidRPr="004B0BA9">
        <w:rPr>
          <w:rFonts w:ascii="Arial" w:hAnsi="Arial" w:cs="Arial"/>
          <w:sz w:val="22"/>
          <w:szCs w:val="22"/>
          <w:lang w:val="en-US"/>
        </w:rPr>
        <w:t>mice per genotype and treatment group</w:t>
      </w:r>
      <w:r>
        <w:rPr>
          <w:rFonts w:ascii="Arial" w:hAnsi="Arial" w:cs="Arial"/>
          <w:sz w:val="22"/>
          <w:szCs w:val="22"/>
          <w:lang w:val="en-US"/>
        </w:rPr>
        <w:t>)</w:t>
      </w:r>
      <w:r w:rsidRPr="00B32DB7">
        <w:rPr>
          <w:rFonts w:ascii="Arial" w:hAnsi="Arial" w:cs="Arial"/>
          <w:sz w:val="22"/>
          <w:szCs w:val="22"/>
          <w:lang w:val="en-US"/>
        </w:rPr>
        <w:t xml:space="preserve"> </w:t>
      </w:r>
      <w:r w:rsidRPr="00B32DB7">
        <w:rPr>
          <w:rFonts w:ascii="Arial" w:hAnsi="Arial" w:cs="Arial"/>
          <w:b/>
          <w:sz w:val="22"/>
          <w:szCs w:val="22"/>
          <w:lang w:val="en-US"/>
        </w:rPr>
        <w:t xml:space="preserve">(D) </w:t>
      </w:r>
      <w:r w:rsidRPr="00B32DB7">
        <w:rPr>
          <w:rFonts w:ascii="Arial" w:hAnsi="Arial" w:cs="Arial"/>
          <w:sz w:val="22"/>
          <w:szCs w:val="22"/>
          <w:lang w:val="en-US"/>
        </w:rPr>
        <w:t>Spleen weight at terminal analysis</w:t>
      </w:r>
      <w:r w:rsidRPr="00B32DB7">
        <w:rPr>
          <w:rFonts w:ascii="Arial" w:hAnsi="Arial" w:cs="Arial"/>
          <w:color w:val="000000" w:themeColor="text1"/>
          <w:sz w:val="22"/>
          <w:szCs w:val="22"/>
          <w:lang w:val="en-US"/>
        </w:rPr>
        <w:t>.</w:t>
      </w:r>
      <w:r>
        <w:rPr>
          <w:rFonts w:ascii="Arial" w:hAnsi="Arial" w:cs="Arial"/>
          <w:color w:val="000000" w:themeColor="text1"/>
          <w:sz w:val="22"/>
          <w:szCs w:val="22"/>
          <w:lang w:val="en-US"/>
        </w:rPr>
        <w:t xml:space="preserve"> (</w:t>
      </w:r>
      <w:r>
        <w:rPr>
          <w:rFonts w:ascii="Arial" w:hAnsi="Arial" w:cs="Arial"/>
          <w:b/>
          <w:bCs/>
          <w:sz w:val="22"/>
          <w:szCs w:val="22"/>
          <w:lang w:val="en-US"/>
        </w:rPr>
        <w:t>E</w:t>
      </w:r>
      <w:r w:rsidRPr="00B32DB7">
        <w:rPr>
          <w:rFonts w:ascii="Arial" w:hAnsi="Arial" w:cs="Arial"/>
          <w:sz w:val="22"/>
          <w:szCs w:val="22"/>
          <w:lang w:val="en-US"/>
        </w:rPr>
        <w:t xml:space="preserve">) Time course of </w:t>
      </w:r>
      <w:r>
        <w:rPr>
          <w:rFonts w:ascii="Arial" w:hAnsi="Arial" w:cs="Arial"/>
          <w:sz w:val="22"/>
          <w:szCs w:val="22"/>
          <w:lang w:val="en-US"/>
        </w:rPr>
        <w:t xml:space="preserve">red blood cells </w:t>
      </w:r>
      <w:r w:rsidR="00972CD9">
        <w:rPr>
          <w:rFonts w:ascii="Arial" w:hAnsi="Arial" w:cs="Arial"/>
          <w:sz w:val="22"/>
          <w:szCs w:val="22"/>
          <w:lang w:val="en-US"/>
        </w:rPr>
        <w:t>parameters</w:t>
      </w:r>
      <w:r>
        <w:rPr>
          <w:rFonts w:ascii="Arial" w:hAnsi="Arial" w:cs="Arial"/>
          <w:sz w:val="22"/>
          <w:szCs w:val="22"/>
          <w:lang w:val="en-US"/>
        </w:rPr>
        <w:t>. N=</w:t>
      </w:r>
      <w:r w:rsidRPr="004B0BA9">
        <w:rPr>
          <w:rFonts w:ascii="Arial" w:hAnsi="Arial" w:cs="Arial"/>
          <w:sz w:val="22"/>
          <w:szCs w:val="22"/>
          <w:lang w:val="en-US"/>
        </w:rPr>
        <w:t xml:space="preserve"> </w:t>
      </w:r>
      <w:r>
        <w:rPr>
          <w:rFonts w:ascii="Arial" w:hAnsi="Arial" w:cs="Arial"/>
          <w:sz w:val="22"/>
          <w:szCs w:val="22"/>
          <w:lang w:val="en-US"/>
        </w:rPr>
        <w:t xml:space="preserve">6-8 </w:t>
      </w:r>
      <w:r w:rsidRPr="004B0BA9">
        <w:rPr>
          <w:rFonts w:ascii="Arial" w:hAnsi="Arial" w:cs="Arial"/>
          <w:sz w:val="22"/>
          <w:szCs w:val="22"/>
          <w:lang w:val="en-US"/>
        </w:rPr>
        <w:t>mice per genotype and treatment group</w:t>
      </w:r>
      <w:r>
        <w:rPr>
          <w:rFonts w:ascii="Arial" w:hAnsi="Arial" w:cs="Arial"/>
          <w:sz w:val="22"/>
          <w:szCs w:val="22"/>
          <w:lang w:val="en-US"/>
        </w:rPr>
        <w:t xml:space="preserve"> (</w:t>
      </w:r>
      <w:r w:rsidRPr="00B32DB7">
        <w:rPr>
          <w:rFonts w:ascii="Arial" w:hAnsi="Arial" w:cs="Arial"/>
          <w:b/>
          <w:bCs/>
          <w:sz w:val="22"/>
          <w:szCs w:val="22"/>
          <w:lang w:val="en-US"/>
        </w:rPr>
        <w:t>F</w:t>
      </w:r>
      <w:r>
        <w:rPr>
          <w:rFonts w:ascii="Arial" w:hAnsi="Arial" w:cs="Arial"/>
          <w:sz w:val="22"/>
          <w:szCs w:val="22"/>
          <w:lang w:val="en-US"/>
        </w:rPr>
        <w:t>)</w:t>
      </w:r>
      <w:r w:rsidRPr="00B32DB7">
        <w:rPr>
          <w:rFonts w:ascii="Arial" w:hAnsi="Arial" w:cs="Arial"/>
          <w:color w:val="000000" w:themeColor="text1"/>
          <w:sz w:val="22"/>
          <w:szCs w:val="22"/>
          <w:lang w:val="en-US"/>
        </w:rPr>
        <w:t xml:space="preserve"> </w:t>
      </w:r>
      <w:r w:rsidRPr="004B0BA9">
        <w:rPr>
          <w:rFonts w:ascii="Arial" w:hAnsi="Arial" w:cs="Arial"/>
          <w:bCs/>
          <w:sz w:val="22"/>
          <w:szCs w:val="22"/>
          <w:lang w:val="en-US"/>
        </w:rPr>
        <w:t xml:space="preserve">Iron parameters and regulatory cytokines. </w:t>
      </w:r>
      <w:r w:rsidRPr="004B0BA9">
        <w:rPr>
          <w:rFonts w:ascii="Arial" w:hAnsi="Arial" w:cs="Arial"/>
          <w:sz w:val="22"/>
          <w:szCs w:val="22"/>
          <w:lang w:val="en-US"/>
        </w:rPr>
        <w:t>Group size was n= 4-</w:t>
      </w:r>
      <w:r>
        <w:rPr>
          <w:rFonts w:ascii="Arial" w:hAnsi="Arial" w:cs="Arial"/>
          <w:sz w:val="22"/>
          <w:szCs w:val="22"/>
          <w:lang w:val="en-US"/>
        </w:rPr>
        <w:t>8</w:t>
      </w:r>
      <w:r w:rsidRPr="004B0BA9">
        <w:rPr>
          <w:rFonts w:ascii="Arial" w:hAnsi="Arial" w:cs="Arial"/>
          <w:sz w:val="22"/>
          <w:szCs w:val="22"/>
          <w:lang w:val="en-US"/>
        </w:rPr>
        <w:t xml:space="preserve"> mice per genotype and treatment group</w:t>
      </w:r>
      <w:r>
        <w:rPr>
          <w:rFonts w:ascii="Arial" w:hAnsi="Arial" w:cs="Arial"/>
          <w:color w:val="000000" w:themeColor="text1"/>
          <w:sz w:val="22"/>
          <w:szCs w:val="22"/>
          <w:lang w:val="en-US"/>
        </w:rPr>
        <w:t xml:space="preserve">. </w:t>
      </w:r>
      <w:r w:rsidRPr="00B32DB7">
        <w:rPr>
          <w:rFonts w:ascii="Arial" w:hAnsi="Arial" w:cs="Arial"/>
          <w:color w:val="000000" w:themeColor="text1"/>
          <w:sz w:val="22"/>
          <w:szCs w:val="22"/>
          <w:lang w:val="en-US"/>
        </w:rPr>
        <w:lastRenderedPageBreak/>
        <w:t xml:space="preserve">All data are presented as mean ± standard error of the mean. </w:t>
      </w:r>
      <w:r w:rsidRPr="00B32DB7">
        <w:rPr>
          <w:rFonts w:ascii="Arial" w:hAnsi="Arial" w:cs="Arial"/>
          <w:sz w:val="22"/>
          <w:szCs w:val="22"/>
          <w:lang w:val="en-US"/>
        </w:rPr>
        <w:t>Two-way analyses of variance (ANOVAs</w:t>
      </w:r>
      <w:r>
        <w:rPr>
          <w:rFonts w:ascii="Arial" w:hAnsi="Arial" w:cs="Arial"/>
          <w:sz w:val="22"/>
          <w:szCs w:val="22"/>
          <w:lang w:val="en-US"/>
        </w:rPr>
        <w:t xml:space="preserve">) </w:t>
      </w:r>
      <w:r w:rsidRPr="00B32DB7">
        <w:rPr>
          <w:rFonts w:ascii="Arial" w:hAnsi="Arial" w:cs="Arial"/>
          <w:sz w:val="22"/>
          <w:szCs w:val="22"/>
          <w:lang w:val="en-US"/>
        </w:rPr>
        <w:t>were used for multiple-group comparisons. *P &lt; .05, **P &lt; .01, ***P &lt; .001, ****P &lt; .0001.</w:t>
      </w:r>
    </w:p>
    <w:p w14:paraId="10AEF37A" w14:textId="77777777" w:rsidR="00583D55" w:rsidRPr="00BC3A9C" w:rsidRDefault="00583D55" w:rsidP="00BC3A9C">
      <w:pPr>
        <w:autoSpaceDE w:val="0"/>
        <w:autoSpaceDN w:val="0"/>
        <w:adjustRightInd w:val="0"/>
        <w:spacing w:line="360" w:lineRule="auto"/>
        <w:jc w:val="both"/>
        <w:rPr>
          <w:rFonts w:ascii="Arial" w:hAnsi="Arial" w:cs="Arial"/>
          <w:sz w:val="22"/>
          <w:szCs w:val="22"/>
          <w:lang w:val="en-US"/>
        </w:rPr>
      </w:pPr>
    </w:p>
    <w:p w14:paraId="22BF57EE" w14:textId="77777777" w:rsidR="00BC3A9C" w:rsidRPr="00BC3A9C" w:rsidRDefault="00BC3A9C" w:rsidP="00BC3A9C">
      <w:pPr>
        <w:autoSpaceDE w:val="0"/>
        <w:autoSpaceDN w:val="0"/>
        <w:adjustRightInd w:val="0"/>
        <w:spacing w:line="360" w:lineRule="auto"/>
        <w:jc w:val="both"/>
        <w:rPr>
          <w:rFonts w:ascii="Arial" w:hAnsi="Arial" w:cs="Arial"/>
          <w:color w:val="000000" w:themeColor="text1"/>
          <w:sz w:val="22"/>
          <w:szCs w:val="22"/>
          <w:lang w:val="en-US"/>
        </w:rPr>
      </w:pPr>
      <w:r w:rsidRPr="00BC3A9C">
        <w:rPr>
          <w:rFonts w:ascii="Arial" w:hAnsi="Arial" w:cs="Arial"/>
          <w:color w:val="000000" w:themeColor="text1"/>
          <w:sz w:val="22"/>
          <w:szCs w:val="22"/>
          <w:lang w:val="en-US"/>
        </w:rPr>
        <w:t xml:space="preserve">Hematopoietic progenitor and stem cell frequencies were determined at terminal workup (Figure </w:t>
      </w:r>
      <w:r w:rsidR="00583D55">
        <w:rPr>
          <w:rFonts w:ascii="Arial" w:hAnsi="Arial" w:cs="Arial"/>
          <w:color w:val="000000" w:themeColor="text1"/>
          <w:sz w:val="22"/>
          <w:szCs w:val="22"/>
          <w:lang w:val="en-US"/>
        </w:rPr>
        <w:t>36</w:t>
      </w:r>
      <w:r w:rsidRPr="00BC3A9C">
        <w:rPr>
          <w:rFonts w:ascii="Arial" w:hAnsi="Arial" w:cs="Arial"/>
          <w:color w:val="000000" w:themeColor="text1"/>
          <w:sz w:val="22"/>
          <w:szCs w:val="22"/>
          <w:lang w:val="en-US"/>
        </w:rPr>
        <w:t xml:space="preserve">). Iron injections had no effect on the frequencies of LT-HSCs in bone marrow and spleen. </w:t>
      </w:r>
      <w:r w:rsidR="00583D55" w:rsidRPr="00BC3A9C">
        <w:rPr>
          <w:rFonts w:ascii="Arial" w:hAnsi="Arial" w:cs="Arial"/>
          <w:color w:val="000000" w:themeColor="text1"/>
          <w:sz w:val="22"/>
          <w:szCs w:val="22"/>
          <w:lang w:val="en-US"/>
        </w:rPr>
        <w:t>Also,</w:t>
      </w:r>
      <w:r w:rsidRPr="00BC3A9C">
        <w:rPr>
          <w:rFonts w:ascii="Arial" w:hAnsi="Arial" w:cs="Arial"/>
          <w:color w:val="000000" w:themeColor="text1"/>
          <w:sz w:val="22"/>
          <w:szCs w:val="22"/>
          <w:lang w:val="en-US"/>
        </w:rPr>
        <w:t xml:space="preserve"> the percentages of CD41</w:t>
      </w:r>
      <w:r w:rsidRPr="00BC3A9C">
        <w:rPr>
          <w:rFonts w:ascii="Arial" w:hAnsi="Arial" w:cs="Arial"/>
          <w:color w:val="000000" w:themeColor="text1"/>
          <w:sz w:val="22"/>
          <w:szCs w:val="22"/>
          <w:vertAlign w:val="superscript"/>
          <w:lang w:val="en-US"/>
        </w:rPr>
        <w:t>hi</w:t>
      </w:r>
      <w:r w:rsidRPr="00BC3A9C">
        <w:rPr>
          <w:rFonts w:ascii="Arial" w:hAnsi="Arial" w:cs="Arial"/>
          <w:color w:val="000000" w:themeColor="text1"/>
          <w:sz w:val="22"/>
          <w:szCs w:val="22"/>
          <w:lang w:val="en-US"/>
        </w:rPr>
        <w:t xml:space="preserve"> HSCs did not change upon iron injections, except for a trend towards lower CD41</w:t>
      </w:r>
      <w:r w:rsidRPr="00BC3A9C">
        <w:rPr>
          <w:rFonts w:ascii="Arial" w:hAnsi="Arial" w:cs="Arial"/>
          <w:color w:val="000000" w:themeColor="text1"/>
          <w:sz w:val="22"/>
          <w:szCs w:val="22"/>
          <w:vertAlign w:val="superscript"/>
          <w:lang w:val="en-US"/>
        </w:rPr>
        <w:t>hi</w:t>
      </w:r>
      <w:r w:rsidRPr="00BC3A9C">
        <w:rPr>
          <w:rFonts w:ascii="Arial" w:hAnsi="Arial" w:cs="Arial"/>
          <w:color w:val="000000" w:themeColor="text1"/>
          <w:sz w:val="22"/>
          <w:szCs w:val="22"/>
          <w:lang w:val="en-US"/>
        </w:rPr>
        <w:t xml:space="preserve"> HSCs in </w:t>
      </w:r>
      <w:r w:rsidRPr="00BC3A9C">
        <w:rPr>
          <w:rFonts w:ascii="Arial" w:hAnsi="Arial" w:cs="Arial"/>
          <w:i/>
          <w:color w:val="000000" w:themeColor="text1"/>
          <w:sz w:val="22"/>
          <w:szCs w:val="22"/>
          <w:lang w:val="en-US"/>
        </w:rPr>
        <w:t>Ki</w:t>
      </w:r>
      <w:r w:rsidRPr="00BC3A9C">
        <w:rPr>
          <w:rFonts w:ascii="Arial" w:hAnsi="Arial" w:cs="Arial"/>
          <w:color w:val="000000" w:themeColor="text1"/>
          <w:sz w:val="22"/>
          <w:szCs w:val="22"/>
          <w:lang w:val="en-US"/>
        </w:rPr>
        <w:t xml:space="preserve"> mice injected with iron. </w:t>
      </w:r>
      <w:proofErr w:type="spellStart"/>
      <w:r w:rsidRPr="00BC3A9C">
        <w:rPr>
          <w:rFonts w:ascii="Arial" w:hAnsi="Arial" w:cs="Arial"/>
          <w:i/>
          <w:color w:val="000000" w:themeColor="text1"/>
          <w:sz w:val="22"/>
          <w:szCs w:val="22"/>
          <w:lang w:val="en-US"/>
        </w:rPr>
        <w:t>VaF</w:t>
      </w:r>
      <w:proofErr w:type="spellEnd"/>
      <w:r w:rsidRPr="00BC3A9C">
        <w:rPr>
          <w:rFonts w:ascii="Arial" w:hAnsi="Arial" w:cs="Arial"/>
          <w:color w:val="000000" w:themeColor="text1"/>
          <w:sz w:val="22"/>
          <w:szCs w:val="22"/>
          <w:lang w:val="en-US"/>
        </w:rPr>
        <w:t xml:space="preserve"> mice had substantially higher frequencies of LT -HSCs and CMPs than any of the other genotypes (Figure </w:t>
      </w:r>
      <w:r w:rsidR="00583D55">
        <w:rPr>
          <w:rFonts w:ascii="Arial" w:hAnsi="Arial" w:cs="Arial"/>
          <w:color w:val="000000" w:themeColor="text1"/>
          <w:sz w:val="22"/>
          <w:szCs w:val="22"/>
          <w:lang w:val="en-US"/>
        </w:rPr>
        <w:t>36</w:t>
      </w:r>
      <w:r w:rsidRPr="00BC3A9C">
        <w:rPr>
          <w:rFonts w:ascii="Arial" w:hAnsi="Arial" w:cs="Arial"/>
          <w:color w:val="000000" w:themeColor="text1"/>
          <w:sz w:val="22"/>
          <w:szCs w:val="22"/>
          <w:lang w:val="en-US"/>
        </w:rPr>
        <w:t xml:space="preserve">A, insert with higher frequency range). Within the CMPs progenitors, </w:t>
      </w:r>
      <w:proofErr w:type="spellStart"/>
      <w:r w:rsidRPr="00BC3A9C">
        <w:rPr>
          <w:rFonts w:ascii="Arial" w:hAnsi="Arial" w:cs="Arial"/>
          <w:i/>
          <w:color w:val="000000" w:themeColor="text1"/>
          <w:sz w:val="22"/>
          <w:szCs w:val="22"/>
          <w:lang w:val="en-US"/>
        </w:rPr>
        <w:t>VaF</w:t>
      </w:r>
      <w:proofErr w:type="spellEnd"/>
      <w:r w:rsidRPr="00BC3A9C">
        <w:rPr>
          <w:rFonts w:ascii="Arial" w:hAnsi="Arial" w:cs="Arial"/>
          <w:color w:val="000000" w:themeColor="text1"/>
          <w:sz w:val="22"/>
          <w:szCs w:val="22"/>
          <w:lang w:val="en-US"/>
        </w:rPr>
        <w:t xml:space="preserve"> mice also displayed the highest percentages of the CD41</w:t>
      </w:r>
      <w:r w:rsidRPr="00BC3A9C">
        <w:rPr>
          <w:rFonts w:ascii="Arial" w:hAnsi="Arial" w:cs="Arial"/>
          <w:color w:val="000000" w:themeColor="text1"/>
          <w:sz w:val="22"/>
          <w:szCs w:val="22"/>
          <w:vertAlign w:val="superscript"/>
          <w:lang w:val="en-US"/>
        </w:rPr>
        <w:t>hi</w:t>
      </w:r>
      <w:r w:rsidRPr="00BC3A9C">
        <w:rPr>
          <w:rFonts w:ascii="Arial" w:hAnsi="Arial" w:cs="Arial"/>
          <w:color w:val="000000" w:themeColor="text1"/>
          <w:sz w:val="22"/>
          <w:szCs w:val="22"/>
          <w:lang w:val="en-US"/>
        </w:rPr>
        <w:t xml:space="preserve"> subset both in bone marrow and spleen. Iron injections decreased the frequencies of MEPs, pre-</w:t>
      </w:r>
      <w:proofErr w:type="spellStart"/>
      <w:r w:rsidRPr="00BC3A9C">
        <w:rPr>
          <w:rFonts w:ascii="Arial" w:hAnsi="Arial" w:cs="Arial"/>
          <w:color w:val="000000" w:themeColor="text1"/>
          <w:sz w:val="22"/>
          <w:szCs w:val="22"/>
          <w:lang w:val="en-US"/>
        </w:rPr>
        <w:t>MegE</w:t>
      </w:r>
      <w:proofErr w:type="spellEnd"/>
      <w:r w:rsidRPr="00BC3A9C">
        <w:rPr>
          <w:rFonts w:ascii="Arial" w:hAnsi="Arial" w:cs="Arial"/>
          <w:color w:val="000000" w:themeColor="text1"/>
          <w:sz w:val="22"/>
          <w:szCs w:val="22"/>
          <w:lang w:val="en-US"/>
        </w:rPr>
        <w:t xml:space="preserve">, and </w:t>
      </w:r>
      <w:proofErr w:type="spellStart"/>
      <w:r w:rsidRPr="00BC3A9C">
        <w:rPr>
          <w:rFonts w:ascii="Arial" w:hAnsi="Arial" w:cs="Arial"/>
          <w:color w:val="000000" w:themeColor="text1"/>
          <w:sz w:val="22"/>
          <w:szCs w:val="22"/>
          <w:lang w:val="en-US"/>
        </w:rPr>
        <w:t>MkPs</w:t>
      </w:r>
      <w:proofErr w:type="spellEnd"/>
      <w:r w:rsidRPr="00BC3A9C">
        <w:rPr>
          <w:rFonts w:ascii="Arial" w:hAnsi="Arial" w:cs="Arial"/>
          <w:color w:val="000000" w:themeColor="text1"/>
          <w:sz w:val="22"/>
          <w:szCs w:val="22"/>
          <w:lang w:val="en-US"/>
        </w:rPr>
        <w:t xml:space="preserve"> in spleen of </w:t>
      </w:r>
      <w:r w:rsidRPr="00BC3A9C">
        <w:rPr>
          <w:rFonts w:ascii="Arial" w:hAnsi="Arial" w:cs="Arial"/>
          <w:i/>
          <w:color w:val="000000" w:themeColor="text1"/>
          <w:sz w:val="22"/>
          <w:szCs w:val="22"/>
          <w:lang w:val="en-US"/>
        </w:rPr>
        <w:t>Ki</w:t>
      </w:r>
      <w:r w:rsidRPr="00BC3A9C">
        <w:rPr>
          <w:rFonts w:ascii="Arial" w:hAnsi="Arial" w:cs="Arial"/>
          <w:color w:val="000000" w:themeColor="text1"/>
          <w:sz w:val="22"/>
          <w:szCs w:val="22"/>
          <w:lang w:val="en-US"/>
        </w:rPr>
        <w:t xml:space="preserve"> and </w:t>
      </w:r>
      <w:proofErr w:type="spellStart"/>
      <w:r w:rsidRPr="00BC3A9C">
        <w:rPr>
          <w:rFonts w:ascii="Arial" w:hAnsi="Arial" w:cs="Arial"/>
          <w:i/>
          <w:color w:val="000000" w:themeColor="text1"/>
          <w:sz w:val="22"/>
          <w:szCs w:val="22"/>
          <w:lang w:val="en-US"/>
        </w:rPr>
        <w:t>ScF</w:t>
      </w:r>
      <w:proofErr w:type="spellEnd"/>
      <w:r w:rsidRPr="00BC3A9C">
        <w:rPr>
          <w:rFonts w:ascii="Arial" w:hAnsi="Arial" w:cs="Arial"/>
          <w:color w:val="000000" w:themeColor="text1"/>
          <w:sz w:val="22"/>
          <w:szCs w:val="22"/>
          <w:lang w:val="en-US"/>
        </w:rPr>
        <w:t xml:space="preserve"> mice, whereas an increase was noted in MEPs, pre-</w:t>
      </w:r>
      <w:proofErr w:type="spellStart"/>
      <w:r w:rsidRPr="00BC3A9C">
        <w:rPr>
          <w:rFonts w:ascii="Arial" w:hAnsi="Arial" w:cs="Arial"/>
          <w:color w:val="000000" w:themeColor="text1"/>
          <w:sz w:val="22"/>
          <w:szCs w:val="22"/>
          <w:lang w:val="en-US"/>
        </w:rPr>
        <w:t>MegEs</w:t>
      </w:r>
      <w:proofErr w:type="spellEnd"/>
      <w:r w:rsidRPr="00BC3A9C">
        <w:rPr>
          <w:rFonts w:ascii="Arial" w:hAnsi="Arial" w:cs="Arial"/>
          <w:color w:val="000000" w:themeColor="text1"/>
          <w:sz w:val="22"/>
          <w:szCs w:val="22"/>
          <w:lang w:val="en-US"/>
        </w:rPr>
        <w:t xml:space="preserve"> and CFU-E in spleen of </w:t>
      </w:r>
      <w:r w:rsidRPr="00BC3A9C">
        <w:rPr>
          <w:rFonts w:ascii="Arial" w:hAnsi="Arial" w:cs="Arial"/>
          <w:i/>
          <w:color w:val="000000" w:themeColor="text1"/>
          <w:sz w:val="22"/>
          <w:szCs w:val="22"/>
          <w:lang w:val="en-US"/>
        </w:rPr>
        <w:t>WT</w:t>
      </w:r>
      <w:r w:rsidRPr="00BC3A9C">
        <w:rPr>
          <w:rFonts w:ascii="Arial" w:hAnsi="Arial" w:cs="Arial"/>
          <w:color w:val="000000" w:themeColor="text1"/>
          <w:sz w:val="22"/>
          <w:szCs w:val="22"/>
          <w:lang w:val="en-US"/>
        </w:rPr>
        <w:t xml:space="preserve"> mice. Detailed analysis of </w:t>
      </w:r>
      <w:r w:rsidRPr="00BC3A9C">
        <w:rPr>
          <w:rFonts w:ascii="Arial" w:hAnsi="Arial" w:cs="Arial"/>
          <w:sz w:val="22"/>
          <w:szCs w:val="22"/>
          <w:lang w:val="en-US"/>
        </w:rPr>
        <w:t xml:space="preserve">erythroid maturation showed increase in terminally differentiated erythroid cells (stage 5) in </w:t>
      </w:r>
      <w:r w:rsidRPr="00BC3A9C">
        <w:rPr>
          <w:rFonts w:ascii="Arial" w:hAnsi="Arial" w:cs="Arial"/>
          <w:i/>
          <w:sz w:val="22"/>
          <w:szCs w:val="22"/>
          <w:lang w:val="en-US"/>
        </w:rPr>
        <w:t>Ki</w:t>
      </w:r>
      <w:r w:rsidRPr="00BC3A9C">
        <w:rPr>
          <w:rFonts w:ascii="Arial" w:hAnsi="Arial" w:cs="Arial"/>
          <w:sz w:val="22"/>
          <w:szCs w:val="22"/>
          <w:lang w:val="en-US"/>
        </w:rPr>
        <w:t xml:space="preserve"> and </w:t>
      </w:r>
      <w:proofErr w:type="spellStart"/>
      <w:r w:rsidRPr="00BC3A9C">
        <w:rPr>
          <w:rFonts w:ascii="Arial" w:hAnsi="Arial" w:cs="Arial"/>
          <w:i/>
          <w:sz w:val="22"/>
          <w:szCs w:val="22"/>
          <w:lang w:val="en-US"/>
        </w:rPr>
        <w:t>ScF</w:t>
      </w:r>
      <w:proofErr w:type="spellEnd"/>
      <w:r w:rsidRPr="00BC3A9C">
        <w:rPr>
          <w:rFonts w:ascii="Arial" w:hAnsi="Arial" w:cs="Arial"/>
          <w:sz w:val="22"/>
          <w:szCs w:val="22"/>
          <w:lang w:val="en-US"/>
        </w:rPr>
        <w:t xml:space="preserve"> mice upon iron injection, whereas no change was observed in </w:t>
      </w:r>
      <w:r w:rsidRPr="00BC3A9C">
        <w:rPr>
          <w:rFonts w:ascii="Arial" w:hAnsi="Arial" w:cs="Arial"/>
          <w:i/>
          <w:sz w:val="22"/>
          <w:szCs w:val="22"/>
          <w:lang w:val="en-US"/>
        </w:rPr>
        <w:t>WT</w:t>
      </w:r>
      <w:r w:rsidRPr="00BC3A9C">
        <w:rPr>
          <w:rFonts w:ascii="Arial" w:hAnsi="Arial" w:cs="Arial"/>
          <w:sz w:val="22"/>
          <w:szCs w:val="22"/>
          <w:lang w:val="en-US"/>
        </w:rPr>
        <w:t xml:space="preserve"> and </w:t>
      </w:r>
      <w:proofErr w:type="spellStart"/>
      <w:r w:rsidRPr="00BC3A9C">
        <w:rPr>
          <w:rFonts w:ascii="Arial" w:hAnsi="Arial" w:cs="Arial"/>
          <w:i/>
          <w:sz w:val="22"/>
          <w:szCs w:val="22"/>
          <w:lang w:val="en-US"/>
        </w:rPr>
        <w:t>VaF</w:t>
      </w:r>
      <w:proofErr w:type="spellEnd"/>
      <w:r w:rsidRPr="00BC3A9C">
        <w:rPr>
          <w:rFonts w:ascii="Arial" w:hAnsi="Arial" w:cs="Arial"/>
          <w:sz w:val="22"/>
          <w:szCs w:val="22"/>
          <w:lang w:val="en-US"/>
        </w:rPr>
        <w:t xml:space="preserve"> mice (Figure </w:t>
      </w:r>
      <w:r w:rsidR="00583D55">
        <w:rPr>
          <w:rFonts w:ascii="Arial" w:hAnsi="Arial" w:cs="Arial"/>
          <w:sz w:val="22"/>
          <w:szCs w:val="22"/>
          <w:lang w:val="en-US"/>
        </w:rPr>
        <w:t>36</w:t>
      </w:r>
      <w:r w:rsidRPr="00BC3A9C">
        <w:rPr>
          <w:rFonts w:ascii="Arial" w:hAnsi="Arial" w:cs="Arial"/>
          <w:sz w:val="22"/>
          <w:szCs w:val="22"/>
          <w:lang w:val="en-US"/>
        </w:rPr>
        <w:t xml:space="preserve">B). </w:t>
      </w:r>
    </w:p>
    <w:p w14:paraId="219CF950" w14:textId="77777777" w:rsidR="00BC3A9C" w:rsidRDefault="00583D55" w:rsidP="00BC3A9C">
      <w:pPr>
        <w:autoSpaceDE w:val="0"/>
        <w:autoSpaceDN w:val="0"/>
        <w:adjustRightInd w:val="0"/>
        <w:spacing w:line="360" w:lineRule="auto"/>
        <w:jc w:val="both"/>
        <w:rPr>
          <w:rFonts w:ascii="Arial" w:hAnsi="Arial" w:cs="Arial"/>
          <w:sz w:val="22"/>
          <w:szCs w:val="22"/>
          <w:lang w:val="en-US"/>
        </w:rPr>
      </w:pPr>
      <w:r w:rsidRPr="00583D55">
        <w:rPr>
          <w:rFonts w:ascii="Arial" w:hAnsi="Arial" w:cs="Arial"/>
          <w:noProof/>
          <w:sz w:val="22"/>
          <w:szCs w:val="22"/>
          <w:lang w:val="cs-CZ" w:eastAsia="cs-CZ"/>
        </w:rPr>
        <w:lastRenderedPageBreak/>
        <w:drawing>
          <wp:inline distT="0" distB="0" distL="0" distR="0" wp14:anchorId="0FF834F3" wp14:editId="4013F5D7">
            <wp:extent cx="5395595" cy="7772983"/>
            <wp:effectExtent l="0" t="0" r="1905" b="0"/>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Grafik 50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95595" cy="7772983"/>
                    </a:xfrm>
                    <a:prstGeom prst="rect">
                      <a:avLst/>
                    </a:prstGeom>
                  </pic:spPr>
                </pic:pic>
              </a:graphicData>
            </a:graphic>
          </wp:inline>
        </w:drawing>
      </w:r>
    </w:p>
    <w:p w14:paraId="1E154037" w14:textId="77777777" w:rsidR="00BC3A9C" w:rsidRDefault="00583D55" w:rsidP="00083948">
      <w:pPr>
        <w:spacing w:line="360" w:lineRule="auto"/>
        <w:jc w:val="both"/>
        <w:rPr>
          <w:rFonts w:ascii="Arial" w:hAnsi="Arial" w:cs="Arial"/>
          <w:b/>
          <w:bCs/>
          <w:sz w:val="22"/>
          <w:szCs w:val="22"/>
          <w:lang w:val="en-US"/>
        </w:rPr>
      </w:pPr>
      <w:r w:rsidRPr="00583D55">
        <w:rPr>
          <w:rFonts w:ascii="Arial" w:hAnsi="Arial" w:cs="Arial"/>
          <w:b/>
          <w:bCs/>
          <w:sz w:val="22"/>
          <w:szCs w:val="22"/>
          <w:lang w:val="en-US"/>
        </w:rPr>
        <w:t xml:space="preserve">Figure 36. Effects of parenteral iron injections on hematopoietic progenitor and stem cells at terminal workup. </w:t>
      </w:r>
      <w:r w:rsidRPr="00583D55">
        <w:rPr>
          <w:rFonts w:ascii="Arial" w:hAnsi="Arial" w:cs="Arial"/>
          <w:sz w:val="22"/>
          <w:szCs w:val="22"/>
          <w:lang w:val="en-US"/>
        </w:rPr>
        <w:t>(</w:t>
      </w:r>
      <w:r w:rsidRPr="00583D55">
        <w:rPr>
          <w:rFonts w:ascii="Arial" w:hAnsi="Arial" w:cs="Arial"/>
          <w:b/>
          <w:bCs/>
          <w:sz w:val="22"/>
          <w:szCs w:val="22"/>
          <w:lang w:val="en-US"/>
        </w:rPr>
        <w:t>A</w:t>
      </w:r>
      <w:r w:rsidRPr="00583D55">
        <w:rPr>
          <w:rFonts w:ascii="Arial" w:hAnsi="Arial" w:cs="Arial"/>
          <w:sz w:val="22"/>
          <w:szCs w:val="22"/>
          <w:lang w:val="en-US"/>
        </w:rPr>
        <w:t xml:space="preserve">) Analysis of hematopoietic progenitor and stem cell frequencies in bone marrow and spleen at 16 weeks. Bar graphs show frequencies of hematopoietic stem cells and progenitors in bone marrow and spleen. V, vehicle; Fe, </w:t>
      </w:r>
      <w:r w:rsidRPr="00583D55">
        <w:rPr>
          <w:rFonts w:ascii="Arial" w:hAnsi="Arial" w:cs="Arial"/>
          <w:sz w:val="22"/>
          <w:szCs w:val="22"/>
          <w:lang w:val="en-US"/>
        </w:rPr>
        <w:lastRenderedPageBreak/>
        <w:t>iron treatment. For long-term hematopoietic stem cells (LT-HSC)</w:t>
      </w:r>
      <w:r>
        <w:rPr>
          <w:rFonts w:ascii="Arial" w:hAnsi="Arial" w:cs="Arial"/>
          <w:sz w:val="22"/>
          <w:szCs w:val="22"/>
          <w:lang w:val="en-US"/>
        </w:rPr>
        <w:t xml:space="preserve"> and common myeloid progenitors (CMP)</w:t>
      </w:r>
      <w:r w:rsidRPr="00583D55">
        <w:rPr>
          <w:rFonts w:ascii="Arial" w:hAnsi="Arial" w:cs="Arial"/>
          <w:sz w:val="22"/>
          <w:szCs w:val="22"/>
          <w:lang w:val="en-US"/>
        </w:rPr>
        <w:t>, the total frequencies (left panel) and the percentages of CD41</w:t>
      </w:r>
      <w:r w:rsidRPr="00583D55">
        <w:rPr>
          <w:rFonts w:ascii="Arial" w:hAnsi="Arial" w:cs="Arial"/>
          <w:sz w:val="22"/>
          <w:szCs w:val="22"/>
          <w:vertAlign w:val="superscript"/>
          <w:lang w:val="en-US"/>
        </w:rPr>
        <w:t>hi</w:t>
      </w:r>
      <w:r w:rsidRPr="00583D55">
        <w:rPr>
          <w:rFonts w:ascii="Arial" w:hAnsi="Arial" w:cs="Arial"/>
          <w:sz w:val="22"/>
          <w:szCs w:val="22"/>
          <w:lang w:val="en-US"/>
        </w:rPr>
        <w:t xml:space="preserve"> (filled bars) versus CD41</w:t>
      </w:r>
      <w:r w:rsidRPr="00583D55">
        <w:rPr>
          <w:rFonts w:ascii="Arial" w:hAnsi="Arial" w:cs="Arial"/>
          <w:sz w:val="22"/>
          <w:szCs w:val="22"/>
          <w:vertAlign w:val="superscript"/>
          <w:lang w:val="en-US"/>
        </w:rPr>
        <w:t>lo</w:t>
      </w:r>
      <w:r w:rsidRPr="00583D55">
        <w:rPr>
          <w:rFonts w:ascii="Arial" w:hAnsi="Arial" w:cs="Arial"/>
          <w:sz w:val="22"/>
          <w:szCs w:val="22"/>
          <w:lang w:val="en-US"/>
        </w:rPr>
        <w:t xml:space="preserve"> (open bars) subsets of LT-HSC are shown (right panel). (</w:t>
      </w:r>
      <w:r w:rsidRPr="00583D55">
        <w:rPr>
          <w:rFonts w:ascii="Arial" w:hAnsi="Arial" w:cs="Arial"/>
          <w:b/>
          <w:bCs/>
          <w:sz w:val="22"/>
          <w:szCs w:val="22"/>
          <w:lang w:val="en-US"/>
        </w:rPr>
        <w:t>B</w:t>
      </w:r>
      <w:r w:rsidRPr="00583D55">
        <w:rPr>
          <w:rFonts w:ascii="Arial" w:hAnsi="Arial" w:cs="Arial"/>
          <w:sz w:val="22"/>
          <w:szCs w:val="22"/>
          <w:lang w:val="en-US"/>
        </w:rPr>
        <w:t xml:space="preserve">) Analysis of erythroid maturation. All data are presented as mean ± standard error of the mean. Unpaired 2-tailed </w:t>
      </w:r>
      <w:r w:rsidRPr="00583D55">
        <w:rPr>
          <w:rFonts w:ascii="Arial" w:hAnsi="Arial" w:cs="Arial"/>
          <w:i/>
          <w:iCs/>
          <w:sz w:val="22"/>
          <w:szCs w:val="22"/>
          <w:lang w:val="en-US"/>
        </w:rPr>
        <w:t>t</w:t>
      </w:r>
      <w:r w:rsidRPr="00583D55">
        <w:rPr>
          <w:rFonts w:ascii="Arial" w:hAnsi="Arial" w:cs="Arial"/>
          <w:sz w:val="22"/>
          <w:szCs w:val="22"/>
          <w:lang w:val="en-US"/>
        </w:rPr>
        <w:t xml:space="preserve">-test with Welsch’s correction (A) or two-way analyses of variance (ANOVAs) with subsequent </w:t>
      </w:r>
      <w:proofErr w:type="spellStart"/>
      <w:r w:rsidRPr="00583D55">
        <w:rPr>
          <w:rFonts w:ascii="Arial" w:hAnsi="Arial" w:cs="Arial"/>
          <w:sz w:val="22"/>
          <w:szCs w:val="22"/>
          <w:lang w:val="en-US"/>
        </w:rPr>
        <w:t>Sidak</w:t>
      </w:r>
      <w:proofErr w:type="spellEnd"/>
      <w:r w:rsidRPr="00583D55">
        <w:rPr>
          <w:rFonts w:ascii="Arial" w:hAnsi="Arial" w:cs="Arial"/>
          <w:sz w:val="22"/>
          <w:szCs w:val="22"/>
          <w:lang w:val="en-US"/>
        </w:rPr>
        <w:t xml:space="preserve"> (</w:t>
      </w:r>
      <w:r>
        <w:rPr>
          <w:rFonts w:ascii="Arial" w:hAnsi="Arial" w:cs="Arial"/>
          <w:sz w:val="22"/>
          <w:szCs w:val="22"/>
          <w:lang w:val="en-US"/>
        </w:rPr>
        <w:t>A</w:t>
      </w:r>
      <w:r w:rsidRPr="00583D55">
        <w:rPr>
          <w:rFonts w:ascii="Arial" w:hAnsi="Arial" w:cs="Arial"/>
          <w:sz w:val="22"/>
          <w:szCs w:val="22"/>
          <w:lang w:val="en-US"/>
        </w:rPr>
        <w:t xml:space="preserve"> - Percentages of CD41</w:t>
      </w:r>
      <w:r w:rsidRPr="00583D55">
        <w:rPr>
          <w:rFonts w:ascii="Arial" w:hAnsi="Arial" w:cs="Arial"/>
          <w:sz w:val="22"/>
          <w:szCs w:val="22"/>
          <w:vertAlign w:val="superscript"/>
          <w:lang w:val="en-US"/>
        </w:rPr>
        <w:t>hi/lo</w:t>
      </w:r>
      <w:r w:rsidRPr="00583D55">
        <w:rPr>
          <w:rFonts w:ascii="Arial" w:hAnsi="Arial" w:cs="Arial"/>
          <w:sz w:val="22"/>
          <w:szCs w:val="22"/>
          <w:lang w:val="en-US"/>
        </w:rPr>
        <w:t xml:space="preserve"> HSCs) posttest were used. *P &lt; .05, **P &lt; .01, ***P &lt; .001, ****P &lt; .0001.</w:t>
      </w:r>
    </w:p>
    <w:p w14:paraId="304D42C4" w14:textId="77777777" w:rsidR="00083948" w:rsidRPr="00083948" w:rsidRDefault="00083948" w:rsidP="00083948">
      <w:pPr>
        <w:spacing w:line="360" w:lineRule="auto"/>
        <w:jc w:val="both"/>
        <w:rPr>
          <w:rFonts w:ascii="Arial" w:hAnsi="Arial" w:cs="Arial"/>
          <w:b/>
          <w:bCs/>
          <w:sz w:val="22"/>
          <w:szCs w:val="22"/>
          <w:lang w:val="en-US"/>
        </w:rPr>
      </w:pPr>
    </w:p>
    <w:p w14:paraId="1F07294E" w14:textId="77777777" w:rsidR="00A12603" w:rsidRDefault="00A12603" w:rsidP="00A12603">
      <w:pPr>
        <w:autoSpaceDE w:val="0"/>
        <w:autoSpaceDN w:val="0"/>
        <w:adjustRightInd w:val="0"/>
        <w:spacing w:line="360" w:lineRule="auto"/>
        <w:jc w:val="both"/>
        <w:rPr>
          <w:rFonts w:ascii="Arial" w:hAnsi="Arial" w:cs="Arial"/>
          <w:color w:val="000000" w:themeColor="text1"/>
          <w:sz w:val="22"/>
          <w:szCs w:val="22"/>
          <w:lang w:val="en-US"/>
        </w:rPr>
      </w:pPr>
      <w:r w:rsidRPr="00A12603">
        <w:rPr>
          <w:rFonts w:ascii="Arial" w:hAnsi="Arial" w:cs="Arial"/>
          <w:color w:val="000000" w:themeColor="text1"/>
          <w:sz w:val="22"/>
          <w:szCs w:val="22"/>
          <w:lang w:val="en-US"/>
        </w:rPr>
        <w:t xml:space="preserve">Collectively these results show that iron supplementation in </w:t>
      </w:r>
      <w:r w:rsidRPr="00A12603">
        <w:rPr>
          <w:rFonts w:ascii="Arial" w:hAnsi="Arial" w:cs="Arial"/>
          <w:i/>
          <w:color w:val="000000" w:themeColor="text1"/>
          <w:sz w:val="22"/>
          <w:szCs w:val="22"/>
          <w:lang w:val="en-US"/>
        </w:rPr>
        <w:t>Ki</w:t>
      </w:r>
      <w:r w:rsidRPr="00A12603">
        <w:rPr>
          <w:rFonts w:ascii="Arial" w:hAnsi="Arial" w:cs="Arial"/>
          <w:color w:val="000000" w:themeColor="text1"/>
          <w:sz w:val="22"/>
          <w:szCs w:val="22"/>
          <w:lang w:val="en-US"/>
        </w:rPr>
        <w:t xml:space="preserve"> and </w:t>
      </w:r>
      <w:proofErr w:type="spellStart"/>
      <w:r w:rsidRPr="00A12603">
        <w:rPr>
          <w:rFonts w:ascii="Arial" w:hAnsi="Arial" w:cs="Arial"/>
          <w:i/>
          <w:color w:val="000000" w:themeColor="text1"/>
          <w:sz w:val="22"/>
          <w:szCs w:val="22"/>
          <w:lang w:val="en-US"/>
        </w:rPr>
        <w:t>ScF</w:t>
      </w:r>
      <w:proofErr w:type="spellEnd"/>
      <w:r w:rsidRPr="00A12603">
        <w:rPr>
          <w:rFonts w:ascii="Arial" w:hAnsi="Arial" w:cs="Arial"/>
          <w:color w:val="000000" w:themeColor="text1"/>
          <w:sz w:val="22"/>
          <w:szCs w:val="22"/>
          <w:lang w:val="en-US"/>
        </w:rPr>
        <w:t xml:space="preserve"> mouse models induces shift in hematopoiesis towards production of red blood cells at the expense of platelets.</w:t>
      </w:r>
      <w:r w:rsidRPr="00A12603">
        <w:rPr>
          <w:rFonts w:ascii="Arial" w:hAnsi="Arial" w:cs="Arial"/>
          <w:sz w:val="22"/>
          <w:szCs w:val="22"/>
          <w:lang w:val="en-US"/>
        </w:rPr>
        <w:t xml:space="preserve"> However, </w:t>
      </w:r>
      <w:r w:rsidRPr="00A12603">
        <w:rPr>
          <w:rFonts w:ascii="Arial" w:hAnsi="Arial" w:cs="Arial"/>
          <w:i/>
          <w:color w:val="000000" w:themeColor="text1"/>
          <w:sz w:val="22"/>
          <w:szCs w:val="22"/>
          <w:lang w:val="en-US"/>
        </w:rPr>
        <w:t>VaF1</w:t>
      </w:r>
      <w:r w:rsidRPr="00A12603">
        <w:rPr>
          <w:rFonts w:ascii="Arial" w:hAnsi="Arial" w:cs="Arial"/>
          <w:color w:val="000000" w:themeColor="text1"/>
          <w:sz w:val="22"/>
          <w:szCs w:val="22"/>
          <w:lang w:val="en-US"/>
        </w:rPr>
        <w:t xml:space="preserve"> mice appear to be non-responsive to iron, as their erythropoiesis is less driven by the mutant </w:t>
      </w:r>
      <w:r w:rsidRPr="00A12603">
        <w:rPr>
          <w:rFonts w:ascii="Arial" w:hAnsi="Arial" w:cs="Arial"/>
          <w:i/>
          <w:color w:val="000000" w:themeColor="text1"/>
          <w:sz w:val="22"/>
          <w:szCs w:val="22"/>
          <w:lang w:val="en-US"/>
        </w:rPr>
        <w:t>JAK2</w:t>
      </w:r>
      <w:r w:rsidR="003B6E2A">
        <w:rPr>
          <w:rFonts w:ascii="Arial" w:hAnsi="Arial" w:cs="Arial"/>
          <w:i/>
          <w:sz w:val="22"/>
          <w:szCs w:val="22"/>
          <w:lang w:val="en-US"/>
        </w:rPr>
        <w:t xml:space="preserve"> </w:t>
      </w:r>
      <w:r w:rsidR="003B6E2A" w:rsidRPr="003B6E2A">
        <w:rPr>
          <w:rFonts w:ascii="Arial" w:hAnsi="Arial" w:cs="Arial"/>
          <w:iCs/>
          <w:sz w:val="22"/>
          <w:szCs w:val="22"/>
          <w:lang w:val="en-US"/>
        </w:rPr>
        <w:fldChar w:fldCharType="begin"/>
      </w:r>
      <w:r w:rsidR="003B6E2A" w:rsidRPr="003B6E2A">
        <w:rPr>
          <w:rFonts w:ascii="Arial" w:hAnsi="Arial" w:cs="Arial"/>
          <w:iCs/>
          <w:sz w:val="22"/>
          <w:szCs w:val="22"/>
          <w:lang w:val="en-US"/>
        </w:rPr>
        <w:instrText xml:space="preserve"> ADDIN ZOTERO_ITEM CSL_CITATION {"citationID":"BwDlrxSR","properties":{"formattedCitation":"(Tiedt et al., 2008)","plainCitation":"(Tiedt et al., 2008)","noteIndex":0},"citationItems":[{"id":216,"uris":["http://zotero.org/users/2484452/items/FPCFKLWG"],"uri":["http://zotero.org/users/2484452/items/FPCFKLWG"],"itemData":{"id":216,"type":"article-journal","abstract":"An acquired somatic mutation in the JAK2 gene (JAK2-V617F) is present in the majority of patients with myeloproliferative disorders (MPDs). Several phenotypic manifestations (polycythemia vera [PV], essential thrombocythemia [ET], and primary myelofibrosis) can be associated with the same mutation. We generated JAK2-V617F transgenic mice using a human JAK2 gene with the sequences encoding the kinase domain placed in the inverse orientation and flanked by antiparallel loxP sites. Crossing mice of one transgenic line (FF1) with transgenic mice expressing Cre-recombinase under the control of the hematopoiesis specific Vav promoter led to expression of JAK2-V617F that was lower than the endogenous wild-type Jak2. These mice developed a phenotype resembling ET with strongly elevated platelet counts and moderate neutrophilia. Induction of the JAK2-V617F transgene with the interferon-inducible MxCre resulted in expression of JAK2-V617F approximately equal to wild-type Jak2 and a PV-like phenotype with increased hemoglobin, thrombocytosis, and neutrophilia. Higher levels of JAK2-V617F in mouse bone marrow by retroviral transduction caused a PV-like phenotype without thrombocytosis. These data are consistent with the hypothesis that the ratio of mutant to wild-type JAK2 is critical for the phenotypic manifestation. A similar correlation was also found in patients with MPD.","container-title":"Blood","DOI":"10.1182/blood-2007-08-107748","ISSN":"0006-4971","issue":"8","journalAbbreviation":"Blood","language":"eng","note":"PMID: 18160670","page":"3931-3940","source":"PubMed","title":"Ratio of mutant JAK2-V617F to wild-type Jak2 determines the MPD phenotypes in transgenic mice","volume":"111","author":[{"family":"Tiedt","given":"Ralph"},{"family":"Hao-Shen","given":"Hui"},{"family":"Sobas","given":"Marta A."},{"family":"Looser","given":"Renate"},{"family":"Dirnhofer","given":"Stephan"},{"family":"Schwaller","given":"Jürg"},{"family":"Skoda","given":"Radek C."}],"issued":{"date-parts":[["2008",4,15]]}}}],"schema":"https://github.com/citation-style-language/schema/raw/master/csl-citation.json"} </w:instrText>
      </w:r>
      <w:r w:rsidR="003B6E2A" w:rsidRPr="003B6E2A">
        <w:rPr>
          <w:rFonts w:ascii="Arial" w:hAnsi="Arial" w:cs="Arial"/>
          <w:iCs/>
          <w:sz w:val="22"/>
          <w:szCs w:val="22"/>
          <w:lang w:val="en-US"/>
        </w:rPr>
        <w:fldChar w:fldCharType="separate"/>
      </w:r>
      <w:r w:rsidR="003B6E2A" w:rsidRPr="003B6E2A">
        <w:rPr>
          <w:rFonts w:ascii="Arial" w:hAnsi="Arial" w:cs="Arial"/>
          <w:iCs/>
          <w:noProof/>
          <w:sz w:val="22"/>
          <w:szCs w:val="22"/>
          <w:lang w:val="en-US"/>
        </w:rPr>
        <w:t>(Tiedt et al., 2008)</w:t>
      </w:r>
      <w:r w:rsidR="003B6E2A" w:rsidRPr="003B6E2A">
        <w:rPr>
          <w:rFonts w:ascii="Arial" w:hAnsi="Arial" w:cs="Arial"/>
          <w:iCs/>
          <w:sz w:val="22"/>
          <w:szCs w:val="22"/>
          <w:lang w:val="en-US"/>
        </w:rPr>
        <w:fldChar w:fldCharType="end"/>
      </w:r>
      <w:r w:rsidR="003B6E2A">
        <w:rPr>
          <w:rFonts w:ascii="Arial" w:hAnsi="Arial" w:cs="Arial"/>
          <w:iCs/>
          <w:sz w:val="22"/>
          <w:szCs w:val="22"/>
          <w:lang w:val="en-US"/>
        </w:rPr>
        <w:t>.</w:t>
      </w:r>
      <w:r w:rsidRPr="00A12603">
        <w:rPr>
          <w:rFonts w:ascii="Arial" w:hAnsi="Arial" w:cs="Arial"/>
          <w:color w:val="000000" w:themeColor="text1"/>
          <w:sz w:val="22"/>
          <w:szCs w:val="22"/>
          <w:lang w:val="en-US"/>
        </w:rPr>
        <w:t xml:space="preserve"> </w:t>
      </w:r>
      <w:proofErr w:type="spellStart"/>
      <w:r w:rsidRPr="00A12603">
        <w:rPr>
          <w:rFonts w:ascii="Arial" w:hAnsi="Arial" w:cs="Arial"/>
          <w:i/>
          <w:color w:val="000000" w:themeColor="text1"/>
          <w:sz w:val="22"/>
          <w:szCs w:val="22"/>
          <w:lang w:val="en-US"/>
        </w:rPr>
        <w:t>VaF</w:t>
      </w:r>
      <w:proofErr w:type="spellEnd"/>
      <w:r w:rsidRPr="00A12603">
        <w:rPr>
          <w:rFonts w:ascii="Arial" w:hAnsi="Arial" w:cs="Arial"/>
          <w:color w:val="000000" w:themeColor="text1"/>
          <w:sz w:val="22"/>
          <w:szCs w:val="22"/>
          <w:lang w:val="en-US"/>
        </w:rPr>
        <w:t xml:space="preserve"> mice appear to primarily use the CD41</w:t>
      </w:r>
      <w:r w:rsidRPr="00BC3A9C">
        <w:rPr>
          <w:rFonts w:ascii="Arial" w:hAnsi="Arial" w:cs="Arial"/>
          <w:color w:val="000000" w:themeColor="text1"/>
          <w:sz w:val="22"/>
          <w:szCs w:val="22"/>
          <w:vertAlign w:val="superscript"/>
          <w:lang w:val="en-US"/>
        </w:rPr>
        <w:t>hi</w:t>
      </w:r>
      <w:r w:rsidRPr="00A12603">
        <w:rPr>
          <w:rFonts w:ascii="Arial" w:hAnsi="Arial" w:cs="Arial"/>
          <w:color w:val="000000" w:themeColor="text1"/>
          <w:sz w:val="22"/>
          <w:szCs w:val="22"/>
          <w:lang w:val="en-US"/>
        </w:rPr>
        <w:t xml:space="preserve"> subset of CMPs to increase the production of </w:t>
      </w:r>
      <w:proofErr w:type="spellStart"/>
      <w:r w:rsidRPr="00A12603">
        <w:rPr>
          <w:rFonts w:ascii="Arial" w:hAnsi="Arial" w:cs="Arial"/>
          <w:color w:val="000000" w:themeColor="text1"/>
          <w:sz w:val="22"/>
          <w:szCs w:val="22"/>
          <w:lang w:val="en-US"/>
        </w:rPr>
        <w:t>MkP</w:t>
      </w:r>
      <w:r w:rsidR="00BC3A9C">
        <w:rPr>
          <w:rFonts w:ascii="Arial" w:hAnsi="Arial" w:cs="Arial"/>
          <w:color w:val="000000" w:themeColor="text1"/>
          <w:sz w:val="22"/>
          <w:szCs w:val="22"/>
          <w:lang w:val="en-US"/>
        </w:rPr>
        <w:t>s</w:t>
      </w:r>
      <w:proofErr w:type="spellEnd"/>
      <w:r w:rsidR="00BC3A9C">
        <w:rPr>
          <w:rFonts w:ascii="Arial" w:hAnsi="Arial" w:cs="Arial"/>
          <w:color w:val="000000" w:themeColor="text1"/>
          <w:sz w:val="22"/>
          <w:szCs w:val="22"/>
          <w:lang w:val="en-US"/>
        </w:rPr>
        <w:t>, avoiding iron-responsive bipotent MEP progenitors</w:t>
      </w:r>
      <w:r w:rsidRPr="00A12603">
        <w:rPr>
          <w:rFonts w:ascii="Arial" w:hAnsi="Arial" w:cs="Arial"/>
          <w:color w:val="000000" w:themeColor="text1"/>
          <w:sz w:val="22"/>
          <w:szCs w:val="22"/>
          <w:lang w:val="en-US"/>
        </w:rPr>
        <w:t xml:space="preserve"> resulting in massive thrombocytosis that is unaffected by iron injections.</w:t>
      </w:r>
    </w:p>
    <w:p w14:paraId="70C84F7A" w14:textId="77777777" w:rsidR="00BE0D58" w:rsidRDefault="00BE0D58">
      <w:pPr>
        <w:rPr>
          <w:rFonts w:ascii="Arial" w:hAnsi="Arial" w:cs="Arial"/>
          <w:color w:val="000000" w:themeColor="text1"/>
          <w:sz w:val="22"/>
          <w:szCs w:val="22"/>
          <w:lang w:val="en-US"/>
        </w:rPr>
      </w:pPr>
      <w:r>
        <w:rPr>
          <w:rFonts w:ascii="Arial" w:hAnsi="Arial" w:cs="Arial"/>
          <w:color w:val="000000" w:themeColor="text1"/>
          <w:sz w:val="22"/>
          <w:szCs w:val="22"/>
          <w:lang w:val="en-US"/>
        </w:rPr>
        <w:br w:type="page"/>
      </w:r>
    </w:p>
    <w:p w14:paraId="4F9DF9B9" w14:textId="18E0DDAC" w:rsidR="00BE0D58" w:rsidRPr="009B653F" w:rsidRDefault="00BE0D58" w:rsidP="00BE0D58">
      <w:pPr>
        <w:pStyle w:val="Formatvorlage1"/>
        <w:rPr>
          <w:rFonts w:cs="Arial"/>
        </w:rPr>
      </w:pPr>
      <w:bookmarkStart w:id="26" w:name="_Toc57582501"/>
      <w:r w:rsidRPr="009B653F">
        <w:rPr>
          <w:rFonts w:cs="Arial"/>
        </w:rPr>
        <w:lastRenderedPageBreak/>
        <w:t>Publications related to this aim:</w:t>
      </w:r>
      <w:bookmarkEnd w:id="26"/>
    </w:p>
    <w:p w14:paraId="483F3FC9" w14:textId="77777777" w:rsidR="0080427B" w:rsidRDefault="0080427B" w:rsidP="00BE0D58">
      <w:pPr>
        <w:spacing w:line="360" w:lineRule="auto"/>
        <w:jc w:val="both"/>
        <w:rPr>
          <w:rFonts w:ascii="Arial" w:hAnsi="Arial" w:cs="Arial"/>
          <w:b/>
          <w:bCs/>
          <w:sz w:val="22"/>
          <w:szCs w:val="22"/>
          <w:lang w:val="en-US"/>
        </w:rPr>
      </w:pPr>
    </w:p>
    <w:p w14:paraId="7A821887" w14:textId="55A579D2" w:rsidR="00BE0D58" w:rsidRPr="003A5293" w:rsidRDefault="00BE0D58" w:rsidP="00BE0D58">
      <w:pPr>
        <w:spacing w:line="360" w:lineRule="auto"/>
        <w:jc w:val="both"/>
        <w:rPr>
          <w:rFonts w:ascii="Arial" w:hAnsi="Arial" w:cs="Arial"/>
          <w:sz w:val="22"/>
          <w:szCs w:val="22"/>
          <w:lang w:val="en-US"/>
        </w:rPr>
      </w:pPr>
      <w:r w:rsidRPr="006E03E6">
        <w:rPr>
          <w:rFonts w:ascii="Arial" w:hAnsi="Arial" w:cs="Arial"/>
          <w:b/>
          <w:bCs/>
          <w:sz w:val="22"/>
          <w:szCs w:val="22"/>
          <w:lang w:val="en-US"/>
        </w:rPr>
        <w:t>Articles</w:t>
      </w:r>
      <w:r w:rsidRPr="003A5293">
        <w:rPr>
          <w:rFonts w:ascii="Arial" w:hAnsi="Arial" w:cs="Arial"/>
          <w:sz w:val="22"/>
          <w:szCs w:val="22"/>
          <w:lang w:val="en-US"/>
        </w:rPr>
        <w:t>:</w:t>
      </w:r>
    </w:p>
    <w:p w14:paraId="6BF3E994" w14:textId="77777777" w:rsidR="00BE0D58" w:rsidRPr="00BE0D58" w:rsidRDefault="00BE0D58" w:rsidP="00BE0D58">
      <w:pPr>
        <w:spacing w:line="360" w:lineRule="auto"/>
        <w:jc w:val="both"/>
        <w:rPr>
          <w:rFonts w:ascii="Arial" w:hAnsi="Arial" w:cs="Arial"/>
          <w:sz w:val="22"/>
          <w:szCs w:val="22"/>
          <w:lang w:val="en-US"/>
        </w:rPr>
      </w:pPr>
      <w:proofErr w:type="spellStart"/>
      <w:r w:rsidRPr="00BE0D58">
        <w:rPr>
          <w:rFonts w:ascii="Arial" w:hAnsi="Arial" w:cs="Arial"/>
          <w:sz w:val="22"/>
          <w:szCs w:val="22"/>
          <w:lang w:val="en-US"/>
        </w:rPr>
        <w:t>Stetka</w:t>
      </w:r>
      <w:proofErr w:type="spellEnd"/>
      <w:r w:rsidRPr="00BE0D58">
        <w:rPr>
          <w:rFonts w:ascii="Arial" w:hAnsi="Arial" w:cs="Arial"/>
          <w:sz w:val="22"/>
          <w:szCs w:val="22"/>
          <w:lang w:val="en-US"/>
        </w:rPr>
        <w:t>, J., Rai, S.,</w:t>
      </w:r>
      <w:r w:rsidR="0065049D">
        <w:rPr>
          <w:rFonts w:ascii="Arial" w:hAnsi="Arial" w:cs="Arial"/>
          <w:sz w:val="22"/>
          <w:szCs w:val="22"/>
          <w:lang w:val="en-US"/>
        </w:rPr>
        <w:t xml:space="preserve"> </w:t>
      </w:r>
      <w:proofErr w:type="spellStart"/>
      <w:r w:rsidR="0065049D">
        <w:rPr>
          <w:rFonts w:ascii="Arial" w:hAnsi="Arial" w:cs="Arial"/>
          <w:sz w:val="22"/>
          <w:szCs w:val="22"/>
          <w:lang w:val="en-US"/>
        </w:rPr>
        <w:t>Usart</w:t>
      </w:r>
      <w:proofErr w:type="spellEnd"/>
      <w:r w:rsidR="0065049D">
        <w:rPr>
          <w:rFonts w:ascii="Arial" w:hAnsi="Arial" w:cs="Arial"/>
          <w:sz w:val="22"/>
          <w:szCs w:val="22"/>
          <w:lang w:val="en-US"/>
        </w:rPr>
        <w:t>, M.,</w:t>
      </w:r>
      <w:r w:rsidRPr="00BE0D58">
        <w:rPr>
          <w:rFonts w:ascii="Arial" w:hAnsi="Arial" w:cs="Arial"/>
          <w:sz w:val="22"/>
          <w:szCs w:val="22"/>
          <w:lang w:val="en-US"/>
        </w:rPr>
        <w:t xml:space="preserve"> Hao-Shen, H., </w:t>
      </w:r>
      <w:proofErr w:type="spellStart"/>
      <w:r w:rsidRPr="00BE0D58">
        <w:rPr>
          <w:rFonts w:ascii="Arial" w:hAnsi="Arial" w:cs="Arial"/>
          <w:sz w:val="22"/>
          <w:szCs w:val="22"/>
          <w:lang w:val="en-US"/>
        </w:rPr>
        <w:t>Dirnhofer</w:t>
      </w:r>
      <w:proofErr w:type="spellEnd"/>
      <w:r w:rsidRPr="00BE0D58">
        <w:rPr>
          <w:rFonts w:ascii="Arial" w:hAnsi="Arial" w:cs="Arial"/>
          <w:sz w:val="22"/>
          <w:szCs w:val="22"/>
          <w:lang w:val="en-US"/>
        </w:rPr>
        <w:t xml:space="preserve">, S., Silvestri, L., </w:t>
      </w:r>
      <w:proofErr w:type="spellStart"/>
      <w:r w:rsidRPr="00BE0D58">
        <w:rPr>
          <w:rFonts w:ascii="Arial" w:hAnsi="Arial" w:cs="Arial"/>
          <w:sz w:val="22"/>
          <w:szCs w:val="22"/>
          <w:lang w:val="en-US"/>
        </w:rPr>
        <w:t>Nai</w:t>
      </w:r>
      <w:proofErr w:type="spellEnd"/>
      <w:r w:rsidRPr="00BE0D58">
        <w:rPr>
          <w:rFonts w:ascii="Arial" w:hAnsi="Arial" w:cs="Arial"/>
          <w:sz w:val="22"/>
          <w:szCs w:val="22"/>
          <w:lang w:val="en-US"/>
        </w:rPr>
        <w:t xml:space="preserve">, A., </w:t>
      </w:r>
      <w:proofErr w:type="spellStart"/>
      <w:r w:rsidRPr="00BE0D58">
        <w:rPr>
          <w:rFonts w:ascii="Arial" w:hAnsi="Arial" w:cs="Arial"/>
          <w:sz w:val="22"/>
          <w:szCs w:val="22"/>
          <w:lang w:val="en-US"/>
        </w:rPr>
        <w:t>Camaschella</w:t>
      </w:r>
      <w:proofErr w:type="spellEnd"/>
      <w:r w:rsidRPr="00BE0D58">
        <w:rPr>
          <w:rFonts w:ascii="Arial" w:hAnsi="Arial" w:cs="Arial"/>
          <w:sz w:val="22"/>
          <w:szCs w:val="22"/>
          <w:lang w:val="en-US"/>
        </w:rPr>
        <w:t xml:space="preserve">, C., </w:t>
      </w:r>
      <w:r w:rsidRPr="00553DCD">
        <w:rPr>
          <w:rFonts w:ascii="Arial" w:hAnsi="Arial" w:cs="Arial"/>
          <w:sz w:val="22"/>
          <w:szCs w:val="22"/>
          <w:lang w:val="en-US"/>
        </w:rPr>
        <w:t>Skoda, R.C.,</w:t>
      </w:r>
      <w:r>
        <w:rPr>
          <w:rFonts w:ascii="Arial" w:hAnsi="Arial" w:cs="Arial"/>
          <w:sz w:val="22"/>
          <w:szCs w:val="22"/>
          <w:lang w:val="en-US"/>
        </w:rPr>
        <w:t xml:space="preserve"> </w:t>
      </w:r>
      <w:r w:rsidRPr="00553DCD">
        <w:rPr>
          <w:rFonts w:ascii="Arial" w:hAnsi="Arial" w:cs="Arial"/>
          <w:sz w:val="22"/>
          <w:szCs w:val="22"/>
          <w:lang w:val="en-US"/>
        </w:rPr>
        <w:t xml:space="preserve">2020. </w:t>
      </w:r>
      <w:r w:rsidR="00476FF4" w:rsidRPr="00476FF4">
        <w:rPr>
          <w:rFonts w:ascii="Arial" w:hAnsi="Arial" w:cs="Arial"/>
          <w:sz w:val="22"/>
          <w:szCs w:val="22"/>
          <w:lang w:val="en-US"/>
        </w:rPr>
        <w:t xml:space="preserve">Iron-dependent steps in defining the phenotypes of </w:t>
      </w:r>
      <w:r w:rsidR="00476FF4" w:rsidRPr="00476FF4">
        <w:rPr>
          <w:rFonts w:ascii="Arial" w:hAnsi="Arial" w:cs="Arial"/>
          <w:i/>
          <w:iCs/>
          <w:sz w:val="22"/>
          <w:szCs w:val="22"/>
          <w:lang w:val="en-US"/>
        </w:rPr>
        <w:t>JAK2</w:t>
      </w:r>
      <w:r w:rsidR="00476FF4" w:rsidRPr="00476FF4">
        <w:rPr>
          <w:rFonts w:ascii="Arial" w:hAnsi="Arial" w:cs="Arial"/>
          <w:sz w:val="22"/>
          <w:szCs w:val="22"/>
          <w:lang w:val="en-US"/>
        </w:rPr>
        <w:t>-mutant myeloproliferative neoplasms</w:t>
      </w:r>
      <w:r w:rsidR="00476FF4">
        <w:rPr>
          <w:rFonts w:ascii="Arial" w:hAnsi="Arial" w:cs="Arial"/>
          <w:sz w:val="22"/>
          <w:szCs w:val="22"/>
          <w:lang w:val="en-US"/>
        </w:rPr>
        <w:t>.</w:t>
      </w:r>
      <w:r w:rsidR="00476FF4" w:rsidRPr="00476FF4">
        <w:rPr>
          <w:rFonts w:ascii="Arial" w:hAnsi="Arial" w:cs="Arial"/>
          <w:sz w:val="22"/>
          <w:szCs w:val="22"/>
          <w:lang w:val="en-US"/>
        </w:rPr>
        <w:t xml:space="preserve"> </w:t>
      </w:r>
      <w:r w:rsidRPr="00336950">
        <w:rPr>
          <w:rFonts w:ascii="Arial" w:hAnsi="Arial" w:cs="Arial"/>
          <w:i/>
          <w:iCs/>
          <w:sz w:val="22"/>
          <w:szCs w:val="22"/>
          <w:lang w:val="en-US"/>
        </w:rPr>
        <w:t>Manuscript</w:t>
      </w:r>
      <w:r>
        <w:rPr>
          <w:rFonts w:ascii="Arial" w:hAnsi="Arial" w:cs="Arial"/>
          <w:sz w:val="22"/>
          <w:szCs w:val="22"/>
          <w:lang w:val="en-US"/>
        </w:rPr>
        <w:t xml:space="preserve"> </w:t>
      </w:r>
      <w:r w:rsidR="00476FF4">
        <w:rPr>
          <w:rFonts w:ascii="Arial" w:hAnsi="Arial" w:cs="Arial"/>
          <w:i/>
          <w:iCs/>
          <w:sz w:val="22"/>
          <w:szCs w:val="22"/>
          <w:lang w:val="en-US"/>
        </w:rPr>
        <w:t>prior submission to Blood</w:t>
      </w:r>
      <w:r>
        <w:rPr>
          <w:rFonts w:ascii="Arial" w:hAnsi="Arial" w:cs="Arial"/>
          <w:i/>
          <w:iCs/>
          <w:sz w:val="22"/>
          <w:szCs w:val="22"/>
          <w:lang w:val="en-US"/>
        </w:rPr>
        <w:t>.</w:t>
      </w:r>
    </w:p>
    <w:p w14:paraId="0754BA65" w14:textId="77777777" w:rsidR="004B06E5" w:rsidRPr="00BE0D58" w:rsidRDefault="00BE0D58">
      <w:pPr>
        <w:rPr>
          <w:rFonts w:ascii="Arial" w:hAnsi="Arial" w:cs="Arial"/>
          <w:i/>
          <w:iCs/>
          <w:sz w:val="22"/>
          <w:szCs w:val="22"/>
          <w:lang w:val="en-US"/>
        </w:rPr>
      </w:pPr>
      <w:r>
        <w:rPr>
          <w:rFonts w:ascii="Arial" w:hAnsi="Arial" w:cs="Arial"/>
          <w:i/>
          <w:iCs/>
          <w:sz w:val="22"/>
          <w:szCs w:val="22"/>
          <w:lang w:val="en-US"/>
        </w:rPr>
        <w:br w:type="page"/>
      </w:r>
    </w:p>
    <w:p w14:paraId="587F7042" w14:textId="03ACC098" w:rsidR="004171C5" w:rsidRPr="003A5293" w:rsidRDefault="00B34F0A" w:rsidP="008C7838">
      <w:pPr>
        <w:pStyle w:val="MainHeading2"/>
        <w:rPr>
          <w:rFonts w:cs="Arial"/>
          <w:b w:val="0"/>
          <w:bCs/>
          <w:lang w:val="en-US"/>
        </w:rPr>
      </w:pPr>
      <w:bookmarkStart w:id="27" w:name="_Toc57582502"/>
      <w:r>
        <w:rPr>
          <w:rFonts w:cs="Arial"/>
          <w:b w:val="0"/>
          <w:bCs/>
          <w:sz w:val="48"/>
          <w:szCs w:val="48"/>
          <w:lang w:val="en-US"/>
        </w:rPr>
        <w:lastRenderedPageBreak/>
        <w:t>4</w:t>
      </w:r>
      <w:r w:rsidR="004171C5" w:rsidRPr="003A5293">
        <w:rPr>
          <w:rFonts w:cs="Arial"/>
          <w:b w:val="0"/>
          <w:bCs/>
          <w:sz w:val="48"/>
          <w:szCs w:val="48"/>
          <w:lang w:val="en-US"/>
        </w:rPr>
        <w:t>.</w:t>
      </w:r>
      <w:r w:rsidR="004171C5" w:rsidRPr="003A5293">
        <w:rPr>
          <w:rFonts w:cs="Arial"/>
          <w:b w:val="0"/>
          <w:bCs/>
          <w:lang w:val="en-US"/>
        </w:rPr>
        <w:t xml:space="preserve"> </w:t>
      </w:r>
      <w:r w:rsidR="004956BF" w:rsidRPr="003A5293">
        <w:rPr>
          <w:rFonts w:cs="Arial"/>
          <w:lang w:val="en-US"/>
        </w:rPr>
        <w:t>Materials and methods</w:t>
      </w:r>
      <w:bookmarkEnd w:id="27"/>
    </w:p>
    <w:p w14:paraId="2C027D54" w14:textId="77777777" w:rsidR="00E2346E" w:rsidRPr="003A5293" w:rsidRDefault="00E2346E" w:rsidP="00E2346E">
      <w:pPr>
        <w:spacing w:line="360" w:lineRule="auto"/>
        <w:jc w:val="both"/>
        <w:rPr>
          <w:rFonts w:ascii="Arial" w:hAnsi="Arial" w:cs="Arial"/>
          <w:sz w:val="22"/>
          <w:szCs w:val="22"/>
          <w:lang w:val="en-US"/>
        </w:rPr>
      </w:pPr>
    </w:p>
    <w:p w14:paraId="768EC1D3" w14:textId="78373124" w:rsidR="000D6427" w:rsidRPr="003A5293" w:rsidRDefault="00E2346E" w:rsidP="00E47927">
      <w:pPr>
        <w:spacing w:line="360" w:lineRule="auto"/>
        <w:jc w:val="both"/>
        <w:rPr>
          <w:rFonts w:ascii="Arial" w:hAnsi="Arial" w:cs="Arial"/>
          <w:sz w:val="22"/>
          <w:szCs w:val="22"/>
          <w:lang w:val="en-US"/>
        </w:rPr>
      </w:pPr>
      <w:r w:rsidRPr="003A5293">
        <w:rPr>
          <w:rFonts w:ascii="Arial" w:hAnsi="Arial" w:cs="Arial"/>
          <w:sz w:val="22"/>
          <w:szCs w:val="22"/>
          <w:lang w:val="en-US"/>
        </w:rPr>
        <w:t xml:space="preserve">The Materials and </w:t>
      </w:r>
      <w:r w:rsidR="00E47927">
        <w:rPr>
          <w:rFonts w:ascii="Arial" w:hAnsi="Arial" w:cs="Arial"/>
          <w:sz w:val="22"/>
          <w:szCs w:val="22"/>
          <w:lang w:val="en-US"/>
        </w:rPr>
        <w:t>m</w:t>
      </w:r>
      <w:r w:rsidR="00E47927" w:rsidRPr="003A5293">
        <w:rPr>
          <w:rFonts w:ascii="Arial" w:hAnsi="Arial" w:cs="Arial"/>
          <w:sz w:val="22"/>
          <w:szCs w:val="22"/>
          <w:lang w:val="en-US"/>
        </w:rPr>
        <w:t xml:space="preserve">ethods </w:t>
      </w:r>
      <w:r w:rsidRPr="003A5293">
        <w:rPr>
          <w:rFonts w:ascii="Arial" w:hAnsi="Arial" w:cs="Arial"/>
          <w:sz w:val="22"/>
          <w:szCs w:val="22"/>
          <w:lang w:val="en-US"/>
        </w:rPr>
        <w:t>section contains detail</w:t>
      </w:r>
      <w:r w:rsidR="00452D46">
        <w:rPr>
          <w:rFonts w:ascii="Arial" w:hAnsi="Arial" w:cs="Arial"/>
          <w:sz w:val="22"/>
          <w:szCs w:val="22"/>
          <w:lang w:val="en-US"/>
        </w:rPr>
        <w:t>ed</w:t>
      </w:r>
      <w:r w:rsidRPr="003A5293">
        <w:rPr>
          <w:rFonts w:ascii="Arial" w:hAnsi="Arial" w:cs="Arial"/>
          <w:sz w:val="22"/>
          <w:szCs w:val="22"/>
          <w:lang w:val="en-US"/>
        </w:rPr>
        <w:t xml:space="preserve"> information about experiments </w:t>
      </w:r>
      <w:r w:rsidR="005F7CB0">
        <w:rPr>
          <w:rFonts w:ascii="Arial" w:hAnsi="Arial" w:cs="Arial"/>
          <w:sz w:val="22"/>
          <w:szCs w:val="22"/>
          <w:lang w:val="en-US"/>
        </w:rPr>
        <w:t>I</w:t>
      </w:r>
      <w:r w:rsidRPr="003A5293">
        <w:rPr>
          <w:rFonts w:ascii="Arial" w:hAnsi="Arial" w:cs="Arial"/>
          <w:sz w:val="22"/>
          <w:szCs w:val="22"/>
          <w:lang w:val="en-US"/>
        </w:rPr>
        <w:t xml:space="preserve"> performed at</w:t>
      </w:r>
      <w:r w:rsidR="00683F6B" w:rsidRPr="003A5293">
        <w:rPr>
          <w:rFonts w:ascii="Arial" w:hAnsi="Arial" w:cs="Arial"/>
          <w:sz w:val="22"/>
          <w:szCs w:val="22"/>
          <w:lang w:val="en-US"/>
        </w:rPr>
        <w:t xml:space="preserve"> the</w:t>
      </w:r>
      <w:r w:rsidRPr="003A5293">
        <w:rPr>
          <w:rFonts w:ascii="Arial" w:hAnsi="Arial" w:cs="Arial"/>
          <w:sz w:val="22"/>
          <w:szCs w:val="22"/>
          <w:lang w:val="en-US"/>
        </w:rPr>
        <w:t xml:space="preserve"> Department of Biology, Faculty of Medicine and Dentistry, </w:t>
      </w:r>
      <w:proofErr w:type="spellStart"/>
      <w:r w:rsidRPr="003A5293">
        <w:rPr>
          <w:rFonts w:ascii="Arial" w:hAnsi="Arial" w:cs="Arial"/>
          <w:sz w:val="22"/>
          <w:szCs w:val="22"/>
          <w:lang w:val="en-US"/>
        </w:rPr>
        <w:t>Palacky</w:t>
      </w:r>
      <w:proofErr w:type="spellEnd"/>
      <w:r w:rsidRPr="003A5293">
        <w:rPr>
          <w:rFonts w:ascii="Arial" w:hAnsi="Arial" w:cs="Arial"/>
          <w:sz w:val="22"/>
          <w:szCs w:val="22"/>
          <w:lang w:val="en-US"/>
        </w:rPr>
        <w:t xml:space="preserve"> University</w:t>
      </w:r>
      <w:r w:rsidR="00E47927">
        <w:rPr>
          <w:rFonts w:ascii="Arial" w:hAnsi="Arial" w:cs="Arial"/>
          <w:sz w:val="22"/>
          <w:szCs w:val="22"/>
          <w:lang w:val="en-US"/>
        </w:rPr>
        <w:t xml:space="preserve"> Olomouc</w:t>
      </w:r>
      <w:r w:rsidR="0022344B">
        <w:rPr>
          <w:rFonts w:ascii="Arial" w:hAnsi="Arial" w:cs="Arial"/>
          <w:sz w:val="22"/>
          <w:szCs w:val="22"/>
          <w:lang w:val="en-US"/>
        </w:rPr>
        <w:t>. The methods involving mouse models</w:t>
      </w:r>
      <w:r w:rsidR="00E47927">
        <w:rPr>
          <w:rFonts w:ascii="Arial" w:hAnsi="Arial" w:cs="Arial"/>
          <w:sz w:val="22"/>
          <w:szCs w:val="22"/>
          <w:lang w:val="en-US"/>
        </w:rPr>
        <w:t xml:space="preserve"> </w:t>
      </w:r>
      <w:r w:rsidR="0022344B">
        <w:rPr>
          <w:rFonts w:ascii="Arial" w:hAnsi="Arial" w:cs="Arial"/>
          <w:sz w:val="22"/>
          <w:szCs w:val="22"/>
          <w:lang w:val="en-US"/>
        </w:rPr>
        <w:t>were performed during my stay</w:t>
      </w:r>
      <w:r w:rsidR="00E47927">
        <w:rPr>
          <w:rFonts w:ascii="Arial" w:hAnsi="Arial" w:cs="Arial"/>
          <w:sz w:val="22"/>
          <w:szCs w:val="22"/>
          <w:lang w:val="en-US"/>
        </w:rPr>
        <w:t xml:space="preserve"> at the </w:t>
      </w:r>
      <w:r w:rsidR="00E47927" w:rsidRPr="00E47927">
        <w:rPr>
          <w:rFonts w:ascii="Arial" w:hAnsi="Arial" w:cs="Arial"/>
          <w:sz w:val="22"/>
          <w:szCs w:val="22"/>
          <w:lang w:val="en-US"/>
        </w:rPr>
        <w:t>Department of Biomedicine, Experimental Hematology</w:t>
      </w:r>
      <w:r w:rsidR="00E47927">
        <w:rPr>
          <w:rFonts w:ascii="Arial" w:hAnsi="Arial" w:cs="Arial"/>
          <w:sz w:val="22"/>
          <w:szCs w:val="22"/>
          <w:lang w:val="en-US"/>
        </w:rPr>
        <w:t xml:space="preserve">, University Hospital Basel and </w:t>
      </w:r>
      <w:r w:rsidR="00E47927" w:rsidRPr="00E47927">
        <w:rPr>
          <w:rFonts w:ascii="Arial" w:hAnsi="Arial" w:cs="Arial"/>
          <w:sz w:val="22"/>
          <w:szCs w:val="22"/>
          <w:lang w:val="en-US"/>
        </w:rPr>
        <w:t>University of Basel</w:t>
      </w:r>
      <w:r w:rsidRPr="003A5293">
        <w:rPr>
          <w:rFonts w:ascii="Arial" w:hAnsi="Arial" w:cs="Arial"/>
          <w:sz w:val="22"/>
          <w:szCs w:val="22"/>
          <w:lang w:val="en-US"/>
        </w:rPr>
        <w:t xml:space="preserve">. All the other experiments, done by </w:t>
      </w:r>
      <w:r w:rsidR="0043699E" w:rsidRPr="003A5293">
        <w:rPr>
          <w:rFonts w:ascii="Arial" w:hAnsi="Arial" w:cs="Arial"/>
          <w:sz w:val="22"/>
          <w:szCs w:val="22"/>
          <w:lang w:val="en-US"/>
        </w:rPr>
        <w:t>coauthors</w:t>
      </w:r>
      <w:r w:rsidR="0022344B">
        <w:rPr>
          <w:rFonts w:ascii="Arial" w:hAnsi="Arial" w:cs="Arial"/>
          <w:sz w:val="22"/>
          <w:szCs w:val="22"/>
          <w:lang w:val="en-US"/>
        </w:rPr>
        <w:t>,</w:t>
      </w:r>
      <w:r w:rsidRPr="003A5293">
        <w:rPr>
          <w:rFonts w:ascii="Arial" w:hAnsi="Arial" w:cs="Arial"/>
          <w:sz w:val="22"/>
          <w:szCs w:val="22"/>
          <w:lang w:val="en-US"/>
        </w:rPr>
        <w:t xml:space="preserve"> are presented only in brief and cited accordingly.</w:t>
      </w:r>
    </w:p>
    <w:p w14:paraId="5DAEB256" w14:textId="0DD5C70E" w:rsidR="000D6427" w:rsidRPr="003A5293" w:rsidRDefault="00AF334E" w:rsidP="000D6427">
      <w:pPr>
        <w:pStyle w:val="Formatvorlage1"/>
        <w:rPr>
          <w:rFonts w:cs="Arial"/>
        </w:rPr>
      </w:pPr>
      <w:bookmarkStart w:id="28" w:name="_Toc57582503"/>
      <w:r>
        <w:rPr>
          <w:rFonts w:cs="Arial"/>
        </w:rPr>
        <w:t>4</w:t>
      </w:r>
      <w:r w:rsidR="000D6427" w:rsidRPr="003A5293">
        <w:rPr>
          <w:rFonts w:cs="Arial"/>
        </w:rPr>
        <w:t>.1 Laboratory equipment and software</w:t>
      </w:r>
      <w:bookmarkEnd w:id="28"/>
    </w:p>
    <w:p w14:paraId="46B13980" w14:textId="77777777" w:rsidR="0080427B" w:rsidRDefault="0080427B" w:rsidP="002D47BA">
      <w:pPr>
        <w:spacing w:line="360" w:lineRule="auto"/>
        <w:jc w:val="both"/>
        <w:rPr>
          <w:rFonts w:ascii="Arial" w:hAnsi="Arial" w:cs="Arial"/>
          <w:sz w:val="22"/>
          <w:szCs w:val="22"/>
          <w:lang w:val="en-US"/>
        </w:rPr>
      </w:pPr>
    </w:p>
    <w:p w14:paraId="11FC82A8" w14:textId="3D7EDB56" w:rsidR="00BC4A54" w:rsidRPr="003A5293" w:rsidRDefault="00BC4A54" w:rsidP="002D47BA">
      <w:pPr>
        <w:spacing w:line="360" w:lineRule="auto"/>
        <w:jc w:val="both"/>
        <w:rPr>
          <w:rFonts w:ascii="Arial" w:hAnsi="Arial" w:cs="Arial"/>
          <w:sz w:val="22"/>
          <w:szCs w:val="22"/>
          <w:lang w:val="en-US"/>
        </w:rPr>
      </w:pPr>
      <w:r w:rsidRPr="003A5293">
        <w:rPr>
          <w:rFonts w:ascii="Arial" w:hAnsi="Arial" w:cs="Arial"/>
          <w:sz w:val="22"/>
          <w:szCs w:val="22"/>
          <w:lang w:val="en-US"/>
        </w:rPr>
        <w:t>Irradiator RS Research Cabinet (</w:t>
      </w:r>
      <w:proofErr w:type="spellStart"/>
      <w:r w:rsidRPr="003A5293">
        <w:rPr>
          <w:rFonts w:ascii="Arial" w:hAnsi="Arial" w:cs="Arial"/>
          <w:sz w:val="22"/>
          <w:szCs w:val="22"/>
          <w:lang w:val="en-US"/>
        </w:rPr>
        <w:t>Xstrahl</w:t>
      </w:r>
      <w:proofErr w:type="spellEnd"/>
      <w:r w:rsidRPr="003A5293">
        <w:rPr>
          <w:rFonts w:ascii="Arial" w:hAnsi="Arial" w:cs="Arial"/>
          <w:sz w:val="22"/>
          <w:szCs w:val="22"/>
          <w:lang w:val="en-US"/>
        </w:rPr>
        <w:t xml:space="preserve">, </w:t>
      </w:r>
      <w:proofErr w:type="spellStart"/>
      <w:r w:rsidRPr="003A5293">
        <w:rPr>
          <w:rFonts w:ascii="Arial" w:hAnsi="Arial" w:cs="Arial"/>
          <w:sz w:val="22"/>
          <w:szCs w:val="22"/>
          <w:lang w:val="en-US"/>
        </w:rPr>
        <w:t>Camberley</w:t>
      </w:r>
      <w:proofErr w:type="spellEnd"/>
      <w:r w:rsidRPr="003A5293">
        <w:rPr>
          <w:rFonts w:ascii="Arial" w:hAnsi="Arial" w:cs="Arial"/>
          <w:sz w:val="22"/>
          <w:szCs w:val="22"/>
          <w:lang w:val="en-US"/>
        </w:rPr>
        <w:t>, UK);</w:t>
      </w:r>
      <w:r w:rsidR="00A9338F" w:rsidRPr="003A5293">
        <w:rPr>
          <w:rFonts w:ascii="Arial" w:hAnsi="Arial" w:cs="Arial"/>
          <w:sz w:val="22"/>
          <w:szCs w:val="22"/>
          <w:lang w:val="en-US"/>
        </w:rPr>
        <w:t xml:space="preserve"> </w:t>
      </w:r>
      <w:proofErr w:type="spellStart"/>
      <w:r w:rsidR="00A9338F" w:rsidRPr="003A5293">
        <w:rPr>
          <w:rFonts w:ascii="Arial" w:hAnsi="Arial" w:cs="Arial"/>
          <w:sz w:val="22"/>
          <w:szCs w:val="22"/>
          <w:lang w:val="en-US"/>
        </w:rPr>
        <w:t>Amaxa</w:t>
      </w:r>
      <w:proofErr w:type="spellEnd"/>
      <w:r w:rsidR="00A9338F" w:rsidRPr="003A5293">
        <w:rPr>
          <w:rFonts w:ascii="Arial" w:hAnsi="Arial" w:cs="Arial"/>
          <w:sz w:val="22"/>
          <w:szCs w:val="22"/>
          <w:lang w:val="en-US"/>
        </w:rPr>
        <w:t xml:space="preserve"> Nucleofector system (Lonza, </w:t>
      </w:r>
      <w:proofErr w:type="spellStart"/>
      <w:r w:rsidR="00A9338F" w:rsidRPr="003A5293">
        <w:rPr>
          <w:rFonts w:ascii="Arial" w:hAnsi="Arial" w:cs="Arial"/>
          <w:sz w:val="22"/>
          <w:szCs w:val="22"/>
          <w:lang w:val="en-US"/>
        </w:rPr>
        <w:t>Visp</w:t>
      </w:r>
      <w:proofErr w:type="spellEnd"/>
      <w:r w:rsidR="00A9338F" w:rsidRPr="003A5293">
        <w:rPr>
          <w:rFonts w:ascii="Arial" w:hAnsi="Arial" w:cs="Arial"/>
          <w:sz w:val="22"/>
          <w:szCs w:val="22"/>
          <w:lang w:val="en-US"/>
        </w:rPr>
        <w:t xml:space="preserve">, Switzerland); Agilent 2100 Bioanalyzer (Agilent Technologies, Santa Clara, USA); HumanHT-12 v4 Expression </w:t>
      </w:r>
      <w:proofErr w:type="spellStart"/>
      <w:r w:rsidR="00A9338F" w:rsidRPr="003A5293">
        <w:rPr>
          <w:rFonts w:ascii="Arial" w:hAnsi="Arial" w:cs="Arial"/>
          <w:sz w:val="22"/>
          <w:szCs w:val="22"/>
          <w:lang w:val="en-US"/>
        </w:rPr>
        <w:t>BeadChips</w:t>
      </w:r>
      <w:proofErr w:type="spellEnd"/>
      <w:r w:rsidR="00A9338F" w:rsidRPr="003A5293">
        <w:rPr>
          <w:rFonts w:ascii="Arial" w:hAnsi="Arial" w:cs="Arial"/>
          <w:sz w:val="22"/>
          <w:szCs w:val="22"/>
          <w:lang w:val="en-US"/>
        </w:rPr>
        <w:t xml:space="preserve"> (Illumina, San Diego, USA)</w:t>
      </w:r>
      <w:r w:rsidR="006B2486" w:rsidRPr="003A5293">
        <w:rPr>
          <w:rFonts w:ascii="Arial" w:hAnsi="Arial" w:cs="Arial"/>
          <w:sz w:val="22"/>
          <w:szCs w:val="22"/>
          <w:lang w:val="en-US"/>
        </w:rPr>
        <w:t xml:space="preserve">; Genome Studio software (version 1.9.0.24624; Illumina); Bioconductor software (version 3.8; </w:t>
      </w:r>
      <w:r w:rsidR="006B2486" w:rsidRPr="003A5293">
        <w:rPr>
          <w:rFonts w:ascii="Arial" w:hAnsi="Arial" w:cs="Arial"/>
          <w:sz w:val="22"/>
          <w:szCs w:val="22"/>
        </w:rPr>
        <w:fldChar w:fldCharType="begin"/>
      </w:r>
      <w:r w:rsidR="00B703ED" w:rsidRPr="003A5293">
        <w:rPr>
          <w:rFonts w:ascii="Arial" w:hAnsi="Arial" w:cs="Arial"/>
          <w:sz w:val="22"/>
          <w:szCs w:val="22"/>
          <w:lang w:val="en-US"/>
        </w:rPr>
        <w:instrText xml:space="preserve"> ADDIN ZOTERO_ITEM CSL_CITATION {"citationID":"xc4xEN6h","properties":{"formattedCitation":"(Carvalho and Irizarry, 2010; Gentleman et al., 2004; Smyth, 2004)","plainCitation":"(Carvalho and Irizarry, 2010; Gentleman et al., 2004; Smyth, 2004)","noteIndex":0},"citationItems":[{"id":107,"uris":["http://zotero.org/users/2484452/items/Q9RG6DKJ"],"uri":["http://zotero.org/users/2484452/items/Q9RG6DKJ"],"itemData":{"id":107,"type":"article-journal","abstract":"MOTIVATION: The availability of flexible open source software for the analysis of gene expression raw level data has greatly facilitated the development of widely used preprocessing methods for these technologies. However, the expansion of microarray applications has exposed the limitation of existing tools.\nRESULTS: We developed the oligo package to provide a more general solution that supports a wide range of applications. The package is based on the BioConductor principles of transparency, reproducibility and efficiency of development. It extends the existing tools and leverages existing code for visualization, accessing data and widely used preprocessing routines. The oligo package implements a unified paradigm for preprocessing data and interfaces with other BioConductor tools for downstream analysis. Our infrastructure is general and can be used by other BioConductor packages.\nAVAILABILITY: The oligo package is freely available through BioConductor, http://www.bioconductor.org.","container-title":"Bioinformatics (Oxford, England)","DOI":"10.1093/bioinformatics/btq431","ISSN":"1367-4811","issue":"19","journalAbbreviation":"Bioinformatics","language":"eng","note":"PMID: 20688976\nPMCID: PMC2944196","page":"2363-2367","source":"PubMed","title":"A framework for oligonucleotide microarray preprocessing","volume":"26","author":[{"family":"Carvalho","given":"Benilton S."},{"family":"Irizarry","given":"Rafael A."}],"issued":{"date-parts":[["2010",10,1]]}}},{"id":116,"uris":["http://zotero.org/users/2484452/items/TJWRRQES"],"uri":["http://zotero.org/users/2484452/items/TJWRRQES"],"itemData":{"id":116,"type":"article-journal","abstract":"The Bioconductor project is an initiative for the collaborative creation of extensible software for computational biology and bioinformatics. The goals of the project include: fostering collaborative development and widespread use of innovative software, reducing barriers to entry into interdisciplinary scientific research, and promoting the achievement of remote reproducibility of research results. We describe details of our aims and methods, identify current challenges, compare Bioconductor to other open bioinformatics projects, and provide working examples.","container-title":"Genome Biology","DOI":"10.1186/gb-2004-5-10-r80","ISSN":"1474-760X","issue":"10","journalAbbreviation":"Genome Biol.","language":"eng","note":"PMID: 15461798\nPMCID: PMC545600","page":"R80","source":"PubMed","title":"Bioconductor: open software development for computational biology and bioinformatics","title-short":"Bioconductor","volume":"5","author":[{"family":"Gentleman","given":"Robert C."},{"family":"Carey","given":"Vincent J."},{"family":"Bates","given":"Douglas M."},{"family":"Bolstad","given":"Ben"},{"family":"Dettling","given":"Marcel"},{"family":"Dudoit","given":"Sandrine"},{"family":"Ellis","given":"Byron"},{"family":"Gautier","given":"Laurent"},{"family":"Ge","given":"Yongchao"},{"family":"Gentry","given":"Jeff"},{"family":"Hornik","given":"Kurt"},{"family":"Hothorn","given":"Torsten"},{"family":"Huber","given":"Wolfgang"},{"family":"Iacus","given":"Stefano"},{"family":"Irizarry","given":"Rafael"},{"family":"Leisch","given":"Friedrich"},{"family":"Li","given":"Cheng"},{"family":"Maechler","given":"Martin"},{"family":"Rossini","given":"Anthony J."},{"family":"Sawitzki","given":"Gunther"},{"family":"Smith","given":"Colin"},{"family":"Smyth","given":"Gordon"},{"family":"Tierney","given":"Luke"},{"family":"Yang","given":"Jean Y. H."},{"family":"Zhang","given":"Jianhua"}],"issued":{"date-parts":[["2004"]]}}},{"id":117,"uris":["http://zotero.org/users/2484452/items/TEZEBX23"],"uri":["http://zotero.org/users/2484452/items/TEZEBX23"],"itemData":{"id":117,"type":"article-journal","abstract":"The problem of identifying differentially expressed genes in designed microarray experiments is considered. Lonnstedt and Speed (2002) derived an expression for the posterior odds of differential expression in a replicated two-color experiment using a simple hierarchical parametric model. The purpose of this paper is to develop the hierarchical model of Lonnstedt and Speed (2002) into a practical approach for general microarray experiments with arbitrary numbers of treatments and RNA samples. The model is reset in the context of general linear models with arbitrary coefficients and contrasts of interest. The approach applies equally well to both single channel and two color microarray experiments. Consistent, closed form estimators are derived for the hyperparameters in the model. The estimators proposed have robust behavior even for small numbers of arrays and allow for incomplete data arising from spot filtering or spot quality weights. The posterior odds statistic is reformulated in terms of a moderated t-statistic in which posterior residual standard deviations are used in place of ordinary standard deviations. The empirical Bayes approach is equivalent to shrinkage of the estimated sample variances towards a pooled estimate, resulting in far more stable inference when the number of arrays is small. The use of moderated t-statistics has the advantage over the posterior odds that the number of hyperparameters which need to estimated is reduced; in particular, knowledge of the non-null prior for the fold changes are not required. The moderated t-statistic is shown to follow a t-distribution with augmented degrees of freedom. The moderated t inferential approach extends to accommodate tests of composite null hypotheses through the use of moderated F-statistics. The performance of the methods is demonstrated in a simulation study. Results are presented for two publicly available data sets.","container-title":"Statistical Applications in Genetics and Molecular Biology","DOI":"10.2202/1544-6115.1027","ISSN":"1544-6115","journalAbbreviation":"Stat Appl Genet Mol Biol","language":"eng","note":"PMID: 16646809","page":"Article3","source":"PubMed","title":"Linear models and empirical bayes methods for assessing differential expression in microarray experiments","volume":"3","author":[{"family":"Smyth","given":"Gordon K."}],"issued":{"date-parts":[["2004"]]}}}],"schema":"https://github.com/citation-style-language/schema/raw/master/csl-citation.json"} </w:instrText>
      </w:r>
      <w:r w:rsidR="006B2486" w:rsidRPr="003A5293">
        <w:rPr>
          <w:rFonts w:ascii="Arial" w:hAnsi="Arial" w:cs="Arial"/>
          <w:sz w:val="22"/>
          <w:szCs w:val="22"/>
        </w:rPr>
        <w:fldChar w:fldCharType="separate"/>
      </w:r>
      <w:r w:rsidR="00C45D32" w:rsidRPr="003A5293">
        <w:rPr>
          <w:rFonts w:ascii="Arial" w:hAnsi="Arial" w:cs="Arial"/>
          <w:sz w:val="22"/>
          <w:szCs w:val="22"/>
          <w:lang w:val="en-US"/>
        </w:rPr>
        <w:t>(Carvalho and Irizarry, 2010; Gentleman et al., 2004; Smyth, 2004)</w:t>
      </w:r>
      <w:r w:rsidR="006B2486" w:rsidRPr="003A5293">
        <w:rPr>
          <w:rFonts w:ascii="Arial" w:hAnsi="Arial" w:cs="Arial"/>
          <w:sz w:val="22"/>
          <w:szCs w:val="22"/>
        </w:rPr>
        <w:fldChar w:fldCharType="end"/>
      </w:r>
      <w:r w:rsidR="006B2486" w:rsidRPr="003A5293">
        <w:rPr>
          <w:rFonts w:ascii="Arial" w:hAnsi="Arial" w:cs="Arial"/>
          <w:sz w:val="22"/>
          <w:szCs w:val="22"/>
          <w:lang w:val="en-US"/>
        </w:rPr>
        <w:t xml:space="preserve">; </w:t>
      </w:r>
      <w:proofErr w:type="spellStart"/>
      <w:r w:rsidR="006B2486" w:rsidRPr="003A5293">
        <w:rPr>
          <w:rFonts w:ascii="Arial" w:hAnsi="Arial" w:cs="Arial"/>
          <w:sz w:val="22"/>
          <w:szCs w:val="22"/>
          <w:lang w:val="en-US"/>
        </w:rPr>
        <w:t>Heatmapper</w:t>
      </w:r>
      <w:proofErr w:type="spellEnd"/>
      <w:r w:rsidR="006B2486" w:rsidRPr="003A5293">
        <w:rPr>
          <w:rFonts w:ascii="Arial" w:hAnsi="Arial" w:cs="Arial"/>
          <w:sz w:val="22"/>
          <w:szCs w:val="22"/>
          <w:lang w:val="en-US"/>
        </w:rPr>
        <w:t xml:space="preserve"> software </w:t>
      </w:r>
      <w:r w:rsidR="006B2486" w:rsidRPr="003A5293">
        <w:rPr>
          <w:rFonts w:ascii="Arial" w:hAnsi="Arial" w:cs="Arial"/>
          <w:sz w:val="22"/>
          <w:szCs w:val="22"/>
        </w:rPr>
        <w:fldChar w:fldCharType="begin"/>
      </w:r>
      <w:r w:rsidR="00B703ED" w:rsidRPr="003A5293">
        <w:rPr>
          <w:rFonts w:ascii="Arial" w:hAnsi="Arial" w:cs="Arial"/>
          <w:sz w:val="22"/>
          <w:szCs w:val="22"/>
          <w:lang w:val="en-US"/>
        </w:rPr>
        <w:instrText xml:space="preserve"> ADDIN ZOTERO_ITEM CSL_CITATION {"citationID":"WPfFShjj","properties":{"formattedCitation":"(Babicki et al., 2016)","plainCitation":"(Babicki et al., 2016)","noteIndex":0},"citationItems":[{"id":113,"uris":["http://zotero.org/users/2484452/items/X9H9WWNC"],"uri":["http://zotero.org/users/2484452/items/X9H9WWNC"],"itemData":{"id":113,"type":"article-journal","abstract":"Heatmapper is a freely available web server that allows users to interactively visualize their data in the form of heat maps through an easy-to-use graphical interface. Unlike existing non-commercial heat map packages, which either lack graphical interfaces or are specialized for only one or two kinds of heat maps, Heatmapper is a versatile tool that allows users to easily create a wide variety of heat maps for many different data types and applications. More specifically, Heatmapper allows users to generate, cluster and visualize: (i) expression-based heat maps from transcriptomic, proteomic and metabolomic experiments; (ii) pairwise distance maps; (iii) correlation maps; (iv) image overlay heat maps; (v) latitude and longitude heat maps and (vi) geopolitical (choropleth) heat maps. Heatmapper offers a number of simple and intuitive customization options for facile adjustments to each heat map's appearance and plotting parameters. Heatmapper also allows users to interactively explore their numeric data values by hovering their cursor over each heat map cell, or by using a searchable/sortable data table view. Heat map data can be easily uploaded to Heatmapper in text, Excel or tab delimited formatted tables and the resulting heat map images can be easily downloaded in common formats including PNG, JPG and PDF. Heatmapper is designed to appeal to a wide range of users, including molecular biologists, structural biologists, microbiologists, epidemiologists, environmental scientists, agriculture/forestry scientists, fish and wildlife biologists, climatologists, geologists, educators and students. Heatmapper is available at http://www.heatmapper.ca.","container-title":"Nucleic Acids Research","DOI":"10.1093/nar/gkw419","ISSN":"0305-1048","issue":"Web Server issue","journalAbbreviation":"Nucleic Acids Res","note":"PMID: 27190236\nPMCID: PMC4987948","page":"W147-W153","source":"PubMed Central","title":"Heatmapper: web-enabled heat mapping for all","title-short":"Heatmapper","volume":"44","author":[{"family":"Babicki","given":"Sasha"},{"family":"Arndt","given":"David"},{"family":"Marcu","given":"Ana"},{"family":"Liang","given":"Yongjie"},{"family":"Grant","given":"Jason R."},{"family":"Maciejewski","given":"Adam"},{"family":"Wishart","given":"David S."}],"issued":{"date-parts":[["2016",7,8]]}}}],"schema":"https://github.com/citation-style-language/schema/raw/master/csl-citation.json"} </w:instrText>
      </w:r>
      <w:r w:rsidR="006B2486" w:rsidRPr="003A5293">
        <w:rPr>
          <w:rFonts w:ascii="Arial" w:hAnsi="Arial" w:cs="Arial"/>
          <w:sz w:val="22"/>
          <w:szCs w:val="22"/>
        </w:rPr>
        <w:fldChar w:fldCharType="separate"/>
      </w:r>
      <w:r w:rsidR="006B2486" w:rsidRPr="003A5293">
        <w:rPr>
          <w:rFonts w:ascii="Arial" w:hAnsi="Arial" w:cs="Arial"/>
          <w:sz w:val="22"/>
          <w:szCs w:val="22"/>
          <w:lang w:val="en-US"/>
        </w:rPr>
        <w:t>(Babicki et al., 2016)</w:t>
      </w:r>
      <w:r w:rsidR="006B2486" w:rsidRPr="003A5293">
        <w:rPr>
          <w:rFonts w:ascii="Arial" w:hAnsi="Arial" w:cs="Arial"/>
          <w:sz w:val="22"/>
          <w:szCs w:val="22"/>
        </w:rPr>
        <w:fldChar w:fldCharType="end"/>
      </w:r>
      <w:r w:rsidR="006B2486" w:rsidRPr="003A5293">
        <w:rPr>
          <w:rFonts w:ascii="Arial" w:hAnsi="Arial" w:cs="Arial"/>
          <w:sz w:val="22"/>
          <w:szCs w:val="22"/>
          <w:lang w:val="en-US"/>
        </w:rPr>
        <w:t xml:space="preserve">; </w:t>
      </w:r>
      <w:proofErr w:type="spellStart"/>
      <w:r w:rsidR="00CC719E" w:rsidRPr="003A5293">
        <w:rPr>
          <w:rFonts w:ascii="Arial" w:hAnsi="Arial" w:cs="Arial"/>
          <w:sz w:val="22"/>
          <w:szCs w:val="22"/>
          <w:lang w:val="en-US"/>
        </w:rPr>
        <w:t>ConsensusPathDB</w:t>
      </w:r>
      <w:proofErr w:type="spellEnd"/>
      <w:r w:rsidR="00CC719E" w:rsidRPr="003A5293">
        <w:rPr>
          <w:rFonts w:ascii="Arial" w:hAnsi="Arial" w:cs="Arial"/>
          <w:sz w:val="22"/>
          <w:szCs w:val="22"/>
          <w:lang w:val="en-US"/>
        </w:rPr>
        <w:t xml:space="preserve"> software tool (Release 34 (15.01.2019); Max-Planck-</w:t>
      </w:r>
      <w:proofErr w:type="spellStart"/>
      <w:r w:rsidR="00CC719E" w:rsidRPr="003A5293">
        <w:rPr>
          <w:rFonts w:ascii="Arial" w:hAnsi="Arial" w:cs="Arial"/>
          <w:sz w:val="22"/>
          <w:szCs w:val="22"/>
          <w:lang w:val="en-US"/>
        </w:rPr>
        <w:t>Institut</w:t>
      </w:r>
      <w:proofErr w:type="spellEnd"/>
      <w:r w:rsidR="00CC719E" w:rsidRPr="003A5293">
        <w:rPr>
          <w:rFonts w:ascii="Arial" w:hAnsi="Arial" w:cs="Arial"/>
          <w:sz w:val="22"/>
          <w:szCs w:val="22"/>
          <w:lang w:val="en-US"/>
        </w:rPr>
        <w:t xml:space="preserve"> </w:t>
      </w:r>
      <w:proofErr w:type="spellStart"/>
      <w:r w:rsidR="00CC719E" w:rsidRPr="003A5293">
        <w:rPr>
          <w:rFonts w:ascii="Arial" w:hAnsi="Arial" w:cs="Arial"/>
          <w:sz w:val="22"/>
          <w:szCs w:val="22"/>
          <w:lang w:val="en-US"/>
        </w:rPr>
        <w:t>für</w:t>
      </w:r>
      <w:proofErr w:type="spellEnd"/>
      <w:r w:rsidR="00CC719E" w:rsidRPr="003A5293">
        <w:rPr>
          <w:rFonts w:ascii="Arial" w:hAnsi="Arial" w:cs="Arial"/>
          <w:sz w:val="22"/>
          <w:szCs w:val="22"/>
          <w:lang w:val="en-US"/>
        </w:rPr>
        <w:t xml:space="preserve"> </w:t>
      </w:r>
      <w:proofErr w:type="spellStart"/>
      <w:r w:rsidR="00CC719E" w:rsidRPr="003A5293">
        <w:rPr>
          <w:rFonts w:ascii="Arial" w:hAnsi="Arial" w:cs="Arial"/>
          <w:sz w:val="22"/>
          <w:szCs w:val="22"/>
          <w:lang w:val="en-US"/>
        </w:rPr>
        <w:t>molekulare</w:t>
      </w:r>
      <w:proofErr w:type="spellEnd"/>
      <w:r w:rsidR="00CC719E" w:rsidRPr="003A5293">
        <w:rPr>
          <w:rFonts w:ascii="Arial" w:hAnsi="Arial" w:cs="Arial"/>
          <w:sz w:val="22"/>
          <w:szCs w:val="22"/>
          <w:lang w:val="en-US"/>
        </w:rPr>
        <w:t xml:space="preserve"> </w:t>
      </w:r>
      <w:proofErr w:type="spellStart"/>
      <w:r w:rsidR="00CC719E" w:rsidRPr="003A5293">
        <w:rPr>
          <w:rFonts w:ascii="Arial" w:hAnsi="Arial" w:cs="Arial"/>
          <w:sz w:val="22"/>
          <w:szCs w:val="22"/>
          <w:lang w:val="en-US"/>
        </w:rPr>
        <w:t>Genetik</w:t>
      </w:r>
      <w:proofErr w:type="spellEnd"/>
      <w:r w:rsidR="00CC719E" w:rsidRPr="003A5293">
        <w:rPr>
          <w:rFonts w:ascii="Arial" w:hAnsi="Arial" w:cs="Arial"/>
          <w:sz w:val="22"/>
          <w:szCs w:val="22"/>
          <w:lang w:val="en-US"/>
        </w:rPr>
        <w:t>, Berlin, Germany);</w:t>
      </w:r>
      <w:r w:rsidR="00DD58EA" w:rsidRPr="003A5293">
        <w:rPr>
          <w:rFonts w:ascii="Arial" w:hAnsi="Arial" w:cs="Arial"/>
          <w:sz w:val="22"/>
          <w:szCs w:val="22"/>
          <w:lang w:val="en-US"/>
        </w:rPr>
        <w:t xml:space="preserve"> </w:t>
      </w:r>
      <w:r w:rsidR="0057055E" w:rsidRPr="003A5293">
        <w:rPr>
          <w:rFonts w:ascii="Arial" w:hAnsi="Arial" w:cs="Arial"/>
          <w:sz w:val="22"/>
          <w:szCs w:val="22"/>
          <w:lang w:val="en-US"/>
        </w:rPr>
        <w:t xml:space="preserve">Real-time thermocycler </w:t>
      </w:r>
      <w:proofErr w:type="spellStart"/>
      <w:r w:rsidR="0057055E" w:rsidRPr="003A5293">
        <w:rPr>
          <w:rFonts w:ascii="Arial" w:hAnsi="Arial" w:cs="Arial"/>
          <w:sz w:val="22"/>
          <w:szCs w:val="22"/>
          <w:lang w:val="en-US"/>
        </w:rPr>
        <w:t>LightCycler</w:t>
      </w:r>
      <w:proofErr w:type="spellEnd"/>
      <w:r w:rsidR="0057055E" w:rsidRPr="003A5293">
        <w:rPr>
          <w:rFonts w:ascii="Arial" w:hAnsi="Arial" w:cs="Arial"/>
          <w:sz w:val="22"/>
          <w:szCs w:val="22"/>
          <w:lang w:val="en-US"/>
        </w:rPr>
        <w:t xml:space="preserve"> 480 (Roche, Basel, Switzerland) </w:t>
      </w:r>
      <w:proofErr w:type="spellStart"/>
      <w:r w:rsidR="00DD58EA" w:rsidRPr="003A5293">
        <w:rPr>
          <w:rFonts w:ascii="Arial" w:hAnsi="Arial" w:cs="Arial"/>
          <w:sz w:val="22"/>
          <w:szCs w:val="22"/>
          <w:lang w:val="en-US"/>
        </w:rPr>
        <w:t>LightCycler</w:t>
      </w:r>
      <w:proofErr w:type="spellEnd"/>
      <w:r w:rsidR="00DD58EA" w:rsidRPr="003A5293">
        <w:rPr>
          <w:rFonts w:ascii="Arial" w:hAnsi="Arial" w:cs="Arial"/>
          <w:sz w:val="22"/>
          <w:szCs w:val="22"/>
          <w:lang w:val="en-US"/>
        </w:rPr>
        <w:t xml:space="preserve"> 480 software (</w:t>
      </w:r>
      <w:r w:rsidR="0057055E" w:rsidRPr="003A5293">
        <w:rPr>
          <w:rFonts w:ascii="Arial" w:hAnsi="Arial" w:cs="Arial"/>
          <w:sz w:val="22"/>
          <w:szCs w:val="22"/>
          <w:lang w:val="en-US"/>
        </w:rPr>
        <w:t>Roche</w:t>
      </w:r>
      <w:r w:rsidR="00DD58EA" w:rsidRPr="003A5293">
        <w:rPr>
          <w:rFonts w:ascii="Arial" w:hAnsi="Arial" w:cs="Arial"/>
          <w:sz w:val="22"/>
          <w:szCs w:val="22"/>
          <w:lang w:val="en-US"/>
        </w:rPr>
        <w:t>);</w:t>
      </w:r>
      <w:r w:rsidR="00E34719" w:rsidRPr="003A5293">
        <w:rPr>
          <w:rFonts w:ascii="Arial" w:hAnsi="Arial" w:cs="Arial"/>
          <w:sz w:val="22"/>
          <w:szCs w:val="22"/>
          <w:lang w:val="en-US"/>
        </w:rPr>
        <w:t xml:space="preserve"> Cytometer </w:t>
      </w:r>
      <w:proofErr w:type="spellStart"/>
      <w:r w:rsidR="00E34719" w:rsidRPr="003A5293">
        <w:rPr>
          <w:rFonts w:ascii="Arial" w:hAnsi="Arial" w:cs="Arial"/>
          <w:sz w:val="22"/>
          <w:szCs w:val="22"/>
          <w:lang w:val="en-US"/>
        </w:rPr>
        <w:t>Cytomics</w:t>
      </w:r>
      <w:proofErr w:type="spellEnd"/>
      <w:r w:rsidR="00E34719" w:rsidRPr="003A5293">
        <w:rPr>
          <w:rFonts w:ascii="Arial" w:hAnsi="Arial" w:cs="Arial"/>
          <w:sz w:val="22"/>
          <w:szCs w:val="22"/>
          <w:lang w:val="en-US"/>
        </w:rPr>
        <w:t xml:space="preserve"> FC 500 (Beckman Coulter, Brea, USA); cytometer data processing CXP software (Beckman Coulter);</w:t>
      </w:r>
      <w:r w:rsidR="00287D42" w:rsidRPr="003A5293">
        <w:rPr>
          <w:rFonts w:ascii="Arial" w:hAnsi="Arial" w:cs="Arial"/>
          <w:sz w:val="22"/>
          <w:szCs w:val="22"/>
          <w:lang w:val="en-US"/>
        </w:rPr>
        <w:t xml:space="preserve"> spectrophotometer Infinite 200 </w:t>
      </w:r>
      <w:proofErr w:type="spellStart"/>
      <w:r w:rsidR="00287D42" w:rsidRPr="003A5293">
        <w:rPr>
          <w:rFonts w:ascii="Arial" w:hAnsi="Arial" w:cs="Arial"/>
          <w:sz w:val="22"/>
          <w:szCs w:val="22"/>
          <w:lang w:val="en-US"/>
        </w:rPr>
        <w:t>Nanoquant</w:t>
      </w:r>
      <w:proofErr w:type="spellEnd"/>
      <w:r w:rsidR="00287D42" w:rsidRPr="003A5293">
        <w:rPr>
          <w:rFonts w:ascii="Arial" w:hAnsi="Arial" w:cs="Arial"/>
          <w:sz w:val="22"/>
          <w:szCs w:val="22"/>
          <w:lang w:val="en-US"/>
        </w:rPr>
        <w:t xml:space="preserve"> (Tecan, </w:t>
      </w:r>
      <w:proofErr w:type="spellStart"/>
      <w:r w:rsidR="00287D42" w:rsidRPr="003A5293">
        <w:rPr>
          <w:rFonts w:ascii="Arial" w:hAnsi="Arial" w:cs="Arial"/>
          <w:sz w:val="22"/>
          <w:szCs w:val="22"/>
          <w:lang w:val="en-US"/>
        </w:rPr>
        <w:t>Männedorf</w:t>
      </w:r>
      <w:proofErr w:type="spellEnd"/>
      <w:r w:rsidR="00287D42" w:rsidRPr="003A5293">
        <w:rPr>
          <w:rFonts w:ascii="Arial" w:hAnsi="Arial" w:cs="Arial"/>
          <w:sz w:val="22"/>
          <w:szCs w:val="22"/>
          <w:lang w:val="en-US"/>
        </w:rPr>
        <w:t xml:space="preserve">, Switzerland); microtome (Leica, </w:t>
      </w:r>
      <w:proofErr w:type="spellStart"/>
      <w:r w:rsidR="00287D42" w:rsidRPr="003A5293">
        <w:rPr>
          <w:rFonts w:ascii="Arial" w:hAnsi="Arial" w:cs="Arial"/>
          <w:sz w:val="22"/>
          <w:szCs w:val="22"/>
          <w:lang w:val="en-US"/>
        </w:rPr>
        <w:t>Wetzlar</w:t>
      </w:r>
      <w:proofErr w:type="spellEnd"/>
      <w:r w:rsidR="00287D42" w:rsidRPr="003A5293">
        <w:rPr>
          <w:rFonts w:ascii="Arial" w:hAnsi="Arial" w:cs="Arial"/>
          <w:sz w:val="22"/>
          <w:szCs w:val="22"/>
          <w:lang w:val="en-US"/>
        </w:rPr>
        <w:t xml:space="preserve">, Germany); microwave </w:t>
      </w:r>
      <w:proofErr w:type="spellStart"/>
      <w:r w:rsidR="00287D42" w:rsidRPr="003A5293">
        <w:rPr>
          <w:rFonts w:ascii="Arial" w:hAnsi="Arial" w:cs="Arial"/>
          <w:sz w:val="22"/>
          <w:szCs w:val="22"/>
          <w:lang w:val="en-US"/>
        </w:rPr>
        <w:t>histoprocessor</w:t>
      </w:r>
      <w:proofErr w:type="spellEnd"/>
      <w:r w:rsidR="00287D42" w:rsidRPr="003A5293">
        <w:rPr>
          <w:rFonts w:ascii="Arial" w:hAnsi="Arial" w:cs="Arial"/>
          <w:sz w:val="22"/>
          <w:szCs w:val="22"/>
          <w:lang w:val="en-US"/>
        </w:rPr>
        <w:t xml:space="preserve"> (</w:t>
      </w:r>
      <w:proofErr w:type="spellStart"/>
      <w:r w:rsidR="00287D42" w:rsidRPr="003A5293">
        <w:rPr>
          <w:rFonts w:ascii="Arial" w:hAnsi="Arial" w:cs="Arial"/>
          <w:sz w:val="22"/>
          <w:szCs w:val="22"/>
          <w:lang w:val="en-US"/>
        </w:rPr>
        <w:t>Histos</w:t>
      </w:r>
      <w:proofErr w:type="spellEnd"/>
      <w:r w:rsidR="00287D42" w:rsidRPr="003A5293">
        <w:rPr>
          <w:rFonts w:ascii="Arial" w:hAnsi="Arial" w:cs="Arial"/>
          <w:sz w:val="22"/>
          <w:szCs w:val="22"/>
          <w:lang w:val="en-US"/>
        </w:rPr>
        <w:t xml:space="preserve"> 3, Milestone, Shelton, USA);</w:t>
      </w:r>
      <w:r w:rsidR="00DD5C26" w:rsidRPr="003A5293">
        <w:rPr>
          <w:rFonts w:ascii="Arial" w:hAnsi="Arial" w:cs="Arial"/>
          <w:sz w:val="22"/>
          <w:szCs w:val="22"/>
          <w:lang w:val="en-US"/>
        </w:rPr>
        <w:t xml:space="preserve"> Olympus BX51 inverted microscope equipped with </w:t>
      </w:r>
      <w:proofErr w:type="spellStart"/>
      <w:r w:rsidR="00DD5C26" w:rsidRPr="003A5293">
        <w:rPr>
          <w:rFonts w:ascii="Arial" w:hAnsi="Arial" w:cs="Arial"/>
          <w:sz w:val="22"/>
          <w:szCs w:val="22"/>
          <w:lang w:val="en-US"/>
        </w:rPr>
        <w:t>ColorViewIII</w:t>
      </w:r>
      <w:proofErr w:type="spellEnd"/>
      <w:r w:rsidR="00DD5C26" w:rsidRPr="003A5293">
        <w:rPr>
          <w:rFonts w:ascii="Arial" w:hAnsi="Arial" w:cs="Arial"/>
          <w:sz w:val="22"/>
          <w:szCs w:val="22"/>
          <w:lang w:val="en-US"/>
        </w:rPr>
        <w:t xml:space="preserve"> digital CCD camera (Olympus, </w:t>
      </w:r>
      <w:proofErr w:type="spellStart"/>
      <w:r w:rsidR="00DD5C26" w:rsidRPr="003A5293">
        <w:rPr>
          <w:rFonts w:ascii="Arial" w:hAnsi="Arial" w:cs="Arial"/>
          <w:sz w:val="22"/>
          <w:szCs w:val="22"/>
          <w:lang w:val="en-US"/>
        </w:rPr>
        <w:t>Tokio</w:t>
      </w:r>
      <w:proofErr w:type="spellEnd"/>
      <w:r w:rsidR="00DD5C26" w:rsidRPr="003A5293">
        <w:rPr>
          <w:rFonts w:ascii="Arial" w:hAnsi="Arial" w:cs="Arial"/>
          <w:sz w:val="22"/>
          <w:szCs w:val="22"/>
          <w:lang w:val="en-US"/>
        </w:rPr>
        <w:t xml:space="preserve">, Japan); </w:t>
      </w:r>
      <w:proofErr w:type="spellStart"/>
      <w:r w:rsidR="00DD5C26" w:rsidRPr="003A5293">
        <w:rPr>
          <w:rFonts w:ascii="Arial" w:hAnsi="Arial" w:cs="Arial"/>
          <w:sz w:val="22"/>
          <w:szCs w:val="22"/>
          <w:lang w:val="en-US"/>
        </w:rPr>
        <w:t>Axio</w:t>
      </w:r>
      <w:proofErr w:type="spellEnd"/>
      <w:r w:rsidR="00DD5C26" w:rsidRPr="003A5293">
        <w:rPr>
          <w:rFonts w:ascii="Arial" w:hAnsi="Arial" w:cs="Arial"/>
          <w:sz w:val="22"/>
          <w:szCs w:val="22"/>
          <w:lang w:val="en-US"/>
        </w:rPr>
        <w:t xml:space="preserve"> Observer.Z1/Cell Observer Spinning Disc microscopic system (Yokogawa, Tokyo, Japan and Zeiss, </w:t>
      </w:r>
      <w:proofErr w:type="spellStart"/>
      <w:r w:rsidR="00DD5C26" w:rsidRPr="003A5293">
        <w:rPr>
          <w:rFonts w:ascii="Arial" w:hAnsi="Arial" w:cs="Arial"/>
          <w:sz w:val="22"/>
          <w:szCs w:val="22"/>
          <w:lang w:val="en-US"/>
        </w:rPr>
        <w:t>Oberkochen</w:t>
      </w:r>
      <w:proofErr w:type="spellEnd"/>
      <w:r w:rsidR="00DD5C26" w:rsidRPr="003A5293">
        <w:rPr>
          <w:rFonts w:ascii="Arial" w:hAnsi="Arial" w:cs="Arial"/>
          <w:sz w:val="22"/>
          <w:szCs w:val="22"/>
          <w:lang w:val="en-US"/>
        </w:rPr>
        <w:t>, Germany) equipped with an Evolve 512 (</w:t>
      </w:r>
      <w:proofErr w:type="spellStart"/>
      <w:r w:rsidR="00DD5C26" w:rsidRPr="003A5293">
        <w:rPr>
          <w:rFonts w:ascii="Arial" w:hAnsi="Arial" w:cs="Arial"/>
          <w:sz w:val="22"/>
          <w:szCs w:val="22"/>
          <w:lang w:val="en-US"/>
        </w:rPr>
        <w:t>Photometrix</w:t>
      </w:r>
      <w:proofErr w:type="spellEnd"/>
      <w:r w:rsidR="00DD5C26" w:rsidRPr="003A5293">
        <w:rPr>
          <w:rFonts w:ascii="Arial" w:hAnsi="Arial" w:cs="Arial"/>
          <w:sz w:val="22"/>
          <w:szCs w:val="22"/>
          <w:lang w:val="en-US"/>
        </w:rPr>
        <w:t xml:space="preserve">, Tucson, USA) EMCCD camera; </w:t>
      </w:r>
      <w:proofErr w:type="spellStart"/>
      <w:r w:rsidR="00DD5C26" w:rsidRPr="003A5293">
        <w:rPr>
          <w:rFonts w:ascii="Arial" w:hAnsi="Arial" w:cs="Arial"/>
          <w:sz w:val="22"/>
          <w:szCs w:val="22"/>
          <w:lang w:val="en-US"/>
        </w:rPr>
        <w:t>ScanR</w:t>
      </w:r>
      <w:proofErr w:type="spellEnd"/>
      <w:r w:rsidR="00DD5C26" w:rsidRPr="003A5293">
        <w:rPr>
          <w:rFonts w:ascii="Arial" w:hAnsi="Arial" w:cs="Arial"/>
          <w:sz w:val="22"/>
          <w:szCs w:val="22"/>
          <w:lang w:val="en-US"/>
        </w:rPr>
        <w:t xml:space="preserve"> imaging workstation software (Olympus, Tokyo, Japan); </w:t>
      </w:r>
      <w:proofErr w:type="spellStart"/>
      <w:r w:rsidR="00DD5C26" w:rsidRPr="003A5293">
        <w:rPr>
          <w:rFonts w:ascii="Arial" w:hAnsi="Arial" w:cs="Arial"/>
          <w:sz w:val="22"/>
          <w:szCs w:val="22"/>
          <w:lang w:val="en-US"/>
        </w:rPr>
        <w:t>ScanR</w:t>
      </w:r>
      <w:proofErr w:type="spellEnd"/>
      <w:r w:rsidR="00DD5C26" w:rsidRPr="003A5293">
        <w:rPr>
          <w:rFonts w:ascii="Arial" w:hAnsi="Arial" w:cs="Arial"/>
          <w:sz w:val="22"/>
          <w:szCs w:val="22"/>
          <w:lang w:val="en-US"/>
        </w:rPr>
        <w:t xml:space="preserve"> image analysis software (Olympus);</w:t>
      </w:r>
      <w:r w:rsidR="000860B0" w:rsidRPr="003A5293">
        <w:rPr>
          <w:rFonts w:ascii="Arial" w:hAnsi="Arial" w:cs="Arial"/>
          <w:sz w:val="22"/>
          <w:szCs w:val="22"/>
          <w:lang w:val="en-US"/>
        </w:rPr>
        <w:t xml:space="preserve"> Bio-Rad </w:t>
      </w:r>
      <w:proofErr w:type="spellStart"/>
      <w:r w:rsidR="000860B0" w:rsidRPr="003A5293">
        <w:rPr>
          <w:rFonts w:ascii="Arial" w:hAnsi="Arial" w:cs="Arial"/>
          <w:sz w:val="22"/>
          <w:szCs w:val="22"/>
          <w:lang w:val="en-US"/>
        </w:rPr>
        <w:t>PowerPack</w:t>
      </w:r>
      <w:proofErr w:type="spellEnd"/>
      <w:r w:rsidR="000860B0" w:rsidRPr="003A5293">
        <w:rPr>
          <w:rFonts w:ascii="Arial" w:hAnsi="Arial" w:cs="Arial"/>
          <w:sz w:val="22"/>
          <w:szCs w:val="22"/>
          <w:lang w:val="en-US"/>
        </w:rPr>
        <w:t xml:space="preserve"> (Bio-Rad Laboratories, Hercules, USA); Odyssey Imaging System (LI-COR Biosciences, Lincoln, USA);</w:t>
      </w:r>
      <w:r w:rsidR="003F3CCE" w:rsidRPr="003A5293">
        <w:rPr>
          <w:rFonts w:ascii="Arial" w:hAnsi="Arial" w:cs="Arial"/>
          <w:sz w:val="22"/>
          <w:szCs w:val="22"/>
          <w:lang w:val="en-US"/>
        </w:rPr>
        <w:t xml:space="preserve"> Prism</w:t>
      </w:r>
      <w:r w:rsidR="00AE0337" w:rsidRPr="003A5293">
        <w:rPr>
          <w:rFonts w:ascii="Arial" w:hAnsi="Arial" w:cs="Arial"/>
          <w:sz w:val="22"/>
          <w:szCs w:val="22"/>
          <w:lang w:val="en-US"/>
        </w:rPr>
        <w:t xml:space="preserve"> statistical software</w:t>
      </w:r>
      <w:r w:rsidR="003F3CCE" w:rsidRPr="003A5293">
        <w:rPr>
          <w:rFonts w:ascii="Arial" w:hAnsi="Arial" w:cs="Arial"/>
          <w:sz w:val="22"/>
          <w:szCs w:val="22"/>
          <w:lang w:val="en-US"/>
        </w:rPr>
        <w:t xml:space="preserve"> (version 6.0, GraphPad Software, San Diego, USA)</w:t>
      </w:r>
    </w:p>
    <w:p w14:paraId="1F2D32B6" w14:textId="7D2F0883" w:rsidR="000D6427" w:rsidRPr="003A5293" w:rsidRDefault="00AF334E" w:rsidP="000D6427">
      <w:pPr>
        <w:pStyle w:val="Formatvorlage1"/>
        <w:rPr>
          <w:rFonts w:cs="Arial"/>
        </w:rPr>
      </w:pPr>
      <w:bookmarkStart w:id="29" w:name="_Toc57582504"/>
      <w:r>
        <w:rPr>
          <w:rFonts w:cs="Arial"/>
        </w:rPr>
        <w:t>4</w:t>
      </w:r>
      <w:r w:rsidR="000D6427" w:rsidRPr="003A5293">
        <w:rPr>
          <w:rFonts w:cs="Arial"/>
        </w:rPr>
        <w:t>.2 Biological material</w:t>
      </w:r>
      <w:bookmarkEnd w:id="29"/>
    </w:p>
    <w:p w14:paraId="23FF3521" w14:textId="77777777" w:rsidR="0057055E" w:rsidRPr="003A5293" w:rsidRDefault="0057055E" w:rsidP="000D6427">
      <w:pPr>
        <w:spacing w:line="360" w:lineRule="auto"/>
        <w:jc w:val="both"/>
        <w:rPr>
          <w:rFonts w:ascii="Arial" w:hAnsi="Arial" w:cs="Arial"/>
          <w:sz w:val="22"/>
          <w:szCs w:val="22"/>
          <w:lang w:val="en-US"/>
        </w:rPr>
      </w:pPr>
    </w:p>
    <w:p w14:paraId="10A5F1A2" w14:textId="5D46C5E7" w:rsidR="0028560A" w:rsidRPr="003A5293" w:rsidRDefault="000D6427" w:rsidP="000D6427">
      <w:pPr>
        <w:spacing w:line="360" w:lineRule="auto"/>
        <w:jc w:val="both"/>
        <w:rPr>
          <w:rFonts w:ascii="Arial" w:hAnsi="Arial" w:cs="Arial"/>
          <w:sz w:val="22"/>
          <w:szCs w:val="22"/>
          <w:lang w:val="en-US"/>
        </w:rPr>
      </w:pPr>
      <w:r w:rsidRPr="003A5293">
        <w:rPr>
          <w:rFonts w:ascii="Arial" w:hAnsi="Arial" w:cs="Arial"/>
          <w:sz w:val="22"/>
          <w:szCs w:val="22"/>
          <w:lang w:val="en-US"/>
        </w:rPr>
        <w:t xml:space="preserve">Human BM </w:t>
      </w:r>
      <w:proofErr w:type="spellStart"/>
      <w:r w:rsidRPr="003A5293">
        <w:rPr>
          <w:rFonts w:ascii="Arial" w:hAnsi="Arial" w:cs="Arial"/>
          <w:sz w:val="22"/>
          <w:szCs w:val="22"/>
          <w:lang w:val="en-US"/>
        </w:rPr>
        <w:t>bioptic</w:t>
      </w:r>
      <w:proofErr w:type="spellEnd"/>
      <w:r w:rsidRPr="003A5293">
        <w:rPr>
          <w:rFonts w:ascii="Arial" w:hAnsi="Arial" w:cs="Arial"/>
          <w:sz w:val="22"/>
          <w:szCs w:val="22"/>
          <w:lang w:val="en-US"/>
        </w:rPr>
        <w:t xml:space="preserve"> samples were obtained from the Department of Clinical and Molecular Pathology, University Hospital Olomouc (UHOL), Olomouc, Czech Republic. The original examinations were obtained with the approval of the IRB committee of the UHOL and according to the Declaration of Helsinki.</w:t>
      </w:r>
    </w:p>
    <w:p w14:paraId="493381A2" w14:textId="78180B94" w:rsidR="0028560A" w:rsidRPr="003A5293" w:rsidRDefault="00AF334E" w:rsidP="0028560A">
      <w:pPr>
        <w:pStyle w:val="Formatvorlage1"/>
        <w:rPr>
          <w:rFonts w:cs="Arial"/>
        </w:rPr>
      </w:pPr>
      <w:bookmarkStart w:id="30" w:name="_Toc57582505"/>
      <w:r>
        <w:rPr>
          <w:rFonts w:cs="Arial"/>
        </w:rPr>
        <w:lastRenderedPageBreak/>
        <w:t>4</w:t>
      </w:r>
      <w:r w:rsidR="0028560A" w:rsidRPr="003A5293">
        <w:rPr>
          <w:rFonts w:cs="Arial"/>
        </w:rPr>
        <w:t>.3 Other chemicals</w:t>
      </w:r>
      <w:r w:rsidR="00934166" w:rsidRPr="003A5293">
        <w:rPr>
          <w:rFonts w:cs="Arial"/>
        </w:rPr>
        <w:t>, cytokines</w:t>
      </w:r>
      <w:r w:rsidR="0028560A" w:rsidRPr="003A5293">
        <w:rPr>
          <w:rFonts w:cs="Arial"/>
        </w:rPr>
        <w:t xml:space="preserve"> and reagents</w:t>
      </w:r>
      <w:bookmarkEnd w:id="30"/>
    </w:p>
    <w:p w14:paraId="5800FD04" w14:textId="77777777" w:rsidR="0057055E" w:rsidRPr="003A5293" w:rsidRDefault="0057055E" w:rsidP="00BC4A54">
      <w:pPr>
        <w:spacing w:line="360" w:lineRule="auto"/>
        <w:jc w:val="both"/>
        <w:rPr>
          <w:rFonts w:ascii="Arial" w:hAnsi="Arial" w:cs="Arial"/>
          <w:sz w:val="22"/>
          <w:szCs w:val="22"/>
          <w:lang w:val="en-US"/>
        </w:rPr>
      </w:pPr>
    </w:p>
    <w:p w14:paraId="38F76223" w14:textId="77777777" w:rsidR="00E34719" w:rsidRPr="003A5293" w:rsidRDefault="00BD36BA" w:rsidP="00E34719">
      <w:pPr>
        <w:spacing w:line="360" w:lineRule="auto"/>
        <w:jc w:val="both"/>
        <w:rPr>
          <w:rFonts w:ascii="Arial" w:hAnsi="Arial" w:cs="Arial"/>
          <w:sz w:val="22"/>
          <w:szCs w:val="22"/>
          <w:lang w:val="en-US"/>
        </w:rPr>
      </w:pPr>
      <w:r w:rsidRPr="003A5293">
        <w:rPr>
          <w:rFonts w:ascii="Arial" w:hAnsi="Arial" w:cs="Arial"/>
          <w:sz w:val="22"/>
          <w:szCs w:val="22"/>
          <w:lang w:val="en-US"/>
        </w:rPr>
        <w:t>Mitomycin C (Sigma Aldrich, St. Louis, USA); Dulbecco's modified eagle medium (DMEM; Thermo Fisher Scientific, Waltham, USA); Fetal bovine serum (FBS, Thermo Fisher Scientific); Gelatin powder (Sigma Aldrich); Phosphate-Buffered Saline (PBS, Thermo Fisher Scientific); DMEM with Nutrient Mixture F-12 (DMEM/F-12, Thermo Fisher Scientific)</w:t>
      </w:r>
      <w:r w:rsidR="00BC4A54" w:rsidRPr="003A5293">
        <w:rPr>
          <w:rFonts w:ascii="Arial" w:hAnsi="Arial" w:cs="Arial"/>
          <w:sz w:val="22"/>
          <w:szCs w:val="22"/>
          <w:lang w:val="en-US"/>
        </w:rPr>
        <w:t xml:space="preserve">; knockout serum replacement (Thermo Fisher Scientific); L-glutamine (Thermo Fisher Scientific); non-essential amino acids (Thermo Fisher Scientific); penicillin-streptomycin (Thermo Fisher Scientific); 2-mercaptoethanol (Sigma Aldrich); recombinant human fibroblast growth factor-basic (FGF-Basic; </w:t>
      </w:r>
      <w:proofErr w:type="spellStart"/>
      <w:r w:rsidR="00BC4A54" w:rsidRPr="003A5293">
        <w:rPr>
          <w:rFonts w:ascii="Arial" w:hAnsi="Arial" w:cs="Arial"/>
          <w:sz w:val="22"/>
          <w:szCs w:val="22"/>
          <w:lang w:val="en-US"/>
        </w:rPr>
        <w:t>Prospec</w:t>
      </w:r>
      <w:proofErr w:type="spellEnd"/>
      <w:r w:rsidR="00BC4A54" w:rsidRPr="003A5293">
        <w:rPr>
          <w:rFonts w:ascii="Arial" w:hAnsi="Arial" w:cs="Arial"/>
          <w:sz w:val="22"/>
          <w:szCs w:val="22"/>
          <w:lang w:val="en-US"/>
        </w:rPr>
        <w:t xml:space="preserve">, Rehovot, Israel); Collagenase B (Roche); </w:t>
      </w:r>
      <w:proofErr w:type="spellStart"/>
      <w:r w:rsidR="00BC4A54" w:rsidRPr="003A5293">
        <w:rPr>
          <w:rFonts w:ascii="Arial" w:hAnsi="Arial" w:cs="Arial"/>
          <w:sz w:val="22"/>
          <w:szCs w:val="22"/>
          <w:lang w:val="en-US"/>
        </w:rPr>
        <w:t>TrypLE</w:t>
      </w:r>
      <w:proofErr w:type="spellEnd"/>
      <w:r w:rsidR="00BC4A54" w:rsidRPr="003A5293">
        <w:rPr>
          <w:rFonts w:ascii="Arial" w:hAnsi="Arial" w:cs="Arial"/>
          <w:sz w:val="22"/>
          <w:szCs w:val="22"/>
          <w:lang w:val="en-US"/>
        </w:rPr>
        <w:t xml:space="preserve"> select (Thermo Fisher Scientific); </w:t>
      </w:r>
      <w:proofErr w:type="spellStart"/>
      <w:r w:rsidR="00646C0C" w:rsidRPr="003A5293">
        <w:rPr>
          <w:rFonts w:ascii="Arial" w:hAnsi="Arial" w:cs="Arial"/>
          <w:sz w:val="22"/>
          <w:szCs w:val="22"/>
          <w:lang w:val="en-US"/>
        </w:rPr>
        <w:t>TrypLE</w:t>
      </w:r>
      <w:proofErr w:type="spellEnd"/>
      <w:r w:rsidR="00646C0C" w:rsidRPr="003A5293">
        <w:rPr>
          <w:rFonts w:ascii="Arial" w:hAnsi="Arial" w:cs="Arial"/>
          <w:sz w:val="22"/>
          <w:szCs w:val="22"/>
          <w:lang w:val="en-US"/>
        </w:rPr>
        <w:t xml:space="preserve"> express (Thermo Fisher Scientific); </w:t>
      </w:r>
      <w:r w:rsidR="00BC4A54" w:rsidRPr="003A5293">
        <w:rPr>
          <w:rFonts w:ascii="Arial" w:hAnsi="Arial" w:cs="Arial"/>
          <w:sz w:val="22"/>
          <w:szCs w:val="22"/>
          <w:lang w:val="en-US"/>
        </w:rPr>
        <w:t xml:space="preserve">StemPro-34 SFM (Thermo Fisher Scientific); bone morphogenetic protein 4 (BMP-4; </w:t>
      </w:r>
      <w:proofErr w:type="spellStart"/>
      <w:r w:rsidR="00BC4A54" w:rsidRPr="003A5293">
        <w:rPr>
          <w:rFonts w:ascii="Arial" w:hAnsi="Arial" w:cs="Arial"/>
          <w:sz w:val="22"/>
          <w:szCs w:val="22"/>
          <w:lang w:val="en-US"/>
        </w:rPr>
        <w:t>Prospec</w:t>
      </w:r>
      <w:proofErr w:type="spellEnd"/>
      <w:r w:rsidR="00BC4A54" w:rsidRPr="003A5293">
        <w:rPr>
          <w:rFonts w:ascii="Arial" w:hAnsi="Arial" w:cs="Arial"/>
          <w:sz w:val="22"/>
          <w:szCs w:val="22"/>
          <w:lang w:val="en-US"/>
        </w:rPr>
        <w:t>); Holo-transferrin (</w:t>
      </w:r>
      <w:proofErr w:type="spellStart"/>
      <w:r w:rsidR="00BC4A54" w:rsidRPr="003A5293">
        <w:rPr>
          <w:rFonts w:ascii="Arial" w:hAnsi="Arial" w:cs="Arial"/>
          <w:sz w:val="22"/>
          <w:szCs w:val="22"/>
          <w:lang w:val="en-US"/>
        </w:rPr>
        <w:t>Prospec</w:t>
      </w:r>
      <w:proofErr w:type="spellEnd"/>
      <w:r w:rsidR="00BC4A54" w:rsidRPr="003A5293">
        <w:rPr>
          <w:rFonts w:ascii="Arial" w:hAnsi="Arial" w:cs="Arial"/>
          <w:sz w:val="22"/>
          <w:szCs w:val="22"/>
          <w:lang w:val="en-US"/>
        </w:rPr>
        <w:t>); L-ascorbic acid (Sigma Aldrich); monothioglycerol (Sigma-Aldrich);</w:t>
      </w:r>
      <w:r w:rsidR="002A55A0" w:rsidRPr="003A5293">
        <w:rPr>
          <w:rFonts w:ascii="Arial" w:hAnsi="Arial" w:cs="Arial"/>
          <w:sz w:val="22"/>
          <w:szCs w:val="22"/>
          <w:lang w:val="en-US"/>
        </w:rPr>
        <w:t xml:space="preserve"> Activin A (</w:t>
      </w:r>
      <w:proofErr w:type="spellStart"/>
      <w:r w:rsidR="002A55A0" w:rsidRPr="003A5293">
        <w:rPr>
          <w:rFonts w:ascii="Arial" w:hAnsi="Arial" w:cs="Arial"/>
          <w:sz w:val="22"/>
          <w:szCs w:val="22"/>
          <w:lang w:val="en-US"/>
        </w:rPr>
        <w:t>Prospec</w:t>
      </w:r>
      <w:proofErr w:type="spellEnd"/>
      <w:r w:rsidR="002A55A0" w:rsidRPr="003A5293">
        <w:rPr>
          <w:rFonts w:ascii="Arial" w:hAnsi="Arial" w:cs="Arial"/>
          <w:sz w:val="22"/>
          <w:szCs w:val="22"/>
          <w:lang w:val="en-US"/>
        </w:rPr>
        <w:t xml:space="preserve">); vascular endothelial growth factor (VEGF; </w:t>
      </w:r>
      <w:proofErr w:type="spellStart"/>
      <w:r w:rsidR="002A55A0" w:rsidRPr="003A5293">
        <w:rPr>
          <w:rFonts w:ascii="Arial" w:hAnsi="Arial" w:cs="Arial"/>
          <w:sz w:val="22"/>
          <w:szCs w:val="22"/>
          <w:lang w:val="en-US"/>
        </w:rPr>
        <w:t>Prospec</w:t>
      </w:r>
      <w:proofErr w:type="spellEnd"/>
      <w:r w:rsidR="002A55A0" w:rsidRPr="003A5293">
        <w:rPr>
          <w:rFonts w:ascii="Arial" w:hAnsi="Arial" w:cs="Arial"/>
          <w:sz w:val="22"/>
          <w:szCs w:val="22"/>
          <w:lang w:val="en-US"/>
        </w:rPr>
        <w:t xml:space="preserve">); </w:t>
      </w:r>
      <w:proofErr w:type="spellStart"/>
      <w:r w:rsidR="002A55A0" w:rsidRPr="003A5293">
        <w:rPr>
          <w:rFonts w:ascii="Arial" w:hAnsi="Arial" w:cs="Arial"/>
          <w:sz w:val="22"/>
          <w:szCs w:val="22"/>
          <w:lang w:val="en-US"/>
        </w:rPr>
        <w:t>dickkopf</w:t>
      </w:r>
      <w:proofErr w:type="spellEnd"/>
      <w:r w:rsidR="002A55A0" w:rsidRPr="003A5293">
        <w:rPr>
          <w:rFonts w:ascii="Arial" w:hAnsi="Arial" w:cs="Arial"/>
          <w:sz w:val="22"/>
          <w:szCs w:val="22"/>
          <w:lang w:val="en-US"/>
        </w:rPr>
        <w:t xml:space="preserve">-related protein 1 (DKK-1; </w:t>
      </w:r>
      <w:proofErr w:type="spellStart"/>
      <w:r w:rsidR="002A55A0" w:rsidRPr="003A5293">
        <w:rPr>
          <w:rFonts w:ascii="Arial" w:hAnsi="Arial" w:cs="Arial"/>
          <w:sz w:val="22"/>
          <w:szCs w:val="22"/>
          <w:lang w:val="en-US"/>
        </w:rPr>
        <w:t>Prospec</w:t>
      </w:r>
      <w:proofErr w:type="spellEnd"/>
      <w:r w:rsidR="002A55A0" w:rsidRPr="003A5293">
        <w:rPr>
          <w:rFonts w:ascii="Arial" w:hAnsi="Arial" w:cs="Arial"/>
          <w:sz w:val="22"/>
          <w:szCs w:val="22"/>
          <w:lang w:val="en-US"/>
        </w:rPr>
        <w:t xml:space="preserve">); interleukin 6 (IL-6; </w:t>
      </w:r>
      <w:proofErr w:type="spellStart"/>
      <w:r w:rsidR="002A55A0" w:rsidRPr="003A5293">
        <w:rPr>
          <w:rFonts w:ascii="Arial" w:hAnsi="Arial" w:cs="Arial"/>
          <w:sz w:val="22"/>
          <w:szCs w:val="22"/>
          <w:lang w:val="en-US"/>
        </w:rPr>
        <w:t>Prospec</w:t>
      </w:r>
      <w:proofErr w:type="spellEnd"/>
      <w:r w:rsidR="002A55A0" w:rsidRPr="003A5293">
        <w:rPr>
          <w:rFonts w:ascii="Arial" w:hAnsi="Arial" w:cs="Arial"/>
          <w:sz w:val="22"/>
          <w:szCs w:val="22"/>
          <w:lang w:val="en-US"/>
        </w:rPr>
        <w:t xml:space="preserve">); Insulin-like growth factor 1 (IGF-1; </w:t>
      </w:r>
      <w:proofErr w:type="spellStart"/>
      <w:r w:rsidR="002A55A0" w:rsidRPr="003A5293">
        <w:rPr>
          <w:rFonts w:ascii="Arial" w:hAnsi="Arial" w:cs="Arial"/>
          <w:sz w:val="22"/>
          <w:szCs w:val="22"/>
          <w:lang w:val="en-US"/>
        </w:rPr>
        <w:t>Prospec</w:t>
      </w:r>
      <w:proofErr w:type="spellEnd"/>
      <w:r w:rsidR="002A55A0" w:rsidRPr="003A5293">
        <w:rPr>
          <w:rFonts w:ascii="Arial" w:hAnsi="Arial" w:cs="Arial"/>
          <w:sz w:val="22"/>
          <w:szCs w:val="22"/>
          <w:lang w:val="en-US"/>
        </w:rPr>
        <w:t xml:space="preserve">); interleukin 11 (IL-11; </w:t>
      </w:r>
      <w:proofErr w:type="spellStart"/>
      <w:r w:rsidR="002A55A0" w:rsidRPr="003A5293">
        <w:rPr>
          <w:rFonts w:ascii="Arial" w:hAnsi="Arial" w:cs="Arial"/>
          <w:sz w:val="22"/>
          <w:szCs w:val="22"/>
          <w:lang w:val="en-US"/>
        </w:rPr>
        <w:t>Prospec</w:t>
      </w:r>
      <w:proofErr w:type="spellEnd"/>
      <w:r w:rsidR="002A55A0" w:rsidRPr="003A5293">
        <w:rPr>
          <w:rFonts w:ascii="Arial" w:hAnsi="Arial" w:cs="Arial"/>
          <w:sz w:val="22"/>
          <w:szCs w:val="22"/>
          <w:lang w:val="en-US"/>
        </w:rPr>
        <w:t xml:space="preserve">); stem cell factor (SCF; </w:t>
      </w:r>
      <w:proofErr w:type="spellStart"/>
      <w:r w:rsidR="002A55A0" w:rsidRPr="003A5293">
        <w:rPr>
          <w:rFonts w:ascii="Arial" w:hAnsi="Arial" w:cs="Arial"/>
          <w:sz w:val="22"/>
          <w:szCs w:val="22"/>
          <w:lang w:val="en-US"/>
        </w:rPr>
        <w:t>Prospec</w:t>
      </w:r>
      <w:proofErr w:type="spellEnd"/>
      <w:r w:rsidR="002A55A0" w:rsidRPr="003A5293">
        <w:rPr>
          <w:rFonts w:ascii="Arial" w:hAnsi="Arial" w:cs="Arial"/>
          <w:sz w:val="22"/>
          <w:szCs w:val="22"/>
          <w:lang w:val="en-US"/>
        </w:rPr>
        <w:t xml:space="preserve">); erythropoietin (EPO; </w:t>
      </w:r>
      <w:proofErr w:type="spellStart"/>
      <w:r w:rsidR="002A55A0" w:rsidRPr="003A5293">
        <w:rPr>
          <w:rFonts w:ascii="Arial" w:hAnsi="Arial" w:cs="Arial"/>
          <w:sz w:val="22"/>
          <w:szCs w:val="22"/>
          <w:lang w:val="en-US"/>
        </w:rPr>
        <w:t>Prospec</w:t>
      </w:r>
      <w:proofErr w:type="spellEnd"/>
      <w:r w:rsidR="002A55A0" w:rsidRPr="003A5293">
        <w:rPr>
          <w:rFonts w:ascii="Arial" w:hAnsi="Arial" w:cs="Arial"/>
          <w:sz w:val="22"/>
          <w:szCs w:val="22"/>
          <w:lang w:val="en-US"/>
        </w:rPr>
        <w:t xml:space="preserve">); thrombopoietin (TPO; </w:t>
      </w:r>
      <w:proofErr w:type="spellStart"/>
      <w:r w:rsidR="002A55A0" w:rsidRPr="003A5293">
        <w:rPr>
          <w:rFonts w:ascii="Arial" w:hAnsi="Arial" w:cs="Arial"/>
          <w:sz w:val="22"/>
          <w:szCs w:val="22"/>
          <w:lang w:val="en-US"/>
        </w:rPr>
        <w:t>Prospec</w:t>
      </w:r>
      <w:proofErr w:type="spellEnd"/>
      <w:r w:rsidR="002A55A0" w:rsidRPr="003A5293">
        <w:rPr>
          <w:rFonts w:ascii="Arial" w:hAnsi="Arial" w:cs="Arial"/>
          <w:sz w:val="22"/>
          <w:szCs w:val="22"/>
          <w:lang w:val="en-US"/>
        </w:rPr>
        <w:t xml:space="preserve">); </w:t>
      </w:r>
      <w:r w:rsidR="003F3334">
        <w:rPr>
          <w:rFonts w:ascii="Arial" w:hAnsi="Arial" w:cs="Arial"/>
          <w:sz w:val="22"/>
          <w:szCs w:val="22"/>
          <w:lang w:val="en-US"/>
        </w:rPr>
        <w:t xml:space="preserve">murine </w:t>
      </w:r>
      <w:r w:rsidR="003F3334" w:rsidRPr="003A5293">
        <w:rPr>
          <w:rFonts w:ascii="Arial" w:hAnsi="Arial" w:cs="Arial"/>
          <w:sz w:val="22"/>
          <w:szCs w:val="22"/>
          <w:lang w:val="en-US"/>
        </w:rPr>
        <w:t xml:space="preserve">thrombopoietin (TPO; </w:t>
      </w:r>
      <w:proofErr w:type="spellStart"/>
      <w:r w:rsidR="003F3334">
        <w:rPr>
          <w:rFonts w:ascii="Arial" w:hAnsi="Arial" w:cs="Arial"/>
          <w:sz w:val="22"/>
          <w:szCs w:val="22"/>
          <w:lang w:val="en-US"/>
        </w:rPr>
        <w:t>Peprotec</w:t>
      </w:r>
      <w:proofErr w:type="spellEnd"/>
      <w:r w:rsidR="003F3334" w:rsidRPr="003A5293">
        <w:rPr>
          <w:rFonts w:ascii="Arial" w:hAnsi="Arial" w:cs="Arial"/>
          <w:sz w:val="22"/>
          <w:szCs w:val="22"/>
          <w:lang w:val="en-US"/>
        </w:rPr>
        <w:t xml:space="preserve">); </w:t>
      </w:r>
      <w:r w:rsidR="002A55A0" w:rsidRPr="003A5293">
        <w:rPr>
          <w:rFonts w:ascii="Arial" w:hAnsi="Arial" w:cs="Arial"/>
          <w:sz w:val="22"/>
          <w:szCs w:val="22"/>
          <w:lang w:val="en-US"/>
        </w:rPr>
        <w:t xml:space="preserve">interleukin 3 (IL-3; </w:t>
      </w:r>
      <w:proofErr w:type="spellStart"/>
      <w:r w:rsidR="002A55A0" w:rsidRPr="003A5293">
        <w:rPr>
          <w:rFonts w:ascii="Arial" w:hAnsi="Arial" w:cs="Arial"/>
          <w:sz w:val="22"/>
          <w:szCs w:val="22"/>
          <w:lang w:val="en-US"/>
        </w:rPr>
        <w:t>Prospec</w:t>
      </w:r>
      <w:proofErr w:type="spellEnd"/>
      <w:r w:rsidR="002A55A0" w:rsidRPr="003A5293">
        <w:rPr>
          <w:rFonts w:ascii="Arial" w:hAnsi="Arial" w:cs="Arial"/>
          <w:sz w:val="22"/>
          <w:szCs w:val="22"/>
          <w:lang w:val="en-US"/>
        </w:rPr>
        <w:t xml:space="preserve">); </w:t>
      </w:r>
      <w:proofErr w:type="spellStart"/>
      <w:r w:rsidR="002A55A0" w:rsidRPr="003A5293">
        <w:rPr>
          <w:rFonts w:ascii="Arial" w:hAnsi="Arial" w:cs="Arial"/>
          <w:sz w:val="22"/>
          <w:szCs w:val="22"/>
          <w:lang w:val="en-US"/>
        </w:rPr>
        <w:t>Fms</w:t>
      </w:r>
      <w:proofErr w:type="spellEnd"/>
      <w:r w:rsidR="002A55A0" w:rsidRPr="003A5293">
        <w:rPr>
          <w:rFonts w:ascii="Arial" w:hAnsi="Arial" w:cs="Arial"/>
          <w:sz w:val="22"/>
          <w:szCs w:val="22"/>
          <w:lang w:val="en-US"/>
        </w:rPr>
        <w:t xml:space="preserve">-related tyrosine kinase 3 ligand (FLT3LG; </w:t>
      </w:r>
      <w:proofErr w:type="spellStart"/>
      <w:r w:rsidR="002A55A0" w:rsidRPr="003A5293">
        <w:rPr>
          <w:rFonts w:ascii="Arial" w:hAnsi="Arial" w:cs="Arial"/>
          <w:sz w:val="22"/>
          <w:szCs w:val="22"/>
          <w:lang w:val="en-US"/>
        </w:rPr>
        <w:t>Prospec</w:t>
      </w:r>
      <w:proofErr w:type="spellEnd"/>
      <w:r w:rsidR="002A55A0" w:rsidRPr="003A5293">
        <w:rPr>
          <w:rFonts w:ascii="Arial" w:hAnsi="Arial" w:cs="Arial"/>
          <w:sz w:val="22"/>
          <w:szCs w:val="22"/>
          <w:lang w:val="en-US"/>
        </w:rPr>
        <w:t>);</w:t>
      </w:r>
      <w:r w:rsidR="00934166" w:rsidRPr="003A5293">
        <w:rPr>
          <w:rFonts w:ascii="Arial" w:hAnsi="Arial" w:cs="Arial"/>
          <w:sz w:val="22"/>
          <w:szCs w:val="22"/>
          <w:lang w:val="en-US"/>
        </w:rPr>
        <w:t xml:space="preserve"> interferon gamma (</w:t>
      </w:r>
      <w:proofErr w:type="spellStart"/>
      <w:r w:rsidR="00934166" w:rsidRPr="003A5293">
        <w:rPr>
          <w:rFonts w:ascii="Arial" w:hAnsi="Arial" w:cs="Arial"/>
          <w:sz w:val="22"/>
          <w:szCs w:val="22"/>
          <w:lang w:val="en-US"/>
        </w:rPr>
        <w:t>IFNγ</w:t>
      </w:r>
      <w:proofErr w:type="spellEnd"/>
      <w:r w:rsidR="00934166" w:rsidRPr="003A5293">
        <w:rPr>
          <w:rFonts w:ascii="Arial" w:hAnsi="Arial" w:cs="Arial"/>
          <w:sz w:val="22"/>
          <w:szCs w:val="22"/>
          <w:lang w:val="en-US"/>
        </w:rPr>
        <w:t xml:space="preserve">; </w:t>
      </w:r>
      <w:proofErr w:type="spellStart"/>
      <w:r w:rsidR="00934166" w:rsidRPr="003A5293">
        <w:rPr>
          <w:rFonts w:ascii="Arial" w:hAnsi="Arial" w:cs="Arial"/>
          <w:sz w:val="22"/>
          <w:szCs w:val="22"/>
          <w:lang w:val="en-US"/>
        </w:rPr>
        <w:t>Prospec</w:t>
      </w:r>
      <w:proofErr w:type="spellEnd"/>
      <w:r w:rsidR="00934166" w:rsidRPr="003A5293">
        <w:rPr>
          <w:rFonts w:ascii="Arial" w:hAnsi="Arial" w:cs="Arial"/>
          <w:sz w:val="22"/>
          <w:szCs w:val="22"/>
          <w:lang w:val="en-US"/>
        </w:rPr>
        <w:t xml:space="preserve">); tumor necrosis factor alpha (TNFα; </w:t>
      </w:r>
      <w:proofErr w:type="spellStart"/>
      <w:r w:rsidR="00934166" w:rsidRPr="003A5293">
        <w:rPr>
          <w:rFonts w:ascii="Arial" w:hAnsi="Arial" w:cs="Arial"/>
          <w:sz w:val="22"/>
          <w:szCs w:val="22"/>
          <w:lang w:val="en-US"/>
        </w:rPr>
        <w:t>Prospec</w:t>
      </w:r>
      <w:proofErr w:type="spellEnd"/>
      <w:r w:rsidR="00934166" w:rsidRPr="003A5293">
        <w:rPr>
          <w:rFonts w:ascii="Arial" w:hAnsi="Arial" w:cs="Arial"/>
          <w:sz w:val="22"/>
          <w:szCs w:val="22"/>
          <w:lang w:val="en-US"/>
        </w:rPr>
        <w:t>); transforming growth factor beta 1 (TGFβ1, Thermo Fisher Scientific);</w:t>
      </w:r>
      <w:r w:rsidR="00A9338F" w:rsidRPr="003A5293">
        <w:rPr>
          <w:rFonts w:ascii="Arial" w:hAnsi="Arial" w:cs="Arial"/>
          <w:sz w:val="22"/>
          <w:szCs w:val="22"/>
          <w:lang w:val="en-US"/>
        </w:rPr>
        <w:t xml:space="preserve"> TRI Reagent (Sigma-Aldrich);</w:t>
      </w:r>
      <w:r w:rsidR="00DD58EA" w:rsidRPr="003A5293">
        <w:rPr>
          <w:rFonts w:ascii="Arial" w:hAnsi="Arial" w:cs="Arial"/>
          <w:sz w:val="22"/>
          <w:szCs w:val="22"/>
          <w:lang w:val="en-US"/>
        </w:rPr>
        <w:t xml:space="preserve"> TURBO DNA-free DNase (Thermo Fisher Scientific);</w:t>
      </w:r>
      <w:r w:rsidR="00E34719" w:rsidRPr="003A5293">
        <w:rPr>
          <w:rFonts w:ascii="Arial" w:hAnsi="Arial" w:cs="Arial"/>
          <w:sz w:val="22"/>
          <w:szCs w:val="22"/>
          <w:lang w:val="en-US"/>
        </w:rPr>
        <w:t xml:space="preserve"> 5-Bromo-2′-deoxyuridine (</w:t>
      </w:r>
      <w:proofErr w:type="spellStart"/>
      <w:r w:rsidR="00E34719" w:rsidRPr="003A5293">
        <w:rPr>
          <w:rFonts w:ascii="Arial" w:hAnsi="Arial" w:cs="Arial"/>
          <w:sz w:val="22"/>
          <w:szCs w:val="22"/>
          <w:lang w:val="en-US"/>
        </w:rPr>
        <w:t>BrdU</w:t>
      </w:r>
      <w:proofErr w:type="spellEnd"/>
      <w:r w:rsidR="00E34719" w:rsidRPr="003A5293">
        <w:rPr>
          <w:rFonts w:ascii="Arial" w:hAnsi="Arial" w:cs="Arial"/>
          <w:sz w:val="22"/>
          <w:szCs w:val="22"/>
          <w:lang w:val="en-US"/>
        </w:rPr>
        <w:t>, Sigma-Aldrich); 2N HCL (Sigma Aldrich); Triton X100 (Sigma Aldrich); anti-</w:t>
      </w:r>
      <w:proofErr w:type="spellStart"/>
      <w:r w:rsidR="00E34719" w:rsidRPr="003A5293">
        <w:rPr>
          <w:rFonts w:ascii="Arial" w:hAnsi="Arial" w:cs="Arial"/>
          <w:sz w:val="22"/>
          <w:szCs w:val="22"/>
          <w:lang w:val="en-US"/>
        </w:rPr>
        <w:t>BrdU</w:t>
      </w:r>
      <w:proofErr w:type="spellEnd"/>
      <w:r w:rsidR="00E34719" w:rsidRPr="003A5293">
        <w:rPr>
          <w:rFonts w:ascii="Arial" w:hAnsi="Arial" w:cs="Arial"/>
          <w:sz w:val="22"/>
          <w:szCs w:val="22"/>
          <w:lang w:val="en-US"/>
        </w:rPr>
        <w:t xml:space="preserve">-FITC antibody (Roche); </w:t>
      </w:r>
      <w:proofErr w:type="spellStart"/>
      <w:r w:rsidR="00E34719" w:rsidRPr="003A5293">
        <w:rPr>
          <w:rFonts w:ascii="Arial" w:hAnsi="Arial" w:cs="Arial"/>
          <w:sz w:val="22"/>
          <w:szCs w:val="22"/>
          <w:lang w:val="en-US"/>
        </w:rPr>
        <w:t>eBioscience</w:t>
      </w:r>
      <w:proofErr w:type="spellEnd"/>
      <w:r w:rsidR="00E34719" w:rsidRPr="003A5293">
        <w:rPr>
          <w:rFonts w:ascii="Arial" w:hAnsi="Arial" w:cs="Arial"/>
          <w:sz w:val="22"/>
          <w:szCs w:val="22"/>
          <w:lang w:val="en-US"/>
        </w:rPr>
        <w:t xml:space="preserve"> Propidium Iodide Staining Solution (Thermo Fisher Scientific); RNase A (Qiagen, Hilden, Germany); bovine serum albumin (BSA, Sigma Aldrich); FITC tagged anti-CD34 antibody (Thermo Fisher Scientific); APC conjugated anti-CD43 (Thermo Fisher Scientific); anti-CD41a-PerCP-5.5 antibody (BD Biosciences, San Jose, USA);</w:t>
      </w:r>
      <w:r w:rsidR="00F80823" w:rsidRPr="003A5293">
        <w:rPr>
          <w:rFonts w:ascii="Arial" w:hAnsi="Arial" w:cs="Arial"/>
          <w:sz w:val="22"/>
          <w:szCs w:val="22"/>
          <w:lang w:val="en-US"/>
        </w:rPr>
        <w:t xml:space="preserve"> RIPA buffer (Sigma Aldrich);</w:t>
      </w:r>
      <w:r w:rsidR="00287D42" w:rsidRPr="003A5293">
        <w:rPr>
          <w:rFonts w:ascii="Arial" w:hAnsi="Arial" w:cs="Arial"/>
          <w:sz w:val="22"/>
          <w:szCs w:val="22"/>
          <w:lang w:val="en-US"/>
        </w:rPr>
        <w:t xml:space="preserve"> 4% neutral-buffered formaldehyde (Sigma Aldrich); low-melting</w:t>
      </w:r>
      <w:r w:rsidR="00287D42" w:rsidRPr="003A5293">
        <w:rPr>
          <w:rFonts w:ascii="Arial" w:hAnsi="Arial" w:cs="Arial"/>
          <w:lang w:val="en-US"/>
        </w:rPr>
        <w:t xml:space="preserve"> </w:t>
      </w:r>
      <w:proofErr w:type="spellStart"/>
      <w:r w:rsidR="00287D42" w:rsidRPr="003A5293">
        <w:rPr>
          <w:rFonts w:ascii="Arial" w:hAnsi="Arial" w:cs="Arial"/>
          <w:sz w:val="22"/>
          <w:szCs w:val="22"/>
          <w:lang w:val="en-US"/>
        </w:rPr>
        <w:t>seaplaque</w:t>
      </w:r>
      <w:proofErr w:type="spellEnd"/>
      <w:r w:rsidR="00287D42" w:rsidRPr="003A5293">
        <w:rPr>
          <w:rFonts w:ascii="Arial" w:hAnsi="Arial" w:cs="Arial"/>
          <w:sz w:val="22"/>
          <w:szCs w:val="22"/>
          <w:lang w:val="en-US"/>
        </w:rPr>
        <w:t xml:space="preserve"> agarose (Lonza); xylene (Sigma Aldrich); ethanol (VWR, Radnor, USA); 10mM citrate buffer (Sigma Aldrich); goat anti-rabbit Alexa Fluor 488 antibody (Thermo Fisher Scientific); goat anti-mouse Alexa Fluor 568 conjugated secondary antibody (Thermo Fisher Scientific); DAPI (Sigma-Aldrich); MOWIOL 4-88 solution (Sigma-Aldrich);</w:t>
      </w:r>
      <w:r w:rsidR="00DD5C26" w:rsidRPr="003A5293">
        <w:rPr>
          <w:rFonts w:ascii="Arial" w:hAnsi="Arial" w:cs="Arial"/>
          <w:sz w:val="22"/>
          <w:szCs w:val="22"/>
          <w:lang w:val="en-US"/>
        </w:rPr>
        <w:t xml:space="preserve"> paraformaldehyde (Sigma Aldrich); Methanol (VWR); 10% goat serum (Sigma Aldrich); Tween20 (Sigma Aldrich); Glycine (Sigma Aldrich); </w:t>
      </w:r>
      <w:proofErr w:type="spellStart"/>
      <w:r w:rsidR="00DD5C26" w:rsidRPr="003A5293">
        <w:rPr>
          <w:rFonts w:ascii="Arial" w:hAnsi="Arial" w:cs="Arial"/>
          <w:sz w:val="22"/>
          <w:szCs w:val="22"/>
          <w:lang w:val="en-US"/>
        </w:rPr>
        <w:t>Vectashield</w:t>
      </w:r>
      <w:proofErr w:type="spellEnd"/>
      <w:r w:rsidR="00DD5C26" w:rsidRPr="003A5293">
        <w:rPr>
          <w:rFonts w:ascii="Arial" w:hAnsi="Arial" w:cs="Arial"/>
          <w:sz w:val="22"/>
          <w:szCs w:val="22"/>
          <w:lang w:val="en-US"/>
        </w:rPr>
        <w:t xml:space="preserve"> mounting reagent (Vector Laboratories, Peterborough, UK);</w:t>
      </w:r>
      <w:r w:rsidR="003A283A" w:rsidRPr="003A5293">
        <w:rPr>
          <w:rFonts w:ascii="Arial" w:hAnsi="Arial" w:cs="Arial"/>
          <w:sz w:val="22"/>
          <w:szCs w:val="22"/>
          <w:lang w:val="en-US"/>
        </w:rPr>
        <w:t xml:space="preserve"> DUSP 1/6 Inhibitor (Merck, Darmstadt, Germany);</w:t>
      </w:r>
      <w:r w:rsidR="000860B0" w:rsidRPr="003A5293">
        <w:rPr>
          <w:rFonts w:ascii="Arial" w:hAnsi="Arial" w:cs="Arial"/>
          <w:sz w:val="22"/>
          <w:szCs w:val="22"/>
          <w:lang w:val="en-US"/>
        </w:rPr>
        <w:t xml:space="preserve"> IP buffer (Thermo Fisher Scientific); phosphatase inhibitor cocktail (Sigma Aldrich); loading buffer (Bio-Rad Laboratories); 10% precast SDS-PAGE </w:t>
      </w:r>
      <w:r w:rsidR="000860B0" w:rsidRPr="003A5293">
        <w:rPr>
          <w:rFonts w:ascii="Arial" w:hAnsi="Arial" w:cs="Arial"/>
          <w:sz w:val="22"/>
          <w:szCs w:val="22"/>
          <w:lang w:val="en-US"/>
        </w:rPr>
        <w:lastRenderedPageBreak/>
        <w:t>gel (Bio-Rad Laboratories); PVDF membrane (Merck Millipore, Burlington, USA); HRP-conjugated anti-rabbit secondary antibody (Sigma Aldrich); HRP-conjugated anti-mouse secondary antibody (Sigma Aldrich); non-fat dry milk (kindly donated by OLMA, Olomouc, Czech republic);</w:t>
      </w:r>
      <w:r w:rsidR="00424065" w:rsidRPr="003A5293">
        <w:rPr>
          <w:rFonts w:ascii="Arial" w:hAnsi="Arial" w:cs="Arial"/>
          <w:sz w:val="22"/>
          <w:szCs w:val="22"/>
          <w:lang w:val="en-US"/>
        </w:rPr>
        <w:t xml:space="preserve"> Tris-HCl (Sigma Aldrich); hematoxylin (Sigma Aldrich)</w:t>
      </w:r>
      <w:r w:rsidR="003F3334">
        <w:rPr>
          <w:rFonts w:ascii="Arial" w:hAnsi="Arial" w:cs="Arial"/>
          <w:sz w:val="22"/>
          <w:szCs w:val="22"/>
          <w:lang w:val="en-US"/>
        </w:rPr>
        <w:t xml:space="preserve">; </w:t>
      </w:r>
      <w:r w:rsidR="003F3334" w:rsidRPr="00BB2419">
        <w:rPr>
          <w:rFonts w:ascii="Arial" w:hAnsi="Arial" w:cs="Arial"/>
          <w:sz w:val="22"/>
          <w:szCs w:val="22"/>
          <w:lang w:val="en-US"/>
        </w:rPr>
        <w:t>4-hydroxytamoxifen</w:t>
      </w:r>
      <w:r w:rsidR="003F3334">
        <w:rPr>
          <w:rFonts w:ascii="Arial" w:hAnsi="Arial" w:cs="Arial"/>
          <w:sz w:val="22"/>
          <w:szCs w:val="22"/>
          <w:lang w:val="en-US"/>
        </w:rPr>
        <w:t xml:space="preserve"> </w:t>
      </w:r>
      <w:r w:rsidR="003F3334" w:rsidRPr="003A5293">
        <w:rPr>
          <w:rFonts w:ascii="Arial" w:hAnsi="Arial" w:cs="Arial"/>
          <w:sz w:val="22"/>
          <w:szCs w:val="22"/>
          <w:lang w:val="en-US"/>
        </w:rPr>
        <w:t>(Sigma Aldrich)</w:t>
      </w:r>
      <w:r w:rsidR="003F3334">
        <w:rPr>
          <w:rFonts w:ascii="Arial" w:hAnsi="Arial" w:cs="Arial"/>
          <w:sz w:val="22"/>
          <w:szCs w:val="22"/>
          <w:lang w:val="en-US"/>
        </w:rPr>
        <w:t xml:space="preserve">; </w:t>
      </w:r>
      <w:proofErr w:type="spellStart"/>
      <w:r w:rsidR="003F3334" w:rsidRPr="00BB2419">
        <w:rPr>
          <w:rFonts w:ascii="Arial" w:hAnsi="Arial" w:cs="Arial"/>
          <w:sz w:val="22"/>
          <w:szCs w:val="22"/>
          <w:lang w:val="en-US"/>
        </w:rPr>
        <w:t>Polyinosinic</w:t>
      </w:r>
      <w:proofErr w:type="spellEnd"/>
      <w:r w:rsidR="003F3334" w:rsidRPr="00BB2419">
        <w:rPr>
          <w:rFonts w:ascii="Arial" w:hAnsi="Arial" w:cs="Arial"/>
          <w:sz w:val="22"/>
          <w:szCs w:val="22"/>
          <w:lang w:val="en-US"/>
        </w:rPr>
        <w:t xml:space="preserve"> </w:t>
      </w:r>
      <w:proofErr w:type="spellStart"/>
      <w:r w:rsidR="003F3334" w:rsidRPr="00BB2419">
        <w:rPr>
          <w:rFonts w:ascii="Arial" w:hAnsi="Arial" w:cs="Arial"/>
          <w:sz w:val="22"/>
          <w:szCs w:val="22"/>
          <w:lang w:val="en-US"/>
        </w:rPr>
        <w:t>polycytidylic</w:t>
      </w:r>
      <w:proofErr w:type="spellEnd"/>
      <w:r w:rsidR="003F3334" w:rsidRPr="00BB2419">
        <w:rPr>
          <w:rFonts w:ascii="Arial" w:hAnsi="Arial" w:cs="Arial"/>
          <w:sz w:val="22"/>
          <w:szCs w:val="22"/>
          <w:lang w:val="en-US"/>
        </w:rPr>
        <w:t xml:space="preserve"> acid (Sigma-Aldrich)</w:t>
      </w:r>
      <w:r w:rsidR="003F3334">
        <w:rPr>
          <w:rFonts w:ascii="Arial" w:hAnsi="Arial" w:cs="Arial"/>
          <w:sz w:val="22"/>
          <w:szCs w:val="22"/>
          <w:lang w:val="en-US"/>
        </w:rPr>
        <w:t>;</w:t>
      </w:r>
    </w:p>
    <w:p w14:paraId="057CB0D6" w14:textId="77777777" w:rsidR="00BD36BA" w:rsidRPr="003A5293" w:rsidRDefault="00BD36BA" w:rsidP="00BC4A54">
      <w:pPr>
        <w:spacing w:line="360" w:lineRule="auto"/>
        <w:jc w:val="both"/>
        <w:rPr>
          <w:rFonts w:ascii="Arial" w:hAnsi="Arial" w:cs="Arial"/>
          <w:sz w:val="22"/>
          <w:szCs w:val="22"/>
          <w:lang w:val="en-US"/>
        </w:rPr>
      </w:pPr>
    </w:p>
    <w:p w14:paraId="1B98A63C" w14:textId="6B6E33A1" w:rsidR="00A9338F" w:rsidRPr="003A5293" w:rsidRDefault="00AF334E" w:rsidP="0057055E">
      <w:pPr>
        <w:pStyle w:val="Formatvorlage1"/>
        <w:rPr>
          <w:rFonts w:cs="Arial"/>
        </w:rPr>
      </w:pPr>
      <w:bookmarkStart w:id="31" w:name="_Toc57582506"/>
      <w:r>
        <w:rPr>
          <w:rFonts w:cs="Arial"/>
        </w:rPr>
        <w:t>4</w:t>
      </w:r>
      <w:r w:rsidR="0013682E" w:rsidRPr="003A5293">
        <w:rPr>
          <w:rFonts w:cs="Arial"/>
        </w:rPr>
        <w:t>.4 Com</w:t>
      </w:r>
      <w:r w:rsidR="00E47927">
        <w:rPr>
          <w:rFonts w:cs="Arial"/>
        </w:rPr>
        <w:t>m</w:t>
      </w:r>
      <w:r w:rsidR="0013682E" w:rsidRPr="003A5293">
        <w:rPr>
          <w:rFonts w:cs="Arial"/>
        </w:rPr>
        <w:t>ercial Kits</w:t>
      </w:r>
      <w:bookmarkEnd w:id="31"/>
    </w:p>
    <w:p w14:paraId="4A2E10E1" w14:textId="77777777" w:rsidR="0057055E" w:rsidRPr="003A5293" w:rsidRDefault="0057055E" w:rsidP="00A9338F">
      <w:pPr>
        <w:spacing w:line="360" w:lineRule="auto"/>
        <w:rPr>
          <w:rFonts w:ascii="Arial" w:hAnsi="Arial" w:cs="Arial"/>
          <w:sz w:val="22"/>
          <w:szCs w:val="22"/>
          <w:lang w:val="en-US"/>
        </w:rPr>
      </w:pPr>
    </w:p>
    <w:p w14:paraId="644A73B5" w14:textId="77777777" w:rsidR="0013682E" w:rsidRPr="003A5293" w:rsidRDefault="00A9338F" w:rsidP="0057055E">
      <w:pPr>
        <w:spacing w:line="360" w:lineRule="auto"/>
        <w:jc w:val="both"/>
        <w:rPr>
          <w:rFonts w:ascii="Arial" w:hAnsi="Arial" w:cs="Arial"/>
          <w:sz w:val="22"/>
          <w:szCs w:val="22"/>
          <w:lang w:val="en-US"/>
        </w:rPr>
      </w:pPr>
      <w:r w:rsidRPr="003A5293">
        <w:rPr>
          <w:rFonts w:ascii="Arial" w:hAnsi="Arial" w:cs="Arial"/>
          <w:sz w:val="22"/>
          <w:szCs w:val="22"/>
          <w:lang w:val="en-US"/>
        </w:rPr>
        <w:t>CRISPR construct pXPR_001 plasmid (</w:t>
      </w:r>
      <w:proofErr w:type="spellStart"/>
      <w:r w:rsidRPr="003A5293">
        <w:rPr>
          <w:rFonts w:ascii="Arial" w:hAnsi="Arial" w:cs="Arial"/>
          <w:sz w:val="22"/>
          <w:szCs w:val="22"/>
          <w:lang w:val="en-US"/>
        </w:rPr>
        <w:t>Addgene</w:t>
      </w:r>
      <w:proofErr w:type="spellEnd"/>
      <w:r w:rsidRPr="003A5293">
        <w:rPr>
          <w:rFonts w:ascii="Arial" w:hAnsi="Arial" w:cs="Arial"/>
          <w:sz w:val="22"/>
          <w:szCs w:val="22"/>
          <w:lang w:val="en-US"/>
        </w:rPr>
        <w:t xml:space="preserve">, Watertown, USA); </w:t>
      </w:r>
      <w:proofErr w:type="spellStart"/>
      <w:r w:rsidRPr="003A5293">
        <w:rPr>
          <w:rFonts w:ascii="Arial" w:hAnsi="Arial" w:cs="Arial"/>
          <w:sz w:val="22"/>
          <w:szCs w:val="22"/>
          <w:lang w:val="en-US"/>
        </w:rPr>
        <w:t>pGEM</w:t>
      </w:r>
      <w:proofErr w:type="spellEnd"/>
      <w:r w:rsidRPr="003A5293">
        <w:rPr>
          <w:rFonts w:ascii="Arial" w:hAnsi="Arial" w:cs="Arial"/>
          <w:sz w:val="22"/>
          <w:szCs w:val="22"/>
          <w:lang w:val="en-US"/>
        </w:rPr>
        <w:t>-T easy vector (Promega, Madison, USA); Cell Line Nucleofector Kit V (Lonza);</w:t>
      </w:r>
      <w:r w:rsidRPr="003A5293">
        <w:rPr>
          <w:rFonts w:ascii="Arial" w:hAnsi="Arial" w:cs="Arial"/>
          <w:lang w:val="en-US"/>
        </w:rPr>
        <w:t xml:space="preserve"> </w:t>
      </w:r>
      <w:r w:rsidRPr="003A5293">
        <w:rPr>
          <w:rFonts w:ascii="Arial" w:hAnsi="Arial" w:cs="Arial"/>
          <w:sz w:val="22"/>
          <w:szCs w:val="22"/>
          <w:lang w:val="en-US"/>
        </w:rPr>
        <w:t xml:space="preserve">Illumina </w:t>
      </w:r>
      <w:proofErr w:type="spellStart"/>
      <w:r w:rsidRPr="003A5293">
        <w:rPr>
          <w:rFonts w:ascii="Arial" w:hAnsi="Arial" w:cs="Arial"/>
          <w:sz w:val="22"/>
          <w:szCs w:val="22"/>
          <w:lang w:val="en-US"/>
        </w:rPr>
        <w:t>TotalPrep</w:t>
      </w:r>
      <w:proofErr w:type="spellEnd"/>
      <w:r w:rsidRPr="003A5293">
        <w:rPr>
          <w:rFonts w:ascii="Arial" w:hAnsi="Arial" w:cs="Arial"/>
          <w:sz w:val="22"/>
          <w:szCs w:val="22"/>
          <w:lang w:val="en-US"/>
        </w:rPr>
        <w:t xml:space="preserve"> RNA Amplification Kit (</w:t>
      </w:r>
      <w:proofErr w:type="spellStart"/>
      <w:r w:rsidRPr="003A5293">
        <w:rPr>
          <w:rFonts w:ascii="Arial" w:hAnsi="Arial" w:cs="Arial"/>
          <w:sz w:val="22"/>
          <w:szCs w:val="22"/>
          <w:lang w:val="en-US"/>
        </w:rPr>
        <w:t>Ambion</w:t>
      </w:r>
      <w:proofErr w:type="spellEnd"/>
      <w:r w:rsidRPr="003A5293">
        <w:rPr>
          <w:rFonts w:ascii="Arial" w:hAnsi="Arial" w:cs="Arial"/>
          <w:sz w:val="22"/>
          <w:szCs w:val="22"/>
          <w:lang w:val="en-US"/>
        </w:rPr>
        <w:t>; Thermo Fisher Scientific)</w:t>
      </w:r>
      <w:r w:rsidR="0057055E" w:rsidRPr="003A5293">
        <w:rPr>
          <w:rFonts w:ascii="Arial" w:hAnsi="Arial" w:cs="Arial"/>
          <w:sz w:val="22"/>
          <w:szCs w:val="22"/>
          <w:lang w:val="en-US"/>
        </w:rPr>
        <w:t xml:space="preserve">; </w:t>
      </w:r>
      <w:proofErr w:type="spellStart"/>
      <w:r w:rsidR="0057055E" w:rsidRPr="003A5293">
        <w:rPr>
          <w:rFonts w:ascii="Arial" w:hAnsi="Arial" w:cs="Arial"/>
          <w:sz w:val="22"/>
          <w:szCs w:val="22"/>
          <w:lang w:val="en-US"/>
        </w:rPr>
        <w:t>Transcriptor</w:t>
      </w:r>
      <w:proofErr w:type="spellEnd"/>
      <w:r w:rsidR="0057055E" w:rsidRPr="003A5293">
        <w:rPr>
          <w:rFonts w:ascii="Arial" w:hAnsi="Arial" w:cs="Arial"/>
          <w:sz w:val="22"/>
          <w:szCs w:val="22"/>
          <w:lang w:val="en-US"/>
        </w:rPr>
        <w:t xml:space="preserve"> First Strand cDNA Synthesis Kit (Roche); </w:t>
      </w:r>
      <w:proofErr w:type="spellStart"/>
      <w:r w:rsidR="0057055E" w:rsidRPr="003A5293">
        <w:rPr>
          <w:rFonts w:ascii="Arial" w:hAnsi="Arial" w:cs="Arial"/>
          <w:sz w:val="22"/>
          <w:szCs w:val="22"/>
          <w:lang w:val="en-US"/>
        </w:rPr>
        <w:t>LightCycler</w:t>
      </w:r>
      <w:proofErr w:type="spellEnd"/>
      <w:r w:rsidR="0057055E" w:rsidRPr="003A5293">
        <w:rPr>
          <w:rFonts w:ascii="Arial" w:hAnsi="Arial" w:cs="Arial"/>
          <w:sz w:val="22"/>
          <w:szCs w:val="22"/>
          <w:lang w:val="en-US"/>
        </w:rPr>
        <w:t xml:space="preserve"> 480 SYBR Green I Master kit (Roche);</w:t>
      </w:r>
      <w:r w:rsidR="00E34719" w:rsidRPr="003A5293">
        <w:rPr>
          <w:rFonts w:ascii="Arial" w:hAnsi="Arial" w:cs="Arial"/>
          <w:sz w:val="22"/>
          <w:szCs w:val="22"/>
          <w:lang w:val="en-US"/>
        </w:rPr>
        <w:t xml:space="preserve"> </w:t>
      </w:r>
      <w:proofErr w:type="spellStart"/>
      <w:r w:rsidR="00E34719" w:rsidRPr="003A5293">
        <w:rPr>
          <w:rFonts w:ascii="Arial" w:hAnsi="Arial" w:cs="Arial"/>
          <w:sz w:val="22"/>
          <w:szCs w:val="22"/>
          <w:lang w:val="en-US"/>
        </w:rPr>
        <w:t>CellROX</w:t>
      </w:r>
      <w:proofErr w:type="spellEnd"/>
      <w:r w:rsidR="00E34719" w:rsidRPr="003A5293">
        <w:rPr>
          <w:rFonts w:ascii="Arial" w:hAnsi="Arial" w:cs="Arial"/>
          <w:sz w:val="22"/>
          <w:szCs w:val="22"/>
          <w:lang w:val="en-US"/>
        </w:rPr>
        <w:t xml:space="preserve"> Green Flow Cytometry Assay Kit (Thermo Fisher Scientific);</w:t>
      </w:r>
      <w:r w:rsidR="000860B0" w:rsidRPr="003A5293">
        <w:rPr>
          <w:rFonts w:ascii="Arial" w:hAnsi="Arial" w:cs="Arial"/>
          <w:sz w:val="22"/>
          <w:szCs w:val="22"/>
          <w:lang w:val="en-US"/>
        </w:rPr>
        <w:t xml:space="preserve"> </w:t>
      </w:r>
      <w:proofErr w:type="spellStart"/>
      <w:r w:rsidR="000860B0" w:rsidRPr="003A5293">
        <w:rPr>
          <w:rFonts w:ascii="Arial" w:hAnsi="Arial" w:cs="Arial"/>
          <w:sz w:val="22"/>
          <w:szCs w:val="22"/>
          <w:lang w:val="en-US"/>
        </w:rPr>
        <w:t>SuperSignal</w:t>
      </w:r>
      <w:proofErr w:type="spellEnd"/>
      <w:r w:rsidR="000860B0" w:rsidRPr="003A5293">
        <w:rPr>
          <w:rFonts w:ascii="Arial" w:hAnsi="Arial" w:cs="Arial"/>
          <w:sz w:val="22"/>
          <w:szCs w:val="22"/>
          <w:lang w:val="en-US"/>
        </w:rPr>
        <w:t xml:space="preserve"> HRP Chemiluminescent Substrates (Thermo Fisher Scientific);</w:t>
      </w:r>
      <w:r w:rsidR="00295F0D" w:rsidRPr="003A5293">
        <w:rPr>
          <w:rFonts w:ascii="Arial" w:hAnsi="Arial" w:cs="Arial"/>
          <w:sz w:val="22"/>
          <w:szCs w:val="22"/>
          <w:lang w:val="en-US"/>
        </w:rPr>
        <w:t xml:space="preserve"> </w:t>
      </w:r>
      <w:proofErr w:type="spellStart"/>
      <w:r w:rsidR="00295F0D" w:rsidRPr="003A5293">
        <w:rPr>
          <w:rFonts w:ascii="Arial" w:hAnsi="Arial" w:cs="Arial"/>
          <w:sz w:val="22"/>
          <w:szCs w:val="22"/>
          <w:lang w:val="en-US"/>
        </w:rPr>
        <w:t>Dako</w:t>
      </w:r>
      <w:proofErr w:type="spellEnd"/>
      <w:r w:rsidR="00295F0D" w:rsidRPr="003A5293">
        <w:rPr>
          <w:rFonts w:ascii="Arial" w:hAnsi="Arial" w:cs="Arial"/>
          <w:sz w:val="22"/>
          <w:szCs w:val="22"/>
          <w:lang w:val="en-US"/>
        </w:rPr>
        <w:t xml:space="preserve"> </w:t>
      </w:r>
      <w:proofErr w:type="spellStart"/>
      <w:r w:rsidR="00295F0D" w:rsidRPr="003A5293">
        <w:rPr>
          <w:rFonts w:ascii="Arial" w:hAnsi="Arial" w:cs="Arial"/>
          <w:sz w:val="22"/>
          <w:szCs w:val="22"/>
          <w:lang w:val="en-US"/>
        </w:rPr>
        <w:t>EnVision</w:t>
      </w:r>
      <w:proofErr w:type="spellEnd"/>
      <w:r w:rsidR="00295F0D" w:rsidRPr="003A5293">
        <w:rPr>
          <w:rFonts w:ascii="Arial" w:hAnsi="Arial" w:cs="Arial"/>
          <w:sz w:val="22"/>
          <w:szCs w:val="22"/>
          <w:lang w:val="en-US"/>
        </w:rPr>
        <w:t xml:space="preserve"> + Dual Link System-HRP (DAKO, </w:t>
      </w:r>
      <w:proofErr w:type="spellStart"/>
      <w:r w:rsidR="00295F0D" w:rsidRPr="003A5293">
        <w:rPr>
          <w:rFonts w:ascii="Arial" w:hAnsi="Arial" w:cs="Arial"/>
          <w:sz w:val="22"/>
          <w:szCs w:val="22"/>
          <w:lang w:val="en-US"/>
        </w:rPr>
        <w:t>Glostrup</w:t>
      </w:r>
      <w:proofErr w:type="spellEnd"/>
      <w:r w:rsidR="00295F0D" w:rsidRPr="003A5293">
        <w:rPr>
          <w:rFonts w:ascii="Arial" w:hAnsi="Arial" w:cs="Arial"/>
          <w:sz w:val="22"/>
          <w:szCs w:val="22"/>
          <w:lang w:val="en-US"/>
        </w:rPr>
        <w:t>, Denmark); Liquid DAB + Substrate Chromogen System (DAKO);</w:t>
      </w:r>
    </w:p>
    <w:p w14:paraId="1745DD25" w14:textId="72D0AE00" w:rsidR="00FB329F" w:rsidRPr="003A5293" w:rsidRDefault="00AF334E" w:rsidP="00FB329F">
      <w:pPr>
        <w:pStyle w:val="Formatvorlage1"/>
        <w:rPr>
          <w:rFonts w:cs="Arial"/>
        </w:rPr>
      </w:pPr>
      <w:bookmarkStart w:id="32" w:name="_Toc57582507"/>
      <w:r>
        <w:rPr>
          <w:rFonts w:cs="Arial"/>
        </w:rPr>
        <w:t xml:space="preserve">4.5 </w:t>
      </w:r>
      <w:r w:rsidR="00FB329F" w:rsidRPr="003A5293">
        <w:rPr>
          <w:rFonts w:cs="Arial"/>
        </w:rPr>
        <w:t>Culture of undifferentiated iPSCs</w:t>
      </w:r>
      <w:bookmarkEnd w:id="32"/>
    </w:p>
    <w:p w14:paraId="6E41879D" w14:textId="77777777" w:rsidR="00E2346E" w:rsidRPr="003A5293" w:rsidRDefault="00E2346E" w:rsidP="00FB329F">
      <w:pPr>
        <w:spacing w:line="360" w:lineRule="auto"/>
        <w:jc w:val="both"/>
        <w:rPr>
          <w:rFonts w:ascii="Arial" w:hAnsi="Arial" w:cs="Arial"/>
          <w:sz w:val="22"/>
          <w:szCs w:val="22"/>
          <w:lang w:val="en-US"/>
        </w:rPr>
      </w:pPr>
    </w:p>
    <w:p w14:paraId="62FC948F" w14:textId="77777777" w:rsidR="00FB329F" w:rsidRPr="003A5293" w:rsidRDefault="006D567F" w:rsidP="00FB329F">
      <w:pPr>
        <w:spacing w:line="360" w:lineRule="auto"/>
        <w:jc w:val="both"/>
        <w:rPr>
          <w:rFonts w:ascii="Arial" w:hAnsi="Arial" w:cs="Arial"/>
          <w:sz w:val="22"/>
          <w:szCs w:val="22"/>
          <w:lang w:val="en-US"/>
        </w:rPr>
      </w:pPr>
      <w:r w:rsidRPr="003A5293">
        <w:rPr>
          <w:rFonts w:ascii="Arial" w:hAnsi="Arial" w:cs="Arial"/>
          <w:sz w:val="22"/>
          <w:szCs w:val="22"/>
          <w:lang w:val="en-US"/>
        </w:rPr>
        <w:t xml:space="preserve">Human iPSC line clone generated from female PV patient </w:t>
      </w:r>
      <w:r w:rsidR="00FB329F" w:rsidRPr="003A5293">
        <w:rPr>
          <w:rFonts w:ascii="Arial" w:hAnsi="Arial" w:cs="Arial"/>
          <w:sz w:val="22"/>
          <w:szCs w:val="22"/>
          <w:lang w:val="en-US"/>
        </w:rPr>
        <w:t xml:space="preserve">with </w:t>
      </w:r>
      <w:r w:rsidR="00FB329F" w:rsidRPr="003A5293">
        <w:rPr>
          <w:rFonts w:ascii="Arial" w:hAnsi="Arial" w:cs="Arial"/>
          <w:i/>
          <w:iCs/>
          <w:sz w:val="22"/>
          <w:szCs w:val="22"/>
          <w:lang w:val="en-US"/>
        </w:rPr>
        <w:t>JAK2 V617F</w:t>
      </w:r>
      <w:r w:rsidR="00FB329F" w:rsidRPr="003A5293">
        <w:rPr>
          <w:rFonts w:ascii="Arial" w:hAnsi="Arial" w:cs="Arial"/>
          <w:sz w:val="22"/>
          <w:szCs w:val="22"/>
          <w:lang w:val="en-US"/>
        </w:rPr>
        <w:t xml:space="preserve"> genotype (PVB1.4) used in </w:t>
      </w:r>
      <w:r w:rsidRPr="003A5293">
        <w:rPr>
          <w:rFonts w:ascii="Arial" w:hAnsi="Arial" w:cs="Arial"/>
          <w:sz w:val="22"/>
          <w:szCs w:val="22"/>
          <w:lang w:val="en-US"/>
        </w:rPr>
        <w:t>our</w:t>
      </w:r>
      <w:r w:rsidR="00FB329F" w:rsidRPr="003A5293">
        <w:rPr>
          <w:rFonts w:ascii="Arial" w:hAnsi="Arial" w:cs="Arial"/>
          <w:sz w:val="22"/>
          <w:szCs w:val="22"/>
          <w:lang w:val="en-US"/>
        </w:rPr>
        <w:t xml:space="preserve"> study was described in detail previously </w:t>
      </w:r>
      <w:r w:rsidR="00683F6B" w:rsidRPr="003A5293">
        <w:rPr>
          <w:rFonts w:ascii="Arial" w:hAnsi="Arial" w:cs="Arial"/>
          <w:sz w:val="22"/>
          <w:szCs w:val="22"/>
          <w:lang w:val="en-US"/>
        </w:rPr>
        <w:fldChar w:fldCharType="begin"/>
      </w:r>
      <w:r w:rsidR="00B703ED" w:rsidRPr="003A5293">
        <w:rPr>
          <w:rFonts w:ascii="Arial" w:hAnsi="Arial" w:cs="Arial"/>
          <w:sz w:val="22"/>
          <w:szCs w:val="22"/>
          <w:lang w:val="en-US"/>
        </w:rPr>
        <w:instrText xml:space="preserve"> ADDIN ZOTERO_ITEM CSL_CITATION {"citationID":"tjjZXEkl","properties":{"formattedCitation":"(Smith et al., 2015; Ye et al., 2014)","plainCitation":"(Smith et al., 2015; Ye et al., 2014)","noteIndex":0},"citationItems":[{"id":122,"uris":["http://zotero.org/users/2484452/items/RXKX5G8W"],"uri":["http://zotero.org/users/2484452/items/RXKX5G8W"],"itemData":{"id":122,"type":"article-journal","abstract":"Efficient and precise genome editing is crucial for realizing the full research and therapeutic potential of human induced pluripotent stem cells (iPSCs). Engineered nucleases including CRISPR/Cas9 and transcription activator like effector nucleases (TALENs) provide powerful tools for enhancing gene-targeting efficiency. In this study, we investigated the relative efficiencies of CRISPR/Cas9 and TALENs in human iPSC lines for inducing both homologous donor-based precise genome editing and nonhomologous end joining (NHEJ)-mediated gene disruption. Significantly higher frequencies of NHEJ-mediated insertions/deletions were detected at several endogenous loci using CRISPR/Cas9 than using TALENs, especially at nonexpressed targets in iPSCs. In contrast, comparable efficiencies of inducing homologous donor-based genome editing were observed at disease-associated loci in iPSCs. In addition, we investigated the specificity of guide RNAs used in the CRISPR/Cas9 system in targeting disease-associated point mutations in patient-specific iPSCs. Using myeloproliferative neoplasm patient-derived iPSCs that carry an acquired JAK2-V617F point mutation and α1-antitrypsin (AAT) deficiency patient-derived iPSCs that carry an inherited Z-AAT point mutation, we demonstrate that Cas9 can specifically target either the mutant or the wild-type allele with little disruption at the other allele differing by a single nucleotide. Overall, our results demonstrate the advantages of the CRISPR/Cas9 system in allele-specific genome targeting and in NHEJ-mediated gene disruption.","container-title":"Molecular Therapy","DOI":"10.1038/mt.2014.226","ISSN":"1525-0016","issue":"3","journalAbbreviation":"Mol Ther","note":"PMID: 25418680\nPMCID: PMC4351458","page":"570-577","source":"PubMed Central","title":"Efficient and Allele-Specific Genome Editing of Disease Loci in Human iPSCs","volume":"23","author":[{"family":"Smith","given":"Cory"},{"family":"Abalde-Atristain","given":"Leire"},{"family":"He","given":"Chaoxia"},{"family":"Brodsky","given":"Brett R"},{"family":"Braunstein","given":"Evan M"},{"family":"Chaudhari","given":"Pooja"},{"family":"Jang","given":"Yoon-Young"},{"family":"Cheng","given":"Linzhao"},{"family":"Ye","given":"Zhaohui"}],"issued":{"date-parts":[["2015",3]]}}},{"id":121,"uris":["http://zotero.org/users/2484452/items/DZDHQ6JK"],"uri":["http://zotero.org/users/2484452/items/DZDHQ6JK"],"itemData":{"id":121,"type":"article-journal","abstract":"Disease-specific induced pluripotent stem cells (iPSCs) provide an unprecedented opportunity to establish novel disease models and accelerate drug development using distinct tissue target cells generated from isogenic iPSC lines with and without disease-causing mutations. To realize the potential of iPSCs in modeling acquired diseases which are usually heterogeneous, we have generated multiple iPSC lines including two lines that are JAK2-wild-type and four lines homozygous for JAK2-V617F somatic mutation from a single polycythemia vera (PV) patient blood. In vitro differentiation of the same patient-derived iPSC lines have demonstrated the differential contributions of their parental hematopoietic clones to the abnormal erythropoiesis including the formation of endogenous erythroid colonies. This iPSC approach thus may provide unique and valuable insights into the genetic events responsible for disease development. To examine the potential of iPSCs in drug testing, we generated isogenic hematopoietic progenitors and erythroblasts from the same iPSC lines derived from PV patients and normal donors. Their response to three clinical JAK inhibitors, INCB018424 (Ruxolitinib), TG101348 (SAR302503), and the more recent CYT387 was evaluated. All three drugs similarly inhibited erythropoiesis from normal and PV iPSC lines containing the wild-type JAK2 genotype, as well as those containing a homozygous or heterozygous JAK2-V617F activating mutation that showed increased erythropoiesis without a JAK inhibitor. However, the JAK inhibitors had less inhibitory effect on the self-renewal of CD34+ hematopoietic progenitors. The iPSC-mediated disease modeling thus underlies the ineffectiveness of the current JAK inhibitors and provides a modeling system to develop better targeted therapies for the JAK2 mutated hematopoiesis.","container-title":"Stem Cells (Dayton, Ohio)","DOI":"10.1002/stem.1545","ISSN":"1549-4918","issue":"1","journalAbbreviation":"Stem Cells","language":"eng","note":"PMID: 24105986\nPMCID: PMC4096297","page":"269-278","source":"PubMed","title":"Differential sensitivity to JAK inhibitory drugs by isogenic human erythroblasts and hematopoietic progenitors generated from patient-specific induced pluripotent stem cells","volume":"32","author":[{"family":"Ye","given":"Zhaohui"},{"family":"Liu","given":"Cyndi F."},{"family":"Lanikova","given":"Lucie"},{"family":"Dowey","given":"Sarah N."},{"family":"He","given":"Chaoxia"},{"family":"Huang","given":"Xiaosong"},{"family":"Brodsky","given":"Robert A."},{"family":"Spivak","given":"Jerry L."},{"family":"Prchal","given":"Josef T."},{"family":"Cheng","given":"Linzhao"}],"issued":{"date-parts":[["2014",1]]}}}],"schema":"https://github.com/citation-style-language/schema/raw/master/csl-citation.json"} </w:instrText>
      </w:r>
      <w:r w:rsidR="00683F6B" w:rsidRPr="003A5293">
        <w:rPr>
          <w:rFonts w:ascii="Arial" w:hAnsi="Arial" w:cs="Arial"/>
          <w:sz w:val="22"/>
          <w:szCs w:val="22"/>
          <w:lang w:val="en-US"/>
        </w:rPr>
        <w:fldChar w:fldCharType="separate"/>
      </w:r>
      <w:r w:rsidR="00683F6B" w:rsidRPr="003A5293">
        <w:rPr>
          <w:rFonts w:ascii="Arial" w:hAnsi="Arial" w:cs="Arial"/>
          <w:noProof/>
          <w:sz w:val="22"/>
          <w:szCs w:val="22"/>
          <w:lang w:val="en-US"/>
        </w:rPr>
        <w:t>(Smith et al., 2015; Ye et al., 2014)</w:t>
      </w:r>
      <w:r w:rsidR="00683F6B" w:rsidRPr="003A5293">
        <w:rPr>
          <w:rFonts w:ascii="Arial" w:hAnsi="Arial" w:cs="Arial"/>
          <w:sz w:val="22"/>
          <w:szCs w:val="22"/>
          <w:lang w:val="en-US"/>
        </w:rPr>
        <w:fldChar w:fldCharType="end"/>
      </w:r>
      <w:r w:rsidR="00683F6B" w:rsidRPr="003A5293">
        <w:rPr>
          <w:rFonts w:ascii="Arial" w:hAnsi="Arial" w:cs="Arial"/>
          <w:sz w:val="22"/>
          <w:szCs w:val="22"/>
          <w:lang w:val="en-US"/>
        </w:rPr>
        <w:t xml:space="preserve">. </w:t>
      </w:r>
      <w:r w:rsidR="002518ED" w:rsidRPr="003A5293">
        <w:rPr>
          <w:rFonts w:ascii="Arial" w:hAnsi="Arial" w:cs="Arial"/>
          <w:sz w:val="22"/>
          <w:szCs w:val="22"/>
          <w:lang w:val="en-US"/>
        </w:rPr>
        <w:t>Gender</w:t>
      </w:r>
      <w:r w:rsidR="000B0659" w:rsidRPr="003A5293">
        <w:rPr>
          <w:rFonts w:ascii="Arial" w:hAnsi="Arial" w:cs="Arial"/>
          <w:sz w:val="22"/>
          <w:szCs w:val="22"/>
          <w:lang w:val="en-US"/>
        </w:rPr>
        <w:t>-matched, c</w:t>
      </w:r>
      <w:r w:rsidR="00FB329F" w:rsidRPr="003A5293">
        <w:rPr>
          <w:rFonts w:ascii="Arial" w:hAnsi="Arial" w:cs="Arial"/>
          <w:sz w:val="22"/>
          <w:szCs w:val="22"/>
          <w:lang w:val="en-US"/>
        </w:rPr>
        <w:t xml:space="preserve">ontrol iPSC line with wildtype </w:t>
      </w:r>
      <w:r w:rsidR="00FB329F" w:rsidRPr="003A5293">
        <w:rPr>
          <w:rFonts w:ascii="Arial" w:hAnsi="Arial" w:cs="Arial"/>
          <w:i/>
          <w:iCs/>
          <w:sz w:val="22"/>
          <w:szCs w:val="22"/>
          <w:lang w:val="en-US"/>
        </w:rPr>
        <w:t>JAK2</w:t>
      </w:r>
      <w:r w:rsidR="00FB329F" w:rsidRPr="003A5293">
        <w:rPr>
          <w:rFonts w:ascii="Arial" w:hAnsi="Arial" w:cs="Arial"/>
          <w:sz w:val="22"/>
          <w:szCs w:val="22"/>
          <w:lang w:val="en-US"/>
        </w:rPr>
        <w:t xml:space="preserve"> genotype (</w:t>
      </w:r>
      <w:r w:rsidR="002518ED" w:rsidRPr="003A5293">
        <w:rPr>
          <w:rFonts w:ascii="Arial" w:hAnsi="Arial" w:cs="Arial"/>
          <w:i/>
          <w:iCs/>
          <w:sz w:val="22"/>
          <w:szCs w:val="22"/>
          <w:lang w:val="en-US"/>
        </w:rPr>
        <w:t xml:space="preserve">JAK2 </w:t>
      </w:r>
      <w:proofErr w:type="spellStart"/>
      <w:r w:rsidR="002518ED" w:rsidRPr="003A5293">
        <w:rPr>
          <w:rFonts w:ascii="Arial" w:hAnsi="Arial" w:cs="Arial"/>
          <w:i/>
          <w:iCs/>
          <w:sz w:val="22"/>
          <w:szCs w:val="22"/>
          <w:lang w:val="en-US"/>
        </w:rPr>
        <w:t>wt</w:t>
      </w:r>
      <w:proofErr w:type="spellEnd"/>
      <w:r w:rsidR="002518ED" w:rsidRPr="003A5293">
        <w:rPr>
          <w:rFonts w:ascii="Arial" w:hAnsi="Arial" w:cs="Arial"/>
          <w:sz w:val="22"/>
          <w:szCs w:val="22"/>
          <w:lang w:val="en-US"/>
        </w:rPr>
        <w:t xml:space="preserve">, </w:t>
      </w:r>
      <w:r w:rsidR="00FB329F" w:rsidRPr="003A5293">
        <w:rPr>
          <w:rFonts w:ascii="Arial" w:hAnsi="Arial" w:cs="Arial"/>
          <w:sz w:val="22"/>
          <w:szCs w:val="22"/>
          <w:lang w:val="en-US"/>
        </w:rPr>
        <w:t>BXS0116) was obtained from ATCC</w:t>
      </w:r>
      <w:r w:rsidRPr="003A5293">
        <w:rPr>
          <w:rFonts w:ascii="Arial" w:hAnsi="Arial" w:cs="Arial"/>
          <w:sz w:val="22"/>
          <w:szCs w:val="22"/>
          <w:lang w:val="en-US"/>
        </w:rPr>
        <w:t xml:space="preserve"> (Manassas, USA)</w:t>
      </w:r>
      <w:r w:rsidR="0049142A" w:rsidRPr="003A5293">
        <w:rPr>
          <w:rFonts w:ascii="Arial" w:hAnsi="Arial" w:cs="Arial"/>
          <w:sz w:val="22"/>
          <w:szCs w:val="22"/>
          <w:lang w:val="en-US"/>
        </w:rPr>
        <w:t>.</w:t>
      </w:r>
      <w:r w:rsidR="00FB329F" w:rsidRPr="003A5293">
        <w:rPr>
          <w:rFonts w:ascii="Arial" w:hAnsi="Arial" w:cs="Arial"/>
          <w:sz w:val="22"/>
          <w:szCs w:val="22"/>
          <w:lang w:val="en-US"/>
        </w:rPr>
        <w:t xml:space="preserve"> </w:t>
      </w:r>
      <w:proofErr w:type="spellStart"/>
      <w:r w:rsidR="009D512E" w:rsidRPr="003A5293">
        <w:rPr>
          <w:rFonts w:ascii="Arial" w:hAnsi="Arial" w:cs="Arial"/>
          <w:sz w:val="22"/>
          <w:szCs w:val="22"/>
          <w:lang w:val="en-US"/>
        </w:rPr>
        <w:t>iPCSs</w:t>
      </w:r>
      <w:proofErr w:type="spellEnd"/>
      <w:r w:rsidR="00FB329F" w:rsidRPr="003A5293">
        <w:rPr>
          <w:rFonts w:ascii="Arial" w:hAnsi="Arial" w:cs="Arial"/>
          <w:sz w:val="22"/>
          <w:szCs w:val="22"/>
          <w:lang w:val="en-US"/>
        </w:rPr>
        <w:t xml:space="preserve"> were grown on mouse embryonic fibroblasts (MEFs)</w:t>
      </w:r>
      <w:r w:rsidR="009D512E" w:rsidRPr="003A5293">
        <w:rPr>
          <w:rFonts w:ascii="Arial" w:hAnsi="Arial" w:cs="Arial"/>
          <w:sz w:val="22"/>
          <w:szCs w:val="22"/>
          <w:lang w:val="en-US"/>
        </w:rPr>
        <w:t xml:space="preserve"> from day E13.5 post-coitus mouse embryos (</w:t>
      </w:r>
      <w:proofErr w:type="spellStart"/>
      <w:r w:rsidR="009D512E" w:rsidRPr="003A5293">
        <w:rPr>
          <w:rFonts w:ascii="Arial" w:hAnsi="Arial" w:cs="Arial"/>
          <w:sz w:val="22"/>
          <w:szCs w:val="22"/>
          <w:lang w:val="en-US"/>
        </w:rPr>
        <w:t>Stemcell</w:t>
      </w:r>
      <w:proofErr w:type="spellEnd"/>
      <w:r w:rsidR="009D512E" w:rsidRPr="003A5293">
        <w:rPr>
          <w:rFonts w:ascii="Arial" w:hAnsi="Arial" w:cs="Arial"/>
          <w:sz w:val="22"/>
          <w:szCs w:val="22"/>
          <w:lang w:val="en-US"/>
        </w:rPr>
        <w:t xml:space="preserve"> Technologies, Vancouver, </w:t>
      </w:r>
      <w:proofErr w:type="spellStart"/>
      <w:r w:rsidR="009D512E" w:rsidRPr="003A5293">
        <w:rPr>
          <w:rFonts w:ascii="Arial" w:hAnsi="Arial" w:cs="Arial"/>
          <w:sz w:val="22"/>
          <w:szCs w:val="22"/>
          <w:lang w:val="en-US"/>
        </w:rPr>
        <w:t>Kanada</w:t>
      </w:r>
      <w:proofErr w:type="spellEnd"/>
      <w:r w:rsidR="009D512E" w:rsidRPr="003A5293">
        <w:rPr>
          <w:rFonts w:ascii="Arial" w:hAnsi="Arial" w:cs="Arial"/>
          <w:sz w:val="22"/>
          <w:szCs w:val="22"/>
          <w:lang w:val="en-US"/>
        </w:rPr>
        <w:t>), which were inactivated by incubation with mitomycin C (10ng/ml for 2</w:t>
      </w:r>
      <w:r w:rsidR="00DF5422" w:rsidRPr="003A5293">
        <w:rPr>
          <w:rFonts w:ascii="Arial" w:hAnsi="Arial" w:cs="Arial"/>
          <w:sz w:val="22"/>
          <w:szCs w:val="22"/>
          <w:lang w:val="en-US"/>
        </w:rPr>
        <w:t xml:space="preserve"> </w:t>
      </w:r>
      <w:r w:rsidR="009D512E" w:rsidRPr="003A5293">
        <w:rPr>
          <w:rFonts w:ascii="Arial" w:hAnsi="Arial" w:cs="Arial"/>
          <w:sz w:val="22"/>
          <w:szCs w:val="22"/>
          <w:lang w:val="en-US"/>
        </w:rPr>
        <w:t>hours at 37°C)</w:t>
      </w:r>
      <w:r w:rsidR="00FB329F" w:rsidRPr="003A5293">
        <w:rPr>
          <w:rFonts w:ascii="Arial" w:hAnsi="Arial" w:cs="Arial"/>
          <w:sz w:val="22"/>
          <w:szCs w:val="22"/>
          <w:lang w:val="en-US"/>
        </w:rPr>
        <w:t xml:space="preserve"> in </w:t>
      </w:r>
      <w:proofErr w:type="spellStart"/>
      <w:r w:rsidR="0032474A" w:rsidRPr="003A5293">
        <w:rPr>
          <w:rFonts w:ascii="Arial" w:hAnsi="Arial" w:cs="Arial"/>
          <w:sz w:val="22"/>
          <w:szCs w:val="22"/>
          <w:lang w:val="en-US"/>
        </w:rPr>
        <w:t>d</w:t>
      </w:r>
      <w:r w:rsidR="00FB329F" w:rsidRPr="003A5293">
        <w:rPr>
          <w:rFonts w:ascii="Arial" w:hAnsi="Arial" w:cs="Arial"/>
          <w:sz w:val="22"/>
          <w:szCs w:val="22"/>
          <w:lang w:val="en-US"/>
        </w:rPr>
        <w:t>ulbecco's</w:t>
      </w:r>
      <w:proofErr w:type="spellEnd"/>
      <w:r w:rsidR="00FB329F" w:rsidRPr="003A5293">
        <w:rPr>
          <w:rFonts w:ascii="Arial" w:hAnsi="Arial" w:cs="Arial"/>
          <w:sz w:val="22"/>
          <w:szCs w:val="22"/>
          <w:lang w:val="en-US"/>
        </w:rPr>
        <w:t xml:space="preserve"> </w:t>
      </w:r>
      <w:r w:rsidR="0032474A" w:rsidRPr="003A5293">
        <w:rPr>
          <w:rFonts w:ascii="Arial" w:hAnsi="Arial" w:cs="Arial"/>
          <w:sz w:val="22"/>
          <w:szCs w:val="22"/>
          <w:lang w:val="en-US"/>
        </w:rPr>
        <w:t>m</w:t>
      </w:r>
      <w:r w:rsidR="00FB329F" w:rsidRPr="003A5293">
        <w:rPr>
          <w:rFonts w:ascii="Arial" w:hAnsi="Arial" w:cs="Arial"/>
          <w:sz w:val="22"/>
          <w:szCs w:val="22"/>
          <w:lang w:val="en-US"/>
        </w:rPr>
        <w:t xml:space="preserve">odified </w:t>
      </w:r>
      <w:r w:rsidR="0032474A" w:rsidRPr="003A5293">
        <w:rPr>
          <w:rFonts w:ascii="Arial" w:hAnsi="Arial" w:cs="Arial"/>
          <w:sz w:val="22"/>
          <w:szCs w:val="22"/>
          <w:lang w:val="en-US"/>
        </w:rPr>
        <w:t>e</w:t>
      </w:r>
      <w:r w:rsidR="00FB329F" w:rsidRPr="003A5293">
        <w:rPr>
          <w:rFonts w:ascii="Arial" w:hAnsi="Arial" w:cs="Arial"/>
          <w:sz w:val="22"/>
          <w:szCs w:val="22"/>
          <w:lang w:val="en-US"/>
        </w:rPr>
        <w:t xml:space="preserve">agle </w:t>
      </w:r>
      <w:r w:rsidR="0032474A" w:rsidRPr="003A5293">
        <w:rPr>
          <w:rFonts w:ascii="Arial" w:hAnsi="Arial" w:cs="Arial"/>
          <w:sz w:val="22"/>
          <w:szCs w:val="22"/>
          <w:lang w:val="en-US"/>
        </w:rPr>
        <w:t>m</w:t>
      </w:r>
      <w:r w:rsidR="00FB329F" w:rsidRPr="003A5293">
        <w:rPr>
          <w:rFonts w:ascii="Arial" w:hAnsi="Arial" w:cs="Arial"/>
          <w:sz w:val="22"/>
          <w:szCs w:val="22"/>
          <w:lang w:val="en-US"/>
        </w:rPr>
        <w:t>edium</w:t>
      </w:r>
      <w:r w:rsidR="00774772" w:rsidRPr="003A5293">
        <w:rPr>
          <w:rFonts w:ascii="Arial" w:hAnsi="Arial" w:cs="Arial"/>
          <w:sz w:val="22"/>
          <w:szCs w:val="22"/>
          <w:lang w:val="en-US"/>
        </w:rPr>
        <w:t xml:space="preserve"> (DMEM)</w:t>
      </w:r>
      <w:r w:rsidR="00C63AF8" w:rsidRPr="003A5293">
        <w:rPr>
          <w:rFonts w:ascii="Arial" w:hAnsi="Arial" w:cs="Arial"/>
          <w:sz w:val="22"/>
          <w:szCs w:val="22"/>
          <w:lang w:val="en-US"/>
        </w:rPr>
        <w:t xml:space="preserve"> with 10% fetal bovine serum (FBS)</w:t>
      </w:r>
      <w:r w:rsidR="00774772" w:rsidRPr="003A5293">
        <w:rPr>
          <w:rFonts w:ascii="Arial" w:hAnsi="Arial" w:cs="Arial"/>
          <w:sz w:val="22"/>
          <w:szCs w:val="22"/>
          <w:lang w:val="en-US"/>
        </w:rPr>
        <w:t xml:space="preserve">. </w:t>
      </w:r>
      <w:r w:rsidR="00DC1900" w:rsidRPr="003A5293">
        <w:rPr>
          <w:rFonts w:ascii="Arial" w:hAnsi="Arial" w:cs="Arial"/>
          <w:sz w:val="22"/>
          <w:szCs w:val="22"/>
          <w:lang w:val="en-US"/>
        </w:rPr>
        <w:t xml:space="preserve">Mitomycin C-inactivated </w:t>
      </w:r>
      <w:r w:rsidR="00774772" w:rsidRPr="003A5293">
        <w:rPr>
          <w:rFonts w:ascii="Arial" w:hAnsi="Arial" w:cs="Arial"/>
          <w:sz w:val="22"/>
          <w:szCs w:val="22"/>
          <w:lang w:val="en-US"/>
        </w:rPr>
        <w:t>MEFs</w:t>
      </w:r>
      <w:r w:rsidR="00DC1900" w:rsidRPr="003A5293">
        <w:rPr>
          <w:rFonts w:ascii="Arial" w:hAnsi="Arial" w:cs="Arial"/>
          <w:sz w:val="22"/>
          <w:szCs w:val="22"/>
          <w:lang w:val="en-US"/>
        </w:rPr>
        <w:t xml:space="preserve"> were plated on culture dishes coated with 0.1% gelatin</w:t>
      </w:r>
      <w:r w:rsidR="00BD36BA" w:rsidRPr="003A5293">
        <w:rPr>
          <w:rFonts w:ascii="Arial" w:hAnsi="Arial" w:cs="Arial"/>
          <w:sz w:val="22"/>
          <w:szCs w:val="22"/>
          <w:lang w:val="en-US"/>
        </w:rPr>
        <w:t xml:space="preserve"> in </w:t>
      </w:r>
      <w:r w:rsidR="00DC1900" w:rsidRPr="003A5293">
        <w:rPr>
          <w:rFonts w:ascii="Arial" w:hAnsi="Arial" w:cs="Arial"/>
          <w:sz w:val="22"/>
          <w:szCs w:val="22"/>
          <w:lang w:val="en-US"/>
        </w:rPr>
        <w:t xml:space="preserve">harvested from porcupine skin </w:t>
      </w:r>
      <w:r w:rsidR="00BD36BA" w:rsidRPr="003A5293">
        <w:rPr>
          <w:rFonts w:ascii="Arial" w:hAnsi="Arial" w:cs="Arial"/>
          <w:sz w:val="22"/>
          <w:szCs w:val="22"/>
          <w:lang w:val="en-US"/>
        </w:rPr>
        <w:t xml:space="preserve">in phosphate-Buffered Saline (PBS) </w:t>
      </w:r>
      <w:r w:rsidR="00DC1900" w:rsidRPr="003A5293">
        <w:rPr>
          <w:rFonts w:ascii="Arial" w:hAnsi="Arial" w:cs="Arial"/>
          <w:sz w:val="22"/>
          <w:szCs w:val="22"/>
          <w:lang w:val="en-US"/>
        </w:rPr>
        <w:t>and after 24 hours</w:t>
      </w:r>
      <w:r w:rsidR="00774772" w:rsidRPr="003A5293">
        <w:rPr>
          <w:rFonts w:ascii="Arial" w:hAnsi="Arial" w:cs="Arial"/>
          <w:sz w:val="22"/>
          <w:szCs w:val="22"/>
          <w:lang w:val="en-US"/>
        </w:rPr>
        <w:t xml:space="preserve"> DMEM media was exchanged for DMEM with</w:t>
      </w:r>
      <w:r w:rsidR="00FB329F" w:rsidRPr="003A5293">
        <w:rPr>
          <w:rFonts w:ascii="Arial" w:hAnsi="Arial" w:cs="Arial"/>
          <w:sz w:val="22"/>
          <w:szCs w:val="22"/>
          <w:lang w:val="en-US"/>
        </w:rPr>
        <w:t xml:space="preserve"> Nutrient Mixture F-12 (DMEM/F-12) supplemented with 15% </w:t>
      </w:r>
      <w:r w:rsidR="00DF5422" w:rsidRPr="003A5293">
        <w:rPr>
          <w:rFonts w:ascii="Arial" w:hAnsi="Arial" w:cs="Arial"/>
          <w:sz w:val="22"/>
          <w:szCs w:val="22"/>
          <w:lang w:val="en-US"/>
        </w:rPr>
        <w:t>k</w:t>
      </w:r>
      <w:r w:rsidR="00FB329F" w:rsidRPr="003A5293">
        <w:rPr>
          <w:rFonts w:ascii="Arial" w:hAnsi="Arial" w:cs="Arial"/>
          <w:sz w:val="22"/>
          <w:szCs w:val="22"/>
          <w:lang w:val="en-US"/>
        </w:rPr>
        <w:t>nock</w:t>
      </w:r>
      <w:r w:rsidR="00DF5422" w:rsidRPr="003A5293">
        <w:rPr>
          <w:rFonts w:ascii="Arial" w:hAnsi="Arial" w:cs="Arial"/>
          <w:sz w:val="22"/>
          <w:szCs w:val="22"/>
          <w:lang w:val="en-US"/>
        </w:rPr>
        <w:t>o</w:t>
      </w:r>
      <w:r w:rsidR="00FB329F" w:rsidRPr="003A5293">
        <w:rPr>
          <w:rFonts w:ascii="Arial" w:hAnsi="Arial" w:cs="Arial"/>
          <w:sz w:val="22"/>
          <w:szCs w:val="22"/>
          <w:lang w:val="en-US"/>
        </w:rPr>
        <w:t xml:space="preserve">ut </w:t>
      </w:r>
      <w:r w:rsidR="00DF5422" w:rsidRPr="003A5293">
        <w:rPr>
          <w:rFonts w:ascii="Arial" w:hAnsi="Arial" w:cs="Arial"/>
          <w:sz w:val="22"/>
          <w:szCs w:val="22"/>
          <w:lang w:val="en-US"/>
        </w:rPr>
        <w:t>s</w:t>
      </w:r>
      <w:r w:rsidR="00FB329F" w:rsidRPr="003A5293">
        <w:rPr>
          <w:rFonts w:ascii="Arial" w:hAnsi="Arial" w:cs="Arial"/>
          <w:sz w:val="22"/>
          <w:szCs w:val="22"/>
          <w:lang w:val="en-US"/>
        </w:rPr>
        <w:t xml:space="preserve">erum </w:t>
      </w:r>
      <w:r w:rsidR="00DF5422" w:rsidRPr="003A5293">
        <w:rPr>
          <w:rFonts w:ascii="Arial" w:hAnsi="Arial" w:cs="Arial"/>
          <w:sz w:val="22"/>
          <w:szCs w:val="22"/>
          <w:lang w:val="en-US"/>
        </w:rPr>
        <w:t>r</w:t>
      </w:r>
      <w:r w:rsidR="00FB329F" w:rsidRPr="003A5293">
        <w:rPr>
          <w:rFonts w:ascii="Arial" w:hAnsi="Arial" w:cs="Arial"/>
          <w:sz w:val="22"/>
          <w:szCs w:val="22"/>
          <w:lang w:val="en-US"/>
        </w:rPr>
        <w:t xml:space="preserve">eplacement, 1x </w:t>
      </w:r>
      <w:r w:rsidR="00C63AF8" w:rsidRPr="003A5293">
        <w:rPr>
          <w:rFonts w:ascii="Arial" w:hAnsi="Arial" w:cs="Arial"/>
          <w:sz w:val="22"/>
          <w:szCs w:val="22"/>
          <w:lang w:val="en-US"/>
        </w:rPr>
        <w:t>L</w:t>
      </w:r>
      <w:r w:rsidR="00FB329F" w:rsidRPr="003A5293">
        <w:rPr>
          <w:rFonts w:ascii="Arial" w:hAnsi="Arial" w:cs="Arial"/>
          <w:sz w:val="22"/>
          <w:szCs w:val="22"/>
          <w:lang w:val="en-US"/>
        </w:rPr>
        <w:t xml:space="preserve">-glutamine, 1x </w:t>
      </w:r>
      <w:r w:rsidR="00DF5422" w:rsidRPr="003A5293">
        <w:rPr>
          <w:rFonts w:ascii="Arial" w:hAnsi="Arial" w:cs="Arial"/>
          <w:sz w:val="22"/>
          <w:szCs w:val="22"/>
          <w:lang w:val="en-US"/>
        </w:rPr>
        <w:t>n</w:t>
      </w:r>
      <w:r w:rsidR="00FB329F" w:rsidRPr="003A5293">
        <w:rPr>
          <w:rFonts w:ascii="Arial" w:hAnsi="Arial" w:cs="Arial"/>
          <w:sz w:val="22"/>
          <w:szCs w:val="22"/>
          <w:lang w:val="en-US"/>
        </w:rPr>
        <w:t xml:space="preserve">on-essential amino acids, 1x </w:t>
      </w:r>
      <w:r w:rsidR="00DF5422" w:rsidRPr="003A5293">
        <w:rPr>
          <w:rFonts w:ascii="Arial" w:hAnsi="Arial" w:cs="Arial"/>
          <w:sz w:val="22"/>
          <w:szCs w:val="22"/>
          <w:lang w:val="en-US"/>
        </w:rPr>
        <w:t>p</w:t>
      </w:r>
      <w:r w:rsidR="00FB329F" w:rsidRPr="003A5293">
        <w:rPr>
          <w:rFonts w:ascii="Arial" w:hAnsi="Arial" w:cs="Arial"/>
          <w:sz w:val="22"/>
          <w:szCs w:val="22"/>
          <w:lang w:val="en-US"/>
        </w:rPr>
        <w:t>enicillin-</w:t>
      </w:r>
      <w:r w:rsidR="00DF5422" w:rsidRPr="003A5293">
        <w:rPr>
          <w:rFonts w:ascii="Arial" w:hAnsi="Arial" w:cs="Arial"/>
          <w:sz w:val="22"/>
          <w:szCs w:val="22"/>
          <w:lang w:val="en-US"/>
        </w:rPr>
        <w:t>s</w:t>
      </w:r>
      <w:r w:rsidR="00FB329F" w:rsidRPr="003A5293">
        <w:rPr>
          <w:rFonts w:ascii="Arial" w:hAnsi="Arial" w:cs="Arial"/>
          <w:sz w:val="22"/>
          <w:szCs w:val="22"/>
          <w:lang w:val="en-US"/>
        </w:rPr>
        <w:t xml:space="preserve">treptomycin, 55 µM 2-mercaptoethanol and 20 ng/ml of recombinant human </w:t>
      </w:r>
      <w:r w:rsidR="00DF5422" w:rsidRPr="003A5293">
        <w:rPr>
          <w:rFonts w:ascii="Arial" w:hAnsi="Arial" w:cs="Arial"/>
          <w:sz w:val="22"/>
          <w:szCs w:val="22"/>
          <w:lang w:val="en-US"/>
        </w:rPr>
        <w:t>fibroblast growth factor-basic (</w:t>
      </w:r>
      <w:r w:rsidR="00FB329F" w:rsidRPr="003A5293">
        <w:rPr>
          <w:rFonts w:ascii="Arial" w:hAnsi="Arial" w:cs="Arial"/>
          <w:sz w:val="22"/>
          <w:szCs w:val="22"/>
          <w:lang w:val="en-US"/>
        </w:rPr>
        <w:t>FGF-Basic). Cells were cultured in a 5% CO</w:t>
      </w:r>
      <w:r w:rsidR="00FB329F" w:rsidRPr="003A5293">
        <w:rPr>
          <w:rFonts w:ascii="Arial" w:hAnsi="Arial" w:cs="Arial"/>
          <w:sz w:val="22"/>
          <w:szCs w:val="22"/>
          <w:vertAlign w:val="subscript"/>
          <w:lang w:val="en-US"/>
        </w:rPr>
        <w:t>2</w:t>
      </w:r>
      <w:r w:rsidR="00FB329F" w:rsidRPr="003A5293">
        <w:rPr>
          <w:rFonts w:ascii="Arial" w:hAnsi="Arial" w:cs="Arial"/>
          <w:sz w:val="22"/>
          <w:szCs w:val="22"/>
          <w:lang w:val="en-US"/>
        </w:rPr>
        <w:t xml:space="preserve"> humidified atmosphere at 37°C. For irradiation experiments, cells were irradiated with 2 </w:t>
      </w:r>
      <w:r w:rsidR="002518ED" w:rsidRPr="003A5293">
        <w:rPr>
          <w:rFonts w:ascii="Arial" w:hAnsi="Arial" w:cs="Arial"/>
          <w:sz w:val="22"/>
          <w:szCs w:val="22"/>
          <w:lang w:val="en-US"/>
        </w:rPr>
        <w:t>gray</w:t>
      </w:r>
      <w:r w:rsidR="00FB329F" w:rsidRPr="003A5293">
        <w:rPr>
          <w:rFonts w:ascii="Arial" w:hAnsi="Arial" w:cs="Arial"/>
          <w:sz w:val="22"/>
          <w:szCs w:val="22"/>
          <w:lang w:val="en-US"/>
        </w:rPr>
        <w:t xml:space="preserve"> of X-rays (RS Research Cabinet) and incubated 3 h</w:t>
      </w:r>
      <w:r w:rsidR="00DF5422" w:rsidRPr="003A5293">
        <w:rPr>
          <w:rFonts w:ascii="Arial" w:hAnsi="Arial" w:cs="Arial"/>
          <w:sz w:val="22"/>
          <w:szCs w:val="22"/>
          <w:lang w:val="en-US"/>
        </w:rPr>
        <w:t>ou</w:t>
      </w:r>
      <w:r w:rsidR="00FB329F" w:rsidRPr="003A5293">
        <w:rPr>
          <w:rFonts w:ascii="Arial" w:hAnsi="Arial" w:cs="Arial"/>
          <w:sz w:val="22"/>
          <w:szCs w:val="22"/>
          <w:lang w:val="en-US"/>
        </w:rPr>
        <w:t>r</w:t>
      </w:r>
      <w:r w:rsidR="00DF5422" w:rsidRPr="003A5293">
        <w:rPr>
          <w:rFonts w:ascii="Arial" w:hAnsi="Arial" w:cs="Arial"/>
          <w:sz w:val="22"/>
          <w:szCs w:val="22"/>
          <w:lang w:val="en-US"/>
        </w:rPr>
        <w:t>s</w:t>
      </w:r>
      <w:r w:rsidR="000B0659" w:rsidRPr="003A5293">
        <w:rPr>
          <w:rFonts w:ascii="Arial" w:hAnsi="Arial" w:cs="Arial"/>
          <w:sz w:val="22"/>
          <w:szCs w:val="22"/>
          <w:lang w:val="en-US"/>
        </w:rPr>
        <w:t xml:space="preserve"> post-irradiation</w:t>
      </w:r>
      <w:r w:rsidR="00FB329F" w:rsidRPr="003A5293">
        <w:rPr>
          <w:rFonts w:ascii="Arial" w:hAnsi="Arial" w:cs="Arial"/>
          <w:sz w:val="22"/>
          <w:szCs w:val="22"/>
          <w:lang w:val="en-US"/>
        </w:rPr>
        <w:t xml:space="preserve"> before harvesting.</w:t>
      </w:r>
    </w:p>
    <w:p w14:paraId="0EDC1BFA" w14:textId="77777777" w:rsidR="00FB329F" w:rsidRPr="003A5293" w:rsidRDefault="00FB329F" w:rsidP="00FB329F">
      <w:pPr>
        <w:spacing w:line="360" w:lineRule="auto"/>
        <w:jc w:val="both"/>
        <w:rPr>
          <w:rFonts w:ascii="Arial" w:hAnsi="Arial" w:cs="Arial"/>
          <w:sz w:val="22"/>
          <w:szCs w:val="22"/>
          <w:lang w:val="en-US"/>
        </w:rPr>
      </w:pPr>
    </w:p>
    <w:p w14:paraId="2D29FA1F" w14:textId="3C504007" w:rsidR="00FB329F" w:rsidRPr="003A5293" w:rsidRDefault="00AF334E" w:rsidP="00FB329F">
      <w:pPr>
        <w:pStyle w:val="Formatvorlage1"/>
        <w:rPr>
          <w:rFonts w:cs="Arial"/>
        </w:rPr>
      </w:pPr>
      <w:bookmarkStart w:id="33" w:name="_Toc57582508"/>
      <w:r>
        <w:rPr>
          <w:rFonts w:cs="Arial"/>
        </w:rPr>
        <w:lastRenderedPageBreak/>
        <w:t>4.6</w:t>
      </w:r>
      <w:r w:rsidR="00FB329F" w:rsidRPr="003A5293">
        <w:rPr>
          <w:rFonts w:cs="Arial"/>
        </w:rPr>
        <w:t xml:space="preserve"> iPSC hematopoietic differentiation</w:t>
      </w:r>
      <w:bookmarkEnd w:id="33"/>
    </w:p>
    <w:p w14:paraId="3E6D48DC" w14:textId="77777777" w:rsidR="00E2346E" w:rsidRPr="003A5293" w:rsidRDefault="00E2346E" w:rsidP="00FB329F">
      <w:pPr>
        <w:spacing w:line="360" w:lineRule="auto"/>
        <w:jc w:val="both"/>
        <w:rPr>
          <w:rFonts w:ascii="Arial" w:hAnsi="Arial" w:cs="Arial"/>
          <w:sz w:val="22"/>
          <w:szCs w:val="22"/>
          <w:lang w:val="en-US"/>
        </w:rPr>
      </w:pPr>
    </w:p>
    <w:p w14:paraId="0190F259" w14:textId="77777777" w:rsidR="00FB329F" w:rsidRPr="003A5293" w:rsidRDefault="00FB329F" w:rsidP="00FB329F">
      <w:pPr>
        <w:spacing w:line="360" w:lineRule="auto"/>
        <w:jc w:val="both"/>
        <w:rPr>
          <w:rFonts w:ascii="Arial" w:hAnsi="Arial" w:cs="Arial"/>
          <w:sz w:val="22"/>
          <w:szCs w:val="22"/>
          <w:lang w:val="en-US"/>
        </w:rPr>
      </w:pPr>
      <w:r w:rsidRPr="003A5293">
        <w:rPr>
          <w:rFonts w:ascii="Arial" w:hAnsi="Arial" w:cs="Arial"/>
          <w:sz w:val="22"/>
          <w:szCs w:val="22"/>
          <w:lang w:val="en-US"/>
        </w:rPr>
        <w:t>CD34</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progenitor-enriched cultures</w:t>
      </w:r>
      <w:r w:rsidR="00CD0378" w:rsidRPr="003A5293">
        <w:rPr>
          <w:rFonts w:ascii="Arial" w:hAnsi="Arial" w:cs="Arial"/>
          <w:sz w:val="22"/>
          <w:szCs w:val="22"/>
          <w:lang w:val="en-US"/>
        </w:rPr>
        <w:t xml:space="preserve"> (CD34</w:t>
      </w:r>
      <w:r w:rsidR="00CD0378" w:rsidRPr="003A5293">
        <w:rPr>
          <w:rFonts w:ascii="Arial" w:hAnsi="Arial" w:cs="Arial"/>
          <w:sz w:val="22"/>
          <w:szCs w:val="22"/>
          <w:vertAlign w:val="superscript"/>
          <w:lang w:val="en-US"/>
        </w:rPr>
        <w:t xml:space="preserve">+ </w:t>
      </w:r>
      <w:r w:rsidR="00CD0378" w:rsidRPr="003A5293">
        <w:rPr>
          <w:rFonts w:ascii="Arial" w:hAnsi="Arial" w:cs="Arial"/>
          <w:sz w:val="22"/>
          <w:szCs w:val="22"/>
          <w:lang w:val="en-US"/>
        </w:rPr>
        <w:t>P-ECs)</w:t>
      </w:r>
      <w:r w:rsidRPr="003A5293">
        <w:rPr>
          <w:rFonts w:ascii="Arial" w:hAnsi="Arial" w:cs="Arial"/>
          <w:sz w:val="22"/>
          <w:szCs w:val="22"/>
          <w:lang w:val="en-US"/>
        </w:rPr>
        <w:t xml:space="preserve"> were generated from iPSCs</w:t>
      </w:r>
      <w:r w:rsidR="002518ED" w:rsidRPr="003A5293">
        <w:rPr>
          <w:rFonts w:ascii="Arial" w:hAnsi="Arial" w:cs="Arial"/>
          <w:sz w:val="22"/>
          <w:szCs w:val="22"/>
          <w:lang w:val="en-US"/>
        </w:rPr>
        <w:t xml:space="preserve"> through </w:t>
      </w:r>
      <w:r w:rsidR="00CD0378" w:rsidRPr="003A5293">
        <w:rPr>
          <w:rFonts w:ascii="Arial" w:hAnsi="Arial" w:cs="Arial"/>
          <w:sz w:val="22"/>
          <w:szCs w:val="22"/>
          <w:lang w:val="en-US"/>
        </w:rPr>
        <w:t>cytokine-induced</w:t>
      </w:r>
      <w:r w:rsidR="002518ED" w:rsidRPr="003A5293">
        <w:rPr>
          <w:rFonts w:ascii="Arial" w:hAnsi="Arial" w:cs="Arial"/>
          <w:sz w:val="22"/>
          <w:szCs w:val="22"/>
          <w:lang w:val="en-US"/>
        </w:rPr>
        <w:t xml:space="preserve"> </w:t>
      </w:r>
      <w:r w:rsidR="00C63AF8" w:rsidRPr="003A5293">
        <w:rPr>
          <w:rFonts w:ascii="Arial" w:hAnsi="Arial" w:cs="Arial"/>
          <w:sz w:val="22"/>
          <w:szCs w:val="22"/>
          <w:lang w:val="en-US"/>
        </w:rPr>
        <w:t xml:space="preserve">hematopoietic </w:t>
      </w:r>
      <w:r w:rsidR="002518ED" w:rsidRPr="003A5293">
        <w:rPr>
          <w:rFonts w:ascii="Arial" w:hAnsi="Arial" w:cs="Arial"/>
          <w:sz w:val="22"/>
          <w:szCs w:val="22"/>
          <w:lang w:val="en-US"/>
        </w:rPr>
        <w:t>differentiation</w:t>
      </w:r>
      <w:r w:rsidR="00CD0378" w:rsidRPr="003A5293">
        <w:rPr>
          <w:rFonts w:ascii="Arial" w:hAnsi="Arial" w:cs="Arial"/>
          <w:sz w:val="22"/>
          <w:szCs w:val="22"/>
          <w:lang w:val="en-US"/>
        </w:rPr>
        <w:t xml:space="preserve"> of</w:t>
      </w:r>
      <w:r w:rsidRPr="003A5293">
        <w:rPr>
          <w:rFonts w:ascii="Arial" w:hAnsi="Arial" w:cs="Arial"/>
          <w:sz w:val="22"/>
          <w:szCs w:val="22"/>
          <w:lang w:val="en-US"/>
        </w:rPr>
        <w:t xml:space="preserve"> </w:t>
      </w:r>
      <w:r w:rsidR="00CD0378" w:rsidRPr="003A5293">
        <w:rPr>
          <w:rFonts w:ascii="Arial" w:hAnsi="Arial" w:cs="Arial"/>
          <w:sz w:val="22"/>
          <w:szCs w:val="22"/>
          <w:lang w:val="en-US"/>
        </w:rPr>
        <w:t>embryoid bodies (EBs) based on</w:t>
      </w:r>
      <w:r w:rsidRPr="003A5293">
        <w:rPr>
          <w:rFonts w:ascii="Arial" w:hAnsi="Arial" w:cs="Arial"/>
          <w:sz w:val="22"/>
          <w:szCs w:val="22"/>
          <w:lang w:val="en-US"/>
        </w:rPr>
        <w:t xml:space="preserve"> published protocol</w:t>
      </w:r>
      <w:r w:rsidR="00CD0378" w:rsidRPr="003A5293">
        <w:rPr>
          <w:rFonts w:ascii="Arial" w:hAnsi="Arial" w:cs="Arial"/>
          <w:sz w:val="22"/>
          <w:szCs w:val="22"/>
          <w:lang w:val="en-US"/>
        </w:rPr>
        <w:t xml:space="preserve"> </w:t>
      </w:r>
      <w:r w:rsidR="00CD0378" w:rsidRPr="003A5293">
        <w:rPr>
          <w:rFonts w:ascii="Arial" w:hAnsi="Arial" w:cs="Arial"/>
          <w:sz w:val="22"/>
          <w:szCs w:val="22"/>
          <w:lang w:val="en-US"/>
        </w:rPr>
        <w:fldChar w:fldCharType="begin"/>
      </w:r>
      <w:r w:rsidR="00B703ED" w:rsidRPr="003A5293">
        <w:rPr>
          <w:rFonts w:ascii="Arial" w:hAnsi="Arial" w:cs="Arial"/>
          <w:sz w:val="22"/>
          <w:szCs w:val="22"/>
          <w:lang w:val="en-US"/>
        </w:rPr>
        <w:instrText xml:space="preserve"> ADDIN ZOTERO_ITEM CSL_CITATION {"citationID":"V0nSRB0r","properties":{"formattedCitation":"(Kennedy et al., 2012)","plainCitation":"(Kennedy et al., 2012)","noteIndex":0},"citationItems":[{"id":120,"uris":["http://zotero.org/users/2484452/items/XKJGI8H4"],"uri":["http://zotero.org/users/2484452/items/XKJGI8H4"],"itemData":{"id":120,"type":"article-journal","abstract":"The efficient generation of hematopoietic stem cells from human pluripotent stem cells is dependent on the appropriate specification of the definitive hematopoietic program during differentiation. In this study, we used T lymphocyte potential to track the onset of definitive hematopoiesis from human embryonic and induced pluripotent stem cells differentiated with specific morphogens in serum- and stromal-free cultures. We show that this program develops from a progenitor population with characteristics of hemogenic endothelium, including the expression of CD34, VE-cadherin, GATA2, LMO2, and RUNX1. Along with T cells, these progenitors display the capacity to generate myeloid and erythroid cells. Manipulation of Activin/Nodal signaling during early stages of differentiation revealed that development of the definitive hematopoietic progenitor population is not dependent on this pathway, distinguishing it from primitive hematopoiesis. Collectively, these findings demonstrate that it is possible to generate T lymphoid progenitors from pluripotent stem cells and that this lineage develops from a population whose emergence marks the onset of human definitive hematopoiesis.","container-title":"Cell Reports","DOI":"10.1016/j.celrep.2012.11.003","ISSN":"2211-1247","issue":"6","journalAbbreviation":"Cell Rep","language":"eng","note":"PMID: 23219550","page":"1722-1735","source":"PubMed","title":"T lymphocyte potential marks the emergence of definitive hematopoietic progenitors in human pluripotent stem cell differentiation cultures","volume":"2","author":[{"family":"Kennedy","given":"Marion"},{"family":"Awong","given":"Geneve"},{"family":"Sturgeon","given":"Christopher M."},{"family":"Ditadi","given":"Andrea"},{"family":"LaMotte-Mohs","given":"Ross"},{"family":"Zúñiga-Pflücker","given":"Juan Carlos"},{"family":"Keller","given":"Gordon"}],"issued":{"date-parts":[["2012",12,27]]}}}],"schema":"https://github.com/citation-style-language/schema/raw/master/csl-citation.json"} </w:instrText>
      </w:r>
      <w:r w:rsidR="00CD0378" w:rsidRPr="003A5293">
        <w:rPr>
          <w:rFonts w:ascii="Arial" w:hAnsi="Arial" w:cs="Arial"/>
          <w:sz w:val="22"/>
          <w:szCs w:val="22"/>
          <w:lang w:val="en-US"/>
        </w:rPr>
        <w:fldChar w:fldCharType="separate"/>
      </w:r>
      <w:r w:rsidR="00CD0378" w:rsidRPr="003A5293">
        <w:rPr>
          <w:rFonts w:ascii="Arial" w:hAnsi="Arial" w:cs="Arial"/>
          <w:noProof/>
          <w:sz w:val="22"/>
          <w:szCs w:val="22"/>
          <w:lang w:val="en-US"/>
        </w:rPr>
        <w:t>(Kennedy et al., 2012)</w:t>
      </w:r>
      <w:r w:rsidR="00CD0378" w:rsidRPr="003A5293">
        <w:rPr>
          <w:rFonts w:ascii="Arial" w:hAnsi="Arial" w:cs="Arial"/>
          <w:sz w:val="22"/>
          <w:szCs w:val="22"/>
          <w:lang w:val="en-US"/>
        </w:rPr>
        <w:fldChar w:fldCharType="end"/>
      </w:r>
      <w:r w:rsidR="00CD0378" w:rsidRPr="003A5293">
        <w:rPr>
          <w:rFonts w:ascii="Arial" w:hAnsi="Arial" w:cs="Arial"/>
          <w:sz w:val="22"/>
          <w:szCs w:val="22"/>
          <w:lang w:val="en-US"/>
        </w:rPr>
        <w:t>.</w:t>
      </w:r>
      <w:r w:rsidRPr="003A5293">
        <w:rPr>
          <w:rFonts w:ascii="Arial" w:hAnsi="Arial" w:cs="Arial"/>
          <w:sz w:val="22"/>
          <w:szCs w:val="22"/>
          <w:lang w:val="en-US"/>
        </w:rPr>
        <w:t xml:space="preserve"> </w:t>
      </w:r>
      <w:r w:rsidR="00CD0378" w:rsidRPr="003A5293">
        <w:rPr>
          <w:rFonts w:ascii="Arial" w:hAnsi="Arial" w:cs="Arial"/>
          <w:sz w:val="22"/>
          <w:szCs w:val="22"/>
          <w:lang w:val="en-US"/>
        </w:rPr>
        <w:t>To</w:t>
      </w:r>
      <w:r w:rsidRPr="003A5293">
        <w:rPr>
          <w:rFonts w:ascii="Arial" w:hAnsi="Arial" w:cs="Arial"/>
          <w:sz w:val="22"/>
          <w:szCs w:val="22"/>
          <w:lang w:val="en-US"/>
        </w:rPr>
        <w:t xml:space="preserve"> generate embryoid bodies (EBs), pre-split, iPSCs </w:t>
      </w:r>
      <w:r w:rsidR="00CD0378" w:rsidRPr="003A5293">
        <w:rPr>
          <w:rFonts w:ascii="Arial" w:hAnsi="Arial" w:cs="Arial"/>
          <w:sz w:val="22"/>
          <w:szCs w:val="22"/>
          <w:lang w:val="en-US"/>
        </w:rPr>
        <w:t xml:space="preserve">colonies were partially dissociated by </w:t>
      </w:r>
      <w:r w:rsidR="00433509" w:rsidRPr="003A5293">
        <w:rPr>
          <w:rFonts w:ascii="Arial" w:hAnsi="Arial" w:cs="Arial"/>
          <w:sz w:val="22"/>
          <w:szCs w:val="22"/>
          <w:lang w:val="en-US"/>
        </w:rPr>
        <w:t>incubating with</w:t>
      </w:r>
      <w:r w:rsidR="00CD0378" w:rsidRPr="003A5293">
        <w:rPr>
          <w:rFonts w:ascii="Arial" w:hAnsi="Arial" w:cs="Arial"/>
          <w:sz w:val="22"/>
          <w:szCs w:val="22"/>
          <w:lang w:val="en-US"/>
        </w:rPr>
        <w:t xml:space="preserve"> </w:t>
      </w:r>
      <w:r w:rsidRPr="003A5293">
        <w:rPr>
          <w:rFonts w:ascii="Arial" w:hAnsi="Arial" w:cs="Arial"/>
          <w:sz w:val="22"/>
          <w:szCs w:val="22"/>
          <w:lang w:val="en-US"/>
        </w:rPr>
        <w:t xml:space="preserve">Collagenase B </w:t>
      </w:r>
      <w:r w:rsidR="00433509" w:rsidRPr="003A5293">
        <w:rPr>
          <w:rFonts w:ascii="Arial" w:hAnsi="Arial" w:cs="Arial"/>
          <w:sz w:val="22"/>
          <w:szCs w:val="22"/>
          <w:lang w:val="en-US"/>
        </w:rPr>
        <w:t xml:space="preserve">solution </w:t>
      </w:r>
      <w:r w:rsidRPr="003A5293">
        <w:rPr>
          <w:rFonts w:ascii="Arial" w:hAnsi="Arial" w:cs="Arial"/>
          <w:sz w:val="22"/>
          <w:szCs w:val="22"/>
          <w:lang w:val="en-US"/>
        </w:rPr>
        <w:t>(</w:t>
      </w:r>
      <w:r w:rsidR="00CD0378" w:rsidRPr="003A5293">
        <w:rPr>
          <w:rFonts w:ascii="Arial" w:hAnsi="Arial" w:cs="Arial"/>
          <w:sz w:val="22"/>
          <w:szCs w:val="22"/>
          <w:lang w:val="en-US"/>
        </w:rPr>
        <w:t>1 mg/ml</w:t>
      </w:r>
      <w:r w:rsidR="00433509" w:rsidRPr="003A5293">
        <w:rPr>
          <w:rFonts w:ascii="Arial" w:hAnsi="Arial" w:cs="Arial"/>
          <w:sz w:val="22"/>
          <w:szCs w:val="22"/>
          <w:lang w:val="en-US"/>
        </w:rPr>
        <w:t xml:space="preserve"> in DMEM/F12</w:t>
      </w:r>
      <w:r w:rsidRPr="003A5293">
        <w:rPr>
          <w:rFonts w:ascii="Arial" w:hAnsi="Arial" w:cs="Arial"/>
          <w:sz w:val="22"/>
          <w:szCs w:val="22"/>
          <w:lang w:val="en-US"/>
        </w:rPr>
        <w:t>) for 10 min</w:t>
      </w:r>
      <w:r w:rsidR="00433509" w:rsidRPr="003A5293">
        <w:rPr>
          <w:rFonts w:ascii="Arial" w:hAnsi="Arial" w:cs="Arial"/>
          <w:sz w:val="22"/>
          <w:szCs w:val="22"/>
          <w:lang w:val="en-US"/>
        </w:rPr>
        <w:t xml:space="preserve"> at 37°C</w:t>
      </w:r>
      <w:r w:rsidRPr="003A5293">
        <w:rPr>
          <w:rFonts w:ascii="Arial" w:hAnsi="Arial" w:cs="Arial"/>
          <w:sz w:val="22"/>
          <w:szCs w:val="22"/>
          <w:lang w:val="en-US"/>
        </w:rPr>
        <w:t xml:space="preserve"> and 1 min by </w:t>
      </w:r>
      <w:proofErr w:type="spellStart"/>
      <w:r w:rsidRPr="003A5293">
        <w:rPr>
          <w:rFonts w:ascii="Arial" w:hAnsi="Arial" w:cs="Arial"/>
          <w:sz w:val="22"/>
          <w:szCs w:val="22"/>
          <w:lang w:val="en-US"/>
        </w:rPr>
        <w:t>TrypLE</w:t>
      </w:r>
      <w:proofErr w:type="spellEnd"/>
      <w:r w:rsidRPr="003A5293">
        <w:rPr>
          <w:rFonts w:ascii="Arial" w:hAnsi="Arial" w:cs="Arial"/>
          <w:sz w:val="22"/>
          <w:szCs w:val="22"/>
          <w:lang w:val="en-US"/>
        </w:rPr>
        <w:t xml:space="preserve"> select</w:t>
      </w:r>
      <w:r w:rsidR="00433509" w:rsidRPr="003A5293">
        <w:rPr>
          <w:rFonts w:ascii="Arial" w:hAnsi="Arial" w:cs="Arial"/>
          <w:sz w:val="22"/>
          <w:szCs w:val="22"/>
          <w:lang w:val="en-US"/>
        </w:rPr>
        <w:t xml:space="preserve"> enzymatic solution</w:t>
      </w:r>
      <w:r w:rsidRPr="003A5293">
        <w:rPr>
          <w:rFonts w:ascii="Arial" w:hAnsi="Arial" w:cs="Arial"/>
          <w:sz w:val="22"/>
          <w:szCs w:val="22"/>
          <w:lang w:val="en-US"/>
        </w:rPr>
        <w:t xml:space="preserve">. </w:t>
      </w:r>
      <w:r w:rsidR="00433509" w:rsidRPr="003A5293">
        <w:rPr>
          <w:rFonts w:ascii="Arial" w:hAnsi="Arial" w:cs="Arial"/>
          <w:sz w:val="22"/>
          <w:szCs w:val="22"/>
          <w:lang w:val="en-US"/>
        </w:rPr>
        <w:t xml:space="preserve">After removal of enzymes by </w:t>
      </w:r>
      <w:r w:rsidR="0061495E" w:rsidRPr="003A5293">
        <w:rPr>
          <w:rFonts w:ascii="Arial" w:hAnsi="Arial" w:cs="Arial"/>
          <w:sz w:val="22"/>
          <w:szCs w:val="22"/>
          <w:lang w:val="en-US"/>
        </w:rPr>
        <w:t>washing plates two times with basal DMEM/F12 media, g</w:t>
      </w:r>
      <w:r w:rsidRPr="003A5293">
        <w:rPr>
          <w:rFonts w:ascii="Arial" w:hAnsi="Arial" w:cs="Arial"/>
          <w:sz w:val="22"/>
          <w:szCs w:val="22"/>
          <w:lang w:val="en-US"/>
        </w:rPr>
        <w:t>ently scraped</w:t>
      </w:r>
      <w:r w:rsidR="00CD0378" w:rsidRPr="003A5293">
        <w:rPr>
          <w:rFonts w:ascii="Arial" w:hAnsi="Arial" w:cs="Arial"/>
          <w:sz w:val="22"/>
          <w:szCs w:val="22"/>
          <w:lang w:val="en-US"/>
        </w:rPr>
        <w:t>,</w:t>
      </w:r>
      <w:r w:rsidRPr="003A5293">
        <w:rPr>
          <w:rFonts w:ascii="Arial" w:hAnsi="Arial" w:cs="Arial"/>
          <w:sz w:val="22"/>
          <w:szCs w:val="22"/>
          <w:lang w:val="en-US"/>
        </w:rPr>
        <w:t xml:space="preserve"> small colon</w:t>
      </w:r>
      <w:r w:rsidR="00CD0378" w:rsidRPr="003A5293">
        <w:rPr>
          <w:rFonts w:ascii="Arial" w:hAnsi="Arial" w:cs="Arial"/>
          <w:sz w:val="22"/>
          <w:szCs w:val="22"/>
          <w:lang w:val="en-US"/>
        </w:rPr>
        <w:t>y</w:t>
      </w:r>
      <w:r w:rsidRPr="003A5293">
        <w:rPr>
          <w:rFonts w:ascii="Arial" w:hAnsi="Arial" w:cs="Arial"/>
          <w:sz w:val="22"/>
          <w:szCs w:val="22"/>
          <w:lang w:val="en-US"/>
        </w:rPr>
        <w:t xml:space="preserve"> fragments were</w:t>
      </w:r>
      <w:r w:rsidR="00CD0378" w:rsidRPr="003A5293">
        <w:rPr>
          <w:rFonts w:ascii="Arial" w:hAnsi="Arial" w:cs="Arial"/>
          <w:sz w:val="22"/>
          <w:szCs w:val="22"/>
          <w:lang w:val="en-US"/>
        </w:rPr>
        <w:t xml:space="preserve"> </w:t>
      </w:r>
      <w:r w:rsidRPr="003A5293">
        <w:rPr>
          <w:rFonts w:ascii="Arial" w:hAnsi="Arial" w:cs="Arial"/>
          <w:sz w:val="22"/>
          <w:szCs w:val="22"/>
          <w:lang w:val="en-US"/>
        </w:rPr>
        <w:t xml:space="preserve">resuspended in StemPro-34 SFM </w:t>
      </w:r>
      <w:r w:rsidR="00C37CCB" w:rsidRPr="003A5293">
        <w:rPr>
          <w:rFonts w:ascii="Arial" w:hAnsi="Arial" w:cs="Arial"/>
          <w:sz w:val="22"/>
          <w:szCs w:val="22"/>
          <w:lang w:val="en-US"/>
        </w:rPr>
        <w:t>supplemented with</w:t>
      </w:r>
      <w:r w:rsidR="00C37CCB" w:rsidRPr="003A5293">
        <w:rPr>
          <w:rFonts w:ascii="Arial" w:hAnsi="Arial" w:cs="Arial"/>
          <w:lang w:val="en-US"/>
        </w:rPr>
        <w:t xml:space="preserve"> </w:t>
      </w:r>
      <w:r w:rsidR="00C37CCB" w:rsidRPr="003A5293">
        <w:rPr>
          <w:rFonts w:ascii="Arial" w:hAnsi="Arial" w:cs="Arial"/>
          <w:sz w:val="22"/>
          <w:szCs w:val="22"/>
          <w:lang w:val="en-US"/>
        </w:rPr>
        <w:t>bone morphogenetic protein 4 (BMP-4; 10 ng/ml)</w:t>
      </w:r>
      <w:r w:rsidRPr="003A5293">
        <w:rPr>
          <w:rFonts w:ascii="Arial" w:hAnsi="Arial" w:cs="Arial"/>
          <w:sz w:val="22"/>
          <w:szCs w:val="22"/>
          <w:lang w:val="en-US"/>
        </w:rPr>
        <w:t>,</w:t>
      </w:r>
      <w:r w:rsidR="00C37CCB" w:rsidRPr="003A5293">
        <w:rPr>
          <w:rFonts w:ascii="Arial" w:hAnsi="Arial" w:cs="Arial"/>
          <w:sz w:val="22"/>
          <w:szCs w:val="22"/>
          <w:lang w:val="en-US"/>
        </w:rPr>
        <w:t xml:space="preserve"> Holo-transferrin (150 mg/ml), 1x </w:t>
      </w:r>
      <w:r w:rsidR="00C63AF8" w:rsidRPr="003A5293">
        <w:rPr>
          <w:rFonts w:ascii="Arial" w:hAnsi="Arial" w:cs="Arial"/>
          <w:sz w:val="22"/>
          <w:szCs w:val="22"/>
          <w:lang w:val="en-US"/>
        </w:rPr>
        <w:t>L</w:t>
      </w:r>
      <w:r w:rsidR="00C37CCB" w:rsidRPr="003A5293">
        <w:rPr>
          <w:rFonts w:ascii="Arial" w:hAnsi="Arial" w:cs="Arial"/>
          <w:sz w:val="22"/>
          <w:szCs w:val="22"/>
          <w:lang w:val="en-US"/>
        </w:rPr>
        <w:t>-glutamine</w:t>
      </w:r>
      <w:r w:rsidR="002A55A0" w:rsidRPr="003A5293">
        <w:rPr>
          <w:rFonts w:ascii="Arial" w:hAnsi="Arial" w:cs="Arial"/>
          <w:sz w:val="22"/>
          <w:szCs w:val="22"/>
          <w:lang w:val="en-US"/>
        </w:rPr>
        <w:t xml:space="preserve">, </w:t>
      </w:r>
      <w:r w:rsidR="00C37CCB" w:rsidRPr="003A5293">
        <w:rPr>
          <w:rFonts w:ascii="Arial" w:hAnsi="Arial" w:cs="Arial"/>
          <w:sz w:val="22"/>
          <w:szCs w:val="22"/>
          <w:lang w:val="en-US"/>
        </w:rPr>
        <w:t>1x penicillin-streptomycin</w:t>
      </w:r>
      <w:r w:rsidR="00C63AF8" w:rsidRPr="003A5293">
        <w:rPr>
          <w:rFonts w:ascii="Arial" w:hAnsi="Arial" w:cs="Arial"/>
          <w:sz w:val="22"/>
          <w:szCs w:val="22"/>
          <w:lang w:val="en-US"/>
        </w:rPr>
        <w:t>, L-ascorbic acid (1 mM), and monothioglycerol (4×10</w:t>
      </w:r>
      <w:r w:rsidR="00C63AF8" w:rsidRPr="003A5293">
        <w:rPr>
          <w:rFonts w:ascii="Arial" w:hAnsi="Arial" w:cs="Arial"/>
          <w:sz w:val="22"/>
          <w:szCs w:val="22"/>
          <w:vertAlign w:val="superscript"/>
          <w:lang w:val="en-US"/>
        </w:rPr>
        <w:t>−4</w:t>
      </w:r>
      <w:r w:rsidR="00C63AF8" w:rsidRPr="003A5293">
        <w:rPr>
          <w:rFonts w:ascii="Arial" w:hAnsi="Arial" w:cs="Arial"/>
          <w:sz w:val="22"/>
          <w:szCs w:val="22"/>
          <w:lang w:val="en-US"/>
        </w:rPr>
        <w:t xml:space="preserve"> M)</w:t>
      </w:r>
      <w:r w:rsidR="0061495E" w:rsidRPr="003A5293">
        <w:rPr>
          <w:rFonts w:ascii="Arial" w:hAnsi="Arial" w:cs="Arial"/>
          <w:sz w:val="22"/>
          <w:szCs w:val="22"/>
          <w:lang w:val="en-US"/>
        </w:rPr>
        <w:t>. Colonies fragments were then gently</w:t>
      </w:r>
      <w:r w:rsidRPr="003A5293">
        <w:rPr>
          <w:rFonts w:ascii="Arial" w:hAnsi="Arial" w:cs="Arial"/>
          <w:sz w:val="22"/>
          <w:szCs w:val="22"/>
          <w:lang w:val="en-US"/>
        </w:rPr>
        <w:t xml:space="preserve"> transferred to 6 well plate with Ultra-Low Attachment surface (Corning</w:t>
      </w:r>
      <w:r w:rsidR="00C63AF8" w:rsidRPr="003A5293">
        <w:rPr>
          <w:rFonts w:ascii="Arial" w:hAnsi="Arial" w:cs="Arial"/>
          <w:sz w:val="22"/>
          <w:szCs w:val="22"/>
          <w:lang w:val="en-US"/>
        </w:rPr>
        <w:t>, New York, USA</w:t>
      </w:r>
      <w:r w:rsidRPr="003A5293">
        <w:rPr>
          <w:rFonts w:ascii="Arial" w:hAnsi="Arial" w:cs="Arial"/>
          <w:sz w:val="22"/>
          <w:szCs w:val="22"/>
          <w:lang w:val="en-US"/>
        </w:rPr>
        <w:t xml:space="preserve">) </w:t>
      </w:r>
      <w:r w:rsidR="0061495E" w:rsidRPr="003A5293">
        <w:rPr>
          <w:rFonts w:ascii="Arial" w:hAnsi="Arial" w:cs="Arial"/>
          <w:sz w:val="22"/>
          <w:szCs w:val="22"/>
          <w:lang w:val="en-US"/>
        </w:rPr>
        <w:t xml:space="preserve">to aggregate into EBs </w:t>
      </w:r>
      <w:r w:rsidRPr="003A5293">
        <w:rPr>
          <w:rFonts w:ascii="Arial" w:hAnsi="Arial" w:cs="Arial"/>
          <w:sz w:val="22"/>
          <w:szCs w:val="22"/>
          <w:lang w:val="en-US"/>
        </w:rPr>
        <w:t>under hypoxic conditions (90% N2, 5% CO2 and 5% O2) at 37°C (day 0).</w:t>
      </w:r>
      <w:r w:rsidR="00C63AF8" w:rsidRPr="003A5293">
        <w:rPr>
          <w:rFonts w:ascii="Arial" w:hAnsi="Arial" w:cs="Arial"/>
          <w:sz w:val="22"/>
          <w:szCs w:val="22"/>
          <w:lang w:val="en-US"/>
        </w:rPr>
        <w:t xml:space="preserve"> Cytokines for directed </w:t>
      </w:r>
      <w:r w:rsidR="002E51C4" w:rsidRPr="003A5293">
        <w:rPr>
          <w:rFonts w:ascii="Arial" w:hAnsi="Arial" w:cs="Arial"/>
          <w:sz w:val="22"/>
          <w:szCs w:val="22"/>
          <w:lang w:val="en-US"/>
        </w:rPr>
        <w:t xml:space="preserve">hematopoietic </w:t>
      </w:r>
      <w:r w:rsidR="00C63AF8" w:rsidRPr="003A5293">
        <w:rPr>
          <w:rFonts w:ascii="Arial" w:hAnsi="Arial" w:cs="Arial"/>
          <w:sz w:val="22"/>
          <w:szCs w:val="22"/>
          <w:lang w:val="en-US"/>
        </w:rPr>
        <w:t xml:space="preserve">differentiation were then added </w:t>
      </w:r>
      <w:r w:rsidR="0061495E" w:rsidRPr="003A5293">
        <w:rPr>
          <w:rFonts w:ascii="Arial" w:hAnsi="Arial" w:cs="Arial"/>
          <w:sz w:val="22"/>
          <w:szCs w:val="22"/>
          <w:lang w:val="en-US"/>
        </w:rPr>
        <w:t xml:space="preserve">directly to the media </w:t>
      </w:r>
      <w:r w:rsidR="00C63AF8" w:rsidRPr="003A5293">
        <w:rPr>
          <w:rFonts w:ascii="Arial" w:hAnsi="Arial" w:cs="Arial"/>
          <w:sz w:val="22"/>
          <w:szCs w:val="22"/>
          <w:lang w:val="en-US"/>
        </w:rPr>
        <w:t>as follows:</w:t>
      </w:r>
      <w:r w:rsidRPr="003A5293">
        <w:rPr>
          <w:rFonts w:ascii="Arial" w:hAnsi="Arial" w:cs="Arial"/>
          <w:sz w:val="22"/>
          <w:szCs w:val="22"/>
          <w:lang w:val="en-US"/>
        </w:rPr>
        <w:t xml:space="preserve"> </w:t>
      </w:r>
      <w:r w:rsidR="00C63AF8" w:rsidRPr="003A5293">
        <w:rPr>
          <w:rFonts w:ascii="Arial" w:hAnsi="Arial" w:cs="Arial"/>
          <w:sz w:val="22"/>
          <w:szCs w:val="22"/>
          <w:lang w:val="en-US"/>
        </w:rPr>
        <w:t>day 1 - FGF-Basic</w:t>
      </w:r>
      <w:r w:rsidRPr="003A5293">
        <w:rPr>
          <w:rFonts w:ascii="Arial" w:hAnsi="Arial" w:cs="Arial"/>
          <w:sz w:val="22"/>
          <w:szCs w:val="22"/>
          <w:lang w:val="en-US"/>
        </w:rPr>
        <w:t xml:space="preserve"> (5 ng/ml)</w:t>
      </w:r>
      <w:r w:rsidR="00E34EE0" w:rsidRPr="003A5293">
        <w:rPr>
          <w:rFonts w:ascii="Arial" w:hAnsi="Arial" w:cs="Arial"/>
          <w:sz w:val="22"/>
          <w:szCs w:val="22"/>
          <w:lang w:val="en-US"/>
        </w:rPr>
        <w:t>; day 2 -</w:t>
      </w:r>
      <w:r w:rsidRPr="003A5293">
        <w:rPr>
          <w:rFonts w:ascii="Arial" w:hAnsi="Arial" w:cs="Arial"/>
          <w:sz w:val="22"/>
          <w:szCs w:val="22"/>
          <w:lang w:val="en-US"/>
        </w:rPr>
        <w:t xml:space="preserve"> Activin A (3 ng/ml)</w:t>
      </w:r>
      <w:r w:rsidR="00E34EE0" w:rsidRPr="003A5293">
        <w:rPr>
          <w:rFonts w:ascii="Arial" w:hAnsi="Arial" w:cs="Arial"/>
          <w:sz w:val="22"/>
          <w:szCs w:val="22"/>
          <w:lang w:val="en-US"/>
        </w:rPr>
        <w:t>; day 4 - medium exchange for fresh StemPro-34 SFM with Holo-transferrin (150 mg/ml)</w:t>
      </w:r>
      <w:r w:rsidR="002E51C4" w:rsidRPr="003A5293">
        <w:rPr>
          <w:rFonts w:ascii="Arial" w:hAnsi="Arial" w:cs="Arial"/>
          <w:sz w:val="22"/>
          <w:szCs w:val="22"/>
          <w:lang w:val="en-US"/>
        </w:rPr>
        <w:t>,</w:t>
      </w:r>
      <w:r w:rsidR="00E34EE0" w:rsidRPr="003A5293">
        <w:rPr>
          <w:rFonts w:ascii="Arial" w:hAnsi="Arial" w:cs="Arial"/>
          <w:sz w:val="22"/>
          <w:szCs w:val="22"/>
          <w:lang w:val="en-US"/>
        </w:rPr>
        <w:t xml:space="preserve"> </w:t>
      </w:r>
      <w:r w:rsidR="002E51C4" w:rsidRPr="003A5293">
        <w:rPr>
          <w:rFonts w:ascii="Arial" w:hAnsi="Arial" w:cs="Arial"/>
          <w:sz w:val="22"/>
          <w:szCs w:val="22"/>
          <w:lang w:val="en-US"/>
        </w:rPr>
        <w:t xml:space="preserve">FGF-Basic (5 ng/ml), vascular endothelial growth factor </w:t>
      </w:r>
      <w:r w:rsidRPr="003A5293">
        <w:rPr>
          <w:rFonts w:ascii="Arial" w:hAnsi="Arial" w:cs="Arial"/>
          <w:sz w:val="22"/>
          <w:szCs w:val="22"/>
          <w:lang w:val="en-US"/>
        </w:rPr>
        <w:t>(</w:t>
      </w:r>
      <w:r w:rsidR="002E51C4" w:rsidRPr="003A5293">
        <w:rPr>
          <w:rFonts w:ascii="Arial" w:hAnsi="Arial" w:cs="Arial"/>
          <w:sz w:val="22"/>
          <w:szCs w:val="22"/>
          <w:lang w:val="en-US"/>
        </w:rPr>
        <w:t xml:space="preserve">VEGF, </w:t>
      </w:r>
      <w:r w:rsidRPr="003A5293">
        <w:rPr>
          <w:rFonts w:ascii="Arial" w:hAnsi="Arial" w:cs="Arial"/>
          <w:sz w:val="22"/>
          <w:szCs w:val="22"/>
          <w:lang w:val="en-US"/>
        </w:rPr>
        <w:t xml:space="preserve">15 ng/ml), </w:t>
      </w:r>
      <w:proofErr w:type="spellStart"/>
      <w:r w:rsidR="002E51C4" w:rsidRPr="003A5293">
        <w:rPr>
          <w:rFonts w:ascii="Arial" w:hAnsi="Arial" w:cs="Arial"/>
          <w:sz w:val="22"/>
          <w:szCs w:val="22"/>
          <w:lang w:val="en-US"/>
        </w:rPr>
        <w:t>dickkopf</w:t>
      </w:r>
      <w:proofErr w:type="spellEnd"/>
      <w:r w:rsidR="002E51C4" w:rsidRPr="003A5293">
        <w:rPr>
          <w:rFonts w:ascii="Arial" w:hAnsi="Arial" w:cs="Arial"/>
          <w:sz w:val="22"/>
          <w:szCs w:val="22"/>
          <w:lang w:val="en-US"/>
        </w:rPr>
        <w:t xml:space="preserve">-related protein 1 </w:t>
      </w:r>
      <w:r w:rsidRPr="003A5293">
        <w:rPr>
          <w:rFonts w:ascii="Arial" w:hAnsi="Arial" w:cs="Arial"/>
          <w:sz w:val="22"/>
          <w:szCs w:val="22"/>
          <w:lang w:val="en-US"/>
        </w:rPr>
        <w:t>(</w:t>
      </w:r>
      <w:r w:rsidR="002E51C4" w:rsidRPr="003A5293">
        <w:rPr>
          <w:rFonts w:ascii="Arial" w:hAnsi="Arial" w:cs="Arial"/>
          <w:sz w:val="22"/>
          <w:szCs w:val="22"/>
          <w:lang w:val="en-US"/>
        </w:rPr>
        <w:t xml:space="preserve">DKK-1, </w:t>
      </w:r>
      <w:r w:rsidRPr="003A5293">
        <w:rPr>
          <w:rFonts w:ascii="Arial" w:hAnsi="Arial" w:cs="Arial"/>
          <w:sz w:val="22"/>
          <w:szCs w:val="22"/>
          <w:lang w:val="en-US"/>
        </w:rPr>
        <w:t xml:space="preserve">150 ng/ml), </w:t>
      </w:r>
      <w:r w:rsidR="002E51C4" w:rsidRPr="003A5293">
        <w:rPr>
          <w:rFonts w:ascii="Arial" w:hAnsi="Arial" w:cs="Arial"/>
          <w:sz w:val="22"/>
          <w:szCs w:val="22"/>
          <w:lang w:val="en-US"/>
        </w:rPr>
        <w:t>interleukin 6</w:t>
      </w:r>
      <w:r w:rsidRPr="003A5293">
        <w:rPr>
          <w:rFonts w:ascii="Arial" w:hAnsi="Arial" w:cs="Arial"/>
          <w:sz w:val="22"/>
          <w:szCs w:val="22"/>
          <w:lang w:val="en-US"/>
        </w:rPr>
        <w:t xml:space="preserve"> (</w:t>
      </w:r>
      <w:r w:rsidR="002E51C4" w:rsidRPr="003A5293">
        <w:rPr>
          <w:rFonts w:ascii="Arial" w:hAnsi="Arial" w:cs="Arial"/>
          <w:sz w:val="22"/>
          <w:szCs w:val="22"/>
          <w:lang w:val="en-US"/>
        </w:rPr>
        <w:t xml:space="preserve">IL-6, </w:t>
      </w:r>
      <w:r w:rsidRPr="003A5293">
        <w:rPr>
          <w:rFonts w:ascii="Arial" w:hAnsi="Arial" w:cs="Arial"/>
          <w:sz w:val="22"/>
          <w:szCs w:val="22"/>
          <w:lang w:val="en-US"/>
        </w:rPr>
        <w:t xml:space="preserve">10 ng/ml), </w:t>
      </w:r>
      <w:r w:rsidR="002E51C4" w:rsidRPr="003A5293">
        <w:rPr>
          <w:rFonts w:ascii="Arial" w:hAnsi="Arial" w:cs="Arial"/>
          <w:sz w:val="22"/>
          <w:szCs w:val="22"/>
          <w:lang w:val="en-US"/>
        </w:rPr>
        <w:t xml:space="preserve">Insulin-like growth factor 1 </w:t>
      </w:r>
      <w:r w:rsidRPr="003A5293">
        <w:rPr>
          <w:rFonts w:ascii="Arial" w:hAnsi="Arial" w:cs="Arial"/>
          <w:sz w:val="22"/>
          <w:szCs w:val="22"/>
          <w:lang w:val="en-US"/>
        </w:rPr>
        <w:t>(</w:t>
      </w:r>
      <w:r w:rsidR="002E51C4" w:rsidRPr="003A5293">
        <w:rPr>
          <w:rFonts w:ascii="Arial" w:hAnsi="Arial" w:cs="Arial"/>
          <w:sz w:val="22"/>
          <w:szCs w:val="22"/>
          <w:lang w:val="en-US"/>
        </w:rPr>
        <w:t xml:space="preserve">IGF-1, </w:t>
      </w:r>
      <w:r w:rsidRPr="003A5293">
        <w:rPr>
          <w:rFonts w:ascii="Arial" w:hAnsi="Arial" w:cs="Arial"/>
          <w:sz w:val="22"/>
          <w:szCs w:val="22"/>
          <w:lang w:val="en-US"/>
        </w:rPr>
        <w:t>25 ng/ml)</w:t>
      </w:r>
      <w:r w:rsidR="002E51C4" w:rsidRPr="003A5293">
        <w:rPr>
          <w:rFonts w:ascii="Arial" w:hAnsi="Arial" w:cs="Arial"/>
          <w:sz w:val="22"/>
          <w:szCs w:val="22"/>
          <w:lang w:val="en-US"/>
        </w:rPr>
        <w:t xml:space="preserve"> and interleukin 11</w:t>
      </w:r>
      <w:r w:rsidRPr="003A5293">
        <w:rPr>
          <w:rFonts w:ascii="Arial" w:hAnsi="Arial" w:cs="Arial"/>
          <w:sz w:val="22"/>
          <w:szCs w:val="22"/>
          <w:lang w:val="en-US"/>
        </w:rPr>
        <w:t xml:space="preserve"> (</w:t>
      </w:r>
      <w:r w:rsidR="002E51C4" w:rsidRPr="003A5293">
        <w:rPr>
          <w:rFonts w:ascii="Arial" w:hAnsi="Arial" w:cs="Arial"/>
          <w:sz w:val="22"/>
          <w:szCs w:val="22"/>
          <w:lang w:val="en-US"/>
        </w:rPr>
        <w:t xml:space="preserve">IL-11, </w:t>
      </w:r>
      <w:r w:rsidRPr="003A5293">
        <w:rPr>
          <w:rFonts w:ascii="Arial" w:hAnsi="Arial" w:cs="Arial"/>
          <w:sz w:val="22"/>
          <w:szCs w:val="22"/>
          <w:lang w:val="en-US"/>
        </w:rPr>
        <w:t>5 ng/ml)</w:t>
      </w:r>
      <w:r w:rsidR="002E51C4" w:rsidRPr="003A5293">
        <w:rPr>
          <w:rFonts w:ascii="Arial" w:hAnsi="Arial" w:cs="Arial"/>
          <w:sz w:val="22"/>
          <w:szCs w:val="22"/>
          <w:lang w:val="en-US"/>
        </w:rPr>
        <w:t>; day 6 –</w:t>
      </w:r>
      <w:r w:rsidRPr="003A5293">
        <w:rPr>
          <w:rFonts w:ascii="Arial" w:hAnsi="Arial" w:cs="Arial"/>
          <w:sz w:val="22"/>
          <w:szCs w:val="22"/>
          <w:lang w:val="en-US"/>
        </w:rPr>
        <w:t xml:space="preserve"> </w:t>
      </w:r>
      <w:r w:rsidR="002E51C4" w:rsidRPr="003A5293">
        <w:rPr>
          <w:rFonts w:ascii="Arial" w:hAnsi="Arial" w:cs="Arial"/>
          <w:sz w:val="22"/>
          <w:szCs w:val="22"/>
          <w:lang w:val="en-US"/>
        </w:rPr>
        <w:t>stem cell factor</w:t>
      </w:r>
      <w:r w:rsidRPr="003A5293">
        <w:rPr>
          <w:rFonts w:ascii="Arial" w:hAnsi="Arial" w:cs="Arial"/>
          <w:sz w:val="22"/>
          <w:szCs w:val="22"/>
          <w:lang w:val="en-US"/>
        </w:rPr>
        <w:t xml:space="preserve"> (</w:t>
      </w:r>
      <w:r w:rsidR="002E51C4" w:rsidRPr="003A5293">
        <w:rPr>
          <w:rFonts w:ascii="Arial" w:hAnsi="Arial" w:cs="Arial"/>
          <w:sz w:val="22"/>
          <w:szCs w:val="22"/>
          <w:lang w:val="en-US"/>
        </w:rPr>
        <w:t xml:space="preserve">SCF, </w:t>
      </w:r>
      <w:r w:rsidRPr="003A5293">
        <w:rPr>
          <w:rFonts w:ascii="Arial" w:hAnsi="Arial" w:cs="Arial"/>
          <w:sz w:val="22"/>
          <w:szCs w:val="22"/>
          <w:lang w:val="en-US"/>
        </w:rPr>
        <w:t xml:space="preserve">50 ng/ml), </w:t>
      </w:r>
      <w:r w:rsidR="002E51C4" w:rsidRPr="003A5293">
        <w:rPr>
          <w:rFonts w:ascii="Arial" w:hAnsi="Arial" w:cs="Arial"/>
          <w:sz w:val="22"/>
          <w:szCs w:val="22"/>
          <w:lang w:val="en-US"/>
        </w:rPr>
        <w:t>erythropoietin</w:t>
      </w:r>
      <w:r w:rsidRPr="003A5293">
        <w:rPr>
          <w:rFonts w:ascii="Arial" w:hAnsi="Arial" w:cs="Arial"/>
          <w:sz w:val="22"/>
          <w:szCs w:val="22"/>
          <w:lang w:val="en-US"/>
        </w:rPr>
        <w:t xml:space="preserve"> (</w:t>
      </w:r>
      <w:r w:rsidR="002E51C4" w:rsidRPr="003A5293">
        <w:rPr>
          <w:rFonts w:ascii="Arial" w:hAnsi="Arial" w:cs="Arial"/>
          <w:sz w:val="22"/>
          <w:szCs w:val="22"/>
          <w:lang w:val="en-US"/>
        </w:rPr>
        <w:t xml:space="preserve">EPO, </w:t>
      </w:r>
      <w:r w:rsidRPr="003A5293">
        <w:rPr>
          <w:rFonts w:ascii="Arial" w:hAnsi="Arial" w:cs="Arial"/>
          <w:sz w:val="22"/>
          <w:szCs w:val="22"/>
          <w:lang w:val="en-US"/>
        </w:rPr>
        <w:t xml:space="preserve">2 U/ml final), </w:t>
      </w:r>
      <w:r w:rsidR="002E51C4" w:rsidRPr="003A5293">
        <w:rPr>
          <w:rFonts w:ascii="Arial" w:hAnsi="Arial" w:cs="Arial"/>
          <w:sz w:val="22"/>
          <w:szCs w:val="22"/>
          <w:lang w:val="en-US"/>
        </w:rPr>
        <w:t>thrombopoietin</w:t>
      </w:r>
      <w:r w:rsidRPr="003A5293">
        <w:rPr>
          <w:rFonts w:ascii="Arial" w:hAnsi="Arial" w:cs="Arial"/>
          <w:sz w:val="22"/>
          <w:szCs w:val="22"/>
          <w:lang w:val="en-US"/>
        </w:rPr>
        <w:t xml:space="preserve"> (</w:t>
      </w:r>
      <w:r w:rsidR="002E51C4" w:rsidRPr="003A5293">
        <w:rPr>
          <w:rFonts w:ascii="Arial" w:hAnsi="Arial" w:cs="Arial"/>
          <w:sz w:val="22"/>
          <w:szCs w:val="22"/>
          <w:lang w:val="en-US"/>
        </w:rPr>
        <w:t xml:space="preserve">TPO, </w:t>
      </w:r>
      <w:r w:rsidRPr="003A5293">
        <w:rPr>
          <w:rFonts w:ascii="Arial" w:hAnsi="Arial" w:cs="Arial"/>
          <w:sz w:val="22"/>
          <w:szCs w:val="22"/>
          <w:lang w:val="en-US"/>
        </w:rPr>
        <w:t xml:space="preserve">30 ng/ml), </w:t>
      </w:r>
      <w:r w:rsidR="002E51C4" w:rsidRPr="003A5293">
        <w:rPr>
          <w:rFonts w:ascii="Arial" w:hAnsi="Arial" w:cs="Arial"/>
          <w:sz w:val="22"/>
          <w:szCs w:val="22"/>
          <w:lang w:val="en-US"/>
        </w:rPr>
        <w:t>interleukin 3</w:t>
      </w:r>
      <w:r w:rsidRPr="003A5293">
        <w:rPr>
          <w:rFonts w:ascii="Arial" w:hAnsi="Arial" w:cs="Arial"/>
          <w:sz w:val="22"/>
          <w:szCs w:val="22"/>
          <w:lang w:val="en-US"/>
        </w:rPr>
        <w:t xml:space="preserve"> (</w:t>
      </w:r>
      <w:r w:rsidR="002E51C4" w:rsidRPr="003A5293">
        <w:rPr>
          <w:rFonts w:ascii="Arial" w:hAnsi="Arial" w:cs="Arial"/>
          <w:sz w:val="22"/>
          <w:szCs w:val="22"/>
          <w:lang w:val="en-US"/>
        </w:rPr>
        <w:t xml:space="preserve">IL-3, </w:t>
      </w:r>
      <w:r w:rsidRPr="003A5293">
        <w:rPr>
          <w:rFonts w:ascii="Arial" w:hAnsi="Arial" w:cs="Arial"/>
          <w:sz w:val="22"/>
          <w:szCs w:val="22"/>
          <w:lang w:val="en-US"/>
        </w:rPr>
        <w:t xml:space="preserve">30 ng/ml), and </w:t>
      </w:r>
      <w:proofErr w:type="spellStart"/>
      <w:r w:rsidR="002E51C4" w:rsidRPr="003A5293">
        <w:rPr>
          <w:rFonts w:ascii="Arial" w:hAnsi="Arial" w:cs="Arial"/>
          <w:sz w:val="22"/>
          <w:szCs w:val="22"/>
          <w:lang w:val="en-US"/>
        </w:rPr>
        <w:t>Fms</w:t>
      </w:r>
      <w:proofErr w:type="spellEnd"/>
      <w:r w:rsidR="002E51C4" w:rsidRPr="003A5293">
        <w:rPr>
          <w:rFonts w:ascii="Arial" w:hAnsi="Arial" w:cs="Arial"/>
          <w:sz w:val="22"/>
          <w:szCs w:val="22"/>
          <w:lang w:val="en-US"/>
        </w:rPr>
        <w:t xml:space="preserve">-related tyrosine kinase 3 ligand </w:t>
      </w:r>
      <w:r w:rsidRPr="003A5293">
        <w:rPr>
          <w:rFonts w:ascii="Arial" w:hAnsi="Arial" w:cs="Arial"/>
          <w:sz w:val="22"/>
          <w:szCs w:val="22"/>
          <w:lang w:val="en-US"/>
        </w:rPr>
        <w:t>(</w:t>
      </w:r>
      <w:r w:rsidR="002E51C4" w:rsidRPr="003A5293">
        <w:rPr>
          <w:rFonts w:ascii="Arial" w:hAnsi="Arial" w:cs="Arial"/>
          <w:sz w:val="22"/>
          <w:szCs w:val="22"/>
          <w:lang w:val="en-US"/>
        </w:rPr>
        <w:t xml:space="preserve">FLT3LG, </w:t>
      </w:r>
      <w:r w:rsidRPr="003A5293">
        <w:rPr>
          <w:rFonts w:ascii="Arial" w:hAnsi="Arial" w:cs="Arial"/>
          <w:sz w:val="22"/>
          <w:szCs w:val="22"/>
          <w:lang w:val="en-US"/>
        </w:rPr>
        <w:t>10 ng/ml)</w:t>
      </w:r>
      <w:r w:rsidR="002E51C4" w:rsidRPr="003A5293">
        <w:rPr>
          <w:rFonts w:ascii="Arial" w:hAnsi="Arial" w:cs="Arial"/>
          <w:sz w:val="22"/>
          <w:szCs w:val="22"/>
          <w:lang w:val="en-US"/>
        </w:rPr>
        <w:t xml:space="preserve">. </w:t>
      </w:r>
      <w:r w:rsidR="00C82BD9" w:rsidRPr="003A5293">
        <w:rPr>
          <w:rFonts w:ascii="Arial" w:hAnsi="Arial" w:cs="Arial"/>
          <w:sz w:val="22"/>
          <w:szCs w:val="22"/>
          <w:lang w:val="en-US"/>
        </w:rPr>
        <w:t>CD34</w:t>
      </w:r>
      <w:r w:rsidR="00C82BD9" w:rsidRPr="003A5293">
        <w:rPr>
          <w:rFonts w:ascii="Arial" w:hAnsi="Arial" w:cs="Arial"/>
          <w:sz w:val="22"/>
          <w:szCs w:val="22"/>
          <w:vertAlign w:val="superscript"/>
          <w:lang w:val="en-US"/>
        </w:rPr>
        <w:t>+</w:t>
      </w:r>
      <w:r w:rsidR="00C82BD9" w:rsidRPr="003A5293">
        <w:rPr>
          <w:rFonts w:ascii="Arial" w:hAnsi="Arial" w:cs="Arial"/>
          <w:sz w:val="22"/>
          <w:szCs w:val="22"/>
          <w:lang w:val="en-US"/>
        </w:rPr>
        <w:t xml:space="preserve"> P-ECs were cultivated until day 9 when they were harvested</w:t>
      </w:r>
      <w:r w:rsidR="0061495E" w:rsidRPr="003A5293">
        <w:rPr>
          <w:rFonts w:ascii="Arial" w:hAnsi="Arial" w:cs="Arial"/>
          <w:sz w:val="22"/>
          <w:szCs w:val="22"/>
          <w:lang w:val="en-US"/>
        </w:rPr>
        <w:t xml:space="preserve"> by </w:t>
      </w:r>
      <w:proofErr w:type="spellStart"/>
      <w:r w:rsidR="0061495E" w:rsidRPr="003A5293">
        <w:rPr>
          <w:rFonts w:ascii="Arial" w:hAnsi="Arial" w:cs="Arial"/>
          <w:sz w:val="22"/>
          <w:szCs w:val="22"/>
          <w:lang w:val="en-US"/>
        </w:rPr>
        <w:t>centriguation</w:t>
      </w:r>
      <w:proofErr w:type="spellEnd"/>
      <w:r w:rsidR="00C82BD9" w:rsidRPr="003A5293">
        <w:rPr>
          <w:rFonts w:ascii="Arial" w:hAnsi="Arial" w:cs="Arial"/>
          <w:sz w:val="22"/>
          <w:szCs w:val="22"/>
          <w:lang w:val="en-US"/>
        </w:rPr>
        <w:t xml:space="preserve"> for down-stream analysis. </w:t>
      </w:r>
      <w:r w:rsidRPr="003A5293">
        <w:rPr>
          <w:rFonts w:ascii="Arial" w:hAnsi="Arial" w:cs="Arial"/>
          <w:sz w:val="22"/>
          <w:szCs w:val="22"/>
          <w:lang w:val="en-US"/>
        </w:rPr>
        <w:t>To test effects of inflammatory cytokines</w:t>
      </w:r>
      <w:r w:rsidR="00C82BD9" w:rsidRPr="003A5293">
        <w:rPr>
          <w:rFonts w:ascii="Arial" w:hAnsi="Arial" w:cs="Arial"/>
          <w:sz w:val="22"/>
          <w:szCs w:val="22"/>
          <w:lang w:val="en-US"/>
        </w:rPr>
        <w:t xml:space="preserve"> cultures in day 8 were supplemented with </w:t>
      </w:r>
      <w:r w:rsidR="003063BF" w:rsidRPr="003A5293">
        <w:rPr>
          <w:rFonts w:ascii="Arial" w:hAnsi="Arial" w:cs="Arial"/>
          <w:sz w:val="22"/>
          <w:szCs w:val="22"/>
          <w:lang w:val="en-US"/>
        </w:rPr>
        <w:t xml:space="preserve">interferon </w:t>
      </w:r>
      <w:r w:rsidR="00632EED" w:rsidRPr="003A5293">
        <w:rPr>
          <w:rFonts w:ascii="Arial" w:hAnsi="Arial" w:cs="Arial"/>
          <w:sz w:val="22"/>
          <w:szCs w:val="22"/>
          <w:lang w:val="en-US"/>
        </w:rPr>
        <w:t>gamma</w:t>
      </w:r>
      <w:r w:rsidRPr="003A5293">
        <w:rPr>
          <w:rFonts w:ascii="Arial" w:hAnsi="Arial" w:cs="Arial"/>
          <w:sz w:val="22"/>
          <w:szCs w:val="22"/>
          <w:lang w:val="en-US"/>
        </w:rPr>
        <w:t xml:space="preserve"> (</w:t>
      </w:r>
      <w:proofErr w:type="spellStart"/>
      <w:r w:rsidR="003063BF" w:rsidRPr="003A5293">
        <w:rPr>
          <w:rFonts w:ascii="Arial" w:hAnsi="Arial" w:cs="Arial"/>
          <w:sz w:val="22"/>
          <w:szCs w:val="22"/>
          <w:lang w:val="en-US"/>
        </w:rPr>
        <w:t>IFNγ</w:t>
      </w:r>
      <w:proofErr w:type="spellEnd"/>
      <w:r w:rsidR="003063BF" w:rsidRPr="003A5293">
        <w:rPr>
          <w:rFonts w:ascii="Arial" w:hAnsi="Arial" w:cs="Arial"/>
          <w:sz w:val="22"/>
          <w:szCs w:val="22"/>
          <w:lang w:val="en-US"/>
        </w:rPr>
        <w:t xml:space="preserve">, </w:t>
      </w:r>
      <w:r w:rsidRPr="003A5293">
        <w:rPr>
          <w:rFonts w:ascii="Arial" w:hAnsi="Arial" w:cs="Arial"/>
          <w:sz w:val="22"/>
          <w:szCs w:val="22"/>
          <w:lang w:val="en-US"/>
        </w:rPr>
        <w:t xml:space="preserve">100 U/ml), </w:t>
      </w:r>
      <w:r w:rsidR="003063BF" w:rsidRPr="003A5293">
        <w:rPr>
          <w:rFonts w:ascii="Arial" w:hAnsi="Arial" w:cs="Arial"/>
          <w:sz w:val="22"/>
          <w:szCs w:val="22"/>
          <w:lang w:val="en-US"/>
        </w:rPr>
        <w:t>tumor necrosis factor alpha (</w:t>
      </w:r>
      <w:r w:rsidRPr="003A5293">
        <w:rPr>
          <w:rFonts w:ascii="Arial" w:hAnsi="Arial" w:cs="Arial"/>
          <w:sz w:val="22"/>
          <w:szCs w:val="22"/>
          <w:lang w:val="en-US"/>
        </w:rPr>
        <w:t>TNFα</w:t>
      </w:r>
      <w:r w:rsidR="003063BF" w:rsidRPr="003A5293">
        <w:rPr>
          <w:rFonts w:ascii="Arial" w:hAnsi="Arial" w:cs="Arial"/>
          <w:sz w:val="22"/>
          <w:szCs w:val="22"/>
          <w:lang w:val="en-US"/>
        </w:rPr>
        <w:t xml:space="preserve">, </w:t>
      </w:r>
      <w:r w:rsidRPr="003A5293">
        <w:rPr>
          <w:rFonts w:ascii="Arial" w:hAnsi="Arial" w:cs="Arial"/>
          <w:sz w:val="22"/>
          <w:szCs w:val="22"/>
          <w:lang w:val="en-US"/>
        </w:rPr>
        <w:t>50ng/ml)</w:t>
      </w:r>
      <w:r w:rsidR="00632EED" w:rsidRPr="003A5293">
        <w:rPr>
          <w:rFonts w:ascii="Arial" w:hAnsi="Arial" w:cs="Arial"/>
          <w:sz w:val="22"/>
          <w:szCs w:val="22"/>
          <w:lang w:val="en-US"/>
        </w:rPr>
        <w:t>, transforming growth factor beta 1 (</w:t>
      </w:r>
      <w:r w:rsidRPr="003A5293">
        <w:rPr>
          <w:rFonts w:ascii="Arial" w:hAnsi="Arial" w:cs="Arial"/>
          <w:sz w:val="22"/>
          <w:szCs w:val="22"/>
          <w:lang w:val="en-US"/>
        </w:rPr>
        <w:t>TGFβ</w:t>
      </w:r>
      <w:r w:rsidR="00632EED" w:rsidRPr="003A5293">
        <w:rPr>
          <w:rFonts w:ascii="Arial" w:hAnsi="Arial" w:cs="Arial"/>
          <w:sz w:val="22"/>
          <w:szCs w:val="22"/>
          <w:lang w:val="en-US"/>
        </w:rPr>
        <w:t xml:space="preserve">1, </w:t>
      </w:r>
      <w:r w:rsidRPr="003A5293">
        <w:rPr>
          <w:rFonts w:ascii="Arial" w:hAnsi="Arial" w:cs="Arial"/>
          <w:sz w:val="22"/>
          <w:szCs w:val="22"/>
          <w:lang w:val="en-US"/>
        </w:rPr>
        <w:t>5 ng/ml)</w:t>
      </w:r>
      <w:r w:rsidR="00C82BD9" w:rsidRPr="003A5293">
        <w:rPr>
          <w:rFonts w:ascii="Arial" w:hAnsi="Arial" w:cs="Arial"/>
          <w:sz w:val="22"/>
          <w:szCs w:val="22"/>
          <w:lang w:val="en-US"/>
        </w:rPr>
        <w:t xml:space="preserve"> and cultivated until day 9.</w:t>
      </w:r>
    </w:p>
    <w:p w14:paraId="30ADEC51" w14:textId="5D8E3F0D" w:rsidR="00FB329F" w:rsidRPr="003A5293" w:rsidRDefault="00AF334E" w:rsidP="00FB329F">
      <w:pPr>
        <w:pStyle w:val="Formatvorlage1"/>
        <w:rPr>
          <w:rFonts w:cs="Arial"/>
        </w:rPr>
      </w:pPr>
      <w:bookmarkStart w:id="34" w:name="_Toc57582509"/>
      <w:r>
        <w:rPr>
          <w:rFonts w:cs="Arial"/>
        </w:rPr>
        <w:t>4.7</w:t>
      </w:r>
      <w:r w:rsidR="00FB329F" w:rsidRPr="003A5293">
        <w:rPr>
          <w:rFonts w:cs="Arial"/>
        </w:rPr>
        <w:t xml:space="preserve"> Generation of </w:t>
      </w:r>
      <w:r w:rsidR="00FB329F" w:rsidRPr="001B1DAC">
        <w:rPr>
          <w:rFonts w:cs="Arial"/>
          <w:i/>
          <w:iCs/>
        </w:rPr>
        <w:t>JAK2</w:t>
      </w:r>
      <w:r w:rsidR="00FB329F" w:rsidRPr="003A5293">
        <w:rPr>
          <w:rFonts w:cs="Arial"/>
        </w:rPr>
        <w:t>-corrected (</w:t>
      </w:r>
      <w:r w:rsidR="00FB329F" w:rsidRPr="001B1DAC">
        <w:rPr>
          <w:rFonts w:cs="Arial"/>
          <w:i/>
          <w:iCs/>
        </w:rPr>
        <w:t>JAK2</w:t>
      </w:r>
      <w:r w:rsidR="00FB329F" w:rsidRPr="003A5293">
        <w:rPr>
          <w:rFonts w:cs="Arial"/>
        </w:rPr>
        <w:t xml:space="preserve"> </w:t>
      </w:r>
      <w:proofErr w:type="spellStart"/>
      <w:r w:rsidR="00FB329F" w:rsidRPr="003A5293">
        <w:rPr>
          <w:rFonts w:cs="Arial"/>
        </w:rPr>
        <w:t>wt</w:t>
      </w:r>
      <w:proofErr w:type="spellEnd"/>
      <w:r w:rsidR="00FB329F" w:rsidRPr="003A5293">
        <w:rPr>
          <w:rFonts w:cs="Arial"/>
        </w:rPr>
        <w:t>) HEL cell line</w:t>
      </w:r>
      <w:bookmarkEnd w:id="34"/>
    </w:p>
    <w:p w14:paraId="1B4FAACF" w14:textId="77777777" w:rsidR="00E2346E" w:rsidRPr="003A5293" w:rsidRDefault="00E2346E" w:rsidP="00FB329F">
      <w:pPr>
        <w:spacing w:line="360" w:lineRule="auto"/>
        <w:jc w:val="both"/>
        <w:rPr>
          <w:rFonts w:ascii="Arial" w:hAnsi="Arial" w:cs="Arial"/>
          <w:sz w:val="22"/>
          <w:szCs w:val="22"/>
          <w:lang w:val="en-US"/>
        </w:rPr>
      </w:pPr>
    </w:p>
    <w:p w14:paraId="5A587BD6" w14:textId="77777777" w:rsidR="00FB329F" w:rsidRDefault="00F92B59" w:rsidP="00FB329F">
      <w:pPr>
        <w:spacing w:line="360" w:lineRule="auto"/>
        <w:jc w:val="both"/>
        <w:rPr>
          <w:rFonts w:ascii="Arial" w:hAnsi="Arial" w:cs="Arial"/>
          <w:sz w:val="22"/>
          <w:szCs w:val="22"/>
          <w:lang w:val="en-US"/>
        </w:rPr>
      </w:pPr>
      <w:r w:rsidRPr="003A5293">
        <w:rPr>
          <w:rFonts w:ascii="Arial" w:hAnsi="Arial" w:cs="Arial"/>
          <w:sz w:val="22"/>
          <w:szCs w:val="22"/>
          <w:lang w:val="en-US"/>
        </w:rPr>
        <w:t xml:space="preserve">Generation of </w:t>
      </w:r>
      <w:r w:rsidRPr="003A5293">
        <w:rPr>
          <w:rFonts w:ascii="Arial" w:hAnsi="Arial" w:cs="Arial"/>
          <w:i/>
          <w:iCs/>
          <w:sz w:val="22"/>
          <w:szCs w:val="22"/>
          <w:lang w:val="en-US"/>
        </w:rPr>
        <w:t>JAK2</w:t>
      </w:r>
      <w:r w:rsidRPr="003A5293">
        <w:rPr>
          <w:rFonts w:ascii="Arial" w:hAnsi="Arial" w:cs="Arial"/>
          <w:sz w:val="22"/>
          <w:szCs w:val="22"/>
          <w:lang w:val="en-US"/>
        </w:rPr>
        <w:t>-corrected (</w:t>
      </w:r>
      <w:r w:rsidRPr="003A5293">
        <w:rPr>
          <w:rFonts w:ascii="Arial" w:hAnsi="Arial" w:cs="Arial"/>
          <w:i/>
          <w:iCs/>
          <w:sz w:val="22"/>
          <w:szCs w:val="22"/>
          <w:lang w:val="en-US"/>
        </w:rPr>
        <w:t>JAK2</w:t>
      </w:r>
      <w:r w:rsidRPr="003A5293">
        <w:rPr>
          <w:rFonts w:ascii="Arial" w:hAnsi="Arial" w:cs="Arial"/>
          <w:sz w:val="22"/>
          <w:szCs w:val="22"/>
          <w:lang w:val="en-US"/>
        </w:rPr>
        <w:t xml:space="preserve"> </w:t>
      </w:r>
      <w:proofErr w:type="spellStart"/>
      <w:r w:rsidRPr="003A5293">
        <w:rPr>
          <w:rFonts w:ascii="Arial" w:hAnsi="Arial" w:cs="Arial"/>
          <w:sz w:val="22"/>
          <w:szCs w:val="22"/>
          <w:lang w:val="en-US"/>
        </w:rPr>
        <w:t>wt</w:t>
      </w:r>
      <w:proofErr w:type="spellEnd"/>
      <w:r w:rsidRPr="003A5293">
        <w:rPr>
          <w:rFonts w:ascii="Arial" w:hAnsi="Arial" w:cs="Arial"/>
          <w:sz w:val="22"/>
          <w:szCs w:val="22"/>
          <w:lang w:val="en-US"/>
        </w:rPr>
        <w:t xml:space="preserve">) HEL cell line was carried out by my colleague </w:t>
      </w:r>
      <w:r w:rsidR="00E66BEA" w:rsidRPr="003A5293">
        <w:rPr>
          <w:rFonts w:ascii="Arial" w:hAnsi="Arial" w:cs="Arial"/>
          <w:sz w:val="22"/>
          <w:szCs w:val="22"/>
          <w:lang w:val="en-US"/>
        </w:rPr>
        <w:t xml:space="preserve">Lucie </w:t>
      </w:r>
      <w:proofErr w:type="spellStart"/>
      <w:r w:rsidR="00E66BEA" w:rsidRPr="003A5293">
        <w:rPr>
          <w:rFonts w:ascii="Arial" w:hAnsi="Arial" w:cs="Arial"/>
          <w:sz w:val="22"/>
          <w:szCs w:val="22"/>
          <w:lang w:val="en-US"/>
        </w:rPr>
        <w:t>Láníková</w:t>
      </w:r>
      <w:proofErr w:type="spellEnd"/>
      <w:r w:rsidR="00E66BEA" w:rsidRPr="003A5293">
        <w:rPr>
          <w:rFonts w:ascii="Arial" w:hAnsi="Arial" w:cs="Arial"/>
          <w:sz w:val="22"/>
          <w:szCs w:val="22"/>
          <w:lang w:val="en-US"/>
        </w:rPr>
        <w:t xml:space="preserve">, Ph.D. </w:t>
      </w:r>
      <w:r w:rsidRPr="003A5293">
        <w:rPr>
          <w:rFonts w:ascii="Arial" w:hAnsi="Arial" w:cs="Arial"/>
          <w:sz w:val="22"/>
          <w:szCs w:val="22"/>
          <w:lang w:val="en-US"/>
        </w:rPr>
        <w:t>(</w:t>
      </w:r>
      <w:r w:rsidR="00E66BEA" w:rsidRPr="003A5293">
        <w:rPr>
          <w:rFonts w:ascii="Arial" w:hAnsi="Arial" w:cs="Arial"/>
          <w:sz w:val="22"/>
          <w:szCs w:val="22"/>
          <w:lang w:val="en-US"/>
        </w:rPr>
        <w:t xml:space="preserve">Department of Biology, Faculty of Medicine and Dentistry, </w:t>
      </w:r>
      <w:proofErr w:type="spellStart"/>
      <w:r w:rsidR="00E66BEA" w:rsidRPr="003A5293">
        <w:rPr>
          <w:rFonts w:ascii="Arial" w:hAnsi="Arial" w:cs="Arial"/>
          <w:sz w:val="22"/>
          <w:szCs w:val="22"/>
          <w:lang w:val="en-US"/>
        </w:rPr>
        <w:t>Palacky</w:t>
      </w:r>
      <w:proofErr w:type="spellEnd"/>
      <w:r w:rsidR="00E66BEA" w:rsidRPr="003A5293">
        <w:rPr>
          <w:rFonts w:ascii="Arial" w:hAnsi="Arial" w:cs="Arial"/>
          <w:sz w:val="22"/>
          <w:szCs w:val="22"/>
          <w:lang w:val="en-US"/>
        </w:rPr>
        <w:t xml:space="preserve"> University Olomouc; </w:t>
      </w:r>
      <w:r w:rsidRPr="003A5293">
        <w:rPr>
          <w:rFonts w:ascii="Arial" w:hAnsi="Arial" w:cs="Arial"/>
          <w:sz w:val="22"/>
          <w:szCs w:val="22"/>
          <w:lang w:val="en-US"/>
        </w:rPr>
        <w:t xml:space="preserve">Laboratory of Cell and Developmental Biology, Institute of Molecular Genetics of the ASCR, Prague; </w:t>
      </w:r>
      <w:r w:rsidRPr="003A5293">
        <w:rPr>
          <w:rFonts w:ascii="Arial" w:hAnsi="Arial" w:cs="Arial"/>
          <w:sz w:val="22"/>
          <w:szCs w:val="22"/>
          <w:lang w:val="en-US"/>
        </w:rPr>
        <w:fldChar w:fldCharType="begin"/>
      </w:r>
      <w:r w:rsidR="00B703ED" w:rsidRPr="003A5293">
        <w:rPr>
          <w:rFonts w:ascii="Arial" w:hAnsi="Arial" w:cs="Arial"/>
          <w:sz w:val="22"/>
          <w:szCs w:val="22"/>
          <w:lang w:val="en-US"/>
        </w:rPr>
        <w:instrText xml:space="preserve"> ADDIN ZOTERO_ITEM CSL_CITATION {"citationID":"14mdfW6T","properties":{"formattedCitation":"(Stetka et al., 2019)","plainCitation":"(Stetka et al., 2019)","noteIndex":0},"citationItems":[{"id":812,"uris":["http://zotero.org/users/2484452/items/7AKGISWX"],"uri":["http://zotero.org/users/2484452/items/7AKGISWX"],"itemData":{"id":812,"type":"article-journal","abstract":"Inflammatory and oncogenic signaling converge in disease evolution of BCR–ABL-negative myeloproliferative neoplasms, clonal hematopoietic stem cell disorders characterized by gain-of-function mutation in JAK2 kinase (JAK2V617F), with highest prevalence in patients with polycythemia vera (PV). Despite the high risk, DNA-damaging inflammatory microenvironment, PV progenitors tend to preserve their genomic stability over decades until their progression to post-PV myelofibrosis/acute myeloid leukemia. Using induced pluripotent stem cells-derived CD34+ progenitor-enriched cultures from JAK2V617F+ PV patient and from JAK2 wild-type healthy control, CRISPR-modified HEL cells and patients’ bone marrow sections from different disease stages, we demonstrate that JAK2V617F induces an intrinsic IFNγ- and NF-κB-associated inflammatory program, while suppressing inflammation-evoked DNA damage both in vitro and in vivo. We show that cells with JAK2V617F tightly regulate levels of inflammatory cytokines-induced reactive oxygen species, do not fully activate the ATM/p53/p21waf1 checkpoint and p38/JNK MAPK stress pathway signaling when exposed to inflammatory cytokines, suppress DNA single-strand break repair genes’ expression yet overexpress the dual-specificity phosphatase (DUSP) 1. RNAi-mediated knock-down and pharmacological inhibition of DUSP1, involved in p38/JNK deactivation, in HEL cells reveals growth addiction to DUSP1, consistent with enhanced DNA damage response and apoptosis in DUSP1-inhibited parental JAK2V617F+ cells, but not in CRISPR-modified JAK2 wild-type cells. Our results indicate that the JAK2V617F+ PV progenitors utilize DUSP1 activity as a protection mechanism against DNA damage accumulation, promoting their proliferation and survival in the inflammatory microenvironment, identifying DUSP1 as a potential therapeutic target in PV.","container-title":"Oncogene","DOI":"10.1038/s41388-019-0813-7","ISSN":"1476-5594","issue":"28","journalAbbreviation":"Oncogene","language":"en","page":"5627-5642","source":"www.nature.com","title":"Addiction to DUSP1 protects JAK2V617F-driven polycythemia vera progenitors against inflammatory stress and DNA damage, allowing chronic proliferation","volume":"38","author":[{"family":"Stetka","given":"J."},{"family":"Vyhlidalova","given":"P."},{"family":"Lanikova","given":"L."},{"family":"Koralkova","given":"P."},{"family":"Gursky","given":"J."},{"family":"Hlusi","given":"A."},{"family":"Flodr","given":"P."},{"family":"Hubackova","given":"S."},{"family":"Bartek","given":"J."},{"family":"Hodny","given":"Z."},{"family":"Divoky","given":"V."}],"issued":{"date-parts":[["2019",7]]}}}],"schema":"https://github.com/citation-style-language/schema/raw/master/csl-citation.json"} </w:instrText>
      </w:r>
      <w:r w:rsidRPr="003A5293">
        <w:rPr>
          <w:rFonts w:ascii="Arial" w:hAnsi="Arial" w:cs="Arial"/>
          <w:sz w:val="22"/>
          <w:szCs w:val="22"/>
          <w:lang w:val="en-US"/>
        </w:rPr>
        <w:fldChar w:fldCharType="separate"/>
      </w:r>
      <w:r w:rsidRPr="003A5293">
        <w:rPr>
          <w:rFonts w:ascii="Arial" w:hAnsi="Arial" w:cs="Arial"/>
          <w:noProof/>
          <w:sz w:val="22"/>
          <w:szCs w:val="22"/>
          <w:lang w:val="en-US"/>
        </w:rPr>
        <w:t>(Stetka et al., 2019)</w:t>
      </w:r>
      <w:r w:rsidRPr="003A5293">
        <w:rPr>
          <w:rFonts w:ascii="Arial" w:hAnsi="Arial" w:cs="Arial"/>
          <w:sz w:val="22"/>
          <w:szCs w:val="22"/>
          <w:lang w:val="en-US"/>
        </w:rPr>
        <w:fldChar w:fldCharType="end"/>
      </w:r>
      <w:r w:rsidRPr="003A5293">
        <w:rPr>
          <w:rFonts w:ascii="Arial" w:hAnsi="Arial" w:cs="Arial"/>
          <w:sz w:val="22"/>
          <w:szCs w:val="22"/>
          <w:lang w:val="en-US"/>
        </w:rPr>
        <w:t xml:space="preserve">). Briefly, </w:t>
      </w:r>
      <w:r w:rsidRPr="003A5293">
        <w:rPr>
          <w:rFonts w:ascii="Arial" w:hAnsi="Arial" w:cs="Arial"/>
          <w:i/>
          <w:iCs/>
          <w:sz w:val="22"/>
          <w:szCs w:val="22"/>
          <w:lang w:val="en-US"/>
        </w:rPr>
        <w:t xml:space="preserve">JAK2 </w:t>
      </w:r>
      <w:r w:rsidR="00FB329F" w:rsidRPr="001B1DAC">
        <w:rPr>
          <w:rFonts w:ascii="Arial" w:hAnsi="Arial" w:cs="Arial"/>
          <w:sz w:val="22"/>
          <w:szCs w:val="22"/>
          <w:lang w:val="en-US"/>
        </w:rPr>
        <w:t>V617F</w:t>
      </w:r>
      <w:r w:rsidRPr="003A5293">
        <w:rPr>
          <w:rFonts w:ascii="Arial" w:hAnsi="Arial" w:cs="Arial"/>
          <w:i/>
          <w:iCs/>
          <w:sz w:val="22"/>
          <w:szCs w:val="22"/>
          <w:vertAlign w:val="superscript"/>
          <w:lang w:val="en-US"/>
        </w:rPr>
        <w:t>+</w:t>
      </w:r>
      <w:r w:rsidR="00FB329F" w:rsidRPr="003A5293">
        <w:rPr>
          <w:rFonts w:ascii="Arial" w:hAnsi="Arial" w:cs="Arial"/>
          <w:sz w:val="22"/>
          <w:szCs w:val="22"/>
          <w:lang w:val="en-US"/>
        </w:rPr>
        <w:t xml:space="preserve"> </w:t>
      </w:r>
      <w:r w:rsidR="00BC2726" w:rsidRPr="003A5293">
        <w:rPr>
          <w:rFonts w:ascii="Arial" w:hAnsi="Arial" w:cs="Arial"/>
          <w:sz w:val="22"/>
          <w:szCs w:val="22"/>
          <w:lang w:val="en-US"/>
        </w:rPr>
        <w:t xml:space="preserve">human erythroleukemia cell line </w:t>
      </w:r>
      <w:r w:rsidR="00FB329F" w:rsidRPr="003A5293">
        <w:rPr>
          <w:rFonts w:ascii="Arial" w:hAnsi="Arial" w:cs="Arial"/>
          <w:sz w:val="22"/>
          <w:szCs w:val="22"/>
          <w:lang w:val="en-US"/>
        </w:rPr>
        <w:t>(</w:t>
      </w:r>
      <w:r w:rsidR="00BC2726" w:rsidRPr="003A5293">
        <w:rPr>
          <w:rFonts w:ascii="Arial" w:hAnsi="Arial" w:cs="Arial"/>
          <w:sz w:val="22"/>
          <w:szCs w:val="22"/>
          <w:lang w:val="en-US"/>
        </w:rPr>
        <w:t>HEL cell line</w:t>
      </w:r>
      <w:r w:rsidRPr="003A5293">
        <w:rPr>
          <w:rFonts w:ascii="Arial" w:hAnsi="Arial" w:cs="Arial"/>
          <w:sz w:val="22"/>
          <w:szCs w:val="22"/>
          <w:lang w:val="en-US"/>
        </w:rPr>
        <w:t>;</w:t>
      </w:r>
      <w:r w:rsidR="00FB329F" w:rsidRPr="003A5293">
        <w:rPr>
          <w:rFonts w:ascii="Arial" w:hAnsi="Arial" w:cs="Arial"/>
          <w:sz w:val="22"/>
          <w:szCs w:val="22"/>
          <w:lang w:val="en-US"/>
        </w:rPr>
        <w:t xml:space="preserve"> kind gift of </w:t>
      </w:r>
      <w:r w:rsidR="00E66BEA" w:rsidRPr="003A5293">
        <w:rPr>
          <w:rFonts w:ascii="Arial" w:hAnsi="Arial" w:cs="Arial"/>
          <w:sz w:val="22"/>
          <w:szCs w:val="22"/>
          <w:lang w:val="en-US"/>
        </w:rPr>
        <w:t xml:space="preserve">Prof. </w:t>
      </w:r>
      <w:proofErr w:type="spellStart"/>
      <w:r w:rsidR="00E66BEA" w:rsidRPr="003A5293">
        <w:rPr>
          <w:rFonts w:ascii="Arial" w:hAnsi="Arial" w:cs="Arial"/>
          <w:sz w:val="22"/>
          <w:szCs w:val="22"/>
          <w:lang w:val="en-US"/>
        </w:rPr>
        <w:t>MUDr</w:t>
      </w:r>
      <w:proofErr w:type="spellEnd"/>
      <w:r w:rsidR="00E66BEA" w:rsidRPr="003A5293">
        <w:rPr>
          <w:rFonts w:ascii="Arial" w:hAnsi="Arial" w:cs="Arial"/>
          <w:sz w:val="22"/>
          <w:szCs w:val="22"/>
          <w:lang w:val="en-US"/>
        </w:rPr>
        <w:t xml:space="preserve">. </w:t>
      </w:r>
      <w:proofErr w:type="spellStart"/>
      <w:r w:rsidR="00E66BEA" w:rsidRPr="003A5293">
        <w:rPr>
          <w:rFonts w:ascii="Arial" w:hAnsi="Arial" w:cs="Arial"/>
          <w:sz w:val="22"/>
          <w:szCs w:val="22"/>
          <w:lang w:val="en-US"/>
        </w:rPr>
        <w:t>Tomáš</w:t>
      </w:r>
      <w:proofErr w:type="spellEnd"/>
      <w:r w:rsidR="00E66BEA" w:rsidRPr="003A5293">
        <w:rPr>
          <w:rFonts w:ascii="Arial" w:hAnsi="Arial" w:cs="Arial"/>
          <w:sz w:val="22"/>
          <w:szCs w:val="22"/>
          <w:lang w:val="en-US"/>
        </w:rPr>
        <w:t xml:space="preserve"> </w:t>
      </w:r>
      <w:proofErr w:type="spellStart"/>
      <w:r w:rsidR="00E66BEA" w:rsidRPr="003A5293">
        <w:rPr>
          <w:rFonts w:ascii="Arial" w:hAnsi="Arial" w:cs="Arial"/>
          <w:sz w:val="22"/>
          <w:szCs w:val="22"/>
          <w:lang w:val="en-US"/>
        </w:rPr>
        <w:t>Stopka</w:t>
      </w:r>
      <w:proofErr w:type="spellEnd"/>
      <w:r w:rsidR="00E66BEA" w:rsidRPr="003A5293">
        <w:rPr>
          <w:rFonts w:ascii="Arial" w:hAnsi="Arial" w:cs="Arial"/>
          <w:sz w:val="22"/>
          <w:szCs w:val="22"/>
          <w:lang w:val="en-US"/>
        </w:rPr>
        <w:t>, Ph.D.</w:t>
      </w:r>
      <w:r w:rsidR="00FB329F" w:rsidRPr="003A5293">
        <w:rPr>
          <w:rFonts w:ascii="Arial" w:hAnsi="Arial" w:cs="Arial"/>
          <w:sz w:val="22"/>
          <w:szCs w:val="22"/>
          <w:lang w:val="en-US"/>
        </w:rPr>
        <w:t>, 1st Faculty of Medicine, Charles University Prague) was repaired by homologous recombination using CRISPR/Cas9 system (CRISPR construct pXPR_001</w:t>
      </w:r>
      <w:r w:rsidR="00A9338F" w:rsidRPr="003A5293">
        <w:rPr>
          <w:rFonts w:ascii="Arial" w:hAnsi="Arial" w:cs="Arial"/>
          <w:sz w:val="22"/>
          <w:szCs w:val="22"/>
          <w:lang w:val="en-US"/>
        </w:rPr>
        <w:t xml:space="preserve">, </w:t>
      </w:r>
      <w:r w:rsidR="00FB329F" w:rsidRPr="003A5293">
        <w:rPr>
          <w:rFonts w:ascii="Arial" w:hAnsi="Arial" w:cs="Arial"/>
          <w:sz w:val="22"/>
          <w:szCs w:val="22"/>
          <w:lang w:val="en-US"/>
        </w:rPr>
        <w:t>plasmid #49535</w:t>
      </w:r>
      <w:r w:rsidR="00FC623C" w:rsidRPr="003A5293">
        <w:rPr>
          <w:rFonts w:ascii="Arial" w:hAnsi="Arial" w:cs="Arial"/>
          <w:sz w:val="22"/>
          <w:szCs w:val="22"/>
          <w:lang w:val="en-US"/>
        </w:rPr>
        <w:t xml:space="preserve">; </w:t>
      </w:r>
      <w:proofErr w:type="spellStart"/>
      <w:r w:rsidR="00FC623C" w:rsidRPr="003A5293">
        <w:rPr>
          <w:rFonts w:ascii="Arial" w:hAnsi="Arial" w:cs="Arial"/>
          <w:sz w:val="22"/>
          <w:szCs w:val="22"/>
          <w:lang w:val="en-US"/>
        </w:rPr>
        <w:t>Addgene</w:t>
      </w:r>
      <w:proofErr w:type="spellEnd"/>
      <w:r w:rsidR="00FB329F" w:rsidRPr="003A5293">
        <w:rPr>
          <w:rFonts w:ascii="Arial" w:hAnsi="Arial" w:cs="Arial"/>
          <w:sz w:val="22"/>
          <w:szCs w:val="22"/>
          <w:lang w:val="en-US"/>
        </w:rPr>
        <w:t>)</w:t>
      </w:r>
      <w:r w:rsidR="00A9338F" w:rsidRPr="003A5293">
        <w:rPr>
          <w:rFonts w:ascii="Arial" w:hAnsi="Arial" w:cs="Arial"/>
          <w:sz w:val="22"/>
          <w:szCs w:val="22"/>
          <w:lang w:val="en-US"/>
        </w:rPr>
        <w:t>)</w:t>
      </w:r>
      <w:r w:rsidR="00FB329F" w:rsidRPr="003A5293">
        <w:rPr>
          <w:rFonts w:ascii="Arial" w:hAnsi="Arial" w:cs="Arial"/>
          <w:sz w:val="22"/>
          <w:szCs w:val="22"/>
          <w:lang w:val="en-US"/>
        </w:rPr>
        <w:t xml:space="preserve">. A guide RNA sequence used for targeting of the </w:t>
      </w:r>
      <w:r w:rsidR="00FB329F" w:rsidRPr="003A5293">
        <w:rPr>
          <w:rFonts w:ascii="Arial" w:hAnsi="Arial" w:cs="Arial"/>
          <w:i/>
          <w:iCs/>
          <w:sz w:val="22"/>
          <w:szCs w:val="22"/>
          <w:lang w:val="en-US"/>
        </w:rPr>
        <w:t>JAK2</w:t>
      </w:r>
      <w:r w:rsidR="00FB329F" w:rsidRPr="003A5293">
        <w:rPr>
          <w:rFonts w:ascii="Arial" w:hAnsi="Arial" w:cs="Arial"/>
          <w:sz w:val="22"/>
          <w:szCs w:val="22"/>
          <w:lang w:val="en-US"/>
        </w:rPr>
        <w:t xml:space="preserve"> gene was 5’- </w:t>
      </w:r>
      <w:r w:rsidR="00FB329F" w:rsidRPr="003A5293">
        <w:rPr>
          <w:rFonts w:ascii="Arial" w:hAnsi="Arial" w:cs="Arial"/>
          <w:sz w:val="22"/>
          <w:szCs w:val="22"/>
          <w:lang w:val="en-US"/>
        </w:rPr>
        <w:lastRenderedPageBreak/>
        <w:t xml:space="preserve">ACGAGAGTAAGTAAAACTAC -3’. A homologous template carrying </w:t>
      </w:r>
      <w:r w:rsidR="00FB329F" w:rsidRPr="003A5293">
        <w:rPr>
          <w:rFonts w:ascii="Arial" w:hAnsi="Arial" w:cs="Arial"/>
          <w:i/>
          <w:iCs/>
          <w:sz w:val="22"/>
          <w:szCs w:val="22"/>
          <w:lang w:val="en-US"/>
        </w:rPr>
        <w:t xml:space="preserve">JAK2 </w:t>
      </w:r>
      <w:proofErr w:type="spellStart"/>
      <w:r w:rsidR="00FB329F" w:rsidRPr="003A5293">
        <w:rPr>
          <w:rFonts w:ascii="Arial" w:hAnsi="Arial" w:cs="Arial"/>
          <w:sz w:val="22"/>
          <w:szCs w:val="22"/>
          <w:lang w:val="en-US"/>
        </w:rPr>
        <w:t>wt</w:t>
      </w:r>
      <w:proofErr w:type="spellEnd"/>
      <w:r w:rsidR="00FB329F" w:rsidRPr="003A5293">
        <w:rPr>
          <w:rFonts w:ascii="Arial" w:hAnsi="Arial" w:cs="Arial"/>
          <w:sz w:val="22"/>
          <w:szCs w:val="22"/>
          <w:lang w:val="en-US"/>
        </w:rPr>
        <w:t xml:space="preserve"> sequence was cloned into </w:t>
      </w:r>
      <w:proofErr w:type="spellStart"/>
      <w:r w:rsidR="00FB329F" w:rsidRPr="003A5293">
        <w:rPr>
          <w:rFonts w:ascii="Arial" w:hAnsi="Arial" w:cs="Arial"/>
          <w:sz w:val="22"/>
          <w:szCs w:val="22"/>
          <w:lang w:val="en-US"/>
        </w:rPr>
        <w:t>pGEM</w:t>
      </w:r>
      <w:proofErr w:type="spellEnd"/>
      <w:r w:rsidR="00FB329F" w:rsidRPr="003A5293">
        <w:rPr>
          <w:rFonts w:ascii="Arial" w:hAnsi="Arial" w:cs="Arial"/>
          <w:sz w:val="22"/>
          <w:szCs w:val="22"/>
          <w:lang w:val="en-US"/>
        </w:rPr>
        <w:t xml:space="preserve">-T easy vector and wobbled (protospacer adjacent motif sequence mutated to prevent CRISPR cleavage </w:t>
      </w:r>
      <w:r w:rsidR="00FB329F" w:rsidRPr="001B1DAC">
        <w:rPr>
          <w:rFonts w:ascii="Arial" w:hAnsi="Arial" w:cs="Arial"/>
          <w:i/>
          <w:iCs/>
          <w:sz w:val="22"/>
          <w:szCs w:val="22"/>
          <w:lang w:val="en-US"/>
        </w:rPr>
        <w:t>in vitro</w:t>
      </w:r>
      <w:r w:rsidR="00FB329F" w:rsidRPr="003A5293">
        <w:rPr>
          <w:rFonts w:ascii="Arial" w:hAnsi="Arial" w:cs="Arial"/>
          <w:sz w:val="22"/>
          <w:szCs w:val="22"/>
          <w:lang w:val="en-US"/>
        </w:rPr>
        <w:t xml:space="preserve"> while preserving the amino-acid sequence). HEL cells were electroporated using </w:t>
      </w:r>
      <w:proofErr w:type="spellStart"/>
      <w:r w:rsidR="00FB329F" w:rsidRPr="003A5293">
        <w:rPr>
          <w:rFonts w:ascii="Arial" w:hAnsi="Arial" w:cs="Arial"/>
          <w:sz w:val="22"/>
          <w:szCs w:val="22"/>
          <w:lang w:val="en-US"/>
        </w:rPr>
        <w:t>Amaxa</w:t>
      </w:r>
      <w:proofErr w:type="spellEnd"/>
      <w:r w:rsidR="00FB329F" w:rsidRPr="003A5293">
        <w:rPr>
          <w:rFonts w:ascii="Arial" w:hAnsi="Arial" w:cs="Arial"/>
          <w:sz w:val="22"/>
          <w:szCs w:val="22"/>
          <w:lang w:val="en-US"/>
        </w:rPr>
        <w:t xml:space="preserve"> Nucleofector system (according to manufacturer’s protocol, </w:t>
      </w:r>
      <w:r w:rsidR="00A9338F" w:rsidRPr="003A5293">
        <w:rPr>
          <w:rFonts w:ascii="Arial" w:hAnsi="Arial" w:cs="Arial"/>
          <w:sz w:val="22"/>
          <w:szCs w:val="22"/>
          <w:lang w:val="en-US"/>
        </w:rPr>
        <w:t>Cell Line Nucleofector Kit V</w:t>
      </w:r>
      <w:r w:rsidR="00FB329F" w:rsidRPr="003A5293">
        <w:rPr>
          <w:rFonts w:ascii="Arial" w:hAnsi="Arial" w:cs="Arial"/>
          <w:sz w:val="22"/>
          <w:szCs w:val="22"/>
          <w:lang w:val="en-US"/>
        </w:rPr>
        <w:t>, program X-005). Cells were</w:t>
      </w:r>
      <w:r w:rsidR="00E66BEA" w:rsidRPr="003A5293">
        <w:rPr>
          <w:rFonts w:ascii="Arial" w:hAnsi="Arial" w:cs="Arial"/>
          <w:sz w:val="22"/>
          <w:szCs w:val="22"/>
          <w:lang w:val="en-US"/>
        </w:rPr>
        <w:t xml:space="preserve"> then</w:t>
      </w:r>
      <w:r w:rsidR="00FB329F" w:rsidRPr="003A5293">
        <w:rPr>
          <w:rFonts w:ascii="Arial" w:hAnsi="Arial" w:cs="Arial"/>
          <w:sz w:val="22"/>
          <w:szCs w:val="22"/>
          <w:lang w:val="en-US"/>
        </w:rPr>
        <w:t xml:space="preserve"> single-cell sorted 48</w:t>
      </w:r>
      <w:r w:rsidR="002C04FE" w:rsidRPr="003A5293">
        <w:rPr>
          <w:rFonts w:ascii="Arial" w:hAnsi="Arial" w:cs="Arial"/>
          <w:sz w:val="22"/>
          <w:szCs w:val="22"/>
          <w:lang w:val="en-US"/>
        </w:rPr>
        <w:t xml:space="preserve"> </w:t>
      </w:r>
      <w:r w:rsidR="00FB329F" w:rsidRPr="003A5293">
        <w:rPr>
          <w:rFonts w:ascii="Arial" w:hAnsi="Arial" w:cs="Arial"/>
          <w:sz w:val="22"/>
          <w:szCs w:val="22"/>
          <w:lang w:val="en-US"/>
        </w:rPr>
        <w:t>h</w:t>
      </w:r>
      <w:r w:rsidR="002C04FE" w:rsidRPr="003A5293">
        <w:rPr>
          <w:rFonts w:ascii="Arial" w:hAnsi="Arial" w:cs="Arial"/>
          <w:sz w:val="22"/>
          <w:szCs w:val="22"/>
          <w:lang w:val="en-US"/>
        </w:rPr>
        <w:t>ours</w:t>
      </w:r>
      <w:r w:rsidR="00FB329F" w:rsidRPr="003A5293">
        <w:rPr>
          <w:rFonts w:ascii="Arial" w:hAnsi="Arial" w:cs="Arial"/>
          <w:sz w:val="22"/>
          <w:szCs w:val="22"/>
          <w:lang w:val="en-US"/>
        </w:rPr>
        <w:t xml:space="preserve"> post</w:t>
      </w:r>
      <w:r w:rsidR="002C04FE" w:rsidRPr="003A5293">
        <w:rPr>
          <w:rFonts w:ascii="Arial" w:hAnsi="Arial" w:cs="Arial"/>
          <w:sz w:val="22"/>
          <w:szCs w:val="22"/>
          <w:lang w:val="en-US"/>
        </w:rPr>
        <w:t>-</w:t>
      </w:r>
      <w:r w:rsidR="00FB329F" w:rsidRPr="003A5293">
        <w:rPr>
          <w:rFonts w:ascii="Arial" w:hAnsi="Arial" w:cs="Arial"/>
          <w:sz w:val="22"/>
          <w:szCs w:val="22"/>
          <w:lang w:val="en-US"/>
        </w:rPr>
        <w:t xml:space="preserve">electroporation based on their fluorescent status and single cell clones were expanded. Based on the screening test, clone 1 </w:t>
      </w:r>
      <w:r w:rsidR="00E66BEA" w:rsidRPr="003A5293">
        <w:rPr>
          <w:rFonts w:ascii="Arial" w:hAnsi="Arial" w:cs="Arial"/>
          <w:sz w:val="22"/>
          <w:szCs w:val="22"/>
          <w:lang w:val="en-US"/>
        </w:rPr>
        <w:t xml:space="preserve">with </w:t>
      </w:r>
      <w:r w:rsidR="00E66BEA" w:rsidRPr="003A5293">
        <w:rPr>
          <w:rFonts w:ascii="Arial" w:hAnsi="Arial" w:cs="Arial"/>
          <w:i/>
          <w:iCs/>
          <w:sz w:val="22"/>
          <w:szCs w:val="22"/>
          <w:lang w:val="en-US"/>
        </w:rPr>
        <w:t xml:space="preserve">JAK2 </w:t>
      </w:r>
      <w:proofErr w:type="spellStart"/>
      <w:r w:rsidR="00E66BEA" w:rsidRPr="003A5293">
        <w:rPr>
          <w:rFonts w:ascii="Arial" w:hAnsi="Arial" w:cs="Arial"/>
          <w:sz w:val="22"/>
          <w:szCs w:val="22"/>
          <w:lang w:val="en-US"/>
        </w:rPr>
        <w:t>wt</w:t>
      </w:r>
      <w:proofErr w:type="spellEnd"/>
      <w:r w:rsidR="00E66BEA" w:rsidRPr="003A5293">
        <w:rPr>
          <w:rFonts w:ascii="Arial" w:hAnsi="Arial" w:cs="Arial"/>
          <w:i/>
          <w:iCs/>
          <w:sz w:val="22"/>
          <w:szCs w:val="22"/>
          <w:lang w:val="en-US"/>
        </w:rPr>
        <w:t xml:space="preserve"> </w:t>
      </w:r>
      <w:r w:rsidR="00E66BEA" w:rsidRPr="003A5293">
        <w:rPr>
          <w:rFonts w:ascii="Arial" w:hAnsi="Arial" w:cs="Arial"/>
          <w:sz w:val="22"/>
          <w:szCs w:val="22"/>
          <w:lang w:val="en-US"/>
        </w:rPr>
        <w:t xml:space="preserve">genotype </w:t>
      </w:r>
      <w:r w:rsidR="00FB329F" w:rsidRPr="003A5293">
        <w:rPr>
          <w:rFonts w:ascii="Arial" w:hAnsi="Arial" w:cs="Arial"/>
          <w:sz w:val="22"/>
          <w:szCs w:val="22"/>
          <w:lang w:val="en-US"/>
        </w:rPr>
        <w:t xml:space="preserve">was selected. </w:t>
      </w:r>
    </w:p>
    <w:p w14:paraId="0F939E85" w14:textId="77777777" w:rsidR="00BB2419" w:rsidRDefault="00BB2419" w:rsidP="00FB329F">
      <w:pPr>
        <w:spacing w:line="360" w:lineRule="auto"/>
        <w:jc w:val="both"/>
        <w:rPr>
          <w:rFonts w:ascii="Arial" w:hAnsi="Arial" w:cs="Arial"/>
          <w:sz w:val="22"/>
          <w:szCs w:val="22"/>
          <w:lang w:val="en-US"/>
        </w:rPr>
      </w:pPr>
    </w:p>
    <w:p w14:paraId="2D3500FA" w14:textId="0E6702F5" w:rsidR="00BB2419" w:rsidRPr="00BB2419" w:rsidRDefault="00AF334E" w:rsidP="00BB2419">
      <w:pPr>
        <w:pStyle w:val="Formatvorlage1"/>
        <w:rPr>
          <w:rFonts w:cs="Arial"/>
        </w:rPr>
      </w:pPr>
      <w:bookmarkStart w:id="35" w:name="_Toc57582510"/>
      <w:r>
        <w:rPr>
          <w:rFonts w:cs="Arial"/>
        </w:rPr>
        <w:t>4.8</w:t>
      </w:r>
      <w:r w:rsidR="00BB2419" w:rsidRPr="00BB2419">
        <w:rPr>
          <w:rFonts w:cs="Arial"/>
        </w:rPr>
        <w:t xml:space="preserve"> Mice</w:t>
      </w:r>
      <w:bookmarkEnd w:id="35"/>
    </w:p>
    <w:p w14:paraId="14A9357B" w14:textId="77777777" w:rsidR="0080427B" w:rsidRDefault="0080427B" w:rsidP="005A2DF4">
      <w:pPr>
        <w:spacing w:line="360" w:lineRule="auto"/>
        <w:ind w:right="-205"/>
        <w:jc w:val="both"/>
        <w:rPr>
          <w:rFonts w:ascii="Arial" w:hAnsi="Arial" w:cs="Arial"/>
          <w:color w:val="000000" w:themeColor="text1"/>
          <w:sz w:val="22"/>
          <w:szCs w:val="22"/>
          <w:lang w:val="en-US"/>
        </w:rPr>
      </w:pPr>
    </w:p>
    <w:p w14:paraId="6573342F" w14:textId="17F7B360" w:rsidR="005A2DF4" w:rsidRPr="005A2DF4" w:rsidRDefault="005A2DF4" w:rsidP="005A2DF4">
      <w:pPr>
        <w:spacing w:line="360" w:lineRule="auto"/>
        <w:ind w:right="-205"/>
        <w:jc w:val="both"/>
        <w:rPr>
          <w:rFonts w:ascii="Arial" w:hAnsi="Arial" w:cs="Arial"/>
          <w:color w:val="000000" w:themeColor="text1"/>
          <w:sz w:val="22"/>
          <w:szCs w:val="22"/>
          <w:lang w:val="en-US"/>
        </w:rPr>
      </w:pPr>
      <w:r w:rsidRPr="005A2DF4">
        <w:rPr>
          <w:rFonts w:ascii="Arial" w:hAnsi="Arial" w:cs="Arial"/>
          <w:color w:val="000000" w:themeColor="text1"/>
          <w:sz w:val="22"/>
          <w:szCs w:val="22"/>
          <w:lang w:val="en-US"/>
        </w:rPr>
        <w:t>Tamoxifen-inducible</w:t>
      </w:r>
      <w:r w:rsidRPr="005A2DF4">
        <w:rPr>
          <w:rFonts w:ascii="Arial" w:hAnsi="Arial" w:cs="Arial"/>
          <w:color w:val="000000"/>
          <w:sz w:val="22"/>
          <w:szCs w:val="22"/>
          <w:lang w:val="en-US"/>
        </w:rPr>
        <w:t xml:space="preserve"> </w:t>
      </w:r>
      <w:proofErr w:type="spellStart"/>
      <w:r w:rsidRPr="005A2DF4">
        <w:rPr>
          <w:rFonts w:ascii="Arial" w:hAnsi="Arial" w:cs="Arial"/>
          <w:i/>
          <w:color w:val="000000"/>
          <w:sz w:val="22"/>
          <w:szCs w:val="22"/>
          <w:lang w:val="en-US"/>
        </w:rPr>
        <w:t>SclCre</w:t>
      </w:r>
      <w:r w:rsidRPr="005A2DF4">
        <w:rPr>
          <w:rFonts w:ascii="Arial" w:hAnsi="Arial" w:cs="Arial"/>
          <w:i/>
          <w:color w:val="000000"/>
          <w:sz w:val="22"/>
          <w:szCs w:val="22"/>
          <w:vertAlign w:val="superscript"/>
          <w:lang w:val="en-US"/>
        </w:rPr>
        <w:t>ER</w:t>
      </w:r>
      <w:proofErr w:type="spellEnd"/>
      <w:r w:rsidRPr="005A2DF4">
        <w:rPr>
          <w:rFonts w:ascii="Arial" w:hAnsi="Arial" w:cs="Arial"/>
          <w:color w:val="000000" w:themeColor="text1"/>
          <w:sz w:val="22"/>
          <w:szCs w:val="22"/>
          <w:lang w:val="en-US"/>
        </w:rPr>
        <w:t xml:space="preserve"> mice</w:t>
      </w:r>
      <w:r>
        <w:rPr>
          <w:rFonts w:ascii="Arial" w:hAnsi="Arial" w:cs="Arial"/>
          <w:color w:val="000000" w:themeColor="text1"/>
          <w:sz w:val="22"/>
          <w:szCs w:val="22"/>
          <w:lang w:val="en-US"/>
        </w:rPr>
        <w:fldChar w:fldCharType="begin"/>
      </w:r>
      <w:r>
        <w:rPr>
          <w:rFonts w:ascii="Arial" w:hAnsi="Arial" w:cs="Arial"/>
          <w:color w:val="000000" w:themeColor="text1"/>
          <w:sz w:val="22"/>
          <w:szCs w:val="22"/>
          <w:lang w:val="en-US"/>
        </w:rPr>
        <w:instrText xml:space="preserve"> ADDIN ZOTERO_TEMP </w:instrText>
      </w:r>
      <w:r>
        <w:rPr>
          <w:rFonts w:ascii="Arial" w:hAnsi="Arial" w:cs="Arial"/>
          <w:color w:val="000000" w:themeColor="text1"/>
          <w:sz w:val="22"/>
          <w:szCs w:val="22"/>
          <w:lang w:val="en-US"/>
        </w:rPr>
        <w:fldChar w:fldCharType="separate"/>
      </w:r>
      <w:r>
        <w:rPr>
          <w:rFonts w:ascii="Arial" w:hAnsi="Arial" w:cs="Arial"/>
          <w:noProof/>
          <w:color w:val="000000" w:themeColor="text1"/>
          <w:sz w:val="22"/>
          <w:szCs w:val="22"/>
          <w:lang w:val="en-US"/>
        </w:rPr>
        <w:t xml:space="preserve"> </w:t>
      </w:r>
      <w:r>
        <w:rPr>
          <w:rFonts w:ascii="Arial" w:hAnsi="Arial" w:cs="Arial"/>
          <w:color w:val="000000" w:themeColor="text1"/>
          <w:sz w:val="22"/>
          <w:szCs w:val="22"/>
          <w:lang w:val="en-US"/>
        </w:rPr>
        <w:fldChar w:fldCharType="end"/>
      </w:r>
      <w:r>
        <w:rPr>
          <w:rFonts w:ascii="Arial" w:hAnsi="Arial" w:cs="Arial"/>
          <w:color w:val="000000" w:themeColor="text1"/>
          <w:sz w:val="22"/>
          <w:szCs w:val="22"/>
          <w:lang w:val="en-US"/>
        </w:rPr>
        <w:fldChar w:fldCharType="begin"/>
      </w:r>
      <w:r>
        <w:rPr>
          <w:rFonts w:ascii="Arial" w:hAnsi="Arial" w:cs="Arial"/>
          <w:color w:val="000000" w:themeColor="text1"/>
          <w:sz w:val="22"/>
          <w:szCs w:val="22"/>
          <w:lang w:val="en-US"/>
        </w:rPr>
        <w:instrText xml:space="preserve"> ADDIN ZOTERO_ITEM CSL_CITATION {"citationID":"Ex4PpJCa","properties":{"formattedCitation":"(G\\uc0\\u246{}thert et al., 2005)","plainCitation":"(Göthert et al., 2005)","noteIndex":0},"citationItems":[{"id":1521,"uris":["http://zotero.org/users/2484452/items/5LYTZVAD"],"uri":["http://zotero.org/users/2484452/items/5LYTZVAD"],"itemData":{"id":1521,"type":"article-journal","abstract":"Evidence for the lineage relationship between embryonic and adult hematopoietic stem cells (HSCs) in the mouse is primarily indirect. In order to study this relationship in a direct manner, we expressed the tamoxifen-inducible Cre-ER(T) recombinase under the control of the stem cell leukemia (Scl) stem-cell enhancer in transgenic mice (HSC-SCL-Cre-ER(T)). To determine functionality, HSC-SCL-Cre-ER(T) transgenics were bred with Cre reporter mice. Flow cytometric and transplantation studies revealed tamoxifen-dependent recombination occurring in more than 90% of adult long-term HSCs, whereas the targeted proportion within mature progenitor populations was significantly lower. Moreover, the transgene was able to irreversibly tag embryonic HSCs on days 10 and 11 of gestation. These cells contributed to bone marrow hematopoiesis 5 months later. In order to investigate whether the de novo HSC generation is completed during embryogenesis, HSC-SCL-Cre-ER(T)-marked fetal liver cells were transplanted into adult recipients. Strikingly, the proportion of marked cells within the transplanted and the in vivo-remaining HSC compartment was not different, implying that no further HSC generation occurred during late fetal and neonatal stages of development. These data demonstrate for the first time the direct lineage relationship between midgestation embryonic and adult HSCs in the mouse. Additionally, the HSC-SCL-Cre-ER(T) mice will provide a valuable tool to achieve temporally controlled genetic manipulation of HSCs.","container-title":"Blood","DOI":"10.1182/blood-2004-08-3037","ISSN":"0006-4971","issue":"7","journalAbbreviation":"Blood","language":"eng","note":"PMID: 15598809","page":"2724-2732","source":"PubMed","title":"In vivo fate-tracing studies using the Scl stem cell enhancer: embryonic hematopoietic stem cells significantly contribute to adult hematopoiesis","title-short":"In vivo fate-tracing studies using the Scl stem cell enhancer","volume":"105","author":[{"family":"Göthert","given":"Joachim R."},{"family":"Gustin","given":"Sonja E."},{"family":"Hall","given":"Mark A."},{"family":"Green","given":"Anthony R."},{"family":"Göttgens","given":"Berthold"},{"family":"Izon","given":"David J."},{"family":"Begley","given":"C. Glenn"}],"issued":{"date-parts":[["2005",4,1]]}}}],"schema":"https://github.com/citation-style-language/schema/raw/master/csl-citation.json"} </w:instrText>
      </w:r>
      <w:r>
        <w:rPr>
          <w:rFonts w:ascii="Arial" w:hAnsi="Arial" w:cs="Arial"/>
          <w:color w:val="000000" w:themeColor="text1"/>
          <w:sz w:val="22"/>
          <w:szCs w:val="22"/>
          <w:lang w:val="en-US"/>
        </w:rPr>
        <w:fldChar w:fldCharType="separate"/>
      </w:r>
      <w:r w:rsidRPr="005A2DF4">
        <w:rPr>
          <w:rFonts w:ascii="Arial" w:hAnsi="Arial" w:cs="Arial"/>
          <w:color w:val="000000"/>
          <w:sz w:val="22"/>
          <w:lang w:val="en-US"/>
        </w:rPr>
        <w:t>(</w:t>
      </w:r>
      <w:proofErr w:type="spellStart"/>
      <w:r w:rsidRPr="005A2DF4">
        <w:rPr>
          <w:rFonts w:ascii="Arial" w:hAnsi="Arial" w:cs="Arial"/>
          <w:color w:val="000000"/>
          <w:sz w:val="22"/>
          <w:lang w:val="en-US"/>
        </w:rPr>
        <w:t>Göthert</w:t>
      </w:r>
      <w:proofErr w:type="spellEnd"/>
      <w:r w:rsidRPr="005A2DF4">
        <w:rPr>
          <w:rFonts w:ascii="Arial" w:hAnsi="Arial" w:cs="Arial"/>
          <w:color w:val="000000"/>
          <w:sz w:val="22"/>
          <w:lang w:val="en-US"/>
        </w:rPr>
        <w:t xml:space="preserve"> et al., 2005)</w:t>
      </w:r>
      <w:r>
        <w:rPr>
          <w:rFonts w:ascii="Arial" w:hAnsi="Arial" w:cs="Arial"/>
          <w:color w:val="000000" w:themeColor="text1"/>
          <w:sz w:val="22"/>
          <w:szCs w:val="22"/>
          <w:lang w:val="en-US"/>
        </w:rPr>
        <w:fldChar w:fldCharType="end"/>
      </w:r>
      <w:r w:rsidRPr="005A2DF4">
        <w:rPr>
          <w:rFonts w:ascii="Arial" w:hAnsi="Arial" w:cs="Arial"/>
          <w:color w:val="000000"/>
          <w:sz w:val="22"/>
          <w:szCs w:val="22"/>
          <w:lang w:val="en-US"/>
        </w:rPr>
        <w:t xml:space="preserve"> </w:t>
      </w:r>
      <w:r w:rsidRPr="005A2DF4">
        <w:rPr>
          <w:rFonts w:ascii="Arial" w:hAnsi="Arial" w:cs="Arial"/>
          <w:color w:val="000000" w:themeColor="text1"/>
          <w:sz w:val="22"/>
          <w:szCs w:val="22"/>
          <w:lang w:val="en-US"/>
        </w:rPr>
        <w:t>were crossed with</w:t>
      </w:r>
      <w:r w:rsidRPr="005A2DF4">
        <w:rPr>
          <w:rFonts w:ascii="Arial" w:hAnsi="Arial" w:cs="Arial"/>
          <w:color w:val="000000"/>
          <w:sz w:val="22"/>
          <w:szCs w:val="22"/>
          <w:lang w:val="en-US"/>
        </w:rPr>
        <w:t xml:space="preserve"> previously described conditional </w:t>
      </w:r>
      <w:r w:rsidRPr="005A2DF4">
        <w:rPr>
          <w:rFonts w:ascii="Arial" w:hAnsi="Arial" w:cs="Arial"/>
          <w:i/>
          <w:color w:val="000000" w:themeColor="text1"/>
          <w:sz w:val="22"/>
          <w:szCs w:val="22"/>
          <w:lang w:val="en-US"/>
        </w:rPr>
        <w:t>JAK2-</w:t>
      </w:r>
      <w:r w:rsidRPr="005A2DF4">
        <w:rPr>
          <w:rFonts w:ascii="Arial" w:hAnsi="Arial" w:cs="Arial"/>
          <w:color w:val="000000" w:themeColor="text1"/>
          <w:sz w:val="22"/>
          <w:szCs w:val="22"/>
          <w:lang w:val="en-US"/>
        </w:rPr>
        <w:t>V617F</w:t>
      </w:r>
      <w:r w:rsidRPr="005A2DF4">
        <w:rPr>
          <w:rFonts w:ascii="Arial" w:hAnsi="Arial" w:cs="Arial"/>
          <w:i/>
          <w:color w:val="000000" w:themeColor="text1"/>
          <w:sz w:val="22"/>
          <w:szCs w:val="22"/>
          <w:lang w:val="en-US"/>
        </w:rPr>
        <w:t xml:space="preserve"> </w:t>
      </w:r>
      <w:r w:rsidRPr="005A2DF4">
        <w:rPr>
          <w:rFonts w:ascii="Arial" w:hAnsi="Arial" w:cs="Arial"/>
          <w:color w:val="000000" w:themeColor="text1"/>
          <w:sz w:val="22"/>
          <w:szCs w:val="22"/>
          <w:lang w:val="en-US"/>
        </w:rPr>
        <w:t xml:space="preserve">transgenic mice </w:t>
      </w:r>
      <w:r w:rsidRPr="005A2DF4">
        <w:rPr>
          <w:rFonts w:ascii="Arial" w:hAnsi="Arial" w:cs="Arial"/>
          <w:i/>
          <w:color w:val="000000" w:themeColor="text1"/>
          <w:sz w:val="22"/>
          <w:szCs w:val="22"/>
          <w:lang w:val="en-US"/>
        </w:rPr>
        <w:t>(FF1</w:t>
      </w:r>
      <w:r w:rsidR="002C6264">
        <w:rPr>
          <w:rFonts w:ascii="Arial" w:hAnsi="Arial" w:cs="Arial"/>
          <w:i/>
          <w:color w:val="000000" w:themeColor="text1"/>
          <w:sz w:val="22"/>
          <w:szCs w:val="22"/>
          <w:lang w:val="en-US"/>
        </w:rPr>
        <w:t xml:space="preserve">) </w:t>
      </w:r>
      <w:r w:rsidR="00380819">
        <w:rPr>
          <w:rFonts w:ascii="Arial" w:hAnsi="Arial" w:cs="Arial"/>
          <w:color w:val="000000" w:themeColor="text1"/>
          <w:sz w:val="22"/>
          <w:szCs w:val="22"/>
          <w:lang w:val="en-US"/>
        </w:rPr>
        <w:fldChar w:fldCharType="begin"/>
      </w:r>
      <w:r w:rsidR="00380819">
        <w:rPr>
          <w:rFonts w:ascii="Arial" w:hAnsi="Arial" w:cs="Arial"/>
          <w:color w:val="000000" w:themeColor="text1"/>
          <w:sz w:val="22"/>
          <w:szCs w:val="22"/>
          <w:lang w:val="en-US"/>
        </w:rPr>
        <w:instrText xml:space="preserve"> ADDIN ZOTERO_ITEM CSL_CITATION {"citationID":"LGj5SXzO","properties":{"formattedCitation":"(Tiedt et al., 2008)","plainCitation":"(Tiedt et al., 2008)","noteIndex":0},"citationItems":[{"id":216,"uris":["http://zotero.org/users/2484452/items/FPCFKLWG"],"uri":["http://zotero.org/users/2484452/items/FPCFKLWG"],"itemData":{"id":216,"type":"article-journal","abstract":"An acquired somatic mutation in the JAK2 gene (JAK2-V617F) is present in the majority of patients with myeloproliferative disorders (MPDs). Several phenotypic manifestations (polycythemia vera [PV], essential thrombocythemia [ET], and primary myelofibrosis) can be associated with the same mutation. We generated JAK2-V617F transgenic mice using a human JAK2 gene with the sequences encoding the kinase domain placed in the inverse orientation and flanked by antiparallel loxP sites. Crossing mice of one transgenic line (FF1) with transgenic mice expressing Cre-recombinase under the control of the hematopoiesis spec</w:instrText>
      </w:r>
      <w:r w:rsidR="00380819" w:rsidRPr="002C6264">
        <w:rPr>
          <w:rFonts w:ascii="Arial" w:hAnsi="Arial" w:cs="Arial"/>
          <w:color w:val="000000" w:themeColor="text1"/>
          <w:sz w:val="22"/>
          <w:szCs w:val="22"/>
        </w:rPr>
        <w:instrText xml:space="preserve">ific Vav promoter led to expression of JAK2-V617F that was lower than the endogenous wild-type Jak2. These mice developed a phenotype resembling ET with strongly elevated platelet counts and moderate neutrophilia. Induction of the JAK2-V617F transgene with the interferon-inducible MxCre resulted in expression of JAK2-V617F approximately equal to wild-type Jak2 and a PV-like phenotype with increased hemoglobin, thrombocytosis, and neutrophilia. Higher levels of JAK2-V617F in mouse bone marrow by retroviral transduction caused a PV-like phenotype without thrombocytosis. These data are consistent with the hypothesis that the ratio of mutant to wild-type JAK2 is critical for the phenotypic manifestation. A similar correlation was also found in patients with MPD.","container-title":"Blood","DOI":"10.1182/blood-2007-08-107748","ISSN":"0006-4971","issue":"8","journalAbbreviation":"Blood","language":"eng","note":"PMID: 18160670","page":"3931-3940","source":"PubMed","title":"Ratio of mutant JAK2-V617F to wild-type Jak2 determines the MPD phenotypes in transgenic mice","volume":"111","author":[{"family":"Tiedt","given":"Ralph"},{"family":"Hao-Shen","given":"Hui"},{"family":"Sobas","given":"Marta A."},{"family":"Looser","given":"Renate"},{"family":"Dirnhofer","given":"Stephan"},{"family":"Schwaller","given":"Jürg"},{"family":"Skoda","given":"Radek C."}],"issued":{"date-parts":[["2008",4,15]]}}}],"schema":"https://github.com/citation-style-language/schema/raw/master/csl-citation.json"} </w:instrText>
      </w:r>
      <w:r w:rsidR="00380819">
        <w:rPr>
          <w:rFonts w:ascii="Arial" w:hAnsi="Arial" w:cs="Arial"/>
          <w:color w:val="000000" w:themeColor="text1"/>
          <w:sz w:val="22"/>
          <w:szCs w:val="22"/>
          <w:lang w:val="en-US"/>
        </w:rPr>
        <w:fldChar w:fldCharType="separate"/>
      </w:r>
      <w:r w:rsidR="00380819" w:rsidRPr="002C6264">
        <w:rPr>
          <w:rFonts w:ascii="Arial" w:hAnsi="Arial" w:cs="Arial"/>
          <w:noProof/>
          <w:color w:val="000000" w:themeColor="text1"/>
          <w:sz w:val="22"/>
          <w:szCs w:val="22"/>
        </w:rPr>
        <w:t>(Tiedt et al., 2008)</w:t>
      </w:r>
      <w:r w:rsidR="00380819">
        <w:rPr>
          <w:rFonts w:ascii="Arial" w:hAnsi="Arial" w:cs="Arial"/>
          <w:color w:val="000000" w:themeColor="text1"/>
          <w:sz w:val="22"/>
          <w:szCs w:val="22"/>
          <w:lang w:val="en-US"/>
        </w:rPr>
        <w:fldChar w:fldCharType="end"/>
      </w:r>
      <w:r w:rsidR="002C6264" w:rsidRPr="002C6264">
        <w:rPr>
          <w:rFonts w:ascii="Arial" w:hAnsi="Arial" w:cs="Arial"/>
          <w:color w:val="000000" w:themeColor="text1"/>
          <w:sz w:val="22"/>
          <w:szCs w:val="22"/>
        </w:rPr>
        <w:t>,</w:t>
      </w:r>
      <w:r w:rsidRPr="002C6264">
        <w:rPr>
          <w:rFonts w:ascii="Arial" w:hAnsi="Arial" w:cs="Arial"/>
          <w:color w:val="000000" w:themeColor="text1"/>
          <w:sz w:val="22"/>
          <w:szCs w:val="22"/>
        </w:rPr>
        <w:t xml:space="preserve"> </w:t>
      </w:r>
      <w:r w:rsidRPr="002C6264">
        <w:rPr>
          <w:rFonts w:ascii="Arial" w:hAnsi="Arial" w:cs="Arial"/>
          <w:i/>
          <w:color w:val="000000" w:themeColor="text1"/>
          <w:sz w:val="22"/>
          <w:szCs w:val="22"/>
        </w:rPr>
        <w:t xml:space="preserve">JAK2 exon12 </w:t>
      </w:r>
      <w:proofErr w:type="spellStart"/>
      <w:r w:rsidRPr="002C6264">
        <w:rPr>
          <w:rFonts w:ascii="Arial" w:hAnsi="Arial" w:cs="Arial"/>
          <w:color w:val="000000" w:themeColor="text1"/>
          <w:sz w:val="22"/>
          <w:szCs w:val="22"/>
        </w:rPr>
        <w:t>mutant</w:t>
      </w:r>
      <w:proofErr w:type="spellEnd"/>
      <w:r w:rsidRPr="002C6264">
        <w:rPr>
          <w:rFonts w:ascii="Arial" w:hAnsi="Arial" w:cs="Arial"/>
          <w:color w:val="000000" w:themeColor="text1"/>
          <w:sz w:val="22"/>
          <w:szCs w:val="22"/>
        </w:rPr>
        <w:t xml:space="preserve"> </w:t>
      </w:r>
      <w:proofErr w:type="spellStart"/>
      <w:r w:rsidRPr="002C6264">
        <w:rPr>
          <w:rFonts w:ascii="Arial" w:hAnsi="Arial" w:cs="Arial"/>
          <w:color w:val="000000" w:themeColor="text1"/>
          <w:sz w:val="22"/>
          <w:szCs w:val="22"/>
        </w:rPr>
        <w:t>mice</w:t>
      </w:r>
      <w:proofErr w:type="spellEnd"/>
      <w:r w:rsidR="002C6264" w:rsidRPr="002C6264">
        <w:rPr>
          <w:rFonts w:ascii="Arial" w:hAnsi="Arial" w:cs="Arial"/>
          <w:color w:val="000000" w:themeColor="text1"/>
          <w:sz w:val="22"/>
          <w:szCs w:val="22"/>
        </w:rPr>
        <w:t xml:space="preserve"> </w:t>
      </w:r>
      <w:r w:rsidR="002C6264">
        <w:rPr>
          <w:rFonts w:ascii="Arial" w:hAnsi="Arial" w:cs="Arial"/>
          <w:color w:val="000000" w:themeColor="text1"/>
          <w:sz w:val="22"/>
          <w:szCs w:val="22"/>
          <w:lang w:val="en-US"/>
        </w:rPr>
        <w:fldChar w:fldCharType="begin"/>
      </w:r>
      <w:r w:rsidR="002C6264" w:rsidRPr="002C6264">
        <w:rPr>
          <w:rFonts w:ascii="Arial" w:hAnsi="Arial" w:cs="Arial"/>
          <w:color w:val="000000" w:themeColor="text1"/>
          <w:sz w:val="22"/>
          <w:szCs w:val="22"/>
        </w:rPr>
        <w:instrText xml:space="preserve"> ADDIN ZOTERO_ITEM CSL_CITATION {"citationID":"U2hXxFI4","properties":{"formattedCitation":"(Grisouard et al., 2016)","plainCitation":"(Grisouard et al., 2016)","noteIndex":0},"citationItems":[{"id":215,"uris":["http://zotero.org/users/2484452/items/7P5DJBTR"],"uri":["http://zotero.org/users/2484452/items/7P5DJBTR"],"itemData":{"id":215,"type":"article-journal","abstract":"Mutations in JAK2 exon 12 are frequently found in patients with polycythemia vera (PV) that do not carry a JAK2-V617F mutation. The majority of these patients display isolated erythrocytosis. We generated a mouse model that expresses JAK2-N542-E543del, the most frequent JAK2 exon 12 mutation found in PV patients. Mice expressing the human JAK2-N542-E543del (Ex12) showed a strong increase in red blood cell parameters but normal neutrophil and platelet counts, and reduced overall survival. Erythropoiesis was increased in the bone marrow and spleen, with normal megakaryopoiesis and absence of myelofibrosis in histopathology. Erythroid progenitors and precursors were increased in hematopoietic tissues, but the numbers of megakaryocytic precursors were unchanged. Phosphorylation Stat3 and Erk1/2 proteins were increased, and a trend toward increased phospho-Stat5 and phospho-Stat1 was noted. However, S</w:instrText>
      </w:r>
      <w:r w:rsidR="002C6264" w:rsidRPr="00E543EA">
        <w:rPr>
          <w:rFonts w:ascii="Arial" w:hAnsi="Arial" w:cs="Arial"/>
          <w:color w:val="000000" w:themeColor="text1"/>
          <w:sz w:val="22"/>
          <w:szCs w:val="22"/>
        </w:rPr>
        <w:instrText xml:space="preserve">tat1 knock out in Ex12 mice induced no changes in platelet or red cell parameters, indicating that Stat1 does not play a central role in mediating the effects of Ex12 signaling on megakaryopoiesis or erythropoiesis. Ex12 mice showed decreased expression of hepcidin and increased expression of transferrin receptor-1 and erythroferrone, suggesting that the strong erythroid phenotype in Ex12 mutant mice is favored by changes in iron metabolism that optimize iron availability to allow maximal production of red cells.","container-title":"Blood","DOI":"10.1182/blood-2015-12-689216","ISSN":"1528-0020","issue":"6","journalAbbreviation":"Blood","language":"eng","note":"PMID: 27288519","page":"839-851","source":"PubMed","title":"JAK2 exon 12 mutant mice display isolated erythrocytosis and changes in iron metabolism favoring increased erythropoiesis","volume":"128","author":[{"family":"Grisouard","given":"Jean"},{"family":"Li","given":"Sai"},{"family":"Kubovcakova","given":"Lucia"},{"family":"Rao","given":"Tata Nageswara"},{"family":"Meyer","given":"Sara C."},{"family":"Lundberg","given":"Pontus"},{"family":"Hao-Shen","given":"Hui"},{"family":"Romanet","given":"Vincent"},{"family":"Murakami","given":"Masato"},{"family":"Radimerski","given":"Thomas"},{"family":"Dirnhofer","given":"Stephan"},{"family":"Skoda","given":"Radek C."}],"issued":{"date-parts":[["2016"]],"season":"11"}}}],"schema":"https://github.com/citation-style-language/schema/raw/master/csl-citation.json"} </w:instrText>
      </w:r>
      <w:r w:rsidR="002C6264">
        <w:rPr>
          <w:rFonts w:ascii="Arial" w:hAnsi="Arial" w:cs="Arial"/>
          <w:color w:val="000000" w:themeColor="text1"/>
          <w:sz w:val="22"/>
          <w:szCs w:val="22"/>
          <w:lang w:val="en-US"/>
        </w:rPr>
        <w:fldChar w:fldCharType="separate"/>
      </w:r>
      <w:r w:rsidR="002C6264" w:rsidRPr="00E543EA">
        <w:rPr>
          <w:rFonts w:ascii="Arial" w:hAnsi="Arial" w:cs="Arial"/>
          <w:noProof/>
          <w:color w:val="000000" w:themeColor="text1"/>
          <w:sz w:val="22"/>
          <w:szCs w:val="22"/>
        </w:rPr>
        <w:t>(Grisouard et al., 2016)</w:t>
      </w:r>
      <w:r w:rsidR="002C6264">
        <w:rPr>
          <w:rFonts w:ascii="Arial" w:hAnsi="Arial" w:cs="Arial"/>
          <w:color w:val="000000" w:themeColor="text1"/>
          <w:sz w:val="22"/>
          <w:szCs w:val="22"/>
          <w:lang w:val="en-US"/>
        </w:rPr>
        <w:fldChar w:fldCharType="end"/>
      </w:r>
      <w:r w:rsidRPr="00E543EA">
        <w:rPr>
          <w:rFonts w:ascii="Arial" w:hAnsi="Arial" w:cs="Arial"/>
          <w:color w:val="000000" w:themeColor="text1"/>
          <w:sz w:val="22"/>
          <w:szCs w:val="22"/>
        </w:rPr>
        <w:t xml:space="preserve"> and </w:t>
      </w:r>
      <w:r w:rsidRPr="00E543EA">
        <w:rPr>
          <w:rFonts w:ascii="Arial" w:hAnsi="Arial" w:cs="Arial"/>
          <w:i/>
          <w:color w:val="000000" w:themeColor="text1"/>
          <w:sz w:val="22"/>
          <w:szCs w:val="22"/>
        </w:rPr>
        <w:t>Jak2-</w:t>
      </w:r>
      <w:r w:rsidRPr="00E543EA">
        <w:rPr>
          <w:rFonts w:ascii="Arial" w:hAnsi="Arial" w:cs="Arial"/>
          <w:color w:val="000000" w:themeColor="text1"/>
          <w:sz w:val="22"/>
          <w:szCs w:val="22"/>
        </w:rPr>
        <w:t>V617F</w:t>
      </w:r>
      <w:r w:rsidRPr="00E543EA">
        <w:rPr>
          <w:rFonts w:ascii="Arial" w:hAnsi="Arial" w:cs="Arial"/>
          <w:i/>
          <w:color w:val="000000" w:themeColor="text1"/>
          <w:sz w:val="22"/>
          <w:szCs w:val="22"/>
        </w:rPr>
        <w:t xml:space="preserve"> </w:t>
      </w:r>
      <w:proofErr w:type="spellStart"/>
      <w:r w:rsidRPr="00E543EA">
        <w:rPr>
          <w:rFonts w:ascii="Arial" w:hAnsi="Arial" w:cs="Arial"/>
          <w:color w:val="000000" w:themeColor="text1"/>
          <w:sz w:val="22"/>
          <w:szCs w:val="22"/>
        </w:rPr>
        <w:t>conditional</w:t>
      </w:r>
      <w:proofErr w:type="spellEnd"/>
      <w:r w:rsidRPr="00E543EA">
        <w:rPr>
          <w:rFonts w:ascii="Arial" w:hAnsi="Arial" w:cs="Arial"/>
          <w:i/>
          <w:color w:val="000000" w:themeColor="text1"/>
          <w:sz w:val="22"/>
          <w:szCs w:val="22"/>
        </w:rPr>
        <w:t xml:space="preserve"> </w:t>
      </w:r>
      <w:r w:rsidRPr="00E543EA">
        <w:rPr>
          <w:rFonts w:ascii="Arial" w:hAnsi="Arial" w:cs="Arial"/>
          <w:color w:val="000000" w:themeColor="text1"/>
          <w:sz w:val="22"/>
          <w:szCs w:val="22"/>
        </w:rPr>
        <w:t xml:space="preserve">knock-in </w:t>
      </w:r>
      <w:proofErr w:type="spellStart"/>
      <w:r w:rsidRPr="00E543EA">
        <w:rPr>
          <w:rFonts w:ascii="Arial" w:hAnsi="Arial" w:cs="Arial"/>
          <w:color w:val="000000" w:themeColor="text1"/>
          <w:sz w:val="22"/>
          <w:szCs w:val="22"/>
        </w:rPr>
        <w:t>mice</w:t>
      </w:r>
      <w:proofErr w:type="spellEnd"/>
      <w:r w:rsidR="00972CD9">
        <w:rPr>
          <w:rFonts w:ascii="Arial" w:hAnsi="Arial" w:cs="Arial"/>
          <w:color w:val="000000" w:themeColor="text1"/>
          <w:sz w:val="22"/>
          <w:szCs w:val="22"/>
        </w:rPr>
        <w:t xml:space="preserve"> </w:t>
      </w:r>
      <w:r w:rsidR="002C6264">
        <w:rPr>
          <w:rFonts w:ascii="Arial" w:hAnsi="Arial" w:cs="Arial"/>
          <w:color w:val="000000" w:themeColor="text1"/>
          <w:sz w:val="22"/>
          <w:szCs w:val="22"/>
          <w:lang w:val="en-US"/>
        </w:rPr>
        <w:fldChar w:fldCharType="begin"/>
      </w:r>
      <w:r w:rsidR="002C6264" w:rsidRPr="00E543EA">
        <w:rPr>
          <w:rFonts w:ascii="Arial" w:hAnsi="Arial" w:cs="Arial"/>
          <w:color w:val="000000" w:themeColor="text1"/>
          <w:sz w:val="22"/>
          <w:szCs w:val="22"/>
        </w:rPr>
        <w:instrText xml:space="preserve"> ADDIN ZOTERO_ITEM CSL_CITATION {"citationID":"FRq84XC2","properties":{"formattedCitation":"(Hasan et al., 2013)","plainCitation":"(Hasan et al., 2013)","noteIndex":0},"citationItems":[{"id":1524,"uris":["http://zotero.org/users/2484452/items/KLT2Z8Q2"],"uri":["http://zotero.org/users/2484452/items/KLT2Z8Q2"],"itemData":{"id":1524,"type":"article-journal","abstract":"The acquired gain-of-function V617F mutation in the Janus Kinase 2 (JAK2(V617F)) is the main mutation involved in BCR/ABL-negative myeloproliferative neoplasms (MPNs), but its effect on hematopoietic stem cells as a driver of disease emergence has been questioned. Therefore, we reinvestigated the role of endogenous expression of JAK2(V617F) on early steps of hematopoiesis as well as the effect of interferon-</w:instrText>
      </w:r>
      <w:r w:rsidR="002C6264">
        <w:rPr>
          <w:rFonts w:ascii="Arial" w:hAnsi="Arial" w:cs="Arial"/>
          <w:color w:val="000000" w:themeColor="text1"/>
          <w:sz w:val="22"/>
          <w:szCs w:val="22"/>
          <w:lang w:val="en-US"/>
        </w:rPr>
        <w:instrText>α</w:instrText>
      </w:r>
      <w:r w:rsidR="002C6264" w:rsidRPr="00E543EA">
        <w:rPr>
          <w:rFonts w:ascii="Arial" w:hAnsi="Arial" w:cs="Arial"/>
          <w:color w:val="000000" w:themeColor="text1"/>
          <w:sz w:val="22"/>
          <w:szCs w:val="22"/>
        </w:rPr>
        <w:instrText xml:space="preserve"> (IFN</w:instrText>
      </w:r>
      <w:r w:rsidR="002C6264">
        <w:rPr>
          <w:rFonts w:ascii="Arial" w:hAnsi="Arial" w:cs="Arial"/>
          <w:color w:val="000000" w:themeColor="text1"/>
          <w:sz w:val="22"/>
          <w:szCs w:val="22"/>
          <w:lang w:val="en-US"/>
        </w:rPr>
        <w:instrText>α</w:instrText>
      </w:r>
      <w:r w:rsidR="002C6264" w:rsidRPr="00E543EA">
        <w:rPr>
          <w:rFonts w:ascii="Arial" w:hAnsi="Arial" w:cs="Arial"/>
          <w:color w:val="000000" w:themeColor="text1"/>
          <w:sz w:val="22"/>
          <w:szCs w:val="22"/>
        </w:rPr>
        <w:instrText>), which may target the JAK2(V617F) clone in humans by using knock-in mice with conditional expression of JAK2(V617F) in hematopoietic cells. These mice develop a MPN mimicking polycythemia vera with large amplification of myeloid mature and precursor cells, displaying erythroid endogenous growth and progressing to myelofibrosis. Interestingly, ear</w:instrText>
      </w:r>
      <w:r w:rsidR="002C6264" w:rsidRPr="00452D46">
        <w:rPr>
          <w:rFonts w:ascii="Arial" w:hAnsi="Arial" w:cs="Arial"/>
          <w:color w:val="000000" w:themeColor="text1"/>
          <w:sz w:val="22"/>
          <w:szCs w:val="22"/>
          <w:lang w:val="en-US"/>
        </w:rPr>
        <w:instrText xml:space="preserve">ly hematopoietic compartments [Lin-, LSK, and SLAM (LSK/CD48-/CD150+)] increased with the age. Competitive repopulation assays demonstrated disease appearance and progressive overgrowth of myeloid, Lin-, LSK, and SLAM cells, but not lymphocytes, from a low number of engrafted JAK2(V617F) SLAM </w:instrText>
      </w:r>
      <w:r w:rsidR="002C6264" w:rsidRPr="00EA7E61">
        <w:rPr>
          <w:rFonts w:ascii="Arial" w:hAnsi="Arial" w:cs="Arial"/>
          <w:color w:val="000000" w:themeColor="text1"/>
          <w:sz w:val="22"/>
          <w:szCs w:val="22"/>
          <w:lang w:val="en-US"/>
        </w:rPr>
        <w:instrText>c</w:instrText>
      </w:r>
      <w:r w:rsidR="002C6264">
        <w:rPr>
          <w:rFonts w:ascii="Arial" w:hAnsi="Arial" w:cs="Arial"/>
          <w:color w:val="000000" w:themeColor="text1"/>
          <w:sz w:val="22"/>
          <w:szCs w:val="22"/>
          <w:lang w:val="en-US"/>
        </w:rPr>
        <w:instrText xml:space="preserve">ells. Finally, IFNα treatment prevented disease development by specifically inhibiting JAK2(V617F) cells at an early stage of differentiation and eradicating disease-initiating cells. This study shows that JAK2(V617F) in mice amplifies not only late but also early hematopoietic cells, giving them a proliferative advantage through high cell cycling and low apoptosis that may sustain MPN emergence but is lost upon IFNα treatment.","container-title":"Blood","DOI":"10.1182/blood-2013-04-498956","ISSN":"1528-0020","issue":"8","journalAbbreviation":"Blood","language":"eng","note":"PMID: 23863895","page":"1464-1477","source":"PubMed","title":"JAK2V617F expression in mice amplifies early hematopoietic cells and gives them a competitive advantage that is hampered by IFNα","volume":"122","author":[{"family":"Hasan","given":"Salma"},{"family":"Lacout","given":"Catherine"},{"family":"Marty","given":"Caroline"},{"family":"Cuingnet","given":"Marie"},{"family":"Solary","given":"Eric"},{"family":"Vainchenker","given":"William"},{"family":"Villeval","given":"Jean-Luc"}],"issued":{"date-parts":[["2013",8,22]]}}}],"schema":"https://github.com/citation-style-language/schema/raw/master/csl-citation.json"} </w:instrText>
      </w:r>
      <w:r w:rsidR="002C6264">
        <w:rPr>
          <w:rFonts w:ascii="Arial" w:hAnsi="Arial" w:cs="Arial"/>
          <w:color w:val="000000" w:themeColor="text1"/>
          <w:sz w:val="22"/>
          <w:szCs w:val="22"/>
          <w:lang w:val="en-US"/>
        </w:rPr>
        <w:fldChar w:fldCharType="separate"/>
      </w:r>
      <w:r w:rsidR="002C6264">
        <w:rPr>
          <w:rFonts w:ascii="Arial" w:hAnsi="Arial" w:cs="Arial"/>
          <w:noProof/>
          <w:color w:val="000000" w:themeColor="text1"/>
          <w:sz w:val="22"/>
          <w:szCs w:val="22"/>
          <w:lang w:val="en-US"/>
        </w:rPr>
        <w:t>(Hasan et al., 2013)</w:t>
      </w:r>
      <w:r w:rsidR="002C6264">
        <w:rPr>
          <w:rFonts w:ascii="Arial" w:hAnsi="Arial" w:cs="Arial"/>
          <w:color w:val="000000" w:themeColor="text1"/>
          <w:sz w:val="22"/>
          <w:szCs w:val="22"/>
          <w:lang w:val="en-US"/>
        </w:rPr>
        <w:fldChar w:fldCharType="end"/>
      </w:r>
      <w:r w:rsidR="002C6264">
        <w:rPr>
          <w:rFonts w:ascii="Arial" w:hAnsi="Arial" w:cs="Arial"/>
          <w:color w:val="000000" w:themeColor="text1"/>
          <w:sz w:val="22"/>
          <w:szCs w:val="22"/>
          <w:lang w:val="en-US"/>
        </w:rPr>
        <w:t>.</w:t>
      </w:r>
      <w:r w:rsidRPr="005A2DF4">
        <w:rPr>
          <w:rFonts w:ascii="Arial" w:hAnsi="Arial" w:cs="Arial"/>
          <w:color w:val="000000" w:themeColor="text1"/>
          <w:sz w:val="22"/>
          <w:szCs w:val="22"/>
          <w:lang w:val="en-US"/>
        </w:rPr>
        <w:t xml:space="preserve"> </w:t>
      </w:r>
      <w:proofErr w:type="spellStart"/>
      <w:r w:rsidRPr="005A2DF4">
        <w:rPr>
          <w:rFonts w:ascii="Arial" w:hAnsi="Arial" w:cs="Arial"/>
          <w:color w:val="000000" w:themeColor="text1"/>
          <w:sz w:val="22"/>
          <w:szCs w:val="22"/>
          <w:lang w:val="en-US"/>
        </w:rPr>
        <w:t>Cre</w:t>
      </w:r>
      <w:r w:rsidRPr="005A2DF4">
        <w:rPr>
          <w:rFonts w:ascii="Arial" w:hAnsi="Arial" w:cs="Arial"/>
          <w:color w:val="000000" w:themeColor="text1"/>
          <w:sz w:val="22"/>
          <w:szCs w:val="22"/>
          <w:vertAlign w:val="superscript"/>
          <w:lang w:val="en-US"/>
        </w:rPr>
        <w:t>ER</w:t>
      </w:r>
      <w:proofErr w:type="spellEnd"/>
      <w:r w:rsidRPr="005A2DF4">
        <w:rPr>
          <w:rFonts w:ascii="Arial" w:hAnsi="Arial" w:cs="Arial"/>
          <w:color w:val="000000" w:themeColor="text1"/>
          <w:sz w:val="22"/>
          <w:szCs w:val="22"/>
          <w:lang w:val="en-US"/>
        </w:rPr>
        <w:t xml:space="preserve"> recombinase activity was induced by intraperitoneal injection of 2 mg tamoxifen for 5 consecutive days.</w:t>
      </w:r>
      <w:r w:rsidRPr="005A2DF4">
        <w:rPr>
          <w:rFonts w:ascii="Arial" w:hAnsi="Arial" w:cs="Arial"/>
          <w:color w:val="000000"/>
          <w:sz w:val="22"/>
          <w:szCs w:val="22"/>
          <w:lang w:val="en-US"/>
        </w:rPr>
        <w:t xml:space="preserve"> To constitutively activate the </w:t>
      </w:r>
      <w:r w:rsidRPr="005A2DF4">
        <w:rPr>
          <w:rFonts w:ascii="Arial" w:hAnsi="Arial" w:cs="Arial"/>
          <w:i/>
          <w:color w:val="000000" w:themeColor="text1"/>
          <w:sz w:val="22"/>
          <w:szCs w:val="22"/>
          <w:lang w:val="en-US"/>
        </w:rPr>
        <w:t xml:space="preserve">FF1 </w:t>
      </w:r>
      <w:r w:rsidRPr="005A2DF4">
        <w:rPr>
          <w:rFonts w:ascii="Arial" w:hAnsi="Arial" w:cs="Arial"/>
          <w:color w:val="000000"/>
          <w:sz w:val="22"/>
          <w:szCs w:val="22"/>
          <w:lang w:val="en-US"/>
        </w:rPr>
        <w:t>transgene in early hematopoietic stem cells and progenitors,</w:t>
      </w:r>
      <w:r w:rsidRPr="005A2DF4">
        <w:rPr>
          <w:rFonts w:ascii="Arial" w:hAnsi="Arial" w:cs="Arial"/>
          <w:color w:val="000000" w:themeColor="text1"/>
          <w:sz w:val="22"/>
          <w:szCs w:val="22"/>
          <w:lang w:val="en-US"/>
        </w:rPr>
        <w:t xml:space="preserve"> </w:t>
      </w:r>
      <w:r w:rsidRPr="005A2DF4">
        <w:rPr>
          <w:rFonts w:ascii="Arial" w:hAnsi="Arial" w:cs="Arial"/>
          <w:i/>
          <w:color w:val="000000" w:themeColor="text1"/>
          <w:sz w:val="22"/>
          <w:szCs w:val="22"/>
          <w:lang w:val="en-US"/>
        </w:rPr>
        <w:t xml:space="preserve">FF1 </w:t>
      </w:r>
      <w:r w:rsidRPr="005A2DF4">
        <w:rPr>
          <w:rFonts w:ascii="Arial" w:hAnsi="Arial" w:cs="Arial"/>
          <w:color w:val="000000"/>
          <w:sz w:val="22"/>
          <w:szCs w:val="22"/>
          <w:lang w:val="en-US"/>
        </w:rPr>
        <w:t xml:space="preserve">mice were also crossed with the </w:t>
      </w:r>
      <w:proofErr w:type="spellStart"/>
      <w:r w:rsidRPr="005A2DF4">
        <w:rPr>
          <w:rFonts w:ascii="Arial" w:hAnsi="Arial" w:cs="Arial"/>
          <w:i/>
          <w:color w:val="000000"/>
          <w:sz w:val="22"/>
          <w:szCs w:val="22"/>
          <w:lang w:val="en-US"/>
        </w:rPr>
        <w:t>VavCre</w:t>
      </w:r>
      <w:proofErr w:type="spellEnd"/>
      <w:r w:rsidRPr="005A2DF4">
        <w:rPr>
          <w:rFonts w:ascii="Arial" w:hAnsi="Arial" w:cs="Arial"/>
          <w:color w:val="000000"/>
          <w:sz w:val="22"/>
          <w:szCs w:val="22"/>
          <w:lang w:val="en-US"/>
        </w:rPr>
        <w:t xml:space="preserve"> </w:t>
      </w:r>
      <w:r w:rsidRPr="005A2DF4">
        <w:rPr>
          <w:rFonts w:ascii="Arial" w:hAnsi="Arial" w:cs="Arial"/>
          <w:color w:val="000000" w:themeColor="text1"/>
          <w:sz w:val="22"/>
          <w:szCs w:val="22"/>
          <w:lang w:val="en-US"/>
        </w:rPr>
        <w:t>strain</w:t>
      </w:r>
      <w:r w:rsidR="002C6264">
        <w:rPr>
          <w:rFonts w:ascii="Arial" w:hAnsi="Arial" w:cs="Arial"/>
          <w:color w:val="000000" w:themeColor="text1"/>
          <w:sz w:val="22"/>
          <w:szCs w:val="22"/>
          <w:lang w:val="en-US"/>
        </w:rPr>
        <w:t xml:space="preserve"> </w:t>
      </w:r>
      <w:r w:rsidR="002C6264">
        <w:rPr>
          <w:rFonts w:ascii="Arial" w:hAnsi="Arial" w:cs="Arial"/>
          <w:color w:val="000000" w:themeColor="text1"/>
          <w:sz w:val="22"/>
          <w:szCs w:val="22"/>
          <w:lang w:val="en-US"/>
        </w:rPr>
        <w:fldChar w:fldCharType="begin"/>
      </w:r>
      <w:r w:rsidR="002C6264">
        <w:rPr>
          <w:rFonts w:ascii="Arial" w:hAnsi="Arial" w:cs="Arial"/>
          <w:color w:val="000000" w:themeColor="text1"/>
          <w:sz w:val="22"/>
          <w:szCs w:val="22"/>
          <w:lang w:val="en-US"/>
        </w:rPr>
        <w:instrText xml:space="preserve"> ADDIN ZOTERO_ITEM CSL_CITATION {"citationID":"72W0VbWE","properties":{"formattedCitation":"(de Boer et al., 2003)","plainCitation":"(de Boer et al., 2003)","noteIndex":0},"citationItems":[{"id":1526,"uris":["http://zotero.org/users/2484452/items/ZYXM4TTX"],"uri":["http://zotero.org/users/2484452/items/ZYXM4TTX"],"itemData":{"id":1526,"type":"article-journal","abstract":"Bacteriophage P1 Cre/loxP based systems can be used to manipulate the genomes ofmice in vivo and in vitro, allowing the generation of tissue-specific conditional mutants. We have generated mouse lines expressing Cre recombinase in hematopoietic tissues using the vav regulatory elements, or in lymphoid cells using the hCD2 promoter and locus control region (LCR). The R26R-EYFP Cre reporter mouse line was used to determine the pattern of Cre expression in each line and enabled the assessment of Cre activity at a single-cell level. Analysis showed that the vav promoter elements were able to direct Cre-mediated recombination in all cells of the hematopoietic system. The hCD2 promoter and LCR on the other hand were able to drive Cre-mediated recombination only in T cells and B cells, but not in other hematopoietic cell types. Furthermore, in the appropriate tissues, deletion of the floxed target was complete in all cells, thereby excluding the possibility of variegated expression of the Cre transgene. Both of these Cre-transgenic lines will be useful in generating tissue-specific gene deletions within all the cells of hematopoietic or lymphoid tissues.","container-title":"European Journal of Immunology","DOI":"10.1002/immu.200310005","ISSN":"0014-2980","issue":"2","journalAbbreviation":"Eur J Immunol","language":"eng","note":"PMID: 12548562","page":"314-325","source":"PubMed","title":"Transgenic mice with hematopoietic and lymphoid specific expression of Cre","volume":"33","author":[{"family":"Boer","given":"Jasper","non-dropping-particle":"de"},{"family":"Williams","given":"Adam"},{"family":"Skavdis","given":"George"},{"family":"Harker","given":"Nicola"},{"family":"Coles","given":"Mark"},{"family":"Tolaini","given":"Mauro"},{"family":"Norton","given":"Trisha"},{"family":"Williams","given":"Keith"},{"family":"Roderick","given":"Kathleen"},{"family":"Potocnik","given":"Alexandre J."},{"family":"Kioussis","given":"Dimitris"}],"issued":{"date-parts":[["2003",2]]}}}],"schema":"https://github.com/citation-style-language/schema/raw/master/csl-citation.json"} </w:instrText>
      </w:r>
      <w:r w:rsidR="002C6264">
        <w:rPr>
          <w:rFonts w:ascii="Arial" w:hAnsi="Arial" w:cs="Arial"/>
          <w:color w:val="000000" w:themeColor="text1"/>
          <w:sz w:val="22"/>
          <w:szCs w:val="22"/>
          <w:lang w:val="en-US"/>
        </w:rPr>
        <w:fldChar w:fldCharType="separate"/>
      </w:r>
      <w:r w:rsidR="002C6264">
        <w:rPr>
          <w:rFonts w:ascii="Arial" w:hAnsi="Arial" w:cs="Arial"/>
          <w:noProof/>
          <w:color w:val="000000" w:themeColor="text1"/>
          <w:sz w:val="22"/>
          <w:szCs w:val="22"/>
          <w:lang w:val="en-US"/>
        </w:rPr>
        <w:t>(de Boer et al., 2003)</w:t>
      </w:r>
      <w:r w:rsidR="002C6264">
        <w:rPr>
          <w:rFonts w:ascii="Arial" w:hAnsi="Arial" w:cs="Arial"/>
          <w:color w:val="000000" w:themeColor="text1"/>
          <w:sz w:val="22"/>
          <w:szCs w:val="22"/>
          <w:lang w:val="en-US"/>
        </w:rPr>
        <w:fldChar w:fldCharType="end"/>
      </w:r>
      <w:r w:rsidR="002C6264">
        <w:rPr>
          <w:rFonts w:ascii="Arial" w:hAnsi="Arial" w:cs="Arial"/>
          <w:color w:val="000000" w:themeColor="text1"/>
          <w:sz w:val="22"/>
          <w:szCs w:val="22"/>
          <w:lang w:val="en-US"/>
        </w:rPr>
        <w:t>.</w:t>
      </w:r>
      <w:r w:rsidRPr="005A2DF4">
        <w:rPr>
          <w:rFonts w:ascii="Arial" w:hAnsi="Arial" w:cs="Arial"/>
          <w:color w:val="000000"/>
          <w:sz w:val="22"/>
          <w:szCs w:val="22"/>
          <w:lang w:val="en-US"/>
        </w:rPr>
        <w:t xml:space="preserve"> </w:t>
      </w:r>
      <w:r w:rsidRPr="005A2DF4">
        <w:rPr>
          <w:rFonts w:ascii="Arial" w:hAnsi="Arial" w:cs="Arial"/>
          <w:color w:val="000000" w:themeColor="text1"/>
          <w:sz w:val="22"/>
          <w:szCs w:val="22"/>
          <w:lang w:val="en-US"/>
        </w:rPr>
        <w:t xml:space="preserve">All mice used in this study were on pure C57BL/6N background and were maintained under specific pathogen-free conditions and in accordance with Swiss federal regulations. </w:t>
      </w:r>
    </w:p>
    <w:p w14:paraId="0FA5E637" w14:textId="09A67CBE" w:rsidR="00BB2419" w:rsidRPr="00BB2419" w:rsidRDefault="00AF334E" w:rsidP="00BB2419">
      <w:pPr>
        <w:pStyle w:val="Formatvorlage1"/>
        <w:rPr>
          <w:rFonts w:cs="Arial"/>
        </w:rPr>
      </w:pPr>
      <w:bookmarkStart w:id="36" w:name="_Toc57582511"/>
      <w:r>
        <w:rPr>
          <w:rFonts w:cs="Arial"/>
        </w:rPr>
        <w:t>4.9</w:t>
      </w:r>
      <w:r w:rsidR="00532EB1">
        <w:rPr>
          <w:rFonts w:cs="Arial"/>
        </w:rPr>
        <w:t xml:space="preserve"> </w:t>
      </w:r>
      <w:proofErr w:type="spellStart"/>
      <w:r w:rsidR="00BB2419" w:rsidRPr="00BB2419">
        <w:rPr>
          <w:rFonts w:cs="Arial"/>
        </w:rPr>
        <w:t>pIpC</w:t>
      </w:r>
      <w:proofErr w:type="spellEnd"/>
      <w:r w:rsidR="00BB2419" w:rsidRPr="00BB2419">
        <w:rPr>
          <w:rFonts w:cs="Arial"/>
        </w:rPr>
        <w:t xml:space="preserve">, </w:t>
      </w:r>
      <w:proofErr w:type="spellStart"/>
      <w:r w:rsidR="00BB2419" w:rsidRPr="00BB2419">
        <w:rPr>
          <w:rFonts w:cs="Arial"/>
        </w:rPr>
        <w:t>pegIFN</w:t>
      </w:r>
      <w:proofErr w:type="spellEnd"/>
      <w:r w:rsidR="00BB2419" w:rsidRPr="00BB2419">
        <w:rPr>
          <w:rFonts w:cs="Arial"/>
        </w:rPr>
        <w:t xml:space="preserve">α, and TPO </w:t>
      </w:r>
      <w:r w:rsidR="00BB2419" w:rsidRPr="00BB2419">
        <w:rPr>
          <w:rFonts w:cs="Arial"/>
          <w:i/>
          <w:iCs/>
        </w:rPr>
        <w:t>in vivo</w:t>
      </w:r>
      <w:r w:rsidR="00BB2419">
        <w:rPr>
          <w:rFonts w:cs="Arial"/>
        </w:rPr>
        <w:t xml:space="preserve"> </w:t>
      </w:r>
      <w:r w:rsidR="00BB2419" w:rsidRPr="00BB2419">
        <w:rPr>
          <w:rFonts w:cs="Arial"/>
        </w:rPr>
        <w:t>treatment</w:t>
      </w:r>
      <w:bookmarkEnd w:id="36"/>
    </w:p>
    <w:p w14:paraId="6A7D781C" w14:textId="77777777" w:rsidR="00BB2419" w:rsidRDefault="00BB2419" w:rsidP="00BB2419">
      <w:pPr>
        <w:spacing w:line="360" w:lineRule="auto"/>
        <w:jc w:val="both"/>
        <w:rPr>
          <w:rFonts w:ascii="Arial" w:hAnsi="Arial" w:cs="Arial"/>
          <w:sz w:val="22"/>
          <w:szCs w:val="22"/>
          <w:lang w:val="en-US"/>
        </w:rPr>
      </w:pPr>
    </w:p>
    <w:p w14:paraId="6A75C9D9" w14:textId="77777777" w:rsidR="00BB2419" w:rsidRPr="00BB2419" w:rsidRDefault="00BB2419" w:rsidP="00BB2419">
      <w:pPr>
        <w:spacing w:line="360" w:lineRule="auto"/>
        <w:jc w:val="both"/>
        <w:rPr>
          <w:rFonts w:ascii="Arial" w:hAnsi="Arial" w:cs="Arial"/>
          <w:sz w:val="22"/>
          <w:szCs w:val="22"/>
          <w:lang w:val="en-US"/>
        </w:rPr>
      </w:pPr>
      <w:proofErr w:type="spellStart"/>
      <w:r w:rsidRPr="00BB2419">
        <w:rPr>
          <w:rFonts w:ascii="Arial" w:hAnsi="Arial" w:cs="Arial"/>
          <w:sz w:val="22"/>
          <w:szCs w:val="22"/>
          <w:lang w:val="en-US"/>
        </w:rPr>
        <w:t>Polyinosinic</w:t>
      </w:r>
      <w:proofErr w:type="spellEnd"/>
      <w:r w:rsidRPr="00BB2419">
        <w:rPr>
          <w:rFonts w:ascii="Arial" w:hAnsi="Arial" w:cs="Arial"/>
          <w:sz w:val="22"/>
          <w:szCs w:val="22"/>
          <w:lang w:val="en-US"/>
        </w:rPr>
        <w:t xml:space="preserve"> </w:t>
      </w:r>
      <w:proofErr w:type="spellStart"/>
      <w:r w:rsidRPr="00BB2419">
        <w:rPr>
          <w:rFonts w:ascii="Arial" w:hAnsi="Arial" w:cs="Arial"/>
          <w:sz w:val="22"/>
          <w:szCs w:val="22"/>
          <w:lang w:val="en-US"/>
        </w:rPr>
        <w:t>polycytidylic</w:t>
      </w:r>
      <w:proofErr w:type="spellEnd"/>
      <w:r w:rsidRPr="00BB2419">
        <w:rPr>
          <w:rFonts w:ascii="Arial" w:hAnsi="Arial" w:cs="Arial"/>
          <w:sz w:val="22"/>
          <w:szCs w:val="22"/>
          <w:lang w:val="en-US"/>
        </w:rPr>
        <w:t xml:space="preserve"> acid (</w:t>
      </w:r>
      <w:proofErr w:type="spellStart"/>
      <w:r w:rsidRPr="00BB2419">
        <w:rPr>
          <w:rFonts w:ascii="Arial" w:hAnsi="Arial" w:cs="Arial"/>
          <w:sz w:val="22"/>
          <w:szCs w:val="22"/>
          <w:lang w:val="en-US"/>
        </w:rPr>
        <w:t>pIpC</w:t>
      </w:r>
      <w:proofErr w:type="spellEnd"/>
      <w:r w:rsidRPr="00BB2419">
        <w:rPr>
          <w:rFonts w:ascii="Arial" w:hAnsi="Arial" w:cs="Arial"/>
          <w:sz w:val="22"/>
          <w:szCs w:val="22"/>
          <w:lang w:val="en-US"/>
        </w:rPr>
        <w:t>; P1530, Sigma-Aldrich) was injected</w:t>
      </w:r>
      <w:r>
        <w:rPr>
          <w:rFonts w:ascii="Arial" w:hAnsi="Arial" w:cs="Arial"/>
          <w:sz w:val="22"/>
          <w:szCs w:val="22"/>
          <w:lang w:val="en-US"/>
        </w:rPr>
        <w:t xml:space="preserve"> </w:t>
      </w:r>
      <w:r w:rsidRPr="00BB2419">
        <w:rPr>
          <w:rFonts w:ascii="Arial" w:hAnsi="Arial" w:cs="Arial"/>
          <w:sz w:val="22"/>
          <w:szCs w:val="22"/>
          <w:lang w:val="en-US"/>
        </w:rPr>
        <w:t xml:space="preserve">intraperitoneally (300 </w:t>
      </w:r>
      <w:proofErr w:type="spellStart"/>
      <w:r w:rsidRPr="00BB2419">
        <w:rPr>
          <w:rFonts w:ascii="Arial" w:hAnsi="Arial" w:cs="Arial"/>
          <w:sz w:val="22"/>
          <w:szCs w:val="22"/>
          <w:lang w:val="en-US"/>
        </w:rPr>
        <w:t>μg</w:t>
      </w:r>
      <w:proofErr w:type="spellEnd"/>
      <w:r w:rsidRPr="00BB2419">
        <w:rPr>
          <w:rFonts w:ascii="Arial" w:hAnsi="Arial" w:cs="Arial"/>
          <w:sz w:val="22"/>
          <w:szCs w:val="22"/>
          <w:lang w:val="en-US"/>
        </w:rPr>
        <w:t xml:space="preserve"> per mouse)</w:t>
      </w:r>
      <w:r>
        <w:rPr>
          <w:rFonts w:ascii="Arial" w:hAnsi="Arial" w:cs="Arial"/>
          <w:sz w:val="22"/>
          <w:szCs w:val="22"/>
          <w:lang w:val="en-US"/>
        </w:rPr>
        <w:t xml:space="preserve"> </w:t>
      </w:r>
      <w:r w:rsidRPr="00BB2419">
        <w:rPr>
          <w:rFonts w:ascii="Arial" w:hAnsi="Arial" w:cs="Arial"/>
          <w:sz w:val="22"/>
          <w:szCs w:val="22"/>
          <w:lang w:val="en-US"/>
        </w:rPr>
        <w:t>was injected subcutaneously once per week. For T</w:t>
      </w:r>
      <w:r w:rsidR="000537A1">
        <w:rPr>
          <w:rFonts w:ascii="Arial" w:hAnsi="Arial" w:cs="Arial"/>
          <w:sz w:val="22"/>
          <w:szCs w:val="22"/>
          <w:lang w:val="en-US"/>
        </w:rPr>
        <w:t>PO</w:t>
      </w:r>
      <w:r w:rsidRPr="00BB2419">
        <w:rPr>
          <w:rFonts w:ascii="Arial" w:hAnsi="Arial" w:cs="Arial"/>
          <w:sz w:val="22"/>
          <w:szCs w:val="22"/>
          <w:lang w:val="en-US"/>
        </w:rPr>
        <w:t xml:space="preserve"> treatment, a single dose of</w:t>
      </w:r>
      <w:r>
        <w:rPr>
          <w:rFonts w:ascii="Arial" w:hAnsi="Arial" w:cs="Arial"/>
          <w:sz w:val="22"/>
          <w:szCs w:val="22"/>
          <w:lang w:val="en-US"/>
        </w:rPr>
        <w:t xml:space="preserve"> </w:t>
      </w:r>
      <w:r w:rsidRPr="00BB2419">
        <w:rPr>
          <w:rFonts w:ascii="Arial" w:hAnsi="Arial" w:cs="Arial"/>
          <w:sz w:val="22"/>
          <w:szCs w:val="22"/>
          <w:lang w:val="en-US"/>
        </w:rPr>
        <w:t>recombinant mouse thrombopoietin (</w:t>
      </w:r>
      <w:proofErr w:type="spellStart"/>
      <w:r w:rsidRPr="00BB2419">
        <w:rPr>
          <w:rFonts w:ascii="Arial" w:hAnsi="Arial" w:cs="Arial"/>
          <w:sz w:val="22"/>
          <w:szCs w:val="22"/>
          <w:lang w:val="en-US"/>
        </w:rPr>
        <w:t>Peprotech</w:t>
      </w:r>
      <w:proofErr w:type="spellEnd"/>
      <w:r w:rsidRPr="00BB2419">
        <w:rPr>
          <w:rFonts w:ascii="Arial" w:hAnsi="Arial" w:cs="Arial"/>
          <w:sz w:val="22"/>
          <w:szCs w:val="22"/>
          <w:lang w:val="en-US"/>
        </w:rPr>
        <w:t xml:space="preserve">) was injected intraperitoneally (200 </w:t>
      </w:r>
      <w:proofErr w:type="spellStart"/>
      <w:r w:rsidRPr="00BB2419">
        <w:rPr>
          <w:rFonts w:ascii="Arial" w:hAnsi="Arial" w:cs="Arial"/>
          <w:sz w:val="22"/>
          <w:szCs w:val="22"/>
          <w:lang w:val="en-US"/>
        </w:rPr>
        <w:t>μg</w:t>
      </w:r>
      <w:proofErr w:type="spellEnd"/>
      <w:r w:rsidRPr="00BB2419">
        <w:rPr>
          <w:rFonts w:ascii="Arial" w:hAnsi="Arial" w:cs="Arial"/>
          <w:sz w:val="22"/>
          <w:szCs w:val="22"/>
          <w:lang w:val="en-US"/>
        </w:rPr>
        <w:t>/kg</w:t>
      </w:r>
      <w:r>
        <w:rPr>
          <w:rFonts w:ascii="Arial" w:hAnsi="Arial" w:cs="Arial"/>
          <w:sz w:val="22"/>
          <w:szCs w:val="22"/>
          <w:lang w:val="en-US"/>
        </w:rPr>
        <w:t xml:space="preserve"> </w:t>
      </w:r>
      <w:r w:rsidRPr="00BB2419">
        <w:rPr>
          <w:rFonts w:ascii="Arial" w:hAnsi="Arial" w:cs="Arial"/>
          <w:sz w:val="22"/>
          <w:szCs w:val="22"/>
          <w:lang w:val="en-US"/>
        </w:rPr>
        <w:t>per mouse).</w:t>
      </w:r>
    </w:p>
    <w:p w14:paraId="43CD7774" w14:textId="736CFDFB" w:rsidR="00BB2419" w:rsidRPr="00BB2419" w:rsidRDefault="00AF334E" w:rsidP="00BB2419">
      <w:pPr>
        <w:pStyle w:val="Formatvorlage1"/>
        <w:rPr>
          <w:rFonts w:cs="Arial"/>
        </w:rPr>
      </w:pPr>
      <w:bookmarkStart w:id="37" w:name="_Toc57582512"/>
      <w:r>
        <w:rPr>
          <w:rFonts w:cs="Arial"/>
        </w:rPr>
        <w:t>4.10</w:t>
      </w:r>
      <w:r w:rsidR="00532EB1">
        <w:rPr>
          <w:rFonts w:cs="Arial"/>
        </w:rPr>
        <w:t xml:space="preserve"> </w:t>
      </w:r>
      <w:r w:rsidR="00BB2419" w:rsidRPr="00BB2419">
        <w:rPr>
          <w:rFonts w:cs="Arial"/>
        </w:rPr>
        <w:t>Bone marrow transplantations</w:t>
      </w:r>
      <w:bookmarkEnd w:id="37"/>
    </w:p>
    <w:p w14:paraId="3C6C6D04" w14:textId="77777777" w:rsidR="00BB2419" w:rsidRDefault="00BB2419" w:rsidP="00BB2419">
      <w:pPr>
        <w:spacing w:line="360" w:lineRule="auto"/>
        <w:jc w:val="both"/>
        <w:rPr>
          <w:rFonts w:ascii="Arial" w:hAnsi="Arial" w:cs="Arial"/>
          <w:sz w:val="22"/>
          <w:szCs w:val="22"/>
          <w:lang w:val="en-US"/>
        </w:rPr>
      </w:pPr>
    </w:p>
    <w:p w14:paraId="269EFE0F" w14:textId="77777777" w:rsidR="00BB2419" w:rsidRPr="003A5293" w:rsidRDefault="00BB2419" w:rsidP="00BB2419">
      <w:pPr>
        <w:spacing w:line="360" w:lineRule="auto"/>
        <w:jc w:val="both"/>
        <w:rPr>
          <w:rFonts w:ascii="Arial" w:hAnsi="Arial" w:cs="Arial"/>
          <w:sz w:val="22"/>
          <w:szCs w:val="22"/>
          <w:lang w:val="en-US"/>
        </w:rPr>
      </w:pPr>
      <w:r w:rsidRPr="00BB2419">
        <w:rPr>
          <w:rFonts w:ascii="Arial" w:hAnsi="Arial" w:cs="Arial"/>
          <w:sz w:val="22"/>
          <w:szCs w:val="22"/>
          <w:lang w:val="en-US"/>
        </w:rPr>
        <w:t>For competitive transplantation assays, FACS purified CD41</w:t>
      </w:r>
      <w:r w:rsidRPr="00BB2419">
        <w:rPr>
          <w:rFonts w:ascii="Arial" w:hAnsi="Arial" w:cs="Arial"/>
          <w:sz w:val="22"/>
          <w:szCs w:val="22"/>
          <w:vertAlign w:val="superscript"/>
          <w:lang w:val="en-US"/>
        </w:rPr>
        <w:t>hi</w:t>
      </w:r>
      <w:r w:rsidRPr="00BB2419">
        <w:rPr>
          <w:rFonts w:ascii="Arial" w:hAnsi="Arial" w:cs="Arial"/>
          <w:sz w:val="22"/>
          <w:szCs w:val="22"/>
          <w:lang w:val="en-US"/>
        </w:rPr>
        <w:t xml:space="preserve"> or CD41</w:t>
      </w:r>
      <w:r w:rsidRPr="00BB2419">
        <w:rPr>
          <w:rFonts w:ascii="Arial" w:hAnsi="Arial" w:cs="Arial"/>
          <w:sz w:val="22"/>
          <w:szCs w:val="22"/>
          <w:vertAlign w:val="superscript"/>
          <w:lang w:val="en-US"/>
        </w:rPr>
        <w:t xml:space="preserve">lo </w:t>
      </w:r>
      <w:r w:rsidRPr="00BB2419">
        <w:rPr>
          <w:rFonts w:ascii="Arial" w:hAnsi="Arial" w:cs="Arial"/>
          <w:sz w:val="22"/>
          <w:szCs w:val="22"/>
          <w:lang w:val="en-US"/>
        </w:rPr>
        <w:t xml:space="preserve">HSC subsets (50 cells) from </w:t>
      </w:r>
      <w:r w:rsidRPr="00BB2419">
        <w:rPr>
          <w:rFonts w:ascii="Arial" w:hAnsi="Arial" w:cs="Arial"/>
          <w:i/>
          <w:iCs/>
          <w:sz w:val="22"/>
          <w:szCs w:val="22"/>
          <w:lang w:val="en-US"/>
        </w:rPr>
        <w:t>VF</w:t>
      </w:r>
      <w:r w:rsidRPr="00BB2419">
        <w:rPr>
          <w:rFonts w:ascii="Arial" w:hAnsi="Arial" w:cs="Arial"/>
          <w:sz w:val="22"/>
          <w:szCs w:val="22"/>
          <w:lang w:val="en-US"/>
        </w:rPr>
        <w:t xml:space="preserve"> transgenic mice or wild type mice </w:t>
      </w:r>
      <w:proofErr w:type="spellStart"/>
      <w:r w:rsidRPr="00BB2419">
        <w:rPr>
          <w:rFonts w:ascii="Arial" w:hAnsi="Arial" w:cs="Arial"/>
          <w:sz w:val="22"/>
          <w:szCs w:val="22"/>
          <w:lang w:val="en-US"/>
        </w:rPr>
        <w:t>coexpressing</w:t>
      </w:r>
      <w:proofErr w:type="spellEnd"/>
      <w:r>
        <w:rPr>
          <w:rFonts w:ascii="Arial" w:hAnsi="Arial" w:cs="Arial"/>
          <w:sz w:val="22"/>
          <w:szCs w:val="22"/>
          <w:lang w:val="en-US"/>
        </w:rPr>
        <w:t xml:space="preserve"> </w:t>
      </w:r>
      <w:r w:rsidRPr="00BB2419">
        <w:rPr>
          <w:rFonts w:ascii="Arial" w:hAnsi="Arial" w:cs="Arial"/>
          <w:sz w:val="22"/>
          <w:szCs w:val="22"/>
          <w:lang w:val="en-US"/>
        </w:rPr>
        <w:t>GFP under UBC promoter were mixed with 1x10</w:t>
      </w:r>
      <w:r w:rsidRPr="00BB2419">
        <w:rPr>
          <w:rFonts w:ascii="Arial" w:hAnsi="Arial" w:cs="Arial"/>
          <w:sz w:val="22"/>
          <w:szCs w:val="22"/>
          <w:vertAlign w:val="superscript"/>
          <w:lang w:val="en-US"/>
        </w:rPr>
        <w:t>6</w:t>
      </w:r>
      <w:r w:rsidRPr="00BB2419">
        <w:rPr>
          <w:rFonts w:ascii="Arial" w:hAnsi="Arial" w:cs="Arial"/>
          <w:sz w:val="22"/>
          <w:szCs w:val="22"/>
          <w:lang w:val="en-US"/>
        </w:rPr>
        <w:t xml:space="preserve"> BM cells wildtype C57BL/6</w:t>
      </w:r>
      <w:r>
        <w:rPr>
          <w:rFonts w:ascii="Arial" w:hAnsi="Arial" w:cs="Arial"/>
          <w:sz w:val="22"/>
          <w:szCs w:val="22"/>
          <w:lang w:val="en-US"/>
        </w:rPr>
        <w:t xml:space="preserve"> </w:t>
      </w:r>
      <w:r w:rsidRPr="00BB2419">
        <w:rPr>
          <w:rFonts w:ascii="Arial" w:hAnsi="Arial" w:cs="Arial"/>
          <w:sz w:val="22"/>
          <w:szCs w:val="22"/>
          <w:lang w:val="en-US"/>
        </w:rPr>
        <w:t>competitors and injected intravenously (in 200μl PBS/mouse) into lethally irradiated (12</w:t>
      </w:r>
      <w:r>
        <w:rPr>
          <w:rFonts w:ascii="Arial" w:hAnsi="Arial" w:cs="Arial"/>
          <w:sz w:val="22"/>
          <w:szCs w:val="22"/>
          <w:lang w:val="en-US"/>
        </w:rPr>
        <w:t xml:space="preserve"> </w:t>
      </w:r>
      <w:proofErr w:type="spellStart"/>
      <w:r w:rsidRPr="00BB2419">
        <w:rPr>
          <w:rFonts w:ascii="Arial" w:hAnsi="Arial" w:cs="Arial"/>
          <w:sz w:val="22"/>
          <w:szCs w:val="22"/>
          <w:lang w:val="en-US"/>
        </w:rPr>
        <w:t>Gy</w:t>
      </w:r>
      <w:proofErr w:type="spellEnd"/>
      <w:r w:rsidRPr="00BB2419">
        <w:rPr>
          <w:rFonts w:ascii="Arial" w:hAnsi="Arial" w:cs="Arial"/>
          <w:sz w:val="22"/>
          <w:szCs w:val="22"/>
          <w:lang w:val="en-US"/>
        </w:rPr>
        <w:t>) C57BL/6 recipient mice. Hematopoietic reconstitution was assessed in peripheral</w:t>
      </w:r>
      <w:r>
        <w:rPr>
          <w:rFonts w:ascii="Arial" w:hAnsi="Arial" w:cs="Arial"/>
          <w:sz w:val="22"/>
          <w:szCs w:val="22"/>
          <w:lang w:val="en-US"/>
        </w:rPr>
        <w:t xml:space="preserve"> </w:t>
      </w:r>
      <w:r w:rsidRPr="00BB2419">
        <w:rPr>
          <w:rFonts w:ascii="Arial" w:hAnsi="Arial" w:cs="Arial"/>
          <w:sz w:val="22"/>
          <w:szCs w:val="22"/>
          <w:lang w:val="en-US"/>
        </w:rPr>
        <w:t>blood (PB) at indicated times post-transplantation by flow cytometry.</w:t>
      </w:r>
    </w:p>
    <w:p w14:paraId="3C85437E" w14:textId="539CA18E" w:rsidR="00FB329F" w:rsidRPr="003A5293" w:rsidRDefault="00AF334E" w:rsidP="00FB329F">
      <w:pPr>
        <w:pStyle w:val="Formatvorlage1"/>
        <w:rPr>
          <w:rFonts w:cs="Arial"/>
        </w:rPr>
      </w:pPr>
      <w:bookmarkStart w:id="38" w:name="_Toc57582513"/>
      <w:r>
        <w:rPr>
          <w:rFonts w:cs="Arial"/>
        </w:rPr>
        <w:lastRenderedPageBreak/>
        <w:t>4.11</w:t>
      </w:r>
      <w:r w:rsidR="00FB329F" w:rsidRPr="003A5293">
        <w:rPr>
          <w:rFonts w:cs="Arial"/>
        </w:rPr>
        <w:t xml:space="preserve"> Microarray and data analysis</w:t>
      </w:r>
      <w:bookmarkEnd w:id="38"/>
    </w:p>
    <w:p w14:paraId="5F7AFB88" w14:textId="77777777" w:rsidR="00E2346E" w:rsidRPr="003A5293" w:rsidRDefault="00E2346E" w:rsidP="00FB329F">
      <w:pPr>
        <w:spacing w:line="360" w:lineRule="auto"/>
        <w:jc w:val="both"/>
        <w:rPr>
          <w:rFonts w:ascii="Arial" w:hAnsi="Arial" w:cs="Arial"/>
          <w:sz w:val="22"/>
          <w:szCs w:val="22"/>
          <w:lang w:val="en-US"/>
        </w:rPr>
      </w:pPr>
    </w:p>
    <w:p w14:paraId="0C108A8B" w14:textId="77777777" w:rsidR="00E2346E" w:rsidRPr="003A5293" w:rsidRDefault="00023D06" w:rsidP="00FB329F">
      <w:pPr>
        <w:spacing w:line="360" w:lineRule="auto"/>
        <w:jc w:val="both"/>
        <w:rPr>
          <w:rFonts w:ascii="Arial" w:hAnsi="Arial" w:cs="Arial"/>
          <w:sz w:val="22"/>
          <w:szCs w:val="22"/>
          <w:lang w:val="en-US"/>
        </w:rPr>
      </w:pPr>
      <w:r w:rsidRPr="003A5293">
        <w:rPr>
          <w:rFonts w:ascii="Arial" w:hAnsi="Arial" w:cs="Arial"/>
          <w:sz w:val="22"/>
          <w:szCs w:val="22"/>
          <w:lang w:val="en-US"/>
        </w:rPr>
        <w:t>Biological duplicates</w:t>
      </w:r>
      <w:r w:rsidR="00FB329F" w:rsidRPr="003A5293">
        <w:rPr>
          <w:rFonts w:ascii="Arial" w:hAnsi="Arial" w:cs="Arial"/>
          <w:sz w:val="22"/>
          <w:szCs w:val="22"/>
          <w:lang w:val="en-US"/>
        </w:rPr>
        <w:t xml:space="preserve"> per group were used for microarray analysis. Total RNA was isolated using TRI Reagent </w:t>
      </w:r>
      <w:r w:rsidR="00EE3C25" w:rsidRPr="003A5293">
        <w:rPr>
          <w:rFonts w:ascii="Arial" w:hAnsi="Arial" w:cs="Arial"/>
          <w:sz w:val="22"/>
          <w:szCs w:val="22"/>
          <w:lang w:val="en-US"/>
        </w:rPr>
        <w:t xml:space="preserve">according to </w:t>
      </w:r>
      <w:r w:rsidR="00BC4A54" w:rsidRPr="003A5293">
        <w:rPr>
          <w:rFonts w:ascii="Arial" w:hAnsi="Arial" w:cs="Arial"/>
          <w:sz w:val="22"/>
          <w:szCs w:val="22"/>
          <w:lang w:val="en-US"/>
        </w:rPr>
        <w:t>manufacturer’s</w:t>
      </w:r>
      <w:r w:rsidR="00EE3C25" w:rsidRPr="003A5293">
        <w:rPr>
          <w:rFonts w:ascii="Arial" w:hAnsi="Arial" w:cs="Arial"/>
          <w:sz w:val="22"/>
          <w:szCs w:val="22"/>
          <w:lang w:val="en-US"/>
        </w:rPr>
        <w:t xml:space="preserve"> instructions</w:t>
      </w:r>
      <w:r w:rsidR="00FB329F" w:rsidRPr="003A5293">
        <w:rPr>
          <w:rFonts w:ascii="Arial" w:hAnsi="Arial" w:cs="Arial"/>
          <w:sz w:val="22"/>
          <w:szCs w:val="22"/>
          <w:lang w:val="en-US"/>
        </w:rPr>
        <w:t xml:space="preserve"> and its integrity was tested by Agilent 2100 Bioanalyzer. All samples had </w:t>
      </w:r>
      <w:r w:rsidR="00EE3C25" w:rsidRPr="003A5293">
        <w:rPr>
          <w:rFonts w:ascii="Arial" w:hAnsi="Arial" w:cs="Arial"/>
          <w:sz w:val="22"/>
          <w:szCs w:val="22"/>
          <w:lang w:val="en-US"/>
        </w:rPr>
        <w:t>RNA integrity number (</w:t>
      </w:r>
      <w:r w:rsidR="00FB329F" w:rsidRPr="003A5293">
        <w:rPr>
          <w:rFonts w:ascii="Arial" w:hAnsi="Arial" w:cs="Arial"/>
          <w:sz w:val="22"/>
          <w:szCs w:val="22"/>
          <w:lang w:val="en-US"/>
        </w:rPr>
        <w:t>RIN</w:t>
      </w:r>
      <w:r w:rsidR="00EE3C25" w:rsidRPr="003A5293">
        <w:rPr>
          <w:rFonts w:ascii="Arial" w:hAnsi="Arial" w:cs="Arial"/>
          <w:sz w:val="22"/>
          <w:szCs w:val="22"/>
          <w:lang w:val="en-US"/>
        </w:rPr>
        <w:t>)</w:t>
      </w:r>
      <w:r w:rsidR="00FB329F" w:rsidRPr="003A5293">
        <w:rPr>
          <w:rFonts w:ascii="Arial" w:hAnsi="Arial" w:cs="Arial"/>
          <w:sz w:val="22"/>
          <w:szCs w:val="22"/>
          <w:lang w:val="en-US"/>
        </w:rPr>
        <w:t xml:space="preserve"> above 9. RNA was amplified and labelled using Illumina </w:t>
      </w:r>
      <w:proofErr w:type="spellStart"/>
      <w:r w:rsidR="00FB329F" w:rsidRPr="003A5293">
        <w:rPr>
          <w:rFonts w:ascii="Arial" w:hAnsi="Arial" w:cs="Arial"/>
          <w:sz w:val="22"/>
          <w:szCs w:val="22"/>
          <w:lang w:val="en-US"/>
        </w:rPr>
        <w:t>TotalPrep</w:t>
      </w:r>
      <w:proofErr w:type="spellEnd"/>
      <w:r w:rsidR="00FB329F" w:rsidRPr="003A5293">
        <w:rPr>
          <w:rFonts w:ascii="Arial" w:hAnsi="Arial" w:cs="Arial"/>
          <w:sz w:val="22"/>
          <w:szCs w:val="22"/>
          <w:lang w:val="en-US"/>
        </w:rPr>
        <w:t xml:space="preserve"> RNA Amplification Kit and hybridized on HumanHT-12 v4 Expression </w:t>
      </w:r>
      <w:proofErr w:type="spellStart"/>
      <w:r w:rsidR="00FB329F" w:rsidRPr="003A5293">
        <w:rPr>
          <w:rFonts w:ascii="Arial" w:hAnsi="Arial" w:cs="Arial"/>
          <w:sz w:val="22"/>
          <w:szCs w:val="22"/>
          <w:lang w:val="en-US"/>
        </w:rPr>
        <w:t>BeadChips</w:t>
      </w:r>
      <w:proofErr w:type="spellEnd"/>
      <w:r w:rsidR="00FB329F" w:rsidRPr="003A5293">
        <w:rPr>
          <w:rFonts w:ascii="Arial" w:hAnsi="Arial" w:cs="Arial"/>
          <w:sz w:val="22"/>
          <w:szCs w:val="22"/>
          <w:lang w:val="en-US"/>
        </w:rPr>
        <w:t>, according to manufacturers’ protocols. Raw data was processed</w:t>
      </w:r>
      <w:r w:rsidRPr="003A5293">
        <w:rPr>
          <w:rFonts w:ascii="Arial" w:hAnsi="Arial" w:cs="Arial"/>
          <w:sz w:val="22"/>
          <w:szCs w:val="22"/>
          <w:lang w:val="en-US"/>
        </w:rPr>
        <w:t xml:space="preserve"> and analyzed</w:t>
      </w:r>
      <w:r w:rsidR="00FB329F" w:rsidRPr="003A5293">
        <w:rPr>
          <w:rFonts w:ascii="Arial" w:hAnsi="Arial" w:cs="Arial"/>
          <w:sz w:val="22"/>
          <w:szCs w:val="22"/>
          <w:lang w:val="en-US"/>
        </w:rPr>
        <w:t xml:space="preserve"> using Genome Studio software (version 1.9.0.24624)</w:t>
      </w:r>
      <w:r w:rsidR="009A1FB5" w:rsidRPr="003A5293">
        <w:rPr>
          <w:rFonts w:ascii="Arial" w:hAnsi="Arial" w:cs="Arial"/>
          <w:sz w:val="22"/>
          <w:szCs w:val="22"/>
          <w:lang w:val="en-US"/>
        </w:rPr>
        <w:t xml:space="preserve"> and</w:t>
      </w:r>
      <w:r w:rsidRPr="003A5293">
        <w:rPr>
          <w:rFonts w:ascii="Arial" w:hAnsi="Arial" w:cs="Arial"/>
          <w:sz w:val="22"/>
          <w:szCs w:val="22"/>
          <w:lang w:val="en-US"/>
        </w:rPr>
        <w:t xml:space="preserve"> </w:t>
      </w:r>
      <w:r w:rsidR="00FB329F" w:rsidRPr="003A5293">
        <w:rPr>
          <w:rFonts w:ascii="Arial" w:hAnsi="Arial" w:cs="Arial"/>
          <w:sz w:val="22"/>
          <w:szCs w:val="22"/>
          <w:lang w:val="en-US"/>
        </w:rPr>
        <w:t xml:space="preserve">oligo and </w:t>
      </w:r>
      <w:proofErr w:type="spellStart"/>
      <w:r w:rsidR="00FB329F" w:rsidRPr="003A5293">
        <w:rPr>
          <w:rFonts w:ascii="Arial" w:hAnsi="Arial" w:cs="Arial"/>
          <w:sz w:val="22"/>
          <w:szCs w:val="22"/>
          <w:lang w:val="en-US"/>
        </w:rPr>
        <w:t>limma</w:t>
      </w:r>
      <w:proofErr w:type="spellEnd"/>
      <w:r w:rsidR="00FB329F" w:rsidRPr="003A5293">
        <w:rPr>
          <w:rFonts w:ascii="Arial" w:hAnsi="Arial" w:cs="Arial"/>
          <w:sz w:val="22"/>
          <w:szCs w:val="22"/>
          <w:lang w:val="en-US"/>
        </w:rPr>
        <w:t xml:space="preserve"> packages of the Bioconductor</w:t>
      </w:r>
      <w:r w:rsidR="00EE3C25" w:rsidRPr="003A5293">
        <w:rPr>
          <w:rFonts w:ascii="Arial" w:hAnsi="Arial" w:cs="Arial"/>
          <w:sz w:val="22"/>
          <w:szCs w:val="22"/>
          <w:lang w:val="en-US"/>
        </w:rPr>
        <w:t>.</w:t>
      </w:r>
      <w:r w:rsidR="00FB329F" w:rsidRPr="003A5293">
        <w:rPr>
          <w:rFonts w:ascii="Arial" w:hAnsi="Arial" w:cs="Arial"/>
          <w:sz w:val="22"/>
          <w:szCs w:val="22"/>
          <w:lang w:val="en-US"/>
        </w:rPr>
        <w:t xml:space="preserve"> </w:t>
      </w:r>
      <w:r w:rsidRPr="003A5293">
        <w:rPr>
          <w:rFonts w:ascii="Arial" w:hAnsi="Arial" w:cs="Arial"/>
          <w:sz w:val="22"/>
          <w:szCs w:val="22"/>
          <w:lang w:val="en-US"/>
        </w:rPr>
        <w:t>Differentially expressed genes (DEGs) between the groups were detected by m</w:t>
      </w:r>
      <w:r w:rsidR="00FB329F" w:rsidRPr="003A5293">
        <w:rPr>
          <w:rFonts w:ascii="Arial" w:hAnsi="Arial" w:cs="Arial"/>
          <w:sz w:val="22"/>
          <w:szCs w:val="22"/>
          <w:lang w:val="en-US"/>
        </w:rPr>
        <w:t xml:space="preserve">oderated t-test </w:t>
      </w:r>
      <w:r w:rsidRPr="003A5293">
        <w:rPr>
          <w:rFonts w:ascii="Arial" w:hAnsi="Arial" w:cs="Arial"/>
          <w:sz w:val="22"/>
          <w:szCs w:val="22"/>
          <w:lang w:val="en-US"/>
        </w:rPr>
        <w:t xml:space="preserve">with </w:t>
      </w:r>
      <w:r w:rsidR="00FB329F" w:rsidRPr="003A5293">
        <w:rPr>
          <w:rFonts w:ascii="Arial" w:hAnsi="Arial" w:cs="Arial"/>
          <w:sz w:val="22"/>
          <w:szCs w:val="22"/>
          <w:lang w:val="en-US"/>
        </w:rPr>
        <w:t xml:space="preserve">two-fold gene expression </w:t>
      </w:r>
      <w:r w:rsidRPr="003A5293">
        <w:rPr>
          <w:rFonts w:ascii="Arial" w:hAnsi="Arial" w:cs="Arial"/>
          <w:sz w:val="22"/>
          <w:szCs w:val="22"/>
          <w:lang w:val="en-US"/>
        </w:rPr>
        <w:t xml:space="preserve">change </w:t>
      </w:r>
      <w:r w:rsidR="00FB329F" w:rsidRPr="003A5293">
        <w:rPr>
          <w:rFonts w:ascii="Arial" w:hAnsi="Arial" w:cs="Arial"/>
          <w:sz w:val="22"/>
          <w:szCs w:val="22"/>
          <w:lang w:val="en-US"/>
        </w:rPr>
        <w:t xml:space="preserve">and </w:t>
      </w:r>
      <w:proofErr w:type="spellStart"/>
      <w:r w:rsidR="00FB329F" w:rsidRPr="003A5293">
        <w:rPr>
          <w:rFonts w:ascii="Arial" w:hAnsi="Arial" w:cs="Arial"/>
          <w:sz w:val="22"/>
          <w:szCs w:val="22"/>
          <w:lang w:val="en-US"/>
        </w:rPr>
        <w:t>Storey’s</w:t>
      </w:r>
      <w:proofErr w:type="spellEnd"/>
      <w:r w:rsidR="00FB329F" w:rsidRPr="003A5293">
        <w:rPr>
          <w:rFonts w:ascii="Arial" w:hAnsi="Arial" w:cs="Arial"/>
          <w:sz w:val="22"/>
          <w:szCs w:val="22"/>
          <w:lang w:val="en-US"/>
        </w:rPr>
        <w:t xml:space="preserve"> q-value</w:t>
      </w:r>
      <w:r w:rsidR="00880C06" w:rsidRPr="003A5293">
        <w:rPr>
          <w:rFonts w:ascii="Arial" w:hAnsi="Arial" w:cs="Arial"/>
          <w:sz w:val="22"/>
          <w:szCs w:val="22"/>
          <w:lang w:val="en-US"/>
        </w:rPr>
        <w:t>s</w:t>
      </w:r>
      <w:r w:rsidR="00FB329F" w:rsidRPr="003A5293">
        <w:rPr>
          <w:rFonts w:ascii="Arial" w:hAnsi="Arial" w:cs="Arial"/>
          <w:sz w:val="22"/>
          <w:szCs w:val="22"/>
          <w:lang w:val="en-US"/>
        </w:rPr>
        <w:t xml:space="preserve"> </w:t>
      </w:r>
      <w:r w:rsidR="00880C06" w:rsidRPr="003A5293">
        <w:rPr>
          <w:rFonts w:ascii="Arial" w:hAnsi="Arial" w:cs="Arial"/>
          <w:sz w:val="22"/>
          <w:szCs w:val="22"/>
          <w:lang w:val="en-US"/>
        </w:rPr>
        <w:t>&lt;</w:t>
      </w:r>
      <w:r w:rsidR="00FB329F" w:rsidRPr="003A5293">
        <w:rPr>
          <w:rFonts w:ascii="Arial" w:hAnsi="Arial" w:cs="Arial"/>
          <w:sz w:val="22"/>
          <w:szCs w:val="22"/>
          <w:lang w:val="en-US"/>
        </w:rPr>
        <w:t xml:space="preserve"> 0.1</w:t>
      </w:r>
      <w:r w:rsidR="009A1FB5" w:rsidRPr="003A5293">
        <w:rPr>
          <w:rFonts w:ascii="Arial" w:hAnsi="Arial" w:cs="Arial"/>
          <w:sz w:val="22"/>
          <w:szCs w:val="22"/>
          <w:lang w:val="en-US"/>
        </w:rPr>
        <w:t xml:space="preserve"> cut-off</w:t>
      </w:r>
      <w:r w:rsidR="00FB329F" w:rsidRPr="003A5293">
        <w:rPr>
          <w:rFonts w:ascii="Arial" w:hAnsi="Arial" w:cs="Arial"/>
          <w:sz w:val="22"/>
          <w:szCs w:val="22"/>
          <w:lang w:val="en-US"/>
        </w:rPr>
        <w:t xml:space="preserve"> </w:t>
      </w:r>
      <w:r w:rsidRPr="003A5293">
        <w:rPr>
          <w:rFonts w:ascii="Arial" w:hAnsi="Arial" w:cs="Arial"/>
          <w:sz w:val="22"/>
          <w:szCs w:val="22"/>
          <w:lang w:val="en-US"/>
        </w:rPr>
        <w:fldChar w:fldCharType="begin"/>
      </w:r>
      <w:r w:rsidR="00B703ED" w:rsidRPr="003A5293">
        <w:rPr>
          <w:rFonts w:ascii="Arial" w:hAnsi="Arial" w:cs="Arial"/>
          <w:sz w:val="22"/>
          <w:szCs w:val="22"/>
          <w:lang w:val="en-US"/>
        </w:rPr>
        <w:instrText xml:space="preserve"> ADDIN ZOTERO_ITEM CSL_CITATION {"citationID":"x2FDxnGr","properties":{"formattedCitation":"(Storey and Tibshirani, 2003)","plainCitation":"(Storey and Tibshirani, 2003)","noteIndex":0},"citationItems":[{"id":115,"uris":["http://zotero.org/users/2484452/items/9UZPQANM"],"uri":["http://zotero.org/users/2484452/items/9UZPQANM"],"itemData":{"id":115,"type":"article-journal","abstract":"With the increase in genomewide experiments and the sequencing of multiple genomes, the analysis of large data sets has become commonplace in biology. It is often the case that thousands of features in a genomewide data set are tested against some null hypothesis, where a number of features are expected to be significant. Here we propose an approach to measuring statistical significance in these genomewide studies based on the concept of the false discovery rate. This approach offers a sensible balance between the number of true and false positives that is automatically calibrated and easily interpreted. In doing so, a measure of statistical significance called the q value is associated with each tested feature. The q value is similar to the well known p value, except it is a measure of significance in terms of the false discovery rate rather than the false positive rate. Our approach avoids a flood of false positive results, while offering a more liberal criterion than what has been used in genome scans for linkage.","container-title":"Proceedings of the National Academy of Sciences","DOI":"10.1073/pnas.1530509100","ISSN":"0027-8424, 1091-6490","issue":"16","journalAbbreviation":"PNAS","language":"en","note":"PMID: 12883005","page":"9440-9445","source":"www.pnas.org","title":"Statistical significance for genomewide studies","volume":"100","author":[{"family":"Storey","given":"John D."},{"family":"Tibshirani","given":"Robert"}],"issued":{"date-parts":[["2003",5,8]]}}}],"schema":"https://github.com/citation-style-language/schema/raw/master/csl-citation.json"} </w:instrText>
      </w:r>
      <w:r w:rsidRPr="003A5293">
        <w:rPr>
          <w:rFonts w:ascii="Arial" w:hAnsi="Arial" w:cs="Arial"/>
          <w:sz w:val="22"/>
          <w:szCs w:val="22"/>
          <w:lang w:val="en-US"/>
        </w:rPr>
        <w:fldChar w:fldCharType="separate"/>
      </w:r>
      <w:r w:rsidRPr="003A5293">
        <w:rPr>
          <w:rFonts w:ascii="Arial" w:hAnsi="Arial" w:cs="Arial"/>
          <w:noProof/>
          <w:sz w:val="22"/>
          <w:szCs w:val="22"/>
          <w:lang w:val="en-US"/>
        </w:rPr>
        <w:t>(Storey and Tibshirani, 2003)</w:t>
      </w:r>
      <w:r w:rsidRPr="003A5293">
        <w:rPr>
          <w:rFonts w:ascii="Arial" w:hAnsi="Arial" w:cs="Arial"/>
          <w:sz w:val="22"/>
          <w:szCs w:val="22"/>
          <w:lang w:val="en-US"/>
        </w:rPr>
        <w:fldChar w:fldCharType="end"/>
      </w:r>
      <w:r w:rsidRPr="003A5293">
        <w:rPr>
          <w:rFonts w:ascii="Arial" w:hAnsi="Arial" w:cs="Arial"/>
          <w:sz w:val="22"/>
          <w:szCs w:val="22"/>
          <w:lang w:val="en-US"/>
        </w:rPr>
        <w:t>.</w:t>
      </w:r>
      <w:r w:rsidR="00FB329F" w:rsidRPr="003A5293">
        <w:rPr>
          <w:rFonts w:ascii="Arial" w:hAnsi="Arial" w:cs="Arial"/>
          <w:sz w:val="22"/>
          <w:szCs w:val="22"/>
          <w:lang w:val="en-US"/>
        </w:rPr>
        <w:t xml:space="preserve"> </w:t>
      </w:r>
      <w:r w:rsidRPr="003A5293">
        <w:rPr>
          <w:rFonts w:ascii="Arial" w:hAnsi="Arial" w:cs="Arial"/>
          <w:sz w:val="22"/>
          <w:szCs w:val="22"/>
          <w:lang w:val="en-US"/>
        </w:rPr>
        <w:t>Processed data</w:t>
      </w:r>
      <w:r w:rsidR="00FB329F" w:rsidRPr="003A5293">
        <w:rPr>
          <w:rFonts w:ascii="Arial" w:hAnsi="Arial" w:cs="Arial"/>
          <w:sz w:val="22"/>
          <w:szCs w:val="22"/>
          <w:lang w:val="en-US"/>
        </w:rPr>
        <w:t xml:space="preserve"> w</w:t>
      </w:r>
      <w:r w:rsidRPr="003A5293">
        <w:rPr>
          <w:rFonts w:ascii="Arial" w:hAnsi="Arial" w:cs="Arial"/>
          <w:sz w:val="22"/>
          <w:szCs w:val="22"/>
          <w:lang w:val="en-US"/>
        </w:rPr>
        <w:t>ere</w:t>
      </w:r>
      <w:r w:rsidR="00FB329F" w:rsidRPr="003A5293">
        <w:rPr>
          <w:rFonts w:ascii="Arial" w:hAnsi="Arial" w:cs="Arial"/>
          <w:sz w:val="22"/>
          <w:szCs w:val="22"/>
          <w:lang w:val="en-US"/>
        </w:rPr>
        <w:t xml:space="preserve"> deposited to the Array Express database (</w:t>
      </w:r>
      <w:r w:rsidRPr="003A5293">
        <w:rPr>
          <w:rFonts w:ascii="Arial" w:hAnsi="Arial" w:cs="Arial"/>
          <w:sz w:val="22"/>
          <w:szCs w:val="22"/>
          <w:lang w:val="en-US"/>
        </w:rPr>
        <w:t>accession number: E-MTAB-7693</w:t>
      </w:r>
      <w:r w:rsidR="00FB329F" w:rsidRPr="003A5293">
        <w:rPr>
          <w:rFonts w:ascii="Arial" w:hAnsi="Arial" w:cs="Arial"/>
          <w:sz w:val="22"/>
          <w:szCs w:val="22"/>
          <w:lang w:val="en-US"/>
        </w:rPr>
        <w:t xml:space="preserve">). </w:t>
      </w:r>
      <w:r w:rsidR="000A4C99" w:rsidRPr="003A5293">
        <w:rPr>
          <w:rFonts w:ascii="Arial" w:hAnsi="Arial" w:cs="Arial"/>
          <w:sz w:val="22"/>
          <w:szCs w:val="22"/>
          <w:lang w:val="en-US"/>
        </w:rPr>
        <w:t xml:space="preserve">To visualize differences in gene expression, heatmaps were generated by </w:t>
      </w:r>
      <w:proofErr w:type="spellStart"/>
      <w:r w:rsidR="00FB329F" w:rsidRPr="003A5293">
        <w:rPr>
          <w:rFonts w:ascii="Arial" w:hAnsi="Arial" w:cs="Arial"/>
          <w:sz w:val="22"/>
          <w:szCs w:val="22"/>
          <w:lang w:val="en-US"/>
        </w:rPr>
        <w:t>Heatmapper</w:t>
      </w:r>
      <w:proofErr w:type="spellEnd"/>
      <w:r w:rsidR="00FB329F" w:rsidRPr="003A5293">
        <w:rPr>
          <w:rFonts w:ascii="Arial" w:hAnsi="Arial" w:cs="Arial"/>
          <w:sz w:val="22"/>
          <w:szCs w:val="22"/>
          <w:lang w:val="en-US"/>
        </w:rPr>
        <w:t xml:space="preserve"> </w:t>
      </w:r>
      <w:r w:rsidR="000A4C99" w:rsidRPr="003A5293">
        <w:rPr>
          <w:rFonts w:ascii="Arial" w:hAnsi="Arial" w:cs="Arial"/>
          <w:sz w:val="22"/>
          <w:szCs w:val="22"/>
          <w:lang w:val="en-US"/>
        </w:rPr>
        <w:t>software</w:t>
      </w:r>
      <w:r w:rsidRPr="003A5293">
        <w:rPr>
          <w:rFonts w:ascii="Arial" w:hAnsi="Arial" w:cs="Arial"/>
          <w:sz w:val="22"/>
          <w:szCs w:val="22"/>
          <w:lang w:val="en-US"/>
        </w:rPr>
        <w:t>.</w:t>
      </w:r>
    </w:p>
    <w:p w14:paraId="719FACD1" w14:textId="77777777" w:rsidR="00FB329F" w:rsidRPr="003A5293" w:rsidRDefault="001A4ED7" w:rsidP="00FB329F">
      <w:pPr>
        <w:spacing w:line="360" w:lineRule="auto"/>
        <w:jc w:val="both"/>
        <w:rPr>
          <w:rFonts w:ascii="Arial" w:hAnsi="Arial" w:cs="Arial"/>
          <w:sz w:val="22"/>
          <w:szCs w:val="22"/>
          <w:lang w:val="en-US"/>
        </w:rPr>
      </w:pPr>
      <w:r w:rsidRPr="003A5293">
        <w:rPr>
          <w:rFonts w:ascii="Arial" w:hAnsi="Arial" w:cs="Arial"/>
          <w:sz w:val="22"/>
          <w:szCs w:val="22"/>
          <w:lang w:val="en-US"/>
        </w:rPr>
        <w:t>Enrichment</w:t>
      </w:r>
      <w:r w:rsidR="00FB329F" w:rsidRPr="003A5293">
        <w:rPr>
          <w:rFonts w:ascii="Arial" w:hAnsi="Arial" w:cs="Arial"/>
          <w:sz w:val="22"/>
          <w:szCs w:val="22"/>
          <w:lang w:val="en-US"/>
        </w:rPr>
        <w:t xml:space="preserve"> of DEGs and generation of interaction network module maps </w:t>
      </w:r>
      <w:r w:rsidR="00880C06" w:rsidRPr="003A5293">
        <w:rPr>
          <w:rFonts w:ascii="Arial" w:hAnsi="Arial" w:cs="Arial"/>
          <w:sz w:val="22"/>
          <w:szCs w:val="22"/>
          <w:lang w:val="en-US"/>
        </w:rPr>
        <w:t xml:space="preserve">based on </w:t>
      </w:r>
      <w:r w:rsidR="00FB329F" w:rsidRPr="003A5293">
        <w:rPr>
          <w:rFonts w:ascii="Arial" w:hAnsi="Arial" w:cs="Arial"/>
          <w:sz w:val="22"/>
          <w:szCs w:val="22"/>
          <w:lang w:val="en-US"/>
        </w:rPr>
        <w:t xml:space="preserve">gene regulatory interactions was carried out with the </w:t>
      </w:r>
      <w:proofErr w:type="spellStart"/>
      <w:r w:rsidR="00FB329F" w:rsidRPr="003A5293">
        <w:rPr>
          <w:rFonts w:ascii="Arial" w:hAnsi="Arial" w:cs="Arial"/>
          <w:sz w:val="22"/>
          <w:szCs w:val="22"/>
          <w:lang w:val="en-US"/>
        </w:rPr>
        <w:t>ConsensusPathDB</w:t>
      </w:r>
      <w:proofErr w:type="spellEnd"/>
      <w:r w:rsidR="00880C06" w:rsidRPr="003A5293">
        <w:rPr>
          <w:rFonts w:ascii="Arial" w:hAnsi="Arial" w:cs="Arial"/>
          <w:sz w:val="22"/>
          <w:szCs w:val="22"/>
          <w:lang w:val="en-US"/>
        </w:rPr>
        <w:t xml:space="preserve"> software tool</w:t>
      </w:r>
      <w:r w:rsidR="00CC719E" w:rsidRPr="003A5293">
        <w:rPr>
          <w:rFonts w:ascii="Arial" w:hAnsi="Arial" w:cs="Arial"/>
          <w:sz w:val="22"/>
          <w:szCs w:val="22"/>
          <w:lang w:val="en-US"/>
        </w:rPr>
        <w:t xml:space="preserve"> </w:t>
      </w:r>
      <w:r w:rsidR="00880C06" w:rsidRPr="003A5293">
        <w:rPr>
          <w:rFonts w:ascii="Arial" w:hAnsi="Arial" w:cs="Arial"/>
          <w:sz w:val="22"/>
          <w:szCs w:val="22"/>
          <w:lang w:val="en-US"/>
        </w:rPr>
        <w:t>integrating</w:t>
      </w:r>
      <w:r w:rsidR="00FB329F" w:rsidRPr="003A5293">
        <w:rPr>
          <w:rFonts w:ascii="Arial" w:hAnsi="Arial" w:cs="Arial"/>
          <w:sz w:val="22"/>
          <w:szCs w:val="22"/>
          <w:lang w:val="en-US"/>
        </w:rPr>
        <w:t xml:space="preserve"> 12 biological pathways </w:t>
      </w:r>
      <w:r w:rsidR="00880C06" w:rsidRPr="003A5293">
        <w:rPr>
          <w:rFonts w:ascii="Arial" w:hAnsi="Arial" w:cs="Arial"/>
          <w:sz w:val="22"/>
          <w:szCs w:val="22"/>
          <w:lang w:val="en-US"/>
        </w:rPr>
        <w:t>repositories</w:t>
      </w:r>
      <w:r w:rsidR="00FB329F" w:rsidRPr="003A5293">
        <w:rPr>
          <w:rFonts w:ascii="Arial" w:hAnsi="Arial" w:cs="Arial"/>
          <w:sz w:val="22"/>
          <w:szCs w:val="22"/>
          <w:lang w:val="en-US"/>
        </w:rPr>
        <w:t xml:space="preserve"> (</w:t>
      </w:r>
      <w:proofErr w:type="spellStart"/>
      <w:r w:rsidR="00880C06" w:rsidRPr="003A5293">
        <w:rPr>
          <w:rFonts w:ascii="Arial" w:hAnsi="Arial" w:cs="Arial"/>
          <w:sz w:val="22"/>
          <w:szCs w:val="22"/>
          <w:lang w:val="en-US"/>
        </w:rPr>
        <w:t>Kegg</w:t>
      </w:r>
      <w:proofErr w:type="spellEnd"/>
      <w:r w:rsidR="00880C06" w:rsidRPr="003A5293">
        <w:rPr>
          <w:rFonts w:ascii="Arial" w:hAnsi="Arial" w:cs="Arial"/>
          <w:sz w:val="22"/>
          <w:szCs w:val="22"/>
          <w:lang w:val="en-US"/>
        </w:rPr>
        <w:t xml:space="preserve">, </w:t>
      </w:r>
      <w:proofErr w:type="spellStart"/>
      <w:r w:rsidR="00880C06" w:rsidRPr="003A5293">
        <w:rPr>
          <w:rFonts w:ascii="Arial" w:hAnsi="Arial" w:cs="Arial"/>
          <w:sz w:val="22"/>
          <w:szCs w:val="22"/>
          <w:lang w:val="en-US"/>
        </w:rPr>
        <w:t>Reactome</w:t>
      </w:r>
      <w:proofErr w:type="spellEnd"/>
      <w:r w:rsidR="00880C06" w:rsidRPr="003A5293">
        <w:rPr>
          <w:rFonts w:ascii="Arial" w:hAnsi="Arial" w:cs="Arial"/>
          <w:sz w:val="22"/>
          <w:szCs w:val="22"/>
          <w:lang w:val="en-US"/>
        </w:rPr>
        <w:t xml:space="preserve">, </w:t>
      </w:r>
      <w:proofErr w:type="spellStart"/>
      <w:r w:rsidR="00880C06" w:rsidRPr="003A5293">
        <w:rPr>
          <w:rFonts w:ascii="Arial" w:hAnsi="Arial" w:cs="Arial"/>
          <w:sz w:val="22"/>
          <w:szCs w:val="22"/>
          <w:lang w:val="en-US"/>
        </w:rPr>
        <w:t>Humancyc</w:t>
      </w:r>
      <w:proofErr w:type="spellEnd"/>
      <w:r w:rsidR="00880C06" w:rsidRPr="003A5293">
        <w:rPr>
          <w:rFonts w:ascii="Arial" w:hAnsi="Arial" w:cs="Arial"/>
          <w:sz w:val="22"/>
          <w:szCs w:val="22"/>
          <w:lang w:val="en-US"/>
        </w:rPr>
        <w:t xml:space="preserve">, </w:t>
      </w:r>
      <w:proofErr w:type="spellStart"/>
      <w:r w:rsidR="00880C06" w:rsidRPr="003A5293">
        <w:rPr>
          <w:rFonts w:ascii="Arial" w:hAnsi="Arial" w:cs="Arial"/>
          <w:sz w:val="22"/>
          <w:szCs w:val="22"/>
          <w:lang w:val="en-US"/>
        </w:rPr>
        <w:t>Signalink</w:t>
      </w:r>
      <w:proofErr w:type="spellEnd"/>
      <w:r w:rsidR="00880C06" w:rsidRPr="003A5293">
        <w:rPr>
          <w:rFonts w:ascii="Arial" w:hAnsi="Arial" w:cs="Arial"/>
          <w:sz w:val="22"/>
          <w:szCs w:val="22"/>
          <w:lang w:val="en-US"/>
        </w:rPr>
        <w:t xml:space="preserve">, </w:t>
      </w:r>
      <w:proofErr w:type="spellStart"/>
      <w:r w:rsidR="00880C06" w:rsidRPr="003A5293">
        <w:rPr>
          <w:rFonts w:ascii="Arial" w:hAnsi="Arial" w:cs="Arial"/>
          <w:sz w:val="22"/>
          <w:szCs w:val="22"/>
          <w:lang w:val="en-US"/>
        </w:rPr>
        <w:t>Ehmn</w:t>
      </w:r>
      <w:proofErr w:type="spellEnd"/>
      <w:r w:rsidR="00880C06" w:rsidRPr="003A5293">
        <w:rPr>
          <w:rFonts w:ascii="Arial" w:hAnsi="Arial" w:cs="Arial"/>
          <w:sz w:val="22"/>
          <w:szCs w:val="22"/>
          <w:lang w:val="en-US"/>
        </w:rPr>
        <w:t xml:space="preserve">, </w:t>
      </w:r>
      <w:proofErr w:type="spellStart"/>
      <w:r w:rsidR="00880C06" w:rsidRPr="003A5293">
        <w:rPr>
          <w:rFonts w:ascii="Arial" w:hAnsi="Arial" w:cs="Arial"/>
          <w:sz w:val="22"/>
          <w:szCs w:val="22"/>
          <w:lang w:val="en-US"/>
        </w:rPr>
        <w:t>Pid</w:t>
      </w:r>
      <w:proofErr w:type="spellEnd"/>
      <w:r w:rsidR="00880C06" w:rsidRPr="003A5293">
        <w:rPr>
          <w:rFonts w:ascii="Arial" w:hAnsi="Arial" w:cs="Arial"/>
          <w:sz w:val="22"/>
          <w:szCs w:val="22"/>
          <w:lang w:val="en-US"/>
        </w:rPr>
        <w:t xml:space="preserve">, </w:t>
      </w:r>
      <w:proofErr w:type="spellStart"/>
      <w:r w:rsidR="00FB329F" w:rsidRPr="003A5293">
        <w:rPr>
          <w:rFonts w:ascii="Arial" w:hAnsi="Arial" w:cs="Arial"/>
          <w:sz w:val="22"/>
          <w:szCs w:val="22"/>
          <w:lang w:val="en-US"/>
        </w:rPr>
        <w:t>Wikipathways</w:t>
      </w:r>
      <w:proofErr w:type="spellEnd"/>
      <w:r w:rsidR="00FB329F" w:rsidRPr="003A5293">
        <w:rPr>
          <w:rFonts w:ascii="Arial" w:hAnsi="Arial" w:cs="Arial"/>
          <w:sz w:val="22"/>
          <w:szCs w:val="22"/>
          <w:lang w:val="en-US"/>
        </w:rPr>
        <w:t xml:space="preserve">, </w:t>
      </w:r>
      <w:proofErr w:type="spellStart"/>
      <w:r w:rsidR="00FB329F" w:rsidRPr="003A5293">
        <w:rPr>
          <w:rFonts w:ascii="Arial" w:hAnsi="Arial" w:cs="Arial"/>
          <w:sz w:val="22"/>
          <w:szCs w:val="22"/>
          <w:lang w:val="en-US"/>
        </w:rPr>
        <w:t>Inoh</w:t>
      </w:r>
      <w:proofErr w:type="spellEnd"/>
      <w:r w:rsidR="00FB329F" w:rsidRPr="003A5293">
        <w:rPr>
          <w:rFonts w:ascii="Arial" w:hAnsi="Arial" w:cs="Arial"/>
          <w:sz w:val="22"/>
          <w:szCs w:val="22"/>
          <w:lang w:val="en-US"/>
        </w:rPr>
        <w:t xml:space="preserve">, </w:t>
      </w:r>
      <w:proofErr w:type="spellStart"/>
      <w:r w:rsidR="00FB329F" w:rsidRPr="003A5293">
        <w:rPr>
          <w:rFonts w:ascii="Arial" w:hAnsi="Arial" w:cs="Arial"/>
          <w:sz w:val="22"/>
          <w:szCs w:val="22"/>
          <w:lang w:val="en-US"/>
        </w:rPr>
        <w:t>Netpath</w:t>
      </w:r>
      <w:proofErr w:type="spellEnd"/>
      <w:r w:rsidR="00FB329F" w:rsidRPr="003A5293">
        <w:rPr>
          <w:rFonts w:ascii="Arial" w:hAnsi="Arial" w:cs="Arial"/>
          <w:sz w:val="22"/>
          <w:szCs w:val="22"/>
          <w:lang w:val="en-US"/>
        </w:rPr>
        <w:t xml:space="preserve">, </w:t>
      </w:r>
      <w:proofErr w:type="spellStart"/>
      <w:r w:rsidR="00FB329F" w:rsidRPr="003A5293">
        <w:rPr>
          <w:rFonts w:ascii="Arial" w:hAnsi="Arial" w:cs="Arial"/>
          <w:sz w:val="22"/>
          <w:szCs w:val="22"/>
          <w:lang w:val="en-US"/>
        </w:rPr>
        <w:t>Smpdb</w:t>
      </w:r>
      <w:proofErr w:type="spellEnd"/>
      <w:r w:rsidR="00FB329F" w:rsidRPr="003A5293">
        <w:rPr>
          <w:rFonts w:ascii="Arial" w:hAnsi="Arial" w:cs="Arial"/>
          <w:sz w:val="22"/>
          <w:szCs w:val="22"/>
          <w:lang w:val="en-US"/>
        </w:rPr>
        <w:t xml:space="preserve">, </w:t>
      </w:r>
      <w:proofErr w:type="spellStart"/>
      <w:r w:rsidR="00FB329F" w:rsidRPr="003A5293">
        <w:rPr>
          <w:rFonts w:ascii="Arial" w:hAnsi="Arial" w:cs="Arial"/>
          <w:sz w:val="22"/>
          <w:szCs w:val="22"/>
          <w:lang w:val="en-US"/>
        </w:rPr>
        <w:t>Pharmgkb</w:t>
      </w:r>
      <w:proofErr w:type="spellEnd"/>
      <w:r w:rsidR="00FB329F" w:rsidRPr="003A5293">
        <w:rPr>
          <w:rFonts w:ascii="Arial" w:hAnsi="Arial" w:cs="Arial"/>
          <w:sz w:val="22"/>
          <w:szCs w:val="22"/>
          <w:lang w:val="en-US"/>
        </w:rPr>
        <w:t xml:space="preserve">, </w:t>
      </w:r>
      <w:proofErr w:type="spellStart"/>
      <w:r w:rsidR="00FB329F" w:rsidRPr="003A5293">
        <w:rPr>
          <w:rFonts w:ascii="Arial" w:hAnsi="Arial" w:cs="Arial"/>
          <w:sz w:val="22"/>
          <w:szCs w:val="22"/>
          <w:lang w:val="en-US"/>
        </w:rPr>
        <w:t>Biocarta</w:t>
      </w:r>
      <w:proofErr w:type="spellEnd"/>
      <w:r w:rsidR="00FB329F" w:rsidRPr="003A5293">
        <w:rPr>
          <w:rFonts w:ascii="Arial" w:hAnsi="Arial" w:cs="Arial"/>
          <w:sz w:val="22"/>
          <w:szCs w:val="22"/>
          <w:lang w:val="en-US"/>
        </w:rPr>
        <w:t xml:space="preserve">) to identify </w:t>
      </w:r>
      <w:r w:rsidR="00880C06" w:rsidRPr="003A5293">
        <w:rPr>
          <w:rFonts w:ascii="Arial" w:hAnsi="Arial" w:cs="Arial"/>
          <w:sz w:val="22"/>
          <w:szCs w:val="22"/>
          <w:lang w:val="en-US"/>
        </w:rPr>
        <w:t>differentially regulated</w:t>
      </w:r>
      <w:r w:rsidR="00FB329F" w:rsidRPr="003A5293">
        <w:rPr>
          <w:rFonts w:ascii="Arial" w:hAnsi="Arial" w:cs="Arial"/>
          <w:sz w:val="22"/>
          <w:szCs w:val="22"/>
          <w:lang w:val="en-US"/>
        </w:rPr>
        <w:t xml:space="preserve"> pathways in studied samples</w:t>
      </w:r>
      <w:r w:rsidRPr="003A5293">
        <w:rPr>
          <w:rFonts w:ascii="Arial" w:hAnsi="Arial" w:cs="Arial"/>
          <w:sz w:val="22"/>
          <w:szCs w:val="22"/>
          <w:lang w:val="en-US"/>
        </w:rPr>
        <w:t xml:space="preserve"> </w:t>
      </w:r>
      <w:r w:rsidRPr="003A5293">
        <w:rPr>
          <w:rFonts w:ascii="Arial" w:hAnsi="Arial" w:cs="Arial"/>
          <w:sz w:val="22"/>
          <w:szCs w:val="22"/>
          <w:lang w:val="en-US"/>
        </w:rPr>
        <w:fldChar w:fldCharType="begin"/>
      </w:r>
      <w:r w:rsidR="00B703ED" w:rsidRPr="003A5293">
        <w:rPr>
          <w:rFonts w:ascii="Arial" w:hAnsi="Arial" w:cs="Arial"/>
          <w:sz w:val="22"/>
          <w:szCs w:val="22"/>
          <w:lang w:val="en-US"/>
        </w:rPr>
        <w:instrText xml:space="preserve"> ADDIN ZOTERO_ITEM CSL_CITATION {"citationID":"p6XSJEOW","properties":{"formattedCitation":"(Subramanian et al., 2005)","plainCitation":"(Subramanian et al., 2005)","noteIndex":0},"citationItems":[{"id":103,"uris":["http://zotero.org/users/2484452/items/KUT3478A"],"uri":["http://zotero.org/users/2484452/items/KUT3478A"],"itemData":{"id":103,"type":"article-journal","abstract":"Although genomewide RNA expression analysis has become a routine tool in biomedical research, extracting biological insight from such information remains a major challenge. Here, we describe a powerful analytical method called Gene Set Enrichment Analysis (GSEA) for interpreting gene expression data. The method derives its power by focusing on gene sets, that is, groups of genes that share common biological function, chromosomal location, or regulation. We demonstrate how GSEA yields insights into several cancer-related data sets, including leukemia and lung cancer. Notably, where single-gene analysis finds little similarity between two independent studies of patient survival in lung cancer, GSEA reveals many biological pathways in common. The GSEA method is embodied in a freely available software package, together with an initial database of 1,325 biologically defined gene sets.","container-title":"Proceedings of the National Academy of Sciences","DOI":"10.1073/pnas.0506580102","ISSN":"0027-8424, 1091-6490","issue":"43","journalAbbreviation":"PNAS","language":"en","note":"PMID: 16199517","page":"15545-15550","source":"www.pnas.org","title":"Gene set enrichment analysis: A knowledge-based approach for interpreting genome-wide expression profiles","title-short":"Gene set enrichment analysis","volume":"102","author":[{"family":"Subramanian","given":"Aravind"},{"family":"Tamayo","given":"Pablo"},{"family":"Mootha","given":"Vamsi K."},{"family":"Mukherjee","given":"Sayan"},{"family":"Ebert","given":"Benjamin L."},{"family":"Gillette","given":"Michael A."},{"family":"Paulovich","given":"Amanda"},{"family":"Pomeroy","given":"Scott L."},{"family":"Golub","given":"Todd R."},{"family":"Lander","given":"Eric S."},{"family":"Mesirov","given":"Jill P."}],"issued":{"date-parts":[["2005",10,25]]}}}],"schema":"https://github.com/citation-style-language/schema/raw/master/csl-citation.json"} </w:instrText>
      </w:r>
      <w:r w:rsidRPr="003A5293">
        <w:rPr>
          <w:rFonts w:ascii="Arial" w:hAnsi="Arial" w:cs="Arial"/>
          <w:sz w:val="22"/>
          <w:szCs w:val="22"/>
          <w:lang w:val="en-US"/>
        </w:rPr>
        <w:fldChar w:fldCharType="separate"/>
      </w:r>
      <w:r w:rsidRPr="003A5293">
        <w:rPr>
          <w:rFonts w:ascii="Arial" w:hAnsi="Arial" w:cs="Arial"/>
          <w:noProof/>
          <w:sz w:val="22"/>
          <w:szCs w:val="22"/>
          <w:lang w:val="en-US"/>
        </w:rPr>
        <w:t>(Subramanian et al., 2005)</w:t>
      </w:r>
      <w:r w:rsidRPr="003A5293">
        <w:rPr>
          <w:rFonts w:ascii="Arial" w:hAnsi="Arial" w:cs="Arial"/>
          <w:sz w:val="22"/>
          <w:szCs w:val="22"/>
          <w:lang w:val="en-US"/>
        </w:rPr>
        <w:fldChar w:fldCharType="end"/>
      </w:r>
      <w:r w:rsidR="00880C06" w:rsidRPr="003A5293">
        <w:rPr>
          <w:rFonts w:ascii="Arial" w:hAnsi="Arial" w:cs="Arial"/>
          <w:sz w:val="22"/>
          <w:szCs w:val="22"/>
          <w:lang w:val="en-US"/>
        </w:rPr>
        <w:t>.</w:t>
      </w:r>
    </w:p>
    <w:p w14:paraId="15B5C238" w14:textId="77777777" w:rsidR="00FB329F" w:rsidRPr="003A5293" w:rsidRDefault="00FB329F" w:rsidP="00FB329F">
      <w:pPr>
        <w:spacing w:line="360" w:lineRule="auto"/>
        <w:jc w:val="both"/>
        <w:rPr>
          <w:rFonts w:ascii="Arial" w:hAnsi="Arial" w:cs="Arial"/>
          <w:sz w:val="22"/>
          <w:szCs w:val="22"/>
          <w:lang w:val="en-US"/>
        </w:rPr>
      </w:pPr>
    </w:p>
    <w:p w14:paraId="78E88E38" w14:textId="66AB5DD7" w:rsidR="00FB329F" w:rsidRPr="003A5293" w:rsidRDefault="00AF334E" w:rsidP="00FB329F">
      <w:pPr>
        <w:pStyle w:val="Formatvorlage1"/>
        <w:rPr>
          <w:rFonts w:cs="Arial"/>
        </w:rPr>
      </w:pPr>
      <w:bookmarkStart w:id="39" w:name="_Toc57582514"/>
      <w:r>
        <w:rPr>
          <w:rFonts w:cs="Arial"/>
        </w:rPr>
        <w:t>4.12</w:t>
      </w:r>
      <w:r w:rsidR="00FB329F" w:rsidRPr="003A5293">
        <w:rPr>
          <w:rFonts w:cs="Arial"/>
        </w:rPr>
        <w:t xml:space="preserve"> Quantitative Real-Time Polymerase Chain Reaction</w:t>
      </w:r>
      <w:bookmarkEnd w:id="39"/>
    </w:p>
    <w:p w14:paraId="0CA4FD2C" w14:textId="77777777" w:rsidR="00E2346E" w:rsidRPr="003A5293" w:rsidRDefault="00E2346E" w:rsidP="00FB329F">
      <w:pPr>
        <w:spacing w:line="360" w:lineRule="auto"/>
        <w:jc w:val="both"/>
        <w:rPr>
          <w:rFonts w:ascii="Arial" w:hAnsi="Arial" w:cs="Arial"/>
          <w:sz w:val="22"/>
          <w:szCs w:val="22"/>
          <w:lang w:val="en-US"/>
        </w:rPr>
      </w:pPr>
    </w:p>
    <w:p w14:paraId="30913A28" w14:textId="7F10C0C4" w:rsidR="00FB329F" w:rsidRPr="003A5293" w:rsidRDefault="00384702" w:rsidP="00933466">
      <w:pPr>
        <w:spacing w:line="360" w:lineRule="auto"/>
        <w:jc w:val="both"/>
        <w:rPr>
          <w:rFonts w:ascii="Arial" w:hAnsi="Arial" w:cs="Arial"/>
          <w:sz w:val="22"/>
          <w:szCs w:val="22"/>
          <w:lang w:val="en-US"/>
        </w:rPr>
      </w:pPr>
      <w:r w:rsidRPr="003A5293">
        <w:rPr>
          <w:rFonts w:ascii="Arial" w:hAnsi="Arial" w:cs="Arial"/>
          <w:sz w:val="22"/>
          <w:szCs w:val="22"/>
          <w:lang w:val="en-US"/>
        </w:rPr>
        <w:t xml:space="preserve">Cells were pelleted at 250g for 5 min and thoroughly resuspended in </w:t>
      </w:r>
      <w:r w:rsidR="00FB329F" w:rsidRPr="003A5293">
        <w:rPr>
          <w:rFonts w:ascii="Arial" w:hAnsi="Arial" w:cs="Arial"/>
          <w:sz w:val="22"/>
          <w:szCs w:val="22"/>
          <w:lang w:val="en-US"/>
        </w:rPr>
        <w:t>TRI Reagent (</w:t>
      </w:r>
      <w:r w:rsidR="007D5A29" w:rsidRPr="003A5293">
        <w:rPr>
          <w:rFonts w:ascii="Arial" w:hAnsi="Arial" w:cs="Arial"/>
          <w:sz w:val="22"/>
          <w:szCs w:val="22"/>
          <w:lang w:val="en-US"/>
        </w:rPr>
        <w:t>1 ml of reagent per 5x10</w:t>
      </w:r>
      <w:r w:rsidR="007D5A29" w:rsidRPr="003A5293">
        <w:rPr>
          <w:rFonts w:ascii="Arial" w:hAnsi="Arial" w:cs="Arial"/>
          <w:sz w:val="22"/>
          <w:szCs w:val="22"/>
          <w:vertAlign w:val="superscript"/>
          <w:lang w:val="en-US"/>
        </w:rPr>
        <w:t>6</w:t>
      </w:r>
      <w:r w:rsidR="007D5A29" w:rsidRPr="003A5293">
        <w:rPr>
          <w:rFonts w:ascii="Arial" w:hAnsi="Arial" w:cs="Arial"/>
          <w:sz w:val="22"/>
          <w:szCs w:val="22"/>
          <w:lang w:val="en-US"/>
        </w:rPr>
        <w:t xml:space="preserve"> cells</w:t>
      </w:r>
      <w:r w:rsidR="00FB329F" w:rsidRPr="003A5293">
        <w:rPr>
          <w:rFonts w:ascii="Arial" w:hAnsi="Arial" w:cs="Arial"/>
          <w:sz w:val="22"/>
          <w:szCs w:val="22"/>
          <w:lang w:val="en-US"/>
        </w:rPr>
        <w:t>)</w:t>
      </w:r>
      <w:r w:rsidRPr="003A5293">
        <w:rPr>
          <w:rFonts w:ascii="Arial" w:hAnsi="Arial" w:cs="Arial"/>
          <w:sz w:val="22"/>
          <w:szCs w:val="22"/>
          <w:lang w:val="en-US"/>
        </w:rPr>
        <w:t>. Total RNA was isolated from TRI Reagent according to manufacturer’s instructions</w:t>
      </w:r>
      <w:r w:rsidR="00FB329F" w:rsidRPr="003A5293">
        <w:rPr>
          <w:rFonts w:ascii="Arial" w:hAnsi="Arial" w:cs="Arial"/>
          <w:sz w:val="22"/>
          <w:szCs w:val="22"/>
          <w:lang w:val="en-US"/>
        </w:rPr>
        <w:t xml:space="preserve"> and treated with TURBO DNA-free DNase </w:t>
      </w:r>
      <w:r w:rsidRPr="003A5293">
        <w:rPr>
          <w:rFonts w:ascii="Arial" w:hAnsi="Arial" w:cs="Arial"/>
          <w:sz w:val="22"/>
          <w:szCs w:val="22"/>
          <w:lang w:val="en-US"/>
        </w:rPr>
        <w:t>for 20 min at 37°C</w:t>
      </w:r>
      <w:r w:rsidR="00FB329F" w:rsidRPr="003A5293">
        <w:rPr>
          <w:rFonts w:ascii="Arial" w:hAnsi="Arial" w:cs="Arial"/>
          <w:sz w:val="22"/>
          <w:szCs w:val="22"/>
          <w:lang w:val="en-US"/>
        </w:rPr>
        <w:t xml:space="preserve">. </w:t>
      </w:r>
      <w:proofErr w:type="spellStart"/>
      <w:r w:rsidR="00FB329F" w:rsidRPr="003A5293">
        <w:rPr>
          <w:rFonts w:ascii="Arial" w:hAnsi="Arial" w:cs="Arial"/>
          <w:sz w:val="22"/>
          <w:szCs w:val="22"/>
          <w:lang w:val="en-US"/>
        </w:rPr>
        <w:t>LightCycler</w:t>
      </w:r>
      <w:proofErr w:type="spellEnd"/>
      <w:r w:rsidR="00FB329F" w:rsidRPr="003A5293">
        <w:rPr>
          <w:rFonts w:ascii="Arial" w:hAnsi="Arial" w:cs="Arial"/>
          <w:sz w:val="22"/>
          <w:szCs w:val="22"/>
          <w:lang w:val="en-US"/>
        </w:rPr>
        <w:t xml:space="preserve"> 480 platform </w:t>
      </w:r>
      <w:r w:rsidR="009A2659" w:rsidRPr="003A5293">
        <w:rPr>
          <w:rFonts w:ascii="Arial" w:hAnsi="Arial" w:cs="Arial"/>
          <w:sz w:val="22"/>
          <w:szCs w:val="22"/>
          <w:lang w:val="en-US"/>
        </w:rPr>
        <w:t>was</w:t>
      </w:r>
      <w:r w:rsidR="00FB329F" w:rsidRPr="003A5293">
        <w:rPr>
          <w:rFonts w:ascii="Arial" w:hAnsi="Arial" w:cs="Arial"/>
          <w:sz w:val="22"/>
          <w:szCs w:val="22"/>
          <w:lang w:val="en-US"/>
        </w:rPr>
        <w:t xml:space="preserve"> used </w:t>
      </w:r>
      <w:r w:rsidR="005C39F9" w:rsidRPr="003A5293">
        <w:rPr>
          <w:rFonts w:ascii="Arial" w:hAnsi="Arial" w:cs="Arial"/>
          <w:sz w:val="22"/>
          <w:szCs w:val="22"/>
          <w:lang w:val="en-US"/>
        </w:rPr>
        <w:t>f</w:t>
      </w:r>
      <w:r w:rsidR="00FB329F" w:rsidRPr="003A5293">
        <w:rPr>
          <w:rFonts w:ascii="Arial" w:hAnsi="Arial" w:cs="Arial"/>
          <w:sz w:val="22"/>
          <w:szCs w:val="22"/>
          <w:lang w:val="en-US"/>
        </w:rPr>
        <w:t>or reverse transcription</w:t>
      </w:r>
      <w:r w:rsidRPr="003A5293">
        <w:rPr>
          <w:rFonts w:ascii="Arial" w:hAnsi="Arial" w:cs="Arial"/>
          <w:sz w:val="22"/>
          <w:szCs w:val="22"/>
          <w:lang w:val="en-US"/>
        </w:rPr>
        <w:t xml:space="preserve"> (</w:t>
      </w:r>
      <w:proofErr w:type="spellStart"/>
      <w:r w:rsidRPr="003A5293">
        <w:rPr>
          <w:rFonts w:ascii="Arial" w:hAnsi="Arial" w:cs="Arial"/>
          <w:sz w:val="22"/>
          <w:szCs w:val="22"/>
          <w:lang w:val="en-US"/>
        </w:rPr>
        <w:t>Transcriptor</w:t>
      </w:r>
      <w:proofErr w:type="spellEnd"/>
      <w:r w:rsidRPr="003A5293">
        <w:rPr>
          <w:rFonts w:ascii="Arial" w:hAnsi="Arial" w:cs="Arial"/>
          <w:sz w:val="22"/>
          <w:szCs w:val="22"/>
          <w:lang w:val="en-US"/>
        </w:rPr>
        <w:t xml:space="preserve"> First Strand cDNA Synthesis Kit,</w:t>
      </w:r>
      <w:r w:rsidR="0057055E" w:rsidRPr="003A5293">
        <w:rPr>
          <w:rFonts w:ascii="Arial" w:hAnsi="Arial" w:cs="Arial"/>
          <w:sz w:val="22"/>
          <w:szCs w:val="22"/>
          <w:lang w:val="en-US"/>
        </w:rPr>
        <w:t xml:space="preserve"> </w:t>
      </w:r>
      <w:proofErr w:type="spellStart"/>
      <w:r w:rsidR="0057055E" w:rsidRPr="003A5293">
        <w:rPr>
          <w:rFonts w:ascii="Arial" w:hAnsi="Arial" w:cs="Arial"/>
          <w:sz w:val="22"/>
          <w:szCs w:val="22"/>
          <w:lang w:val="en-US"/>
        </w:rPr>
        <w:t>LightCycler</w:t>
      </w:r>
      <w:proofErr w:type="spellEnd"/>
      <w:r w:rsidR="0057055E" w:rsidRPr="003A5293">
        <w:rPr>
          <w:rFonts w:ascii="Arial" w:hAnsi="Arial" w:cs="Arial"/>
          <w:sz w:val="22"/>
          <w:szCs w:val="22"/>
          <w:lang w:val="en-US"/>
        </w:rPr>
        <w:t xml:space="preserve"> 480</w:t>
      </w:r>
      <w:r w:rsidRPr="003A5293">
        <w:rPr>
          <w:rFonts w:ascii="Arial" w:hAnsi="Arial" w:cs="Arial"/>
          <w:sz w:val="22"/>
          <w:szCs w:val="22"/>
          <w:lang w:val="en-US"/>
        </w:rPr>
        <w:t>)</w:t>
      </w:r>
      <w:r w:rsidR="009A2659" w:rsidRPr="003A5293">
        <w:rPr>
          <w:rFonts w:ascii="Arial" w:hAnsi="Arial" w:cs="Arial"/>
          <w:sz w:val="22"/>
          <w:szCs w:val="22"/>
          <w:lang w:val="en-US"/>
        </w:rPr>
        <w:t>,</w:t>
      </w:r>
      <w:r w:rsidR="00FB329F" w:rsidRPr="003A5293">
        <w:rPr>
          <w:rFonts w:ascii="Arial" w:hAnsi="Arial" w:cs="Arial"/>
          <w:sz w:val="22"/>
          <w:szCs w:val="22"/>
          <w:lang w:val="en-US"/>
        </w:rPr>
        <w:t xml:space="preserve"> </w:t>
      </w:r>
      <w:r w:rsidR="009A2659" w:rsidRPr="003A5293">
        <w:rPr>
          <w:rFonts w:ascii="Arial" w:hAnsi="Arial" w:cs="Arial"/>
          <w:sz w:val="22"/>
          <w:szCs w:val="22"/>
          <w:lang w:val="en-US"/>
        </w:rPr>
        <w:t xml:space="preserve">real-time PCR </w:t>
      </w:r>
      <w:r w:rsidR="00933466" w:rsidRPr="003A5293">
        <w:rPr>
          <w:rFonts w:ascii="Arial" w:hAnsi="Arial" w:cs="Arial"/>
          <w:sz w:val="22"/>
          <w:szCs w:val="22"/>
          <w:lang w:val="en-US"/>
        </w:rPr>
        <w:t xml:space="preserve">with </w:t>
      </w:r>
      <w:r w:rsidR="007D5A29" w:rsidRPr="003A5293">
        <w:rPr>
          <w:rFonts w:ascii="Arial" w:hAnsi="Arial" w:cs="Arial"/>
          <w:sz w:val="22"/>
          <w:szCs w:val="22"/>
          <w:lang w:val="en-US"/>
        </w:rPr>
        <w:t>cycling conditions: 10 min 95°C, 40 cycles: [</w:t>
      </w:r>
      <w:r w:rsidR="00933466" w:rsidRPr="003A5293">
        <w:rPr>
          <w:rFonts w:ascii="Arial" w:hAnsi="Arial" w:cs="Arial"/>
          <w:sz w:val="22"/>
          <w:szCs w:val="22"/>
          <w:lang w:val="en-US"/>
        </w:rPr>
        <w:t xml:space="preserve">10 </w:t>
      </w:r>
      <w:r w:rsidR="007D5A29" w:rsidRPr="003A5293">
        <w:rPr>
          <w:rFonts w:ascii="Arial" w:hAnsi="Arial" w:cs="Arial"/>
          <w:sz w:val="22"/>
          <w:szCs w:val="22"/>
          <w:lang w:val="en-US"/>
        </w:rPr>
        <w:t>s 9</w:t>
      </w:r>
      <w:r w:rsidR="00933466" w:rsidRPr="003A5293">
        <w:rPr>
          <w:rFonts w:ascii="Arial" w:hAnsi="Arial" w:cs="Arial"/>
          <w:sz w:val="22"/>
          <w:szCs w:val="22"/>
          <w:lang w:val="en-US"/>
        </w:rPr>
        <w:t>5</w:t>
      </w:r>
      <w:r w:rsidR="007D5A29" w:rsidRPr="003A5293">
        <w:rPr>
          <w:rFonts w:ascii="Arial" w:hAnsi="Arial" w:cs="Arial"/>
          <w:sz w:val="22"/>
          <w:szCs w:val="22"/>
          <w:lang w:val="en-US"/>
        </w:rPr>
        <w:t xml:space="preserve">°C, </w:t>
      </w:r>
      <w:r w:rsidR="00933466" w:rsidRPr="003A5293">
        <w:rPr>
          <w:rFonts w:ascii="Arial" w:hAnsi="Arial" w:cs="Arial"/>
          <w:sz w:val="22"/>
          <w:szCs w:val="22"/>
          <w:lang w:val="en-US"/>
        </w:rPr>
        <w:t>20</w:t>
      </w:r>
      <w:r w:rsidR="007D5A29" w:rsidRPr="003A5293">
        <w:rPr>
          <w:rFonts w:ascii="Arial" w:hAnsi="Arial" w:cs="Arial"/>
          <w:sz w:val="22"/>
          <w:szCs w:val="22"/>
          <w:lang w:val="en-US"/>
        </w:rPr>
        <w:t xml:space="preserve"> s 63°C, </w:t>
      </w:r>
      <w:r w:rsidR="00933466" w:rsidRPr="003A5293">
        <w:rPr>
          <w:rFonts w:ascii="Arial" w:hAnsi="Arial" w:cs="Arial"/>
          <w:sz w:val="22"/>
          <w:szCs w:val="22"/>
          <w:lang w:val="en-US"/>
        </w:rPr>
        <w:t>30</w:t>
      </w:r>
      <w:r w:rsidR="007D5A29" w:rsidRPr="003A5293">
        <w:rPr>
          <w:rFonts w:ascii="Arial" w:hAnsi="Arial" w:cs="Arial"/>
          <w:sz w:val="22"/>
          <w:szCs w:val="22"/>
          <w:lang w:val="en-US"/>
        </w:rPr>
        <w:t xml:space="preserve"> s 72°C]</w:t>
      </w:r>
      <w:r w:rsidR="00933466" w:rsidRPr="003A5293">
        <w:rPr>
          <w:rFonts w:ascii="Arial" w:hAnsi="Arial" w:cs="Arial"/>
          <w:sz w:val="22"/>
          <w:szCs w:val="22"/>
          <w:lang w:val="en-US"/>
        </w:rPr>
        <w:t xml:space="preserve"> </w:t>
      </w:r>
      <w:r w:rsidR="005C39F9" w:rsidRPr="003A5293">
        <w:rPr>
          <w:rFonts w:ascii="Arial" w:hAnsi="Arial" w:cs="Arial"/>
          <w:sz w:val="22"/>
          <w:szCs w:val="22"/>
          <w:lang w:val="en-US"/>
        </w:rPr>
        <w:t>(</w:t>
      </w:r>
      <w:proofErr w:type="spellStart"/>
      <w:r w:rsidR="009A2659" w:rsidRPr="003A5293">
        <w:rPr>
          <w:rFonts w:ascii="Arial" w:hAnsi="Arial" w:cs="Arial"/>
          <w:sz w:val="22"/>
          <w:szCs w:val="22"/>
          <w:lang w:val="en-US"/>
        </w:rPr>
        <w:t>LightCycler</w:t>
      </w:r>
      <w:proofErr w:type="spellEnd"/>
      <w:r w:rsidR="0057055E" w:rsidRPr="003A5293">
        <w:rPr>
          <w:rFonts w:ascii="Arial" w:hAnsi="Arial" w:cs="Arial"/>
          <w:sz w:val="22"/>
          <w:szCs w:val="22"/>
          <w:lang w:val="en-US"/>
        </w:rPr>
        <w:t xml:space="preserve"> </w:t>
      </w:r>
      <w:r w:rsidR="009A2659" w:rsidRPr="003A5293">
        <w:rPr>
          <w:rFonts w:ascii="Arial" w:hAnsi="Arial" w:cs="Arial"/>
          <w:sz w:val="22"/>
          <w:szCs w:val="22"/>
          <w:lang w:val="en-US"/>
        </w:rPr>
        <w:t xml:space="preserve">480 SYBR Green I Master kit) </w:t>
      </w:r>
      <w:r w:rsidR="00FB329F" w:rsidRPr="003A5293">
        <w:rPr>
          <w:rFonts w:ascii="Arial" w:hAnsi="Arial" w:cs="Arial"/>
          <w:sz w:val="22"/>
          <w:szCs w:val="22"/>
          <w:lang w:val="en-US"/>
        </w:rPr>
        <w:t xml:space="preserve">and relative </w:t>
      </w:r>
      <w:r w:rsidR="009A2659" w:rsidRPr="003A5293">
        <w:rPr>
          <w:rFonts w:ascii="Arial" w:hAnsi="Arial" w:cs="Arial"/>
          <w:sz w:val="22"/>
          <w:szCs w:val="22"/>
          <w:lang w:val="en-US"/>
        </w:rPr>
        <w:t xml:space="preserve">quantification of gene </w:t>
      </w:r>
      <w:r w:rsidR="00FB329F" w:rsidRPr="003A5293">
        <w:rPr>
          <w:rFonts w:ascii="Arial" w:hAnsi="Arial" w:cs="Arial"/>
          <w:sz w:val="22"/>
          <w:szCs w:val="22"/>
          <w:lang w:val="en-US"/>
        </w:rPr>
        <w:t>expression</w:t>
      </w:r>
      <w:r w:rsidR="009A2659" w:rsidRPr="003A5293">
        <w:rPr>
          <w:rFonts w:ascii="Arial" w:hAnsi="Arial" w:cs="Arial"/>
          <w:sz w:val="22"/>
          <w:szCs w:val="22"/>
          <w:lang w:val="en-US"/>
        </w:rPr>
        <w:t xml:space="preserve"> (</w:t>
      </w:r>
      <w:proofErr w:type="spellStart"/>
      <w:r w:rsidR="009A2659" w:rsidRPr="003A5293">
        <w:rPr>
          <w:rFonts w:ascii="Arial" w:hAnsi="Arial" w:cs="Arial"/>
          <w:sz w:val="22"/>
          <w:szCs w:val="22"/>
          <w:lang w:val="en-US"/>
        </w:rPr>
        <w:t>LightCycler</w:t>
      </w:r>
      <w:proofErr w:type="spellEnd"/>
      <w:r w:rsidR="009A2659" w:rsidRPr="003A5293">
        <w:rPr>
          <w:rFonts w:ascii="Arial" w:hAnsi="Arial" w:cs="Arial"/>
          <w:sz w:val="22"/>
          <w:szCs w:val="22"/>
          <w:lang w:val="en-US"/>
        </w:rPr>
        <w:t xml:space="preserve"> 480 software, </w:t>
      </w:r>
      <w:r w:rsidR="009A2659" w:rsidRPr="003A5293">
        <w:rPr>
          <w:rFonts w:ascii="Arial" w:hAnsi="Arial" w:cs="Arial"/>
          <w:sz w:val="22"/>
          <w:szCs w:val="22"/>
          <w:lang w:val="en-US"/>
        </w:rPr>
        <w:sym w:font="Symbol" w:char="F044"/>
      </w:r>
      <w:r w:rsidR="009A2659" w:rsidRPr="003A5293">
        <w:rPr>
          <w:rFonts w:ascii="Arial" w:hAnsi="Arial" w:cs="Arial"/>
          <w:sz w:val="22"/>
          <w:szCs w:val="22"/>
          <w:lang w:val="en-US"/>
        </w:rPr>
        <w:sym w:font="Symbol" w:char="F044"/>
      </w:r>
      <w:proofErr w:type="spellStart"/>
      <w:r w:rsidR="009A2659" w:rsidRPr="003A5293">
        <w:rPr>
          <w:rFonts w:ascii="Arial" w:hAnsi="Arial" w:cs="Arial"/>
          <w:sz w:val="22"/>
          <w:szCs w:val="22"/>
          <w:lang w:val="en-US"/>
        </w:rPr>
        <w:t>ct</w:t>
      </w:r>
      <w:proofErr w:type="spellEnd"/>
      <w:r w:rsidR="009A2659" w:rsidRPr="003A5293">
        <w:rPr>
          <w:rFonts w:ascii="Arial" w:hAnsi="Arial" w:cs="Arial"/>
          <w:sz w:val="22"/>
          <w:szCs w:val="22"/>
          <w:lang w:val="en-US"/>
        </w:rPr>
        <w:t xml:space="preserve">-method, Roche) </w:t>
      </w:r>
      <w:r w:rsidR="00FB329F" w:rsidRPr="003A5293">
        <w:rPr>
          <w:rFonts w:ascii="Arial" w:hAnsi="Arial" w:cs="Arial"/>
          <w:sz w:val="22"/>
          <w:szCs w:val="22"/>
          <w:lang w:val="en-US"/>
        </w:rPr>
        <w:t xml:space="preserve">of all candidate genes. </w:t>
      </w:r>
      <w:r w:rsidR="00FB329F" w:rsidRPr="003A5293">
        <w:rPr>
          <w:rFonts w:ascii="Arial" w:hAnsi="Arial" w:cs="Arial"/>
          <w:i/>
          <w:iCs/>
          <w:sz w:val="22"/>
          <w:szCs w:val="22"/>
          <w:lang w:val="en-US"/>
        </w:rPr>
        <w:t>RPLP0</w:t>
      </w:r>
      <w:r w:rsidR="00FB329F" w:rsidRPr="003A5293">
        <w:rPr>
          <w:rFonts w:ascii="Arial" w:hAnsi="Arial" w:cs="Arial"/>
          <w:sz w:val="22"/>
          <w:szCs w:val="22"/>
          <w:lang w:val="en-US"/>
        </w:rPr>
        <w:t xml:space="preserve"> was used as a most stable reference gene in our experimental conditions (out of candidate reference genes </w:t>
      </w:r>
      <w:r w:rsidR="00FB329F" w:rsidRPr="003A5293">
        <w:rPr>
          <w:rFonts w:ascii="Arial" w:hAnsi="Arial" w:cs="Arial"/>
          <w:i/>
          <w:iCs/>
          <w:sz w:val="22"/>
          <w:szCs w:val="22"/>
          <w:lang w:val="en-US"/>
        </w:rPr>
        <w:t>YWHAZ, RPLP0</w:t>
      </w:r>
      <w:r w:rsidR="00FB329F" w:rsidRPr="003A5293">
        <w:rPr>
          <w:rFonts w:ascii="Arial" w:hAnsi="Arial" w:cs="Arial"/>
          <w:sz w:val="22"/>
          <w:szCs w:val="22"/>
          <w:lang w:val="en-US"/>
        </w:rPr>
        <w:t xml:space="preserve"> and </w:t>
      </w:r>
      <w:r w:rsidR="00FB329F" w:rsidRPr="003A5293">
        <w:rPr>
          <w:rFonts w:ascii="Arial" w:hAnsi="Arial" w:cs="Arial"/>
          <w:i/>
          <w:iCs/>
          <w:sz w:val="22"/>
          <w:szCs w:val="22"/>
          <w:lang w:val="en-US"/>
        </w:rPr>
        <w:t>HPRT</w:t>
      </w:r>
      <w:r w:rsidR="00646C0C" w:rsidRPr="003A5293">
        <w:rPr>
          <w:rFonts w:ascii="Arial" w:hAnsi="Arial" w:cs="Arial"/>
          <w:i/>
          <w:iCs/>
          <w:sz w:val="22"/>
          <w:szCs w:val="22"/>
          <w:lang w:val="en-US"/>
        </w:rPr>
        <w:t>1</w:t>
      </w:r>
      <w:r w:rsidR="00FB329F" w:rsidRPr="003A5293">
        <w:rPr>
          <w:rFonts w:ascii="Arial" w:hAnsi="Arial" w:cs="Arial"/>
          <w:sz w:val="22"/>
          <w:szCs w:val="22"/>
          <w:lang w:val="en-US"/>
        </w:rPr>
        <w:t>).</w:t>
      </w:r>
    </w:p>
    <w:p w14:paraId="4E70DAB6" w14:textId="77777777" w:rsidR="00FB329F" w:rsidRPr="003A5293" w:rsidRDefault="00FB329F" w:rsidP="00FB329F">
      <w:pPr>
        <w:spacing w:line="360" w:lineRule="auto"/>
        <w:jc w:val="both"/>
        <w:rPr>
          <w:rFonts w:ascii="Arial" w:hAnsi="Arial" w:cs="Arial"/>
          <w:sz w:val="22"/>
          <w:szCs w:val="22"/>
          <w:lang w:val="en-US"/>
        </w:rPr>
      </w:pPr>
    </w:p>
    <w:p w14:paraId="22DB490D" w14:textId="77777777" w:rsidR="00452D46" w:rsidRDefault="00452D46" w:rsidP="00FB329F">
      <w:pPr>
        <w:pStyle w:val="Formatvorlage1"/>
        <w:rPr>
          <w:rFonts w:cs="Arial"/>
        </w:rPr>
      </w:pPr>
      <w:bookmarkStart w:id="40" w:name="_Toc57582515"/>
    </w:p>
    <w:p w14:paraId="5A834B36" w14:textId="3085EA2A" w:rsidR="00FB329F" w:rsidRPr="003A5293" w:rsidRDefault="00AF334E" w:rsidP="00FB329F">
      <w:pPr>
        <w:pStyle w:val="Formatvorlage1"/>
        <w:rPr>
          <w:rFonts w:cs="Arial"/>
        </w:rPr>
      </w:pPr>
      <w:r>
        <w:rPr>
          <w:rFonts w:cs="Arial"/>
        </w:rPr>
        <w:t>4.13</w:t>
      </w:r>
      <w:r w:rsidR="00FB329F" w:rsidRPr="003A5293">
        <w:rPr>
          <w:rFonts w:cs="Arial"/>
        </w:rPr>
        <w:t xml:space="preserve"> Flow cytometry analysis</w:t>
      </w:r>
      <w:bookmarkEnd w:id="40"/>
    </w:p>
    <w:p w14:paraId="79E94150" w14:textId="77777777" w:rsidR="00E2346E" w:rsidRPr="003A5293" w:rsidRDefault="00E2346E" w:rsidP="00FB329F">
      <w:pPr>
        <w:spacing w:line="360" w:lineRule="auto"/>
        <w:jc w:val="both"/>
        <w:rPr>
          <w:rFonts w:ascii="Arial" w:hAnsi="Arial" w:cs="Arial"/>
          <w:sz w:val="22"/>
          <w:szCs w:val="22"/>
          <w:lang w:val="en-US"/>
        </w:rPr>
      </w:pPr>
    </w:p>
    <w:p w14:paraId="047B8D15" w14:textId="77777777" w:rsidR="00F33C2D" w:rsidRPr="003A5293" w:rsidRDefault="005C39F9" w:rsidP="00FB329F">
      <w:pPr>
        <w:spacing w:line="360" w:lineRule="auto"/>
        <w:jc w:val="both"/>
        <w:rPr>
          <w:rFonts w:ascii="Arial" w:hAnsi="Arial" w:cs="Arial"/>
          <w:sz w:val="22"/>
          <w:szCs w:val="22"/>
          <w:lang w:val="en-US"/>
        </w:rPr>
      </w:pPr>
      <w:r w:rsidRPr="003A5293">
        <w:rPr>
          <w:rFonts w:ascii="Arial" w:hAnsi="Arial" w:cs="Arial"/>
          <w:sz w:val="22"/>
          <w:szCs w:val="22"/>
          <w:lang w:val="en-US"/>
        </w:rPr>
        <w:t>To</w:t>
      </w:r>
      <w:r w:rsidR="00FB329F" w:rsidRPr="003A5293">
        <w:rPr>
          <w:rFonts w:ascii="Arial" w:hAnsi="Arial" w:cs="Arial"/>
          <w:sz w:val="22"/>
          <w:szCs w:val="22"/>
          <w:lang w:val="en-US"/>
        </w:rPr>
        <w:t xml:space="preserve"> obtain single cell suspension from CD34</w:t>
      </w:r>
      <w:r w:rsidR="00FB329F" w:rsidRPr="003A5293">
        <w:rPr>
          <w:rFonts w:ascii="Arial" w:hAnsi="Arial" w:cs="Arial"/>
          <w:sz w:val="22"/>
          <w:szCs w:val="22"/>
          <w:vertAlign w:val="superscript"/>
          <w:lang w:val="en-US"/>
        </w:rPr>
        <w:t>+</w:t>
      </w:r>
      <w:r w:rsidR="00FB329F" w:rsidRPr="003A5293">
        <w:rPr>
          <w:rFonts w:ascii="Arial" w:hAnsi="Arial" w:cs="Arial"/>
          <w:sz w:val="22"/>
          <w:szCs w:val="22"/>
          <w:lang w:val="en-US"/>
        </w:rPr>
        <w:t xml:space="preserve"> </w:t>
      </w:r>
      <w:r w:rsidR="00F33C2D" w:rsidRPr="003A5293">
        <w:rPr>
          <w:rFonts w:ascii="Arial" w:hAnsi="Arial" w:cs="Arial"/>
          <w:sz w:val="22"/>
          <w:szCs w:val="22"/>
          <w:lang w:val="en-US"/>
        </w:rPr>
        <w:t>P-ECs</w:t>
      </w:r>
      <w:r w:rsidR="00FB329F" w:rsidRPr="003A5293">
        <w:rPr>
          <w:rFonts w:ascii="Arial" w:hAnsi="Arial" w:cs="Arial"/>
          <w:sz w:val="22"/>
          <w:szCs w:val="22"/>
          <w:lang w:val="en-US"/>
        </w:rPr>
        <w:t xml:space="preserve"> for flow cytometry, EBs were </w:t>
      </w:r>
      <w:r w:rsidR="00550E7A" w:rsidRPr="003A5293">
        <w:rPr>
          <w:rFonts w:ascii="Arial" w:hAnsi="Arial" w:cs="Arial"/>
          <w:sz w:val="22"/>
          <w:szCs w:val="22"/>
          <w:lang w:val="en-US"/>
        </w:rPr>
        <w:t>dissociated</w:t>
      </w:r>
      <w:r w:rsidR="00FB329F" w:rsidRPr="003A5293">
        <w:rPr>
          <w:rFonts w:ascii="Arial" w:hAnsi="Arial" w:cs="Arial"/>
          <w:sz w:val="22"/>
          <w:szCs w:val="22"/>
          <w:lang w:val="en-US"/>
        </w:rPr>
        <w:t xml:space="preserve"> by </w:t>
      </w:r>
      <w:proofErr w:type="spellStart"/>
      <w:r w:rsidR="00FB329F" w:rsidRPr="003A5293">
        <w:rPr>
          <w:rFonts w:ascii="Arial" w:hAnsi="Arial" w:cs="Arial"/>
          <w:sz w:val="22"/>
          <w:szCs w:val="22"/>
          <w:lang w:val="en-US"/>
        </w:rPr>
        <w:t>TrypLE</w:t>
      </w:r>
      <w:proofErr w:type="spellEnd"/>
      <w:r w:rsidR="00FB329F" w:rsidRPr="003A5293">
        <w:rPr>
          <w:rFonts w:ascii="Arial" w:hAnsi="Arial" w:cs="Arial"/>
          <w:sz w:val="22"/>
          <w:szCs w:val="22"/>
          <w:lang w:val="en-US"/>
        </w:rPr>
        <w:t xml:space="preserve"> Express</w:t>
      </w:r>
      <w:r w:rsidR="00F33C2D" w:rsidRPr="003A5293">
        <w:rPr>
          <w:rFonts w:ascii="Arial" w:hAnsi="Arial" w:cs="Arial"/>
          <w:sz w:val="22"/>
          <w:szCs w:val="22"/>
          <w:lang w:val="en-US"/>
        </w:rPr>
        <w:t xml:space="preserve"> </w:t>
      </w:r>
      <w:r w:rsidR="00FB329F" w:rsidRPr="003A5293">
        <w:rPr>
          <w:rFonts w:ascii="Arial" w:hAnsi="Arial" w:cs="Arial"/>
          <w:sz w:val="22"/>
          <w:szCs w:val="22"/>
          <w:lang w:val="en-US"/>
        </w:rPr>
        <w:t>for 10 min</w:t>
      </w:r>
      <w:r w:rsidR="00F33C2D" w:rsidRPr="003A5293">
        <w:rPr>
          <w:rFonts w:ascii="Arial" w:hAnsi="Arial" w:cs="Arial"/>
          <w:sz w:val="22"/>
          <w:szCs w:val="22"/>
          <w:lang w:val="en-US"/>
        </w:rPr>
        <w:t xml:space="preserve"> at 37°C,</w:t>
      </w:r>
      <w:r w:rsidRPr="003A5293">
        <w:rPr>
          <w:rFonts w:ascii="Arial" w:hAnsi="Arial" w:cs="Arial"/>
          <w:sz w:val="22"/>
          <w:szCs w:val="22"/>
          <w:lang w:val="en-US"/>
        </w:rPr>
        <w:t xml:space="preserve"> </w:t>
      </w:r>
      <w:r w:rsidR="00F33C2D" w:rsidRPr="003A5293">
        <w:rPr>
          <w:rFonts w:ascii="Arial" w:hAnsi="Arial" w:cs="Arial"/>
          <w:sz w:val="22"/>
          <w:szCs w:val="22"/>
          <w:lang w:val="en-US"/>
        </w:rPr>
        <w:t>followed by 2 min of extensive pipetting with 1ml pipette tip to further release cells from EBs. Cell suspension was washed afterwards</w:t>
      </w:r>
      <w:r w:rsidR="00FB329F" w:rsidRPr="003A5293">
        <w:rPr>
          <w:rFonts w:ascii="Arial" w:hAnsi="Arial" w:cs="Arial"/>
          <w:sz w:val="22"/>
          <w:szCs w:val="22"/>
          <w:lang w:val="en-US"/>
        </w:rPr>
        <w:t xml:space="preserve"> twice with ice-cold 1% BSA in PBS</w:t>
      </w:r>
      <w:r w:rsidR="001C2E9B" w:rsidRPr="003A5293">
        <w:rPr>
          <w:rFonts w:ascii="Arial" w:hAnsi="Arial" w:cs="Arial"/>
          <w:sz w:val="22"/>
          <w:szCs w:val="22"/>
          <w:lang w:val="en-US"/>
        </w:rPr>
        <w:t xml:space="preserve"> </w:t>
      </w:r>
      <w:r w:rsidR="00FB329F" w:rsidRPr="003A5293">
        <w:rPr>
          <w:rFonts w:ascii="Arial" w:hAnsi="Arial" w:cs="Arial"/>
          <w:sz w:val="22"/>
          <w:szCs w:val="22"/>
          <w:lang w:val="en-US"/>
        </w:rPr>
        <w:t xml:space="preserve">and flown through 40 </w:t>
      </w:r>
      <w:proofErr w:type="spellStart"/>
      <w:r w:rsidR="00FB329F" w:rsidRPr="003A5293">
        <w:rPr>
          <w:rFonts w:ascii="Arial" w:hAnsi="Arial" w:cs="Arial"/>
          <w:sz w:val="22"/>
          <w:szCs w:val="22"/>
          <w:lang w:val="en-US"/>
        </w:rPr>
        <w:t>μm</w:t>
      </w:r>
      <w:proofErr w:type="spellEnd"/>
      <w:r w:rsidR="00FB329F" w:rsidRPr="003A5293">
        <w:rPr>
          <w:rFonts w:ascii="Arial" w:hAnsi="Arial" w:cs="Arial"/>
          <w:sz w:val="22"/>
          <w:szCs w:val="22"/>
          <w:lang w:val="en-US"/>
        </w:rPr>
        <w:t xml:space="preserve"> cell strainer</w:t>
      </w:r>
      <w:r w:rsidR="00753E7D" w:rsidRPr="003A5293">
        <w:rPr>
          <w:rFonts w:ascii="Arial" w:hAnsi="Arial" w:cs="Arial"/>
          <w:sz w:val="22"/>
          <w:szCs w:val="22"/>
          <w:lang w:val="en-US"/>
        </w:rPr>
        <w:t xml:space="preserve"> to remove cell aggregates</w:t>
      </w:r>
      <w:r w:rsidR="00F33C2D" w:rsidRPr="003A5293">
        <w:rPr>
          <w:rFonts w:ascii="Arial" w:hAnsi="Arial" w:cs="Arial"/>
          <w:sz w:val="22"/>
          <w:szCs w:val="22"/>
          <w:lang w:val="en-US"/>
        </w:rPr>
        <w:t>.</w:t>
      </w:r>
    </w:p>
    <w:p w14:paraId="12E00B37" w14:textId="77777777" w:rsidR="00FB329F" w:rsidRPr="003A5293" w:rsidRDefault="00FB329F" w:rsidP="00FB329F">
      <w:pPr>
        <w:spacing w:line="360" w:lineRule="auto"/>
        <w:jc w:val="both"/>
        <w:rPr>
          <w:rFonts w:ascii="Arial" w:hAnsi="Arial" w:cs="Arial"/>
          <w:sz w:val="22"/>
          <w:szCs w:val="22"/>
          <w:lang w:val="en-US"/>
        </w:rPr>
      </w:pPr>
      <w:r w:rsidRPr="003A5293">
        <w:rPr>
          <w:rFonts w:ascii="Arial" w:hAnsi="Arial" w:cs="Arial"/>
          <w:sz w:val="22"/>
          <w:szCs w:val="22"/>
          <w:lang w:val="en-US"/>
        </w:rPr>
        <w:t>For cell cycle distribution analysis, CD34</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w:t>
      </w:r>
      <w:r w:rsidR="00F33C2D" w:rsidRPr="003A5293">
        <w:rPr>
          <w:rFonts w:ascii="Arial" w:hAnsi="Arial" w:cs="Arial"/>
          <w:sz w:val="22"/>
          <w:szCs w:val="22"/>
          <w:lang w:val="en-US"/>
        </w:rPr>
        <w:t>P-ECs</w:t>
      </w:r>
      <w:r w:rsidRPr="003A5293">
        <w:rPr>
          <w:rFonts w:ascii="Arial" w:hAnsi="Arial" w:cs="Arial"/>
          <w:sz w:val="22"/>
          <w:szCs w:val="22"/>
          <w:lang w:val="en-US"/>
        </w:rPr>
        <w:t xml:space="preserve"> were synchronized in basal StemPro-34 SFM</w:t>
      </w:r>
      <w:r w:rsidR="00F33C2D" w:rsidRPr="003A5293">
        <w:rPr>
          <w:rFonts w:ascii="Arial" w:hAnsi="Arial" w:cs="Arial"/>
          <w:sz w:val="22"/>
          <w:szCs w:val="22"/>
          <w:lang w:val="en-US"/>
        </w:rPr>
        <w:t xml:space="preserve"> media</w:t>
      </w:r>
      <w:r w:rsidRPr="003A5293">
        <w:rPr>
          <w:rFonts w:ascii="Arial" w:hAnsi="Arial" w:cs="Arial"/>
          <w:sz w:val="22"/>
          <w:szCs w:val="22"/>
          <w:lang w:val="en-US"/>
        </w:rPr>
        <w:t xml:space="preserve"> </w:t>
      </w:r>
      <w:r w:rsidR="00F33C2D" w:rsidRPr="003A5293">
        <w:rPr>
          <w:rFonts w:ascii="Arial" w:hAnsi="Arial" w:cs="Arial"/>
          <w:sz w:val="22"/>
          <w:szCs w:val="22"/>
          <w:lang w:val="en-US"/>
        </w:rPr>
        <w:t xml:space="preserve">without any cytokines for 12 hours </w:t>
      </w:r>
      <w:r w:rsidRPr="003A5293">
        <w:rPr>
          <w:rFonts w:ascii="Arial" w:hAnsi="Arial" w:cs="Arial"/>
          <w:sz w:val="22"/>
          <w:szCs w:val="22"/>
          <w:lang w:val="en-US"/>
        </w:rPr>
        <w:t xml:space="preserve">and afterwards </w:t>
      </w:r>
      <w:r w:rsidR="00F33C2D" w:rsidRPr="003A5293">
        <w:rPr>
          <w:rFonts w:ascii="Arial" w:hAnsi="Arial" w:cs="Arial"/>
          <w:sz w:val="22"/>
          <w:szCs w:val="22"/>
          <w:lang w:val="en-US"/>
        </w:rPr>
        <w:t>pulse-</w:t>
      </w:r>
      <w:r w:rsidRPr="003A5293">
        <w:rPr>
          <w:rFonts w:ascii="Arial" w:hAnsi="Arial" w:cs="Arial"/>
          <w:sz w:val="22"/>
          <w:szCs w:val="22"/>
          <w:lang w:val="en-US"/>
        </w:rPr>
        <w:t>labelled with 10µM 5-Bromo-2′-deoxyuridine (</w:t>
      </w:r>
      <w:proofErr w:type="spellStart"/>
      <w:r w:rsidRPr="003A5293">
        <w:rPr>
          <w:rFonts w:ascii="Arial" w:hAnsi="Arial" w:cs="Arial"/>
          <w:sz w:val="22"/>
          <w:szCs w:val="22"/>
          <w:lang w:val="en-US"/>
        </w:rPr>
        <w:t>BrdU</w:t>
      </w:r>
      <w:proofErr w:type="spellEnd"/>
      <w:r w:rsidRPr="003A5293">
        <w:rPr>
          <w:rFonts w:ascii="Arial" w:hAnsi="Arial" w:cs="Arial"/>
          <w:sz w:val="22"/>
          <w:szCs w:val="22"/>
          <w:lang w:val="en-US"/>
        </w:rPr>
        <w:t xml:space="preserve">) </w:t>
      </w:r>
      <w:r w:rsidR="00F33C2D" w:rsidRPr="003A5293">
        <w:rPr>
          <w:rFonts w:ascii="Arial" w:hAnsi="Arial" w:cs="Arial"/>
          <w:sz w:val="22"/>
          <w:szCs w:val="22"/>
          <w:lang w:val="en-US"/>
        </w:rPr>
        <w:t xml:space="preserve">in complete differentiation media </w:t>
      </w:r>
      <w:r w:rsidRPr="003A5293">
        <w:rPr>
          <w:rFonts w:ascii="Arial" w:hAnsi="Arial" w:cs="Arial"/>
          <w:sz w:val="22"/>
          <w:szCs w:val="22"/>
          <w:lang w:val="en-US"/>
        </w:rPr>
        <w:t>for 12</w:t>
      </w:r>
      <w:r w:rsidR="00753E7D" w:rsidRPr="003A5293">
        <w:rPr>
          <w:rFonts w:ascii="Arial" w:hAnsi="Arial" w:cs="Arial"/>
          <w:sz w:val="22"/>
          <w:szCs w:val="22"/>
          <w:lang w:val="en-US"/>
        </w:rPr>
        <w:t xml:space="preserve"> </w:t>
      </w:r>
      <w:r w:rsidRPr="003A5293">
        <w:rPr>
          <w:rFonts w:ascii="Arial" w:hAnsi="Arial" w:cs="Arial"/>
          <w:sz w:val="22"/>
          <w:szCs w:val="22"/>
          <w:lang w:val="en-US"/>
        </w:rPr>
        <w:t>h</w:t>
      </w:r>
      <w:r w:rsidR="00753E7D" w:rsidRPr="003A5293">
        <w:rPr>
          <w:rFonts w:ascii="Arial" w:hAnsi="Arial" w:cs="Arial"/>
          <w:sz w:val="22"/>
          <w:szCs w:val="22"/>
          <w:lang w:val="en-US"/>
        </w:rPr>
        <w:t>ours</w:t>
      </w:r>
      <w:r w:rsidRPr="003A5293">
        <w:rPr>
          <w:rFonts w:ascii="Arial" w:hAnsi="Arial" w:cs="Arial"/>
          <w:sz w:val="22"/>
          <w:szCs w:val="22"/>
          <w:lang w:val="en-US"/>
        </w:rPr>
        <w:t xml:space="preserve">. </w:t>
      </w:r>
      <w:r w:rsidR="00F33C2D" w:rsidRPr="003A5293">
        <w:rPr>
          <w:rFonts w:ascii="Arial" w:hAnsi="Arial" w:cs="Arial"/>
          <w:sz w:val="22"/>
          <w:szCs w:val="22"/>
          <w:lang w:val="en-US"/>
        </w:rPr>
        <w:t xml:space="preserve">For group of samples treated with inflammatory cytokines, </w:t>
      </w:r>
      <w:proofErr w:type="spellStart"/>
      <w:r w:rsidRPr="003A5293">
        <w:rPr>
          <w:rFonts w:ascii="Arial" w:hAnsi="Arial" w:cs="Arial"/>
          <w:sz w:val="22"/>
          <w:szCs w:val="22"/>
          <w:lang w:val="en-US"/>
        </w:rPr>
        <w:t>IFNγ</w:t>
      </w:r>
      <w:proofErr w:type="spellEnd"/>
      <w:r w:rsidRPr="003A5293">
        <w:rPr>
          <w:rFonts w:ascii="Arial" w:hAnsi="Arial" w:cs="Arial"/>
          <w:sz w:val="22"/>
          <w:szCs w:val="22"/>
          <w:lang w:val="en-US"/>
        </w:rPr>
        <w:t xml:space="preserve">, TNFα and TGFβ1 were added </w:t>
      </w:r>
      <w:r w:rsidR="003521FE" w:rsidRPr="003A5293">
        <w:rPr>
          <w:rFonts w:ascii="Arial" w:hAnsi="Arial" w:cs="Arial"/>
          <w:sz w:val="22"/>
          <w:szCs w:val="22"/>
          <w:lang w:val="en-US"/>
        </w:rPr>
        <w:t>in both</w:t>
      </w:r>
      <w:r w:rsidRPr="003A5293">
        <w:rPr>
          <w:rFonts w:ascii="Arial" w:hAnsi="Arial" w:cs="Arial"/>
          <w:sz w:val="22"/>
          <w:szCs w:val="22"/>
          <w:lang w:val="en-US"/>
        </w:rPr>
        <w:t xml:space="preserve"> basal media </w:t>
      </w:r>
      <w:r w:rsidR="003521FE" w:rsidRPr="003A5293">
        <w:rPr>
          <w:rFonts w:ascii="Arial" w:hAnsi="Arial" w:cs="Arial"/>
          <w:sz w:val="22"/>
          <w:szCs w:val="22"/>
          <w:lang w:val="en-US"/>
        </w:rPr>
        <w:t xml:space="preserve">for synchronization </w:t>
      </w:r>
      <w:r w:rsidRPr="003A5293">
        <w:rPr>
          <w:rFonts w:ascii="Arial" w:hAnsi="Arial" w:cs="Arial"/>
          <w:sz w:val="22"/>
          <w:szCs w:val="22"/>
          <w:lang w:val="en-US"/>
        </w:rPr>
        <w:t>and to complete media</w:t>
      </w:r>
      <w:r w:rsidR="003521FE" w:rsidRPr="003A5293">
        <w:rPr>
          <w:rFonts w:ascii="Arial" w:hAnsi="Arial" w:cs="Arial"/>
          <w:sz w:val="22"/>
          <w:szCs w:val="22"/>
          <w:lang w:val="en-US"/>
        </w:rPr>
        <w:t xml:space="preserve"> for pulse labeling with </w:t>
      </w:r>
      <w:proofErr w:type="spellStart"/>
      <w:r w:rsidR="003521FE" w:rsidRPr="003A5293">
        <w:rPr>
          <w:rFonts w:ascii="Arial" w:hAnsi="Arial" w:cs="Arial"/>
          <w:sz w:val="22"/>
          <w:szCs w:val="22"/>
          <w:lang w:val="en-US"/>
        </w:rPr>
        <w:t>BrdU</w:t>
      </w:r>
      <w:proofErr w:type="spellEnd"/>
      <w:r w:rsidRPr="003A5293">
        <w:rPr>
          <w:rFonts w:ascii="Arial" w:hAnsi="Arial" w:cs="Arial"/>
          <w:sz w:val="22"/>
          <w:szCs w:val="22"/>
          <w:lang w:val="en-US"/>
        </w:rPr>
        <w:t xml:space="preserve"> (</w:t>
      </w:r>
      <w:r w:rsidR="0072783B" w:rsidRPr="003A5293">
        <w:rPr>
          <w:rFonts w:ascii="Arial" w:hAnsi="Arial" w:cs="Arial"/>
          <w:sz w:val="22"/>
          <w:szCs w:val="22"/>
          <w:lang w:val="en-US"/>
        </w:rPr>
        <w:sym w:font="Symbol" w:char="F053"/>
      </w:r>
      <w:r w:rsidR="0072783B" w:rsidRPr="003A5293">
        <w:rPr>
          <w:rFonts w:ascii="Arial" w:hAnsi="Arial" w:cs="Arial"/>
          <w:sz w:val="22"/>
          <w:szCs w:val="22"/>
          <w:lang w:val="en-US"/>
        </w:rPr>
        <w:t xml:space="preserve"> </w:t>
      </w:r>
      <w:r w:rsidRPr="003A5293">
        <w:rPr>
          <w:rFonts w:ascii="Arial" w:hAnsi="Arial" w:cs="Arial"/>
          <w:sz w:val="22"/>
          <w:szCs w:val="22"/>
          <w:lang w:val="en-US"/>
        </w:rPr>
        <w:t>24</w:t>
      </w:r>
      <w:r w:rsidR="003521FE" w:rsidRPr="003A5293">
        <w:rPr>
          <w:rFonts w:ascii="Arial" w:hAnsi="Arial" w:cs="Arial"/>
          <w:sz w:val="22"/>
          <w:szCs w:val="22"/>
          <w:lang w:val="en-US"/>
        </w:rPr>
        <w:t xml:space="preserve"> </w:t>
      </w:r>
      <w:r w:rsidRPr="003A5293">
        <w:rPr>
          <w:rFonts w:ascii="Arial" w:hAnsi="Arial" w:cs="Arial"/>
          <w:sz w:val="22"/>
          <w:szCs w:val="22"/>
          <w:lang w:val="en-US"/>
        </w:rPr>
        <w:t>h</w:t>
      </w:r>
      <w:r w:rsidR="003521FE" w:rsidRPr="003A5293">
        <w:rPr>
          <w:rFonts w:ascii="Arial" w:hAnsi="Arial" w:cs="Arial"/>
          <w:sz w:val="22"/>
          <w:szCs w:val="22"/>
          <w:lang w:val="en-US"/>
        </w:rPr>
        <w:t>ours</w:t>
      </w:r>
      <w:r w:rsidRPr="003A5293">
        <w:rPr>
          <w:rFonts w:ascii="Arial" w:hAnsi="Arial" w:cs="Arial"/>
          <w:sz w:val="22"/>
          <w:szCs w:val="22"/>
          <w:lang w:val="en-US"/>
        </w:rPr>
        <w:t xml:space="preserve">). </w:t>
      </w:r>
      <w:r w:rsidR="0072783B" w:rsidRPr="003A5293">
        <w:rPr>
          <w:rFonts w:ascii="Arial" w:hAnsi="Arial" w:cs="Arial"/>
          <w:sz w:val="22"/>
          <w:szCs w:val="22"/>
          <w:lang w:val="en-US"/>
        </w:rPr>
        <w:t>Cells were</w:t>
      </w:r>
      <w:r w:rsidR="00CA33A2" w:rsidRPr="003A5293">
        <w:rPr>
          <w:rFonts w:ascii="Arial" w:hAnsi="Arial" w:cs="Arial"/>
          <w:sz w:val="22"/>
          <w:szCs w:val="22"/>
          <w:lang w:val="en-US"/>
        </w:rPr>
        <w:t xml:space="preserve"> then</w:t>
      </w:r>
      <w:r w:rsidR="0072783B" w:rsidRPr="003A5293">
        <w:rPr>
          <w:rFonts w:ascii="Arial" w:hAnsi="Arial" w:cs="Arial"/>
          <w:sz w:val="22"/>
          <w:szCs w:val="22"/>
          <w:lang w:val="en-US"/>
        </w:rPr>
        <w:t xml:space="preserve"> pelleted by 250g for 5 min</w:t>
      </w:r>
      <w:r w:rsidR="00CA33A2" w:rsidRPr="003A5293">
        <w:rPr>
          <w:rFonts w:ascii="Arial" w:hAnsi="Arial" w:cs="Arial"/>
          <w:sz w:val="22"/>
          <w:szCs w:val="22"/>
          <w:lang w:val="en-US"/>
        </w:rPr>
        <w:t xml:space="preserve"> and resuspended in 1ml of 2N HCL with 0.1% Triton X100. After 30 min incubation at room temperature, cells were washed twice with PBS</w:t>
      </w:r>
      <w:r w:rsidR="001C2E9B" w:rsidRPr="003A5293">
        <w:rPr>
          <w:rFonts w:ascii="Arial" w:hAnsi="Arial" w:cs="Arial"/>
          <w:sz w:val="22"/>
          <w:szCs w:val="22"/>
          <w:lang w:val="en-US"/>
        </w:rPr>
        <w:t>-T/1%FBS (PBS containing 0.1% Tween20 and 1% FBS)</w:t>
      </w:r>
      <w:r w:rsidR="00CA33A2" w:rsidRPr="003A5293">
        <w:rPr>
          <w:rFonts w:ascii="Arial" w:hAnsi="Arial" w:cs="Arial"/>
          <w:sz w:val="22"/>
          <w:szCs w:val="22"/>
          <w:lang w:val="en-US"/>
        </w:rPr>
        <w:t xml:space="preserve"> </w:t>
      </w:r>
      <w:r w:rsidR="001C2E9B" w:rsidRPr="003A5293">
        <w:rPr>
          <w:rFonts w:ascii="Arial" w:hAnsi="Arial" w:cs="Arial"/>
          <w:sz w:val="22"/>
          <w:szCs w:val="22"/>
          <w:lang w:val="en-US"/>
        </w:rPr>
        <w:t>and resuspended in PBS</w:t>
      </w:r>
      <w:r w:rsidR="00E34719" w:rsidRPr="003A5293">
        <w:rPr>
          <w:rFonts w:ascii="Arial" w:hAnsi="Arial" w:cs="Arial"/>
          <w:sz w:val="22"/>
          <w:szCs w:val="22"/>
          <w:lang w:val="en-US"/>
        </w:rPr>
        <w:t>-</w:t>
      </w:r>
      <w:r w:rsidR="001C2E9B" w:rsidRPr="003A5293">
        <w:rPr>
          <w:rFonts w:ascii="Arial" w:hAnsi="Arial" w:cs="Arial"/>
          <w:sz w:val="22"/>
          <w:szCs w:val="22"/>
          <w:lang w:val="en-US"/>
        </w:rPr>
        <w:t>T/1%FBS with</w:t>
      </w:r>
      <w:r w:rsidR="001C2E9B" w:rsidRPr="003A5293">
        <w:rPr>
          <w:rFonts w:ascii="Arial" w:hAnsi="Arial" w:cs="Arial"/>
          <w:lang w:val="en-US"/>
        </w:rPr>
        <w:t xml:space="preserve"> </w:t>
      </w:r>
      <w:r w:rsidR="001C2E9B" w:rsidRPr="003A5293">
        <w:rPr>
          <w:rFonts w:ascii="Arial" w:hAnsi="Arial" w:cs="Arial"/>
          <w:sz w:val="22"/>
          <w:szCs w:val="22"/>
          <w:lang w:val="en-US"/>
        </w:rPr>
        <w:t>anti-</w:t>
      </w:r>
      <w:proofErr w:type="spellStart"/>
      <w:r w:rsidR="001C2E9B" w:rsidRPr="003A5293">
        <w:rPr>
          <w:rFonts w:ascii="Arial" w:hAnsi="Arial" w:cs="Arial"/>
          <w:sz w:val="22"/>
          <w:szCs w:val="22"/>
          <w:lang w:val="en-US"/>
        </w:rPr>
        <w:t>BrdU</w:t>
      </w:r>
      <w:proofErr w:type="spellEnd"/>
      <w:r w:rsidR="001C2E9B" w:rsidRPr="003A5293">
        <w:rPr>
          <w:rFonts w:ascii="Arial" w:hAnsi="Arial" w:cs="Arial"/>
          <w:sz w:val="22"/>
          <w:szCs w:val="22"/>
          <w:lang w:val="en-US"/>
        </w:rPr>
        <w:t>-FITC antibody (1:20; 200µl for 5x10</w:t>
      </w:r>
      <w:r w:rsidR="001C2E9B" w:rsidRPr="003A5293">
        <w:rPr>
          <w:rFonts w:ascii="Arial" w:hAnsi="Arial" w:cs="Arial"/>
          <w:sz w:val="22"/>
          <w:szCs w:val="22"/>
          <w:vertAlign w:val="superscript"/>
          <w:lang w:val="en-US"/>
        </w:rPr>
        <w:t>5</w:t>
      </w:r>
      <w:r w:rsidR="001C2E9B" w:rsidRPr="003A5293">
        <w:rPr>
          <w:rFonts w:ascii="Arial" w:hAnsi="Arial" w:cs="Arial"/>
          <w:sz w:val="22"/>
          <w:szCs w:val="22"/>
          <w:lang w:val="en-US"/>
        </w:rPr>
        <w:t xml:space="preserve"> cells)</w:t>
      </w:r>
      <w:r w:rsidR="00F26EB6" w:rsidRPr="003A5293">
        <w:rPr>
          <w:rFonts w:ascii="Arial" w:hAnsi="Arial" w:cs="Arial"/>
          <w:sz w:val="22"/>
          <w:szCs w:val="22"/>
          <w:lang w:val="en-US"/>
        </w:rPr>
        <w:t xml:space="preserve">. After incubation for 1 hour at room temperature cell were washed again with PBS-T/1%FBS and resuspended in </w:t>
      </w:r>
      <w:proofErr w:type="spellStart"/>
      <w:r w:rsidR="00F26EB6" w:rsidRPr="003A5293">
        <w:rPr>
          <w:rFonts w:ascii="Arial" w:hAnsi="Arial" w:cs="Arial"/>
          <w:sz w:val="22"/>
          <w:szCs w:val="22"/>
          <w:lang w:val="en-US"/>
        </w:rPr>
        <w:t>eBioscience</w:t>
      </w:r>
      <w:proofErr w:type="spellEnd"/>
      <w:r w:rsidR="00F26EB6" w:rsidRPr="003A5293">
        <w:rPr>
          <w:rFonts w:ascii="Arial" w:hAnsi="Arial" w:cs="Arial"/>
          <w:sz w:val="22"/>
          <w:szCs w:val="22"/>
          <w:lang w:val="en-US"/>
        </w:rPr>
        <w:t xml:space="preserve"> Propidium Iodide Staining Solution supplemented with 0.1 mg/ml of RNase A. After incubation for 30 min at room temperature, samples were measured on flow cytometer.</w:t>
      </w:r>
    </w:p>
    <w:p w14:paraId="381AF361" w14:textId="77777777" w:rsidR="00FB329F" w:rsidRPr="003A5293" w:rsidRDefault="00FB329F" w:rsidP="00FB329F">
      <w:pPr>
        <w:spacing w:line="360" w:lineRule="auto"/>
        <w:jc w:val="both"/>
        <w:rPr>
          <w:rFonts w:ascii="Arial" w:hAnsi="Arial" w:cs="Arial"/>
          <w:sz w:val="22"/>
          <w:szCs w:val="22"/>
          <w:lang w:val="en-US"/>
        </w:rPr>
      </w:pPr>
      <w:r w:rsidRPr="003A5293">
        <w:rPr>
          <w:rFonts w:ascii="Arial" w:hAnsi="Arial" w:cs="Arial"/>
          <w:sz w:val="22"/>
          <w:szCs w:val="22"/>
          <w:lang w:val="en-US"/>
        </w:rPr>
        <w:t xml:space="preserve">Kinetics of reactive oxygen species production </w:t>
      </w:r>
      <w:r w:rsidR="00170D0B" w:rsidRPr="003A5293">
        <w:rPr>
          <w:rFonts w:ascii="Arial" w:hAnsi="Arial" w:cs="Arial"/>
          <w:sz w:val="22"/>
          <w:szCs w:val="22"/>
          <w:lang w:val="en-US"/>
        </w:rPr>
        <w:t>after 3, 6, 12 and 24 hour treatment of CD34</w:t>
      </w:r>
      <w:r w:rsidR="00170D0B" w:rsidRPr="003A5293">
        <w:rPr>
          <w:rFonts w:ascii="Arial" w:hAnsi="Arial" w:cs="Arial"/>
          <w:sz w:val="22"/>
          <w:szCs w:val="22"/>
          <w:vertAlign w:val="superscript"/>
          <w:lang w:val="en-US"/>
        </w:rPr>
        <w:t>+</w:t>
      </w:r>
      <w:r w:rsidR="00170D0B" w:rsidRPr="003A5293">
        <w:rPr>
          <w:rFonts w:ascii="Arial" w:hAnsi="Arial" w:cs="Arial"/>
          <w:sz w:val="22"/>
          <w:szCs w:val="22"/>
          <w:lang w:val="en-US"/>
        </w:rPr>
        <w:t xml:space="preserve"> P-ECs with inflammatory cytokines was</w:t>
      </w:r>
      <w:r w:rsidRPr="003A5293">
        <w:rPr>
          <w:rFonts w:ascii="Arial" w:hAnsi="Arial" w:cs="Arial"/>
          <w:sz w:val="22"/>
          <w:szCs w:val="22"/>
          <w:lang w:val="en-US"/>
        </w:rPr>
        <w:t xml:space="preserve"> measured by </w:t>
      </w:r>
      <w:r w:rsidR="00170D0B" w:rsidRPr="003A5293">
        <w:rPr>
          <w:rFonts w:ascii="Arial" w:hAnsi="Arial" w:cs="Arial"/>
          <w:sz w:val="22"/>
          <w:szCs w:val="22"/>
          <w:lang w:val="en-US"/>
        </w:rPr>
        <w:t xml:space="preserve">post-treatment </w:t>
      </w:r>
      <w:proofErr w:type="spellStart"/>
      <w:r w:rsidRPr="003A5293">
        <w:rPr>
          <w:rFonts w:ascii="Arial" w:hAnsi="Arial" w:cs="Arial"/>
          <w:sz w:val="22"/>
          <w:szCs w:val="22"/>
          <w:lang w:val="en-US"/>
        </w:rPr>
        <w:t>CellROX</w:t>
      </w:r>
      <w:proofErr w:type="spellEnd"/>
      <w:r w:rsidRPr="003A5293">
        <w:rPr>
          <w:rFonts w:ascii="Arial" w:hAnsi="Arial" w:cs="Arial"/>
          <w:sz w:val="22"/>
          <w:szCs w:val="22"/>
          <w:lang w:val="en-US"/>
        </w:rPr>
        <w:t xml:space="preserve"> Green Flow Cytometry Assay Kit </w:t>
      </w:r>
      <w:r w:rsidR="00753E7D" w:rsidRPr="003A5293">
        <w:rPr>
          <w:rFonts w:ascii="Arial" w:hAnsi="Arial" w:cs="Arial"/>
          <w:sz w:val="22"/>
          <w:szCs w:val="22"/>
          <w:lang w:val="en-US"/>
        </w:rPr>
        <w:t>probe</w:t>
      </w:r>
      <w:r w:rsidR="00170D0B" w:rsidRPr="003A5293">
        <w:rPr>
          <w:rFonts w:ascii="Arial" w:hAnsi="Arial" w:cs="Arial"/>
          <w:sz w:val="22"/>
          <w:szCs w:val="22"/>
          <w:lang w:val="en-US"/>
        </w:rPr>
        <w:t xml:space="preserve"> loading</w:t>
      </w:r>
      <w:r w:rsidR="00753E7D" w:rsidRPr="003A5293">
        <w:rPr>
          <w:rFonts w:ascii="Arial" w:hAnsi="Arial" w:cs="Arial"/>
          <w:sz w:val="22"/>
          <w:szCs w:val="22"/>
          <w:lang w:val="en-US"/>
        </w:rPr>
        <w:t xml:space="preserve"> (1:2</w:t>
      </w:r>
      <w:r w:rsidR="00E34719" w:rsidRPr="003A5293">
        <w:rPr>
          <w:rFonts w:ascii="Arial" w:hAnsi="Arial" w:cs="Arial"/>
          <w:sz w:val="22"/>
          <w:szCs w:val="22"/>
          <w:lang w:val="en-US"/>
        </w:rPr>
        <w:t>5</w:t>
      </w:r>
      <w:r w:rsidR="00753E7D" w:rsidRPr="003A5293">
        <w:rPr>
          <w:rFonts w:ascii="Arial" w:hAnsi="Arial" w:cs="Arial"/>
          <w:sz w:val="22"/>
          <w:szCs w:val="22"/>
          <w:lang w:val="en-US"/>
        </w:rPr>
        <w:t>00)</w:t>
      </w:r>
      <w:r w:rsidR="00550E7A" w:rsidRPr="003A5293">
        <w:rPr>
          <w:rFonts w:ascii="Arial" w:hAnsi="Arial" w:cs="Arial"/>
          <w:sz w:val="22"/>
          <w:szCs w:val="22"/>
          <w:lang w:val="en-US"/>
        </w:rPr>
        <w:t>,</w:t>
      </w:r>
      <w:r w:rsidR="00753E7D" w:rsidRPr="003A5293">
        <w:rPr>
          <w:rFonts w:ascii="Arial" w:hAnsi="Arial" w:cs="Arial"/>
          <w:sz w:val="22"/>
          <w:szCs w:val="22"/>
          <w:lang w:val="en-US"/>
        </w:rPr>
        <w:t xml:space="preserve"> </w:t>
      </w:r>
      <w:r w:rsidR="00170D0B" w:rsidRPr="003A5293">
        <w:rPr>
          <w:rFonts w:ascii="Arial" w:hAnsi="Arial" w:cs="Arial"/>
          <w:sz w:val="22"/>
          <w:szCs w:val="22"/>
          <w:lang w:val="en-US"/>
        </w:rPr>
        <w:t xml:space="preserve">protected from light </w:t>
      </w:r>
      <w:r w:rsidR="00753E7D" w:rsidRPr="003A5293">
        <w:rPr>
          <w:rFonts w:ascii="Arial" w:hAnsi="Arial" w:cs="Arial"/>
          <w:sz w:val="22"/>
          <w:szCs w:val="22"/>
          <w:lang w:val="en-US"/>
        </w:rPr>
        <w:t xml:space="preserve">for 30 min at 37°C </w:t>
      </w:r>
      <w:r w:rsidR="00170D0B" w:rsidRPr="003A5293">
        <w:rPr>
          <w:rFonts w:ascii="Arial" w:hAnsi="Arial" w:cs="Arial"/>
          <w:sz w:val="22"/>
          <w:szCs w:val="22"/>
          <w:lang w:val="en-US"/>
        </w:rPr>
        <w:t>and</w:t>
      </w:r>
      <w:r w:rsidR="00753E7D" w:rsidRPr="003A5293">
        <w:rPr>
          <w:rFonts w:ascii="Arial" w:hAnsi="Arial" w:cs="Arial"/>
          <w:sz w:val="22"/>
          <w:szCs w:val="22"/>
          <w:lang w:val="en-US"/>
        </w:rPr>
        <w:t xml:space="preserve"> 1% O</w:t>
      </w:r>
      <w:r w:rsidR="00753E7D" w:rsidRPr="003A5293">
        <w:rPr>
          <w:rFonts w:ascii="Arial" w:hAnsi="Arial" w:cs="Arial"/>
          <w:sz w:val="22"/>
          <w:szCs w:val="22"/>
          <w:vertAlign w:val="subscript"/>
          <w:lang w:val="en-US"/>
        </w:rPr>
        <w:t>2</w:t>
      </w:r>
      <w:r w:rsidR="00753E7D" w:rsidRPr="003A5293">
        <w:rPr>
          <w:rFonts w:ascii="Arial" w:hAnsi="Arial" w:cs="Arial"/>
          <w:sz w:val="22"/>
          <w:szCs w:val="22"/>
          <w:lang w:val="en-US"/>
        </w:rPr>
        <w:t xml:space="preserve"> atmosphere</w:t>
      </w:r>
      <w:r w:rsidR="00170D0B" w:rsidRPr="003A5293">
        <w:rPr>
          <w:rFonts w:ascii="Arial" w:hAnsi="Arial" w:cs="Arial"/>
          <w:sz w:val="22"/>
          <w:szCs w:val="22"/>
          <w:lang w:val="en-US"/>
        </w:rPr>
        <w:t xml:space="preserve">. </w:t>
      </w:r>
      <w:r w:rsidR="00753E7D" w:rsidRPr="003A5293">
        <w:rPr>
          <w:rFonts w:ascii="Arial" w:hAnsi="Arial" w:cs="Arial"/>
          <w:sz w:val="22"/>
          <w:szCs w:val="22"/>
          <w:lang w:val="en-US"/>
        </w:rPr>
        <w:t xml:space="preserve">Cells were </w:t>
      </w:r>
      <w:r w:rsidR="00170D0B" w:rsidRPr="003A5293">
        <w:rPr>
          <w:rFonts w:ascii="Arial" w:hAnsi="Arial" w:cs="Arial"/>
          <w:sz w:val="22"/>
          <w:szCs w:val="22"/>
          <w:lang w:val="en-US"/>
        </w:rPr>
        <w:t xml:space="preserve">afterwards </w:t>
      </w:r>
      <w:r w:rsidR="00753E7D" w:rsidRPr="003A5293">
        <w:rPr>
          <w:rFonts w:ascii="Arial" w:hAnsi="Arial" w:cs="Arial"/>
          <w:sz w:val="22"/>
          <w:szCs w:val="22"/>
          <w:lang w:val="en-US"/>
        </w:rPr>
        <w:t xml:space="preserve">pelleted at 250g for </w:t>
      </w:r>
      <w:r w:rsidR="00170D0B" w:rsidRPr="003A5293">
        <w:rPr>
          <w:rFonts w:ascii="Arial" w:hAnsi="Arial" w:cs="Arial"/>
          <w:sz w:val="22"/>
          <w:szCs w:val="22"/>
          <w:lang w:val="en-US"/>
        </w:rPr>
        <w:t xml:space="preserve">3 </w:t>
      </w:r>
      <w:r w:rsidR="00753E7D" w:rsidRPr="003A5293">
        <w:rPr>
          <w:rFonts w:ascii="Arial" w:hAnsi="Arial" w:cs="Arial"/>
          <w:sz w:val="22"/>
          <w:szCs w:val="22"/>
          <w:lang w:val="en-US"/>
        </w:rPr>
        <w:t>min and 4°C and resuspended in ice-cold PBS and immediately measured by flow cytometer.</w:t>
      </w:r>
      <w:r w:rsidR="00170D0B" w:rsidRPr="003A5293">
        <w:rPr>
          <w:rFonts w:ascii="Arial" w:hAnsi="Arial" w:cs="Arial"/>
          <w:sz w:val="22"/>
          <w:szCs w:val="22"/>
          <w:lang w:val="en-US"/>
        </w:rPr>
        <w:t xml:space="preserve"> </w:t>
      </w:r>
    </w:p>
    <w:p w14:paraId="7CF7A521" w14:textId="77777777" w:rsidR="005248D8" w:rsidRPr="003A5293" w:rsidRDefault="00FB329F" w:rsidP="00FB329F">
      <w:pPr>
        <w:spacing w:line="360" w:lineRule="auto"/>
        <w:jc w:val="both"/>
        <w:rPr>
          <w:rFonts w:ascii="Arial" w:hAnsi="Arial" w:cs="Arial"/>
          <w:sz w:val="22"/>
          <w:szCs w:val="22"/>
          <w:lang w:val="en-US"/>
        </w:rPr>
      </w:pPr>
      <w:r w:rsidRPr="003A5293">
        <w:rPr>
          <w:rFonts w:ascii="Arial" w:hAnsi="Arial" w:cs="Arial"/>
          <w:sz w:val="22"/>
          <w:szCs w:val="22"/>
          <w:lang w:val="en-US"/>
        </w:rPr>
        <w:t xml:space="preserve">For analysis of </w:t>
      </w:r>
      <w:r w:rsidR="00F26EB6" w:rsidRPr="003A5293">
        <w:rPr>
          <w:rFonts w:ascii="Arial" w:hAnsi="Arial" w:cs="Arial"/>
          <w:sz w:val="22"/>
          <w:szCs w:val="22"/>
          <w:lang w:val="en-US"/>
        </w:rPr>
        <w:t xml:space="preserve">CD34, CD41 and CD43 </w:t>
      </w:r>
      <w:r w:rsidRPr="003A5293">
        <w:rPr>
          <w:rFonts w:ascii="Arial" w:hAnsi="Arial" w:cs="Arial"/>
          <w:sz w:val="22"/>
          <w:szCs w:val="22"/>
          <w:lang w:val="en-US"/>
        </w:rPr>
        <w:t>surface markers</w:t>
      </w:r>
      <w:r w:rsidR="00550E7A" w:rsidRPr="003A5293">
        <w:rPr>
          <w:rFonts w:ascii="Arial" w:hAnsi="Arial" w:cs="Arial"/>
          <w:sz w:val="22"/>
          <w:szCs w:val="22"/>
          <w:lang w:val="en-US"/>
        </w:rPr>
        <w:t>,</w:t>
      </w:r>
      <w:r w:rsidRPr="003A5293">
        <w:rPr>
          <w:rFonts w:ascii="Arial" w:hAnsi="Arial" w:cs="Arial"/>
          <w:sz w:val="22"/>
          <w:szCs w:val="22"/>
          <w:lang w:val="en-US"/>
        </w:rPr>
        <w:t xml:space="preserve"> single cell suspension</w:t>
      </w:r>
      <w:r w:rsidR="00F26EB6" w:rsidRPr="003A5293">
        <w:rPr>
          <w:rFonts w:ascii="Arial" w:hAnsi="Arial" w:cs="Arial"/>
          <w:sz w:val="22"/>
          <w:szCs w:val="22"/>
          <w:lang w:val="en-US"/>
        </w:rPr>
        <w:t xml:space="preserve"> from CD34</w:t>
      </w:r>
      <w:r w:rsidR="00F26EB6" w:rsidRPr="003A5293">
        <w:rPr>
          <w:rFonts w:ascii="Arial" w:hAnsi="Arial" w:cs="Arial"/>
          <w:sz w:val="22"/>
          <w:szCs w:val="22"/>
          <w:vertAlign w:val="superscript"/>
          <w:lang w:val="en-US"/>
        </w:rPr>
        <w:t>+</w:t>
      </w:r>
      <w:r w:rsidR="00F26EB6" w:rsidRPr="003A5293">
        <w:rPr>
          <w:rFonts w:ascii="Arial" w:hAnsi="Arial" w:cs="Arial"/>
          <w:sz w:val="22"/>
          <w:szCs w:val="22"/>
          <w:lang w:val="en-US"/>
        </w:rPr>
        <w:t xml:space="preserve"> P-ECs</w:t>
      </w:r>
      <w:r w:rsidRPr="003A5293">
        <w:rPr>
          <w:rFonts w:ascii="Arial" w:hAnsi="Arial" w:cs="Arial"/>
          <w:sz w:val="22"/>
          <w:szCs w:val="22"/>
          <w:lang w:val="en-US"/>
        </w:rPr>
        <w:t xml:space="preserve"> </w:t>
      </w:r>
      <w:r w:rsidR="00F26EB6" w:rsidRPr="003A5293">
        <w:rPr>
          <w:rFonts w:ascii="Arial" w:hAnsi="Arial" w:cs="Arial"/>
          <w:sz w:val="22"/>
          <w:szCs w:val="22"/>
          <w:lang w:val="en-US"/>
        </w:rPr>
        <w:t>was</w:t>
      </w:r>
      <w:r w:rsidRPr="003A5293">
        <w:rPr>
          <w:rFonts w:ascii="Arial" w:hAnsi="Arial" w:cs="Arial"/>
          <w:sz w:val="22"/>
          <w:szCs w:val="22"/>
          <w:lang w:val="en-US"/>
        </w:rPr>
        <w:t xml:space="preserve"> stained in PBS with 1% </w:t>
      </w:r>
      <w:r w:rsidR="00E34719" w:rsidRPr="003A5293">
        <w:rPr>
          <w:rFonts w:ascii="Arial" w:hAnsi="Arial" w:cs="Arial"/>
          <w:sz w:val="22"/>
          <w:szCs w:val="22"/>
          <w:lang w:val="en-US"/>
        </w:rPr>
        <w:t>bovine serum albumin (</w:t>
      </w:r>
      <w:r w:rsidRPr="003A5293">
        <w:rPr>
          <w:rFonts w:ascii="Arial" w:hAnsi="Arial" w:cs="Arial"/>
          <w:sz w:val="22"/>
          <w:szCs w:val="22"/>
          <w:lang w:val="en-US"/>
        </w:rPr>
        <w:t>BSA</w:t>
      </w:r>
      <w:r w:rsidR="00E34719" w:rsidRPr="003A5293">
        <w:rPr>
          <w:rFonts w:ascii="Arial" w:hAnsi="Arial" w:cs="Arial"/>
          <w:sz w:val="22"/>
          <w:szCs w:val="22"/>
          <w:lang w:val="en-US"/>
        </w:rPr>
        <w:t>)</w:t>
      </w:r>
      <w:r w:rsidR="00F26EB6" w:rsidRPr="003A5293">
        <w:rPr>
          <w:rFonts w:ascii="Arial" w:hAnsi="Arial" w:cs="Arial"/>
          <w:sz w:val="22"/>
          <w:szCs w:val="22"/>
          <w:lang w:val="en-US"/>
        </w:rPr>
        <w:t xml:space="preserve"> </w:t>
      </w:r>
      <w:r w:rsidRPr="003A5293">
        <w:rPr>
          <w:rFonts w:ascii="Arial" w:hAnsi="Arial" w:cs="Arial"/>
          <w:sz w:val="22"/>
          <w:szCs w:val="22"/>
          <w:lang w:val="en-US"/>
        </w:rPr>
        <w:t xml:space="preserve">by FITC tagged </w:t>
      </w:r>
      <w:r w:rsidR="00F21970" w:rsidRPr="003A5293">
        <w:rPr>
          <w:rFonts w:ascii="Arial" w:hAnsi="Arial" w:cs="Arial"/>
          <w:sz w:val="22"/>
          <w:szCs w:val="22"/>
          <w:lang w:val="en-US"/>
        </w:rPr>
        <w:t>anti-</w:t>
      </w:r>
      <w:r w:rsidRPr="003A5293">
        <w:rPr>
          <w:rFonts w:ascii="Arial" w:hAnsi="Arial" w:cs="Arial"/>
          <w:sz w:val="22"/>
          <w:szCs w:val="22"/>
          <w:lang w:val="en-US"/>
        </w:rPr>
        <w:t xml:space="preserve">CD34 </w:t>
      </w:r>
      <w:r w:rsidR="00F21970" w:rsidRPr="003A5293">
        <w:rPr>
          <w:rFonts w:ascii="Arial" w:hAnsi="Arial" w:cs="Arial"/>
          <w:sz w:val="22"/>
          <w:szCs w:val="22"/>
          <w:lang w:val="en-US"/>
        </w:rPr>
        <w:t>a</w:t>
      </w:r>
      <w:r w:rsidRPr="003A5293">
        <w:rPr>
          <w:rFonts w:ascii="Arial" w:hAnsi="Arial" w:cs="Arial"/>
          <w:sz w:val="22"/>
          <w:szCs w:val="22"/>
          <w:lang w:val="en-US"/>
        </w:rPr>
        <w:t>ntibody (1:20)</w:t>
      </w:r>
      <w:r w:rsidR="00724011" w:rsidRPr="003A5293">
        <w:rPr>
          <w:rFonts w:ascii="Arial" w:hAnsi="Arial" w:cs="Arial"/>
          <w:sz w:val="22"/>
          <w:szCs w:val="22"/>
          <w:lang w:val="en-US"/>
        </w:rPr>
        <w:t xml:space="preserve">, </w:t>
      </w:r>
      <w:r w:rsidRPr="003A5293">
        <w:rPr>
          <w:rFonts w:ascii="Arial" w:hAnsi="Arial" w:cs="Arial"/>
          <w:sz w:val="22"/>
          <w:szCs w:val="22"/>
          <w:lang w:val="en-US"/>
        </w:rPr>
        <w:t xml:space="preserve">APC conjugated </w:t>
      </w:r>
      <w:r w:rsidR="00F21970" w:rsidRPr="003A5293">
        <w:rPr>
          <w:rFonts w:ascii="Arial" w:hAnsi="Arial" w:cs="Arial"/>
          <w:sz w:val="22"/>
          <w:szCs w:val="22"/>
          <w:lang w:val="en-US"/>
        </w:rPr>
        <w:t>anti-</w:t>
      </w:r>
      <w:r w:rsidRPr="003A5293">
        <w:rPr>
          <w:rFonts w:ascii="Arial" w:hAnsi="Arial" w:cs="Arial"/>
          <w:sz w:val="22"/>
          <w:szCs w:val="22"/>
          <w:lang w:val="en-US"/>
        </w:rPr>
        <w:t>CD43</w:t>
      </w:r>
      <w:r w:rsidR="00724011" w:rsidRPr="003A5293">
        <w:rPr>
          <w:rFonts w:ascii="Arial" w:hAnsi="Arial" w:cs="Arial"/>
          <w:sz w:val="22"/>
          <w:szCs w:val="22"/>
          <w:lang w:val="en-US"/>
        </w:rPr>
        <w:t xml:space="preserve"> (1:20)</w:t>
      </w:r>
      <w:r w:rsidRPr="003A5293">
        <w:rPr>
          <w:rFonts w:ascii="Arial" w:hAnsi="Arial" w:cs="Arial"/>
          <w:sz w:val="22"/>
          <w:szCs w:val="22"/>
          <w:lang w:val="en-US"/>
        </w:rPr>
        <w:t xml:space="preserve"> </w:t>
      </w:r>
      <w:r w:rsidR="00724011" w:rsidRPr="003A5293">
        <w:rPr>
          <w:rFonts w:ascii="Arial" w:hAnsi="Arial" w:cs="Arial"/>
          <w:sz w:val="22"/>
          <w:szCs w:val="22"/>
          <w:lang w:val="en-US"/>
        </w:rPr>
        <w:t>and</w:t>
      </w:r>
      <w:r w:rsidR="00F21970" w:rsidRPr="003A5293">
        <w:rPr>
          <w:rFonts w:ascii="Arial" w:hAnsi="Arial" w:cs="Arial"/>
          <w:sz w:val="22"/>
          <w:szCs w:val="22"/>
          <w:lang w:val="en-US"/>
        </w:rPr>
        <w:t xml:space="preserve"> </w:t>
      </w:r>
      <w:r w:rsidR="00724011" w:rsidRPr="003A5293">
        <w:rPr>
          <w:rFonts w:ascii="Arial" w:hAnsi="Arial" w:cs="Arial"/>
          <w:sz w:val="22"/>
          <w:szCs w:val="22"/>
          <w:lang w:val="en-US"/>
        </w:rPr>
        <w:t>anti-</w:t>
      </w:r>
      <w:r w:rsidR="00F21970" w:rsidRPr="003A5293">
        <w:rPr>
          <w:rFonts w:ascii="Arial" w:hAnsi="Arial" w:cs="Arial"/>
          <w:sz w:val="22"/>
          <w:szCs w:val="22"/>
          <w:lang w:val="en-US"/>
        </w:rPr>
        <w:t>CD41</w:t>
      </w:r>
      <w:r w:rsidR="00724011" w:rsidRPr="003A5293">
        <w:rPr>
          <w:rFonts w:ascii="Arial" w:hAnsi="Arial" w:cs="Arial"/>
          <w:sz w:val="22"/>
          <w:szCs w:val="22"/>
          <w:lang w:val="en-US"/>
        </w:rPr>
        <w:t>a-PerCP-5.5</w:t>
      </w:r>
      <w:r w:rsidR="00F21970" w:rsidRPr="003A5293">
        <w:rPr>
          <w:rFonts w:ascii="Arial" w:hAnsi="Arial" w:cs="Arial"/>
          <w:sz w:val="22"/>
          <w:szCs w:val="22"/>
          <w:lang w:val="en-US"/>
        </w:rPr>
        <w:t xml:space="preserve"> </w:t>
      </w:r>
      <w:r w:rsidRPr="003A5293">
        <w:rPr>
          <w:rFonts w:ascii="Arial" w:hAnsi="Arial" w:cs="Arial"/>
          <w:sz w:val="22"/>
          <w:szCs w:val="22"/>
          <w:lang w:val="en-US"/>
        </w:rPr>
        <w:t>antibody (1:</w:t>
      </w:r>
      <w:r w:rsidR="00724011" w:rsidRPr="003A5293">
        <w:rPr>
          <w:rFonts w:ascii="Arial" w:hAnsi="Arial" w:cs="Arial"/>
          <w:sz w:val="22"/>
          <w:szCs w:val="22"/>
          <w:lang w:val="en-US"/>
        </w:rPr>
        <w:t>5</w:t>
      </w:r>
      <w:r w:rsidRPr="003A5293">
        <w:rPr>
          <w:rFonts w:ascii="Arial" w:hAnsi="Arial" w:cs="Arial"/>
          <w:sz w:val="22"/>
          <w:szCs w:val="22"/>
          <w:lang w:val="en-US"/>
        </w:rPr>
        <w:t xml:space="preserve">). </w:t>
      </w:r>
    </w:p>
    <w:p w14:paraId="4386DB79" w14:textId="1ABCE671" w:rsidR="00753E7D" w:rsidRPr="003A5293" w:rsidRDefault="00753E7D" w:rsidP="00FB329F">
      <w:pPr>
        <w:spacing w:line="360" w:lineRule="auto"/>
        <w:jc w:val="both"/>
        <w:rPr>
          <w:rFonts w:ascii="Arial" w:hAnsi="Arial" w:cs="Arial"/>
          <w:sz w:val="22"/>
          <w:szCs w:val="22"/>
          <w:lang w:val="en-US"/>
        </w:rPr>
      </w:pPr>
      <w:r w:rsidRPr="003A5293">
        <w:rPr>
          <w:rFonts w:ascii="Arial" w:hAnsi="Arial" w:cs="Arial"/>
          <w:sz w:val="22"/>
          <w:szCs w:val="22"/>
          <w:lang w:val="en-US"/>
        </w:rPr>
        <w:t>All the antibodies used in flow cytometry are enlisted in Table S</w:t>
      </w:r>
      <w:r w:rsidR="00452D46">
        <w:rPr>
          <w:rFonts w:ascii="Arial" w:hAnsi="Arial" w:cs="Arial"/>
          <w:sz w:val="22"/>
          <w:szCs w:val="22"/>
          <w:lang w:val="en-US"/>
        </w:rPr>
        <w:t>1</w:t>
      </w:r>
      <w:r w:rsidRPr="003A5293">
        <w:rPr>
          <w:rFonts w:ascii="Arial" w:hAnsi="Arial" w:cs="Arial"/>
          <w:sz w:val="22"/>
          <w:szCs w:val="22"/>
          <w:lang w:val="en-US"/>
        </w:rPr>
        <w:t xml:space="preserve"> (section </w:t>
      </w:r>
      <w:proofErr w:type="spellStart"/>
      <w:r w:rsidRPr="003A5293">
        <w:rPr>
          <w:rFonts w:ascii="Arial" w:hAnsi="Arial" w:cs="Arial"/>
          <w:sz w:val="22"/>
          <w:szCs w:val="22"/>
          <w:lang w:val="en-US"/>
        </w:rPr>
        <w:t>section</w:t>
      </w:r>
      <w:proofErr w:type="spellEnd"/>
      <w:r w:rsidRPr="003A5293">
        <w:rPr>
          <w:rFonts w:ascii="Arial" w:hAnsi="Arial" w:cs="Arial"/>
          <w:sz w:val="22"/>
          <w:szCs w:val="22"/>
          <w:lang w:val="en-US"/>
        </w:rPr>
        <w:t xml:space="preserve"> 7. Supplements).</w:t>
      </w:r>
    </w:p>
    <w:p w14:paraId="279E8DCC" w14:textId="77777777" w:rsidR="00FB329F" w:rsidRPr="003A5293" w:rsidRDefault="00FB329F" w:rsidP="00FB329F">
      <w:pPr>
        <w:spacing w:line="360" w:lineRule="auto"/>
        <w:jc w:val="both"/>
        <w:rPr>
          <w:rFonts w:ascii="Arial" w:hAnsi="Arial" w:cs="Arial"/>
          <w:sz w:val="22"/>
          <w:szCs w:val="22"/>
          <w:lang w:val="en-US"/>
        </w:rPr>
      </w:pPr>
      <w:r w:rsidRPr="003A5293">
        <w:rPr>
          <w:rFonts w:ascii="Arial" w:hAnsi="Arial" w:cs="Arial"/>
          <w:sz w:val="22"/>
          <w:szCs w:val="22"/>
          <w:lang w:val="en-US"/>
        </w:rPr>
        <w:t xml:space="preserve">Flow cytometry analysis was done by </w:t>
      </w:r>
      <w:proofErr w:type="spellStart"/>
      <w:r w:rsidRPr="003A5293">
        <w:rPr>
          <w:rFonts w:ascii="Arial" w:hAnsi="Arial" w:cs="Arial"/>
          <w:sz w:val="22"/>
          <w:szCs w:val="22"/>
          <w:lang w:val="en-US"/>
        </w:rPr>
        <w:t>Cytomics</w:t>
      </w:r>
      <w:proofErr w:type="spellEnd"/>
      <w:r w:rsidRPr="003A5293">
        <w:rPr>
          <w:rFonts w:ascii="Arial" w:hAnsi="Arial" w:cs="Arial"/>
          <w:sz w:val="22"/>
          <w:szCs w:val="22"/>
          <w:lang w:val="en-US"/>
        </w:rPr>
        <w:t xml:space="preserve"> FC 500 and data processing CXP software.</w:t>
      </w:r>
    </w:p>
    <w:p w14:paraId="08B2809D" w14:textId="77777777" w:rsidR="00FB329F" w:rsidRPr="003A5293" w:rsidRDefault="00FB329F" w:rsidP="00FB329F">
      <w:pPr>
        <w:spacing w:line="360" w:lineRule="auto"/>
        <w:jc w:val="both"/>
        <w:rPr>
          <w:rFonts w:ascii="Arial" w:hAnsi="Arial" w:cs="Arial"/>
          <w:sz w:val="22"/>
          <w:szCs w:val="22"/>
          <w:lang w:val="en-US"/>
        </w:rPr>
      </w:pPr>
    </w:p>
    <w:p w14:paraId="42FCAEAC" w14:textId="77777777" w:rsidR="009F2EC7" w:rsidRDefault="009F2EC7" w:rsidP="00FB329F">
      <w:pPr>
        <w:pStyle w:val="Formatvorlage1"/>
        <w:rPr>
          <w:rFonts w:cs="Arial"/>
        </w:rPr>
      </w:pPr>
      <w:bookmarkStart w:id="41" w:name="_Toc57582516"/>
    </w:p>
    <w:p w14:paraId="72C5D9B1" w14:textId="33EA358D" w:rsidR="00FB329F" w:rsidRPr="003A5293" w:rsidRDefault="00AF334E" w:rsidP="00FB329F">
      <w:pPr>
        <w:pStyle w:val="Formatvorlage1"/>
        <w:rPr>
          <w:rFonts w:cs="Arial"/>
        </w:rPr>
      </w:pPr>
      <w:r>
        <w:rPr>
          <w:rFonts w:cs="Arial"/>
        </w:rPr>
        <w:t>4.14</w:t>
      </w:r>
      <w:r w:rsidR="00FB329F" w:rsidRPr="003A5293">
        <w:rPr>
          <w:rFonts w:cs="Arial"/>
        </w:rPr>
        <w:t xml:space="preserve"> Enzyme assay</w:t>
      </w:r>
      <w:bookmarkEnd w:id="41"/>
    </w:p>
    <w:p w14:paraId="2B3D5A02" w14:textId="77777777" w:rsidR="00E2346E" w:rsidRPr="003A5293" w:rsidRDefault="00E2346E" w:rsidP="00FB329F">
      <w:pPr>
        <w:spacing w:line="360" w:lineRule="auto"/>
        <w:jc w:val="both"/>
        <w:rPr>
          <w:rFonts w:ascii="Arial" w:hAnsi="Arial" w:cs="Arial"/>
          <w:sz w:val="22"/>
          <w:szCs w:val="22"/>
          <w:lang w:val="en-US"/>
        </w:rPr>
      </w:pPr>
    </w:p>
    <w:p w14:paraId="6BB2B832" w14:textId="77777777" w:rsidR="00FB329F" w:rsidRPr="003A5293" w:rsidRDefault="00FB329F" w:rsidP="00FB329F">
      <w:pPr>
        <w:spacing w:line="360" w:lineRule="auto"/>
        <w:jc w:val="both"/>
        <w:rPr>
          <w:rFonts w:ascii="Arial" w:hAnsi="Arial" w:cs="Arial"/>
          <w:sz w:val="22"/>
          <w:szCs w:val="22"/>
          <w:lang w:val="en-US"/>
        </w:rPr>
      </w:pPr>
      <w:r w:rsidRPr="003A5293">
        <w:rPr>
          <w:rFonts w:ascii="Arial" w:hAnsi="Arial" w:cs="Arial"/>
          <w:sz w:val="22"/>
          <w:szCs w:val="22"/>
          <w:lang w:val="en-US"/>
        </w:rPr>
        <w:t xml:space="preserve">The activity of enzymes involved in antioxidative defense system was determined </w:t>
      </w:r>
      <w:r w:rsidR="005F331F" w:rsidRPr="003A5293">
        <w:rPr>
          <w:rFonts w:ascii="Arial" w:hAnsi="Arial" w:cs="Arial"/>
          <w:sz w:val="22"/>
          <w:szCs w:val="22"/>
          <w:lang w:val="en-US"/>
        </w:rPr>
        <w:t xml:space="preserve">by my colleague </w:t>
      </w:r>
      <w:proofErr w:type="spellStart"/>
      <w:r w:rsidR="005F331F" w:rsidRPr="003A5293">
        <w:rPr>
          <w:rFonts w:ascii="Arial" w:hAnsi="Arial" w:cs="Arial"/>
          <w:sz w:val="22"/>
          <w:szCs w:val="22"/>
          <w:lang w:val="en-US"/>
        </w:rPr>
        <w:t>Pavla</w:t>
      </w:r>
      <w:proofErr w:type="spellEnd"/>
      <w:r w:rsidR="005F331F" w:rsidRPr="003A5293">
        <w:rPr>
          <w:rFonts w:ascii="Arial" w:hAnsi="Arial" w:cs="Arial"/>
          <w:sz w:val="22"/>
          <w:szCs w:val="22"/>
          <w:lang w:val="en-US"/>
        </w:rPr>
        <w:t xml:space="preserve"> </w:t>
      </w:r>
      <w:proofErr w:type="spellStart"/>
      <w:r w:rsidR="005F331F" w:rsidRPr="003A5293">
        <w:rPr>
          <w:rFonts w:ascii="Arial" w:hAnsi="Arial" w:cs="Arial"/>
          <w:sz w:val="22"/>
          <w:szCs w:val="22"/>
          <w:lang w:val="en-US"/>
        </w:rPr>
        <w:t>Kořalková</w:t>
      </w:r>
      <w:proofErr w:type="spellEnd"/>
      <w:r w:rsidR="005F331F" w:rsidRPr="003A5293">
        <w:rPr>
          <w:rFonts w:ascii="Arial" w:hAnsi="Arial" w:cs="Arial"/>
          <w:sz w:val="22"/>
          <w:szCs w:val="22"/>
          <w:lang w:val="en-US"/>
        </w:rPr>
        <w:t xml:space="preserve">, Ph.D. (Department of Biology, Faculty of Medicine and Dentistry, </w:t>
      </w:r>
      <w:proofErr w:type="spellStart"/>
      <w:r w:rsidR="005F331F" w:rsidRPr="003A5293">
        <w:rPr>
          <w:rFonts w:ascii="Arial" w:hAnsi="Arial" w:cs="Arial"/>
          <w:sz w:val="22"/>
          <w:szCs w:val="22"/>
          <w:lang w:val="en-US"/>
        </w:rPr>
        <w:t>Palacky</w:t>
      </w:r>
      <w:proofErr w:type="spellEnd"/>
      <w:r w:rsidR="005F331F" w:rsidRPr="003A5293">
        <w:rPr>
          <w:rFonts w:ascii="Arial" w:hAnsi="Arial" w:cs="Arial"/>
          <w:sz w:val="22"/>
          <w:szCs w:val="22"/>
          <w:lang w:val="en-US"/>
        </w:rPr>
        <w:t xml:space="preserve"> University Olomouc) </w:t>
      </w:r>
      <w:r w:rsidRPr="003A5293">
        <w:rPr>
          <w:rFonts w:ascii="Arial" w:hAnsi="Arial" w:cs="Arial"/>
          <w:sz w:val="22"/>
          <w:szCs w:val="22"/>
          <w:lang w:val="en-US"/>
        </w:rPr>
        <w:t xml:space="preserve">according to the methods recommended by the International Committee for Standardization in </w:t>
      </w:r>
      <w:proofErr w:type="spellStart"/>
      <w:r w:rsidRPr="003A5293">
        <w:rPr>
          <w:rFonts w:ascii="Arial" w:hAnsi="Arial" w:cs="Arial"/>
          <w:sz w:val="22"/>
          <w:szCs w:val="22"/>
          <w:lang w:val="en-US"/>
        </w:rPr>
        <w:t>Haematology</w:t>
      </w:r>
      <w:proofErr w:type="spellEnd"/>
      <w:r w:rsidR="005F331F" w:rsidRPr="003A5293">
        <w:rPr>
          <w:rFonts w:ascii="Arial" w:hAnsi="Arial" w:cs="Arial"/>
          <w:sz w:val="22"/>
          <w:szCs w:val="22"/>
          <w:lang w:val="en-US"/>
        </w:rPr>
        <w:t xml:space="preserve"> as previously described </w:t>
      </w:r>
      <w:r w:rsidR="005F331F" w:rsidRPr="003A5293">
        <w:rPr>
          <w:rFonts w:ascii="Arial" w:hAnsi="Arial" w:cs="Arial"/>
          <w:sz w:val="22"/>
          <w:szCs w:val="22"/>
          <w:lang w:val="en-US"/>
        </w:rPr>
        <w:fldChar w:fldCharType="begin"/>
      </w:r>
      <w:r w:rsidR="00B703ED" w:rsidRPr="003A5293">
        <w:rPr>
          <w:rFonts w:ascii="Arial" w:hAnsi="Arial" w:cs="Arial"/>
          <w:sz w:val="22"/>
          <w:szCs w:val="22"/>
          <w:lang w:val="en-US"/>
        </w:rPr>
        <w:instrText xml:space="preserve"> ADDIN ZOTERO_ITEM CSL_CITATION {"citationID":"vuPBof6v","properties":{"formattedCitation":"(Beutler et al., 1977; Horvathova et al., 2012)","plainCitation":"(Beutler et al., 1977; Horvathova et al., 2012)","noteIndex":0},"citationItems":[{"id":24,"uris":["http://zotero.org/users/2484452/items/R4JNPS3J"],"uri":["http://zotero.org/users/2484452/items/R4JNPS3J"],"itemData":{"id":24,"type":"article-journal","container-title":"British Journal of Haematology","DOI":"10.1111/j.1365-2141.1977.tb00589.x","ISSN":"1365-2141","issue":"2","language":"en","page":"331-340","source":"Wiley Online Library","title":"International Committee for Standardization in Haematology: Recommended Methods for Red-Cell Enzyme Analysis*","title-short":"International Committee for Standardization in Haematology","volume":"35","author":[{"family":"Beutler","given":"E."},{"family":"Blume","given":"K. G."},{"family":"Kaplan","given":"J. C."},{"family":"Löhr","given":"G. W."},{"family":"Ramot","given":"B."},{"family":"Valentine","given":"W. N."}],"issued":{"date-parts":[["1977",2,1]]}}},{"id":119,"uris":["http://zotero.org/users/2484452/items/NFIMBAPP"],"uri":["http://zotero.org/users/2484452/items/NFIMBAPP"],"itemData":{"id":119,"type":"article-journal","abstract":"BACKGROUND: Hypochromic microcytic anemia associated with ineffective erythropoiesis caused by recessive mutations in divalent metal transporter 1 (DMT1) can be improved with high-dose erythropoietin supplementation. The aim of this study was to characterize and compare erythropoiesis in samples from a DMT1-mutant patient before and after treatment with erythropoietin, as well as in a mouse model with a DMT1 mutation, the mk/mk mice.\nDESIGN AND METHODS: Colony assays were used to compare the in vitro growth of pre-treatment and post-treatment erythroid progenitors in a DMT1-mutant patient. To enable a comparison with human data, high doses of erythropoietin were administered to mk/mk mice. The apoptotic status of erythroblasts, the expression of anti-apoptotic proteins, and the key components of the bone marrow-hepcidin axis were evaluated.\nRESULTS: Erythropoietin therapy in vivo or the addition of a broad-spectrum caspase inhibitor in vitro significantly improved the growth of human DMT1-mutant erythroid progenitors. A decreased number of apoptotic erythroblasts was detected in the patient's bone marrow after erythropoietin treatment. In mk/mk mice, erythropoietin administration increased activation of signal transducer and activator of transcription 5 (STAT5) and reduced apoptosis in bone marrow and spleen erythroblasts. mk/mk mice propagated on the 129S6/SvEvTac background resembled DMT1-mutant patients in having increased plasma iron but differed by having functional iron deficiency after erythropoietin administration. Co-regulation of hepcidin and growth differentiation factor 15 (GDF15) levels was observed in mk/mk mice but not in the patient.\nCONCLUSIONS: Erythropoietin inhibits apoptosis of DMT1-mutant erythroid progenitors and differentiating erythroblasts. Ineffective erythropoiesis associated with defective erythroid iron utilization due to DMT1 mutations has specific biological and clinical features.","container-title":"Haematologica","DOI":"10.3324/haematol.2011.059550","ISSN":"1592-8721","issue":"10","journalAbbreviation":"Haematologica","language":"eng","note":"PMID: 22580996\nPMCID: PMC3487548","page":"1480-1488","source":"PubMed","title":"Erythropoietin-driven signaling ameliorates the survival defect of DMT1-mutant erythroid progenitors and erythroblasts","volume":"97","author":[{"family":"Horvathova","given":"Monika"},{"family":"Kapralova","given":"Katarina"},{"family":"Zidova","given":"Zuzana"},{"family":"Dolezal","given":"Dalibor"},{"family":"Pospisilova","given":"Dagmar"},{"family":"Divoky","given":"Vladimir"}],"issued":{"date-parts":[["2012",10]]}}}],"schema":"https://github.com/citation-style-language/schema/raw/master/csl-citation.json"} </w:instrText>
      </w:r>
      <w:r w:rsidR="005F331F" w:rsidRPr="003A5293">
        <w:rPr>
          <w:rFonts w:ascii="Arial" w:hAnsi="Arial" w:cs="Arial"/>
          <w:sz w:val="22"/>
          <w:szCs w:val="22"/>
          <w:lang w:val="en-US"/>
        </w:rPr>
        <w:fldChar w:fldCharType="separate"/>
      </w:r>
      <w:r w:rsidR="005F331F" w:rsidRPr="003A5293">
        <w:rPr>
          <w:rFonts w:ascii="Arial" w:hAnsi="Arial" w:cs="Arial"/>
          <w:noProof/>
          <w:sz w:val="22"/>
          <w:szCs w:val="22"/>
          <w:lang w:val="en-US"/>
        </w:rPr>
        <w:t>(Beutler et al., 1977; Horvathova et al., 2012)</w:t>
      </w:r>
      <w:r w:rsidR="005F331F" w:rsidRPr="003A5293">
        <w:rPr>
          <w:rFonts w:ascii="Arial" w:hAnsi="Arial" w:cs="Arial"/>
          <w:sz w:val="22"/>
          <w:szCs w:val="22"/>
          <w:lang w:val="en-US"/>
        </w:rPr>
        <w:fldChar w:fldCharType="end"/>
      </w:r>
      <w:r w:rsidR="005F331F" w:rsidRPr="003A5293">
        <w:rPr>
          <w:rFonts w:ascii="Arial" w:hAnsi="Arial" w:cs="Arial"/>
          <w:sz w:val="22"/>
          <w:szCs w:val="22"/>
          <w:lang w:val="en-US"/>
        </w:rPr>
        <w:t>.</w:t>
      </w:r>
      <w:r w:rsidRPr="003A5293">
        <w:rPr>
          <w:rFonts w:ascii="Arial" w:hAnsi="Arial" w:cs="Arial"/>
          <w:sz w:val="22"/>
          <w:szCs w:val="22"/>
          <w:lang w:val="en-US"/>
        </w:rPr>
        <w:t xml:space="preserve"> The measurements were adopted for </w:t>
      </w:r>
      <w:r w:rsidR="00D706CE" w:rsidRPr="003A5293">
        <w:rPr>
          <w:rFonts w:ascii="Arial" w:hAnsi="Arial" w:cs="Arial"/>
          <w:sz w:val="22"/>
          <w:szCs w:val="22"/>
          <w:lang w:val="en-US"/>
        </w:rPr>
        <w:t>protein lysates of CD34</w:t>
      </w:r>
      <w:r w:rsidR="00D706CE" w:rsidRPr="003A5293">
        <w:rPr>
          <w:rFonts w:ascii="Arial" w:hAnsi="Arial" w:cs="Arial"/>
          <w:sz w:val="22"/>
          <w:szCs w:val="22"/>
          <w:vertAlign w:val="superscript"/>
          <w:lang w:val="en-US"/>
        </w:rPr>
        <w:t>+</w:t>
      </w:r>
      <w:r w:rsidR="00D706CE" w:rsidRPr="003A5293">
        <w:rPr>
          <w:rFonts w:ascii="Arial" w:hAnsi="Arial" w:cs="Arial"/>
          <w:sz w:val="22"/>
          <w:szCs w:val="22"/>
          <w:lang w:val="en-US"/>
        </w:rPr>
        <w:t xml:space="preserve"> P-ECs in RIPA buffer</w:t>
      </w:r>
      <w:r w:rsidRPr="003A5293">
        <w:rPr>
          <w:rFonts w:ascii="Arial" w:hAnsi="Arial" w:cs="Arial"/>
          <w:sz w:val="22"/>
          <w:szCs w:val="22"/>
          <w:lang w:val="en-US"/>
        </w:rPr>
        <w:t xml:space="preserve">. Briefly, the enzyme reaction was pre-incubated for 10 min at 37°C, thereafter substrate and cell lysate were added. Absorbance was measured at 340 nm in 1 min intervals for 20 min at 37°C (spectrophotometer Infinite 200 </w:t>
      </w:r>
      <w:proofErr w:type="spellStart"/>
      <w:r w:rsidRPr="003A5293">
        <w:rPr>
          <w:rFonts w:ascii="Arial" w:hAnsi="Arial" w:cs="Arial"/>
          <w:sz w:val="22"/>
          <w:szCs w:val="22"/>
          <w:lang w:val="en-US"/>
        </w:rPr>
        <w:t>Nanoquant</w:t>
      </w:r>
      <w:proofErr w:type="spellEnd"/>
      <w:r w:rsidRPr="003A5293">
        <w:rPr>
          <w:rFonts w:ascii="Arial" w:hAnsi="Arial" w:cs="Arial"/>
          <w:sz w:val="22"/>
          <w:szCs w:val="22"/>
          <w:lang w:val="en-US"/>
        </w:rPr>
        <w:t>) and specific enzyme activity was calculated using the Lambert-Beer law.</w:t>
      </w:r>
    </w:p>
    <w:p w14:paraId="42513C37" w14:textId="77777777" w:rsidR="00FB329F" w:rsidRPr="003A5293" w:rsidRDefault="00FB329F" w:rsidP="00FB329F">
      <w:pPr>
        <w:pStyle w:val="Formatvorlage1"/>
        <w:rPr>
          <w:rFonts w:cs="Arial"/>
        </w:rPr>
      </w:pPr>
    </w:p>
    <w:p w14:paraId="417FF31B" w14:textId="20451EB4" w:rsidR="00FB329F" w:rsidRPr="003A5293" w:rsidRDefault="00AF334E" w:rsidP="00FB329F">
      <w:pPr>
        <w:pStyle w:val="Formatvorlage1"/>
        <w:rPr>
          <w:rFonts w:cs="Arial"/>
        </w:rPr>
      </w:pPr>
      <w:bookmarkStart w:id="42" w:name="_Toc57582517"/>
      <w:r>
        <w:rPr>
          <w:rFonts w:cs="Arial"/>
        </w:rPr>
        <w:t>4.1</w:t>
      </w:r>
      <w:r w:rsidR="00756482">
        <w:rPr>
          <w:rFonts w:cs="Arial"/>
        </w:rPr>
        <w:t>5</w:t>
      </w:r>
      <w:r w:rsidR="00FB329F" w:rsidRPr="003A5293">
        <w:rPr>
          <w:rFonts w:cs="Arial"/>
        </w:rPr>
        <w:t xml:space="preserve"> Immunocytochemistry on EBs in agarose gel matrix saturated with paraffin</w:t>
      </w:r>
      <w:bookmarkEnd w:id="42"/>
    </w:p>
    <w:p w14:paraId="649E2694" w14:textId="77777777" w:rsidR="00E2346E" w:rsidRPr="003A5293" w:rsidRDefault="00E2346E" w:rsidP="00FB329F">
      <w:pPr>
        <w:spacing w:line="360" w:lineRule="auto"/>
        <w:jc w:val="both"/>
        <w:rPr>
          <w:rFonts w:ascii="Arial" w:hAnsi="Arial" w:cs="Arial"/>
          <w:sz w:val="22"/>
          <w:szCs w:val="22"/>
          <w:lang w:val="en-US"/>
        </w:rPr>
      </w:pPr>
    </w:p>
    <w:p w14:paraId="223AD874" w14:textId="3A8DABE5" w:rsidR="00FB329F" w:rsidRPr="003A5293" w:rsidRDefault="00FB329F" w:rsidP="00FB329F">
      <w:pPr>
        <w:spacing w:line="360" w:lineRule="auto"/>
        <w:jc w:val="both"/>
        <w:rPr>
          <w:rFonts w:ascii="Arial" w:hAnsi="Arial" w:cs="Arial"/>
          <w:sz w:val="22"/>
          <w:szCs w:val="22"/>
          <w:lang w:val="en-US"/>
        </w:rPr>
      </w:pPr>
      <w:r w:rsidRPr="003A5293">
        <w:rPr>
          <w:rFonts w:ascii="Arial" w:hAnsi="Arial" w:cs="Arial"/>
          <w:sz w:val="22"/>
          <w:szCs w:val="22"/>
          <w:lang w:val="en-US"/>
        </w:rPr>
        <w:t>EBs</w:t>
      </w:r>
      <w:r w:rsidR="00207E90" w:rsidRPr="003A5293">
        <w:rPr>
          <w:rFonts w:ascii="Arial" w:hAnsi="Arial" w:cs="Arial"/>
          <w:sz w:val="22"/>
          <w:szCs w:val="22"/>
          <w:lang w:val="en-US"/>
        </w:rPr>
        <w:t xml:space="preserve"> from CD34</w:t>
      </w:r>
      <w:r w:rsidR="00207E90" w:rsidRPr="003A5293">
        <w:rPr>
          <w:rFonts w:ascii="Arial" w:hAnsi="Arial" w:cs="Arial"/>
          <w:sz w:val="22"/>
          <w:szCs w:val="22"/>
          <w:vertAlign w:val="superscript"/>
          <w:lang w:val="en-US"/>
        </w:rPr>
        <w:t>+</w:t>
      </w:r>
      <w:r w:rsidR="00207E90" w:rsidRPr="003A5293">
        <w:rPr>
          <w:rFonts w:ascii="Arial" w:hAnsi="Arial" w:cs="Arial"/>
          <w:sz w:val="22"/>
          <w:szCs w:val="22"/>
          <w:lang w:val="en-US"/>
        </w:rPr>
        <w:t xml:space="preserve"> P-ECs</w:t>
      </w:r>
      <w:r w:rsidRPr="003A5293">
        <w:rPr>
          <w:rFonts w:ascii="Arial" w:hAnsi="Arial" w:cs="Arial"/>
          <w:sz w:val="22"/>
          <w:szCs w:val="22"/>
          <w:lang w:val="en-US"/>
        </w:rPr>
        <w:t xml:space="preserve"> were </w:t>
      </w:r>
      <w:r w:rsidR="00207E90" w:rsidRPr="003A5293">
        <w:rPr>
          <w:rFonts w:ascii="Arial" w:hAnsi="Arial" w:cs="Arial"/>
          <w:sz w:val="22"/>
          <w:szCs w:val="22"/>
          <w:lang w:val="en-US"/>
        </w:rPr>
        <w:t xml:space="preserve">centrifuged at 250g for 5 </w:t>
      </w:r>
      <w:r w:rsidR="00D3499B" w:rsidRPr="003A5293">
        <w:rPr>
          <w:rFonts w:ascii="Arial" w:hAnsi="Arial" w:cs="Arial"/>
          <w:sz w:val="22"/>
          <w:szCs w:val="22"/>
          <w:lang w:val="en-US"/>
        </w:rPr>
        <w:t xml:space="preserve">min, </w:t>
      </w:r>
      <w:r w:rsidR="00207E90" w:rsidRPr="003A5293">
        <w:rPr>
          <w:rFonts w:ascii="Arial" w:hAnsi="Arial" w:cs="Arial"/>
          <w:sz w:val="22"/>
          <w:szCs w:val="22"/>
          <w:lang w:val="en-US"/>
        </w:rPr>
        <w:t xml:space="preserve">resuspended in 1ml of 4% neutral-buffered formaldehyde </w:t>
      </w:r>
      <w:r w:rsidR="00D3499B" w:rsidRPr="003A5293">
        <w:rPr>
          <w:rFonts w:ascii="Arial" w:hAnsi="Arial" w:cs="Arial"/>
          <w:sz w:val="22"/>
          <w:szCs w:val="22"/>
          <w:lang w:val="en-US"/>
        </w:rPr>
        <w:t xml:space="preserve">and let incubated </w:t>
      </w:r>
      <w:r w:rsidR="00207E90" w:rsidRPr="003A5293">
        <w:rPr>
          <w:rFonts w:ascii="Arial" w:hAnsi="Arial" w:cs="Arial"/>
          <w:sz w:val="22"/>
          <w:szCs w:val="22"/>
          <w:lang w:val="en-US"/>
        </w:rPr>
        <w:t xml:space="preserve">at 4°C overnight. Fixed EBs were centrifuged </w:t>
      </w:r>
      <w:r w:rsidR="00AF2D0E" w:rsidRPr="003A5293">
        <w:rPr>
          <w:rFonts w:ascii="Arial" w:hAnsi="Arial" w:cs="Arial"/>
          <w:sz w:val="22"/>
          <w:szCs w:val="22"/>
          <w:lang w:val="en-US"/>
        </w:rPr>
        <w:t xml:space="preserve">next day </w:t>
      </w:r>
      <w:r w:rsidR="00207E90" w:rsidRPr="003A5293">
        <w:rPr>
          <w:rFonts w:ascii="Arial" w:hAnsi="Arial" w:cs="Arial"/>
          <w:sz w:val="22"/>
          <w:szCs w:val="22"/>
          <w:lang w:val="en-US"/>
        </w:rPr>
        <w:t>at 250g</w:t>
      </w:r>
      <w:r w:rsidR="00AF2D0E" w:rsidRPr="003A5293">
        <w:rPr>
          <w:rFonts w:ascii="Arial" w:hAnsi="Arial" w:cs="Arial"/>
          <w:sz w:val="22"/>
          <w:szCs w:val="22"/>
          <w:lang w:val="en-US"/>
        </w:rPr>
        <w:t xml:space="preserve"> </w:t>
      </w:r>
      <w:r w:rsidR="00207E90" w:rsidRPr="003A5293">
        <w:rPr>
          <w:rFonts w:ascii="Arial" w:hAnsi="Arial" w:cs="Arial"/>
          <w:sz w:val="22"/>
          <w:szCs w:val="22"/>
          <w:lang w:val="en-US"/>
        </w:rPr>
        <w:t>for 5 min and resuspended in 200</w:t>
      </w:r>
      <w:r w:rsidR="00207E90" w:rsidRPr="003A5293">
        <w:rPr>
          <w:rFonts w:ascii="Arial" w:hAnsi="Arial" w:cs="Arial"/>
          <w:sz w:val="22"/>
          <w:szCs w:val="22"/>
          <w:lang w:val="en-US"/>
        </w:rPr>
        <w:sym w:font="Symbol" w:char="F06D"/>
      </w:r>
      <w:r w:rsidR="00207E90" w:rsidRPr="003A5293">
        <w:rPr>
          <w:rFonts w:ascii="Arial" w:hAnsi="Arial" w:cs="Arial"/>
          <w:sz w:val="22"/>
          <w:szCs w:val="22"/>
          <w:lang w:val="en-US"/>
        </w:rPr>
        <w:t>l of 5% low-melting</w:t>
      </w:r>
      <w:r w:rsidR="00207E90" w:rsidRPr="003A5293">
        <w:rPr>
          <w:rFonts w:ascii="Arial" w:hAnsi="Arial" w:cs="Arial"/>
          <w:lang w:val="en-US"/>
        </w:rPr>
        <w:t xml:space="preserve"> </w:t>
      </w:r>
      <w:proofErr w:type="spellStart"/>
      <w:r w:rsidR="00207E90" w:rsidRPr="003A5293">
        <w:rPr>
          <w:rFonts w:ascii="Arial" w:hAnsi="Arial" w:cs="Arial"/>
          <w:sz w:val="22"/>
          <w:szCs w:val="22"/>
          <w:lang w:val="en-US"/>
        </w:rPr>
        <w:t>seaplaque</w:t>
      </w:r>
      <w:proofErr w:type="spellEnd"/>
      <w:r w:rsidR="00207E90" w:rsidRPr="003A5293">
        <w:rPr>
          <w:rFonts w:ascii="Arial" w:hAnsi="Arial" w:cs="Arial"/>
          <w:sz w:val="22"/>
          <w:szCs w:val="22"/>
          <w:lang w:val="en-US"/>
        </w:rPr>
        <w:t xml:space="preserve"> agarose matrix</w:t>
      </w:r>
      <w:r w:rsidR="00287D42" w:rsidRPr="003A5293">
        <w:rPr>
          <w:rFonts w:ascii="Arial" w:hAnsi="Arial" w:cs="Arial"/>
          <w:sz w:val="22"/>
          <w:szCs w:val="22"/>
          <w:lang w:val="en-US"/>
        </w:rPr>
        <w:t xml:space="preserve">, </w:t>
      </w:r>
      <w:r w:rsidR="00207E90" w:rsidRPr="003A5293">
        <w:rPr>
          <w:rFonts w:ascii="Arial" w:hAnsi="Arial" w:cs="Arial"/>
          <w:sz w:val="22"/>
          <w:szCs w:val="22"/>
          <w:lang w:val="en-US"/>
        </w:rPr>
        <w:t>pre-warmed to 65°C. This suspension was then loaded into individual wells of 96 well plate</w:t>
      </w:r>
      <w:r w:rsidR="00AF2D0E" w:rsidRPr="003A5293">
        <w:rPr>
          <w:rFonts w:ascii="Arial" w:hAnsi="Arial" w:cs="Arial"/>
          <w:sz w:val="22"/>
          <w:szCs w:val="22"/>
          <w:lang w:val="en-US"/>
        </w:rPr>
        <w:t xml:space="preserve"> (TPP, Schaffhausen, Switzerland)</w:t>
      </w:r>
      <w:r w:rsidR="00207E90" w:rsidRPr="003A5293">
        <w:rPr>
          <w:rFonts w:ascii="Arial" w:hAnsi="Arial" w:cs="Arial"/>
          <w:sz w:val="22"/>
          <w:szCs w:val="22"/>
          <w:lang w:val="en-US"/>
        </w:rPr>
        <w:t xml:space="preserve"> and let cooled to 4°C. </w:t>
      </w:r>
      <w:r w:rsidRPr="003A5293">
        <w:rPr>
          <w:rFonts w:ascii="Arial" w:hAnsi="Arial" w:cs="Arial"/>
          <w:sz w:val="22"/>
          <w:szCs w:val="22"/>
          <w:lang w:val="en-US"/>
        </w:rPr>
        <w:t xml:space="preserve">Samples were then embedded into paraffin and 3-5 </w:t>
      </w:r>
      <w:proofErr w:type="spellStart"/>
      <w:r w:rsidRPr="003A5293">
        <w:rPr>
          <w:rFonts w:ascii="Arial" w:hAnsi="Arial" w:cs="Arial"/>
          <w:sz w:val="22"/>
          <w:szCs w:val="22"/>
          <w:lang w:val="en-US"/>
        </w:rPr>
        <w:t>μm</w:t>
      </w:r>
      <w:proofErr w:type="spellEnd"/>
      <w:r w:rsidRPr="003A5293">
        <w:rPr>
          <w:rFonts w:ascii="Arial" w:hAnsi="Arial" w:cs="Arial"/>
          <w:sz w:val="22"/>
          <w:szCs w:val="22"/>
          <w:lang w:val="en-US"/>
        </w:rPr>
        <w:t xml:space="preserve"> thick slides were cut on a microtome. After deparaffinization in xylene and hydration in graded alcohols, antigen unmasking was done in the microwave </w:t>
      </w:r>
      <w:proofErr w:type="spellStart"/>
      <w:r w:rsidRPr="003A5293">
        <w:rPr>
          <w:rFonts w:ascii="Arial" w:hAnsi="Arial" w:cs="Arial"/>
          <w:sz w:val="22"/>
          <w:szCs w:val="22"/>
          <w:lang w:val="en-US"/>
        </w:rPr>
        <w:t>histoprocessor</w:t>
      </w:r>
      <w:proofErr w:type="spellEnd"/>
      <w:r w:rsidRPr="003A5293">
        <w:rPr>
          <w:rFonts w:ascii="Arial" w:hAnsi="Arial" w:cs="Arial"/>
          <w:sz w:val="22"/>
          <w:szCs w:val="22"/>
          <w:lang w:val="en-US"/>
        </w:rPr>
        <w:t xml:space="preserve"> by 10mM citrate buffer, pH</w:t>
      </w:r>
      <w:r w:rsidR="00AF2D0E" w:rsidRPr="003A5293">
        <w:rPr>
          <w:rFonts w:ascii="Arial" w:hAnsi="Arial" w:cs="Arial"/>
          <w:sz w:val="22"/>
          <w:szCs w:val="22"/>
          <w:lang w:val="en-US"/>
        </w:rPr>
        <w:t xml:space="preserve"> </w:t>
      </w:r>
      <w:r w:rsidRPr="003A5293">
        <w:rPr>
          <w:rFonts w:ascii="Arial" w:hAnsi="Arial" w:cs="Arial"/>
          <w:sz w:val="22"/>
          <w:szCs w:val="22"/>
          <w:lang w:val="en-US"/>
        </w:rPr>
        <w:t>6.0, 120°C, using high pressure, for 15 minutes with gradual cooling. Samples were afterwards washed two times in PBS</w:t>
      </w:r>
      <w:r w:rsidR="00AF2D0E" w:rsidRPr="003A5293">
        <w:rPr>
          <w:rFonts w:ascii="Arial" w:hAnsi="Arial" w:cs="Arial"/>
          <w:sz w:val="22"/>
          <w:szCs w:val="22"/>
          <w:lang w:val="en-US"/>
        </w:rPr>
        <w:t xml:space="preserve"> </w:t>
      </w:r>
      <w:r w:rsidRPr="003A5293">
        <w:rPr>
          <w:rFonts w:ascii="Arial" w:hAnsi="Arial" w:cs="Arial"/>
          <w:sz w:val="22"/>
          <w:szCs w:val="22"/>
          <w:lang w:val="en-US"/>
        </w:rPr>
        <w:t>for 3 min and blocked in 0,2% BSA in PBS</w:t>
      </w:r>
      <w:r w:rsidR="00AF2D0E" w:rsidRPr="003A5293">
        <w:rPr>
          <w:rFonts w:ascii="Arial" w:hAnsi="Arial" w:cs="Arial"/>
          <w:sz w:val="22"/>
          <w:szCs w:val="22"/>
          <w:lang w:val="en-US"/>
        </w:rPr>
        <w:t>-</w:t>
      </w:r>
      <w:r w:rsidRPr="003A5293">
        <w:rPr>
          <w:rFonts w:ascii="Arial" w:hAnsi="Arial" w:cs="Arial"/>
          <w:sz w:val="22"/>
          <w:szCs w:val="22"/>
          <w:lang w:val="en-US"/>
        </w:rPr>
        <w:t>T</w:t>
      </w:r>
      <w:r w:rsidR="00AF2D0E" w:rsidRPr="003A5293">
        <w:rPr>
          <w:rFonts w:ascii="Arial" w:hAnsi="Arial" w:cs="Arial"/>
          <w:sz w:val="22"/>
          <w:szCs w:val="22"/>
          <w:lang w:val="en-US"/>
        </w:rPr>
        <w:t xml:space="preserve"> </w:t>
      </w:r>
      <w:r w:rsidRPr="003A5293">
        <w:rPr>
          <w:rFonts w:ascii="Arial" w:hAnsi="Arial" w:cs="Arial"/>
          <w:sz w:val="22"/>
          <w:szCs w:val="22"/>
          <w:lang w:val="en-US"/>
        </w:rPr>
        <w:t>for 1 h</w:t>
      </w:r>
      <w:r w:rsidR="00AF2D0E" w:rsidRPr="003A5293">
        <w:rPr>
          <w:rFonts w:ascii="Arial" w:hAnsi="Arial" w:cs="Arial"/>
          <w:sz w:val="22"/>
          <w:szCs w:val="22"/>
          <w:lang w:val="en-US"/>
        </w:rPr>
        <w:t>our</w:t>
      </w:r>
      <w:r w:rsidRPr="003A5293">
        <w:rPr>
          <w:rFonts w:ascii="Arial" w:hAnsi="Arial" w:cs="Arial"/>
          <w:sz w:val="22"/>
          <w:szCs w:val="22"/>
          <w:lang w:val="en-US"/>
        </w:rPr>
        <w:t xml:space="preserve"> at </w:t>
      </w:r>
      <w:r w:rsidR="00AF2D0E" w:rsidRPr="003A5293">
        <w:rPr>
          <w:rFonts w:ascii="Arial" w:hAnsi="Arial" w:cs="Arial"/>
          <w:sz w:val="22"/>
          <w:szCs w:val="22"/>
          <w:lang w:val="en-US"/>
        </w:rPr>
        <w:t>room temperature</w:t>
      </w:r>
      <w:r w:rsidRPr="003A5293">
        <w:rPr>
          <w:rFonts w:ascii="Arial" w:hAnsi="Arial" w:cs="Arial"/>
          <w:sz w:val="22"/>
          <w:szCs w:val="22"/>
          <w:lang w:val="en-US"/>
        </w:rPr>
        <w:t xml:space="preserve">, followed by sequential primary antibodies (listed in </w:t>
      </w:r>
      <w:r w:rsidR="00AF2D0E" w:rsidRPr="003A5293">
        <w:rPr>
          <w:rFonts w:ascii="Arial" w:hAnsi="Arial" w:cs="Arial"/>
          <w:sz w:val="22"/>
          <w:szCs w:val="22"/>
          <w:lang w:val="en-US"/>
        </w:rPr>
        <w:t>Table S</w:t>
      </w:r>
      <w:r w:rsidR="00452D46">
        <w:rPr>
          <w:rFonts w:ascii="Arial" w:hAnsi="Arial" w:cs="Arial"/>
          <w:sz w:val="22"/>
          <w:szCs w:val="22"/>
          <w:lang w:val="en-US"/>
        </w:rPr>
        <w:t>1</w:t>
      </w:r>
      <w:r w:rsidRPr="003A5293">
        <w:rPr>
          <w:rFonts w:ascii="Arial" w:hAnsi="Arial" w:cs="Arial"/>
          <w:sz w:val="22"/>
          <w:szCs w:val="22"/>
          <w:lang w:val="en-US"/>
        </w:rPr>
        <w:t xml:space="preserve">) incubation at </w:t>
      </w:r>
      <w:r w:rsidR="00AF2D0E" w:rsidRPr="003A5293">
        <w:rPr>
          <w:rFonts w:ascii="Arial" w:hAnsi="Arial" w:cs="Arial"/>
          <w:sz w:val="22"/>
          <w:szCs w:val="22"/>
          <w:lang w:val="en-US"/>
        </w:rPr>
        <w:t>room temperature</w:t>
      </w:r>
      <w:r w:rsidRPr="003A5293">
        <w:rPr>
          <w:rFonts w:ascii="Arial" w:hAnsi="Arial" w:cs="Arial"/>
          <w:sz w:val="22"/>
          <w:szCs w:val="22"/>
          <w:lang w:val="en-US"/>
        </w:rPr>
        <w:t xml:space="preserve"> for 1 </w:t>
      </w:r>
      <w:r w:rsidR="00AF2D0E" w:rsidRPr="003A5293">
        <w:rPr>
          <w:rFonts w:ascii="Arial" w:hAnsi="Arial" w:cs="Arial"/>
          <w:sz w:val="22"/>
          <w:szCs w:val="22"/>
          <w:lang w:val="en-US"/>
        </w:rPr>
        <w:t>hour</w:t>
      </w:r>
      <w:r w:rsidRPr="003A5293">
        <w:rPr>
          <w:rFonts w:ascii="Arial" w:hAnsi="Arial" w:cs="Arial"/>
          <w:sz w:val="22"/>
          <w:szCs w:val="22"/>
          <w:lang w:val="en-US"/>
        </w:rPr>
        <w:t>, with short PBS</w:t>
      </w:r>
      <w:r w:rsidR="00AF2D0E" w:rsidRPr="003A5293">
        <w:rPr>
          <w:rFonts w:ascii="Arial" w:hAnsi="Arial" w:cs="Arial"/>
          <w:sz w:val="22"/>
          <w:szCs w:val="22"/>
          <w:lang w:val="en-US"/>
        </w:rPr>
        <w:t>-</w:t>
      </w:r>
      <w:r w:rsidRPr="003A5293">
        <w:rPr>
          <w:rFonts w:ascii="Arial" w:hAnsi="Arial" w:cs="Arial"/>
          <w:sz w:val="22"/>
          <w:szCs w:val="22"/>
          <w:lang w:val="en-US"/>
        </w:rPr>
        <w:t>T washes between each incubation. After five short washes by PBS</w:t>
      </w:r>
      <w:r w:rsidR="00AF2D0E" w:rsidRPr="003A5293">
        <w:rPr>
          <w:rFonts w:ascii="Arial" w:hAnsi="Arial" w:cs="Arial"/>
          <w:sz w:val="22"/>
          <w:szCs w:val="22"/>
          <w:lang w:val="en-US"/>
        </w:rPr>
        <w:t>-</w:t>
      </w:r>
      <w:r w:rsidRPr="003A5293">
        <w:rPr>
          <w:rFonts w:ascii="Arial" w:hAnsi="Arial" w:cs="Arial"/>
          <w:sz w:val="22"/>
          <w:szCs w:val="22"/>
          <w:lang w:val="en-US"/>
        </w:rPr>
        <w:t>T, goat anti-rabbit Alexa Fluor 488 antibody and goat anti-mouse Alexa Fluor 568 conjugated</w:t>
      </w:r>
      <w:r w:rsidR="00AF2D0E" w:rsidRPr="003A5293">
        <w:rPr>
          <w:rFonts w:ascii="Arial" w:hAnsi="Arial" w:cs="Arial"/>
          <w:sz w:val="22"/>
          <w:szCs w:val="22"/>
          <w:lang w:val="en-US"/>
        </w:rPr>
        <w:t xml:space="preserve"> secondary </w:t>
      </w:r>
      <w:r w:rsidR="00287D42" w:rsidRPr="003A5293">
        <w:rPr>
          <w:rFonts w:ascii="Arial" w:hAnsi="Arial" w:cs="Arial"/>
          <w:sz w:val="22"/>
          <w:szCs w:val="22"/>
          <w:lang w:val="en-US"/>
        </w:rPr>
        <w:t>(l</w:t>
      </w:r>
      <w:r w:rsidR="00AF2D0E" w:rsidRPr="003A5293">
        <w:rPr>
          <w:rFonts w:ascii="Arial" w:hAnsi="Arial" w:cs="Arial"/>
          <w:sz w:val="22"/>
          <w:szCs w:val="22"/>
          <w:lang w:val="en-US"/>
        </w:rPr>
        <w:t>isted in Table S</w:t>
      </w:r>
      <w:r w:rsidR="00452D46">
        <w:rPr>
          <w:rFonts w:ascii="Arial" w:hAnsi="Arial" w:cs="Arial"/>
          <w:sz w:val="22"/>
          <w:szCs w:val="22"/>
          <w:lang w:val="en-US"/>
        </w:rPr>
        <w:t>1</w:t>
      </w:r>
      <w:r w:rsidRPr="003A5293">
        <w:rPr>
          <w:rFonts w:ascii="Arial" w:hAnsi="Arial" w:cs="Arial"/>
          <w:sz w:val="22"/>
          <w:szCs w:val="22"/>
          <w:lang w:val="en-US"/>
        </w:rPr>
        <w:t>) was sequentially incubated at 1:1000 dilution at RT for 90 min with short PBS</w:t>
      </w:r>
      <w:r w:rsidR="00AF2D0E" w:rsidRPr="003A5293">
        <w:rPr>
          <w:rFonts w:ascii="Arial" w:hAnsi="Arial" w:cs="Arial"/>
          <w:sz w:val="22"/>
          <w:szCs w:val="22"/>
          <w:lang w:val="en-US"/>
        </w:rPr>
        <w:t>-</w:t>
      </w:r>
      <w:r w:rsidRPr="003A5293">
        <w:rPr>
          <w:rFonts w:ascii="Arial" w:hAnsi="Arial" w:cs="Arial"/>
          <w:sz w:val="22"/>
          <w:szCs w:val="22"/>
          <w:lang w:val="en-US"/>
        </w:rPr>
        <w:t>T</w:t>
      </w:r>
      <w:r w:rsidR="00D21CAE" w:rsidRPr="003A5293">
        <w:rPr>
          <w:rFonts w:ascii="Arial" w:hAnsi="Arial" w:cs="Arial"/>
          <w:sz w:val="22"/>
          <w:szCs w:val="22"/>
          <w:lang w:val="en-US"/>
        </w:rPr>
        <w:t xml:space="preserve"> </w:t>
      </w:r>
      <w:r w:rsidRPr="003A5293">
        <w:rPr>
          <w:rFonts w:ascii="Arial" w:hAnsi="Arial" w:cs="Arial"/>
          <w:sz w:val="22"/>
          <w:szCs w:val="22"/>
          <w:lang w:val="en-US"/>
        </w:rPr>
        <w:t>washes between each incubation. Samples were washed afterwards five times in PBS</w:t>
      </w:r>
      <w:r w:rsidR="00AF2D0E" w:rsidRPr="003A5293">
        <w:rPr>
          <w:rFonts w:ascii="Arial" w:hAnsi="Arial" w:cs="Arial"/>
          <w:sz w:val="22"/>
          <w:szCs w:val="22"/>
          <w:lang w:val="en-US"/>
        </w:rPr>
        <w:t>-</w:t>
      </w:r>
      <w:r w:rsidRPr="003A5293">
        <w:rPr>
          <w:rFonts w:ascii="Arial" w:hAnsi="Arial" w:cs="Arial"/>
          <w:sz w:val="22"/>
          <w:szCs w:val="22"/>
          <w:lang w:val="en-US"/>
        </w:rPr>
        <w:t>T, one time in PBS</w:t>
      </w:r>
      <w:r w:rsidR="00D21CAE" w:rsidRPr="003A5293">
        <w:rPr>
          <w:rFonts w:ascii="Arial" w:hAnsi="Arial" w:cs="Arial"/>
          <w:sz w:val="22"/>
          <w:szCs w:val="22"/>
          <w:lang w:val="en-US"/>
        </w:rPr>
        <w:t xml:space="preserve"> </w:t>
      </w:r>
      <w:r w:rsidRPr="003A5293">
        <w:rPr>
          <w:rFonts w:ascii="Arial" w:hAnsi="Arial" w:cs="Arial"/>
          <w:sz w:val="22"/>
          <w:szCs w:val="22"/>
          <w:lang w:val="en-US"/>
        </w:rPr>
        <w:t xml:space="preserve">for 3 min and incubated for 10 min at </w:t>
      </w:r>
      <w:r w:rsidR="00AF2D0E" w:rsidRPr="003A5293">
        <w:rPr>
          <w:rFonts w:ascii="Arial" w:hAnsi="Arial" w:cs="Arial"/>
          <w:sz w:val="22"/>
          <w:szCs w:val="22"/>
          <w:lang w:val="en-US"/>
        </w:rPr>
        <w:t>room temperature</w:t>
      </w:r>
      <w:r w:rsidRPr="003A5293">
        <w:rPr>
          <w:rFonts w:ascii="Arial" w:hAnsi="Arial" w:cs="Arial"/>
          <w:sz w:val="22"/>
          <w:szCs w:val="22"/>
          <w:lang w:val="en-US"/>
        </w:rPr>
        <w:t xml:space="preserve"> with DAPI (50ug/mL) at 1:100 dilution. After two brief washes in PBS and one time in distilled water, slides </w:t>
      </w:r>
      <w:r w:rsidRPr="003A5293">
        <w:rPr>
          <w:rFonts w:ascii="Arial" w:hAnsi="Arial" w:cs="Arial"/>
          <w:sz w:val="22"/>
          <w:szCs w:val="22"/>
          <w:lang w:val="en-US"/>
        </w:rPr>
        <w:lastRenderedPageBreak/>
        <w:t xml:space="preserve">were </w:t>
      </w:r>
      <w:r w:rsidR="00AF2D0E" w:rsidRPr="003A5293">
        <w:rPr>
          <w:rFonts w:ascii="Arial" w:hAnsi="Arial" w:cs="Arial"/>
          <w:sz w:val="22"/>
          <w:szCs w:val="22"/>
          <w:lang w:val="en-US"/>
        </w:rPr>
        <w:t>cover-slipped</w:t>
      </w:r>
      <w:r w:rsidRPr="003A5293">
        <w:rPr>
          <w:rFonts w:ascii="Arial" w:hAnsi="Arial" w:cs="Arial"/>
          <w:sz w:val="22"/>
          <w:szCs w:val="22"/>
          <w:lang w:val="en-US"/>
        </w:rPr>
        <w:t xml:space="preserve"> in MOWIOL 4-88 </w:t>
      </w:r>
      <w:r w:rsidR="00AF2D0E" w:rsidRPr="003A5293">
        <w:rPr>
          <w:rFonts w:ascii="Arial" w:hAnsi="Arial" w:cs="Arial"/>
          <w:sz w:val="22"/>
          <w:szCs w:val="22"/>
          <w:lang w:val="en-US"/>
        </w:rPr>
        <w:t>solutio</w:t>
      </w:r>
      <w:r w:rsidR="00287D42" w:rsidRPr="003A5293">
        <w:rPr>
          <w:rFonts w:ascii="Arial" w:hAnsi="Arial" w:cs="Arial"/>
          <w:sz w:val="22"/>
          <w:szCs w:val="22"/>
          <w:lang w:val="en-US"/>
        </w:rPr>
        <w:t>n</w:t>
      </w:r>
      <w:r w:rsidRPr="003A5293">
        <w:rPr>
          <w:rFonts w:ascii="Arial" w:hAnsi="Arial" w:cs="Arial"/>
          <w:sz w:val="22"/>
          <w:szCs w:val="22"/>
          <w:lang w:val="en-US"/>
        </w:rPr>
        <w:t xml:space="preserve">. Images were acquired using an Olympus BX51 inverted microscope equipped with </w:t>
      </w:r>
      <w:proofErr w:type="spellStart"/>
      <w:r w:rsidRPr="003A5293">
        <w:rPr>
          <w:rFonts w:ascii="Arial" w:hAnsi="Arial" w:cs="Arial"/>
          <w:sz w:val="22"/>
          <w:szCs w:val="22"/>
          <w:lang w:val="en-US"/>
        </w:rPr>
        <w:t>ColorViewIII</w:t>
      </w:r>
      <w:proofErr w:type="spellEnd"/>
      <w:r w:rsidRPr="003A5293">
        <w:rPr>
          <w:rFonts w:ascii="Arial" w:hAnsi="Arial" w:cs="Arial"/>
          <w:sz w:val="22"/>
          <w:szCs w:val="22"/>
          <w:lang w:val="en-US"/>
        </w:rPr>
        <w:t xml:space="preserve"> digital CCD camera</w:t>
      </w:r>
      <w:r w:rsidR="00AF2D0E" w:rsidRPr="003A5293">
        <w:rPr>
          <w:rFonts w:ascii="Arial" w:hAnsi="Arial" w:cs="Arial"/>
          <w:sz w:val="22"/>
          <w:szCs w:val="22"/>
          <w:lang w:val="en-US"/>
        </w:rPr>
        <w:t>.</w:t>
      </w:r>
    </w:p>
    <w:p w14:paraId="468EA811" w14:textId="77777777" w:rsidR="00FB329F" w:rsidRPr="003A5293" w:rsidRDefault="00FB329F" w:rsidP="00FB329F">
      <w:pPr>
        <w:spacing w:line="360" w:lineRule="auto"/>
        <w:jc w:val="both"/>
        <w:rPr>
          <w:rFonts w:ascii="Arial" w:hAnsi="Arial" w:cs="Arial"/>
          <w:sz w:val="22"/>
          <w:szCs w:val="22"/>
          <w:lang w:val="en-US"/>
        </w:rPr>
      </w:pPr>
    </w:p>
    <w:p w14:paraId="69D26A6B" w14:textId="5A759A5E" w:rsidR="00FB329F" w:rsidRPr="003A5293" w:rsidRDefault="00AF334E" w:rsidP="00FB329F">
      <w:pPr>
        <w:pStyle w:val="Formatvorlage1"/>
        <w:rPr>
          <w:rFonts w:cs="Arial"/>
        </w:rPr>
      </w:pPr>
      <w:bookmarkStart w:id="43" w:name="_Toc57582518"/>
      <w:r>
        <w:rPr>
          <w:rFonts w:cs="Arial"/>
        </w:rPr>
        <w:t>4.1</w:t>
      </w:r>
      <w:r w:rsidR="00756482">
        <w:rPr>
          <w:rFonts w:cs="Arial"/>
        </w:rPr>
        <w:t>6</w:t>
      </w:r>
      <w:r w:rsidR="00FB329F" w:rsidRPr="003A5293">
        <w:rPr>
          <w:rFonts w:cs="Arial"/>
        </w:rPr>
        <w:t xml:space="preserve"> Immunocytochemistry of CD34</w:t>
      </w:r>
      <w:r w:rsidR="00FB329F" w:rsidRPr="003A5293">
        <w:rPr>
          <w:rFonts w:cs="Arial"/>
          <w:vertAlign w:val="superscript"/>
        </w:rPr>
        <w:t>+</w:t>
      </w:r>
      <w:r w:rsidR="00FB329F" w:rsidRPr="003A5293">
        <w:rPr>
          <w:rFonts w:cs="Arial"/>
        </w:rPr>
        <w:t xml:space="preserve"> </w:t>
      </w:r>
      <w:r w:rsidR="00D3499B" w:rsidRPr="003A5293">
        <w:rPr>
          <w:rFonts w:cs="Arial"/>
        </w:rPr>
        <w:t>P-ECs</w:t>
      </w:r>
      <w:bookmarkEnd w:id="43"/>
    </w:p>
    <w:p w14:paraId="48496755" w14:textId="77777777" w:rsidR="00E2346E" w:rsidRPr="003A5293" w:rsidRDefault="00E2346E" w:rsidP="00FB329F">
      <w:pPr>
        <w:spacing w:line="360" w:lineRule="auto"/>
        <w:jc w:val="both"/>
        <w:rPr>
          <w:rFonts w:ascii="Arial" w:hAnsi="Arial" w:cs="Arial"/>
          <w:sz w:val="22"/>
          <w:szCs w:val="22"/>
          <w:lang w:val="en-US"/>
        </w:rPr>
      </w:pPr>
    </w:p>
    <w:p w14:paraId="430E0743" w14:textId="77777777" w:rsidR="00FB329F" w:rsidRPr="003A5293" w:rsidRDefault="00364BCC" w:rsidP="00FB329F">
      <w:pPr>
        <w:spacing w:line="360" w:lineRule="auto"/>
        <w:jc w:val="both"/>
        <w:rPr>
          <w:rFonts w:ascii="Arial" w:hAnsi="Arial" w:cs="Arial"/>
          <w:sz w:val="22"/>
          <w:szCs w:val="22"/>
          <w:lang w:val="en-US"/>
        </w:rPr>
      </w:pPr>
      <w:r w:rsidRPr="003A5293">
        <w:rPr>
          <w:rFonts w:ascii="Arial" w:hAnsi="Arial" w:cs="Arial"/>
          <w:sz w:val="22"/>
          <w:szCs w:val="22"/>
          <w:lang w:val="en-US"/>
        </w:rPr>
        <w:t>EBs</w:t>
      </w:r>
      <w:r w:rsidR="00FB329F" w:rsidRPr="003A5293">
        <w:rPr>
          <w:rFonts w:ascii="Arial" w:hAnsi="Arial" w:cs="Arial"/>
          <w:sz w:val="22"/>
          <w:szCs w:val="22"/>
          <w:lang w:val="en-US"/>
        </w:rPr>
        <w:t xml:space="preserve"> were </w:t>
      </w:r>
      <w:r w:rsidR="00D3499B" w:rsidRPr="003A5293">
        <w:rPr>
          <w:rFonts w:ascii="Arial" w:hAnsi="Arial" w:cs="Arial"/>
          <w:sz w:val="22"/>
          <w:szCs w:val="22"/>
          <w:lang w:val="en-US"/>
        </w:rPr>
        <w:t>pelleted by 250g for 5 min and dissociated into single cell suspension</w:t>
      </w:r>
      <w:r w:rsidR="00FB329F" w:rsidRPr="003A5293">
        <w:rPr>
          <w:rFonts w:ascii="Arial" w:hAnsi="Arial" w:cs="Arial"/>
          <w:sz w:val="22"/>
          <w:szCs w:val="22"/>
          <w:lang w:val="en-US"/>
        </w:rPr>
        <w:t xml:space="preserve"> by </w:t>
      </w:r>
      <w:proofErr w:type="spellStart"/>
      <w:r w:rsidR="00FB329F" w:rsidRPr="003A5293">
        <w:rPr>
          <w:rFonts w:ascii="Arial" w:hAnsi="Arial" w:cs="Arial"/>
          <w:sz w:val="22"/>
          <w:szCs w:val="22"/>
          <w:lang w:val="en-US"/>
        </w:rPr>
        <w:t>TrypLE</w:t>
      </w:r>
      <w:proofErr w:type="spellEnd"/>
      <w:r w:rsidR="00FB329F" w:rsidRPr="003A5293">
        <w:rPr>
          <w:rFonts w:ascii="Arial" w:hAnsi="Arial" w:cs="Arial"/>
          <w:sz w:val="22"/>
          <w:szCs w:val="22"/>
          <w:lang w:val="en-US"/>
        </w:rPr>
        <w:t xml:space="preserve"> Express </w:t>
      </w:r>
      <w:r w:rsidR="00D3499B" w:rsidRPr="003A5293">
        <w:rPr>
          <w:rFonts w:ascii="Arial" w:hAnsi="Arial" w:cs="Arial"/>
          <w:sz w:val="22"/>
          <w:szCs w:val="22"/>
          <w:lang w:val="en-US"/>
        </w:rPr>
        <w:t xml:space="preserve">for 10 min at 37°C, followed by 2 min of extensive pipetting with 1ml pipette tip. </w:t>
      </w:r>
      <w:r w:rsidR="00D8667F" w:rsidRPr="003A5293">
        <w:rPr>
          <w:rFonts w:ascii="Arial" w:hAnsi="Arial" w:cs="Arial"/>
          <w:sz w:val="22"/>
          <w:szCs w:val="22"/>
          <w:lang w:val="en-US"/>
        </w:rPr>
        <w:t>Single c</w:t>
      </w:r>
      <w:r w:rsidR="00D3499B" w:rsidRPr="003A5293">
        <w:rPr>
          <w:rFonts w:ascii="Arial" w:hAnsi="Arial" w:cs="Arial"/>
          <w:sz w:val="22"/>
          <w:szCs w:val="22"/>
          <w:lang w:val="en-US"/>
        </w:rPr>
        <w:t xml:space="preserve">ell suspension was washed afterwards </w:t>
      </w:r>
      <w:r w:rsidR="00FB329F" w:rsidRPr="003A5293">
        <w:rPr>
          <w:rFonts w:ascii="Arial" w:hAnsi="Arial" w:cs="Arial"/>
          <w:sz w:val="22"/>
          <w:szCs w:val="22"/>
          <w:lang w:val="en-US"/>
        </w:rPr>
        <w:t xml:space="preserve">with ice-cold 1% BSA in PBS and </w:t>
      </w:r>
      <w:r w:rsidR="00D8667F" w:rsidRPr="003A5293">
        <w:rPr>
          <w:rFonts w:ascii="Arial" w:hAnsi="Arial" w:cs="Arial"/>
          <w:sz w:val="22"/>
          <w:szCs w:val="22"/>
          <w:lang w:val="en-US"/>
        </w:rPr>
        <w:t>strained</w:t>
      </w:r>
      <w:r w:rsidR="00FB329F" w:rsidRPr="003A5293">
        <w:rPr>
          <w:rFonts w:ascii="Arial" w:hAnsi="Arial" w:cs="Arial"/>
          <w:sz w:val="22"/>
          <w:szCs w:val="22"/>
          <w:lang w:val="en-US"/>
        </w:rPr>
        <w:t xml:space="preserve"> through 40 </w:t>
      </w:r>
      <w:proofErr w:type="spellStart"/>
      <w:r w:rsidR="00FB329F" w:rsidRPr="003A5293">
        <w:rPr>
          <w:rFonts w:ascii="Arial" w:hAnsi="Arial" w:cs="Arial"/>
          <w:sz w:val="22"/>
          <w:szCs w:val="22"/>
          <w:lang w:val="en-US"/>
        </w:rPr>
        <w:t>μm</w:t>
      </w:r>
      <w:proofErr w:type="spellEnd"/>
      <w:r w:rsidR="00FB329F" w:rsidRPr="003A5293">
        <w:rPr>
          <w:rFonts w:ascii="Arial" w:hAnsi="Arial" w:cs="Arial"/>
          <w:sz w:val="22"/>
          <w:szCs w:val="22"/>
          <w:lang w:val="en-US"/>
        </w:rPr>
        <w:t xml:space="preserve"> cell strainer</w:t>
      </w:r>
      <w:r w:rsidR="00D8667F" w:rsidRPr="003A5293">
        <w:rPr>
          <w:rFonts w:ascii="Arial" w:hAnsi="Arial" w:cs="Arial"/>
          <w:sz w:val="22"/>
          <w:szCs w:val="22"/>
          <w:lang w:val="en-US"/>
        </w:rPr>
        <w:t>.</w:t>
      </w:r>
      <w:r w:rsidR="00FB329F" w:rsidRPr="003A5293">
        <w:rPr>
          <w:rFonts w:ascii="Arial" w:hAnsi="Arial" w:cs="Arial"/>
          <w:sz w:val="22"/>
          <w:szCs w:val="22"/>
          <w:lang w:val="en-US"/>
        </w:rPr>
        <w:t xml:space="preserve"> </w:t>
      </w:r>
      <w:r w:rsidRPr="003A5293">
        <w:rPr>
          <w:rFonts w:ascii="Arial" w:hAnsi="Arial" w:cs="Arial"/>
          <w:sz w:val="22"/>
          <w:szCs w:val="22"/>
          <w:lang w:val="en-US"/>
        </w:rPr>
        <w:t xml:space="preserve">Cells were then </w:t>
      </w:r>
      <w:proofErr w:type="spellStart"/>
      <w:r w:rsidR="00FB329F" w:rsidRPr="003A5293">
        <w:rPr>
          <w:rFonts w:ascii="Arial" w:hAnsi="Arial" w:cs="Arial"/>
          <w:sz w:val="22"/>
          <w:szCs w:val="22"/>
          <w:lang w:val="en-US"/>
        </w:rPr>
        <w:t>cytospined</w:t>
      </w:r>
      <w:proofErr w:type="spellEnd"/>
      <w:r w:rsidR="00FB329F" w:rsidRPr="003A5293">
        <w:rPr>
          <w:rFonts w:ascii="Arial" w:hAnsi="Arial" w:cs="Arial"/>
          <w:sz w:val="22"/>
          <w:szCs w:val="22"/>
          <w:lang w:val="en-US"/>
        </w:rPr>
        <w:t xml:space="preserve"> on </w:t>
      </w:r>
      <w:proofErr w:type="spellStart"/>
      <w:r w:rsidR="00FB329F" w:rsidRPr="003A5293">
        <w:rPr>
          <w:rFonts w:ascii="Arial" w:hAnsi="Arial" w:cs="Arial"/>
          <w:sz w:val="22"/>
          <w:szCs w:val="22"/>
          <w:lang w:val="en-US"/>
        </w:rPr>
        <w:t>SuperFrost</w:t>
      </w:r>
      <w:proofErr w:type="spellEnd"/>
      <w:r w:rsidR="00FB329F" w:rsidRPr="003A5293">
        <w:rPr>
          <w:rFonts w:ascii="Arial" w:hAnsi="Arial" w:cs="Arial"/>
          <w:sz w:val="22"/>
          <w:szCs w:val="22"/>
          <w:lang w:val="en-US"/>
        </w:rPr>
        <w:t xml:space="preserve"> Plus adhesion microscope slides (Thermo Fischer</w:t>
      </w:r>
      <w:r w:rsidRPr="003A5293">
        <w:rPr>
          <w:rFonts w:ascii="Arial" w:hAnsi="Arial" w:cs="Arial"/>
          <w:sz w:val="22"/>
          <w:szCs w:val="22"/>
          <w:lang w:val="en-US"/>
        </w:rPr>
        <w:t xml:space="preserve"> Scientific</w:t>
      </w:r>
      <w:r w:rsidR="00FB329F" w:rsidRPr="003A5293">
        <w:rPr>
          <w:rFonts w:ascii="Arial" w:hAnsi="Arial" w:cs="Arial"/>
          <w:sz w:val="22"/>
          <w:szCs w:val="22"/>
          <w:lang w:val="en-US"/>
        </w:rPr>
        <w:t>)</w:t>
      </w:r>
      <w:r w:rsidRPr="003A5293">
        <w:rPr>
          <w:rFonts w:ascii="Arial" w:hAnsi="Arial" w:cs="Arial"/>
          <w:sz w:val="22"/>
          <w:szCs w:val="22"/>
          <w:lang w:val="en-US"/>
        </w:rPr>
        <w:t xml:space="preserve"> and </w:t>
      </w:r>
      <w:r w:rsidR="00FB329F" w:rsidRPr="003A5293">
        <w:rPr>
          <w:rFonts w:ascii="Arial" w:hAnsi="Arial" w:cs="Arial"/>
          <w:sz w:val="22"/>
          <w:szCs w:val="22"/>
          <w:lang w:val="en-US"/>
        </w:rPr>
        <w:t>fixed by 3% paraformaldehyde</w:t>
      </w:r>
      <w:r w:rsidR="00DD5C26" w:rsidRPr="003A5293">
        <w:rPr>
          <w:rFonts w:ascii="Arial" w:hAnsi="Arial" w:cs="Arial"/>
          <w:sz w:val="22"/>
          <w:szCs w:val="22"/>
          <w:lang w:val="en-US"/>
        </w:rPr>
        <w:t xml:space="preserve"> in PBS</w:t>
      </w:r>
      <w:r w:rsidRPr="003A5293">
        <w:rPr>
          <w:rFonts w:ascii="Arial" w:hAnsi="Arial" w:cs="Arial"/>
          <w:sz w:val="22"/>
          <w:szCs w:val="22"/>
          <w:lang w:val="en-US"/>
        </w:rPr>
        <w:t xml:space="preserve"> </w:t>
      </w:r>
      <w:r w:rsidR="00FB329F" w:rsidRPr="003A5293">
        <w:rPr>
          <w:rFonts w:ascii="Arial" w:hAnsi="Arial" w:cs="Arial"/>
          <w:sz w:val="22"/>
          <w:szCs w:val="22"/>
          <w:lang w:val="en-US"/>
        </w:rPr>
        <w:t xml:space="preserve">at </w:t>
      </w:r>
      <w:r w:rsidRPr="003A5293">
        <w:rPr>
          <w:rFonts w:ascii="Arial" w:hAnsi="Arial" w:cs="Arial"/>
          <w:sz w:val="22"/>
          <w:szCs w:val="22"/>
          <w:lang w:val="en-US"/>
        </w:rPr>
        <w:t>room temperature</w:t>
      </w:r>
      <w:r w:rsidR="00FB329F" w:rsidRPr="003A5293">
        <w:rPr>
          <w:rFonts w:ascii="Arial" w:hAnsi="Arial" w:cs="Arial"/>
          <w:sz w:val="22"/>
          <w:szCs w:val="22"/>
          <w:lang w:val="en-US"/>
        </w:rPr>
        <w:t xml:space="preserve"> for 15 min</w:t>
      </w:r>
      <w:r w:rsidRPr="003A5293">
        <w:rPr>
          <w:rFonts w:ascii="Arial" w:hAnsi="Arial" w:cs="Arial"/>
          <w:sz w:val="22"/>
          <w:szCs w:val="22"/>
          <w:lang w:val="en-US"/>
        </w:rPr>
        <w:t xml:space="preserve">. </w:t>
      </w:r>
      <w:r w:rsidR="00A43657" w:rsidRPr="003A5293">
        <w:rPr>
          <w:rFonts w:ascii="Arial" w:hAnsi="Arial" w:cs="Arial"/>
          <w:sz w:val="22"/>
          <w:szCs w:val="22"/>
          <w:lang w:val="en-US"/>
        </w:rPr>
        <w:t>After fixation</w:t>
      </w:r>
      <w:r w:rsidRPr="003A5293">
        <w:rPr>
          <w:rFonts w:ascii="Arial" w:hAnsi="Arial" w:cs="Arial"/>
          <w:sz w:val="22"/>
          <w:szCs w:val="22"/>
          <w:lang w:val="en-US"/>
        </w:rPr>
        <w:t xml:space="preserve"> </w:t>
      </w:r>
      <w:r w:rsidR="00DD5C26" w:rsidRPr="003A5293">
        <w:rPr>
          <w:rFonts w:ascii="Arial" w:hAnsi="Arial" w:cs="Arial"/>
          <w:sz w:val="22"/>
          <w:szCs w:val="22"/>
          <w:lang w:val="en-US"/>
        </w:rPr>
        <w:t>were samples</w:t>
      </w:r>
      <w:r w:rsidR="00A43657" w:rsidRPr="003A5293">
        <w:rPr>
          <w:rFonts w:ascii="Arial" w:hAnsi="Arial" w:cs="Arial"/>
          <w:sz w:val="22"/>
          <w:szCs w:val="22"/>
          <w:lang w:val="en-US"/>
        </w:rPr>
        <w:t xml:space="preserve"> </w:t>
      </w:r>
      <w:r w:rsidR="00FB329F" w:rsidRPr="003A5293">
        <w:rPr>
          <w:rFonts w:ascii="Arial" w:hAnsi="Arial" w:cs="Arial"/>
          <w:sz w:val="22"/>
          <w:szCs w:val="22"/>
          <w:lang w:val="en-US"/>
        </w:rPr>
        <w:t xml:space="preserve">washed two times by PBS for 3 min </w:t>
      </w:r>
      <w:r w:rsidRPr="003A5293">
        <w:rPr>
          <w:rFonts w:ascii="Arial" w:hAnsi="Arial" w:cs="Arial"/>
          <w:sz w:val="22"/>
          <w:szCs w:val="22"/>
          <w:lang w:val="en-US"/>
        </w:rPr>
        <w:t>and finally</w:t>
      </w:r>
      <w:r w:rsidR="00FB329F" w:rsidRPr="003A5293">
        <w:rPr>
          <w:rFonts w:ascii="Arial" w:hAnsi="Arial" w:cs="Arial"/>
          <w:sz w:val="22"/>
          <w:szCs w:val="22"/>
          <w:lang w:val="en-US"/>
        </w:rPr>
        <w:t xml:space="preserve"> permeabilized in methanol</w:t>
      </w:r>
      <w:r w:rsidRPr="003A5293">
        <w:rPr>
          <w:rFonts w:ascii="Arial" w:hAnsi="Arial" w:cs="Arial"/>
          <w:sz w:val="22"/>
          <w:szCs w:val="22"/>
          <w:lang w:val="en-US"/>
        </w:rPr>
        <w:t xml:space="preserve"> </w:t>
      </w:r>
      <w:r w:rsidR="00FB329F" w:rsidRPr="003A5293">
        <w:rPr>
          <w:rFonts w:ascii="Arial" w:hAnsi="Arial" w:cs="Arial"/>
          <w:sz w:val="22"/>
          <w:szCs w:val="22"/>
          <w:lang w:val="en-US"/>
        </w:rPr>
        <w:t>at –20°C for 10 min and let</w:t>
      </w:r>
      <w:r w:rsidRPr="003A5293">
        <w:rPr>
          <w:rFonts w:ascii="Arial" w:hAnsi="Arial" w:cs="Arial"/>
          <w:sz w:val="22"/>
          <w:szCs w:val="22"/>
          <w:lang w:val="en-US"/>
        </w:rPr>
        <w:t xml:space="preserve"> fully</w:t>
      </w:r>
      <w:r w:rsidR="00FB329F" w:rsidRPr="003A5293">
        <w:rPr>
          <w:rFonts w:ascii="Arial" w:hAnsi="Arial" w:cs="Arial"/>
          <w:sz w:val="22"/>
          <w:szCs w:val="22"/>
          <w:lang w:val="en-US"/>
        </w:rPr>
        <w:t xml:space="preserve"> air-dried.</w:t>
      </w:r>
    </w:p>
    <w:p w14:paraId="0C3977F3" w14:textId="22DBB1C2" w:rsidR="00FB329F" w:rsidRPr="003A5293" w:rsidRDefault="00FB329F" w:rsidP="00FB329F">
      <w:pPr>
        <w:spacing w:line="360" w:lineRule="auto"/>
        <w:jc w:val="both"/>
        <w:rPr>
          <w:rFonts w:ascii="Arial" w:hAnsi="Arial" w:cs="Arial"/>
          <w:sz w:val="22"/>
          <w:szCs w:val="22"/>
          <w:lang w:val="en-US"/>
        </w:rPr>
      </w:pPr>
      <w:r w:rsidRPr="003A5293">
        <w:rPr>
          <w:rFonts w:ascii="Arial" w:hAnsi="Arial" w:cs="Arial"/>
          <w:sz w:val="22"/>
          <w:szCs w:val="22"/>
          <w:lang w:val="en-US"/>
        </w:rPr>
        <w:t xml:space="preserve">For γH2AX/RAD51 dual staining, </w:t>
      </w:r>
      <w:r w:rsidR="00364BCC" w:rsidRPr="003A5293">
        <w:rPr>
          <w:rFonts w:ascii="Arial" w:hAnsi="Arial" w:cs="Arial"/>
          <w:sz w:val="22"/>
          <w:szCs w:val="22"/>
          <w:lang w:val="en-US"/>
        </w:rPr>
        <w:t>slides with cells</w:t>
      </w:r>
      <w:r w:rsidRPr="003A5293">
        <w:rPr>
          <w:rFonts w:ascii="Arial" w:hAnsi="Arial" w:cs="Arial"/>
          <w:sz w:val="22"/>
          <w:szCs w:val="22"/>
          <w:lang w:val="en-US"/>
        </w:rPr>
        <w:t xml:space="preserve"> were washed three times in PBS</w:t>
      </w:r>
      <w:r w:rsidR="00364BCC" w:rsidRPr="003A5293">
        <w:rPr>
          <w:rFonts w:ascii="Arial" w:hAnsi="Arial" w:cs="Arial"/>
          <w:sz w:val="22"/>
          <w:szCs w:val="22"/>
          <w:lang w:val="en-US"/>
        </w:rPr>
        <w:t>-</w:t>
      </w:r>
      <w:r w:rsidRPr="003A5293">
        <w:rPr>
          <w:rFonts w:ascii="Arial" w:hAnsi="Arial" w:cs="Arial"/>
          <w:sz w:val="22"/>
          <w:szCs w:val="22"/>
          <w:lang w:val="en-US"/>
        </w:rPr>
        <w:t xml:space="preserve">T for 3 min and blocked in </w:t>
      </w:r>
      <w:r w:rsidR="007013D3" w:rsidRPr="003A5293">
        <w:rPr>
          <w:rFonts w:ascii="Arial" w:hAnsi="Arial" w:cs="Arial"/>
          <w:sz w:val="22"/>
          <w:szCs w:val="22"/>
          <w:lang w:val="en-US"/>
        </w:rPr>
        <w:t>1</w:t>
      </w:r>
      <w:r w:rsidRPr="003A5293">
        <w:rPr>
          <w:rFonts w:ascii="Arial" w:hAnsi="Arial" w:cs="Arial"/>
          <w:sz w:val="22"/>
          <w:szCs w:val="22"/>
          <w:lang w:val="en-US"/>
        </w:rPr>
        <w:t>% BSA</w:t>
      </w:r>
      <w:r w:rsidR="00364BCC" w:rsidRPr="003A5293">
        <w:rPr>
          <w:rFonts w:ascii="Arial" w:hAnsi="Arial" w:cs="Arial"/>
          <w:sz w:val="22"/>
          <w:szCs w:val="22"/>
          <w:lang w:val="en-US"/>
        </w:rPr>
        <w:t>,</w:t>
      </w:r>
      <w:r w:rsidR="007013D3" w:rsidRPr="003A5293">
        <w:rPr>
          <w:rFonts w:ascii="Arial" w:hAnsi="Arial" w:cs="Arial"/>
          <w:sz w:val="22"/>
          <w:szCs w:val="22"/>
          <w:lang w:val="en-US"/>
        </w:rPr>
        <w:t xml:space="preserve"> 10% goat serum,</w:t>
      </w:r>
      <w:r w:rsidR="00364BCC" w:rsidRPr="003A5293">
        <w:rPr>
          <w:rFonts w:ascii="Arial" w:hAnsi="Arial" w:cs="Arial"/>
          <w:sz w:val="22"/>
          <w:szCs w:val="22"/>
          <w:lang w:val="en-US"/>
        </w:rPr>
        <w:t xml:space="preserve"> 0.1% Tween20 and 0.</w:t>
      </w:r>
      <w:r w:rsidR="007013D3" w:rsidRPr="003A5293">
        <w:rPr>
          <w:rFonts w:ascii="Arial" w:hAnsi="Arial" w:cs="Arial"/>
          <w:sz w:val="22"/>
          <w:szCs w:val="22"/>
          <w:lang w:val="en-US"/>
        </w:rPr>
        <w:t>3M Glycine</w:t>
      </w:r>
      <w:r w:rsidRPr="003A5293">
        <w:rPr>
          <w:rFonts w:ascii="Arial" w:hAnsi="Arial" w:cs="Arial"/>
          <w:sz w:val="22"/>
          <w:szCs w:val="22"/>
          <w:lang w:val="en-US"/>
        </w:rPr>
        <w:t xml:space="preserve"> in PBS for </w:t>
      </w:r>
      <w:r w:rsidR="007013D3" w:rsidRPr="003A5293">
        <w:rPr>
          <w:rFonts w:ascii="Arial" w:hAnsi="Arial" w:cs="Arial"/>
          <w:sz w:val="22"/>
          <w:szCs w:val="22"/>
          <w:lang w:val="en-US"/>
        </w:rPr>
        <w:t>1 hour</w:t>
      </w:r>
      <w:r w:rsidRPr="003A5293">
        <w:rPr>
          <w:rFonts w:ascii="Arial" w:hAnsi="Arial" w:cs="Arial"/>
          <w:sz w:val="22"/>
          <w:szCs w:val="22"/>
          <w:lang w:val="en-US"/>
        </w:rPr>
        <w:t xml:space="preserve"> at </w:t>
      </w:r>
      <w:r w:rsidR="00364BCC" w:rsidRPr="003A5293">
        <w:rPr>
          <w:rFonts w:ascii="Arial" w:hAnsi="Arial" w:cs="Arial"/>
          <w:sz w:val="22"/>
          <w:szCs w:val="22"/>
          <w:lang w:val="en-US"/>
        </w:rPr>
        <w:t>room temperature</w:t>
      </w:r>
      <w:r w:rsidRPr="003A5293">
        <w:rPr>
          <w:rFonts w:ascii="Arial" w:hAnsi="Arial" w:cs="Arial"/>
          <w:sz w:val="22"/>
          <w:szCs w:val="22"/>
          <w:lang w:val="en-US"/>
        </w:rPr>
        <w:t xml:space="preserve">, followed by sequential primary antibodies (listed in Table </w:t>
      </w:r>
      <w:r w:rsidR="00364BCC" w:rsidRPr="003A5293">
        <w:rPr>
          <w:rFonts w:ascii="Arial" w:hAnsi="Arial" w:cs="Arial"/>
          <w:sz w:val="22"/>
          <w:szCs w:val="22"/>
          <w:lang w:val="en-US"/>
        </w:rPr>
        <w:t>S</w:t>
      </w:r>
      <w:r w:rsidR="00452D46">
        <w:rPr>
          <w:rFonts w:ascii="Arial" w:hAnsi="Arial" w:cs="Arial"/>
          <w:sz w:val="22"/>
          <w:szCs w:val="22"/>
          <w:lang w:val="en-US"/>
        </w:rPr>
        <w:t>1</w:t>
      </w:r>
      <w:r w:rsidRPr="003A5293">
        <w:rPr>
          <w:rFonts w:ascii="Arial" w:hAnsi="Arial" w:cs="Arial"/>
          <w:sz w:val="22"/>
          <w:szCs w:val="22"/>
          <w:lang w:val="en-US"/>
        </w:rPr>
        <w:t xml:space="preserve">) incubation </w:t>
      </w:r>
      <w:r w:rsidR="007013D3" w:rsidRPr="003A5293">
        <w:rPr>
          <w:rFonts w:ascii="Arial" w:hAnsi="Arial" w:cs="Arial"/>
          <w:sz w:val="22"/>
          <w:szCs w:val="22"/>
          <w:lang w:val="en-US"/>
        </w:rPr>
        <w:t xml:space="preserve">diluted in 5%BSA in PBS </w:t>
      </w:r>
      <w:r w:rsidRPr="003A5293">
        <w:rPr>
          <w:rFonts w:ascii="Arial" w:hAnsi="Arial" w:cs="Arial"/>
          <w:sz w:val="22"/>
          <w:szCs w:val="22"/>
          <w:lang w:val="en-US"/>
        </w:rPr>
        <w:t xml:space="preserve">at </w:t>
      </w:r>
      <w:r w:rsidR="007013D3" w:rsidRPr="003A5293">
        <w:rPr>
          <w:rFonts w:ascii="Arial" w:hAnsi="Arial" w:cs="Arial"/>
          <w:sz w:val="22"/>
          <w:szCs w:val="22"/>
          <w:lang w:val="en-US"/>
        </w:rPr>
        <w:t xml:space="preserve">room temperature for 1 hour with 3 short PBS-T washes between incubations. </w:t>
      </w:r>
      <w:r w:rsidRPr="003A5293">
        <w:rPr>
          <w:rFonts w:ascii="Arial" w:hAnsi="Arial" w:cs="Arial"/>
          <w:sz w:val="22"/>
          <w:szCs w:val="22"/>
          <w:lang w:val="en-US"/>
        </w:rPr>
        <w:t xml:space="preserve">Samples were then washed 3 times in </w:t>
      </w:r>
      <w:r w:rsidR="00F34A7C">
        <w:rPr>
          <w:rFonts w:ascii="Arial" w:hAnsi="Arial" w:cs="Arial"/>
          <w:sz w:val="22"/>
          <w:szCs w:val="22"/>
          <w:lang w:val="en-US"/>
        </w:rPr>
        <w:br/>
      </w:r>
      <w:r w:rsidRPr="003A5293">
        <w:rPr>
          <w:rFonts w:ascii="Arial" w:hAnsi="Arial" w:cs="Arial"/>
          <w:sz w:val="22"/>
          <w:szCs w:val="22"/>
          <w:lang w:val="en-US"/>
        </w:rPr>
        <w:t>PBS</w:t>
      </w:r>
      <w:r w:rsidR="00364BCC" w:rsidRPr="003A5293">
        <w:rPr>
          <w:rFonts w:ascii="Arial" w:hAnsi="Arial" w:cs="Arial"/>
          <w:sz w:val="22"/>
          <w:szCs w:val="22"/>
          <w:lang w:val="en-US"/>
        </w:rPr>
        <w:t>-</w:t>
      </w:r>
      <w:r w:rsidRPr="003A5293">
        <w:rPr>
          <w:rFonts w:ascii="Arial" w:hAnsi="Arial" w:cs="Arial"/>
          <w:sz w:val="22"/>
          <w:szCs w:val="22"/>
          <w:lang w:val="en-US"/>
        </w:rPr>
        <w:t xml:space="preserve">T, once with PBS and then incubated sequentially with secondary goat anti-rabbit Alexa Fluor 488 antibody and goat anti-mouse Alexa Fluor 568 conjugated secondary antibody (both diluted in 5 % </w:t>
      </w:r>
      <w:r w:rsidR="007013D3" w:rsidRPr="003A5293">
        <w:rPr>
          <w:rFonts w:ascii="Arial" w:hAnsi="Arial" w:cs="Arial"/>
          <w:sz w:val="22"/>
          <w:szCs w:val="22"/>
          <w:lang w:val="en-US"/>
        </w:rPr>
        <w:t xml:space="preserve">BSA </w:t>
      </w:r>
      <w:r w:rsidRPr="003A5293">
        <w:rPr>
          <w:rFonts w:ascii="Arial" w:hAnsi="Arial" w:cs="Arial"/>
          <w:sz w:val="22"/>
          <w:szCs w:val="22"/>
          <w:lang w:val="en-US"/>
        </w:rPr>
        <w:t>in PBS at 1:1000) for 60 min at RT, with short PBS</w:t>
      </w:r>
      <w:r w:rsidR="00F34A7C">
        <w:rPr>
          <w:rFonts w:ascii="Arial" w:hAnsi="Arial" w:cs="Arial"/>
          <w:sz w:val="22"/>
          <w:szCs w:val="22"/>
          <w:lang w:val="en-US"/>
        </w:rPr>
        <w:t>-</w:t>
      </w:r>
      <w:r w:rsidRPr="003A5293">
        <w:rPr>
          <w:rFonts w:ascii="Arial" w:hAnsi="Arial" w:cs="Arial"/>
          <w:sz w:val="22"/>
          <w:szCs w:val="22"/>
          <w:lang w:val="en-US"/>
        </w:rPr>
        <w:t xml:space="preserve">T washes between each incubation. Samples were then mounted onto slides using the DAPI containing </w:t>
      </w:r>
      <w:proofErr w:type="spellStart"/>
      <w:r w:rsidRPr="003A5293">
        <w:rPr>
          <w:rFonts w:ascii="Arial" w:hAnsi="Arial" w:cs="Arial"/>
          <w:sz w:val="22"/>
          <w:szCs w:val="22"/>
          <w:lang w:val="en-US"/>
        </w:rPr>
        <w:t>Vectashield</w:t>
      </w:r>
      <w:proofErr w:type="spellEnd"/>
      <w:r w:rsidRPr="003A5293">
        <w:rPr>
          <w:rFonts w:ascii="Arial" w:hAnsi="Arial" w:cs="Arial"/>
          <w:sz w:val="22"/>
          <w:szCs w:val="22"/>
          <w:lang w:val="en-US"/>
        </w:rPr>
        <w:t xml:space="preserve"> mounting reagent</w:t>
      </w:r>
      <w:r w:rsidR="00DD5C26" w:rsidRPr="003A5293">
        <w:rPr>
          <w:rFonts w:ascii="Arial" w:hAnsi="Arial" w:cs="Arial"/>
          <w:sz w:val="22"/>
          <w:szCs w:val="22"/>
          <w:lang w:val="en-US"/>
        </w:rPr>
        <w:t>.</w:t>
      </w:r>
      <w:r w:rsidRPr="003A5293">
        <w:rPr>
          <w:rFonts w:ascii="Arial" w:hAnsi="Arial" w:cs="Arial"/>
          <w:sz w:val="22"/>
          <w:szCs w:val="22"/>
          <w:lang w:val="en-US"/>
        </w:rPr>
        <w:t xml:space="preserve"> Slides were visualized by the </w:t>
      </w:r>
      <w:proofErr w:type="spellStart"/>
      <w:r w:rsidRPr="003A5293">
        <w:rPr>
          <w:rFonts w:ascii="Arial" w:hAnsi="Arial" w:cs="Arial"/>
          <w:sz w:val="22"/>
          <w:szCs w:val="22"/>
          <w:lang w:val="en-US"/>
        </w:rPr>
        <w:t>Axio</w:t>
      </w:r>
      <w:proofErr w:type="spellEnd"/>
      <w:r w:rsidRPr="003A5293">
        <w:rPr>
          <w:rFonts w:ascii="Arial" w:hAnsi="Arial" w:cs="Arial"/>
          <w:sz w:val="22"/>
          <w:szCs w:val="22"/>
          <w:lang w:val="en-US"/>
        </w:rPr>
        <w:t xml:space="preserve"> Observer.Z1/Cell Observer Spinning Disc microscopic system equipped with an Evolve 512 EMCCD camera. For quantitative image analysis, a series of random fields were recorded using </w:t>
      </w:r>
      <w:proofErr w:type="spellStart"/>
      <w:r w:rsidRPr="003A5293">
        <w:rPr>
          <w:rFonts w:ascii="Arial" w:hAnsi="Arial" w:cs="Arial"/>
          <w:sz w:val="22"/>
          <w:szCs w:val="22"/>
          <w:lang w:val="en-US"/>
        </w:rPr>
        <w:t>ScanR</w:t>
      </w:r>
      <w:proofErr w:type="spellEnd"/>
      <w:r w:rsidRPr="003A5293">
        <w:rPr>
          <w:rFonts w:ascii="Arial" w:hAnsi="Arial" w:cs="Arial"/>
          <w:sz w:val="22"/>
          <w:szCs w:val="22"/>
          <w:lang w:val="en-US"/>
        </w:rPr>
        <w:t xml:space="preserve"> imaging workstation</w:t>
      </w:r>
      <w:r w:rsidR="00DD5C26" w:rsidRPr="003A5293">
        <w:rPr>
          <w:rFonts w:ascii="Arial" w:hAnsi="Arial" w:cs="Arial"/>
          <w:sz w:val="22"/>
          <w:szCs w:val="22"/>
          <w:lang w:val="en-US"/>
        </w:rPr>
        <w:t>.</w:t>
      </w:r>
      <w:r w:rsidR="007013D3" w:rsidRPr="003A5293">
        <w:rPr>
          <w:rFonts w:ascii="Arial" w:hAnsi="Arial" w:cs="Arial"/>
          <w:sz w:val="22"/>
          <w:szCs w:val="22"/>
          <w:lang w:val="en-US"/>
        </w:rPr>
        <w:t xml:space="preserve"> Intensity and</w:t>
      </w:r>
      <w:r w:rsidRPr="003A5293">
        <w:rPr>
          <w:rFonts w:ascii="Arial" w:hAnsi="Arial" w:cs="Arial"/>
          <w:sz w:val="22"/>
          <w:szCs w:val="22"/>
          <w:lang w:val="en-US"/>
        </w:rPr>
        <w:t xml:space="preserve"> number</w:t>
      </w:r>
      <w:r w:rsidR="007013D3" w:rsidRPr="003A5293">
        <w:rPr>
          <w:rFonts w:ascii="Arial" w:hAnsi="Arial" w:cs="Arial"/>
          <w:sz w:val="22"/>
          <w:szCs w:val="22"/>
          <w:lang w:val="en-US"/>
        </w:rPr>
        <w:t>s</w:t>
      </w:r>
      <w:r w:rsidRPr="003A5293">
        <w:rPr>
          <w:rFonts w:ascii="Arial" w:hAnsi="Arial" w:cs="Arial"/>
          <w:sz w:val="22"/>
          <w:szCs w:val="22"/>
          <w:lang w:val="en-US"/>
        </w:rPr>
        <w:t xml:space="preserve"> of nuclear foci were quantified using the </w:t>
      </w:r>
      <w:proofErr w:type="spellStart"/>
      <w:r w:rsidRPr="003A5293">
        <w:rPr>
          <w:rFonts w:ascii="Arial" w:hAnsi="Arial" w:cs="Arial"/>
          <w:sz w:val="22"/>
          <w:szCs w:val="22"/>
          <w:lang w:val="en-US"/>
        </w:rPr>
        <w:t>ScanR</w:t>
      </w:r>
      <w:proofErr w:type="spellEnd"/>
      <w:r w:rsidRPr="003A5293">
        <w:rPr>
          <w:rFonts w:ascii="Arial" w:hAnsi="Arial" w:cs="Arial"/>
          <w:sz w:val="22"/>
          <w:szCs w:val="22"/>
          <w:lang w:val="en-US"/>
        </w:rPr>
        <w:t xml:space="preserve"> image analysis software</w:t>
      </w:r>
      <w:r w:rsidR="00DD5C26" w:rsidRPr="003A5293">
        <w:rPr>
          <w:rFonts w:ascii="Arial" w:hAnsi="Arial" w:cs="Arial"/>
          <w:sz w:val="22"/>
          <w:szCs w:val="22"/>
          <w:lang w:val="en-US"/>
        </w:rPr>
        <w:t>.</w:t>
      </w:r>
    </w:p>
    <w:p w14:paraId="13BB5A41" w14:textId="77777777" w:rsidR="00FB329F" w:rsidRPr="003A5293" w:rsidRDefault="00FB329F" w:rsidP="00FB329F">
      <w:pPr>
        <w:spacing w:line="360" w:lineRule="auto"/>
        <w:jc w:val="both"/>
        <w:rPr>
          <w:rFonts w:ascii="Arial" w:hAnsi="Arial" w:cs="Arial"/>
          <w:sz w:val="22"/>
          <w:szCs w:val="22"/>
          <w:lang w:val="en-US"/>
        </w:rPr>
      </w:pPr>
    </w:p>
    <w:p w14:paraId="15823334" w14:textId="4099DBC9" w:rsidR="00FB329F" w:rsidRPr="003A5293" w:rsidRDefault="00AF334E" w:rsidP="00FB329F">
      <w:pPr>
        <w:pStyle w:val="Formatvorlage1"/>
        <w:rPr>
          <w:rFonts w:cs="Arial"/>
        </w:rPr>
      </w:pPr>
      <w:bookmarkStart w:id="44" w:name="_Toc57582519"/>
      <w:r>
        <w:rPr>
          <w:rFonts w:cs="Arial"/>
        </w:rPr>
        <w:t>4.1</w:t>
      </w:r>
      <w:r w:rsidR="00756482">
        <w:rPr>
          <w:rFonts w:cs="Arial"/>
        </w:rPr>
        <w:t>7</w:t>
      </w:r>
      <w:r w:rsidR="00FB329F" w:rsidRPr="003A5293">
        <w:rPr>
          <w:rFonts w:cs="Arial"/>
        </w:rPr>
        <w:t xml:space="preserve"> Inhibition of dual-specificity phosphatases (DUSPs)</w:t>
      </w:r>
      <w:bookmarkEnd w:id="44"/>
    </w:p>
    <w:p w14:paraId="3EF2FF39" w14:textId="77777777" w:rsidR="00E2346E" w:rsidRPr="003A5293" w:rsidRDefault="00E2346E" w:rsidP="00FB329F">
      <w:pPr>
        <w:spacing w:line="360" w:lineRule="auto"/>
        <w:jc w:val="both"/>
        <w:rPr>
          <w:rFonts w:ascii="Arial" w:hAnsi="Arial" w:cs="Arial"/>
          <w:sz w:val="22"/>
          <w:szCs w:val="22"/>
          <w:lang w:val="en-US"/>
        </w:rPr>
      </w:pPr>
    </w:p>
    <w:p w14:paraId="0B36036E" w14:textId="77777777" w:rsidR="00B43DBE" w:rsidRPr="003A5293" w:rsidRDefault="00FB329F" w:rsidP="00B43DBE">
      <w:pPr>
        <w:spacing w:line="360" w:lineRule="auto"/>
        <w:jc w:val="both"/>
        <w:rPr>
          <w:rFonts w:ascii="Arial" w:hAnsi="Arial" w:cs="Arial"/>
          <w:lang w:val="en-US"/>
        </w:rPr>
      </w:pPr>
      <w:r w:rsidRPr="003A5293">
        <w:rPr>
          <w:rFonts w:ascii="Arial" w:hAnsi="Arial" w:cs="Arial"/>
          <w:sz w:val="22"/>
          <w:szCs w:val="22"/>
          <w:lang w:val="en-US"/>
        </w:rPr>
        <w:t>To test effects of DUSP 1/6 Inhibitor (BCI - CAS 15982-84-0)</w:t>
      </w:r>
      <w:r w:rsidR="00A25BDC" w:rsidRPr="003A5293">
        <w:rPr>
          <w:rFonts w:ascii="Arial" w:hAnsi="Arial" w:cs="Arial"/>
          <w:sz w:val="22"/>
          <w:szCs w:val="22"/>
          <w:lang w:val="en-US"/>
        </w:rPr>
        <w:t xml:space="preserve"> </w:t>
      </w:r>
      <w:r w:rsidR="00A25BDC" w:rsidRPr="001B1DAC">
        <w:rPr>
          <w:rFonts w:ascii="Arial" w:hAnsi="Arial" w:cs="Arial"/>
          <w:i/>
          <w:iCs/>
          <w:sz w:val="22"/>
          <w:szCs w:val="22"/>
          <w:lang w:val="en-US"/>
        </w:rPr>
        <w:t>JAK2</w:t>
      </w:r>
      <w:r w:rsidR="00A25BDC" w:rsidRPr="003A5293">
        <w:rPr>
          <w:rFonts w:ascii="Arial" w:hAnsi="Arial" w:cs="Arial"/>
          <w:sz w:val="22"/>
          <w:szCs w:val="22"/>
          <w:lang w:val="en-US"/>
        </w:rPr>
        <w:t xml:space="preserve"> </w:t>
      </w:r>
      <w:proofErr w:type="spellStart"/>
      <w:r w:rsidR="00A25BDC" w:rsidRPr="003A5293">
        <w:rPr>
          <w:rFonts w:ascii="Arial" w:hAnsi="Arial" w:cs="Arial"/>
          <w:sz w:val="22"/>
          <w:szCs w:val="22"/>
          <w:lang w:val="en-US"/>
        </w:rPr>
        <w:t>wt</w:t>
      </w:r>
      <w:proofErr w:type="spellEnd"/>
      <w:r w:rsidR="00A25BDC" w:rsidRPr="003A5293">
        <w:rPr>
          <w:rFonts w:ascii="Arial" w:hAnsi="Arial" w:cs="Arial"/>
          <w:sz w:val="22"/>
          <w:szCs w:val="22"/>
          <w:lang w:val="en-US"/>
        </w:rPr>
        <w:t xml:space="preserve"> and </w:t>
      </w:r>
      <w:r w:rsidRPr="003A5293">
        <w:rPr>
          <w:rFonts w:ascii="Arial" w:hAnsi="Arial" w:cs="Arial"/>
          <w:sz w:val="22"/>
          <w:szCs w:val="22"/>
          <w:lang w:val="en-US"/>
        </w:rPr>
        <w:t>V617F</w:t>
      </w:r>
      <w:r w:rsidRPr="003A5293">
        <w:rPr>
          <w:rFonts w:ascii="Arial" w:hAnsi="Arial" w:cs="Arial"/>
          <w:sz w:val="22"/>
          <w:szCs w:val="22"/>
          <w:vertAlign w:val="superscript"/>
          <w:lang w:val="en-US"/>
        </w:rPr>
        <w:t>+</w:t>
      </w:r>
      <w:r w:rsidRPr="003A5293">
        <w:rPr>
          <w:rFonts w:ascii="Arial" w:hAnsi="Arial" w:cs="Arial"/>
          <w:sz w:val="22"/>
          <w:szCs w:val="22"/>
          <w:lang w:val="en-US"/>
        </w:rPr>
        <w:t xml:space="preserve"> HEL cells</w:t>
      </w:r>
      <w:r w:rsidR="00A25BDC" w:rsidRPr="003A5293">
        <w:rPr>
          <w:rFonts w:ascii="Arial" w:hAnsi="Arial" w:cs="Arial"/>
          <w:sz w:val="22"/>
          <w:szCs w:val="22"/>
          <w:lang w:val="en-US"/>
        </w:rPr>
        <w:t xml:space="preserve"> were incubated with 10µM BCI in defined timepoints (0.5, 1, 2, 4 and 6h). Cells which were also treated with</w:t>
      </w:r>
      <w:r w:rsidRPr="003A5293">
        <w:rPr>
          <w:rFonts w:ascii="Arial" w:hAnsi="Arial" w:cs="Arial"/>
          <w:sz w:val="22"/>
          <w:szCs w:val="22"/>
          <w:lang w:val="en-US"/>
        </w:rPr>
        <w:t xml:space="preserve"> inflammatory cytokine</w:t>
      </w:r>
      <w:r w:rsidR="00A25BDC" w:rsidRPr="003A5293">
        <w:rPr>
          <w:rFonts w:ascii="Arial" w:hAnsi="Arial" w:cs="Arial"/>
          <w:sz w:val="22"/>
          <w:szCs w:val="22"/>
          <w:lang w:val="en-US"/>
        </w:rPr>
        <w:t>s</w:t>
      </w:r>
      <w:r w:rsidRPr="003A5293">
        <w:rPr>
          <w:rFonts w:ascii="Arial" w:hAnsi="Arial" w:cs="Arial"/>
          <w:sz w:val="22"/>
          <w:szCs w:val="22"/>
          <w:lang w:val="en-US"/>
        </w:rPr>
        <w:t xml:space="preserve"> (</w:t>
      </w:r>
      <w:proofErr w:type="spellStart"/>
      <w:r w:rsidRPr="003A5293">
        <w:rPr>
          <w:rFonts w:ascii="Arial" w:hAnsi="Arial" w:cs="Arial"/>
          <w:sz w:val="22"/>
          <w:szCs w:val="22"/>
          <w:lang w:val="en-US"/>
        </w:rPr>
        <w:t>IFNγ</w:t>
      </w:r>
      <w:proofErr w:type="spellEnd"/>
      <w:r w:rsidRPr="003A5293">
        <w:rPr>
          <w:rFonts w:ascii="Arial" w:hAnsi="Arial" w:cs="Arial"/>
          <w:sz w:val="22"/>
          <w:szCs w:val="22"/>
          <w:lang w:val="en-US"/>
        </w:rPr>
        <w:t>, TNFα and TGFβ1 / 24</w:t>
      </w:r>
      <w:r w:rsidR="00A25BDC" w:rsidRPr="003A5293">
        <w:rPr>
          <w:rFonts w:ascii="Arial" w:hAnsi="Arial" w:cs="Arial"/>
          <w:sz w:val="22"/>
          <w:szCs w:val="22"/>
          <w:lang w:val="en-US"/>
        </w:rPr>
        <w:t xml:space="preserve"> hours</w:t>
      </w:r>
      <w:r w:rsidRPr="003A5293">
        <w:rPr>
          <w:rFonts w:ascii="Arial" w:hAnsi="Arial" w:cs="Arial"/>
          <w:sz w:val="22"/>
          <w:szCs w:val="22"/>
          <w:lang w:val="en-US"/>
        </w:rPr>
        <w:t xml:space="preserve">) were incubated with 10µM BCI in defined timepoints </w:t>
      </w:r>
      <w:r w:rsidR="00A25BDC" w:rsidRPr="003A5293">
        <w:rPr>
          <w:rFonts w:ascii="Arial" w:hAnsi="Arial" w:cs="Arial"/>
          <w:sz w:val="22"/>
          <w:szCs w:val="22"/>
          <w:lang w:val="en-US"/>
        </w:rPr>
        <w:t xml:space="preserve">prior the end of 24-hour cytokine </w:t>
      </w:r>
      <w:r w:rsidR="00A25BDC" w:rsidRPr="003A5293">
        <w:rPr>
          <w:rFonts w:ascii="Arial" w:hAnsi="Arial" w:cs="Arial"/>
          <w:sz w:val="22"/>
          <w:szCs w:val="22"/>
          <w:lang w:val="en-US"/>
        </w:rPr>
        <w:lastRenderedPageBreak/>
        <w:t>treatment</w:t>
      </w:r>
      <w:r w:rsidRPr="003A5293">
        <w:rPr>
          <w:rFonts w:ascii="Arial" w:hAnsi="Arial" w:cs="Arial"/>
          <w:sz w:val="22"/>
          <w:szCs w:val="22"/>
          <w:lang w:val="en-US"/>
        </w:rPr>
        <w:t>. Relative expression of total and phosphorylated forms of p38</w:t>
      </w:r>
      <w:r w:rsidR="00A25BDC" w:rsidRPr="003A5293">
        <w:rPr>
          <w:rFonts w:ascii="Arial" w:hAnsi="Arial" w:cs="Arial"/>
          <w:sz w:val="22"/>
          <w:szCs w:val="22"/>
          <w:lang w:val="en-US"/>
        </w:rPr>
        <w:t xml:space="preserve"> MAPK</w:t>
      </w:r>
      <w:r w:rsidRPr="003A5293">
        <w:rPr>
          <w:rFonts w:ascii="Arial" w:hAnsi="Arial" w:cs="Arial"/>
          <w:sz w:val="22"/>
          <w:szCs w:val="22"/>
          <w:lang w:val="en-US"/>
        </w:rPr>
        <w:t>, ERK1/2 and SAPK/JNK was afterwards analyzed by western blotting.</w:t>
      </w:r>
      <w:r w:rsidR="00B43DBE" w:rsidRPr="003A5293">
        <w:rPr>
          <w:rFonts w:ascii="Arial" w:hAnsi="Arial" w:cs="Arial"/>
          <w:lang w:val="en-US"/>
        </w:rPr>
        <w:t xml:space="preserve"> </w:t>
      </w:r>
    </w:p>
    <w:p w14:paraId="322E3EA5" w14:textId="77777777" w:rsidR="00B43DBE" w:rsidRPr="003A5293" w:rsidRDefault="00B43DBE" w:rsidP="00B43DBE">
      <w:pPr>
        <w:spacing w:line="360" w:lineRule="auto"/>
        <w:jc w:val="both"/>
        <w:rPr>
          <w:rFonts w:ascii="Arial" w:hAnsi="Arial" w:cs="Arial"/>
          <w:lang w:val="en-US"/>
        </w:rPr>
      </w:pPr>
    </w:p>
    <w:p w14:paraId="332615CF" w14:textId="0E138646" w:rsidR="00B43DBE" w:rsidRPr="003A5293" w:rsidRDefault="00AF334E" w:rsidP="00B43DBE">
      <w:pPr>
        <w:pStyle w:val="Formatvorlage1"/>
        <w:rPr>
          <w:rFonts w:cs="Arial"/>
        </w:rPr>
      </w:pPr>
      <w:bookmarkStart w:id="45" w:name="_Toc57582520"/>
      <w:r>
        <w:rPr>
          <w:rFonts w:cs="Arial"/>
        </w:rPr>
        <w:t>4.1</w:t>
      </w:r>
      <w:r w:rsidR="00756482">
        <w:rPr>
          <w:rFonts w:cs="Arial"/>
        </w:rPr>
        <w:t>8</w:t>
      </w:r>
      <w:r w:rsidR="00B43DBE" w:rsidRPr="003A5293">
        <w:rPr>
          <w:rFonts w:cs="Arial"/>
        </w:rPr>
        <w:t xml:space="preserve"> Western </w:t>
      </w:r>
      <w:bookmarkEnd w:id="45"/>
      <w:r w:rsidR="005E6469">
        <w:rPr>
          <w:rFonts w:cs="Arial"/>
        </w:rPr>
        <w:t>b</w:t>
      </w:r>
      <w:r w:rsidR="005E6469" w:rsidRPr="003A5293">
        <w:rPr>
          <w:rFonts w:cs="Arial"/>
        </w:rPr>
        <w:t>lotting</w:t>
      </w:r>
    </w:p>
    <w:p w14:paraId="571F862E" w14:textId="77777777" w:rsidR="00B43DBE" w:rsidRPr="003A5293" w:rsidRDefault="00B43DBE" w:rsidP="00B43DBE">
      <w:pPr>
        <w:spacing w:line="360" w:lineRule="auto"/>
        <w:jc w:val="both"/>
        <w:rPr>
          <w:rFonts w:ascii="Arial" w:hAnsi="Arial" w:cs="Arial"/>
          <w:sz w:val="22"/>
          <w:szCs w:val="22"/>
          <w:lang w:val="en-US"/>
        </w:rPr>
      </w:pPr>
    </w:p>
    <w:p w14:paraId="6F6B86B3" w14:textId="77777777" w:rsidR="00B43DBE" w:rsidRPr="003A5293" w:rsidRDefault="00B43DBE" w:rsidP="00B43DBE">
      <w:pPr>
        <w:spacing w:line="360" w:lineRule="auto"/>
        <w:jc w:val="both"/>
        <w:rPr>
          <w:rFonts w:ascii="Arial" w:hAnsi="Arial" w:cs="Arial"/>
          <w:sz w:val="22"/>
          <w:szCs w:val="22"/>
          <w:lang w:val="en-US"/>
        </w:rPr>
      </w:pPr>
      <w:r w:rsidRPr="003A5293">
        <w:rPr>
          <w:rFonts w:ascii="Arial" w:hAnsi="Arial" w:cs="Arial"/>
          <w:sz w:val="22"/>
          <w:szCs w:val="22"/>
          <w:lang w:val="en-US"/>
        </w:rPr>
        <w:t xml:space="preserve">Cell were harvested by centrifugation at 250g for 5 min, washed by PBS and lysed </w:t>
      </w:r>
      <w:r w:rsidR="003C628B" w:rsidRPr="003A5293">
        <w:rPr>
          <w:rFonts w:ascii="Arial" w:hAnsi="Arial" w:cs="Arial"/>
          <w:sz w:val="22"/>
          <w:szCs w:val="22"/>
          <w:lang w:val="en-US"/>
        </w:rPr>
        <w:t>in</w:t>
      </w:r>
      <w:r w:rsidRPr="003A5293">
        <w:rPr>
          <w:rFonts w:ascii="Arial" w:hAnsi="Arial" w:cs="Arial"/>
          <w:sz w:val="22"/>
          <w:szCs w:val="22"/>
          <w:lang w:val="en-US"/>
        </w:rPr>
        <w:t xml:space="preserve"> IP buffer with 1x phosphatase inhibitor cocktail</w:t>
      </w:r>
      <w:r w:rsidR="000860B0" w:rsidRPr="003A5293">
        <w:rPr>
          <w:rFonts w:ascii="Arial" w:hAnsi="Arial" w:cs="Arial"/>
          <w:sz w:val="22"/>
          <w:szCs w:val="22"/>
          <w:lang w:val="en-US"/>
        </w:rPr>
        <w:t>.</w:t>
      </w:r>
    </w:p>
    <w:p w14:paraId="0B1B61C3" w14:textId="4FC35E67" w:rsidR="00FB329F" w:rsidRPr="003A5293" w:rsidRDefault="00B43DBE" w:rsidP="00B43DBE">
      <w:pPr>
        <w:spacing w:line="360" w:lineRule="auto"/>
        <w:jc w:val="both"/>
        <w:rPr>
          <w:rFonts w:ascii="Arial" w:hAnsi="Arial" w:cs="Arial"/>
          <w:sz w:val="22"/>
          <w:szCs w:val="22"/>
          <w:lang w:val="en-US"/>
        </w:rPr>
      </w:pPr>
      <w:r w:rsidRPr="003A5293">
        <w:rPr>
          <w:rFonts w:ascii="Arial" w:hAnsi="Arial" w:cs="Arial"/>
          <w:sz w:val="22"/>
          <w:szCs w:val="22"/>
          <w:lang w:val="en-US"/>
        </w:rPr>
        <w:t xml:space="preserve">40 </w:t>
      </w:r>
      <w:r w:rsidRPr="003A5293">
        <w:rPr>
          <w:rFonts w:ascii="Arial" w:hAnsi="Arial" w:cs="Arial"/>
          <w:sz w:val="22"/>
          <w:szCs w:val="22"/>
          <w:lang w:val="en-US"/>
        </w:rPr>
        <w:sym w:font="Symbol" w:char="F06D"/>
      </w:r>
      <w:r w:rsidRPr="003A5293">
        <w:rPr>
          <w:rFonts w:ascii="Arial" w:hAnsi="Arial" w:cs="Arial"/>
          <w:sz w:val="22"/>
          <w:szCs w:val="22"/>
          <w:lang w:val="en-US"/>
        </w:rPr>
        <w:t xml:space="preserve">g of proteins heated up to 90°C for 10 minutes with 1x loading buffer was </w:t>
      </w:r>
      <w:r w:rsidR="003C628B" w:rsidRPr="003A5293">
        <w:rPr>
          <w:rFonts w:ascii="Arial" w:hAnsi="Arial" w:cs="Arial"/>
          <w:sz w:val="22"/>
          <w:szCs w:val="22"/>
          <w:lang w:val="en-US"/>
        </w:rPr>
        <w:t>loaded</w:t>
      </w:r>
      <w:r w:rsidRPr="003A5293">
        <w:rPr>
          <w:rFonts w:ascii="Arial" w:hAnsi="Arial" w:cs="Arial"/>
          <w:sz w:val="22"/>
          <w:szCs w:val="22"/>
          <w:lang w:val="en-US"/>
        </w:rPr>
        <w:t xml:space="preserve"> and run in 10% precast SDS-PAGE gel (</w:t>
      </w:r>
      <w:r w:rsidR="003606FC" w:rsidRPr="003A5293">
        <w:rPr>
          <w:rFonts w:ascii="Arial" w:hAnsi="Arial" w:cs="Arial"/>
          <w:sz w:val="22"/>
          <w:szCs w:val="22"/>
          <w:lang w:val="en-US"/>
        </w:rPr>
        <w:t>100V, 1 hour</w:t>
      </w:r>
      <w:r w:rsidRPr="003A5293">
        <w:rPr>
          <w:rFonts w:ascii="Arial" w:hAnsi="Arial" w:cs="Arial"/>
          <w:sz w:val="22"/>
          <w:szCs w:val="22"/>
          <w:lang w:val="en-US"/>
        </w:rPr>
        <w:t>) and subsequently transferred to a PVDF membrane</w:t>
      </w:r>
      <w:r w:rsidR="000860B0" w:rsidRPr="003A5293">
        <w:rPr>
          <w:rFonts w:ascii="Arial" w:hAnsi="Arial" w:cs="Arial"/>
          <w:sz w:val="22"/>
          <w:szCs w:val="22"/>
          <w:lang w:val="en-US"/>
        </w:rPr>
        <w:t xml:space="preserve">. </w:t>
      </w:r>
      <w:r w:rsidR="003606FC" w:rsidRPr="003A5293">
        <w:rPr>
          <w:rFonts w:ascii="Arial" w:hAnsi="Arial" w:cs="Arial"/>
          <w:sz w:val="22"/>
          <w:szCs w:val="22"/>
          <w:lang w:val="en-US"/>
        </w:rPr>
        <w:t>Proteins of interest were</w:t>
      </w:r>
      <w:r w:rsidRPr="003A5293">
        <w:rPr>
          <w:rFonts w:ascii="Arial" w:hAnsi="Arial" w:cs="Arial"/>
          <w:sz w:val="22"/>
          <w:szCs w:val="22"/>
          <w:lang w:val="en-US"/>
        </w:rPr>
        <w:t xml:space="preserve"> detected using</w:t>
      </w:r>
      <w:r w:rsidR="003C628B" w:rsidRPr="003A5293">
        <w:rPr>
          <w:rFonts w:ascii="Arial" w:hAnsi="Arial" w:cs="Arial"/>
          <w:sz w:val="22"/>
          <w:szCs w:val="22"/>
          <w:lang w:val="en-US"/>
        </w:rPr>
        <w:t xml:space="preserve"> primary</w:t>
      </w:r>
      <w:r w:rsidRPr="003A5293">
        <w:rPr>
          <w:rFonts w:ascii="Arial" w:hAnsi="Arial" w:cs="Arial"/>
          <w:sz w:val="22"/>
          <w:szCs w:val="22"/>
          <w:lang w:val="en-US"/>
        </w:rPr>
        <w:t xml:space="preserve"> antibod</w:t>
      </w:r>
      <w:r w:rsidR="003606FC" w:rsidRPr="003A5293">
        <w:rPr>
          <w:rFonts w:ascii="Arial" w:hAnsi="Arial" w:cs="Arial"/>
          <w:sz w:val="22"/>
          <w:szCs w:val="22"/>
          <w:lang w:val="en-US"/>
        </w:rPr>
        <w:t xml:space="preserve">ies </w:t>
      </w:r>
      <w:r w:rsidR="003C628B" w:rsidRPr="003A5293">
        <w:rPr>
          <w:rFonts w:ascii="Arial" w:hAnsi="Arial" w:cs="Arial"/>
          <w:sz w:val="22"/>
          <w:szCs w:val="22"/>
          <w:lang w:val="en-US"/>
        </w:rPr>
        <w:t>(</w:t>
      </w:r>
      <w:r w:rsidR="00CB3F49" w:rsidRPr="003A5293">
        <w:rPr>
          <w:rFonts w:ascii="Arial" w:hAnsi="Arial" w:cs="Arial"/>
          <w:sz w:val="22"/>
          <w:szCs w:val="22"/>
          <w:lang w:val="en-US"/>
        </w:rPr>
        <w:t xml:space="preserve">1:500, </w:t>
      </w:r>
      <w:r w:rsidR="003606FC" w:rsidRPr="003A5293">
        <w:rPr>
          <w:rFonts w:ascii="Arial" w:hAnsi="Arial" w:cs="Arial"/>
          <w:sz w:val="22"/>
          <w:szCs w:val="22"/>
          <w:lang w:val="en-US"/>
        </w:rPr>
        <w:t>listed in Table S</w:t>
      </w:r>
      <w:r w:rsidR="00452D46">
        <w:rPr>
          <w:rFonts w:ascii="Arial" w:hAnsi="Arial" w:cs="Arial"/>
          <w:sz w:val="22"/>
          <w:szCs w:val="22"/>
          <w:lang w:val="en-US"/>
        </w:rPr>
        <w:t>1</w:t>
      </w:r>
      <w:r w:rsidR="003C628B" w:rsidRPr="003A5293">
        <w:rPr>
          <w:rFonts w:ascii="Arial" w:hAnsi="Arial" w:cs="Arial"/>
          <w:sz w:val="22"/>
          <w:szCs w:val="22"/>
          <w:lang w:val="en-US"/>
        </w:rPr>
        <w:t>)</w:t>
      </w:r>
      <w:r w:rsidR="003606FC" w:rsidRPr="003A5293">
        <w:rPr>
          <w:rFonts w:ascii="Arial" w:hAnsi="Arial" w:cs="Arial"/>
          <w:sz w:val="22"/>
          <w:szCs w:val="22"/>
          <w:lang w:val="en-US"/>
        </w:rPr>
        <w:t xml:space="preserve"> diluted in </w:t>
      </w:r>
      <w:r w:rsidR="00CB3F49" w:rsidRPr="003A5293">
        <w:rPr>
          <w:rFonts w:ascii="Arial" w:hAnsi="Arial" w:cs="Arial"/>
          <w:sz w:val="22"/>
          <w:szCs w:val="22"/>
          <w:lang w:val="en-US"/>
        </w:rPr>
        <w:t xml:space="preserve">PBS with </w:t>
      </w:r>
      <w:r w:rsidR="003606FC" w:rsidRPr="003A5293">
        <w:rPr>
          <w:rFonts w:ascii="Arial" w:hAnsi="Arial" w:cs="Arial"/>
          <w:sz w:val="22"/>
          <w:szCs w:val="22"/>
          <w:lang w:val="en-US"/>
        </w:rPr>
        <w:t>5%</w:t>
      </w:r>
      <w:r w:rsidR="003C628B" w:rsidRPr="003A5293">
        <w:rPr>
          <w:rFonts w:ascii="Arial" w:hAnsi="Arial" w:cs="Arial"/>
          <w:sz w:val="22"/>
          <w:szCs w:val="22"/>
          <w:lang w:val="en-US"/>
        </w:rPr>
        <w:t xml:space="preserve"> </w:t>
      </w:r>
      <w:r w:rsidR="003606FC" w:rsidRPr="003A5293">
        <w:rPr>
          <w:rFonts w:ascii="Arial" w:hAnsi="Arial" w:cs="Arial"/>
          <w:sz w:val="22"/>
          <w:szCs w:val="22"/>
          <w:lang w:val="en-US"/>
        </w:rPr>
        <w:t>BSA</w:t>
      </w:r>
      <w:r w:rsidR="00CB3F49" w:rsidRPr="003A5293">
        <w:rPr>
          <w:rFonts w:ascii="Arial" w:hAnsi="Arial" w:cs="Arial"/>
          <w:sz w:val="22"/>
          <w:szCs w:val="22"/>
          <w:lang w:val="en-US"/>
        </w:rPr>
        <w:t xml:space="preserve"> and</w:t>
      </w:r>
      <w:r w:rsidR="003606FC" w:rsidRPr="003A5293">
        <w:rPr>
          <w:rFonts w:ascii="Arial" w:hAnsi="Arial" w:cs="Arial"/>
          <w:sz w:val="22"/>
          <w:szCs w:val="22"/>
          <w:lang w:val="en-US"/>
        </w:rPr>
        <w:t xml:space="preserve"> 0.1</w:t>
      </w:r>
      <w:r w:rsidR="003C628B" w:rsidRPr="003A5293">
        <w:rPr>
          <w:rFonts w:ascii="Arial" w:hAnsi="Arial" w:cs="Arial"/>
          <w:sz w:val="22"/>
          <w:szCs w:val="22"/>
          <w:lang w:val="en-US"/>
        </w:rPr>
        <w:t xml:space="preserve">% </w:t>
      </w:r>
      <w:r w:rsidR="003606FC" w:rsidRPr="003A5293">
        <w:rPr>
          <w:rFonts w:ascii="Arial" w:hAnsi="Arial" w:cs="Arial"/>
          <w:sz w:val="22"/>
          <w:szCs w:val="22"/>
          <w:lang w:val="en-US"/>
        </w:rPr>
        <w:t>Tween20</w:t>
      </w:r>
      <w:r w:rsidR="00CB3F49" w:rsidRPr="003A5293">
        <w:rPr>
          <w:rFonts w:ascii="Arial" w:hAnsi="Arial" w:cs="Arial"/>
          <w:sz w:val="22"/>
          <w:szCs w:val="22"/>
          <w:lang w:val="en-US"/>
        </w:rPr>
        <w:t xml:space="preserve">. </w:t>
      </w:r>
      <w:r w:rsidR="003606FC" w:rsidRPr="003A5293">
        <w:rPr>
          <w:rFonts w:ascii="Arial" w:hAnsi="Arial" w:cs="Arial"/>
          <w:sz w:val="22"/>
          <w:szCs w:val="22"/>
          <w:lang w:val="en-US"/>
        </w:rPr>
        <w:t xml:space="preserve">HRP-conjugated anti-rabbit or mouse secondary antibodies (1:1000) </w:t>
      </w:r>
      <w:r w:rsidR="00CB3F49" w:rsidRPr="003A5293">
        <w:rPr>
          <w:rFonts w:ascii="Arial" w:hAnsi="Arial" w:cs="Arial"/>
          <w:sz w:val="22"/>
          <w:szCs w:val="22"/>
          <w:lang w:val="en-US"/>
        </w:rPr>
        <w:t xml:space="preserve">diluted in 5% non-fat dry milk, </w:t>
      </w:r>
      <w:r w:rsidR="003606FC" w:rsidRPr="003A5293">
        <w:rPr>
          <w:rFonts w:ascii="Arial" w:hAnsi="Arial" w:cs="Arial"/>
          <w:sz w:val="22"/>
          <w:szCs w:val="22"/>
          <w:lang w:val="en-US"/>
        </w:rPr>
        <w:t xml:space="preserve">were used together with </w:t>
      </w:r>
      <w:proofErr w:type="spellStart"/>
      <w:r w:rsidR="003606FC" w:rsidRPr="003A5293">
        <w:rPr>
          <w:rFonts w:ascii="Arial" w:hAnsi="Arial" w:cs="Arial"/>
          <w:sz w:val="22"/>
          <w:szCs w:val="22"/>
          <w:lang w:val="en-US"/>
        </w:rPr>
        <w:t>SuperSignal</w:t>
      </w:r>
      <w:proofErr w:type="spellEnd"/>
      <w:r w:rsidR="003606FC" w:rsidRPr="003A5293">
        <w:rPr>
          <w:rFonts w:ascii="Arial" w:hAnsi="Arial" w:cs="Arial"/>
          <w:sz w:val="22"/>
          <w:szCs w:val="22"/>
          <w:lang w:val="en-US"/>
        </w:rPr>
        <w:t xml:space="preserve"> HRP Chemiluminescent Substrates</w:t>
      </w:r>
      <w:r w:rsidR="000860B0" w:rsidRPr="003A5293">
        <w:rPr>
          <w:rFonts w:ascii="Arial" w:hAnsi="Arial" w:cs="Arial"/>
          <w:sz w:val="22"/>
          <w:szCs w:val="22"/>
          <w:lang w:val="en-US"/>
        </w:rPr>
        <w:t xml:space="preserve"> </w:t>
      </w:r>
      <w:r w:rsidR="003606FC" w:rsidRPr="003A5293">
        <w:rPr>
          <w:rFonts w:ascii="Arial" w:hAnsi="Arial" w:cs="Arial"/>
          <w:sz w:val="22"/>
          <w:szCs w:val="22"/>
          <w:lang w:val="en-US"/>
        </w:rPr>
        <w:t xml:space="preserve">to visualize proteins of interest </w:t>
      </w:r>
      <w:r w:rsidR="003C628B" w:rsidRPr="003A5293">
        <w:rPr>
          <w:rFonts w:ascii="Arial" w:hAnsi="Arial" w:cs="Arial"/>
          <w:sz w:val="22"/>
          <w:szCs w:val="22"/>
          <w:lang w:val="en-US"/>
        </w:rPr>
        <w:t>with</w:t>
      </w:r>
      <w:r w:rsidRPr="003A5293">
        <w:rPr>
          <w:rFonts w:ascii="Arial" w:hAnsi="Arial" w:cs="Arial"/>
          <w:sz w:val="22"/>
          <w:szCs w:val="22"/>
          <w:lang w:val="en-US"/>
        </w:rPr>
        <w:t xml:space="preserve"> Odyssey Imaging System.</w:t>
      </w:r>
    </w:p>
    <w:p w14:paraId="34823C80" w14:textId="77777777" w:rsidR="00FB329F" w:rsidRPr="003A5293" w:rsidRDefault="00FB329F" w:rsidP="00FB329F">
      <w:pPr>
        <w:spacing w:line="360" w:lineRule="auto"/>
        <w:jc w:val="both"/>
        <w:rPr>
          <w:rFonts w:ascii="Arial" w:hAnsi="Arial" w:cs="Arial"/>
          <w:sz w:val="22"/>
          <w:szCs w:val="22"/>
          <w:lang w:val="en-US"/>
        </w:rPr>
      </w:pPr>
    </w:p>
    <w:p w14:paraId="0357B8FF" w14:textId="7E0E7CA7" w:rsidR="00FB329F" w:rsidRPr="003A5293" w:rsidRDefault="00AF334E" w:rsidP="00FB329F">
      <w:pPr>
        <w:pStyle w:val="Formatvorlage1"/>
        <w:rPr>
          <w:rFonts w:cs="Arial"/>
        </w:rPr>
      </w:pPr>
      <w:bookmarkStart w:id="46" w:name="_Toc57582521"/>
      <w:r>
        <w:rPr>
          <w:rFonts w:cs="Arial"/>
        </w:rPr>
        <w:t>4.</w:t>
      </w:r>
      <w:r w:rsidR="00756482">
        <w:rPr>
          <w:rFonts w:cs="Arial"/>
        </w:rPr>
        <w:t>19</w:t>
      </w:r>
      <w:r w:rsidR="00FB329F" w:rsidRPr="003A5293">
        <w:rPr>
          <w:rFonts w:cs="Arial"/>
        </w:rPr>
        <w:t xml:space="preserve"> Immunohistochemistry of patient samples</w:t>
      </w:r>
      <w:bookmarkEnd w:id="46"/>
    </w:p>
    <w:p w14:paraId="5760AE7B" w14:textId="77777777" w:rsidR="00E2346E" w:rsidRPr="003A5293" w:rsidRDefault="00E2346E" w:rsidP="00FB329F">
      <w:pPr>
        <w:spacing w:line="360" w:lineRule="auto"/>
        <w:jc w:val="both"/>
        <w:rPr>
          <w:rFonts w:ascii="Arial" w:hAnsi="Arial" w:cs="Arial"/>
          <w:sz w:val="22"/>
          <w:szCs w:val="22"/>
          <w:lang w:val="en-US"/>
        </w:rPr>
      </w:pPr>
    </w:p>
    <w:p w14:paraId="33128617" w14:textId="591B92AB" w:rsidR="00FB329F" w:rsidRPr="003A5293" w:rsidRDefault="008A66CD" w:rsidP="00FB329F">
      <w:pPr>
        <w:spacing w:line="360" w:lineRule="auto"/>
        <w:jc w:val="both"/>
        <w:rPr>
          <w:rFonts w:ascii="Arial" w:hAnsi="Arial" w:cs="Arial"/>
          <w:sz w:val="22"/>
          <w:szCs w:val="22"/>
          <w:lang w:val="en-US"/>
        </w:rPr>
      </w:pPr>
      <w:r w:rsidRPr="003A5293">
        <w:rPr>
          <w:rFonts w:ascii="Arial" w:hAnsi="Arial" w:cs="Arial"/>
          <w:sz w:val="22"/>
          <w:szCs w:val="22"/>
          <w:lang w:val="en-US"/>
        </w:rPr>
        <w:t xml:space="preserve">Tissue processing and immunohistochemistry staining was done by my colleague </w:t>
      </w:r>
      <w:proofErr w:type="spellStart"/>
      <w:r w:rsidRPr="003A5293">
        <w:rPr>
          <w:rFonts w:ascii="Arial" w:hAnsi="Arial" w:cs="Arial"/>
          <w:sz w:val="22"/>
          <w:szCs w:val="22"/>
          <w:lang w:val="en-US"/>
        </w:rPr>
        <w:t>Pavla</w:t>
      </w:r>
      <w:proofErr w:type="spellEnd"/>
      <w:r w:rsidRPr="003A5293">
        <w:rPr>
          <w:rFonts w:ascii="Arial" w:hAnsi="Arial" w:cs="Arial"/>
          <w:sz w:val="22"/>
          <w:szCs w:val="22"/>
          <w:lang w:val="en-US"/>
        </w:rPr>
        <w:t xml:space="preserve"> </w:t>
      </w:r>
      <w:proofErr w:type="spellStart"/>
      <w:r w:rsidRPr="003A5293">
        <w:rPr>
          <w:rFonts w:ascii="Arial" w:hAnsi="Arial" w:cs="Arial"/>
          <w:sz w:val="22"/>
          <w:szCs w:val="22"/>
          <w:lang w:val="en-US"/>
        </w:rPr>
        <w:t>Vyhlídalová</w:t>
      </w:r>
      <w:proofErr w:type="spellEnd"/>
      <w:r w:rsidRPr="003A5293">
        <w:rPr>
          <w:rFonts w:ascii="Arial" w:hAnsi="Arial" w:cs="Arial"/>
          <w:sz w:val="22"/>
          <w:szCs w:val="22"/>
          <w:lang w:val="en-US"/>
        </w:rPr>
        <w:t xml:space="preserve">, Ph.D. (Department of Biology, Faculty of Medicine and Dentistry, </w:t>
      </w:r>
      <w:proofErr w:type="spellStart"/>
      <w:r w:rsidRPr="003A5293">
        <w:rPr>
          <w:rFonts w:ascii="Arial" w:hAnsi="Arial" w:cs="Arial"/>
          <w:sz w:val="22"/>
          <w:szCs w:val="22"/>
          <w:lang w:val="en-US"/>
        </w:rPr>
        <w:t>Palacky</w:t>
      </w:r>
      <w:proofErr w:type="spellEnd"/>
      <w:r w:rsidRPr="003A5293">
        <w:rPr>
          <w:rFonts w:ascii="Arial" w:hAnsi="Arial" w:cs="Arial"/>
          <w:sz w:val="22"/>
          <w:szCs w:val="22"/>
          <w:lang w:val="en-US"/>
        </w:rPr>
        <w:t xml:space="preserve"> University Olomouc) and my wife </w:t>
      </w:r>
      <w:proofErr w:type="spellStart"/>
      <w:r w:rsidRPr="003A5293">
        <w:rPr>
          <w:rFonts w:ascii="Arial" w:hAnsi="Arial" w:cs="Arial"/>
          <w:sz w:val="22"/>
          <w:szCs w:val="22"/>
          <w:lang w:val="en-US"/>
        </w:rPr>
        <w:t>Bc</w:t>
      </w:r>
      <w:proofErr w:type="spellEnd"/>
      <w:r w:rsidRPr="003A5293">
        <w:rPr>
          <w:rFonts w:ascii="Arial" w:hAnsi="Arial" w:cs="Arial"/>
          <w:sz w:val="22"/>
          <w:szCs w:val="22"/>
          <w:lang w:val="en-US"/>
        </w:rPr>
        <w:t xml:space="preserve">. Ivana </w:t>
      </w:r>
      <w:proofErr w:type="spellStart"/>
      <w:r w:rsidRPr="003A5293">
        <w:rPr>
          <w:rFonts w:ascii="Arial" w:hAnsi="Arial" w:cs="Arial"/>
          <w:sz w:val="22"/>
          <w:szCs w:val="22"/>
          <w:lang w:val="en-US"/>
        </w:rPr>
        <w:t>Štetková</w:t>
      </w:r>
      <w:proofErr w:type="spellEnd"/>
      <w:r w:rsidRPr="003A5293">
        <w:rPr>
          <w:rFonts w:ascii="Arial" w:hAnsi="Arial" w:cs="Arial"/>
          <w:sz w:val="22"/>
          <w:szCs w:val="22"/>
          <w:lang w:val="en-US"/>
        </w:rPr>
        <w:t xml:space="preserve"> (Department of Histology and Embryology, Faculty of Medicine and Dentistry, </w:t>
      </w:r>
      <w:proofErr w:type="spellStart"/>
      <w:r w:rsidRPr="003A5293">
        <w:rPr>
          <w:rFonts w:ascii="Arial" w:hAnsi="Arial" w:cs="Arial"/>
          <w:sz w:val="22"/>
          <w:szCs w:val="22"/>
          <w:lang w:val="en-US"/>
        </w:rPr>
        <w:t>Palacky</w:t>
      </w:r>
      <w:proofErr w:type="spellEnd"/>
      <w:r w:rsidRPr="003A5293">
        <w:rPr>
          <w:rFonts w:ascii="Arial" w:hAnsi="Arial" w:cs="Arial"/>
          <w:sz w:val="22"/>
          <w:szCs w:val="22"/>
          <w:lang w:val="en-US"/>
        </w:rPr>
        <w:t xml:space="preserve"> University Olomouc). </w:t>
      </w:r>
      <w:r w:rsidR="005E6469">
        <w:rPr>
          <w:rFonts w:ascii="Arial" w:hAnsi="Arial" w:cs="Arial"/>
          <w:sz w:val="22"/>
          <w:szCs w:val="22"/>
          <w:lang w:val="en-US"/>
        </w:rPr>
        <w:t>B</w:t>
      </w:r>
      <w:r w:rsidRPr="003A5293">
        <w:rPr>
          <w:rFonts w:ascii="Arial" w:hAnsi="Arial" w:cs="Arial"/>
          <w:sz w:val="22"/>
          <w:szCs w:val="22"/>
          <w:lang w:val="en-US"/>
        </w:rPr>
        <w:t>riefly, a</w:t>
      </w:r>
      <w:r w:rsidR="00FB329F" w:rsidRPr="003A5293">
        <w:rPr>
          <w:rFonts w:ascii="Arial" w:hAnsi="Arial" w:cs="Arial"/>
          <w:sz w:val="22"/>
          <w:szCs w:val="22"/>
          <w:lang w:val="en-US"/>
        </w:rPr>
        <w:t>ll tissue samples were fixed in neutral buffered 4% formalin</w:t>
      </w:r>
      <w:r w:rsidRPr="003A5293">
        <w:rPr>
          <w:rFonts w:ascii="Arial" w:hAnsi="Arial" w:cs="Arial"/>
          <w:sz w:val="22"/>
          <w:szCs w:val="22"/>
          <w:lang w:val="en-US"/>
        </w:rPr>
        <w:t xml:space="preserve"> </w:t>
      </w:r>
      <w:r w:rsidR="00FB329F" w:rsidRPr="003A5293">
        <w:rPr>
          <w:rFonts w:ascii="Arial" w:hAnsi="Arial" w:cs="Arial"/>
          <w:sz w:val="22"/>
          <w:szCs w:val="22"/>
          <w:lang w:val="en-US"/>
        </w:rPr>
        <w:t>for 24</w:t>
      </w:r>
      <w:r w:rsidRPr="003A5293">
        <w:rPr>
          <w:rFonts w:ascii="Arial" w:hAnsi="Arial" w:cs="Arial"/>
          <w:sz w:val="22"/>
          <w:szCs w:val="22"/>
          <w:lang w:val="en-US"/>
        </w:rPr>
        <w:t xml:space="preserve"> </w:t>
      </w:r>
      <w:r w:rsidR="00FB329F" w:rsidRPr="003A5293">
        <w:rPr>
          <w:rFonts w:ascii="Arial" w:hAnsi="Arial" w:cs="Arial"/>
          <w:sz w:val="22"/>
          <w:szCs w:val="22"/>
          <w:lang w:val="en-US"/>
        </w:rPr>
        <w:t>h</w:t>
      </w:r>
      <w:r w:rsidRPr="003A5293">
        <w:rPr>
          <w:rFonts w:ascii="Arial" w:hAnsi="Arial" w:cs="Arial"/>
          <w:sz w:val="22"/>
          <w:szCs w:val="22"/>
          <w:lang w:val="en-US"/>
        </w:rPr>
        <w:t>ours</w:t>
      </w:r>
      <w:r w:rsidR="00FB329F" w:rsidRPr="003A5293">
        <w:rPr>
          <w:rFonts w:ascii="Arial" w:hAnsi="Arial" w:cs="Arial"/>
          <w:sz w:val="22"/>
          <w:szCs w:val="22"/>
          <w:lang w:val="en-US"/>
        </w:rPr>
        <w:t xml:space="preserve"> and finally embedded into paraffin according to the standard protocol used for biopsy samples processing. In the cases of BM trephine biopsies, the necessary process of demineralization was performed by 10% </w:t>
      </w:r>
      <w:proofErr w:type="spellStart"/>
      <w:r w:rsidR="00FB329F" w:rsidRPr="003A5293">
        <w:rPr>
          <w:rFonts w:ascii="Arial" w:hAnsi="Arial" w:cs="Arial"/>
          <w:sz w:val="22"/>
          <w:szCs w:val="22"/>
          <w:lang w:val="en-US"/>
        </w:rPr>
        <w:t>chelatone</w:t>
      </w:r>
      <w:proofErr w:type="spellEnd"/>
      <w:r w:rsidR="00FB329F" w:rsidRPr="003A5293">
        <w:rPr>
          <w:rFonts w:ascii="Arial" w:hAnsi="Arial" w:cs="Arial"/>
          <w:sz w:val="22"/>
          <w:szCs w:val="22"/>
          <w:lang w:val="en-US"/>
        </w:rPr>
        <w:t xml:space="preserve"> 3 (pH8) directly after fixation. Further, 3-5 </w:t>
      </w:r>
      <w:proofErr w:type="spellStart"/>
      <w:r w:rsidR="00FB329F" w:rsidRPr="003A5293">
        <w:rPr>
          <w:rFonts w:ascii="Arial" w:hAnsi="Arial" w:cs="Arial"/>
          <w:sz w:val="22"/>
          <w:szCs w:val="22"/>
          <w:lang w:val="en-US"/>
        </w:rPr>
        <w:t>μm</w:t>
      </w:r>
      <w:proofErr w:type="spellEnd"/>
      <w:r w:rsidR="00FB329F" w:rsidRPr="003A5293">
        <w:rPr>
          <w:rFonts w:ascii="Arial" w:hAnsi="Arial" w:cs="Arial"/>
          <w:sz w:val="22"/>
          <w:szCs w:val="22"/>
          <w:lang w:val="en-US"/>
        </w:rPr>
        <w:t xml:space="preserve"> thick slides were cut on a microtome and a routine HE (hematoxylin-eosin) staining was performed. The skilled pathologist evaluated the diagnosis. To assess the grading of fibrosis in PV, </w:t>
      </w:r>
      <w:proofErr w:type="spellStart"/>
      <w:r w:rsidR="00FB329F" w:rsidRPr="003A5293">
        <w:rPr>
          <w:rFonts w:ascii="Arial" w:hAnsi="Arial" w:cs="Arial"/>
          <w:sz w:val="22"/>
          <w:szCs w:val="22"/>
          <w:lang w:val="en-US"/>
        </w:rPr>
        <w:t>Gomori’s</w:t>
      </w:r>
      <w:proofErr w:type="spellEnd"/>
      <w:r w:rsidR="00FB329F" w:rsidRPr="003A5293">
        <w:rPr>
          <w:rFonts w:ascii="Arial" w:hAnsi="Arial" w:cs="Arial"/>
          <w:sz w:val="22"/>
          <w:szCs w:val="22"/>
          <w:lang w:val="en-US"/>
        </w:rPr>
        <w:t xml:space="preserve"> silver impregnation for reticulin was performed on BM trephine biopsies.</w:t>
      </w:r>
    </w:p>
    <w:p w14:paraId="68AEFF4A" w14:textId="2526725A" w:rsidR="00FB329F" w:rsidRPr="003A5293" w:rsidRDefault="00FB329F" w:rsidP="00FB329F">
      <w:pPr>
        <w:spacing w:line="360" w:lineRule="auto"/>
        <w:jc w:val="both"/>
        <w:rPr>
          <w:rFonts w:ascii="Arial" w:hAnsi="Arial" w:cs="Arial"/>
          <w:sz w:val="22"/>
          <w:szCs w:val="22"/>
          <w:lang w:val="en-US"/>
        </w:rPr>
      </w:pPr>
      <w:r w:rsidRPr="003A5293">
        <w:rPr>
          <w:rFonts w:ascii="Arial" w:hAnsi="Arial" w:cs="Arial"/>
          <w:sz w:val="22"/>
          <w:szCs w:val="22"/>
          <w:lang w:val="en-US"/>
        </w:rPr>
        <w:t xml:space="preserve">For visualization of desired antigens two step immunohistochemical staining was performed. The primary antibodies used are specified in </w:t>
      </w:r>
      <w:r w:rsidR="00F674B8" w:rsidRPr="003A5293">
        <w:rPr>
          <w:rFonts w:ascii="Arial" w:hAnsi="Arial" w:cs="Arial"/>
          <w:sz w:val="22"/>
          <w:szCs w:val="22"/>
          <w:lang w:val="en-US"/>
        </w:rPr>
        <w:t>Table S</w:t>
      </w:r>
      <w:r w:rsidR="00452D46">
        <w:rPr>
          <w:rFonts w:ascii="Arial" w:hAnsi="Arial" w:cs="Arial"/>
          <w:sz w:val="22"/>
          <w:szCs w:val="22"/>
          <w:lang w:val="en-US"/>
        </w:rPr>
        <w:t>1</w:t>
      </w:r>
      <w:r w:rsidRPr="003A5293">
        <w:rPr>
          <w:rFonts w:ascii="Arial" w:hAnsi="Arial" w:cs="Arial"/>
          <w:sz w:val="22"/>
          <w:szCs w:val="22"/>
          <w:lang w:val="en-US"/>
        </w:rPr>
        <w:t xml:space="preserve">. Antigen unmasking was done in the microwave </w:t>
      </w:r>
      <w:proofErr w:type="spellStart"/>
      <w:r w:rsidRPr="003A5293">
        <w:rPr>
          <w:rFonts w:ascii="Arial" w:hAnsi="Arial" w:cs="Arial"/>
          <w:sz w:val="22"/>
          <w:szCs w:val="22"/>
          <w:lang w:val="en-US"/>
        </w:rPr>
        <w:t>histoprocessor</w:t>
      </w:r>
      <w:proofErr w:type="spellEnd"/>
      <w:r w:rsidRPr="003A5293">
        <w:rPr>
          <w:rFonts w:ascii="Arial" w:hAnsi="Arial" w:cs="Arial"/>
          <w:sz w:val="22"/>
          <w:szCs w:val="22"/>
          <w:lang w:val="en-US"/>
        </w:rPr>
        <w:t xml:space="preserve"> by 10mM citrate buffer, pH6.0, 120°C, using high pressure, for 15 minutes with gradual cooling. The following detection system was used: </w:t>
      </w:r>
      <w:proofErr w:type="spellStart"/>
      <w:r w:rsidRPr="003A5293">
        <w:rPr>
          <w:rFonts w:ascii="Arial" w:hAnsi="Arial" w:cs="Arial"/>
          <w:sz w:val="22"/>
          <w:szCs w:val="22"/>
          <w:lang w:val="en-US"/>
        </w:rPr>
        <w:t>Dako</w:t>
      </w:r>
      <w:proofErr w:type="spellEnd"/>
      <w:r w:rsidRPr="003A5293">
        <w:rPr>
          <w:rFonts w:ascii="Arial" w:hAnsi="Arial" w:cs="Arial"/>
          <w:sz w:val="22"/>
          <w:szCs w:val="22"/>
          <w:lang w:val="en-US"/>
        </w:rPr>
        <w:t xml:space="preserve"> </w:t>
      </w:r>
      <w:proofErr w:type="spellStart"/>
      <w:r w:rsidRPr="003A5293">
        <w:rPr>
          <w:rFonts w:ascii="Arial" w:hAnsi="Arial" w:cs="Arial"/>
          <w:sz w:val="22"/>
          <w:szCs w:val="22"/>
          <w:lang w:val="en-US"/>
        </w:rPr>
        <w:t>EnVision</w:t>
      </w:r>
      <w:proofErr w:type="spellEnd"/>
      <w:r w:rsidRPr="003A5293">
        <w:rPr>
          <w:rFonts w:ascii="Arial" w:hAnsi="Arial" w:cs="Arial"/>
          <w:sz w:val="22"/>
          <w:szCs w:val="22"/>
          <w:lang w:val="en-US"/>
        </w:rPr>
        <w:t xml:space="preserve"> + Dual Link System-HRP (polymer labeled by HRP) and conjugated with secondary antibodies (DAKO, </w:t>
      </w:r>
      <w:proofErr w:type="spellStart"/>
      <w:r w:rsidRPr="003A5293">
        <w:rPr>
          <w:rFonts w:ascii="Arial" w:hAnsi="Arial" w:cs="Arial"/>
          <w:sz w:val="22"/>
          <w:szCs w:val="22"/>
          <w:lang w:val="en-US"/>
        </w:rPr>
        <w:t>Glostrup</w:t>
      </w:r>
      <w:proofErr w:type="spellEnd"/>
      <w:r w:rsidRPr="003A5293">
        <w:rPr>
          <w:rFonts w:ascii="Arial" w:hAnsi="Arial" w:cs="Arial"/>
          <w:sz w:val="22"/>
          <w:szCs w:val="22"/>
          <w:lang w:val="en-US"/>
        </w:rPr>
        <w:t xml:space="preserve">, Denmark). Liquid DAB + </w:t>
      </w:r>
      <w:r w:rsidRPr="003A5293">
        <w:rPr>
          <w:rFonts w:ascii="Arial" w:hAnsi="Arial" w:cs="Arial"/>
          <w:sz w:val="22"/>
          <w:szCs w:val="22"/>
          <w:lang w:val="en-US"/>
        </w:rPr>
        <w:lastRenderedPageBreak/>
        <w:t xml:space="preserve">Substrate Chromogen System (DAKO, </w:t>
      </w:r>
      <w:proofErr w:type="spellStart"/>
      <w:r w:rsidRPr="003A5293">
        <w:rPr>
          <w:rFonts w:ascii="Arial" w:hAnsi="Arial" w:cs="Arial"/>
          <w:sz w:val="22"/>
          <w:szCs w:val="22"/>
          <w:lang w:val="en-US"/>
        </w:rPr>
        <w:t>Glostrup</w:t>
      </w:r>
      <w:proofErr w:type="spellEnd"/>
      <w:r w:rsidRPr="003A5293">
        <w:rPr>
          <w:rFonts w:ascii="Arial" w:hAnsi="Arial" w:cs="Arial"/>
          <w:sz w:val="22"/>
          <w:szCs w:val="22"/>
          <w:lang w:val="en-US"/>
        </w:rPr>
        <w:t xml:space="preserve">, Denmark) was used for visualization of reaction. All the washing steps were made twice in 0.5M Tris-HCl pH7.6 (5 minutes each) and once in 0.5M Tris-HCl pH7.6 with 0.5% Tween 20 (5 minutes). Finally, cell nuclei were counterstained by hematoxylin and the slide was </w:t>
      </w:r>
      <w:proofErr w:type="spellStart"/>
      <w:r w:rsidRPr="003A5293">
        <w:rPr>
          <w:rFonts w:ascii="Arial" w:hAnsi="Arial" w:cs="Arial"/>
          <w:sz w:val="22"/>
          <w:szCs w:val="22"/>
          <w:lang w:val="en-US"/>
        </w:rPr>
        <w:t>coverslipped</w:t>
      </w:r>
      <w:proofErr w:type="spellEnd"/>
      <w:r w:rsidRPr="003A5293">
        <w:rPr>
          <w:rFonts w:ascii="Arial" w:hAnsi="Arial" w:cs="Arial"/>
          <w:sz w:val="22"/>
          <w:szCs w:val="22"/>
          <w:lang w:val="en-US"/>
        </w:rPr>
        <w:t>.</w:t>
      </w:r>
    </w:p>
    <w:p w14:paraId="1C84990B" w14:textId="77777777" w:rsidR="00FB329F" w:rsidRDefault="00FB329F" w:rsidP="00FB329F">
      <w:pPr>
        <w:spacing w:line="360" w:lineRule="auto"/>
        <w:jc w:val="both"/>
        <w:rPr>
          <w:rFonts w:ascii="Arial" w:hAnsi="Arial" w:cs="Arial"/>
          <w:sz w:val="22"/>
          <w:szCs w:val="22"/>
          <w:lang w:val="en-US"/>
        </w:rPr>
      </w:pPr>
      <w:r w:rsidRPr="003A5293">
        <w:rPr>
          <w:rFonts w:ascii="Arial" w:hAnsi="Arial" w:cs="Arial"/>
          <w:sz w:val="22"/>
          <w:szCs w:val="22"/>
          <w:lang w:val="en-US"/>
        </w:rPr>
        <w:t xml:space="preserve">For the staining evaluation, the scoring system access according to the paper </w:t>
      </w:r>
      <w:r w:rsidR="002B2381" w:rsidRPr="003A5293">
        <w:rPr>
          <w:rFonts w:ascii="Arial" w:hAnsi="Arial" w:cs="Arial"/>
          <w:sz w:val="22"/>
          <w:szCs w:val="22"/>
          <w:lang w:val="en-US"/>
        </w:rPr>
        <w:fldChar w:fldCharType="begin"/>
      </w:r>
      <w:r w:rsidR="00B703ED" w:rsidRPr="003A5293">
        <w:rPr>
          <w:rFonts w:ascii="Arial" w:hAnsi="Arial" w:cs="Arial"/>
          <w:sz w:val="22"/>
          <w:szCs w:val="22"/>
          <w:lang w:val="en-US"/>
        </w:rPr>
        <w:instrText xml:space="preserve"> ADDIN ZOTERO_ITEM CSL_CITATION {"citationID":"YTvoQwlc","properties":{"formattedCitation":"(van Dekken et al., 2008)","plainCitation":"(van Dekken et al., 2008)","noteIndex":0},"citationItems":[{"id":112,"uris":["http://zotero.org/users/2484452/items/BFJ378I3"],"uri":["http://zotero.org/users/2484452/items/BFJ378I3"],"itemData":{"id":112,"type":"article-journal","abstract":"Histopathologic grading of dysplasia in Barrett esophagus (BE) shows substantial interobserver and intraobserver variation. We used immunohistochemical analysis with a set of tumor cell markers, ie, epidermal growth factor receptor (EGFR), ERBB2 (HER2/neu), MYC, CDKN2A (p16), SMAD4, MET, CCND1 (cyclin D1), CTNNB1 (beta-catenin), and TP53 (p53), in histologic sections of endoscopic biopsies of 86 patients with BE in various stages of neoplastic progression. The markers, except SMAD4, were scored as 0 (&lt;1% of cells stained), 1 (1%-25%), 2 (26%-50%), or 3 (&gt;50%). All markers, except EGFR, showed a significant trend for immunohistochemical protein overexpression during malignant progression in BE (P &lt;.01). When the successive stages along the metaplasia-low-grade dysplasia (LGD)-high-grade dysplasia (HGD)-adenocarcinoma axis were compared, protein overexpression of beta-catenin separated LGD from metaplasia, whereas protein overexpression of cyclin D1 and p53 discriminated HGD from LGD (all P &lt;.001). beta-Catenin can be helpful for a diagnosis of LGD in BE, although it stains positively in a subset only, whereas p53 remains an appropriate marker to define HGD. In case of doubt, cyclin D1 can be added to separate LGD from HGD in BE.","container-title":"American Journal of Clinical Pathology","DOI":"10.1309/AJCPO31THGVEUIDH","ISSN":"1943-7722","issue":"5","journalAbbreviation":"Am. J. Clin. Pathol.","language":"eng","note":"PMID: 18854267","page":"745-753","source":"PubMed","title":"Immunohistochemical evaluation of a panel of tumor cell markers during malignant progression in Barrett esophagus","volume":"130","author":[{"family":"Dekken","given":"Herman","non-dropping-particle":"van"},{"family":"Hop","given":"Wim C. J."},{"family":"Tilanus","given":"Hugo W."},{"family":"Haringsma","given":"Jelle"},{"family":"Valk","given":"Hans","non-dropping-particle":"van der"},{"family":"Wink","given":"Josiane C."},{"family":"Vissers","given":"Kees J."}],"issued":{"date-parts":[["2008",11]]}}}],"schema":"https://github.com/citation-style-language/schema/raw/master/csl-citation.json"} </w:instrText>
      </w:r>
      <w:r w:rsidR="002B2381" w:rsidRPr="003A5293">
        <w:rPr>
          <w:rFonts w:ascii="Arial" w:hAnsi="Arial" w:cs="Arial"/>
          <w:sz w:val="22"/>
          <w:szCs w:val="22"/>
          <w:lang w:val="en-US"/>
        </w:rPr>
        <w:fldChar w:fldCharType="separate"/>
      </w:r>
      <w:r w:rsidR="00C45D32" w:rsidRPr="003A5293">
        <w:rPr>
          <w:rFonts w:ascii="Arial" w:hAnsi="Arial" w:cs="Arial"/>
          <w:noProof/>
          <w:sz w:val="22"/>
          <w:szCs w:val="22"/>
          <w:lang w:val="en-US"/>
        </w:rPr>
        <w:t>(van Dekken et al., 2008)</w:t>
      </w:r>
      <w:r w:rsidR="002B2381" w:rsidRPr="003A5293">
        <w:rPr>
          <w:rFonts w:ascii="Arial" w:hAnsi="Arial" w:cs="Arial"/>
          <w:sz w:val="22"/>
          <w:szCs w:val="22"/>
          <w:lang w:val="en-US"/>
        </w:rPr>
        <w:fldChar w:fldCharType="end"/>
      </w:r>
      <w:r w:rsidRPr="003A5293">
        <w:rPr>
          <w:rFonts w:ascii="Arial" w:hAnsi="Arial" w:cs="Arial"/>
          <w:sz w:val="22"/>
          <w:szCs w:val="22"/>
          <w:lang w:val="en-US"/>
        </w:rPr>
        <w:t xml:space="preserve"> was chosen</w:t>
      </w:r>
      <w:r w:rsidR="00FC6C02" w:rsidRPr="003A5293">
        <w:rPr>
          <w:rFonts w:ascii="Arial" w:hAnsi="Arial" w:cs="Arial"/>
          <w:sz w:val="22"/>
          <w:szCs w:val="22"/>
          <w:lang w:val="en-US"/>
        </w:rPr>
        <w:t>.</w:t>
      </w:r>
      <w:r w:rsidRPr="003A5293">
        <w:rPr>
          <w:rFonts w:ascii="Arial" w:hAnsi="Arial" w:cs="Arial"/>
          <w:sz w:val="22"/>
          <w:szCs w:val="22"/>
          <w:lang w:val="en-US"/>
        </w:rPr>
        <w:t xml:space="preserve"> This scoring is based on 4 score values (0, 1, 2, 3) which are assigned to the % of positive cells stained. 0 represents negative staining, 1 responds to 25 % of positivity, 2 to 25 - 50% positivity in the specimen and positivity over 50 % is characterized by score 3. Cell positivity counts were done under the magn.x100 and 3 fields of view/sample were observed. In the case of γH2AX staining, the scoring system was modified. The overall γH2AX positivity was weak, so following score was used (value 0 = 0 of positive cells/field of view; value 1 = 1-2 of positive cells/field of view and 2 = 3 and more pos. cells/field of view; totally 10 fields of view per sample were evaluated).</w:t>
      </w:r>
      <w:r w:rsidR="0022116F" w:rsidRPr="003A5293">
        <w:rPr>
          <w:rFonts w:ascii="Arial" w:hAnsi="Arial" w:cs="Arial"/>
          <w:sz w:val="22"/>
          <w:szCs w:val="22"/>
          <w:lang w:val="en-US"/>
        </w:rPr>
        <w:t xml:space="preserve"> Images were acquired using an Olympus BX51 inverted microscope equipped with </w:t>
      </w:r>
      <w:proofErr w:type="spellStart"/>
      <w:r w:rsidR="0022116F" w:rsidRPr="003A5293">
        <w:rPr>
          <w:rFonts w:ascii="Arial" w:hAnsi="Arial" w:cs="Arial"/>
          <w:sz w:val="22"/>
          <w:szCs w:val="22"/>
          <w:lang w:val="en-US"/>
        </w:rPr>
        <w:t>ColorViewIII</w:t>
      </w:r>
      <w:proofErr w:type="spellEnd"/>
      <w:r w:rsidR="0022116F" w:rsidRPr="003A5293">
        <w:rPr>
          <w:rFonts w:ascii="Arial" w:hAnsi="Arial" w:cs="Arial"/>
          <w:sz w:val="22"/>
          <w:szCs w:val="22"/>
          <w:lang w:val="en-US"/>
        </w:rPr>
        <w:t xml:space="preserve"> digital CCD camera.</w:t>
      </w:r>
    </w:p>
    <w:p w14:paraId="25F008B3" w14:textId="77777777" w:rsidR="00BE0D58" w:rsidRDefault="00BE0D58" w:rsidP="00FB329F">
      <w:pPr>
        <w:spacing w:line="360" w:lineRule="auto"/>
        <w:jc w:val="both"/>
        <w:rPr>
          <w:rFonts w:ascii="Arial" w:hAnsi="Arial" w:cs="Arial"/>
          <w:sz w:val="22"/>
          <w:szCs w:val="22"/>
          <w:lang w:val="en-US"/>
        </w:rPr>
      </w:pPr>
    </w:p>
    <w:p w14:paraId="048A7C5E" w14:textId="0473664D" w:rsidR="00BE0D58" w:rsidRPr="003A5293" w:rsidRDefault="00BE0D58" w:rsidP="00BE0D58">
      <w:pPr>
        <w:pStyle w:val="Formatvorlage1"/>
        <w:rPr>
          <w:rFonts w:cs="Arial"/>
        </w:rPr>
      </w:pPr>
      <w:bookmarkStart w:id="47" w:name="_Toc57582522"/>
      <w:r>
        <w:rPr>
          <w:rFonts w:cs="Arial"/>
        </w:rPr>
        <w:t>4.20</w:t>
      </w:r>
      <w:r w:rsidRPr="003A5293">
        <w:rPr>
          <w:rFonts w:cs="Arial"/>
        </w:rPr>
        <w:t xml:space="preserve"> </w:t>
      </w:r>
      <w:r>
        <w:rPr>
          <w:rFonts w:cs="Arial"/>
        </w:rPr>
        <w:t xml:space="preserve">Iron deficient </w:t>
      </w:r>
      <w:r w:rsidR="00E0266B">
        <w:rPr>
          <w:rFonts w:cs="Arial"/>
        </w:rPr>
        <w:t xml:space="preserve">diet </w:t>
      </w:r>
      <w:r>
        <w:rPr>
          <w:rFonts w:cs="Arial"/>
        </w:rPr>
        <w:t>and iron injections</w:t>
      </w:r>
      <w:bookmarkEnd w:id="47"/>
    </w:p>
    <w:p w14:paraId="45FF3B55" w14:textId="77777777" w:rsidR="0080427B" w:rsidRDefault="0080427B" w:rsidP="00BE0D58">
      <w:pPr>
        <w:spacing w:line="360" w:lineRule="auto"/>
        <w:ind w:right="-205"/>
        <w:jc w:val="both"/>
        <w:rPr>
          <w:rFonts w:ascii="Arial" w:hAnsi="Arial" w:cs="Arial"/>
          <w:color w:val="000000" w:themeColor="text1"/>
          <w:sz w:val="22"/>
          <w:szCs w:val="22"/>
          <w:lang w:val="en-US"/>
        </w:rPr>
      </w:pPr>
    </w:p>
    <w:p w14:paraId="4FD1E49C" w14:textId="3A756DBA" w:rsidR="00BE0D58" w:rsidRPr="00BE0D58" w:rsidRDefault="00BE0D58" w:rsidP="00BE0D58">
      <w:pPr>
        <w:spacing w:line="360" w:lineRule="auto"/>
        <w:ind w:right="-205"/>
        <w:jc w:val="both"/>
        <w:rPr>
          <w:rFonts w:ascii="Arial" w:hAnsi="Arial" w:cs="Arial"/>
          <w:color w:val="000000" w:themeColor="text1"/>
          <w:sz w:val="22"/>
          <w:szCs w:val="22"/>
          <w:lang w:val="en-US"/>
        </w:rPr>
      </w:pPr>
      <w:r w:rsidRPr="00BE0D58">
        <w:rPr>
          <w:rFonts w:ascii="Arial" w:hAnsi="Arial" w:cs="Arial"/>
          <w:color w:val="000000" w:themeColor="text1"/>
          <w:sz w:val="22"/>
          <w:szCs w:val="22"/>
          <w:lang w:val="en-US"/>
        </w:rPr>
        <w:t xml:space="preserve">To induce dietary iron deficiency, mice were placed on iron-deficient diet (iron content &lt; 5 mg iron/kg, SAFE, </w:t>
      </w:r>
      <w:proofErr w:type="spellStart"/>
      <w:r w:rsidRPr="00BE0D58">
        <w:rPr>
          <w:rFonts w:ascii="Arial" w:hAnsi="Arial" w:cs="Arial"/>
          <w:color w:val="000000" w:themeColor="text1"/>
          <w:sz w:val="22"/>
          <w:szCs w:val="22"/>
          <w:lang w:val="en-US"/>
        </w:rPr>
        <w:t>Augy</w:t>
      </w:r>
      <w:proofErr w:type="spellEnd"/>
      <w:r w:rsidRPr="00BE0D58">
        <w:rPr>
          <w:rFonts w:ascii="Arial" w:hAnsi="Arial" w:cs="Arial"/>
          <w:color w:val="000000" w:themeColor="text1"/>
          <w:sz w:val="22"/>
          <w:szCs w:val="22"/>
          <w:lang w:val="en-US"/>
        </w:rPr>
        <w:t xml:space="preserve">, France), or on identical control diet supplemented with 200 mg/kg carbonyl-iron (SAFE, </w:t>
      </w:r>
      <w:proofErr w:type="spellStart"/>
      <w:r w:rsidRPr="00BE0D58">
        <w:rPr>
          <w:rFonts w:ascii="Arial" w:hAnsi="Arial" w:cs="Arial"/>
          <w:color w:val="000000" w:themeColor="text1"/>
          <w:sz w:val="22"/>
          <w:szCs w:val="22"/>
          <w:lang w:val="en-US"/>
        </w:rPr>
        <w:t>Augy</w:t>
      </w:r>
      <w:proofErr w:type="spellEnd"/>
      <w:r w:rsidRPr="00BE0D58">
        <w:rPr>
          <w:rFonts w:ascii="Arial" w:hAnsi="Arial" w:cs="Arial"/>
          <w:color w:val="000000" w:themeColor="text1"/>
          <w:sz w:val="22"/>
          <w:szCs w:val="22"/>
          <w:lang w:val="en-US"/>
        </w:rPr>
        <w:t>, France). In a subgroup of mice on iron-deficient diet, additional tail bleedings (max. 200µL) were performed every 4 weeks to accentuate iron deficiency. For parenteral iron injections Iron-Dextran (D8517, Sigma Aldrich) was injected intraperitoneally (250 mg/kg per mouse).</w:t>
      </w:r>
    </w:p>
    <w:p w14:paraId="423C12EF" w14:textId="77777777" w:rsidR="00BE0D58" w:rsidRDefault="00BE0D58" w:rsidP="00BE0D58">
      <w:pPr>
        <w:spacing w:line="360" w:lineRule="auto"/>
        <w:ind w:right="-205"/>
        <w:jc w:val="both"/>
        <w:rPr>
          <w:rFonts w:ascii="Arial" w:hAnsi="Arial" w:cs="Arial"/>
          <w:color w:val="000000" w:themeColor="text1"/>
          <w:sz w:val="22"/>
          <w:szCs w:val="22"/>
          <w:lang w:val="en-US"/>
        </w:rPr>
      </w:pPr>
    </w:p>
    <w:p w14:paraId="15AF21A2" w14:textId="032D022F" w:rsidR="00BE0D58" w:rsidRPr="003A5293" w:rsidRDefault="00BE0D58" w:rsidP="00BE0D58">
      <w:pPr>
        <w:pStyle w:val="Formatvorlage1"/>
        <w:rPr>
          <w:rFonts w:cs="Arial"/>
        </w:rPr>
      </w:pPr>
      <w:bookmarkStart w:id="48" w:name="_Toc57582523"/>
      <w:r>
        <w:rPr>
          <w:rFonts w:cs="Arial"/>
        </w:rPr>
        <w:t>4.21</w:t>
      </w:r>
      <w:r w:rsidRPr="003A5293">
        <w:rPr>
          <w:rFonts w:cs="Arial"/>
        </w:rPr>
        <w:t xml:space="preserve"> </w:t>
      </w:r>
      <w:r>
        <w:rPr>
          <w:rFonts w:cs="Arial"/>
        </w:rPr>
        <w:t>Liver iron content</w:t>
      </w:r>
      <w:bookmarkEnd w:id="48"/>
    </w:p>
    <w:p w14:paraId="7AAA1046" w14:textId="77777777" w:rsidR="00BE0D58" w:rsidRPr="00BE0D58" w:rsidRDefault="00BE0D58" w:rsidP="00BE0D58">
      <w:pPr>
        <w:spacing w:line="360" w:lineRule="auto"/>
        <w:ind w:right="-205"/>
        <w:jc w:val="both"/>
        <w:rPr>
          <w:rStyle w:val="st"/>
          <w:rFonts w:ascii="Arial" w:eastAsiaTheme="majorEastAsia" w:hAnsi="Arial" w:cs="Arial"/>
          <w:sz w:val="22"/>
          <w:szCs w:val="22"/>
          <w:lang w:val="en-US"/>
        </w:rPr>
      </w:pPr>
      <w:r w:rsidRPr="00BE0D58">
        <w:rPr>
          <w:rFonts w:ascii="Arial" w:hAnsi="Arial" w:cs="Arial"/>
          <w:color w:val="000000" w:themeColor="text1"/>
          <w:sz w:val="22"/>
          <w:szCs w:val="22"/>
          <w:lang w:val="en-US"/>
        </w:rPr>
        <w:t>To measure iron content in liver tissue, livers were fixed in 4% phosphate-buffered formalin and weighted amount were digested by concentrated HNO</w:t>
      </w:r>
      <w:r w:rsidRPr="00BE0D58">
        <w:rPr>
          <w:rFonts w:ascii="Arial" w:hAnsi="Arial" w:cs="Arial"/>
          <w:color w:val="000000" w:themeColor="text1"/>
          <w:sz w:val="22"/>
          <w:szCs w:val="22"/>
          <w:vertAlign w:val="subscript"/>
          <w:lang w:val="en-US"/>
        </w:rPr>
        <w:t>3</w:t>
      </w:r>
      <w:r w:rsidRPr="00BE0D58">
        <w:rPr>
          <w:rFonts w:ascii="Arial" w:hAnsi="Arial" w:cs="Arial"/>
          <w:color w:val="000000" w:themeColor="text1"/>
          <w:sz w:val="22"/>
          <w:szCs w:val="22"/>
          <w:lang w:val="en-US"/>
        </w:rPr>
        <w:t xml:space="preserve"> (69%, ROTIPURAN Supra, Roth) inside a microwave oven (</w:t>
      </w:r>
      <w:proofErr w:type="spellStart"/>
      <w:r w:rsidRPr="00BE0D58">
        <w:rPr>
          <w:rFonts w:ascii="Arial" w:hAnsi="Arial" w:cs="Arial"/>
          <w:color w:val="000000" w:themeColor="text1"/>
          <w:sz w:val="22"/>
          <w:szCs w:val="22"/>
          <w:lang w:val="en-US"/>
        </w:rPr>
        <w:t>synthWave</w:t>
      </w:r>
      <w:proofErr w:type="spellEnd"/>
      <w:r w:rsidRPr="00BE0D58">
        <w:rPr>
          <w:rFonts w:ascii="Arial" w:hAnsi="Arial" w:cs="Arial"/>
          <w:color w:val="000000" w:themeColor="text1"/>
          <w:sz w:val="22"/>
          <w:szCs w:val="22"/>
          <w:lang w:val="en-US"/>
        </w:rPr>
        <w:t xml:space="preserve">, MWS </w:t>
      </w:r>
      <w:proofErr w:type="spellStart"/>
      <w:r w:rsidRPr="00BE0D58">
        <w:rPr>
          <w:rFonts w:ascii="Arial" w:hAnsi="Arial" w:cs="Arial"/>
          <w:color w:val="000000" w:themeColor="text1"/>
          <w:sz w:val="22"/>
          <w:szCs w:val="22"/>
          <w:lang w:val="en-US"/>
        </w:rPr>
        <w:t>Mikrowelle</w:t>
      </w:r>
      <w:proofErr w:type="spellEnd"/>
      <w:r w:rsidRPr="00BE0D58">
        <w:rPr>
          <w:rFonts w:ascii="Arial" w:hAnsi="Arial" w:cs="Arial"/>
          <w:color w:val="000000" w:themeColor="text1"/>
          <w:sz w:val="22"/>
          <w:szCs w:val="22"/>
          <w:lang w:val="en-US"/>
        </w:rPr>
        <w:t xml:space="preserve"> GmbH) </w:t>
      </w:r>
      <w:r w:rsidRPr="00BE0D58">
        <w:rPr>
          <w:rStyle w:val="st"/>
          <w:rFonts w:ascii="Arial" w:eastAsiaTheme="majorEastAsia" w:hAnsi="Arial" w:cs="Arial"/>
          <w:sz w:val="22"/>
          <w:szCs w:val="22"/>
          <w:lang w:val="en-US"/>
        </w:rPr>
        <w:t>for 10 min at 170°C and 25 min at 200°C.</w:t>
      </w:r>
      <w:r w:rsidRPr="00BE0D58">
        <w:rPr>
          <w:rFonts w:ascii="Arial" w:hAnsi="Arial" w:cs="Arial"/>
          <w:sz w:val="22"/>
          <w:szCs w:val="22"/>
          <w:lang w:val="en-US"/>
        </w:rPr>
        <w:t xml:space="preserve"> </w:t>
      </w:r>
      <w:r w:rsidRPr="00BE0D58">
        <w:rPr>
          <w:rStyle w:val="st"/>
          <w:rFonts w:ascii="Arial" w:eastAsiaTheme="majorEastAsia" w:hAnsi="Arial" w:cs="Arial"/>
          <w:sz w:val="22"/>
          <w:szCs w:val="22"/>
          <w:lang w:val="en-US"/>
        </w:rPr>
        <w:t xml:space="preserve">After digestion iron content was analyzed by inductively coupled plasma mass spectrometry (ICP-MS) using KED mode (He value 4.5) on </w:t>
      </w:r>
      <w:proofErr w:type="spellStart"/>
      <w:r w:rsidRPr="00BE0D58">
        <w:rPr>
          <w:rStyle w:val="st"/>
          <w:rFonts w:ascii="Arial" w:eastAsiaTheme="majorEastAsia" w:hAnsi="Arial" w:cs="Arial"/>
          <w:sz w:val="22"/>
          <w:szCs w:val="22"/>
          <w:lang w:val="en-US"/>
        </w:rPr>
        <w:t>NexIon</w:t>
      </w:r>
      <w:proofErr w:type="spellEnd"/>
      <w:r w:rsidRPr="00BE0D58">
        <w:rPr>
          <w:rStyle w:val="st"/>
          <w:rFonts w:ascii="Arial" w:eastAsiaTheme="majorEastAsia" w:hAnsi="Arial" w:cs="Arial"/>
          <w:sz w:val="22"/>
          <w:szCs w:val="22"/>
          <w:lang w:val="en-US"/>
        </w:rPr>
        <w:t xml:space="preserve"> 350 D ICP-MS instrument (PerkinElmer). Y was used as an internal standard and iron quantitation was performed using external calibration curve with standards in 0.05-50 ppb range. All measurements were performed in triplicates.</w:t>
      </w:r>
    </w:p>
    <w:p w14:paraId="693F581F" w14:textId="77777777" w:rsidR="00BE0D58" w:rsidRDefault="00BE0D58" w:rsidP="00BE0D58">
      <w:pPr>
        <w:spacing w:line="360" w:lineRule="auto"/>
        <w:ind w:right="-205"/>
        <w:jc w:val="both"/>
        <w:rPr>
          <w:rStyle w:val="st"/>
          <w:rFonts w:ascii="Arial" w:eastAsiaTheme="majorEastAsia" w:hAnsi="Arial" w:cs="Arial"/>
          <w:sz w:val="22"/>
          <w:szCs w:val="22"/>
          <w:lang w:val="en-US"/>
        </w:rPr>
      </w:pPr>
    </w:p>
    <w:p w14:paraId="3E247F7E" w14:textId="272B0366" w:rsidR="00BE0D58" w:rsidRPr="003A5293" w:rsidRDefault="00BE0D58" w:rsidP="00BE0D58">
      <w:pPr>
        <w:pStyle w:val="Formatvorlage1"/>
        <w:rPr>
          <w:rFonts w:cs="Arial"/>
        </w:rPr>
      </w:pPr>
      <w:bookmarkStart w:id="49" w:name="_Toc57582524"/>
      <w:r>
        <w:rPr>
          <w:rFonts w:cs="Arial"/>
        </w:rPr>
        <w:lastRenderedPageBreak/>
        <w:t>4.22</w:t>
      </w:r>
      <w:r w:rsidRPr="003A5293">
        <w:rPr>
          <w:rFonts w:cs="Arial"/>
        </w:rPr>
        <w:t xml:space="preserve"> </w:t>
      </w:r>
      <w:r>
        <w:rPr>
          <w:rFonts w:cs="Arial"/>
        </w:rPr>
        <w:t>Iron parameters and regulatory cytokines</w:t>
      </w:r>
      <w:bookmarkEnd w:id="49"/>
    </w:p>
    <w:p w14:paraId="27C35FFE" w14:textId="77777777" w:rsidR="0080427B" w:rsidRDefault="0080427B" w:rsidP="00BE0D58">
      <w:pPr>
        <w:spacing w:line="360" w:lineRule="auto"/>
        <w:ind w:right="-205"/>
        <w:jc w:val="both"/>
        <w:rPr>
          <w:rFonts w:ascii="Arial" w:hAnsi="Arial" w:cs="Arial"/>
          <w:color w:val="000000" w:themeColor="text1"/>
          <w:sz w:val="22"/>
          <w:szCs w:val="22"/>
          <w:lang w:val="en-US"/>
        </w:rPr>
      </w:pPr>
    </w:p>
    <w:p w14:paraId="193BE3A3" w14:textId="6B93FFA5" w:rsidR="00BE0D58" w:rsidRPr="00BE0D58" w:rsidRDefault="00BE0D58" w:rsidP="00BE0D58">
      <w:pPr>
        <w:spacing w:line="360" w:lineRule="auto"/>
        <w:ind w:right="-205"/>
        <w:jc w:val="both"/>
        <w:rPr>
          <w:rFonts w:ascii="Arial" w:hAnsi="Arial" w:cs="Arial"/>
          <w:color w:val="000000" w:themeColor="text1"/>
          <w:sz w:val="22"/>
          <w:szCs w:val="22"/>
          <w:lang w:val="en-US"/>
        </w:rPr>
      </w:pPr>
      <w:r w:rsidRPr="00BE0D58">
        <w:rPr>
          <w:rFonts w:ascii="Arial" w:hAnsi="Arial" w:cs="Arial"/>
          <w:color w:val="000000" w:themeColor="text1"/>
          <w:sz w:val="22"/>
          <w:szCs w:val="22"/>
          <w:lang w:val="en-US"/>
        </w:rPr>
        <w:t>Transferrin saturation was calculated as the ratio between serum iron and total iron binding capacity, estimated with Flex reagent cartridge (DF84, DF85) of Dimension clinical chemistry system (Siemens), according to the manufacturer’s instructions. Hepcidin Murine-Compete and Intrinsic Mouse Erythroferrone ELISA kits (Intrinsic Lifesciences) were used to analyze serum levels of hepcidin and erythroferrone. Serum and bone marrow lavage thrombopoietin (</w:t>
      </w:r>
      <w:proofErr w:type="spellStart"/>
      <w:r w:rsidRPr="00BE0D58">
        <w:rPr>
          <w:rFonts w:ascii="Arial" w:hAnsi="Arial" w:cs="Arial"/>
          <w:color w:val="000000" w:themeColor="text1"/>
          <w:sz w:val="22"/>
          <w:szCs w:val="22"/>
          <w:lang w:val="en-US"/>
        </w:rPr>
        <w:t>Tpo</w:t>
      </w:r>
      <w:proofErr w:type="spellEnd"/>
      <w:r w:rsidRPr="00BE0D58">
        <w:rPr>
          <w:rFonts w:ascii="Arial" w:hAnsi="Arial" w:cs="Arial"/>
          <w:color w:val="000000" w:themeColor="text1"/>
          <w:sz w:val="22"/>
          <w:szCs w:val="22"/>
          <w:lang w:val="en-US"/>
        </w:rPr>
        <w:t xml:space="preserve">) levels were measured using mouse </w:t>
      </w:r>
      <w:proofErr w:type="spellStart"/>
      <w:r w:rsidRPr="00BE0D58">
        <w:rPr>
          <w:rFonts w:ascii="Arial" w:hAnsi="Arial" w:cs="Arial"/>
          <w:color w:val="000000" w:themeColor="text1"/>
          <w:sz w:val="22"/>
          <w:szCs w:val="22"/>
          <w:lang w:val="en-US"/>
        </w:rPr>
        <w:t>Tpo</w:t>
      </w:r>
      <w:proofErr w:type="spellEnd"/>
      <w:r w:rsidRPr="00BE0D58">
        <w:rPr>
          <w:rFonts w:ascii="Arial" w:hAnsi="Arial" w:cs="Arial"/>
          <w:color w:val="000000" w:themeColor="text1"/>
          <w:sz w:val="22"/>
          <w:szCs w:val="22"/>
          <w:lang w:val="en-US"/>
        </w:rPr>
        <w:t xml:space="preserve"> </w:t>
      </w:r>
      <w:proofErr w:type="spellStart"/>
      <w:r w:rsidRPr="00BE0D58">
        <w:rPr>
          <w:rFonts w:ascii="Arial" w:hAnsi="Arial" w:cs="Arial"/>
          <w:color w:val="000000" w:themeColor="text1"/>
          <w:sz w:val="22"/>
          <w:szCs w:val="22"/>
          <w:lang w:val="en-US"/>
        </w:rPr>
        <w:t>quantikine</w:t>
      </w:r>
      <w:proofErr w:type="spellEnd"/>
      <w:r w:rsidRPr="00BE0D58">
        <w:rPr>
          <w:rFonts w:ascii="Arial" w:hAnsi="Arial" w:cs="Arial"/>
          <w:color w:val="000000" w:themeColor="text1"/>
          <w:sz w:val="22"/>
          <w:szCs w:val="22"/>
          <w:lang w:val="en-US"/>
        </w:rPr>
        <w:t xml:space="preserve"> set (R&amp;D System). Erythropoietin (</w:t>
      </w:r>
      <w:proofErr w:type="spellStart"/>
      <w:r w:rsidRPr="00BE0D58">
        <w:rPr>
          <w:rFonts w:ascii="Arial" w:hAnsi="Arial" w:cs="Arial"/>
          <w:color w:val="000000" w:themeColor="text1"/>
          <w:sz w:val="22"/>
          <w:szCs w:val="22"/>
          <w:lang w:val="en-US"/>
        </w:rPr>
        <w:t>Epo</w:t>
      </w:r>
      <w:proofErr w:type="spellEnd"/>
      <w:r w:rsidRPr="00BE0D58">
        <w:rPr>
          <w:rFonts w:ascii="Arial" w:hAnsi="Arial" w:cs="Arial"/>
          <w:color w:val="000000" w:themeColor="text1"/>
          <w:sz w:val="22"/>
          <w:szCs w:val="22"/>
          <w:lang w:val="en-US"/>
        </w:rPr>
        <w:t xml:space="preserve">) levels in serum were analyzed by </w:t>
      </w:r>
      <w:proofErr w:type="spellStart"/>
      <w:r w:rsidRPr="00BE0D58">
        <w:rPr>
          <w:rFonts w:ascii="Arial" w:hAnsi="Arial" w:cs="Arial"/>
          <w:color w:val="000000" w:themeColor="text1"/>
          <w:sz w:val="22"/>
          <w:szCs w:val="22"/>
          <w:lang w:val="en-US"/>
        </w:rPr>
        <w:t>Legendplex</w:t>
      </w:r>
      <w:proofErr w:type="spellEnd"/>
      <w:r w:rsidRPr="00BE0D58">
        <w:rPr>
          <w:rFonts w:ascii="Arial" w:hAnsi="Arial" w:cs="Arial"/>
          <w:color w:val="000000" w:themeColor="text1"/>
          <w:sz w:val="22"/>
          <w:szCs w:val="22"/>
          <w:lang w:val="en-US"/>
        </w:rPr>
        <w:t xml:space="preserve"> Mouse HSC Erythroid Panel (</w:t>
      </w:r>
      <w:proofErr w:type="spellStart"/>
      <w:r w:rsidRPr="00BE0D58">
        <w:rPr>
          <w:rFonts w:ascii="Arial" w:hAnsi="Arial" w:cs="Arial"/>
          <w:color w:val="000000" w:themeColor="text1"/>
          <w:sz w:val="22"/>
          <w:szCs w:val="22"/>
          <w:lang w:val="en-US"/>
        </w:rPr>
        <w:t>Biolegend</w:t>
      </w:r>
      <w:proofErr w:type="spellEnd"/>
      <w:r w:rsidRPr="00BE0D58">
        <w:rPr>
          <w:rFonts w:ascii="Arial" w:hAnsi="Arial" w:cs="Arial"/>
          <w:color w:val="000000" w:themeColor="text1"/>
          <w:sz w:val="22"/>
          <w:szCs w:val="22"/>
          <w:lang w:val="en-US"/>
        </w:rPr>
        <w:t xml:space="preserve">). </w:t>
      </w:r>
    </w:p>
    <w:p w14:paraId="2998960B" w14:textId="77777777" w:rsidR="00BE0D58" w:rsidRPr="003A5293" w:rsidRDefault="00BE0D58" w:rsidP="00FB329F">
      <w:pPr>
        <w:spacing w:line="360" w:lineRule="auto"/>
        <w:jc w:val="both"/>
        <w:rPr>
          <w:rFonts w:ascii="Arial" w:hAnsi="Arial" w:cs="Arial"/>
          <w:sz w:val="22"/>
          <w:szCs w:val="22"/>
          <w:lang w:val="en-US"/>
        </w:rPr>
      </w:pPr>
    </w:p>
    <w:p w14:paraId="5DC0F5D1" w14:textId="60EE3CF9" w:rsidR="00FB329F" w:rsidRPr="003A5293" w:rsidRDefault="00AF334E" w:rsidP="00FB329F">
      <w:pPr>
        <w:pStyle w:val="Formatvorlage1"/>
        <w:rPr>
          <w:rFonts w:cs="Arial"/>
        </w:rPr>
      </w:pPr>
      <w:bookmarkStart w:id="50" w:name="_Toc57582525"/>
      <w:r>
        <w:rPr>
          <w:rFonts w:cs="Arial"/>
        </w:rPr>
        <w:t>4.2</w:t>
      </w:r>
      <w:r w:rsidR="00BE0D58">
        <w:rPr>
          <w:rFonts w:cs="Arial"/>
        </w:rPr>
        <w:t>3</w:t>
      </w:r>
      <w:r w:rsidR="00FB329F" w:rsidRPr="003A5293">
        <w:rPr>
          <w:rFonts w:cs="Arial"/>
        </w:rPr>
        <w:t xml:space="preserve"> Statistical analysis</w:t>
      </w:r>
      <w:bookmarkEnd w:id="50"/>
    </w:p>
    <w:p w14:paraId="4EA33A40" w14:textId="77777777" w:rsidR="00E2346E" w:rsidRPr="003A5293" w:rsidRDefault="00E2346E" w:rsidP="00FB329F">
      <w:pPr>
        <w:spacing w:line="360" w:lineRule="auto"/>
        <w:jc w:val="both"/>
        <w:rPr>
          <w:rFonts w:ascii="Arial" w:hAnsi="Arial" w:cs="Arial"/>
          <w:sz w:val="22"/>
          <w:szCs w:val="22"/>
          <w:lang w:val="en-US"/>
        </w:rPr>
      </w:pPr>
    </w:p>
    <w:p w14:paraId="66FE9598" w14:textId="77777777" w:rsidR="008C7838" w:rsidRPr="003A5293" w:rsidRDefault="00FB329F" w:rsidP="00FB329F">
      <w:pPr>
        <w:spacing w:line="360" w:lineRule="auto"/>
        <w:jc w:val="both"/>
        <w:rPr>
          <w:rFonts w:ascii="Arial" w:hAnsi="Arial" w:cs="Arial"/>
          <w:lang w:val="en-US"/>
        </w:rPr>
      </w:pPr>
      <w:r w:rsidRPr="003A5293">
        <w:rPr>
          <w:rFonts w:ascii="Arial" w:hAnsi="Arial" w:cs="Arial"/>
          <w:sz w:val="22"/>
          <w:szCs w:val="22"/>
          <w:lang w:val="en-US"/>
        </w:rPr>
        <w:t>Mean values +/- SD</w:t>
      </w:r>
      <w:r w:rsidR="00756482">
        <w:rPr>
          <w:rFonts w:ascii="Arial" w:hAnsi="Arial" w:cs="Arial"/>
          <w:sz w:val="22"/>
          <w:szCs w:val="22"/>
          <w:lang w:val="en-US"/>
        </w:rPr>
        <w:t xml:space="preserve"> </w:t>
      </w:r>
      <w:r w:rsidR="00243A72">
        <w:rPr>
          <w:rFonts w:ascii="Arial" w:hAnsi="Arial" w:cs="Arial"/>
          <w:sz w:val="22"/>
          <w:szCs w:val="22"/>
          <w:lang w:val="en-US"/>
        </w:rPr>
        <w:t xml:space="preserve">for human samples </w:t>
      </w:r>
      <w:r w:rsidR="00756482">
        <w:rPr>
          <w:rFonts w:ascii="Arial" w:hAnsi="Arial" w:cs="Arial"/>
          <w:sz w:val="22"/>
          <w:szCs w:val="22"/>
          <w:lang w:val="en-US"/>
        </w:rPr>
        <w:t>or SEM</w:t>
      </w:r>
      <w:r w:rsidR="00243A72">
        <w:rPr>
          <w:rFonts w:ascii="Arial" w:hAnsi="Arial" w:cs="Arial"/>
          <w:sz w:val="22"/>
          <w:szCs w:val="22"/>
          <w:lang w:val="en-US"/>
        </w:rPr>
        <w:t xml:space="preserve"> for mouse samples</w:t>
      </w:r>
      <w:r w:rsidRPr="003A5293">
        <w:rPr>
          <w:rFonts w:ascii="Arial" w:hAnsi="Arial" w:cs="Arial"/>
          <w:sz w:val="22"/>
          <w:szCs w:val="22"/>
          <w:lang w:val="en-US"/>
        </w:rPr>
        <w:t xml:space="preserve"> are shown. Student t test, Wilcoxon signed-rank test, two-way and one-way ANOVA was used for obtaining statistical significance values</w:t>
      </w:r>
      <w:r w:rsidR="0088463E">
        <w:rPr>
          <w:rFonts w:ascii="Arial" w:hAnsi="Arial" w:cs="Arial"/>
          <w:sz w:val="22"/>
          <w:szCs w:val="22"/>
          <w:lang w:val="en-US"/>
        </w:rPr>
        <w:t xml:space="preserve"> with multiple comparison posttests</w:t>
      </w:r>
      <w:r w:rsidRPr="003A5293">
        <w:rPr>
          <w:rFonts w:ascii="Arial" w:hAnsi="Arial" w:cs="Arial"/>
          <w:sz w:val="22"/>
          <w:szCs w:val="22"/>
          <w:lang w:val="en-US"/>
        </w:rPr>
        <w:t xml:space="preserve"> (using Graph-Pad Prism </w:t>
      </w:r>
      <w:r w:rsidR="003F3CCE" w:rsidRPr="003A5293">
        <w:rPr>
          <w:rFonts w:ascii="Arial" w:hAnsi="Arial" w:cs="Arial"/>
          <w:sz w:val="22"/>
          <w:szCs w:val="22"/>
          <w:lang w:val="en-US"/>
        </w:rPr>
        <w:t>software</w:t>
      </w:r>
      <w:r w:rsidRPr="003A5293">
        <w:rPr>
          <w:rFonts w:ascii="Arial" w:hAnsi="Arial" w:cs="Arial"/>
          <w:sz w:val="22"/>
          <w:szCs w:val="22"/>
          <w:lang w:val="en-US"/>
        </w:rPr>
        <w:t>).</w:t>
      </w:r>
      <w:r w:rsidR="008C7838" w:rsidRPr="003A5293">
        <w:rPr>
          <w:rFonts w:ascii="Arial" w:hAnsi="Arial" w:cs="Arial"/>
          <w:lang w:val="en-US"/>
        </w:rPr>
        <w:br w:type="page"/>
      </w:r>
    </w:p>
    <w:p w14:paraId="4FBDDB15" w14:textId="77777777" w:rsidR="00FE77AC" w:rsidRPr="003A5293" w:rsidRDefault="00FE77AC">
      <w:pPr>
        <w:rPr>
          <w:rFonts w:ascii="Arial" w:hAnsi="Arial" w:cs="Arial"/>
          <w:lang w:val="en-US"/>
        </w:rPr>
        <w:sectPr w:rsidR="00FE77AC" w:rsidRPr="003A5293" w:rsidSect="00D8178D">
          <w:headerReference w:type="default" r:id="rId55"/>
          <w:pgSz w:w="11900" w:h="16840"/>
          <w:pgMar w:top="1418" w:right="1418" w:bottom="1418" w:left="1985" w:header="709" w:footer="709" w:gutter="0"/>
          <w:pgNumType w:chapStyle="2"/>
          <w:cols w:space="708"/>
          <w:docGrid w:linePitch="360"/>
        </w:sectPr>
      </w:pPr>
    </w:p>
    <w:p w14:paraId="418A9FED" w14:textId="09E3F4CA" w:rsidR="008C7838" w:rsidRPr="003A5293" w:rsidRDefault="00B34F0A" w:rsidP="008C7838">
      <w:pPr>
        <w:pStyle w:val="MainHeading2"/>
        <w:rPr>
          <w:rFonts w:cs="Arial"/>
          <w:lang w:val="en-US"/>
        </w:rPr>
      </w:pPr>
      <w:bookmarkStart w:id="51" w:name="_Toc57582526"/>
      <w:r>
        <w:rPr>
          <w:rFonts w:cs="Arial"/>
          <w:b w:val="0"/>
          <w:bCs/>
          <w:sz w:val="48"/>
          <w:szCs w:val="48"/>
          <w:lang w:val="en-US"/>
        </w:rPr>
        <w:lastRenderedPageBreak/>
        <w:t>5</w:t>
      </w:r>
      <w:r w:rsidR="008C7838" w:rsidRPr="003A5293">
        <w:rPr>
          <w:rFonts w:cs="Arial"/>
          <w:b w:val="0"/>
          <w:bCs/>
          <w:sz w:val="48"/>
          <w:szCs w:val="48"/>
          <w:lang w:val="en-US"/>
        </w:rPr>
        <w:t>.</w:t>
      </w:r>
      <w:r w:rsidR="008C7838" w:rsidRPr="003A5293">
        <w:rPr>
          <w:rFonts w:cs="Arial"/>
          <w:lang w:val="en-US"/>
        </w:rPr>
        <w:t xml:space="preserve"> S</w:t>
      </w:r>
      <w:r w:rsidR="00710FA0">
        <w:rPr>
          <w:rFonts w:cs="Arial"/>
          <w:lang w:val="en-US"/>
        </w:rPr>
        <w:t>ummary</w:t>
      </w:r>
      <w:bookmarkEnd w:id="51"/>
    </w:p>
    <w:p w14:paraId="7E262521" w14:textId="77777777" w:rsidR="008C7838" w:rsidRPr="003A5293" w:rsidRDefault="008C7838" w:rsidP="00F30EE5">
      <w:pPr>
        <w:spacing w:line="360" w:lineRule="auto"/>
        <w:rPr>
          <w:rFonts w:ascii="Arial" w:hAnsi="Arial" w:cs="Arial"/>
          <w:lang w:val="en-US"/>
        </w:rPr>
      </w:pPr>
    </w:p>
    <w:p w14:paraId="186B619F" w14:textId="5D3C8618" w:rsidR="00AC09F9" w:rsidRDefault="003F0F1C" w:rsidP="008E0E62">
      <w:pPr>
        <w:spacing w:line="360" w:lineRule="auto"/>
        <w:jc w:val="both"/>
        <w:rPr>
          <w:rFonts w:ascii="Arial" w:hAnsi="Arial" w:cs="Arial"/>
          <w:sz w:val="22"/>
          <w:szCs w:val="22"/>
          <w:lang w:val="en-US"/>
        </w:rPr>
      </w:pPr>
      <w:r w:rsidRPr="00134514">
        <w:rPr>
          <w:rFonts w:ascii="Arial" w:hAnsi="Arial" w:cs="Arial"/>
          <w:sz w:val="22"/>
          <w:szCs w:val="22"/>
          <w:lang w:val="en-US"/>
        </w:rPr>
        <w:t xml:space="preserve">The myeloproliferative neoplasms (MPN) - polycythemia vera (PV), essential </w:t>
      </w:r>
      <w:r w:rsidR="000D3A95" w:rsidRPr="000D3A95">
        <w:rPr>
          <w:rFonts w:ascii="Arial" w:hAnsi="Arial" w:cs="Arial"/>
          <w:sz w:val="22"/>
          <w:szCs w:val="22"/>
          <w:lang w:val="en-US"/>
        </w:rPr>
        <w:t>thrombocythemia (ET)</w:t>
      </w:r>
      <w:r w:rsidRPr="00134514">
        <w:rPr>
          <w:rFonts w:ascii="Arial" w:hAnsi="Arial" w:cs="Arial"/>
          <w:sz w:val="22"/>
          <w:szCs w:val="22"/>
          <w:lang w:val="en-US"/>
        </w:rPr>
        <w:t xml:space="preserve"> and primary myelofibrosis </w:t>
      </w:r>
      <w:r w:rsidR="000D3A95">
        <w:rPr>
          <w:rFonts w:ascii="Arial" w:hAnsi="Arial" w:cs="Arial"/>
          <w:sz w:val="22"/>
          <w:szCs w:val="22"/>
          <w:lang w:val="en-US"/>
        </w:rPr>
        <w:t xml:space="preserve">(PMF) </w:t>
      </w:r>
      <w:r w:rsidRPr="00134514">
        <w:rPr>
          <w:rFonts w:ascii="Arial" w:hAnsi="Arial" w:cs="Arial"/>
          <w:sz w:val="22"/>
          <w:szCs w:val="22"/>
          <w:lang w:val="en-US"/>
        </w:rPr>
        <w:t>- are hematopoietic stem-cell disorders, which share mutations that constitutively activate the cytokine receptor/JAK-STAT pathway</w:t>
      </w:r>
      <w:r w:rsidR="00631B3F">
        <w:rPr>
          <w:rFonts w:ascii="Arial" w:hAnsi="Arial" w:cs="Arial"/>
          <w:sz w:val="22"/>
          <w:szCs w:val="22"/>
          <w:lang w:val="en-US"/>
        </w:rPr>
        <w:t xml:space="preserve"> </w:t>
      </w:r>
      <w:r w:rsidR="00631B3F">
        <w:rPr>
          <w:rFonts w:ascii="Arial" w:hAnsi="Arial" w:cs="Arial"/>
          <w:sz w:val="22"/>
          <w:szCs w:val="22"/>
          <w:lang w:val="en-US"/>
        </w:rPr>
        <w:fldChar w:fldCharType="begin"/>
      </w:r>
      <w:r w:rsidR="00631B3F">
        <w:rPr>
          <w:rFonts w:ascii="Arial" w:hAnsi="Arial" w:cs="Arial"/>
          <w:sz w:val="22"/>
          <w:szCs w:val="22"/>
          <w:lang w:val="en-US"/>
        </w:rPr>
        <w:instrText xml:space="preserve"> ADDIN ZOTERO_ITEM CSL_CITATION {"citationID":"6bFKmJEP","properties":{"formattedCitation":"(Campbell and Green, 2006)","plainCitation":"(Campbell and Green, 2006)","noteIndex":0},"citationItems":[{"id":101,"uris":["http://zotero.org/users/2484452/items/IQGJA6UG"],"uri":["http://zotero.org/users/2484452/items/IQGJA6UG"],"itemData":{"id":101,"type":"article-journal","container-title":"The New England Journal of Medicine","DOI":"10.1056/NEJMra063728","ISSN":"1533-4406","issue":"23","journalAbbreviation":"N. Engl. J. Med.","language":"eng","note":"PMID: 17151367","page":"2452-2466","source":"PubMed","title":"The myeloproliferative disorders","volume":"355","author":[{"family":"Campbell","given":"Peter J."},{"family":"Green","given":"Anthony R."}],"issued":{"date-parts":[["2006",12,7]]}}}],"schema":"https://github.com/citation-style-language/schema/raw/master/csl-citation.json"} </w:instrText>
      </w:r>
      <w:r w:rsidR="00631B3F">
        <w:rPr>
          <w:rFonts w:ascii="Arial" w:hAnsi="Arial" w:cs="Arial"/>
          <w:sz w:val="22"/>
          <w:szCs w:val="22"/>
          <w:lang w:val="en-US"/>
        </w:rPr>
        <w:fldChar w:fldCharType="separate"/>
      </w:r>
      <w:r w:rsidR="00631B3F">
        <w:rPr>
          <w:rFonts w:ascii="Arial" w:hAnsi="Arial" w:cs="Arial"/>
          <w:noProof/>
          <w:sz w:val="22"/>
          <w:szCs w:val="22"/>
          <w:lang w:val="en-US"/>
        </w:rPr>
        <w:t>(Campbell and Green, 2006)</w:t>
      </w:r>
      <w:r w:rsidR="00631B3F">
        <w:rPr>
          <w:rFonts w:ascii="Arial" w:hAnsi="Arial" w:cs="Arial"/>
          <w:sz w:val="22"/>
          <w:szCs w:val="22"/>
          <w:lang w:val="en-US"/>
        </w:rPr>
        <w:fldChar w:fldCharType="end"/>
      </w:r>
      <w:r w:rsidRPr="00134514">
        <w:rPr>
          <w:rFonts w:ascii="Arial" w:hAnsi="Arial" w:cs="Arial"/>
          <w:sz w:val="22"/>
          <w:szCs w:val="22"/>
          <w:lang w:val="en-US"/>
        </w:rPr>
        <w:t xml:space="preserve">. The most frequent driver mutation in MPN is </w:t>
      </w:r>
      <w:r w:rsidRPr="00134514">
        <w:rPr>
          <w:rFonts w:ascii="Arial" w:hAnsi="Arial" w:cs="Arial"/>
          <w:i/>
          <w:iCs/>
          <w:sz w:val="22"/>
          <w:szCs w:val="22"/>
          <w:lang w:val="en-US"/>
        </w:rPr>
        <w:t>JAK2</w:t>
      </w:r>
      <w:r w:rsidR="00134514" w:rsidRPr="00134514">
        <w:rPr>
          <w:rFonts w:ascii="Arial" w:hAnsi="Arial" w:cs="Arial"/>
          <w:sz w:val="22"/>
          <w:szCs w:val="22"/>
          <w:lang w:val="en-US"/>
        </w:rPr>
        <w:t xml:space="preserve"> </w:t>
      </w:r>
      <w:r w:rsidRPr="00134514">
        <w:rPr>
          <w:rFonts w:ascii="Arial" w:hAnsi="Arial" w:cs="Arial"/>
          <w:sz w:val="22"/>
          <w:szCs w:val="22"/>
          <w:lang w:val="en-US"/>
        </w:rPr>
        <w:t>V617F</w:t>
      </w:r>
      <w:r w:rsidR="00631B3F">
        <w:rPr>
          <w:rFonts w:ascii="Arial" w:hAnsi="Arial" w:cs="Arial"/>
          <w:sz w:val="22"/>
          <w:szCs w:val="22"/>
          <w:lang w:val="en-US"/>
        </w:rPr>
        <w:t xml:space="preserve"> </w:t>
      </w:r>
      <w:r w:rsidR="00631B3F">
        <w:rPr>
          <w:rFonts w:ascii="Arial" w:hAnsi="Arial" w:cs="Arial"/>
          <w:sz w:val="22"/>
          <w:szCs w:val="22"/>
          <w:lang w:val="en-US"/>
        </w:rPr>
        <w:fldChar w:fldCharType="begin"/>
      </w:r>
      <w:r w:rsidR="00631B3F">
        <w:rPr>
          <w:rFonts w:ascii="Arial" w:hAnsi="Arial" w:cs="Arial"/>
          <w:sz w:val="22"/>
          <w:szCs w:val="22"/>
          <w:lang w:val="en-US"/>
        </w:rPr>
        <w:instrText xml:space="preserve"> ADDIN ZOTERO_ITEM CSL_CITATION {"citationID":"5gNRYVC9","properties":{"formattedCitation":"(Baxter et al., 2005; James et al., 2005; Kralovics et al., 2005; Levine et al., 2005)","plainCitation":"(Baxter et al., 2005; James et al., 2005; Kralovics et al., 2005; Levine et al., 2005)","noteIndex":0},"citationItems":[{"id":1201,"uris":["http://zotero.org/users/2484452/items/VD9PXHPF"],"uri":["http://zotero.org/users/2484452/items/VD9PXHPF"],"itemData":{"id":1201,"type":"article-journal","abstract":"BACKGROUND: Human myeloproliferative disorders form a range of clonal haematological malignant diseases, the main members of which are polycythaemia vera, essential thrombocythaemia, and idiopathic myelofibrosis. The molecular pathogenesis of these disorders is unknown, but tyrosine kinases have been implicated in several related disorders. We investigated the role of the cytoplasmic tyrosine kinase JAK2 in patients with a myeloproliferative disorder.\nMETHODS: We obtained DNA samples from patients with polycythaemia vera, essential thrombocythaemia, or idiopathic myelofibrosis. The coding exons of JAK2 were bidirectionally sequenced from peripheral-blood granulocytes, T cells, or both. Allele-specific PCR, molecular cytogenetic studies, microsatellite PCR, Affymetrix single nucleotide polymorphism array analyses, and colony assays were undertaken on subgroups of patients.\nFINDINGS: A single point mutation (Val617Phe) was identified in JAK2 in 71 (97%) of 73 patients with polycythaemia vera, 29 (57%) of 51 with essential thrombocythaemia, and eight (50%) of 16 with idiopathic myelofibrosis. The mutation is acquired, is present in a variable proportion of granulocytes, alters a highly conserved valine present in the negative regulatory JH2 domain, and is predicted to dysregulate kinase activity. It was heterozygous in most patients, homozygous in a subset as a result of mitotic recombination, and arose in a multipotent progenitor capable of giving rise to erythroid and myeloid cells. The mutation was present in all erythropoietin-independent erythroid colonies.\nINTERPRETATION: A single acquired mutation of JAK2 was noted in more than half of patients with a myeloproliferative disorder. Its presence in all erythropoietin-independent erythroid colonies demonstrates a link with growth factor hypersensitivity, a key biological feature of these disorders.\nRELEVANCE TO PRACTICE: Identification of the Val617Phe JAK2 mutation lays the foundation for new approaches to the diagnosis, classification, and treatment of myeloproliferative disorders.","container-title":"Lancet (London, England)","DOI":"10.1016/S0140-6736(05)71142-9","ISSN":"1474-547X","issue":"9464","journalAbbreviation":"Lancet","language":"eng","note":"PMID: 15781101","page":"1054-1061","source":"PubMed","title":"Acquired mutation of the tyrosine kinase JAK2 in human myeloproliferative disorders","volume":"365","author":[{"family":"Baxter","given":"E. Joanna"},{"family":"Scott","given":"Linda M."},{"family":"Campbell","given":"Peter J."},{"family":"East","given":"Clare"},{"family":"Fourouclas","given":"Nasios"},{"family":"Swanton","given":"Soheila"},{"family":"Vassiliou","given":"George S."},{"family":"Bench","given":"Anthony J."},{"family":"Boyd","given":"Elaine M."},{"family":"Curtin","given":"Natasha"},{"family":"Scott","given":"Mike A."},{"family":"Erber","given":"Wendy N."},{"family":"Green","given":"Anthony R."},{"literal":"Cancer Genome Project"}],"issued":{"date-parts":[["2005",3,19]]}}},{"id":1203,"uris":["http://zotero.org/users/2484452/items/ZHWB5HBN"],"uri":["http://zotero.org/users/2484452/items/ZHWB5HBN"],"itemData":{"id":1203,"type":"article-journal","abstract":"Myeloproliferative disorders are clonal haematopoietic stem cell malignancies characterized by independency or hypersensitivity of haematopoietic progenitors to numerous cytokines. The molecular basis of most myeloproliferative disorders is unknown. On the basis of the model of chronic myeloid leukaemia, it is expected that a constitutive tyrosine kinase activity could be at the origin of these diseases. Polycythaemia vera is an acquired myeloproliferative disorder, characterized by the presence of polycythaemia diversely associated with thrombocytosis, leukocytosis and splenomegaly. Polycythaemia vera progenitors are hypersensitive to erythropoietin and other cytokines. Here, we describe a clonal and recurrent mutation in the JH2 pseudo-kinase domain of the Janus kinase 2 (JAK2) gene in most (&gt; 80%) polycythaemia vera patients. The mutation, a valine-to-phenylalanine substitution at amino acid position 617, leads to constitutive tyrosine phosphorylation activity that promotes cytokine hypersensitivity and induces erythrocytosis in a mouse model. As this mutation is also found in other myeloproliferative disorders, this unique mutation will permit a new molecular classification of these disorders and novel therapeutical approaches.","container-title":"Nature","DOI":"10.1038/nature03546","ISSN":"1476-4687","issue":"7037","journalAbbreviation":"Nature","language":"eng","note":"PMID: 15793561","page":"1144-1148","source":"PubMed","title":"A unique clonal JAK2 mutation leading to constitutive signalling causes polycythaemia vera","volume":"434","author":[{"family":"James","given":"Chloé"},{"family":"Ugo","given":"Valérie"},{"family":"Le Couédic","given":"Jean-Pierre"},{"family":"Staerk","given":"Judith"},{"family":"Delhommeau","given":"François"},{"family":"Lacout","given":"Catherine"},{"family":"Garçon","given":"Loïc"},{"family":"Raslova","given":"Hana"},{"family":"Berger","given":"Roland"},{"family":"Bennaceur-Griscelli","given":"Annelise"},{"family":"Villeval","given":"Jean Luc"},{"family":"Constantinescu","given":"Stefan N."},{"family":"Casadevall","given":"Nicole"},{"family":"Vainchenker","given":"William"}],"issued":{"date-parts":[["2005",4,28]]}}},{"id":1205,"uris":["http://zotero.org/users/2484452/items/AGJ93UFH"],"uri":["http://zotero.org/users/2484452/items/AGJ93UFH"],"itemData":{"id":1205,"type":"article-journal","abstract":"BACKGROUND: Polycythemia vera, essential thrombocythemia, and idiopathic myelofibrosis are clonal myeloproliferative disorders arising from a multipotent progenitor. The loss of heterozygosity (LOH) on the short arm of chromosome 9 (9pLOH) in myeloproliferative disorders suggests that 9p harbors a mutation that contributes to the cause of clonal expansion of hematopoietic cells in these diseases.\nMETHODS: We performed microsatellite mapping of the 9pLOH region and DNA sequencing in 244 patients with myeloproliferative disorders (128 with polycythemia vera, 93 with essential thrombocythemia, and 23 with idiopathic myelofibrosis).\nRESULTS: Microsatellite mapping identified a 9pLOH region that included the Janus kinase 2 (JAK2) gene. In patients with 9pLOH, JAK2 had a homozygous G--&gt;T transversion, causing phenylalanine to be substituted for valine at position 617 of JAK2 (V617F). All 51 patients with 9pLOH had the V617F mutation. Of 193 patients without 9pLOH, 66 were heterozygous for V617F and 127 did not have the mutation. The frequency of V617F was 65 percent among patients with polycythemia vera (83 of 128), 57 percent among patients with idiopathic myelofibrosis (13 of 23), and 23 percent among patients with essential thrombocythemia (21 of 93). V617F is a somatic mutation present in hematopoietic cells. Mitotic recombination probably causes both 9pLOH and the transition from heterozygosity to homozygosity for V617F. Genetic evidence and in vitro functional studies indicate that V617F gives hematopoietic precursors proliferative and survival advantages. Patients with the V617F mutation had a significantly longer duration of disease and a higher rate of complications (fibrosis, hemorrhage, and thrombosis) and treatment with cytoreductive therapy than patients with wild-type JAK2.\nCONCLUSIONS: A high proportion of patients with myeloproliferative disorders carry a dominant gain-of-function mutation of JAK2.","container-title":"The New England Journal of Medicine","DOI":"10.1056/NEJMoa051113","ISSN":"1533-4406","issue":"17","journalAbbreviation":"N. Engl. J. Med.","language":"eng","note":"PMID: 15858187","page":"1779-1790","source":"PubMed","title":"A gain-of-function mutation of JAK2 in myeloproliferative disorders","volume":"352","author":[{"family":"Kralovics","given":"Robert"},{"family":"Passamonti","given":"Francesco"},{"family":"Buser","given":"Andreas S."},{"family":"Teo","given":"Soon-Siong"},{"family":"Tiedt","given":"Ralph"},{"family":"Passweg","given":"Jakob R."},{"family":"Tichelli","given":"Andre"},{"family":"Cazzola","given":"Mario"},{"family":"Skoda","given":"Radek C."}],"issued":{"date-parts":[["2005",4,28]]}}},{"id":1208,"uris":["http://zotero.org/users/2484452/items/IWR72BL8"],"uri":["http://zotero.org/users/2484452/items/IWR72BL8"],"itemData":{"id":1208,"type":"article-journal","abstract":"Polycythemia vera (PV), essential thrombocythemia (ET), and myeloid metaplasia with myelofibrosis (MMM) are clonal disorders arising from hematopoietic progenitors. An internet-based protocol was used to collect clinical information and biological specimens from patients with these diseases. High-throughput DNA resequencing identified a recurrent somatic missense mutation JAK2V617F in granulocyte DNA samples of 121 of 164 PV patients, of which 41 had homozygous and 80 had heterozygous mutations. Molecular and cytogenetic analyses demonstrated that homozygous mutations were due to duplication of the mutant allele. JAK2V617F was also identified in granulocyte DNA samples from 37 of 115 ET and 16 of 46 MMM patients, but was not observed in 269 normal individuals. In vitro analysis demonstrated that JAK2V617F is a constitutively active tyrosine kinase.","container-title":"Cancer Cell","DOI":"10.1016/j.ccr.2005.03.023","ISSN":"1535-6108","issue":"4","journalAbbreviation":"Cancer Cell","language":"eng","note":"PMID: 15837627","page":"387-397","source":"PubMed","title":"Activating mutation in the tyrosine kinase JAK2 in polycythemia vera, essential thrombocythemia, and myeloid metaplasia with myelofibrosis","volume":"7","author":[{"family":"Levine","given":"Ross L."},{"family":"Wadleigh","given":"Martha"},{"family":"Cools","given":"Jan"},{"family":"Ebert","given":"Benjamin L."},{"family":"Wernig","given":"Gerlinde"},{"family":"Huntly","given":"Brian J. P."},{"family":"Boggon","given":"Titus J."},{"family":"Wlodarska","given":"Iwona"},{"family":"Clark","given":"Jennifer J."},{"family":"Moore","given":"Sandra"},{"family":"Adelsperger","given":"Jennifer"},{"family":"Koo","given":"Sumin"},{"family":"Lee","given":"Jeffrey C."},{"family":"Gabriel","given":"Stacey"},{"family":"Mercher","given":"Thomas"},{"family":"D'Andrea","given":"Alan"},{"family":"Fröhling","given":"Stefan"},{"family":"Döhner","given":"Konstanze"},{"family":"Marynen","given":"Peter"},{"family":"Vandenberghe","given":"Peter"},{"family":"Mesa","given":"Ruben A."},{"family":"Tefferi","given":"Ayalew"},{"family":"Griffin","given":"James D."},{"family":"Eck","given":"Michael J."},{"family":"Sellers","given":"William R."},{"family":"Meyerson","given":"Matthew"},{"family":"Golub","given":"Todd R."},{"family":"Lee","given":"Stephanie J."},{"family":"Gilliland","given":"D. Gary"}],"issued":{"date-parts":[["2005",4]]}}}],"schema":"https://github.com/citation-style-language/schema/raw/master/csl-citation.json"} </w:instrText>
      </w:r>
      <w:r w:rsidR="00631B3F">
        <w:rPr>
          <w:rFonts w:ascii="Arial" w:hAnsi="Arial" w:cs="Arial"/>
          <w:sz w:val="22"/>
          <w:szCs w:val="22"/>
          <w:lang w:val="en-US"/>
        </w:rPr>
        <w:fldChar w:fldCharType="separate"/>
      </w:r>
      <w:r w:rsidR="00631B3F">
        <w:rPr>
          <w:rFonts w:ascii="Arial" w:hAnsi="Arial" w:cs="Arial"/>
          <w:noProof/>
          <w:sz w:val="22"/>
          <w:szCs w:val="22"/>
          <w:lang w:val="en-US"/>
        </w:rPr>
        <w:t>(Baxter et al., 2005; James et al., 2005; Kralovics et al., 2005; Levine et al., 2005)</w:t>
      </w:r>
      <w:r w:rsidR="00631B3F">
        <w:rPr>
          <w:rFonts w:ascii="Arial" w:hAnsi="Arial" w:cs="Arial"/>
          <w:sz w:val="22"/>
          <w:szCs w:val="22"/>
          <w:lang w:val="en-US"/>
        </w:rPr>
        <w:fldChar w:fldCharType="end"/>
      </w:r>
      <w:r w:rsidRPr="00134514">
        <w:rPr>
          <w:rFonts w:ascii="Arial" w:hAnsi="Arial" w:cs="Arial"/>
          <w:sz w:val="22"/>
          <w:szCs w:val="22"/>
          <w:lang w:val="en-US"/>
        </w:rPr>
        <w:t xml:space="preserve">, with </w:t>
      </w:r>
      <w:r w:rsidR="00AC09F9">
        <w:rPr>
          <w:rFonts w:ascii="Arial" w:hAnsi="Arial" w:cs="Arial"/>
          <w:sz w:val="22"/>
          <w:szCs w:val="22"/>
          <w:lang w:val="en-US"/>
        </w:rPr>
        <w:t xml:space="preserve">predominant </w:t>
      </w:r>
      <w:r w:rsidRPr="00134514">
        <w:rPr>
          <w:rFonts w:ascii="Arial" w:hAnsi="Arial" w:cs="Arial"/>
          <w:sz w:val="22"/>
          <w:szCs w:val="22"/>
          <w:lang w:val="en-US"/>
        </w:rPr>
        <w:t xml:space="preserve">frequency </w:t>
      </w:r>
      <w:r w:rsidR="00AC09F9">
        <w:rPr>
          <w:rFonts w:ascii="Arial" w:hAnsi="Arial" w:cs="Arial"/>
          <w:sz w:val="22"/>
          <w:szCs w:val="22"/>
          <w:lang w:val="en-US"/>
        </w:rPr>
        <w:t>of</w:t>
      </w:r>
      <w:r w:rsidR="00AC09F9" w:rsidRPr="00AC09F9">
        <w:rPr>
          <w:rFonts w:ascii="Arial" w:hAnsi="Arial" w:cs="Arial"/>
          <w:sz w:val="22"/>
          <w:szCs w:val="22"/>
          <w:lang w:val="en-US"/>
        </w:rPr>
        <w:t xml:space="preserve"> approximately 95% of patients </w:t>
      </w:r>
      <w:r w:rsidR="00AC09F9">
        <w:rPr>
          <w:rFonts w:ascii="Arial" w:hAnsi="Arial" w:cs="Arial"/>
          <w:sz w:val="22"/>
          <w:szCs w:val="22"/>
          <w:lang w:val="en-US"/>
        </w:rPr>
        <w:t>in</w:t>
      </w:r>
      <w:r w:rsidR="00AC09F9" w:rsidRPr="00AC09F9">
        <w:rPr>
          <w:rFonts w:ascii="Arial" w:hAnsi="Arial" w:cs="Arial"/>
          <w:sz w:val="22"/>
          <w:szCs w:val="22"/>
          <w:lang w:val="en-US"/>
        </w:rPr>
        <w:t xml:space="preserve"> PV, it is also detectable in about 50% of patients with ET</w:t>
      </w:r>
      <w:r w:rsidR="00AC09F9">
        <w:rPr>
          <w:rFonts w:ascii="Arial" w:hAnsi="Arial" w:cs="Arial"/>
          <w:sz w:val="22"/>
          <w:szCs w:val="22"/>
          <w:lang w:val="en-US"/>
        </w:rPr>
        <w:t xml:space="preserve"> and</w:t>
      </w:r>
      <w:r w:rsidR="00AC09F9" w:rsidRPr="00AC09F9">
        <w:rPr>
          <w:rFonts w:ascii="Arial" w:hAnsi="Arial" w:cs="Arial"/>
          <w:sz w:val="22"/>
          <w:szCs w:val="22"/>
          <w:lang w:val="en-US"/>
        </w:rPr>
        <w:t xml:space="preserve"> PMF</w:t>
      </w:r>
      <w:r w:rsidR="00AC09F9">
        <w:rPr>
          <w:rFonts w:ascii="Arial" w:hAnsi="Arial" w:cs="Arial"/>
          <w:sz w:val="22"/>
          <w:szCs w:val="22"/>
          <w:lang w:val="en-US"/>
        </w:rPr>
        <w:t xml:space="preserve"> </w:t>
      </w:r>
      <w:r w:rsidR="00631B3F">
        <w:rPr>
          <w:rFonts w:ascii="Arial" w:hAnsi="Arial" w:cs="Arial"/>
          <w:sz w:val="22"/>
          <w:szCs w:val="22"/>
          <w:lang w:val="en-US"/>
        </w:rPr>
        <w:fldChar w:fldCharType="begin"/>
      </w:r>
      <w:r w:rsidR="00631B3F">
        <w:rPr>
          <w:rFonts w:ascii="Arial" w:hAnsi="Arial" w:cs="Arial"/>
          <w:sz w:val="22"/>
          <w:szCs w:val="22"/>
          <w:lang w:val="en-US"/>
        </w:rPr>
        <w:instrText xml:space="preserve"> ADDIN ZOTERO_ITEM CSL_CITATION {"citationID":"GJVtmscC","properties":{"formattedCitation":"(Tefferi, 2016)","plainCitation":"(Tefferi, 2016)","noteIndex":0},"citationItems":[{"id":816,"uris":["http://zotero.org/users/2484452/items/8BX7SEPG"],"uri":["http://zotero.org/users/2484452/items/8BX7SEPG"],"itemData":{"id":816,"type":"article-journal","abstract":"Myeloproliferative neoplasms (MPN) are clonal stem cell diseases, first conceptualized in 1951 by William Dameshek, and historically included chronic myeloid leukemia (CML), polycythemia vera (PV), essential thrombocythemia (ET), and primary myelofibrosis (PMF). In 1960, Nowell and Hungerford discovered an invariable association between the Philadelphia chromosome (subsequently shown to harbor the causal BCR-ABL1 mutation) and CML; accordingly, the term MPN is primarily reserved for PV, ET, and PMF, although it includes other related clinicopathologic entities, according to the World Health Organization (WHO) classification system. In 2005, William Vainchenker and others described a Janus kinase 2 mutation (JAK2V617F) in MPN and this was followed by a series of additional descriptions of mutations that directly or indirectly activate JAK-STAT: JAK2 exon 12, myeloproliferative leukemia virus oncogene (MPL) and calreticulin (CALR) mutations. The discovery of these, mostly mutually exclusive, \"driver\" mutations has contributed to revisions of the WHO diagnostic criteria and risk stratification in MPN. Mutations other than JAK2, CALR and MPL have also been described in MPN and shown to provide additional prognostic information. From the standpoint of treatment, over the last 50 years, Louis Wasserman from the Unites States and Tiziano Barbui from Italy had skillfully organized and led a number of important clinical trials, whose results form the basis for current treatment strategies in MPN. More recently, allogeneic stem cell transplant, as a potentially curative treatment modality, and JAK inhibitors, as palliative drugs, have been added to the overall therapeutic armamentarium in myelofibrosis. In the current review, I will summarize the important advances made in the last 10 years regarding the science and practice of MPN.","container-title":"American Journal of Hematology","DOI":"10.1002/ajh.24221","ISSN":"1096-8652","issue":"1","journalAbbreviation":"Am. J. Hematol.","language":"eng","note":"PMID: 26492355","page":"50-58","source":"PubMed","title":"Myeloproliferative neoplasms: A decade of discoveries and treatment advances","title-short":"Myeloproliferative neoplasms","volume":"91","author":[{"family":"Tefferi","given":"Ayalew"}],"issued":{"date-parts":[["2016",1]]}}}],"schema":"https://github.com/citation-style-language/schema/raw/master/csl-citation.json"} </w:instrText>
      </w:r>
      <w:r w:rsidR="00631B3F">
        <w:rPr>
          <w:rFonts w:ascii="Arial" w:hAnsi="Arial" w:cs="Arial"/>
          <w:sz w:val="22"/>
          <w:szCs w:val="22"/>
          <w:lang w:val="en-US"/>
        </w:rPr>
        <w:fldChar w:fldCharType="separate"/>
      </w:r>
      <w:r w:rsidR="00631B3F">
        <w:rPr>
          <w:rFonts w:ascii="Arial" w:hAnsi="Arial" w:cs="Arial"/>
          <w:noProof/>
          <w:sz w:val="22"/>
          <w:szCs w:val="22"/>
          <w:lang w:val="en-US"/>
        </w:rPr>
        <w:t>(Tefferi, 2016)</w:t>
      </w:r>
      <w:r w:rsidR="00631B3F">
        <w:rPr>
          <w:rFonts w:ascii="Arial" w:hAnsi="Arial" w:cs="Arial"/>
          <w:sz w:val="22"/>
          <w:szCs w:val="22"/>
          <w:lang w:val="en-US"/>
        </w:rPr>
        <w:fldChar w:fldCharType="end"/>
      </w:r>
      <w:r w:rsidRPr="00134514">
        <w:rPr>
          <w:rFonts w:ascii="Arial" w:hAnsi="Arial" w:cs="Arial"/>
          <w:sz w:val="22"/>
          <w:szCs w:val="22"/>
          <w:lang w:val="en-US"/>
        </w:rPr>
        <w:t xml:space="preserve">. </w:t>
      </w:r>
      <w:r w:rsidR="00AC09F9">
        <w:rPr>
          <w:rFonts w:ascii="Arial" w:hAnsi="Arial" w:cs="Arial"/>
          <w:sz w:val="22"/>
          <w:szCs w:val="22"/>
          <w:lang w:val="en-US"/>
        </w:rPr>
        <w:t>Virtually all clinical entities of MPN are also characterized by systemic inflammatory signaling</w:t>
      </w:r>
      <w:r w:rsidR="00016503">
        <w:rPr>
          <w:rFonts w:ascii="Arial" w:hAnsi="Arial" w:cs="Arial"/>
          <w:sz w:val="22"/>
          <w:szCs w:val="22"/>
          <w:lang w:val="en-US"/>
        </w:rPr>
        <w:t>. Recent studies suggest</w:t>
      </w:r>
      <w:r w:rsidR="00016503" w:rsidRPr="00016503">
        <w:rPr>
          <w:rFonts w:ascii="Arial" w:hAnsi="Arial" w:cs="Arial"/>
          <w:sz w:val="22"/>
          <w:szCs w:val="22"/>
          <w:lang w:val="en-US"/>
        </w:rPr>
        <w:t xml:space="preserve"> </w:t>
      </w:r>
      <w:r w:rsidR="00016503">
        <w:rPr>
          <w:rFonts w:ascii="Arial" w:hAnsi="Arial" w:cs="Arial"/>
          <w:sz w:val="22"/>
          <w:szCs w:val="22"/>
          <w:lang w:val="en-US"/>
        </w:rPr>
        <w:t xml:space="preserve">that </w:t>
      </w:r>
      <w:r w:rsidR="00016503" w:rsidRPr="00016503">
        <w:rPr>
          <w:rFonts w:ascii="Arial" w:hAnsi="Arial" w:cs="Arial"/>
          <w:sz w:val="22"/>
          <w:szCs w:val="22"/>
          <w:lang w:val="en-US"/>
        </w:rPr>
        <w:t xml:space="preserve">inflammation may be </w:t>
      </w:r>
      <w:r w:rsidR="00016503">
        <w:rPr>
          <w:rFonts w:ascii="Arial" w:hAnsi="Arial" w:cs="Arial"/>
          <w:sz w:val="22"/>
          <w:szCs w:val="22"/>
          <w:lang w:val="en-US"/>
        </w:rPr>
        <w:t>not only a consequence of malignant propagation of a clone but also</w:t>
      </w:r>
      <w:r w:rsidR="00016503" w:rsidRPr="00016503">
        <w:rPr>
          <w:rFonts w:ascii="Arial" w:hAnsi="Arial" w:cs="Arial"/>
          <w:sz w:val="22"/>
          <w:szCs w:val="22"/>
          <w:lang w:val="en-US"/>
        </w:rPr>
        <w:t xml:space="preserve"> important driving force </w:t>
      </w:r>
      <w:r w:rsidR="00016503">
        <w:rPr>
          <w:rFonts w:ascii="Arial" w:hAnsi="Arial" w:cs="Arial"/>
          <w:sz w:val="22"/>
          <w:szCs w:val="22"/>
          <w:lang w:val="en-US"/>
        </w:rPr>
        <w:t>of</w:t>
      </w:r>
      <w:r w:rsidR="00016503" w:rsidRPr="00016503">
        <w:rPr>
          <w:rFonts w:ascii="Arial" w:hAnsi="Arial" w:cs="Arial"/>
          <w:sz w:val="22"/>
          <w:szCs w:val="22"/>
          <w:lang w:val="en-US"/>
        </w:rPr>
        <w:t xml:space="preserve"> clonal evolution and disease progression</w:t>
      </w:r>
      <w:r w:rsidR="000050AC">
        <w:rPr>
          <w:rFonts w:ascii="Arial" w:hAnsi="Arial" w:cs="Arial"/>
          <w:sz w:val="22"/>
          <w:szCs w:val="22"/>
          <w:lang w:val="en-US"/>
        </w:rPr>
        <w:t xml:space="preserve"> </w:t>
      </w:r>
      <w:r w:rsidR="000050AC">
        <w:rPr>
          <w:rFonts w:ascii="Arial" w:hAnsi="Arial" w:cs="Arial"/>
          <w:sz w:val="22"/>
          <w:szCs w:val="22"/>
          <w:lang w:val="en-US"/>
        </w:rPr>
        <w:fldChar w:fldCharType="begin"/>
      </w:r>
      <w:r w:rsidR="000050AC">
        <w:rPr>
          <w:rFonts w:ascii="Arial" w:hAnsi="Arial" w:cs="Arial"/>
          <w:sz w:val="22"/>
          <w:szCs w:val="22"/>
          <w:lang w:val="en-US"/>
        </w:rPr>
        <w:instrText xml:space="preserve"> ADDIN ZOTERO_ITEM CSL_CITATION {"citationID":"A5PBTBfc","properties":{"formattedCitation":"(Hasselbalch et al., 2015)","plainCitation":"(Hasselbalch et al., 2015)","noteIndex":0},"citationItems":[{"id":19,"uris":["http://zotero.org/users/2484452/items/X7HM8NQB"],"uri":["http://zotero.org/users/2484452/items/X7HM8NQB"],"itemData":{"id":19,"type":"article-journal","abstract":"In recent years the evidence is increasing that chronic inflammation may be an important driving force for clonal evolution and disease progression in the Philadelphia-negative myeloproliferative neoplasms (MPNs), essential thrombocythemia (ET), polycythemia vera (PV), and myelofibrosis (MF). Abnormal expression and activity of a number of proinflammatory cytokines are associated with MPNs, in particular MF, in which immune dysregulation is pronounced as evidenced by dysregulation of several immune and inflammation genes. In addition, chronic inflammation has been suggested to contribute to the development of premature atherosclerosis and may drive the development of other cancers in MPNs, both nonhematologic and hematologic. The MPN population has a substantial inflammation-mediated comorbidity burden. This review describes the evidence for considering the MPNs as inflammatory diseases, A Human Inflammation Model of Cancer Development, and the role of cytokines in disease initiation and progression. The consequences of this model are discussed, including the increased risk of second cancers and other inflammation-mediated diseases, emphasizing the urgent need for rethinking our therapeutic approach. Early intervention with interferon-alpha2, which as monotherapy has been shown to be able to induce minimal residual disease, in combination with potent anti-inflammatory agents such as JAK-inhibitors is foreseen as the most promising new treatment modality in the years to come.","container-title":"Mediators of Inflammation","DOI":"10.1155/2015/102476","ISSN":"0962-9351","language":"en","page":"e102476","source":"www.hindawi.com","title":"MPNs as Inflammatory Diseases: The Evidence, Consequences, and Perspectives","title-short":"MPNs as Inflammatory Diseases","volume":"2015","author":[{"family":"Hasselbalch","given":"Hans Carl"},{"family":"Bjørn","given":""},{"family":"Rn","given":"Mads Emil"}],"issued":{"date-parts":[["2015",10,28]]}}}],"schema":"https://github.com/citation-style-language/schema/raw/master/csl-citation.json"} </w:instrText>
      </w:r>
      <w:r w:rsidR="000050AC">
        <w:rPr>
          <w:rFonts w:ascii="Arial" w:hAnsi="Arial" w:cs="Arial"/>
          <w:sz w:val="22"/>
          <w:szCs w:val="22"/>
          <w:lang w:val="en-US"/>
        </w:rPr>
        <w:fldChar w:fldCharType="separate"/>
      </w:r>
      <w:r w:rsidR="000050AC">
        <w:rPr>
          <w:rFonts w:ascii="Arial" w:hAnsi="Arial" w:cs="Arial"/>
          <w:noProof/>
          <w:sz w:val="22"/>
          <w:szCs w:val="22"/>
          <w:lang w:val="en-US"/>
        </w:rPr>
        <w:t>(Hasselbalch et al., 2015)</w:t>
      </w:r>
      <w:r w:rsidR="000050AC">
        <w:rPr>
          <w:rFonts w:ascii="Arial" w:hAnsi="Arial" w:cs="Arial"/>
          <w:sz w:val="22"/>
          <w:szCs w:val="22"/>
          <w:lang w:val="en-US"/>
        </w:rPr>
        <w:fldChar w:fldCharType="end"/>
      </w:r>
      <w:r w:rsidR="00B2018B">
        <w:rPr>
          <w:rFonts w:ascii="Arial" w:hAnsi="Arial" w:cs="Arial"/>
          <w:sz w:val="22"/>
          <w:szCs w:val="22"/>
          <w:lang w:val="en-US"/>
        </w:rPr>
        <w:t>.</w:t>
      </w:r>
      <w:r w:rsidR="00016503">
        <w:rPr>
          <w:rFonts w:ascii="Arial" w:hAnsi="Arial" w:cs="Arial"/>
          <w:sz w:val="22"/>
          <w:szCs w:val="22"/>
          <w:lang w:val="en-US"/>
        </w:rPr>
        <w:t xml:space="preserve"> V</w:t>
      </w:r>
      <w:r w:rsidR="00AC09F9">
        <w:rPr>
          <w:rFonts w:ascii="Arial" w:hAnsi="Arial" w:cs="Arial"/>
          <w:sz w:val="22"/>
          <w:szCs w:val="22"/>
          <w:lang w:val="en-US"/>
        </w:rPr>
        <w:t>arious questions of MPN disease biology</w:t>
      </w:r>
      <w:r w:rsidR="000D3A95">
        <w:rPr>
          <w:rFonts w:ascii="Arial" w:hAnsi="Arial" w:cs="Arial"/>
          <w:sz w:val="22"/>
          <w:szCs w:val="22"/>
          <w:lang w:val="en-US"/>
        </w:rPr>
        <w:t>,</w:t>
      </w:r>
      <w:r w:rsidR="00AC09F9">
        <w:rPr>
          <w:rFonts w:ascii="Arial" w:hAnsi="Arial" w:cs="Arial"/>
          <w:sz w:val="22"/>
          <w:szCs w:val="22"/>
          <w:lang w:val="en-US"/>
        </w:rPr>
        <w:t xml:space="preserve"> </w:t>
      </w:r>
      <w:r w:rsidR="00016503">
        <w:rPr>
          <w:rFonts w:ascii="Arial" w:hAnsi="Arial" w:cs="Arial"/>
          <w:sz w:val="22"/>
          <w:szCs w:val="22"/>
          <w:lang w:val="en-US"/>
        </w:rPr>
        <w:t>however</w:t>
      </w:r>
      <w:r w:rsidR="000D3A95">
        <w:rPr>
          <w:rFonts w:ascii="Arial" w:hAnsi="Arial" w:cs="Arial"/>
          <w:sz w:val="22"/>
          <w:szCs w:val="22"/>
          <w:lang w:val="en-US"/>
        </w:rPr>
        <w:t>,</w:t>
      </w:r>
      <w:r w:rsidR="00016503">
        <w:rPr>
          <w:rFonts w:ascii="Arial" w:hAnsi="Arial" w:cs="Arial"/>
          <w:sz w:val="22"/>
          <w:szCs w:val="22"/>
          <w:lang w:val="en-US"/>
        </w:rPr>
        <w:t xml:space="preserve"> </w:t>
      </w:r>
      <w:r w:rsidR="00AC09F9">
        <w:rPr>
          <w:rFonts w:ascii="Arial" w:hAnsi="Arial" w:cs="Arial"/>
          <w:sz w:val="22"/>
          <w:szCs w:val="22"/>
          <w:lang w:val="en-US"/>
        </w:rPr>
        <w:t xml:space="preserve">remain open, including how </w:t>
      </w:r>
      <w:r w:rsidR="000D3A95">
        <w:rPr>
          <w:rFonts w:ascii="Arial" w:hAnsi="Arial" w:cs="Arial"/>
          <w:sz w:val="22"/>
          <w:szCs w:val="22"/>
          <w:lang w:val="en-US"/>
        </w:rPr>
        <w:t xml:space="preserve">MPN progenitors </w:t>
      </w:r>
      <w:r w:rsidR="00016503">
        <w:rPr>
          <w:rFonts w:ascii="Arial" w:hAnsi="Arial" w:cs="Arial"/>
          <w:sz w:val="22"/>
          <w:szCs w:val="22"/>
          <w:lang w:val="en-US"/>
        </w:rPr>
        <w:t xml:space="preserve">are able to cope and proliferate in inflammatory microenvironment and </w:t>
      </w:r>
      <w:r w:rsidR="000D3A95">
        <w:rPr>
          <w:rFonts w:ascii="Arial" w:hAnsi="Arial" w:cs="Arial"/>
          <w:sz w:val="22"/>
          <w:szCs w:val="22"/>
          <w:lang w:val="en-US"/>
        </w:rPr>
        <w:t xml:space="preserve">maintain the </w:t>
      </w:r>
      <w:r w:rsidR="00016503">
        <w:rPr>
          <w:rFonts w:ascii="Arial" w:hAnsi="Arial" w:cs="Arial"/>
          <w:sz w:val="22"/>
          <w:szCs w:val="22"/>
          <w:lang w:val="en-US"/>
        </w:rPr>
        <w:t xml:space="preserve">previously described genome-wide stability. Furthermore, </w:t>
      </w:r>
      <w:r w:rsidR="00016503" w:rsidRPr="00016503">
        <w:rPr>
          <w:rFonts w:ascii="Arial" w:hAnsi="Arial" w:cs="Arial"/>
          <w:sz w:val="22"/>
          <w:szCs w:val="22"/>
          <w:lang w:val="en-US"/>
        </w:rPr>
        <w:t xml:space="preserve">how the identical </w:t>
      </w:r>
      <w:r w:rsidR="00016503" w:rsidRPr="00016503">
        <w:rPr>
          <w:rFonts w:ascii="Arial" w:hAnsi="Arial" w:cs="Arial"/>
          <w:i/>
          <w:iCs/>
          <w:sz w:val="22"/>
          <w:szCs w:val="22"/>
          <w:lang w:val="en-US"/>
        </w:rPr>
        <w:t>JAK2</w:t>
      </w:r>
      <w:r w:rsidR="00016503">
        <w:rPr>
          <w:rFonts w:ascii="Arial" w:hAnsi="Arial" w:cs="Arial"/>
          <w:sz w:val="22"/>
          <w:szCs w:val="22"/>
          <w:lang w:val="en-US"/>
        </w:rPr>
        <w:t xml:space="preserve"> </w:t>
      </w:r>
      <w:r w:rsidR="00016503" w:rsidRPr="00016503">
        <w:rPr>
          <w:rFonts w:ascii="Arial" w:hAnsi="Arial" w:cs="Arial"/>
          <w:sz w:val="22"/>
          <w:szCs w:val="22"/>
          <w:lang w:val="en-US"/>
        </w:rPr>
        <w:t>V617F mutation can cause distinct clinical entities</w:t>
      </w:r>
      <w:r w:rsidR="00016503">
        <w:rPr>
          <w:rFonts w:ascii="Arial" w:hAnsi="Arial" w:cs="Arial"/>
          <w:sz w:val="22"/>
          <w:szCs w:val="22"/>
          <w:lang w:val="en-US"/>
        </w:rPr>
        <w:t xml:space="preserve"> and how is the pegylated interferon alpha, the only therapy which is able to deliver complete molecular remission, able to selectively target the </w:t>
      </w:r>
      <w:r w:rsidR="00016503" w:rsidRPr="00016503">
        <w:rPr>
          <w:rFonts w:ascii="Arial" w:hAnsi="Arial" w:cs="Arial"/>
          <w:i/>
          <w:iCs/>
          <w:sz w:val="22"/>
          <w:szCs w:val="22"/>
          <w:lang w:val="en-US"/>
        </w:rPr>
        <w:t>JAK2</w:t>
      </w:r>
      <w:r w:rsidR="00016503">
        <w:rPr>
          <w:rFonts w:ascii="Arial" w:hAnsi="Arial" w:cs="Arial"/>
          <w:sz w:val="22"/>
          <w:szCs w:val="22"/>
          <w:lang w:val="en-US"/>
        </w:rPr>
        <w:t xml:space="preserve"> V617F disease initiating stem cell pool. </w:t>
      </w:r>
      <w:r w:rsidR="00492EC8">
        <w:rPr>
          <w:rFonts w:ascii="Arial" w:hAnsi="Arial" w:cs="Arial"/>
          <w:sz w:val="22"/>
          <w:szCs w:val="22"/>
          <w:lang w:val="en-US"/>
        </w:rPr>
        <w:t>We have</w:t>
      </w:r>
      <w:r w:rsidR="000D3A95">
        <w:rPr>
          <w:rFonts w:ascii="Arial" w:hAnsi="Arial" w:cs="Arial"/>
          <w:sz w:val="22"/>
          <w:szCs w:val="22"/>
          <w:lang w:val="en-US"/>
        </w:rPr>
        <w:t>,</w:t>
      </w:r>
      <w:r w:rsidR="00492EC8">
        <w:rPr>
          <w:rFonts w:ascii="Arial" w:hAnsi="Arial" w:cs="Arial"/>
          <w:sz w:val="22"/>
          <w:szCs w:val="22"/>
          <w:lang w:val="en-US"/>
        </w:rPr>
        <w:t xml:space="preserve"> therefore</w:t>
      </w:r>
      <w:r w:rsidR="000D3A95">
        <w:rPr>
          <w:rFonts w:ascii="Arial" w:hAnsi="Arial" w:cs="Arial"/>
          <w:sz w:val="22"/>
          <w:szCs w:val="22"/>
          <w:lang w:val="en-US"/>
        </w:rPr>
        <w:t>,</w:t>
      </w:r>
      <w:r w:rsidR="00492EC8">
        <w:rPr>
          <w:rFonts w:ascii="Arial" w:hAnsi="Arial" w:cs="Arial"/>
          <w:sz w:val="22"/>
          <w:szCs w:val="22"/>
          <w:lang w:val="en-US"/>
        </w:rPr>
        <w:t xml:space="preserve"> sought to contribute with here presented dataset to each of these question</w:t>
      </w:r>
      <w:r w:rsidR="000D3A95">
        <w:rPr>
          <w:rFonts w:ascii="Arial" w:hAnsi="Arial" w:cs="Arial"/>
          <w:sz w:val="22"/>
          <w:szCs w:val="22"/>
          <w:lang w:val="en-US"/>
        </w:rPr>
        <w:t>s.</w:t>
      </w:r>
    </w:p>
    <w:p w14:paraId="6A8CC356" w14:textId="77777777" w:rsidR="00C535CF" w:rsidRDefault="00C535CF" w:rsidP="008E0E62">
      <w:pPr>
        <w:spacing w:line="360" w:lineRule="auto"/>
        <w:jc w:val="both"/>
        <w:rPr>
          <w:rFonts w:ascii="Arial" w:hAnsi="Arial" w:cs="Arial"/>
          <w:sz w:val="22"/>
          <w:szCs w:val="22"/>
          <w:lang w:val="en-US"/>
        </w:rPr>
      </w:pPr>
    </w:p>
    <w:p w14:paraId="352EAB63" w14:textId="3E164426" w:rsidR="00C535CF" w:rsidRDefault="00492EC8" w:rsidP="00492EC8">
      <w:pPr>
        <w:spacing w:line="360" w:lineRule="auto"/>
        <w:jc w:val="both"/>
        <w:rPr>
          <w:rFonts w:ascii="Arial" w:hAnsi="Arial" w:cs="Arial"/>
          <w:sz w:val="22"/>
          <w:szCs w:val="22"/>
          <w:lang w:val="en-US"/>
        </w:rPr>
      </w:pPr>
      <w:r>
        <w:rPr>
          <w:rFonts w:ascii="Arial" w:hAnsi="Arial" w:cs="Arial"/>
          <w:sz w:val="22"/>
          <w:szCs w:val="22"/>
          <w:lang w:val="en-US"/>
        </w:rPr>
        <w:t>First, we</w:t>
      </w:r>
      <w:r w:rsidR="003F0F1C" w:rsidRPr="00134514">
        <w:rPr>
          <w:rFonts w:ascii="Arial" w:hAnsi="Arial" w:cs="Arial"/>
          <w:sz w:val="22"/>
          <w:szCs w:val="22"/>
          <w:lang w:val="en-US"/>
        </w:rPr>
        <w:t xml:space="preserve"> </w:t>
      </w:r>
      <w:r>
        <w:rPr>
          <w:rFonts w:ascii="Arial" w:hAnsi="Arial" w:cs="Arial"/>
          <w:sz w:val="22"/>
          <w:szCs w:val="22"/>
          <w:lang w:val="en-US"/>
        </w:rPr>
        <w:t xml:space="preserve">used </w:t>
      </w:r>
      <w:r w:rsidR="008E0E62" w:rsidRPr="00134514">
        <w:rPr>
          <w:rFonts w:ascii="Arial" w:hAnsi="Arial" w:cs="Arial"/>
          <w:sz w:val="22"/>
          <w:szCs w:val="22"/>
          <w:lang w:val="en-US"/>
        </w:rPr>
        <w:t xml:space="preserve">PV patient-specific iPSCs along with genetically modified </w:t>
      </w:r>
      <w:r w:rsidR="008E0E62" w:rsidRPr="009110D0">
        <w:rPr>
          <w:rFonts w:ascii="Arial" w:hAnsi="Arial" w:cs="Arial"/>
          <w:i/>
          <w:iCs/>
          <w:sz w:val="22"/>
          <w:szCs w:val="22"/>
          <w:lang w:val="en-US"/>
        </w:rPr>
        <w:t>JAK2</w:t>
      </w:r>
      <w:r w:rsidR="008E0E62">
        <w:rPr>
          <w:rFonts w:ascii="Arial" w:hAnsi="Arial" w:cs="Arial"/>
          <w:sz w:val="22"/>
          <w:szCs w:val="22"/>
          <w:lang w:val="en-US"/>
        </w:rPr>
        <w:t xml:space="preserve"> </w:t>
      </w:r>
      <w:r w:rsidR="008E0E62" w:rsidRPr="00134514">
        <w:rPr>
          <w:rFonts w:ascii="Arial" w:hAnsi="Arial" w:cs="Arial"/>
          <w:sz w:val="22"/>
          <w:szCs w:val="22"/>
          <w:lang w:val="en-US"/>
        </w:rPr>
        <w:t xml:space="preserve">V617F-positive or </w:t>
      </w:r>
      <w:r w:rsidR="008E0E62" w:rsidRPr="009110D0">
        <w:rPr>
          <w:rFonts w:ascii="Arial" w:hAnsi="Arial" w:cs="Arial"/>
          <w:i/>
          <w:iCs/>
          <w:sz w:val="22"/>
          <w:szCs w:val="22"/>
          <w:lang w:val="en-US"/>
        </w:rPr>
        <w:t>JAK2</w:t>
      </w:r>
      <w:r w:rsidR="008E0E62" w:rsidRPr="00134514">
        <w:rPr>
          <w:rFonts w:ascii="Arial" w:hAnsi="Arial" w:cs="Arial"/>
          <w:sz w:val="22"/>
          <w:szCs w:val="22"/>
          <w:lang w:val="en-US"/>
        </w:rPr>
        <w:t xml:space="preserve"> wildtype HEL cells as well as immunohistochemistry staining of</w:t>
      </w:r>
      <w:r w:rsidR="008E0E62" w:rsidRPr="003A5293">
        <w:rPr>
          <w:rFonts w:ascii="Arial" w:hAnsi="Arial" w:cs="Arial"/>
          <w:sz w:val="22"/>
          <w:szCs w:val="22"/>
          <w:lang w:val="en-US"/>
        </w:rPr>
        <w:t xml:space="preserve"> PV patients’ bone marrow </w:t>
      </w:r>
      <w:r w:rsidR="008E0E62" w:rsidRPr="00134514">
        <w:rPr>
          <w:rFonts w:ascii="Arial" w:hAnsi="Arial" w:cs="Arial"/>
          <w:sz w:val="22"/>
          <w:szCs w:val="22"/>
          <w:lang w:val="en-US"/>
        </w:rPr>
        <w:t xml:space="preserve">to investigate the hierarchy and consequences of inflammatory signature activation </w:t>
      </w:r>
      <w:r w:rsidR="008E0E62">
        <w:rPr>
          <w:rFonts w:ascii="Arial" w:hAnsi="Arial" w:cs="Arial"/>
          <w:sz w:val="22"/>
          <w:szCs w:val="22"/>
          <w:lang w:val="en-US"/>
        </w:rPr>
        <w:t>in PV</w:t>
      </w:r>
      <w:r>
        <w:rPr>
          <w:rFonts w:ascii="Arial" w:hAnsi="Arial" w:cs="Arial"/>
          <w:sz w:val="22"/>
          <w:szCs w:val="22"/>
          <w:lang w:val="en-US"/>
        </w:rPr>
        <w:t>. We have successfully described intrinsic inflammatory profile of CD34</w:t>
      </w:r>
      <w:r w:rsidRPr="00492EC8">
        <w:rPr>
          <w:rFonts w:ascii="Arial" w:hAnsi="Arial" w:cs="Arial"/>
          <w:sz w:val="22"/>
          <w:szCs w:val="22"/>
          <w:vertAlign w:val="superscript"/>
          <w:lang w:val="en-US"/>
        </w:rPr>
        <w:t>+</w:t>
      </w:r>
      <w:r>
        <w:rPr>
          <w:rFonts w:ascii="Arial" w:hAnsi="Arial" w:cs="Arial"/>
          <w:sz w:val="22"/>
          <w:szCs w:val="22"/>
          <w:lang w:val="en-US"/>
        </w:rPr>
        <w:t xml:space="preserve"> patient-specific iPSCs-derived hematopoietic stem cells, which show to upregulate IFN-gamma </w:t>
      </w:r>
      <w:r w:rsidR="003F0F1C" w:rsidRPr="00134514">
        <w:rPr>
          <w:rFonts w:ascii="Arial" w:hAnsi="Arial" w:cs="Arial"/>
          <w:sz w:val="22"/>
          <w:szCs w:val="22"/>
          <w:lang w:val="en-US"/>
        </w:rPr>
        <w:t>and NF-</w:t>
      </w:r>
      <w:proofErr w:type="spellStart"/>
      <w:r w:rsidR="003F0F1C" w:rsidRPr="00134514">
        <w:rPr>
          <w:rFonts w:ascii="Arial" w:hAnsi="Arial" w:cs="Arial"/>
          <w:sz w:val="22"/>
          <w:szCs w:val="22"/>
          <w:lang w:val="en-US"/>
        </w:rPr>
        <w:t>κB</w:t>
      </w:r>
      <w:proofErr w:type="spellEnd"/>
      <w:r w:rsidR="003F0F1C" w:rsidRPr="00134514">
        <w:rPr>
          <w:rFonts w:ascii="Arial" w:hAnsi="Arial" w:cs="Arial"/>
          <w:sz w:val="22"/>
          <w:szCs w:val="22"/>
          <w:lang w:val="en-US"/>
        </w:rPr>
        <w:t>-associated inflammatory program</w:t>
      </w:r>
      <w:r>
        <w:rPr>
          <w:rFonts w:ascii="Arial" w:hAnsi="Arial" w:cs="Arial"/>
          <w:sz w:val="22"/>
          <w:szCs w:val="22"/>
          <w:lang w:val="en-US"/>
        </w:rPr>
        <w:t xml:space="preserve">. </w:t>
      </w:r>
      <w:r w:rsidR="001B2472">
        <w:rPr>
          <w:rFonts w:ascii="Arial" w:hAnsi="Arial" w:cs="Arial"/>
          <w:sz w:val="22"/>
          <w:szCs w:val="22"/>
          <w:lang w:val="en-US"/>
        </w:rPr>
        <w:t>A</w:t>
      </w:r>
      <w:r w:rsidR="003F0F1C" w:rsidRPr="00134514">
        <w:rPr>
          <w:rFonts w:ascii="Arial" w:hAnsi="Arial" w:cs="Arial"/>
          <w:sz w:val="22"/>
          <w:szCs w:val="22"/>
          <w:lang w:val="en-US"/>
        </w:rPr>
        <w:t xml:space="preserve">s a </w:t>
      </w:r>
      <w:r w:rsidR="001B2472" w:rsidRPr="00134514">
        <w:rPr>
          <w:rFonts w:ascii="Arial" w:hAnsi="Arial" w:cs="Arial"/>
          <w:sz w:val="22"/>
          <w:szCs w:val="22"/>
          <w:lang w:val="en-US"/>
        </w:rPr>
        <w:t>consequence,</w:t>
      </w:r>
      <w:r w:rsidR="001B2472">
        <w:rPr>
          <w:rFonts w:ascii="Arial" w:hAnsi="Arial" w:cs="Arial"/>
          <w:sz w:val="22"/>
          <w:szCs w:val="22"/>
          <w:lang w:val="en-US"/>
        </w:rPr>
        <w:t xml:space="preserve"> these PV progenitors</w:t>
      </w:r>
      <w:r w:rsidR="003F0F1C" w:rsidRPr="00134514">
        <w:rPr>
          <w:rFonts w:ascii="Arial" w:hAnsi="Arial" w:cs="Arial"/>
          <w:sz w:val="22"/>
          <w:szCs w:val="22"/>
          <w:lang w:val="en-US"/>
        </w:rPr>
        <w:t xml:space="preserve"> upregulate reactive oxygen species (ROS) antioxidant system and expression of dual specificity phosphatase (DUSP) 1. DUSP1</w:t>
      </w:r>
      <w:r w:rsidR="001B2472">
        <w:rPr>
          <w:rFonts w:ascii="Arial" w:hAnsi="Arial" w:cs="Arial"/>
          <w:sz w:val="22"/>
          <w:szCs w:val="22"/>
          <w:lang w:val="en-US"/>
        </w:rPr>
        <w:t xml:space="preserve"> </w:t>
      </w:r>
      <w:r w:rsidR="00C535CF">
        <w:rPr>
          <w:rFonts w:ascii="Arial" w:hAnsi="Arial" w:cs="Arial"/>
          <w:sz w:val="22"/>
          <w:szCs w:val="22"/>
          <w:lang w:val="en-US"/>
        </w:rPr>
        <w:t xml:space="preserve">then </w:t>
      </w:r>
      <w:r w:rsidR="00B2018B">
        <w:rPr>
          <w:rFonts w:ascii="Arial" w:hAnsi="Arial" w:cs="Arial"/>
          <w:sz w:val="22"/>
          <w:szCs w:val="22"/>
          <w:lang w:val="en-US"/>
        </w:rPr>
        <w:t>suppress</w:t>
      </w:r>
      <w:r w:rsidR="003F0F1C" w:rsidRPr="00134514">
        <w:rPr>
          <w:rFonts w:ascii="Arial" w:hAnsi="Arial" w:cs="Arial"/>
          <w:sz w:val="22"/>
          <w:szCs w:val="22"/>
          <w:lang w:val="en-US"/>
        </w:rPr>
        <w:t xml:space="preserve"> JNK and p38MAPK activities, </w:t>
      </w:r>
      <w:r w:rsidR="00B2018B">
        <w:rPr>
          <w:rFonts w:ascii="Arial" w:hAnsi="Arial" w:cs="Arial"/>
          <w:sz w:val="22"/>
          <w:szCs w:val="22"/>
          <w:lang w:val="en-US"/>
        </w:rPr>
        <w:t>including</w:t>
      </w:r>
      <w:r w:rsidR="003F0F1C" w:rsidRPr="00134514">
        <w:rPr>
          <w:rFonts w:ascii="Arial" w:hAnsi="Arial" w:cs="Arial"/>
          <w:sz w:val="22"/>
          <w:szCs w:val="22"/>
          <w:lang w:val="en-US"/>
        </w:rPr>
        <w:t xml:space="preserve"> </w:t>
      </w:r>
      <w:r w:rsidR="00C535CF">
        <w:rPr>
          <w:rFonts w:ascii="Arial" w:hAnsi="Arial" w:cs="Arial"/>
          <w:sz w:val="22"/>
          <w:szCs w:val="22"/>
          <w:lang w:val="en-US"/>
        </w:rPr>
        <w:t>inflammation-evoked</w:t>
      </w:r>
      <w:r w:rsidR="003F0F1C" w:rsidRPr="00134514">
        <w:rPr>
          <w:rFonts w:ascii="Arial" w:hAnsi="Arial" w:cs="Arial"/>
          <w:sz w:val="22"/>
          <w:szCs w:val="22"/>
          <w:lang w:val="en-US"/>
        </w:rPr>
        <w:t xml:space="preserve"> DNA damage</w:t>
      </w:r>
      <w:r w:rsidR="00C535CF">
        <w:rPr>
          <w:rFonts w:ascii="Arial" w:hAnsi="Arial" w:cs="Arial"/>
          <w:sz w:val="22"/>
          <w:szCs w:val="22"/>
          <w:lang w:val="en-US"/>
        </w:rPr>
        <w:t xml:space="preserve">, </w:t>
      </w:r>
      <w:r w:rsidR="003F0F1C" w:rsidRPr="00134514">
        <w:rPr>
          <w:rFonts w:ascii="Arial" w:hAnsi="Arial" w:cs="Arial"/>
          <w:sz w:val="22"/>
          <w:szCs w:val="22"/>
          <w:lang w:val="en-US"/>
        </w:rPr>
        <w:t xml:space="preserve">cell cycle arrest and apoptosis of </w:t>
      </w:r>
      <w:r w:rsidR="003F0F1C" w:rsidRPr="00F82BFB">
        <w:rPr>
          <w:rFonts w:ascii="Arial" w:hAnsi="Arial" w:cs="Arial"/>
          <w:i/>
          <w:iCs/>
          <w:sz w:val="22"/>
          <w:szCs w:val="22"/>
          <w:lang w:val="en-US"/>
        </w:rPr>
        <w:t>JAK2</w:t>
      </w:r>
      <w:r w:rsidR="00F82BFB">
        <w:rPr>
          <w:rFonts w:ascii="Arial" w:hAnsi="Arial" w:cs="Arial"/>
          <w:sz w:val="22"/>
          <w:szCs w:val="22"/>
          <w:lang w:val="en-US"/>
        </w:rPr>
        <w:t xml:space="preserve"> </w:t>
      </w:r>
      <w:r w:rsidR="003F0F1C" w:rsidRPr="00134514">
        <w:rPr>
          <w:rFonts w:ascii="Arial" w:hAnsi="Arial" w:cs="Arial"/>
          <w:sz w:val="22"/>
          <w:szCs w:val="22"/>
          <w:lang w:val="en-US"/>
        </w:rPr>
        <w:t>V617F-positive cell</w:t>
      </w:r>
      <w:r w:rsidR="00C535CF">
        <w:rPr>
          <w:rFonts w:ascii="Arial" w:hAnsi="Arial" w:cs="Arial"/>
          <w:sz w:val="22"/>
          <w:szCs w:val="22"/>
          <w:lang w:val="en-US"/>
        </w:rPr>
        <w:t>s</w:t>
      </w:r>
      <w:r w:rsidR="003F0F1C" w:rsidRPr="00134514">
        <w:rPr>
          <w:rFonts w:ascii="Arial" w:hAnsi="Arial" w:cs="Arial"/>
          <w:sz w:val="22"/>
          <w:szCs w:val="22"/>
          <w:lang w:val="en-US"/>
        </w:rPr>
        <w:t xml:space="preserve">. Therefore, we provide evidence that hyperactivated ROS buffering system and overexpression of DUSP1 in </w:t>
      </w:r>
      <w:r w:rsidR="003F0F1C" w:rsidRPr="009110D0">
        <w:rPr>
          <w:rFonts w:ascii="Arial" w:hAnsi="Arial" w:cs="Arial"/>
          <w:i/>
          <w:iCs/>
          <w:sz w:val="22"/>
          <w:szCs w:val="22"/>
          <w:lang w:val="en-US"/>
        </w:rPr>
        <w:t>JAK2</w:t>
      </w:r>
      <w:r w:rsidR="009110D0">
        <w:rPr>
          <w:rFonts w:ascii="Arial" w:hAnsi="Arial" w:cs="Arial"/>
          <w:sz w:val="22"/>
          <w:szCs w:val="22"/>
          <w:lang w:val="en-US"/>
        </w:rPr>
        <w:t xml:space="preserve"> </w:t>
      </w:r>
      <w:r w:rsidR="003F0F1C" w:rsidRPr="00134514">
        <w:rPr>
          <w:rFonts w:ascii="Arial" w:hAnsi="Arial" w:cs="Arial"/>
          <w:sz w:val="22"/>
          <w:szCs w:val="22"/>
          <w:lang w:val="en-US"/>
        </w:rPr>
        <w:t xml:space="preserve">V617F-positive cells is a candidate mechanism keeping fast-cycling PV progenitors in proliferative phase despite the presence of DNA damaging inflammatory microenvironment. </w:t>
      </w:r>
      <w:r w:rsidR="00C535CF">
        <w:rPr>
          <w:rFonts w:ascii="Arial" w:hAnsi="Arial" w:cs="Arial"/>
          <w:sz w:val="22"/>
          <w:szCs w:val="22"/>
          <w:lang w:val="en-US"/>
        </w:rPr>
        <w:t xml:space="preserve">Our data also suggest that these mechanisms then </w:t>
      </w:r>
      <w:r w:rsidR="00C535CF" w:rsidRPr="00134514">
        <w:rPr>
          <w:rFonts w:ascii="Arial" w:hAnsi="Arial" w:cs="Arial"/>
          <w:sz w:val="22"/>
          <w:szCs w:val="22"/>
          <w:lang w:val="en-US"/>
        </w:rPr>
        <w:t>delay stress-</w:t>
      </w:r>
      <w:r w:rsidR="00C535CF" w:rsidRPr="00134514">
        <w:rPr>
          <w:rFonts w:ascii="Arial" w:hAnsi="Arial" w:cs="Arial"/>
          <w:sz w:val="22"/>
          <w:szCs w:val="22"/>
          <w:lang w:val="en-US"/>
        </w:rPr>
        <w:lastRenderedPageBreak/>
        <w:t>induced regulatory circuits in hematopoiesis associated with myelofibrosis and decreasing DNA damage accumulation associated with rapid malignant transformation.</w:t>
      </w:r>
    </w:p>
    <w:p w14:paraId="5A71B314" w14:textId="77777777" w:rsidR="00C535CF" w:rsidRDefault="00C535CF" w:rsidP="00492EC8">
      <w:pPr>
        <w:spacing w:line="360" w:lineRule="auto"/>
        <w:jc w:val="both"/>
        <w:rPr>
          <w:rFonts w:ascii="Arial" w:hAnsi="Arial" w:cs="Arial"/>
          <w:sz w:val="22"/>
          <w:szCs w:val="22"/>
          <w:lang w:val="en-US"/>
        </w:rPr>
      </w:pPr>
    </w:p>
    <w:p w14:paraId="56EFF65B" w14:textId="2F09079D" w:rsidR="00CD64BD" w:rsidRDefault="00C535CF" w:rsidP="00C535CF">
      <w:pPr>
        <w:spacing w:line="360" w:lineRule="auto"/>
        <w:jc w:val="both"/>
        <w:rPr>
          <w:rFonts w:ascii="Arial" w:hAnsi="Arial" w:cs="Arial"/>
          <w:sz w:val="22"/>
          <w:szCs w:val="22"/>
          <w:lang w:val="en-US"/>
        </w:rPr>
      </w:pPr>
      <w:r>
        <w:rPr>
          <w:rFonts w:ascii="Arial" w:hAnsi="Arial" w:cs="Arial"/>
          <w:sz w:val="22"/>
          <w:szCs w:val="22"/>
          <w:lang w:val="en-US"/>
        </w:rPr>
        <w:t xml:space="preserve">Second, under supervision of prof. Radek C. Skoda and with my colleague Dr. Rao N. Tata </w:t>
      </w:r>
      <w:r w:rsidR="005C08C8">
        <w:rPr>
          <w:rFonts w:ascii="Arial" w:hAnsi="Arial" w:cs="Arial"/>
          <w:sz w:val="22"/>
          <w:szCs w:val="22"/>
          <w:lang w:val="en-US"/>
        </w:rPr>
        <w:t xml:space="preserve">(Basel) </w:t>
      </w:r>
      <w:r>
        <w:rPr>
          <w:rFonts w:ascii="Arial" w:hAnsi="Arial" w:cs="Arial"/>
          <w:sz w:val="22"/>
          <w:szCs w:val="22"/>
          <w:lang w:val="en-US"/>
        </w:rPr>
        <w:t>we studied the phenomena of</w:t>
      </w:r>
      <w:r w:rsidRPr="00C535CF">
        <w:rPr>
          <w:rFonts w:ascii="Arial" w:hAnsi="Arial" w:cs="Arial"/>
          <w:sz w:val="22"/>
          <w:szCs w:val="22"/>
          <w:lang w:val="en-US"/>
        </w:rPr>
        <w:t xml:space="preserve"> megakaryocyte-biased CD41</w:t>
      </w:r>
      <w:r w:rsidRPr="00C535CF">
        <w:rPr>
          <w:rFonts w:ascii="Arial" w:hAnsi="Arial" w:cs="Arial"/>
          <w:sz w:val="22"/>
          <w:szCs w:val="22"/>
          <w:vertAlign w:val="superscript"/>
          <w:lang w:val="en-US"/>
        </w:rPr>
        <w:t xml:space="preserve">hi </w:t>
      </w:r>
      <w:r w:rsidRPr="00C535CF">
        <w:rPr>
          <w:rFonts w:ascii="Arial" w:hAnsi="Arial" w:cs="Arial"/>
          <w:sz w:val="22"/>
          <w:szCs w:val="22"/>
          <w:lang w:val="en-US"/>
        </w:rPr>
        <w:t>hematopoietic stem cells</w:t>
      </w:r>
      <w:r>
        <w:rPr>
          <w:rFonts w:ascii="Arial" w:hAnsi="Arial" w:cs="Arial"/>
          <w:sz w:val="22"/>
          <w:szCs w:val="22"/>
          <w:lang w:val="en-US"/>
        </w:rPr>
        <w:t xml:space="preserve"> induced by </w:t>
      </w:r>
      <w:r w:rsidRPr="00C535CF">
        <w:rPr>
          <w:rFonts w:ascii="Arial" w:hAnsi="Arial" w:cs="Arial"/>
          <w:sz w:val="22"/>
          <w:szCs w:val="22"/>
          <w:lang w:val="en-US"/>
        </w:rPr>
        <w:t xml:space="preserve">mutant </w:t>
      </w:r>
      <w:r w:rsidRPr="00452D46">
        <w:rPr>
          <w:rFonts w:ascii="Arial" w:hAnsi="Arial" w:cs="Arial"/>
          <w:i/>
          <w:sz w:val="22"/>
          <w:szCs w:val="22"/>
          <w:lang w:val="en-US"/>
        </w:rPr>
        <w:t>JAK2</w:t>
      </w:r>
      <w:r w:rsidRPr="00C535CF">
        <w:rPr>
          <w:rFonts w:ascii="Arial" w:hAnsi="Arial" w:cs="Arial"/>
          <w:sz w:val="22"/>
          <w:szCs w:val="22"/>
          <w:lang w:val="en-US"/>
        </w:rPr>
        <w:t xml:space="preserve"> with lower long-term</w:t>
      </w:r>
      <w:r>
        <w:rPr>
          <w:rFonts w:ascii="Arial" w:hAnsi="Arial" w:cs="Arial"/>
          <w:sz w:val="22"/>
          <w:szCs w:val="22"/>
          <w:lang w:val="en-US"/>
        </w:rPr>
        <w:t xml:space="preserve"> </w:t>
      </w:r>
      <w:r w:rsidR="002D2B93">
        <w:rPr>
          <w:rFonts w:ascii="Arial" w:hAnsi="Arial" w:cs="Arial"/>
          <w:sz w:val="22"/>
          <w:szCs w:val="22"/>
          <w:lang w:val="en-US"/>
        </w:rPr>
        <w:t>engraftment</w:t>
      </w:r>
      <w:r w:rsidRPr="00C535CF">
        <w:rPr>
          <w:rFonts w:ascii="Arial" w:hAnsi="Arial" w:cs="Arial"/>
          <w:sz w:val="22"/>
          <w:szCs w:val="22"/>
          <w:lang w:val="en-US"/>
        </w:rPr>
        <w:t xml:space="preserve"> potential</w:t>
      </w:r>
      <w:r>
        <w:rPr>
          <w:rFonts w:ascii="Arial" w:hAnsi="Arial" w:cs="Arial"/>
          <w:sz w:val="22"/>
          <w:szCs w:val="22"/>
          <w:lang w:val="en-US"/>
        </w:rPr>
        <w:t xml:space="preserve"> in MPN mou</w:t>
      </w:r>
      <w:r w:rsidR="002D2B93">
        <w:rPr>
          <w:rFonts w:ascii="Arial" w:hAnsi="Arial" w:cs="Arial"/>
          <w:sz w:val="22"/>
          <w:szCs w:val="22"/>
          <w:lang w:val="en-US"/>
        </w:rPr>
        <w:t>s</w:t>
      </w:r>
      <w:r>
        <w:rPr>
          <w:rFonts w:ascii="Arial" w:hAnsi="Arial" w:cs="Arial"/>
          <w:sz w:val="22"/>
          <w:szCs w:val="22"/>
          <w:lang w:val="en-US"/>
        </w:rPr>
        <w:t>e model</w:t>
      </w:r>
      <w:r w:rsidR="002D2B93">
        <w:rPr>
          <w:rFonts w:ascii="Arial" w:hAnsi="Arial" w:cs="Arial"/>
          <w:sz w:val="22"/>
          <w:szCs w:val="22"/>
          <w:lang w:val="en-US"/>
        </w:rPr>
        <w:t>s</w:t>
      </w:r>
      <w:r>
        <w:rPr>
          <w:rFonts w:ascii="Arial" w:hAnsi="Arial" w:cs="Arial"/>
          <w:sz w:val="22"/>
          <w:szCs w:val="22"/>
          <w:lang w:val="en-US"/>
        </w:rPr>
        <w:t xml:space="preserve">. </w:t>
      </w:r>
      <w:r w:rsidR="005C08C8">
        <w:rPr>
          <w:rFonts w:ascii="Arial" w:hAnsi="Arial" w:cs="Arial"/>
          <w:sz w:val="22"/>
          <w:szCs w:val="22"/>
          <w:lang w:val="en-US"/>
        </w:rPr>
        <w:t>W</w:t>
      </w:r>
      <w:r>
        <w:rPr>
          <w:rFonts w:ascii="Arial" w:hAnsi="Arial" w:cs="Arial"/>
          <w:sz w:val="22"/>
          <w:szCs w:val="22"/>
          <w:lang w:val="en-US"/>
        </w:rPr>
        <w:t>e show</w:t>
      </w:r>
      <w:r w:rsidR="005C08C8">
        <w:rPr>
          <w:rFonts w:ascii="Arial" w:hAnsi="Arial" w:cs="Arial"/>
          <w:sz w:val="22"/>
          <w:szCs w:val="22"/>
          <w:lang w:val="en-US"/>
        </w:rPr>
        <w:t>ed</w:t>
      </w:r>
      <w:r>
        <w:rPr>
          <w:rFonts w:ascii="Arial" w:hAnsi="Arial" w:cs="Arial"/>
          <w:sz w:val="22"/>
          <w:szCs w:val="22"/>
          <w:lang w:val="en-US"/>
        </w:rPr>
        <w:t xml:space="preserve"> </w:t>
      </w:r>
      <w:r w:rsidR="007532B8">
        <w:rPr>
          <w:rFonts w:ascii="Arial" w:hAnsi="Arial" w:cs="Arial"/>
          <w:sz w:val="22"/>
          <w:szCs w:val="22"/>
          <w:lang w:val="en-US"/>
        </w:rPr>
        <w:t>that long</w:t>
      </w:r>
      <w:r w:rsidR="00CD64BD">
        <w:rPr>
          <w:rFonts w:ascii="Arial" w:hAnsi="Arial" w:cs="Arial"/>
          <w:sz w:val="22"/>
          <w:szCs w:val="22"/>
          <w:lang w:val="en-US"/>
        </w:rPr>
        <w:t xml:space="preserve">-term treatment with </w:t>
      </w:r>
      <w:r w:rsidR="00111037">
        <w:rPr>
          <w:rFonts w:ascii="Arial" w:hAnsi="Arial" w:cs="Arial"/>
          <w:sz w:val="22"/>
          <w:szCs w:val="22"/>
          <w:lang w:val="en-US"/>
        </w:rPr>
        <w:t xml:space="preserve">pegylated </w:t>
      </w:r>
      <w:r w:rsidR="00CD64BD">
        <w:rPr>
          <w:rFonts w:ascii="Arial" w:hAnsi="Arial" w:cs="Arial"/>
          <w:sz w:val="22"/>
          <w:szCs w:val="22"/>
          <w:lang w:val="en-US"/>
        </w:rPr>
        <w:t>interferon alpha</w:t>
      </w:r>
      <w:r w:rsidRPr="00C535CF">
        <w:rPr>
          <w:rFonts w:ascii="Arial" w:hAnsi="Arial" w:cs="Arial"/>
          <w:sz w:val="22"/>
          <w:szCs w:val="22"/>
          <w:lang w:val="en-US"/>
        </w:rPr>
        <w:t xml:space="preserve"> further increased the proportion of CD41</w:t>
      </w:r>
      <w:r w:rsidRPr="00CD64BD">
        <w:rPr>
          <w:rFonts w:ascii="Arial" w:hAnsi="Arial" w:cs="Arial"/>
          <w:sz w:val="22"/>
          <w:szCs w:val="22"/>
          <w:vertAlign w:val="superscript"/>
          <w:lang w:val="en-US"/>
        </w:rPr>
        <w:t>hi</w:t>
      </w:r>
      <w:r w:rsidRPr="00C535CF">
        <w:rPr>
          <w:rFonts w:ascii="Arial" w:hAnsi="Arial" w:cs="Arial"/>
          <w:sz w:val="22"/>
          <w:szCs w:val="22"/>
          <w:lang w:val="en-US"/>
        </w:rPr>
        <w:t xml:space="preserve"> HSCs and </w:t>
      </w:r>
      <w:r w:rsidR="002D2B93" w:rsidRPr="00C535CF">
        <w:rPr>
          <w:rFonts w:ascii="Arial" w:hAnsi="Arial" w:cs="Arial"/>
          <w:sz w:val="22"/>
          <w:szCs w:val="22"/>
          <w:lang w:val="en-US"/>
        </w:rPr>
        <w:t>deplet</w:t>
      </w:r>
      <w:r w:rsidR="002D2B93">
        <w:rPr>
          <w:rFonts w:ascii="Arial" w:hAnsi="Arial" w:cs="Arial"/>
          <w:sz w:val="22"/>
          <w:szCs w:val="22"/>
          <w:lang w:val="en-US"/>
        </w:rPr>
        <w:t>es</w:t>
      </w:r>
      <w:r w:rsidRPr="00C535CF">
        <w:rPr>
          <w:rFonts w:ascii="Arial" w:hAnsi="Arial" w:cs="Arial"/>
          <w:sz w:val="22"/>
          <w:szCs w:val="22"/>
          <w:lang w:val="en-US"/>
        </w:rPr>
        <w:t xml:space="preserve"> </w:t>
      </w:r>
      <w:r w:rsidRPr="002D2B93">
        <w:rPr>
          <w:rFonts w:ascii="Arial" w:hAnsi="Arial" w:cs="Arial"/>
          <w:i/>
          <w:iCs/>
          <w:sz w:val="22"/>
          <w:szCs w:val="22"/>
          <w:lang w:val="en-US"/>
        </w:rPr>
        <w:t>JAK2</w:t>
      </w:r>
      <w:r w:rsidRPr="00C535CF">
        <w:rPr>
          <w:rFonts w:ascii="Arial" w:hAnsi="Arial" w:cs="Arial"/>
          <w:sz w:val="22"/>
          <w:szCs w:val="22"/>
          <w:lang w:val="en-US"/>
        </w:rPr>
        <w:t xml:space="preserve"> mutant HSCs</w:t>
      </w:r>
      <w:r w:rsidR="00CD64BD">
        <w:rPr>
          <w:rFonts w:ascii="Arial" w:hAnsi="Arial" w:cs="Arial"/>
          <w:sz w:val="22"/>
          <w:szCs w:val="22"/>
          <w:lang w:val="en-US"/>
        </w:rPr>
        <w:t xml:space="preserve"> </w:t>
      </w:r>
      <w:r w:rsidRPr="00C535CF">
        <w:rPr>
          <w:rFonts w:ascii="Arial" w:hAnsi="Arial" w:cs="Arial"/>
          <w:sz w:val="22"/>
          <w:szCs w:val="22"/>
          <w:lang w:val="en-US"/>
        </w:rPr>
        <w:t>in mice and MPN patients</w:t>
      </w:r>
      <w:r w:rsidR="00CD64BD">
        <w:rPr>
          <w:rFonts w:ascii="Arial" w:hAnsi="Arial" w:cs="Arial"/>
          <w:sz w:val="22"/>
          <w:szCs w:val="22"/>
          <w:lang w:val="en-US"/>
        </w:rPr>
        <w:t>. Consequently, expression of CD41 not only provide</w:t>
      </w:r>
      <w:r w:rsidR="007C1A89">
        <w:rPr>
          <w:rFonts w:ascii="Arial" w:hAnsi="Arial" w:cs="Arial"/>
          <w:sz w:val="22"/>
          <w:szCs w:val="22"/>
          <w:lang w:val="en-US"/>
        </w:rPr>
        <w:t>s</w:t>
      </w:r>
      <w:r w:rsidR="00CD64BD">
        <w:rPr>
          <w:rFonts w:ascii="Arial" w:hAnsi="Arial" w:cs="Arial"/>
          <w:sz w:val="22"/>
          <w:szCs w:val="22"/>
          <w:lang w:val="en-US"/>
        </w:rPr>
        <w:t xml:space="preserve"> insight into mechanism </w:t>
      </w:r>
      <w:r w:rsidR="007C1A89">
        <w:rPr>
          <w:rFonts w:ascii="Arial" w:hAnsi="Arial" w:cs="Arial"/>
          <w:sz w:val="22"/>
          <w:szCs w:val="22"/>
          <w:lang w:val="en-US"/>
        </w:rPr>
        <w:t xml:space="preserve">by which </w:t>
      </w:r>
      <w:r w:rsidR="00CD64BD">
        <w:rPr>
          <w:rFonts w:ascii="Arial" w:hAnsi="Arial" w:cs="Arial"/>
          <w:sz w:val="22"/>
          <w:szCs w:val="22"/>
          <w:lang w:val="en-US"/>
        </w:rPr>
        <w:t>interferon exhaust</w:t>
      </w:r>
      <w:r w:rsidR="007C1A89">
        <w:rPr>
          <w:rFonts w:ascii="Arial" w:hAnsi="Arial" w:cs="Arial"/>
          <w:sz w:val="22"/>
          <w:szCs w:val="22"/>
          <w:lang w:val="en-US"/>
        </w:rPr>
        <w:t>s</w:t>
      </w:r>
      <w:r w:rsidR="00CD64BD">
        <w:rPr>
          <w:rFonts w:ascii="Arial" w:hAnsi="Arial" w:cs="Arial"/>
          <w:sz w:val="22"/>
          <w:szCs w:val="22"/>
          <w:lang w:val="en-US"/>
        </w:rPr>
        <w:t xml:space="preserve"> pool of long-term hematopoietic stem cells</w:t>
      </w:r>
      <w:r w:rsidR="007C1A89">
        <w:rPr>
          <w:rFonts w:ascii="Arial" w:hAnsi="Arial" w:cs="Arial"/>
          <w:sz w:val="22"/>
          <w:szCs w:val="22"/>
          <w:lang w:val="en-US"/>
        </w:rPr>
        <w:t>,</w:t>
      </w:r>
      <w:r w:rsidR="00CD64BD">
        <w:rPr>
          <w:rFonts w:ascii="Arial" w:hAnsi="Arial" w:cs="Arial"/>
          <w:sz w:val="22"/>
          <w:szCs w:val="22"/>
          <w:lang w:val="en-US"/>
        </w:rPr>
        <w:t xml:space="preserve"> but also an easily </w:t>
      </w:r>
      <w:r w:rsidR="002D2B93">
        <w:rPr>
          <w:rFonts w:ascii="Arial" w:hAnsi="Arial" w:cs="Arial"/>
          <w:sz w:val="22"/>
          <w:szCs w:val="22"/>
          <w:lang w:val="en-US"/>
        </w:rPr>
        <w:t>accessible</w:t>
      </w:r>
      <w:r w:rsidR="00CD64BD">
        <w:rPr>
          <w:rFonts w:ascii="Arial" w:hAnsi="Arial" w:cs="Arial"/>
          <w:sz w:val="22"/>
          <w:szCs w:val="22"/>
          <w:lang w:val="en-US"/>
        </w:rPr>
        <w:t xml:space="preserve"> surface marker of interferon therapy effectiveness.</w:t>
      </w:r>
    </w:p>
    <w:p w14:paraId="4ECAF712" w14:textId="77777777" w:rsidR="00CD64BD" w:rsidRDefault="00CD64BD" w:rsidP="00C535CF">
      <w:pPr>
        <w:spacing w:line="360" w:lineRule="auto"/>
        <w:jc w:val="both"/>
        <w:rPr>
          <w:rFonts w:ascii="Arial" w:hAnsi="Arial" w:cs="Arial"/>
          <w:sz w:val="22"/>
          <w:szCs w:val="22"/>
          <w:lang w:val="en-US"/>
        </w:rPr>
      </w:pPr>
    </w:p>
    <w:p w14:paraId="5B754A99" w14:textId="0D64609A" w:rsidR="007532B8" w:rsidRDefault="00CD64BD" w:rsidP="00C535CF">
      <w:pPr>
        <w:spacing w:line="360" w:lineRule="auto"/>
        <w:jc w:val="both"/>
        <w:rPr>
          <w:rFonts w:ascii="Arial" w:hAnsi="Arial" w:cs="Arial"/>
          <w:sz w:val="22"/>
          <w:szCs w:val="22"/>
          <w:lang w:val="en-US"/>
        </w:rPr>
      </w:pPr>
      <w:r>
        <w:rPr>
          <w:rFonts w:ascii="Arial" w:hAnsi="Arial" w:cs="Arial"/>
          <w:sz w:val="22"/>
          <w:szCs w:val="22"/>
          <w:lang w:val="en-US"/>
        </w:rPr>
        <w:t>Third, we hypothesized that iron availability is one of the</w:t>
      </w:r>
      <w:r w:rsidR="00B2018B">
        <w:rPr>
          <w:rFonts w:ascii="Arial" w:hAnsi="Arial" w:cs="Arial"/>
          <w:sz w:val="22"/>
          <w:szCs w:val="22"/>
          <w:lang w:val="en-US"/>
        </w:rPr>
        <w:t xml:space="preserve"> key</w:t>
      </w:r>
      <w:r>
        <w:rPr>
          <w:rFonts w:ascii="Arial" w:hAnsi="Arial" w:cs="Arial"/>
          <w:sz w:val="22"/>
          <w:szCs w:val="22"/>
          <w:lang w:val="en-US"/>
        </w:rPr>
        <w:t xml:space="preserve"> factors influencing MPN phenotype manifestation, especially in regards to erythroid expansion in PV and platelet production in ET. By reciprocal approaches of inducing iron deficiency or iron overload in PV and ET mouse models, we </w:t>
      </w:r>
      <w:r w:rsidR="009F1BDB">
        <w:rPr>
          <w:rFonts w:ascii="Arial" w:hAnsi="Arial" w:cs="Arial"/>
          <w:sz w:val="22"/>
          <w:szCs w:val="22"/>
          <w:lang w:val="en-US"/>
        </w:rPr>
        <w:t>were</w:t>
      </w:r>
      <w:r>
        <w:rPr>
          <w:rFonts w:ascii="Arial" w:hAnsi="Arial" w:cs="Arial"/>
          <w:sz w:val="22"/>
          <w:szCs w:val="22"/>
          <w:lang w:val="en-US"/>
        </w:rPr>
        <w:t xml:space="preserve"> able to uncover iron-dependency in these models </w:t>
      </w:r>
      <w:r w:rsidR="009F1BDB">
        <w:rPr>
          <w:rFonts w:ascii="Arial" w:hAnsi="Arial" w:cs="Arial"/>
          <w:sz w:val="22"/>
          <w:szCs w:val="22"/>
          <w:lang w:val="en-US"/>
        </w:rPr>
        <w:t xml:space="preserve">at </w:t>
      </w:r>
      <w:r>
        <w:rPr>
          <w:rFonts w:ascii="Arial" w:hAnsi="Arial" w:cs="Arial"/>
          <w:sz w:val="22"/>
          <w:szCs w:val="22"/>
          <w:lang w:val="en-US"/>
        </w:rPr>
        <w:t xml:space="preserve">early stages of hematopoietic differentiation </w:t>
      </w:r>
      <w:r w:rsidR="009F1BDB">
        <w:rPr>
          <w:rFonts w:ascii="Arial" w:hAnsi="Arial" w:cs="Arial"/>
          <w:sz w:val="22"/>
          <w:szCs w:val="22"/>
          <w:lang w:val="en-US"/>
        </w:rPr>
        <w:t xml:space="preserve">that </w:t>
      </w:r>
      <w:r>
        <w:rPr>
          <w:rFonts w:ascii="Arial" w:hAnsi="Arial" w:cs="Arial"/>
          <w:sz w:val="22"/>
          <w:szCs w:val="22"/>
          <w:lang w:val="en-US"/>
        </w:rPr>
        <w:t>drive</w:t>
      </w:r>
      <w:r w:rsidR="009F1BDB">
        <w:rPr>
          <w:rFonts w:ascii="Arial" w:hAnsi="Arial" w:cs="Arial"/>
          <w:sz w:val="22"/>
          <w:szCs w:val="22"/>
          <w:lang w:val="en-US"/>
        </w:rPr>
        <w:t>s</w:t>
      </w:r>
      <w:r>
        <w:rPr>
          <w:rFonts w:ascii="Arial" w:hAnsi="Arial" w:cs="Arial"/>
          <w:sz w:val="22"/>
          <w:szCs w:val="22"/>
          <w:lang w:val="en-US"/>
        </w:rPr>
        <w:t xml:space="preserve"> iron-dependent </w:t>
      </w:r>
      <w:r w:rsidR="007532B8">
        <w:rPr>
          <w:rFonts w:ascii="Arial" w:hAnsi="Arial" w:cs="Arial"/>
          <w:sz w:val="22"/>
          <w:szCs w:val="22"/>
          <w:lang w:val="en-US"/>
        </w:rPr>
        <w:t>switch between thrombocytosis and erythrocytosis</w:t>
      </w:r>
      <w:r w:rsidR="007751C2">
        <w:rPr>
          <w:rFonts w:ascii="Arial" w:hAnsi="Arial" w:cs="Arial"/>
          <w:sz w:val="22"/>
          <w:szCs w:val="22"/>
          <w:lang w:val="en-US"/>
        </w:rPr>
        <w:t>.</w:t>
      </w:r>
    </w:p>
    <w:p w14:paraId="3DBBC059" w14:textId="77777777" w:rsidR="007532B8" w:rsidRDefault="007532B8" w:rsidP="00C535CF">
      <w:pPr>
        <w:spacing w:line="360" w:lineRule="auto"/>
        <w:jc w:val="both"/>
        <w:rPr>
          <w:rFonts w:ascii="Arial" w:hAnsi="Arial" w:cs="Arial"/>
          <w:sz w:val="22"/>
          <w:szCs w:val="22"/>
          <w:lang w:val="en-US"/>
        </w:rPr>
      </w:pPr>
    </w:p>
    <w:p w14:paraId="66CEFE55" w14:textId="5582B66C" w:rsidR="007532B8" w:rsidRDefault="007532B8" w:rsidP="00C535CF">
      <w:pPr>
        <w:spacing w:line="360" w:lineRule="auto"/>
        <w:jc w:val="both"/>
        <w:rPr>
          <w:rFonts w:ascii="Arial" w:hAnsi="Arial" w:cs="Arial"/>
          <w:sz w:val="22"/>
          <w:szCs w:val="22"/>
          <w:lang w:val="en-US"/>
        </w:rPr>
      </w:pPr>
      <w:r>
        <w:rPr>
          <w:rFonts w:ascii="Arial" w:hAnsi="Arial" w:cs="Arial"/>
          <w:sz w:val="22"/>
          <w:szCs w:val="22"/>
          <w:lang w:val="en-US"/>
        </w:rPr>
        <w:t>Overall, we present a comprehensive dataset aim</w:t>
      </w:r>
      <w:r w:rsidR="009F1BDB">
        <w:rPr>
          <w:rFonts w:ascii="Arial" w:hAnsi="Arial" w:cs="Arial"/>
          <w:sz w:val="22"/>
          <w:szCs w:val="22"/>
          <w:lang w:val="en-US"/>
        </w:rPr>
        <w:t>ed</w:t>
      </w:r>
      <w:r>
        <w:rPr>
          <w:rFonts w:ascii="Arial" w:hAnsi="Arial" w:cs="Arial"/>
          <w:sz w:val="22"/>
          <w:szCs w:val="22"/>
          <w:lang w:val="en-US"/>
        </w:rPr>
        <w:t xml:space="preserve"> </w:t>
      </w:r>
      <w:r w:rsidR="009F1BDB">
        <w:rPr>
          <w:rFonts w:ascii="Arial" w:hAnsi="Arial" w:cs="Arial"/>
          <w:sz w:val="22"/>
          <w:szCs w:val="22"/>
          <w:lang w:val="en-US"/>
        </w:rPr>
        <w:t xml:space="preserve">at </w:t>
      </w:r>
      <w:r>
        <w:rPr>
          <w:rFonts w:ascii="Arial" w:hAnsi="Arial" w:cs="Arial"/>
          <w:sz w:val="22"/>
          <w:szCs w:val="22"/>
          <w:lang w:val="en-US"/>
        </w:rPr>
        <w:t>better understand</w:t>
      </w:r>
      <w:r w:rsidR="009F1BDB">
        <w:rPr>
          <w:rFonts w:ascii="Arial" w:hAnsi="Arial" w:cs="Arial"/>
          <w:sz w:val="22"/>
          <w:szCs w:val="22"/>
          <w:lang w:val="en-US"/>
        </w:rPr>
        <w:t>ing of</w:t>
      </w:r>
      <w:r>
        <w:rPr>
          <w:rFonts w:ascii="Arial" w:hAnsi="Arial" w:cs="Arial"/>
          <w:sz w:val="22"/>
          <w:szCs w:val="22"/>
          <w:lang w:val="en-US"/>
        </w:rPr>
        <w:t xml:space="preserve"> underlying mechanisms of MPN disease biology </w:t>
      </w:r>
      <w:r w:rsidR="009F1BDB">
        <w:rPr>
          <w:rFonts w:ascii="Arial" w:hAnsi="Arial" w:cs="Arial"/>
          <w:sz w:val="22"/>
          <w:szCs w:val="22"/>
          <w:lang w:val="en-US"/>
        </w:rPr>
        <w:t>that could provide</w:t>
      </w:r>
      <w:r>
        <w:rPr>
          <w:rFonts w:ascii="Arial" w:hAnsi="Arial" w:cs="Arial"/>
          <w:sz w:val="22"/>
          <w:szCs w:val="22"/>
          <w:lang w:val="en-US"/>
        </w:rPr>
        <w:t xml:space="preserve"> possible targets for innovative therapies and markers of disease remission.</w:t>
      </w:r>
    </w:p>
    <w:p w14:paraId="2DFFE137" w14:textId="77777777" w:rsidR="007532B8" w:rsidRDefault="007532B8" w:rsidP="00C535CF">
      <w:pPr>
        <w:spacing w:line="360" w:lineRule="auto"/>
        <w:jc w:val="both"/>
        <w:rPr>
          <w:rFonts w:cs="Arial"/>
          <w:b/>
          <w:bCs/>
          <w:sz w:val="48"/>
          <w:szCs w:val="48"/>
          <w:lang w:val="en-US"/>
        </w:rPr>
      </w:pPr>
    </w:p>
    <w:p w14:paraId="4C6FC8C1" w14:textId="77777777" w:rsidR="00B51163" w:rsidRPr="00F1360B" w:rsidRDefault="00B51163" w:rsidP="00C535CF">
      <w:pPr>
        <w:spacing w:line="360" w:lineRule="auto"/>
        <w:jc w:val="both"/>
        <w:rPr>
          <w:rFonts w:ascii="Arial" w:hAnsi="Arial" w:cs="Arial"/>
          <w:sz w:val="22"/>
          <w:szCs w:val="22"/>
          <w:lang w:val="en-US"/>
        </w:rPr>
      </w:pPr>
      <w:r>
        <w:rPr>
          <w:rFonts w:cs="Arial"/>
          <w:b/>
          <w:bCs/>
          <w:sz w:val="48"/>
          <w:szCs w:val="48"/>
          <w:lang w:val="en-US"/>
        </w:rPr>
        <w:br w:type="page"/>
      </w:r>
    </w:p>
    <w:p w14:paraId="777582C8" w14:textId="1A4D4B09" w:rsidR="00E543EA" w:rsidRPr="003A5293" w:rsidRDefault="00E543EA" w:rsidP="00E543EA">
      <w:pPr>
        <w:pStyle w:val="MainHeading2"/>
        <w:rPr>
          <w:rFonts w:cs="Arial"/>
          <w:lang w:val="en-US"/>
        </w:rPr>
      </w:pPr>
      <w:bookmarkStart w:id="52" w:name="_Toc57582527"/>
      <w:r w:rsidRPr="003A5293">
        <w:rPr>
          <w:rFonts w:cs="Arial"/>
          <w:b w:val="0"/>
          <w:bCs/>
          <w:sz w:val="48"/>
          <w:szCs w:val="48"/>
          <w:lang w:val="en-US"/>
        </w:rPr>
        <w:lastRenderedPageBreak/>
        <w:t>6.</w:t>
      </w:r>
      <w:r w:rsidRPr="003A5293">
        <w:rPr>
          <w:rFonts w:cs="Arial"/>
          <w:lang w:val="en-US"/>
        </w:rPr>
        <w:t xml:space="preserve"> References</w:t>
      </w:r>
      <w:bookmarkEnd w:id="52"/>
    </w:p>
    <w:p w14:paraId="7227175B" w14:textId="77777777" w:rsidR="00E543EA" w:rsidRDefault="00E543EA" w:rsidP="00E543EA">
      <w:pPr>
        <w:spacing w:line="360" w:lineRule="auto"/>
        <w:jc w:val="both"/>
        <w:rPr>
          <w:rFonts w:ascii="Arial" w:hAnsi="Arial" w:cs="Arial"/>
          <w:sz w:val="22"/>
          <w:szCs w:val="22"/>
          <w:lang w:val="en-US"/>
        </w:rPr>
      </w:pPr>
    </w:p>
    <w:p w14:paraId="1220365C" w14:textId="77777777" w:rsidR="00593278" w:rsidRPr="00427DC3" w:rsidRDefault="00E543EA"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b/>
          <w:bCs/>
          <w:sz w:val="22"/>
          <w:szCs w:val="22"/>
          <w:lang w:val="en-US"/>
        </w:rPr>
        <w:fldChar w:fldCharType="begin"/>
      </w:r>
      <w:r w:rsidRPr="00427DC3">
        <w:rPr>
          <w:rFonts w:ascii="Arial" w:hAnsi="Arial" w:cs="Arial"/>
          <w:b/>
          <w:bCs/>
          <w:sz w:val="22"/>
          <w:szCs w:val="22"/>
          <w:lang w:val="en-US"/>
        </w:rPr>
        <w:instrText xml:space="preserve"> ADDIN ZOTERO_BIBL {"uncited":[],"omitted":[],"custom":[]} CSL_BIBLIOGRAPHY </w:instrText>
      </w:r>
      <w:r w:rsidRPr="00427DC3">
        <w:rPr>
          <w:rFonts w:ascii="Arial" w:hAnsi="Arial" w:cs="Arial"/>
          <w:b/>
          <w:bCs/>
          <w:sz w:val="22"/>
          <w:szCs w:val="22"/>
          <w:lang w:val="en-US"/>
        </w:rPr>
        <w:fldChar w:fldCharType="separate"/>
      </w:r>
      <w:r w:rsidR="00593278" w:rsidRPr="00427DC3">
        <w:rPr>
          <w:rFonts w:ascii="Arial" w:hAnsi="Arial" w:cs="Arial"/>
          <w:sz w:val="22"/>
          <w:szCs w:val="22"/>
          <w:lang w:val="en-US"/>
        </w:rPr>
        <w:t xml:space="preserve">Aggarwal, V., Tuli, H.S., </w:t>
      </w:r>
      <w:proofErr w:type="spellStart"/>
      <w:r w:rsidR="00593278" w:rsidRPr="00427DC3">
        <w:rPr>
          <w:rFonts w:ascii="Arial" w:hAnsi="Arial" w:cs="Arial"/>
          <w:sz w:val="22"/>
          <w:szCs w:val="22"/>
          <w:lang w:val="en-US"/>
        </w:rPr>
        <w:t>Varol</w:t>
      </w:r>
      <w:proofErr w:type="spellEnd"/>
      <w:r w:rsidR="00593278" w:rsidRPr="00427DC3">
        <w:rPr>
          <w:rFonts w:ascii="Arial" w:hAnsi="Arial" w:cs="Arial"/>
          <w:sz w:val="22"/>
          <w:szCs w:val="22"/>
          <w:lang w:val="en-US"/>
        </w:rPr>
        <w:t xml:space="preserve">, A., Thakral, F., </w:t>
      </w:r>
      <w:proofErr w:type="spellStart"/>
      <w:r w:rsidR="00593278" w:rsidRPr="00427DC3">
        <w:rPr>
          <w:rFonts w:ascii="Arial" w:hAnsi="Arial" w:cs="Arial"/>
          <w:sz w:val="22"/>
          <w:szCs w:val="22"/>
          <w:lang w:val="en-US"/>
        </w:rPr>
        <w:t>Yerer</w:t>
      </w:r>
      <w:proofErr w:type="spellEnd"/>
      <w:r w:rsidR="00593278" w:rsidRPr="00427DC3">
        <w:rPr>
          <w:rFonts w:ascii="Arial" w:hAnsi="Arial" w:cs="Arial"/>
          <w:sz w:val="22"/>
          <w:szCs w:val="22"/>
          <w:lang w:val="en-US"/>
        </w:rPr>
        <w:t xml:space="preserve">, M.B., </w:t>
      </w:r>
      <w:proofErr w:type="spellStart"/>
      <w:r w:rsidR="00593278" w:rsidRPr="00427DC3">
        <w:rPr>
          <w:rFonts w:ascii="Arial" w:hAnsi="Arial" w:cs="Arial"/>
          <w:sz w:val="22"/>
          <w:szCs w:val="22"/>
          <w:lang w:val="en-US"/>
        </w:rPr>
        <w:t>Sak</w:t>
      </w:r>
      <w:proofErr w:type="spellEnd"/>
      <w:r w:rsidR="00593278" w:rsidRPr="00427DC3">
        <w:rPr>
          <w:rFonts w:ascii="Arial" w:hAnsi="Arial" w:cs="Arial"/>
          <w:sz w:val="22"/>
          <w:szCs w:val="22"/>
          <w:lang w:val="en-US"/>
        </w:rPr>
        <w:t xml:space="preserve">, K., </w:t>
      </w:r>
      <w:proofErr w:type="spellStart"/>
      <w:r w:rsidR="00593278" w:rsidRPr="00427DC3">
        <w:rPr>
          <w:rFonts w:ascii="Arial" w:hAnsi="Arial" w:cs="Arial"/>
          <w:sz w:val="22"/>
          <w:szCs w:val="22"/>
          <w:lang w:val="en-US"/>
        </w:rPr>
        <w:t>Varol</w:t>
      </w:r>
      <w:proofErr w:type="spellEnd"/>
      <w:r w:rsidR="00593278" w:rsidRPr="00427DC3">
        <w:rPr>
          <w:rFonts w:ascii="Arial" w:hAnsi="Arial" w:cs="Arial"/>
          <w:sz w:val="22"/>
          <w:szCs w:val="22"/>
          <w:lang w:val="en-US"/>
        </w:rPr>
        <w:t xml:space="preserve">, M., Jain, A., Khan, </w:t>
      </w:r>
      <w:proofErr w:type="spellStart"/>
      <w:r w:rsidR="00593278" w:rsidRPr="00427DC3">
        <w:rPr>
          <w:rFonts w:ascii="Arial" w:hAnsi="Arial" w:cs="Arial"/>
          <w:sz w:val="22"/>
          <w:szCs w:val="22"/>
          <w:lang w:val="en-US"/>
        </w:rPr>
        <w:t>Md.A</w:t>
      </w:r>
      <w:proofErr w:type="spellEnd"/>
      <w:r w:rsidR="00593278" w:rsidRPr="00427DC3">
        <w:rPr>
          <w:rFonts w:ascii="Arial" w:hAnsi="Arial" w:cs="Arial"/>
          <w:sz w:val="22"/>
          <w:szCs w:val="22"/>
          <w:lang w:val="en-US"/>
        </w:rPr>
        <w:t xml:space="preserve">., </w:t>
      </w:r>
      <w:proofErr w:type="spellStart"/>
      <w:r w:rsidR="00593278" w:rsidRPr="00427DC3">
        <w:rPr>
          <w:rFonts w:ascii="Arial" w:hAnsi="Arial" w:cs="Arial"/>
          <w:sz w:val="22"/>
          <w:szCs w:val="22"/>
          <w:lang w:val="en-US"/>
        </w:rPr>
        <w:t>Sethi</w:t>
      </w:r>
      <w:proofErr w:type="spellEnd"/>
      <w:r w:rsidR="00593278" w:rsidRPr="00427DC3">
        <w:rPr>
          <w:rFonts w:ascii="Arial" w:hAnsi="Arial" w:cs="Arial"/>
          <w:sz w:val="22"/>
          <w:szCs w:val="22"/>
          <w:lang w:val="en-US"/>
        </w:rPr>
        <w:t>, G., 2019. Role of Reactive Oxygen Species in Cancer Progression: Molecular Mechanisms and Recent Advancements. Biomolecules 9. https://doi.org/10.3390/biom9110735</w:t>
      </w:r>
    </w:p>
    <w:p w14:paraId="78D22F5A"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Ahn</w:t>
      </w:r>
      <w:proofErr w:type="spellEnd"/>
      <w:r w:rsidRPr="00427DC3">
        <w:rPr>
          <w:rFonts w:ascii="Arial" w:hAnsi="Arial" w:cs="Arial"/>
          <w:sz w:val="22"/>
          <w:szCs w:val="22"/>
          <w:lang w:val="en-US"/>
        </w:rPr>
        <w:t xml:space="preserve">, J.S., Li, J., Chen, E., Kent, D.G., Park, H.J., Green, A.R., 2016. JAK2V617F mediates resistance to DNA damage-induced apoptosis by modulating FOXO3A localization and </w:t>
      </w:r>
      <w:proofErr w:type="spellStart"/>
      <w:r w:rsidRPr="00427DC3">
        <w:rPr>
          <w:rFonts w:ascii="Arial" w:hAnsi="Arial" w:cs="Arial"/>
          <w:sz w:val="22"/>
          <w:szCs w:val="22"/>
          <w:lang w:val="en-US"/>
        </w:rPr>
        <w:t>Bcl-xL</w:t>
      </w:r>
      <w:proofErr w:type="spellEnd"/>
      <w:r w:rsidRPr="00427DC3">
        <w:rPr>
          <w:rFonts w:ascii="Arial" w:hAnsi="Arial" w:cs="Arial"/>
          <w:sz w:val="22"/>
          <w:szCs w:val="22"/>
          <w:lang w:val="en-US"/>
        </w:rPr>
        <w:t xml:space="preserve"> deamidation. Oncogene 35, 2235–2246. https://doi.org/10.1038/onc.2015.285</w:t>
      </w:r>
    </w:p>
    <w:p w14:paraId="326F77EC"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Alexander, A., Walker, C.L., 2010. Differential localization of ATM is correlated with activation of distinct downstream signaling pathways. Cell Cycle 9, 3685–3686. https://doi.org/10.4161/cc.9.18.13253</w:t>
      </w:r>
    </w:p>
    <w:p w14:paraId="795865AF"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Allan, J.M., Smith, A.G., Wheatley, K., Hills, R.K., Travis, L.B., Hill, D.A., </w:t>
      </w:r>
      <w:proofErr w:type="spellStart"/>
      <w:r w:rsidRPr="00427DC3">
        <w:rPr>
          <w:rFonts w:ascii="Arial" w:hAnsi="Arial" w:cs="Arial"/>
          <w:sz w:val="22"/>
          <w:szCs w:val="22"/>
          <w:lang w:val="en-US"/>
        </w:rPr>
        <w:t>Swirsky</w:t>
      </w:r>
      <w:proofErr w:type="spellEnd"/>
      <w:r w:rsidRPr="00427DC3">
        <w:rPr>
          <w:rFonts w:ascii="Arial" w:hAnsi="Arial" w:cs="Arial"/>
          <w:sz w:val="22"/>
          <w:szCs w:val="22"/>
          <w:lang w:val="en-US"/>
        </w:rPr>
        <w:t>, D.M., Morgan, G.J., Wild, C.P., 2004. Genetic variation in XPD predicts treatment outcome and risk of acute myeloid leukemia following chemotherapy. Blood 104, 3872–3877. https://doi.org/10.1182/blood-2004-06-2161</w:t>
      </w:r>
    </w:p>
    <w:p w14:paraId="4F41D951"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Arber, D.A., </w:t>
      </w:r>
      <w:proofErr w:type="spellStart"/>
      <w:r w:rsidRPr="00427DC3">
        <w:rPr>
          <w:rFonts w:ascii="Arial" w:hAnsi="Arial" w:cs="Arial"/>
          <w:sz w:val="22"/>
          <w:szCs w:val="22"/>
          <w:lang w:val="en-US"/>
        </w:rPr>
        <w:t>Orazi</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Hasserjian</w:t>
      </w:r>
      <w:proofErr w:type="spellEnd"/>
      <w:r w:rsidRPr="00427DC3">
        <w:rPr>
          <w:rFonts w:ascii="Arial" w:hAnsi="Arial" w:cs="Arial"/>
          <w:sz w:val="22"/>
          <w:szCs w:val="22"/>
          <w:lang w:val="en-US"/>
        </w:rPr>
        <w:t xml:space="preserve">, R., Thiele, J., Borowitz, M.J., Le Beau, M.M., Bloomfield, C.D., </w:t>
      </w:r>
      <w:proofErr w:type="spellStart"/>
      <w:r w:rsidRPr="00427DC3">
        <w:rPr>
          <w:rFonts w:ascii="Arial" w:hAnsi="Arial" w:cs="Arial"/>
          <w:sz w:val="22"/>
          <w:szCs w:val="22"/>
          <w:lang w:val="en-US"/>
        </w:rPr>
        <w:t>Cazzola</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Vardiman</w:t>
      </w:r>
      <w:proofErr w:type="spellEnd"/>
      <w:r w:rsidRPr="00427DC3">
        <w:rPr>
          <w:rFonts w:ascii="Arial" w:hAnsi="Arial" w:cs="Arial"/>
          <w:sz w:val="22"/>
          <w:szCs w:val="22"/>
          <w:lang w:val="en-US"/>
        </w:rPr>
        <w:t>, J.W., 2016. The 2016 revision to the World Health Organization classification of myeloid neoplasms and acute leukemia. Blood 127, 2391–2405. https://doi.org/10.1182/blood-2016-03-643544</w:t>
      </w:r>
    </w:p>
    <w:p w14:paraId="2C3AE44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Arranz</w:t>
      </w:r>
      <w:proofErr w:type="spellEnd"/>
      <w:r w:rsidRPr="00427DC3">
        <w:rPr>
          <w:rFonts w:ascii="Arial" w:hAnsi="Arial" w:cs="Arial"/>
          <w:sz w:val="22"/>
          <w:szCs w:val="22"/>
          <w:lang w:val="en-US"/>
        </w:rPr>
        <w:t xml:space="preserve">, L., Sánchez-Aguilera, A., Martín-Pérez, D., </w:t>
      </w:r>
      <w:proofErr w:type="spellStart"/>
      <w:r w:rsidRPr="00427DC3">
        <w:rPr>
          <w:rFonts w:ascii="Arial" w:hAnsi="Arial" w:cs="Arial"/>
          <w:sz w:val="22"/>
          <w:szCs w:val="22"/>
          <w:lang w:val="en-US"/>
        </w:rPr>
        <w:t>Isern</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Langa</w:t>
      </w:r>
      <w:proofErr w:type="spellEnd"/>
      <w:r w:rsidRPr="00427DC3">
        <w:rPr>
          <w:rFonts w:ascii="Arial" w:hAnsi="Arial" w:cs="Arial"/>
          <w:sz w:val="22"/>
          <w:szCs w:val="22"/>
          <w:lang w:val="en-US"/>
        </w:rPr>
        <w:t xml:space="preserve">, X., </w:t>
      </w:r>
      <w:proofErr w:type="spellStart"/>
      <w:r w:rsidRPr="00427DC3">
        <w:rPr>
          <w:rFonts w:ascii="Arial" w:hAnsi="Arial" w:cs="Arial"/>
          <w:sz w:val="22"/>
          <w:szCs w:val="22"/>
          <w:lang w:val="en-US"/>
        </w:rPr>
        <w:t>Tzankov</w:t>
      </w:r>
      <w:proofErr w:type="spellEnd"/>
      <w:r w:rsidRPr="00427DC3">
        <w:rPr>
          <w:rFonts w:ascii="Arial" w:hAnsi="Arial" w:cs="Arial"/>
          <w:sz w:val="22"/>
          <w:szCs w:val="22"/>
          <w:lang w:val="en-US"/>
        </w:rPr>
        <w:t xml:space="preserve">, A., Lundberg, P., </w:t>
      </w:r>
      <w:proofErr w:type="spellStart"/>
      <w:r w:rsidRPr="00427DC3">
        <w:rPr>
          <w:rFonts w:ascii="Arial" w:hAnsi="Arial" w:cs="Arial"/>
          <w:sz w:val="22"/>
          <w:szCs w:val="22"/>
          <w:lang w:val="en-US"/>
        </w:rPr>
        <w:t>Muntión</w:t>
      </w:r>
      <w:proofErr w:type="spellEnd"/>
      <w:r w:rsidRPr="00427DC3">
        <w:rPr>
          <w:rFonts w:ascii="Arial" w:hAnsi="Arial" w:cs="Arial"/>
          <w:sz w:val="22"/>
          <w:szCs w:val="22"/>
          <w:lang w:val="en-US"/>
        </w:rPr>
        <w:t xml:space="preserve">, S., Tzeng, Y.-S., Lai, D.-M., </w:t>
      </w:r>
      <w:proofErr w:type="spellStart"/>
      <w:r w:rsidRPr="00427DC3">
        <w:rPr>
          <w:rFonts w:ascii="Arial" w:hAnsi="Arial" w:cs="Arial"/>
          <w:sz w:val="22"/>
          <w:szCs w:val="22"/>
          <w:lang w:val="en-US"/>
        </w:rPr>
        <w:t>Schwaller</w:t>
      </w:r>
      <w:proofErr w:type="spellEnd"/>
      <w:r w:rsidRPr="00427DC3">
        <w:rPr>
          <w:rFonts w:ascii="Arial" w:hAnsi="Arial" w:cs="Arial"/>
          <w:sz w:val="22"/>
          <w:szCs w:val="22"/>
          <w:lang w:val="en-US"/>
        </w:rPr>
        <w:t xml:space="preserve">, J., Skoda, R.C., Méndez-Ferrer, S., 2014. Neuropathy of </w:t>
      </w:r>
      <w:proofErr w:type="spellStart"/>
      <w:r w:rsidRPr="00427DC3">
        <w:rPr>
          <w:rFonts w:ascii="Arial" w:hAnsi="Arial" w:cs="Arial"/>
          <w:sz w:val="22"/>
          <w:szCs w:val="22"/>
          <w:lang w:val="en-US"/>
        </w:rPr>
        <w:t>haematopoietic</w:t>
      </w:r>
      <w:proofErr w:type="spellEnd"/>
      <w:r w:rsidRPr="00427DC3">
        <w:rPr>
          <w:rFonts w:ascii="Arial" w:hAnsi="Arial" w:cs="Arial"/>
          <w:sz w:val="22"/>
          <w:szCs w:val="22"/>
          <w:lang w:val="en-US"/>
        </w:rPr>
        <w:t xml:space="preserve"> stem cell niche is essential for myeloproliferative neoplasms. Nature 512, 78–81. https://doi.org/10.1038/nature13383</w:t>
      </w:r>
    </w:p>
    <w:p w14:paraId="6A532D56"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Arthur, J.S.C., Ley, S.C., 2013. Mitogen-activated protein kinases in innate immunity. Nat. Rev. Immunol. 13, 679–692. https://doi.org/10.1038/nri3495</w:t>
      </w:r>
    </w:p>
    <w:p w14:paraId="13FF1E07"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Auerbach, A.D., 1992. Fanconi anemia and leukemia: tracking the genes. Leukemia 6 Suppl 1, 1–4.</w:t>
      </w:r>
    </w:p>
    <w:p w14:paraId="3D2FA798"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Baba, T., Tanabe, Y., Yoshikawa, S., </w:t>
      </w:r>
      <w:proofErr w:type="spellStart"/>
      <w:r w:rsidRPr="00427DC3">
        <w:rPr>
          <w:rFonts w:ascii="Arial" w:hAnsi="Arial" w:cs="Arial"/>
          <w:sz w:val="22"/>
          <w:szCs w:val="22"/>
          <w:lang w:val="en-US"/>
        </w:rPr>
        <w:t>Yamanishi</w:t>
      </w:r>
      <w:proofErr w:type="spellEnd"/>
      <w:r w:rsidRPr="00427DC3">
        <w:rPr>
          <w:rFonts w:ascii="Arial" w:hAnsi="Arial" w:cs="Arial"/>
          <w:sz w:val="22"/>
          <w:szCs w:val="22"/>
          <w:lang w:val="en-US"/>
        </w:rPr>
        <w:t xml:space="preserve">, Y., </w:t>
      </w:r>
      <w:proofErr w:type="spellStart"/>
      <w:r w:rsidRPr="00427DC3">
        <w:rPr>
          <w:rFonts w:ascii="Arial" w:hAnsi="Arial" w:cs="Arial"/>
          <w:sz w:val="22"/>
          <w:szCs w:val="22"/>
          <w:lang w:val="en-US"/>
        </w:rPr>
        <w:t>Morishita</w:t>
      </w:r>
      <w:proofErr w:type="spellEnd"/>
      <w:r w:rsidRPr="00427DC3">
        <w:rPr>
          <w:rFonts w:ascii="Arial" w:hAnsi="Arial" w:cs="Arial"/>
          <w:sz w:val="22"/>
          <w:szCs w:val="22"/>
          <w:lang w:val="en-US"/>
        </w:rPr>
        <w:t xml:space="preserve">, S., Komatsu, N., </w:t>
      </w:r>
      <w:proofErr w:type="spellStart"/>
      <w:r w:rsidRPr="00427DC3">
        <w:rPr>
          <w:rFonts w:ascii="Arial" w:hAnsi="Arial" w:cs="Arial"/>
          <w:sz w:val="22"/>
          <w:szCs w:val="22"/>
          <w:lang w:val="en-US"/>
        </w:rPr>
        <w:t>Karasuyama</w:t>
      </w:r>
      <w:proofErr w:type="spellEnd"/>
      <w:r w:rsidRPr="00427DC3">
        <w:rPr>
          <w:rFonts w:ascii="Arial" w:hAnsi="Arial" w:cs="Arial"/>
          <w:sz w:val="22"/>
          <w:szCs w:val="22"/>
          <w:lang w:val="en-US"/>
        </w:rPr>
        <w:t xml:space="preserve">, H., </w:t>
      </w:r>
      <w:proofErr w:type="spellStart"/>
      <w:r w:rsidRPr="00427DC3">
        <w:rPr>
          <w:rFonts w:ascii="Arial" w:hAnsi="Arial" w:cs="Arial"/>
          <w:sz w:val="22"/>
          <w:szCs w:val="22"/>
          <w:lang w:val="en-US"/>
        </w:rPr>
        <w:t>Hirao</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Mukaida</w:t>
      </w:r>
      <w:proofErr w:type="spellEnd"/>
      <w:r w:rsidRPr="00427DC3">
        <w:rPr>
          <w:rFonts w:ascii="Arial" w:hAnsi="Arial" w:cs="Arial"/>
          <w:sz w:val="22"/>
          <w:szCs w:val="22"/>
          <w:lang w:val="en-US"/>
        </w:rPr>
        <w:t>, N., 2016. MIP-1</w:t>
      </w:r>
      <w:r w:rsidRPr="00427DC3">
        <w:rPr>
          <w:rFonts w:ascii="Arial" w:hAnsi="Arial" w:cs="Arial"/>
          <w:sz w:val="22"/>
          <w:szCs w:val="22"/>
          <w:lang w:val="de-DE"/>
        </w:rPr>
        <w:t>α</w:t>
      </w:r>
      <w:r w:rsidRPr="00427DC3">
        <w:rPr>
          <w:rFonts w:ascii="Arial" w:hAnsi="Arial" w:cs="Arial"/>
          <w:sz w:val="22"/>
          <w:szCs w:val="22"/>
          <w:lang w:val="en-US"/>
        </w:rPr>
        <w:t>/CCL3-expressing basophil-lineage cells drive the leukemic hematopoiesis of chronic myeloid leukemia in mice. Blood 127, 2607–2617. https://doi.org/10.1182/blood-2015-10-673087</w:t>
      </w:r>
    </w:p>
    <w:p w14:paraId="683D3CC5"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Babicki</w:t>
      </w:r>
      <w:proofErr w:type="spellEnd"/>
      <w:r w:rsidRPr="00427DC3">
        <w:rPr>
          <w:rFonts w:ascii="Arial" w:hAnsi="Arial" w:cs="Arial"/>
          <w:sz w:val="22"/>
          <w:szCs w:val="22"/>
          <w:lang w:val="en-US"/>
        </w:rPr>
        <w:t xml:space="preserve">, S., Arndt, D., </w:t>
      </w:r>
      <w:proofErr w:type="spellStart"/>
      <w:r w:rsidRPr="00427DC3">
        <w:rPr>
          <w:rFonts w:ascii="Arial" w:hAnsi="Arial" w:cs="Arial"/>
          <w:sz w:val="22"/>
          <w:szCs w:val="22"/>
          <w:lang w:val="en-US"/>
        </w:rPr>
        <w:t>Marcu</w:t>
      </w:r>
      <w:proofErr w:type="spellEnd"/>
      <w:r w:rsidRPr="00427DC3">
        <w:rPr>
          <w:rFonts w:ascii="Arial" w:hAnsi="Arial" w:cs="Arial"/>
          <w:sz w:val="22"/>
          <w:szCs w:val="22"/>
          <w:lang w:val="en-US"/>
        </w:rPr>
        <w:t xml:space="preserve">, A., Liang, Y., Grant, J.R., </w:t>
      </w:r>
      <w:proofErr w:type="spellStart"/>
      <w:r w:rsidRPr="00427DC3">
        <w:rPr>
          <w:rFonts w:ascii="Arial" w:hAnsi="Arial" w:cs="Arial"/>
          <w:sz w:val="22"/>
          <w:szCs w:val="22"/>
          <w:lang w:val="en-US"/>
        </w:rPr>
        <w:t>Maciejewski</w:t>
      </w:r>
      <w:proofErr w:type="spellEnd"/>
      <w:r w:rsidRPr="00427DC3">
        <w:rPr>
          <w:rFonts w:ascii="Arial" w:hAnsi="Arial" w:cs="Arial"/>
          <w:sz w:val="22"/>
          <w:szCs w:val="22"/>
          <w:lang w:val="en-US"/>
        </w:rPr>
        <w:t xml:space="preserve">, A., Wishart, D.S., 2016. </w:t>
      </w:r>
      <w:proofErr w:type="spellStart"/>
      <w:r w:rsidRPr="00427DC3">
        <w:rPr>
          <w:rFonts w:ascii="Arial" w:hAnsi="Arial" w:cs="Arial"/>
          <w:sz w:val="22"/>
          <w:szCs w:val="22"/>
          <w:lang w:val="en-US"/>
        </w:rPr>
        <w:t>Heatmapper</w:t>
      </w:r>
      <w:proofErr w:type="spellEnd"/>
      <w:r w:rsidRPr="00427DC3">
        <w:rPr>
          <w:rFonts w:ascii="Arial" w:hAnsi="Arial" w:cs="Arial"/>
          <w:sz w:val="22"/>
          <w:szCs w:val="22"/>
          <w:lang w:val="en-US"/>
        </w:rPr>
        <w:t>: web-enabled heat mapping for all. Nucleic Acids Res 44, W147–W153. https://doi.org/10.1093/nar/gkw419</w:t>
      </w:r>
    </w:p>
    <w:p w14:paraId="10514782"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Balazs</w:t>
      </w:r>
      <w:proofErr w:type="spellEnd"/>
      <w:r w:rsidRPr="00427DC3">
        <w:rPr>
          <w:rFonts w:ascii="Arial" w:hAnsi="Arial" w:cs="Arial"/>
          <w:sz w:val="22"/>
          <w:szCs w:val="22"/>
          <w:lang w:val="en-US"/>
        </w:rPr>
        <w:t xml:space="preserve">, A.B., Fabian, A.J., </w:t>
      </w:r>
      <w:proofErr w:type="spellStart"/>
      <w:r w:rsidRPr="00427DC3">
        <w:rPr>
          <w:rFonts w:ascii="Arial" w:hAnsi="Arial" w:cs="Arial"/>
          <w:sz w:val="22"/>
          <w:szCs w:val="22"/>
          <w:lang w:val="en-US"/>
        </w:rPr>
        <w:t>Esmon</w:t>
      </w:r>
      <w:proofErr w:type="spellEnd"/>
      <w:r w:rsidRPr="00427DC3">
        <w:rPr>
          <w:rFonts w:ascii="Arial" w:hAnsi="Arial" w:cs="Arial"/>
          <w:sz w:val="22"/>
          <w:szCs w:val="22"/>
          <w:lang w:val="en-US"/>
        </w:rPr>
        <w:t>, C.T., Mulligan, R.C., 2006. Endothelial protein C receptor (CD201) explicitly identifies hematopoietic stem cells in murine bone marrow. Blood 107, 2317–2321. https://doi.org/10.1182/blood-2005-06-2249</w:t>
      </w:r>
    </w:p>
    <w:p w14:paraId="1930F5F5"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Baldridge, M.T., King, K.Y., Boles, N.C., </w:t>
      </w:r>
      <w:proofErr w:type="spellStart"/>
      <w:r w:rsidRPr="00427DC3">
        <w:rPr>
          <w:rFonts w:ascii="Arial" w:hAnsi="Arial" w:cs="Arial"/>
          <w:sz w:val="22"/>
          <w:szCs w:val="22"/>
          <w:lang w:val="en-US"/>
        </w:rPr>
        <w:t>Weksberg</w:t>
      </w:r>
      <w:proofErr w:type="spellEnd"/>
      <w:r w:rsidRPr="00427DC3">
        <w:rPr>
          <w:rFonts w:ascii="Arial" w:hAnsi="Arial" w:cs="Arial"/>
          <w:sz w:val="22"/>
          <w:szCs w:val="22"/>
          <w:lang w:val="en-US"/>
        </w:rPr>
        <w:t>, D.C., Goodell, M.A., 2010. Quiescent hematopoietic stem cells are activated by IFN</w:t>
      </w:r>
      <w:r w:rsidRPr="00427DC3">
        <w:rPr>
          <w:rFonts w:ascii="Arial" w:hAnsi="Arial" w:cs="Arial"/>
          <w:sz w:val="22"/>
          <w:szCs w:val="22"/>
          <w:lang w:val="de-DE"/>
        </w:rPr>
        <w:t>γ</w:t>
      </w:r>
      <w:r w:rsidRPr="00427DC3">
        <w:rPr>
          <w:rFonts w:ascii="Arial" w:hAnsi="Arial" w:cs="Arial"/>
          <w:sz w:val="22"/>
          <w:szCs w:val="22"/>
          <w:lang w:val="en-US"/>
        </w:rPr>
        <w:t xml:space="preserve"> in response to chronic infection. Nature 465, 793–797. https://doi.org/10.1038/nature09135</w:t>
      </w:r>
    </w:p>
    <w:p w14:paraId="06588688"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Bănescu</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Duicu</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Trifa</w:t>
      </w:r>
      <w:proofErr w:type="spellEnd"/>
      <w:r w:rsidRPr="00427DC3">
        <w:rPr>
          <w:rFonts w:ascii="Arial" w:hAnsi="Arial" w:cs="Arial"/>
          <w:sz w:val="22"/>
          <w:szCs w:val="22"/>
          <w:lang w:val="en-US"/>
        </w:rPr>
        <w:t xml:space="preserve">, A.P., </w:t>
      </w:r>
      <w:proofErr w:type="spellStart"/>
      <w:r w:rsidRPr="00427DC3">
        <w:rPr>
          <w:rFonts w:ascii="Arial" w:hAnsi="Arial" w:cs="Arial"/>
          <w:sz w:val="22"/>
          <w:szCs w:val="22"/>
          <w:lang w:val="en-US"/>
        </w:rPr>
        <w:t>Dobreanu</w:t>
      </w:r>
      <w:proofErr w:type="spellEnd"/>
      <w:r w:rsidRPr="00427DC3">
        <w:rPr>
          <w:rFonts w:ascii="Arial" w:hAnsi="Arial" w:cs="Arial"/>
          <w:sz w:val="22"/>
          <w:szCs w:val="22"/>
          <w:lang w:val="en-US"/>
        </w:rPr>
        <w:t xml:space="preserve">, M., 2014. XRCC1 Arg194Trp and </w:t>
      </w:r>
      <w:r w:rsidRPr="00427DC3">
        <w:rPr>
          <w:rFonts w:ascii="Arial" w:hAnsi="Arial" w:cs="Arial"/>
          <w:sz w:val="22"/>
          <w:szCs w:val="22"/>
          <w:lang w:val="en-US"/>
        </w:rPr>
        <w:lastRenderedPageBreak/>
        <w:t xml:space="preserve">Arg399Gln polymorphisms are significantly associated with shorter survival in acute myeloid leukemia. </w:t>
      </w:r>
      <w:proofErr w:type="spellStart"/>
      <w:r w:rsidRPr="00427DC3">
        <w:rPr>
          <w:rFonts w:ascii="Arial" w:hAnsi="Arial" w:cs="Arial"/>
          <w:sz w:val="22"/>
          <w:szCs w:val="22"/>
          <w:lang w:val="en-US"/>
        </w:rPr>
        <w:t>Leuk</w:t>
      </w:r>
      <w:proofErr w:type="spellEnd"/>
      <w:r w:rsidRPr="00427DC3">
        <w:rPr>
          <w:rFonts w:ascii="Arial" w:hAnsi="Arial" w:cs="Arial"/>
          <w:sz w:val="22"/>
          <w:szCs w:val="22"/>
          <w:lang w:val="en-US"/>
        </w:rPr>
        <w:t>. Lymphoma 55, 365–370. https://doi.org/10.3109/10428194.2013.802781</w:t>
      </w:r>
    </w:p>
    <w:p w14:paraId="0D2DD0AC"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Bartek, J., </w:t>
      </w:r>
      <w:proofErr w:type="spellStart"/>
      <w:r w:rsidRPr="00427DC3">
        <w:rPr>
          <w:rFonts w:ascii="Arial" w:hAnsi="Arial" w:cs="Arial"/>
          <w:sz w:val="22"/>
          <w:szCs w:val="22"/>
          <w:lang w:val="en-US"/>
        </w:rPr>
        <w:t>Hodny</w:t>
      </w:r>
      <w:proofErr w:type="spellEnd"/>
      <w:r w:rsidRPr="00427DC3">
        <w:rPr>
          <w:rFonts w:ascii="Arial" w:hAnsi="Arial" w:cs="Arial"/>
          <w:sz w:val="22"/>
          <w:szCs w:val="22"/>
          <w:lang w:val="en-US"/>
        </w:rPr>
        <w:t>, Z., Lukas, J., 2008. Cytokine loops driving senescence. Nat. Cell Biol. 10, 887–889. https://doi.org/10.1038/ncb0808-887</w:t>
      </w:r>
    </w:p>
    <w:p w14:paraId="31AB11F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Bartkova</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Horejsí</w:t>
      </w:r>
      <w:proofErr w:type="spellEnd"/>
      <w:r w:rsidRPr="00427DC3">
        <w:rPr>
          <w:rFonts w:ascii="Arial" w:hAnsi="Arial" w:cs="Arial"/>
          <w:sz w:val="22"/>
          <w:szCs w:val="22"/>
          <w:lang w:val="en-US"/>
        </w:rPr>
        <w:t xml:space="preserve">, Z., </w:t>
      </w:r>
      <w:proofErr w:type="spellStart"/>
      <w:r w:rsidRPr="00427DC3">
        <w:rPr>
          <w:rFonts w:ascii="Arial" w:hAnsi="Arial" w:cs="Arial"/>
          <w:sz w:val="22"/>
          <w:szCs w:val="22"/>
          <w:lang w:val="en-US"/>
        </w:rPr>
        <w:t>Koed</w:t>
      </w:r>
      <w:proofErr w:type="spellEnd"/>
      <w:r w:rsidRPr="00427DC3">
        <w:rPr>
          <w:rFonts w:ascii="Arial" w:hAnsi="Arial" w:cs="Arial"/>
          <w:sz w:val="22"/>
          <w:szCs w:val="22"/>
          <w:lang w:val="en-US"/>
        </w:rPr>
        <w:t xml:space="preserve">, K., </w:t>
      </w:r>
      <w:proofErr w:type="spellStart"/>
      <w:r w:rsidRPr="00427DC3">
        <w:rPr>
          <w:rFonts w:ascii="Arial" w:hAnsi="Arial" w:cs="Arial"/>
          <w:sz w:val="22"/>
          <w:szCs w:val="22"/>
          <w:lang w:val="en-US"/>
        </w:rPr>
        <w:t>Krämer</w:t>
      </w:r>
      <w:proofErr w:type="spellEnd"/>
      <w:r w:rsidRPr="00427DC3">
        <w:rPr>
          <w:rFonts w:ascii="Arial" w:hAnsi="Arial" w:cs="Arial"/>
          <w:sz w:val="22"/>
          <w:szCs w:val="22"/>
          <w:lang w:val="en-US"/>
        </w:rPr>
        <w:t xml:space="preserve">, A., Tort, F., </w:t>
      </w:r>
      <w:proofErr w:type="spellStart"/>
      <w:r w:rsidRPr="00427DC3">
        <w:rPr>
          <w:rFonts w:ascii="Arial" w:hAnsi="Arial" w:cs="Arial"/>
          <w:sz w:val="22"/>
          <w:szCs w:val="22"/>
          <w:lang w:val="en-US"/>
        </w:rPr>
        <w:t>Zieger</w:t>
      </w:r>
      <w:proofErr w:type="spellEnd"/>
      <w:r w:rsidRPr="00427DC3">
        <w:rPr>
          <w:rFonts w:ascii="Arial" w:hAnsi="Arial" w:cs="Arial"/>
          <w:sz w:val="22"/>
          <w:szCs w:val="22"/>
          <w:lang w:val="en-US"/>
        </w:rPr>
        <w:t xml:space="preserve">, K., Guldberg, P., </w:t>
      </w:r>
      <w:proofErr w:type="spellStart"/>
      <w:r w:rsidRPr="00427DC3">
        <w:rPr>
          <w:rFonts w:ascii="Arial" w:hAnsi="Arial" w:cs="Arial"/>
          <w:sz w:val="22"/>
          <w:szCs w:val="22"/>
          <w:lang w:val="en-US"/>
        </w:rPr>
        <w:t>Sehested</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Nesland</w:t>
      </w:r>
      <w:proofErr w:type="spellEnd"/>
      <w:r w:rsidRPr="00427DC3">
        <w:rPr>
          <w:rFonts w:ascii="Arial" w:hAnsi="Arial" w:cs="Arial"/>
          <w:sz w:val="22"/>
          <w:szCs w:val="22"/>
          <w:lang w:val="en-US"/>
        </w:rPr>
        <w:t xml:space="preserve">, J.M., Lukas, C., </w:t>
      </w:r>
      <w:proofErr w:type="spellStart"/>
      <w:r w:rsidRPr="00427DC3">
        <w:rPr>
          <w:rFonts w:ascii="Arial" w:hAnsi="Arial" w:cs="Arial"/>
          <w:sz w:val="22"/>
          <w:szCs w:val="22"/>
          <w:lang w:val="en-US"/>
        </w:rPr>
        <w:t>Ørntoft</w:t>
      </w:r>
      <w:proofErr w:type="spellEnd"/>
      <w:r w:rsidRPr="00427DC3">
        <w:rPr>
          <w:rFonts w:ascii="Arial" w:hAnsi="Arial" w:cs="Arial"/>
          <w:sz w:val="22"/>
          <w:szCs w:val="22"/>
          <w:lang w:val="en-US"/>
        </w:rPr>
        <w:t>, T., Lukas, J., Bartek, J., 2005. DNA damage response as a candidate anti-cancer barrier in early human tumorigenesis. Nature 434, 864–870. https://doi.org/10.1038/nature03482</w:t>
      </w:r>
    </w:p>
    <w:p w14:paraId="0ADD8634"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Baxter, E.J., Scott, L.M., Campbell, P.J., East, C., </w:t>
      </w:r>
      <w:proofErr w:type="spellStart"/>
      <w:r w:rsidRPr="00427DC3">
        <w:rPr>
          <w:rFonts w:ascii="Arial" w:hAnsi="Arial" w:cs="Arial"/>
          <w:sz w:val="22"/>
          <w:szCs w:val="22"/>
          <w:lang w:val="en-US"/>
        </w:rPr>
        <w:t>Fourouclas</w:t>
      </w:r>
      <w:proofErr w:type="spellEnd"/>
      <w:r w:rsidRPr="00427DC3">
        <w:rPr>
          <w:rFonts w:ascii="Arial" w:hAnsi="Arial" w:cs="Arial"/>
          <w:sz w:val="22"/>
          <w:szCs w:val="22"/>
          <w:lang w:val="en-US"/>
        </w:rPr>
        <w:t xml:space="preserve">, N., Swanton, S., </w:t>
      </w:r>
      <w:proofErr w:type="spellStart"/>
      <w:r w:rsidRPr="00427DC3">
        <w:rPr>
          <w:rFonts w:ascii="Arial" w:hAnsi="Arial" w:cs="Arial"/>
          <w:sz w:val="22"/>
          <w:szCs w:val="22"/>
          <w:lang w:val="en-US"/>
        </w:rPr>
        <w:t>Vassiliou</w:t>
      </w:r>
      <w:proofErr w:type="spellEnd"/>
      <w:r w:rsidRPr="00427DC3">
        <w:rPr>
          <w:rFonts w:ascii="Arial" w:hAnsi="Arial" w:cs="Arial"/>
          <w:sz w:val="22"/>
          <w:szCs w:val="22"/>
          <w:lang w:val="en-US"/>
        </w:rPr>
        <w:t xml:space="preserve">, G.S., Bench, A.J., Boyd, E.M., Curtin, N., Scott, M.A., </w:t>
      </w:r>
      <w:proofErr w:type="spellStart"/>
      <w:r w:rsidRPr="00427DC3">
        <w:rPr>
          <w:rFonts w:ascii="Arial" w:hAnsi="Arial" w:cs="Arial"/>
          <w:sz w:val="22"/>
          <w:szCs w:val="22"/>
          <w:lang w:val="en-US"/>
        </w:rPr>
        <w:t>Erber</w:t>
      </w:r>
      <w:proofErr w:type="spellEnd"/>
      <w:r w:rsidRPr="00427DC3">
        <w:rPr>
          <w:rFonts w:ascii="Arial" w:hAnsi="Arial" w:cs="Arial"/>
          <w:sz w:val="22"/>
          <w:szCs w:val="22"/>
          <w:lang w:val="en-US"/>
        </w:rPr>
        <w:t>, W.N., Green, A.R., Cancer Genome Project, 2005. Acquired mutation of the tyrosine kinase JAK2 in human myeloproliferative disorders. Lancet 365, 1054–1061. https://doi.org/10.1016/S0140-6736(05)71142-9</w:t>
      </w:r>
    </w:p>
    <w:p w14:paraId="6F723F52"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Bennett, B.T., </w:t>
      </w:r>
      <w:proofErr w:type="spellStart"/>
      <w:r w:rsidRPr="00427DC3">
        <w:rPr>
          <w:rFonts w:ascii="Arial" w:hAnsi="Arial" w:cs="Arial"/>
          <w:sz w:val="22"/>
          <w:szCs w:val="22"/>
          <w:lang w:val="en-US"/>
        </w:rPr>
        <w:t>Bewersdorf</w:t>
      </w:r>
      <w:proofErr w:type="spellEnd"/>
      <w:r w:rsidRPr="00427DC3">
        <w:rPr>
          <w:rFonts w:ascii="Arial" w:hAnsi="Arial" w:cs="Arial"/>
          <w:sz w:val="22"/>
          <w:szCs w:val="22"/>
          <w:lang w:val="en-US"/>
        </w:rPr>
        <w:t>, J., Knight, K.L., 2009. Immunofluorescence imaging of DNA damage response proteins: optimizing protocols for super-resolution microscopy. Methods 48, 63–71. https://doi.org/10.1016/j.ymeth.2009.02.009</w:t>
      </w:r>
    </w:p>
    <w:p w14:paraId="0CF4231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Ben-Yehuda, D., </w:t>
      </w:r>
      <w:proofErr w:type="spellStart"/>
      <w:r w:rsidRPr="00427DC3">
        <w:rPr>
          <w:rFonts w:ascii="Arial" w:hAnsi="Arial" w:cs="Arial"/>
          <w:sz w:val="22"/>
          <w:szCs w:val="22"/>
          <w:lang w:val="en-US"/>
        </w:rPr>
        <w:t>Krichevsky</w:t>
      </w:r>
      <w:proofErr w:type="spellEnd"/>
      <w:r w:rsidRPr="00427DC3">
        <w:rPr>
          <w:rFonts w:ascii="Arial" w:hAnsi="Arial" w:cs="Arial"/>
          <w:sz w:val="22"/>
          <w:szCs w:val="22"/>
          <w:lang w:val="en-US"/>
        </w:rPr>
        <w:t xml:space="preserve">, S., Caspi, O., </w:t>
      </w:r>
      <w:proofErr w:type="spellStart"/>
      <w:r w:rsidRPr="00427DC3">
        <w:rPr>
          <w:rFonts w:ascii="Arial" w:hAnsi="Arial" w:cs="Arial"/>
          <w:sz w:val="22"/>
          <w:szCs w:val="22"/>
          <w:lang w:val="en-US"/>
        </w:rPr>
        <w:t>Rund</w:t>
      </w:r>
      <w:proofErr w:type="spellEnd"/>
      <w:r w:rsidRPr="00427DC3">
        <w:rPr>
          <w:rFonts w:ascii="Arial" w:hAnsi="Arial" w:cs="Arial"/>
          <w:sz w:val="22"/>
          <w:szCs w:val="22"/>
          <w:lang w:val="en-US"/>
        </w:rPr>
        <w:t xml:space="preserve">, D., </w:t>
      </w:r>
      <w:proofErr w:type="spellStart"/>
      <w:r w:rsidRPr="00427DC3">
        <w:rPr>
          <w:rFonts w:ascii="Arial" w:hAnsi="Arial" w:cs="Arial"/>
          <w:sz w:val="22"/>
          <w:szCs w:val="22"/>
          <w:lang w:val="en-US"/>
        </w:rPr>
        <w:t>Polliack</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Abeliovich</w:t>
      </w:r>
      <w:proofErr w:type="spellEnd"/>
      <w:r w:rsidRPr="00427DC3">
        <w:rPr>
          <w:rFonts w:ascii="Arial" w:hAnsi="Arial" w:cs="Arial"/>
          <w:sz w:val="22"/>
          <w:szCs w:val="22"/>
          <w:lang w:val="en-US"/>
        </w:rPr>
        <w:t xml:space="preserve">, D., Zelig, O., Yahalom, V., </w:t>
      </w:r>
      <w:proofErr w:type="spellStart"/>
      <w:r w:rsidRPr="00427DC3">
        <w:rPr>
          <w:rFonts w:ascii="Arial" w:hAnsi="Arial" w:cs="Arial"/>
          <w:sz w:val="22"/>
          <w:szCs w:val="22"/>
          <w:lang w:val="en-US"/>
        </w:rPr>
        <w:t>Paltiel</w:t>
      </w:r>
      <w:proofErr w:type="spellEnd"/>
      <w:r w:rsidRPr="00427DC3">
        <w:rPr>
          <w:rFonts w:ascii="Arial" w:hAnsi="Arial" w:cs="Arial"/>
          <w:sz w:val="22"/>
          <w:szCs w:val="22"/>
          <w:lang w:val="en-US"/>
        </w:rPr>
        <w:t xml:space="preserve">, O., Or, R., </w:t>
      </w:r>
      <w:proofErr w:type="spellStart"/>
      <w:r w:rsidRPr="00427DC3">
        <w:rPr>
          <w:rFonts w:ascii="Arial" w:hAnsi="Arial" w:cs="Arial"/>
          <w:sz w:val="22"/>
          <w:szCs w:val="22"/>
          <w:lang w:val="en-US"/>
        </w:rPr>
        <w:t>Peretz</w:t>
      </w:r>
      <w:proofErr w:type="spellEnd"/>
      <w:r w:rsidRPr="00427DC3">
        <w:rPr>
          <w:rFonts w:ascii="Arial" w:hAnsi="Arial" w:cs="Arial"/>
          <w:sz w:val="22"/>
          <w:szCs w:val="22"/>
          <w:lang w:val="en-US"/>
        </w:rPr>
        <w:t xml:space="preserve">, T., Ben-Neriah, S., Yehuda, O., </w:t>
      </w:r>
      <w:proofErr w:type="spellStart"/>
      <w:r w:rsidRPr="00427DC3">
        <w:rPr>
          <w:rFonts w:ascii="Arial" w:hAnsi="Arial" w:cs="Arial"/>
          <w:sz w:val="22"/>
          <w:szCs w:val="22"/>
          <w:lang w:val="en-US"/>
        </w:rPr>
        <w:t>Rachmilewitz</w:t>
      </w:r>
      <w:proofErr w:type="spellEnd"/>
      <w:r w:rsidRPr="00427DC3">
        <w:rPr>
          <w:rFonts w:ascii="Arial" w:hAnsi="Arial" w:cs="Arial"/>
          <w:sz w:val="22"/>
          <w:szCs w:val="22"/>
          <w:lang w:val="en-US"/>
        </w:rPr>
        <w:t>, E.A., 1996. Microsatellite instability and p53 mutations in therapy-related leukemia suggest mutator phenotype. Blood 88, 4296–4303.</w:t>
      </w:r>
    </w:p>
    <w:p w14:paraId="0CF36F18"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Beutler</w:t>
      </w:r>
      <w:proofErr w:type="spellEnd"/>
      <w:r w:rsidRPr="00427DC3">
        <w:rPr>
          <w:rFonts w:ascii="Arial" w:hAnsi="Arial" w:cs="Arial"/>
          <w:sz w:val="22"/>
          <w:szCs w:val="22"/>
          <w:lang w:val="en-US"/>
        </w:rPr>
        <w:t xml:space="preserve">, E., Blume, K.G., Kaplan, J.C., </w:t>
      </w:r>
      <w:proofErr w:type="spellStart"/>
      <w:r w:rsidRPr="00427DC3">
        <w:rPr>
          <w:rFonts w:ascii="Arial" w:hAnsi="Arial" w:cs="Arial"/>
          <w:sz w:val="22"/>
          <w:szCs w:val="22"/>
          <w:lang w:val="en-US"/>
        </w:rPr>
        <w:t>Löhr</w:t>
      </w:r>
      <w:proofErr w:type="spellEnd"/>
      <w:r w:rsidRPr="00427DC3">
        <w:rPr>
          <w:rFonts w:ascii="Arial" w:hAnsi="Arial" w:cs="Arial"/>
          <w:sz w:val="22"/>
          <w:szCs w:val="22"/>
          <w:lang w:val="en-US"/>
        </w:rPr>
        <w:t xml:space="preserve">, G.W., </w:t>
      </w:r>
      <w:proofErr w:type="spellStart"/>
      <w:r w:rsidRPr="00427DC3">
        <w:rPr>
          <w:rFonts w:ascii="Arial" w:hAnsi="Arial" w:cs="Arial"/>
          <w:sz w:val="22"/>
          <w:szCs w:val="22"/>
          <w:lang w:val="en-US"/>
        </w:rPr>
        <w:t>Ramot</w:t>
      </w:r>
      <w:proofErr w:type="spellEnd"/>
      <w:r w:rsidRPr="00427DC3">
        <w:rPr>
          <w:rFonts w:ascii="Arial" w:hAnsi="Arial" w:cs="Arial"/>
          <w:sz w:val="22"/>
          <w:szCs w:val="22"/>
          <w:lang w:val="en-US"/>
        </w:rPr>
        <w:t xml:space="preserve">, B., Valentine, W.N., 1977. International Committee for Standardization in </w:t>
      </w:r>
      <w:proofErr w:type="spellStart"/>
      <w:r w:rsidRPr="00427DC3">
        <w:rPr>
          <w:rFonts w:ascii="Arial" w:hAnsi="Arial" w:cs="Arial"/>
          <w:sz w:val="22"/>
          <w:szCs w:val="22"/>
          <w:lang w:val="en-US"/>
        </w:rPr>
        <w:t>Haematology</w:t>
      </w:r>
      <w:proofErr w:type="spellEnd"/>
      <w:r w:rsidRPr="00427DC3">
        <w:rPr>
          <w:rFonts w:ascii="Arial" w:hAnsi="Arial" w:cs="Arial"/>
          <w:sz w:val="22"/>
          <w:szCs w:val="22"/>
          <w:lang w:val="en-US"/>
        </w:rPr>
        <w:t xml:space="preserve">: Recommended Methods for Red-Cell Enzyme Analysis*. British Journal of </w:t>
      </w:r>
      <w:proofErr w:type="spellStart"/>
      <w:r w:rsidRPr="00427DC3">
        <w:rPr>
          <w:rFonts w:ascii="Arial" w:hAnsi="Arial" w:cs="Arial"/>
          <w:sz w:val="22"/>
          <w:szCs w:val="22"/>
          <w:lang w:val="en-US"/>
        </w:rPr>
        <w:t>Haematology</w:t>
      </w:r>
      <w:proofErr w:type="spellEnd"/>
      <w:r w:rsidRPr="00427DC3">
        <w:rPr>
          <w:rFonts w:ascii="Arial" w:hAnsi="Arial" w:cs="Arial"/>
          <w:sz w:val="22"/>
          <w:szCs w:val="22"/>
          <w:lang w:val="en-US"/>
        </w:rPr>
        <w:t xml:space="preserve"> 35, 331–340. https://doi.org/10.1111/j.1365-2141.1977.tb00589.x</w:t>
      </w:r>
    </w:p>
    <w:p w14:paraId="71F9AC9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Blaser, H., Dostert, C., </w:t>
      </w:r>
      <w:proofErr w:type="spellStart"/>
      <w:r w:rsidRPr="00427DC3">
        <w:rPr>
          <w:rFonts w:ascii="Arial" w:hAnsi="Arial" w:cs="Arial"/>
          <w:sz w:val="22"/>
          <w:szCs w:val="22"/>
          <w:lang w:val="en-US"/>
        </w:rPr>
        <w:t>Mak</w:t>
      </w:r>
      <w:proofErr w:type="spellEnd"/>
      <w:r w:rsidRPr="00427DC3">
        <w:rPr>
          <w:rFonts w:ascii="Arial" w:hAnsi="Arial" w:cs="Arial"/>
          <w:sz w:val="22"/>
          <w:szCs w:val="22"/>
          <w:lang w:val="en-US"/>
        </w:rPr>
        <w:t>, T.W., Brenner, D., 2016. TNF and ROS Crosstalk in Inflammation. Trends Cell Biol. 26, 249–261. https://doi.org/10.1016/j.tcb.2015.12.002</w:t>
      </w:r>
    </w:p>
    <w:p w14:paraId="125F9BB1"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Block, M., Jacobson, L.O., </w:t>
      </w:r>
      <w:proofErr w:type="spellStart"/>
      <w:r w:rsidRPr="00427DC3">
        <w:rPr>
          <w:rFonts w:ascii="Arial" w:hAnsi="Arial" w:cs="Arial"/>
          <w:sz w:val="22"/>
          <w:szCs w:val="22"/>
          <w:lang w:val="en-US"/>
        </w:rPr>
        <w:t>Bethard</w:t>
      </w:r>
      <w:proofErr w:type="spellEnd"/>
      <w:r w:rsidRPr="00427DC3">
        <w:rPr>
          <w:rFonts w:ascii="Arial" w:hAnsi="Arial" w:cs="Arial"/>
          <w:sz w:val="22"/>
          <w:szCs w:val="22"/>
          <w:lang w:val="en-US"/>
        </w:rPr>
        <w:t>, W.F., 1953. Preleukemic acute human leukemia. J Am Med Assoc 152, 1018–1028. https://doi.org/10.1001/jama.1953.03690110032010</w:t>
      </w:r>
    </w:p>
    <w:p w14:paraId="78E47FA2"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de-DE"/>
        </w:rPr>
        <w:t xml:space="preserve">Bock, O., Loch, G., Schade, U., von </w:t>
      </w:r>
      <w:proofErr w:type="spellStart"/>
      <w:r w:rsidRPr="00427DC3">
        <w:rPr>
          <w:rFonts w:ascii="Arial" w:hAnsi="Arial" w:cs="Arial"/>
          <w:sz w:val="22"/>
          <w:szCs w:val="22"/>
          <w:lang w:val="de-DE"/>
        </w:rPr>
        <w:t>Wasielewski</w:t>
      </w:r>
      <w:proofErr w:type="spellEnd"/>
      <w:r w:rsidRPr="00427DC3">
        <w:rPr>
          <w:rFonts w:ascii="Arial" w:hAnsi="Arial" w:cs="Arial"/>
          <w:sz w:val="22"/>
          <w:szCs w:val="22"/>
          <w:lang w:val="de-DE"/>
        </w:rPr>
        <w:t xml:space="preserve">, R., </w:t>
      </w:r>
      <w:proofErr w:type="spellStart"/>
      <w:r w:rsidRPr="00427DC3">
        <w:rPr>
          <w:rFonts w:ascii="Arial" w:hAnsi="Arial" w:cs="Arial"/>
          <w:sz w:val="22"/>
          <w:szCs w:val="22"/>
          <w:lang w:val="de-DE"/>
        </w:rPr>
        <w:t>Schlué</w:t>
      </w:r>
      <w:proofErr w:type="spellEnd"/>
      <w:r w:rsidRPr="00427DC3">
        <w:rPr>
          <w:rFonts w:ascii="Arial" w:hAnsi="Arial" w:cs="Arial"/>
          <w:sz w:val="22"/>
          <w:szCs w:val="22"/>
          <w:lang w:val="de-DE"/>
        </w:rPr>
        <w:t xml:space="preserve">, J., </w:t>
      </w:r>
      <w:proofErr w:type="spellStart"/>
      <w:r w:rsidRPr="00427DC3">
        <w:rPr>
          <w:rFonts w:ascii="Arial" w:hAnsi="Arial" w:cs="Arial"/>
          <w:sz w:val="22"/>
          <w:szCs w:val="22"/>
          <w:lang w:val="de-DE"/>
        </w:rPr>
        <w:t>Kreipe</w:t>
      </w:r>
      <w:proofErr w:type="spellEnd"/>
      <w:r w:rsidRPr="00427DC3">
        <w:rPr>
          <w:rFonts w:ascii="Arial" w:hAnsi="Arial" w:cs="Arial"/>
          <w:sz w:val="22"/>
          <w:szCs w:val="22"/>
          <w:lang w:val="de-DE"/>
        </w:rPr>
        <w:t xml:space="preserve">, H., 2005. </w:t>
      </w:r>
      <w:r w:rsidRPr="00427DC3">
        <w:rPr>
          <w:rFonts w:ascii="Arial" w:hAnsi="Arial" w:cs="Arial"/>
          <w:sz w:val="22"/>
          <w:szCs w:val="22"/>
          <w:lang w:val="en-US"/>
        </w:rPr>
        <w:t xml:space="preserve">Aberrant expression of transforming growth factor beta-1 (TGF beta-1) per se does not discriminate fibrotic from non-fibrotic chronic myeloproliferative disorders. J. </w:t>
      </w:r>
      <w:proofErr w:type="spellStart"/>
      <w:r w:rsidRPr="00427DC3">
        <w:rPr>
          <w:rFonts w:ascii="Arial" w:hAnsi="Arial" w:cs="Arial"/>
          <w:sz w:val="22"/>
          <w:szCs w:val="22"/>
          <w:lang w:val="en-US"/>
        </w:rPr>
        <w:t>Pathol</w:t>
      </w:r>
      <w:proofErr w:type="spellEnd"/>
      <w:r w:rsidRPr="00427DC3">
        <w:rPr>
          <w:rFonts w:ascii="Arial" w:hAnsi="Arial" w:cs="Arial"/>
          <w:sz w:val="22"/>
          <w:szCs w:val="22"/>
          <w:lang w:val="en-US"/>
        </w:rPr>
        <w:t>. 205, 548–557. https://doi.org/10.1002/path.1744</w:t>
      </w:r>
    </w:p>
    <w:p w14:paraId="71015BBD"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Bohr, V.A., 2008. Rising from the RecQ-age: the role of human RecQ helicases in genome maintenance. Trends </w:t>
      </w:r>
      <w:proofErr w:type="spellStart"/>
      <w:r w:rsidRPr="00427DC3">
        <w:rPr>
          <w:rFonts w:ascii="Arial" w:hAnsi="Arial" w:cs="Arial"/>
          <w:sz w:val="22"/>
          <w:szCs w:val="22"/>
          <w:lang w:val="en-US"/>
        </w:rPr>
        <w:t>Biochem</w:t>
      </w:r>
      <w:proofErr w:type="spellEnd"/>
      <w:r w:rsidRPr="00427DC3">
        <w:rPr>
          <w:rFonts w:ascii="Arial" w:hAnsi="Arial" w:cs="Arial"/>
          <w:sz w:val="22"/>
          <w:szCs w:val="22"/>
          <w:lang w:val="en-US"/>
        </w:rPr>
        <w:t>. Sci. 33, 609–620. https://doi.org/10.1016/j.tibs.2008.09.003</w:t>
      </w:r>
    </w:p>
    <w:p w14:paraId="5C296575"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Borthakur</w:t>
      </w:r>
      <w:proofErr w:type="spellEnd"/>
      <w:r w:rsidRPr="00427DC3">
        <w:rPr>
          <w:rFonts w:ascii="Arial" w:hAnsi="Arial" w:cs="Arial"/>
          <w:sz w:val="22"/>
          <w:szCs w:val="22"/>
          <w:lang w:val="en-US"/>
        </w:rPr>
        <w:t xml:space="preserve">, G., </w:t>
      </w:r>
      <w:proofErr w:type="spellStart"/>
      <w:r w:rsidRPr="00427DC3">
        <w:rPr>
          <w:rFonts w:ascii="Arial" w:hAnsi="Arial" w:cs="Arial"/>
          <w:sz w:val="22"/>
          <w:szCs w:val="22"/>
          <w:lang w:val="en-US"/>
        </w:rPr>
        <w:t>Estey</w:t>
      </w:r>
      <w:proofErr w:type="spellEnd"/>
      <w:r w:rsidRPr="00427DC3">
        <w:rPr>
          <w:rFonts w:ascii="Arial" w:hAnsi="Arial" w:cs="Arial"/>
          <w:sz w:val="22"/>
          <w:szCs w:val="22"/>
          <w:lang w:val="en-US"/>
        </w:rPr>
        <w:t xml:space="preserve">, A.E.E., 2007. Therapy-related acute myelogenous leukemia and myelodysplastic syndrome. </w:t>
      </w:r>
      <w:proofErr w:type="spellStart"/>
      <w:r w:rsidRPr="00427DC3">
        <w:rPr>
          <w:rFonts w:ascii="Arial" w:hAnsi="Arial" w:cs="Arial"/>
          <w:sz w:val="22"/>
          <w:szCs w:val="22"/>
          <w:lang w:val="en-US"/>
        </w:rPr>
        <w:t>Curr</w:t>
      </w:r>
      <w:proofErr w:type="spellEnd"/>
      <w:r w:rsidRPr="00427DC3">
        <w:rPr>
          <w:rFonts w:ascii="Arial" w:hAnsi="Arial" w:cs="Arial"/>
          <w:sz w:val="22"/>
          <w:szCs w:val="22"/>
          <w:lang w:val="en-US"/>
        </w:rPr>
        <w:t xml:space="preserve"> Oncol Rep 9, 373–377. https://doi.org/10.1007/s11912-007-0050-z</w:t>
      </w:r>
    </w:p>
    <w:p w14:paraId="3B2626D3"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Bowman, R.L., </w:t>
      </w:r>
      <w:proofErr w:type="spellStart"/>
      <w:r w:rsidRPr="00427DC3">
        <w:rPr>
          <w:rFonts w:ascii="Arial" w:hAnsi="Arial" w:cs="Arial"/>
          <w:sz w:val="22"/>
          <w:szCs w:val="22"/>
          <w:lang w:val="en-US"/>
        </w:rPr>
        <w:t>Busque</w:t>
      </w:r>
      <w:proofErr w:type="spellEnd"/>
      <w:r w:rsidRPr="00427DC3">
        <w:rPr>
          <w:rFonts w:ascii="Arial" w:hAnsi="Arial" w:cs="Arial"/>
          <w:sz w:val="22"/>
          <w:szCs w:val="22"/>
          <w:lang w:val="en-US"/>
        </w:rPr>
        <w:t>, L., Levine, R.L., 2018. Clonal Hematopoiesis and Evolution to Hematopoietic Malignancies. Cell Stem Cell 22, 157–170. https://doi.org/10.1016/j.stem.2018.01.011</w:t>
      </w:r>
    </w:p>
    <w:p w14:paraId="41AC4704"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Bryder</w:t>
      </w:r>
      <w:proofErr w:type="spellEnd"/>
      <w:r w:rsidRPr="00427DC3">
        <w:rPr>
          <w:rFonts w:ascii="Arial" w:hAnsi="Arial" w:cs="Arial"/>
          <w:sz w:val="22"/>
          <w:szCs w:val="22"/>
          <w:lang w:val="en-US"/>
        </w:rPr>
        <w:t xml:space="preserve">, D., </w:t>
      </w:r>
      <w:proofErr w:type="spellStart"/>
      <w:r w:rsidRPr="00427DC3">
        <w:rPr>
          <w:rFonts w:ascii="Arial" w:hAnsi="Arial" w:cs="Arial"/>
          <w:sz w:val="22"/>
          <w:szCs w:val="22"/>
          <w:lang w:val="en-US"/>
        </w:rPr>
        <w:t>Ramsfjell</w:t>
      </w:r>
      <w:proofErr w:type="spellEnd"/>
      <w:r w:rsidRPr="00427DC3">
        <w:rPr>
          <w:rFonts w:ascii="Arial" w:hAnsi="Arial" w:cs="Arial"/>
          <w:sz w:val="22"/>
          <w:szCs w:val="22"/>
          <w:lang w:val="en-US"/>
        </w:rPr>
        <w:t xml:space="preserve">, V., </w:t>
      </w:r>
      <w:proofErr w:type="spellStart"/>
      <w:r w:rsidRPr="00427DC3">
        <w:rPr>
          <w:rFonts w:ascii="Arial" w:hAnsi="Arial" w:cs="Arial"/>
          <w:sz w:val="22"/>
          <w:szCs w:val="22"/>
          <w:lang w:val="en-US"/>
        </w:rPr>
        <w:t>Dybedal</w:t>
      </w:r>
      <w:proofErr w:type="spellEnd"/>
      <w:r w:rsidRPr="00427DC3">
        <w:rPr>
          <w:rFonts w:ascii="Arial" w:hAnsi="Arial" w:cs="Arial"/>
          <w:sz w:val="22"/>
          <w:szCs w:val="22"/>
          <w:lang w:val="en-US"/>
        </w:rPr>
        <w:t xml:space="preserve">, I., </w:t>
      </w:r>
      <w:proofErr w:type="spellStart"/>
      <w:r w:rsidRPr="00427DC3">
        <w:rPr>
          <w:rFonts w:ascii="Arial" w:hAnsi="Arial" w:cs="Arial"/>
          <w:sz w:val="22"/>
          <w:szCs w:val="22"/>
          <w:lang w:val="en-US"/>
        </w:rPr>
        <w:t>Theilgaard-Mönch</w:t>
      </w:r>
      <w:proofErr w:type="spellEnd"/>
      <w:r w:rsidRPr="00427DC3">
        <w:rPr>
          <w:rFonts w:ascii="Arial" w:hAnsi="Arial" w:cs="Arial"/>
          <w:sz w:val="22"/>
          <w:szCs w:val="22"/>
          <w:lang w:val="en-US"/>
        </w:rPr>
        <w:t xml:space="preserve">, K., </w:t>
      </w:r>
      <w:proofErr w:type="spellStart"/>
      <w:r w:rsidRPr="00427DC3">
        <w:rPr>
          <w:rFonts w:ascii="Arial" w:hAnsi="Arial" w:cs="Arial"/>
          <w:sz w:val="22"/>
          <w:szCs w:val="22"/>
          <w:lang w:val="en-US"/>
        </w:rPr>
        <w:t>Högerkorp</w:t>
      </w:r>
      <w:proofErr w:type="spellEnd"/>
      <w:r w:rsidRPr="00427DC3">
        <w:rPr>
          <w:rFonts w:ascii="Arial" w:hAnsi="Arial" w:cs="Arial"/>
          <w:sz w:val="22"/>
          <w:szCs w:val="22"/>
          <w:lang w:val="en-US"/>
        </w:rPr>
        <w:t xml:space="preserve">, C.-M., </w:t>
      </w:r>
      <w:proofErr w:type="spellStart"/>
      <w:r w:rsidRPr="00427DC3">
        <w:rPr>
          <w:rFonts w:ascii="Arial" w:hAnsi="Arial" w:cs="Arial"/>
          <w:sz w:val="22"/>
          <w:szCs w:val="22"/>
          <w:lang w:val="en-US"/>
        </w:rPr>
        <w:lastRenderedPageBreak/>
        <w:t>Adolfsson</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Borge</w:t>
      </w:r>
      <w:proofErr w:type="spellEnd"/>
      <w:r w:rsidRPr="00427DC3">
        <w:rPr>
          <w:rFonts w:ascii="Arial" w:hAnsi="Arial" w:cs="Arial"/>
          <w:sz w:val="22"/>
          <w:szCs w:val="22"/>
          <w:lang w:val="en-US"/>
        </w:rPr>
        <w:t>, O.J., Jacobsen, S.E.W., 2001. Self-Renewal of Multipotent Long-Term Repopulating Hematopoietic Stem Cells Is Negatively Regulated by FAS and Tumor Necrosis Factor Receptor Activation. J Exp Med 194, 941–952. https://doi.org/10.1084/jem.194.7.941</w:t>
      </w:r>
    </w:p>
    <w:p w14:paraId="092D408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Busque</w:t>
      </w:r>
      <w:proofErr w:type="spellEnd"/>
      <w:r w:rsidRPr="00427DC3">
        <w:rPr>
          <w:rFonts w:ascii="Arial" w:hAnsi="Arial" w:cs="Arial"/>
          <w:sz w:val="22"/>
          <w:szCs w:val="22"/>
          <w:lang w:val="en-US"/>
        </w:rPr>
        <w:t xml:space="preserve">, L., </w:t>
      </w:r>
      <w:proofErr w:type="spellStart"/>
      <w:r w:rsidRPr="00427DC3">
        <w:rPr>
          <w:rFonts w:ascii="Arial" w:hAnsi="Arial" w:cs="Arial"/>
          <w:sz w:val="22"/>
          <w:szCs w:val="22"/>
          <w:lang w:val="en-US"/>
        </w:rPr>
        <w:t>Buscarlet</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Mollica</w:t>
      </w:r>
      <w:proofErr w:type="spellEnd"/>
      <w:r w:rsidRPr="00427DC3">
        <w:rPr>
          <w:rFonts w:ascii="Arial" w:hAnsi="Arial" w:cs="Arial"/>
          <w:sz w:val="22"/>
          <w:szCs w:val="22"/>
          <w:lang w:val="en-US"/>
        </w:rPr>
        <w:t>, L., Levine, R.L., 2018. Concise Review: Age-Related Clonal Hematopoiesis: Stem Cells Tempting the Devil. Stem Cells 36, 1287–1294. https://doi.org/10.1002/stem.2845</w:t>
      </w:r>
    </w:p>
    <w:p w14:paraId="2811D10A"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Camaschella</w:t>
      </w:r>
      <w:proofErr w:type="spellEnd"/>
      <w:r w:rsidRPr="00427DC3">
        <w:rPr>
          <w:rFonts w:ascii="Arial" w:hAnsi="Arial" w:cs="Arial"/>
          <w:sz w:val="22"/>
          <w:szCs w:val="22"/>
          <w:lang w:val="en-US"/>
        </w:rPr>
        <w:t xml:space="preserve">, C., Pagani, A., 2018. Advances in understanding iron metabolism and its crosstalk with erythropoiesis. British Journal of </w:t>
      </w:r>
      <w:proofErr w:type="spellStart"/>
      <w:r w:rsidRPr="00427DC3">
        <w:rPr>
          <w:rFonts w:ascii="Arial" w:hAnsi="Arial" w:cs="Arial"/>
          <w:sz w:val="22"/>
          <w:szCs w:val="22"/>
          <w:lang w:val="en-US"/>
        </w:rPr>
        <w:t>Haematology</w:t>
      </w:r>
      <w:proofErr w:type="spellEnd"/>
      <w:r w:rsidRPr="00427DC3">
        <w:rPr>
          <w:rFonts w:ascii="Arial" w:hAnsi="Arial" w:cs="Arial"/>
          <w:sz w:val="22"/>
          <w:szCs w:val="22"/>
          <w:lang w:val="en-US"/>
        </w:rPr>
        <w:t xml:space="preserve"> 182, 481–494. https://doi.org/10.1111/bjh.15403</w:t>
      </w:r>
    </w:p>
    <w:p w14:paraId="4E8D3D7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Campbell, P.J., Green, A.R., 2006. The myeloproliferative disorders. N. Engl. J. Med. 355, 2452–2466. https://doi.org/10.1056/NEJMra063728</w:t>
      </w:r>
    </w:p>
    <w:p w14:paraId="1B7C7127"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Carrelha</w:t>
      </w:r>
      <w:proofErr w:type="spellEnd"/>
      <w:r w:rsidRPr="00427DC3">
        <w:rPr>
          <w:rFonts w:ascii="Arial" w:hAnsi="Arial" w:cs="Arial"/>
          <w:sz w:val="22"/>
          <w:szCs w:val="22"/>
          <w:lang w:val="en-US"/>
        </w:rPr>
        <w:t xml:space="preserve">, J., Meng, Y., </w:t>
      </w:r>
      <w:proofErr w:type="spellStart"/>
      <w:r w:rsidRPr="00427DC3">
        <w:rPr>
          <w:rFonts w:ascii="Arial" w:hAnsi="Arial" w:cs="Arial"/>
          <w:sz w:val="22"/>
          <w:szCs w:val="22"/>
          <w:lang w:val="en-US"/>
        </w:rPr>
        <w:t>Kettyle</w:t>
      </w:r>
      <w:proofErr w:type="spellEnd"/>
      <w:r w:rsidRPr="00427DC3">
        <w:rPr>
          <w:rFonts w:ascii="Arial" w:hAnsi="Arial" w:cs="Arial"/>
          <w:sz w:val="22"/>
          <w:szCs w:val="22"/>
          <w:lang w:val="en-US"/>
        </w:rPr>
        <w:t xml:space="preserve">, L.M., Luis, T.C., </w:t>
      </w:r>
      <w:proofErr w:type="spellStart"/>
      <w:r w:rsidRPr="00427DC3">
        <w:rPr>
          <w:rFonts w:ascii="Arial" w:hAnsi="Arial" w:cs="Arial"/>
          <w:sz w:val="22"/>
          <w:szCs w:val="22"/>
          <w:lang w:val="en-US"/>
        </w:rPr>
        <w:t>Norfo</w:t>
      </w:r>
      <w:proofErr w:type="spellEnd"/>
      <w:r w:rsidRPr="00427DC3">
        <w:rPr>
          <w:rFonts w:ascii="Arial" w:hAnsi="Arial" w:cs="Arial"/>
          <w:sz w:val="22"/>
          <w:szCs w:val="22"/>
          <w:lang w:val="en-US"/>
        </w:rPr>
        <w:t xml:space="preserve">, R., </w:t>
      </w:r>
      <w:proofErr w:type="spellStart"/>
      <w:r w:rsidRPr="00427DC3">
        <w:rPr>
          <w:rFonts w:ascii="Arial" w:hAnsi="Arial" w:cs="Arial"/>
          <w:sz w:val="22"/>
          <w:szCs w:val="22"/>
          <w:lang w:val="en-US"/>
        </w:rPr>
        <w:t>Alcolea</w:t>
      </w:r>
      <w:proofErr w:type="spellEnd"/>
      <w:r w:rsidRPr="00427DC3">
        <w:rPr>
          <w:rFonts w:ascii="Arial" w:hAnsi="Arial" w:cs="Arial"/>
          <w:sz w:val="22"/>
          <w:szCs w:val="22"/>
          <w:lang w:val="en-US"/>
        </w:rPr>
        <w:t xml:space="preserve">, V., </w:t>
      </w:r>
      <w:proofErr w:type="spellStart"/>
      <w:r w:rsidRPr="00427DC3">
        <w:rPr>
          <w:rFonts w:ascii="Arial" w:hAnsi="Arial" w:cs="Arial"/>
          <w:sz w:val="22"/>
          <w:szCs w:val="22"/>
          <w:lang w:val="en-US"/>
        </w:rPr>
        <w:t>Boukarabila</w:t>
      </w:r>
      <w:proofErr w:type="spellEnd"/>
      <w:r w:rsidRPr="00427DC3">
        <w:rPr>
          <w:rFonts w:ascii="Arial" w:hAnsi="Arial" w:cs="Arial"/>
          <w:sz w:val="22"/>
          <w:szCs w:val="22"/>
          <w:lang w:val="en-US"/>
        </w:rPr>
        <w:t xml:space="preserve">, H., Grasso, F., Gambardella, A., Grover, A., </w:t>
      </w:r>
      <w:proofErr w:type="spellStart"/>
      <w:r w:rsidRPr="00427DC3">
        <w:rPr>
          <w:rFonts w:ascii="Arial" w:hAnsi="Arial" w:cs="Arial"/>
          <w:sz w:val="22"/>
          <w:szCs w:val="22"/>
          <w:lang w:val="en-US"/>
        </w:rPr>
        <w:t>Högstrand</w:t>
      </w:r>
      <w:proofErr w:type="spellEnd"/>
      <w:r w:rsidRPr="00427DC3">
        <w:rPr>
          <w:rFonts w:ascii="Arial" w:hAnsi="Arial" w:cs="Arial"/>
          <w:sz w:val="22"/>
          <w:szCs w:val="22"/>
          <w:lang w:val="en-US"/>
        </w:rPr>
        <w:t xml:space="preserve">, K., Lord, A.M., </w:t>
      </w:r>
      <w:proofErr w:type="spellStart"/>
      <w:r w:rsidRPr="00427DC3">
        <w:rPr>
          <w:rFonts w:ascii="Arial" w:hAnsi="Arial" w:cs="Arial"/>
          <w:sz w:val="22"/>
          <w:szCs w:val="22"/>
          <w:lang w:val="en-US"/>
        </w:rPr>
        <w:t>Sanjuan-Pla</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Woll</w:t>
      </w:r>
      <w:proofErr w:type="spellEnd"/>
      <w:r w:rsidRPr="00427DC3">
        <w:rPr>
          <w:rFonts w:ascii="Arial" w:hAnsi="Arial" w:cs="Arial"/>
          <w:sz w:val="22"/>
          <w:szCs w:val="22"/>
          <w:lang w:val="en-US"/>
        </w:rPr>
        <w:t xml:space="preserve">, P.S., </w:t>
      </w:r>
      <w:proofErr w:type="spellStart"/>
      <w:r w:rsidRPr="00427DC3">
        <w:rPr>
          <w:rFonts w:ascii="Arial" w:hAnsi="Arial" w:cs="Arial"/>
          <w:sz w:val="22"/>
          <w:szCs w:val="22"/>
          <w:lang w:val="en-US"/>
        </w:rPr>
        <w:t>Nerlov</w:t>
      </w:r>
      <w:proofErr w:type="spellEnd"/>
      <w:r w:rsidRPr="00427DC3">
        <w:rPr>
          <w:rFonts w:ascii="Arial" w:hAnsi="Arial" w:cs="Arial"/>
          <w:sz w:val="22"/>
          <w:szCs w:val="22"/>
          <w:lang w:val="en-US"/>
        </w:rPr>
        <w:t xml:space="preserve">, C., Jacobsen, S.E.W., 2018. Hierarchically related lineage-restricted fates of multipotent </w:t>
      </w:r>
      <w:proofErr w:type="spellStart"/>
      <w:r w:rsidRPr="00427DC3">
        <w:rPr>
          <w:rFonts w:ascii="Arial" w:hAnsi="Arial" w:cs="Arial"/>
          <w:sz w:val="22"/>
          <w:szCs w:val="22"/>
          <w:lang w:val="en-US"/>
        </w:rPr>
        <w:t>haematopoietic</w:t>
      </w:r>
      <w:proofErr w:type="spellEnd"/>
      <w:r w:rsidRPr="00427DC3">
        <w:rPr>
          <w:rFonts w:ascii="Arial" w:hAnsi="Arial" w:cs="Arial"/>
          <w:sz w:val="22"/>
          <w:szCs w:val="22"/>
          <w:lang w:val="en-US"/>
        </w:rPr>
        <w:t xml:space="preserve"> stem cells. Nature 554, 106–111. https://doi.org/10.1038/nature25455</w:t>
      </w:r>
    </w:p>
    <w:p w14:paraId="100D940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Carvalho, B.S., Irizarry, R.A., 2010. A framework for oligonucleotide microarray preprocessing. Bioinformatics 26, 2363–2367. https://doi.org/10.1093/bioinformatics/btq431</w:t>
      </w:r>
    </w:p>
    <w:p w14:paraId="73F38BA1"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Casorelli</w:t>
      </w:r>
      <w:proofErr w:type="spellEnd"/>
      <w:r w:rsidRPr="00427DC3">
        <w:rPr>
          <w:rFonts w:ascii="Arial" w:hAnsi="Arial" w:cs="Arial"/>
          <w:sz w:val="22"/>
          <w:szCs w:val="22"/>
          <w:lang w:val="en-US"/>
        </w:rPr>
        <w:t xml:space="preserve">, I., </w:t>
      </w:r>
      <w:proofErr w:type="spellStart"/>
      <w:r w:rsidRPr="00427DC3">
        <w:rPr>
          <w:rFonts w:ascii="Arial" w:hAnsi="Arial" w:cs="Arial"/>
          <w:sz w:val="22"/>
          <w:szCs w:val="22"/>
          <w:lang w:val="en-US"/>
        </w:rPr>
        <w:t>Offman</w:t>
      </w:r>
      <w:proofErr w:type="spellEnd"/>
      <w:r w:rsidRPr="00427DC3">
        <w:rPr>
          <w:rFonts w:ascii="Arial" w:hAnsi="Arial" w:cs="Arial"/>
          <w:sz w:val="22"/>
          <w:szCs w:val="22"/>
          <w:lang w:val="en-US"/>
        </w:rPr>
        <w:t xml:space="preserve">, J., Mele, L., Pagano, L., </w:t>
      </w:r>
      <w:proofErr w:type="spellStart"/>
      <w:r w:rsidRPr="00427DC3">
        <w:rPr>
          <w:rFonts w:ascii="Arial" w:hAnsi="Arial" w:cs="Arial"/>
          <w:sz w:val="22"/>
          <w:szCs w:val="22"/>
          <w:lang w:val="en-US"/>
        </w:rPr>
        <w:t>Sica</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D’Errico</w:t>
      </w:r>
      <w:proofErr w:type="spellEnd"/>
      <w:r w:rsidRPr="00427DC3">
        <w:rPr>
          <w:rFonts w:ascii="Arial" w:hAnsi="Arial" w:cs="Arial"/>
          <w:sz w:val="22"/>
          <w:szCs w:val="22"/>
          <w:lang w:val="en-US"/>
        </w:rPr>
        <w:t xml:space="preserve">, M., Giannini, G., Leone, G., </w:t>
      </w:r>
      <w:proofErr w:type="spellStart"/>
      <w:r w:rsidRPr="00427DC3">
        <w:rPr>
          <w:rFonts w:ascii="Arial" w:hAnsi="Arial" w:cs="Arial"/>
          <w:sz w:val="22"/>
          <w:szCs w:val="22"/>
          <w:lang w:val="en-US"/>
        </w:rPr>
        <w:t>Bignami</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Karran</w:t>
      </w:r>
      <w:proofErr w:type="spellEnd"/>
      <w:r w:rsidRPr="00427DC3">
        <w:rPr>
          <w:rFonts w:ascii="Arial" w:hAnsi="Arial" w:cs="Arial"/>
          <w:sz w:val="22"/>
          <w:szCs w:val="22"/>
          <w:lang w:val="en-US"/>
        </w:rPr>
        <w:t>, P., 2003. Drug treatment in the development of mismatch repair defective acute leukemia and myelodysplastic syndrome. DNA Repair (</w:t>
      </w:r>
      <w:proofErr w:type="spellStart"/>
      <w:r w:rsidRPr="00427DC3">
        <w:rPr>
          <w:rFonts w:ascii="Arial" w:hAnsi="Arial" w:cs="Arial"/>
          <w:sz w:val="22"/>
          <w:szCs w:val="22"/>
          <w:lang w:val="en-US"/>
        </w:rPr>
        <w:t>Amst</w:t>
      </w:r>
      <w:proofErr w:type="spellEnd"/>
      <w:r w:rsidRPr="00427DC3">
        <w:rPr>
          <w:rFonts w:ascii="Arial" w:hAnsi="Arial" w:cs="Arial"/>
          <w:sz w:val="22"/>
          <w:szCs w:val="22"/>
          <w:lang w:val="en-US"/>
        </w:rPr>
        <w:t>.) 2, 547–559.</w:t>
      </w:r>
    </w:p>
    <w:p w14:paraId="61409234"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Cazzola</w:t>
      </w:r>
      <w:proofErr w:type="spellEnd"/>
      <w:r w:rsidRPr="00427DC3">
        <w:rPr>
          <w:rFonts w:ascii="Arial" w:hAnsi="Arial" w:cs="Arial"/>
          <w:sz w:val="22"/>
          <w:szCs w:val="22"/>
          <w:lang w:val="en-US"/>
        </w:rPr>
        <w:t xml:space="preserve">, M., Della Porta, M.G., </w:t>
      </w:r>
      <w:proofErr w:type="spellStart"/>
      <w:r w:rsidRPr="00427DC3">
        <w:rPr>
          <w:rFonts w:ascii="Arial" w:hAnsi="Arial" w:cs="Arial"/>
          <w:sz w:val="22"/>
          <w:szCs w:val="22"/>
          <w:lang w:val="en-US"/>
        </w:rPr>
        <w:t>Travaglino</w:t>
      </w:r>
      <w:proofErr w:type="spellEnd"/>
      <w:r w:rsidRPr="00427DC3">
        <w:rPr>
          <w:rFonts w:ascii="Arial" w:hAnsi="Arial" w:cs="Arial"/>
          <w:sz w:val="22"/>
          <w:szCs w:val="22"/>
          <w:lang w:val="en-US"/>
        </w:rPr>
        <w:t xml:space="preserve">, E., </w:t>
      </w:r>
      <w:proofErr w:type="spellStart"/>
      <w:r w:rsidRPr="00427DC3">
        <w:rPr>
          <w:rFonts w:ascii="Arial" w:hAnsi="Arial" w:cs="Arial"/>
          <w:sz w:val="22"/>
          <w:szCs w:val="22"/>
          <w:lang w:val="en-US"/>
        </w:rPr>
        <w:t>Malcovati</w:t>
      </w:r>
      <w:proofErr w:type="spellEnd"/>
      <w:r w:rsidRPr="00427DC3">
        <w:rPr>
          <w:rFonts w:ascii="Arial" w:hAnsi="Arial" w:cs="Arial"/>
          <w:sz w:val="22"/>
          <w:szCs w:val="22"/>
          <w:lang w:val="en-US"/>
        </w:rPr>
        <w:t>, L., 2011. Classification and prognostic evaluation of myelodysplastic syndromes. Semin. Oncol. 38, 627–634. https://doi.org/10.1053/j.seminoncol.2011.04.007</w:t>
      </w:r>
    </w:p>
    <w:p w14:paraId="0535B255"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de-DE"/>
        </w:rPr>
        <w:t>Chagraoui</w:t>
      </w:r>
      <w:proofErr w:type="spellEnd"/>
      <w:r w:rsidRPr="00427DC3">
        <w:rPr>
          <w:rFonts w:ascii="Arial" w:hAnsi="Arial" w:cs="Arial"/>
          <w:sz w:val="22"/>
          <w:szCs w:val="22"/>
          <w:lang w:val="de-DE"/>
        </w:rPr>
        <w:t xml:space="preserve">, H., Komura, E., </w:t>
      </w:r>
      <w:proofErr w:type="spellStart"/>
      <w:r w:rsidRPr="00427DC3">
        <w:rPr>
          <w:rFonts w:ascii="Arial" w:hAnsi="Arial" w:cs="Arial"/>
          <w:sz w:val="22"/>
          <w:szCs w:val="22"/>
          <w:lang w:val="de-DE"/>
        </w:rPr>
        <w:t>Tulliez</w:t>
      </w:r>
      <w:proofErr w:type="spellEnd"/>
      <w:r w:rsidRPr="00427DC3">
        <w:rPr>
          <w:rFonts w:ascii="Arial" w:hAnsi="Arial" w:cs="Arial"/>
          <w:sz w:val="22"/>
          <w:szCs w:val="22"/>
          <w:lang w:val="de-DE"/>
        </w:rPr>
        <w:t xml:space="preserve">, M., </w:t>
      </w:r>
      <w:proofErr w:type="spellStart"/>
      <w:r w:rsidRPr="00427DC3">
        <w:rPr>
          <w:rFonts w:ascii="Arial" w:hAnsi="Arial" w:cs="Arial"/>
          <w:sz w:val="22"/>
          <w:szCs w:val="22"/>
          <w:lang w:val="de-DE"/>
        </w:rPr>
        <w:t>Giraudier</w:t>
      </w:r>
      <w:proofErr w:type="spellEnd"/>
      <w:r w:rsidRPr="00427DC3">
        <w:rPr>
          <w:rFonts w:ascii="Arial" w:hAnsi="Arial" w:cs="Arial"/>
          <w:sz w:val="22"/>
          <w:szCs w:val="22"/>
          <w:lang w:val="de-DE"/>
        </w:rPr>
        <w:t xml:space="preserve">, S., </w:t>
      </w:r>
      <w:proofErr w:type="spellStart"/>
      <w:r w:rsidRPr="00427DC3">
        <w:rPr>
          <w:rFonts w:ascii="Arial" w:hAnsi="Arial" w:cs="Arial"/>
          <w:sz w:val="22"/>
          <w:szCs w:val="22"/>
          <w:lang w:val="de-DE"/>
        </w:rPr>
        <w:t>Vainchenker</w:t>
      </w:r>
      <w:proofErr w:type="spellEnd"/>
      <w:r w:rsidRPr="00427DC3">
        <w:rPr>
          <w:rFonts w:ascii="Arial" w:hAnsi="Arial" w:cs="Arial"/>
          <w:sz w:val="22"/>
          <w:szCs w:val="22"/>
          <w:lang w:val="de-DE"/>
        </w:rPr>
        <w:t xml:space="preserve">, W., </w:t>
      </w:r>
      <w:proofErr w:type="spellStart"/>
      <w:r w:rsidRPr="00427DC3">
        <w:rPr>
          <w:rFonts w:ascii="Arial" w:hAnsi="Arial" w:cs="Arial"/>
          <w:sz w:val="22"/>
          <w:szCs w:val="22"/>
          <w:lang w:val="de-DE"/>
        </w:rPr>
        <w:t>Wendling</w:t>
      </w:r>
      <w:proofErr w:type="spellEnd"/>
      <w:r w:rsidRPr="00427DC3">
        <w:rPr>
          <w:rFonts w:ascii="Arial" w:hAnsi="Arial" w:cs="Arial"/>
          <w:sz w:val="22"/>
          <w:szCs w:val="22"/>
          <w:lang w:val="de-DE"/>
        </w:rPr>
        <w:t xml:space="preserve">, F., 2002. </w:t>
      </w:r>
      <w:r w:rsidRPr="00427DC3">
        <w:rPr>
          <w:rFonts w:ascii="Arial" w:hAnsi="Arial" w:cs="Arial"/>
          <w:sz w:val="22"/>
          <w:szCs w:val="22"/>
          <w:lang w:val="en-US"/>
        </w:rPr>
        <w:t>Prominent role of TGF-beta 1 in thrombopoietin-induced myelofibrosis in mice. Blood 100, 3495–3503. https://doi.org/10.1182/blood-2002-04-1133</w:t>
      </w:r>
    </w:p>
    <w:p w14:paraId="78070765"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Chen, E., </w:t>
      </w:r>
      <w:proofErr w:type="spellStart"/>
      <w:r w:rsidRPr="00427DC3">
        <w:rPr>
          <w:rFonts w:ascii="Arial" w:hAnsi="Arial" w:cs="Arial"/>
          <w:sz w:val="22"/>
          <w:szCs w:val="22"/>
          <w:lang w:val="en-US"/>
        </w:rPr>
        <w:t>Ahn</w:t>
      </w:r>
      <w:proofErr w:type="spellEnd"/>
      <w:r w:rsidRPr="00427DC3">
        <w:rPr>
          <w:rFonts w:ascii="Arial" w:hAnsi="Arial" w:cs="Arial"/>
          <w:sz w:val="22"/>
          <w:szCs w:val="22"/>
          <w:lang w:val="en-US"/>
        </w:rPr>
        <w:t xml:space="preserve">, J.S., Massie, C.E., </w:t>
      </w:r>
      <w:proofErr w:type="spellStart"/>
      <w:r w:rsidRPr="00427DC3">
        <w:rPr>
          <w:rFonts w:ascii="Arial" w:hAnsi="Arial" w:cs="Arial"/>
          <w:sz w:val="22"/>
          <w:szCs w:val="22"/>
          <w:lang w:val="en-US"/>
        </w:rPr>
        <w:t>Clynes</w:t>
      </w:r>
      <w:proofErr w:type="spellEnd"/>
      <w:r w:rsidRPr="00427DC3">
        <w:rPr>
          <w:rFonts w:ascii="Arial" w:hAnsi="Arial" w:cs="Arial"/>
          <w:sz w:val="22"/>
          <w:szCs w:val="22"/>
          <w:lang w:val="en-US"/>
        </w:rPr>
        <w:t xml:space="preserve">, D., Godfrey, A.L., Li, J., Park, H.J., </w:t>
      </w:r>
      <w:proofErr w:type="spellStart"/>
      <w:r w:rsidRPr="00427DC3">
        <w:rPr>
          <w:rFonts w:ascii="Arial" w:hAnsi="Arial" w:cs="Arial"/>
          <w:sz w:val="22"/>
          <w:szCs w:val="22"/>
          <w:lang w:val="en-US"/>
        </w:rPr>
        <w:t>Nangalia</w:t>
      </w:r>
      <w:proofErr w:type="spellEnd"/>
      <w:r w:rsidRPr="00427DC3">
        <w:rPr>
          <w:rFonts w:ascii="Arial" w:hAnsi="Arial" w:cs="Arial"/>
          <w:sz w:val="22"/>
          <w:szCs w:val="22"/>
          <w:lang w:val="en-US"/>
        </w:rPr>
        <w:t xml:space="preserve">, J., Silber, Y., </w:t>
      </w:r>
      <w:proofErr w:type="spellStart"/>
      <w:r w:rsidRPr="00427DC3">
        <w:rPr>
          <w:rFonts w:ascii="Arial" w:hAnsi="Arial" w:cs="Arial"/>
          <w:sz w:val="22"/>
          <w:szCs w:val="22"/>
          <w:lang w:val="en-US"/>
        </w:rPr>
        <w:t>Mullally</w:t>
      </w:r>
      <w:proofErr w:type="spellEnd"/>
      <w:r w:rsidRPr="00427DC3">
        <w:rPr>
          <w:rFonts w:ascii="Arial" w:hAnsi="Arial" w:cs="Arial"/>
          <w:sz w:val="22"/>
          <w:szCs w:val="22"/>
          <w:lang w:val="en-US"/>
        </w:rPr>
        <w:t>, A., Gibbons, R.J., Green, A.R., 2014. JAK2V617F promotes replication fork stalling with disease-restricted impairment of the intra-S checkpoint response. PNAS 111, 15190–15195. https://doi.org/10.1073/pnas.1401873111</w:t>
      </w:r>
    </w:p>
    <w:p w14:paraId="40B3A773"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Chen, E., </w:t>
      </w:r>
      <w:proofErr w:type="spellStart"/>
      <w:r w:rsidRPr="00427DC3">
        <w:rPr>
          <w:rFonts w:ascii="Arial" w:hAnsi="Arial" w:cs="Arial"/>
          <w:sz w:val="22"/>
          <w:szCs w:val="22"/>
          <w:lang w:val="en-US"/>
        </w:rPr>
        <w:t>Ahn</w:t>
      </w:r>
      <w:proofErr w:type="spellEnd"/>
      <w:r w:rsidRPr="00427DC3">
        <w:rPr>
          <w:rFonts w:ascii="Arial" w:hAnsi="Arial" w:cs="Arial"/>
          <w:sz w:val="22"/>
          <w:szCs w:val="22"/>
          <w:lang w:val="en-US"/>
        </w:rPr>
        <w:t xml:space="preserve">, J.S., Sykes, D.B., Breyfogle, L.J., Godfrey, A.L., </w:t>
      </w:r>
      <w:proofErr w:type="spellStart"/>
      <w:r w:rsidRPr="00427DC3">
        <w:rPr>
          <w:rFonts w:ascii="Arial" w:hAnsi="Arial" w:cs="Arial"/>
          <w:sz w:val="22"/>
          <w:szCs w:val="22"/>
          <w:lang w:val="en-US"/>
        </w:rPr>
        <w:t>Nangalia</w:t>
      </w:r>
      <w:proofErr w:type="spellEnd"/>
      <w:r w:rsidRPr="00427DC3">
        <w:rPr>
          <w:rFonts w:ascii="Arial" w:hAnsi="Arial" w:cs="Arial"/>
          <w:sz w:val="22"/>
          <w:szCs w:val="22"/>
          <w:lang w:val="en-US"/>
        </w:rPr>
        <w:t xml:space="preserve">, J., Ko, A., DeAngelo, D.J., Green, A.R., </w:t>
      </w:r>
      <w:proofErr w:type="spellStart"/>
      <w:r w:rsidRPr="00427DC3">
        <w:rPr>
          <w:rFonts w:ascii="Arial" w:hAnsi="Arial" w:cs="Arial"/>
          <w:sz w:val="22"/>
          <w:szCs w:val="22"/>
          <w:lang w:val="en-US"/>
        </w:rPr>
        <w:t>Mullally</w:t>
      </w:r>
      <w:proofErr w:type="spellEnd"/>
      <w:r w:rsidRPr="00427DC3">
        <w:rPr>
          <w:rFonts w:ascii="Arial" w:hAnsi="Arial" w:cs="Arial"/>
          <w:sz w:val="22"/>
          <w:szCs w:val="22"/>
          <w:lang w:val="en-US"/>
        </w:rPr>
        <w:t>, A., 2015. RECQL5 Suppresses Oncogenic JAK2-Induced Replication Stress and Genomic Instability. Cell Reports 13, 2345–2352. https://doi.org/10.1016/j.celrep.2015.11.037</w:t>
      </w:r>
    </w:p>
    <w:p w14:paraId="472BC70F"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Chen, E., Beer, P.A., Godfrey, A.L., </w:t>
      </w:r>
      <w:proofErr w:type="spellStart"/>
      <w:r w:rsidRPr="00427DC3">
        <w:rPr>
          <w:rFonts w:ascii="Arial" w:hAnsi="Arial" w:cs="Arial"/>
          <w:sz w:val="22"/>
          <w:szCs w:val="22"/>
          <w:lang w:val="en-US"/>
        </w:rPr>
        <w:t>Ortmann</w:t>
      </w:r>
      <w:proofErr w:type="spellEnd"/>
      <w:r w:rsidRPr="00427DC3">
        <w:rPr>
          <w:rFonts w:ascii="Arial" w:hAnsi="Arial" w:cs="Arial"/>
          <w:sz w:val="22"/>
          <w:szCs w:val="22"/>
          <w:lang w:val="en-US"/>
        </w:rPr>
        <w:t xml:space="preserve">, C.A., Li, J., Costa-Pereira, A.P., Ingle, C.E., </w:t>
      </w:r>
      <w:proofErr w:type="spellStart"/>
      <w:r w:rsidRPr="00427DC3">
        <w:rPr>
          <w:rFonts w:ascii="Arial" w:hAnsi="Arial" w:cs="Arial"/>
          <w:sz w:val="22"/>
          <w:szCs w:val="22"/>
          <w:lang w:val="en-US"/>
        </w:rPr>
        <w:t>Dermitzakis</w:t>
      </w:r>
      <w:proofErr w:type="spellEnd"/>
      <w:r w:rsidRPr="00427DC3">
        <w:rPr>
          <w:rFonts w:ascii="Arial" w:hAnsi="Arial" w:cs="Arial"/>
          <w:sz w:val="22"/>
          <w:szCs w:val="22"/>
          <w:lang w:val="en-US"/>
        </w:rPr>
        <w:t>, E.T., Campbell, P.J., Green, A.R., 2010. Distinct clinical phenotypes associated with JAK2V617F reflect differential STAT1 signaling. Cancer Cell 18, 524–535. https://doi.org/10.1016/j.ccr.2010.10.013</w:t>
      </w:r>
    </w:p>
    <w:p w14:paraId="758073F2"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Chu, W.K., Hickson, I.D., 2009. RecQ helicases: multifunctional genome caretakers. Nat. Rev. Cancer 9, 644–654. https://doi.org/10.1038/nrc2682</w:t>
      </w:r>
    </w:p>
    <w:p w14:paraId="5BED0186"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Coombs, C.C., </w:t>
      </w:r>
      <w:proofErr w:type="spellStart"/>
      <w:r w:rsidRPr="00427DC3">
        <w:rPr>
          <w:rFonts w:ascii="Arial" w:hAnsi="Arial" w:cs="Arial"/>
          <w:sz w:val="22"/>
          <w:szCs w:val="22"/>
          <w:lang w:val="en-US"/>
        </w:rPr>
        <w:t>Zehir</w:t>
      </w:r>
      <w:proofErr w:type="spellEnd"/>
      <w:r w:rsidRPr="00427DC3">
        <w:rPr>
          <w:rFonts w:ascii="Arial" w:hAnsi="Arial" w:cs="Arial"/>
          <w:sz w:val="22"/>
          <w:szCs w:val="22"/>
          <w:lang w:val="en-US"/>
        </w:rPr>
        <w:t xml:space="preserve">, A., Devlin, S.M., </w:t>
      </w:r>
      <w:proofErr w:type="spellStart"/>
      <w:r w:rsidRPr="00427DC3">
        <w:rPr>
          <w:rFonts w:ascii="Arial" w:hAnsi="Arial" w:cs="Arial"/>
          <w:sz w:val="22"/>
          <w:szCs w:val="22"/>
          <w:lang w:val="en-US"/>
        </w:rPr>
        <w:t>Kishtagari</w:t>
      </w:r>
      <w:proofErr w:type="spellEnd"/>
      <w:r w:rsidRPr="00427DC3">
        <w:rPr>
          <w:rFonts w:ascii="Arial" w:hAnsi="Arial" w:cs="Arial"/>
          <w:sz w:val="22"/>
          <w:szCs w:val="22"/>
          <w:lang w:val="en-US"/>
        </w:rPr>
        <w:t xml:space="preserve">, A., Syed, A., Jonsson, P., Hyman, </w:t>
      </w:r>
      <w:r w:rsidRPr="00427DC3">
        <w:rPr>
          <w:rFonts w:ascii="Arial" w:hAnsi="Arial" w:cs="Arial"/>
          <w:sz w:val="22"/>
          <w:szCs w:val="22"/>
          <w:lang w:val="en-US"/>
        </w:rPr>
        <w:lastRenderedPageBreak/>
        <w:t xml:space="preserve">D.M., </w:t>
      </w:r>
      <w:proofErr w:type="spellStart"/>
      <w:r w:rsidRPr="00427DC3">
        <w:rPr>
          <w:rFonts w:ascii="Arial" w:hAnsi="Arial" w:cs="Arial"/>
          <w:sz w:val="22"/>
          <w:szCs w:val="22"/>
          <w:lang w:val="en-US"/>
        </w:rPr>
        <w:t>Solit</w:t>
      </w:r>
      <w:proofErr w:type="spellEnd"/>
      <w:r w:rsidRPr="00427DC3">
        <w:rPr>
          <w:rFonts w:ascii="Arial" w:hAnsi="Arial" w:cs="Arial"/>
          <w:sz w:val="22"/>
          <w:szCs w:val="22"/>
          <w:lang w:val="en-US"/>
        </w:rPr>
        <w:t xml:space="preserve">, D.B., Robson, M.E., </w:t>
      </w:r>
      <w:proofErr w:type="spellStart"/>
      <w:r w:rsidRPr="00427DC3">
        <w:rPr>
          <w:rFonts w:ascii="Arial" w:hAnsi="Arial" w:cs="Arial"/>
          <w:sz w:val="22"/>
          <w:szCs w:val="22"/>
          <w:lang w:val="en-US"/>
        </w:rPr>
        <w:t>Baselga</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Arcila</w:t>
      </w:r>
      <w:proofErr w:type="spellEnd"/>
      <w:r w:rsidRPr="00427DC3">
        <w:rPr>
          <w:rFonts w:ascii="Arial" w:hAnsi="Arial" w:cs="Arial"/>
          <w:sz w:val="22"/>
          <w:szCs w:val="22"/>
          <w:lang w:val="en-US"/>
        </w:rPr>
        <w:t xml:space="preserve">, M.E., </w:t>
      </w:r>
      <w:proofErr w:type="spellStart"/>
      <w:r w:rsidRPr="00427DC3">
        <w:rPr>
          <w:rFonts w:ascii="Arial" w:hAnsi="Arial" w:cs="Arial"/>
          <w:sz w:val="22"/>
          <w:szCs w:val="22"/>
          <w:lang w:val="en-US"/>
        </w:rPr>
        <w:t>Ladanyi</w:t>
      </w:r>
      <w:proofErr w:type="spellEnd"/>
      <w:r w:rsidRPr="00427DC3">
        <w:rPr>
          <w:rFonts w:ascii="Arial" w:hAnsi="Arial" w:cs="Arial"/>
          <w:sz w:val="22"/>
          <w:szCs w:val="22"/>
          <w:lang w:val="en-US"/>
        </w:rPr>
        <w:t>, M., Tallman, M.S., Levine, R.L., Berger, M.F., 2017. Therapy-Related Clonal Hematopoiesis in Patients with Non-hematologic Cancers Is Common and Associated with Adverse Clinical Outcomes. Cell Stem Cell 21, 374-382.e4. https://doi.org/10.1016/j.stem.2017.07.010</w:t>
      </w:r>
    </w:p>
    <w:p w14:paraId="2E606033"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Corces</w:t>
      </w:r>
      <w:proofErr w:type="spellEnd"/>
      <w:r w:rsidRPr="00427DC3">
        <w:rPr>
          <w:rFonts w:ascii="Arial" w:hAnsi="Arial" w:cs="Arial"/>
          <w:sz w:val="22"/>
          <w:szCs w:val="22"/>
          <w:lang w:val="en-US"/>
        </w:rPr>
        <w:t xml:space="preserve">-Zimmerman, M.R., Hong, W.-J., Weissman, I.L., Medeiros, B.C., </w:t>
      </w:r>
      <w:proofErr w:type="spellStart"/>
      <w:r w:rsidRPr="00427DC3">
        <w:rPr>
          <w:rFonts w:ascii="Arial" w:hAnsi="Arial" w:cs="Arial"/>
          <w:sz w:val="22"/>
          <w:szCs w:val="22"/>
          <w:lang w:val="en-US"/>
        </w:rPr>
        <w:t>Majeti</w:t>
      </w:r>
      <w:proofErr w:type="spellEnd"/>
      <w:r w:rsidRPr="00427DC3">
        <w:rPr>
          <w:rFonts w:ascii="Arial" w:hAnsi="Arial" w:cs="Arial"/>
          <w:sz w:val="22"/>
          <w:szCs w:val="22"/>
          <w:lang w:val="en-US"/>
        </w:rPr>
        <w:t>, R., 2014. Preleukemic mutations in human acute myeloid leukemia affect epigenetic regulators and persist in remission. PNAS 111, 2548–2553. https://doi.org/10.1073/pnas.1324297111</w:t>
      </w:r>
    </w:p>
    <w:p w14:paraId="42575B4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Craver, B.M., Ramanathan, G., Hoang, S., Chang, X., Mendez </w:t>
      </w:r>
      <w:proofErr w:type="spellStart"/>
      <w:r w:rsidRPr="00427DC3">
        <w:rPr>
          <w:rFonts w:ascii="Arial" w:hAnsi="Arial" w:cs="Arial"/>
          <w:sz w:val="22"/>
          <w:szCs w:val="22"/>
          <w:lang w:val="en-US"/>
        </w:rPr>
        <w:t>Luque</w:t>
      </w:r>
      <w:proofErr w:type="spellEnd"/>
      <w:r w:rsidRPr="00427DC3">
        <w:rPr>
          <w:rFonts w:ascii="Arial" w:hAnsi="Arial" w:cs="Arial"/>
          <w:sz w:val="22"/>
          <w:szCs w:val="22"/>
          <w:lang w:val="en-US"/>
        </w:rPr>
        <w:t>, L.F., Brooks, S., Lai, H.Y., Fleischman, A.G., 2020. N-acetylcysteine inhibits thrombosis in a murine model of myeloproliferative neoplasm. Blood Adv 4, 312–321. https://doi.org/10.1182/bloodadvances.2019000967</w:t>
      </w:r>
    </w:p>
    <w:p w14:paraId="2C56332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r w:rsidRPr="00427DC3">
        <w:rPr>
          <w:rFonts w:ascii="Arial" w:hAnsi="Arial" w:cs="Arial"/>
          <w:sz w:val="22"/>
          <w:szCs w:val="22"/>
          <w:lang w:val="en-US"/>
        </w:rPr>
        <w:t xml:space="preserve">de Boer, J., Williams, A., </w:t>
      </w:r>
      <w:proofErr w:type="spellStart"/>
      <w:r w:rsidRPr="00427DC3">
        <w:rPr>
          <w:rFonts w:ascii="Arial" w:hAnsi="Arial" w:cs="Arial"/>
          <w:sz w:val="22"/>
          <w:szCs w:val="22"/>
          <w:lang w:val="en-US"/>
        </w:rPr>
        <w:t>Skavdis</w:t>
      </w:r>
      <w:proofErr w:type="spellEnd"/>
      <w:r w:rsidRPr="00427DC3">
        <w:rPr>
          <w:rFonts w:ascii="Arial" w:hAnsi="Arial" w:cs="Arial"/>
          <w:sz w:val="22"/>
          <w:szCs w:val="22"/>
          <w:lang w:val="en-US"/>
        </w:rPr>
        <w:t xml:space="preserve">, G., Harker, N., Coles, M., </w:t>
      </w:r>
      <w:proofErr w:type="spellStart"/>
      <w:r w:rsidRPr="00427DC3">
        <w:rPr>
          <w:rFonts w:ascii="Arial" w:hAnsi="Arial" w:cs="Arial"/>
          <w:sz w:val="22"/>
          <w:szCs w:val="22"/>
          <w:lang w:val="en-US"/>
        </w:rPr>
        <w:t>Tolaini</w:t>
      </w:r>
      <w:proofErr w:type="spellEnd"/>
      <w:r w:rsidRPr="00427DC3">
        <w:rPr>
          <w:rFonts w:ascii="Arial" w:hAnsi="Arial" w:cs="Arial"/>
          <w:sz w:val="22"/>
          <w:szCs w:val="22"/>
          <w:lang w:val="en-US"/>
        </w:rPr>
        <w:t xml:space="preserve">, M., Norton, T., Williams, K., Roderick, K., </w:t>
      </w:r>
      <w:proofErr w:type="spellStart"/>
      <w:r w:rsidRPr="00427DC3">
        <w:rPr>
          <w:rFonts w:ascii="Arial" w:hAnsi="Arial" w:cs="Arial"/>
          <w:sz w:val="22"/>
          <w:szCs w:val="22"/>
          <w:lang w:val="en-US"/>
        </w:rPr>
        <w:t>Potocnik</w:t>
      </w:r>
      <w:proofErr w:type="spellEnd"/>
      <w:r w:rsidRPr="00427DC3">
        <w:rPr>
          <w:rFonts w:ascii="Arial" w:hAnsi="Arial" w:cs="Arial"/>
          <w:sz w:val="22"/>
          <w:szCs w:val="22"/>
          <w:lang w:val="en-US"/>
        </w:rPr>
        <w:t xml:space="preserve">, A.J., </w:t>
      </w:r>
      <w:proofErr w:type="spellStart"/>
      <w:r w:rsidRPr="00427DC3">
        <w:rPr>
          <w:rFonts w:ascii="Arial" w:hAnsi="Arial" w:cs="Arial"/>
          <w:sz w:val="22"/>
          <w:szCs w:val="22"/>
          <w:lang w:val="en-US"/>
        </w:rPr>
        <w:t>Kioussis</w:t>
      </w:r>
      <w:proofErr w:type="spellEnd"/>
      <w:r w:rsidRPr="00427DC3">
        <w:rPr>
          <w:rFonts w:ascii="Arial" w:hAnsi="Arial" w:cs="Arial"/>
          <w:sz w:val="22"/>
          <w:szCs w:val="22"/>
          <w:lang w:val="en-US"/>
        </w:rPr>
        <w:t xml:space="preserve">, D., 2003. Transgenic mice with hematopoietic and lymphoid specific expression of </w:t>
      </w:r>
      <w:proofErr w:type="spellStart"/>
      <w:r w:rsidRPr="00427DC3">
        <w:rPr>
          <w:rFonts w:ascii="Arial" w:hAnsi="Arial" w:cs="Arial"/>
          <w:sz w:val="22"/>
          <w:szCs w:val="22"/>
          <w:lang w:val="en-US"/>
        </w:rPr>
        <w:t>Cre</w:t>
      </w:r>
      <w:proofErr w:type="spellEnd"/>
      <w:r w:rsidRPr="00427DC3">
        <w:rPr>
          <w:rFonts w:ascii="Arial" w:hAnsi="Arial" w:cs="Arial"/>
          <w:sz w:val="22"/>
          <w:szCs w:val="22"/>
          <w:lang w:val="en-US"/>
        </w:rPr>
        <w:t xml:space="preserve">. </w:t>
      </w:r>
      <w:proofErr w:type="spellStart"/>
      <w:r w:rsidRPr="00427DC3">
        <w:rPr>
          <w:rFonts w:ascii="Arial" w:hAnsi="Arial" w:cs="Arial"/>
          <w:sz w:val="22"/>
          <w:szCs w:val="22"/>
          <w:lang w:val="de-DE"/>
        </w:rPr>
        <w:t>Eur</w:t>
      </w:r>
      <w:proofErr w:type="spellEnd"/>
      <w:r w:rsidRPr="00427DC3">
        <w:rPr>
          <w:rFonts w:ascii="Arial" w:hAnsi="Arial" w:cs="Arial"/>
          <w:sz w:val="22"/>
          <w:szCs w:val="22"/>
          <w:lang w:val="de-DE"/>
        </w:rPr>
        <w:t xml:space="preserve"> J </w:t>
      </w:r>
      <w:proofErr w:type="spellStart"/>
      <w:r w:rsidRPr="00427DC3">
        <w:rPr>
          <w:rFonts w:ascii="Arial" w:hAnsi="Arial" w:cs="Arial"/>
          <w:sz w:val="22"/>
          <w:szCs w:val="22"/>
          <w:lang w:val="de-DE"/>
        </w:rPr>
        <w:t>Immunol</w:t>
      </w:r>
      <w:proofErr w:type="spellEnd"/>
      <w:r w:rsidRPr="00427DC3">
        <w:rPr>
          <w:rFonts w:ascii="Arial" w:hAnsi="Arial" w:cs="Arial"/>
          <w:sz w:val="22"/>
          <w:szCs w:val="22"/>
          <w:lang w:val="de-DE"/>
        </w:rPr>
        <w:t xml:space="preserve"> 33, 314–325. https://doi.org/10.1002/immu.200310005</w:t>
      </w:r>
    </w:p>
    <w:p w14:paraId="01F4152A"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de-DE"/>
        </w:rPr>
        <w:t>Dela</w:t>
      </w:r>
      <w:proofErr w:type="spellEnd"/>
      <w:r w:rsidRPr="00427DC3">
        <w:rPr>
          <w:rFonts w:ascii="Arial" w:hAnsi="Arial" w:cs="Arial"/>
          <w:sz w:val="22"/>
          <w:szCs w:val="22"/>
          <w:lang w:val="de-DE"/>
        </w:rPr>
        <w:t xml:space="preserve"> Cruz, C.S., Kang, M.-J., 2018. </w:t>
      </w:r>
      <w:r w:rsidRPr="00427DC3">
        <w:rPr>
          <w:rFonts w:ascii="Arial" w:hAnsi="Arial" w:cs="Arial"/>
          <w:sz w:val="22"/>
          <w:szCs w:val="22"/>
          <w:lang w:val="en-US"/>
        </w:rPr>
        <w:t>Mitochondrial Dysfunction and Damage Associated Molecular Patterns (DAMPs) in Chronic Inflammatory Diseases. Mitochondrion 41, 37–44. https://doi.org/10.1016/j.mito.2017.12.001</w:t>
      </w:r>
    </w:p>
    <w:p w14:paraId="0BDCAB2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Desai, P., </w:t>
      </w:r>
      <w:proofErr w:type="spellStart"/>
      <w:r w:rsidRPr="00427DC3">
        <w:rPr>
          <w:rFonts w:ascii="Arial" w:hAnsi="Arial" w:cs="Arial"/>
          <w:sz w:val="22"/>
          <w:szCs w:val="22"/>
          <w:lang w:val="en-US"/>
        </w:rPr>
        <w:t>Mencia-Trinchant</w:t>
      </w:r>
      <w:proofErr w:type="spellEnd"/>
      <w:r w:rsidRPr="00427DC3">
        <w:rPr>
          <w:rFonts w:ascii="Arial" w:hAnsi="Arial" w:cs="Arial"/>
          <w:sz w:val="22"/>
          <w:szCs w:val="22"/>
          <w:lang w:val="en-US"/>
        </w:rPr>
        <w:t xml:space="preserve">, N., </w:t>
      </w:r>
      <w:proofErr w:type="spellStart"/>
      <w:r w:rsidRPr="00427DC3">
        <w:rPr>
          <w:rFonts w:ascii="Arial" w:hAnsi="Arial" w:cs="Arial"/>
          <w:sz w:val="22"/>
          <w:szCs w:val="22"/>
          <w:lang w:val="en-US"/>
        </w:rPr>
        <w:t>Savenkov</w:t>
      </w:r>
      <w:proofErr w:type="spellEnd"/>
      <w:r w:rsidRPr="00427DC3">
        <w:rPr>
          <w:rFonts w:ascii="Arial" w:hAnsi="Arial" w:cs="Arial"/>
          <w:sz w:val="22"/>
          <w:szCs w:val="22"/>
          <w:lang w:val="en-US"/>
        </w:rPr>
        <w:t xml:space="preserve">, O., Simon, M.S., </w:t>
      </w:r>
      <w:proofErr w:type="spellStart"/>
      <w:r w:rsidRPr="00427DC3">
        <w:rPr>
          <w:rFonts w:ascii="Arial" w:hAnsi="Arial" w:cs="Arial"/>
          <w:sz w:val="22"/>
          <w:szCs w:val="22"/>
          <w:lang w:val="en-US"/>
        </w:rPr>
        <w:t>Cheang</w:t>
      </w:r>
      <w:proofErr w:type="spellEnd"/>
      <w:r w:rsidRPr="00427DC3">
        <w:rPr>
          <w:rFonts w:ascii="Arial" w:hAnsi="Arial" w:cs="Arial"/>
          <w:sz w:val="22"/>
          <w:szCs w:val="22"/>
          <w:lang w:val="en-US"/>
        </w:rPr>
        <w:t xml:space="preserve">, G., Lee, S., Samuel, M., Ritchie, E.K., Guzman, M.L., </w:t>
      </w:r>
      <w:proofErr w:type="spellStart"/>
      <w:r w:rsidRPr="00427DC3">
        <w:rPr>
          <w:rFonts w:ascii="Arial" w:hAnsi="Arial" w:cs="Arial"/>
          <w:sz w:val="22"/>
          <w:szCs w:val="22"/>
          <w:lang w:val="en-US"/>
        </w:rPr>
        <w:t>Ballman</w:t>
      </w:r>
      <w:proofErr w:type="spellEnd"/>
      <w:r w:rsidRPr="00427DC3">
        <w:rPr>
          <w:rFonts w:ascii="Arial" w:hAnsi="Arial" w:cs="Arial"/>
          <w:sz w:val="22"/>
          <w:szCs w:val="22"/>
          <w:lang w:val="en-US"/>
        </w:rPr>
        <w:t xml:space="preserve">, K.V., </w:t>
      </w:r>
      <w:proofErr w:type="spellStart"/>
      <w:r w:rsidRPr="00427DC3">
        <w:rPr>
          <w:rFonts w:ascii="Arial" w:hAnsi="Arial" w:cs="Arial"/>
          <w:sz w:val="22"/>
          <w:szCs w:val="22"/>
          <w:lang w:val="en-US"/>
        </w:rPr>
        <w:t>Roboz</w:t>
      </w:r>
      <w:proofErr w:type="spellEnd"/>
      <w:r w:rsidRPr="00427DC3">
        <w:rPr>
          <w:rFonts w:ascii="Arial" w:hAnsi="Arial" w:cs="Arial"/>
          <w:sz w:val="22"/>
          <w:szCs w:val="22"/>
          <w:lang w:val="en-US"/>
        </w:rPr>
        <w:t xml:space="preserve">, G.J., </w:t>
      </w:r>
      <w:proofErr w:type="spellStart"/>
      <w:r w:rsidRPr="00427DC3">
        <w:rPr>
          <w:rFonts w:ascii="Arial" w:hAnsi="Arial" w:cs="Arial"/>
          <w:sz w:val="22"/>
          <w:szCs w:val="22"/>
          <w:lang w:val="en-US"/>
        </w:rPr>
        <w:t>Hassane</w:t>
      </w:r>
      <w:proofErr w:type="spellEnd"/>
      <w:r w:rsidRPr="00427DC3">
        <w:rPr>
          <w:rFonts w:ascii="Arial" w:hAnsi="Arial" w:cs="Arial"/>
          <w:sz w:val="22"/>
          <w:szCs w:val="22"/>
          <w:lang w:val="en-US"/>
        </w:rPr>
        <w:t>, D.C., 2018. Somatic mutations precede acute myeloid leukemia years before diagnosis. Nat. Med. 24, 1015–1023. https://doi.org/10.1038/s41591-018-0081-z</w:t>
      </w:r>
    </w:p>
    <w:p w14:paraId="2B9DAD51"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Desterke</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Bilhou-Nabéra</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Guerton</w:t>
      </w:r>
      <w:proofErr w:type="spellEnd"/>
      <w:r w:rsidRPr="00427DC3">
        <w:rPr>
          <w:rFonts w:ascii="Arial" w:hAnsi="Arial" w:cs="Arial"/>
          <w:sz w:val="22"/>
          <w:szCs w:val="22"/>
          <w:lang w:val="en-US"/>
        </w:rPr>
        <w:t xml:space="preserve">, B., </w:t>
      </w:r>
      <w:proofErr w:type="spellStart"/>
      <w:r w:rsidRPr="00427DC3">
        <w:rPr>
          <w:rFonts w:ascii="Arial" w:hAnsi="Arial" w:cs="Arial"/>
          <w:sz w:val="22"/>
          <w:szCs w:val="22"/>
          <w:lang w:val="en-US"/>
        </w:rPr>
        <w:t>Martinaud</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Tonetti</w:t>
      </w:r>
      <w:proofErr w:type="spellEnd"/>
      <w:r w:rsidRPr="00427DC3">
        <w:rPr>
          <w:rFonts w:ascii="Arial" w:hAnsi="Arial" w:cs="Arial"/>
          <w:sz w:val="22"/>
          <w:szCs w:val="22"/>
          <w:lang w:val="en-US"/>
        </w:rPr>
        <w:t xml:space="preserve">, C., Clay, D., Guglielmelli, P., </w:t>
      </w:r>
      <w:proofErr w:type="spellStart"/>
      <w:r w:rsidRPr="00427DC3">
        <w:rPr>
          <w:rFonts w:ascii="Arial" w:hAnsi="Arial" w:cs="Arial"/>
          <w:sz w:val="22"/>
          <w:szCs w:val="22"/>
          <w:lang w:val="en-US"/>
        </w:rPr>
        <w:t>Vannucchi</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Bordessoule</w:t>
      </w:r>
      <w:proofErr w:type="spellEnd"/>
      <w:r w:rsidRPr="00427DC3">
        <w:rPr>
          <w:rFonts w:ascii="Arial" w:hAnsi="Arial" w:cs="Arial"/>
          <w:sz w:val="22"/>
          <w:szCs w:val="22"/>
          <w:lang w:val="en-US"/>
        </w:rPr>
        <w:t xml:space="preserve">, D., </w:t>
      </w:r>
      <w:proofErr w:type="spellStart"/>
      <w:r w:rsidRPr="00427DC3">
        <w:rPr>
          <w:rFonts w:ascii="Arial" w:hAnsi="Arial" w:cs="Arial"/>
          <w:sz w:val="22"/>
          <w:szCs w:val="22"/>
          <w:lang w:val="en-US"/>
        </w:rPr>
        <w:t>Hasselbalch</w:t>
      </w:r>
      <w:proofErr w:type="spellEnd"/>
      <w:r w:rsidRPr="00427DC3">
        <w:rPr>
          <w:rFonts w:ascii="Arial" w:hAnsi="Arial" w:cs="Arial"/>
          <w:sz w:val="22"/>
          <w:szCs w:val="22"/>
          <w:lang w:val="en-US"/>
        </w:rPr>
        <w:t xml:space="preserve">, H., </w:t>
      </w:r>
      <w:proofErr w:type="spellStart"/>
      <w:r w:rsidRPr="00427DC3">
        <w:rPr>
          <w:rFonts w:ascii="Arial" w:hAnsi="Arial" w:cs="Arial"/>
          <w:sz w:val="22"/>
          <w:szCs w:val="22"/>
          <w:lang w:val="en-US"/>
        </w:rPr>
        <w:t>Dupriez</w:t>
      </w:r>
      <w:proofErr w:type="spellEnd"/>
      <w:r w:rsidRPr="00427DC3">
        <w:rPr>
          <w:rFonts w:ascii="Arial" w:hAnsi="Arial" w:cs="Arial"/>
          <w:sz w:val="22"/>
          <w:szCs w:val="22"/>
          <w:lang w:val="en-US"/>
        </w:rPr>
        <w:t xml:space="preserve">, B., </w:t>
      </w:r>
      <w:proofErr w:type="spellStart"/>
      <w:r w:rsidRPr="00427DC3">
        <w:rPr>
          <w:rFonts w:ascii="Arial" w:hAnsi="Arial" w:cs="Arial"/>
          <w:sz w:val="22"/>
          <w:szCs w:val="22"/>
          <w:lang w:val="en-US"/>
        </w:rPr>
        <w:t>Benzoubir</w:t>
      </w:r>
      <w:proofErr w:type="spellEnd"/>
      <w:r w:rsidRPr="00427DC3">
        <w:rPr>
          <w:rFonts w:ascii="Arial" w:hAnsi="Arial" w:cs="Arial"/>
          <w:sz w:val="22"/>
          <w:szCs w:val="22"/>
          <w:lang w:val="en-US"/>
        </w:rPr>
        <w:t xml:space="preserve">, N., </w:t>
      </w:r>
      <w:proofErr w:type="spellStart"/>
      <w:r w:rsidRPr="00427DC3">
        <w:rPr>
          <w:rFonts w:ascii="Arial" w:hAnsi="Arial" w:cs="Arial"/>
          <w:sz w:val="22"/>
          <w:szCs w:val="22"/>
          <w:lang w:val="en-US"/>
        </w:rPr>
        <w:t>Bourgeade</w:t>
      </w:r>
      <w:proofErr w:type="spellEnd"/>
      <w:r w:rsidRPr="00427DC3">
        <w:rPr>
          <w:rFonts w:ascii="Arial" w:hAnsi="Arial" w:cs="Arial"/>
          <w:sz w:val="22"/>
          <w:szCs w:val="22"/>
          <w:lang w:val="en-US"/>
        </w:rPr>
        <w:t xml:space="preserve">, M.-F., Pierre-Louis, O., Lazar, V., </w:t>
      </w:r>
      <w:proofErr w:type="spellStart"/>
      <w:r w:rsidRPr="00427DC3">
        <w:rPr>
          <w:rFonts w:ascii="Arial" w:hAnsi="Arial" w:cs="Arial"/>
          <w:sz w:val="22"/>
          <w:szCs w:val="22"/>
          <w:lang w:val="en-US"/>
        </w:rPr>
        <w:t>Vainchenker</w:t>
      </w:r>
      <w:proofErr w:type="spellEnd"/>
      <w:r w:rsidRPr="00427DC3">
        <w:rPr>
          <w:rFonts w:ascii="Arial" w:hAnsi="Arial" w:cs="Arial"/>
          <w:sz w:val="22"/>
          <w:szCs w:val="22"/>
          <w:lang w:val="en-US"/>
        </w:rPr>
        <w:t xml:space="preserve">, W., </w:t>
      </w:r>
      <w:proofErr w:type="spellStart"/>
      <w:r w:rsidRPr="00427DC3">
        <w:rPr>
          <w:rFonts w:ascii="Arial" w:hAnsi="Arial" w:cs="Arial"/>
          <w:sz w:val="22"/>
          <w:szCs w:val="22"/>
          <w:lang w:val="en-US"/>
        </w:rPr>
        <w:t>Bennaceur-Griscelli</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Gisslinger</w:t>
      </w:r>
      <w:proofErr w:type="spellEnd"/>
      <w:r w:rsidRPr="00427DC3">
        <w:rPr>
          <w:rFonts w:ascii="Arial" w:hAnsi="Arial" w:cs="Arial"/>
          <w:sz w:val="22"/>
          <w:szCs w:val="22"/>
          <w:lang w:val="en-US"/>
        </w:rPr>
        <w:t xml:space="preserve">, H., </w:t>
      </w:r>
      <w:proofErr w:type="spellStart"/>
      <w:r w:rsidRPr="00427DC3">
        <w:rPr>
          <w:rFonts w:ascii="Arial" w:hAnsi="Arial" w:cs="Arial"/>
          <w:sz w:val="22"/>
          <w:szCs w:val="22"/>
          <w:lang w:val="en-US"/>
        </w:rPr>
        <w:t>Giraudier</w:t>
      </w:r>
      <w:proofErr w:type="spellEnd"/>
      <w:r w:rsidRPr="00427DC3">
        <w:rPr>
          <w:rFonts w:ascii="Arial" w:hAnsi="Arial" w:cs="Arial"/>
          <w:sz w:val="22"/>
          <w:szCs w:val="22"/>
          <w:lang w:val="en-US"/>
        </w:rPr>
        <w:t xml:space="preserve">, S., Le </w:t>
      </w:r>
      <w:proofErr w:type="spellStart"/>
      <w:r w:rsidRPr="00427DC3">
        <w:rPr>
          <w:rFonts w:ascii="Arial" w:hAnsi="Arial" w:cs="Arial"/>
          <w:sz w:val="22"/>
          <w:szCs w:val="22"/>
          <w:lang w:val="en-US"/>
        </w:rPr>
        <w:t>Bousse-Kerdilès</w:t>
      </w:r>
      <w:proofErr w:type="spellEnd"/>
      <w:r w:rsidRPr="00427DC3">
        <w:rPr>
          <w:rFonts w:ascii="Arial" w:hAnsi="Arial" w:cs="Arial"/>
          <w:sz w:val="22"/>
          <w:szCs w:val="22"/>
          <w:lang w:val="en-US"/>
        </w:rPr>
        <w:t xml:space="preserve">, M.-C., French Intergroup of Myeloproliferative Disorders, French INSERM, European EUMNET Networks on Myelofibrosis, 2011. FLT3-mediated p38-MAPK activation participates in the control of </w:t>
      </w:r>
      <w:proofErr w:type="spellStart"/>
      <w:r w:rsidRPr="00427DC3">
        <w:rPr>
          <w:rFonts w:ascii="Arial" w:hAnsi="Arial" w:cs="Arial"/>
          <w:sz w:val="22"/>
          <w:szCs w:val="22"/>
          <w:lang w:val="en-US"/>
        </w:rPr>
        <w:t>megakaryopoiesis</w:t>
      </w:r>
      <w:proofErr w:type="spellEnd"/>
      <w:r w:rsidRPr="00427DC3">
        <w:rPr>
          <w:rFonts w:ascii="Arial" w:hAnsi="Arial" w:cs="Arial"/>
          <w:sz w:val="22"/>
          <w:szCs w:val="22"/>
          <w:lang w:val="en-US"/>
        </w:rPr>
        <w:t xml:space="preserve"> in primary myelofibrosis. Cancer Res. 71, 2901–2915. https://doi.org/10.1158/0008-5472.CAN-10-1731</w:t>
      </w:r>
    </w:p>
    <w:p w14:paraId="5B0EB9D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Di </w:t>
      </w:r>
      <w:proofErr w:type="spellStart"/>
      <w:r w:rsidRPr="00427DC3">
        <w:rPr>
          <w:rFonts w:ascii="Arial" w:hAnsi="Arial" w:cs="Arial"/>
          <w:sz w:val="22"/>
          <w:szCs w:val="22"/>
          <w:lang w:val="en-US"/>
        </w:rPr>
        <w:t>Micco</w:t>
      </w:r>
      <w:proofErr w:type="spellEnd"/>
      <w:r w:rsidRPr="00427DC3">
        <w:rPr>
          <w:rFonts w:ascii="Arial" w:hAnsi="Arial" w:cs="Arial"/>
          <w:sz w:val="22"/>
          <w:szCs w:val="22"/>
          <w:lang w:val="en-US"/>
        </w:rPr>
        <w:t xml:space="preserve">, R., </w:t>
      </w:r>
      <w:proofErr w:type="spellStart"/>
      <w:r w:rsidRPr="00427DC3">
        <w:rPr>
          <w:rFonts w:ascii="Arial" w:hAnsi="Arial" w:cs="Arial"/>
          <w:sz w:val="22"/>
          <w:szCs w:val="22"/>
          <w:lang w:val="en-US"/>
        </w:rPr>
        <w:t>Fumagalli</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Cicalese</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Piccinin</w:t>
      </w:r>
      <w:proofErr w:type="spellEnd"/>
      <w:r w:rsidRPr="00427DC3">
        <w:rPr>
          <w:rFonts w:ascii="Arial" w:hAnsi="Arial" w:cs="Arial"/>
          <w:sz w:val="22"/>
          <w:szCs w:val="22"/>
          <w:lang w:val="en-US"/>
        </w:rPr>
        <w:t xml:space="preserve">, S., Gasparini, P., </w:t>
      </w:r>
      <w:proofErr w:type="spellStart"/>
      <w:r w:rsidRPr="00427DC3">
        <w:rPr>
          <w:rFonts w:ascii="Arial" w:hAnsi="Arial" w:cs="Arial"/>
          <w:sz w:val="22"/>
          <w:szCs w:val="22"/>
          <w:lang w:val="en-US"/>
        </w:rPr>
        <w:t>Luise</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Schurra</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Garre</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Nuciforo</w:t>
      </w:r>
      <w:proofErr w:type="spellEnd"/>
      <w:r w:rsidRPr="00427DC3">
        <w:rPr>
          <w:rFonts w:ascii="Arial" w:hAnsi="Arial" w:cs="Arial"/>
          <w:sz w:val="22"/>
          <w:szCs w:val="22"/>
          <w:lang w:val="en-US"/>
        </w:rPr>
        <w:t xml:space="preserve">, P.G., Bensimon, A., Maestro, R., </w:t>
      </w:r>
      <w:proofErr w:type="spellStart"/>
      <w:r w:rsidRPr="00427DC3">
        <w:rPr>
          <w:rFonts w:ascii="Arial" w:hAnsi="Arial" w:cs="Arial"/>
          <w:sz w:val="22"/>
          <w:szCs w:val="22"/>
          <w:lang w:val="en-US"/>
        </w:rPr>
        <w:t>Pelicci</w:t>
      </w:r>
      <w:proofErr w:type="spellEnd"/>
      <w:r w:rsidRPr="00427DC3">
        <w:rPr>
          <w:rFonts w:ascii="Arial" w:hAnsi="Arial" w:cs="Arial"/>
          <w:sz w:val="22"/>
          <w:szCs w:val="22"/>
          <w:lang w:val="en-US"/>
        </w:rPr>
        <w:t xml:space="preserve">, P.G., </w:t>
      </w:r>
      <w:proofErr w:type="spellStart"/>
      <w:r w:rsidRPr="00427DC3">
        <w:rPr>
          <w:rFonts w:ascii="Arial" w:hAnsi="Arial" w:cs="Arial"/>
          <w:sz w:val="22"/>
          <w:szCs w:val="22"/>
          <w:lang w:val="en-US"/>
        </w:rPr>
        <w:t>d’Adda</w:t>
      </w:r>
      <w:proofErr w:type="spellEnd"/>
      <w:r w:rsidRPr="00427DC3">
        <w:rPr>
          <w:rFonts w:ascii="Arial" w:hAnsi="Arial" w:cs="Arial"/>
          <w:sz w:val="22"/>
          <w:szCs w:val="22"/>
          <w:lang w:val="en-US"/>
        </w:rPr>
        <w:t xml:space="preserve"> di </w:t>
      </w:r>
      <w:proofErr w:type="spellStart"/>
      <w:r w:rsidRPr="00427DC3">
        <w:rPr>
          <w:rFonts w:ascii="Arial" w:hAnsi="Arial" w:cs="Arial"/>
          <w:sz w:val="22"/>
          <w:szCs w:val="22"/>
          <w:lang w:val="en-US"/>
        </w:rPr>
        <w:t>Fagagna</w:t>
      </w:r>
      <w:proofErr w:type="spellEnd"/>
      <w:r w:rsidRPr="00427DC3">
        <w:rPr>
          <w:rFonts w:ascii="Arial" w:hAnsi="Arial" w:cs="Arial"/>
          <w:sz w:val="22"/>
          <w:szCs w:val="22"/>
          <w:lang w:val="en-US"/>
        </w:rPr>
        <w:t>, F., 2006. Oncogene-induced senescence is a DNA damage response triggered by DNA hyper-replication. Nature 444, 638–642. https://doi.org/10.1038/nature05327</w:t>
      </w:r>
    </w:p>
    <w:p w14:paraId="5EFCF56A"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Duek</w:t>
      </w:r>
      <w:proofErr w:type="spellEnd"/>
      <w:r w:rsidRPr="00427DC3">
        <w:rPr>
          <w:rFonts w:ascii="Arial" w:hAnsi="Arial" w:cs="Arial"/>
          <w:sz w:val="22"/>
          <w:szCs w:val="22"/>
          <w:lang w:val="en-US"/>
        </w:rPr>
        <w:t xml:space="preserve">, A., Lundberg, P., Shimizu, T., </w:t>
      </w:r>
      <w:proofErr w:type="spellStart"/>
      <w:r w:rsidRPr="00427DC3">
        <w:rPr>
          <w:rFonts w:ascii="Arial" w:hAnsi="Arial" w:cs="Arial"/>
          <w:sz w:val="22"/>
          <w:szCs w:val="22"/>
          <w:lang w:val="en-US"/>
        </w:rPr>
        <w:t>Grisouard</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Karow</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Kubovcakova</w:t>
      </w:r>
      <w:proofErr w:type="spellEnd"/>
      <w:r w:rsidRPr="00427DC3">
        <w:rPr>
          <w:rFonts w:ascii="Arial" w:hAnsi="Arial" w:cs="Arial"/>
          <w:sz w:val="22"/>
          <w:szCs w:val="22"/>
          <w:lang w:val="en-US"/>
        </w:rPr>
        <w:t xml:space="preserve">, L., Hao-Shen, H., </w:t>
      </w:r>
      <w:proofErr w:type="spellStart"/>
      <w:r w:rsidRPr="00427DC3">
        <w:rPr>
          <w:rFonts w:ascii="Arial" w:hAnsi="Arial" w:cs="Arial"/>
          <w:sz w:val="22"/>
          <w:szCs w:val="22"/>
          <w:lang w:val="en-US"/>
        </w:rPr>
        <w:t>Dirnhofer</w:t>
      </w:r>
      <w:proofErr w:type="spellEnd"/>
      <w:r w:rsidRPr="00427DC3">
        <w:rPr>
          <w:rFonts w:ascii="Arial" w:hAnsi="Arial" w:cs="Arial"/>
          <w:sz w:val="22"/>
          <w:szCs w:val="22"/>
          <w:lang w:val="en-US"/>
        </w:rPr>
        <w:t xml:space="preserve">, S., Skoda, R.C., 2014. Loss of Stat1 decreases </w:t>
      </w:r>
      <w:proofErr w:type="spellStart"/>
      <w:r w:rsidRPr="00427DC3">
        <w:rPr>
          <w:rFonts w:ascii="Arial" w:hAnsi="Arial" w:cs="Arial"/>
          <w:sz w:val="22"/>
          <w:szCs w:val="22"/>
          <w:lang w:val="en-US"/>
        </w:rPr>
        <w:t>megakaryopoiesis</w:t>
      </w:r>
      <w:proofErr w:type="spellEnd"/>
      <w:r w:rsidRPr="00427DC3">
        <w:rPr>
          <w:rFonts w:ascii="Arial" w:hAnsi="Arial" w:cs="Arial"/>
          <w:sz w:val="22"/>
          <w:szCs w:val="22"/>
          <w:lang w:val="en-US"/>
        </w:rPr>
        <w:t xml:space="preserve"> and favors erythropoiesis in a JAK2-V617F–driven mouse model of MPNs. Blood 123, 3943–3950. https://doi.org/10.1182/blood-2013-07-514208</w:t>
      </w:r>
    </w:p>
    <w:p w14:paraId="295FC66A"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Dumont, F.J., </w:t>
      </w:r>
      <w:proofErr w:type="spellStart"/>
      <w:r w:rsidRPr="00427DC3">
        <w:rPr>
          <w:rFonts w:ascii="Arial" w:hAnsi="Arial" w:cs="Arial"/>
          <w:sz w:val="22"/>
          <w:szCs w:val="22"/>
          <w:lang w:val="en-US"/>
        </w:rPr>
        <w:t>Palfree</w:t>
      </w:r>
      <w:proofErr w:type="spellEnd"/>
      <w:r w:rsidRPr="00427DC3">
        <w:rPr>
          <w:rFonts w:ascii="Arial" w:hAnsi="Arial" w:cs="Arial"/>
          <w:sz w:val="22"/>
          <w:szCs w:val="22"/>
          <w:lang w:val="en-US"/>
        </w:rPr>
        <w:t>, R.G., Coker, L.Z., 1986. Phenotypic changes induced by interferon in resting T cells: major enhancement of Ly-6 antigen expression. J. Immunol. 137, 201–210.</w:t>
      </w:r>
    </w:p>
    <w:p w14:paraId="5A4BA15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Dybedal</w:t>
      </w:r>
      <w:proofErr w:type="spellEnd"/>
      <w:r w:rsidRPr="00427DC3">
        <w:rPr>
          <w:rFonts w:ascii="Arial" w:hAnsi="Arial" w:cs="Arial"/>
          <w:sz w:val="22"/>
          <w:szCs w:val="22"/>
          <w:lang w:val="en-US"/>
        </w:rPr>
        <w:t xml:space="preserve">, I., </w:t>
      </w:r>
      <w:proofErr w:type="spellStart"/>
      <w:r w:rsidRPr="00427DC3">
        <w:rPr>
          <w:rFonts w:ascii="Arial" w:hAnsi="Arial" w:cs="Arial"/>
          <w:sz w:val="22"/>
          <w:szCs w:val="22"/>
          <w:lang w:val="en-US"/>
        </w:rPr>
        <w:t>Bryder</w:t>
      </w:r>
      <w:proofErr w:type="spellEnd"/>
      <w:r w:rsidRPr="00427DC3">
        <w:rPr>
          <w:rFonts w:ascii="Arial" w:hAnsi="Arial" w:cs="Arial"/>
          <w:sz w:val="22"/>
          <w:szCs w:val="22"/>
          <w:lang w:val="en-US"/>
        </w:rPr>
        <w:t xml:space="preserve">, D., </w:t>
      </w:r>
      <w:proofErr w:type="spellStart"/>
      <w:r w:rsidRPr="00427DC3">
        <w:rPr>
          <w:rFonts w:ascii="Arial" w:hAnsi="Arial" w:cs="Arial"/>
          <w:sz w:val="22"/>
          <w:szCs w:val="22"/>
          <w:lang w:val="en-US"/>
        </w:rPr>
        <w:t>Fossum</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Rusten</w:t>
      </w:r>
      <w:proofErr w:type="spellEnd"/>
      <w:r w:rsidRPr="00427DC3">
        <w:rPr>
          <w:rFonts w:ascii="Arial" w:hAnsi="Arial" w:cs="Arial"/>
          <w:sz w:val="22"/>
          <w:szCs w:val="22"/>
          <w:lang w:val="en-US"/>
        </w:rPr>
        <w:t xml:space="preserve">, L.S., Jacobsen, S.E.W., 2001. Tumor necrosis factor (TNF)–mediated activation of the p55 TNF receptor negatively regulates maintenance of cycling reconstituting human hematopoietic stem cells. </w:t>
      </w:r>
      <w:r w:rsidRPr="00427DC3">
        <w:rPr>
          <w:rFonts w:ascii="Arial" w:hAnsi="Arial" w:cs="Arial"/>
          <w:sz w:val="22"/>
          <w:szCs w:val="22"/>
          <w:lang w:val="en-US"/>
        </w:rPr>
        <w:lastRenderedPageBreak/>
        <w:t>Blood 98, 1782–1791. https://doi.org/10.1182/blood.V98.6.1782</w:t>
      </w:r>
    </w:p>
    <w:p w14:paraId="2279F986"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Essers, M.A.G., </w:t>
      </w:r>
      <w:proofErr w:type="spellStart"/>
      <w:r w:rsidRPr="00427DC3">
        <w:rPr>
          <w:rFonts w:ascii="Arial" w:hAnsi="Arial" w:cs="Arial"/>
          <w:sz w:val="22"/>
          <w:szCs w:val="22"/>
          <w:lang w:val="en-US"/>
        </w:rPr>
        <w:t>Offner</w:t>
      </w:r>
      <w:proofErr w:type="spellEnd"/>
      <w:r w:rsidRPr="00427DC3">
        <w:rPr>
          <w:rFonts w:ascii="Arial" w:hAnsi="Arial" w:cs="Arial"/>
          <w:sz w:val="22"/>
          <w:szCs w:val="22"/>
          <w:lang w:val="en-US"/>
        </w:rPr>
        <w:t xml:space="preserve">, S., Blanco-Bose, W.E., </w:t>
      </w:r>
      <w:proofErr w:type="spellStart"/>
      <w:r w:rsidRPr="00427DC3">
        <w:rPr>
          <w:rFonts w:ascii="Arial" w:hAnsi="Arial" w:cs="Arial"/>
          <w:sz w:val="22"/>
          <w:szCs w:val="22"/>
          <w:lang w:val="en-US"/>
        </w:rPr>
        <w:t>Waibler</w:t>
      </w:r>
      <w:proofErr w:type="spellEnd"/>
      <w:r w:rsidRPr="00427DC3">
        <w:rPr>
          <w:rFonts w:ascii="Arial" w:hAnsi="Arial" w:cs="Arial"/>
          <w:sz w:val="22"/>
          <w:szCs w:val="22"/>
          <w:lang w:val="en-US"/>
        </w:rPr>
        <w:t xml:space="preserve">, Z., </w:t>
      </w:r>
      <w:proofErr w:type="spellStart"/>
      <w:r w:rsidRPr="00427DC3">
        <w:rPr>
          <w:rFonts w:ascii="Arial" w:hAnsi="Arial" w:cs="Arial"/>
          <w:sz w:val="22"/>
          <w:szCs w:val="22"/>
          <w:lang w:val="en-US"/>
        </w:rPr>
        <w:t>Kalinke</w:t>
      </w:r>
      <w:proofErr w:type="spellEnd"/>
      <w:r w:rsidRPr="00427DC3">
        <w:rPr>
          <w:rFonts w:ascii="Arial" w:hAnsi="Arial" w:cs="Arial"/>
          <w:sz w:val="22"/>
          <w:szCs w:val="22"/>
          <w:lang w:val="en-US"/>
        </w:rPr>
        <w:t xml:space="preserve">, U., </w:t>
      </w:r>
      <w:proofErr w:type="spellStart"/>
      <w:r w:rsidRPr="00427DC3">
        <w:rPr>
          <w:rFonts w:ascii="Arial" w:hAnsi="Arial" w:cs="Arial"/>
          <w:sz w:val="22"/>
          <w:szCs w:val="22"/>
          <w:lang w:val="en-US"/>
        </w:rPr>
        <w:t>Duchosal</w:t>
      </w:r>
      <w:proofErr w:type="spellEnd"/>
      <w:r w:rsidRPr="00427DC3">
        <w:rPr>
          <w:rFonts w:ascii="Arial" w:hAnsi="Arial" w:cs="Arial"/>
          <w:sz w:val="22"/>
          <w:szCs w:val="22"/>
          <w:lang w:val="en-US"/>
        </w:rPr>
        <w:t xml:space="preserve">, M.A., </w:t>
      </w:r>
      <w:proofErr w:type="spellStart"/>
      <w:r w:rsidRPr="00427DC3">
        <w:rPr>
          <w:rFonts w:ascii="Arial" w:hAnsi="Arial" w:cs="Arial"/>
          <w:sz w:val="22"/>
          <w:szCs w:val="22"/>
          <w:lang w:val="en-US"/>
        </w:rPr>
        <w:t>Trumpp</w:t>
      </w:r>
      <w:proofErr w:type="spellEnd"/>
      <w:r w:rsidRPr="00427DC3">
        <w:rPr>
          <w:rFonts w:ascii="Arial" w:hAnsi="Arial" w:cs="Arial"/>
          <w:sz w:val="22"/>
          <w:szCs w:val="22"/>
          <w:lang w:val="en-US"/>
        </w:rPr>
        <w:t xml:space="preserve">, A., 2009. </w:t>
      </w:r>
      <w:proofErr w:type="spellStart"/>
      <w:r w:rsidRPr="00427DC3">
        <w:rPr>
          <w:rFonts w:ascii="Arial" w:hAnsi="Arial" w:cs="Arial"/>
          <w:sz w:val="22"/>
          <w:szCs w:val="22"/>
          <w:lang w:val="en-US"/>
        </w:rPr>
        <w:t>IFNalpha</w:t>
      </w:r>
      <w:proofErr w:type="spellEnd"/>
      <w:r w:rsidRPr="00427DC3">
        <w:rPr>
          <w:rFonts w:ascii="Arial" w:hAnsi="Arial" w:cs="Arial"/>
          <w:sz w:val="22"/>
          <w:szCs w:val="22"/>
          <w:lang w:val="en-US"/>
        </w:rPr>
        <w:t xml:space="preserve"> activates dormant </w:t>
      </w:r>
      <w:proofErr w:type="spellStart"/>
      <w:r w:rsidRPr="00427DC3">
        <w:rPr>
          <w:rFonts w:ascii="Arial" w:hAnsi="Arial" w:cs="Arial"/>
          <w:sz w:val="22"/>
          <w:szCs w:val="22"/>
          <w:lang w:val="en-US"/>
        </w:rPr>
        <w:t>haematopoietic</w:t>
      </w:r>
      <w:proofErr w:type="spellEnd"/>
      <w:r w:rsidRPr="00427DC3">
        <w:rPr>
          <w:rFonts w:ascii="Arial" w:hAnsi="Arial" w:cs="Arial"/>
          <w:sz w:val="22"/>
          <w:szCs w:val="22"/>
          <w:lang w:val="en-US"/>
        </w:rPr>
        <w:t xml:space="preserve"> stem cells in vivo. Nature 458, 904–908. https://doi.org/10.1038/nature07815</w:t>
      </w:r>
    </w:p>
    <w:p w14:paraId="3C665EE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Flach</w:t>
      </w:r>
      <w:proofErr w:type="spellEnd"/>
      <w:r w:rsidRPr="00427DC3">
        <w:rPr>
          <w:rFonts w:ascii="Arial" w:hAnsi="Arial" w:cs="Arial"/>
          <w:sz w:val="22"/>
          <w:szCs w:val="22"/>
          <w:lang w:val="en-US"/>
        </w:rPr>
        <w:t xml:space="preserve">, J., Bakker, S.T., </w:t>
      </w:r>
      <w:proofErr w:type="spellStart"/>
      <w:r w:rsidRPr="00427DC3">
        <w:rPr>
          <w:rFonts w:ascii="Arial" w:hAnsi="Arial" w:cs="Arial"/>
          <w:sz w:val="22"/>
          <w:szCs w:val="22"/>
          <w:lang w:val="en-US"/>
        </w:rPr>
        <w:t>Mohrin</w:t>
      </w:r>
      <w:proofErr w:type="spellEnd"/>
      <w:r w:rsidRPr="00427DC3">
        <w:rPr>
          <w:rFonts w:ascii="Arial" w:hAnsi="Arial" w:cs="Arial"/>
          <w:sz w:val="22"/>
          <w:szCs w:val="22"/>
          <w:lang w:val="en-US"/>
        </w:rPr>
        <w:t xml:space="preserve">, M., Conroy, P.C., </w:t>
      </w:r>
      <w:proofErr w:type="spellStart"/>
      <w:r w:rsidRPr="00427DC3">
        <w:rPr>
          <w:rFonts w:ascii="Arial" w:hAnsi="Arial" w:cs="Arial"/>
          <w:sz w:val="22"/>
          <w:szCs w:val="22"/>
          <w:lang w:val="en-US"/>
        </w:rPr>
        <w:t>Pietras</w:t>
      </w:r>
      <w:proofErr w:type="spellEnd"/>
      <w:r w:rsidRPr="00427DC3">
        <w:rPr>
          <w:rFonts w:ascii="Arial" w:hAnsi="Arial" w:cs="Arial"/>
          <w:sz w:val="22"/>
          <w:szCs w:val="22"/>
          <w:lang w:val="en-US"/>
        </w:rPr>
        <w:t xml:space="preserve">, E.M., Reynaud, D., Alvarez, S., </w:t>
      </w:r>
      <w:proofErr w:type="spellStart"/>
      <w:r w:rsidRPr="00427DC3">
        <w:rPr>
          <w:rFonts w:ascii="Arial" w:hAnsi="Arial" w:cs="Arial"/>
          <w:sz w:val="22"/>
          <w:szCs w:val="22"/>
          <w:lang w:val="en-US"/>
        </w:rPr>
        <w:t>Diolaiti</w:t>
      </w:r>
      <w:proofErr w:type="spellEnd"/>
      <w:r w:rsidRPr="00427DC3">
        <w:rPr>
          <w:rFonts w:ascii="Arial" w:hAnsi="Arial" w:cs="Arial"/>
          <w:sz w:val="22"/>
          <w:szCs w:val="22"/>
          <w:lang w:val="en-US"/>
        </w:rPr>
        <w:t xml:space="preserve">, M.E., Ugarte, F., Forsberg, E.C., Le Beau, M.M., </w:t>
      </w:r>
      <w:proofErr w:type="spellStart"/>
      <w:r w:rsidRPr="00427DC3">
        <w:rPr>
          <w:rFonts w:ascii="Arial" w:hAnsi="Arial" w:cs="Arial"/>
          <w:sz w:val="22"/>
          <w:szCs w:val="22"/>
          <w:lang w:val="en-US"/>
        </w:rPr>
        <w:t>Stohr</w:t>
      </w:r>
      <w:proofErr w:type="spellEnd"/>
      <w:r w:rsidRPr="00427DC3">
        <w:rPr>
          <w:rFonts w:ascii="Arial" w:hAnsi="Arial" w:cs="Arial"/>
          <w:sz w:val="22"/>
          <w:szCs w:val="22"/>
          <w:lang w:val="en-US"/>
        </w:rPr>
        <w:t xml:space="preserve">, B.A., Méndez, J., Morrison, C.G., </w:t>
      </w:r>
      <w:proofErr w:type="spellStart"/>
      <w:r w:rsidRPr="00427DC3">
        <w:rPr>
          <w:rFonts w:ascii="Arial" w:hAnsi="Arial" w:cs="Arial"/>
          <w:sz w:val="22"/>
          <w:szCs w:val="22"/>
          <w:lang w:val="en-US"/>
        </w:rPr>
        <w:t>Passegué</w:t>
      </w:r>
      <w:proofErr w:type="spellEnd"/>
      <w:r w:rsidRPr="00427DC3">
        <w:rPr>
          <w:rFonts w:ascii="Arial" w:hAnsi="Arial" w:cs="Arial"/>
          <w:sz w:val="22"/>
          <w:szCs w:val="22"/>
          <w:lang w:val="en-US"/>
        </w:rPr>
        <w:t xml:space="preserve">, E., 2014. Replication stress is a potent driver of functional decline in ageing </w:t>
      </w:r>
      <w:proofErr w:type="spellStart"/>
      <w:r w:rsidRPr="00427DC3">
        <w:rPr>
          <w:rFonts w:ascii="Arial" w:hAnsi="Arial" w:cs="Arial"/>
          <w:sz w:val="22"/>
          <w:szCs w:val="22"/>
          <w:lang w:val="en-US"/>
        </w:rPr>
        <w:t>haematopoietic</w:t>
      </w:r>
      <w:proofErr w:type="spellEnd"/>
      <w:r w:rsidRPr="00427DC3">
        <w:rPr>
          <w:rFonts w:ascii="Arial" w:hAnsi="Arial" w:cs="Arial"/>
          <w:sz w:val="22"/>
          <w:szCs w:val="22"/>
          <w:lang w:val="en-US"/>
        </w:rPr>
        <w:t xml:space="preserve"> stem cells. Nature 512, 198–202. https://doi.org/10.1038/nature13619</w:t>
      </w:r>
    </w:p>
    <w:p w14:paraId="3E527F02"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Fleischman, A.G., </w:t>
      </w:r>
      <w:proofErr w:type="spellStart"/>
      <w:r w:rsidRPr="00427DC3">
        <w:rPr>
          <w:rFonts w:ascii="Arial" w:hAnsi="Arial" w:cs="Arial"/>
          <w:sz w:val="22"/>
          <w:szCs w:val="22"/>
          <w:lang w:val="en-US"/>
        </w:rPr>
        <w:t>Aichberger</w:t>
      </w:r>
      <w:proofErr w:type="spellEnd"/>
      <w:r w:rsidRPr="00427DC3">
        <w:rPr>
          <w:rFonts w:ascii="Arial" w:hAnsi="Arial" w:cs="Arial"/>
          <w:sz w:val="22"/>
          <w:szCs w:val="22"/>
          <w:lang w:val="en-US"/>
        </w:rPr>
        <w:t xml:space="preserve">, K.J., </w:t>
      </w:r>
      <w:proofErr w:type="spellStart"/>
      <w:r w:rsidRPr="00427DC3">
        <w:rPr>
          <w:rFonts w:ascii="Arial" w:hAnsi="Arial" w:cs="Arial"/>
          <w:sz w:val="22"/>
          <w:szCs w:val="22"/>
          <w:lang w:val="en-US"/>
        </w:rPr>
        <w:t>Luty</w:t>
      </w:r>
      <w:proofErr w:type="spellEnd"/>
      <w:r w:rsidRPr="00427DC3">
        <w:rPr>
          <w:rFonts w:ascii="Arial" w:hAnsi="Arial" w:cs="Arial"/>
          <w:sz w:val="22"/>
          <w:szCs w:val="22"/>
          <w:lang w:val="en-US"/>
        </w:rPr>
        <w:t xml:space="preserve">, S.B., </w:t>
      </w:r>
      <w:proofErr w:type="spellStart"/>
      <w:r w:rsidRPr="00427DC3">
        <w:rPr>
          <w:rFonts w:ascii="Arial" w:hAnsi="Arial" w:cs="Arial"/>
          <w:sz w:val="22"/>
          <w:szCs w:val="22"/>
          <w:lang w:val="en-US"/>
        </w:rPr>
        <w:t>Bumm</w:t>
      </w:r>
      <w:proofErr w:type="spellEnd"/>
      <w:r w:rsidRPr="00427DC3">
        <w:rPr>
          <w:rFonts w:ascii="Arial" w:hAnsi="Arial" w:cs="Arial"/>
          <w:sz w:val="22"/>
          <w:szCs w:val="22"/>
          <w:lang w:val="en-US"/>
        </w:rPr>
        <w:t xml:space="preserve">, T.G., Petersen, C.L., </w:t>
      </w:r>
      <w:proofErr w:type="spellStart"/>
      <w:r w:rsidRPr="00427DC3">
        <w:rPr>
          <w:rFonts w:ascii="Arial" w:hAnsi="Arial" w:cs="Arial"/>
          <w:sz w:val="22"/>
          <w:szCs w:val="22"/>
          <w:lang w:val="en-US"/>
        </w:rPr>
        <w:t>Doratotaj</w:t>
      </w:r>
      <w:proofErr w:type="spellEnd"/>
      <w:r w:rsidRPr="00427DC3">
        <w:rPr>
          <w:rFonts w:ascii="Arial" w:hAnsi="Arial" w:cs="Arial"/>
          <w:sz w:val="22"/>
          <w:szCs w:val="22"/>
          <w:lang w:val="en-US"/>
        </w:rPr>
        <w:t xml:space="preserve">, S., Vasudevan, K.B., </w:t>
      </w:r>
      <w:proofErr w:type="spellStart"/>
      <w:r w:rsidRPr="00427DC3">
        <w:rPr>
          <w:rFonts w:ascii="Arial" w:hAnsi="Arial" w:cs="Arial"/>
          <w:sz w:val="22"/>
          <w:szCs w:val="22"/>
          <w:lang w:val="en-US"/>
        </w:rPr>
        <w:t>LaTocha</w:t>
      </w:r>
      <w:proofErr w:type="spellEnd"/>
      <w:r w:rsidRPr="00427DC3">
        <w:rPr>
          <w:rFonts w:ascii="Arial" w:hAnsi="Arial" w:cs="Arial"/>
          <w:sz w:val="22"/>
          <w:szCs w:val="22"/>
          <w:lang w:val="en-US"/>
        </w:rPr>
        <w:t xml:space="preserve">, D.H., Yang, F., Press, R.D., </w:t>
      </w:r>
      <w:proofErr w:type="spellStart"/>
      <w:r w:rsidRPr="00427DC3">
        <w:rPr>
          <w:rFonts w:ascii="Arial" w:hAnsi="Arial" w:cs="Arial"/>
          <w:sz w:val="22"/>
          <w:szCs w:val="22"/>
          <w:lang w:val="en-US"/>
        </w:rPr>
        <w:t>Loriaux</w:t>
      </w:r>
      <w:proofErr w:type="spellEnd"/>
      <w:r w:rsidRPr="00427DC3">
        <w:rPr>
          <w:rFonts w:ascii="Arial" w:hAnsi="Arial" w:cs="Arial"/>
          <w:sz w:val="22"/>
          <w:szCs w:val="22"/>
          <w:lang w:val="en-US"/>
        </w:rPr>
        <w:t xml:space="preserve">, M.M., </w:t>
      </w:r>
      <w:proofErr w:type="spellStart"/>
      <w:r w:rsidRPr="00427DC3">
        <w:rPr>
          <w:rFonts w:ascii="Arial" w:hAnsi="Arial" w:cs="Arial"/>
          <w:sz w:val="22"/>
          <w:szCs w:val="22"/>
          <w:lang w:val="en-US"/>
        </w:rPr>
        <w:t>Pahl</w:t>
      </w:r>
      <w:proofErr w:type="spellEnd"/>
      <w:r w:rsidRPr="00427DC3">
        <w:rPr>
          <w:rFonts w:ascii="Arial" w:hAnsi="Arial" w:cs="Arial"/>
          <w:sz w:val="22"/>
          <w:szCs w:val="22"/>
          <w:lang w:val="en-US"/>
        </w:rPr>
        <w:t xml:space="preserve">, H.L., Silver, R.T., Agarwal, A., O’Hare, T., </w:t>
      </w:r>
      <w:proofErr w:type="spellStart"/>
      <w:r w:rsidRPr="00427DC3">
        <w:rPr>
          <w:rFonts w:ascii="Arial" w:hAnsi="Arial" w:cs="Arial"/>
          <w:sz w:val="22"/>
          <w:szCs w:val="22"/>
          <w:lang w:val="en-US"/>
        </w:rPr>
        <w:t>Druker</w:t>
      </w:r>
      <w:proofErr w:type="spellEnd"/>
      <w:r w:rsidRPr="00427DC3">
        <w:rPr>
          <w:rFonts w:ascii="Arial" w:hAnsi="Arial" w:cs="Arial"/>
          <w:sz w:val="22"/>
          <w:szCs w:val="22"/>
          <w:lang w:val="en-US"/>
        </w:rPr>
        <w:t xml:space="preserve">, B.J., </w:t>
      </w:r>
      <w:proofErr w:type="spellStart"/>
      <w:r w:rsidRPr="00427DC3">
        <w:rPr>
          <w:rFonts w:ascii="Arial" w:hAnsi="Arial" w:cs="Arial"/>
          <w:sz w:val="22"/>
          <w:szCs w:val="22"/>
          <w:lang w:val="en-US"/>
        </w:rPr>
        <w:t>Bagby</w:t>
      </w:r>
      <w:proofErr w:type="spellEnd"/>
      <w:r w:rsidRPr="00427DC3">
        <w:rPr>
          <w:rFonts w:ascii="Arial" w:hAnsi="Arial" w:cs="Arial"/>
          <w:sz w:val="22"/>
          <w:szCs w:val="22"/>
          <w:lang w:val="en-US"/>
        </w:rPr>
        <w:t>, G.C., Deininger, M.W., 2011. TNF</w:t>
      </w:r>
      <w:r w:rsidRPr="00427DC3">
        <w:rPr>
          <w:rFonts w:ascii="Arial" w:hAnsi="Arial" w:cs="Arial"/>
          <w:sz w:val="22"/>
          <w:szCs w:val="22"/>
          <w:lang w:val="de-DE"/>
        </w:rPr>
        <w:t>α</w:t>
      </w:r>
      <w:r w:rsidRPr="00427DC3">
        <w:rPr>
          <w:rFonts w:ascii="Arial" w:hAnsi="Arial" w:cs="Arial"/>
          <w:sz w:val="22"/>
          <w:szCs w:val="22"/>
          <w:lang w:val="en-US"/>
        </w:rPr>
        <w:t xml:space="preserve"> facilitates clonal expansion of JAK2V617F positive cells in myeloproliferative neoplasms. Blood 118, 6392–6398. https://doi.org/10.1182/blood-2011-04-348144</w:t>
      </w:r>
    </w:p>
    <w:p w14:paraId="7DDF3C13"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Fuster</w:t>
      </w:r>
      <w:proofErr w:type="spellEnd"/>
      <w:r w:rsidRPr="00427DC3">
        <w:rPr>
          <w:rFonts w:ascii="Arial" w:hAnsi="Arial" w:cs="Arial"/>
          <w:sz w:val="22"/>
          <w:szCs w:val="22"/>
          <w:lang w:val="en-US"/>
        </w:rPr>
        <w:t xml:space="preserve">, J.J., MacLauchlan, S., </w:t>
      </w:r>
      <w:proofErr w:type="spellStart"/>
      <w:r w:rsidRPr="00427DC3">
        <w:rPr>
          <w:rFonts w:ascii="Arial" w:hAnsi="Arial" w:cs="Arial"/>
          <w:sz w:val="22"/>
          <w:szCs w:val="22"/>
          <w:lang w:val="en-US"/>
        </w:rPr>
        <w:t>Zuriaga</w:t>
      </w:r>
      <w:proofErr w:type="spellEnd"/>
      <w:r w:rsidRPr="00427DC3">
        <w:rPr>
          <w:rFonts w:ascii="Arial" w:hAnsi="Arial" w:cs="Arial"/>
          <w:sz w:val="22"/>
          <w:szCs w:val="22"/>
          <w:lang w:val="en-US"/>
        </w:rPr>
        <w:t xml:space="preserve">, M.A., </w:t>
      </w:r>
      <w:proofErr w:type="spellStart"/>
      <w:r w:rsidRPr="00427DC3">
        <w:rPr>
          <w:rFonts w:ascii="Arial" w:hAnsi="Arial" w:cs="Arial"/>
          <w:sz w:val="22"/>
          <w:szCs w:val="22"/>
          <w:lang w:val="en-US"/>
        </w:rPr>
        <w:t>Polackal</w:t>
      </w:r>
      <w:proofErr w:type="spellEnd"/>
      <w:r w:rsidRPr="00427DC3">
        <w:rPr>
          <w:rFonts w:ascii="Arial" w:hAnsi="Arial" w:cs="Arial"/>
          <w:sz w:val="22"/>
          <w:szCs w:val="22"/>
          <w:lang w:val="en-US"/>
        </w:rPr>
        <w:t xml:space="preserve">, M.N., </w:t>
      </w:r>
      <w:proofErr w:type="spellStart"/>
      <w:r w:rsidRPr="00427DC3">
        <w:rPr>
          <w:rFonts w:ascii="Arial" w:hAnsi="Arial" w:cs="Arial"/>
          <w:sz w:val="22"/>
          <w:szCs w:val="22"/>
          <w:lang w:val="en-US"/>
        </w:rPr>
        <w:t>Ostriker</w:t>
      </w:r>
      <w:proofErr w:type="spellEnd"/>
      <w:r w:rsidRPr="00427DC3">
        <w:rPr>
          <w:rFonts w:ascii="Arial" w:hAnsi="Arial" w:cs="Arial"/>
          <w:sz w:val="22"/>
          <w:szCs w:val="22"/>
          <w:lang w:val="en-US"/>
        </w:rPr>
        <w:t xml:space="preserve">, A.C., Chakraborty, R., Wu, C.-L., Sano, S., </w:t>
      </w:r>
      <w:proofErr w:type="spellStart"/>
      <w:r w:rsidRPr="00427DC3">
        <w:rPr>
          <w:rFonts w:ascii="Arial" w:hAnsi="Arial" w:cs="Arial"/>
          <w:sz w:val="22"/>
          <w:szCs w:val="22"/>
          <w:lang w:val="en-US"/>
        </w:rPr>
        <w:t>Muralidharan</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Rius</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Vuong</w:t>
      </w:r>
      <w:proofErr w:type="spellEnd"/>
      <w:r w:rsidRPr="00427DC3">
        <w:rPr>
          <w:rFonts w:ascii="Arial" w:hAnsi="Arial" w:cs="Arial"/>
          <w:sz w:val="22"/>
          <w:szCs w:val="22"/>
          <w:lang w:val="en-US"/>
        </w:rPr>
        <w:t xml:space="preserve">, J., Jacob, S., </w:t>
      </w:r>
      <w:proofErr w:type="spellStart"/>
      <w:r w:rsidRPr="00427DC3">
        <w:rPr>
          <w:rFonts w:ascii="Arial" w:hAnsi="Arial" w:cs="Arial"/>
          <w:sz w:val="22"/>
          <w:szCs w:val="22"/>
          <w:lang w:val="en-US"/>
        </w:rPr>
        <w:t>Muralidhar</w:t>
      </w:r>
      <w:proofErr w:type="spellEnd"/>
      <w:r w:rsidRPr="00427DC3">
        <w:rPr>
          <w:rFonts w:ascii="Arial" w:hAnsi="Arial" w:cs="Arial"/>
          <w:sz w:val="22"/>
          <w:szCs w:val="22"/>
          <w:lang w:val="en-US"/>
        </w:rPr>
        <w:t>, V., Robertson, A.A.B., Cooper, M.A., Andrés, V., Hirschi, K.K., Martin, K.A., Walsh, K., 2017. Clonal hematopoiesis associated with TET2 deficiency accelerates atherosclerosis development in mice. Science 355, 842–847. https://doi.org/10.1126/science.aag1381</w:t>
      </w:r>
    </w:p>
    <w:p w14:paraId="7810A8A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Galadari</w:t>
      </w:r>
      <w:proofErr w:type="spellEnd"/>
      <w:r w:rsidRPr="00427DC3">
        <w:rPr>
          <w:rFonts w:ascii="Arial" w:hAnsi="Arial" w:cs="Arial"/>
          <w:sz w:val="22"/>
          <w:szCs w:val="22"/>
          <w:lang w:val="en-US"/>
        </w:rPr>
        <w:t xml:space="preserve">, S., Rahman, A., </w:t>
      </w:r>
      <w:proofErr w:type="spellStart"/>
      <w:r w:rsidRPr="00427DC3">
        <w:rPr>
          <w:rFonts w:ascii="Arial" w:hAnsi="Arial" w:cs="Arial"/>
          <w:sz w:val="22"/>
          <w:szCs w:val="22"/>
          <w:lang w:val="en-US"/>
        </w:rPr>
        <w:t>Pallichankandy</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Thayyullathil</w:t>
      </w:r>
      <w:proofErr w:type="spellEnd"/>
      <w:r w:rsidRPr="00427DC3">
        <w:rPr>
          <w:rFonts w:ascii="Arial" w:hAnsi="Arial" w:cs="Arial"/>
          <w:sz w:val="22"/>
          <w:szCs w:val="22"/>
          <w:lang w:val="en-US"/>
        </w:rPr>
        <w:t xml:space="preserve">, F., 2017. Reactive oxygen species and cancer paradox: To promote or to suppress? Free </w:t>
      </w:r>
      <w:proofErr w:type="spellStart"/>
      <w:r w:rsidRPr="00427DC3">
        <w:rPr>
          <w:rFonts w:ascii="Arial" w:hAnsi="Arial" w:cs="Arial"/>
          <w:sz w:val="22"/>
          <w:szCs w:val="22"/>
          <w:lang w:val="en-US"/>
        </w:rPr>
        <w:t>Radic</w:t>
      </w:r>
      <w:proofErr w:type="spellEnd"/>
      <w:r w:rsidRPr="00427DC3">
        <w:rPr>
          <w:rFonts w:ascii="Arial" w:hAnsi="Arial" w:cs="Arial"/>
          <w:sz w:val="22"/>
          <w:szCs w:val="22"/>
          <w:lang w:val="en-US"/>
        </w:rPr>
        <w:t>. Biol. Med. 104, 144–164. https://doi.org/10.1016/j.freeradbiomed.2017.01.004</w:t>
      </w:r>
    </w:p>
    <w:p w14:paraId="3221E88E"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Gañán</w:t>
      </w:r>
      <w:proofErr w:type="spellEnd"/>
      <w:r w:rsidRPr="00427DC3">
        <w:rPr>
          <w:rFonts w:ascii="Arial" w:hAnsi="Arial" w:cs="Arial"/>
          <w:sz w:val="22"/>
          <w:szCs w:val="22"/>
          <w:lang w:val="en-US"/>
        </w:rPr>
        <w:t xml:space="preserve">-Gómez, I., Wei, Y., </w:t>
      </w:r>
      <w:proofErr w:type="spellStart"/>
      <w:r w:rsidRPr="00427DC3">
        <w:rPr>
          <w:rFonts w:ascii="Arial" w:hAnsi="Arial" w:cs="Arial"/>
          <w:sz w:val="22"/>
          <w:szCs w:val="22"/>
          <w:lang w:val="en-US"/>
        </w:rPr>
        <w:t>Starczynowski</w:t>
      </w:r>
      <w:proofErr w:type="spellEnd"/>
      <w:r w:rsidRPr="00427DC3">
        <w:rPr>
          <w:rFonts w:ascii="Arial" w:hAnsi="Arial" w:cs="Arial"/>
          <w:sz w:val="22"/>
          <w:szCs w:val="22"/>
          <w:lang w:val="en-US"/>
        </w:rPr>
        <w:t xml:space="preserve">, D., </w:t>
      </w:r>
      <w:proofErr w:type="spellStart"/>
      <w:r w:rsidRPr="00427DC3">
        <w:rPr>
          <w:rFonts w:ascii="Arial" w:hAnsi="Arial" w:cs="Arial"/>
          <w:sz w:val="22"/>
          <w:szCs w:val="22"/>
          <w:lang w:val="en-US"/>
        </w:rPr>
        <w:t>Colla</w:t>
      </w:r>
      <w:proofErr w:type="spellEnd"/>
      <w:r w:rsidRPr="00427DC3">
        <w:rPr>
          <w:rFonts w:ascii="Arial" w:hAnsi="Arial" w:cs="Arial"/>
          <w:sz w:val="22"/>
          <w:szCs w:val="22"/>
          <w:lang w:val="en-US"/>
        </w:rPr>
        <w:t xml:space="preserve">, S., Yang, H., </w:t>
      </w:r>
      <w:proofErr w:type="spellStart"/>
      <w:r w:rsidRPr="00427DC3">
        <w:rPr>
          <w:rFonts w:ascii="Arial" w:hAnsi="Arial" w:cs="Arial"/>
          <w:sz w:val="22"/>
          <w:szCs w:val="22"/>
          <w:lang w:val="en-US"/>
        </w:rPr>
        <w:t>Cabrero</w:t>
      </w:r>
      <w:proofErr w:type="spellEnd"/>
      <w:r w:rsidRPr="00427DC3">
        <w:rPr>
          <w:rFonts w:ascii="Arial" w:hAnsi="Arial" w:cs="Arial"/>
          <w:sz w:val="22"/>
          <w:szCs w:val="22"/>
          <w:lang w:val="en-US"/>
        </w:rPr>
        <w:t xml:space="preserve">-Calvo, M., Bohannan, Z., Verma, A., </w:t>
      </w:r>
      <w:proofErr w:type="spellStart"/>
      <w:r w:rsidRPr="00427DC3">
        <w:rPr>
          <w:rFonts w:ascii="Arial" w:hAnsi="Arial" w:cs="Arial"/>
          <w:sz w:val="22"/>
          <w:szCs w:val="22"/>
          <w:lang w:val="en-US"/>
        </w:rPr>
        <w:t>Steidl</w:t>
      </w:r>
      <w:proofErr w:type="spellEnd"/>
      <w:r w:rsidRPr="00427DC3">
        <w:rPr>
          <w:rFonts w:ascii="Arial" w:hAnsi="Arial" w:cs="Arial"/>
          <w:sz w:val="22"/>
          <w:szCs w:val="22"/>
          <w:lang w:val="en-US"/>
        </w:rPr>
        <w:t>, U., Garcia-</w:t>
      </w:r>
      <w:proofErr w:type="spellStart"/>
      <w:r w:rsidRPr="00427DC3">
        <w:rPr>
          <w:rFonts w:ascii="Arial" w:hAnsi="Arial" w:cs="Arial"/>
          <w:sz w:val="22"/>
          <w:szCs w:val="22"/>
          <w:lang w:val="en-US"/>
        </w:rPr>
        <w:t>Manero</w:t>
      </w:r>
      <w:proofErr w:type="spellEnd"/>
      <w:r w:rsidRPr="00427DC3">
        <w:rPr>
          <w:rFonts w:ascii="Arial" w:hAnsi="Arial" w:cs="Arial"/>
          <w:sz w:val="22"/>
          <w:szCs w:val="22"/>
          <w:lang w:val="en-US"/>
        </w:rPr>
        <w:t>, G., 2015. Deregulation of innate immune and inflammatory signaling in myelodysplastic syndromes. Leukemia 29, 1458–1469. https://doi.org/10.1038/leu.2015.69</w:t>
      </w:r>
    </w:p>
    <w:p w14:paraId="59E34EC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Gekas, C., Graf, T., 2013. CD41 expression marks myeloid-biased adult hematopoietic stem cells and increases with age. Blood 121, 4463–4472. https://doi.org/10.1182/blood-2012-09-457929</w:t>
      </w:r>
    </w:p>
    <w:p w14:paraId="0050FA5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Genovese, G., </w:t>
      </w:r>
      <w:proofErr w:type="spellStart"/>
      <w:r w:rsidRPr="00427DC3">
        <w:rPr>
          <w:rFonts w:ascii="Arial" w:hAnsi="Arial" w:cs="Arial"/>
          <w:sz w:val="22"/>
          <w:szCs w:val="22"/>
          <w:lang w:val="en-US"/>
        </w:rPr>
        <w:t>Kähler</w:t>
      </w:r>
      <w:proofErr w:type="spellEnd"/>
      <w:r w:rsidRPr="00427DC3">
        <w:rPr>
          <w:rFonts w:ascii="Arial" w:hAnsi="Arial" w:cs="Arial"/>
          <w:sz w:val="22"/>
          <w:szCs w:val="22"/>
          <w:lang w:val="en-US"/>
        </w:rPr>
        <w:t xml:space="preserve">, A.K., </w:t>
      </w:r>
      <w:proofErr w:type="spellStart"/>
      <w:r w:rsidRPr="00427DC3">
        <w:rPr>
          <w:rFonts w:ascii="Arial" w:hAnsi="Arial" w:cs="Arial"/>
          <w:sz w:val="22"/>
          <w:szCs w:val="22"/>
          <w:lang w:val="en-US"/>
        </w:rPr>
        <w:t>Handsaker</w:t>
      </w:r>
      <w:proofErr w:type="spellEnd"/>
      <w:r w:rsidRPr="00427DC3">
        <w:rPr>
          <w:rFonts w:ascii="Arial" w:hAnsi="Arial" w:cs="Arial"/>
          <w:sz w:val="22"/>
          <w:szCs w:val="22"/>
          <w:lang w:val="en-US"/>
        </w:rPr>
        <w:t xml:space="preserve">, R.E., Lindberg, J., Rose, S.A., </w:t>
      </w:r>
      <w:proofErr w:type="spellStart"/>
      <w:r w:rsidRPr="00427DC3">
        <w:rPr>
          <w:rFonts w:ascii="Arial" w:hAnsi="Arial" w:cs="Arial"/>
          <w:sz w:val="22"/>
          <w:szCs w:val="22"/>
          <w:lang w:val="en-US"/>
        </w:rPr>
        <w:t>Bakhoum</w:t>
      </w:r>
      <w:proofErr w:type="spellEnd"/>
      <w:r w:rsidRPr="00427DC3">
        <w:rPr>
          <w:rFonts w:ascii="Arial" w:hAnsi="Arial" w:cs="Arial"/>
          <w:sz w:val="22"/>
          <w:szCs w:val="22"/>
          <w:lang w:val="en-US"/>
        </w:rPr>
        <w:t xml:space="preserve">, S.F., </w:t>
      </w:r>
      <w:proofErr w:type="spellStart"/>
      <w:r w:rsidRPr="00427DC3">
        <w:rPr>
          <w:rFonts w:ascii="Arial" w:hAnsi="Arial" w:cs="Arial"/>
          <w:sz w:val="22"/>
          <w:szCs w:val="22"/>
          <w:lang w:val="en-US"/>
        </w:rPr>
        <w:t>Chambert</w:t>
      </w:r>
      <w:proofErr w:type="spellEnd"/>
      <w:r w:rsidRPr="00427DC3">
        <w:rPr>
          <w:rFonts w:ascii="Arial" w:hAnsi="Arial" w:cs="Arial"/>
          <w:sz w:val="22"/>
          <w:szCs w:val="22"/>
          <w:lang w:val="en-US"/>
        </w:rPr>
        <w:t xml:space="preserve">, K., Mick, E., Neale, B.M., </w:t>
      </w:r>
      <w:proofErr w:type="spellStart"/>
      <w:r w:rsidRPr="00427DC3">
        <w:rPr>
          <w:rFonts w:ascii="Arial" w:hAnsi="Arial" w:cs="Arial"/>
          <w:sz w:val="22"/>
          <w:szCs w:val="22"/>
          <w:lang w:val="en-US"/>
        </w:rPr>
        <w:t>Fromer</w:t>
      </w:r>
      <w:proofErr w:type="spellEnd"/>
      <w:r w:rsidRPr="00427DC3">
        <w:rPr>
          <w:rFonts w:ascii="Arial" w:hAnsi="Arial" w:cs="Arial"/>
          <w:sz w:val="22"/>
          <w:szCs w:val="22"/>
          <w:lang w:val="en-US"/>
        </w:rPr>
        <w:t xml:space="preserve">, M., Purcell, S.M., </w:t>
      </w:r>
      <w:proofErr w:type="spellStart"/>
      <w:r w:rsidRPr="00427DC3">
        <w:rPr>
          <w:rFonts w:ascii="Arial" w:hAnsi="Arial" w:cs="Arial"/>
          <w:sz w:val="22"/>
          <w:szCs w:val="22"/>
          <w:lang w:val="en-US"/>
        </w:rPr>
        <w:t>Svantesson</w:t>
      </w:r>
      <w:proofErr w:type="spellEnd"/>
      <w:r w:rsidRPr="00427DC3">
        <w:rPr>
          <w:rFonts w:ascii="Arial" w:hAnsi="Arial" w:cs="Arial"/>
          <w:sz w:val="22"/>
          <w:szCs w:val="22"/>
          <w:lang w:val="en-US"/>
        </w:rPr>
        <w:t xml:space="preserve">, O., </w:t>
      </w:r>
      <w:proofErr w:type="spellStart"/>
      <w:r w:rsidRPr="00427DC3">
        <w:rPr>
          <w:rFonts w:ascii="Arial" w:hAnsi="Arial" w:cs="Arial"/>
          <w:sz w:val="22"/>
          <w:szCs w:val="22"/>
          <w:lang w:val="en-US"/>
        </w:rPr>
        <w:t>Landén</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Höglund</w:t>
      </w:r>
      <w:proofErr w:type="spellEnd"/>
      <w:r w:rsidRPr="00427DC3">
        <w:rPr>
          <w:rFonts w:ascii="Arial" w:hAnsi="Arial" w:cs="Arial"/>
          <w:sz w:val="22"/>
          <w:szCs w:val="22"/>
          <w:lang w:val="en-US"/>
        </w:rPr>
        <w:t xml:space="preserve">, M., Lehmann, S., Gabriel, S.B., Moran, J.L., Lander, E.S., Sullivan, P.F., </w:t>
      </w:r>
      <w:proofErr w:type="spellStart"/>
      <w:r w:rsidRPr="00427DC3">
        <w:rPr>
          <w:rFonts w:ascii="Arial" w:hAnsi="Arial" w:cs="Arial"/>
          <w:sz w:val="22"/>
          <w:szCs w:val="22"/>
          <w:lang w:val="en-US"/>
        </w:rPr>
        <w:t>Sklar</w:t>
      </w:r>
      <w:proofErr w:type="spellEnd"/>
      <w:r w:rsidRPr="00427DC3">
        <w:rPr>
          <w:rFonts w:ascii="Arial" w:hAnsi="Arial" w:cs="Arial"/>
          <w:sz w:val="22"/>
          <w:szCs w:val="22"/>
          <w:lang w:val="en-US"/>
        </w:rPr>
        <w:t xml:space="preserve">, P., </w:t>
      </w:r>
      <w:proofErr w:type="spellStart"/>
      <w:r w:rsidRPr="00427DC3">
        <w:rPr>
          <w:rFonts w:ascii="Arial" w:hAnsi="Arial" w:cs="Arial"/>
          <w:sz w:val="22"/>
          <w:szCs w:val="22"/>
          <w:lang w:val="en-US"/>
        </w:rPr>
        <w:t>Grönberg</w:t>
      </w:r>
      <w:proofErr w:type="spellEnd"/>
      <w:r w:rsidRPr="00427DC3">
        <w:rPr>
          <w:rFonts w:ascii="Arial" w:hAnsi="Arial" w:cs="Arial"/>
          <w:sz w:val="22"/>
          <w:szCs w:val="22"/>
          <w:lang w:val="en-US"/>
        </w:rPr>
        <w:t xml:space="preserve">, H., </w:t>
      </w:r>
      <w:proofErr w:type="spellStart"/>
      <w:r w:rsidRPr="00427DC3">
        <w:rPr>
          <w:rFonts w:ascii="Arial" w:hAnsi="Arial" w:cs="Arial"/>
          <w:sz w:val="22"/>
          <w:szCs w:val="22"/>
          <w:lang w:val="en-US"/>
        </w:rPr>
        <w:t>Hultman</w:t>
      </w:r>
      <w:proofErr w:type="spellEnd"/>
      <w:r w:rsidRPr="00427DC3">
        <w:rPr>
          <w:rFonts w:ascii="Arial" w:hAnsi="Arial" w:cs="Arial"/>
          <w:sz w:val="22"/>
          <w:szCs w:val="22"/>
          <w:lang w:val="en-US"/>
        </w:rPr>
        <w:t xml:space="preserve">, C.M., </w:t>
      </w:r>
      <w:proofErr w:type="spellStart"/>
      <w:r w:rsidRPr="00427DC3">
        <w:rPr>
          <w:rFonts w:ascii="Arial" w:hAnsi="Arial" w:cs="Arial"/>
          <w:sz w:val="22"/>
          <w:szCs w:val="22"/>
          <w:lang w:val="en-US"/>
        </w:rPr>
        <w:t>McCarroll</w:t>
      </w:r>
      <w:proofErr w:type="spellEnd"/>
      <w:r w:rsidRPr="00427DC3">
        <w:rPr>
          <w:rFonts w:ascii="Arial" w:hAnsi="Arial" w:cs="Arial"/>
          <w:sz w:val="22"/>
          <w:szCs w:val="22"/>
          <w:lang w:val="en-US"/>
        </w:rPr>
        <w:t>, S.A., 2014. Clonal hematopoiesis and blood-cancer risk inferred from blood DNA sequence. N. Engl. J. Med. 371, 2477–2487. https://doi.org/10.1056/NEJMoa1409405</w:t>
      </w:r>
    </w:p>
    <w:p w14:paraId="3D9F8B61"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Gentleman, R.C., Carey, V.J., Bates, D.M., </w:t>
      </w:r>
      <w:proofErr w:type="spellStart"/>
      <w:r w:rsidRPr="00427DC3">
        <w:rPr>
          <w:rFonts w:ascii="Arial" w:hAnsi="Arial" w:cs="Arial"/>
          <w:sz w:val="22"/>
          <w:szCs w:val="22"/>
          <w:lang w:val="en-US"/>
        </w:rPr>
        <w:t>Bolstad</w:t>
      </w:r>
      <w:proofErr w:type="spellEnd"/>
      <w:r w:rsidRPr="00427DC3">
        <w:rPr>
          <w:rFonts w:ascii="Arial" w:hAnsi="Arial" w:cs="Arial"/>
          <w:sz w:val="22"/>
          <w:szCs w:val="22"/>
          <w:lang w:val="en-US"/>
        </w:rPr>
        <w:t xml:space="preserve">, B., </w:t>
      </w:r>
      <w:proofErr w:type="spellStart"/>
      <w:r w:rsidRPr="00427DC3">
        <w:rPr>
          <w:rFonts w:ascii="Arial" w:hAnsi="Arial" w:cs="Arial"/>
          <w:sz w:val="22"/>
          <w:szCs w:val="22"/>
          <w:lang w:val="en-US"/>
        </w:rPr>
        <w:t>Dettling</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Dudoit</w:t>
      </w:r>
      <w:proofErr w:type="spellEnd"/>
      <w:r w:rsidRPr="00427DC3">
        <w:rPr>
          <w:rFonts w:ascii="Arial" w:hAnsi="Arial" w:cs="Arial"/>
          <w:sz w:val="22"/>
          <w:szCs w:val="22"/>
          <w:lang w:val="en-US"/>
        </w:rPr>
        <w:t xml:space="preserve">, S., Ellis, B., Gautier, L., Ge, Y., Gentry, J., </w:t>
      </w:r>
      <w:proofErr w:type="spellStart"/>
      <w:r w:rsidRPr="00427DC3">
        <w:rPr>
          <w:rFonts w:ascii="Arial" w:hAnsi="Arial" w:cs="Arial"/>
          <w:sz w:val="22"/>
          <w:szCs w:val="22"/>
          <w:lang w:val="en-US"/>
        </w:rPr>
        <w:t>Hornik</w:t>
      </w:r>
      <w:proofErr w:type="spellEnd"/>
      <w:r w:rsidRPr="00427DC3">
        <w:rPr>
          <w:rFonts w:ascii="Arial" w:hAnsi="Arial" w:cs="Arial"/>
          <w:sz w:val="22"/>
          <w:szCs w:val="22"/>
          <w:lang w:val="en-US"/>
        </w:rPr>
        <w:t xml:space="preserve">, K., </w:t>
      </w:r>
      <w:proofErr w:type="spellStart"/>
      <w:r w:rsidRPr="00427DC3">
        <w:rPr>
          <w:rFonts w:ascii="Arial" w:hAnsi="Arial" w:cs="Arial"/>
          <w:sz w:val="22"/>
          <w:szCs w:val="22"/>
          <w:lang w:val="en-US"/>
        </w:rPr>
        <w:t>Hothorn</w:t>
      </w:r>
      <w:proofErr w:type="spellEnd"/>
      <w:r w:rsidRPr="00427DC3">
        <w:rPr>
          <w:rFonts w:ascii="Arial" w:hAnsi="Arial" w:cs="Arial"/>
          <w:sz w:val="22"/>
          <w:szCs w:val="22"/>
          <w:lang w:val="en-US"/>
        </w:rPr>
        <w:t xml:space="preserve">, T., Huber, W., </w:t>
      </w:r>
      <w:proofErr w:type="spellStart"/>
      <w:r w:rsidRPr="00427DC3">
        <w:rPr>
          <w:rFonts w:ascii="Arial" w:hAnsi="Arial" w:cs="Arial"/>
          <w:sz w:val="22"/>
          <w:szCs w:val="22"/>
          <w:lang w:val="en-US"/>
        </w:rPr>
        <w:t>Iacus</w:t>
      </w:r>
      <w:proofErr w:type="spellEnd"/>
      <w:r w:rsidRPr="00427DC3">
        <w:rPr>
          <w:rFonts w:ascii="Arial" w:hAnsi="Arial" w:cs="Arial"/>
          <w:sz w:val="22"/>
          <w:szCs w:val="22"/>
          <w:lang w:val="en-US"/>
        </w:rPr>
        <w:t xml:space="preserve">, S., Irizarry, R., </w:t>
      </w:r>
      <w:proofErr w:type="spellStart"/>
      <w:r w:rsidRPr="00427DC3">
        <w:rPr>
          <w:rFonts w:ascii="Arial" w:hAnsi="Arial" w:cs="Arial"/>
          <w:sz w:val="22"/>
          <w:szCs w:val="22"/>
          <w:lang w:val="en-US"/>
        </w:rPr>
        <w:t>Leisch</w:t>
      </w:r>
      <w:proofErr w:type="spellEnd"/>
      <w:r w:rsidRPr="00427DC3">
        <w:rPr>
          <w:rFonts w:ascii="Arial" w:hAnsi="Arial" w:cs="Arial"/>
          <w:sz w:val="22"/>
          <w:szCs w:val="22"/>
          <w:lang w:val="en-US"/>
        </w:rPr>
        <w:t xml:space="preserve">, F., Li, C., </w:t>
      </w:r>
      <w:proofErr w:type="spellStart"/>
      <w:r w:rsidRPr="00427DC3">
        <w:rPr>
          <w:rFonts w:ascii="Arial" w:hAnsi="Arial" w:cs="Arial"/>
          <w:sz w:val="22"/>
          <w:szCs w:val="22"/>
          <w:lang w:val="en-US"/>
        </w:rPr>
        <w:t>Maechler</w:t>
      </w:r>
      <w:proofErr w:type="spellEnd"/>
      <w:r w:rsidRPr="00427DC3">
        <w:rPr>
          <w:rFonts w:ascii="Arial" w:hAnsi="Arial" w:cs="Arial"/>
          <w:sz w:val="22"/>
          <w:szCs w:val="22"/>
          <w:lang w:val="en-US"/>
        </w:rPr>
        <w:t xml:space="preserve">, M., Rossini, A.J., </w:t>
      </w:r>
      <w:proofErr w:type="spellStart"/>
      <w:r w:rsidRPr="00427DC3">
        <w:rPr>
          <w:rFonts w:ascii="Arial" w:hAnsi="Arial" w:cs="Arial"/>
          <w:sz w:val="22"/>
          <w:szCs w:val="22"/>
          <w:lang w:val="en-US"/>
        </w:rPr>
        <w:t>Sawitzki</w:t>
      </w:r>
      <w:proofErr w:type="spellEnd"/>
      <w:r w:rsidRPr="00427DC3">
        <w:rPr>
          <w:rFonts w:ascii="Arial" w:hAnsi="Arial" w:cs="Arial"/>
          <w:sz w:val="22"/>
          <w:szCs w:val="22"/>
          <w:lang w:val="en-US"/>
        </w:rPr>
        <w:t>, G., Smith, C., Smyth, G., Tierney, L., Yang, J.Y.H., Zhang, J., 2004. Bioconductor: open software development for computational biology and bioinformatics. Genome Biol. 5, R80. https://doi.org/10.1186/gb-2004-5-10-r80</w:t>
      </w:r>
    </w:p>
    <w:p w14:paraId="2CB2EA8C"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de-DE"/>
        </w:rPr>
        <w:t xml:space="preserve">Ginzburg, Y.Z., </w:t>
      </w:r>
      <w:proofErr w:type="spellStart"/>
      <w:r w:rsidRPr="00427DC3">
        <w:rPr>
          <w:rFonts w:ascii="Arial" w:hAnsi="Arial" w:cs="Arial"/>
          <w:sz w:val="22"/>
          <w:szCs w:val="22"/>
          <w:lang w:val="de-DE"/>
        </w:rPr>
        <w:t>Feola</w:t>
      </w:r>
      <w:proofErr w:type="spellEnd"/>
      <w:r w:rsidRPr="00427DC3">
        <w:rPr>
          <w:rFonts w:ascii="Arial" w:hAnsi="Arial" w:cs="Arial"/>
          <w:sz w:val="22"/>
          <w:szCs w:val="22"/>
          <w:lang w:val="de-DE"/>
        </w:rPr>
        <w:t xml:space="preserve">, M., </w:t>
      </w:r>
      <w:proofErr w:type="spellStart"/>
      <w:r w:rsidRPr="00427DC3">
        <w:rPr>
          <w:rFonts w:ascii="Arial" w:hAnsi="Arial" w:cs="Arial"/>
          <w:sz w:val="22"/>
          <w:szCs w:val="22"/>
          <w:lang w:val="de-DE"/>
        </w:rPr>
        <w:t>Zimran</w:t>
      </w:r>
      <w:proofErr w:type="spellEnd"/>
      <w:r w:rsidRPr="00427DC3">
        <w:rPr>
          <w:rFonts w:ascii="Arial" w:hAnsi="Arial" w:cs="Arial"/>
          <w:sz w:val="22"/>
          <w:szCs w:val="22"/>
          <w:lang w:val="de-DE"/>
        </w:rPr>
        <w:t xml:space="preserve">, E., </w:t>
      </w:r>
      <w:proofErr w:type="spellStart"/>
      <w:r w:rsidRPr="00427DC3">
        <w:rPr>
          <w:rFonts w:ascii="Arial" w:hAnsi="Arial" w:cs="Arial"/>
          <w:sz w:val="22"/>
          <w:szCs w:val="22"/>
          <w:lang w:val="de-DE"/>
        </w:rPr>
        <w:t>Varkonyi</w:t>
      </w:r>
      <w:proofErr w:type="spellEnd"/>
      <w:r w:rsidRPr="00427DC3">
        <w:rPr>
          <w:rFonts w:ascii="Arial" w:hAnsi="Arial" w:cs="Arial"/>
          <w:sz w:val="22"/>
          <w:szCs w:val="22"/>
          <w:lang w:val="de-DE"/>
        </w:rPr>
        <w:t xml:space="preserve">, J., Ganz, T., Hoffman, R., 2018. </w:t>
      </w:r>
      <w:r w:rsidRPr="00427DC3">
        <w:rPr>
          <w:rFonts w:ascii="Arial" w:hAnsi="Arial" w:cs="Arial"/>
          <w:sz w:val="22"/>
          <w:szCs w:val="22"/>
          <w:lang w:val="en-US"/>
        </w:rPr>
        <w:t>Dysregulated iron metabolism in polycythemia vera: etiology and consequences. Leukemia 32, 2105–2116. https://doi.org/10.1038/s41375-018-0207-9</w:t>
      </w:r>
    </w:p>
    <w:p w14:paraId="66DCCAB5"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Godley, L.A., Larson, R.A., 2008. Therapy-related Myeloid Leukemia. Semin Oncol 35, </w:t>
      </w:r>
      <w:r w:rsidRPr="00427DC3">
        <w:rPr>
          <w:rFonts w:ascii="Arial" w:hAnsi="Arial" w:cs="Arial"/>
          <w:sz w:val="22"/>
          <w:szCs w:val="22"/>
          <w:lang w:val="en-US"/>
        </w:rPr>
        <w:lastRenderedPageBreak/>
        <w:t>418–429. https://doi.org/10.1053/j.seminoncol.2008.04.012</w:t>
      </w:r>
    </w:p>
    <w:p w14:paraId="3F597764"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Gonçalves, A.C., </w:t>
      </w:r>
      <w:proofErr w:type="spellStart"/>
      <w:r w:rsidRPr="00427DC3">
        <w:rPr>
          <w:rFonts w:ascii="Arial" w:hAnsi="Arial" w:cs="Arial"/>
          <w:sz w:val="22"/>
          <w:szCs w:val="22"/>
          <w:lang w:val="en-US"/>
        </w:rPr>
        <w:t>Cortesão</w:t>
      </w:r>
      <w:proofErr w:type="spellEnd"/>
      <w:r w:rsidRPr="00427DC3">
        <w:rPr>
          <w:rFonts w:ascii="Arial" w:hAnsi="Arial" w:cs="Arial"/>
          <w:sz w:val="22"/>
          <w:szCs w:val="22"/>
          <w:lang w:val="en-US"/>
        </w:rPr>
        <w:t xml:space="preserve">, E., </w:t>
      </w:r>
      <w:proofErr w:type="spellStart"/>
      <w:r w:rsidRPr="00427DC3">
        <w:rPr>
          <w:rFonts w:ascii="Arial" w:hAnsi="Arial" w:cs="Arial"/>
          <w:sz w:val="22"/>
          <w:szCs w:val="22"/>
          <w:lang w:val="en-US"/>
        </w:rPr>
        <w:t>Oliveiros</w:t>
      </w:r>
      <w:proofErr w:type="spellEnd"/>
      <w:r w:rsidRPr="00427DC3">
        <w:rPr>
          <w:rFonts w:ascii="Arial" w:hAnsi="Arial" w:cs="Arial"/>
          <w:sz w:val="22"/>
          <w:szCs w:val="22"/>
          <w:lang w:val="en-US"/>
        </w:rPr>
        <w:t xml:space="preserve">, B., Alves, V., </w:t>
      </w:r>
      <w:proofErr w:type="spellStart"/>
      <w:r w:rsidRPr="00427DC3">
        <w:rPr>
          <w:rFonts w:ascii="Arial" w:hAnsi="Arial" w:cs="Arial"/>
          <w:sz w:val="22"/>
          <w:szCs w:val="22"/>
          <w:lang w:val="en-US"/>
        </w:rPr>
        <w:t>Espadana</w:t>
      </w:r>
      <w:proofErr w:type="spellEnd"/>
      <w:r w:rsidRPr="00427DC3">
        <w:rPr>
          <w:rFonts w:ascii="Arial" w:hAnsi="Arial" w:cs="Arial"/>
          <w:sz w:val="22"/>
          <w:szCs w:val="22"/>
          <w:lang w:val="en-US"/>
        </w:rPr>
        <w:t xml:space="preserve">, A.I., </w:t>
      </w:r>
      <w:proofErr w:type="spellStart"/>
      <w:r w:rsidRPr="00427DC3">
        <w:rPr>
          <w:rFonts w:ascii="Arial" w:hAnsi="Arial" w:cs="Arial"/>
          <w:sz w:val="22"/>
          <w:szCs w:val="22"/>
          <w:lang w:val="en-US"/>
        </w:rPr>
        <w:t>Rito</w:t>
      </w:r>
      <w:proofErr w:type="spellEnd"/>
      <w:r w:rsidRPr="00427DC3">
        <w:rPr>
          <w:rFonts w:ascii="Arial" w:hAnsi="Arial" w:cs="Arial"/>
          <w:sz w:val="22"/>
          <w:szCs w:val="22"/>
          <w:lang w:val="en-US"/>
        </w:rPr>
        <w:t xml:space="preserve">, L., </w:t>
      </w:r>
      <w:proofErr w:type="spellStart"/>
      <w:r w:rsidRPr="00427DC3">
        <w:rPr>
          <w:rFonts w:ascii="Arial" w:hAnsi="Arial" w:cs="Arial"/>
          <w:sz w:val="22"/>
          <w:szCs w:val="22"/>
          <w:lang w:val="en-US"/>
        </w:rPr>
        <w:t>Magalhães</w:t>
      </w:r>
      <w:proofErr w:type="spellEnd"/>
      <w:r w:rsidRPr="00427DC3">
        <w:rPr>
          <w:rFonts w:ascii="Arial" w:hAnsi="Arial" w:cs="Arial"/>
          <w:sz w:val="22"/>
          <w:szCs w:val="22"/>
          <w:lang w:val="en-US"/>
        </w:rPr>
        <w:t xml:space="preserve">, E., </w:t>
      </w:r>
      <w:proofErr w:type="spellStart"/>
      <w:r w:rsidRPr="00427DC3">
        <w:rPr>
          <w:rFonts w:ascii="Arial" w:hAnsi="Arial" w:cs="Arial"/>
          <w:sz w:val="22"/>
          <w:szCs w:val="22"/>
          <w:lang w:val="en-US"/>
        </w:rPr>
        <w:t>Lobão</w:t>
      </w:r>
      <w:proofErr w:type="spellEnd"/>
      <w:r w:rsidRPr="00427DC3">
        <w:rPr>
          <w:rFonts w:ascii="Arial" w:hAnsi="Arial" w:cs="Arial"/>
          <w:sz w:val="22"/>
          <w:szCs w:val="22"/>
          <w:lang w:val="en-US"/>
        </w:rPr>
        <w:t xml:space="preserve">, M.J., Pereira, A., Costa, J.M.N., </w:t>
      </w:r>
      <w:proofErr w:type="spellStart"/>
      <w:r w:rsidRPr="00427DC3">
        <w:rPr>
          <w:rFonts w:ascii="Arial" w:hAnsi="Arial" w:cs="Arial"/>
          <w:sz w:val="22"/>
          <w:szCs w:val="22"/>
          <w:lang w:val="en-US"/>
        </w:rPr>
        <w:t>Mota</w:t>
      </w:r>
      <w:proofErr w:type="spellEnd"/>
      <w:r w:rsidRPr="00427DC3">
        <w:rPr>
          <w:rFonts w:ascii="Arial" w:hAnsi="Arial" w:cs="Arial"/>
          <w:sz w:val="22"/>
          <w:szCs w:val="22"/>
          <w:lang w:val="en-US"/>
        </w:rPr>
        <w:t xml:space="preserve">-Vieira, L., </w:t>
      </w:r>
      <w:proofErr w:type="spellStart"/>
      <w:r w:rsidRPr="00427DC3">
        <w:rPr>
          <w:rFonts w:ascii="Arial" w:hAnsi="Arial" w:cs="Arial"/>
          <w:sz w:val="22"/>
          <w:szCs w:val="22"/>
          <w:lang w:val="en-US"/>
        </w:rPr>
        <w:t>Sarmento</w:t>
      </w:r>
      <w:proofErr w:type="spellEnd"/>
      <w:r w:rsidRPr="00427DC3">
        <w:rPr>
          <w:rFonts w:ascii="Arial" w:hAnsi="Arial" w:cs="Arial"/>
          <w:sz w:val="22"/>
          <w:szCs w:val="22"/>
          <w:lang w:val="en-US"/>
        </w:rPr>
        <w:t>-Ribeiro, A.B., 2015. Oxidative stress and mitochondrial dysfunction play a role in myelodysplastic syndrome development, diagnosis, and prognosis: A pilot study. Free Radical Research 49, 1081–1094. https://doi.org/10.3109/10715762.2015.1035268</w:t>
      </w:r>
    </w:p>
    <w:p w14:paraId="664617E9"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Göthert</w:t>
      </w:r>
      <w:proofErr w:type="spellEnd"/>
      <w:r w:rsidRPr="00427DC3">
        <w:rPr>
          <w:rFonts w:ascii="Arial" w:hAnsi="Arial" w:cs="Arial"/>
          <w:sz w:val="22"/>
          <w:szCs w:val="22"/>
          <w:lang w:val="en-US"/>
        </w:rPr>
        <w:t xml:space="preserve">, J.R., </w:t>
      </w:r>
      <w:proofErr w:type="spellStart"/>
      <w:r w:rsidRPr="00427DC3">
        <w:rPr>
          <w:rFonts w:ascii="Arial" w:hAnsi="Arial" w:cs="Arial"/>
          <w:sz w:val="22"/>
          <w:szCs w:val="22"/>
          <w:lang w:val="en-US"/>
        </w:rPr>
        <w:t>Gustin</w:t>
      </w:r>
      <w:proofErr w:type="spellEnd"/>
      <w:r w:rsidRPr="00427DC3">
        <w:rPr>
          <w:rFonts w:ascii="Arial" w:hAnsi="Arial" w:cs="Arial"/>
          <w:sz w:val="22"/>
          <w:szCs w:val="22"/>
          <w:lang w:val="en-US"/>
        </w:rPr>
        <w:t xml:space="preserve">, S.E., Hall, M.A., Green, A.R., </w:t>
      </w:r>
      <w:proofErr w:type="spellStart"/>
      <w:r w:rsidRPr="00427DC3">
        <w:rPr>
          <w:rFonts w:ascii="Arial" w:hAnsi="Arial" w:cs="Arial"/>
          <w:sz w:val="22"/>
          <w:szCs w:val="22"/>
          <w:lang w:val="en-US"/>
        </w:rPr>
        <w:t>Göttgens</w:t>
      </w:r>
      <w:proofErr w:type="spellEnd"/>
      <w:r w:rsidRPr="00427DC3">
        <w:rPr>
          <w:rFonts w:ascii="Arial" w:hAnsi="Arial" w:cs="Arial"/>
          <w:sz w:val="22"/>
          <w:szCs w:val="22"/>
          <w:lang w:val="en-US"/>
        </w:rPr>
        <w:t xml:space="preserve">, B., </w:t>
      </w:r>
      <w:proofErr w:type="spellStart"/>
      <w:r w:rsidRPr="00427DC3">
        <w:rPr>
          <w:rFonts w:ascii="Arial" w:hAnsi="Arial" w:cs="Arial"/>
          <w:sz w:val="22"/>
          <w:szCs w:val="22"/>
          <w:lang w:val="en-US"/>
        </w:rPr>
        <w:t>Izon</w:t>
      </w:r>
      <w:proofErr w:type="spellEnd"/>
      <w:r w:rsidRPr="00427DC3">
        <w:rPr>
          <w:rFonts w:ascii="Arial" w:hAnsi="Arial" w:cs="Arial"/>
          <w:sz w:val="22"/>
          <w:szCs w:val="22"/>
          <w:lang w:val="en-US"/>
        </w:rPr>
        <w:t xml:space="preserve">, D.J., Begley, C.G., 2005. In vivo fate-tracing studies using the </w:t>
      </w:r>
      <w:proofErr w:type="spellStart"/>
      <w:r w:rsidRPr="00427DC3">
        <w:rPr>
          <w:rFonts w:ascii="Arial" w:hAnsi="Arial" w:cs="Arial"/>
          <w:sz w:val="22"/>
          <w:szCs w:val="22"/>
          <w:lang w:val="en-US"/>
        </w:rPr>
        <w:t>Scl</w:t>
      </w:r>
      <w:proofErr w:type="spellEnd"/>
      <w:r w:rsidRPr="00427DC3">
        <w:rPr>
          <w:rFonts w:ascii="Arial" w:hAnsi="Arial" w:cs="Arial"/>
          <w:sz w:val="22"/>
          <w:szCs w:val="22"/>
          <w:lang w:val="en-US"/>
        </w:rPr>
        <w:t xml:space="preserve"> stem cell enhancer: embryonic hematopoietic stem cells significantly contribute to adult hematopoiesis. Blood 105, 2724–2732. https://doi.org/10.1182/blood-2004-08-3037</w:t>
      </w:r>
    </w:p>
    <w:p w14:paraId="2A1024A8"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Grisouard</w:t>
      </w:r>
      <w:proofErr w:type="spellEnd"/>
      <w:r w:rsidRPr="00427DC3">
        <w:rPr>
          <w:rFonts w:ascii="Arial" w:hAnsi="Arial" w:cs="Arial"/>
          <w:sz w:val="22"/>
          <w:szCs w:val="22"/>
          <w:lang w:val="en-US"/>
        </w:rPr>
        <w:t xml:space="preserve">, J., Li, S., </w:t>
      </w:r>
      <w:proofErr w:type="spellStart"/>
      <w:r w:rsidRPr="00427DC3">
        <w:rPr>
          <w:rFonts w:ascii="Arial" w:hAnsi="Arial" w:cs="Arial"/>
          <w:sz w:val="22"/>
          <w:szCs w:val="22"/>
          <w:lang w:val="en-US"/>
        </w:rPr>
        <w:t>Kubovcakova</w:t>
      </w:r>
      <w:proofErr w:type="spellEnd"/>
      <w:r w:rsidRPr="00427DC3">
        <w:rPr>
          <w:rFonts w:ascii="Arial" w:hAnsi="Arial" w:cs="Arial"/>
          <w:sz w:val="22"/>
          <w:szCs w:val="22"/>
          <w:lang w:val="en-US"/>
        </w:rPr>
        <w:t xml:space="preserve">, L., Rao, T.N., Meyer, S.C., Lundberg, P., Hao-Shen, H., </w:t>
      </w:r>
      <w:proofErr w:type="spellStart"/>
      <w:r w:rsidRPr="00427DC3">
        <w:rPr>
          <w:rFonts w:ascii="Arial" w:hAnsi="Arial" w:cs="Arial"/>
          <w:sz w:val="22"/>
          <w:szCs w:val="22"/>
          <w:lang w:val="en-US"/>
        </w:rPr>
        <w:t>Romanet</w:t>
      </w:r>
      <w:proofErr w:type="spellEnd"/>
      <w:r w:rsidRPr="00427DC3">
        <w:rPr>
          <w:rFonts w:ascii="Arial" w:hAnsi="Arial" w:cs="Arial"/>
          <w:sz w:val="22"/>
          <w:szCs w:val="22"/>
          <w:lang w:val="en-US"/>
        </w:rPr>
        <w:t xml:space="preserve">, V., Murakami, M., </w:t>
      </w:r>
      <w:proofErr w:type="spellStart"/>
      <w:r w:rsidRPr="00427DC3">
        <w:rPr>
          <w:rFonts w:ascii="Arial" w:hAnsi="Arial" w:cs="Arial"/>
          <w:sz w:val="22"/>
          <w:szCs w:val="22"/>
          <w:lang w:val="en-US"/>
        </w:rPr>
        <w:t>Radimerski</w:t>
      </w:r>
      <w:proofErr w:type="spellEnd"/>
      <w:r w:rsidRPr="00427DC3">
        <w:rPr>
          <w:rFonts w:ascii="Arial" w:hAnsi="Arial" w:cs="Arial"/>
          <w:sz w:val="22"/>
          <w:szCs w:val="22"/>
          <w:lang w:val="en-US"/>
        </w:rPr>
        <w:t xml:space="preserve">, T., </w:t>
      </w:r>
      <w:proofErr w:type="spellStart"/>
      <w:r w:rsidRPr="00427DC3">
        <w:rPr>
          <w:rFonts w:ascii="Arial" w:hAnsi="Arial" w:cs="Arial"/>
          <w:sz w:val="22"/>
          <w:szCs w:val="22"/>
          <w:lang w:val="en-US"/>
        </w:rPr>
        <w:t>Dirnhofer</w:t>
      </w:r>
      <w:proofErr w:type="spellEnd"/>
      <w:r w:rsidRPr="00427DC3">
        <w:rPr>
          <w:rFonts w:ascii="Arial" w:hAnsi="Arial" w:cs="Arial"/>
          <w:sz w:val="22"/>
          <w:szCs w:val="22"/>
          <w:lang w:val="en-US"/>
        </w:rPr>
        <w:t>, S., Skoda, R.C., 2016. JAK2 exon 12 mutant mice display isolated erythrocytosis and changes in iron metabolism favoring increased erythropoiesis. Blood 128, 839–851. https://doi.org/10.1182/blood-2015-12-689216</w:t>
      </w:r>
    </w:p>
    <w:p w14:paraId="485B00CC"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Grover, A., </w:t>
      </w:r>
      <w:proofErr w:type="spellStart"/>
      <w:r w:rsidRPr="00427DC3">
        <w:rPr>
          <w:rFonts w:ascii="Arial" w:hAnsi="Arial" w:cs="Arial"/>
          <w:sz w:val="22"/>
          <w:szCs w:val="22"/>
          <w:lang w:val="en-US"/>
        </w:rPr>
        <w:t>Sanjuan-Pla</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Thongjuea</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Carrelha</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Giustacchini</w:t>
      </w:r>
      <w:proofErr w:type="spellEnd"/>
      <w:r w:rsidRPr="00427DC3">
        <w:rPr>
          <w:rFonts w:ascii="Arial" w:hAnsi="Arial" w:cs="Arial"/>
          <w:sz w:val="22"/>
          <w:szCs w:val="22"/>
          <w:lang w:val="en-US"/>
        </w:rPr>
        <w:t xml:space="preserve">, A., Gambardella, A., Macaulay, I., Mancini, E., Luis, T.C., Mead, A., Jacobsen, S.E.W., </w:t>
      </w:r>
      <w:proofErr w:type="spellStart"/>
      <w:r w:rsidRPr="00427DC3">
        <w:rPr>
          <w:rFonts w:ascii="Arial" w:hAnsi="Arial" w:cs="Arial"/>
          <w:sz w:val="22"/>
          <w:szCs w:val="22"/>
          <w:lang w:val="en-US"/>
        </w:rPr>
        <w:t>Nerlov</w:t>
      </w:r>
      <w:proofErr w:type="spellEnd"/>
      <w:r w:rsidRPr="00427DC3">
        <w:rPr>
          <w:rFonts w:ascii="Arial" w:hAnsi="Arial" w:cs="Arial"/>
          <w:sz w:val="22"/>
          <w:szCs w:val="22"/>
          <w:lang w:val="en-US"/>
        </w:rPr>
        <w:t xml:space="preserve">, C., 2016. Single-cell RNA sequencing reveals molecular and functional platelet bias of aged </w:t>
      </w:r>
      <w:proofErr w:type="spellStart"/>
      <w:r w:rsidRPr="00427DC3">
        <w:rPr>
          <w:rFonts w:ascii="Arial" w:hAnsi="Arial" w:cs="Arial"/>
          <w:sz w:val="22"/>
          <w:szCs w:val="22"/>
          <w:lang w:val="en-US"/>
        </w:rPr>
        <w:t>haematopoietic</w:t>
      </w:r>
      <w:proofErr w:type="spellEnd"/>
      <w:r w:rsidRPr="00427DC3">
        <w:rPr>
          <w:rFonts w:ascii="Arial" w:hAnsi="Arial" w:cs="Arial"/>
          <w:sz w:val="22"/>
          <w:szCs w:val="22"/>
          <w:lang w:val="en-US"/>
        </w:rPr>
        <w:t xml:space="preserve"> stem cells. Nat </w:t>
      </w:r>
      <w:proofErr w:type="spellStart"/>
      <w:r w:rsidRPr="00427DC3">
        <w:rPr>
          <w:rFonts w:ascii="Arial" w:hAnsi="Arial" w:cs="Arial"/>
          <w:sz w:val="22"/>
          <w:szCs w:val="22"/>
          <w:lang w:val="en-US"/>
        </w:rPr>
        <w:t>Commun</w:t>
      </w:r>
      <w:proofErr w:type="spellEnd"/>
      <w:r w:rsidRPr="00427DC3">
        <w:rPr>
          <w:rFonts w:ascii="Arial" w:hAnsi="Arial" w:cs="Arial"/>
          <w:sz w:val="22"/>
          <w:szCs w:val="22"/>
          <w:lang w:val="en-US"/>
        </w:rPr>
        <w:t xml:space="preserve"> 7, 11075. https://doi.org/10.1038/ncomms11075</w:t>
      </w:r>
    </w:p>
    <w:p w14:paraId="663A5BB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Guo, Z., Kozlov, S., Lavin, M.F., Person, M.D., Paull, T.T., 2010. ATM activation by oxidative stress. Science 330, 517–521. https://doi.org/10.1126/science.1192912</w:t>
      </w:r>
    </w:p>
    <w:p w14:paraId="67DC5703"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de-DE"/>
        </w:rPr>
        <w:t xml:space="preserve">Haas, S., Hirche, C., Schnell, A., </w:t>
      </w:r>
      <w:proofErr w:type="spellStart"/>
      <w:r w:rsidRPr="00427DC3">
        <w:rPr>
          <w:rFonts w:ascii="Arial" w:hAnsi="Arial" w:cs="Arial"/>
          <w:sz w:val="22"/>
          <w:szCs w:val="22"/>
          <w:lang w:val="de-DE"/>
        </w:rPr>
        <w:t>Sönmezer</w:t>
      </w:r>
      <w:proofErr w:type="spellEnd"/>
      <w:r w:rsidRPr="00427DC3">
        <w:rPr>
          <w:rFonts w:ascii="Arial" w:hAnsi="Arial" w:cs="Arial"/>
          <w:sz w:val="22"/>
          <w:szCs w:val="22"/>
          <w:lang w:val="de-DE"/>
        </w:rPr>
        <w:t xml:space="preserve">, C., Langstein, J., </w:t>
      </w:r>
      <w:proofErr w:type="spellStart"/>
      <w:r w:rsidRPr="00427DC3">
        <w:rPr>
          <w:rFonts w:ascii="Arial" w:hAnsi="Arial" w:cs="Arial"/>
          <w:sz w:val="22"/>
          <w:szCs w:val="22"/>
          <w:lang w:val="de-DE"/>
        </w:rPr>
        <w:t>Wurzer</w:t>
      </w:r>
      <w:proofErr w:type="spellEnd"/>
      <w:r w:rsidRPr="00427DC3">
        <w:rPr>
          <w:rFonts w:ascii="Arial" w:hAnsi="Arial" w:cs="Arial"/>
          <w:sz w:val="22"/>
          <w:szCs w:val="22"/>
          <w:lang w:val="de-DE"/>
        </w:rPr>
        <w:t xml:space="preserve">, S., Thier, M., </w:t>
      </w:r>
      <w:proofErr w:type="spellStart"/>
      <w:r w:rsidRPr="00427DC3">
        <w:rPr>
          <w:rFonts w:ascii="Arial" w:hAnsi="Arial" w:cs="Arial"/>
          <w:sz w:val="22"/>
          <w:szCs w:val="22"/>
          <w:lang w:val="de-DE"/>
        </w:rPr>
        <w:t>Blaszkiewicz</w:t>
      </w:r>
      <w:proofErr w:type="spellEnd"/>
      <w:r w:rsidRPr="00427DC3">
        <w:rPr>
          <w:rFonts w:ascii="Arial" w:hAnsi="Arial" w:cs="Arial"/>
          <w:sz w:val="22"/>
          <w:szCs w:val="22"/>
          <w:lang w:val="de-DE"/>
        </w:rPr>
        <w:t xml:space="preserve">, S., Pilz, F., </w:t>
      </w:r>
      <w:proofErr w:type="spellStart"/>
      <w:r w:rsidRPr="00427DC3">
        <w:rPr>
          <w:rFonts w:ascii="Arial" w:hAnsi="Arial" w:cs="Arial"/>
          <w:sz w:val="22"/>
          <w:szCs w:val="22"/>
          <w:lang w:val="de-DE"/>
        </w:rPr>
        <w:t>Milsom</w:t>
      </w:r>
      <w:proofErr w:type="spellEnd"/>
      <w:r w:rsidRPr="00427DC3">
        <w:rPr>
          <w:rFonts w:ascii="Arial" w:hAnsi="Arial" w:cs="Arial"/>
          <w:sz w:val="22"/>
          <w:szCs w:val="22"/>
          <w:lang w:val="de-DE"/>
        </w:rPr>
        <w:t xml:space="preserve">, M.D., </w:t>
      </w:r>
      <w:proofErr w:type="spellStart"/>
      <w:r w:rsidRPr="00427DC3">
        <w:rPr>
          <w:rFonts w:ascii="Arial" w:hAnsi="Arial" w:cs="Arial"/>
          <w:sz w:val="22"/>
          <w:szCs w:val="22"/>
          <w:lang w:val="de-DE"/>
        </w:rPr>
        <w:t>Trumpp</w:t>
      </w:r>
      <w:proofErr w:type="spellEnd"/>
      <w:r w:rsidRPr="00427DC3">
        <w:rPr>
          <w:rFonts w:ascii="Arial" w:hAnsi="Arial" w:cs="Arial"/>
          <w:sz w:val="22"/>
          <w:szCs w:val="22"/>
          <w:lang w:val="de-DE"/>
        </w:rPr>
        <w:t xml:space="preserve">, A., </w:t>
      </w:r>
      <w:proofErr w:type="spellStart"/>
      <w:r w:rsidRPr="00427DC3">
        <w:rPr>
          <w:rFonts w:ascii="Arial" w:hAnsi="Arial" w:cs="Arial"/>
          <w:sz w:val="22"/>
          <w:szCs w:val="22"/>
          <w:lang w:val="de-DE"/>
        </w:rPr>
        <w:t>Lipka</w:t>
      </w:r>
      <w:proofErr w:type="spellEnd"/>
      <w:r w:rsidRPr="00427DC3">
        <w:rPr>
          <w:rFonts w:ascii="Arial" w:hAnsi="Arial" w:cs="Arial"/>
          <w:sz w:val="22"/>
          <w:szCs w:val="22"/>
          <w:lang w:val="de-DE"/>
        </w:rPr>
        <w:t xml:space="preserve">, D., </w:t>
      </w:r>
      <w:proofErr w:type="spellStart"/>
      <w:r w:rsidRPr="00427DC3">
        <w:rPr>
          <w:rFonts w:ascii="Arial" w:hAnsi="Arial" w:cs="Arial"/>
          <w:sz w:val="22"/>
          <w:szCs w:val="22"/>
          <w:lang w:val="de-DE"/>
        </w:rPr>
        <w:t>Kalinke</w:t>
      </w:r>
      <w:proofErr w:type="spellEnd"/>
      <w:r w:rsidRPr="00427DC3">
        <w:rPr>
          <w:rFonts w:ascii="Arial" w:hAnsi="Arial" w:cs="Arial"/>
          <w:sz w:val="22"/>
          <w:szCs w:val="22"/>
          <w:lang w:val="de-DE"/>
        </w:rPr>
        <w:t xml:space="preserve">, U., Essers, M.A.G., 2017. </w:t>
      </w:r>
      <w:r w:rsidRPr="00427DC3">
        <w:rPr>
          <w:rFonts w:ascii="Arial" w:hAnsi="Arial" w:cs="Arial"/>
          <w:sz w:val="22"/>
          <w:szCs w:val="22"/>
          <w:lang w:val="en-US"/>
        </w:rPr>
        <w:t>A Stem Cell-Based Epigenetic Memory Mediates Interferon Response-Heterogeneity within the Hematopoietic System. Blood 130 (Suppl1), 634 (abstract 501).</w:t>
      </w:r>
    </w:p>
    <w:p w14:paraId="0B02F365"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r w:rsidRPr="00427DC3">
        <w:rPr>
          <w:rFonts w:ascii="Arial" w:hAnsi="Arial" w:cs="Arial"/>
          <w:sz w:val="22"/>
          <w:szCs w:val="22"/>
          <w:lang w:val="en-US"/>
        </w:rPr>
        <w:t xml:space="preserve">Haas, S., </w:t>
      </w:r>
      <w:proofErr w:type="spellStart"/>
      <w:r w:rsidRPr="00427DC3">
        <w:rPr>
          <w:rFonts w:ascii="Arial" w:hAnsi="Arial" w:cs="Arial"/>
          <w:sz w:val="22"/>
          <w:szCs w:val="22"/>
          <w:lang w:val="en-US"/>
        </w:rPr>
        <w:t>Trumpp</w:t>
      </w:r>
      <w:proofErr w:type="spellEnd"/>
      <w:r w:rsidRPr="00427DC3">
        <w:rPr>
          <w:rFonts w:ascii="Arial" w:hAnsi="Arial" w:cs="Arial"/>
          <w:sz w:val="22"/>
          <w:szCs w:val="22"/>
          <w:lang w:val="en-US"/>
        </w:rPr>
        <w:t xml:space="preserve">, A., Milsom, M.D., 2018. Causes and Consequences of Hematopoietic Stem Cell Heterogeneity. </w:t>
      </w:r>
      <w:proofErr w:type="spellStart"/>
      <w:r w:rsidRPr="00427DC3">
        <w:rPr>
          <w:rFonts w:ascii="Arial" w:hAnsi="Arial" w:cs="Arial"/>
          <w:sz w:val="22"/>
          <w:szCs w:val="22"/>
          <w:lang w:val="de-DE"/>
        </w:rPr>
        <w:t>Cell</w:t>
      </w:r>
      <w:proofErr w:type="spellEnd"/>
      <w:r w:rsidRPr="00427DC3">
        <w:rPr>
          <w:rFonts w:ascii="Arial" w:hAnsi="Arial" w:cs="Arial"/>
          <w:sz w:val="22"/>
          <w:szCs w:val="22"/>
          <w:lang w:val="de-DE"/>
        </w:rPr>
        <w:t xml:space="preserve"> </w:t>
      </w:r>
      <w:proofErr w:type="spellStart"/>
      <w:r w:rsidRPr="00427DC3">
        <w:rPr>
          <w:rFonts w:ascii="Arial" w:hAnsi="Arial" w:cs="Arial"/>
          <w:sz w:val="22"/>
          <w:szCs w:val="22"/>
          <w:lang w:val="de-DE"/>
        </w:rPr>
        <w:t>Stem</w:t>
      </w:r>
      <w:proofErr w:type="spellEnd"/>
      <w:r w:rsidRPr="00427DC3">
        <w:rPr>
          <w:rFonts w:ascii="Arial" w:hAnsi="Arial" w:cs="Arial"/>
          <w:sz w:val="22"/>
          <w:szCs w:val="22"/>
          <w:lang w:val="de-DE"/>
        </w:rPr>
        <w:t xml:space="preserve"> </w:t>
      </w:r>
      <w:proofErr w:type="spellStart"/>
      <w:r w:rsidRPr="00427DC3">
        <w:rPr>
          <w:rFonts w:ascii="Arial" w:hAnsi="Arial" w:cs="Arial"/>
          <w:sz w:val="22"/>
          <w:szCs w:val="22"/>
          <w:lang w:val="de-DE"/>
        </w:rPr>
        <w:t>Cell</w:t>
      </w:r>
      <w:proofErr w:type="spellEnd"/>
      <w:r w:rsidRPr="00427DC3">
        <w:rPr>
          <w:rFonts w:ascii="Arial" w:hAnsi="Arial" w:cs="Arial"/>
          <w:sz w:val="22"/>
          <w:szCs w:val="22"/>
          <w:lang w:val="de-DE"/>
        </w:rPr>
        <w:t xml:space="preserve"> 22, 627–638. https://doi.org/10.1016/j.stem.2018.04.003</w:t>
      </w:r>
    </w:p>
    <w:p w14:paraId="0B403359"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de-DE"/>
        </w:rPr>
        <w:t xml:space="preserve">Haase, D., </w:t>
      </w:r>
      <w:proofErr w:type="spellStart"/>
      <w:r w:rsidRPr="00427DC3">
        <w:rPr>
          <w:rFonts w:ascii="Arial" w:hAnsi="Arial" w:cs="Arial"/>
          <w:sz w:val="22"/>
          <w:szCs w:val="22"/>
          <w:lang w:val="de-DE"/>
        </w:rPr>
        <w:t>Germing</w:t>
      </w:r>
      <w:proofErr w:type="spellEnd"/>
      <w:r w:rsidRPr="00427DC3">
        <w:rPr>
          <w:rFonts w:ascii="Arial" w:hAnsi="Arial" w:cs="Arial"/>
          <w:sz w:val="22"/>
          <w:szCs w:val="22"/>
          <w:lang w:val="de-DE"/>
        </w:rPr>
        <w:t xml:space="preserve">, U., Schanz, J., Pfeilstöcker, M., </w:t>
      </w:r>
      <w:proofErr w:type="spellStart"/>
      <w:r w:rsidRPr="00427DC3">
        <w:rPr>
          <w:rFonts w:ascii="Arial" w:hAnsi="Arial" w:cs="Arial"/>
          <w:sz w:val="22"/>
          <w:szCs w:val="22"/>
          <w:lang w:val="de-DE"/>
        </w:rPr>
        <w:t>Nösslinger</w:t>
      </w:r>
      <w:proofErr w:type="spellEnd"/>
      <w:r w:rsidRPr="00427DC3">
        <w:rPr>
          <w:rFonts w:ascii="Arial" w:hAnsi="Arial" w:cs="Arial"/>
          <w:sz w:val="22"/>
          <w:szCs w:val="22"/>
          <w:lang w:val="de-DE"/>
        </w:rPr>
        <w:t xml:space="preserve">, T., Hildebrandt, B., </w:t>
      </w:r>
      <w:proofErr w:type="spellStart"/>
      <w:r w:rsidRPr="00427DC3">
        <w:rPr>
          <w:rFonts w:ascii="Arial" w:hAnsi="Arial" w:cs="Arial"/>
          <w:sz w:val="22"/>
          <w:szCs w:val="22"/>
          <w:lang w:val="de-DE"/>
        </w:rPr>
        <w:t>Kundgen</w:t>
      </w:r>
      <w:proofErr w:type="spellEnd"/>
      <w:r w:rsidRPr="00427DC3">
        <w:rPr>
          <w:rFonts w:ascii="Arial" w:hAnsi="Arial" w:cs="Arial"/>
          <w:sz w:val="22"/>
          <w:szCs w:val="22"/>
          <w:lang w:val="de-DE"/>
        </w:rPr>
        <w:t xml:space="preserve">, A., Lübbert, M., Kunzmann, R., </w:t>
      </w:r>
      <w:proofErr w:type="spellStart"/>
      <w:r w:rsidRPr="00427DC3">
        <w:rPr>
          <w:rFonts w:ascii="Arial" w:hAnsi="Arial" w:cs="Arial"/>
          <w:sz w:val="22"/>
          <w:szCs w:val="22"/>
          <w:lang w:val="de-DE"/>
        </w:rPr>
        <w:t>Giagounidis</w:t>
      </w:r>
      <w:proofErr w:type="spellEnd"/>
      <w:r w:rsidRPr="00427DC3">
        <w:rPr>
          <w:rFonts w:ascii="Arial" w:hAnsi="Arial" w:cs="Arial"/>
          <w:sz w:val="22"/>
          <w:szCs w:val="22"/>
          <w:lang w:val="de-DE"/>
        </w:rPr>
        <w:t xml:space="preserve">, A.A.N., Aul, C., </w:t>
      </w:r>
      <w:proofErr w:type="spellStart"/>
      <w:r w:rsidRPr="00427DC3">
        <w:rPr>
          <w:rFonts w:ascii="Arial" w:hAnsi="Arial" w:cs="Arial"/>
          <w:sz w:val="22"/>
          <w:szCs w:val="22"/>
          <w:lang w:val="de-DE"/>
        </w:rPr>
        <w:t>Trümper</w:t>
      </w:r>
      <w:proofErr w:type="spellEnd"/>
      <w:r w:rsidRPr="00427DC3">
        <w:rPr>
          <w:rFonts w:ascii="Arial" w:hAnsi="Arial" w:cs="Arial"/>
          <w:sz w:val="22"/>
          <w:szCs w:val="22"/>
          <w:lang w:val="de-DE"/>
        </w:rPr>
        <w:t xml:space="preserve">, L., Krieger, O., Stauder, R., Müller, T.H., </w:t>
      </w:r>
      <w:proofErr w:type="spellStart"/>
      <w:r w:rsidRPr="00427DC3">
        <w:rPr>
          <w:rFonts w:ascii="Arial" w:hAnsi="Arial" w:cs="Arial"/>
          <w:sz w:val="22"/>
          <w:szCs w:val="22"/>
          <w:lang w:val="de-DE"/>
        </w:rPr>
        <w:t>Wimazal</w:t>
      </w:r>
      <w:proofErr w:type="spellEnd"/>
      <w:r w:rsidRPr="00427DC3">
        <w:rPr>
          <w:rFonts w:ascii="Arial" w:hAnsi="Arial" w:cs="Arial"/>
          <w:sz w:val="22"/>
          <w:szCs w:val="22"/>
          <w:lang w:val="de-DE"/>
        </w:rPr>
        <w:t xml:space="preserve">, F., Valent, P., </w:t>
      </w:r>
      <w:proofErr w:type="spellStart"/>
      <w:r w:rsidRPr="00427DC3">
        <w:rPr>
          <w:rFonts w:ascii="Arial" w:hAnsi="Arial" w:cs="Arial"/>
          <w:sz w:val="22"/>
          <w:szCs w:val="22"/>
          <w:lang w:val="de-DE"/>
        </w:rPr>
        <w:t>Fonatsch</w:t>
      </w:r>
      <w:proofErr w:type="spellEnd"/>
      <w:r w:rsidRPr="00427DC3">
        <w:rPr>
          <w:rFonts w:ascii="Arial" w:hAnsi="Arial" w:cs="Arial"/>
          <w:sz w:val="22"/>
          <w:szCs w:val="22"/>
          <w:lang w:val="de-DE"/>
        </w:rPr>
        <w:t xml:space="preserve">, C., Steidl, C., 2007. </w:t>
      </w:r>
      <w:r w:rsidRPr="00427DC3">
        <w:rPr>
          <w:rFonts w:ascii="Arial" w:hAnsi="Arial" w:cs="Arial"/>
          <w:sz w:val="22"/>
          <w:szCs w:val="22"/>
          <w:lang w:val="en-US"/>
        </w:rPr>
        <w:t>New insights into the prognostic impact of the karyotype in MDS and correlation with subtypes: evidence from a core dataset of 2124 patients. Blood 110, 4385–4395. https://doi.org/10.1182/blood-2007-03-082404</w:t>
      </w:r>
    </w:p>
    <w:p w14:paraId="38FEA603"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Haferlach</w:t>
      </w:r>
      <w:proofErr w:type="spellEnd"/>
      <w:r w:rsidRPr="00427DC3">
        <w:rPr>
          <w:rFonts w:ascii="Arial" w:hAnsi="Arial" w:cs="Arial"/>
          <w:sz w:val="22"/>
          <w:szCs w:val="22"/>
          <w:lang w:val="en-US"/>
        </w:rPr>
        <w:t xml:space="preserve">, T., Nagata, Y., Grossmann, V., </w:t>
      </w:r>
      <w:proofErr w:type="spellStart"/>
      <w:r w:rsidRPr="00427DC3">
        <w:rPr>
          <w:rFonts w:ascii="Arial" w:hAnsi="Arial" w:cs="Arial"/>
          <w:sz w:val="22"/>
          <w:szCs w:val="22"/>
          <w:lang w:val="en-US"/>
        </w:rPr>
        <w:t>Okuno</w:t>
      </w:r>
      <w:proofErr w:type="spellEnd"/>
      <w:r w:rsidRPr="00427DC3">
        <w:rPr>
          <w:rFonts w:ascii="Arial" w:hAnsi="Arial" w:cs="Arial"/>
          <w:sz w:val="22"/>
          <w:szCs w:val="22"/>
          <w:lang w:val="en-US"/>
        </w:rPr>
        <w:t xml:space="preserve">, Y., </w:t>
      </w:r>
      <w:proofErr w:type="spellStart"/>
      <w:r w:rsidRPr="00427DC3">
        <w:rPr>
          <w:rFonts w:ascii="Arial" w:hAnsi="Arial" w:cs="Arial"/>
          <w:sz w:val="22"/>
          <w:szCs w:val="22"/>
          <w:lang w:val="en-US"/>
        </w:rPr>
        <w:t>Bacher</w:t>
      </w:r>
      <w:proofErr w:type="spellEnd"/>
      <w:r w:rsidRPr="00427DC3">
        <w:rPr>
          <w:rFonts w:ascii="Arial" w:hAnsi="Arial" w:cs="Arial"/>
          <w:sz w:val="22"/>
          <w:szCs w:val="22"/>
          <w:lang w:val="en-US"/>
        </w:rPr>
        <w:t xml:space="preserve">, U., </w:t>
      </w:r>
      <w:proofErr w:type="spellStart"/>
      <w:r w:rsidRPr="00427DC3">
        <w:rPr>
          <w:rFonts w:ascii="Arial" w:hAnsi="Arial" w:cs="Arial"/>
          <w:sz w:val="22"/>
          <w:szCs w:val="22"/>
          <w:lang w:val="en-US"/>
        </w:rPr>
        <w:t>Nagae</w:t>
      </w:r>
      <w:proofErr w:type="spellEnd"/>
      <w:r w:rsidRPr="00427DC3">
        <w:rPr>
          <w:rFonts w:ascii="Arial" w:hAnsi="Arial" w:cs="Arial"/>
          <w:sz w:val="22"/>
          <w:szCs w:val="22"/>
          <w:lang w:val="en-US"/>
        </w:rPr>
        <w:t xml:space="preserve">, G., Schnittger, S., </w:t>
      </w:r>
      <w:proofErr w:type="spellStart"/>
      <w:r w:rsidRPr="00427DC3">
        <w:rPr>
          <w:rFonts w:ascii="Arial" w:hAnsi="Arial" w:cs="Arial"/>
          <w:sz w:val="22"/>
          <w:szCs w:val="22"/>
          <w:lang w:val="en-US"/>
        </w:rPr>
        <w:t>Sanada</w:t>
      </w:r>
      <w:proofErr w:type="spellEnd"/>
      <w:r w:rsidRPr="00427DC3">
        <w:rPr>
          <w:rFonts w:ascii="Arial" w:hAnsi="Arial" w:cs="Arial"/>
          <w:sz w:val="22"/>
          <w:szCs w:val="22"/>
          <w:lang w:val="en-US"/>
        </w:rPr>
        <w:t xml:space="preserve">, M., Kon, A., </w:t>
      </w:r>
      <w:proofErr w:type="spellStart"/>
      <w:r w:rsidRPr="00427DC3">
        <w:rPr>
          <w:rFonts w:ascii="Arial" w:hAnsi="Arial" w:cs="Arial"/>
          <w:sz w:val="22"/>
          <w:szCs w:val="22"/>
          <w:lang w:val="en-US"/>
        </w:rPr>
        <w:t>Alpermann</w:t>
      </w:r>
      <w:proofErr w:type="spellEnd"/>
      <w:r w:rsidRPr="00427DC3">
        <w:rPr>
          <w:rFonts w:ascii="Arial" w:hAnsi="Arial" w:cs="Arial"/>
          <w:sz w:val="22"/>
          <w:szCs w:val="22"/>
          <w:lang w:val="en-US"/>
        </w:rPr>
        <w:t xml:space="preserve">, T., Yoshida, K., Roller, A., Nadarajah, N., </w:t>
      </w:r>
      <w:proofErr w:type="spellStart"/>
      <w:r w:rsidRPr="00427DC3">
        <w:rPr>
          <w:rFonts w:ascii="Arial" w:hAnsi="Arial" w:cs="Arial"/>
          <w:sz w:val="22"/>
          <w:szCs w:val="22"/>
          <w:lang w:val="en-US"/>
        </w:rPr>
        <w:t>Shiraishi</w:t>
      </w:r>
      <w:proofErr w:type="spellEnd"/>
      <w:r w:rsidRPr="00427DC3">
        <w:rPr>
          <w:rFonts w:ascii="Arial" w:hAnsi="Arial" w:cs="Arial"/>
          <w:sz w:val="22"/>
          <w:szCs w:val="22"/>
          <w:lang w:val="en-US"/>
        </w:rPr>
        <w:t xml:space="preserve">, Y., </w:t>
      </w:r>
      <w:proofErr w:type="spellStart"/>
      <w:r w:rsidRPr="00427DC3">
        <w:rPr>
          <w:rFonts w:ascii="Arial" w:hAnsi="Arial" w:cs="Arial"/>
          <w:sz w:val="22"/>
          <w:szCs w:val="22"/>
          <w:lang w:val="en-US"/>
        </w:rPr>
        <w:t>Shiozawa</w:t>
      </w:r>
      <w:proofErr w:type="spellEnd"/>
      <w:r w:rsidRPr="00427DC3">
        <w:rPr>
          <w:rFonts w:ascii="Arial" w:hAnsi="Arial" w:cs="Arial"/>
          <w:sz w:val="22"/>
          <w:szCs w:val="22"/>
          <w:lang w:val="en-US"/>
        </w:rPr>
        <w:t xml:space="preserve">, Y., Chiba, K., Tanaka, H., </w:t>
      </w:r>
      <w:proofErr w:type="spellStart"/>
      <w:r w:rsidRPr="00427DC3">
        <w:rPr>
          <w:rFonts w:ascii="Arial" w:hAnsi="Arial" w:cs="Arial"/>
          <w:sz w:val="22"/>
          <w:szCs w:val="22"/>
          <w:lang w:val="en-US"/>
        </w:rPr>
        <w:t>Koeffler</w:t>
      </w:r>
      <w:proofErr w:type="spellEnd"/>
      <w:r w:rsidRPr="00427DC3">
        <w:rPr>
          <w:rFonts w:ascii="Arial" w:hAnsi="Arial" w:cs="Arial"/>
          <w:sz w:val="22"/>
          <w:szCs w:val="22"/>
          <w:lang w:val="en-US"/>
        </w:rPr>
        <w:t xml:space="preserve">, H.P., Klein, H.-U., Dugas, M., </w:t>
      </w:r>
      <w:proofErr w:type="spellStart"/>
      <w:r w:rsidRPr="00427DC3">
        <w:rPr>
          <w:rFonts w:ascii="Arial" w:hAnsi="Arial" w:cs="Arial"/>
          <w:sz w:val="22"/>
          <w:szCs w:val="22"/>
          <w:lang w:val="en-US"/>
        </w:rPr>
        <w:t>Aburatani</w:t>
      </w:r>
      <w:proofErr w:type="spellEnd"/>
      <w:r w:rsidRPr="00427DC3">
        <w:rPr>
          <w:rFonts w:ascii="Arial" w:hAnsi="Arial" w:cs="Arial"/>
          <w:sz w:val="22"/>
          <w:szCs w:val="22"/>
          <w:lang w:val="en-US"/>
        </w:rPr>
        <w:t xml:space="preserve">, H., Kohlmann, A., </w:t>
      </w:r>
      <w:proofErr w:type="spellStart"/>
      <w:r w:rsidRPr="00427DC3">
        <w:rPr>
          <w:rFonts w:ascii="Arial" w:hAnsi="Arial" w:cs="Arial"/>
          <w:sz w:val="22"/>
          <w:szCs w:val="22"/>
          <w:lang w:val="en-US"/>
        </w:rPr>
        <w:t>Miyano</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Haferlach</w:t>
      </w:r>
      <w:proofErr w:type="spellEnd"/>
      <w:r w:rsidRPr="00427DC3">
        <w:rPr>
          <w:rFonts w:ascii="Arial" w:hAnsi="Arial" w:cs="Arial"/>
          <w:sz w:val="22"/>
          <w:szCs w:val="22"/>
          <w:lang w:val="en-US"/>
        </w:rPr>
        <w:t>, C., Kern, W., Ogawa, S., 2014. Landscape of genetic lesions in 944 patients with myelodysplastic syndromes. Leukemia 28, 241–247. https://doi.org/10.1038/leu.2013.336</w:t>
      </w:r>
    </w:p>
    <w:p w14:paraId="1C33A246"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Hamdy</w:t>
      </w:r>
      <w:proofErr w:type="spellEnd"/>
      <w:r w:rsidRPr="00427DC3">
        <w:rPr>
          <w:rFonts w:ascii="Arial" w:hAnsi="Arial" w:cs="Arial"/>
          <w:sz w:val="22"/>
          <w:szCs w:val="22"/>
          <w:lang w:val="en-US"/>
        </w:rPr>
        <w:t xml:space="preserve">, M.S., El-Haddad, A.M., </w:t>
      </w:r>
      <w:proofErr w:type="spellStart"/>
      <w:r w:rsidRPr="00427DC3">
        <w:rPr>
          <w:rFonts w:ascii="Arial" w:hAnsi="Arial" w:cs="Arial"/>
          <w:sz w:val="22"/>
          <w:szCs w:val="22"/>
          <w:lang w:val="en-US"/>
        </w:rPr>
        <w:t>Bahaa</w:t>
      </w:r>
      <w:proofErr w:type="spellEnd"/>
      <w:r w:rsidRPr="00427DC3">
        <w:rPr>
          <w:rFonts w:ascii="Arial" w:hAnsi="Arial" w:cs="Arial"/>
          <w:sz w:val="22"/>
          <w:szCs w:val="22"/>
          <w:lang w:val="en-US"/>
        </w:rPr>
        <w:t xml:space="preserve"> El-Din, N.M., </w:t>
      </w:r>
      <w:proofErr w:type="spellStart"/>
      <w:r w:rsidRPr="00427DC3">
        <w:rPr>
          <w:rFonts w:ascii="Arial" w:hAnsi="Arial" w:cs="Arial"/>
          <w:sz w:val="22"/>
          <w:szCs w:val="22"/>
          <w:lang w:val="en-US"/>
        </w:rPr>
        <w:t>Makhlouf</w:t>
      </w:r>
      <w:proofErr w:type="spellEnd"/>
      <w:r w:rsidRPr="00427DC3">
        <w:rPr>
          <w:rFonts w:ascii="Arial" w:hAnsi="Arial" w:cs="Arial"/>
          <w:sz w:val="22"/>
          <w:szCs w:val="22"/>
          <w:lang w:val="en-US"/>
        </w:rPr>
        <w:t xml:space="preserve">, M.M., Abdel-Hamid, S.M., 2011. RAD51 and XRCC3 gene polymorphisms and the risk of developing acute myeloid leukemia. J. </w:t>
      </w:r>
      <w:proofErr w:type="spellStart"/>
      <w:r w:rsidRPr="00427DC3">
        <w:rPr>
          <w:rFonts w:ascii="Arial" w:hAnsi="Arial" w:cs="Arial"/>
          <w:sz w:val="22"/>
          <w:szCs w:val="22"/>
          <w:lang w:val="en-US"/>
        </w:rPr>
        <w:t>Investig</w:t>
      </w:r>
      <w:proofErr w:type="spellEnd"/>
      <w:r w:rsidRPr="00427DC3">
        <w:rPr>
          <w:rFonts w:ascii="Arial" w:hAnsi="Arial" w:cs="Arial"/>
          <w:sz w:val="22"/>
          <w:szCs w:val="22"/>
          <w:lang w:val="en-US"/>
        </w:rPr>
        <w:t>. Med. 59, 1124–1130. https://doi.org/10.2310/JIM.0b013e3182281da3</w:t>
      </w:r>
    </w:p>
    <w:p w14:paraId="03E52176"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lastRenderedPageBreak/>
        <w:t xml:space="preserve">Hasan, S., </w:t>
      </w:r>
      <w:proofErr w:type="spellStart"/>
      <w:r w:rsidRPr="00427DC3">
        <w:rPr>
          <w:rFonts w:ascii="Arial" w:hAnsi="Arial" w:cs="Arial"/>
          <w:sz w:val="22"/>
          <w:szCs w:val="22"/>
          <w:lang w:val="en-US"/>
        </w:rPr>
        <w:t>Lacout</w:t>
      </w:r>
      <w:proofErr w:type="spellEnd"/>
      <w:r w:rsidRPr="00427DC3">
        <w:rPr>
          <w:rFonts w:ascii="Arial" w:hAnsi="Arial" w:cs="Arial"/>
          <w:sz w:val="22"/>
          <w:szCs w:val="22"/>
          <w:lang w:val="en-US"/>
        </w:rPr>
        <w:t xml:space="preserve">, C., Marty, C., </w:t>
      </w:r>
      <w:proofErr w:type="spellStart"/>
      <w:r w:rsidRPr="00427DC3">
        <w:rPr>
          <w:rFonts w:ascii="Arial" w:hAnsi="Arial" w:cs="Arial"/>
          <w:sz w:val="22"/>
          <w:szCs w:val="22"/>
          <w:lang w:val="en-US"/>
        </w:rPr>
        <w:t>Cuingnet</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Solary</w:t>
      </w:r>
      <w:proofErr w:type="spellEnd"/>
      <w:r w:rsidRPr="00427DC3">
        <w:rPr>
          <w:rFonts w:ascii="Arial" w:hAnsi="Arial" w:cs="Arial"/>
          <w:sz w:val="22"/>
          <w:szCs w:val="22"/>
          <w:lang w:val="en-US"/>
        </w:rPr>
        <w:t xml:space="preserve">, E., </w:t>
      </w:r>
      <w:proofErr w:type="spellStart"/>
      <w:r w:rsidRPr="00427DC3">
        <w:rPr>
          <w:rFonts w:ascii="Arial" w:hAnsi="Arial" w:cs="Arial"/>
          <w:sz w:val="22"/>
          <w:szCs w:val="22"/>
          <w:lang w:val="en-US"/>
        </w:rPr>
        <w:t>Vainchenker</w:t>
      </w:r>
      <w:proofErr w:type="spellEnd"/>
      <w:r w:rsidRPr="00427DC3">
        <w:rPr>
          <w:rFonts w:ascii="Arial" w:hAnsi="Arial" w:cs="Arial"/>
          <w:sz w:val="22"/>
          <w:szCs w:val="22"/>
          <w:lang w:val="en-US"/>
        </w:rPr>
        <w:t xml:space="preserve">, W., </w:t>
      </w:r>
      <w:proofErr w:type="spellStart"/>
      <w:r w:rsidRPr="00427DC3">
        <w:rPr>
          <w:rFonts w:ascii="Arial" w:hAnsi="Arial" w:cs="Arial"/>
          <w:sz w:val="22"/>
          <w:szCs w:val="22"/>
          <w:lang w:val="en-US"/>
        </w:rPr>
        <w:t>Villeval</w:t>
      </w:r>
      <w:proofErr w:type="spellEnd"/>
      <w:r w:rsidRPr="00427DC3">
        <w:rPr>
          <w:rFonts w:ascii="Arial" w:hAnsi="Arial" w:cs="Arial"/>
          <w:sz w:val="22"/>
          <w:szCs w:val="22"/>
          <w:lang w:val="en-US"/>
        </w:rPr>
        <w:t>, J.-L., 2013. JAK2V617F expression in mice amplifies early hematopoietic cells and gives them a competitive advantage that is hampered by IFN</w:t>
      </w:r>
      <w:r w:rsidRPr="00427DC3">
        <w:rPr>
          <w:rFonts w:ascii="Arial" w:hAnsi="Arial" w:cs="Arial"/>
          <w:sz w:val="22"/>
          <w:szCs w:val="22"/>
          <w:lang w:val="de-DE"/>
        </w:rPr>
        <w:t>α</w:t>
      </w:r>
      <w:r w:rsidRPr="00427DC3">
        <w:rPr>
          <w:rFonts w:ascii="Arial" w:hAnsi="Arial" w:cs="Arial"/>
          <w:sz w:val="22"/>
          <w:szCs w:val="22"/>
          <w:lang w:val="en-US"/>
        </w:rPr>
        <w:t>. Blood 122, 1464–1477. https://doi.org/10.1182/blood-2013-04-498956</w:t>
      </w:r>
    </w:p>
    <w:p w14:paraId="08417108"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Hasselbalch</w:t>
      </w:r>
      <w:proofErr w:type="spellEnd"/>
      <w:r w:rsidRPr="00427DC3">
        <w:rPr>
          <w:rFonts w:ascii="Arial" w:hAnsi="Arial" w:cs="Arial"/>
          <w:sz w:val="22"/>
          <w:szCs w:val="22"/>
          <w:lang w:val="en-US"/>
        </w:rPr>
        <w:t xml:space="preserve">, H.C., 2014. Perspectives on the impact of JAK-inhibitor therapy upon inflammation-mediated comorbidities in myelofibrosis and related neoplasms. Expert Rev </w:t>
      </w:r>
      <w:proofErr w:type="spellStart"/>
      <w:r w:rsidRPr="00427DC3">
        <w:rPr>
          <w:rFonts w:ascii="Arial" w:hAnsi="Arial" w:cs="Arial"/>
          <w:sz w:val="22"/>
          <w:szCs w:val="22"/>
          <w:lang w:val="en-US"/>
        </w:rPr>
        <w:t>Hematol</w:t>
      </w:r>
      <w:proofErr w:type="spellEnd"/>
      <w:r w:rsidRPr="00427DC3">
        <w:rPr>
          <w:rFonts w:ascii="Arial" w:hAnsi="Arial" w:cs="Arial"/>
          <w:sz w:val="22"/>
          <w:szCs w:val="22"/>
          <w:lang w:val="en-US"/>
        </w:rPr>
        <w:t xml:space="preserve"> 7, 203–216. https://doi.org/10.1586/17474086.2013.876356</w:t>
      </w:r>
    </w:p>
    <w:p w14:paraId="5199E61E"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Hasselbalch</w:t>
      </w:r>
      <w:proofErr w:type="spellEnd"/>
      <w:r w:rsidRPr="00427DC3">
        <w:rPr>
          <w:rFonts w:ascii="Arial" w:hAnsi="Arial" w:cs="Arial"/>
          <w:sz w:val="22"/>
          <w:szCs w:val="22"/>
          <w:lang w:val="en-US"/>
        </w:rPr>
        <w:t xml:space="preserve">, H.C., </w:t>
      </w:r>
      <w:proofErr w:type="spellStart"/>
      <w:r w:rsidRPr="00427DC3">
        <w:rPr>
          <w:rFonts w:ascii="Arial" w:hAnsi="Arial" w:cs="Arial"/>
          <w:sz w:val="22"/>
          <w:szCs w:val="22"/>
          <w:lang w:val="en-US"/>
        </w:rPr>
        <w:t>Bjørn</w:t>
      </w:r>
      <w:proofErr w:type="spellEnd"/>
      <w:r w:rsidRPr="00427DC3">
        <w:rPr>
          <w:rFonts w:ascii="Arial" w:hAnsi="Arial" w:cs="Arial"/>
          <w:sz w:val="22"/>
          <w:szCs w:val="22"/>
          <w:lang w:val="en-US"/>
        </w:rPr>
        <w:t>, Rn, M.E., 2015. MPNs as Inflammatory Diseases: The Evidence, Consequences, and Perspectives. Mediators of Inflammation 2015, e102476. https://doi.org/10.1155/2015/102476</w:t>
      </w:r>
    </w:p>
    <w:p w14:paraId="181DFF2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Horvathova</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Kapralova</w:t>
      </w:r>
      <w:proofErr w:type="spellEnd"/>
      <w:r w:rsidRPr="00427DC3">
        <w:rPr>
          <w:rFonts w:ascii="Arial" w:hAnsi="Arial" w:cs="Arial"/>
          <w:sz w:val="22"/>
          <w:szCs w:val="22"/>
          <w:lang w:val="en-US"/>
        </w:rPr>
        <w:t xml:space="preserve">, K., </w:t>
      </w:r>
      <w:proofErr w:type="spellStart"/>
      <w:r w:rsidRPr="00427DC3">
        <w:rPr>
          <w:rFonts w:ascii="Arial" w:hAnsi="Arial" w:cs="Arial"/>
          <w:sz w:val="22"/>
          <w:szCs w:val="22"/>
          <w:lang w:val="en-US"/>
        </w:rPr>
        <w:t>Zidova</w:t>
      </w:r>
      <w:proofErr w:type="spellEnd"/>
      <w:r w:rsidRPr="00427DC3">
        <w:rPr>
          <w:rFonts w:ascii="Arial" w:hAnsi="Arial" w:cs="Arial"/>
          <w:sz w:val="22"/>
          <w:szCs w:val="22"/>
          <w:lang w:val="en-US"/>
        </w:rPr>
        <w:t xml:space="preserve">, Z., Dolezal, D., </w:t>
      </w:r>
      <w:proofErr w:type="spellStart"/>
      <w:r w:rsidRPr="00427DC3">
        <w:rPr>
          <w:rFonts w:ascii="Arial" w:hAnsi="Arial" w:cs="Arial"/>
          <w:sz w:val="22"/>
          <w:szCs w:val="22"/>
          <w:lang w:val="en-US"/>
        </w:rPr>
        <w:t>Pospisilova</w:t>
      </w:r>
      <w:proofErr w:type="spellEnd"/>
      <w:r w:rsidRPr="00427DC3">
        <w:rPr>
          <w:rFonts w:ascii="Arial" w:hAnsi="Arial" w:cs="Arial"/>
          <w:sz w:val="22"/>
          <w:szCs w:val="22"/>
          <w:lang w:val="en-US"/>
        </w:rPr>
        <w:t xml:space="preserve">, D., </w:t>
      </w:r>
      <w:proofErr w:type="spellStart"/>
      <w:r w:rsidRPr="00427DC3">
        <w:rPr>
          <w:rFonts w:ascii="Arial" w:hAnsi="Arial" w:cs="Arial"/>
          <w:sz w:val="22"/>
          <w:szCs w:val="22"/>
          <w:lang w:val="en-US"/>
        </w:rPr>
        <w:t>Divoky</w:t>
      </w:r>
      <w:proofErr w:type="spellEnd"/>
      <w:r w:rsidRPr="00427DC3">
        <w:rPr>
          <w:rFonts w:ascii="Arial" w:hAnsi="Arial" w:cs="Arial"/>
          <w:sz w:val="22"/>
          <w:szCs w:val="22"/>
          <w:lang w:val="en-US"/>
        </w:rPr>
        <w:t xml:space="preserve">, V., 2012. Erythropoietin-driven signaling ameliorates the survival defect of DMT1-mutant erythroid progenitors and erythroblasts. </w:t>
      </w:r>
      <w:proofErr w:type="spellStart"/>
      <w:r w:rsidRPr="00427DC3">
        <w:rPr>
          <w:rFonts w:ascii="Arial" w:hAnsi="Arial" w:cs="Arial"/>
          <w:sz w:val="22"/>
          <w:szCs w:val="22"/>
          <w:lang w:val="en-US"/>
        </w:rPr>
        <w:t>Haematologica</w:t>
      </w:r>
      <w:proofErr w:type="spellEnd"/>
      <w:r w:rsidRPr="00427DC3">
        <w:rPr>
          <w:rFonts w:ascii="Arial" w:hAnsi="Arial" w:cs="Arial"/>
          <w:sz w:val="22"/>
          <w:szCs w:val="22"/>
          <w:lang w:val="en-US"/>
        </w:rPr>
        <w:t xml:space="preserve"> 97, 1480–1488. https://doi.org/10.3324/haematol.2011.059550</w:t>
      </w:r>
    </w:p>
    <w:p w14:paraId="51D2C82C"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Hubackova</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Krejcikova</w:t>
      </w:r>
      <w:proofErr w:type="spellEnd"/>
      <w:r w:rsidRPr="00427DC3">
        <w:rPr>
          <w:rFonts w:ascii="Arial" w:hAnsi="Arial" w:cs="Arial"/>
          <w:sz w:val="22"/>
          <w:szCs w:val="22"/>
          <w:lang w:val="en-US"/>
        </w:rPr>
        <w:t xml:space="preserve">, K., Bartek, J., </w:t>
      </w:r>
      <w:proofErr w:type="spellStart"/>
      <w:r w:rsidRPr="00427DC3">
        <w:rPr>
          <w:rFonts w:ascii="Arial" w:hAnsi="Arial" w:cs="Arial"/>
          <w:sz w:val="22"/>
          <w:szCs w:val="22"/>
          <w:lang w:val="en-US"/>
        </w:rPr>
        <w:t>Hodny</w:t>
      </w:r>
      <w:proofErr w:type="spellEnd"/>
      <w:r w:rsidRPr="00427DC3">
        <w:rPr>
          <w:rFonts w:ascii="Arial" w:hAnsi="Arial" w:cs="Arial"/>
          <w:sz w:val="22"/>
          <w:szCs w:val="22"/>
          <w:lang w:val="en-US"/>
        </w:rPr>
        <w:t>, Z., 2012. IL1- and TGF</w:t>
      </w:r>
      <w:r w:rsidRPr="00427DC3">
        <w:rPr>
          <w:rFonts w:ascii="Arial" w:hAnsi="Arial" w:cs="Arial"/>
          <w:sz w:val="22"/>
          <w:szCs w:val="22"/>
          <w:lang w:val="de-DE"/>
        </w:rPr>
        <w:t>β</w:t>
      </w:r>
      <w:r w:rsidRPr="00427DC3">
        <w:rPr>
          <w:rFonts w:ascii="Arial" w:hAnsi="Arial" w:cs="Arial"/>
          <w:sz w:val="22"/>
          <w:szCs w:val="22"/>
          <w:lang w:val="en-US"/>
        </w:rPr>
        <w:t>-Nox4 signaling, oxidative stress and DNA damage response are shared features of replicative, oncogene-induced, and drug-induced paracrine “bystander senescence.” Aging (Albany NY) 4, 932–951. https://doi.org/10.18632/aging.100520</w:t>
      </w:r>
    </w:p>
    <w:p w14:paraId="1E5618A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Hubackova</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Kucerova</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Michlits</w:t>
      </w:r>
      <w:proofErr w:type="spellEnd"/>
      <w:r w:rsidRPr="00427DC3">
        <w:rPr>
          <w:rFonts w:ascii="Arial" w:hAnsi="Arial" w:cs="Arial"/>
          <w:sz w:val="22"/>
          <w:szCs w:val="22"/>
          <w:lang w:val="en-US"/>
        </w:rPr>
        <w:t xml:space="preserve">, G., </w:t>
      </w:r>
      <w:proofErr w:type="spellStart"/>
      <w:r w:rsidRPr="00427DC3">
        <w:rPr>
          <w:rFonts w:ascii="Arial" w:hAnsi="Arial" w:cs="Arial"/>
          <w:sz w:val="22"/>
          <w:szCs w:val="22"/>
          <w:lang w:val="en-US"/>
        </w:rPr>
        <w:t>Kyjacova</w:t>
      </w:r>
      <w:proofErr w:type="spellEnd"/>
      <w:r w:rsidRPr="00427DC3">
        <w:rPr>
          <w:rFonts w:ascii="Arial" w:hAnsi="Arial" w:cs="Arial"/>
          <w:sz w:val="22"/>
          <w:szCs w:val="22"/>
          <w:lang w:val="en-US"/>
        </w:rPr>
        <w:t xml:space="preserve">, L., </w:t>
      </w:r>
      <w:proofErr w:type="spellStart"/>
      <w:r w:rsidRPr="00427DC3">
        <w:rPr>
          <w:rFonts w:ascii="Arial" w:hAnsi="Arial" w:cs="Arial"/>
          <w:sz w:val="22"/>
          <w:szCs w:val="22"/>
          <w:lang w:val="en-US"/>
        </w:rPr>
        <w:t>Reinis</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Korolov</w:t>
      </w:r>
      <w:proofErr w:type="spellEnd"/>
      <w:r w:rsidRPr="00427DC3">
        <w:rPr>
          <w:rFonts w:ascii="Arial" w:hAnsi="Arial" w:cs="Arial"/>
          <w:sz w:val="22"/>
          <w:szCs w:val="22"/>
          <w:lang w:val="en-US"/>
        </w:rPr>
        <w:t xml:space="preserve">, O., Bartek, J., </w:t>
      </w:r>
      <w:proofErr w:type="spellStart"/>
      <w:r w:rsidRPr="00427DC3">
        <w:rPr>
          <w:rFonts w:ascii="Arial" w:hAnsi="Arial" w:cs="Arial"/>
          <w:sz w:val="22"/>
          <w:szCs w:val="22"/>
          <w:lang w:val="en-US"/>
        </w:rPr>
        <w:t>Hodny</w:t>
      </w:r>
      <w:proofErr w:type="spellEnd"/>
      <w:r w:rsidRPr="00427DC3">
        <w:rPr>
          <w:rFonts w:ascii="Arial" w:hAnsi="Arial" w:cs="Arial"/>
          <w:sz w:val="22"/>
          <w:szCs w:val="22"/>
          <w:lang w:val="en-US"/>
        </w:rPr>
        <w:t>, Z., 2016. IFN</w:t>
      </w:r>
      <w:r w:rsidRPr="00427DC3">
        <w:rPr>
          <w:rFonts w:ascii="Arial" w:hAnsi="Arial" w:cs="Arial"/>
          <w:sz w:val="22"/>
          <w:szCs w:val="22"/>
          <w:lang w:val="de-DE"/>
        </w:rPr>
        <w:t>γ</w:t>
      </w:r>
      <w:r w:rsidRPr="00427DC3">
        <w:rPr>
          <w:rFonts w:ascii="Arial" w:hAnsi="Arial" w:cs="Arial"/>
          <w:sz w:val="22"/>
          <w:szCs w:val="22"/>
          <w:lang w:val="en-US"/>
        </w:rPr>
        <w:t xml:space="preserve"> induces oxidative stress, DNA damage and tumor cell senescence via TGF</w:t>
      </w:r>
      <w:r w:rsidRPr="00427DC3">
        <w:rPr>
          <w:rFonts w:ascii="Arial" w:hAnsi="Arial" w:cs="Arial"/>
          <w:sz w:val="22"/>
          <w:szCs w:val="22"/>
          <w:lang w:val="de-DE"/>
        </w:rPr>
        <w:t>β</w:t>
      </w:r>
      <w:r w:rsidRPr="00427DC3">
        <w:rPr>
          <w:rFonts w:ascii="Arial" w:hAnsi="Arial" w:cs="Arial"/>
          <w:sz w:val="22"/>
          <w:szCs w:val="22"/>
          <w:lang w:val="en-US"/>
        </w:rPr>
        <w:t>/SMAD signaling-dependent induction of Nox4 and suppression of ANT2. Oncogene 35, 1236–1249. https://doi.org/10.1038/onc.2015.162</w:t>
      </w:r>
    </w:p>
    <w:p w14:paraId="67FB8764"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Hurtado-</w:t>
      </w:r>
      <w:proofErr w:type="spellStart"/>
      <w:r w:rsidRPr="00427DC3">
        <w:rPr>
          <w:rFonts w:ascii="Arial" w:hAnsi="Arial" w:cs="Arial"/>
          <w:sz w:val="22"/>
          <w:szCs w:val="22"/>
          <w:lang w:val="en-US"/>
        </w:rPr>
        <w:t>Nedelec</w:t>
      </w:r>
      <w:proofErr w:type="spellEnd"/>
      <w:r w:rsidRPr="00427DC3">
        <w:rPr>
          <w:rFonts w:ascii="Arial" w:hAnsi="Arial" w:cs="Arial"/>
          <w:sz w:val="22"/>
          <w:szCs w:val="22"/>
          <w:lang w:val="en-US"/>
        </w:rPr>
        <w:t xml:space="preserve">, M., Csillag-Grange, M.-J., </w:t>
      </w:r>
      <w:proofErr w:type="spellStart"/>
      <w:r w:rsidRPr="00427DC3">
        <w:rPr>
          <w:rFonts w:ascii="Arial" w:hAnsi="Arial" w:cs="Arial"/>
          <w:sz w:val="22"/>
          <w:szCs w:val="22"/>
          <w:lang w:val="en-US"/>
        </w:rPr>
        <w:t>Boussetta</w:t>
      </w:r>
      <w:proofErr w:type="spellEnd"/>
      <w:r w:rsidRPr="00427DC3">
        <w:rPr>
          <w:rFonts w:ascii="Arial" w:hAnsi="Arial" w:cs="Arial"/>
          <w:sz w:val="22"/>
          <w:szCs w:val="22"/>
          <w:lang w:val="en-US"/>
        </w:rPr>
        <w:t xml:space="preserve">, T., </w:t>
      </w:r>
      <w:proofErr w:type="spellStart"/>
      <w:r w:rsidRPr="00427DC3">
        <w:rPr>
          <w:rFonts w:ascii="Arial" w:hAnsi="Arial" w:cs="Arial"/>
          <w:sz w:val="22"/>
          <w:szCs w:val="22"/>
          <w:lang w:val="en-US"/>
        </w:rPr>
        <w:t>Belambri</w:t>
      </w:r>
      <w:proofErr w:type="spellEnd"/>
      <w:r w:rsidRPr="00427DC3">
        <w:rPr>
          <w:rFonts w:ascii="Arial" w:hAnsi="Arial" w:cs="Arial"/>
          <w:sz w:val="22"/>
          <w:szCs w:val="22"/>
          <w:lang w:val="en-US"/>
        </w:rPr>
        <w:t xml:space="preserve">, S.A., Fay, M., </w:t>
      </w:r>
      <w:proofErr w:type="spellStart"/>
      <w:r w:rsidRPr="00427DC3">
        <w:rPr>
          <w:rFonts w:ascii="Arial" w:hAnsi="Arial" w:cs="Arial"/>
          <w:sz w:val="22"/>
          <w:szCs w:val="22"/>
          <w:lang w:val="en-US"/>
        </w:rPr>
        <w:t>Cassinat</w:t>
      </w:r>
      <w:proofErr w:type="spellEnd"/>
      <w:r w:rsidRPr="00427DC3">
        <w:rPr>
          <w:rFonts w:ascii="Arial" w:hAnsi="Arial" w:cs="Arial"/>
          <w:sz w:val="22"/>
          <w:szCs w:val="22"/>
          <w:lang w:val="en-US"/>
        </w:rPr>
        <w:t xml:space="preserve">, B., </w:t>
      </w:r>
      <w:proofErr w:type="spellStart"/>
      <w:r w:rsidRPr="00427DC3">
        <w:rPr>
          <w:rFonts w:ascii="Arial" w:hAnsi="Arial" w:cs="Arial"/>
          <w:sz w:val="22"/>
          <w:szCs w:val="22"/>
          <w:lang w:val="en-US"/>
        </w:rPr>
        <w:t>Gougerot-Pocidalo</w:t>
      </w:r>
      <w:proofErr w:type="spellEnd"/>
      <w:r w:rsidRPr="00427DC3">
        <w:rPr>
          <w:rFonts w:ascii="Arial" w:hAnsi="Arial" w:cs="Arial"/>
          <w:sz w:val="22"/>
          <w:szCs w:val="22"/>
          <w:lang w:val="en-US"/>
        </w:rPr>
        <w:t>, M.-A., Dang, P.M.-C., El-</w:t>
      </w:r>
      <w:proofErr w:type="spellStart"/>
      <w:r w:rsidRPr="00427DC3">
        <w:rPr>
          <w:rFonts w:ascii="Arial" w:hAnsi="Arial" w:cs="Arial"/>
          <w:sz w:val="22"/>
          <w:szCs w:val="22"/>
          <w:lang w:val="en-US"/>
        </w:rPr>
        <w:t>Benna</w:t>
      </w:r>
      <w:proofErr w:type="spellEnd"/>
      <w:r w:rsidRPr="00427DC3">
        <w:rPr>
          <w:rFonts w:ascii="Arial" w:hAnsi="Arial" w:cs="Arial"/>
          <w:sz w:val="22"/>
          <w:szCs w:val="22"/>
          <w:lang w:val="en-US"/>
        </w:rPr>
        <w:t xml:space="preserve">, J., 2013. Increased reactive oxygen species production and p47phox phosphorylation in neutrophils from myeloproliferative disorders patients with JAK2 (V617F) mutation. </w:t>
      </w:r>
      <w:proofErr w:type="spellStart"/>
      <w:r w:rsidRPr="00427DC3">
        <w:rPr>
          <w:rFonts w:ascii="Arial" w:hAnsi="Arial" w:cs="Arial"/>
          <w:sz w:val="22"/>
          <w:szCs w:val="22"/>
          <w:lang w:val="en-US"/>
        </w:rPr>
        <w:t>Haematologica</w:t>
      </w:r>
      <w:proofErr w:type="spellEnd"/>
      <w:r w:rsidRPr="00427DC3">
        <w:rPr>
          <w:rFonts w:ascii="Arial" w:hAnsi="Arial" w:cs="Arial"/>
          <w:sz w:val="22"/>
          <w:szCs w:val="22"/>
          <w:lang w:val="en-US"/>
        </w:rPr>
        <w:t xml:space="preserve"> 98, 1517–1524. https://doi.org/10.3324/haematol.2012.082560</w:t>
      </w:r>
    </w:p>
    <w:p w14:paraId="3785FC4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Inoue, S., Li, W.Y., Tseng, A., </w:t>
      </w:r>
      <w:proofErr w:type="spellStart"/>
      <w:r w:rsidRPr="00427DC3">
        <w:rPr>
          <w:rFonts w:ascii="Arial" w:hAnsi="Arial" w:cs="Arial"/>
          <w:sz w:val="22"/>
          <w:szCs w:val="22"/>
          <w:lang w:val="en-US"/>
        </w:rPr>
        <w:t>Beerman</w:t>
      </w:r>
      <w:proofErr w:type="spellEnd"/>
      <w:r w:rsidRPr="00427DC3">
        <w:rPr>
          <w:rFonts w:ascii="Arial" w:hAnsi="Arial" w:cs="Arial"/>
          <w:sz w:val="22"/>
          <w:szCs w:val="22"/>
          <w:lang w:val="en-US"/>
        </w:rPr>
        <w:t xml:space="preserve">, I., Elia, A.J., Bendall, S.C., </w:t>
      </w:r>
      <w:proofErr w:type="spellStart"/>
      <w:r w:rsidRPr="00427DC3">
        <w:rPr>
          <w:rFonts w:ascii="Arial" w:hAnsi="Arial" w:cs="Arial"/>
          <w:sz w:val="22"/>
          <w:szCs w:val="22"/>
          <w:lang w:val="en-US"/>
        </w:rPr>
        <w:t>Lemonnier</w:t>
      </w:r>
      <w:proofErr w:type="spellEnd"/>
      <w:r w:rsidRPr="00427DC3">
        <w:rPr>
          <w:rFonts w:ascii="Arial" w:hAnsi="Arial" w:cs="Arial"/>
          <w:sz w:val="22"/>
          <w:szCs w:val="22"/>
          <w:lang w:val="en-US"/>
        </w:rPr>
        <w:t xml:space="preserve">, F., Kron, K.J., </w:t>
      </w:r>
      <w:proofErr w:type="spellStart"/>
      <w:r w:rsidRPr="00427DC3">
        <w:rPr>
          <w:rFonts w:ascii="Arial" w:hAnsi="Arial" w:cs="Arial"/>
          <w:sz w:val="22"/>
          <w:szCs w:val="22"/>
          <w:lang w:val="en-US"/>
        </w:rPr>
        <w:t>Cescon</w:t>
      </w:r>
      <w:proofErr w:type="spellEnd"/>
      <w:r w:rsidRPr="00427DC3">
        <w:rPr>
          <w:rFonts w:ascii="Arial" w:hAnsi="Arial" w:cs="Arial"/>
          <w:sz w:val="22"/>
          <w:szCs w:val="22"/>
          <w:lang w:val="en-US"/>
        </w:rPr>
        <w:t xml:space="preserve">, D.W., Hao, Z., Lind, E.F., Takayama, N., </w:t>
      </w:r>
      <w:proofErr w:type="spellStart"/>
      <w:r w:rsidRPr="00427DC3">
        <w:rPr>
          <w:rFonts w:ascii="Arial" w:hAnsi="Arial" w:cs="Arial"/>
          <w:sz w:val="22"/>
          <w:szCs w:val="22"/>
          <w:lang w:val="en-US"/>
        </w:rPr>
        <w:t>Planello</w:t>
      </w:r>
      <w:proofErr w:type="spellEnd"/>
      <w:r w:rsidRPr="00427DC3">
        <w:rPr>
          <w:rFonts w:ascii="Arial" w:hAnsi="Arial" w:cs="Arial"/>
          <w:sz w:val="22"/>
          <w:szCs w:val="22"/>
          <w:lang w:val="en-US"/>
        </w:rPr>
        <w:t xml:space="preserve">, A.C., Shen, S.Y., Shih, A.H., Larsen, D.M., Li, Q., Snow, B.E., </w:t>
      </w:r>
      <w:proofErr w:type="spellStart"/>
      <w:r w:rsidRPr="00427DC3">
        <w:rPr>
          <w:rFonts w:ascii="Arial" w:hAnsi="Arial" w:cs="Arial"/>
          <w:sz w:val="22"/>
          <w:szCs w:val="22"/>
          <w:lang w:val="en-US"/>
        </w:rPr>
        <w:t>Wakeham</w:t>
      </w:r>
      <w:proofErr w:type="spellEnd"/>
      <w:r w:rsidRPr="00427DC3">
        <w:rPr>
          <w:rFonts w:ascii="Arial" w:hAnsi="Arial" w:cs="Arial"/>
          <w:sz w:val="22"/>
          <w:szCs w:val="22"/>
          <w:lang w:val="en-US"/>
        </w:rPr>
        <w:t xml:space="preserve">, A., Haight, J., </w:t>
      </w:r>
      <w:proofErr w:type="spellStart"/>
      <w:r w:rsidRPr="00427DC3">
        <w:rPr>
          <w:rFonts w:ascii="Arial" w:hAnsi="Arial" w:cs="Arial"/>
          <w:sz w:val="22"/>
          <w:szCs w:val="22"/>
          <w:lang w:val="en-US"/>
        </w:rPr>
        <w:t>Gorrini</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Bassi</w:t>
      </w:r>
      <w:proofErr w:type="spellEnd"/>
      <w:r w:rsidRPr="00427DC3">
        <w:rPr>
          <w:rFonts w:ascii="Arial" w:hAnsi="Arial" w:cs="Arial"/>
          <w:sz w:val="22"/>
          <w:szCs w:val="22"/>
          <w:lang w:val="en-US"/>
        </w:rPr>
        <w:t xml:space="preserve">, C., Thu, K.L., Murakami, K., </w:t>
      </w:r>
      <w:proofErr w:type="spellStart"/>
      <w:r w:rsidRPr="00427DC3">
        <w:rPr>
          <w:rFonts w:ascii="Arial" w:hAnsi="Arial" w:cs="Arial"/>
          <w:sz w:val="22"/>
          <w:szCs w:val="22"/>
          <w:lang w:val="en-US"/>
        </w:rPr>
        <w:t>Elford</w:t>
      </w:r>
      <w:proofErr w:type="spellEnd"/>
      <w:r w:rsidRPr="00427DC3">
        <w:rPr>
          <w:rFonts w:ascii="Arial" w:hAnsi="Arial" w:cs="Arial"/>
          <w:sz w:val="22"/>
          <w:szCs w:val="22"/>
          <w:lang w:val="en-US"/>
        </w:rPr>
        <w:t xml:space="preserve">, A.R., Ueda, T., </w:t>
      </w:r>
      <w:proofErr w:type="spellStart"/>
      <w:r w:rsidRPr="00427DC3">
        <w:rPr>
          <w:rFonts w:ascii="Arial" w:hAnsi="Arial" w:cs="Arial"/>
          <w:sz w:val="22"/>
          <w:szCs w:val="22"/>
          <w:lang w:val="en-US"/>
        </w:rPr>
        <w:t>Straley</w:t>
      </w:r>
      <w:proofErr w:type="spellEnd"/>
      <w:r w:rsidRPr="00427DC3">
        <w:rPr>
          <w:rFonts w:ascii="Arial" w:hAnsi="Arial" w:cs="Arial"/>
          <w:sz w:val="22"/>
          <w:szCs w:val="22"/>
          <w:lang w:val="en-US"/>
        </w:rPr>
        <w:t xml:space="preserve">, K., Yen, K.E., </w:t>
      </w:r>
      <w:proofErr w:type="spellStart"/>
      <w:r w:rsidRPr="00427DC3">
        <w:rPr>
          <w:rFonts w:ascii="Arial" w:hAnsi="Arial" w:cs="Arial"/>
          <w:sz w:val="22"/>
          <w:szCs w:val="22"/>
          <w:lang w:val="en-US"/>
        </w:rPr>
        <w:t>Melino</w:t>
      </w:r>
      <w:proofErr w:type="spellEnd"/>
      <w:r w:rsidRPr="00427DC3">
        <w:rPr>
          <w:rFonts w:ascii="Arial" w:hAnsi="Arial" w:cs="Arial"/>
          <w:sz w:val="22"/>
          <w:szCs w:val="22"/>
          <w:lang w:val="en-US"/>
        </w:rPr>
        <w:t xml:space="preserve">, G., </w:t>
      </w:r>
      <w:proofErr w:type="spellStart"/>
      <w:r w:rsidRPr="00427DC3">
        <w:rPr>
          <w:rFonts w:ascii="Arial" w:hAnsi="Arial" w:cs="Arial"/>
          <w:sz w:val="22"/>
          <w:szCs w:val="22"/>
          <w:lang w:val="en-US"/>
        </w:rPr>
        <w:t>Cimmino</w:t>
      </w:r>
      <w:proofErr w:type="spellEnd"/>
      <w:r w:rsidRPr="00427DC3">
        <w:rPr>
          <w:rFonts w:ascii="Arial" w:hAnsi="Arial" w:cs="Arial"/>
          <w:sz w:val="22"/>
          <w:szCs w:val="22"/>
          <w:lang w:val="en-US"/>
        </w:rPr>
        <w:t xml:space="preserve">, L., </w:t>
      </w:r>
      <w:proofErr w:type="spellStart"/>
      <w:r w:rsidRPr="00427DC3">
        <w:rPr>
          <w:rFonts w:ascii="Arial" w:hAnsi="Arial" w:cs="Arial"/>
          <w:sz w:val="22"/>
          <w:szCs w:val="22"/>
          <w:lang w:val="en-US"/>
        </w:rPr>
        <w:t>Aifantis</w:t>
      </w:r>
      <w:proofErr w:type="spellEnd"/>
      <w:r w:rsidRPr="00427DC3">
        <w:rPr>
          <w:rFonts w:ascii="Arial" w:hAnsi="Arial" w:cs="Arial"/>
          <w:sz w:val="22"/>
          <w:szCs w:val="22"/>
          <w:lang w:val="en-US"/>
        </w:rPr>
        <w:t xml:space="preserve">, I., Levine, R.L., De Carvalho, D.D., </w:t>
      </w:r>
      <w:proofErr w:type="spellStart"/>
      <w:r w:rsidRPr="00427DC3">
        <w:rPr>
          <w:rFonts w:ascii="Arial" w:hAnsi="Arial" w:cs="Arial"/>
          <w:sz w:val="22"/>
          <w:szCs w:val="22"/>
          <w:lang w:val="en-US"/>
        </w:rPr>
        <w:t>Lupien</w:t>
      </w:r>
      <w:proofErr w:type="spellEnd"/>
      <w:r w:rsidRPr="00427DC3">
        <w:rPr>
          <w:rFonts w:ascii="Arial" w:hAnsi="Arial" w:cs="Arial"/>
          <w:sz w:val="22"/>
          <w:szCs w:val="22"/>
          <w:lang w:val="en-US"/>
        </w:rPr>
        <w:t xml:space="preserve">, M., Rossi, D.J., Nolan, G.P., Cairns, R.A., </w:t>
      </w:r>
      <w:proofErr w:type="spellStart"/>
      <w:r w:rsidRPr="00427DC3">
        <w:rPr>
          <w:rFonts w:ascii="Arial" w:hAnsi="Arial" w:cs="Arial"/>
          <w:sz w:val="22"/>
          <w:szCs w:val="22"/>
          <w:lang w:val="en-US"/>
        </w:rPr>
        <w:t>Mak</w:t>
      </w:r>
      <w:proofErr w:type="spellEnd"/>
      <w:r w:rsidRPr="00427DC3">
        <w:rPr>
          <w:rFonts w:ascii="Arial" w:hAnsi="Arial" w:cs="Arial"/>
          <w:sz w:val="22"/>
          <w:szCs w:val="22"/>
          <w:lang w:val="en-US"/>
        </w:rPr>
        <w:t>, T.W., 2016. Mutant IDH1 Downregulates ATM and Alters DNA Repair and Sensitivity to DNA Damage Independent of TET2. Cancer Cell 30, 337–348. https://doi.org/10.1016/j.ccell.2016.05.018</w:t>
      </w:r>
    </w:p>
    <w:p w14:paraId="2A2C917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Iwasa</w:t>
      </w:r>
      <w:proofErr w:type="spellEnd"/>
      <w:r w:rsidRPr="00427DC3">
        <w:rPr>
          <w:rFonts w:ascii="Arial" w:hAnsi="Arial" w:cs="Arial"/>
          <w:sz w:val="22"/>
          <w:szCs w:val="22"/>
          <w:lang w:val="en-US"/>
        </w:rPr>
        <w:t>, H., Han, J., Ishikawa, F., 2003. Mitogen-activated protein kinase p38 defines the common senescence-</w:t>
      </w:r>
      <w:proofErr w:type="spellStart"/>
      <w:r w:rsidRPr="00427DC3">
        <w:rPr>
          <w:rFonts w:ascii="Arial" w:hAnsi="Arial" w:cs="Arial"/>
          <w:sz w:val="22"/>
          <w:szCs w:val="22"/>
          <w:lang w:val="en-US"/>
        </w:rPr>
        <w:t>signalling</w:t>
      </w:r>
      <w:proofErr w:type="spellEnd"/>
      <w:r w:rsidRPr="00427DC3">
        <w:rPr>
          <w:rFonts w:ascii="Arial" w:hAnsi="Arial" w:cs="Arial"/>
          <w:sz w:val="22"/>
          <w:szCs w:val="22"/>
          <w:lang w:val="en-US"/>
        </w:rPr>
        <w:t xml:space="preserve"> pathway. Genes Cells 8, 131–144.</w:t>
      </w:r>
    </w:p>
    <w:p w14:paraId="0AD5D30F"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r w:rsidRPr="00427DC3">
        <w:rPr>
          <w:rFonts w:ascii="Arial" w:hAnsi="Arial" w:cs="Arial"/>
          <w:sz w:val="22"/>
          <w:szCs w:val="22"/>
          <w:lang w:val="en-US"/>
        </w:rPr>
        <w:t xml:space="preserve">Iwasaki, H., Arai, F., Kubota, Y., Dahl, M., </w:t>
      </w:r>
      <w:proofErr w:type="spellStart"/>
      <w:r w:rsidRPr="00427DC3">
        <w:rPr>
          <w:rFonts w:ascii="Arial" w:hAnsi="Arial" w:cs="Arial"/>
          <w:sz w:val="22"/>
          <w:szCs w:val="22"/>
          <w:lang w:val="en-US"/>
        </w:rPr>
        <w:t>Suda</w:t>
      </w:r>
      <w:proofErr w:type="spellEnd"/>
      <w:r w:rsidRPr="00427DC3">
        <w:rPr>
          <w:rFonts w:ascii="Arial" w:hAnsi="Arial" w:cs="Arial"/>
          <w:sz w:val="22"/>
          <w:szCs w:val="22"/>
          <w:lang w:val="en-US"/>
        </w:rPr>
        <w:t xml:space="preserve">, T., 2010. Endothelial protein C receptor-expressing hematopoietic stem cells reside in the perisinusoidal niche in fetal liver. </w:t>
      </w:r>
      <w:r w:rsidRPr="00427DC3">
        <w:rPr>
          <w:rFonts w:ascii="Arial" w:hAnsi="Arial" w:cs="Arial"/>
          <w:sz w:val="22"/>
          <w:szCs w:val="22"/>
          <w:lang w:val="de-DE"/>
        </w:rPr>
        <w:t>Blood 116, 544–553. https://doi.org/10.1182/blood-2009-08-240903</w:t>
      </w:r>
    </w:p>
    <w:p w14:paraId="480EA2D7"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de-DE"/>
        </w:rPr>
        <w:t>Jaiswal</w:t>
      </w:r>
      <w:proofErr w:type="spellEnd"/>
      <w:r w:rsidRPr="00427DC3">
        <w:rPr>
          <w:rFonts w:ascii="Arial" w:hAnsi="Arial" w:cs="Arial"/>
          <w:sz w:val="22"/>
          <w:szCs w:val="22"/>
          <w:lang w:val="de-DE"/>
        </w:rPr>
        <w:t xml:space="preserve">, S., Ebert, B.L., 2019. </w:t>
      </w:r>
      <w:r w:rsidRPr="00427DC3">
        <w:rPr>
          <w:rFonts w:ascii="Arial" w:hAnsi="Arial" w:cs="Arial"/>
          <w:sz w:val="22"/>
          <w:szCs w:val="22"/>
          <w:lang w:val="en-US"/>
        </w:rPr>
        <w:t>Clonal hematopoiesis in human aging and disease. Science 366. https://doi.org/10.1126/science.aan4673</w:t>
      </w:r>
    </w:p>
    <w:p w14:paraId="7489FB6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Jaiswal, S., </w:t>
      </w:r>
      <w:proofErr w:type="spellStart"/>
      <w:r w:rsidRPr="00427DC3">
        <w:rPr>
          <w:rFonts w:ascii="Arial" w:hAnsi="Arial" w:cs="Arial"/>
          <w:sz w:val="22"/>
          <w:szCs w:val="22"/>
          <w:lang w:val="en-US"/>
        </w:rPr>
        <w:t>Fontanillas</w:t>
      </w:r>
      <w:proofErr w:type="spellEnd"/>
      <w:r w:rsidRPr="00427DC3">
        <w:rPr>
          <w:rFonts w:ascii="Arial" w:hAnsi="Arial" w:cs="Arial"/>
          <w:sz w:val="22"/>
          <w:szCs w:val="22"/>
          <w:lang w:val="en-US"/>
        </w:rPr>
        <w:t xml:space="preserve">, P., </w:t>
      </w:r>
      <w:proofErr w:type="spellStart"/>
      <w:r w:rsidRPr="00427DC3">
        <w:rPr>
          <w:rFonts w:ascii="Arial" w:hAnsi="Arial" w:cs="Arial"/>
          <w:sz w:val="22"/>
          <w:szCs w:val="22"/>
          <w:lang w:val="en-US"/>
        </w:rPr>
        <w:t>Flannick</w:t>
      </w:r>
      <w:proofErr w:type="spellEnd"/>
      <w:r w:rsidRPr="00427DC3">
        <w:rPr>
          <w:rFonts w:ascii="Arial" w:hAnsi="Arial" w:cs="Arial"/>
          <w:sz w:val="22"/>
          <w:szCs w:val="22"/>
          <w:lang w:val="en-US"/>
        </w:rPr>
        <w:t xml:space="preserve">, J., Manning, A., </w:t>
      </w:r>
      <w:proofErr w:type="spellStart"/>
      <w:r w:rsidRPr="00427DC3">
        <w:rPr>
          <w:rFonts w:ascii="Arial" w:hAnsi="Arial" w:cs="Arial"/>
          <w:sz w:val="22"/>
          <w:szCs w:val="22"/>
          <w:lang w:val="en-US"/>
        </w:rPr>
        <w:t>Grauman</w:t>
      </w:r>
      <w:proofErr w:type="spellEnd"/>
      <w:r w:rsidRPr="00427DC3">
        <w:rPr>
          <w:rFonts w:ascii="Arial" w:hAnsi="Arial" w:cs="Arial"/>
          <w:sz w:val="22"/>
          <w:szCs w:val="22"/>
          <w:lang w:val="en-US"/>
        </w:rPr>
        <w:t xml:space="preserve">, P.V., Mar, B.G., Lindsley, R.C., </w:t>
      </w:r>
      <w:proofErr w:type="spellStart"/>
      <w:r w:rsidRPr="00427DC3">
        <w:rPr>
          <w:rFonts w:ascii="Arial" w:hAnsi="Arial" w:cs="Arial"/>
          <w:sz w:val="22"/>
          <w:szCs w:val="22"/>
          <w:lang w:val="en-US"/>
        </w:rPr>
        <w:t>Mermel</w:t>
      </w:r>
      <w:proofErr w:type="spellEnd"/>
      <w:r w:rsidRPr="00427DC3">
        <w:rPr>
          <w:rFonts w:ascii="Arial" w:hAnsi="Arial" w:cs="Arial"/>
          <w:sz w:val="22"/>
          <w:szCs w:val="22"/>
          <w:lang w:val="en-US"/>
        </w:rPr>
        <w:t xml:space="preserve">, C.H., Burtt, N., Chavez, A., Higgins, J.M., </w:t>
      </w:r>
      <w:proofErr w:type="spellStart"/>
      <w:r w:rsidRPr="00427DC3">
        <w:rPr>
          <w:rFonts w:ascii="Arial" w:hAnsi="Arial" w:cs="Arial"/>
          <w:sz w:val="22"/>
          <w:szCs w:val="22"/>
          <w:lang w:val="en-US"/>
        </w:rPr>
        <w:t>Moltchanov</w:t>
      </w:r>
      <w:proofErr w:type="spellEnd"/>
      <w:r w:rsidRPr="00427DC3">
        <w:rPr>
          <w:rFonts w:ascii="Arial" w:hAnsi="Arial" w:cs="Arial"/>
          <w:sz w:val="22"/>
          <w:szCs w:val="22"/>
          <w:lang w:val="en-US"/>
        </w:rPr>
        <w:t xml:space="preserve">, V., </w:t>
      </w:r>
      <w:proofErr w:type="spellStart"/>
      <w:r w:rsidRPr="00427DC3">
        <w:rPr>
          <w:rFonts w:ascii="Arial" w:hAnsi="Arial" w:cs="Arial"/>
          <w:sz w:val="22"/>
          <w:szCs w:val="22"/>
          <w:lang w:val="en-US"/>
        </w:rPr>
        <w:lastRenderedPageBreak/>
        <w:t>Kuo</w:t>
      </w:r>
      <w:proofErr w:type="spellEnd"/>
      <w:r w:rsidRPr="00427DC3">
        <w:rPr>
          <w:rFonts w:ascii="Arial" w:hAnsi="Arial" w:cs="Arial"/>
          <w:sz w:val="22"/>
          <w:szCs w:val="22"/>
          <w:lang w:val="en-US"/>
        </w:rPr>
        <w:t xml:space="preserve">, F.C., </w:t>
      </w:r>
      <w:proofErr w:type="spellStart"/>
      <w:r w:rsidRPr="00427DC3">
        <w:rPr>
          <w:rFonts w:ascii="Arial" w:hAnsi="Arial" w:cs="Arial"/>
          <w:sz w:val="22"/>
          <w:szCs w:val="22"/>
          <w:lang w:val="en-US"/>
        </w:rPr>
        <w:t>Kluk</w:t>
      </w:r>
      <w:proofErr w:type="spellEnd"/>
      <w:r w:rsidRPr="00427DC3">
        <w:rPr>
          <w:rFonts w:ascii="Arial" w:hAnsi="Arial" w:cs="Arial"/>
          <w:sz w:val="22"/>
          <w:szCs w:val="22"/>
          <w:lang w:val="en-US"/>
        </w:rPr>
        <w:t xml:space="preserve">, M.J., Henderson, B., </w:t>
      </w:r>
      <w:proofErr w:type="spellStart"/>
      <w:r w:rsidRPr="00427DC3">
        <w:rPr>
          <w:rFonts w:ascii="Arial" w:hAnsi="Arial" w:cs="Arial"/>
          <w:sz w:val="22"/>
          <w:szCs w:val="22"/>
          <w:lang w:val="en-US"/>
        </w:rPr>
        <w:t>Kinnunen</w:t>
      </w:r>
      <w:proofErr w:type="spellEnd"/>
      <w:r w:rsidRPr="00427DC3">
        <w:rPr>
          <w:rFonts w:ascii="Arial" w:hAnsi="Arial" w:cs="Arial"/>
          <w:sz w:val="22"/>
          <w:szCs w:val="22"/>
          <w:lang w:val="en-US"/>
        </w:rPr>
        <w:t xml:space="preserve">, L., </w:t>
      </w:r>
      <w:proofErr w:type="spellStart"/>
      <w:r w:rsidRPr="00427DC3">
        <w:rPr>
          <w:rFonts w:ascii="Arial" w:hAnsi="Arial" w:cs="Arial"/>
          <w:sz w:val="22"/>
          <w:szCs w:val="22"/>
          <w:lang w:val="en-US"/>
        </w:rPr>
        <w:t>Koistinen</w:t>
      </w:r>
      <w:proofErr w:type="spellEnd"/>
      <w:r w:rsidRPr="00427DC3">
        <w:rPr>
          <w:rFonts w:ascii="Arial" w:hAnsi="Arial" w:cs="Arial"/>
          <w:sz w:val="22"/>
          <w:szCs w:val="22"/>
          <w:lang w:val="en-US"/>
        </w:rPr>
        <w:t xml:space="preserve">, H.A., </w:t>
      </w:r>
      <w:proofErr w:type="spellStart"/>
      <w:r w:rsidRPr="00427DC3">
        <w:rPr>
          <w:rFonts w:ascii="Arial" w:hAnsi="Arial" w:cs="Arial"/>
          <w:sz w:val="22"/>
          <w:szCs w:val="22"/>
          <w:lang w:val="en-US"/>
        </w:rPr>
        <w:t>Ladenvall</w:t>
      </w:r>
      <w:proofErr w:type="spellEnd"/>
      <w:r w:rsidRPr="00427DC3">
        <w:rPr>
          <w:rFonts w:ascii="Arial" w:hAnsi="Arial" w:cs="Arial"/>
          <w:sz w:val="22"/>
          <w:szCs w:val="22"/>
          <w:lang w:val="en-US"/>
        </w:rPr>
        <w:t xml:space="preserve">, C., Getz, G., Correa, A., </w:t>
      </w:r>
      <w:proofErr w:type="spellStart"/>
      <w:r w:rsidRPr="00427DC3">
        <w:rPr>
          <w:rFonts w:ascii="Arial" w:hAnsi="Arial" w:cs="Arial"/>
          <w:sz w:val="22"/>
          <w:szCs w:val="22"/>
          <w:lang w:val="en-US"/>
        </w:rPr>
        <w:t>Banahan</w:t>
      </w:r>
      <w:proofErr w:type="spellEnd"/>
      <w:r w:rsidRPr="00427DC3">
        <w:rPr>
          <w:rFonts w:ascii="Arial" w:hAnsi="Arial" w:cs="Arial"/>
          <w:sz w:val="22"/>
          <w:szCs w:val="22"/>
          <w:lang w:val="en-US"/>
        </w:rPr>
        <w:t xml:space="preserve">, B.F., Gabriel, S., </w:t>
      </w:r>
      <w:proofErr w:type="spellStart"/>
      <w:r w:rsidRPr="00427DC3">
        <w:rPr>
          <w:rFonts w:ascii="Arial" w:hAnsi="Arial" w:cs="Arial"/>
          <w:sz w:val="22"/>
          <w:szCs w:val="22"/>
          <w:lang w:val="en-US"/>
        </w:rPr>
        <w:t>Kathiresan</w:t>
      </w:r>
      <w:proofErr w:type="spellEnd"/>
      <w:r w:rsidRPr="00427DC3">
        <w:rPr>
          <w:rFonts w:ascii="Arial" w:hAnsi="Arial" w:cs="Arial"/>
          <w:sz w:val="22"/>
          <w:szCs w:val="22"/>
          <w:lang w:val="en-US"/>
        </w:rPr>
        <w:t xml:space="preserve">, S., Stringham, H.M., McCarthy, M.I., </w:t>
      </w:r>
      <w:proofErr w:type="spellStart"/>
      <w:r w:rsidRPr="00427DC3">
        <w:rPr>
          <w:rFonts w:ascii="Arial" w:hAnsi="Arial" w:cs="Arial"/>
          <w:sz w:val="22"/>
          <w:szCs w:val="22"/>
          <w:lang w:val="en-US"/>
        </w:rPr>
        <w:t>Boehnke</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Tuomilehto</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Haiman</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Groop</w:t>
      </w:r>
      <w:proofErr w:type="spellEnd"/>
      <w:r w:rsidRPr="00427DC3">
        <w:rPr>
          <w:rFonts w:ascii="Arial" w:hAnsi="Arial" w:cs="Arial"/>
          <w:sz w:val="22"/>
          <w:szCs w:val="22"/>
          <w:lang w:val="en-US"/>
        </w:rPr>
        <w:t xml:space="preserve">, L., Atzmon, G., Wilson, J.G., </w:t>
      </w:r>
      <w:proofErr w:type="spellStart"/>
      <w:r w:rsidRPr="00427DC3">
        <w:rPr>
          <w:rFonts w:ascii="Arial" w:hAnsi="Arial" w:cs="Arial"/>
          <w:sz w:val="22"/>
          <w:szCs w:val="22"/>
          <w:lang w:val="en-US"/>
        </w:rPr>
        <w:t>Neuberg</w:t>
      </w:r>
      <w:proofErr w:type="spellEnd"/>
      <w:r w:rsidRPr="00427DC3">
        <w:rPr>
          <w:rFonts w:ascii="Arial" w:hAnsi="Arial" w:cs="Arial"/>
          <w:sz w:val="22"/>
          <w:szCs w:val="22"/>
          <w:lang w:val="en-US"/>
        </w:rPr>
        <w:t xml:space="preserve">, D., </w:t>
      </w:r>
      <w:proofErr w:type="spellStart"/>
      <w:r w:rsidRPr="00427DC3">
        <w:rPr>
          <w:rFonts w:ascii="Arial" w:hAnsi="Arial" w:cs="Arial"/>
          <w:sz w:val="22"/>
          <w:szCs w:val="22"/>
          <w:lang w:val="en-US"/>
        </w:rPr>
        <w:t>Altshuler</w:t>
      </w:r>
      <w:proofErr w:type="spellEnd"/>
      <w:r w:rsidRPr="00427DC3">
        <w:rPr>
          <w:rFonts w:ascii="Arial" w:hAnsi="Arial" w:cs="Arial"/>
          <w:sz w:val="22"/>
          <w:szCs w:val="22"/>
          <w:lang w:val="en-US"/>
        </w:rPr>
        <w:t>, D., Ebert, B.L., 2014. Age-related clonal hematopoiesis associated with adverse outcomes. N. Engl. J. Med. 371, 2488–2498. https://doi.org/10.1056/NEJMoa1408617</w:t>
      </w:r>
    </w:p>
    <w:p w14:paraId="6C7D99F1"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Jaiswal, S., Natarajan, P., Silver, A.J., Gibson, C.J., Bick, A.G., </w:t>
      </w:r>
      <w:proofErr w:type="spellStart"/>
      <w:r w:rsidRPr="00427DC3">
        <w:rPr>
          <w:rFonts w:ascii="Arial" w:hAnsi="Arial" w:cs="Arial"/>
          <w:sz w:val="22"/>
          <w:szCs w:val="22"/>
          <w:lang w:val="en-US"/>
        </w:rPr>
        <w:t>Shvartz</w:t>
      </w:r>
      <w:proofErr w:type="spellEnd"/>
      <w:r w:rsidRPr="00427DC3">
        <w:rPr>
          <w:rFonts w:ascii="Arial" w:hAnsi="Arial" w:cs="Arial"/>
          <w:sz w:val="22"/>
          <w:szCs w:val="22"/>
          <w:lang w:val="en-US"/>
        </w:rPr>
        <w:t xml:space="preserve">, E., </w:t>
      </w:r>
      <w:proofErr w:type="spellStart"/>
      <w:r w:rsidRPr="00427DC3">
        <w:rPr>
          <w:rFonts w:ascii="Arial" w:hAnsi="Arial" w:cs="Arial"/>
          <w:sz w:val="22"/>
          <w:szCs w:val="22"/>
          <w:lang w:val="en-US"/>
        </w:rPr>
        <w:t>McConkey</w:t>
      </w:r>
      <w:proofErr w:type="spellEnd"/>
      <w:r w:rsidRPr="00427DC3">
        <w:rPr>
          <w:rFonts w:ascii="Arial" w:hAnsi="Arial" w:cs="Arial"/>
          <w:sz w:val="22"/>
          <w:szCs w:val="22"/>
          <w:lang w:val="en-US"/>
        </w:rPr>
        <w:t xml:space="preserve">, M., Gupta, N., Gabriel, S., </w:t>
      </w:r>
      <w:proofErr w:type="spellStart"/>
      <w:r w:rsidRPr="00427DC3">
        <w:rPr>
          <w:rFonts w:ascii="Arial" w:hAnsi="Arial" w:cs="Arial"/>
          <w:sz w:val="22"/>
          <w:szCs w:val="22"/>
          <w:lang w:val="en-US"/>
        </w:rPr>
        <w:t>Ardissino</w:t>
      </w:r>
      <w:proofErr w:type="spellEnd"/>
      <w:r w:rsidRPr="00427DC3">
        <w:rPr>
          <w:rFonts w:ascii="Arial" w:hAnsi="Arial" w:cs="Arial"/>
          <w:sz w:val="22"/>
          <w:szCs w:val="22"/>
          <w:lang w:val="en-US"/>
        </w:rPr>
        <w:t xml:space="preserve">, D., Baber, U., Mehran, R., </w:t>
      </w:r>
      <w:proofErr w:type="spellStart"/>
      <w:r w:rsidRPr="00427DC3">
        <w:rPr>
          <w:rFonts w:ascii="Arial" w:hAnsi="Arial" w:cs="Arial"/>
          <w:sz w:val="22"/>
          <w:szCs w:val="22"/>
          <w:lang w:val="en-US"/>
        </w:rPr>
        <w:t>Fuster</w:t>
      </w:r>
      <w:proofErr w:type="spellEnd"/>
      <w:r w:rsidRPr="00427DC3">
        <w:rPr>
          <w:rFonts w:ascii="Arial" w:hAnsi="Arial" w:cs="Arial"/>
          <w:sz w:val="22"/>
          <w:szCs w:val="22"/>
          <w:lang w:val="en-US"/>
        </w:rPr>
        <w:t xml:space="preserve">, V., </w:t>
      </w:r>
      <w:proofErr w:type="spellStart"/>
      <w:r w:rsidRPr="00427DC3">
        <w:rPr>
          <w:rFonts w:ascii="Arial" w:hAnsi="Arial" w:cs="Arial"/>
          <w:sz w:val="22"/>
          <w:szCs w:val="22"/>
          <w:lang w:val="en-US"/>
        </w:rPr>
        <w:t>Danesh</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Frossard</w:t>
      </w:r>
      <w:proofErr w:type="spellEnd"/>
      <w:r w:rsidRPr="00427DC3">
        <w:rPr>
          <w:rFonts w:ascii="Arial" w:hAnsi="Arial" w:cs="Arial"/>
          <w:sz w:val="22"/>
          <w:szCs w:val="22"/>
          <w:lang w:val="en-US"/>
        </w:rPr>
        <w:t xml:space="preserve">, P., </w:t>
      </w:r>
      <w:proofErr w:type="spellStart"/>
      <w:r w:rsidRPr="00427DC3">
        <w:rPr>
          <w:rFonts w:ascii="Arial" w:hAnsi="Arial" w:cs="Arial"/>
          <w:sz w:val="22"/>
          <w:szCs w:val="22"/>
          <w:lang w:val="en-US"/>
        </w:rPr>
        <w:t>Saleheen</w:t>
      </w:r>
      <w:proofErr w:type="spellEnd"/>
      <w:r w:rsidRPr="00427DC3">
        <w:rPr>
          <w:rFonts w:ascii="Arial" w:hAnsi="Arial" w:cs="Arial"/>
          <w:sz w:val="22"/>
          <w:szCs w:val="22"/>
          <w:lang w:val="en-US"/>
        </w:rPr>
        <w:t xml:space="preserve">, D., Melander, O., </w:t>
      </w:r>
      <w:proofErr w:type="spellStart"/>
      <w:r w:rsidRPr="00427DC3">
        <w:rPr>
          <w:rFonts w:ascii="Arial" w:hAnsi="Arial" w:cs="Arial"/>
          <w:sz w:val="22"/>
          <w:szCs w:val="22"/>
          <w:lang w:val="en-US"/>
        </w:rPr>
        <w:t>Sukhova</w:t>
      </w:r>
      <w:proofErr w:type="spellEnd"/>
      <w:r w:rsidRPr="00427DC3">
        <w:rPr>
          <w:rFonts w:ascii="Arial" w:hAnsi="Arial" w:cs="Arial"/>
          <w:sz w:val="22"/>
          <w:szCs w:val="22"/>
          <w:lang w:val="en-US"/>
        </w:rPr>
        <w:t xml:space="preserve">, G.K., </w:t>
      </w:r>
      <w:proofErr w:type="spellStart"/>
      <w:r w:rsidRPr="00427DC3">
        <w:rPr>
          <w:rFonts w:ascii="Arial" w:hAnsi="Arial" w:cs="Arial"/>
          <w:sz w:val="22"/>
          <w:szCs w:val="22"/>
          <w:lang w:val="en-US"/>
        </w:rPr>
        <w:t>Neuberg</w:t>
      </w:r>
      <w:proofErr w:type="spellEnd"/>
      <w:r w:rsidRPr="00427DC3">
        <w:rPr>
          <w:rFonts w:ascii="Arial" w:hAnsi="Arial" w:cs="Arial"/>
          <w:sz w:val="22"/>
          <w:szCs w:val="22"/>
          <w:lang w:val="en-US"/>
        </w:rPr>
        <w:t xml:space="preserve">, D., Libby, P., </w:t>
      </w:r>
      <w:proofErr w:type="spellStart"/>
      <w:r w:rsidRPr="00427DC3">
        <w:rPr>
          <w:rFonts w:ascii="Arial" w:hAnsi="Arial" w:cs="Arial"/>
          <w:sz w:val="22"/>
          <w:szCs w:val="22"/>
          <w:lang w:val="en-US"/>
        </w:rPr>
        <w:t>Kathiresan</w:t>
      </w:r>
      <w:proofErr w:type="spellEnd"/>
      <w:r w:rsidRPr="00427DC3">
        <w:rPr>
          <w:rFonts w:ascii="Arial" w:hAnsi="Arial" w:cs="Arial"/>
          <w:sz w:val="22"/>
          <w:szCs w:val="22"/>
          <w:lang w:val="en-US"/>
        </w:rPr>
        <w:t>, S., Ebert, B.L., 2017. Clonal Hematopoiesis and Risk of Atherosclerotic Cardiovascular Disease. N. Engl. J. Med. 377, 111–121. https://doi.org/10.1056/NEJMoa1701719</w:t>
      </w:r>
    </w:p>
    <w:p w14:paraId="2987AD5C"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James, C., Ugo, V., Le </w:t>
      </w:r>
      <w:proofErr w:type="spellStart"/>
      <w:r w:rsidRPr="00427DC3">
        <w:rPr>
          <w:rFonts w:ascii="Arial" w:hAnsi="Arial" w:cs="Arial"/>
          <w:sz w:val="22"/>
          <w:szCs w:val="22"/>
          <w:lang w:val="en-US"/>
        </w:rPr>
        <w:t>Couédic</w:t>
      </w:r>
      <w:proofErr w:type="spellEnd"/>
      <w:r w:rsidRPr="00427DC3">
        <w:rPr>
          <w:rFonts w:ascii="Arial" w:hAnsi="Arial" w:cs="Arial"/>
          <w:sz w:val="22"/>
          <w:szCs w:val="22"/>
          <w:lang w:val="en-US"/>
        </w:rPr>
        <w:t xml:space="preserve">, J.-P., </w:t>
      </w:r>
      <w:proofErr w:type="spellStart"/>
      <w:r w:rsidRPr="00427DC3">
        <w:rPr>
          <w:rFonts w:ascii="Arial" w:hAnsi="Arial" w:cs="Arial"/>
          <w:sz w:val="22"/>
          <w:szCs w:val="22"/>
          <w:lang w:val="en-US"/>
        </w:rPr>
        <w:t>Staerk</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Delhommeau</w:t>
      </w:r>
      <w:proofErr w:type="spellEnd"/>
      <w:r w:rsidRPr="00427DC3">
        <w:rPr>
          <w:rFonts w:ascii="Arial" w:hAnsi="Arial" w:cs="Arial"/>
          <w:sz w:val="22"/>
          <w:szCs w:val="22"/>
          <w:lang w:val="en-US"/>
        </w:rPr>
        <w:t xml:space="preserve">, F., </w:t>
      </w:r>
      <w:proofErr w:type="spellStart"/>
      <w:r w:rsidRPr="00427DC3">
        <w:rPr>
          <w:rFonts w:ascii="Arial" w:hAnsi="Arial" w:cs="Arial"/>
          <w:sz w:val="22"/>
          <w:szCs w:val="22"/>
          <w:lang w:val="en-US"/>
        </w:rPr>
        <w:t>Lacout</w:t>
      </w:r>
      <w:proofErr w:type="spellEnd"/>
      <w:r w:rsidRPr="00427DC3">
        <w:rPr>
          <w:rFonts w:ascii="Arial" w:hAnsi="Arial" w:cs="Arial"/>
          <w:sz w:val="22"/>
          <w:szCs w:val="22"/>
          <w:lang w:val="en-US"/>
        </w:rPr>
        <w:t xml:space="preserve">, C., Garçon, L., </w:t>
      </w:r>
      <w:proofErr w:type="spellStart"/>
      <w:r w:rsidRPr="00427DC3">
        <w:rPr>
          <w:rFonts w:ascii="Arial" w:hAnsi="Arial" w:cs="Arial"/>
          <w:sz w:val="22"/>
          <w:szCs w:val="22"/>
          <w:lang w:val="en-US"/>
        </w:rPr>
        <w:t>Raslova</w:t>
      </w:r>
      <w:proofErr w:type="spellEnd"/>
      <w:r w:rsidRPr="00427DC3">
        <w:rPr>
          <w:rFonts w:ascii="Arial" w:hAnsi="Arial" w:cs="Arial"/>
          <w:sz w:val="22"/>
          <w:szCs w:val="22"/>
          <w:lang w:val="en-US"/>
        </w:rPr>
        <w:t xml:space="preserve">, H., Berger, R., </w:t>
      </w:r>
      <w:proofErr w:type="spellStart"/>
      <w:r w:rsidRPr="00427DC3">
        <w:rPr>
          <w:rFonts w:ascii="Arial" w:hAnsi="Arial" w:cs="Arial"/>
          <w:sz w:val="22"/>
          <w:szCs w:val="22"/>
          <w:lang w:val="en-US"/>
        </w:rPr>
        <w:t>Bennaceur-Griscelli</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Villeval</w:t>
      </w:r>
      <w:proofErr w:type="spellEnd"/>
      <w:r w:rsidRPr="00427DC3">
        <w:rPr>
          <w:rFonts w:ascii="Arial" w:hAnsi="Arial" w:cs="Arial"/>
          <w:sz w:val="22"/>
          <w:szCs w:val="22"/>
          <w:lang w:val="en-US"/>
        </w:rPr>
        <w:t xml:space="preserve">, J.L., Constantinescu, S.N., </w:t>
      </w:r>
      <w:proofErr w:type="spellStart"/>
      <w:r w:rsidRPr="00427DC3">
        <w:rPr>
          <w:rFonts w:ascii="Arial" w:hAnsi="Arial" w:cs="Arial"/>
          <w:sz w:val="22"/>
          <w:szCs w:val="22"/>
          <w:lang w:val="en-US"/>
        </w:rPr>
        <w:t>Casadevall</w:t>
      </w:r>
      <w:proofErr w:type="spellEnd"/>
      <w:r w:rsidRPr="00427DC3">
        <w:rPr>
          <w:rFonts w:ascii="Arial" w:hAnsi="Arial" w:cs="Arial"/>
          <w:sz w:val="22"/>
          <w:szCs w:val="22"/>
          <w:lang w:val="en-US"/>
        </w:rPr>
        <w:t xml:space="preserve">, N., </w:t>
      </w:r>
      <w:proofErr w:type="spellStart"/>
      <w:r w:rsidRPr="00427DC3">
        <w:rPr>
          <w:rFonts w:ascii="Arial" w:hAnsi="Arial" w:cs="Arial"/>
          <w:sz w:val="22"/>
          <w:szCs w:val="22"/>
          <w:lang w:val="en-US"/>
        </w:rPr>
        <w:t>Vainchenker</w:t>
      </w:r>
      <w:proofErr w:type="spellEnd"/>
      <w:r w:rsidRPr="00427DC3">
        <w:rPr>
          <w:rFonts w:ascii="Arial" w:hAnsi="Arial" w:cs="Arial"/>
          <w:sz w:val="22"/>
          <w:szCs w:val="22"/>
          <w:lang w:val="en-US"/>
        </w:rPr>
        <w:t xml:space="preserve">, W., 2005. A unique clonal JAK2 mutation leading to constitutive </w:t>
      </w:r>
      <w:proofErr w:type="spellStart"/>
      <w:r w:rsidRPr="00427DC3">
        <w:rPr>
          <w:rFonts w:ascii="Arial" w:hAnsi="Arial" w:cs="Arial"/>
          <w:sz w:val="22"/>
          <w:szCs w:val="22"/>
          <w:lang w:val="en-US"/>
        </w:rPr>
        <w:t>signalling</w:t>
      </w:r>
      <w:proofErr w:type="spellEnd"/>
      <w:r w:rsidRPr="00427DC3">
        <w:rPr>
          <w:rFonts w:ascii="Arial" w:hAnsi="Arial" w:cs="Arial"/>
          <w:sz w:val="22"/>
          <w:szCs w:val="22"/>
          <w:lang w:val="en-US"/>
        </w:rPr>
        <w:t xml:space="preserve"> causes </w:t>
      </w:r>
      <w:proofErr w:type="spellStart"/>
      <w:r w:rsidRPr="00427DC3">
        <w:rPr>
          <w:rFonts w:ascii="Arial" w:hAnsi="Arial" w:cs="Arial"/>
          <w:sz w:val="22"/>
          <w:szCs w:val="22"/>
          <w:lang w:val="en-US"/>
        </w:rPr>
        <w:t>polycythaemia</w:t>
      </w:r>
      <w:proofErr w:type="spellEnd"/>
      <w:r w:rsidRPr="00427DC3">
        <w:rPr>
          <w:rFonts w:ascii="Arial" w:hAnsi="Arial" w:cs="Arial"/>
          <w:sz w:val="22"/>
          <w:szCs w:val="22"/>
          <w:lang w:val="en-US"/>
        </w:rPr>
        <w:t xml:space="preserve"> vera. Nature 434, 1144–1148. https://doi.org/10.1038/nature03546</w:t>
      </w:r>
    </w:p>
    <w:p w14:paraId="5512712C"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Jankowska</w:t>
      </w:r>
      <w:proofErr w:type="spellEnd"/>
      <w:r w:rsidRPr="00427DC3">
        <w:rPr>
          <w:rFonts w:ascii="Arial" w:hAnsi="Arial" w:cs="Arial"/>
          <w:sz w:val="22"/>
          <w:szCs w:val="22"/>
          <w:lang w:val="en-US"/>
        </w:rPr>
        <w:t xml:space="preserve">, A.M., </w:t>
      </w:r>
      <w:proofErr w:type="spellStart"/>
      <w:r w:rsidRPr="00427DC3">
        <w:rPr>
          <w:rFonts w:ascii="Arial" w:hAnsi="Arial" w:cs="Arial"/>
          <w:sz w:val="22"/>
          <w:szCs w:val="22"/>
          <w:lang w:val="en-US"/>
        </w:rPr>
        <w:t>Gondek</w:t>
      </w:r>
      <w:proofErr w:type="spellEnd"/>
      <w:r w:rsidRPr="00427DC3">
        <w:rPr>
          <w:rFonts w:ascii="Arial" w:hAnsi="Arial" w:cs="Arial"/>
          <w:sz w:val="22"/>
          <w:szCs w:val="22"/>
          <w:lang w:val="en-US"/>
        </w:rPr>
        <w:t xml:space="preserve">, L.P., </w:t>
      </w:r>
      <w:proofErr w:type="spellStart"/>
      <w:r w:rsidRPr="00427DC3">
        <w:rPr>
          <w:rFonts w:ascii="Arial" w:hAnsi="Arial" w:cs="Arial"/>
          <w:sz w:val="22"/>
          <w:szCs w:val="22"/>
          <w:lang w:val="en-US"/>
        </w:rPr>
        <w:t>Szpurka</w:t>
      </w:r>
      <w:proofErr w:type="spellEnd"/>
      <w:r w:rsidRPr="00427DC3">
        <w:rPr>
          <w:rFonts w:ascii="Arial" w:hAnsi="Arial" w:cs="Arial"/>
          <w:sz w:val="22"/>
          <w:szCs w:val="22"/>
          <w:lang w:val="en-US"/>
        </w:rPr>
        <w:t xml:space="preserve">, H., </w:t>
      </w:r>
      <w:proofErr w:type="spellStart"/>
      <w:r w:rsidRPr="00427DC3">
        <w:rPr>
          <w:rFonts w:ascii="Arial" w:hAnsi="Arial" w:cs="Arial"/>
          <w:sz w:val="22"/>
          <w:szCs w:val="22"/>
          <w:lang w:val="en-US"/>
        </w:rPr>
        <w:t>Nearman</w:t>
      </w:r>
      <w:proofErr w:type="spellEnd"/>
      <w:r w:rsidRPr="00427DC3">
        <w:rPr>
          <w:rFonts w:ascii="Arial" w:hAnsi="Arial" w:cs="Arial"/>
          <w:sz w:val="22"/>
          <w:szCs w:val="22"/>
          <w:lang w:val="en-US"/>
        </w:rPr>
        <w:t xml:space="preserve">, Z.P., Tiu, R.V., </w:t>
      </w:r>
      <w:proofErr w:type="spellStart"/>
      <w:r w:rsidRPr="00427DC3">
        <w:rPr>
          <w:rFonts w:ascii="Arial" w:hAnsi="Arial" w:cs="Arial"/>
          <w:sz w:val="22"/>
          <w:szCs w:val="22"/>
          <w:lang w:val="en-US"/>
        </w:rPr>
        <w:t>Maciejewski</w:t>
      </w:r>
      <w:proofErr w:type="spellEnd"/>
      <w:r w:rsidRPr="00427DC3">
        <w:rPr>
          <w:rFonts w:ascii="Arial" w:hAnsi="Arial" w:cs="Arial"/>
          <w:sz w:val="22"/>
          <w:szCs w:val="22"/>
          <w:lang w:val="en-US"/>
        </w:rPr>
        <w:t>, J.P., 2008. Base excision repair dysfunction in a subgroup of patients with myelodysplastic syndrome. Leukemia 22, 551–558. https://doi.org/10.1038/sj.leu.2405055</w:t>
      </w:r>
    </w:p>
    <w:p w14:paraId="3F8C7B27"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Jawad, M., Seedhouse, C.H., Russell, N., Plumb, M., 2006. Polymorphisms in human homeobox HLX1 and DNA repair RAD51 genes increase the risk of therapy-related acute myeloid leukemia. Blood 108, 3916–3918. https://doi.org/10.1182/blood-2006-05-022921</w:t>
      </w:r>
    </w:p>
    <w:p w14:paraId="0B5D5CAA"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Karigane</w:t>
      </w:r>
      <w:proofErr w:type="spellEnd"/>
      <w:r w:rsidRPr="00427DC3">
        <w:rPr>
          <w:rFonts w:ascii="Arial" w:hAnsi="Arial" w:cs="Arial"/>
          <w:sz w:val="22"/>
          <w:szCs w:val="22"/>
          <w:lang w:val="en-US"/>
        </w:rPr>
        <w:t xml:space="preserve">, D., Kobayashi, H., Morikawa, T., </w:t>
      </w:r>
      <w:proofErr w:type="spellStart"/>
      <w:r w:rsidRPr="00427DC3">
        <w:rPr>
          <w:rFonts w:ascii="Arial" w:hAnsi="Arial" w:cs="Arial"/>
          <w:sz w:val="22"/>
          <w:szCs w:val="22"/>
          <w:lang w:val="en-US"/>
        </w:rPr>
        <w:t>Ootomo</w:t>
      </w:r>
      <w:proofErr w:type="spellEnd"/>
      <w:r w:rsidRPr="00427DC3">
        <w:rPr>
          <w:rFonts w:ascii="Arial" w:hAnsi="Arial" w:cs="Arial"/>
          <w:sz w:val="22"/>
          <w:szCs w:val="22"/>
          <w:lang w:val="en-US"/>
        </w:rPr>
        <w:t xml:space="preserve">, Y., Sakai, M., </w:t>
      </w:r>
      <w:proofErr w:type="spellStart"/>
      <w:r w:rsidRPr="00427DC3">
        <w:rPr>
          <w:rFonts w:ascii="Arial" w:hAnsi="Arial" w:cs="Arial"/>
          <w:sz w:val="22"/>
          <w:szCs w:val="22"/>
          <w:lang w:val="en-US"/>
        </w:rPr>
        <w:t>Nagamatsu</w:t>
      </w:r>
      <w:proofErr w:type="spellEnd"/>
      <w:r w:rsidRPr="00427DC3">
        <w:rPr>
          <w:rFonts w:ascii="Arial" w:hAnsi="Arial" w:cs="Arial"/>
          <w:sz w:val="22"/>
          <w:szCs w:val="22"/>
          <w:lang w:val="en-US"/>
        </w:rPr>
        <w:t xml:space="preserve">, G., Kubota, Y., </w:t>
      </w:r>
      <w:proofErr w:type="spellStart"/>
      <w:r w:rsidRPr="00427DC3">
        <w:rPr>
          <w:rFonts w:ascii="Arial" w:hAnsi="Arial" w:cs="Arial"/>
          <w:sz w:val="22"/>
          <w:szCs w:val="22"/>
          <w:lang w:val="en-US"/>
        </w:rPr>
        <w:t>Goda</w:t>
      </w:r>
      <w:proofErr w:type="spellEnd"/>
      <w:r w:rsidRPr="00427DC3">
        <w:rPr>
          <w:rFonts w:ascii="Arial" w:hAnsi="Arial" w:cs="Arial"/>
          <w:sz w:val="22"/>
          <w:szCs w:val="22"/>
          <w:lang w:val="en-US"/>
        </w:rPr>
        <w:t xml:space="preserve">, N., Matsumoto, M., Nishimura, E.K., Soga, T., Otsu, K., Suematsu, M., Okamoto, S., </w:t>
      </w:r>
      <w:proofErr w:type="spellStart"/>
      <w:r w:rsidRPr="00427DC3">
        <w:rPr>
          <w:rFonts w:ascii="Arial" w:hAnsi="Arial" w:cs="Arial"/>
          <w:sz w:val="22"/>
          <w:szCs w:val="22"/>
          <w:lang w:val="en-US"/>
        </w:rPr>
        <w:t>Suda</w:t>
      </w:r>
      <w:proofErr w:type="spellEnd"/>
      <w:r w:rsidRPr="00427DC3">
        <w:rPr>
          <w:rFonts w:ascii="Arial" w:hAnsi="Arial" w:cs="Arial"/>
          <w:sz w:val="22"/>
          <w:szCs w:val="22"/>
          <w:lang w:val="en-US"/>
        </w:rPr>
        <w:t xml:space="preserve">, T., </w:t>
      </w:r>
      <w:proofErr w:type="spellStart"/>
      <w:r w:rsidRPr="00427DC3">
        <w:rPr>
          <w:rFonts w:ascii="Arial" w:hAnsi="Arial" w:cs="Arial"/>
          <w:sz w:val="22"/>
          <w:szCs w:val="22"/>
          <w:lang w:val="en-US"/>
        </w:rPr>
        <w:t>Takubo</w:t>
      </w:r>
      <w:proofErr w:type="spellEnd"/>
      <w:r w:rsidRPr="00427DC3">
        <w:rPr>
          <w:rFonts w:ascii="Arial" w:hAnsi="Arial" w:cs="Arial"/>
          <w:sz w:val="22"/>
          <w:szCs w:val="22"/>
          <w:lang w:val="en-US"/>
        </w:rPr>
        <w:t>, K., 2016. p38</w:t>
      </w:r>
      <w:r w:rsidRPr="00427DC3">
        <w:rPr>
          <w:rFonts w:ascii="Arial" w:hAnsi="Arial" w:cs="Arial"/>
          <w:sz w:val="22"/>
          <w:szCs w:val="22"/>
          <w:lang w:val="de-DE"/>
        </w:rPr>
        <w:t>α</w:t>
      </w:r>
      <w:r w:rsidRPr="00427DC3">
        <w:rPr>
          <w:rFonts w:ascii="Arial" w:hAnsi="Arial" w:cs="Arial"/>
          <w:sz w:val="22"/>
          <w:szCs w:val="22"/>
          <w:lang w:val="en-US"/>
        </w:rPr>
        <w:t xml:space="preserve"> Activates Purine Metabolism to Initiate Hematopoietic Stem/Progenitor Cell Cycling in Response to Stress. Cell Stem Cell 19, 192–204. https://doi.org/10.1016/j.stem.2016.05.013</w:t>
      </w:r>
    </w:p>
    <w:p w14:paraId="17B8A2E7"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Kautz, L., Jung, G., Valore, E.V., </w:t>
      </w:r>
      <w:proofErr w:type="spellStart"/>
      <w:r w:rsidRPr="00427DC3">
        <w:rPr>
          <w:rFonts w:ascii="Arial" w:hAnsi="Arial" w:cs="Arial"/>
          <w:sz w:val="22"/>
          <w:szCs w:val="22"/>
          <w:lang w:val="en-US"/>
        </w:rPr>
        <w:t>Rivella</w:t>
      </w:r>
      <w:proofErr w:type="spellEnd"/>
      <w:r w:rsidRPr="00427DC3">
        <w:rPr>
          <w:rFonts w:ascii="Arial" w:hAnsi="Arial" w:cs="Arial"/>
          <w:sz w:val="22"/>
          <w:szCs w:val="22"/>
          <w:lang w:val="en-US"/>
        </w:rPr>
        <w:t>, S., Nemeth, E., Ganz, T., 2014. Identification of erythroferrone as an erythroid regulator of iron metabolism. Nat Genet 46, 678–684. https://doi.org/10.1038/ng.2996</w:t>
      </w:r>
    </w:p>
    <w:p w14:paraId="214E33CA"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Kay, J., </w:t>
      </w:r>
      <w:proofErr w:type="spellStart"/>
      <w:r w:rsidRPr="00427DC3">
        <w:rPr>
          <w:rFonts w:ascii="Arial" w:hAnsi="Arial" w:cs="Arial"/>
          <w:sz w:val="22"/>
          <w:szCs w:val="22"/>
          <w:lang w:val="en-US"/>
        </w:rPr>
        <w:t>Thadhani</w:t>
      </w:r>
      <w:proofErr w:type="spellEnd"/>
      <w:r w:rsidRPr="00427DC3">
        <w:rPr>
          <w:rFonts w:ascii="Arial" w:hAnsi="Arial" w:cs="Arial"/>
          <w:sz w:val="22"/>
          <w:szCs w:val="22"/>
          <w:lang w:val="en-US"/>
        </w:rPr>
        <w:t xml:space="preserve">, E., Samson, L., </w:t>
      </w:r>
      <w:proofErr w:type="spellStart"/>
      <w:r w:rsidRPr="00427DC3">
        <w:rPr>
          <w:rFonts w:ascii="Arial" w:hAnsi="Arial" w:cs="Arial"/>
          <w:sz w:val="22"/>
          <w:szCs w:val="22"/>
          <w:lang w:val="en-US"/>
        </w:rPr>
        <w:t>Engelward</w:t>
      </w:r>
      <w:proofErr w:type="spellEnd"/>
      <w:r w:rsidRPr="00427DC3">
        <w:rPr>
          <w:rFonts w:ascii="Arial" w:hAnsi="Arial" w:cs="Arial"/>
          <w:sz w:val="22"/>
          <w:szCs w:val="22"/>
          <w:lang w:val="en-US"/>
        </w:rPr>
        <w:t>, B., 2019. Inflammation-induced DNA damage, mutations and cancer. DNA Repair 83, 102673. https://doi.org/10.1016/j.dnarep.2019.102673</w:t>
      </w:r>
    </w:p>
    <w:p w14:paraId="502584E1"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Kennedy, M., Awong, G., Sturgeon, C.M., </w:t>
      </w:r>
      <w:proofErr w:type="spellStart"/>
      <w:r w:rsidRPr="00427DC3">
        <w:rPr>
          <w:rFonts w:ascii="Arial" w:hAnsi="Arial" w:cs="Arial"/>
          <w:sz w:val="22"/>
          <w:szCs w:val="22"/>
          <w:lang w:val="en-US"/>
        </w:rPr>
        <w:t>Ditadi</w:t>
      </w:r>
      <w:proofErr w:type="spellEnd"/>
      <w:r w:rsidRPr="00427DC3">
        <w:rPr>
          <w:rFonts w:ascii="Arial" w:hAnsi="Arial" w:cs="Arial"/>
          <w:sz w:val="22"/>
          <w:szCs w:val="22"/>
          <w:lang w:val="en-US"/>
        </w:rPr>
        <w:t xml:space="preserve">, A., LaMotte-Mohs, R., </w:t>
      </w:r>
      <w:proofErr w:type="spellStart"/>
      <w:r w:rsidRPr="00427DC3">
        <w:rPr>
          <w:rFonts w:ascii="Arial" w:hAnsi="Arial" w:cs="Arial"/>
          <w:sz w:val="22"/>
          <w:szCs w:val="22"/>
          <w:lang w:val="en-US"/>
        </w:rPr>
        <w:t>Zúñiga-Pflücker</w:t>
      </w:r>
      <w:proofErr w:type="spellEnd"/>
      <w:r w:rsidRPr="00427DC3">
        <w:rPr>
          <w:rFonts w:ascii="Arial" w:hAnsi="Arial" w:cs="Arial"/>
          <w:sz w:val="22"/>
          <w:szCs w:val="22"/>
          <w:lang w:val="en-US"/>
        </w:rPr>
        <w:t>, J.C., Keller, G., 2012. T lymphocyte potential marks the emergence of definitive hematopoietic progenitors in human pluripotent stem cell differentiation cultures. Cell Rep 2, 1722–1735. https://doi.org/10.1016/j.celrep.2012.11.003</w:t>
      </w:r>
    </w:p>
    <w:p w14:paraId="4A6783EE"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Kesarwani</w:t>
      </w:r>
      <w:proofErr w:type="spellEnd"/>
      <w:r w:rsidRPr="00427DC3">
        <w:rPr>
          <w:rFonts w:ascii="Arial" w:hAnsi="Arial" w:cs="Arial"/>
          <w:sz w:val="22"/>
          <w:szCs w:val="22"/>
          <w:lang w:val="en-US"/>
        </w:rPr>
        <w:t xml:space="preserve">, M., Kincaid, Z., Gomaa, A., Huber, E., </w:t>
      </w:r>
      <w:proofErr w:type="spellStart"/>
      <w:r w:rsidRPr="00427DC3">
        <w:rPr>
          <w:rFonts w:ascii="Arial" w:hAnsi="Arial" w:cs="Arial"/>
          <w:sz w:val="22"/>
          <w:szCs w:val="22"/>
          <w:lang w:val="en-US"/>
        </w:rPr>
        <w:t>Rohrabaugh</w:t>
      </w:r>
      <w:proofErr w:type="spellEnd"/>
      <w:r w:rsidRPr="00427DC3">
        <w:rPr>
          <w:rFonts w:ascii="Arial" w:hAnsi="Arial" w:cs="Arial"/>
          <w:sz w:val="22"/>
          <w:szCs w:val="22"/>
          <w:lang w:val="en-US"/>
        </w:rPr>
        <w:t xml:space="preserve">, S., Siddiqui, Z., </w:t>
      </w:r>
      <w:proofErr w:type="spellStart"/>
      <w:r w:rsidRPr="00427DC3">
        <w:rPr>
          <w:rFonts w:ascii="Arial" w:hAnsi="Arial" w:cs="Arial"/>
          <w:sz w:val="22"/>
          <w:szCs w:val="22"/>
          <w:lang w:val="en-US"/>
        </w:rPr>
        <w:t>Bouso</w:t>
      </w:r>
      <w:proofErr w:type="spellEnd"/>
      <w:r w:rsidRPr="00427DC3">
        <w:rPr>
          <w:rFonts w:ascii="Arial" w:hAnsi="Arial" w:cs="Arial"/>
          <w:sz w:val="22"/>
          <w:szCs w:val="22"/>
          <w:lang w:val="en-US"/>
        </w:rPr>
        <w:t xml:space="preserve">, M.F., Latif, T., Xu, M., </w:t>
      </w:r>
      <w:proofErr w:type="spellStart"/>
      <w:r w:rsidRPr="00427DC3">
        <w:rPr>
          <w:rFonts w:ascii="Arial" w:hAnsi="Arial" w:cs="Arial"/>
          <w:sz w:val="22"/>
          <w:szCs w:val="22"/>
          <w:lang w:val="en-US"/>
        </w:rPr>
        <w:t>Komurov</w:t>
      </w:r>
      <w:proofErr w:type="spellEnd"/>
      <w:r w:rsidRPr="00427DC3">
        <w:rPr>
          <w:rFonts w:ascii="Arial" w:hAnsi="Arial" w:cs="Arial"/>
          <w:sz w:val="22"/>
          <w:szCs w:val="22"/>
          <w:lang w:val="en-US"/>
        </w:rPr>
        <w:t xml:space="preserve">, K., </w:t>
      </w:r>
      <w:proofErr w:type="spellStart"/>
      <w:r w:rsidRPr="00427DC3">
        <w:rPr>
          <w:rFonts w:ascii="Arial" w:hAnsi="Arial" w:cs="Arial"/>
          <w:sz w:val="22"/>
          <w:szCs w:val="22"/>
          <w:lang w:val="en-US"/>
        </w:rPr>
        <w:t>Mulloy</w:t>
      </w:r>
      <w:proofErr w:type="spellEnd"/>
      <w:r w:rsidRPr="00427DC3">
        <w:rPr>
          <w:rFonts w:ascii="Arial" w:hAnsi="Arial" w:cs="Arial"/>
          <w:sz w:val="22"/>
          <w:szCs w:val="22"/>
          <w:lang w:val="en-US"/>
        </w:rPr>
        <w:t xml:space="preserve">, J.C., </w:t>
      </w:r>
      <w:proofErr w:type="spellStart"/>
      <w:r w:rsidRPr="00427DC3">
        <w:rPr>
          <w:rFonts w:ascii="Arial" w:hAnsi="Arial" w:cs="Arial"/>
          <w:sz w:val="22"/>
          <w:szCs w:val="22"/>
          <w:lang w:val="en-US"/>
        </w:rPr>
        <w:t>Cancelas</w:t>
      </w:r>
      <w:proofErr w:type="spellEnd"/>
      <w:r w:rsidRPr="00427DC3">
        <w:rPr>
          <w:rFonts w:ascii="Arial" w:hAnsi="Arial" w:cs="Arial"/>
          <w:sz w:val="22"/>
          <w:szCs w:val="22"/>
          <w:lang w:val="en-US"/>
        </w:rPr>
        <w:t>, J.A., Grimes, H.L., Azam, M., 2017. Targeting c-FOS and DUSP1 abrogates intrinsic resistance to tyrosine-kinase inhibitor therapy in BCR-ABL-induced leukemia. Nat. Med. 23, 472–482. https://doi.org/10.1038/nm.4310</w:t>
      </w:r>
    </w:p>
    <w:p w14:paraId="003D1349"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Kesarwani</w:t>
      </w:r>
      <w:proofErr w:type="spellEnd"/>
      <w:r w:rsidRPr="00427DC3">
        <w:rPr>
          <w:rFonts w:ascii="Arial" w:hAnsi="Arial" w:cs="Arial"/>
          <w:sz w:val="22"/>
          <w:szCs w:val="22"/>
          <w:lang w:val="en-US"/>
        </w:rPr>
        <w:t>, M., Kincaid, Z., Latif, T., Azam, M., 2018. Loss of DUSP1 Is Synthetic Lethal to JAK2V617F. Blood 132, 51–51. https://doi.org/10.1182/blood-2018-99-115503</w:t>
      </w:r>
    </w:p>
    <w:p w14:paraId="4219987C"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lastRenderedPageBreak/>
        <w:t>Kidger</w:t>
      </w:r>
      <w:proofErr w:type="spellEnd"/>
      <w:r w:rsidRPr="00427DC3">
        <w:rPr>
          <w:rFonts w:ascii="Arial" w:hAnsi="Arial" w:cs="Arial"/>
          <w:sz w:val="22"/>
          <w:szCs w:val="22"/>
          <w:lang w:val="en-US"/>
        </w:rPr>
        <w:t xml:space="preserve">, A.M., </w:t>
      </w:r>
      <w:proofErr w:type="spellStart"/>
      <w:r w:rsidRPr="00427DC3">
        <w:rPr>
          <w:rFonts w:ascii="Arial" w:hAnsi="Arial" w:cs="Arial"/>
          <w:sz w:val="22"/>
          <w:szCs w:val="22"/>
          <w:lang w:val="en-US"/>
        </w:rPr>
        <w:t>Keyse</w:t>
      </w:r>
      <w:proofErr w:type="spellEnd"/>
      <w:r w:rsidRPr="00427DC3">
        <w:rPr>
          <w:rFonts w:ascii="Arial" w:hAnsi="Arial" w:cs="Arial"/>
          <w:sz w:val="22"/>
          <w:szCs w:val="22"/>
          <w:lang w:val="en-US"/>
        </w:rPr>
        <w:t xml:space="preserve">, S.M., 2016. The regulation of oncogenic Ras/ERK </w:t>
      </w:r>
      <w:proofErr w:type="spellStart"/>
      <w:r w:rsidRPr="00427DC3">
        <w:rPr>
          <w:rFonts w:ascii="Arial" w:hAnsi="Arial" w:cs="Arial"/>
          <w:sz w:val="22"/>
          <w:szCs w:val="22"/>
          <w:lang w:val="en-US"/>
        </w:rPr>
        <w:t>signalling</w:t>
      </w:r>
      <w:proofErr w:type="spellEnd"/>
      <w:r w:rsidRPr="00427DC3">
        <w:rPr>
          <w:rFonts w:ascii="Arial" w:hAnsi="Arial" w:cs="Arial"/>
          <w:sz w:val="22"/>
          <w:szCs w:val="22"/>
          <w:lang w:val="en-US"/>
        </w:rPr>
        <w:t xml:space="preserve"> by dual-specificity mitogen activated protein kinase phosphatases (MKPs). Semin. Cell Dev. Biol. 50, 125–132. https://doi.org/10.1016/j.semcdb.2016.01.009</w:t>
      </w:r>
    </w:p>
    <w:p w14:paraId="6AFB9307"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Klampfl</w:t>
      </w:r>
      <w:proofErr w:type="spellEnd"/>
      <w:r w:rsidRPr="00427DC3">
        <w:rPr>
          <w:rFonts w:ascii="Arial" w:hAnsi="Arial" w:cs="Arial"/>
          <w:sz w:val="22"/>
          <w:szCs w:val="22"/>
          <w:lang w:val="en-US"/>
        </w:rPr>
        <w:t xml:space="preserve">, T., Harutyunyan, A., Berg, T., </w:t>
      </w:r>
      <w:proofErr w:type="spellStart"/>
      <w:r w:rsidRPr="00427DC3">
        <w:rPr>
          <w:rFonts w:ascii="Arial" w:hAnsi="Arial" w:cs="Arial"/>
          <w:sz w:val="22"/>
          <w:szCs w:val="22"/>
          <w:lang w:val="en-US"/>
        </w:rPr>
        <w:t>Gisslinger</w:t>
      </w:r>
      <w:proofErr w:type="spellEnd"/>
      <w:r w:rsidRPr="00427DC3">
        <w:rPr>
          <w:rFonts w:ascii="Arial" w:hAnsi="Arial" w:cs="Arial"/>
          <w:sz w:val="22"/>
          <w:szCs w:val="22"/>
          <w:lang w:val="en-US"/>
        </w:rPr>
        <w:t xml:space="preserve">, B., </w:t>
      </w:r>
      <w:proofErr w:type="spellStart"/>
      <w:r w:rsidRPr="00427DC3">
        <w:rPr>
          <w:rFonts w:ascii="Arial" w:hAnsi="Arial" w:cs="Arial"/>
          <w:sz w:val="22"/>
          <w:szCs w:val="22"/>
          <w:lang w:val="en-US"/>
        </w:rPr>
        <w:t>Schalling</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Bagienski</w:t>
      </w:r>
      <w:proofErr w:type="spellEnd"/>
      <w:r w:rsidRPr="00427DC3">
        <w:rPr>
          <w:rFonts w:ascii="Arial" w:hAnsi="Arial" w:cs="Arial"/>
          <w:sz w:val="22"/>
          <w:szCs w:val="22"/>
          <w:lang w:val="en-US"/>
        </w:rPr>
        <w:t xml:space="preserve">, K., </w:t>
      </w:r>
      <w:proofErr w:type="spellStart"/>
      <w:r w:rsidRPr="00427DC3">
        <w:rPr>
          <w:rFonts w:ascii="Arial" w:hAnsi="Arial" w:cs="Arial"/>
          <w:sz w:val="22"/>
          <w:szCs w:val="22"/>
          <w:lang w:val="en-US"/>
        </w:rPr>
        <w:t>Olcaydu</w:t>
      </w:r>
      <w:proofErr w:type="spellEnd"/>
      <w:r w:rsidRPr="00427DC3">
        <w:rPr>
          <w:rFonts w:ascii="Arial" w:hAnsi="Arial" w:cs="Arial"/>
          <w:sz w:val="22"/>
          <w:szCs w:val="22"/>
          <w:lang w:val="en-US"/>
        </w:rPr>
        <w:t xml:space="preserve">, D., </w:t>
      </w:r>
      <w:proofErr w:type="spellStart"/>
      <w:r w:rsidRPr="00427DC3">
        <w:rPr>
          <w:rFonts w:ascii="Arial" w:hAnsi="Arial" w:cs="Arial"/>
          <w:sz w:val="22"/>
          <w:szCs w:val="22"/>
          <w:lang w:val="en-US"/>
        </w:rPr>
        <w:t>Passamonti</w:t>
      </w:r>
      <w:proofErr w:type="spellEnd"/>
      <w:r w:rsidRPr="00427DC3">
        <w:rPr>
          <w:rFonts w:ascii="Arial" w:hAnsi="Arial" w:cs="Arial"/>
          <w:sz w:val="22"/>
          <w:szCs w:val="22"/>
          <w:lang w:val="en-US"/>
        </w:rPr>
        <w:t xml:space="preserve">, F., Rumi, E., </w:t>
      </w:r>
      <w:proofErr w:type="spellStart"/>
      <w:r w:rsidRPr="00427DC3">
        <w:rPr>
          <w:rFonts w:ascii="Arial" w:hAnsi="Arial" w:cs="Arial"/>
          <w:sz w:val="22"/>
          <w:szCs w:val="22"/>
          <w:lang w:val="en-US"/>
        </w:rPr>
        <w:t>Pietra</w:t>
      </w:r>
      <w:proofErr w:type="spellEnd"/>
      <w:r w:rsidRPr="00427DC3">
        <w:rPr>
          <w:rFonts w:ascii="Arial" w:hAnsi="Arial" w:cs="Arial"/>
          <w:sz w:val="22"/>
          <w:szCs w:val="22"/>
          <w:lang w:val="en-US"/>
        </w:rPr>
        <w:t xml:space="preserve">, D., </w:t>
      </w:r>
      <w:proofErr w:type="spellStart"/>
      <w:r w:rsidRPr="00427DC3">
        <w:rPr>
          <w:rFonts w:ascii="Arial" w:hAnsi="Arial" w:cs="Arial"/>
          <w:sz w:val="22"/>
          <w:szCs w:val="22"/>
          <w:lang w:val="en-US"/>
        </w:rPr>
        <w:t>Jäger</w:t>
      </w:r>
      <w:proofErr w:type="spellEnd"/>
      <w:r w:rsidRPr="00427DC3">
        <w:rPr>
          <w:rFonts w:ascii="Arial" w:hAnsi="Arial" w:cs="Arial"/>
          <w:sz w:val="22"/>
          <w:szCs w:val="22"/>
          <w:lang w:val="en-US"/>
        </w:rPr>
        <w:t xml:space="preserve">, R., </w:t>
      </w:r>
      <w:proofErr w:type="spellStart"/>
      <w:r w:rsidRPr="00427DC3">
        <w:rPr>
          <w:rFonts w:ascii="Arial" w:hAnsi="Arial" w:cs="Arial"/>
          <w:sz w:val="22"/>
          <w:szCs w:val="22"/>
          <w:lang w:val="en-US"/>
        </w:rPr>
        <w:t>Pieri</w:t>
      </w:r>
      <w:proofErr w:type="spellEnd"/>
      <w:r w:rsidRPr="00427DC3">
        <w:rPr>
          <w:rFonts w:ascii="Arial" w:hAnsi="Arial" w:cs="Arial"/>
          <w:sz w:val="22"/>
          <w:szCs w:val="22"/>
          <w:lang w:val="en-US"/>
        </w:rPr>
        <w:t xml:space="preserve">, L., Guglielmelli, P., </w:t>
      </w:r>
      <w:proofErr w:type="spellStart"/>
      <w:r w:rsidRPr="00427DC3">
        <w:rPr>
          <w:rFonts w:ascii="Arial" w:hAnsi="Arial" w:cs="Arial"/>
          <w:sz w:val="22"/>
          <w:szCs w:val="22"/>
          <w:lang w:val="en-US"/>
        </w:rPr>
        <w:t>Iacobucci</w:t>
      </w:r>
      <w:proofErr w:type="spellEnd"/>
      <w:r w:rsidRPr="00427DC3">
        <w:rPr>
          <w:rFonts w:ascii="Arial" w:hAnsi="Arial" w:cs="Arial"/>
          <w:sz w:val="22"/>
          <w:szCs w:val="22"/>
          <w:lang w:val="en-US"/>
        </w:rPr>
        <w:t xml:space="preserve">, I., Martinelli, G., </w:t>
      </w:r>
      <w:proofErr w:type="spellStart"/>
      <w:r w:rsidRPr="00427DC3">
        <w:rPr>
          <w:rFonts w:ascii="Arial" w:hAnsi="Arial" w:cs="Arial"/>
          <w:sz w:val="22"/>
          <w:szCs w:val="22"/>
          <w:lang w:val="en-US"/>
        </w:rPr>
        <w:t>Cazzola</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Vannucchi</w:t>
      </w:r>
      <w:proofErr w:type="spellEnd"/>
      <w:r w:rsidRPr="00427DC3">
        <w:rPr>
          <w:rFonts w:ascii="Arial" w:hAnsi="Arial" w:cs="Arial"/>
          <w:sz w:val="22"/>
          <w:szCs w:val="22"/>
          <w:lang w:val="en-US"/>
        </w:rPr>
        <w:t xml:space="preserve">, A.M., </w:t>
      </w:r>
      <w:proofErr w:type="spellStart"/>
      <w:r w:rsidRPr="00427DC3">
        <w:rPr>
          <w:rFonts w:ascii="Arial" w:hAnsi="Arial" w:cs="Arial"/>
          <w:sz w:val="22"/>
          <w:szCs w:val="22"/>
          <w:lang w:val="en-US"/>
        </w:rPr>
        <w:t>Gisslinger</w:t>
      </w:r>
      <w:proofErr w:type="spellEnd"/>
      <w:r w:rsidRPr="00427DC3">
        <w:rPr>
          <w:rFonts w:ascii="Arial" w:hAnsi="Arial" w:cs="Arial"/>
          <w:sz w:val="22"/>
          <w:szCs w:val="22"/>
          <w:lang w:val="en-US"/>
        </w:rPr>
        <w:t xml:space="preserve">, H., </w:t>
      </w:r>
      <w:proofErr w:type="spellStart"/>
      <w:r w:rsidRPr="00427DC3">
        <w:rPr>
          <w:rFonts w:ascii="Arial" w:hAnsi="Arial" w:cs="Arial"/>
          <w:sz w:val="22"/>
          <w:szCs w:val="22"/>
          <w:lang w:val="en-US"/>
        </w:rPr>
        <w:t>Kralovics</w:t>
      </w:r>
      <w:proofErr w:type="spellEnd"/>
      <w:r w:rsidRPr="00427DC3">
        <w:rPr>
          <w:rFonts w:ascii="Arial" w:hAnsi="Arial" w:cs="Arial"/>
          <w:sz w:val="22"/>
          <w:szCs w:val="22"/>
          <w:lang w:val="en-US"/>
        </w:rPr>
        <w:t>, R., 2011. Genome integrity of myeloproliferative neoplasms in chronic phase and during disease progression. Blood 118, 167–176. https://doi.org/10.1182/blood-2011-01-331678</w:t>
      </w:r>
    </w:p>
    <w:p w14:paraId="504474C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proofErr w:type="spellStart"/>
      <w:r w:rsidRPr="00427DC3">
        <w:rPr>
          <w:rFonts w:ascii="Arial" w:hAnsi="Arial" w:cs="Arial"/>
          <w:sz w:val="22"/>
          <w:szCs w:val="22"/>
          <w:lang w:val="en-US"/>
        </w:rPr>
        <w:t>Knijnenburg</w:t>
      </w:r>
      <w:proofErr w:type="spellEnd"/>
      <w:r w:rsidRPr="00427DC3">
        <w:rPr>
          <w:rFonts w:ascii="Arial" w:hAnsi="Arial" w:cs="Arial"/>
          <w:sz w:val="22"/>
          <w:szCs w:val="22"/>
          <w:lang w:val="en-US"/>
        </w:rPr>
        <w:t xml:space="preserve">, T.A., Wang, L., Zimmermann, M.T., </w:t>
      </w:r>
      <w:proofErr w:type="spellStart"/>
      <w:r w:rsidRPr="00427DC3">
        <w:rPr>
          <w:rFonts w:ascii="Arial" w:hAnsi="Arial" w:cs="Arial"/>
          <w:sz w:val="22"/>
          <w:szCs w:val="22"/>
          <w:lang w:val="en-US"/>
        </w:rPr>
        <w:t>Chambwe</w:t>
      </w:r>
      <w:proofErr w:type="spellEnd"/>
      <w:r w:rsidRPr="00427DC3">
        <w:rPr>
          <w:rFonts w:ascii="Arial" w:hAnsi="Arial" w:cs="Arial"/>
          <w:sz w:val="22"/>
          <w:szCs w:val="22"/>
          <w:lang w:val="en-US"/>
        </w:rPr>
        <w:t xml:space="preserve">, N., Gao, G.F., </w:t>
      </w:r>
      <w:proofErr w:type="spellStart"/>
      <w:r w:rsidRPr="00427DC3">
        <w:rPr>
          <w:rFonts w:ascii="Arial" w:hAnsi="Arial" w:cs="Arial"/>
          <w:sz w:val="22"/>
          <w:szCs w:val="22"/>
          <w:lang w:val="en-US"/>
        </w:rPr>
        <w:t>Cherniack</w:t>
      </w:r>
      <w:proofErr w:type="spellEnd"/>
      <w:r w:rsidRPr="00427DC3">
        <w:rPr>
          <w:rFonts w:ascii="Arial" w:hAnsi="Arial" w:cs="Arial"/>
          <w:sz w:val="22"/>
          <w:szCs w:val="22"/>
          <w:lang w:val="en-US"/>
        </w:rPr>
        <w:t xml:space="preserve">, A.D., Fan, H., Shen, H., Way, G.P., Greene, C.S., Liu, Y., </w:t>
      </w:r>
      <w:proofErr w:type="spellStart"/>
      <w:r w:rsidRPr="00427DC3">
        <w:rPr>
          <w:rFonts w:ascii="Arial" w:hAnsi="Arial" w:cs="Arial"/>
          <w:sz w:val="22"/>
          <w:szCs w:val="22"/>
          <w:lang w:val="en-US"/>
        </w:rPr>
        <w:t>Akbani</w:t>
      </w:r>
      <w:proofErr w:type="spellEnd"/>
      <w:r w:rsidRPr="00427DC3">
        <w:rPr>
          <w:rFonts w:ascii="Arial" w:hAnsi="Arial" w:cs="Arial"/>
          <w:sz w:val="22"/>
          <w:szCs w:val="22"/>
          <w:lang w:val="en-US"/>
        </w:rPr>
        <w:t xml:space="preserve">, R., Feng, B., </w:t>
      </w:r>
      <w:proofErr w:type="spellStart"/>
      <w:r w:rsidRPr="00427DC3">
        <w:rPr>
          <w:rFonts w:ascii="Arial" w:hAnsi="Arial" w:cs="Arial"/>
          <w:sz w:val="22"/>
          <w:szCs w:val="22"/>
          <w:lang w:val="en-US"/>
        </w:rPr>
        <w:t>Donehower</w:t>
      </w:r>
      <w:proofErr w:type="spellEnd"/>
      <w:r w:rsidRPr="00427DC3">
        <w:rPr>
          <w:rFonts w:ascii="Arial" w:hAnsi="Arial" w:cs="Arial"/>
          <w:sz w:val="22"/>
          <w:szCs w:val="22"/>
          <w:lang w:val="en-US"/>
        </w:rPr>
        <w:t xml:space="preserve">, L.A., Miller, C., Shen, Y., Karimi, M., Chen, H., Kim, P., Jia, P., </w:t>
      </w:r>
      <w:proofErr w:type="spellStart"/>
      <w:r w:rsidRPr="00427DC3">
        <w:rPr>
          <w:rFonts w:ascii="Arial" w:hAnsi="Arial" w:cs="Arial"/>
          <w:sz w:val="22"/>
          <w:szCs w:val="22"/>
          <w:lang w:val="en-US"/>
        </w:rPr>
        <w:t>Shinbrot</w:t>
      </w:r>
      <w:proofErr w:type="spellEnd"/>
      <w:r w:rsidRPr="00427DC3">
        <w:rPr>
          <w:rFonts w:ascii="Arial" w:hAnsi="Arial" w:cs="Arial"/>
          <w:sz w:val="22"/>
          <w:szCs w:val="22"/>
          <w:lang w:val="en-US"/>
        </w:rPr>
        <w:t xml:space="preserve">, E., Zhang, S., Liu, J., Hu, H., Bailey, M.H., </w:t>
      </w:r>
      <w:proofErr w:type="spellStart"/>
      <w:r w:rsidRPr="00427DC3">
        <w:rPr>
          <w:rFonts w:ascii="Arial" w:hAnsi="Arial" w:cs="Arial"/>
          <w:sz w:val="22"/>
          <w:szCs w:val="22"/>
          <w:lang w:val="en-US"/>
        </w:rPr>
        <w:t>Yau</w:t>
      </w:r>
      <w:proofErr w:type="spellEnd"/>
      <w:r w:rsidRPr="00427DC3">
        <w:rPr>
          <w:rFonts w:ascii="Arial" w:hAnsi="Arial" w:cs="Arial"/>
          <w:sz w:val="22"/>
          <w:szCs w:val="22"/>
          <w:lang w:val="en-US"/>
        </w:rPr>
        <w:t xml:space="preserve">, C., Wolf, D., Zhao, Z., Weinstein, J.N., Li, L., Ding, L., Mills, G.B., Laird, P.W., Wheeler, D.A., </w:t>
      </w:r>
      <w:proofErr w:type="spellStart"/>
      <w:r w:rsidRPr="00427DC3">
        <w:rPr>
          <w:rFonts w:ascii="Arial" w:hAnsi="Arial" w:cs="Arial"/>
          <w:sz w:val="22"/>
          <w:szCs w:val="22"/>
          <w:lang w:val="en-US"/>
        </w:rPr>
        <w:t>Shmulevich</w:t>
      </w:r>
      <w:proofErr w:type="spellEnd"/>
      <w:r w:rsidRPr="00427DC3">
        <w:rPr>
          <w:rFonts w:ascii="Arial" w:hAnsi="Arial" w:cs="Arial"/>
          <w:sz w:val="22"/>
          <w:szCs w:val="22"/>
          <w:lang w:val="en-US"/>
        </w:rPr>
        <w:t xml:space="preserve">, I., Cancer Genome Atlas Research Network, </w:t>
      </w:r>
      <w:proofErr w:type="spellStart"/>
      <w:r w:rsidRPr="00427DC3">
        <w:rPr>
          <w:rFonts w:ascii="Arial" w:hAnsi="Arial" w:cs="Arial"/>
          <w:sz w:val="22"/>
          <w:szCs w:val="22"/>
          <w:lang w:val="en-US"/>
        </w:rPr>
        <w:t>Monnat</w:t>
      </w:r>
      <w:proofErr w:type="spellEnd"/>
      <w:r w:rsidRPr="00427DC3">
        <w:rPr>
          <w:rFonts w:ascii="Arial" w:hAnsi="Arial" w:cs="Arial"/>
          <w:sz w:val="22"/>
          <w:szCs w:val="22"/>
          <w:lang w:val="en-US"/>
        </w:rPr>
        <w:t xml:space="preserve">, R.J., Xiao, Y., Wang, C., 2018. Genomic and Molecular Landscape of DNA Damage Repair Deficiency across The Cancer Genome Atlas. </w:t>
      </w:r>
      <w:proofErr w:type="spellStart"/>
      <w:r w:rsidRPr="00427DC3">
        <w:rPr>
          <w:rFonts w:ascii="Arial" w:hAnsi="Arial" w:cs="Arial"/>
          <w:sz w:val="22"/>
          <w:szCs w:val="22"/>
          <w:lang w:val="de-DE"/>
        </w:rPr>
        <w:t>Cell</w:t>
      </w:r>
      <w:proofErr w:type="spellEnd"/>
      <w:r w:rsidRPr="00427DC3">
        <w:rPr>
          <w:rFonts w:ascii="Arial" w:hAnsi="Arial" w:cs="Arial"/>
          <w:sz w:val="22"/>
          <w:szCs w:val="22"/>
          <w:lang w:val="de-DE"/>
        </w:rPr>
        <w:t xml:space="preserve"> Rep 23, 239-254.e6. https://doi.org/10.1016/j.celrep.2018.03.076</w:t>
      </w:r>
    </w:p>
    <w:p w14:paraId="6D417652"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de-DE"/>
        </w:rPr>
        <w:t>Kohlscheen</w:t>
      </w:r>
      <w:proofErr w:type="spellEnd"/>
      <w:r w:rsidRPr="00427DC3">
        <w:rPr>
          <w:rFonts w:ascii="Arial" w:hAnsi="Arial" w:cs="Arial"/>
          <w:sz w:val="22"/>
          <w:szCs w:val="22"/>
          <w:lang w:val="de-DE"/>
        </w:rPr>
        <w:t xml:space="preserve">, S., Schenk, F., Rommel, M.G.E., Cullmann, K., </w:t>
      </w:r>
      <w:proofErr w:type="spellStart"/>
      <w:r w:rsidRPr="00427DC3">
        <w:rPr>
          <w:rFonts w:ascii="Arial" w:hAnsi="Arial" w:cs="Arial"/>
          <w:sz w:val="22"/>
          <w:szCs w:val="22"/>
          <w:lang w:val="de-DE"/>
        </w:rPr>
        <w:t>Modlich</w:t>
      </w:r>
      <w:proofErr w:type="spellEnd"/>
      <w:r w:rsidRPr="00427DC3">
        <w:rPr>
          <w:rFonts w:ascii="Arial" w:hAnsi="Arial" w:cs="Arial"/>
          <w:sz w:val="22"/>
          <w:szCs w:val="22"/>
          <w:lang w:val="de-DE"/>
        </w:rPr>
        <w:t xml:space="preserve">, U., 2019. </w:t>
      </w:r>
      <w:r w:rsidRPr="00427DC3">
        <w:rPr>
          <w:rFonts w:ascii="Arial" w:hAnsi="Arial" w:cs="Arial"/>
          <w:sz w:val="22"/>
          <w:szCs w:val="22"/>
          <w:lang w:val="en-US"/>
        </w:rPr>
        <w:t xml:space="preserve">Endothelial protein C receptor supports hematopoietic stem cell engraftment and expansion in </w:t>
      </w:r>
      <w:proofErr w:type="spellStart"/>
      <w:r w:rsidRPr="00427DC3">
        <w:rPr>
          <w:rFonts w:ascii="Arial" w:hAnsi="Arial" w:cs="Arial"/>
          <w:sz w:val="22"/>
          <w:szCs w:val="22"/>
          <w:lang w:val="en-US"/>
        </w:rPr>
        <w:t>Mpl</w:t>
      </w:r>
      <w:proofErr w:type="spellEnd"/>
      <w:r w:rsidRPr="00427DC3">
        <w:rPr>
          <w:rFonts w:ascii="Arial" w:hAnsi="Arial" w:cs="Arial"/>
          <w:sz w:val="22"/>
          <w:szCs w:val="22"/>
          <w:lang w:val="en-US"/>
        </w:rPr>
        <w:t>-deficient mice. Blood 133, 1465–1478. https://doi.org/10.1182/blood-2018-03-837344</w:t>
      </w:r>
    </w:p>
    <w:p w14:paraId="03651B2F"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Kohno, T., </w:t>
      </w:r>
      <w:proofErr w:type="spellStart"/>
      <w:r w:rsidRPr="00427DC3">
        <w:rPr>
          <w:rFonts w:ascii="Arial" w:hAnsi="Arial" w:cs="Arial"/>
          <w:sz w:val="22"/>
          <w:szCs w:val="22"/>
          <w:lang w:val="en-US"/>
        </w:rPr>
        <w:t>Shinmura</w:t>
      </w:r>
      <w:proofErr w:type="spellEnd"/>
      <w:r w:rsidRPr="00427DC3">
        <w:rPr>
          <w:rFonts w:ascii="Arial" w:hAnsi="Arial" w:cs="Arial"/>
          <w:sz w:val="22"/>
          <w:szCs w:val="22"/>
          <w:lang w:val="en-US"/>
        </w:rPr>
        <w:t xml:space="preserve">, K., </w:t>
      </w:r>
      <w:proofErr w:type="spellStart"/>
      <w:r w:rsidRPr="00427DC3">
        <w:rPr>
          <w:rFonts w:ascii="Arial" w:hAnsi="Arial" w:cs="Arial"/>
          <w:sz w:val="22"/>
          <w:szCs w:val="22"/>
          <w:lang w:val="en-US"/>
        </w:rPr>
        <w:t>Tosaka</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Tani</w:t>
      </w:r>
      <w:proofErr w:type="spellEnd"/>
      <w:r w:rsidRPr="00427DC3">
        <w:rPr>
          <w:rFonts w:ascii="Arial" w:hAnsi="Arial" w:cs="Arial"/>
          <w:sz w:val="22"/>
          <w:szCs w:val="22"/>
          <w:lang w:val="en-US"/>
        </w:rPr>
        <w:t xml:space="preserve">, M., Kim, S.R., Sugimura, H., </w:t>
      </w:r>
      <w:proofErr w:type="spellStart"/>
      <w:r w:rsidRPr="00427DC3">
        <w:rPr>
          <w:rFonts w:ascii="Arial" w:hAnsi="Arial" w:cs="Arial"/>
          <w:sz w:val="22"/>
          <w:szCs w:val="22"/>
          <w:lang w:val="en-US"/>
        </w:rPr>
        <w:t>Nohmi</w:t>
      </w:r>
      <w:proofErr w:type="spellEnd"/>
      <w:r w:rsidRPr="00427DC3">
        <w:rPr>
          <w:rFonts w:ascii="Arial" w:hAnsi="Arial" w:cs="Arial"/>
          <w:sz w:val="22"/>
          <w:szCs w:val="22"/>
          <w:lang w:val="en-US"/>
        </w:rPr>
        <w:t>, T., Kasai, H., Yokota, J., 1998. Genetic polymorphisms and alternative splicing of the hOGG1 gene, that is involved in the repair of 8-hydroxyguanine in damaged DNA. Oncogene 16, 3219–3225. https://doi.org/10.1038/sj.onc.1201872</w:t>
      </w:r>
    </w:p>
    <w:p w14:paraId="58D0830F"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Kozlov, S.V., </w:t>
      </w:r>
      <w:proofErr w:type="spellStart"/>
      <w:r w:rsidRPr="00427DC3">
        <w:rPr>
          <w:rFonts w:ascii="Arial" w:hAnsi="Arial" w:cs="Arial"/>
          <w:sz w:val="22"/>
          <w:szCs w:val="22"/>
          <w:lang w:val="en-US"/>
        </w:rPr>
        <w:t>Waardenberg</w:t>
      </w:r>
      <w:proofErr w:type="spellEnd"/>
      <w:r w:rsidRPr="00427DC3">
        <w:rPr>
          <w:rFonts w:ascii="Arial" w:hAnsi="Arial" w:cs="Arial"/>
          <w:sz w:val="22"/>
          <w:szCs w:val="22"/>
          <w:lang w:val="en-US"/>
        </w:rPr>
        <w:t xml:space="preserve">, A.J., </w:t>
      </w:r>
      <w:proofErr w:type="spellStart"/>
      <w:r w:rsidRPr="00427DC3">
        <w:rPr>
          <w:rFonts w:ascii="Arial" w:hAnsi="Arial" w:cs="Arial"/>
          <w:sz w:val="22"/>
          <w:szCs w:val="22"/>
          <w:lang w:val="en-US"/>
        </w:rPr>
        <w:t>Engholm</w:t>
      </w:r>
      <w:proofErr w:type="spellEnd"/>
      <w:r w:rsidRPr="00427DC3">
        <w:rPr>
          <w:rFonts w:ascii="Arial" w:hAnsi="Arial" w:cs="Arial"/>
          <w:sz w:val="22"/>
          <w:szCs w:val="22"/>
          <w:lang w:val="en-US"/>
        </w:rPr>
        <w:t xml:space="preserve">-Keller, K., Arthur, J.W., Graham, M.E., Lavin, M., 2016. Reactive Oxygen Species (ROS)-Activated ATM-Dependent Phosphorylation of Cytoplasmic Substrates Identified by Large-Scale </w:t>
      </w:r>
      <w:proofErr w:type="spellStart"/>
      <w:r w:rsidRPr="00427DC3">
        <w:rPr>
          <w:rFonts w:ascii="Arial" w:hAnsi="Arial" w:cs="Arial"/>
          <w:sz w:val="22"/>
          <w:szCs w:val="22"/>
          <w:lang w:val="en-US"/>
        </w:rPr>
        <w:t>Phosphoproteomics</w:t>
      </w:r>
      <w:proofErr w:type="spellEnd"/>
      <w:r w:rsidRPr="00427DC3">
        <w:rPr>
          <w:rFonts w:ascii="Arial" w:hAnsi="Arial" w:cs="Arial"/>
          <w:sz w:val="22"/>
          <w:szCs w:val="22"/>
          <w:lang w:val="en-US"/>
        </w:rPr>
        <w:t xml:space="preserve"> Screen. Mol. Cell Proteomics 15, 1032–1047. https://doi.org/10.1074/mcp.M115.055723</w:t>
      </w:r>
    </w:p>
    <w:p w14:paraId="5240BE0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proofErr w:type="spellStart"/>
      <w:r w:rsidRPr="00427DC3">
        <w:rPr>
          <w:rFonts w:ascii="Arial" w:hAnsi="Arial" w:cs="Arial"/>
          <w:sz w:val="22"/>
          <w:szCs w:val="22"/>
          <w:lang w:val="en-US"/>
        </w:rPr>
        <w:t>Kralovics</w:t>
      </w:r>
      <w:proofErr w:type="spellEnd"/>
      <w:r w:rsidRPr="00427DC3">
        <w:rPr>
          <w:rFonts w:ascii="Arial" w:hAnsi="Arial" w:cs="Arial"/>
          <w:sz w:val="22"/>
          <w:szCs w:val="22"/>
          <w:lang w:val="en-US"/>
        </w:rPr>
        <w:t xml:space="preserve">, R., </w:t>
      </w:r>
      <w:proofErr w:type="spellStart"/>
      <w:r w:rsidRPr="00427DC3">
        <w:rPr>
          <w:rFonts w:ascii="Arial" w:hAnsi="Arial" w:cs="Arial"/>
          <w:sz w:val="22"/>
          <w:szCs w:val="22"/>
          <w:lang w:val="en-US"/>
        </w:rPr>
        <w:t>Passamonti</w:t>
      </w:r>
      <w:proofErr w:type="spellEnd"/>
      <w:r w:rsidRPr="00427DC3">
        <w:rPr>
          <w:rFonts w:ascii="Arial" w:hAnsi="Arial" w:cs="Arial"/>
          <w:sz w:val="22"/>
          <w:szCs w:val="22"/>
          <w:lang w:val="en-US"/>
        </w:rPr>
        <w:t xml:space="preserve">, F., </w:t>
      </w:r>
      <w:proofErr w:type="spellStart"/>
      <w:r w:rsidRPr="00427DC3">
        <w:rPr>
          <w:rFonts w:ascii="Arial" w:hAnsi="Arial" w:cs="Arial"/>
          <w:sz w:val="22"/>
          <w:szCs w:val="22"/>
          <w:lang w:val="en-US"/>
        </w:rPr>
        <w:t>Buser</w:t>
      </w:r>
      <w:proofErr w:type="spellEnd"/>
      <w:r w:rsidRPr="00427DC3">
        <w:rPr>
          <w:rFonts w:ascii="Arial" w:hAnsi="Arial" w:cs="Arial"/>
          <w:sz w:val="22"/>
          <w:szCs w:val="22"/>
          <w:lang w:val="en-US"/>
        </w:rPr>
        <w:t xml:space="preserve">, A.S., Teo, S.-S., </w:t>
      </w:r>
      <w:proofErr w:type="spellStart"/>
      <w:r w:rsidRPr="00427DC3">
        <w:rPr>
          <w:rFonts w:ascii="Arial" w:hAnsi="Arial" w:cs="Arial"/>
          <w:sz w:val="22"/>
          <w:szCs w:val="22"/>
          <w:lang w:val="en-US"/>
        </w:rPr>
        <w:t>Tiedt</w:t>
      </w:r>
      <w:proofErr w:type="spellEnd"/>
      <w:r w:rsidRPr="00427DC3">
        <w:rPr>
          <w:rFonts w:ascii="Arial" w:hAnsi="Arial" w:cs="Arial"/>
          <w:sz w:val="22"/>
          <w:szCs w:val="22"/>
          <w:lang w:val="en-US"/>
        </w:rPr>
        <w:t xml:space="preserve">, R., </w:t>
      </w:r>
      <w:proofErr w:type="spellStart"/>
      <w:r w:rsidRPr="00427DC3">
        <w:rPr>
          <w:rFonts w:ascii="Arial" w:hAnsi="Arial" w:cs="Arial"/>
          <w:sz w:val="22"/>
          <w:szCs w:val="22"/>
          <w:lang w:val="en-US"/>
        </w:rPr>
        <w:t>Passweg</w:t>
      </w:r>
      <w:proofErr w:type="spellEnd"/>
      <w:r w:rsidRPr="00427DC3">
        <w:rPr>
          <w:rFonts w:ascii="Arial" w:hAnsi="Arial" w:cs="Arial"/>
          <w:sz w:val="22"/>
          <w:szCs w:val="22"/>
          <w:lang w:val="en-US"/>
        </w:rPr>
        <w:t xml:space="preserve">, J.R., </w:t>
      </w:r>
      <w:proofErr w:type="spellStart"/>
      <w:r w:rsidRPr="00427DC3">
        <w:rPr>
          <w:rFonts w:ascii="Arial" w:hAnsi="Arial" w:cs="Arial"/>
          <w:sz w:val="22"/>
          <w:szCs w:val="22"/>
          <w:lang w:val="en-US"/>
        </w:rPr>
        <w:t>Tichelli</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Cazzola</w:t>
      </w:r>
      <w:proofErr w:type="spellEnd"/>
      <w:r w:rsidRPr="00427DC3">
        <w:rPr>
          <w:rFonts w:ascii="Arial" w:hAnsi="Arial" w:cs="Arial"/>
          <w:sz w:val="22"/>
          <w:szCs w:val="22"/>
          <w:lang w:val="en-US"/>
        </w:rPr>
        <w:t xml:space="preserve">, M., Skoda, R.C., 2005. A gain-of-function mutation of JAK2 in myeloproliferative disorders. </w:t>
      </w:r>
      <w:r w:rsidRPr="00427DC3">
        <w:rPr>
          <w:rFonts w:ascii="Arial" w:hAnsi="Arial" w:cs="Arial"/>
          <w:sz w:val="22"/>
          <w:szCs w:val="22"/>
          <w:lang w:val="de-DE"/>
        </w:rPr>
        <w:t>N. Engl. J. Med. 352, 1779–1790. https://doi.org/10.1056/NEJMoa051113</w:t>
      </w:r>
    </w:p>
    <w:p w14:paraId="18C5E0E4"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de-DE"/>
        </w:rPr>
        <w:t>Kreipe</w:t>
      </w:r>
      <w:proofErr w:type="spellEnd"/>
      <w:r w:rsidRPr="00427DC3">
        <w:rPr>
          <w:rFonts w:ascii="Arial" w:hAnsi="Arial" w:cs="Arial"/>
          <w:sz w:val="22"/>
          <w:szCs w:val="22"/>
          <w:lang w:val="de-DE"/>
        </w:rPr>
        <w:t xml:space="preserve">, H., Büsche, G., Bock, O., Hussein, K., 2012. </w:t>
      </w:r>
      <w:r w:rsidRPr="00427DC3">
        <w:rPr>
          <w:rFonts w:ascii="Arial" w:hAnsi="Arial" w:cs="Arial"/>
          <w:sz w:val="22"/>
          <w:szCs w:val="22"/>
          <w:lang w:val="en-US"/>
        </w:rPr>
        <w:t>Myelofibrosis: molecular and cell biological aspects. Fibrogenesis &amp; Tissue Repair 5, S21. https://doi.org/10.1186/1755-1536-5-S1-S21</w:t>
      </w:r>
    </w:p>
    <w:p w14:paraId="7A514AF7"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Kumari, S., </w:t>
      </w:r>
      <w:proofErr w:type="spellStart"/>
      <w:r w:rsidRPr="00427DC3">
        <w:rPr>
          <w:rFonts w:ascii="Arial" w:hAnsi="Arial" w:cs="Arial"/>
          <w:sz w:val="22"/>
          <w:szCs w:val="22"/>
          <w:lang w:val="en-US"/>
        </w:rPr>
        <w:t>Badana</w:t>
      </w:r>
      <w:proofErr w:type="spellEnd"/>
      <w:r w:rsidRPr="00427DC3">
        <w:rPr>
          <w:rFonts w:ascii="Arial" w:hAnsi="Arial" w:cs="Arial"/>
          <w:sz w:val="22"/>
          <w:szCs w:val="22"/>
          <w:lang w:val="en-US"/>
        </w:rPr>
        <w:t xml:space="preserve">, A.K., G, M.M., G, S., </w:t>
      </w:r>
      <w:proofErr w:type="spellStart"/>
      <w:r w:rsidRPr="00427DC3">
        <w:rPr>
          <w:rFonts w:ascii="Arial" w:hAnsi="Arial" w:cs="Arial"/>
          <w:sz w:val="22"/>
          <w:szCs w:val="22"/>
          <w:lang w:val="en-US"/>
        </w:rPr>
        <w:t>Malla</w:t>
      </w:r>
      <w:proofErr w:type="spellEnd"/>
      <w:r w:rsidRPr="00427DC3">
        <w:rPr>
          <w:rFonts w:ascii="Arial" w:hAnsi="Arial" w:cs="Arial"/>
          <w:sz w:val="22"/>
          <w:szCs w:val="22"/>
          <w:lang w:val="en-US"/>
        </w:rPr>
        <w:t xml:space="preserve">, R., 2018. Reactive Oxygen Species: A Key Constituent in Cancer Survival. </w:t>
      </w:r>
      <w:proofErr w:type="spellStart"/>
      <w:r w:rsidRPr="00427DC3">
        <w:rPr>
          <w:rFonts w:ascii="Arial" w:hAnsi="Arial" w:cs="Arial"/>
          <w:sz w:val="22"/>
          <w:szCs w:val="22"/>
          <w:lang w:val="en-US"/>
        </w:rPr>
        <w:t>Biomark</w:t>
      </w:r>
      <w:proofErr w:type="spellEnd"/>
      <w:r w:rsidRPr="00427DC3">
        <w:rPr>
          <w:rFonts w:ascii="Arial" w:hAnsi="Arial" w:cs="Arial"/>
          <w:sz w:val="22"/>
          <w:szCs w:val="22"/>
          <w:lang w:val="en-US"/>
        </w:rPr>
        <w:t xml:space="preserve"> Insights 13. https://doi.org/10.1177/1177271918755391</w:t>
      </w:r>
    </w:p>
    <w:p w14:paraId="1BB5D227"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Kuramoto</w:t>
      </w:r>
      <w:proofErr w:type="spellEnd"/>
      <w:r w:rsidRPr="00427DC3">
        <w:rPr>
          <w:rFonts w:ascii="Arial" w:hAnsi="Arial" w:cs="Arial"/>
          <w:sz w:val="22"/>
          <w:szCs w:val="22"/>
          <w:lang w:val="en-US"/>
        </w:rPr>
        <w:t>, K., Ban, S., Oda, K., Tanaka, H., Kimura, A., Suzuki, G., 2002. Chromosomal instability and radiosensitivity in myelodysplastic syndrome cells. Leukemia 16, 2253–2258. https://doi.org/10.1038/sj.leu.2402703</w:t>
      </w:r>
    </w:p>
    <w:p w14:paraId="294BF5B7"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Kuranda</w:t>
      </w:r>
      <w:proofErr w:type="spellEnd"/>
      <w:r w:rsidRPr="00427DC3">
        <w:rPr>
          <w:rFonts w:ascii="Arial" w:hAnsi="Arial" w:cs="Arial"/>
          <w:sz w:val="22"/>
          <w:szCs w:val="22"/>
          <w:lang w:val="en-US"/>
        </w:rPr>
        <w:t xml:space="preserve">, K., </w:t>
      </w:r>
      <w:proofErr w:type="spellStart"/>
      <w:r w:rsidRPr="00427DC3">
        <w:rPr>
          <w:rFonts w:ascii="Arial" w:hAnsi="Arial" w:cs="Arial"/>
          <w:sz w:val="22"/>
          <w:szCs w:val="22"/>
          <w:lang w:val="en-US"/>
        </w:rPr>
        <w:t>Vargaftig</w:t>
      </w:r>
      <w:proofErr w:type="spellEnd"/>
      <w:r w:rsidRPr="00427DC3">
        <w:rPr>
          <w:rFonts w:ascii="Arial" w:hAnsi="Arial" w:cs="Arial"/>
          <w:sz w:val="22"/>
          <w:szCs w:val="22"/>
          <w:lang w:val="en-US"/>
        </w:rPr>
        <w:t xml:space="preserve">, J., de la </w:t>
      </w:r>
      <w:proofErr w:type="spellStart"/>
      <w:r w:rsidRPr="00427DC3">
        <w:rPr>
          <w:rFonts w:ascii="Arial" w:hAnsi="Arial" w:cs="Arial"/>
          <w:sz w:val="22"/>
          <w:szCs w:val="22"/>
          <w:lang w:val="en-US"/>
        </w:rPr>
        <w:t>Rochere</w:t>
      </w:r>
      <w:proofErr w:type="spellEnd"/>
      <w:r w:rsidRPr="00427DC3">
        <w:rPr>
          <w:rFonts w:ascii="Arial" w:hAnsi="Arial" w:cs="Arial"/>
          <w:sz w:val="22"/>
          <w:szCs w:val="22"/>
          <w:lang w:val="en-US"/>
        </w:rPr>
        <w:t xml:space="preserve">, P., </w:t>
      </w:r>
      <w:proofErr w:type="spellStart"/>
      <w:r w:rsidRPr="00427DC3">
        <w:rPr>
          <w:rFonts w:ascii="Arial" w:hAnsi="Arial" w:cs="Arial"/>
          <w:sz w:val="22"/>
          <w:szCs w:val="22"/>
          <w:lang w:val="en-US"/>
        </w:rPr>
        <w:t>Dosquet</w:t>
      </w:r>
      <w:proofErr w:type="spellEnd"/>
      <w:r w:rsidRPr="00427DC3">
        <w:rPr>
          <w:rFonts w:ascii="Arial" w:hAnsi="Arial" w:cs="Arial"/>
          <w:sz w:val="22"/>
          <w:szCs w:val="22"/>
          <w:lang w:val="en-US"/>
        </w:rPr>
        <w:t xml:space="preserve">, C., Charron, D., Bardin, F., </w:t>
      </w:r>
      <w:proofErr w:type="spellStart"/>
      <w:r w:rsidRPr="00427DC3">
        <w:rPr>
          <w:rFonts w:ascii="Arial" w:hAnsi="Arial" w:cs="Arial"/>
          <w:sz w:val="22"/>
          <w:szCs w:val="22"/>
          <w:lang w:val="en-US"/>
        </w:rPr>
        <w:t>Tonnelle</w:t>
      </w:r>
      <w:proofErr w:type="spellEnd"/>
      <w:r w:rsidRPr="00427DC3">
        <w:rPr>
          <w:rFonts w:ascii="Arial" w:hAnsi="Arial" w:cs="Arial"/>
          <w:sz w:val="22"/>
          <w:szCs w:val="22"/>
          <w:lang w:val="en-US"/>
        </w:rPr>
        <w:t xml:space="preserve">, C., Bonnet, D., </w:t>
      </w:r>
      <w:proofErr w:type="spellStart"/>
      <w:r w:rsidRPr="00427DC3">
        <w:rPr>
          <w:rFonts w:ascii="Arial" w:hAnsi="Arial" w:cs="Arial"/>
          <w:sz w:val="22"/>
          <w:szCs w:val="22"/>
          <w:lang w:val="en-US"/>
        </w:rPr>
        <w:t>Goodhardt</w:t>
      </w:r>
      <w:proofErr w:type="spellEnd"/>
      <w:r w:rsidRPr="00427DC3">
        <w:rPr>
          <w:rFonts w:ascii="Arial" w:hAnsi="Arial" w:cs="Arial"/>
          <w:sz w:val="22"/>
          <w:szCs w:val="22"/>
          <w:lang w:val="en-US"/>
        </w:rPr>
        <w:t xml:space="preserve">, M., 2011. Age-related changes in human hematopoietic stem/progenitor cells. Aging Cell 10, 542–546. </w:t>
      </w:r>
      <w:r w:rsidRPr="00427DC3">
        <w:rPr>
          <w:rFonts w:ascii="Arial" w:hAnsi="Arial" w:cs="Arial"/>
          <w:sz w:val="22"/>
          <w:szCs w:val="22"/>
          <w:lang w:val="en-US"/>
        </w:rPr>
        <w:lastRenderedPageBreak/>
        <w:t>https://doi.org/10.1111/j.1474-9726.2011.00675.x</w:t>
      </w:r>
    </w:p>
    <w:p w14:paraId="621E3543"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Kwon, J., Lee, S.-R., Yang, K.-S., </w:t>
      </w:r>
      <w:proofErr w:type="spellStart"/>
      <w:r w:rsidRPr="00427DC3">
        <w:rPr>
          <w:rFonts w:ascii="Arial" w:hAnsi="Arial" w:cs="Arial"/>
          <w:sz w:val="22"/>
          <w:szCs w:val="22"/>
          <w:lang w:val="en-US"/>
        </w:rPr>
        <w:t>Ahn</w:t>
      </w:r>
      <w:proofErr w:type="spellEnd"/>
      <w:r w:rsidRPr="00427DC3">
        <w:rPr>
          <w:rFonts w:ascii="Arial" w:hAnsi="Arial" w:cs="Arial"/>
          <w:sz w:val="22"/>
          <w:szCs w:val="22"/>
          <w:lang w:val="en-US"/>
        </w:rPr>
        <w:t xml:space="preserve">, Y., Kim, Y.J., </w:t>
      </w:r>
      <w:proofErr w:type="spellStart"/>
      <w:r w:rsidRPr="00427DC3">
        <w:rPr>
          <w:rFonts w:ascii="Arial" w:hAnsi="Arial" w:cs="Arial"/>
          <w:sz w:val="22"/>
          <w:szCs w:val="22"/>
          <w:lang w:val="en-US"/>
        </w:rPr>
        <w:t>Stadtman</w:t>
      </w:r>
      <w:proofErr w:type="spellEnd"/>
      <w:r w:rsidRPr="00427DC3">
        <w:rPr>
          <w:rFonts w:ascii="Arial" w:hAnsi="Arial" w:cs="Arial"/>
          <w:sz w:val="22"/>
          <w:szCs w:val="22"/>
          <w:lang w:val="en-US"/>
        </w:rPr>
        <w:t xml:space="preserve">, E.R., Rhee, S.G., 2004. Reversible oxidation and inactivation of the tumor suppressor PTEN in cells stimulated with peptide growth factors. Proc Natl </w:t>
      </w:r>
      <w:proofErr w:type="spellStart"/>
      <w:r w:rsidRPr="00427DC3">
        <w:rPr>
          <w:rFonts w:ascii="Arial" w:hAnsi="Arial" w:cs="Arial"/>
          <w:sz w:val="22"/>
          <w:szCs w:val="22"/>
          <w:lang w:val="en-US"/>
        </w:rPr>
        <w:t>Acad</w:t>
      </w:r>
      <w:proofErr w:type="spellEnd"/>
      <w:r w:rsidRPr="00427DC3">
        <w:rPr>
          <w:rFonts w:ascii="Arial" w:hAnsi="Arial" w:cs="Arial"/>
          <w:sz w:val="22"/>
          <w:szCs w:val="22"/>
          <w:lang w:val="en-US"/>
        </w:rPr>
        <w:t xml:space="preserve"> Sci U S A 101, 16419–16424. https://doi.org/10.1073/pnas.0407396101</w:t>
      </w:r>
    </w:p>
    <w:p w14:paraId="3BEE25A1"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Landolfi</w:t>
      </w:r>
      <w:proofErr w:type="spellEnd"/>
      <w:r w:rsidRPr="00427DC3">
        <w:rPr>
          <w:rFonts w:ascii="Arial" w:hAnsi="Arial" w:cs="Arial"/>
          <w:sz w:val="22"/>
          <w:szCs w:val="22"/>
          <w:lang w:val="en-US"/>
        </w:rPr>
        <w:t xml:space="preserve">, R., Di Gennaro, L., </w:t>
      </w:r>
      <w:proofErr w:type="spellStart"/>
      <w:r w:rsidRPr="00427DC3">
        <w:rPr>
          <w:rFonts w:ascii="Arial" w:hAnsi="Arial" w:cs="Arial"/>
          <w:sz w:val="22"/>
          <w:szCs w:val="22"/>
          <w:lang w:val="en-US"/>
        </w:rPr>
        <w:t>Barbui</w:t>
      </w:r>
      <w:proofErr w:type="spellEnd"/>
      <w:r w:rsidRPr="00427DC3">
        <w:rPr>
          <w:rFonts w:ascii="Arial" w:hAnsi="Arial" w:cs="Arial"/>
          <w:sz w:val="22"/>
          <w:szCs w:val="22"/>
          <w:lang w:val="en-US"/>
        </w:rPr>
        <w:t xml:space="preserve">, T., De Stefano, V., </w:t>
      </w:r>
      <w:proofErr w:type="spellStart"/>
      <w:r w:rsidRPr="00427DC3">
        <w:rPr>
          <w:rFonts w:ascii="Arial" w:hAnsi="Arial" w:cs="Arial"/>
          <w:sz w:val="22"/>
          <w:szCs w:val="22"/>
          <w:lang w:val="en-US"/>
        </w:rPr>
        <w:t>Finazzi</w:t>
      </w:r>
      <w:proofErr w:type="spellEnd"/>
      <w:r w:rsidRPr="00427DC3">
        <w:rPr>
          <w:rFonts w:ascii="Arial" w:hAnsi="Arial" w:cs="Arial"/>
          <w:sz w:val="22"/>
          <w:szCs w:val="22"/>
          <w:lang w:val="en-US"/>
        </w:rPr>
        <w:t xml:space="preserve">, G., </w:t>
      </w:r>
      <w:proofErr w:type="spellStart"/>
      <w:r w:rsidRPr="00427DC3">
        <w:rPr>
          <w:rFonts w:ascii="Arial" w:hAnsi="Arial" w:cs="Arial"/>
          <w:sz w:val="22"/>
          <w:szCs w:val="22"/>
          <w:lang w:val="en-US"/>
        </w:rPr>
        <w:t>Marfisi</w:t>
      </w:r>
      <w:proofErr w:type="spellEnd"/>
      <w:r w:rsidRPr="00427DC3">
        <w:rPr>
          <w:rFonts w:ascii="Arial" w:hAnsi="Arial" w:cs="Arial"/>
          <w:sz w:val="22"/>
          <w:szCs w:val="22"/>
          <w:lang w:val="en-US"/>
        </w:rPr>
        <w:t xml:space="preserve">, R., </w:t>
      </w:r>
      <w:proofErr w:type="spellStart"/>
      <w:r w:rsidRPr="00427DC3">
        <w:rPr>
          <w:rFonts w:ascii="Arial" w:hAnsi="Arial" w:cs="Arial"/>
          <w:sz w:val="22"/>
          <w:szCs w:val="22"/>
          <w:lang w:val="en-US"/>
        </w:rPr>
        <w:t>Tognoni</w:t>
      </w:r>
      <w:proofErr w:type="spellEnd"/>
      <w:r w:rsidRPr="00427DC3">
        <w:rPr>
          <w:rFonts w:ascii="Arial" w:hAnsi="Arial" w:cs="Arial"/>
          <w:sz w:val="22"/>
          <w:szCs w:val="22"/>
          <w:lang w:val="en-US"/>
        </w:rPr>
        <w:t xml:space="preserve">, G., </w:t>
      </w:r>
      <w:proofErr w:type="spellStart"/>
      <w:r w:rsidRPr="00427DC3">
        <w:rPr>
          <w:rFonts w:ascii="Arial" w:hAnsi="Arial" w:cs="Arial"/>
          <w:sz w:val="22"/>
          <w:szCs w:val="22"/>
          <w:lang w:val="en-US"/>
        </w:rPr>
        <w:t>Marchioli</w:t>
      </w:r>
      <w:proofErr w:type="spellEnd"/>
      <w:r w:rsidRPr="00427DC3">
        <w:rPr>
          <w:rFonts w:ascii="Arial" w:hAnsi="Arial" w:cs="Arial"/>
          <w:sz w:val="22"/>
          <w:szCs w:val="22"/>
          <w:lang w:val="en-US"/>
        </w:rPr>
        <w:t>, R., 2007. Leukocytosis as a major thrombotic risk factor in patients with polycythemia vera. Blood 109, 2446–2452. https://doi.org/10.1182/blood-2006-08-042515</w:t>
      </w:r>
    </w:p>
    <w:p w14:paraId="3A26669C"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Lee, J., Liu, L., Levin, D.E., 2018. Stressing out or stressing in: intracellular pathways for SAPK activation. </w:t>
      </w:r>
      <w:proofErr w:type="spellStart"/>
      <w:r w:rsidRPr="00427DC3">
        <w:rPr>
          <w:rFonts w:ascii="Arial" w:hAnsi="Arial" w:cs="Arial"/>
          <w:sz w:val="22"/>
          <w:szCs w:val="22"/>
          <w:lang w:val="en-US"/>
        </w:rPr>
        <w:t>Curr</w:t>
      </w:r>
      <w:proofErr w:type="spellEnd"/>
      <w:r w:rsidRPr="00427DC3">
        <w:rPr>
          <w:rFonts w:ascii="Arial" w:hAnsi="Arial" w:cs="Arial"/>
          <w:sz w:val="22"/>
          <w:szCs w:val="22"/>
          <w:lang w:val="en-US"/>
        </w:rPr>
        <w:t>. Genet. https://doi.org/10.1007/s00294-018-0898-5</w:t>
      </w:r>
    </w:p>
    <w:p w14:paraId="6E3B2F55"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Levine, R.L., Gilliland, D.G., 2008. Myeloproliferative disorders. Blood 112, 2190–2198. https://doi.org/10.1182/blood-2008-03-077966</w:t>
      </w:r>
    </w:p>
    <w:p w14:paraId="6F93C6B6"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Levine, R.L., </w:t>
      </w:r>
      <w:proofErr w:type="spellStart"/>
      <w:r w:rsidRPr="00427DC3">
        <w:rPr>
          <w:rFonts w:ascii="Arial" w:hAnsi="Arial" w:cs="Arial"/>
          <w:sz w:val="22"/>
          <w:szCs w:val="22"/>
          <w:lang w:val="en-US"/>
        </w:rPr>
        <w:t>Wadleigh</w:t>
      </w:r>
      <w:proofErr w:type="spellEnd"/>
      <w:r w:rsidRPr="00427DC3">
        <w:rPr>
          <w:rFonts w:ascii="Arial" w:hAnsi="Arial" w:cs="Arial"/>
          <w:sz w:val="22"/>
          <w:szCs w:val="22"/>
          <w:lang w:val="en-US"/>
        </w:rPr>
        <w:t xml:space="preserve">, M., Cools, J., Ebert, B.L., </w:t>
      </w:r>
      <w:proofErr w:type="spellStart"/>
      <w:r w:rsidRPr="00427DC3">
        <w:rPr>
          <w:rFonts w:ascii="Arial" w:hAnsi="Arial" w:cs="Arial"/>
          <w:sz w:val="22"/>
          <w:szCs w:val="22"/>
          <w:lang w:val="en-US"/>
        </w:rPr>
        <w:t>Wernig</w:t>
      </w:r>
      <w:proofErr w:type="spellEnd"/>
      <w:r w:rsidRPr="00427DC3">
        <w:rPr>
          <w:rFonts w:ascii="Arial" w:hAnsi="Arial" w:cs="Arial"/>
          <w:sz w:val="22"/>
          <w:szCs w:val="22"/>
          <w:lang w:val="en-US"/>
        </w:rPr>
        <w:t xml:space="preserve">, G., Huntly, B.J.P., </w:t>
      </w:r>
      <w:proofErr w:type="spellStart"/>
      <w:r w:rsidRPr="00427DC3">
        <w:rPr>
          <w:rFonts w:ascii="Arial" w:hAnsi="Arial" w:cs="Arial"/>
          <w:sz w:val="22"/>
          <w:szCs w:val="22"/>
          <w:lang w:val="en-US"/>
        </w:rPr>
        <w:t>Boggon</w:t>
      </w:r>
      <w:proofErr w:type="spellEnd"/>
      <w:r w:rsidRPr="00427DC3">
        <w:rPr>
          <w:rFonts w:ascii="Arial" w:hAnsi="Arial" w:cs="Arial"/>
          <w:sz w:val="22"/>
          <w:szCs w:val="22"/>
          <w:lang w:val="en-US"/>
        </w:rPr>
        <w:t xml:space="preserve">, T.J., </w:t>
      </w:r>
      <w:proofErr w:type="spellStart"/>
      <w:r w:rsidRPr="00427DC3">
        <w:rPr>
          <w:rFonts w:ascii="Arial" w:hAnsi="Arial" w:cs="Arial"/>
          <w:sz w:val="22"/>
          <w:szCs w:val="22"/>
          <w:lang w:val="en-US"/>
        </w:rPr>
        <w:t>Wlodarska</w:t>
      </w:r>
      <w:proofErr w:type="spellEnd"/>
      <w:r w:rsidRPr="00427DC3">
        <w:rPr>
          <w:rFonts w:ascii="Arial" w:hAnsi="Arial" w:cs="Arial"/>
          <w:sz w:val="22"/>
          <w:szCs w:val="22"/>
          <w:lang w:val="en-US"/>
        </w:rPr>
        <w:t xml:space="preserve">, I., Clark, J.J., Moore, S., </w:t>
      </w:r>
      <w:proofErr w:type="spellStart"/>
      <w:r w:rsidRPr="00427DC3">
        <w:rPr>
          <w:rFonts w:ascii="Arial" w:hAnsi="Arial" w:cs="Arial"/>
          <w:sz w:val="22"/>
          <w:szCs w:val="22"/>
          <w:lang w:val="en-US"/>
        </w:rPr>
        <w:t>Adelsperger</w:t>
      </w:r>
      <w:proofErr w:type="spellEnd"/>
      <w:r w:rsidRPr="00427DC3">
        <w:rPr>
          <w:rFonts w:ascii="Arial" w:hAnsi="Arial" w:cs="Arial"/>
          <w:sz w:val="22"/>
          <w:szCs w:val="22"/>
          <w:lang w:val="en-US"/>
        </w:rPr>
        <w:t xml:space="preserve">, J., Koo, S., Lee, J.C., Gabriel, S., </w:t>
      </w:r>
      <w:proofErr w:type="spellStart"/>
      <w:r w:rsidRPr="00427DC3">
        <w:rPr>
          <w:rFonts w:ascii="Arial" w:hAnsi="Arial" w:cs="Arial"/>
          <w:sz w:val="22"/>
          <w:szCs w:val="22"/>
          <w:lang w:val="en-US"/>
        </w:rPr>
        <w:t>Mercher</w:t>
      </w:r>
      <w:proofErr w:type="spellEnd"/>
      <w:r w:rsidRPr="00427DC3">
        <w:rPr>
          <w:rFonts w:ascii="Arial" w:hAnsi="Arial" w:cs="Arial"/>
          <w:sz w:val="22"/>
          <w:szCs w:val="22"/>
          <w:lang w:val="en-US"/>
        </w:rPr>
        <w:t xml:space="preserve">, T., </w:t>
      </w:r>
      <w:proofErr w:type="spellStart"/>
      <w:r w:rsidRPr="00427DC3">
        <w:rPr>
          <w:rFonts w:ascii="Arial" w:hAnsi="Arial" w:cs="Arial"/>
          <w:sz w:val="22"/>
          <w:szCs w:val="22"/>
          <w:lang w:val="en-US"/>
        </w:rPr>
        <w:t>D’Andrea</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Fröhling</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Döhner</w:t>
      </w:r>
      <w:proofErr w:type="spellEnd"/>
      <w:r w:rsidRPr="00427DC3">
        <w:rPr>
          <w:rFonts w:ascii="Arial" w:hAnsi="Arial" w:cs="Arial"/>
          <w:sz w:val="22"/>
          <w:szCs w:val="22"/>
          <w:lang w:val="en-US"/>
        </w:rPr>
        <w:t xml:space="preserve">, K., </w:t>
      </w:r>
      <w:proofErr w:type="spellStart"/>
      <w:r w:rsidRPr="00427DC3">
        <w:rPr>
          <w:rFonts w:ascii="Arial" w:hAnsi="Arial" w:cs="Arial"/>
          <w:sz w:val="22"/>
          <w:szCs w:val="22"/>
          <w:lang w:val="en-US"/>
        </w:rPr>
        <w:t>Marynen</w:t>
      </w:r>
      <w:proofErr w:type="spellEnd"/>
      <w:r w:rsidRPr="00427DC3">
        <w:rPr>
          <w:rFonts w:ascii="Arial" w:hAnsi="Arial" w:cs="Arial"/>
          <w:sz w:val="22"/>
          <w:szCs w:val="22"/>
          <w:lang w:val="en-US"/>
        </w:rPr>
        <w:t xml:space="preserve">, P., </w:t>
      </w:r>
      <w:proofErr w:type="spellStart"/>
      <w:r w:rsidRPr="00427DC3">
        <w:rPr>
          <w:rFonts w:ascii="Arial" w:hAnsi="Arial" w:cs="Arial"/>
          <w:sz w:val="22"/>
          <w:szCs w:val="22"/>
          <w:lang w:val="en-US"/>
        </w:rPr>
        <w:t>Vandenberghe</w:t>
      </w:r>
      <w:proofErr w:type="spellEnd"/>
      <w:r w:rsidRPr="00427DC3">
        <w:rPr>
          <w:rFonts w:ascii="Arial" w:hAnsi="Arial" w:cs="Arial"/>
          <w:sz w:val="22"/>
          <w:szCs w:val="22"/>
          <w:lang w:val="en-US"/>
        </w:rPr>
        <w:t xml:space="preserve">, P., Mesa, R.A., </w:t>
      </w:r>
      <w:proofErr w:type="spellStart"/>
      <w:r w:rsidRPr="00427DC3">
        <w:rPr>
          <w:rFonts w:ascii="Arial" w:hAnsi="Arial" w:cs="Arial"/>
          <w:sz w:val="22"/>
          <w:szCs w:val="22"/>
          <w:lang w:val="en-US"/>
        </w:rPr>
        <w:t>Tefferi</w:t>
      </w:r>
      <w:proofErr w:type="spellEnd"/>
      <w:r w:rsidRPr="00427DC3">
        <w:rPr>
          <w:rFonts w:ascii="Arial" w:hAnsi="Arial" w:cs="Arial"/>
          <w:sz w:val="22"/>
          <w:szCs w:val="22"/>
          <w:lang w:val="en-US"/>
        </w:rPr>
        <w:t>, A., Griffin, J.D., Eck, M.J., Sellers, W.R., Meyerson, M., Golub, T.R., Lee, S.J., Gilliland, D.G., 2005. Activating mutation in the tyrosine kinase JAK2 in polycythemia vera, essential thrombocythemia, and myeloid metaplasia with myelofibrosis. Cancer Cell 7, 387–397. https://doi.org/10.1016/j.ccr.2005.03.023</w:t>
      </w:r>
    </w:p>
    <w:p w14:paraId="133B379F"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Li, G.-M., 2008. Mechanisms and functions of DNA mismatch repair. Cell Research 18, 85–98. https://doi.org/10.1038/cr.2007.115</w:t>
      </w:r>
    </w:p>
    <w:p w14:paraId="61D179D8"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Li, J., </w:t>
      </w:r>
      <w:proofErr w:type="spellStart"/>
      <w:r w:rsidRPr="00427DC3">
        <w:rPr>
          <w:rFonts w:ascii="Arial" w:hAnsi="Arial" w:cs="Arial"/>
          <w:sz w:val="22"/>
          <w:szCs w:val="22"/>
          <w:lang w:val="en-US"/>
        </w:rPr>
        <w:t>Spensberger</w:t>
      </w:r>
      <w:proofErr w:type="spellEnd"/>
      <w:r w:rsidRPr="00427DC3">
        <w:rPr>
          <w:rFonts w:ascii="Arial" w:hAnsi="Arial" w:cs="Arial"/>
          <w:sz w:val="22"/>
          <w:szCs w:val="22"/>
          <w:lang w:val="en-US"/>
        </w:rPr>
        <w:t xml:space="preserve">, D., </w:t>
      </w:r>
      <w:proofErr w:type="spellStart"/>
      <w:r w:rsidRPr="00427DC3">
        <w:rPr>
          <w:rFonts w:ascii="Arial" w:hAnsi="Arial" w:cs="Arial"/>
          <w:sz w:val="22"/>
          <w:szCs w:val="22"/>
          <w:lang w:val="en-US"/>
        </w:rPr>
        <w:t>Ahn</w:t>
      </w:r>
      <w:proofErr w:type="spellEnd"/>
      <w:r w:rsidRPr="00427DC3">
        <w:rPr>
          <w:rFonts w:ascii="Arial" w:hAnsi="Arial" w:cs="Arial"/>
          <w:sz w:val="22"/>
          <w:szCs w:val="22"/>
          <w:lang w:val="en-US"/>
        </w:rPr>
        <w:t xml:space="preserve">, J.S., Anand, S., Beer, P.A., </w:t>
      </w:r>
      <w:proofErr w:type="spellStart"/>
      <w:r w:rsidRPr="00427DC3">
        <w:rPr>
          <w:rFonts w:ascii="Arial" w:hAnsi="Arial" w:cs="Arial"/>
          <w:sz w:val="22"/>
          <w:szCs w:val="22"/>
          <w:lang w:val="en-US"/>
        </w:rPr>
        <w:t>Ghevaert</w:t>
      </w:r>
      <w:proofErr w:type="spellEnd"/>
      <w:r w:rsidRPr="00427DC3">
        <w:rPr>
          <w:rFonts w:ascii="Arial" w:hAnsi="Arial" w:cs="Arial"/>
          <w:sz w:val="22"/>
          <w:szCs w:val="22"/>
          <w:lang w:val="en-US"/>
        </w:rPr>
        <w:t xml:space="preserve">, C., Chen, E., </w:t>
      </w:r>
      <w:proofErr w:type="spellStart"/>
      <w:r w:rsidRPr="00427DC3">
        <w:rPr>
          <w:rFonts w:ascii="Arial" w:hAnsi="Arial" w:cs="Arial"/>
          <w:sz w:val="22"/>
          <w:szCs w:val="22"/>
          <w:lang w:val="en-US"/>
        </w:rPr>
        <w:t>Forrai</w:t>
      </w:r>
      <w:proofErr w:type="spellEnd"/>
      <w:r w:rsidRPr="00427DC3">
        <w:rPr>
          <w:rFonts w:ascii="Arial" w:hAnsi="Arial" w:cs="Arial"/>
          <w:sz w:val="22"/>
          <w:szCs w:val="22"/>
          <w:lang w:val="en-US"/>
        </w:rPr>
        <w:t xml:space="preserve">, A., Scott, L.M., Ferreira, R., Campbell, P.J., Watson, S.P., Liu, P., </w:t>
      </w:r>
      <w:proofErr w:type="spellStart"/>
      <w:r w:rsidRPr="00427DC3">
        <w:rPr>
          <w:rFonts w:ascii="Arial" w:hAnsi="Arial" w:cs="Arial"/>
          <w:sz w:val="22"/>
          <w:szCs w:val="22"/>
          <w:lang w:val="en-US"/>
        </w:rPr>
        <w:t>Erber</w:t>
      </w:r>
      <w:proofErr w:type="spellEnd"/>
      <w:r w:rsidRPr="00427DC3">
        <w:rPr>
          <w:rFonts w:ascii="Arial" w:hAnsi="Arial" w:cs="Arial"/>
          <w:sz w:val="22"/>
          <w:szCs w:val="22"/>
          <w:lang w:val="en-US"/>
        </w:rPr>
        <w:t xml:space="preserve">, W.N., Huntly, B.J.P., </w:t>
      </w:r>
      <w:proofErr w:type="spellStart"/>
      <w:r w:rsidRPr="00427DC3">
        <w:rPr>
          <w:rFonts w:ascii="Arial" w:hAnsi="Arial" w:cs="Arial"/>
          <w:sz w:val="22"/>
          <w:szCs w:val="22"/>
          <w:lang w:val="en-US"/>
        </w:rPr>
        <w:t>Ottersbach</w:t>
      </w:r>
      <w:proofErr w:type="spellEnd"/>
      <w:r w:rsidRPr="00427DC3">
        <w:rPr>
          <w:rFonts w:ascii="Arial" w:hAnsi="Arial" w:cs="Arial"/>
          <w:sz w:val="22"/>
          <w:szCs w:val="22"/>
          <w:lang w:val="en-US"/>
        </w:rPr>
        <w:t>, K., Green, A.R., 2010. JAK2 V617F impairs hematopoietic stem cell function in a conditional knock-in mouse model of JAK2 V617F-positive essential thrombocythemia. Blood 116, 1528–1538. https://doi.org/10.1182/blood-2009-12-259747</w:t>
      </w:r>
    </w:p>
    <w:p w14:paraId="3C3C3E51"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Lim, P.J., Duarte, T.L., </w:t>
      </w:r>
      <w:proofErr w:type="spellStart"/>
      <w:r w:rsidRPr="00427DC3">
        <w:rPr>
          <w:rFonts w:ascii="Arial" w:hAnsi="Arial" w:cs="Arial"/>
          <w:sz w:val="22"/>
          <w:szCs w:val="22"/>
          <w:lang w:val="en-US"/>
        </w:rPr>
        <w:t>Arezes</w:t>
      </w:r>
      <w:proofErr w:type="spellEnd"/>
      <w:r w:rsidRPr="00427DC3">
        <w:rPr>
          <w:rFonts w:ascii="Arial" w:hAnsi="Arial" w:cs="Arial"/>
          <w:sz w:val="22"/>
          <w:szCs w:val="22"/>
          <w:lang w:val="en-US"/>
        </w:rPr>
        <w:t xml:space="preserve">, J., Garcia-Santos, D., Hamdi, A., Pasricha, S.-R., Armitage, A.E., Mehta, H., Wideman, S., Santos, A.G., Santos-Gonçalves, A., </w:t>
      </w:r>
      <w:proofErr w:type="spellStart"/>
      <w:r w:rsidRPr="00427DC3">
        <w:rPr>
          <w:rFonts w:ascii="Arial" w:hAnsi="Arial" w:cs="Arial"/>
          <w:sz w:val="22"/>
          <w:szCs w:val="22"/>
          <w:lang w:val="en-US"/>
        </w:rPr>
        <w:t>Morovat</w:t>
      </w:r>
      <w:proofErr w:type="spellEnd"/>
      <w:r w:rsidRPr="00427DC3">
        <w:rPr>
          <w:rFonts w:ascii="Arial" w:hAnsi="Arial" w:cs="Arial"/>
          <w:sz w:val="22"/>
          <w:szCs w:val="22"/>
          <w:lang w:val="en-US"/>
        </w:rPr>
        <w:t xml:space="preserve">, A., Hughes, J.R., </w:t>
      </w:r>
      <w:proofErr w:type="spellStart"/>
      <w:r w:rsidRPr="00427DC3">
        <w:rPr>
          <w:rFonts w:ascii="Arial" w:hAnsi="Arial" w:cs="Arial"/>
          <w:sz w:val="22"/>
          <w:szCs w:val="22"/>
          <w:lang w:val="en-US"/>
        </w:rPr>
        <w:t>Soilleux</w:t>
      </w:r>
      <w:proofErr w:type="spellEnd"/>
      <w:r w:rsidRPr="00427DC3">
        <w:rPr>
          <w:rFonts w:ascii="Arial" w:hAnsi="Arial" w:cs="Arial"/>
          <w:sz w:val="22"/>
          <w:szCs w:val="22"/>
          <w:lang w:val="en-US"/>
        </w:rPr>
        <w:t xml:space="preserve">, E., Wang, C.-Y., Bayer, A.L., </w:t>
      </w:r>
      <w:proofErr w:type="spellStart"/>
      <w:r w:rsidRPr="00427DC3">
        <w:rPr>
          <w:rFonts w:ascii="Arial" w:hAnsi="Arial" w:cs="Arial"/>
          <w:sz w:val="22"/>
          <w:szCs w:val="22"/>
          <w:lang w:val="en-US"/>
        </w:rPr>
        <w:t>Klenerman</w:t>
      </w:r>
      <w:proofErr w:type="spellEnd"/>
      <w:r w:rsidRPr="00427DC3">
        <w:rPr>
          <w:rFonts w:ascii="Arial" w:hAnsi="Arial" w:cs="Arial"/>
          <w:sz w:val="22"/>
          <w:szCs w:val="22"/>
          <w:lang w:val="en-US"/>
        </w:rPr>
        <w:t xml:space="preserve">, P., </w:t>
      </w:r>
      <w:proofErr w:type="spellStart"/>
      <w:r w:rsidRPr="00427DC3">
        <w:rPr>
          <w:rFonts w:ascii="Arial" w:hAnsi="Arial" w:cs="Arial"/>
          <w:sz w:val="22"/>
          <w:szCs w:val="22"/>
          <w:lang w:val="en-US"/>
        </w:rPr>
        <w:t>Willberg</w:t>
      </w:r>
      <w:proofErr w:type="spellEnd"/>
      <w:r w:rsidRPr="00427DC3">
        <w:rPr>
          <w:rFonts w:ascii="Arial" w:hAnsi="Arial" w:cs="Arial"/>
          <w:sz w:val="22"/>
          <w:szCs w:val="22"/>
          <w:lang w:val="en-US"/>
        </w:rPr>
        <w:t xml:space="preserve">, C.B., Hartley, R.C., Murphy, M.P., </w:t>
      </w:r>
      <w:proofErr w:type="spellStart"/>
      <w:r w:rsidRPr="00427DC3">
        <w:rPr>
          <w:rFonts w:ascii="Arial" w:hAnsi="Arial" w:cs="Arial"/>
          <w:sz w:val="22"/>
          <w:szCs w:val="22"/>
          <w:lang w:val="en-US"/>
        </w:rPr>
        <w:t>Babitt</w:t>
      </w:r>
      <w:proofErr w:type="spellEnd"/>
      <w:r w:rsidRPr="00427DC3">
        <w:rPr>
          <w:rFonts w:ascii="Arial" w:hAnsi="Arial" w:cs="Arial"/>
          <w:sz w:val="22"/>
          <w:szCs w:val="22"/>
          <w:lang w:val="en-US"/>
        </w:rPr>
        <w:t xml:space="preserve">, J.L., </w:t>
      </w:r>
      <w:proofErr w:type="spellStart"/>
      <w:r w:rsidRPr="00427DC3">
        <w:rPr>
          <w:rFonts w:ascii="Arial" w:hAnsi="Arial" w:cs="Arial"/>
          <w:sz w:val="22"/>
          <w:szCs w:val="22"/>
          <w:lang w:val="en-US"/>
        </w:rPr>
        <w:t>Ponka</w:t>
      </w:r>
      <w:proofErr w:type="spellEnd"/>
      <w:r w:rsidRPr="00427DC3">
        <w:rPr>
          <w:rFonts w:ascii="Arial" w:hAnsi="Arial" w:cs="Arial"/>
          <w:sz w:val="22"/>
          <w:szCs w:val="22"/>
          <w:lang w:val="en-US"/>
        </w:rPr>
        <w:t xml:space="preserve">, P., Porto, G., </w:t>
      </w:r>
      <w:proofErr w:type="spellStart"/>
      <w:r w:rsidRPr="00427DC3">
        <w:rPr>
          <w:rFonts w:ascii="Arial" w:hAnsi="Arial" w:cs="Arial"/>
          <w:sz w:val="22"/>
          <w:szCs w:val="22"/>
          <w:lang w:val="en-US"/>
        </w:rPr>
        <w:t>Drakesmith</w:t>
      </w:r>
      <w:proofErr w:type="spellEnd"/>
      <w:r w:rsidRPr="00427DC3">
        <w:rPr>
          <w:rFonts w:ascii="Arial" w:hAnsi="Arial" w:cs="Arial"/>
          <w:sz w:val="22"/>
          <w:szCs w:val="22"/>
          <w:lang w:val="en-US"/>
        </w:rPr>
        <w:t xml:space="preserve">, H., 2019. Nrf2 controls iron homeostasis in haemochromatosis and </w:t>
      </w:r>
      <w:proofErr w:type="spellStart"/>
      <w:r w:rsidRPr="00427DC3">
        <w:rPr>
          <w:rFonts w:ascii="Arial" w:hAnsi="Arial" w:cs="Arial"/>
          <w:sz w:val="22"/>
          <w:szCs w:val="22"/>
          <w:lang w:val="en-US"/>
        </w:rPr>
        <w:t>thalassaemia</w:t>
      </w:r>
      <w:proofErr w:type="spellEnd"/>
      <w:r w:rsidRPr="00427DC3">
        <w:rPr>
          <w:rFonts w:ascii="Arial" w:hAnsi="Arial" w:cs="Arial"/>
          <w:sz w:val="22"/>
          <w:szCs w:val="22"/>
          <w:lang w:val="en-US"/>
        </w:rPr>
        <w:t xml:space="preserve"> via Bmp6 and hepcidin. Nat </w:t>
      </w:r>
      <w:proofErr w:type="spellStart"/>
      <w:r w:rsidRPr="00427DC3">
        <w:rPr>
          <w:rFonts w:ascii="Arial" w:hAnsi="Arial" w:cs="Arial"/>
          <w:sz w:val="22"/>
          <w:szCs w:val="22"/>
          <w:lang w:val="en-US"/>
        </w:rPr>
        <w:t>Metab</w:t>
      </w:r>
      <w:proofErr w:type="spellEnd"/>
      <w:r w:rsidRPr="00427DC3">
        <w:rPr>
          <w:rFonts w:ascii="Arial" w:hAnsi="Arial" w:cs="Arial"/>
          <w:sz w:val="22"/>
          <w:szCs w:val="22"/>
          <w:lang w:val="en-US"/>
        </w:rPr>
        <w:t xml:space="preserve"> 1, 519–531. https://doi.org/10.1038/s42255-019-0063-6</w:t>
      </w:r>
    </w:p>
    <w:p w14:paraId="6E2F8403"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Lin, Y.-W., Slape, C., Zhang, Z., Aplan, P.D., 2005. NUP98-HOXD13 transgenic mice develop a highly penetrant, severe myelodysplastic syndrome that progresses to acute leukemia. Blood 106, 287–295. https://doi.org/10.1182/blood-2004-12-4794</w:t>
      </w:r>
    </w:p>
    <w:p w14:paraId="2FE85815"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Lisa </w:t>
      </w:r>
      <w:proofErr w:type="spellStart"/>
      <w:r w:rsidRPr="00427DC3">
        <w:rPr>
          <w:rFonts w:ascii="Arial" w:hAnsi="Arial" w:cs="Arial"/>
          <w:sz w:val="22"/>
          <w:szCs w:val="22"/>
          <w:lang w:val="en-US"/>
        </w:rPr>
        <w:t>Ooi</w:t>
      </w:r>
      <w:proofErr w:type="spellEnd"/>
      <w:r w:rsidRPr="00427DC3">
        <w:rPr>
          <w:rFonts w:ascii="Arial" w:hAnsi="Arial" w:cs="Arial"/>
          <w:sz w:val="22"/>
          <w:szCs w:val="22"/>
          <w:lang w:val="en-US"/>
        </w:rPr>
        <w:t xml:space="preserve">, A.G., </w:t>
      </w:r>
      <w:proofErr w:type="spellStart"/>
      <w:r w:rsidRPr="00427DC3">
        <w:rPr>
          <w:rFonts w:ascii="Arial" w:hAnsi="Arial" w:cs="Arial"/>
          <w:sz w:val="22"/>
          <w:szCs w:val="22"/>
          <w:lang w:val="en-US"/>
        </w:rPr>
        <w:t>Karsunky</w:t>
      </w:r>
      <w:proofErr w:type="spellEnd"/>
      <w:r w:rsidRPr="00427DC3">
        <w:rPr>
          <w:rFonts w:ascii="Arial" w:hAnsi="Arial" w:cs="Arial"/>
          <w:sz w:val="22"/>
          <w:szCs w:val="22"/>
          <w:lang w:val="en-US"/>
        </w:rPr>
        <w:t xml:space="preserve">, H., </w:t>
      </w:r>
      <w:proofErr w:type="spellStart"/>
      <w:r w:rsidRPr="00427DC3">
        <w:rPr>
          <w:rFonts w:ascii="Arial" w:hAnsi="Arial" w:cs="Arial"/>
          <w:sz w:val="22"/>
          <w:szCs w:val="22"/>
          <w:lang w:val="en-US"/>
        </w:rPr>
        <w:t>Majeti</w:t>
      </w:r>
      <w:proofErr w:type="spellEnd"/>
      <w:r w:rsidRPr="00427DC3">
        <w:rPr>
          <w:rFonts w:ascii="Arial" w:hAnsi="Arial" w:cs="Arial"/>
          <w:sz w:val="22"/>
          <w:szCs w:val="22"/>
          <w:lang w:val="en-US"/>
        </w:rPr>
        <w:t xml:space="preserve">, R., </w:t>
      </w:r>
      <w:proofErr w:type="spellStart"/>
      <w:r w:rsidRPr="00427DC3">
        <w:rPr>
          <w:rFonts w:ascii="Arial" w:hAnsi="Arial" w:cs="Arial"/>
          <w:sz w:val="22"/>
          <w:szCs w:val="22"/>
          <w:lang w:val="en-US"/>
        </w:rPr>
        <w:t>Butz</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Vestweber</w:t>
      </w:r>
      <w:proofErr w:type="spellEnd"/>
      <w:r w:rsidRPr="00427DC3">
        <w:rPr>
          <w:rFonts w:ascii="Arial" w:hAnsi="Arial" w:cs="Arial"/>
          <w:sz w:val="22"/>
          <w:szCs w:val="22"/>
          <w:lang w:val="en-US"/>
        </w:rPr>
        <w:t xml:space="preserve">, D., Ishida, T., </w:t>
      </w:r>
      <w:proofErr w:type="spellStart"/>
      <w:r w:rsidRPr="00427DC3">
        <w:rPr>
          <w:rFonts w:ascii="Arial" w:hAnsi="Arial" w:cs="Arial"/>
          <w:sz w:val="22"/>
          <w:szCs w:val="22"/>
          <w:lang w:val="en-US"/>
        </w:rPr>
        <w:t>Quertermous</w:t>
      </w:r>
      <w:proofErr w:type="spellEnd"/>
      <w:r w:rsidRPr="00427DC3">
        <w:rPr>
          <w:rFonts w:ascii="Arial" w:hAnsi="Arial" w:cs="Arial"/>
          <w:sz w:val="22"/>
          <w:szCs w:val="22"/>
          <w:lang w:val="en-US"/>
        </w:rPr>
        <w:t>, T., Weissman, I.L., Forsberg, E.C., 2009. The adhesion molecule ESAM1 is a novel hematopoietic stem cell marker. Stem Cells 27, 653–661. https://doi.org/10.1634/stemcells.2008-0824</w:t>
      </w:r>
    </w:p>
    <w:p w14:paraId="7F87F42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r w:rsidRPr="00427DC3">
        <w:rPr>
          <w:rFonts w:ascii="Arial" w:hAnsi="Arial" w:cs="Arial"/>
          <w:sz w:val="22"/>
          <w:szCs w:val="22"/>
          <w:lang w:val="en-US"/>
        </w:rPr>
        <w:t xml:space="preserve">London, R.E., 2015. The structural basis of XRCC1-mediated DNA repair. </w:t>
      </w:r>
      <w:r w:rsidRPr="00427DC3">
        <w:rPr>
          <w:rFonts w:ascii="Arial" w:hAnsi="Arial" w:cs="Arial"/>
          <w:sz w:val="22"/>
          <w:szCs w:val="22"/>
          <w:lang w:val="de-DE"/>
        </w:rPr>
        <w:t xml:space="preserve">DNA </w:t>
      </w:r>
      <w:proofErr w:type="spellStart"/>
      <w:r w:rsidRPr="00427DC3">
        <w:rPr>
          <w:rFonts w:ascii="Arial" w:hAnsi="Arial" w:cs="Arial"/>
          <w:sz w:val="22"/>
          <w:szCs w:val="22"/>
          <w:lang w:val="de-DE"/>
        </w:rPr>
        <w:t>Repair</w:t>
      </w:r>
      <w:proofErr w:type="spellEnd"/>
      <w:r w:rsidRPr="00427DC3">
        <w:rPr>
          <w:rFonts w:ascii="Arial" w:hAnsi="Arial" w:cs="Arial"/>
          <w:sz w:val="22"/>
          <w:szCs w:val="22"/>
          <w:lang w:val="de-DE"/>
        </w:rPr>
        <w:t xml:space="preserve"> (</w:t>
      </w:r>
      <w:proofErr w:type="spellStart"/>
      <w:r w:rsidRPr="00427DC3">
        <w:rPr>
          <w:rFonts w:ascii="Arial" w:hAnsi="Arial" w:cs="Arial"/>
          <w:sz w:val="22"/>
          <w:szCs w:val="22"/>
          <w:lang w:val="de-DE"/>
        </w:rPr>
        <w:t>Amst</w:t>
      </w:r>
      <w:proofErr w:type="spellEnd"/>
      <w:r w:rsidRPr="00427DC3">
        <w:rPr>
          <w:rFonts w:ascii="Arial" w:hAnsi="Arial" w:cs="Arial"/>
          <w:sz w:val="22"/>
          <w:szCs w:val="22"/>
          <w:lang w:val="de-DE"/>
        </w:rPr>
        <w:t>) 30, 90–103. https://doi.org/10.1016/j.dnarep.2015.02.005</w:t>
      </w:r>
    </w:p>
    <w:p w14:paraId="1DAF0DF5"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de-DE"/>
        </w:rPr>
        <w:t>Lu</w:t>
      </w:r>
      <w:proofErr w:type="spellEnd"/>
      <w:r w:rsidRPr="00427DC3">
        <w:rPr>
          <w:rFonts w:ascii="Arial" w:hAnsi="Arial" w:cs="Arial"/>
          <w:sz w:val="22"/>
          <w:szCs w:val="22"/>
          <w:lang w:val="de-DE"/>
        </w:rPr>
        <w:t xml:space="preserve">, M., Zhang, W., Li, Y., </w:t>
      </w:r>
      <w:proofErr w:type="spellStart"/>
      <w:r w:rsidRPr="00427DC3">
        <w:rPr>
          <w:rFonts w:ascii="Arial" w:hAnsi="Arial" w:cs="Arial"/>
          <w:sz w:val="22"/>
          <w:szCs w:val="22"/>
          <w:lang w:val="de-DE"/>
        </w:rPr>
        <w:t>Berenzon</w:t>
      </w:r>
      <w:proofErr w:type="spellEnd"/>
      <w:r w:rsidRPr="00427DC3">
        <w:rPr>
          <w:rFonts w:ascii="Arial" w:hAnsi="Arial" w:cs="Arial"/>
          <w:sz w:val="22"/>
          <w:szCs w:val="22"/>
          <w:lang w:val="de-DE"/>
        </w:rPr>
        <w:t xml:space="preserve">, D., Wang, X., Wang, J., </w:t>
      </w:r>
      <w:proofErr w:type="spellStart"/>
      <w:r w:rsidRPr="00427DC3">
        <w:rPr>
          <w:rFonts w:ascii="Arial" w:hAnsi="Arial" w:cs="Arial"/>
          <w:sz w:val="22"/>
          <w:szCs w:val="22"/>
          <w:lang w:val="de-DE"/>
        </w:rPr>
        <w:t>Mascarenhas</w:t>
      </w:r>
      <w:proofErr w:type="spellEnd"/>
      <w:r w:rsidRPr="00427DC3">
        <w:rPr>
          <w:rFonts w:ascii="Arial" w:hAnsi="Arial" w:cs="Arial"/>
          <w:sz w:val="22"/>
          <w:szCs w:val="22"/>
          <w:lang w:val="de-DE"/>
        </w:rPr>
        <w:t xml:space="preserve">, J., </w:t>
      </w:r>
      <w:proofErr w:type="spellStart"/>
      <w:r w:rsidRPr="00427DC3">
        <w:rPr>
          <w:rFonts w:ascii="Arial" w:hAnsi="Arial" w:cs="Arial"/>
          <w:sz w:val="22"/>
          <w:szCs w:val="22"/>
          <w:lang w:val="de-DE"/>
        </w:rPr>
        <w:t>Xu</w:t>
      </w:r>
      <w:proofErr w:type="spellEnd"/>
      <w:r w:rsidRPr="00427DC3">
        <w:rPr>
          <w:rFonts w:ascii="Arial" w:hAnsi="Arial" w:cs="Arial"/>
          <w:sz w:val="22"/>
          <w:szCs w:val="22"/>
          <w:lang w:val="de-DE"/>
        </w:rPr>
        <w:t xml:space="preserve">, M., </w:t>
      </w:r>
      <w:r w:rsidRPr="00427DC3">
        <w:rPr>
          <w:rFonts w:ascii="Arial" w:hAnsi="Arial" w:cs="Arial"/>
          <w:sz w:val="22"/>
          <w:szCs w:val="22"/>
          <w:lang w:val="de-DE"/>
        </w:rPr>
        <w:lastRenderedPageBreak/>
        <w:t xml:space="preserve">Hoffman, R., 2010. </w:t>
      </w:r>
      <w:r w:rsidRPr="00427DC3">
        <w:rPr>
          <w:rFonts w:ascii="Arial" w:hAnsi="Arial" w:cs="Arial"/>
          <w:sz w:val="22"/>
          <w:szCs w:val="22"/>
          <w:lang w:val="en-US"/>
        </w:rPr>
        <w:t xml:space="preserve">Interferon-alpha targets JAK2V617F-positive hematopoietic progenitor cells and acts through the p38 MAPK pathway. Exp. </w:t>
      </w:r>
      <w:proofErr w:type="spellStart"/>
      <w:r w:rsidRPr="00427DC3">
        <w:rPr>
          <w:rFonts w:ascii="Arial" w:hAnsi="Arial" w:cs="Arial"/>
          <w:sz w:val="22"/>
          <w:szCs w:val="22"/>
          <w:lang w:val="en-US"/>
        </w:rPr>
        <w:t>Hematol</w:t>
      </w:r>
      <w:proofErr w:type="spellEnd"/>
      <w:r w:rsidRPr="00427DC3">
        <w:rPr>
          <w:rFonts w:ascii="Arial" w:hAnsi="Arial" w:cs="Arial"/>
          <w:sz w:val="22"/>
          <w:szCs w:val="22"/>
          <w:lang w:val="en-US"/>
        </w:rPr>
        <w:t>. 38, 472–480. https://doi.org/10.1016/j.exphem.2010.03.005</w:t>
      </w:r>
    </w:p>
    <w:p w14:paraId="5FB73F0D"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Lundberg, P., Takizawa, H., </w:t>
      </w:r>
      <w:proofErr w:type="spellStart"/>
      <w:r w:rsidRPr="00427DC3">
        <w:rPr>
          <w:rFonts w:ascii="Arial" w:hAnsi="Arial" w:cs="Arial"/>
          <w:sz w:val="22"/>
          <w:szCs w:val="22"/>
          <w:lang w:val="en-US"/>
        </w:rPr>
        <w:t>Kubovcakova</w:t>
      </w:r>
      <w:proofErr w:type="spellEnd"/>
      <w:r w:rsidRPr="00427DC3">
        <w:rPr>
          <w:rFonts w:ascii="Arial" w:hAnsi="Arial" w:cs="Arial"/>
          <w:sz w:val="22"/>
          <w:szCs w:val="22"/>
          <w:lang w:val="en-US"/>
        </w:rPr>
        <w:t xml:space="preserve">, L., Guo, G., Hao-Shen, H., </w:t>
      </w:r>
      <w:proofErr w:type="spellStart"/>
      <w:r w:rsidRPr="00427DC3">
        <w:rPr>
          <w:rFonts w:ascii="Arial" w:hAnsi="Arial" w:cs="Arial"/>
          <w:sz w:val="22"/>
          <w:szCs w:val="22"/>
          <w:lang w:val="en-US"/>
        </w:rPr>
        <w:t>Dirnhofer</w:t>
      </w:r>
      <w:proofErr w:type="spellEnd"/>
      <w:r w:rsidRPr="00427DC3">
        <w:rPr>
          <w:rFonts w:ascii="Arial" w:hAnsi="Arial" w:cs="Arial"/>
          <w:sz w:val="22"/>
          <w:szCs w:val="22"/>
          <w:lang w:val="en-US"/>
        </w:rPr>
        <w:t xml:space="preserve">, S., Orkin, S.H., </w:t>
      </w:r>
      <w:proofErr w:type="spellStart"/>
      <w:r w:rsidRPr="00427DC3">
        <w:rPr>
          <w:rFonts w:ascii="Arial" w:hAnsi="Arial" w:cs="Arial"/>
          <w:sz w:val="22"/>
          <w:szCs w:val="22"/>
          <w:lang w:val="en-US"/>
        </w:rPr>
        <w:t>Manz</w:t>
      </w:r>
      <w:proofErr w:type="spellEnd"/>
      <w:r w:rsidRPr="00427DC3">
        <w:rPr>
          <w:rFonts w:ascii="Arial" w:hAnsi="Arial" w:cs="Arial"/>
          <w:sz w:val="22"/>
          <w:szCs w:val="22"/>
          <w:lang w:val="en-US"/>
        </w:rPr>
        <w:t>, M.G., Skoda, R.C., 2014. Myeloproliferative neoplasms can be initiated from a single hematopoietic stem cell expressing JAK2-V617F. Journal of Experimental Medicine 211, 2213–2230. https://doi.org/10.1084/jem.20131371</w:t>
      </w:r>
    </w:p>
    <w:p w14:paraId="13FAC7C4"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Lussana</w:t>
      </w:r>
      <w:proofErr w:type="spellEnd"/>
      <w:r w:rsidRPr="00427DC3">
        <w:rPr>
          <w:rFonts w:ascii="Arial" w:hAnsi="Arial" w:cs="Arial"/>
          <w:sz w:val="22"/>
          <w:szCs w:val="22"/>
          <w:lang w:val="en-US"/>
        </w:rPr>
        <w:t xml:space="preserve">, F., </w:t>
      </w:r>
      <w:proofErr w:type="spellStart"/>
      <w:r w:rsidRPr="00427DC3">
        <w:rPr>
          <w:rFonts w:ascii="Arial" w:hAnsi="Arial" w:cs="Arial"/>
          <w:sz w:val="22"/>
          <w:szCs w:val="22"/>
          <w:lang w:val="en-US"/>
        </w:rPr>
        <w:t>Rambaldi</w:t>
      </w:r>
      <w:proofErr w:type="spellEnd"/>
      <w:r w:rsidRPr="00427DC3">
        <w:rPr>
          <w:rFonts w:ascii="Arial" w:hAnsi="Arial" w:cs="Arial"/>
          <w:sz w:val="22"/>
          <w:szCs w:val="22"/>
          <w:lang w:val="en-US"/>
        </w:rPr>
        <w:t xml:space="preserve">, A., 2017. Inflammation and myeloproliferative neoplasms. J. </w:t>
      </w:r>
      <w:proofErr w:type="spellStart"/>
      <w:r w:rsidRPr="00427DC3">
        <w:rPr>
          <w:rFonts w:ascii="Arial" w:hAnsi="Arial" w:cs="Arial"/>
          <w:sz w:val="22"/>
          <w:szCs w:val="22"/>
          <w:lang w:val="en-US"/>
        </w:rPr>
        <w:t>Autoimmun</w:t>
      </w:r>
      <w:proofErr w:type="spellEnd"/>
      <w:r w:rsidRPr="00427DC3">
        <w:rPr>
          <w:rFonts w:ascii="Arial" w:hAnsi="Arial" w:cs="Arial"/>
          <w:sz w:val="22"/>
          <w:szCs w:val="22"/>
          <w:lang w:val="en-US"/>
        </w:rPr>
        <w:t>. 85, 58–63. https://doi.org/10.1016/j.jaut.2017.06.010</w:t>
      </w:r>
    </w:p>
    <w:p w14:paraId="16CE6F37"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Lutzmann</w:t>
      </w:r>
      <w:proofErr w:type="spellEnd"/>
      <w:r w:rsidRPr="00427DC3">
        <w:rPr>
          <w:rFonts w:ascii="Arial" w:hAnsi="Arial" w:cs="Arial"/>
          <w:sz w:val="22"/>
          <w:szCs w:val="22"/>
          <w:lang w:val="en-US"/>
        </w:rPr>
        <w:t xml:space="preserve">, M., Bernex, F., da Costa de Jesus, C., </w:t>
      </w:r>
      <w:proofErr w:type="spellStart"/>
      <w:r w:rsidRPr="00427DC3">
        <w:rPr>
          <w:rFonts w:ascii="Arial" w:hAnsi="Arial" w:cs="Arial"/>
          <w:sz w:val="22"/>
          <w:szCs w:val="22"/>
          <w:lang w:val="en-US"/>
        </w:rPr>
        <w:t>Hodroj</w:t>
      </w:r>
      <w:proofErr w:type="spellEnd"/>
      <w:r w:rsidRPr="00427DC3">
        <w:rPr>
          <w:rFonts w:ascii="Arial" w:hAnsi="Arial" w:cs="Arial"/>
          <w:sz w:val="22"/>
          <w:szCs w:val="22"/>
          <w:lang w:val="en-US"/>
        </w:rPr>
        <w:t xml:space="preserve">, D., Marty, C., </w:t>
      </w:r>
      <w:proofErr w:type="spellStart"/>
      <w:r w:rsidRPr="00427DC3">
        <w:rPr>
          <w:rFonts w:ascii="Arial" w:hAnsi="Arial" w:cs="Arial"/>
          <w:sz w:val="22"/>
          <w:szCs w:val="22"/>
          <w:lang w:val="en-US"/>
        </w:rPr>
        <w:t>Plo</w:t>
      </w:r>
      <w:proofErr w:type="spellEnd"/>
      <w:r w:rsidRPr="00427DC3">
        <w:rPr>
          <w:rFonts w:ascii="Arial" w:hAnsi="Arial" w:cs="Arial"/>
          <w:sz w:val="22"/>
          <w:szCs w:val="22"/>
          <w:lang w:val="en-US"/>
        </w:rPr>
        <w:t xml:space="preserve">, I., </w:t>
      </w:r>
      <w:proofErr w:type="spellStart"/>
      <w:r w:rsidRPr="00427DC3">
        <w:rPr>
          <w:rFonts w:ascii="Arial" w:hAnsi="Arial" w:cs="Arial"/>
          <w:sz w:val="22"/>
          <w:szCs w:val="22"/>
          <w:lang w:val="en-US"/>
        </w:rPr>
        <w:t>Vainchenker</w:t>
      </w:r>
      <w:proofErr w:type="spellEnd"/>
      <w:r w:rsidRPr="00427DC3">
        <w:rPr>
          <w:rFonts w:ascii="Arial" w:hAnsi="Arial" w:cs="Arial"/>
          <w:sz w:val="22"/>
          <w:szCs w:val="22"/>
          <w:lang w:val="en-US"/>
        </w:rPr>
        <w:t xml:space="preserve">, W., </w:t>
      </w:r>
      <w:proofErr w:type="spellStart"/>
      <w:r w:rsidRPr="00427DC3">
        <w:rPr>
          <w:rFonts w:ascii="Arial" w:hAnsi="Arial" w:cs="Arial"/>
          <w:sz w:val="22"/>
          <w:szCs w:val="22"/>
          <w:lang w:val="en-US"/>
        </w:rPr>
        <w:t>Tosolini</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Forichon</w:t>
      </w:r>
      <w:proofErr w:type="spellEnd"/>
      <w:r w:rsidRPr="00427DC3">
        <w:rPr>
          <w:rFonts w:ascii="Arial" w:hAnsi="Arial" w:cs="Arial"/>
          <w:sz w:val="22"/>
          <w:szCs w:val="22"/>
          <w:lang w:val="en-US"/>
        </w:rPr>
        <w:t xml:space="preserve">, L., Bret, C., </w:t>
      </w:r>
      <w:proofErr w:type="spellStart"/>
      <w:r w:rsidRPr="00427DC3">
        <w:rPr>
          <w:rFonts w:ascii="Arial" w:hAnsi="Arial" w:cs="Arial"/>
          <w:sz w:val="22"/>
          <w:szCs w:val="22"/>
          <w:lang w:val="en-US"/>
        </w:rPr>
        <w:t>Queille</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Marchive</w:t>
      </w:r>
      <w:proofErr w:type="spellEnd"/>
      <w:r w:rsidRPr="00427DC3">
        <w:rPr>
          <w:rFonts w:ascii="Arial" w:hAnsi="Arial" w:cs="Arial"/>
          <w:sz w:val="22"/>
          <w:szCs w:val="22"/>
          <w:lang w:val="en-US"/>
        </w:rPr>
        <w:t xml:space="preserve">, C., Hoffmann, J.-S., </w:t>
      </w:r>
      <w:proofErr w:type="spellStart"/>
      <w:r w:rsidRPr="00427DC3">
        <w:rPr>
          <w:rFonts w:ascii="Arial" w:hAnsi="Arial" w:cs="Arial"/>
          <w:sz w:val="22"/>
          <w:szCs w:val="22"/>
          <w:lang w:val="en-US"/>
        </w:rPr>
        <w:t>Méchali</w:t>
      </w:r>
      <w:proofErr w:type="spellEnd"/>
      <w:r w:rsidRPr="00427DC3">
        <w:rPr>
          <w:rFonts w:ascii="Arial" w:hAnsi="Arial" w:cs="Arial"/>
          <w:sz w:val="22"/>
          <w:szCs w:val="22"/>
          <w:lang w:val="en-US"/>
        </w:rPr>
        <w:t>, M., 2019. MCM8- and MCM9 Deficiencies Cause Lifelong Increased Hematopoietic DNA Damage Driving p53-Dependent Myeloid Tumors. Cell Rep 28, 2851-2865.e4. https://doi.org/10.1016/j.celrep.2019.07.095</w:t>
      </w:r>
    </w:p>
    <w:p w14:paraId="088D4FA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Manshouri</w:t>
      </w:r>
      <w:proofErr w:type="spellEnd"/>
      <w:r w:rsidRPr="00427DC3">
        <w:rPr>
          <w:rFonts w:ascii="Arial" w:hAnsi="Arial" w:cs="Arial"/>
          <w:sz w:val="22"/>
          <w:szCs w:val="22"/>
          <w:lang w:val="en-US"/>
        </w:rPr>
        <w:t xml:space="preserve">, T., </w:t>
      </w:r>
      <w:proofErr w:type="spellStart"/>
      <w:r w:rsidRPr="00427DC3">
        <w:rPr>
          <w:rFonts w:ascii="Arial" w:hAnsi="Arial" w:cs="Arial"/>
          <w:sz w:val="22"/>
          <w:szCs w:val="22"/>
          <w:lang w:val="en-US"/>
        </w:rPr>
        <w:t>Estrov</w:t>
      </w:r>
      <w:proofErr w:type="spellEnd"/>
      <w:r w:rsidRPr="00427DC3">
        <w:rPr>
          <w:rFonts w:ascii="Arial" w:hAnsi="Arial" w:cs="Arial"/>
          <w:sz w:val="22"/>
          <w:szCs w:val="22"/>
          <w:lang w:val="en-US"/>
        </w:rPr>
        <w:t xml:space="preserve">, Z., </w:t>
      </w:r>
      <w:proofErr w:type="spellStart"/>
      <w:r w:rsidRPr="00427DC3">
        <w:rPr>
          <w:rFonts w:ascii="Arial" w:hAnsi="Arial" w:cs="Arial"/>
          <w:sz w:val="22"/>
          <w:szCs w:val="22"/>
          <w:lang w:val="en-US"/>
        </w:rPr>
        <w:t>Quintás-Cardama</w:t>
      </w:r>
      <w:proofErr w:type="spellEnd"/>
      <w:r w:rsidRPr="00427DC3">
        <w:rPr>
          <w:rFonts w:ascii="Arial" w:hAnsi="Arial" w:cs="Arial"/>
          <w:sz w:val="22"/>
          <w:szCs w:val="22"/>
          <w:lang w:val="en-US"/>
        </w:rPr>
        <w:t xml:space="preserve">, A., Burger, J., Zhang, Y., </w:t>
      </w:r>
      <w:proofErr w:type="spellStart"/>
      <w:r w:rsidRPr="00427DC3">
        <w:rPr>
          <w:rFonts w:ascii="Arial" w:hAnsi="Arial" w:cs="Arial"/>
          <w:sz w:val="22"/>
          <w:szCs w:val="22"/>
          <w:lang w:val="en-US"/>
        </w:rPr>
        <w:t>Livun</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Knez</w:t>
      </w:r>
      <w:proofErr w:type="spellEnd"/>
      <w:r w:rsidRPr="00427DC3">
        <w:rPr>
          <w:rFonts w:ascii="Arial" w:hAnsi="Arial" w:cs="Arial"/>
          <w:sz w:val="22"/>
          <w:szCs w:val="22"/>
          <w:lang w:val="en-US"/>
        </w:rPr>
        <w:t xml:space="preserve">, L., Harris, D., Creighton, C.J., </w:t>
      </w:r>
      <w:proofErr w:type="spellStart"/>
      <w:r w:rsidRPr="00427DC3">
        <w:rPr>
          <w:rFonts w:ascii="Arial" w:hAnsi="Arial" w:cs="Arial"/>
          <w:sz w:val="22"/>
          <w:szCs w:val="22"/>
          <w:lang w:val="en-US"/>
        </w:rPr>
        <w:t>Kantarjian</w:t>
      </w:r>
      <w:proofErr w:type="spellEnd"/>
      <w:r w:rsidRPr="00427DC3">
        <w:rPr>
          <w:rFonts w:ascii="Arial" w:hAnsi="Arial" w:cs="Arial"/>
          <w:sz w:val="22"/>
          <w:szCs w:val="22"/>
          <w:lang w:val="en-US"/>
        </w:rPr>
        <w:t xml:space="preserve">, H.M., </w:t>
      </w:r>
      <w:proofErr w:type="spellStart"/>
      <w:r w:rsidRPr="00427DC3">
        <w:rPr>
          <w:rFonts w:ascii="Arial" w:hAnsi="Arial" w:cs="Arial"/>
          <w:sz w:val="22"/>
          <w:szCs w:val="22"/>
          <w:lang w:val="en-US"/>
        </w:rPr>
        <w:t>Verstovsek</w:t>
      </w:r>
      <w:proofErr w:type="spellEnd"/>
      <w:r w:rsidRPr="00427DC3">
        <w:rPr>
          <w:rFonts w:ascii="Arial" w:hAnsi="Arial" w:cs="Arial"/>
          <w:sz w:val="22"/>
          <w:szCs w:val="22"/>
          <w:lang w:val="en-US"/>
        </w:rPr>
        <w:t>, S., 2011. Bone marrow stroma-secreted cytokines protect JAK2(V617F)-mutated cells from the effects of a JAK2 inhibitor. Cancer Res. 71, 3831–3840. https://doi.org/10.1158/0008-5472.CAN-10-4002</w:t>
      </w:r>
    </w:p>
    <w:p w14:paraId="30345AE8"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Mao, G., Pan, X., Gu, L., 2008. Evidence that a mutation in the MLH1 3’-untranslated region confers a mutator phenotype and mismatch repair deficiency in patients with relapsed leukemia. J. Biol. Chem. 283, 3211–3216. https://doi.org/10.1074/jbc.M709276200</w:t>
      </w:r>
    </w:p>
    <w:p w14:paraId="63904F72"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Marty, C., </w:t>
      </w:r>
      <w:proofErr w:type="spellStart"/>
      <w:r w:rsidRPr="00427DC3">
        <w:rPr>
          <w:rFonts w:ascii="Arial" w:hAnsi="Arial" w:cs="Arial"/>
          <w:sz w:val="22"/>
          <w:szCs w:val="22"/>
          <w:lang w:val="en-US"/>
        </w:rPr>
        <w:t>Lacout</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Droin</w:t>
      </w:r>
      <w:proofErr w:type="spellEnd"/>
      <w:r w:rsidRPr="00427DC3">
        <w:rPr>
          <w:rFonts w:ascii="Arial" w:hAnsi="Arial" w:cs="Arial"/>
          <w:sz w:val="22"/>
          <w:szCs w:val="22"/>
          <w:lang w:val="en-US"/>
        </w:rPr>
        <w:t xml:space="preserve">, N., Le </w:t>
      </w:r>
      <w:proofErr w:type="spellStart"/>
      <w:r w:rsidRPr="00427DC3">
        <w:rPr>
          <w:rFonts w:ascii="Arial" w:hAnsi="Arial" w:cs="Arial"/>
          <w:sz w:val="22"/>
          <w:szCs w:val="22"/>
          <w:lang w:val="en-US"/>
        </w:rPr>
        <w:t>Couédic</w:t>
      </w:r>
      <w:proofErr w:type="spellEnd"/>
      <w:r w:rsidRPr="00427DC3">
        <w:rPr>
          <w:rFonts w:ascii="Arial" w:hAnsi="Arial" w:cs="Arial"/>
          <w:sz w:val="22"/>
          <w:szCs w:val="22"/>
          <w:lang w:val="en-US"/>
        </w:rPr>
        <w:t xml:space="preserve">, J.-P., </w:t>
      </w:r>
      <w:proofErr w:type="spellStart"/>
      <w:r w:rsidRPr="00427DC3">
        <w:rPr>
          <w:rFonts w:ascii="Arial" w:hAnsi="Arial" w:cs="Arial"/>
          <w:sz w:val="22"/>
          <w:szCs w:val="22"/>
          <w:lang w:val="en-US"/>
        </w:rPr>
        <w:t>Ribrag</w:t>
      </w:r>
      <w:proofErr w:type="spellEnd"/>
      <w:r w:rsidRPr="00427DC3">
        <w:rPr>
          <w:rFonts w:ascii="Arial" w:hAnsi="Arial" w:cs="Arial"/>
          <w:sz w:val="22"/>
          <w:szCs w:val="22"/>
          <w:lang w:val="en-US"/>
        </w:rPr>
        <w:t xml:space="preserve">, V., </w:t>
      </w:r>
      <w:proofErr w:type="spellStart"/>
      <w:r w:rsidRPr="00427DC3">
        <w:rPr>
          <w:rFonts w:ascii="Arial" w:hAnsi="Arial" w:cs="Arial"/>
          <w:sz w:val="22"/>
          <w:szCs w:val="22"/>
          <w:lang w:val="en-US"/>
        </w:rPr>
        <w:t>Solary</w:t>
      </w:r>
      <w:proofErr w:type="spellEnd"/>
      <w:r w:rsidRPr="00427DC3">
        <w:rPr>
          <w:rFonts w:ascii="Arial" w:hAnsi="Arial" w:cs="Arial"/>
          <w:sz w:val="22"/>
          <w:szCs w:val="22"/>
          <w:lang w:val="en-US"/>
        </w:rPr>
        <w:t xml:space="preserve">, E., </w:t>
      </w:r>
      <w:proofErr w:type="spellStart"/>
      <w:r w:rsidRPr="00427DC3">
        <w:rPr>
          <w:rFonts w:ascii="Arial" w:hAnsi="Arial" w:cs="Arial"/>
          <w:sz w:val="22"/>
          <w:szCs w:val="22"/>
          <w:lang w:val="en-US"/>
        </w:rPr>
        <w:t>Vainchenker</w:t>
      </w:r>
      <w:proofErr w:type="spellEnd"/>
      <w:r w:rsidRPr="00427DC3">
        <w:rPr>
          <w:rFonts w:ascii="Arial" w:hAnsi="Arial" w:cs="Arial"/>
          <w:sz w:val="22"/>
          <w:szCs w:val="22"/>
          <w:lang w:val="en-US"/>
        </w:rPr>
        <w:t xml:space="preserve">, W., </w:t>
      </w:r>
      <w:proofErr w:type="spellStart"/>
      <w:r w:rsidRPr="00427DC3">
        <w:rPr>
          <w:rFonts w:ascii="Arial" w:hAnsi="Arial" w:cs="Arial"/>
          <w:sz w:val="22"/>
          <w:szCs w:val="22"/>
          <w:lang w:val="en-US"/>
        </w:rPr>
        <w:t>Villeval</w:t>
      </w:r>
      <w:proofErr w:type="spellEnd"/>
      <w:r w:rsidRPr="00427DC3">
        <w:rPr>
          <w:rFonts w:ascii="Arial" w:hAnsi="Arial" w:cs="Arial"/>
          <w:sz w:val="22"/>
          <w:szCs w:val="22"/>
          <w:lang w:val="en-US"/>
        </w:rPr>
        <w:t xml:space="preserve">, J.-L., </w:t>
      </w:r>
      <w:proofErr w:type="spellStart"/>
      <w:r w:rsidRPr="00427DC3">
        <w:rPr>
          <w:rFonts w:ascii="Arial" w:hAnsi="Arial" w:cs="Arial"/>
          <w:sz w:val="22"/>
          <w:szCs w:val="22"/>
          <w:lang w:val="en-US"/>
        </w:rPr>
        <w:t>Plo</w:t>
      </w:r>
      <w:proofErr w:type="spellEnd"/>
      <w:r w:rsidRPr="00427DC3">
        <w:rPr>
          <w:rFonts w:ascii="Arial" w:hAnsi="Arial" w:cs="Arial"/>
          <w:sz w:val="22"/>
          <w:szCs w:val="22"/>
          <w:lang w:val="en-US"/>
        </w:rPr>
        <w:t>, I., 2013. A role for reactive oxygen species in JAK2 V617F myeloproliferative neoplasm progression. Leukemia 27, 2187–2195. https://doi.org/10.1038/leu.2013.102</w:t>
      </w:r>
    </w:p>
    <w:p w14:paraId="3244A819"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Molina, G., Vogt, A., </w:t>
      </w:r>
      <w:proofErr w:type="spellStart"/>
      <w:r w:rsidRPr="00427DC3">
        <w:rPr>
          <w:rFonts w:ascii="Arial" w:hAnsi="Arial" w:cs="Arial"/>
          <w:sz w:val="22"/>
          <w:szCs w:val="22"/>
          <w:lang w:val="en-US"/>
        </w:rPr>
        <w:t>Bakan</w:t>
      </w:r>
      <w:proofErr w:type="spellEnd"/>
      <w:r w:rsidRPr="00427DC3">
        <w:rPr>
          <w:rFonts w:ascii="Arial" w:hAnsi="Arial" w:cs="Arial"/>
          <w:sz w:val="22"/>
          <w:szCs w:val="22"/>
          <w:lang w:val="en-US"/>
        </w:rPr>
        <w:t xml:space="preserve">, A., Dai, W., Queiroz de Oliveira, P., </w:t>
      </w:r>
      <w:proofErr w:type="spellStart"/>
      <w:r w:rsidRPr="00427DC3">
        <w:rPr>
          <w:rFonts w:ascii="Arial" w:hAnsi="Arial" w:cs="Arial"/>
          <w:sz w:val="22"/>
          <w:szCs w:val="22"/>
          <w:lang w:val="en-US"/>
        </w:rPr>
        <w:t>Znosko</w:t>
      </w:r>
      <w:proofErr w:type="spellEnd"/>
      <w:r w:rsidRPr="00427DC3">
        <w:rPr>
          <w:rFonts w:ascii="Arial" w:hAnsi="Arial" w:cs="Arial"/>
          <w:sz w:val="22"/>
          <w:szCs w:val="22"/>
          <w:lang w:val="en-US"/>
        </w:rPr>
        <w:t xml:space="preserve">, W., Smithgall, T.E., </w:t>
      </w:r>
      <w:proofErr w:type="spellStart"/>
      <w:r w:rsidRPr="00427DC3">
        <w:rPr>
          <w:rFonts w:ascii="Arial" w:hAnsi="Arial" w:cs="Arial"/>
          <w:sz w:val="22"/>
          <w:szCs w:val="22"/>
          <w:lang w:val="en-US"/>
        </w:rPr>
        <w:t>Bahar</w:t>
      </w:r>
      <w:proofErr w:type="spellEnd"/>
      <w:r w:rsidRPr="00427DC3">
        <w:rPr>
          <w:rFonts w:ascii="Arial" w:hAnsi="Arial" w:cs="Arial"/>
          <w:sz w:val="22"/>
          <w:szCs w:val="22"/>
          <w:lang w:val="en-US"/>
        </w:rPr>
        <w:t xml:space="preserve">, I., </w:t>
      </w:r>
      <w:proofErr w:type="spellStart"/>
      <w:r w:rsidRPr="00427DC3">
        <w:rPr>
          <w:rFonts w:ascii="Arial" w:hAnsi="Arial" w:cs="Arial"/>
          <w:sz w:val="22"/>
          <w:szCs w:val="22"/>
          <w:lang w:val="en-US"/>
        </w:rPr>
        <w:t>Lazo</w:t>
      </w:r>
      <w:proofErr w:type="spellEnd"/>
      <w:r w:rsidRPr="00427DC3">
        <w:rPr>
          <w:rFonts w:ascii="Arial" w:hAnsi="Arial" w:cs="Arial"/>
          <w:sz w:val="22"/>
          <w:szCs w:val="22"/>
          <w:lang w:val="en-US"/>
        </w:rPr>
        <w:t>, J.S., Day, B.W., Tsang, M., 2009. Zebrafish chemical screening reveals an inhibitor of Dusp6 that expands cardiac cell lineages. Nat. Chem. Biol. 5, 680–687. https://doi.org/10.1038/nchembio.190</w:t>
      </w:r>
    </w:p>
    <w:p w14:paraId="0EF19F33"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Nangalia</w:t>
      </w:r>
      <w:proofErr w:type="spellEnd"/>
      <w:r w:rsidRPr="00427DC3">
        <w:rPr>
          <w:rFonts w:ascii="Arial" w:hAnsi="Arial" w:cs="Arial"/>
          <w:sz w:val="22"/>
          <w:szCs w:val="22"/>
          <w:lang w:val="en-US"/>
        </w:rPr>
        <w:t xml:space="preserve">, J., Massie, C.E., Baxter, E.J., Nice, F.L., </w:t>
      </w:r>
      <w:proofErr w:type="spellStart"/>
      <w:r w:rsidRPr="00427DC3">
        <w:rPr>
          <w:rFonts w:ascii="Arial" w:hAnsi="Arial" w:cs="Arial"/>
          <w:sz w:val="22"/>
          <w:szCs w:val="22"/>
          <w:lang w:val="en-US"/>
        </w:rPr>
        <w:t>Gundem</w:t>
      </w:r>
      <w:proofErr w:type="spellEnd"/>
      <w:r w:rsidRPr="00427DC3">
        <w:rPr>
          <w:rFonts w:ascii="Arial" w:hAnsi="Arial" w:cs="Arial"/>
          <w:sz w:val="22"/>
          <w:szCs w:val="22"/>
          <w:lang w:val="en-US"/>
        </w:rPr>
        <w:t xml:space="preserve">, G., Wedge, D.C., </w:t>
      </w:r>
      <w:proofErr w:type="spellStart"/>
      <w:r w:rsidRPr="00427DC3">
        <w:rPr>
          <w:rFonts w:ascii="Arial" w:hAnsi="Arial" w:cs="Arial"/>
          <w:sz w:val="22"/>
          <w:szCs w:val="22"/>
          <w:lang w:val="en-US"/>
        </w:rPr>
        <w:t>Avezov</w:t>
      </w:r>
      <w:proofErr w:type="spellEnd"/>
      <w:r w:rsidRPr="00427DC3">
        <w:rPr>
          <w:rFonts w:ascii="Arial" w:hAnsi="Arial" w:cs="Arial"/>
          <w:sz w:val="22"/>
          <w:szCs w:val="22"/>
          <w:lang w:val="en-US"/>
        </w:rPr>
        <w:t xml:space="preserve">, E., Li, J., </w:t>
      </w:r>
      <w:proofErr w:type="spellStart"/>
      <w:r w:rsidRPr="00427DC3">
        <w:rPr>
          <w:rFonts w:ascii="Arial" w:hAnsi="Arial" w:cs="Arial"/>
          <w:sz w:val="22"/>
          <w:szCs w:val="22"/>
          <w:lang w:val="en-US"/>
        </w:rPr>
        <w:t>Kollmann</w:t>
      </w:r>
      <w:proofErr w:type="spellEnd"/>
      <w:r w:rsidRPr="00427DC3">
        <w:rPr>
          <w:rFonts w:ascii="Arial" w:hAnsi="Arial" w:cs="Arial"/>
          <w:sz w:val="22"/>
          <w:szCs w:val="22"/>
          <w:lang w:val="en-US"/>
        </w:rPr>
        <w:t xml:space="preserve">, K., Kent, D.G., Aziz, A., Godfrey, A.L., Hinton, J., </w:t>
      </w:r>
      <w:proofErr w:type="spellStart"/>
      <w:r w:rsidRPr="00427DC3">
        <w:rPr>
          <w:rFonts w:ascii="Arial" w:hAnsi="Arial" w:cs="Arial"/>
          <w:sz w:val="22"/>
          <w:szCs w:val="22"/>
          <w:lang w:val="en-US"/>
        </w:rPr>
        <w:t>Martincorena</w:t>
      </w:r>
      <w:proofErr w:type="spellEnd"/>
      <w:r w:rsidRPr="00427DC3">
        <w:rPr>
          <w:rFonts w:ascii="Arial" w:hAnsi="Arial" w:cs="Arial"/>
          <w:sz w:val="22"/>
          <w:szCs w:val="22"/>
          <w:lang w:val="en-US"/>
        </w:rPr>
        <w:t xml:space="preserve">, I., Van Loo, P., Jones, A.V., Guglielmelli, P., </w:t>
      </w:r>
      <w:proofErr w:type="spellStart"/>
      <w:r w:rsidRPr="00427DC3">
        <w:rPr>
          <w:rFonts w:ascii="Arial" w:hAnsi="Arial" w:cs="Arial"/>
          <w:sz w:val="22"/>
          <w:szCs w:val="22"/>
          <w:lang w:val="en-US"/>
        </w:rPr>
        <w:t>Tarpey</w:t>
      </w:r>
      <w:proofErr w:type="spellEnd"/>
      <w:r w:rsidRPr="00427DC3">
        <w:rPr>
          <w:rFonts w:ascii="Arial" w:hAnsi="Arial" w:cs="Arial"/>
          <w:sz w:val="22"/>
          <w:szCs w:val="22"/>
          <w:lang w:val="en-US"/>
        </w:rPr>
        <w:t xml:space="preserve">, P., Harding, H.P., Fitzpatrick, J.D., Goudie, C.T., </w:t>
      </w:r>
      <w:proofErr w:type="spellStart"/>
      <w:r w:rsidRPr="00427DC3">
        <w:rPr>
          <w:rFonts w:ascii="Arial" w:hAnsi="Arial" w:cs="Arial"/>
          <w:sz w:val="22"/>
          <w:szCs w:val="22"/>
          <w:lang w:val="en-US"/>
        </w:rPr>
        <w:t>Ortmann</w:t>
      </w:r>
      <w:proofErr w:type="spellEnd"/>
      <w:r w:rsidRPr="00427DC3">
        <w:rPr>
          <w:rFonts w:ascii="Arial" w:hAnsi="Arial" w:cs="Arial"/>
          <w:sz w:val="22"/>
          <w:szCs w:val="22"/>
          <w:lang w:val="en-US"/>
        </w:rPr>
        <w:t xml:space="preserve">, C.A., Loughran, S.J., Raine, K., Jones, D.R., Butler, A.P., Teague, J.W., O’Meara, S., McLaren, S., Bianchi, M., Silber, Y., </w:t>
      </w:r>
      <w:proofErr w:type="spellStart"/>
      <w:r w:rsidRPr="00427DC3">
        <w:rPr>
          <w:rFonts w:ascii="Arial" w:hAnsi="Arial" w:cs="Arial"/>
          <w:sz w:val="22"/>
          <w:szCs w:val="22"/>
          <w:lang w:val="en-US"/>
        </w:rPr>
        <w:t>Dimitropoulou</w:t>
      </w:r>
      <w:proofErr w:type="spellEnd"/>
      <w:r w:rsidRPr="00427DC3">
        <w:rPr>
          <w:rFonts w:ascii="Arial" w:hAnsi="Arial" w:cs="Arial"/>
          <w:sz w:val="22"/>
          <w:szCs w:val="22"/>
          <w:lang w:val="en-US"/>
        </w:rPr>
        <w:t xml:space="preserve">, D., Bloxham, D., </w:t>
      </w:r>
      <w:proofErr w:type="spellStart"/>
      <w:r w:rsidRPr="00427DC3">
        <w:rPr>
          <w:rFonts w:ascii="Arial" w:hAnsi="Arial" w:cs="Arial"/>
          <w:sz w:val="22"/>
          <w:szCs w:val="22"/>
          <w:lang w:val="en-US"/>
        </w:rPr>
        <w:t>Mudie</w:t>
      </w:r>
      <w:proofErr w:type="spellEnd"/>
      <w:r w:rsidRPr="00427DC3">
        <w:rPr>
          <w:rFonts w:ascii="Arial" w:hAnsi="Arial" w:cs="Arial"/>
          <w:sz w:val="22"/>
          <w:szCs w:val="22"/>
          <w:lang w:val="en-US"/>
        </w:rPr>
        <w:t xml:space="preserve">, L., Maddison, M., Robinson, B., Keohane, C., Maclean, C., Hill, K., Orchard, K., </w:t>
      </w:r>
      <w:proofErr w:type="spellStart"/>
      <w:r w:rsidRPr="00427DC3">
        <w:rPr>
          <w:rFonts w:ascii="Arial" w:hAnsi="Arial" w:cs="Arial"/>
          <w:sz w:val="22"/>
          <w:szCs w:val="22"/>
          <w:lang w:val="en-US"/>
        </w:rPr>
        <w:t>Tauro</w:t>
      </w:r>
      <w:proofErr w:type="spellEnd"/>
      <w:r w:rsidRPr="00427DC3">
        <w:rPr>
          <w:rFonts w:ascii="Arial" w:hAnsi="Arial" w:cs="Arial"/>
          <w:sz w:val="22"/>
          <w:szCs w:val="22"/>
          <w:lang w:val="en-US"/>
        </w:rPr>
        <w:t xml:space="preserve">, S., Du, M.-Q., Greaves, M., Bowen, D., Huntly, B.J.P., Harrison, C.N., Cross, N.C.P., Ron, D., </w:t>
      </w:r>
      <w:proofErr w:type="spellStart"/>
      <w:r w:rsidRPr="00427DC3">
        <w:rPr>
          <w:rFonts w:ascii="Arial" w:hAnsi="Arial" w:cs="Arial"/>
          <w:sz w:val="22"/>
          <w:szCs w:val="22"/>
          <w:lang w:val="en-US"/>
        </w:rPr>
        <w:t>Vannucchi</w:t>
      </w:r>
      <w:proofErr w:type="spellEnd"/>
      <w:r w:rsidRPr="00427DC3">
        <w:rPr>
          <w:rFonts w:ascii="Arial" w:hAnsi="Arial" w:cs="Arial"/>
          <w:sz w:val="22"/>
          <w:szCs w:val="22"/>
          <w:lang w:val="en-US"/>
        </w:rPr>
        <w:t xml:space="preserve">, A.M., </w:t>
      </w:r>
      <w:proofErr w:type="spellStart"/>
      <w:r w:rsidRPr="00427DC3">
        <w:rPr>
          <w:rFonts w:ascii="Arial" w:hAnsi="Arial" w:cs="Arial"/>
          <w:sz w:val="22"/>
          <w:szCs w:val="22"/>
          <w:lang w:val="en-US"/>
        </w:rPr>
        <w:t>Papaemmanuil</w:t>
      </w:r>
      <w:proofErr w:type="spellEnd"/>
      <w:r w:rsidRPr="00427DC3">
        <w:rPr>
          <w:rFonts w:ascii="Arial" w:hAnsi="Arial" w:cs="Arial"/>
          <w:sz w:val="22"/>
          <w:szCs w:val="22"/>
          <w:lang w:val="en-US"/>
        </w:rPr>
        <w:t xml:space="preserve">, E., Campbell, P.J., Green, A.R., 2013. Somatic CALR Mutations in Myeloproliferative Neoplasms with Nonmutated JAK2. N </w:t>
      </w:r>
      <w:proofErr w:type="spellStart"/>
      <w:r w:rsidRPr="00427DC3">
        <w:rPr>
          <w:rFonts w:ascii="Arial" w:hAnsi="Arial" w:cs="Arial"/>
          <w:sz w:val="22"/>
          <w:szCs w:val="22"/>
          <w:lang w:val="en-US"/>
        </w:rPr>
        <w:t>Engl</w:t>
      </w:r>
      <w:proofErr w:type="spellEnd"/>
      <w:r w:rsidRPr="00427DC3">
        <w:rPr>
          <w:rFonts w:ascii="Arial" w:hAnsi="Arial" w:cs="Arial"/>
          <w:sz w:val="22"/>
          <w:szCs w:val="22"/>
          <w:lang w:val="en-US"/>
        </w:rPr>
        <w:t xml:space="preserve"> J Med 369, 2391–2405. https://doi.org/10.1056/NEJMoa1312542</w:t>
      </w:r>
    </w:p>
    <w:p w14:paraId="66753261"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Nemeth, E., Tuttle, M.S., </w:t>
      </w:r>
      <w:proofErr w:type="spellStart"/>
      <w:r w:rsidRPr="00427DC3">
        <w:rPr>
          <w:rFonts w:ascii="Arial" w:hAnsi="Arial" w:cs="Arial"/>
          <w:sz w:val="22"/>
          <w:szCs w:val="22"/>
          <w:lang w:val="en-US"/>
        </w:rPr>
        <w:t>Powelson</w:t>
      </w:r>
      <w:proofErr w:type="spellEnd"/>
      <w:r w:rsidRPr="00427DC3">
        <w:rPr>
          <w:rFonts w:ascii="Arial" w:hAnsi="Arial" w:cs="Arial"/>
          <w:sz w:val="22"/>
          <w:szCs w:val="22"/>
          <w:lang w:val="en-US"/>
        </w:rPr>
        <w:t xml:space="preserve">, J., Vaughn, M.B., Donovan, A., Ward, D.M., Ganz, T., Kaplan, J., 2004. Hepcidin Regulates Cellular Iron Efflux by Binding to </w:t>
      </w:r>
      <w:proofErr w:type="spellStart"/>
      <w:r w:rsidRPr="00427DC3">
        <w:rPr>
          <w:rFonts w:ascii="Arial" w:hAnsi="Arial" w:cs="Arial"/>
          <w:sz w:val="22"/>
          <w:szCs w:val="22"/>
          <w:lang w:val="en-US"/>
        </w:rPr>
        <w:t>Ferroportin</w:t>
      </w:r>
      <w:proofErr w:type="spellEnd"/>
      <w:r w:rsidRPr="00427DC3">
        <w:rPr>
          <w:rFonts w:ascii="Arial" w:hAnsi="Arial" w:cs="Arial"/>
          <w:sz w:val="22"/>
          <w:szCs w:val="22"/>
          <w:lang w:val="en-US"/>
        </w:rPr>
        <w:t xml:space="preserve"> and Inducing Its Internalization. Science 306, 2090–2093. https://doi.org/10.1126/science.1104742</w:t>
      </w:r>
    </w:p>
    <w:p w14:paraId="391A9EB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Novotna, B., </w:t>
      </w:r>
      <w:proofErr w:type="spellStart"/>
      <w:r w:rsidRPr="00427DC3">
        <w:rPr>
          <w:rFonts w:ascii="Arial" w:hAnsi="Arial" w:cs="Arial"/>
          <w:sz w:val="22"/>
          <w:szCs w:val="22"/>
          <w:lang w:val="en-US"/>
        </w:rPr>
        <w:t>Bagryantseva</w:t>
      </w:r>
      <w:proofErr w:type="spellEnd"/>
      <w:r w:rsidRPr="00427DC3">
        <w:rPr>
          <w:rFonts w:ascii="Arial" w:hAnsi="Arial" w:cs="Arial"/>
          <w:sz w:val="22"/>
          <w:szCs w:val="22"/>
          <w:lang w:val="en-US"/>
        </w:rPr>
        <w:t xml:space="preserve">, Y., </w:t>
      </w:r>
      <w:proofErr w:type="spellStart"/>
      <w:r w:rsidRPr="00427DC3">
        <w:rPr>
          <w:rFonts w:ascii="Arial" w:hAnsi="Arial" w:cs="Arial"/>
          <w:sz w:val="22"/>
          <w:szCs w:val="22"/>
          <w:lang w:val="en-US"/>
        </w:rPr>
        <w:t>Siskova</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Neuwirtova</w:t>
      </w:r>
      <w:proofErr w:type="spellEnd"/>
      <w:r w:rsidRPr="00427DC3">
        <w:rPr>
          <w:rFonts w:ascii="Arial" w:hAnsi="Arial" w:cs="Arial"/>
          <w:sz w:val="22"/>
          <w:szCs w:val="22"/>
          <w:lang w:val="en-US"/>
        </w:rPr>
        <w:t xml:space="preserve">, R., 2009. Oxidative DNA </w:t>
      </w:r>
      <w:r w:rsidRPr="00427DC3">
        <w:rPr>
          <w:rFonts w:ascii="Arial" w:hAnsi="Arial" w:cs="Arial"/>
          <w:sz w:val="22"/>
          <w:szCs w:val="22"/>
          <w:lang w:val="en-US"/>
        </w:rPr>
        <w:lastRenderedPageBreak/>
        <w:t xml:space="preserve">damage in bone marrow cells of patients with low-risk myelodysplastic syndrome. </w:t>
      </w:r>
      <w:proofErr w:type="spellStart"/>
      <w:r w:rsidRPr="00427DC3">
        <w:rPr>
          <w:rFonts w:ascii="Arial" w:hAnsi="Arial" w:cs="Arial"/>
          <w:sz w:val="22"/>
          <w:szCs w:val="22"/>
          <w:lang w:val="en-US"/>
        </w:rPr>
        <w:t>Leuk</w:t>
      </w:r>
      <w:proofErr w:type="spellEnd"/>
      <w:r w:rsidRPr="00427DC3">
        <w:rPr>
          <w:rFonts w:ascii="Arial" w:hAnsi="Arial" w:cs="Arial"/>
          <w:sz w:val="22"/>
          <w:szCs w:val="22"/>
          <w:lang w:val="en-US"/>
        </w:rPr>
        <w:t>. Res. 33, 340–343. https://doi.org/10.1016/j.leukres.2008.07.005</w:t>
      </w:r>
    </w:p>
    <w:p w14:paraId="4D468B8C"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O’Kane, G.M., Connor, A.A., </w:t>
      </w:r>
      <w:proofErr w:type="spellStart"/>
      <w:r w:rsidRPr="00427DC3">
        <w:rPr>
          <w:rFonts w:ascii="Arial" w:hAnsi="Arial" w:cs="Arial"/>
          <w:sz w:val="22"/>
          <w:szCs w:val="22"/>
          <w:lang w:val="en-US"/>
        </w:rPr>
        <w:t>Gallinger</w:t>
      </w:r>
      <w:proofErr w:type="spellEnd"/>
      <w:r w:rsidRPr="00427DC3">
        <w:rPr>
          <w:rFonts w:ascii="Arial" w:hAnsi="Arial" w:cs="Arial"/>
          <w:sz w:val="22"/>
          <w:szCs w:val="22"/>
          <w:lang w:val="en-US"/>
        </w:rPr>
        <w:t>, S., 2017. Characterization, Detection, and Treatment Approaches for Homologous Recombination Deficiency in Cancer. Trends Mol Med 23, 1121–1137. https://doi.org/10.1016/j.molmed.2017.10.007</w:t>
      </w:r>
    </w:p>
    <w:p w14:paraId="266449E2"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Olipitz</w:t>
      </w:r>
      <w:proofErr w:type="spellEnd"/>
      <w:r w:rsidRPr="00427DC3">
        <w:rPr>
          <w:rFonts w:ascii="Arial" w:hAnsi="Arial" w:cs="Arial"/>
          <w:sz w:val="22"/>
          <w:szCs w:val="22"/>
          <w:lang w:val="en-US"/>
        </w:rPr>
        <w:t xml:space="preserve">, W., </w:t>
      </w:r>
      <w:proofErr w:type="spellStart"/>
      <w:r w:rsidRPr="00427DC3">
        <w:rPr>
          <w:rFonts w:ascii="Arial" w:hAnsi="Arial" w:cs="Arial"/>
          <w:sz w:val="22"/>
          <w:szCs w:val="22"/>
          <w:lang w:val="en-US"/>
        </w:rPr>
        <w:t>Hopfinger</w:t>
      </w:r>
      <w:proofErr w:type="spellEnd"/>
      <w:r w:rsidRPr="00427DC3">
        <w:rPr>
          <w:rFonts w:ascii="Arial" w:hAnsi="Arial" w:cs="Arial"/>
          <w:sz w:val="22"/>
          <w:szCs w:val="22"/>
          <w:lang w:val="en-US"/>
        </w:rPr>
        <w:t xml:space="preserve">, G., Aguiar, R.C.T., </w:t>
      </w:r>
      <w:proofErr w:type="spellStart"/>
      <w:r w:rsidRPr="00427DC3">
        <w:rPr>
          <w:rFonts w:ascii="Arial" w:hAnsi="Arial" w:cs="Arial"/>
          <w:sz w:val="22"/>
          <w:szCs w:val="22"/>
          <w:lang w:val="en-US"/>
        </w:rPr>
        <w:t>Gunsilius</w:t>
      </w:r>
      <w:proofErr w:type="spellEnd"/>
      <w:r w:rsidRPr="00427DC3">
        <w:rPr>
          <w:rFonts w:ascii="Arial" w:hAnsi="Arial" w:cs="Arial"/>
          <w:sz w:val="22"/>
          <w:szCs w:val="22"/>
          <w:lang w:val="en-US"/>
        </w:rPr>
        <w:t xml:space="preserve">, E., </w:t>
      </w:r>
      <w:proofErr w:type="spellStart"/>
      <w:r w:rsidRPr="00427DC3">
        <w:rPr>
          <w:rFonts w:ascii="Arial" w:hAnsi="Arial" w:cs="Arial"/>
          <w:sz w:val="22"/>
          <w:szCs w:val="22"/>
          <w:lang w:val="en-US"/>
        </w:rPr>
        <w:t>Girschikofsky</w:t>
      </w:r>
      <w:proofErr w:type="spellEnd"/>
      <w:r w:rsidRPr="00427DC3">
        <w:rPr>
          <w:rFonts w:ascii="Arial" w:hAnsi="Arial" w:cs="Arial"/>
          <w:sz w:val="22"/>
          <w:szCs w:val="22"/>
          <w:lang w:val="en-US"/>
        </w:rPr>
        <w:t xml:space="preserve">, M., Bodner, C., </w:t>
      </w:r>
      <w:proofErr w:type="spellStart"/>
      <w:r w:rsidRPr="00427DC3">
        <w:rPr>
          <w:rFonts w:ascii="Arial" w:hAnsi="Arial" w:cs="Arial"/>
          <w:sz w:val="22"/>
          <w:szCs w:val="22"/>
          <w:lang w:val="en-US"/>
        </w:rPr>
        <w:t>Hiden</w:t>
      </w:r>
      <w:proofErr w:type="spellEnd"/>
      <w:r w:rsidRPr="00427DC3">
        <w:rPr>
          <w:rFonts w:ascii="Arial" w:hAnsi="Arial" w:cs="Arial"/>
          <w:sz w:val="22"/>
          <w:szCs w:val="22"/>
          <w:lang w:val="en-US"/>
        </w:rPr>
        <w:t xml:space="preserve">, K., </w:t>
      </w:r>
      <w:proofErr w:type="spellStart"/>
      <w:r w:rsidRPr="00427DC3">
        <w:rPr>
          <w:rFonts w:ascii="Arial" w:hAnsi="Arial" w:cs="Arial"/>
          <w:sz w:val="22"/>
          <w:szCs w:val="22"/>
          <w:lang w:val="en-US"/>
        </w:rPr>
        <w:t>Linkesch</w:t>
      </w:r>
      <w:proofErr w:type="spellEnd"/>
      <w:r w:rsidRPr="00427DC3">
        <w:rPr>
          <w:rFonts w:ascii="Arial" w:hAnsi="Arial" w:cs="Arial"/>
          <w:sz w:val="22"/>
          <w:szCs w:val="22"/>
          <w:lang w:val="en-US"/>
        </w:rPr>
        <w:t xml:space="preserve">, W., </w:t>
      </w:r>
      <w:proofErr w:type="spellStart"/>
      <w:r w:rsidRPr="00427DC3">
        <w:rPr>
          <w:rFonts w:ascii="Arial" w:hAnsi="Arial" w:cs="Arial"/>
          <w:sz w:val="22"/>
          <w:szCs w:val="22"/>
          <w:lang w:val="en-US"/>
        </w:rPr>
        <w:t>Hoefler</w:t>
      </w:r>
      <w:proofErr w:type="spellEnd"/>
      <w:r w:rsidRPr="00427DC3">
        <w:rPr>
          <w:rFonts w:ascii="Arial" w:hAnsi="Arial" w:cs="Arial"/>
          <w:sz w:val="22"/>
          <w:szCs w:val="22"/>
          <w:lang w:val="en-US"/>
        </w:rPr>
        <w:t>, G., Sill, H., 2002. Defective DNA-mismatch repair: a potential mediator of leukemogenic susceptibility in therapy-related myelodysplasia and leukemia. Genes Chromosomes Cancer 34, 243–248. https://doi.org/10.1002/gcc.10059</w:t>
      </w:r>
    </w:p>
    <w:p w14:paraId="70733CA3"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Omidvar</w:t>
      </w:r>
      <w:proofErr w:type="spellEnd"/>
      <w:r w:rsidRPr="00427DC3">
        <w:rPr>
          <w:rFonts w:ascii="Arial" w:hAnsi="Arial" w:cs="Arial"/>
          <w:sz w:val="22"/>
          <w:szCs w:val="22"/>
          <w:lang w:val="en-US"/>
        </w:rPr>
        <w:t xml:space="preserve">, N., Kogan, S., </w:t>
      </w:r>
      <w:proofErr w:type="spellStart"/>
      <w:r w:rsidRPr="00427DC3">
        <w:rPr>
          <w:rFonts w:ascii="Arial" w:hAnsi="Arial" w:cs="Arial"/>
          <w:sz w:val="22"/>
          <w:szCs w:val="22"/>
          <w:lang w:val="en-US"/>
        </w:rPr>
        <w:t>Beurlet</w:t>
      </w:r>
      <w:proofErr w:type="spellEnd"/>
      <w:r w:rsidRPr="00427DC3">
        <w:rPr>
          <w:rFonts w:ascii="Arial" w:hAnsi="Arial" w:cs="Arial"/>
          <w:sz w:val="22"/>
          <w:szCs w:val="22"/>
          <w:lang w:val="en-US"/>
        </w:rPr>
        <w:t xml:space="preserve">, S., le </w:t>
      </w:r>
      <w:proofErr w:type="spellStart"/>
      <w:r w:rsidRPr="00427DC3">
        <w:rPr>
          <w:rFonts w:ascii="Arial" w:hAnsi="Arial" w:cs="Arial"/>
          <w:sz w:val="22"/>
          <w:szCs w:val="22"/>
          <w:lang w:val="en-US"/>
        </w:rPr>
        <w:t>Pogam</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Janin</w:t>
      </w:r>
      <w:proofErr w:type="spellEnd"/>
      <w:r w:rsidRPr="00427DC3">
        <w:rPr>
          <w:rFonts w:ascii="Arial" w:hAnsi="Arial" w:cs="Arial"/>
          <w:sz w:val="22"/>
          <w:szCs w:val="22"/>
          <w:lang w:val="en-US"/>
        </w:rPr>
        <w:t xml:space="preserve">, A., West, R., </w:t>
      </w:r>
      <w:proofErr w:type="spellStart"/>
      <w:r w:rsidRPr="00427DC3">
        <w:rPr>
          <w:rFonts w:ascii="Arial" w:hAnsi="Arial" w:cs="Arial"/>
          <w:sz w:val="22"/>
          <w:szCs w:val="22"/>
          <w:lang w:val="en-US"/>
        </w:rPr>
        <w:t>Noguera</w:t>
      </w:r>
      <w:proofErr w:type="spellEnd"/>
      <w:r w:rsidRPr="00427DC3">
        <w:rPr>
          <w:rFonts w:ascii="Arial" w:hAnsi="Arial" w:cs="Arial"/>
          <w:sz w:val="22"/>
          <w:szCs w:val="22"/>
          <w:lang w:val="en-US"/>
        </w:rPr>
        <w:t xml:space="preserve">, M.-E., Reboul, M., </w:t>
      </w:r>
      <w:proofErr w:type="spellStart"/>
      <w:r w:rsidRPr="00427DC3">
        <w:rPr>
          <w:rFonts w:ascii="Arial" w:hAnsi="Arial" w:cs="Arial"/>
          <w:sz w:val="22"/>
          <w:szCs w:val="22"/>
          <w:lang w:val="en-US"/>
        </w:rPr>
        <w:t>Soulie</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Leboeuf</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Setterblad</w:t>
      </w:r>
      <w:proofErr w:type="spellEnd"/>
      <w:r w:rsidRPr="00427DC3">
        <w:rPr>
          <w:rFonts w:ascii="Arial" w:hAnsi="Arial" w:cs="Arial"/>
          <w:sz w:val="22"/>
          <w:szCs w:val="22"/>
          <w:lang w:val="en-US"/>
        </w:rPr>
        <w:t xml:space="preserve">, N., </w:t>
      </w:r>
      <w:proofErr w:type="spellStart"/>
      <w:r w:rsidRPr="00427DC3">
        <w:rPr>
          <w:rFonts w:ascii="Arial" w:hAnsi="Arial" w:cs="Arial"/>
          <w:sz w:val="22"/>
          <w:szCs w:val="22"/>
          <w:lang w:val="en-US"/>
        </w:rPr>
        <w:t>Felsher</w:t>
      </w:r>
      <w:proofErr w:type="spellEnd"/>
      <w:r w:rsidRPr="00427DC3">
        <w:rPr>
          <w:rFonts w:ascii="Arial" w:hAnsi="Arial" w:cs="Arial"/>
          <w:sz w:val="22"/>
          <w:szCs w:val="22"/>
          <w:lang w:val="en-US"/>
        </w:rPr>
        <w:t xml:space="preserve">, D., Lagasse, E., </w:t>
      </w:r>
      <w:proofErr w:type="spellStart"/>
      <w:r w:rsidRPr="00427DC3">
        <w:rPr>
          <w:rFonts w:ascii="Arial" w:hAnsi="Arial" w:cs="Arial"/>
          <w:sz w:val="22"/>
          <w:szCs w:val="22"/>
          <w:lang w:val="en-US"/>
        </w:rPr>
        <w:t>Mohamedali</w:t>
      </w:r>
      <w:proofErr w:type="spellEnd"/>
      <w:r w:rsidRPr="00427DC3">
        <w:rPr>
          <w:rFonts w:ascii="Arial" w:hAnsi="Arial" w:cs="Arial"/>
          <w:sz w:val="22"/>
          <w:szCs w:val="22"/>
          <w:lang w:val="en-US"/>
        </w:rPr>
        <w:t xml:space="preserve">, A., Thomas, N.S.B., </w:t>
      </w:r>
      <w:proofErr w:type="spellStart"/>
      <w:r w:rsidRPr="00427DC3">
        <w:rPr>
          <w:rFonts w:ascii="Arial" w:hAnsi="Arial" w:cs="Arial"/>
          <w:sz w:val="22"/>
          <w:szCs w:val="22"/>
          <w:lang w:val="en-US"/>
        </w:rPr>
        <w:t>Fenaux</w:t>
      </w:r>
      <w:proofErr w:type="spellEnd"/>
      <w:r w:rsidRPr="00427DC3">
        <w:rPr>
          <w:rFonts w:ascii="Arial" w:hAnsi="Arial" w:cs="Arial"/>
          <w:sz w:val="22"/>
          <w:szCs w:val="22"/>
          <w:lang w:val="en-US"/>
        </w:rPr>
        <w:t xml:space="preserve">, P., Fontenay, M., </w:t>
      </w:r>
      <w:proofErr w:type="spellStart"/>
      <w:r w:rsidRPr="00427DC3">
        <w:rPr>
          <w:rFonts w:ascii="Arial" w:hAnsi="Arial" w:cs="Arial"/>
          <w:sz w:val="22"/>
          <w:szCs w:val="22"/>
          <w:lang w:val="en-US"/>
        </w:rPr>
        <w:t>Pla</w:t>
      </w:r>
      <w:proofErr w:type="spellEnd"/>
      <w:r w:rsidRPr="00427DC3">
        <w:rPr>
          <w:rFonts w:ascii="Arial" w:hAnsi="Arial" w:cs="Arial"/>
          <w:sz w:val="22"/>
          <w:szCs w:val="22"/>
          <w:lang w:val="en-US"/>
        </w:rPr>
        <w:t xml:space="preserve">, M., Mufti, G.J., Weissman, I., </w:t>
      </w:r>
      <w:proofErr w:type="spellStart"/>
      <w:r w:rsidRPr="00427DC3">
        <w:rPr>
          <w:rFonts w:ascii="Arial" w:hAnsi="Arial" w:cs="Arial"/>
          <w:sz w:val="22"/>
          <w:szCs w:val="22"/>
          <w:lang w:val="en-US"/>
        </w:rPr>
        <w:t>Chomienne</w:t>
      </w:r>
      <w:proofErr w:type="spellEnd"/>
      <w:r w:rsidRPr="00427DC3">
        <w:rPr>
          <w:rFonts w:ascii="Arial" w:hAnsi="Arial" w:cs="Arial"/>
          <w:sz w:val="22"/>
          <w:szCs w:val="22"/>
          <w:lang w:val="en-US"/>
        </w:rPr>
        <w:t>, C., Padua, R.A., 2007. BCL-2 and mutant NRAS interact physically and functionally in a mouse model of progressive myelodysplasia. Cancer Res. 67, 11657–11667. https://doi.org/10.1158/0008-5472.CAN-07-0196</w:t>
      </w:r>
    </w:p>
    <w:p w14:paraId="0FEA3BBE"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Pandolfi</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Barreyro</w:t>
      </w:r>
      <w:proofErr w:type="spellEnd"/>
      <w:r w:rsidRPr="00427DC3">
        <w:rPr>
          <w:rFonts w:ascii="Arial" w:hAnsi="Arial" w:cs="Arial"/>
          <w:sz w:val="22"/>
          <w:szCs w:val="22"/>
          <w:lang w:val="en-US"/>
        </w:rPr>
        <w:t xml:space="preserve">, L., </w:t>
      </w:r>
      <w:proofErr w:type="spellStart"/>
      <w:r w:rsidRPr="00427DC3">
        <w:rPr>
          <w:rFonts w:ascii="Arial" w:hAnsi="Arial" w:cs="Arial"/>
          <w:sz w:val="22"/>
          <w:szCs w:val="22"/>
          <w:lang w:val="en-US"/>
        </w:rPr>
        <w:t>Steidl</w:t>
      </w:r>
      <w:proofErr w:type="spellEnd"/>
      <w:r w:rsidRPr="00427DC3">
        <w:rPr>
          <w:rFonts w:ascii="Arial" w:hAnsi="Arial" w:cs="Arial"/>
          <w:sz w:val="22"/>
          <w:szCs w:val="22"/>
          <w:lang w:val="en-US"/>
        </w:rPr>
        <w:t xml:space="preserve">, U., 2013. Concise Review: Preleukemic Stem Cells: Molecular Biology and Clinical Implications of the Precursors to Leukemia Stem Cells. Stem Cells </w:t>
      </w:r>
      <w:proofErr w:type="spellStart"/>
      <w:r w:rsidRPr="00427DC3">
        <w:rPr>
          <w:rFonts w:ascii="Arial" w:hAnsi="Arial" w:cs="Arial"/>
          <w:sz w:val="22"/>
          <w:szCs w:val="22"/>
          <w:lang w:val="en-US"/>
        </w:rPr>
        <w:t>Transl</w:t>
      </w:r>
      <w:proofErr w:type="spellEnd"/>
      <w:r w:rsidRPr="00427DC3">
        <w:rPr>
          <w:rFonts w:ascii="Arial" w:hAnsi="Arial" w:cs="Arial"/>
          <w:sz w:val="22"/>
          <w:szCs w:val="22"/>
          <w:lang w:val="en-US"/>
        </w:rPr>
        <w:t xml:space="preserve"> Med 2, 143–150. https://doi.org/10.5966/sctm.2012-0109</w:t>
      </w:r>
    </w:p>
    <w:p w14:paraId="2802ABAF"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Pang, W.W., Price, E.A., Sahoo, D., </w:t>
      </w:r>
      <w:proofErr w:type="spellStart"/>
      <w:r w:rsidRPr="00427DC3">
        <w:rPr>
          <w:rFonts w:ascii="Arial" w:hAnsi="Arial" w:cs="Arial"/>
          <w:sz w:val="22"/>
          <w:szCs w:val="22"/>
          <w:lang w:val="en-US"/>
        </w:rPr>
        <w:t>Beerman</w:t>
      </w:r>
      <w:proofErr w:type="spellEnd"/>
      <w:r w:rsidRPr="00427DC3">
        <w:rPr>
          <w:rFonts w:ascii="Arial" w:hAnsi="Arial" w:cs="Arial"/>
          <w:sz w:val="22"/>
          <w:szCs w:val="22"/>
          <w:lang w:val="en-US"/>
        </w:rPr>
        <w:t>, I., Maloney, W.J., Rossi, D.J., Schrier, S.L., Weissman, I.L., 2011. Human bone marrow hematopoietic stem cells are increased in frequency and myeloid-biased with age. Proc. Natl. Acad. Sci. U.S.A. 108, 20012–20017. https://doi.org/10.1073/pnas.1116110108</w:t>
      </w:r>
    </w:p>
    <w:p w14:paraId="0981333E"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Passamonti</w:t>
      </w:r>
      <w:proofErr w:type="spellEnd"/>
      <w:r w:rsidRPr="00427DC3">
        <w:rPr>
          <w:rFonts w:ascii="Arial" w:hAnsi="Arial" w:cs="Arial"/>
          <w:sz w:val="22"/>
          <w:szCs w:val="22"/>
          <w:lang w:val="en-US"/>
        </w:rPr>
        <w:t xml:space="preserve">, F., Elena, C., Schnittger, S., Skoda, R.C., Green, A.R., </w:t>
      </w:r>
      <w:proofErr w:type="spellStart"/>
      <w:r w:rsidRPr="00427DC3">
        <w:rPr>
          <w:rFonts w:ascii="Arial" w:hAnsi="Arial" w:cs="Arial"/>
          <w:sz w:val="22"/>
          <w:szCs w:val="22"/>
          <w:lang w:val="en-US"/>
        </w:rPr>
        <w:t>Girodon</w:t>
      </w:r>
      <w:proofErr w:type="spellEnd"/>
      <w:r w:rsidRPr="00427DC3">
        <w:rPr>
          <w:rFonts w:ascii="Arial" w:hAnsi="Arial" w:cs="Arial"/>
          <w:sz w:val="22"/>
          <w:szCs w:val="22"/>
          <w:lang w:val="en-US"/>
        </w:rPr>
        <w:t xml:space="preserve">, F., </w:t>
      </w:r>
      <w:proofErr w:type="spellStart"/>
      <w:r w:rsidRPr="00427DC3">
        <w:rPr>
          <w:rFonts w:ascii="Arial" w:hAnsi="Arial" w:cs="Arial"/>
          <w:sz w:val="22"/>
          <w:szCs w:val="22"/>
          <w:lang w:val="en-US"/>
        </w:rPr>
        <w:t>Kiladjian</w:t>
      </w:r>
      <w:proofErr w:type="spellEnd"/>
      <w:r w:rsidRPr="00427DC3">
        <w:rPr>
          <w:rFonts w:ascii="Arial" w:hAnsi="Arial" w:cs="Arial"/>
          <w:sz w:val="22"/>
          <w:szCs w:val="22"/>
          <w:lang w:val="en-US"/>
        </w:rPr>
        <w:t xml:space="preserve">, J.-J., McMullin, M.F., Ruggeri, M., </w:t>
      </w:r>
      <w:proofErr w:type="spellStart"/>
      <w:r w:rsidRPr="00427DC3">
        <w:rPr>
          <w:rFonts w:ascii="Arial" w:hAnsi="Arial" w:cs="Arial"/>
          <w:sz w:val="22"/>
          <w:szCs w:val="22"/>
          <w:lang w:val="en-US"/>
        </w:rPr>
        <w:t>Besses</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Vannucchi</w:t>
      </w:r>
      <w:proofErr w:type="spellEnd"/>
      <w:r w:rsidRPr="00427DC3">
        <w:rPr>
          <w:rFonts w:ascii="Arial" w:hAnsi="Arial" w:cs="Arial"/>
          <w:sz w:val="22"/>
          <w:szCs w:val="22"/>
          <w:lang w:val="en-US"/>
        </w:rPr>
        <w:t xml:space="preserve">, A.M., Lippert, E., </w:t>
      </w:r>
      <w:proofErr w:type="spellStart"/>
      <w:r w:rsidRPr="00427DC3">
        <w:rPr>
          <w:rFonts w:ascii="Arial" w:hAnsi="Arial" w:cs="Arial"/>
          <w:sz w:val="22"/>
          <w:szCs w:val="22"/>
          <w:lang w:val="en-US"/>
        </w:rPr>
        <w:t>Gisslinger</w:t>
      </w:r>
      <w:proofErr w:type="spellEnd"/>
      <w:r w:rsidRPr="00427DC3">
        <w:rPr>
          <w:rFonts w:ascii="Arial" w:hAnsi="Arial" w:cs="Arial"/>
          <w:sz w:val="22"/>
          <w:szCs w:val="22"/>
          <w:lang w:val="en-US"/>
        </w:rPr>
        <w:t xml:space="preserve">, H., Rumi, E., Lehmann, T., </w:t>
      </w:r>
      <w:proofErr w:type="spellStart"/>
      <w:r w:rsidRPr="00427DC3">
        <w:rPr>
          <w:rFonts w:ascii="Arial" w:hAnsi="Arial" w:cs="Arial"/>
          <w:sz w:val="22"/>
          <w:szCs w:val="22"/>
          <w:lang w:val="en-US"/>
        </w:rPr>
        <w:t>Ortmann</w:t>
      </w:r>
      <w:proofErr w:type="spellEnd"/>
      <w:r w:rsidRPr="00427DC3">
        <w:rPr>
          <w:rFonts w:ascii="Arial" w:hAnsi="Arial" w:cs="Arial"/>
          <w:sz w:val="22"/>
          <w:szCs w:val="22"/>
          <w:lang w:val="en-US"/>
        </w:rPr>
        <w:t xml:space="preserve">, C.A., </w:t>
      </w:r>
      <w:proofErr w:type="spellStart"/>
      <w:r w:rsidRPr="00427DC3">
        <w:rPr>
          <w:rFonts w:ascii="Arial" w:hAnsi="Arial" w:cs="Arial"/>
          <w:sz w:val="22"/>
          <w:szCs w:val="22"/>
          <w:lang w:val="en-US"/>
        </w:rPr>
        <w:t>Pietra</w:t>
      </w:r>
      <w:proofErr w:type="spellEnd"/>
      <w:r w:rsidRPr="00427DC3">
        <w:rPr>
          <w:rFonts w:ascii="Arial" w:hAnsi="Arial" w:cs="Arial"/>
          <w:sz w:val="22"/>
          <w:szCs w:val="22"/>
          <w:lang w:val="en-US"/>
        </w:rPr>
        <w:t xml:space="preserve">, D., </w:t>
      </w:r>
      <w:proofErr w:type="spellStart"/>
      <w:r w:rsidRPr="00427DC3">
        <w:rPr>
          <w:rFonts w:ascii="Arial" w:hAnsi="Arial" w:cs="Arial"/>
          <w:sz w:val="22"/>
          <w:szCs w:val="22"/>
          <w:lang w:val="en-US"/>
        </w:rPr>
        <w:t>Pascutto</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Haferlach</w:t>
      </w:r>
      <w:proofErr w:type="spellEnd"/>
      <w:r w:rsidRPr="00427DC3">
        <w:rPr>
          <w:rFonts w:ascii="Arial" w:hAnsi="Arial" w:cs="Arial"/>
          <w:sz w:val="22"/>
          <w:szCs w:val="22"/>
          <w:lang w:val="en-US"/>
        </w:rPr>
        <w:t xml:space="preserve">, T., </w:t>
      </w:r>
      <w:proofErr w:type="spellStart"/>
      <w:r w:rsidRPr="00427DC3">
        <w:rPr>
          <w:rFonts w:ascii="Arial" w:hAnsi="Arial" w:cs="Arial"/>
          <w:sz w:val="22"/>
          <w:szCs w:val="22"/>
          <w:lang w:val="en-US"/>
        </w:rPr>
        <w:t>Cazzola</w:t>
      </w:r>
      <w:proofErr w:type="spellEnd"/>
      <w:r w:rsidRPr="00427DC3">
        <w:rPr>
          <w:rFonts w:ascii="Arial" w:hAnsi="Arial" w:cs="Arial"/>
          <w:sz w:val="22"/>
          <w:szCs w:val="22"/>
          <w:lang w:val="en-US"/>
        </w:rPr>
        <w:t>, M., 2011. Molecular and clinical features of the myeloproliferative neoplasm associated with JAK2 exon 12 mutations. Blood 117, 2813–2816. https://doi.org/10.1182/blood-2010-11-316810</w:t>
      </w:r>
    </w:p>
    <w:p w14:paraId="3C977CC2"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Pearl, L.H., </w:t>
      </w:r>
      <w:proofErr w:type="spellStart"/>
      <w:r w:rsidRPr="00427DC3">
        <w:rPr>
          <w:rFonts w:ascii="Arial" w:hAnsi="Arial" w:cs="Arial"/>
          <w:sz w:val="22"/>
          <w:szCs w:val="22"/>
          <w:lang w:val="en-US"/>
        </w:rPr>
        <w:t>Schierz</w:t>
      </w:r>
      <w:proofErr w:type="spellEnd"/>
      <w:r w:rsidRPr="00427DC3">
        <w:rPr>
          <w:rFonts w:ascii="Arial" w:hAnsi="Arial" w:cs="Arial"/>
          <w:sz w:val="22"/>
          <w:szCs w:val="22"/>
          <w:lang w:val="en-US"/>
        </w:rPr>
        <w:t>, A.C., Ward, S.E., Al-</w:t>
      </w:r>
      <w:proofErr w:type="spellStart"/>
      <w:r w:rsidRPr="00427DC3">
        <w:rPr>
          <w:rFonts w:ascii="Arial" w:hAnsi="Arial" w:cs="Arial"/>
          <w:sz w:val="22"/>
          <w:szCs w:val="22"/>
          <w:lang w:val="en-US"/>
        </w:rPr>
        <w:t>Lazikani</w:t>
      </w:r>
      <w:proofErr w:type="spellEnd"/>
      <w:r w:rsidRPr="00427DC3">
        <w:rPr>
          <w:rFonts w:ascii="Arial" w:hAnsi="Arial" w:cs="Arial"/>
          <w:sz w:val="22"/>
          <w:szCs w:val="22"/>
          <w:lang w:val="en-US"/>
        </w:rPr>
        <w:t>, B., Pearl, F.M.G., 2015. Therapeutic opportunities within the DNA damage response. Nature Reviews Cancer 15, nrc3891. https://doi.org/10.1038/nrc3891</w:t>
      </w:r>
    </w:p>
    <w:p w14:paraId="1A99F0E6"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r w:rsidRPr="00427DC3">
        <w:rPr>
          <w:rFonts w:ascii="Arial" w:hAnsi="Arial" w:cs="Arial"/>
          <w:sz w:val="22"/>
          <w:szCs w:val="22"/>
          <w:lang w:val="en-US"/>
        </w:rPr>
        <w:t xml:space="preserve">Peddie, C.M., Wolf, C.R., McLellan, L.I., Collins, A.R., Bowen, D.T., 1997. Oxidative DNA damage in CD34+ myelodysplastic cells is associated with intracellular redox changes and elevated plasma </w:t>
      </w:r>
      <w:proofErr w:type="spellStart"/>
      <w:r w:rsidRPr="00427DC3">
        <w:rPr>
          <w:rFonts w:ascii="Arial" w:hAnsi="Arial" w:cs="Arial"/>
          <w:sz w:val="22"/>
          <w:szCs w:val="22"/>
          <w:lang w:val="en-US"/>
        </w:rPr>
        <w:t>tumour</w:t>
      </w:r>
      <w:proofErr w:type="spellEnd"/>
      <w:r w:rsidRPr="00427DC3">
        <w:rPr>
          <w:rFonts w:ascii="Arial" w:hAnsi="Arial" w:cs="Arial"/>
          <w:sz w:val="22"/>
          <w:szCs w:val="22"/>
          <w:lang w:val="en-US"/>
        </w:rPr>
        <w:t xml:space="preserve"> necrosis factor-alpha concentration. </w:t>
      </w:r>
      <w:r w:rsidRPr="00427DC3">
        <w:rPr>
          <w:rFonts w:ascii="Arial" w:hAnsi="Arial" w:cs="Arial"/>
          <w:sz w:val="22"/>
          <w:szCs w:val="22"/>
          <w:lang w:val="de-DE"/>
        </w:rPr>
        <w:t xml:space="preserve">Br. J. </w:t>
      </w:r>
      <w:proofErr w:type="spellStart"/>
      <w:r w:rsidRPr="00427DC3">
        <w:rPr>
          <w:rFonts w:ascii="Arial" w:hAnsi="Arial" w:cs="Arial"/>
          <w:sz w:val="22"/>
          <w:szCs w:val="22"/>
          <w:lang w:val="de-DE"/>
        </w:rPr>
        <w:t>Haematol</w:t>
      </w:r>
      <w:proofErr w:type="spellEnd"/>
      <w:r w:rsidRPr="00427DC3">
        <w:rPr>
          <w:rFonts w:ascii="Arial" w:hAnsi="Arial" w:cs="Arial"/>
          <w:sz w:val="22"/>
          <w:szCs w:val="22"/>
          <w:lang w:val="de-DE"/>
        </w:rPr>
        <w:t>. 99, 625–631.</w:t>
      </w:r>
    </w:p>
    <w:p w14:paraId="1EBB79E7"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r w:rsidRPr="00427DC3">
        <w:rPr>
          <w:rFonts w:ascii="Arial" w:hAnsi="Arial" w:cs="Arial"/>
          <w:sz w:val="22"/>
          <w:szCs w:val="22"/>
          <w:lang w:val="de-DE"/>
        </w:rPr>
        <w:t xml:space="preserve">Perner, F., Perner, C., Ernst, T., </w:t>
      </w:r>
      <w:proofErr w:type="spellStart"/>
      <w:r w:rsidRPr="00427DC3">
        <w:rPr>
          <w:rFonts w:ascii="Arial" w:hAnsi="Arial" w:cs="Arial"/>
          <w:sz w:val="22"/>
          <w:szCs w:val="22"/>
          <w:lang w:val="de-DE"/>
        </w:rPr>
        <w:t>Heidel</w:t>
      </w:r>
      <w:proofErr w:type="spellEnd"/>
      <w:r w:rsidRPr="00427DC3">
        <w:rPr>
          <w:rFonts w:ascii="Arial" w:hAnsi="Arial" w:cs="Arial"/>
          <w:sz w:val="22"/>
          <w:szCs w:val="22"/>
          <w:lang w:val="de-DE"/>
        </w:rPr>
        <w:t xml:space="preserve">, F.H., 2019. </w:t>
      </w:r>
      <w:r w:rsidRPr="00427DC3">
        <w:rPr>
          <w:rFonts w:ascii="Arial" w:hAnsi="Arial" w:cs="Arial"/>
          <w:sz w:val="22"/>
          <w:szCs w:val="22"/>
          <w:lang w:val="en-US"/>
        </w:rPr>
        <w:t xml:space="preserve">Roles of JAK2 in Aging, Inflammation, Hematopoiesis and Malignant Transformation. </w:t>
      </w:r>
      <w:r w:rsidRPr="00427DC3">
        <w:rPr>
          <w:rFonts w:ascii="Arial" w:hAnsi="Arial" w:cs="Arial"/>
          <w:sz w:val="22"/>
          <w:szCs w:val="22"/>
          <w:lang w:val="de-DE"/>
        </w:rPr>
        <w:t>Cells 8. https://doi.org/10.3390/cells8080854</w:t>
      </w:r>
    </w:p>
    <w:p w14:paraId="19405E4C"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de-DE"/>
        </w:rPr>
        <w:t>Pietras</w:t>
      </w:r>
      <w:proofErr w:type="spellEnd"/>
      <w:r w:rsidRPr="00427DC3">
        <w:rPr>
          <w:rFonts w:ascii="Arial" w:hAnsi="Arial" w:cs="Arial"/>
          <w:sz w:val="22"/>
          <w:szCs w:val="22"/>
          <w:lang w:val="de-DE"/>
        </w:rPr>
        <w:t xml:space="preserve">, E.M., </w:t>
      </w:r>
      <w:proofErr w:type="spellStart"/>
      <w:r w:rsidRPr="00427DC3">
        <w:rPr>
          <w:rFonts w:ascii="Arial" w:hAnsi="Arial" w:cs="Arial"/>
          <w:sz w:val="22"/>
          <w:szCs w:val="22"/>
          <w:lang w:val="de-DE"/>
        </w:rPr>
        <w:t>Lakshminarasimhan</w:t>
      </w:r>
      <w:proofErr w:type="spellEnd"/>
      <w:r w:rsidRPr="00427DC3">
        <w:rPr>
          <w:rFonts w:ascii="Arial" w:hAnsi="Arial" w:cs="Arial"/>
          <w:sz w:val="22"/>
          <w:szCs w:val="22"/>
          <w:lang w:val="de-DE"/>
        </w:rPr>
        <w:t xml:space="preserve">, R., </w:t>
      </w:r>
      <w:proofErr w:type="spellStart"/>
      <w:r w:rsidRPr="00427DC3">
        <w:rPr>
          <w:rFonts w:ascii="Arial" w:hAnsi="Arial" w:cs="Arial"/>
          <w:sz w:val="22"/>
          <w:szCs w:val="22"/>
          <w:lang w:val="de-DE"/>
        </w:rPr>
        <w:t>Techner</w:t>
      </w:r>
      <w:proofErr w:type="spellEnd"/>
      <w:r w:rsidRPr="00427DC3">
        <w:rPr>
          <w:rFonts w:ascii="Arial" w:hAnsi="Arial" w:cs="Arial"/>
          <w:sz w:val="22"/>
          <w:szCs w:val="22"/>
          <w:lang w:val="de-DE"/>
        </w:rPr>
        <w:t xml:space="preserve">, J.-M., </w:t>
      </w:r>
      <w:proofErr w:type="spellStart"/>
      <w:r w:rsidRPr="00427DC3">
        <w:rPr>
          <w:rFonts w:ascii="Arial" w:hAnsi="Arial" w:cs="Arial"/>
          <w:sz w:val="22"/>
          <w:szCs w:val="22"/>
          <w:lang w:val="de-DE"/>
        </w:rPr>
        <w:t>Fong</w:t>
      </w:r>
      <w:proofErr w:type="spellEnd"/>
      <w:r w:rsidRPr="00427DC3">
        <w:rPr>
          <w:rFonts w:ascii="Arial" w:hAnsi="Arial" w:cs="Arial"/>
          <w:sz w:val="22"/>
          <w:szCs w:val="22"/>
          <w:lang w:val="de-DE"/>
        </w:rPr>
        <w:t xml:space="preserve">, S., Flach, J., </w:t>
      </w:r>
      <w:proofErr w:type="spellStart"/>
      <w:r w:rsidRPr="00427DC3">
        <w:rPr>
          <w:rFonts w:ascii="Arial" w:hAnsi="Arial" w:cs="Arial"/>
          <w:sz w:val="22"/>
          <w:szCs w:val="22"/>
          <w:lang w:val="de-DE"/>
        </w:rPr>
        <w:t>Binnewies</w:t>
      </w:r>
      <w:proofErr w:type="spellEnd"/>
      <w:r w:rsidRPr="00427DC3">
        <w:rPr>
          <w:rFonts w:ascii="Arial" w:hAnsi="Arial" w:cs="Arial"/>
          <w:sz w:val="22"/>
          <w:szCs w:val="22"/>
          <w:lang w:val="de-DE"/>
        </w:rPr>
        <w:t xml:space="preserve">, M., </w:t>
      </w:r>
      <w:proofErr w:type="spellStart"/>
      <w:r w:rsidRPr="00427DC3">
        <w:rPr>
          <w:rFonts w:ascii="Arial" w:hAnsi="Arial" w:cs="Arial"/>
          <w:sz w:val="22"/>
          <w:szCs w:val="22"/>
          <w:lang w:val="de-DE"/>
        </w:rPr>
        <w:t>Passegué</w:t>
      </w:r>
      <w:proofErr w:type="spellEnd"/>
      <w:r w:rsidRPr="00427DC3">
        <w:rPr>
          <w:rFonts w:ascii="Arial" w:hAnsi="Arial" w:cs="Arial"/>
          <w:sz w:val="22"/>
          <w:szCs w:val="22"/>
          <w:lang w:val="de-DE"/>
        </w:rPr>
        <w:t xml:space="preserve">, E., 2014. </w:t>
      </w:r>
      <w:r w:rsidRPr="00427DC3">
        <w:rPr>
          <w:rFonts w:ascii="Arial" w:hAnsi="Arial" w:cs="Arial"/>
          <w:sz w:val="22"/>
          <w:szCs w:val="22"/>
          <w:lang w:val="en-US"/>
        </w:rPr>
        <w:t>Re-entry into quiescence protects hematopoietic stem cells from the killing effect of chronic exposure to type I interferons. J Exp Med 211, 245–262. https://doi.org/10.1084/jem.20131043</w:t>
      </w:r>
    </w:p>
    <w:p w14:paraId="556E591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proofErr w:type="spellStart"/>
      <w:r w:rsidRPr="00427DC3">
        <w:rPr>
          <w:rFonts w:ascii="Arial" w:hAnsi="Arial" w:cs="Arial"/>
          <w:sz w:val="22"/>
          <w:szCs w:val="22"/>
          <w:lang w:val="en-US"/>
        </w:rPr>
        <w:t>Plo</w:t>
      </w:r>
      <w:proofErr w:type="spellEnd"/>
      <w:r w:rsidRPr="00427DC3">
        <w:rPr>
          <w:rFonts w:ascii="Arial" w:hAnsi="Arial" w:cs="Arial"/>
          <w:sz w:val="22"/>
          <w:szCs w:val="22"/>
          <w:lang w:val="en-US"/>
        </w:rPr>
        <w:t xml:space="preserve">, I., </w:t>
      </w:r>
      <w:proofErr w:type="spellStart"/>
      <w:r w:rsidRPr="00427DC3">
        <w:rPr>
          <w:rFonts w:ascii="Arial" w:hAnsi="Arial" w:cs="Arial"/>
          <w:sz w:val="22"/>
          <w:szCs w:val="22"/>
          <w:lang w:val="en-US"/>
        </w:rPr>
        <w:t>Nakatake</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Malivert</w:t>
      </w:r>
      <w:proofErr w:type="spellEnd"/>
      <w:r w:rsidRPr="00427DC3">
        <w:rPr>
          <w:rFonts w:ascii="Arial" w:hAnsi="Arial" w:cs="Arial"/>
          <w:sz w:val="22"/>
          <w:szCs w:val="22"/>
          <w:lang w:val="en-US"/>
        </w:rPr>
        <w:t xml:space="preserve">, L., </w:t>
      </w:r>
      <w:proofErr w:type="spellStart"/>
      <w:r w:rsidRPr="00427DC3">
        <w:rPr>
          <w:rFonts w:ascii="Arial" w:hAnsi="Arial" w:cs="Arial"/>
          <w:sz w:val="22"/>
          <w:szCs w:val="22"/>
          <w:lang w:val="en-US"/>
        </w:rPr>
        <w:t>Villartay</w:t>
      </w:r>
      <w:proofErr w:type="spellEnd"/>
      <w:r w:rsidRPr="00427DC3">
        <w:rPr>
          <w:rFonts w:ascii="Arial" w:hAnsi="Arial" w:cs="Arial"/>
          <w:sz w:val="22"/>
          <w:szCs w:val="22"/>
          <w:lang w:val="en-US"/>
        </w:rPr>
        <w:t xml:space="preserve">, J.-P. de, </w:t>
      </w:r>
      <w:proofErr w:type="spellStart"/>
      <w:r w:rsidRPr="00427DC3">
        <w:rPr>
          <w:rFonts w:ascii="Arial" w:hAnsi="Arial" w:cs="Arial"/>
          <w:sz w:val="22"/>
          <w:szCs w:val="22"/>
          <w:lang w:val="en-US"/>
        </w:rPr>
        <w:t>Giraudier</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Villeval</w:t>
      </w:r>
      <w:proofErr w:type="spellEnd"/>
      <w:r w:rsidRPr="00427DC3">
        <w:rPr>
          <w:rFonts w:ascii="Arial" w:hAnsi="Arial" w:cs="Arial"/>
          <w:sz w:val="22"/>
          <w:szCs w:val="22"/>
          <w:lang w:val="en-US"/>
        </w:rPr>
        <w:t xml:space="preserve">, J.-L., </w:t>
      </w:r>
      <w:proofErr w:type="spellStart"/>
      <w:r w:rsidRPr="00427DC3">
        <w:rPr>
          <w:rFonts w:ascii="Arial" w:hAnsi="Arial" w:cs="Arial"/>
          <w:sz w:val="22"/>
          <w:szCs w:val="22"/>
          <w:lang w:val="en-US"/>
        </w:rPr>
        <w:t>Wiesmuller</w:t>
      </w:r>
      <w:proofErr w:type="spellEnd"/>
      <w:r w:rsidRPr="00427DC3">
        <w:rPr>
          <w:rFonts w:ascii="Arial" w:hAnsi="Arial" w:cs="Arial"/>
          <w:sz w:val="22"/>
          <w:szCs w:val="22"/>
          <w:lang w:val="en-US"/>
        </w:rPr>
        <w:t xml:space="preserve">, L., </w:t>
      </w:r>
      <w:proofErr w:type="spellStart"/>
      <w:r w:rsidRPr="00427DC3">
        <w:rPr>
          <w:rFonts w:ascii="Arial" w:hAnsi="Arial" w:cs="Arial"/>
          <w:sz w:val="22"/>
          <w:szCs w:val="22"/>
          <w:lang w:val="en-US"/>
        </w:rPr>
        <w:t>Vainchenker</w:t>
      </w:r>
      <w:proofErr w:type="spellEnd"/>
      <w:r w:rsidRPr="00427DC3">
        <w:rPr>
          <w:rFonts w:ascii="Arial" w:hAnsi="Arial" w:cs="Arial"/>
          <w:sz w:val="22"/>
          <w:szCs w:val="22"/>
          <w:lang w:val="en-US"/>
        </w:rPr>
        <w:t xml:space="preserve">, W., 2008. JAK2 stimulates homologous recombination and genetic instability: potential implication in the heterogeneity of myeloproliferative disorders. </w:t>
      </w:r>
      <w:r w:rsidRPr="00427DC3">
        <w:rPr>
          <w:rFonts w:ascii="Arial" w:hAnsi="Arial" w:cs="Arial"/>
          <w:sz w:val="22"/>
          <w:szCs w:val="22"/>
          <w:lang w:val="de-DE"/>
        </w:rPr>
        <w:t>Blood 112, 1402–1412. https://doi.org/10.1182/blood-2008-01-134114</w:t>
      </w:r>
    </w:p>
    <w:p w14:paraId="055D564D"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proofErr w:type="spellStart"/>
      <w:r w:rsidRPr="00427DC3">
        <w:rPr>
          <w:rFonts w:ascii="Arial" w:hAnsi="Arial" w:cs="Arial"/>
          <w:sz w:val="22"/>
          <w:szCs w:val="22"/>
          <w:lang w:val="de-DE"/>
        </w:rPr>
        <w:lastRenderedPageBreak/>
        <w:t>Pohlers</w:t>
      </w:r>
      <w:proofErr w:type="spellEnd"/>
      <w:r w:rsidRPr="00427DC3">
        <w:rPr>
          <w:rFonts w:ascii="Arial" w:hAnsi="Arial" w:cs="Arial"/>
          <w:sz w:val="22"/>
          <w:szCs w:val="22"/>
          <w:lang w:val="de-DE"/>
        </w:rPr>
        <w:t xml:space="preserve">, D., </w:t>
      </w:r>
      <w:proofErr w:type="spellStart"/>
      <w:r w:rsidRPr="00427DC3">
        <w:rPr>
          <w:rFonts w:ascii="Arial" w:hAnsi="Arial" w:cs="Arial"/>
          <w:sz w:val="22"/>
          <w:szCs w:val="22"/>
          <w:lang w:val="de-DE"/>
        </w:rPr>
        <w:t>Brenmoehl</w:t>
      </w:r>
      <w:proofErr w:type="spellEnd"/>
      <w:r w:rsidRPr="00427DC3">
        <w:rPr>
          <w:rFonts w:ascii="Arial" w:hAnsi="Arial" w:cs="Arial"/>
          <w:sz w:val="22"/>
          <w:szCs w:val="22"/>
          <w:lang w:val="de-DE"/>
        </w:rPr>
        <w:t xml:space="preserve">, J., Löffler, I., Müller, C.K., </w:t>
      </w:r>
      <w:proofErr w:type="spellStart"/>
      <w:r w:rsidRPr="00427DC3">
        <w:rPr>
          <w:rFonts w:ascii="Arial" w:hAnsi="Arial" w:cs="Arial"/>
          <w:sz w:val="22"/>
          <w:szCs w:val="22"/>
          <w:lang w:val="de-DE"/>
        </w:rPr>
        <w:t>Leipner</w:t>
      </w:r>
      <w:proofErr w:type="spellEnd"/>
      <w:r w:rsidRPr="00427DC3">
        <w:rPr>
          <w:rFonts w:ascii="Arial" w:hAnsi="Arial" w:cs="Arial"/>
          <w:sz w:val="22"/>
          <w:szCs w:val="22"/>
          <w:lang w:val="de-DE"/>
        </w:rPr>
        <w:t>, C., Schultze-</w:t>
      </w:r>
      <w:proofErr w:type="spellStart"/>
      <w:r w:rsidRPr="00427DC3">
        <w:rPr>
          <w:rFonts w:ascii="Arial" w:hAnsi="Arial" w:cs="Arial"/>
          <w:sz w:val="22"/>
          <w:szCs w:val="22"/>
          <w:lang w:val="de-DE"/>
        </w:rPr>
        <w:t>Mosgau</w:t>
      </w:r>
      <w:proofErr w:type="spellEnd"/>
      <w:r w:rsidRPr="00427DC3">
        <w:rPr>
          <w:rFonts w:ascii="Arial" w:hAnsi="Arial" w:cs="Arial"/>
          <w:sz w:val="22"/>
          <w:szCs w:val="22"/>
          <w:lang w:val="de-DE"/>
        </w:rPr>
        <w:t xml:space="preserve">, S., Stallmach, A., Kinne, R.W., Wolf, G., 2009. </w:t>
      </w:r>
      <w:r w:rsidRPr="00427DC3">
        <w:rPr>
          <w:rFonts w:ascii="Arial" w:hAnsi="Arial" w:cs="Arial"/>
          <w:sz w:val="22"/>
          <w:szCs w:val="22"/>
          <w:lang w:val="en-US"/>
        </w:rPr>
        <w:t xml:space="preserve">TGF-beta and fibrosis in different organs - molecular pathway imprints. </w:t>
      </w:r>
      <w:proofErr w:type="spellStart"/>
      <w:r w:rsidRPr="00427DC3">
        <w:rPr>
          <w:rFonts w:ascii="Arial" w:hAnsi="Arial" w:cs="Arial"/>
          <w:sz w:val="22"/>
          <w:szCs w:val="22"/>
          <w:lang w:val="de-DE"/>
        </w:rPr>
        <w:t>Biochim</w:t>
      </w:r>
      <w:proofErr w:type="spellEnd"/>
      <w:r w:rsidRPr="00427DC3">
        <w:rPr>
          <w:rFonts w:ascii="Arial" w:hAnsi="Arial" w:cs="Arial"/>
          <w:sz w:val="22"/>
          <w:szCs w:val="22"/>
          <w:lang w:val="de-DE"/>
        </w:rPr>
        <w:t xml:space="preserve">. </w:t>
      </w:r>
      <w:proofErr w:type="spellStart"/>
      <w:r w:rsidRPr="00427DC3">
        <w:rPr>
          <w:rFonts w:ascii="Arial" w:hAnsi="Arial" w:cs="Arial"/>
          <w:sz w:val="22"/>
          <w:szCs w:val="22"/>
          <w:lang w:val="de-DE"/>
        </w:rPr>
        <w:t>Biophys</w:t>
      </w:r>
      <w:proofErr w:type="spellEnd"/>
      <w:r w:rsidRPr="00427DC3">
        <w:rPr>
          <w:rFonts w:ascii="Arial" w:hAnsi="Arial" w:cs="Arial"/>
          <w:sz w:val="22"/>
          <w:szCs w:val="22"/>
          <w:lang w:val="de-DE"/>
        </w:rPr>
        <w:t>. Acta 1792, 746–756. https://doi.org/10.1016/j.bbadis.2009.06.004</w:t>
      </w:r>
    </w:p>
    <w:p w14:paraId="68C47441"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de-DE"/>
        </w:rPr>
        <w:t xml:space="preserve">Popp, H.D., Naumann, N., Brendel, S., Henzler, T., </w:t>
      </w:r>
      <w:proofErr w:type="spellStart"/>
      <w:r w:rsidRPr="00427DC3">
        <w:rPr>
          <w:rFonts w:ascii="Arial" w:hAnsi="Arial" w:cs="Arial"/>
          <w:sz w:val="22"/>
          <w:szCs w:val="22"/>
          <w:lang w:val="de-DE"/>
        </w:rPr>
        <w:t>Weiss</w:t>
      </w:r>
      <w:proofErr w:type="spellEnd"/>
      <w:r w:rsidRPr="00427DC3">
        <w:rPr>
          <w:rFonts w:ascii="Arial" w:hAnsi="Arial" w:cs="Arial"/>
          <w:sz w:val="22"/>
          <w:szCs w:val="22"/>
          <w:lang w:val="de-DE"/>
        </w:rPr>
        <w:t xml:space="preserve">, C., Hofmann, W.-K., </w:t>
      </w:r>
      <w:proofErr w:type="spellStart"/>
      <w:r w:rsidRPr="00427DC3">
        <w:rPr>
          <w:rFonts w:ascii="Arial" w:hAnsi="Arial" w:cs="Arial"/>
          <w:sz w:val="22"/>
          <w:szCs w:val="22"/>
          <w:lang w:val="de-DE"/>
        </w:rPr>
        <w:t>Fabarius</w:t>
      </w:r>
      <w:proofErr w:type="spellEnd"/>
      <w:r w:rsidRPr="00427DC3">
        <w:rPr>
          <w:rFonts w:ascii="Arial" w:hAnsi="Arial" w:cs="Arial"/>
          <w:sz w:val="22"/>
          <w:szCs w:val="22"/>
          <w:lang w:val="de-DE"/>
        </w:rPr>
        <w:t xml:space="preserve">, A., 2017. </w:t>
      </w:r>
      <w:r w:rsidRPr="00427DC3">
        <w:rPr>
          <w:rFonts w:ascii="Arial" w:hAnsi="Arial" w:cs="Arial"/>
          <w:sz w:val="22"/>
          <w:szCs w:val="22"/>
          <w:lang w:val="en-US"/>
        </w:rPr>
        <w:t>Increase of DNA damage and alteration of the DNA damage response in myelodysplastic syndromes and acute myeloid leukemias. Leukemia Research 57, 112–118. https://doi.org/10.1016/j.leukres.2017.03.011</w:t>
      </w:r>
    </w:p>
    <w:p w14:paraId="53ACC8DD"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Poppe</w:t>
      </w:r>
      <w:proofErr w:type="spellEnd"/>
      <w:r w:rsidRPr="00427DC3">
        <w:rPr>
          <w:rFonts w:ascii="Arial" w:hAnsi="Arial" w:cs="Arial"/>
          <w:sz w:val="22"/>
          <w:szCs w:val="22"/>
          <w:lang w:val="en-US"/>
        </w:rPr>
        <w:t xml:space="preserve">, B., Van </w:t>
      </w:r>
      <w:proofErr w:type="spellStart"/>
      <w:r w:rsidRPr="00427DC3">
        <w:rPr>
          <w:rFonts w:ascii="Arial" w:hAnsi="Arial" w:cs="Arial"/>
          <w:sz w:val="22"/>
          <w:szCs w:val="22"/>
          <w:lang w:val="en-US"/>
        </w:rPr>
        <w:t>Limbergen</w:t>
      </w:r>
      <w:proofErr w:type="spellEnd"/>
      <w:r w:rsidRPr="00427DC3">
        <w:rPr>
          <w:rFonts w:ascii="Arial" w:hAnsi="Arial" w:cs="Arial"/>
          <w:sz w:val="22"/>
          <w:szCs w:val="22"/>
          <w:lang w:val="en-US"/>
        </w:rPr>
        <w:t xml:space="preserve">, H., Van Roy, N., </w:t>
      </w:r>
      <w:proofErr w:type="spellStart"/>
      <w:r w:rsidRPr="00427DC3">
        <w:rPr>
          <w:rFonts w:ascii="Arial" w:hAnsi="Arial" w:cs="Arial"/>
          <w:sz w:val="22"/>
          <w:szCs w:val="22"/>
          <w:lang w:val="en-US"/>
        </w:rPr>
        <w:t>Vandecruys</w:t>
      </w:r>
      <w:proofErr w:type="spellEnd"/>
      <w:r w:rsidRPr="00427DC3">
        <w:rPr>
          <w:rFonts w:ascii="Arial" w:hAnsi="Arial" w:cs="Arial"/>
          <w:sz w:val="22"/>
          <w:szCs w:val="22"/>
          <w:lang w:val="en-US"/>
        </w:rPr>
        <w:t xml:space="preserve">, E., De </w:t>
      </w:r>
      <w:proofErr w:type="spellStart"/>
      <w:r w:rsidRPr="00427DC3">
        <w:rPr>
          <w:rFonts w:ascii="Arial" w:hAnsi="Arial" w:cs="Arial"/>
          <w:sz w:val="22"/>
          <w:szCs w:val="22"/>
          <w:lang w:val="en-US"/>
        </w:rPr>
        <w:t>Paepe</w:t>
      </w:r>
      <w:proofErr w:type="spellEnd"/>
      <w:r w:rsidRPr="00427DC3">
        <w:rPr>
          <w:rFonts w:ascii="Arial" w:hAnsi="Arial" w:cs="Arial"/>
          <w:sz w:val="22"/>
          <w:szCs w:val="22"/>
          <w:lang w:val="en-US"/>
        </w:rPr>
        <w:t xml:space="preserve">, A., Benoit, Y., </w:t>
      </w:r>
      <w:proofErr w:type="spellStart"/>
      <w:r w:rsidRPr="00427DC3">
        <w:rPr>
          <w:rFonts w:ascii="Arial" w:hAnsi="Arial" w:cs="Arial"/>
          <w:sz w:val="22"/>
          <w:szCs w:val="22"/>
          <w:lang w:val="en-US"/>
        </w:rPr>
        <w:t>Speleman</w:t>
      </w:r>
      <w:proofErr w:type="spellEnd"/>
      <w:r w:rsidRPr="00427DC3">
        <w:rPr>
          <w:rFonts w:ascii="Arial" w:hAnsi="Arial" w:cs="Arial"/>
          <w:sz w:val="22"/>
          <w:szCs w:val="22"/>
          <w:lang w:val="en-US"/>
        </w:rPr>
        <w:t xml:space="preserve">, F., 2001. Chromosomal aberrations in Bloom syndrome patients with myeloid malignancies. Cancer Genet. </w:t>
      </w:r>
      <w:proofErr w:type="spellStart"/>
      <w:r w:rsidRPr="00427DC3">
        <w:rPr>
          <w:rFonts w:ascii="Arial" w:hAnsi="Arial" w:cs="Arial"/>
          <w:sz w:val="22"/>
          <w:szCs w:val="22"/>
          <w:lang w:val="en-US"/>
        </w:rPr>
        <w:t>Cytogenet</w:t>
      </w:r>
      <w:proofErr w:type="spellEnd"/>
      <w:r w:rsidRPr="00427DC3">
        <w:rPr>
          <w:rFonts w:ascii="Arial" w:hAnsi="Arial" w:cs="Arial"/>
          <w:sz w:val="22"/>
          <w:szCs w:val="22"/>
          <w:lang w:val="en-US"/>
        </w:rPr>
        <w:t>. 128, 39–42. https://doi.org/10.1016/s0165-4608(01)00392-2</w:t>
      </w:r>
    </w:p>
    <w:p w14:paraId="26A2ABAA"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Popuri</w:t>
      </w:r>
      <w:proofErr w:type="spellEnd"/>
      <w:r w:rsidRPr="00427DC3">
        <w:rPr>
          <w:rFonts w:ascii="Arial" w:hAnsi="Arial" w:cs="Arial"/>
          <w:sz w:val="22"/>
          <w:szCs w:val="22"/>
          <w:lang w:val="en-US"/>
        </w:rPr>
        <w:t xml:space="preserve">, V., Tadokoro, T., Croteau, D.L., Bohr, V.A., 2013. Human RECQL5: Guarding the crossroads of DNA replication and transcription and providing backup capability. Crit Rev </w:t>
      </w:r>
      <w:proofErr w:type="spellStart"/>
      <w:r w:rsidRPr="00427DC3">
        <w:rPr>
          <w:rFonts w:ascii="Arial" w:hAnsi="Arial" w:cs="Arial"/>
          <w:sz w:val="22"/>
          <w:szCs w:val="22"/>
          <w:lang w:val="en-US"/>
        </w:rPr>
        <w:t>Biochem</w:t>
      </w:r>
      <w:proofErr w:type="spellEnd"/>
      <w:r w:rsidRPr="00427DC3">
        <w:rPr>
          <w:rFonts w:ascii="Arial" w:hAnsi="Arial" w:cs="Arial"/>
          <w:sz w:val="22"/>
          <w:szCs w:val="22"/>
          <w:lang w:val="en-US"/>
        </w:rPr>
        <w:t xml:space="preserve"> Mol Biol 48, 289–299. https://doi.org/10.3109/10409238.2013.792770</w:t>
      </w:r>
    </w:p>
    <w:p w14:paraId="49A06961"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Pourcelot</w:t>
      </w:r>
      <w:proofErr w:type="spellEnd"/>
      <w:r w:rsidRPr="00427DC3">
        <w:rPr>
          <w:rFonts w:ascii="Arial" w:hAnsi="Arial" w:cs="Arial"/>
          <w:sz w:val="22"/>
          <w:szCs w:val="22"/>
          <w:lang w:val="en-US"/>
        </w:rPr>
        <w:t xml:space="preserve">, E., </w:t>
      </w:r>
      <w:proofErr w:type="spellStart"/>
      <w:r w:rsidRPr="00427DC3">
        <w:rPr>
          <w:rFonts w:ascii="Arial" w:hAnsi="Arial" w:cs="Arial"/>
          <w:sz w:val="22"/>
          <w:szCs w:val="22"/>
          <w:lang w:val="en-US"/>
        </w:rPr>
        <w:t>Trocme</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Mondet</w:t>
      </w:r>
      <w:proofErr w:type="spellEnd"/>
      <w:r w:rsidRPr="00427DC3">
        <w:rPr>
          <w:rFonts w:ascii="Arial" w:hAnsi="Arial" w:cs="Arial"/>
          <w:sz w:val="22"/>
          <w:szCs w:val="22"/>
          <w:lang w:val="en-US"/>
        </w:rPr>
        <w:t xml:space="preserve">, J., Bailly, S., Toussaint, B., </w:t>
      </w:r>
      <w:proofErr w:type="spellStart"/>
      <w:r w:rsidRPr="00427DC3">
        <w:rPr>
          <w:rFonts w:ascii="Arial" w:hAnsi="Arial" w:cs="Arial"/>
          <w:sz w:val="22"/>
          <w:szCs w:val="22"/>
          <w:lang w:val="en-US"/>
        </w:rPr>
        <w:t>Mossuz</w:t>
      </w:r>
      <w:proofErr w:type="spellEnd"/>
      <w:r w:rsidRPr="00427DC3">
        <w:rPr>
          <w:rFonts w:ascii="Arial" w:hAnsi="Arial" w:cs="Arial"/>
          <w:sz w:val="22"/>
          <w:szCs w:val="22"/>
          <w:lang w:val="en-US"/>
        </w:rPr>
        <w:t xml:space="preserve">, P., 2014. Cytokine profiles in polycythemia vera and essential thrombocythemia patients: clinical implications. Exp. </w:t>
      </w:r>
      <w:proofErr w:type="spellStart"/>
      <w:r w:rsidRPr="00427DC3">
        <w:rPr>
          <w:rFonts w:ascii="Arial" w:hAnsi="Arial" w:cs="Arial"/>
          <w:sz w:val="22"/>
          <w:szCs w:val="22"/>
          <w:lang w:val="en-US"/>
        </w:rPr>
        <w:t>Hematol</w:t>
      </w:r>
      <w:proofErr w:type="spellEnd"/>
      <w:r w:rsidRPr="00427DC3">
        <w:rPr>
          <w:rFonts w:ascii="Arial" w:hAnsi="Arial" w:cs="Arial"/>
          <w:sz w:val="22"/>
          <w:szCs w:val="22"/>
          <w:lang w:val="en-US"/>
        </w:rPr>
        <w:t>. 42, 360–368. https://doi.org/10.1016/j.exphem.2014.01.006</w:t>
      </w:r>
    </w:p>
    <w:p w14:paraId="29F7992A"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proofErr w:type="spellStart"/>
      <w:r w:rsidRPr="00427DC3">
        <w:rPr>
          <w:rFonts w:ascii="Arial" w:hAnsi="Arial" w:cs="Arial"/>
          <w:sz w:val="22"/>
          <w:szCs w:val="22"/>
          <w:lang w:val="en-US"/>
        </w:rPr>
        <w:t>Puthiyaveetil</w:t>
      </w:r>
      <w:proofErr w:type="spellEnd"/>
      <w:r w:rsidRPr="00427DC3">
        <w:rPr>
          <w:rFonts w:ascii="Arial" w:hAnsi="Arial" w:cs="Arial"/>
          <w:sz w:val="22"/>
          <w:szCs w:val="22"/>
          <w:lang w:val="en-US"/>
        </w:rPr>
        <w:t xml:space="preserve">, A.G., Reilly, C.M., Pardee, T.S., </w:t>
      </w:r>
      <w:proofErr w:type="spellStart"/>
      <w:r w:rsidRPr="00427DC3">
        <w:rPr>
          <w:rFonts w:ascii="Arial" w:hAnsi="Arial" w:cs="Arial"/>
          <w:sz w:val="22"/>
          <w:szCs w:val="22"/>
          <w:lang w:val="en-US"/>
        </w:rPr>
        <w:t>Caudell</w:t>
      </w:r>
      <w:proofErr w:type="spellEnd"/>
      <w:r w:rsidRPr="00427DC3">
        <w:rPr>
          <w:rFonts w:ascii="Arial" w:hAnsi="Arial" w:cs="Arial"/>
          <w:sz w:val="22"/>
          <w:szCs w:val="22"/>
          <w:lang w:val="en-US"/>
        </w:rPr>
        <w:t xml:space="preserve">, D.L., 2013. Non-homologous end joining mediated DNA repair is impaired in the NUP98-HOXD13 mouse model for myelodysplastic syndrome. </w:t>
      </w:r>
      <w:proofErr w:type="spellStart"/>
      <w:r w:rsidRPr="00427DC3">
        <w:rPr>
          <w:rFonts w:ascii="Arial" w:hAnsi="Arial" w:cs="Arial"/>
          <w:sz w:val="22"/>
          <w:szCs w:val="22"/>
          <w:lang w:val="de-DE"/>
        </w:rPr>
        <w:t>Leuk</w:t>
      </w:r>
      <w:proofErr w:type="spellEnd"/>
      <w:r w:rsidRPr="00427DC3">
        <w:rPr>
          <w:rFonts w:ascii="Arial" w:hAnsi="Arial" w:cs="Arial"/>
          <w:sz w:val="22"/>
          <w:szCs w:val="22"/>
          <w:lang w:val="de-DE"/>
        </w:rPr>
        <w:t>. Res. 37, 112–116. https://doi.org/10.1016/j.leukres.2012.10.012</w:t>
      </w:r>
    </w:p>
    <w:p w14:paraId="1ABB9B74"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de-DE"/>
        </w:rPr>
        <w:t xml:space="preserve">Reilly, J.T., 2008. </w:t>
      </w:r>
      <w:r w:rsidRPr="00427DC3">
        <w:rPr>
          <w:rFonts w:ascii="Arial" w:hAnsi="Arial" w:cs="Arial"/>
          <w:sz w:val="22"/>
          <w:szCs w:val="22"/>
          <w:lang w:val="en-US"/>
        </w:rPr>
        <w:t>Pathogenetic insight and prognostic information from standard and molecular cytogenetic studies in the BCR-ABL-negative myeloproliferative neoplasms (MPNs). Leukemia 22, 1818–1827. https://doi.org/10.1038/leu.2008.218</w:t>
      </w:r>
    </w:p>
    <w:p w14:paraId="2A4777A6"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Rossi, D.J., </w:t>
      </w:r>
      <w:proofErr w:type="spellStart"/>
      <w:r w:rsidRPr="00427DC3">
        <w:rPr>
          <w:rFonts w:ascii="Arial" w:hAnsi="Arial" w:cs="Arial"/>
          <w:sz w:val="22"/>
          <w:szCs w:val="22"/>
          <w:lang w:val="en-US"/>
        </w:rPr>
        <w:t>Bryder</w:t>
      </w:r>
      <w:proofErr w:type="spellEnd"/>
      <w:r w:rsidRPr="00427DC3">
        <w:rPr>
          <w:rFonts w:ascii="Arial" w:hAnsi="Arial" w:cs="Arial"/>
          <w:sz w:val="22"/>
          <w:szCs w:val="22"/>
          <w:lang w:val="en-US"/>
        </w:rPr>
        <w:t xml:space="preserve">, D., Zahn, J.M., </w:t>
      </w:r>
      <w:proofErr w:type="spellStart"/>
      <w:r w:rsidRPr="00427DC3">
        <w:rPr>
          <w:rFonts w:ascii="Arial" w:hAnsi="Arial" w:cs="Arial"/>
          <w:sz w:val="22"/>
          <w:szCs w:val="22"/>
          <w:lang w:val="en-US"/>
        </w:rPr>
        <w:t>Ahlenius</w:t>
      </w:r>
      <w:proofErr w:type="spellEnd"/>
      <w:r w:rsidRPr="00427DC3">
        <w:rPr>
          <w:rFonts w:ascii="Arial" w:hAnsi="Arial" w:cs="Arial"/>
          <w:sz w:val="22"/>
          <w:szCs w:val="22"/>
          <w:lang w:val="en-US"/>
        </w:rPr>
        <w:t xml:space="preserve">, H., </w:t>
      </w:r>
      <w:proofErr w:type="spellStart"/>
      <w:r w:rsidRPr="00427DC3">
        <w:rPr>
          <w:rFonts w:ascii="Arial" w:hAnsi="Arial" w:cs="Arial"/>
          <w:sz w:val="22"/>
          <w:szCs w:val="22"/>
          <w:lang w:val="en-US"/>
        </w:rPr>
        <w:t>Sonu</w:t>
      </w:r>
      <w:proofErr w:type="spellEnd"/>
      <w:r w:rsidRPr="00427DC3">
        <w:rPr>
          <w:rFonts w:ascii="Arial" w:hAnsi="Arial" w:cs="Arial"/>
          <w:sz w:val="22"/>
          <w:szCs w:val="22"/>
          <w:lang w:val="en-US"/>
        </w:rPr>
        <w:t>, R., Wagers, A.J., Weissman, I.L., 2005. Cell intrinsic alterations underlie hematopoietic stem cell aging. PNAS 102, 9194–9199. https://doi.org/10.1073/pnas.0503280102</w:t>
      </w:r>
    </w:p>
    <w:p w14:paraId="12C5F239"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Saigo</w:t>
      </w:r>
      <w:proofErr w:type="spellEnd"/>
      <w:r w:rsidRPr="00427DC3">
        <w:rPr>
          <w:rFonts w:ascii="Arial" w:hAnsi="Arial" w:cs="Arial"/>
          <w:sz w:val="22"/>
          <w:szCs w:val="22"/>
          <w:lang w:val="en-US"/>
        </w:rPr>
        <w:t xml:space="preserve">, K., </w:t>
      </w:r>
      <w:proofErr w:type="spellStart"/>
      <w:r w:rsidRPr="00427DC3">
        <w:rPr>
          <w:rFonts w:ascii="Arial" w:hAnsi="Arial" w:cs="Arial"/>
          <w:sz w:val="22"/>
          <w:szCs w:val="22"/>
          <w:lang w:val="en-US"/>
        </w:rPr>
        <w:t>Takenokuchi</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Hiramatsu</w:t>
      </w:r>
      <w:proofErr w:type="spellEnd"/>
      <w:r w:rsidRPr="00427DC3">
        <w:rPr>
          <w:rFonts w:ascii="Arial" w:hAnsi="Arial" w:cs="Arial"/>
          <w:sz w:val="22"/>
          <w:szCs w:val="22"/>
          <w:lang w:val="en-US"/>
        </w:rPr>
        <w:t xml:space="preserve">, Y., Tada, H., </w:t>
      </w:r>
      <w:proofErr w:type="spellStart"/>
      <w:r w:rsidRPr="00427DC3">
        <w:rPr>
          <w:rFonts w:ascii="Arial" w:hAnsi="Arial" w:cs="Arial"/>
          <w:sz w:val="22"/>
          <w:szCs w:val="22"/>
          <w:lang w:val="en-US"/>
        </w:rPr>
        <w:t>Hishita</w:t>
      </w:r>
      <w:proofErr w:type="spellEnd"/>
      <w:r w:rsidRPr="00427DC3">
        <w:rPr>
          <w:rFonts w:ascii="Arial" w:hAnsi="Arial" w:cs="Arial"/>
          <w:sz w:val="22"/>
          <w:szCs w:val="22"/>
          <w:lang w:val="en-US"/>
        </w:rPr>
        <w:t xml:space="preserve">, T., Takata, M., Misawa, M., </w:t>
      </w:r>
      <w:proofErr w:type="spellStart"/>
      <w:r w:rsidRPr="00427DC3">
        <w:rPr>
          <w:rFonts w:ascii="Arial" w:hAnsi="Arial" w:cs="Arial"/>
          <w:sz w:val="22"/>
          <w:szCs w:val="22"/>
          <w:lang w:val="en-US"/>
        </w:rPr>
        <w:t>Imoto</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Imashuku</w:t>
      </w:r>
      <w:proofErr w:type="spellEnd"/>
      <w:r w:rsidRPr="00427DC3">
        <w:rPr>
          <w:rFonts w:ascii="Arial" w:hAnsi="Arial" w:cs="Arial"/>
          <w:sz w:val="22"/>
          <w:szCs w:val="22"/>
          <w:lang w:val="en-US"/>
        </w:rPr>
        <w:t xml:space="preserve">, S., 2011. Oxidative stress levels in myelodysplastic syndrome patients: their relationship to serum ferritin and </w:t>
      </w:r>
      <w:proofErr w:type="spellStart"/>
      <w:r w:rsidRPr="00427DC3">
        <w:rPr>
          <w:rFonts w:ascii="Arial" w:hAnsi="Arial" w:cs="Arial"/>
          <w:sz w:val="22"/>
          <w:szCs w:val="22"/>
          <w:lang w:val="en-US"/>
        </w:rPr>
        <w:t>haemoglobin</w:t>
      </w:r>
      <w:proofErr w:type="spellEnd"/>
      <w:r w:rsidRPr="00427DC3">
        <w:rPr>
          <w:rFonts w:ascii="Arial" w:hAnsi="Arial" w:cs="Arial"/>
          <w:sz w:val="22"/>
          <w:szCs w:val="22"/>
          <w:lang w:val="en-US"/>
        </w:rPr>
        <w:t xml:space="preserve"> values. J. Int. Med. Res. 39, 1941–1945. https://doi.org/10.1177/147323001103900539</w:t>
      </w:r>
    </w:p>
    <w:p w14:paraId="4EEA4328"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Sallman</w:t>
      </w:r>
      <w:proofErr w:type="spellEnd"/>
      <w:r w:rsidRPr="00427DC3">
        <w:rPr>
          <w:rFonts w:ascii="Arial" w:hAnsi="Arial" w:cs="Arial"/>
          <w:sz w:val="22"/>
          <w:szCs w:val="22"/>
          <w:lang w:val="en-US"/>
        </w:rPr>
        <w:t>, D.A., List, A., 2019. The central role of inflammatory signaling in the pathogenesis of myelodysplastic syndromes. Blood 133, 1039–1048. https://doi.org/10.1182/blood-2018-10-844654</w:t>
      </w:r>
    </w:p>
    <w:p w14:paraId="0C1F3631"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Salmeen</w:t>
      </w:r>
      <w:proofErr w:type="spellEnd"/>
      <w:r w:rsidRPr="00427DC3">
        <w:rPr>
          <w:rFonts w:ascii="Arial" w:hAnsi="Arial" w:cs="Arial"/>
          <w:sz w:val="22"/>
          <w:szCs w:val="22"/>
          <w:lang w:val="en-US"/>
        </w:rPr>
        <w:t xml:space="preserve">, A., Andersen, J.N., Myers, M.P., Meng, T.-C., Hinks, J.A., Tonks, N.K., Barford, D., 2003. Redox regulation of protein tyrosine phosphatase 1B involves a </w:t>
      </w:r>
      <w:proofErr w:type="spellStart"/>
      <w:r w:rsidRPr="00427DC3">
        <w:rPr>
          <w:rFonts w:ascii="Arial" w:hAnsi="Arial" w:cs="Arial"/>
          <w:sz w:val="22"/>
          <w:szCs w:val="22"/>
          <w:lang w:val="en-US"/>
        </w:rPr>
        <w:t>sulphenyl</w:t>
      </w:r>
      <w:proofErr w:type="spellEnd"/>
      <w:r w:rsidRPr="00427DC3">
        <w:rPr>
          <w:rFonts w:ascii="Arial" w:hAnsi="Arial" w:cs="Arial"/>
          <w:sz w:val="22"/>
          <w:szCs w:val="22"/>
          <w:lang w:val="en-US"/>
        </w:rPr>
        <w:t>-amide intermediate. Nature 423, 769–773. https://doi.org/10.1038/nature01680</w:t>
      </w:r>
    </w:p>
    <w:p w14:paraId="246EB56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Sanjuan-Pla</w:t>
      </w:r>
      <w:proofErr w:type="spellEnd"/>
      <w:r w:rsidRPr="00427DC3">
        <w:rPr>
          <w:rFonts w:ascii="Arial" w:hAnsi="Arial" w:cs="Arial"/>
          <w:sz w:val="22"/>
          <w:szCs w:val="22"/>
          <w:lang w:val="en-US"/>
        </w:rPr>
        <w:t xml:space="preserve">, A., Macaulay, I.C., Jensen, C.T., </w:t>
      </w:r>
      <w:proofErr w:type="spellStart"/>
      <w:r w:rsidRPr="00427DC3">
        <w:rPr>
          <w:rFonts w:ascii="Arial" w:hAnsi="Arial" w:cs="Arial"/>
          <w:sz w:val="22"/>
          <w:szCs w:val="22"/>
          <w:lang w:val="en-US"/>
        </w:rPr>
        <w:t>Woll</w:t>
      </w:r>
      <w:proofErr w:type="spellEnd"/>
      <w:r w:rsidRPr="00427DC3">
        <w:rPr>
          <w:rFonts w:ascii="Arial" w:hAnsi="Arial" w:cs="Arial"/>
          <w:sz w:val="22"/>
          <w:szCs w:val="22"/>
          <w:lang w:val="en-US"/>
        </w:rPr>
        <w:t xml:space="preserve">, P.S., Luis, T.C., Mead, A., Moore, S., </w:t>
      </w:r>
      <w:proofErr w:type="spellStart"/>
      <w:r w:rsidRPr="00427DC3">
        <w:rPr>
          <w:rFonts w:ascii="Arial" w:hAnsi="Arial" w:cs="Arial"/>
          <w:sz w:val="22"/>
          <w:szCs w:val="22"/>
          <w:lang w:val="en-US"/>
        </w:rPr>
        <w:t>Carella</w:t>
      </w:r>
      <w:proofErr w:type="spellEnd"/>
      <w:r w:rsidRPr="00427DC3">
        <w:rPr>
          <w:rFonts w:ascii="Arial" w:hAnsi="Arial" w:cs="Arial"/>
          <w:sz w:val="22"/>
          <w:szCs w:val="22"/>
          <w:lang w:val="en-US"/>
        </w:rPr>
        <w:t xml:space="preserve">, C., Matsuoka, S., </w:t>
      </w:r>
      <w:proofErr w:type="spellStart"/>
      <w:r w:rsidRPr="00427DC3">
        <w:rPr>
          <w:rFonts w:ascii="Arial" w:hAnsi="Arial" w:cs="Arial"/>
          <w:sz w:val="22"/>
          <w:szCs w:val="22"/>
          <w:lang w:val="en-US"/>
        </w:rPr>
        <w:t>Bouriez</w:t>
      </w:r>
      <w:proofErr w:type="spellEnd"/>
      <w:r w:rsidRPr="00427DC3">
        <w:rPr>
          <w:rFonts w:ascii="Arial" w:hAnsi="Arial" w:cs="Arial"/>
          <w:sz w:val="22"/>
          <w:szCs w:val="22"/>
          <w:lang w:val="en-US"/>
        </w:rPr>
        <w:t xml:space="preserve"> Jones, T., Chowdhury, O., Stenson, L., </w:t>
      </w:r>
      <w:proofErr w:type="spellStart"/>
      <w:r w:rsidRPr="00427DC3">
        <w:rPr>
          <w:rFonts w:ascii="Arial" w:hAnsi="Arial" w:cs="Arial"/>
          <w:sz w:val="22"/>
          <w:szCs w:val="22"/>
          <w:lang w:val="en-US"/>
        </w:rPr>
        <w:t>Lutteropp</w:t>
      </w:r>
      <w:proofErr w:type="spellEnd"/>
      <w:r w:rsidRPr="00427DC3">
        <w:rPr>
          <w:rFonts w:ascii="Arial" w:hAnsi="Arial" w:cs="Arial"/>
          <w:sz w:val="22"/>
          <w:szCs w:val="22"/>
          <w:lang w:val="en-US"/>
        </w:rPr>
        <w:t xml:space="preserve">, M., Green, J.C.A., </w:t>
      </w:r>
      <w:proofErr w:type="spellStart"/>
      <w:r w:rsidRPr="00427DC3">
        <w:rPr>
          <w:rFonts w:ascii="Arial" w:hAnsi="Arial" w:cs="Arial"/>
          <w:sz w:val="22"/>
          <w:szCs w:val="22"/>
          <w:lang w:val="en-US"/>
        </w:rPr>
        <w:t>Facchini</w:t>
      </w:r>
      <w:proofErr w:type="spellEnd"/>
      <w:r w:rsidRPr="00427DC3">
        <w:rPr>
          <w:rFonts w:ascii="Arial" w:hAnsi="Arial" w:cs="Arial"/>
          <w:sz w:val="22"/>
          <w:szCs w:val="22"/>
          <w:lang w:val="en-US"/>
        </w:rPr>
        <w:t xml:space="preserve">, R., </w:t>
      </w:r>
      <w:proofErr w:type="spellStart"/>
      <w:r w:rsidRPr="00427DC3">
        <w:rPr>
          <w:rFonts w:ascii="Arial" w:hAnsi="Arial" w:cs="Arial"/>
          <w:sz w:val="22"/>
          <w:szCs w:val="22"/>
          <w:lang w:val="en-US"/>
        </w:rPr>
        <w:t>Boukarabila</w:t>
      </w:r>
      <w:proofErr w:type="spellEnd"/>
      <w:r w:rsidRPr="00427DC3">
        <w:rPr>
          <w:rFonts w:ascii="Arial" w:hAnsi="Arial" w:cs="Arial"/>
          <w:sz w:val="22"/>
          <w:szCs w:val="22"/>
          <w:lang w:val="en-US"/>
        </w:rPr>
        <w:t xml:space="preserve">, H., Grover, A., Gambardella, A., </w:t>
      </w:r>
      <w:proofErr w:type="spellStart"/>
      <w:r w:rsidRPr="00427DC3">
        <w:rPr>
          <w:rFonts w:ascii="Arial" w:hAnsi="Arial" w:cs="Arial"/>
          <w:sz w:val="22"/>
          <w:szCs w:val="22"/>
          <w:lang w:val="en-US"/>
        </w:rPr>
        <w:t>Thongjuea</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Carrelha</w:t>
      </w:r>
      <w:proofErr w:type="spellEnd"/>
      <w:r w:rsidRPr="00427DC3">
        <w:rPr>
          <w:rFonts w:ascii="Arial" w:hAnsi="Arial" w:cs="Arial"/>
          <w:sz w:val="22"/>
          <w:szCs w:val="22"/>
          <w:lang w:val="en-US"/>
        </w:rPr>
        <w:t xml:space="preserve">, J., Tarrant, P., Atkinson, D., Clark, S.-A., </w:t>
      </w:r>
      <w:proofErr w:type="spellStart"/>
      <w:r w:rsidRPr="00427DC3">
        <w:rPr>
          <w:rFonts w:ascii="Arial" w:hAnsi="Arial" w:cs="Arial"/>
          <w:sz w:val="22"/>
          <w:szCs w:val="22"/>
          <w:lang w:val="en-US"/>
        </w:rPr>
        <w:t>Nerlov</w:t>
      </w:r>
      <w:proofErr w:type="spellEnd"/>
      <w:r w:rsidRPr="00427DC3">
        <w:rPr>
          <w:rFonts w:ascii="Arial" w:hAnsi="Arial" w:cs="Arial"/>
          <w:sz w:val="22"/>
          <w:szCs w:val="22"/>
          <w:lang w:val="en-US"/>
        </w:rPr>
        <w:t xml:space="preserve">, C., Jacobsen, S.E.W., 2013. Platelet-biased stem cells reside at the apex of the </w:t>
      </w:r>
      <w:proofErr w:type="spellStart"/>
      <w:r w:rsidRPr="00427DC3">
        <w:rPr>
          <w:rFonts w:ascii="Arial" w:hAnsi="Arial" w:cs="Arial"/>
          <w:sz w:val="22"/>
          <w:szCs w:val="22"/>
          <w:lang w:val="en-US"/>
        </w:rPr>
        <w:t>haematopoietic</w:t>
      </w:r>
      <w:proofErr w:type="spellEnd"/>
      <w:r w:rsidRPr="00427DC3">
        <w:rPr>
          <w:rFonts w:ascii="Arial" w:hAnsi="Arial" w:cs="Arial"/>
          <w:sz w:val="22"/>
          <w:szCs w:val="22"/>
          <w:lang w:val="en-US"/>
        </w:rPr>
        <w:t xml:space="preserve"> stem-cell hierarchy. Nature 502, 232–236. </w:t>
      </w:r>
      <w:r w:rsidRPr="00427DC3">
        <w:rPr>
          <w:rFonts w:ascii="Arial" w:hAnsi="Arial" w:cs="Arial"/>
          <w:sz w:val="22"/>
          <w:szCs w:val="22"/>
          <w:lang w:val="en-US"/>
        </w:rPr>
        <w:lastRenderedPageBreak/>
        <w:t>https://doi.org/10.1038/nature12495</w:t>
      </w:r>
    </w:p>
    <w:p w14:paraId="46328584"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proofErr w:type="spellStart"/>
      <w:r w:rsidRPr="00427DC3">
        <w:rPr>
          <w:rFonts w:ascii="Arial" w:hAnsi="Arial" w:cs="Arial"/>
          <w:sz w:val="22"/>
          <w:szCs w:val="22"/>
          <w:lang w:val="en-US"/>
        </w:rPr>
        <w:t>Schepers</w:t>
      </w:r>
      <w:proofErr w:type="spellEnd"/>
      <w:r w:rsidRPr="00427DC3">
        <w:rPr>
          <w:rFonts w:ascii="Arial" w:hAnsi="Arial" w:cs="Arial"/>
          <w:sz w:val="22"/>
          <w:szCs w:val="22"/>
          <w:lang w:val="en-US"/>
        </w:rPr>
        <w:t xml:space="preserve">, K., </w:t>
      </w:r>
      <w:proofErr w:type="spellStart"/>
      <w:r w:rsidRPr="00427DC3">
        <w:rPr>
          <w:rFonts w:ascii="Arial" w:hAnsi="Arial" w:cs="Arial"/>
          <w:sz w:val="22"/>
          <w:szCs w:val="22"/>
          <w:lang w:val="en-US"/>
        </w:rPr>
        <w:t>Pietras</w:t>
      </w:r>
      <w:proofErr w:type="spellEnd"/>
      <w:r w:rsidRPr="00427DC3">
        <w:rPr>
          <w:rFonts w:ascii="Arial" w:hAnsi="Arial" w:cs="Arial"/>
          <w:sz w:val="22"/>
          <w:szCs w:val="22"/>
          <w:lang w:val="en-US"/>
        </w:rPr>
        <w:t xml:space="preserve">, E.M., Reynaud, D., </w:t>
      </w:r>
      <w:proofErr w:type="spellStart"/>
      <w:r w:rsidRPr="00427DC3">
        <w:rPr>
          <w:rFonts w:ascii="Arial" w:hAnsi="Arial" w:cs="Arial"/>
          <w:sz w:val="22"/>
          <w:szCs w:val="22"/>
          <w:lang w:val="en-US"/>
        </w:rPr>
        <w:t>Flach</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Binnewies</w:t>
      </w:r>
      <w:proofErr w:type="spellEnd"/>
      <w:r w:rsidRPr="00427DC3">
        <w:rPr>
          <w:rFonts w:ascii="Arial" w:hAnsi="Arial" w:cs="Arial"/>
          <w:sz w:val="22"/>
          <w:szCs w:val="22"/>
          <w:lang w:val="en-US"/>
        </w:rPr>
        <w:t xml:space="preserve">, M., Garg, T., Wagers, A.J., Hsiao, E.C., </w:t>
      </w:r>
      <w:proofErr w:type="spellStart"/>
      <w:r w:rsidRPr="00427DC3">
        <w:rPr>
          <w:rFonts w:ascii="Arial" w:hAnsi="Arial" w:cs="Arial"/>
          <w:sz w:val="22"/>
          <w:szCs w:val="22"/>
          <w:lang w:val="en-US"/>
        </w:rPr>
        <w:t>Passegué</w:t>
      </w:r>
      <w:proofErr w:type="spellEnd"/>
      <w:r w:rsidRPr="00427DC3">
        <w:rPr>
          <w:rFonts w:ascii="Arial" w:hAnsi="Arial" w:cs="Arial"/>
          <w:sz w:val="22"/>
          <w:szCs w:val="22"/>
          <w:lang w:val="en-US"/>
        </w:rPr>
        <w:t xml:space="preserve">, E., 2013. Myeloproliferative neoplasia remodels the endosteal bone marrow niche into a self-reinforcing leukemic niche. </w:t>
      </w:r>
      <w:proofErr w:type="spellStart"/>
      <w:r w:rsidRPr="00427DC3">
        <w:rPr>
          <w:rFonts w:ascii="Arial" w:hAnsi="Arial" w:cs="Arial"/>
          <w:sz w:val="22"/>
          <w:szCs w:val="22"/>
          <w:lang w:val="de-DE"/>
        </w:rPr>
        <w:t>Cell</w:t>
      </w:r>
      <w:proofErr w:type="spellEnd"/>
      <w:r w:rsidRPr="00427DC3">
        <w:rPr>
          <w:rFonts w:ascii="Arial" w:hAnsi="Arial" w:cs="Arial"/>
          <w:sz w:val="22"/>
          <w:szCs w:val="22"/>
          <w:lang w:val="de-DE"/>
        </w:rPr>
        <w:t xml:space="preserve"> </w:t>
      </w:r>
      <w:proofErr w:type="spellStart"/>
      <w:r w:rsidRPr="00427DC3">
        <w:rPr>
          <w:rFonts w:ascii="Arial" w:hAnsi="Arial" w:cs="Arial"/>
          <w:sz w:val="22"/>
          <w:szCs w:val="22"/>
          <w:lang w:val="de-DE"/>
        </w:rPr>
        <w:t>Stem</w:t>
      </w:r>
      <w:proofErr w:type="spellEnd"/>
      <w:r w:rsidRPr="00427DC3">
        <w:rPr>
          <w:rFonts w:ascii="Arial" w:hAnsi="Arial" w:cs="Arial"/>
          <w:sz w:val="22"/>
          <w:szCs w:val="22"/>
          <w:lang w:val="de-DE"/>
        </w:rPr>
        <w:t xml:space="preserve"> </w:t>
      </w:r>
      <w:proofErr w:type="spellStart"/>
      <w:r w:rsidRPr="00427DC3">
        <w:rPr>
          <w:rFonts w:ascii="Arial" w:hAnsi="Arial" w:cs="Arial"/>
          <w:sz w:val="22"/>
          <w:szCs w:val="22"/>
          <w:lang w:val="de-DE"/>
        </w:rPr>
        <w:t>Cell</w:t>
      </w:r>
      <w:proofErr w:type="spellEnd"/>
      <w:r w:rsidRPr="00427DC3">
        <w:rPr>
          <w:rFonts w:ascii="Arial" w:hAnsi="Arial" w:cs="Arial"/>
          <w:sz w:val="22"/>
          <w:szCs w:val="22"/>
          <w:lang w:val="de-DE"/>
        </w:rPr>
        <w:t xml:space="preserve"> 13, 285–299. https://doi.org/10.1016/j.stem.2013.06.009</w:t>
      </w:r>
    </w:p>
    <w:p w14:paraId="1B38E2E9"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de-DE"/>
        </w:rPr>
        <w:t xml:space="preserve">Schnöder, T.M., Eberhardt, J., Koehler, M., Bierhoff, H.B., Weinert, S., </w:t>
      </w:r>
      <w:proofErr w:type="spellStart"/>
      <w:r w:rsidRPr="00427DC3">
        <w:rPr>
          <w:rFonts w:ascii="Arial" w:hAnsi="Arial" w:cs="Arial"/>
          <w:sz w:val="22"/>
          <w:szCs w:val="22"/>
          <w:lang w:val="de-DE"/>
        </w:rPr>
        <w:t>Pandey</w:t>
      </w:r>
      <w:proofErr w:type="spellEnd"/>
      <w:r w:rsidRPr="00427DC3">
        <w:rPr>
          <w:rFonts w:ascii="Arial" w:hAnsi="Arial" w:cs="Arial"/>
          <w:sz w:val="22"/>
          <w:szCs w:val="22"/>
          <w:lang w:val="de-DE"/>
        </w:rPr>
        <w:t xml:space="preserve">, A.D., </w:t>
      </w:r>
      <w:proofErr w:type="spellStart"/>
      <w:r w:rsidRPr="00427DC3">
        <w:rPr>
          <w:rFonts w:ascii="Arial" w:hAnsi="Arial" w:cs="Arial"/>
          <w:sz w:val="22"/>
          <w:szCs w:val="22"/>
          <w:lang w:val="de-DE"/>
        </w:rPr>
        <w:t>Nimmagadda</w:t>
      </w:r>
      <w:proofErr w:type="spellEnd"/>
      <w:r w:rsidRPr="00427DC3">
        <w:rPr>
          <w:rFonts w:ascii="Arial" w:hAnsi="Arial" w:cs="Arial"/>
          <w:sz w:val="22"/>
          <w:szCs w:val="22"/>
          <w:lang w:val="de-DE"/>
        </w:rPr>
        <w:t xml:space="preserve">, S.C., </w:t>
      </w:r>
      <w:proofErr w:type="spellStart"/>
      <w:r w:rsidRPr="00427DC3">
        <w:rPr>
          <w:rFonts w:ascii="Arial" w:hAnsi="Arial" w:cs="Arial"/>
          <w:sz w:val="22"/>
          <w:szCs w:val="22"/>
          <w:lang w:val="de-DE"/>
        </w:rPr>
        <w:t>Wolleschak</w:t>
      </w:r>
      <w:proofErr w:type="spellEnd"/>
      <w:r w:rsidRPr="00427DC3">
        <w:rPr>
          <w:rFonts w:ascii="Arial" w:hAnsi="Arial" w:cs="Arial"/>
          <w:sz w:val="22"/>
          <w:szCs w:val="22"/>
          <w:lang w:val="de-DE"/>
        </w:rPr>
        <w:t xml:space="preserve">, D., </w:t>
      </w:r>
      <w:proofErr w:type="spellStart"/>
      <w:r w:rsidRPr="00427DC3">
        <w:rPr>
          <w:rFonts w:ascii="Arial" w:hAnsi="Arial" w:cs="Arial"/>
          <w:sz w:val="22"/>
          <w:szCs w:val="22"/>
          <w:lang w:val="de-DE"/>
        </w:rPr>
        <w:t>Jöhrens</w:t>
      </w:r>
      <w:proofErr w:type="spellEnd"/>
      <w:r w:rsidRPr="00427DC3">
        <w:rPr>
          <w:rFonts w:ascii="Arial" w:hAnsi="Arial" w:cs="Arial"/>
          <w:sz w:val="22"/>
          <w:szCs w:val="22"/>
          <w:lang w:val="de-DE"/>
        </w:rPr>
        <w:t xml:space="preserve">, K., Fischer, T., </w:t>
      </w:r>
      <w:proofErr w:type="spellStart"/>
      <w:r w:rsidRPr="00427DC3">
        <w:rPr>
          <w:rFonts w:ascii="Arial" w:hAnsi="Arial" w:cs="Arial"/>
          <w:sz w:val="22"/>
          <w:szCs w:val="22"/>
          <w:lang w:val="de-DE"/>
        </w:rPr>
        <w:t>Heidel</w:t>
      </w:r>
      <w:proofErr w:type="spellEnd"/>
      <w:r w:rsidRPr="00427DC3">
        <w:rPr>
          <w:rFonts w:ascii="Arial" w:hAnsi="Arial" w:cs="Arial"/>
          <w:sz w:val="22"/>
          <w:szCs w:val="22"/>
          <w:lang w:val="de-DE"/>
        </w:rPr>
        <w:t xml:space="preserve">, F.H., 2017. </w:t>
      </w:r>
      <w:r w:rsidRPr="00427DC3">
        <w:rPr>
          <w:rFonts w:ascii="Arial" w:hAnsi="Arial" w:cs="Arial"/>
          <w:sz w:val="22"/>
          <w:szCs w:val="22"/>
          <w:lang w:val="en-US"/>
        </w:rPr>
        <w:t>Cell autonomous expression of CXCL-10 in JAK2V617F-mutated MPN. J. Cancer Res. Clin. Oncol. 143, 807–820. https://doi.org/10.1007/s00432-017-2354-1</w:t>
      </w:r>
    </w:p>
    <w:p w14:paraId="7065C2D5"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Scott, L.M., Tong, W., Levine, R.L., Scott, M.A., Beer, P.A., Stratton, M.R., </w:t>
      </w:r>
      <w:proofErr w:type="spellStart"/>
      <w:r w:rsidRPr="00427DC3">
        <w:rPr>
          <w:rFonts w:ascii="Arial" w:hAnsi="Arial" w:cs="Arial"/>
          <w:sz w:val="22"/>
          <w:szCs w:val="22"/>
          <w:lang w:val="en-US"/>
        </w:rPr>
        <w:t>Futreal</w:t>
      </w:r>
      <w:proofErr w:type="spellEnd"/>
      <w:r w:rsidRPr="00427DC3">
        <w:rPr>
          <w:rFonts w:ascii="Arial" w:hAnsi="Arial" w:cs="Arial"/>
          <w:sz w:val="22"/>
          <w:szCs w:val="22"/>
          <w:lang w:val="en-US"/>
        </w:rPr>
        <w:t xml:space="preserve">, P.A., </w:t>
      </w:r>
      <w:proofErr w:type="spellStart"/>
      <w:r w:rsidRPr="00427DC3">
        <w:rPr>
          <w:rFonts w:ascii="Arial" w:hAnsi="Arial" w:cs="Arial"/>
          <w:sz w:val="22"/>
          <w:szCs w:val="22"/>
          <w:lang w:val="en-US"/>
        </w:rPr>
        <w:t>Erber</w:t>
      </w:r>
      <w:proofErr w:type="spellEnd"/>
      <w:r w:rsidRPr="00427DC3">
        <w:rPr>
          <w:rFonts w:ascii="Arial" w:hAnsi="Arial" w:cs="Arial"/>
          <w:sz w:val="22"/>
          <w:szCs w:val="22"/>
          <w:lang w:val="en-US"/>
        </w:rPr>
        <w:t xml:space="preserve">, W.N., McMullin, M.F., Harrison, C.N., Warren, A.J., Gilliland, D.G., </w:t>
      </w:r>
      <w:proofErr w:type="spellStart"/>
      <w:r w:rsidRPr="00427DC3">
        <w:rPr>
          <w:rFonts w:ascii="Arial" w:hAnsi="Arial" w:cs="Arial"/>
          <w:sz w:val="22"/>
          <w:szCs w:val="22"/>
          <w:lang w:val="en-US"/>
        </w:rPr>
        <w:t>Lodish</w:t>
      </w:r>
      <w:proofErr w:type="spellEnd"/>
      <w:r w:rsidRPr="00427DC3">
        <w:rPr>
          <w:rFonts w:ascii="Arial" w:hAnsi="Arial" w:cs="Arial"/>
          <w:sz w:val="22"/>
          <w:szCs w:val="22"/>
          <w:lang w:val="en-US"/>
        </w:rPr>
        <w:t xml:space="preserve">, H.F., Green, A.R., 2007. JAK2 exon 12 mutations in polycythemia vera and idiopathic erythrocytosis. N </w:t>
      </w:r>
      <w:proofErr w:type="spellStart"/>
      <w:r w:rsidRPr="00427DC3">
        <w:rPr>
          <w:rFonts w:ascii="Arial" w:hAnsi="Arial" w:cs="Arial"/>
          <w:sz w:val="22"/>
          <w:szCs w:val="22"/>
          <w:lang w:val="en-US"/>
        </w:rPr>
        <w:t>Engl</w:t>
      </w:r>
      <w:proofErr w:type="spellEnd"/>
      <w:r w:rsidRPr="00427DC3">
        <w:rPr>
          <w:rFonts w:ascii="Arial" w:hAnsi="Arial" w:cs="Arial"/>
          <w:sz w:val="22"/>
          <w:szCs w:val="22"/>
          <w:lang w:val="en-US"/>
        </w:rPr>
        <w:t xml:space="preserve"> J Med 356, 459–468. https://doi.org/10.1056/NEJMoa065202</w:t>
      </w:r>
    </w:p>
    <w:p w14:paraId="0AF05C72"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Seedhouse, C., Faulkner, R., Ashraf, N., Das-Gupta, E., Russell, N., 2004. Polymorphisms in genes involved in homologous recombination repair interact to increase the risk of developing acute myeloid leukemia. Clin. Cancer Res. 10, 2675–2680. https://doi.org/10.1158/1078-0432.ccr-03-0372</w:t>
      </w:r>
    </w:p>
    <w:p w14:paraId="421726A7"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Seth, D., Rudolph, J., 2006. Redox regulation of MAP kinase phosphatase 3. Biochemistry 45, 8476–8487. https://doi.org/10.1021/bi060157p</w:t>
      </w:r>
    </w:p>
    <w:p w14:paraId="0D32B913"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Sheikhha</w:t>
      </w:r>
      <w:proofErr w:type="spellEnd"/>
      <w:r w:rsidRPr="00427DC3">
        <w:rPr>
          <w:rFonts w:ascii="Arial" w:hAnsi="Arial" w:cs="Arial"/>
          <w:sz w:val="22"/>
          <w:szCs w:val="22"/>
          <w:lang w:val="en-US"/>
        </w:rPr>
        <w:t xml:space="preserve">, M.H., </w:t>
      </w:r>
      <w:proofErr w:type="spellStart"/>
      <w:r w:rsidRPr="00427DC3">
        <w:rPr>
          <w:rFonts w:ascii="Arial" w:hAnsi="Arial" w:cs="Arial"/>
          <w:sz w:val="22"/>
          <w:szCs w:val="22"/>
          <w:lang w:val="en-US"/>
        </w:rPr>
        <w:t>Tobal</w:t>
      </w:r>
      <w:proofErr w:type="spellEnd"/>
      <w:r w:rsidRPr="00427DC3">
        <w:rPr>
          <w:rFonts w:ascii="Arial" w:hAnsi="Arial" w:cs="Arial"/>
          <w:sz w:val="22"/>
          <w:szCs w:val="22"/>
          <w:lang w:val="en-US"/>
        </w:rPr>
        <w:t xml:space="preserve">, K., Liu Yin, J.A., 2002. High level of microsatellite instability but not hypermethylation of mismatch repair genes in therapy-related and secondary acute myeloid </w:t>
      </w:r>
      <w:proofErr w:type="spellStart"/>
      <w:r w:rsidRPr="00427DC3">
        <w:rPr>
          <w:rFonts w:ascii="Arial" w:hAnsi="Arial" w:cs="Arial"/>
          <w:sz w:val="22"/>
          <w:szCs w:val="22"/>
          <w:lang w:val="en-US"/>
        </w:rPr>
        <w:t>leukaemia</w:t>
      </w:r>
      <w:proofErr w:type="spellEnd"/>
      <w:r w:rsidRPr="00427DC3">
        <w:rPr>
          <w:rFonts w:ascii="Arial" w:hAnsi="Arial" w:cs="Arial"/>
          <w:sz w:val="22"/>
          <w:szCs w:val="22"/>
          <w:lang w:val="en-US"/>
        </w:rPr>
        <w:t xml:space="preserve"> and myelodysplastic syndrome. Br. J. </w:t>
      </w:r>
      <w:proofErr w:type="spellStart"/>
      <w:r w:rsidRPr="00427DC3">
        <w:rPr>
          <w:rFonts w:ascii="Arial" w:hAnsi="Arial" w:cs="Arial"/>
          <w:sz w:val="22"/>
          <w:szCs w:val="22"/>
          <w:lang w:val="en-US"/>
        </w:rPr>
        <w:t>Haematol</w:t>
      </w:r>
      <w:proofErr w:type="spellEnd"/>
      <w:r w:rsidRPr="00427DC3">
        <w:rPr>
          <w:rFonts w:ascii="Arial" w:hAnsi="Arial" w:cs="Arial"/>
          <w:sz w:val="22"/>
          <w:szCs w:val="22"/>
          <w:lang w:val="en-US"/>
        </w:rPr>
        <w:t>. 117, 359–365. https://doi.org/10.1046/j.1365-2141.2002.03458.x</w:t>
      </w:r>
    </w:p>
    <w:p w14:paraId="6DF2D0A9"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Smith, C., </w:t>
      </w:r>
      <w:proofErr w:type="spellStart"/>
      <w:r w:rsidRPr="00427DC3">
        <w:rPr>
          <w:rFonts w:ascii="Arial" w:hAnsi="Arial" w:cs="Arial"/>
          <w:sz w:val="22"/>
          <w:szCs w:val="22"/>
          <w:lang w:val="en-US"/>
        </w:rPr>
        <w:t>Abalde-Atristain</w:t>
      </w:r>
      <w:proofErr w:type="spellEnd"/>
      <w:r w:rsidRPr="00427DC3">
        <w:rPr>
          <w:rFonts w:ascii="Arial" w:hAnsi="Arial" w:cs="Arial"/>
          <w:sz w:val="22"/>
          <w:szCs w:val="22"/>
          <w:lang w:val="en-US"/>
        </w:rPr>
        <w:t xml:space="preserve">, L., He, C., Brodsky, B.R., Braunstein, E.M., Chaudhari, P., Jang, Y.-Y., Cheng, L., Ye, Z., 2015. Efficient and Allele-Specific Genome Editing of Disease Loci in Human iPSCs. Mol </w:t>
      </w:r>
      <w:proofErr w:type="spellStart"/>
      <w:r w:rsidRPr="00427DC3">
        <w:rPr>
          <w:rFonts w:ascii="Arial" w:hAnsi="Arial" w:cs="Arial"/>
          <w:sz w:val="22"/>
          <w:szCs w:val="22"/>
          <w:lang w:val="en-US"/>
        </w:rPr>
        <w:t>Ther</w:t>
      </w:r>
      <w:proofErr w:type="spellEnd"/>
      <w:r w:rsidRPr="00427DC3">
        <w:rPr>
          <w:rFonts w:ascii="Arial" w:hAnsi="Arial" w:cs="Arial"/>
          <w:sz w:val="22"/>
          <w:szCs w:val="22"/>
          <w:lang w:val="en-US"/>
        </w:rPr>
        <w:t xml:space="preserve"> 23, 570–577. https://doi.org/10.1038/mt.2014.226</w:t>
      </w:r>
    </w:p>
    <w:p w14:paraId="173BDD88"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Smyth, G.K., 2004. Linear models and empirical bayes methods for assessing differential expression in microarray experiments. Stat Appl Genet Mol Biol 3, Article3. https://doi.org/10.2202/1544-6115.1027</w:t>
      </w:r>
    </w:p>
    <w:p w14:paraId="6EAE60E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Solé</w:t>
      </w:r>
      <w:proofErr w:type="spellEnd"/>
      <w:r w:rsidRPr="00427DC3">
        <w:rPr>
          <w:rFonts w:ascii="Arial" w:hAnsi="Arial" w:cs="Arial"/>
          <w:sz w:val="22"/>
          <w:szCs w:val="22"/>
          <w:lang w:val="en-US"/>
        </w:rPr>
        <w:t xml:space="preserve">, F., </w:t>
      </w:r>
      <w:proofErr w:type="spellStart"/>
      <w:r w:rsidRPr="00427DC3">
        <w:rPr>
          <w:rFonts w:ascii="Arial" w:hAnsi="Arial" w:cs="Arial"/>
          <w:sz w:val="22"/>
          <w:szCs w:val="22"/>
          <w:lang w:val="en-US"/>
        </w:rPr>
        <w:t>Luño</w:t>
      </w:r>
      <w:proofErr w:type="spellEnd"/>
      <w:r w:rsidRPr="00427DC3">
        <w:rPr>
          <w:rFonts w:ascii="Arial" w:hAnsi="Arial" w:cs="Arial"/>
          <w:sz w:val="22"/>
          <w:szCs w:val="22"/>
          <w:lang w:val="en-US"/>
        </w:rPr>
        <w:t xml:space="preserve">, E., </w:t>
      </w:r>
      <w:proofErr w:type="spellStart"/>
      <w:r w:rsidRPr="00427DC3">
        <w:rPr>
          <w:rFonts w:ascii="Arial" w:hAnsi="Arial" w:cs="Arial"/>
          <w:sz w:val="22"/>
          <w:szCs w:val="22"/>
          <w:lang w:val="en-US"/>
        </w:rPr>
        <w:t>Sanzo</w:t>
      </w:r>
      <w:proofErr w:type="spellEnd"/>
      <w:r w:rsidRPr="00427DC3">
        <w:rPr>
          <w:rFonts w:ascii="Arial" w:hAnsi="Arial" w:cs="Arial"/>
          <w:sz w:val="22"/>
          <w:szCs w:val="22"/>
          <w:lang w:val="en-US"/>
        </w:rPr>
        <w:t xml:space="preserve">, C., Espinet, B., Sanz, G.F., </w:t>
      </w:r>
      <w:proofErr w:type="spellStart"/>
      <w:r w:rsidRPr="00427DC3">
        <w:rPr>
          <w:rFonts w:ascii="Arial" w:hAnsi="Arial" w:cs="Arial"/>
          <w:sz w:val="22"/>
          <w:szCs w:val="22"/>
          <w:lang w:val="en-US"/>
        </w:rPr>
        <w:t>Cervera</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Calasanz</w:t>
      </w:r>
      <w:proofErr w:type="spellEnd"/>
      <w:r w:rsidRPr="00427DC3">
        <w:rPr>
          <w:rFonts w:ascii="Arial" w:hAnsi="Arial" w:cs="Arial"/>
          <w:sz w:val="22"/>
          <w:szCs w:val="22"/>
          <w:lang w:val="en-US"/>
        </w:rPr>
        <w:t xml:space="preserve">, M.J., </w:t>
      </w:r>
      <w:proofErr w:type="spellStart"/>
      <w:r w:rsidRPr="00427DC3">
        <w:rPr>
          <w:rFonts w:ascii="Arial" w:hAnsi="Arial" w:cs="Arial"/>
          <w:sz w:val="22"/>
          <w:szCs w:val="22"/>
          <w:lang w:val="en-US"/>
        </w:rPr>
        <w:t>Cigudosa</w:t>
      </w:r>
      <w:proofErr w:type="spellEnd"/>
      <w:r w:rsidRPr="00427DC3">
        <w:rPr>
          <w:rFonts w:ascii="Arial" w:hAnsi="Arial" w:cs="Arial"/>
          <w:sz w:val="22"/>
          <w:szCs w:val="22"/>
          <w:lang w:val="en-US"/>
        </w:rPr>
        <w:t xml:space="preserve">, J.C., </w:t>
      </w:r>
      <w:proofErr w:type="spellStart"/>
      <w:r w:rsidRPr="00427DC3">
        <w:rPr>
          <w:rFonts w:ascii="Arial" w:hAnsi="Arial" w:cs="Arial"/>
          <w:sz w:val="22"/>
          <w:szCs w:val="22"/>
          <w:lang w:val="en-US"/>
        </w:rPr>
        <w:t>Millà</w:t>
      </w:r>
      <w:proofErr w:type="spellEnd"/>
      <w:r w:rsidRPr="00427DC3">
        <w:rPr>
          <w:rFonts w:ascii="Arial" w:hAnsi="Arial" w:cs="Arial"/>
          <w:sz w:val="22"/>
          <w:szCs w:val="22"/>
          <w:lang w:val="en-US"/>
        </w:rPr>
        <w:t xml:space="preserve">, F., Ribera, J.M., </w:t>
      </w:r>
      <w:proofErr w:type="spellStart"/>
      <w:r w:rsidRPr="00427DC3">
        <w:rPr>
          <w:rFonts w:ascii="Arial" w:hAnsi="Arial" w:cs="Arial"/>
          <w:sz w:val="22"/>
          <w:szCs w:val="22"/>
          <w:lang w:val="en-US"/>
        </w:rPr>
        <w:t>Bureo</w:t>
      </w:r>
      <w:proofErr w:type="spellEnd"/>
      <w:r w:rsidRPr="00427DC3">
        <w:rPr>
          <w:rFonts w:ascii="Arial" w:hAnsi="Arial" w:cs="Arial"/>
          <w:sz w:val="22"/>
          <w:szCs w:val="22"/>
          <w:lang w:val="en-US"/>
        </w:rPr>
        <w:t xml:space="preserve">, E., Marquez, M.L., </w:t>
      </w:r>
      <w:proofErr w:type="spellStart"/>
      <w:r w:rsidRPr="00427DC3">
        <w:rPr>
          <w:rFonts w:ascii="Arial" w:hAnsi="Arial" w:cs="Arial"/>
          <w:sz w:val="22"/>
          <w:szCs w:val="22"/>
          <w:lang w:val="en-US"/>
        </w:rPr>
        <w:t>Arranz</w:t>
      </w:r>
      <w:proofErr w:type="spellEnd"/>
      <w:r w:rsidRPr="00427DC3">
        <w:rPr>
          <w:rFonts w:ascii="Arial" w:hAnsi="Arial" w:cs="Arial"/>
          <w:sz w:val="22"/>
          <w:szCs w:val="22"/>
          <w:lang w:val="en-US"/>
        </w:rPr>
        <w:t xml:space="preserve">, E., </w:t>
      </w:r>
      <w:proofErr w:type="spellStart"/>
      <w:r w:rsidRPr="00427DC3">
        <w:rPr>
          <w:rFonts w:ascii="Arial" w:hAnsi="Arial" w:cs="Arial"/>
          <w:sz w:val="22"/>
          <w:szCs w:val="22"/>
          <w:lang w:val="en-US"/>
        </w:rPr>
        <w:t>Florensa</w:t>
      </w:r>
      <w:proofErr w:type="spellEnd"/>
      <w:r w:rsidRPr="00427DC3">
        <w:rPr>
          <w:rFonts w:ascii="Arial" w:hAnsi="Arial" w:cs="Arial"/>
          <w:sz w:val="22"/>
          <w:szCs w:val="22"/>
          <w:lang w:val="en-US"/>
        </w:rPr>
        <w:t xml:space="preserve">, L., 2005. Identification of novel cytogenetic markers with prognostic significance in a series of 968 patients with primary myelodysplastic syndromes. </w:t>
      </w:r>
      <w:proofErr w:type="spellStart"/>
      <w:r w:rsidRPr="00427DC3">
        <w:rPr>
          <w:rFonts w:ascii="Arial" w:hAnsi="Arial" w:cs="Arial"/>
          <w:sz w:val="22"/>
          <w:szCs w:val="22"/>
          <w:lang w:val="en-US"/>
        </w:rPr>
        <w:t>Haematologica</w:t>
      </w:r>
      <w:proofErr w:type="spellEnd"/>
      <w:r w:rsidRPr="00427DC3">
        <w:rPr>
          <w:rFonts w:ascii="Arial" w:hAnsi="Arial" w:cs="Arial"/>
          <w:sz w:val="22"/>
          <w:szCs w:val="22"/>
          <w:lang w:val="en-US"/>
        </w:rPr>
        <w:t xml:space="preserve"> 90, 1168–1178.</w:t>
      </w:r>
    </w:p>
    <w:p w14:paraId="32C7739A"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Steensma, D.P., 2018. Clinical consequences of clonal hematopoiesis of indeterminate potential. Blood Adv 2, 3404–3410. https://doi.org/10.1182/bloodadvances.2018020222</w:t>
      </w:r>
    </w:p>
    <w:p w14:paraId="28AAA919"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Steensma, D.P., </w:t>
      </w:r>
      <w:proofErr w:type="spellStart"/>
      <w:r w:rsidRPr="00427DC3">
        <w:rPr>
          <w:rFonts w:ascii="Arial" w:hAnsi="Arial" w:cs="Arial"/>
          <w:sz w:val="22"/>
          <w:szCs w:val="22"/>
          <w:lang w:val="en-US"/>
        </w:rPr>
        <w:t>Bejar</w:t>
      </w:r>
      <w:proofErr w:type="spellEnd"/>
      <w:r w:rsidRPr="00427DC3">
        <w:rPr>
          <w:rFonts w:ascii="Arial" w:hAnsi="Arial" w:cs="Arial"/>
          <w:sz w:val="22"/>
          <w:szCs w:val="22"/>
          <w:lang w:val="en-US"/>
        </w:rPr>
        <w:t xml:space="preserve">, R., Jaiswal, S., Lindsley, R.C., </w:t>
      </w:r>
      <w:proofErr w:type="spellStart"/>
      <w:r w:rsidRPr="00427DC3">
        <w:rPr>
          <w:rFonts w:ascii="Arial" w:hAnsi="Arial" w:cs="Arial"/>
          <w:sz w:val="22"/>
          <w:szCs w:val="22"/>
          <w:lang w:val="en-US"/>
        </w:rPr>
        <w:t>Sekeres</w:t>
      </w:r>
      <w:proofErr w:type="spellEnd"/>
      <w:r w:rsidRPr="00427DC3">
        <w:rPr>
          <w:rFonts w:ascii="Arial" w:hAnsi="Arial" w:cs="Arial"/>
          <w:sz w:val="22"/>
          <w:szCs w:val="22"/>
          <w:lang w:val="en-US"/>
        </w:rPr>
        <w:t xml:space="preserve">, M.A., </w:t>
      </w:r>
      <w:proofErr w:type="spellStart"/>
      <w:r w:rsidRPr="00427DC3">
        <w:rPr>
          <w:rFonts w:ascii="Arial" w:hAnsi="Arial" w:cs="Arial"/>
          <w:sz w:val="22"/>
          <w:szCs w:val="22"/>
          <w:lang w:val="en-US"/>
        </w:rPr>
        <w:t>Hasserjian</w:t>
      </w:r>
      <w:proofErr w:type="spellEnd"/>
      <w:r w:rsidRPr="00427DC3">
        <w:rPr>
          <w:rFonts w:ascii="Arial" w:hAnsi="Arial" w:cs="Arial"/>
          <w:sz w:val="22"/>
          <w:szCs w:val="22"/>
          <w:lang w:val="en-US"/>
        </w:rPr>
        <w:t>, R.P., Ebert, B.L., 2015. Clonal hematopoiesis of indeterminate potential and its distinction from myelodysplastic syndromes. Blood 126, 9–16. https://doi.org/10.1182/blood-2015-03-631747</w:t>
      </w:r>
    </w:p>
    <w:p w14:paraId="3625E8DE"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Stetka</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Vyhlidalova</w:t>
      </w:r>
      <w:proofErr w:type="spellEnd"/>
      <w:r w:rsidRPr="00427DC3">
        <w:rPr>
          <w:rFonts w:ascii="Arial" w:hAnsi="Arial" w:cs="Arial"/>
          <w:sz w:val="22"/>
          <w:szCs w:val="22"/>
          <w:lang w:val="en-US"/>
        </w:rPr>
        <w:t xml:space="preserve">, P., </w:t>
      </w:r>
      <w:proofErr w:type="spellStart"/>
      <w:r w:rsidRPr="00427DC3">
        <w:rPr>
          <w:rFonts w:ascii="Arial" w:hAnsi="Arial" w:cs="Arial"/>
          <w:sz w:val="22"/>
          <w:szCs w:val="22"/>
          <w:lang w:val="en-US"/>
        </w:rPr>
        <w:t>Lanikova</w:t>
      </w:r>
      <w:proofErr w:type="spellEnd"/>
      <w:r w:rsidRPr="00427DC3">
        <w:rPr>
          <w:rFonts w:ascii="Arial" w:hAnsi="Arial" w:cs="Arial"/>
          <w:sz w:val="22"/>
          <w:szCs w:val="22"/>
          <w:lang w:val="en-US"/>
        </w:rPr>
        <w:t xml:space="preserve">, L., </w:t>
      </w:r>
      <w:proofErr w:type="spellStart"/>
      <w:r w:rsidRPr="00427DC3">
        <w:rPr>
          <w:rFonts w:ascii="Arial" w:hAnsi="Arial" w:cs="Arial"/>
          <w:sz w:val="22"/>
          <w:szCs w:val="22"/>
          <w:lang w:val="en-US"/>
        </w:rPr>
        <w:t>Koralkova</w:t>
      </w:r>
      <w:proofErr w:type="spellEnd"/>
      <w:r w:rsidRPr="00427DC3">
        <w:rPr>
          <w:rFonts w:ascii="Arial" w:hAnsi="Arial" w:cs="Arial"/>
          <w:sz w:val="22"/>
          <w:szCs w:val="22"/>
          <w:lang w:val="en-US"/>
        </w:rPr>
        <w:t xml:space="preserve">, P., </w:t>
      </w:r>
      <w:proofErr w:type="spellStart"/>
      <w:r w:rsidRPr="00427DC3">
        <w:rPr>
          <w:rFonts w:ascii="Arial" w:hAnsi="Arial" w:cs="Arial"/>
          <w:sz w:val="22"/>
          <w:szCs w:val="22"/>
          <w:lang w:val="en-US"/>
        </w:rPr>
        <w:t>Gursky</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Hlusi</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Flodr</w:t>
      </w:r>
      <w:proofErr w:type="spellEnd"/>
      <w:r w:rsidRPr="00427DC3">
        <w:rPr>
          <w:rFonts w:ascii="Arial" w:hAnsi="Arial" w:cs="Arial"/>
          <w:sz w:val="22"/>
          <w:szCs w:val="22"/>
          <w:lang w:val="en-US"/>
        </w:rPr>
        <w:t xml:space="preserve">, P., </w:t>
      </w:r>
      <w:proofErr w:type="spellStart"/>
      <w:r w:rsidRPr="00427DC3">
        <w:rPr>
          <w:rFonts w:ascii="Arial" w:hAnsi="Arial" w:cs="Arial"/>
          <w:sz w:val="22"/>
          <w:szCs w:val="22"/>
          <w:lang w:val="en-US"/>
        </w:rPr>
        <w:t>Hubackova</w:t>
      </w:r>
      <w:proofErr w:type="spellEnd"/>
      <w:r w:rsidRPr="00427DC3">
        <w:rPr>
          <w:rFonts w:ascii="Arial" w:hAnsi="Arial" w:cs="Arial"/>
          <w:sz w:val="22"/>
          <w:szCs w:val="22"/>
          <w:lang w:val="en-US"/>
        </w:rPr>
        <w:t xml:space="preserve">, S., Bartek, J., </w:t>
      </w:r>
      <w:proofErr w:type="spellStart"/>
      <w:r w:rsidRPr="00427DC3">
        <w:rPr>
          <w:rFonts w:ascii="Arial" w:hAnsi="Arial" w:cs="Arial"/>
          <w:sz w:val="22"/>
          <w:szCs w:val="22"/>
          <w:lang w:val="en-US"/>
        </w:rPr>
        <w:t>Hodny</w:t>
      </w:r>
      <w:proofErr w:type="spellEnd"/>
      <w:r w:rsidRPr="00427DC3">
        <w:rPr>
          <w:rFonts w:ascii="Arial" w:hAnsi="Arial" w:cs="Arial"/>
          <w:sz w:val="22"/>
          <w:szCs w:val="22"/>
          <w:lang w:val="en-US"/>
        </w:rPr>
        <w:t xml:space="preserve">, Z., </w:t>
      </w:r>
      <w:proofErr w:type="spellStart"/>
      <w:r w:rsidRPr="00427DC3">
        <w:rPr>
          <w:rFonts w:ascii="Arial" w:hAnsi="Arial" w:cs="Arial"/>
          <w:sz w:val="22"/>
          <w:szCs w:val="22"/>
          <w:lang w:val="en-US"/>
        </w:rPr>
        <w:t>Divoky</w:t>
      </w:r>
      <w:proofErr w:type="spellEnd"/>
      <w:r w:rsidRPr="00427DC3">
        <w:rPr>
          <w:rFonts w:ascii="Arial" w:hAnsi="Arial" w:cs="Arial"/>
          <w:sz w:val="22"/>
          <w:szCs w:val="22"/>
          <w:lang w:val="en-US"/>
        </w:rPr>
        <w:t xml:space="preserve">, V., 2019. Addiction to DUSP1 protects JAK2V617F-driven polycythemia vera progenitors against inflammatory stress and </w:t>
      </w:r>
      <w:r w:rsidRPr="00427DC3">
        <w:rPr>
          <w:rFonts w:ascii="Arial" w:hAnsi="Arial" w:cs="Arial"/>
          <w:sz w:val="22"/>
          <w:szCs w:val="22"/>
          <w:lang w:val="en-US"/>
        </w:rPr>
        <w:lastRenderedPageBreak/>
        <w:t>DNA damage, allowing chronic proliferation. Oncogene 38, 5627–5642. https://doi.org/10.1038/s41388-019-0813-7</w:t>
      </w:r>
    </w:p>
    <w:p w14:paraId="67635CBF"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Storey</w:t>
      </w:r>
      <w:proofErr w:type="spellEnd"/>
      <w:r w:rsidRPr="00427DC3">
        <w:rPr>
          <w:rFonts w:ascii="Arial" w:hAnsi="Arial" w:cs="Arial"/>
          <w:sz w:val="22"/>
          <w:szCs w:val="22"/>
          <w:lang w:val="en-US"/>
        </w:rPr>
        <w:t xml:space="preserve">, J.D., </w:t>
      </w:r>
      <w:proofErr w:type="spellStart"/>
      <w:r w:rsidRPr="00427DC3">
        <w:rPr>
          <w:rFonts w:ascii="Arial" w:hAnsi="Arial" w:cs="Arial"/>
          <w:sz w:val="22"/>
          <w:szCs w:val="22"/>
          <w:lang w:val="en-US"/>
        </w:rPr>
        <w:t>Tibshirani</w:t>
      </w:r>
      <w:proofErr w:type="spellEnd"/>
      <w:r w:rsidRPr="00427DC3">
        <w:rPr>
          <w:rFonts w:ascii="Arial" w:hAnsi="Arial" w:cs="Arial"/>
          <w:sz w:val="22"/>
          <w:szCs w:val="22"/>
          <w:lang w:val="en-US"/>
        </w:rPr>
        <w:t xml:space="preserve">, R., 2003. Statistical significance for </w:t>
      </w:r>
      <w:proofErr w:type="spellStart"/>
      <w:r w:rsidRPr="00427DC3">
        <w:rPr>
          <w:rFonts w:ascii="Arial" w:hAnsi="Arial" w:cs="Arial"/>
          <w:sz w:val="22"/>
          <w:szCs w:val="22"/>
          <w:lang w:val="en-US"/>
        </w:rPr>
        <w:t>genomewide</w:t>
      </w:r>
      <w:proofErr w:type="spellEnd"/>
      <w:r w:rsidRPr="00427DC3">
        <w:rPr>
          <w:rFonts w:ascii="Arial" w:hAnsi="Arial" w:cs="Arial"/>
          <w:sz w:val="22"/>
          <w:szCs w:val="22"/>
          <w:lang w:val="en-US"/>
        </w:rPr>
        <w:t xml:space="preserve"> studies. PNAS 100, 9440–9445. https://doi.org/10.1073/pnas.1530509100</w:t>
      </w:r>
    </w:p>
    <w:p w14:paraId="69E9EBE4"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Strom, S.S., </w:t>
      </w:r>
      <w:proofErr w:type="spellStart"/>
      <w:r w:rsidRPr="00427DC3">
        <w:rPr>
          <w:rFonts w:ascii="Arial" w:hAnsi="Arial" w:cs="Arial"/>
          <w:sz w:val="22"/>
          <w:szCs w:val="22"/>
          <w:lang w:val="en-US"/>
        </w:rPr>
        <w:t>Estey</w:t>
      </w:r>
      <w:proofErr w:type="spellEnd"/>
      <w:r w:rsidRPr="00427DC3">
        <w:rPr>
          <w:rFonts w:ascii="Arial" w:hAnsi="Arial" w:cs="Arial"/>
          <w:sz w:val="22"/>
          <w:szCs w:val="22"/>
          <w:lang w:val="en-US"/>
        </w:rPr>
        <w:t xml:space="preserve">, E., </w:t>
      </w:r>
      <w:proofErr w:type="spellStart"/>
      <w:r w:rsidRPr="00427DC3">
        <w:rPr>
          <w:rFonts w:ascii="Arial" w:hAnsi="Arial" w:cs="Arial"/>
          <w:sz w:val="22"/>
          <w:szCs w:val="22"/>
          <w:lang w:val="en-US"/>
        </w:rPr>
        <w:t>Outschoorn</w:t>
      </w:r>
      <w:proofErr w:type="spellEnd"/>
      <w:r w:rsidRPr="00427DC3">
        <w:rPr>
          <w:rFonts w:ascii="Arial" w:hAnsi="Arial" w:cs="Arial"/>
          <w:sz w:val="22"/>
          <w:szCs w:val="22"/>
          <w:lang w:val="en-US"/>
        </w:rPr>
        <w:t>, U.M., Garcia-</w:t>
      </w:r>
      <w:proofErr w:type="spellStart"/>
      <w:r w:rsidRPr="00427DC3">
        <w:rPr>
          <w:rFonts w:ascii="Arial" w:hAnsi="Arial" w:cs="Arial"/>
          <w:sz w:val="22"/>
          <w:szCs w:val="22"/>
          <w:lang w:val="en-US"/>
        </w:rPr>
        <w:t>Manero</w:t>
      </w:r>
      <w:proofErr w:type="spellEnd"/>
      <w:r w:rsidRPr="00427DC3">
        <w:rPr>
          <w:rFonts w:ascii="Arial" w:hAnsi="Arial" w:cs="Arial"/>
          <w:sz w:val="22"/>
          <w:szCs w:val="22"/>
          <w:lang w:val="en-US"/>
        </w:rPr>
        <w:t xml:space="preserve">, G., 2010. Acute myeloid leukemia outcome: role of nucleotide excision repair polymorphisms in intermediate risk patients. </w:t>
      </w:r>
      <w:proofErr w:type="spellStart"/>
      <w:r w:rsidRPr="00427DC3">
        <w:rPr>
          <w:rFonts w:ascii="Arial" w:hAnsi="Arial" w:cs="Arial"/>
          <w:sz w:val="22"/>
          <w:szCs w:val="22"/>
          <w:lang w:val="en-US"/>
        </w:rPr>
        <w:t>Leuk</w:t>
      </w:r>
      <w:proofErr w:type="spellEnd"/>
      <w:r w:rsidRPr="00427DC3">
        <w:rPr>
          <w:rFonts w:ascii="Arial" w:hAnsi="Arial" w:cs="Arial"/>
          <w:sz w:val="22"/>
          <w:szCs w:val="22"/>
          <w:lang w:val="en-US"/>
        </w:rPr>
        <w:t>. Lymphoma 51, 598–605. https://doi.org/10.3109/10428190903582804</w:t>
      </w:r>
    </w:p>
    <w:p w14:paraId="4E0B883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Subramanian, A., Tamayo, P., </w:t>
      </w:r>
      <w:proofErr w:type="spellStart"/>
      <w:r w:rsidRPr="00427DC3">
        <w:rPr>
          <w:rFonts w:ascii="Arial" w:hAnsi="Arial" w:cs="Arial"/>
          <w:sz w:val="22"/>
          <w:szCs w:val="22"/>
          <w:lang w:val="en-US"/>
        </w:rPr>
        <w:t>Mootha</w:t>
      </w:r>
      <w:proofErr w:type="spellEnd"/>
      <w:r w:rsidRPr="00427DC3">
        <w:rPr>
          <w:rFonts w:ascii="Arial" w:hAnsi="Arial" w:cs="Arial"/>
          <w:sz w:val="22"/>
          <w:szCs w:val="22"/>
          <w:lang w:val="en-US"/>
        </w:rPr>
        <w:t xml:space="preserve">, V.K., Mukherjee, S., Ebert, B.L., Gillette, M.A., </w:t>
      </w:r>
      <w:proofErr w:type="spellStart"/>
      <w:r w:rsidRPr="00427DC3">
        <w:rPr>
          <w:rFonts w:ascii="Arial" w:hAnsi="Arial" w:cs="Arial"/>
          <w:sz w:val="22"/>
          <w:szCs w:val="22"/>
          <w:lang w:val="en-US"/>
        </w:rPr>
        <w:t>Paulovich</w:t>
      </w:r>
      <w:proofErr w:type="spellEnd"/>
      <w:r w:rsidRPr="00427DC3">
        <w:rPr>
          <w:rFonts w:ascii="Arial" w:hAnsi="Arial" w:cs="Arial"/>
          <w:sz w:val="22"/>
          <w:szCs w:val="22"/>
          <w:lang w:val="en-US"/>
        </w:rPr>
        <w:t xml:space="preserve">, A., Pomeroy, S.L., Golub, T.R., Lander, E.S., </w:t>
      </w:r>
      <w:proofErr w:type="spellStart"/>
      <w:r w:rsidRPr="00427DC3">
        <w:rPr>
          <w:rFonts w:ascii="Arial" w:hAnsi="Arial" w:cs="Arial"/>
          <w:sz w:val="22"/>
          <w:szCs w:val="22"/>
          <w:lang w:val="en-US"/>
        </w:rPr>
        <w:t>Mesirov</w:t>
      </w:r>
      <w:proofErr w:type="spellEnd"/>
      <w:r w:rsidRPr="00427DC3">
        <w:rPr>
          <w:rFonts w:ascii="Arial" w:hAnsi="Arial" w:cs="Arial"/>
          <w:sz w:val="22"/>
          <w:szCs w:val="22"/>
          <w:lang w:val="en-US"/>
        </w:rPr>
        <w:t>, J.P., 2005. Gene set enrichment analysis: A knowledge-based approach for interpreting genome-wide expression profiles. PNAS 102, 15545–15550. https://doi.org/10.1073/pnas.0506580102</w:t>
      </w:r>
    </w:p>
    <w:p w14:paraId="2B7629AF"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Sun, D., Luo, M., </w:t>
      </w:r>
      <w:proofErr w:type="spellStart"/>
      <w:r w:rsidRPr="00427DC3">
        <w:rPr>
          <w:rFonts w:ascii="Arial" w:hAnsi="Arial" w:cs="Arial"/>
          <w:sz w:val="22"/>
          <w:szCs w:val="22"/>
          <w:lang w:val="en-US"/>
        </w:rPr>
        <w:t>Jeong</w:t>
      </w:r>
      <w:proofErr w:type="spellEnd"/>
      <w:r w:rsidRPr="00427DC3">
        <w:rPr>
          <w:rFonts w:ascii="Arial" w:hAnsi="Arial" w:cs="Arial"/>
          <w:sz w:val="22"/>
          <w:szCs w:val="22"/>
          <w:lang w:val="en-US"/>
        </w:rPr>
        <w:t xml:space="preserve">, M., Rodriguez, B., Xia, Z., Hannah, R., Wang, H., Le, T., Faull, K.F., Chen, R., Gu, H., Bock, C., Meissner, A., </w:t>
      </w:r>
      <w:proofErr w:type="spellStart"/>
      <w:r w:rsidRPr="00427DC3">
        <w:rPr>
          <w:rFonts w:ascii="Arial" w:hAnsi="Arial" w:cs="Arial"/>
          <w:sz w:val="22"/>
          <w:szCs w:val="22"/>
          <w:lang w:val="en-US"/>
        </w:rPr>
        <w:t>Göttgens</w:t>
      </w:r>
      <w:proofErr w:type="spellEnd"/>
      <w:r w:rsidRPr="00427DC3">
        <w:rPr>
          <w:rFonts w:ascii="Arial" w:hAnsi="Arial" w:cs="Arial"/>
          <w:sz w:val="22"/>
          <w:szCs w:val="22"/>
          <w:lang w:val="en-US"/>
        </w:rPr>
        <w:t>, B., Darlington, G.J., Li, W., Goodell, M.A., 2014. Epigenomic Profiling of Young and Aged HSCs Reveals Concerted Changes during Aging that Reinforce Self-Renewal. Cell Stem Cell 14, 673–688. https://doi.org/10.1016/j.stem.2014.03.002</w:t>
      </w:r>
    </w:p>
    <w:p w14:paraId="6F29E7C7"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Takacova</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Slany</w:t>
      </w:r>
      <w:proofErr w:type="spellEnd"/>
      <w:r w:rsidRPr="00427DC3">
        <w:rPr>
          <w:rFonts w:ascii="Arial" w:hAnsi="Arial" w:cs="Arial"/>
          <w:sz w:val="22"/>
          <w:szCs w:val="22"/>
          <w:lang w:val="en-US"/>
        </w:rPr>
        <w:t xml:space="preserve">, R., </w:t>
      </w:r>
      <w:proofErr w:type="spellStart"/>
      <w:r w:rsidRPr="00427DC3">
        <w:rPr>
          <w:rFonts w:ascii="Arial" w:hAnsi="Arial" w:cs="Arial"/>
          <w:sz w:val="22"/>
          <w:szCs w:val="22"/>
          <w:lang w:val="en-US"/>
        </w:rPr>
        <w:t>Bartkova</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Stranecky</w:t>
      </w:r>
      <w:proofErr w:type="spellEnd"/>
      <w:r w:rsidRPr="00427DC3">
        <w:rPr>
          <w:rFonts w:ascii="Arial" w:hAnsi="Arial" w:cs="Arial"/>
          <w:sz w:val="22"/>
          <w:szCs w:val="22"/>
          <w:lang w:val="en-US"/>
        </w:rPr>
        <w:t xml:space="preserve">, V., </w:t>
      </w:r>
      <w:proofErr w:type="spellStart"/>
      <w:r w:rsidRPr="00427DC3">
        <w:rPr>
          <w:rFonts w:ascii="Arial" w:hAnsi="Arial" w:cs="Arial"/>
          <w:sz w:val="22"/>
          <w:szCs w:val="22"/>
          <w:lang w:val="en-US"/>
        </w:rPr>
        <w:t>Dolezel</w:t>
      </w:r>
      <w:proofErr w:type="spellEnd"/>
      <w:r w:rsidRPr="00427DC3">
        <w:rPr>
          <w:rFonts w:ascii="Arial" w:hAnsi="Arial" w:cs="Arial"/>
          <w:sz w:val="22"/>
          <w:szCs w:val="22"/>
          <w:lang w:val="en-US"/>
        </w:rPr>
        <w:t xml:space="preserve">, P., </w:t>
      </w:r>
      <w:proofErr w:type="spellStart"/>
      <w:r w:rsidRPr="00427DC3">
        <w:rPr>
          <w:rFonts w:ascii="Arial" w:hAnsi="Arial" w:cs="Arial"/>
          <w:sz w:val="22"/>
          <w:szCs w:val="22"/>
          <w:lang w:val="en-US"/>
        </w:rPr>
        <w:t>Luzna</w:t>
      </w:r>
      <w:proofErr w:type="spellEnd"/>
      <w:r w:rsidRPr="00427DC3">
        <w:rPr>
          <w:rFonts w:ascii="Arial" w:hAnsi="Arial" w:cs="Arial"/>
          <w:sz w:val="22"/>
          <w:szCs w:val="22"/>
          <w:lang w:val="en-US"/>
        </w:rPr>
        <w:t xml:space="preserve">, P., Bartek, J., </w:t>
      </w:r>
      <w:proofErr w:type="spellStart"/>
      <w:r w:rsidRPr="00427DC3">
        <w:rPr>
          <w:rFonts w:ascii="Arial" w:hAnsi="Arial" w:cs="Arial"/>
          <w:sz w:val="22"/>
          <w:szCs w:val="22"/>
          <w:lang w:val="en-US"/>
        </w:rPr>
        <w:t>Divoky</w:t>
      </w:r>
      <w:proofErr w:type="spellEnd"/>
      <w:r w:rsidRPr="00427DC3">
        <w:rPr>
          <w:rFonts w:ascii="Arial" w:hAnsi="Arial" w:cs="Arial"/>
          <w:sz w:val="22"/>
          <w:szCs w:val="22"/>
          <w:lang w:val="en-US"/>
        </w:rPr>
        <w:t>, V., 2012. DNA damage response and inflammatory signaling limit the MLL-ENL-induced leukemogenesis in vivo. Cancer Cell 21, 517–531. https://doi.org/10.1016/j.ccr.2012.01.021</w:t>
      </w:r>
    </w:p>
    <w:p w14:paraId="35ADA8E4"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Tao, L.C., </w:t>
      </w:r>
      <w:proofErr w:type="spellStart"/>
      <w:r w:rsidRPr="00427DC3">
        <w:rPr>
          <w:rFonts w:ascii="Arial" w:hAnsi="Arial" w:cs="Arial"/>
          <w:sz w:val="22"/>
          <w:szCs w:val="22"/>
          <w:lang w:val="en-US"/>
        </w:rPr>
        <w:t>Stecker</w:t>
      </w:r>
      <w:proofErr w:type="spellEnd"/>
      <w:r w:rsidRPr="00427DC3">
        <w:rPr>
          <w:rFonts w:ascii="Arial" w:hAnsi="Arial" w:cs="Arial"/>
          <w:sz w:val="22"/>
          <w:szCs w:val="22"/>
          <w:lang w:val="en-US"/>
        </w:rPr>
        <w:t>, E., Gardner, H.A., 1971. Werner’s syndrome and acute myeloid leukemia. Can Med Assoc J 105, 951 passim.</w:t>
      </w:r>
    </w:p>
    <w:p w14:paraId="6235065F"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Tefferi</w:t>
      </w:r>
      <w:proofErr w:type="spellEnd"/>
      <w:r w:rsidRPr="00427DC3">
        <w:rPr>
          <w:rFonts w:ascii="Arial" w:hAnsi="Arial" w:cs="Arial"/>
          <w:sz w:val="22"/>
          <w:szCs w:val="22"/>
          <w:lang w:val="en-US"/>
        </w:rPr>
        <w:t xml:space="preserve">, A., 2016. Myeloproliferative neoplasms: A decade of discoveries and treatment advances. Am. J. </w:t>
      </w:r>
      <w:proofErr w:type="spellStart"/>
      <w:r w:rsidRPr="00427DC3">
        <w:rPr>
          <w:rFonts w:ascii="Arial" w:hAnsi="Arial" w:cs="Arial"/>
          <w:sz w:val="22"/>
          <w:szCs w:val="22"/>
          <w:lang w:val="en-US"/>
        </w:rPr>
        <w:t>Hematol</w:t>
      </w:r>
      <w:proofErr w:type="spellEnd"/>
      <w:r w:rsidRPr="00427DC3">
        <w:rPr>
          <w:rFonts w:ascii="Arial" w:hAnsi="Arial" w:cs="Arial"/>
          <w:sz w:val="22"/>
          <w:szCs w:val="22"/>
          <w:lang w:val="en-US"/>
        </w:rPr>
        <w:t>. 91, 50–58. https://doi.org/10.1002/ajh.24221</w:t>
      </w:r>
    </w:p>
    <w:p w14:paraId="274258A8"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Tefferi</w:t>
      </w:r>
      <w:proofErr w:type="spellEnd"/>
      <w:r w:rsidRPr="00427DC3">
        <w:rPr>
          <w:rFonts w:ascii="Arial" w:hAnsi="Arial" w:cs="Arial"/>
          <w:sz w:val="22"/>
          <w:szCs w:val="22"/>
          <w:lang w:val="en-US"/>
        </w:rPr>
        <w:t xml:space="preserve">, A., Guglielmelli, P., Larson, D.R., Finke, C., </w:t>
      </w:r>
      <w:proofErr w:type="spellStart"/>
      <w:r w:rsidRPr="00427DC3">
        <w:rPr>
          <w:rFonts w:ascii="Arial" w:hAnsi="Arial" w:cs="Arial"/>
          <w:sz w:val="22"/>
          <w:szCs w:val="22"/>
          <w:lang w:val="en-US"/>
        </w:rPr>
        <w:t>Wassie</w:t>
      </w:r>
      <w:proofErr w:type="spellEnd"/>
      <w:r w:rsidRPr="00427DC3">
        <w:rPr>
          <w:rFonts w:ascii="Arial" w:hAnsi="Arial" w:cs="Arial"/>
          <w:sz w:val="22"/>
          <w:szCs w:val="22"/>
          <w:lang w:val="en-US"/>
        </w:rPr>
        <w:t xml:space="preserve">, E.A., </w:t>
      </w:r>
      <w:proofErr w:type="spellStart"/>
      <w:r w:rsidRPr="00427DC3">
        <w:rPr>
          <w:rFonts w:ascii="Arial" w:hAnsi="Arial" w:cs="Arial"/>
          <w:sz w:val="22"/>
          <w:szCs w:val="22"/>
          <w:lang w:val="en-US"/>
        </w:rPr>
        <w:t>Pieri</w:t>
      </w:r>
      <w:proofErr w:type="spellEnd"/>
      <w:r w:rsidRPr="00427DC3">
        <w:rPr>
          <w:rFonts w:ascii="Arial" w:hAnsi="Arial" w:cs="Arial"/>
          <w:sz w:val="22"/>
          <w:szCs w:val="22"/>
          <w:lang w:val="en-US"/>
        </w:rPr>
        <w:t xml:space="preserve">, L., </w:t>
      </w:r>
      <w:proofErr w:type="spellStart"/>
      <w:r w:rsidRPr="00427DC3">
        <w:rPr>
          <w:rFonts w:ascii="Arial" w:hAnsi="Arial" w:cs="Arial"/>
          <w:sz w:val="22"/>
          <w:szCs w:val="22"/>
          <w:lang w:val="en-US"/>
        </w:rPr>
        <w:t>Gangat</w:t>
      </w:r>
      <w:proofErr w:type="spellEnd"/>
      <w:r w:rsidRPr="00427DC3">
        <w:rPr>
          <w:rFonts w:ascii="Arial" w:hAnsi="Arial" w:cs="Arial"/>
          <w:sz w:val="22"/>
          <w:szCs w:val="22"/>
          <w:lang w:val="en-US"/>
        </w:rPr>
        <w:t xml:space="preserve">, N., </w:t>
      </w:r>
      <w:proofErr w:type="spellStart"/>
      <w:r w:rsidRPr="00427DC3">
        <w:rPr>
          <w:rFonts w:ascii="Arial" w:hAnsi="Arial" w:cs="Arial"/>
          <w:sz w:val="22"/>
          <w:szCs w:val="22"/>
          <w:lang w:val="en-US"/>
        </w:rPr>
        <w:t>Fjerza</w:t>
      </w:r>
      <w:proofErr w:type="spellEnd"/>
      <w:r w:rsidRPr="00427DC3">
        <w:rPr>
          <w:rFonts w:ascii="Arial" w:hAnsi="Arial" w:cs="Arial"/>
          <w:sz w:val="22"/>
          <w:szCs w:val="22"/>
          <w:lang w:val="en-US"/>
        </w:rPr>
        <w:t xml:space="preserve">, R., </w:t>
      </w:r>
      <w:proofErr w:type="spellStart"/>
      <w:r w:rsidRPr="00427DC3">
        <w:rPr>
          <w:rFonts w:ascii="Arial" w:hAnsi="Arial" w:cs="Arial"/>
          <w:sz w:val="22"/>
          <w:szCs w:val="22"/>
          <w:lang w:val="en-US"/>
        </w:rPr>
        <w:t>Belachew</w:t>
      </w:r>
      <w:proofErr w:type="spellEnd"/>
      <w:r w:rsidRPr="00427DC3">
        <w:rPr>
          <w:rFonts w:ascii="Arial" w:hAnsi="Arial" w:cs="Arial"/>
          <w:sz w:val="22"/>
          <w:szCs w:val="22"/>
          <w:lang w:val="en-US"/>
        </w:rPr>
        <w:t xml:space="preserve">, A.A., </w:t>
      </w:r>
      <w:proofErr w:type="spellStart"/>
      <w:r w:rsidRPr="00427DC3">
        <w:rPr>
          <w:rFonts w:ascii="Arial" w:hAnsi="Arial" w:cs="Arial"/>
          <w:sz w:val="22"/>
          <w:szCs w:val="22"/>
          <w:lang w:val="en-US"/>
        </w:rPr>
        <w:t>Lasho</w:t>
      </w:r>
      <w:proofErr w:type="spellEnd"/>
      <w:r w:rsidRPr="00427DC3">
        <w:rPr>
          <w:rFonts w:ascii="Arial" w:hAnsi="Arial" w:cs="Arial"/>
          <w:sz w:val="22"/>
          <w:szCs w:val="22"/>
          <w:lang w:val="en-US"/>
        </w:rPr>
        <w:t xml:space="preserve">, T.L., </w:t>
      </w:r>
      <w:proofErr w:type="spellStart"/>
      <w:r w:rsidRPr="00427DC3">
        <w:rPr>
          <w:rFonts w:ascii="Arial" w:hAnsi="Arial" w:cs="Arial"/>
          <w:sz w:val="22"/>
          <w:szCs w:val="22"/>
          <w:lang w:val="en-US"/>
        </w:rPr>
        <w:t>Ketterling</w:t>
      </w:r>
      <w:proofErr w:type="spellEnd"/>
      <w:r w:rsidRPr="00427DC3">
        <w:rPr>
          <w:rFonts w:ascii="Arial" w:hAnsi="Arial" w:cs="Arial"/>
          <w:sz w:val="22"/>
          <w:szCs w:val="22"/>
          <w:lang w:val="en-US"/>
        </w:rPr>
        <w:t xml:space="preserve">, R.P., Hanson, C.A., </w:t>
      </w:r>
      <w:proofErr w:type="spellStart"/>
      <w:r w:rsidRPr="00427DC3">
        <w:rPr>
          <w:rFonts w:ascii="Arial" w:hAnsi="Arial" w:cs="Arial"/>
          <w:sz w:val="22"/>
          <w:szCs w:val="22"/>
          <w:lang w:val="en-US"/>
        </w:rPr>
        <w:t>Rambaldi</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Finazzi</w:t>
      </w:r>
      <w:proofErr w:type="spellEnd"/>
      <w:r w:rsidRPr="00427DC3">
        <w:rPr>
          <w:rFonts w:ascii="Arial" w:hAnsi="Arial" w:cs="Arial"/>
          <w:sz w:val="22"/>
          <w:szCs w:val="22"/>
          <w:lang w:val="en-US"/>
        </w:rPr>
        <w:t xml:space="preserve">, G., Thiele, J., </w:t>
      </w:r>
      <w:proofErr w:type="spellStart"/>
      <w:r w:rsidRPr="00427DC3">
        <w:rPr>
          <w:rFonts w:ascii="Arial" w:hAnsi="Arial" w:cs="Arial"/>
          <w:sz w:val="22"/>
          <w:szCs w:val="22"/>
          <w:lang w:val="en-US"/>
        </w:rPr>
        <w:t>Barbui</w:t>
      </w:r>
      <w:proofErr w:type="spellEnd"/>
      <w:r w:rsidRPr="00427DC3">
        <w:rPr>
          <w:rFonts w:ascii="Arial" w:hAnsi="Arial" w:cs="Arial"/>
          <w:sz w:val="22"/>
          <w:szCs w:val="22"/>
          <w:lang w:val="en-US"/>
        </w:rPr>
        <w:t xml:space="preserve">, T., </w:t>
      </w:r>
      <w:proofErr w:type="spellStart"/>
      <w:r w:rsidRPr="00427DC3">
        <w:rPr>
          <w:rFonts w:ascii="Arial" w:hAnsi="Arial" w:cs="Arial"/>
          <w:sz w:val="22"/>
          <w:szCs w:val="22"/>
          <w:lang w:val="en-US"/>
        </w:rPr>
        <w:t>Pardanani</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Vannucchi</w:t>
      </w:r>
      <w:proofErr w:type="spellEnd"/>
      <w:r w:rsidRPr="00427DC3">
        <w:rPr>
          <w:rFonts w:ascii="Arial" w:hAnsi="Arial" w:cs="Arial"/>
          <w:sz w:val="22"/>
          <w:szCs w:val="22"/>
          <w:lang w:val="en-US"/>
        </w:rPr>
        <w:t>, A.M., 2014. Long-term survival and blast transformation in molecularly annotated essential thrombocythemia, polycythemia vera, and myelofibrosis. Blood 124, 2507–2513. https://doi.org/10.1182/blood-2014-05-579136</w:t>
      </w:r>
    </w:p>
    <w:p w14:paraId="374FFF52"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Tefferi</w:t>
      </w:r>
      <w:proofErr w:type="spellEnd"/>
      <w:r w:rsidRPr="00427DC3">
        <w:rPr>
          <w:rFonts w:ascii="Arial" w:hAnsi="Arial" w:cs="Arial"/>
          <w:sz w:val="22"/>
          <w:szCs w:val="22"/>
          <w:lang w:val="en-US"/>
        </w:rPr>
        <w:t xml:space="preserve">, A., Vaidya, R., </w:t>
      </w:r>
      <w:proofErr w:type="spellStart"/>
      <w:r w:rsidRPr="00427DC3">
        <w:rPr>
          <w:rFonts w:ascii="Arial" w:hAnsi="Arial" w:cs="Arial"/>
          <w:sz w:val="22"/>
          <w:szCs w:val="22"/>
          <w:lang w:val="en-US"/>
        </w:rPr>
        <w:t>Caramazza</w:t>
      </w:r>
      <w:proofErr w:type="spellEnd"/>
      <w:r w:rsidRPr="00427DC3">
        <w:rPr>
          <w:rFonts w:ascii="Arial" w:hAnsi="Arial" w:cs="Arial"/>
          <w:sz w:val="22"/>
          <w:szCs w:val="22"/>
          <w:lang w:val="en-US"/>
        </w:rPr>
        <w:t xml:space="preserve">, D., Finke, C., </w:t>
      </w:r>
      <w:proofErr w:type="spellStart"/>
      <w:r w:rsidRPr="00427DC3">
        <w:rPr>
          <w:rFonts w:ascii="Arial" w:hAnsi="Arial" w:cs="Arial"/>
          <w:sz w:val="22"/>
          <w:szCs w:val="22"/>
          <w:lang w:val="en-US"/>
        </w:rPr>
        <w:t>Lasho</w:t>
      </w:r>
      <w:proofErr w:type="spellEnd"/>
      <w:r w:rsidRPr="00427DC3">
        <w:rPr>
          <w:rFonts w:ascii="Arial" w:hAnsi="Arial" w:cs="Arial"/>
          <w:sz w:val="22"/>
          <w:szCs w:val="22"/>
          <w:lang w:val="en-US"/>
        </w:rPr>
        <w:t xml:space="preserve">, T., </w:t>
      </w:r>
      <w:proofErr w:type="spellStart"/>
      <w:r w:rsidRPr="00427DC3">
        <w:rPr>
          <w:rFonts w:ascii="Arial" w:hAnsi="Arial" w:cs="Arial"/>
          <w:sz w:val="22"/>
          <w:szCs w:val="22"/>
          <w:lang w:val="en-US"/>
        </w:rPr>
        <w:t>Pardanani</w:t>
      </w:r>
      <w:proofErr w:type="spellEnd"/>
      <w:r w:rsidRPr="00427DC3">
        <w:rPr>
          <w:rFonts w:ascii="Arial" w:hAnsi="Arial" w:cs="Arial"/>
          <w:sz w:val="22"/>
          <w:szCs w:val="22"/>
          <w:lang w:val="en-US"/>
        </w:rPr>
        <w:t>, A., 2011. Circulating interleukin (IL)-8, IL-2R, IL-12, and IL-15 levels are independently prognostic in primary myelofibrosis: a comprehensive cytokine profiling study. J. Clin. Oncol. 29, 1356–1363. https://doi.org/10.1200/JCO.2010.32.9490</w:t>
      </w:r>
    </w:p>
    <w:p w14:paraId="1302C1E9"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Tiedt</w:t>
      </w:r>
      <w:proofErr w:type="spellEnd"/>
      <w:r w:rsidRPr="00427DC3">
        <w:rPr>
          <w:rFonts w:ascii="Arial" w:hAnsi="Arial" w:cs="Arial"/>
          <w:sz w:val="22"/>
          <w:szCs w:val="22"/>
          <w:lang w:val="en-US"/>
        </w:rPr>
        <w:t xml:space="preserve">, R., Hao-Shen, H., Sobas, M.A., Looser, R., </w:t>
      </w:r>
      <w:proofErr w:type="spellStart"/>
      <w:r w:rsidRPr="00427DC3">
        <w:rPr>
          <w:rFonts w:ascii="Arial" w:hAnsi="Arial" w:cs="Arial"/>
          <w:sz w:val="22"/>
          <w:szCs w:val="22"/>
          <w:lang w:val="en-US"/>
        </w:rPr>
        <w:t>Dirnhofer</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Schwaller</w:t>
      </w:r>
      <w:proofErr w:type="spellEnd"/>
      <w:r w:rsidRPr="00427DC3">
        <w:rPr>
          <w:rFonts w:ascii="Arial" w:hAnsi="Arial" w:cs="Arial"/>
          <w:sz w:val="22"/>
          <w:szCs w:val="22"/>
          <w:lang w:val="en-US"/>
        </w:rPr>
        <w:t>, J., Skoda, R.C., 2008. Ratio of mutant JAK2-V617F to wild-type Jak2 determines the MPD phenotypes in transgenic mice. Blood 111, 3931–3940. https://doi.org/10.1182/blood-2007-08-107748</w:t>
      </w:r>
    </w:p>
    <w:p w14:paraId="6BD5C84E"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Toyama, K., </w:t>
      </w:r>
      <w:proofErr w:type="spellStart"/>
      <w:r w:rsidRPr="00427DC3">
        <w:rPr>
          <w:rFonts w:ascii="Arial" w:hAnsi="Arial" w:cs="Arial"/>
          <w:sz w:val="22"/>
          <w:szCs w:val="22"/>
          <w:lang w:val="en-US"/>
        </w:rPr>
        <w:t>Ohyashiki</w:t>
      </w:r>
      <w:proofErr w:type="spellEnd"/>
      <w:r w:rsidRPr="00427DC3">
        <w:rPr>
          <w:rFonts w:ascii="Arial" w:hAnsi="Arial" w:cs="Arial"/>
          <w:sz w:val="22"/>
          <w:szCs w:val="22"/>
          <w:lang w:val="en-US"/>
        </w:rPr>
        <w:t xml:space="preserve">, K., Yoshida, Y., Abe, T., Asano, S., Hirai, H., </w:t>
      </w:r>
      <w:proofErr w:type="spellStart"/>
      <w:r w:rsidRPr="00427DC3">
        <w:rPr>
          <w:rFonts w:ascii="Arial" w:hAnsi="Arial" w:cs="Arial"/>
          <w:sz w:val="22"/>
          <w:szCs w:val="22"/>
          <w:lang w:val="en-US"/>
        </w:rPr>
        <w:t>Hirashima</w:t>
      </w:r>
      <w:proofErr w:type="spellEnd"/>
      <w:r w:rsidRPr="00427DC3">
        <w:rPr>
          <w:rFonts w:ascii="Arial" w:hAnsi="Arial" w:cs="Arial"/>
          <w:sz w:val="22"/>
          <w:szCs w:val="22"/>
          <w:lang w:val="en-US"/>
        </w:rPr>
        <w:t xml:space="preserve">, K., </w:t>
      </w:r>
      <w:proofErr w:type="spellStart"/>
      <w:r w:rsidRPr="00427DC3">
        <w:rPr>
          <w:rFonts w:ascii="Arial" w:hAnsi="Arial" w:cs="Arial"/>
          <w:sz w:val="22"/>
          <w:szCs w:val="22"/>
          <w:lang w:val="en-US"/>
        </w:rPr>
        <w:t>Hotta</w:t>
      </w:r>
      <w:proofErr w:type="spellEnd"/>
      <w:r w:rsidRPr="00427DC3">
        <w:rPr>
          <w:rFonts w:ascii="Arial" w:hAnsi="Arial" w:cs="Arial"/>
          <w:sz w:val="22"/>
          <w:szCs w:val="22"/>
          <w:lang w:val="en-US"/>
        </w:rPr>
        <w:t xml:space="preserve">, T., </w:t>
      </w:r>
      <w:proofErr w:type="spellStart"/>
      <w:r w:rsidRPr="00427DC3">
        <w:rPr>
          <w:rFonts w:ascii="Arial" w:hAnsi="Arial" w:cs="Arial"/>
          <w:sz w:val="22"/>
          <w:szCs w:val="22"/>
          <w:lang w:val="en-US"/>
        </w:rPr>
        <w:t>Kuramoto</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Kuriya</w:t>
      </w:r>
      <w:proofErr w:type="spellEnd"/>
      <w:r w:rsidRPr="00427DC3">
        <w:rPr>
          <w:rFonts w:ascii="Arial" w:hAnsi="Arial" w:cs="Arial"/>
          <w:sz w:val="22"/>
          <w:szCs w:val="22"/>
          <w:lang w:val="en-US"/>
        </w:rPr>
        <w:t>, S., 1993. Clinical implications of chromosomal abnormalities in 401 patients with myelodysplastic syndromes: a multicentric study in Japan. Leukemia 7, 499–508.</w:t>
      </w:r>
    </w:p>
    <w:p w14:paraId="03724F2D"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Vaidya, R., </w:t>
      </w:r>
      <w:proofErr w:type="spellStart"/>
      <w:r w:rsidRPr="00427DC3">
        <w:rPr>
          <w:rFonts w:ascii="Arial" w:hAnsi="Arial" w:cs="Arial"/>
          <w:sz w:val="22"/>
          <w:szCs w:val="22"/>
          <w:lang w:val="en-US"/>
        </w:rPr>
        <w:t>Gangat</w:t>
      </w:r>
      <w:proofErr w:type="spellEnd"/>
      <w:r w:rsidRPr="00427DC3">
        <w:rPr>
          <w:rFonts w:ascii="Arial" w:hAnsi="Arial" w:cs="Arial"/>
          <w:sz w:val="22"/>
          <w:szCs w:val="22"/>
          <w:lang w:val="en-US"/>
        </w:rPr>
        <w:t xml:space="preserve">, N., </w:t>
      </w:r>
      <w:proofErr w:type="spellStart"/>
      <w:r w:rsidRPr="00427DC3">
        <w:rPr>
          <w:rFonts w:ascii="Arial" w:hAnsi="Arial" w:cs="Arial"/>
          <w:sz w:val="22"/>
          <w:szCs w:val="22"/>
          <w:lang w:val="en-US"/>
        </w:rPr>
        <w:t>Jimma</w:t>
      </w:r>
      <w:proofErr w:type="spellEnd"/>
      <w:r w:rsidRPr="00427DC3">
        <w:rPr>
          <w:rFonts w:ascii="Arial" w:hAnsi="Arial" w:cs="Arial"/>
          <w:sz w:val="22"/>
          <w:szCs w:val="22"/>
          <w:lang w:val="en-US"/>
        </w:rPr>
        <w:t xml:space="preserve">, T., Finke, C.M., </w:t>
      </w:r>
      <w:proofErr w:type="spellStart"/>
      <w:r w:rsidRPr="00427DC3">
        <w:rPr>
          <w:rFonts w:ascii="Arial" w:hAnsi="Arial" w:cs="Arial"/>
          <w:sz w:val="22"/>
          <w:szCs w:val="22"/>
          <w:lang w:val="en-US"/>
        </w:rPr>
        <w:t>Lasho</w:t>
      </w:r>
      <w:proofErr w:type="spellEnd"/>
      <w:r w:rsidRPr="00427DC3">
        <w:rPr>
          <w:rFonts w:ascii="Arial" w:hAnsi="Arial" w:cs="Arial"/>
          <w:sz w:val="22"/>
          <w:szCs w:val="22"/>
          <w:lang w:val="en-US"/>
        </w:rPr>
        <w:t xml:space="preserve">, T.L., </w:t>
      </w:r>
      <w:proofErr w:type="spellStart"/>
      <w:r w:rsidRPr="00427DC3">
        <w:rPr>
          <w:rFonts w:ascii="Arial" w:hAnsi="Arial" w:cs="Arial"/>
          <w:sz w:val="22"/>
          <w:szCs w:val="22"/>
          <w:lang w:val="en-US"/>
        </w:rPr>
        <w:t>Pardanani</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Tefferi</w:t>
      </w:r>
      <w:proofErr w:type="spellEnd"/>
      <w:r w:rsidRPr="00427DC3">
        <w:rPr>
          <w:rFonts w:ascii="Arial" w:hAnsi="Arial" w:cs="Arial"/>
          <w:sz w:val="22"/>
          <w:szCs w:val="22"/>
          <w:lang w:val="en-US"/>
        </w:rPr>
        <w:t xml:space="preserve">, A., 2012. Plasma cytokines in polycythemia vera: phenotypic correlates, prognostic </w:t>
      </w:r>
      <w:r w:rsidRPr="00427DC3">
        <w:rPr>
          <w:rFonts w:ascii="Arial" w:hAnsi="Arial" w:cs="Arial"/>
          <w:sz w:val="22"/>
          <w:szCs w:val="22"/>
          <w:lang w:val="en-US"/>
        </w:rPr>
        <w:lastRenderedPageBreak/>
        <w:t xml:space="preserve">relevance, and comparison with myelofibrosis. Am. J. </w:t>
      </w:r>
      <w:proofErr w:type="spellStart"/>
      <w:r w:rsidRPr="00427DC3">
        <w:rPr>
          <w:rFonts w:ascii="Arial" w:hAnsi="Arial" w:cs="Arial"/>
          <w:sz w:val="22"/>
          <w:szCs w:val="22"/>
          <w:lang w:val="en-US"/>
        </w:rPr>
        <w:t>Hematol</w:t>
      </w:r>
      <w:proofErr w:type="spellEnd"/>
      <w:r w:rsidRPr="00427DC3">
        <w:rPr>
          <w:rFonts w:ascii="Arial" w:hAnsi="Arial" w:cs="Arial"/>
          <w:sz w:val="22"/>
          <w:szCs w:val="22"/>
          <w:lang w:val="en-US"/>
        </w:rPr>
        <w:t>. 87, 1003–1005. https://doi.org/10.1002/ajh.23295</w:t>
      </w:r>
    </w:p>
    <w:p w14:paraId="5354281F"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Vainchenker</w:t>
      </w:r>
      <w:proofErr w:type="spellEnd"/>
      <w:r w:rsidRPr="00427DC3">
        <w:rPr>
          <w:rFonts w:ascii="Arial" w:hAnsi="Arial" w:cs="Arial"/>
          <w:sz w:val="22"/>
          <w:szCs w:val="22"/>
          <w:lang w:val="en-US"/>
        </w:rPr>
        <w:t xml:space="preserve">, W., </w:t>
      </w:r>
      <w:proofErr w:type="spellStart"/>
      <w:r w:rsidRPr="00427DC3">
        <w:rPr>
          <w:rFonts w:ascii="Arial" w:hAnsi="Arial" w:cs="Arial"/>
          <w:sz w:val="22"/>
          <w:szCs w:val="22"/>
          <w:lang w:val="en-US"/>
        </w:rPr>
        <w:t>Kralovics</w:t>
      </w:r>
      <w:proofErr w:type="spellEnd"/>
      <w:r w:rsidRPr="00427DC3">
        <w:rPr>
          <w:rFonts w:ascii="Arial" w:hAnsi="Arial" w:cs="Arial"/>
          <w:sz w:val="22"/>
          <w:szCs w:val="22"/>
          <w:lang w:val="en-US"/>
        </w:rPr>
        <w:t>, R., 2017. Genetic basis and molecular pathophysiology of classical myeloproliferative neoplasms. Blood 129, 667–679. https://doi.org/10.1182/blood-2016-10-695940</w:t>
      </w:r>
    </w:p>
    <w:p w14:paraId="5E93FEA2"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Valka, J., </w:t>
      </w:r>
      <w:proofErr w:type="spellStart"/>
      <w:r w:rsidRPr="00427DC3">
        <w:rPr>
          <w:rFonts w:ascii="Arial" w:hAnsi="Arial" w:cs="Arial"/>
          <w:sz w:val="22"/>
          <w:szCs w:val="22"/>
          <w:lang w:val="en-US"/>
        </w:rPr>
        <w:t>Vesela</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Votavova</w:t>
      </w:r>
      <w:proofErr w:type="spellEnd"/>
      <w:r w:rsidRPr="00427DC3">
        <w:rPr>
          <w:rFonts w:ascii="Arial" w:hAnsi="Arial" w:cs="Arial"/>
          <w:sz w:val="22"/>
          <w:szCs w:val="22"/>
          <w:lang w:val="en-US"/>
        </w:rPr>
        <w:t xml:space="preserve">, H., </w:t>
      </w:r>
      <w:proofErr w:type="spellStart"/>
      <w:r w:rsidRPr="00427DC3">
        <w:rPr>
          <w:rFonts w:ascii="Arial" w:hAnsi="Arial" w:cs="Arial"/>
          <w:sz w:val="22"/>
          <w:szCs w:val="22"/>
          <w:lang w:val="en-US"/>
        </w:rPr>
        <w:t>Dostalova</w:t>
      </w:r>
      <w:r w:rsidRPr="00427DC3">
        <w:rPr>
          <w:rFonts w:ascii="Cambria Math" w:hAnsi="Cambria Math" w:cs="Cambria Math"/>
          <w:sz w:val="22"/>
          <w:szCs w:val="22"/>
          <w:lang w:val="en-US"/>
        </w:rPr>
        <w:t>‐</w:t>
      </w:r>
      <w:r w:rsidRPr="00427DC3">
        <w:rPr>
          <w:rFonts w:ascii="Arial" w:hAnsi="Arial" w:cs="Arial"/>
          <w:sz w:val="22"/>
          <w:szCs w:val="22"/>
          <w:lang w:val="en-US"/>
        </w:rPr>
        <w:t>Merkerova</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Horakova</w:t>
      </w:r>
      <w:proofErr w:type="spellEnd"/>
      <w:r w:rsidRPr="00427DC3">
        <w:rPr>
          <w:rFonts w:ascii="Arial" w:hAnsi="Arial" w:cs="Arial"/>
          <w:sz w:val="22"/>
          <w:szCs w:val="22"/>
          <w:lang w:val="en-US"/>
        </w:rPr>
        <w:t xml:space="preserve">, Z., </w:t>
      </w:r>
      <w:proofErr w:type="spellStart"/>
      <w:r w:rsidRPr="00427DC3">
        <w:rPr>
          <w:rFonts w:ascii="Arial" w:hAnsi="Arial" w:cs="Arial"/>
          <w:sz w:val="22"/>
          <w:szCs w:val="22"/>
          <w:lang w:val="en-US"/>
        </w:rPr>
        <w:t>Campr</w:t>
      </w:r>
      <w:proofErr w:type="spellEnd"/>
      <w:r w:rsidRPr="00427DC3">
        <w:rPr>
          <w:rFonts w:ascii="Arial" w:hAnsi="Arial" w:cs="Arial"/>
          <w:sz w:val="22"/>
          <w:szCs w:val="22"/>
          <w:lang w:val="en-US"/>
        </w:rPr>
        <w:t xml:space="preserve">, V., </w:t>
      </w:r>
      <w:proofErr w:type="spellStart"/>
      <w:r w:rsidRPr="00427DC3">
        <w:rPr>
          <w:rFonts w:ascii="Arial" w:hAnsi="Arial" w:cs="Arial"/>
          <w:sz w:val="22"/>
          <w:szCs w:val="22"/>
          <w:lang w:val="en-US"/>
        </w:rPr>
        <w:t>Brezinova</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Zemanova</w:t>
      </w:r>
      <w:proofErr w:type="spellEnd"/>
      <w:r w:rsidRPr="00427DC3">
        <w:rPr>
          <w:rFonts w:ascii="Arial" w:hAnsi="Arial" w:cs="Arial"/>
          <w:sz w:val="22"/>
          <w:szCs w:val="22"/>
          <w:lang w:val="en-US"/>
        </w:rPr>
        <w:t xml:space="preserve">, Z., </w:t>
      </w:r>
      <w:proofErr w:type="spellStart"/>
      <w:r w:rsidRPr="00427DC3">
        <w:rPr>
          <w:rFonts w:ascii="Arial" w:hAnsi="Arial" w:cs="Arial"/>
          <w:sz w:val="22"/>
          <w:szCs w:val="22"/>
          <w:lang w:val="en-US"/>
        </w:rPr>
        <w:t>Jonasova</w:t>
      </w:r>
      <w:proofErr w:type="spellEnd"/>
      <w:r w:rsidRPr="00427DC3">
        <w:rPr>
          <w:rFonts w:ascii="Arial" w:hAnsi="Arial" w:cs="Arial"/>
          <w:sz w:val="22"/>
          <w:szCs w:val="22"/>
          <w:lang w:val="en-US"/>
        </w:rPr>
        <w:t xml:space="preserve">, A., Cermak, J., </w:t>
      </w:r>
      <w:proofErr w:type="spellStart"/>
      <w:r w:rsidRPr="00427DC3">
        <w:rPr>
          <w:rFonts w:ascii="Arial" w:hAnsi="Arial" w:cs="Arial"/>
          <w:sz w:val="22"/>
          <w:szCs w:val="22"/>
          <w:lang w:val="en-US"/>
        </w:rPr>
        <w:t>Belickova</w:t>
      </w:r>
      <w:proofErr w:type="spellEnd"/>
      <w:r w:rsidRPr="00427DC3">
        <w:rPr>
          <w:rFonts w:ascii="Arial" w:hAnsi="Arial" w:cs="Arial"/>
          <w:sz w:val="22"/>
          <w:szCs w:val="22"/>
          <w:lang w:val="en-US"/>
        </w:rPr>
        <w:t xml:space="preserve">, M., 2017. Differential expression of homologous recombination DNA repair genes in the early and advanced stages of myelodysplastic syndrome. European Journal of </w:t>
      </w:r>
      <w:proofErr w:type="spellStart"/>
      <w:r w:rsidRPr="00427DC3">
        <w:rPr>
          <w:rFonts w:ascii="Arial" w:hAnsi="Arial" w:cs="Arial"/>
          <w:sz w:val="22"/>
          <w:szCs w:val="22"/>
          <w:lang w:val="en-US"/>
        </w:rPr>
        <w:t>Haematology</w:t>
      </w:r>
      <w:proofErr w:type="spellEnd"/>
      <w:r w:rsidRPr="00427DC3">
        <w:rPr>
          <w:rFonts w:ascii="Arial" w:hAnsi="Arial" w:cs="Arial"/>
          <w:sz w:val="22"/>
          <w:szCs w:val="22"/>
          <w:lang w:val="en-US"/>
        </w:rPr>
        <w:t xml:space="preserve"> 99, 323–331. https://doi.org/10.1111/ejh.12920</w:t>
      </w:r>
    </w:p>
    <w:p w14:paraId="6E9C70BA"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van </w:t>
      </w:r>
      <w:proofErr w:type="spellStart"/>
      <w:r w:rsidRPr="00427DC3">
        <w:rPr>
          <w:rFonts w:ascii="Arial" w:hAnsi="Arial" w:cs="Arial"/>
          <w:sz w:val="22"/>
          <w:szCs w:val="22"/>
          <w:lang w:val="en-US"/>
        </w:rPr>
        <w:t>Dekken</w:t>
      </w:r>
      <w:proofErr w:type="spellEnd"/>
      <w:r w:rsidRPr="00427DC3">
        <w:rPr>
          <w:rFonts w:ascii="Arial" w:hAnsi="Arial" w:cs="Arial"/>
          <w:sz w:val="22"/>
          <w:szCs w:val="22"/>
          <w:lang w:val="en-US"/>
        </w:rPr>
        <w:t xml:space="preserve">, H., Hop, W.C.J., </w:t>
      </w:r>
      <w:proofErr w:type="spellStart"/>
      <w:r w:rsidRPr="00427DC3">
        <w:rPr>
          <w:rFonts w:ascii="Arial" w:hAnsi="Arial" w:cs="Arial"/>
          <w:sz w:val="22"/>
          <w:szCs w:val="22"/>
          <w:lang w:val="en-US"/>
        </w:rPr>
        <w:t>Tilanus</w:t>
      </w:r>
      <w:proofErr w:type="spellEnd"/>
      <w:r w:rsidRPr="00427DC3">
        <w:rPr>
          <w:rFonts w:ascii="Arial" w:hAnsi="Arial" w:cs="Arial"/>
          <w:sz w:val="22"/>
          <w:szCs w:val="22"/>
          <w:lang w:val="en-US"/>
        </w:rPr>
        <w:t xml:space="preserve">, H.W., </w:t>
      </w:r>
      <w:proofErr w:type="spellStart"/>
      <w:r w:rsidRPr="00427DC3">
        <w:rPr>
          <w:rFonts w:ascii="Arial" w:hAnsi="Arial" w:cs="Arial"/>
          <w:sz w:val="22"/>
          <w:szCs w:val="22"/>
          <w:lang w:val="en-US"/>
        </w:rPr>
        <w:t>Haringsma</w:t>
      </w:r>
      <w:proofErr w:type="spellEnd"/>
      <w:r w:rsidRPr="00427DC3">
        <w:rPr>
          <w:rFonts w:ascii="Arial" w:hAnsi="Arial" w:cs="Arial"/>
          <w:sz w:val="22"/>
          <w:szCs w:val="22"/>
          <w:lang w:val="en-US"/>
        </w:rPr>
        <w:t xml:space="preserve">, J., van der </w:t>
      </w:r>
      <w:proofErr w:type="spellStart"/>
      <w:r w:rsidRPr="00427DC3">
        <w:rPr>
          <w:rFonts w:ascii="Arial" w:hAnsi="Arial" w:cs="Arial"/>
          <w:sz w:val="22"/>
          <w:szCs w:val="22"/>
          <w:lang w:val="en-US"/>
        </w:rPr>
        <w:t>Valk</w:t>
      </w:r>
      <w:proofErr w:type="spellEnd"/>
      <w:r w:rsidRPr="00427DC3">
        <w:rPr>
          <w:rFonts w:ascii="Arial" w:hAnsi="Arial" w:cs="Arial"/>
          <w:sz w:val="22"/>
          <w:szCs w:val="22"/>
          <w:lang w:val="en-US"/>
        </w:rPr>
        <w:t xml:space="preserve">, H., Wink, J.C., </w:t>
      </w:r>
      <w:proofErr w:type="spellStart"/>
      <w:r w:rsidRPr="00427DC3">
        <w:rPr>
          <w:rFonts w:ascii="Arial" w:hAnsi="Arial" w:cs="Arial"/>
          <w:sz w:val="22"/>
          <w:szCs w:val="22"/>
          <w:lang w:val="en-US"/>
        </w:rPr>
        <w:t>Vissers</w:t>
      </w:r>
      <w:proofErr w:type="spellEnd"/>
      <w:r w:rsidRPr="00427DC3">
        <w:rPr>
          <w:rFonts w:ascii="Arial" w:hAnsi="Arial" w:cs="Arial"/>
          <w:sz w:val="22"/>
          <w:szCs w:val="22"/>
          <w:lang w:val="en-US"/>
        </w:rPr>
        <w:t xml:space="preserve">, K.J., 2008. Immunohistochemical evaluation of a panel of tumor cell markers during malignant progression in Barrett esophagus. Am. J. Clin. </w:t>
      </w:r>
      <w:proofErr w:type="spellStart"/>
      <w:r w:rsidRPr="00427DC3">
        <w:rPr>
          <w:rFonts w:ascii="Arial" w:hAnsi="Arial" w:cs="Arial"/>
          <w:sz w:val="22"/>
          <w:szCs w:val="22"/>
          <w:lang w:val="en-US"/>
        </w:rPr>
        <w:t>Pathol</w:t>
      </w:r>
      <w:proofErr w:type="spellEnd"/>
      <w:r w:rsidRPr="00427DC3">
        <w:rPr>
          <w:rFonts w:ascii="Arial" w:hAnsi="Arial" w:cs="Arial"/>
          <w:sz w:val="22"/>
          <w:szCs w:val="22"/>
          <w:lang w:val="en-US"/>
        </w:rPr>
        <w:t>. 130, 745–753. https://doi.org/10.1309/AJCPO31THGVEUIDH</w:t>
      </w:r>
    </w:p>
    <w:p w14:paraId="029D94A6"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Vener</w:t>
      </w:r>
      <w:proofErr w:type="spellEnd"/>
      <w:r w:rsidRPr="00427DC3">
        <w:rPr>
          <w:rFonts w:ascii="Arial" w:hAnsi="Arial" w:cs="Arial"/>
          <w:sz w:val="22"/>
          <w:szCs w:val="22"/>
          <w:lang w:val="en-US"/>
        </w:rPr>
        <w:t xml:space="preserve">, C., </w:t>
      </w:r>
      <w:proofErr w:type="spellStart"/>
      <w:r w:rsidRPr="00427DC3">
        <w:rPr>
          <w:rFonts w:ascii="Arial" w:hAnsi="Arial" w:cs="Arial"/>
          <w:sz w:val="22"/>
          <w:szCs w:val="22"/>
          <w:lang w:val="en-US"/>
        </w:rPr>
        <w:t>Novembrino</w:t>
      </w:r>
      <w:proofErr w:type="spellEnd"/>
      <w:r w:rsidRPr="00427DC3">
        <w:rPr>
          <w:rFonts w:ascii="Arial" w:hAnsi="Arial" w:cs="Arial"/>
          <w:sz w:val="22"/>
          <w:szCs w:val="22"/>
          <w:lang w:val="en-US"/>
        </w:rPr>
        <w:t xml:space="preserve">, C., Catena, F.B., </w:t>
      </w:r>
      <w:proofErr w:type="spellStart"/>
      <w:r w:rsidRPr="00427DC3">
        <w:rPr>
          <w:rFonts w:ascii="Arial" w:hAnsi="Arial" w:cs="Arial"/>
          <w:sz w:val="22"/>
          <w:szCs w:val="22"/>
          <w:lang w:val="en-US"/>
        </w:rPr>
        <w:t>Fracchiolla</w:t>
      </w:r>
      <w:proofErr w:type="spellEnd"/>
      <w:r w:rsidRPr="00427DC3">
        <w:rPr>
          <w:rFonts w:ascii="Arial" w:hAnsi="Arial" w:cs="Arial"/>
          <w:sz w:val="22"/>
          <w:szCs w:val="22"/>
          <w:lang w:val="en-US"/>
        </w:rPr>
        <w:t xml:space="preserve">, N.S., Gianelli, U., </w:t>
      </w:r>
      <w:proofErr w:type="spellStart"/>
      <w:r w:rsidRPr="00427DC3">
        <w:rPr>
          <w:rFonts w:ascii="Arial" w:hAnsi="Arial" w:cs="Arial"/>
          <w:sz w:val="22"/>
          <w:szCs w:val="22"/>
          <w:lang w:val="en-US"/>
        </w:rPr>
        <w:t>Savi</w:t>
      </w:r>
      <w:proofErr w:type="spellEnd"/>
      <w:r w:rsidRPr="00427DC3">
        <w:rPr>
          <w:rFonts w:ascii="Arial" w:hAnsi="Arial" w:cs="Arial"/>
          <w:sz w:val="22"/>
          <w:szCs w:val="22"/>
          <w:lang w:val="en-US"/>
        </w:rPr>
        <w:t xml:space="preserve">, F., </w:t>
      </w:r>
      <w:proofErr w:type="spellStart"/>
      <w:r w:rsidRPr="00427DC3">
        <w:rPr>
          <w:rFonts w:ascii="Arial" w:hAnsi="Arial" w:cs="Arial"/>
          <w:sz w:val="22"/>
          <w:szCs w:val="22"/>
          <w:lang w:val="en-US"/>
        </w:rPr>
        <w:t>Radaelli</w:t>
      </w:r>
      <w:proofErr w:type="spellEnd"/>
      <w:r w:rsidRPr="00427DC3">
        <w:rPr>
          <w:rFonts w:ascii="Arial" w:hAnsi="Arial" w:cs="Arial"/>
          <w:sz w:val="22"/>
          <w:szCs w:val="22"/>
          <w:lang w:val="en-US"/>
        </w:rPr>
        <w:t xml:space="preserve">, F., Fermo, E., </w:t>
      </w:r>
      <w:proofErr w:type="spellStart"/>
      <w:r w:rsidRPr="00427DC3">
        <w:rPr>
          <w:rFonts w:ascii="Arial" w:hAnsi="Arial" w:cs="Arial"/>
          <w:sz w:val="22"/>
          <w:szCs w:val="22"/>
          <w:lang w:val="en-US"/>
        </w:rPr>
        <w:t>Cortelezzi</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Lonati</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Menegatti</w:t>
      </w:r>
      <w:proofErr w:type="spellEnd"/>
      <w:r w:rsidRPr="00427DC3">
        <w:rPr>
          <w:rFonts w:ascii="Arial" w:hAnsi="Arial" w:cs="Arial"/>
          <w:sz w:val="22"/>
          <w:szCs w:val="22"/>
          <w:lang w:val="en-US"/>
        </w:rPr>
        <w:t xml:space="preserve">, M., </w:t>
      </w:r>
      <w:proofErr w:type="spellStart"/>
      <w:r w:rsidRPr="00427DC3">
        <w:rPr>
          <w:rFonts w:ascii="Arial" w:hAnsi="Arial" w:cs="Arial"/>
          <w:sz w:val="22"/>
          <w:szCs w:val="22"/>
          <w:lang w:val="en-US"/>
        </w:rPr>
        <w:t>Deliliers</w:t>
      </w:r>
      <w:proofErr w:type="spellEnd"/>
      <w:r w:rsidRPr="00427DC3">
        <w:rPr>
          <w:rFonts w:ascii="Arial" w:hAnsi="Arial" w:cs="Arial"/>
          <w:sz w:val="22"/>
          <w:szCs w:val="22"/>
          <w:lang w:val="en-US"/>
        </w:rPr>
        <w:t xml:space="preserve">, G.L., 2010. Oxidative stress is increased in primary and post-polycythemia vera myelofibrosis. Exp. </w:t>
      </w:r>
      <w:proofErr w:type="spellStart"/>
      <w:r w:rsidRPr="00427DC3">
        <w:rPr>
          <w:rFonts w:ascii="Arial" w:hAnsi="Arial" w:cs="Arial"/>
          <w:sz w:val="22"/>
          <w:szCs w:val="22"/>
          <w:lang w:val="en-US"/>
        </w:rPr>
        <w:t>Hematol</w:t>
      </w:r>
      <w:proofErr w:type="spellEnd"/>
      <w:r w:rsidRPr="00427DC3">
        <w:rPr>
          <w:rFonts w:ascii="Arial" w:hAnsi="Arial" w:cs="Arial"/>
          <w:sz w:val="22"/>
          <w:szCs w:val="22"/>
          <w:lang w:val="en-US"/>
        </w:rPr>
        <w:t>. 38, 1058–1065. https://doi.org/10.1016/j.exphem.2010.07.005</w:t>
      </w:r>
    </w:p>
    <w:p w14:paraId="725C4831"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r w:rsidRPr="00427DC3">
        <w:rPr>
          <w:rFonts w:ascii="Arial" w:hAnsi="Arial" w:cs="Arial"/>
          <w:sz w:val="22"/>
          <w:szCs w:val="22"/>
          <w:lang w:val="en-US"/>
        </w:rPr>
        <w:t xml:space="preserve">Walter, D., Lier, A., </w:t>
      </w:r>
      <w:proofErr w:type="spellStart"/>
      <w:r w:rsidRPr="00427DC3">
        <w:rPr>
          <w:rFonts w:ascii="Arial" w:hAnsi="Arial" w:cs="Arial"/>
          <w:sz w:val="22"/>
          <w:szCs w:val="22"/>
          <w:lang w:val="en-US"/>
        </w:rPr>
        <w:t>Geiselhart</w:t>
      </w:r>
      <w:proofErr w:type="spellEnd"/>
      <w:r w:rsidRPr="00427DC3">
        <w:rPr>
          <w:rFonts w:ascii="Arial" w:hAnsi="Arial" w:cs="Arial"/>
          <w:sz w:val="22"/>
          <w:szCs w:val="22"/>
          <w:lang w:val="en-US"/>
        </w:rPr>
        <w:t xml:space="preserve">, A., </w:t>
      </w:r>
      <w:proofErr w:type="spellStart"/>
      <w:r w:rsidRPr="00427DC3">
        <w:rPr>
          <w:rFonts w:ascii="Arial" w:hAnsi="Arial" w:cs="Arial"/>
          <w:sz w:val="22"/>
          <w:szCs w:val="22"/>
          <w:lang w:val="en-US"/>
        </w:rPr>
        <w:t>Thalheimer</w:t>
      </w:r>
      <w:proofErr w:type="spellEnd"/>
      <w:r w:rsidRPr="00427DC3">
        <w:rPr>
          <w:rFonts w:ascii="Arial" w:hAnsi="Arial" w:cs="Arial"/>
          <w:sz w:val="22"/>
          <w:szCs w:val="22"/>
          <w:lang w:val="en-US"/>
        </w:rPr>
        <w:t xml:space="preserve">, F.B., </w:t>
      </w:r>
      <w:proofErr w:type="spellStart"/>
      <w:r w:rsidRPr="00427DC3">
        <w:rPr>
          <w:rFonts w:ascii="Arial" w:hAnsi="Arial" w:cs="Arial"/>
          <w:sz w:val="22"/>
          <w:szCs w:val="22"/>
          <w:lang w:val="en-US"/>
        </w:rPr>
        <w:t>Huntscha</w:t>
      </w:r>
      <w:proofErr w:type="spellEnd"/>
      <w:r w:rsidRPr="00427DC3">
        <w:rPr>
          <w:rFonts w:ascii="Arial" w:hAnsi="Arial" w:cs="Arial"/>
          <w:sz w:val="22"/>
          <w:szCs w:val="22"/>
          <w:lang w:val="en-US"/>
        </w:rPr>
        <w:t xml:space="preserve">, S., </w:t>
      </w:r>
      <w:proofErr w:type="spellStart"/>
      <w:r w:rsidRPr="00427DC3">
        <w:rPr>
          <w:rFonts w:ascii="Arial" w:hAnsi="Arial" w:cs="Arial"/>
          <w:sz w:val="22"/>
          <w:szCs w:val="22"/>
          <w:lang w:val="en-US"/>
        </w:rPr>
        <w:t>Sobotta</w:t>
      </w:r>
      <w:proofErr w:type="spellEnd"/>
      <w:r w:rsidRPr="00427DC3">
        <w:rPr>
          <w:rFonts w:ascii="Arial" w:hAnsi="Arial" w:cs="Arial"/>
          <w:sz w:val="22"/>
          <w:szCs w:val="22"/>
          <w:lang w:val="en-US"/>
        </w:rPr>
        <w:t xml:space="preserve">, M.C., </w:t>
      </w:r>
      <w:proofErr w:type="spellStart"/>
      <w:r w:rsidRPr="00427DC3">
        <w:rPr>
          <w:rFonts w:ascii="Arial" w:hAnsi="Arial" w:cs="Arial"/>
          <w:sz w:val="22"/>
          <w:szCs w:val="22"/>
          <w:lang w:val="en-US"/>
        </w:rPr>
        <w:t>Moehrle</w:t>
      </w:r>
      <w:proofErr w:type="spellEnd"/>
      <w:r w:rsidRPr="00427DC3">
        <w:rPr>
          <w:rFonts w:ascii="Arial" w:hAnsi="Arial" w:cs="Arial"/>
          <w:sz w:val="22"/>
          <w:szCs w:val="22"/>
          <w:lang w:val="en-US"/>
        </w:rPr>
        <w:t xml:space="preserve">, B., Brocks, D., </w:t>
      </w:r>
      <w:proofErr w:type="spellStart"/>
      <w:r w:rsidRPr="00427DC3">
        <w:rPr>
          <w:rFonts w:ascii="Arial" w:hAnsi="Arial" w:cs="Arial"/>
          <w:sz w:val="22"/>
          <w:szCs w:val="22"/>
          <w:lang w:val="en-US"/>
        </w:rPr>
        <w:t>Bayindir</w:t>
      </w:r>
      <w:proofErr w:type="spellEnd"/>
      <w:r w:rsidRPr="00427DC3">
        <w:rPr>
          <w:rFonts w:ascii="Arial" w:hAnsi="Arial" w:cs="Arial"/>
          <w:sz w:val="22"/>
          <w:szCs w:val="22"/>
          <w:lang w:val="en-US"/>
        </w:rPr>
        <w:t xml:space="preserve">, I., </w:t>
      </w:r>
      <w:proofErr w:type="spellStart"/>
      <w:r w:rsidRPr="00427DC3">
        <w:rPr>
          <w:rFonts w:ascii="Arial" w:hAnsi="Arial" w:cs="Arial"/>
          <w:sz w:val="22"/>
          <w:szCs w:val="22"/>
          <w:lang w:val="en-US"/>
        </w:rPr>
        <w:t>Kaschutnig</w:t>
      </w:r>
      <w:proofErr w:type="spellEnd"/>
      <w:r w:rsidRPr="00427DC3">
        <w:rPr>
          <w:rFonts w:ascii="Arial" w:hAnsi="Arial" w:cs="Arial"/>
          <w:sz w:val="22"/>
          <w:szCs w:val="22"/>
          <w:lang w:val="en-US"/>
        </w:rPr>
        <w:t xml:space="preserve">, P., </w:t>
      </w:r>
      <w:proofErr w:type="spellStart"/>
      <w:r w:rsidRPr="00427DC3">
        <w:rPr>
          <w:rFonts w:ascii="Arial" w:hAnsi="Arial" w:cs="Arial"/>
          <w:sz w:val="22"/>
          <w:szCs w:val="22"/>
          <w:lang w:val="en-US"/>
        </w:rPr>
        <w:t>Muedder</w:t>
      </w:r>
      <w:proofErr w:type="spellEnd"/>
      <w:r w:rsidRPr="00427DC3">
        <w:rPr>
          <w:rFonts w:ascii="Arial" w:hAnsi="Arial" w:cs="Arial"/>
          <w:sz w:val="22"/>
          <w:szCs w:val="22"/>
          <w:lang w:val="en-US"/>
        </w:rPr>
        <w:t xml:space="preserve">, K., Klein, C., </w:t>
      </w:r>
      <w:proofErr w:type="spellStart"/>
      <w:r w:rsidRPr="00427DC3">
        <w:rPr>
          <w:rFonts w:ascii="Arial" w:hAnsi="Arial" w:cs="Arial"/>
          <w:sz w:val="22"/>
          <w:szCs w:val="22"/>
          <w:lang w:val="en-US"/>
        </w:rPr>
        <w:t>Jauch</w:t>
      </w:r>
      <w:proofErr w:type="spellEnd"/>
      <w:r w:rsidRPr="00427DC3">
        <w:rPr>
          <w:rFonts w:ascii="Arial" w:hAnsi="Arial" w:cs="Arial"/>
          <w:sz w:val="22"/>
          <w:szCs w:val="22"/>
          <w:lang w:val="en-US"/>
        </w:rPr>
        <w:t>, A., Schroeder, T., Geiger, H., Dick, T.P., Holland-</w:t>
      </w:r>
      <w:proofErr w:type="spellStart"/>
      <w:r w:rsidRPr="00427DC3">
        <w:rPr>
          <w:rFonts w:ascii="Arial" w:hAnsi="Arial" w:cs="Arial"/>
          <w:sz w:val="22"/>
          <w:szCs w:val="22"/>
          <w:lang w:val="en-US"/>
        </w:rPr>
        <w:t>Letz</w:t>
      </w:r>
      <w:proofErr w:type="spellEnd"/>
      <w:r w:rsidRPr="00427DC3">
        <w:rPr>
          <w:rFonts w:ascii="Arial" w:hAnsi="Arial" w:cs="Arial"/>
          <w:sz w:val="22"/>
          <w:szCs w:val="22"/>
          <w:lang w:val="en-US"/>
        </w:rPr>
        <w:t xml:space="preserve">, T., </w:t>
      </w:r>
      <w:proofErr w:type="spellStart"/>
      <w:r w:rsidRPr="00427DC3">
        <w:rPr>
          <w:rFonts w:ascii="Arial" w:hAnsi="Arial" w:cs="Arial"/>
          <w:sz w:val="22"/>
          <w:szCs w:val="22"/>
          <w:lang w:val="en-US"/>
        </w:rPr>
        <w:t>Schmezer</w:t>
      </w:r>
      <w:proofErr w:type="spellEnd"/>
      <w:r w:rsidRPr="00427DC3">
        <w:rPr>
          <w:rFonts w:ascii="Arial" w:hAnsi="Arial" w:cs="Arial"/>
          <w:sz w:val="22"/>
          <w:szCs w:val="22"/>
          <w:lang w:val="en-US"/>
        </w:rPr>
        <w:t xml:space="preserve">, P., Lane, S.W., Rieger, M.A., Essers, M.A.G., Williams, D.A., </w:t>
      </w:r>
      <w:proofErr w:type="spellStart"/>
      <w:r w:rsidRPr="00427DC3">
        <w:rPr>
          <w:rFonts w:ascii="Arial" w:hAnsi="Arial" w:cs="Arial"/>
          <w:sz w:val="22"/>
          <w:szCs w:val="22"/>
          <w:lang w:val="en-US"/>
        </w:rPr>
        <w:t>Trumpp</w:t>
      </w:r>
      <w:proofErr w:type="spellEnd"/>
      <w:r w:rsidRPr="00427DC3">
        <w:rPr>
          <w:rFonts w:ascii="Arial" w:hAnsi="Arial" w:cs="Arial"/>
          <w:sz w:val="22"/>
          <w:szCs w:val="22"/>
          <w:lang w:val="en-US"/>
        </w:rPr>
        <w:t xml:space="preserve">, A., Milsom, M.D., 2015. Exit from dormancy provokes DNA-damage-induced attrition in </w:t>
      </w:r>
      <w:proofErr w:type="spellStart"/>
      <w:r w:rsidRPr="00427DC3">
        <w:rPr>
          <w:rFonts w:ascii="Arial" w:hAnsi="Arial" w:cs="Arial"/>
          <w:sz w:val="22"/>
          <w:szCs w:val="22"/>
          <w:lang w:val="en-US"/>
        </w:rPr>
        <w:t>haematopoietic</w:t>
      </w:r>
      <w:proofErr w:type="spellEnd"/>
      <w:r w:rsidRPr="00427DC3">
        <w:rPr>
          <w:rFonts w:ascii="Arial" w:hAnsi="Arial" w:cs="Arial"/>
          <w:sz w:val="22"/>
          <w:szCs w:val="22"/>
          <w:lang w:val="en-US"/>
        </w:rPr>
        <w:t xml:space="preserve"> stem cells. </w:t>
      </w:r>
      <w:r w:rsidRPr="00427DC3">
        <w:rPr>
          <w:rFonts w:ascii="Arial" w:hAnsi="Arial" w:cs="Arial"/>
          <w:sz w:val="22"/>
          <w:szCs w:val="22"/>
          <w:lang w:val="de-DE"/>
        </w:rPr>
        <w:t>Nature 520, 549–552. https://doi.org/10.1038/nature14131</w:t>
      </w:r>
    </w:p>
    <w:p w14:paraId="594A803B"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de-DE"/>
        </w:rPr>
        <w:t xml:space="preserve">Wang, Y., Spitz, M.R., Zhu, Y., Dong, Q., </w:t>
      </w:r>
      <w:proofErr w:type="spellStart"/>
      <w:r w:rsidRPr="00427DC3">
        <w:rPr>
          <w:rFonts w:ascii="Arial" w:hAnsi="Arial" w:cs="Arial"/>
          <w:sz w:val="22"/>
          <w:szCs w:val="22"/>
          <w:lang w:val="de-DE"/>
        </w:rPr>
        <w:t>Shete</w:t>
      </w:r>
      <w:proofErr w:type="spellEnd"/>
      <w:r w:rsidRPr="00427DC3">
        <w:rPr>
          <w:rFonts w:ascii="Arial" w:hAnsi="Arial" w:cs="Arial"/>
          <w:sz w:val="22"/>
          <w:szCs w:val="22"/>
          <w:lang w:val="de-DE"/>
        </w:rPr>
        <w:t xml:space="preserve">, S., Wu, X., 2003. </w:t>
      </w:r>
      <w:r w:rsidRPr="00427DC3">
        <w:rPr>
          <w:rFonts w:ascii="Arial" w:hAnsi="Arial" w:cs="Arial"/>
          <w:sz w:val="22"/>
          <w:szCs w:val="22"/>
          <w:lang w:val="en-US"/>
        </w:rPr>
        <w:t>From genotype to phenotype: correlating XRCC1 polymorphisms with mutagen sensitivity. DNA Repair (</w:t>
      </w:r>
      <w:proofErr w:type="spellStart"/>
      <w:r w:rsidRPr="00427DC3">
        <w:rPr>
          <w:rFonts w:ascii="Arial" w:hAnsi="Arial" w:cs="Arial"/>
          <w:sz w:val="22"/>
          <w:szCs w:val="22"/>
          <w:lang w:val="en-US"/>
        </w:rPr>
        <w:t>Amst</w:t>
      </w:r>
      <w:proofErr w:type="spellEnd"/>
      <w:r w:rsidRPr="00427DC3">
        <w:rPr>
          <w:rFonts w:ascii="Arial" w:hAnsi="Arial" w:cs="Arial"/>
          <w:sz w:val="22"/>
          <w:szCs w:val="22"/>
          <w:lang w:val="en-US"/>
        </w:rPr>
        <w:t>.) 2, 901–908. https://doi.org/10.1016/s1568-7864(03)00085-5</w:t>
      </w:r>
    </w:p>
    <w:p w14:paraId="1A262EBA"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Wood, C.D., Thornton, T.M., </w:t>
      </w:r>
      <w:proofErr w:type="spellStart"/>
      <w:r w:rsidRPr="00427DC3">
        <w:rPr>
          <w:rFonts w:ascii="Arial" w:hAnsi="Arial" w:cs="Arial"/>
          <w:sz w:val="22"/>
          <w:szCs w:val="22"/>
          <w:lang w:val="en-US"/>
        </w:rPr>
        <w:t>Sabio</w:t>
      </w:r>
      <w:proofErr w:type="spellEnd"/>
      <w:r w:rsidRPr="00427DC3">
        <w:rPr>
          <w:rFonts w:ascii="Arial" w:hAnsi="Arial" w:cs="Arial"/>
          <w:sz w:val="22"/>
          <w:szCs w:val="22"/>
          <w:lang w:val="en-US"/>
        </w:rPr>
        <w:t>, G., Davis, R.A., Rincon, M., 2009. Nuclear Localization of p38 MAPK in Response to DNA Damage. Int J Biol Sci 5, 428–437.</w:t>
      </w:r>
    </w:p>
    <w:p w14:paraId="45DB608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Wu, X., Dao </w:t>
      </w:r>
      <w:proofErr w:type="spellStart"/>
      <w:r w:rsidRPr="00427DC3">
        <w:rPr>
          <w:rFonts w:ascii="Arial" w:hAnsi="Arial" w:cs="Arial"/>
          <w:sz w:val="22"/>
          <w:szCs w:val="22"/>
          <w:lang w:val="en-US"/>
        </w:rPr>
        <w:t>Thi</w:t>
      </w:r>
      <w:proofErr w:type="spellEnd"/>
      <w:r w:rsidRPr="00427DC3">
        <w:rPr>
          <w:rFonts w:ascii="Arial" w:hAnsi="Arial" w:cs="Arial"/>
          <w:sz w:val="22"/>
          <w:szCs w:val="22"/>
          <w:lang w:val="en-US"/>
        </w:rPr>
        <w:t xml:space="preserve">, V.L., Huang, Y., </w:t>
      </w:r>
      <w:proofErr w:type="spellStart"/>
      <w:r w:rsidRPr="00427DC3">
        <w:rPr>
          <w:rFonts w:ascii="Arial" w:hAnsi="Arial" w:cs="Arial"/>
          <w:sz w:val="22"/>
          <w:szCs w:val="22"/>
          <w:lang w:val="en-US"/>
        </w:rPr>
        <w:t>Billerbeck</w:t>
      </w:r>
      <w:proofErr w:type="spellEnd"/>
      <w:r w:rsidRPr="00427DC3">
        <w:rPr>
          <w:rFonts w:ascii="Arial" w:hAnsi="Arial" w:cs="Arial"/>
          <w:sz w:val="22"/>
          <w:szCs w:val="22"/>
          <w:lang w:val="en-US"/>
        </w:rPr>
        <w:t xml:space="preserve">, E., </w:t>
      </w:r>
      <w:proofErr w:type="spellStart"/>
      <w:r w:rsidRPr="00427DC3">
        <w:rPr>
          <w:rFonts w:ascii="Arial" w:hAnsi="Arial" w:cs="Arial"/>
          <w:sz w:val="22"/>
          <w:szCs w:val="22"/>
          <w:lang w:val="en-US"/>
        </w:rPr>
        <w:t>Saha</w:t>
      </w:r>
      <w:proofErr w:type="spellEnd"/>
      <w:r w:rsidRPr="00427DC3">
        <w:rPr>
          <w:rFonts w:ascii="Arial" w:hAnsi="Arial" w:cs="Arial"/>
          <w:sz w:val="22"/>
          <w:szCs w:val="22"/>
          <w:lang w:val="en-US"/>
        </w:rPr>
        <w:t>, D., Hoffmann, H.-H., Wang, Y., Silva, L.A.V., Sarbanes, S., Sun, T., Andrus, L., Yu, Y., Quirk, C., Li, M., MacDonald, M.R., Schneider, W.M., An, X., Rosenberg, B.R., Rice, C.M., 2018. Intrinsic Immunity Shapes Viral Resistance of Stem Cells. Cell 172, 423-438.e25. https://doi.org/10.1016/j.cell.2017.11.018</w:t>
      </w:r>
    </w:p>
    <w:p w14:paraId="0C11DA8E"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de-DE"/>
        </w:rPr>
        <w:t xml:space="preserve">Xavier, A.C., Taub, J.W., 2010. </w:t>
      </w:r>
      <w:r w:rsidRPr="00427DC3">
        <w:rPr>
          <w:rFonts w:ascii="Arial" w:hAnsi="Arial" w:cs="Arial"/>
          <w:sz w:val="22"/>
          <w:szCs w:val="22"/>
          <w:lang w:val="en-US"/>
        </w:rPr>
        <w:t xml:space="preserve">Acute leukemia in children with Down syndrome. </w:t>
      </w:r>
      <w:proofErr w:type="spellStart"/>
      <w:r w:rsidRPr="00427DC3">
        <w:rPr>
          <w:rFonts w:ascii="Arial" w:hAnsi="Arial" w:cs="Arial"/>
          <w:sz w:val="22"/>
          <w:szCs w:val="22"/>
          <w:lang w:val="en-US"/>
        </w:rPr>
        <w:t>Haematologica</w:t>
      </w:r>
      <w:proofErr w:type="spellEnd"/>
      <w:r w:rsidRPr="00427DC3">
        <w:rPr>
          <w:rFonts w:ascii="Arial" w:hAnsi="Arial" w:cs="Arial"/>
          <w:sz w:val="22"/>
          <w:szCs w:val="22"/>
          <w:lang w:val="en-US"/>
        </w:rPr>
        <w:t xml:space="preserve"> 95, 1043–1045. https://doi.org/10.3324/haematol.2010.024968</w:t>
      </w:r>
    </w:p>
    <w:p w14:paraId="23FA3B13"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proofErr w:type="spellStart"/>
      <w:r w:rsidRPr="00427DC3">
        <w:rPr>
          <w:rFonts w:ascii="Arial" w:hAnsi="Arial" w:cs="Arial"/>
          <w:sz w:val="22"/>
          <w:szCs w:val="22"/>
          <w:lang w:val="en-US"/>
        </w:rPr>
        <w:t>Xie</w:t>
      </w:r>
      <w:proofErr w:type="spellEnd"/>
      <w:r w:rsidRPr="00427DC3">
        <w:rPr>
          <w:rFonts w:ascii="Arial" w:hAnsi="Arial" w:cs="Arial"/>
          <w:sz w:val="22"/>
          <w:szCs w:val="22"/>
          <w:lang w:val="en-US"/>
        </w:rPr>
        <w:t xml:space="preserve">, M., Lu, C., Wang, J., McLellan, M.D., Johnson, K.J., </w:t>
      </w:r>
      <w:proofErr w:type="spellStart"/>
      <w:r w:rsidRPr="00427DC3">
        <w:rPr>
          <w:rFonts w:ascii="Arial" w:hAnsi="Arial" w:cs="Arial"/>
          <w:sz w:val="22"/>
          <w:szCs w:val="22"/>
          <w:lang w:val="en-US"/>
        </w:rPr>
        <w:t>Wendl</w:t>
      </w:r>
      <w:proofErr w:type="spellEnd"/>
      <w:r w:rsidRPr="00427DC3">
        <w:rPr>
          <w:rFonts w:ascii="Arial" w:hAnsi="Arial" w:cs="Arial"/>
          <w:sz w:val="22"/>
          <w:szCs w:val="22"/>
          <w:lang w:val="en-US"/>
        </w:rPr>
        <w:t xml:space="preserve">, M.C., McMichael, J.F., Schmidt, H.K., </w:t>
      </w:r>
      <w:proofErr w:type="spellStart"/>
      <w:r w:rsidRPr="00427DC3">
        <w:rPr>
          <w:rFonts w:ascii="Arial" w:hAnsi="Arial" w:cs="Arial"/>
          <w:sz w:val="22"/>
          <w:szCs w:val="22"/>
          <w:lang w:val="en-US"/>
        </w:rPr>
        <w:t>Yellapantula</w:t>
      </w:r>
      <w:proofErr w:type="spellEnd"/>
      <w:r w:rsidRPr="00427DC3">
        <w:rPr>
          <w:rFonts w:ascii="Arial" w:hAnsi="Arial" w:cs="Arial"/>
          <w:sz w:val="22"/>
          <w:szCs w:val="22"/>
          <w:lang w:val="en-US"/>
        </w:rPr>
        <w:t xml:space="preserve">, V., Miller, C.A., </w:t>
      </w:r>
      <w:proofErr w:type="spellStart"/>
      <w:r w:rsidRPr="00427DC3">
        <w:rPr>
          <w:rFonts w:ascii="Arial" w:hAnsi="Arial" w:cs="Arial"/>
          <w:sz w:val="22"/>
          <w:szCs w:val="22"/>
          <w:lang w:val="en-US"/>
        </w:rPr>
        <w:t>Ozenberger</w:t>
      </w:r>
      <w:proofErr w:type="spellEnd"/>
      <w:r w:rsidRPr="00427DC3">
        <w:rPr>
          <w:rFonts w:ascii="Arial" w:hAnsi="Arial" w:cs="Arial"/>
          <w:sz w:val="22"/>
          <w:szCs w:val="22"/>
          <w:lang w:val="en-US"/>
        </w:rPr>
        <w:t xml:space="preserve">, B.A., Welch, J.S., Link, D.C., Walter, M.J., </w:t>
      </w:r>
      <w:proofErr w:type="spellStart"/>
      <w:r w:rsidRPr="00427DC3">
        <w:rPr>
          <w:rFonts w:ascii="Arial" w:hAnsi="Arial" w:cs="Arial"/>
          <w:sz w:val="22"/>
          <w:szCs w:val="22"/>
          <w:lang w:val="en-US"/>
        </w:rPr>
        <w:t>Mardis</w:t>
      </w:r>
      <w:proofErr w:type="spellEnd"/>
      <w:r w:rsidRPr="00427DC3">
        <w:rPr>
          <w:rFonts w:ascii="Arial" w:hAnsi="Arial" w:cs="Arial"/>
          <w:sz w:val="22"/>
          <w:szCs w:val="22"/>
          <w:lang w:val="en-US"/>
        </w:rPr>
        <w:t xml:space="preserve">, E.R., </w:t>
      </w:r>
      <w:proofErr w:type="spellStart"/>
      <w:r w:rsidRPr="00427DC3">
        <w:rPr>
          <w:rFonts w:ascii="Arial" w:hAnsi="Arial" w:cs="Arial"/>
          <w:sz w:val="22"/>
          <w:szCs w:val="22"/>
          <w:lang w:val="en-US"/>
        </w:rPr>
        <w:t>Dipersio</w:t>
      </w:r>
      <w:proofErr w:type="spellEnd"/>
      <w:r w:rsidRPr="00427DC3">
        <w:rPr>
          <w:rFonts w:ascii="Arial" w:hAnsi="Arial" w:cs="Arial"/>
          <w:sz w:val="22"/>
          <w:szCs w:val="22"/>
          <w:lang w:val="en-US"/>
        </w:rPr>
        <w:t xml:space="preserve">, J.F., Chen, F., Wilson, R.K., Ley, T.J., Ding, L., 2014. Age-related mutations associated with clonal hematopoietic expansion and malignancies. </w:t>
      </w:r>
      <w:r w:rsidRPr="00427DC3">
        <w:rPr>
          <w:rFonts w:ascii="Arial" w:hAnsi="Arial" w:cs="Arial"/>
          <w:sz w:val="22"/>
          <w:szCs w:val="22"/>
          <w:lang w:val="de-DE"/>
        </w:rPr>
        <w:t>Nat. Med. 20, 1472–1478. https://doi.org/10.1038/nm.3733</w:t>
      </w:r>
    </w:p>
    <w:p w14:paraId="51B9184D"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de-DE"/>
        </w:rPr>
        <w:t>Xu</w:t>
      </w:r>
      <w:proofErr w:type="spellEnd"/>
      <w:r w:rsidRPr="00427DC3">
        <w:rPr>
          <w:rFonts w:ascii="Arial" w:hAnsi="Arial" w:cs="Arial"/>
          <w:sz w:val="22"/>
          <w:szCs w:val="22"/>
          <w:lang w:val="de-DE"/>
        </w:rPr>
        <w:t xml:space="preserve">, D., Zheng, H., </w:t>
      </w:r>
      <w:proofErr w:type="spellStart"/>
      <w:r w:rsidRPr="00427DC3">
        <w:rPr>
          <w:rFonts w:ascii="Arial" w:hAnsi="Arial" w:cs="Arial"/>
          <w:sz w:val="22"/>
          <w:szCs w:val="22"/>
          <w:lang w:val="de-DE"/>
        </w:rPr>
        <w:t>Yu</w:t>
      </w:r>
      <w:proofErr w:type="spellEnd"/>
      <w:r w:rsidRPr="00427DC3">
        <w:rPr>
          <w:rFonts w:ascii="Arial" w:hAnsi="Arial" w:cs="Arial"/>
          <w:sz w:val="22"/>
          <w:szCs w:val="22"/>
          <w:lang w:val="de-DE"/>
        </w:rPr>
        <w:t xml:space="preserve">, W.-M., </w:t>
      </w:r>
      <w:proofErr w:type="spellStart"/>
      <w:r w:rsidRPr="00427DC3">
        <w:rPr>
          <w:rFonts w:ascii="Arial" w:hAnsi="Arial" w:cs="Arial"/>
          <w:sz w:val="22"/>
          <w:szCs w:val="22"/>
          <w:lang w:val="de-DE"/>
        </w:rPr>
        <w:t>Qu</w:t>
      </w:r>
      <w:proofErr w:type="spellEnd"/>
      <w:r w:rsidRPr="00427DC3">
        <w:rPr>
          <w:rFonts w:ascii="Arial" w:hAnsi="Arial" w:cs="Arial"/>
          <w:sz w:val="22"/>
          <w:szCs w:val="22"/>
          <w:lang w:val="de-DE"/>
        </w:rPr>
        <w:t xml:space="preserve">, C.-K., 2013. </w:t>
      </w:r>
      <w:r w:rsidRPr="00427DC3">
        <w:rPr>
          <w:rFonts w:ascii="Arial" w:hAnsi="Arial" w:cs="Arial"/>
          <w:sz w:val="22"/>
          <w:szCs w:val="22"/>
          <w:lang w:val="en-US"/>
        </w:rPr>
        <w:t xml:space="preserve">Activating mutations in protein tyrosine phosphatase Ptpn11 (Shp2) enhance reactive oxygen species production that contributes to myeloproliferative disorder. </w:t>
      </w:r>
      <w:proofErr w:type="spellStart"/>
      <w:r w:rsidRPr="00427DC3">
        <w:rPr>
          <w:rFonts w:ascii="Arial" w:hAnsi="Arial" w:cs="Arial"/>
          <w:sz w:val="22"/>
          <w:szCs w:val="22"/>
          <w:lang w:val="en-US"/>
        </w:rPr>
        <w:t>PLoS</w:t>
      </w:r>
      <w:proofErr w:type="spellEnd"/>
      <w:r w:rsidRPr="00427DC3">
        <w:rPr>
          <w:rFonts w:ascii="Arial" w:hAnsi="Arial" w:cs="Arial"/>
          <w:sz w:val="22"/>
          <w:szCs w:val="22"/>
          <w:lang w:val="en-US"/>
        </w:rPr>
        <w:t xml:space="preserve"> ONE 8, e63152. https://doi.org/10.1371/journal.pone.0063152</w:t>
      </w:r>
    </w:p>
    <w:p w14:paraId="44E617FE"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lastRenderedPageBreak/>
        <w:t xml:space="preserve">Yahata, T., </w:t>
      </w:r>
      <w:proofErr w:type="spellStart"/>
      <w:r w:rsidRPr="00427DC3">
        <w:rPr>
          <w:rFonts w:ascii="Arial" w:hAnsi="Arial" w:cs="Arial"/>
          <w:sz w:val="22"/>
          <w:szCs w:val="22"/>
          <w:lang w:val="en-US"/>
        </w:rPr>
        <w:t>Takanashi</w:t>
      </w:r>
      <w:proofErr w:type="spellEnd"/>
      <w:r w:rsidRPr="00427DC3">
        <w:rPr>
          <w:rFonts w:ascii="Arial" w:hAnsi="Arial" w:cs="Arial"/>
          <w:sz w:val="22"/>
          <w:szCs w:val="22"/>
          <w:lang w:val="en-US"/>
        </w:rPr>
        <w:t xml:space="preserve">, T., </w:t>
      </w:r>
      <w:proofErr w:type="spellStart"/>
      <w:r w:rsidRPr="00427DC3">
        <w:rPr>
          <w:rFonts w:ascii="Arial" w:hAnsi="Arial" w:cs="Arial"/>
          <w:sz w:val="22"/>
          <w:szCs w:val="22"/>
          <w:lang w:val="en-US"/>
        </w:rPr>
        <w:t>Muguruma</w:t>
      </w:r>
      <w:proofErr w:type="spellEnd"/>
      <w:r w:rsidRPr="00427DC3">
        <w:rPr>
          <w:rFonts w:ascii="Arial" w:hAnsi="Arial" w:cs="Arial"/>
          <w:sz w:val="22"/>
          <w:szCs w:val="22"/>
          <w:lang w:val="en-US"/>
        </w:rPr>
        <w:t>, Y., Ibrahim, A.A., Matsuzawa, H., Uno, T., Sheng, Y., Onizuka, M., Ito, M., Kato, S., Ando, K., 2011. Accumulation of oxidative DNA damage restricts the self-renewal capacity of human hematopoietic stem cells. Blood 118, 2941–2950. https://doi.org/10.1182/blood-2011-01-330050</w:t>
      </w:r>
    </w:p>
    <w:p w14:paraId="4A3332D4"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Yalcin, S., </w:t>
      </w:r>
      <w:proofErr w:type="spellStart"/>
      <w:r w:rsidRPr="00427DC3">
        <w:rPr>
          <w:rFonts w:ascii="Arial" w:hAnsi="Arial" w:cs="Arial"/>
          <w:sz w:val="22"/>
          <w:szCs w:val="22"/>
          <w:lang w:val="en-US"/>
        </w:rPr>
        <w:t>Marinkovic</w:t>
      </w:r>
      <w:proofErr w:type="spellEnd"/>
      <w:r w:rsidRPr="00427DC3">
        <w:rPr>
          <w:rFonts w:ascii="Arial" w:hAnsi="Arial" w:cs="Arial"/>
          <w:sz w:val="22"/>
          <w:szCs w:val="22"/>
          <w:lang w:val="en-US"/>
        </w:rPr>
        <w:t xml:space="preserve">, D., </w:t>
      </w:r>
      <w:proofErr w:type="spellStart"/>
      <w:r w:rsidRPr="00427DC3">
        <w:rPr>
          <w:rFonts w:ascii="Arial" w:hAnsi="Arial" w:cs="Arial"/>
          <w:sz w:val="22"/>
          <w:szCs w:val="22"/>
          <w:lang w:val="en-US"/>
        </w:rPr>
        <w:t>Mungamuri</w:t>
      </w:r>
      <w:proofErr w:type="spellEnd"/>
      <w:r w:rsidRPr="00427DC3">
        <w:rPr>
          <w:rFonts w:ascii="Arial" w:hAnsi="Arial" w:cs="Arial"/>
          <w:sz w:val="22"/>
          <w:szCs w:val="22"/>
          <w:lang w:val="en-US"/>
        </w:rPr>
        <w:t xml:space="preserve">, S.K., Zhang, X., Tong, W., Sellers, R., </w:t>
      </w:r>
      <w:proofErr w:type="spellStart"/>
      <w:r w:rsidRPr="00427DC3">
        <w:rPr>
          <w:rFonts w:ascii="Arial" w:hAnsi="Arial" w:cs="Arial"/>
          <w:sz w:val="22"/>
          <w:szCs w:val="22"/>
          <w:lang w:val="en-US"/>
        </w:rPr>
        <w:t>Ghaffari</w:t>
      </w:r>
      <w:proofErr w:type="spellEnd"/>
      <w:r w:rsidRPr="00427DC3">
        <w:rPr>
          <w:rFonts w:ascii="Arial" w:hAnsi="Arial" w:cs="Arial"/>
          <w:sz w:val="22"/>
          <w:szCs w:val="22"/>
          <w:lang w:val="en-US"/>
        </w:rPr>
        <w:t xml:space="preserve">, S., 2010. ROS-mediated amplification of AKT/mTOR </w:t>
      </w:r>
      <w:proofErr w:type="spellStart"/>
      <w:r w:rsidRPr="00427DC3">
        <w:rPr>
          <w:rFonts w:ascii="Arial" w:hAnsi="Arial" w:cs="Arial"/>
          <w:sz w:val="22"/>
          <w:szCs w:val="22"/>
          <w:lang w:val="en-US"/>
        </w:rPr>
        <w:t>signalling</w:t>
      </w:r>
      <w:proofErr w:type="spellEnd"/>
      <w:r w:rsidRPr="00427DC3">
        <w:rPr>
          <w:rFonts w:ascii="Arial" w:hAnsi="Arial" w:cs="Arial"/>
          <w:sz w:val="22"/>
          <w:szCs w:val="22"/>
          <w:lang w:val="en-US"/>
        </w:rPr>
        <w:t xml:space="preserve"> pathway leads to myeloproliferative syndrome in Foxo3(-/-) mice. EMBO J. 29, 4118–4131. https://doi.org/10.1038/emboj.2010.292</w:t>
      </w:r>
    </w:p>
    <w:p w14:paraId="2931DAC4"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Ye, Z., Liu, C.F., </w:t>
      </w:r>
      <w:proofErr w:type="spellStart"/>
      <w:r w:rsidRPr="00427DC3">
        <w:rPr>
          <w:rFonts w:ascii="Arial" w:hAnsi="Arial" w:cs="Arial"/>
          <w:sz w:val="22"/>
          <w:szCs w:val="22"/>
          <w:lang w:val="en-US"/>
        </w:rPr>
        <w:t>Lanikova</w:t>
      </w:r>
      <w:proofErr w:type="spellEnd"/>
      <w:r w:rsidRPr="00427DC3">
        <w:rPr>
          <w:rFonts w:ascii="Arial" w:hAnsi="Arial" w:cs="Arial"/>
          <w:sz w:val="22"/>
          <w:szCs w:val="22"/>
          <w:lang w:val="en-US"/>
        </w:rPr>
        <w:t xml:space="preserve">, L., </w:t>
      </w:r>
      <w:proofErr w:type="spellStart"/>
      <w:r w:rsidRPr="00427DC3">
        <w:rPr>
          <w:rFonts w:ascii="Arial" w:hAnsi="Arial" w:cs="Arial"/>
          <w:sz w:val="22"/>
          <w:szCs w:val="22"/>
          <w:lang w:val="en-US"/>
        </w:rPr>
        <w:t>Dowey</w:t>
      </w:r>
      <w:proofErr w:type="spellEnd"/>
      <w:r w:rsidRPr="00427DC3">
        <w:rPr>
          <w:rFonts w:ascii="Arial" w:hAnsi="Arial" w:cs="Arial"/>
          <w:sz w:val="22"/>
          <w:szCs w:val="22"/>
          <w:lang w:val="en-US"/>
        </w:rPr>
        <w:t>, S.N., He, C., Huang, X., Brodsky, R.A., Spivak, J.L., Prchal, J.T., Cheng, L., 2014. Differential sensitivity to JAK inhibitory drugs by isogenic human erythroblasts and hematopoietic progenitors generated from patient-specific induced pluripotent stem cells. Stem Cells 32, 269–278. https://doi.org/10.1002/stem.1545</w:t>
      </w:r>
    </w:p>
    <w:p w14:paraId="78A24C52"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Young, A.L., </w:t>
      </w:r>
      <w:proofErr w:type="spellStart"/>
      <w:r w:rsidRPr="00427DC3">
        <w:rPr>
          <w:rFonts w:ascii="Arial" w:hAnsi="Arial" w:cs="Arial"/>
          <w:sz w:val="22"/>
          <w:szCs w:val="22"/>
          <w:lang w:val="en-US"/>
        </w:rPr>
        <w:t>Challen</w:t>
      </w:r>
      <w:proofErr w:type="spellEnd"/>
      <w:r w:rsidRPr="00427DC3">
        <w:rPr>
          <w:rFonts w:ascii="Arial" w:hAnsi="Arial" w:cs="Arial"/>
          <w:sz w:val="22"/>
          <w:szCs w:val="22"/>
          <w:lang w:val="en-US"/>
        </w:rPr>
        <w:t xml:space="preserve">, G.A., </w:t>
      </w:r>
      <w:proofErr w:type="spellStart"/>
      <w:r w:rsidRPr="00427DC3">
        <w:rPr>
          <w:rFonts w:ascii="Arial" w:hAnsi="Arial" w:cs="Arial"/>
          <w:sz w:val="22"/>
          <w:szCs w:val="22"/>
          <w:lang w:val="en-US"/>
        </w:rPr>
        <w:t>Birmann</w:t>
      </w:r>
      <w:proofErr w:type="spellEnd"/>
      <w:r w:rsidRPr="00427DC3">
        <w:rPr>
          <w:rFonts w:ascii="Arial" w:hAnsi="Arial" w:cs="Arial"/>
          <w:sz w:val="22"/>
          <w:szCs w:val="22"/>
          <w:lang w:val="en-US"/>
        </w:rPr>
        <w:t xml:space="preserve">, B.M., </w:t>
      </w:r>
      <w:proofErr w:type="spellStart"/>
      <w:r w:rsidRPr="00427DC3">
        <w:rPr>
          <w:rFonts w:ascii="Arial" w:hAnsi="Arial" w:cs="Arial"/>
          <w:sz w:val="22"/>
          <w:szCs w:val="22"/>
          <w:lang w:val="en-US"/>
        </w:rPr>
        <w:t>Druley</w:t>
      </w:r>
      <w:proofErr w:type="spellEnd"/>
      <w:r w:rsidRPr="00427DC3">
        <w:rPr>
          <w:rFonts w:ascii="Arial" w:hAnsi="Arial" w:cs="Arial"/>
          <w:sz w:val="22"/>
          <w:szCs w:val="22"/>
          <w:lang w:val="en-US"/>
        </w:rPr>
        <w:t xml:space="preserve">, T.E., 2016. Clonal </w:t>
      </w:r>
      <w:proofErr w:type="spellStart"/>
      <w:r w:rsidRPr="00427DC3">
        <w:rPr>
          <w:rFonts w:ascii="Arial" w:hAnsi="Arial" w:cs="Arial"/>
          <w:sz w:val="22"/>
          <w:szCs w:val="22"/>
          <w:lang w:val="en-US"/>
        </w:rPr>
        <w:t>haematopoiesis</w:t>
      </w:r>
      <w:proofErr w:type="spellEnd"/>
      <w:r w:rsidRPr="00427DC3">
        <w:rPr>
          <w:rFonts w:ascii="Arial" w:hAnsi="Arial" w:cs="Arial"/>
          <w:sz w:val="22"/>
          <w:szCs w:val="22"/>
          <w:lang w:val="en-US"/>
        </w:rPr>
        <w:t xml:space="preserve"> </w:t>
      </w:r>
      <w:proofErr w:type="spellStart"/>
      <w:r w:rsidRPr="00427DC3">
        <w:rPr>
          <w:rFonts w:ascii="Arial" w:hAnsi="Arial" w:cs="Arial"/>
          <w:sz w:val="22"/>
          <w:szCs w:val="22"/>
          <w:lang w:val="en-US"/>
        </w:rPr>
        <w:t>harbouring</w:t>
      </w:r>
      <w:proofErr w:type="spellEnd"/>
      <w:r w:rsidRPr="00427DC3">
        <w:rPr>
          <w:rFonts w:ascii="Arial" w:hAnsi="Arial" w:cs="Arial"/>
          <w:sz w:val="22"/>
          <w:szCs w:val="22"/>
          <w:lang w:val="en-US"/>
        </w:rPr>
        <w:t xml:space="preserve"> AML-associated mutations is ubiquitous in healthy adults. Nat </w:t>
      </w:r>
      <w:proofErr w:type="spellStart"/>
      <w:r w:rsidRPr="00427DC3">
        <w:rPr>
          <w:rFonts w:ascii="Arial" w:hAnsi="Arial" w:cs="Arial"/>
          <w:sz w:val="22"/>
          <w:szCs w:val="22"/>
          <w:lang w:val="en-US"/>
        </w:rPr>
        <w:t>Commun</w:t>
      </w:r>
      <w:proofErr w:type="spellEnd"/>
      <w:r w:rsidRPr="00427DC3">
        <w:rPr>
          <w:rFonts w:ascii="Arial" w:hAnsi="Arial" w:cs="Arial"/>
          <w:sz w:val="22"/>
          <w:szCs w:val="22"/>
          <w:lang w:val="en-US"/>
        </w:rPr>
        <w:t xml:space="preserve"> 7, 12484. https://doi.org/10.1038/ncomms12484</w:t>
      </w:r>
    </w:p>
    <w:p w14:paraId="0556CBB2"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 xml:space="preserve">Zambetti, N.A., Ping, Z., Chen, S., </w:t>
      </w:r>
      <w:proofErr w:type="spellStart"/>
      <w:r w:rsidRPr="00427DC3">
        <w:rPr>
          <w:rFonts w:ascii="Arial" w:hAnsi="Arial" w:cs="Arial"/>
          <w:sz w:val="22"/>
          <w:szCs w:val="22"/>
          <w:lang w:val="en-US"/>
        </w:rPr>
        <w:t>Kenswil</w:t>
      </w:r>
      <w:proofErr w:type="spellEnd"/>
      <w:r w:rsidRPr="00427DC3">
        <w:rPr>
          <w:rFonts w:ascii="Arial" w:hAnsi="Arial" w:cs="Arial"/>
          <w:sz w:val="22"/>
          <w:szCs w:val="22"/>
          <w:lang w:val="en-US"/>
        </w:rPr>
        <w:t xml:space="preserve">, K.J.G., </w:t>
      </w:r>
      <w:proofErr w:type="spellStart"/>
      <w:r w:rsidRPr="00427DC3">
        <w:rPr>
          <w:rFonts w:ascii="Arial" w:hAnsi="Arial" w:cs="Arial"/>
          <w:sz w:val="22"/>
          <w:szCs w:val="22"/>
          <w:lang w:val="en-US"/>
        </w:rPr>
        <w:t>Mylona</w:t>
      </w:r>
      <w:proofErr w:type="spellEnd"/>
      <w:r w:rsidRPr="00427DC3">
        <w:rPr>
          <w:rFonts w:ascii="Arial" w:hAnsi="Arial" w:cs="Arial"/>
          <w:sz w:val="22"/>
          <w:szCs w:val="22"/>
          <w:lang w:val="en-US"/>
        </w:rPr>
        <w:t xml:space="preserve">, M.A., Sanders, M.A., </w:t>
      </w:r>
      <w:proofErr w:type="spellStart"/>
      <w:r w:rsidRPr="00427DC3">
        <w:rPr>
          <w:rFonts w:ascii="Arial" w:hAnsi="Arial" w:cs="Arial"/>
          <w:sz w:val="22"/>
          <w:szCs w:val="22"/>
          <w:lang w:val="en-US"/>
        </w:rPr>
        <w:t>Hoogenboezem</w:t>
      </w:r>
      <w:proofErr w:type="spellEnd"/>
      <w:r w:rsidRPr="00427DC3">
        <w:rPr>
          <w:rFonts w:ascii="Arial" w:hAnsi="Arial" w:cs="Arial"/>
          <w:sz w:val="22"/>
          <w:szCs w:val="22"/>
          <w:lang w:val="en-US"/>
        </w:rPr>
        <w:t xml:space="preserve">, R.M., </w:t>
      </w:r>
      <w:proofErr w:type="spellStart"/>
      <w:r w:rsidRPr="00427DC3">
        <w:rPr>
          <w:rFonts w:ascii="Arial" w:hAnsi="Arial" w:cs="Arial"/>
          <w:sz w:val="22"/>
          <w:szCs w:val="22"/>
          <w:lang w:val="en-US"/>
        </w:rPr>
        <w:t>Bindels</w:t>
      </w:r>
      <w:proofErr w:type="spellEnd"/>
      <w:r w:rsidRPr="00427DC3">
        <w:rPr>
          <w:rFonts w:ascii="Arial" w:hAnsi="Arial" w:cs="Arial"/>
          <w:sz w:val="22"/>
          <w:szCs w:val="22"/>
          <w:lang w:val="en-US"/>
        </w:rPr>
        <w:t xml:space="preserve">, E.M.J., </w:t>
      </w:r>
      <w:proofErr w:type="spellStart"/>
      <w:r w:rsidRPr="00427DC3">
        <w:rPr>
          <w:rFonts w:ascii="Arial" w:hAnsi="Arial" w:cs="Arial"/>
          <w:sz w:val="22"/>
          <w:szCs w:val="22"/>
          <w:lang w:val="en-US"/>
        </w:rPr>
        <w:t>Adisty</w:t>
      </w:r>
      <w:proofErr w:type="spellEnd"/>
      <w:r w:rsidRPr="00427DC3">
        <w:rPr>
          <w:rFonts w:ascii="Arial" w:hAnsi="Arial" w:cs="Arial"/>
          <w:sz w:val="22"/>
          <w:szCs w:val="22"/>
          <w:lang w:val="en-US"/>
        </w:rPr>
        <w:t xml:space="preserve">, M.N., Van </w:t>
      </w:r>
      <w:proofErr w:type="spellStart"/>
      <w:r w:rsidRPr="00427DC3">
        <w:rPr>
          <w:rFonts w:ascii="Arial" w:hAnsi="Arial" w:cs="Arial"/>
          <w:sz w:val="22"/>
          <w:szCs w:val="22"/>
          <w:lang w:val="en-US"/>
        </w:rPr>
        <w:t>Strien</w:t>
      </w:r>
      <w:proofErr w:type="spellEnd"/>
      <w:r w:rsidRPr="00427DC3">
        <w:rPr>
          <w:rFonts w:ascii="Arial" w:hAnsi="Arial" w:cs="Arial"/>
          <w:sz w:val="22"/>
          <w:szCs w:val="22"/>
          <w:lang w:val="en-US"/>
        </w:rPr>
        <w:t xml:space="preserve">, P.M.H., van der </w:t>
      </w:r>
      <w:proofErr w:type="spellStart"/>
      <w:r w:rsidRPr="00427DC3">
        <w:rPr>
          <w:rFonts w:ascii="Arial" w:hAnsi="Arial" w:cs="Arial"/>
          <w:sz w:val="22"/>
          <w:szCs w:val="22"/>
          <w:lang w:val="en-US"/>
        </w:rPr>
        <w:t>Leije</w:t>
      </w:r>
      <w:proofErr w:type="spellEnd"/>
      <w:r w:rsidRPr="00427DC3">
        <w:rPr>
          <w:rFonts w:ascii="Arial" w:hAnsi="Arial" w:cs="Arial"/>
          <w:sz w:val="22"/>
          <w:szCs w:val="22"/>
          <w:lang w:val="en-US"/>
        </w:rPr>
        <w:t xml:space="preserve">, C.S., Westers, T.M., </w:t>
      </w:r>
      <w:proofErr w:type="spellStart"/>
      <w:r w:rsidRPr="00427DC3">
        <w:rPr>
          <w:rFonts w:ascii="Arial" w:hAnsi="Arial" w:cs="Arial"/>
          <w:sz w:val="22"/>
          <w:szCs w:val="22"/>
          <w:lang w:val="en-US"/>
        </w:rPr>
        <w:t>Cremers</w:t>
      </w:r>
      <w:proofErr w:type="spellEnd"/>
      <w:r w:rsidRPr="00427DC3">
        <w:rPr>
          <w:rFonts w:ascii="Arial" w:hAnsi="Arial" w:cs="Arial"/>
          <w:sz w:val="22"/>
          <w:szCs w:val="22"/>
          <w:lang w:val="en-US"/>
        </w:rPr>
        <w:t xml:space="preserve">, E.M.P., Milanese, C., </w:t>
      </w:r>
      <w:proofErr w:type="spellStart"/>
      <w:r w:rsidRPr="00427DC3">
        <w:rPr>
          <w:rFonts w:ascii="Arial" w:hAnsi="Arial" w:cs="Arial"/>
          <w:sz w:val="22"/>
          <w:szCs w:val="22"/>
          <w:lang w:val="en-US"/>
        </w:rPr>
        <w:t>Mastroberardino</w:t>
      </w:r>
      <w:proofErr w:type="spellEnd"/>
      <w:r w:rsidRPr="00427DC3">
        <w:rPr>
          <w:rFonts w:ascii="Arial" w:hAnsi="Arial" w:cs="Arial"/>
          <w:sz w:val="22"/>
          <w:szCs w:val="22"/>
          <w:lang w:val="en-US"/>
        </w:rPr>
        <w:t xml:space="preserve">, P.G., van Leeuwen, J.P.T.M., van der Eerden, B.C.J., </w:t>
      </w:r>
      <w:proofErr w:type="spellStart"/>
      <w:r w:rsidRPr="00427DC3">
        <w:rPr>
          <w:rFonts w:ascii="Arial" w:hAnsi="Arial" w:cs="Arial"/>
          <w:sz w:val="22"/>
          <w:szCs w:val="22"/>
          <w:lang w:val="en-US"/>
        </w:rPr>
        <w:t>Touw</w:t>
      </w:r>
      <w:proofErr w:type="spellEnd"/>
      <w:r w:rsidRPr="00427DC3">
        <w:rPr>
          <w:rFonts w:ascii="Arial" w:hAnsi="Arial" w:cs="Arial"/>
          <w:sz w:val="22"/>
          <w:szCs w:val="22"/>
          <w:lang w:val="en-US"/>
        </w:rPr>
        <w:t xml:space="preserve">, I.P., </w:t>
      </w:r>
      <w:proofErr w:type="spellStart"/>
      <w:r w:rsidRPr="00427DC3">
        <w:rPr>
          <w:rFonts w:ascii="Arial" w:hAnsi="Arial" w:cs="Arial"/>
          <w:sz w:val="22"/>
          <w:szCs w:val="22"/>
          <w:lang w:val="en-US"/>
        </w:rPr>
        <w:t>Kuijpers</w:t>
      </w:r>
      <w:proofErr w:type="spellEnd"/>
      <w:r w:rsidRPr="00427DC3">
        <w:rPr>
          <w:rFonts w:ascii="Arial" w:hAnsi="Arial" w:cs="Arial"/>
          <w:sz w:val="22"/>
          <w:szCs w:val="22"/>
          <w:lang w:val="en-US"/>
        </w:rPr>
        <w:t xml:space="preserve">, T.W., </w:t>
      </w:r>
      <w:proofErr w:type="spellStart"/>
      <w:r w:rsidRPr="00427DC3">
        <w:rPr>
          <w:rFonts w:ascii="Arial" w:hAnsi="Arial" w:cs="Arial"/>
          <w:sz w:val="22"/>
          <w:szCs w:val="22"/>
          <w:lang w:val="en-US"/>
        </w:rPr>
        <w:t>Kanaar</w:t>
      </w:r>
      <w:proofErr w:type="spellEnd"/>
      <w:r w:rsidRPr="00427DC3">
        <w:rPr>
          <w:rFonts w:ascii="Arial" w:hAnsi="Arial" w:cs="Arial"/>
          <w:sz w:val="22"/>
          <w:szCs w:val="22"/>
          <w:lang w:val="en-US"/>
        </w:rPr>
        <w:t xml:space="preserve">, R., van de </w:t>
      </w:r>
      <w:proofErr w:type="spellStart"/>
      <w:r w:rsidRPr="00427DC3">
        <w:rPr>
          <w:rFonts w:ascii="Arial" w:hAnsi="Arial" w:cs="Arial"/>
          <w:sz w:val="22"/>
          <w:szCs w:val="22"/>
          <w:lang w:val="en-US"/>
        </w:rPr>
        <w:t>Loosdrecht</w:t>
      </w:r>
      <w:proofErr w:type="spellEnd"/>
      <w:r w:rsidRPr="00427DC3">
        <w:rPr>
          <w:rFonts w:ascii="Arial" w:hAnsi="Arial" w:cs="Arial"/>
          <w:sz w:val="22"/>
          <w:szCs w:val="22"/>
          <w:lang w:val="en-US"/>
        </w:rPr>
        <w:t xml:space="preserve">, A.A., </w:t>
      </w:r>
      <w:proofErr w:type="spellStart"/>
      <w:r w:rsidRPr="00427DC3">
        <w:rPr>
          <w:rFonts w:ascii="Arial" w:hAnsi="Arial" w:cs="Arial"/>
          <w:sz w:val="22"/>
          <w:szCs w:val="22"/>
          <w:lang w:val="en-US"/>
        </w:rPr>
        <w:t>Vogl</w:t>
      </w:r>
      <w:proofErr w:type="spellEnd"/>
      <w:r w:rsidRPr="00427DC3">
        <w:rPr>
          <w:rFonts w:ascii="Arial" w:hAnsi="Arial" w:cs="Arial"/>
          <w:sz w:val="22"/>
          <w:szCs w:val="22"/>
          <w:lang w:val="en-US"/>
        </w:rPr>
        <w:t xml:space="preserve">, T., </w:t>
      </w:r>
      <w:proofErr w:type="spellStart"/>
      <w:r w:rsidRPr="00427DC3">
        <w:rPr>
          <w:rFonts w:ascii="Arial" w:hAnsi="Arial" w:cs="Arial"/>
          <w:sz w:val="22"/>
          <w:szCs w:val="22"/>
          <w:lang w:val="en-US"/>
        </w:rPr>
        <w:t>Raaijmakers</w:t>
      </w:r>
      <w:proofErr w:type="spellEnd"/>
      <w:r w:rsidRPr="00427DC3">
        <w:rPr>
          <w:rFonts w:ascii="Arial" w:hAnsi="Arial" w:cs="Arial"/>
          <w:sz w:val="22"/>
          <w:szCs w:val="22"/>
          <w:lang w:val="en-US"/>
        </w:rPr>
        <w:t>, M.H.G.P., 2016. Mesenchymal Inflammation Drives Genotoxic Stress in Hematopoietic Stem Cells and Predicts Disease Evolution in Human Pre-leukemia. Cell Stem Cell 19, 613–627. https://doi.org/10.1016/j.stem.2016.08.021</w:t>
      </w:r>
    </w:p>
    <w:p w14:paraId="6DD12056"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en-US"/>
        </w:rPr>
        <w:t>Zhang, Y., Liu, H., Yan, F., Zhou, J., 2017. Oscillatory dynamics of p38 activity with transcriptional and translational time delays. Scientific Reports 7, 1–11. https://doi.org/10.1038/s41598-017-11149-5</w:t>
      </w:r>
    </w:p>
    <w:p w14:paraId="0AD277AF"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r w:rsidRPr="00427DC3">
        <w:rPr>
          <w:rFonts w:ascii="Arial" w:hAnsi="Arial" w:cs="Arial"/>
          <w:sz w:val="22"/>
          <w:szCs w:val="22"/>
          <w:lang w:val="en-US"/>
        </w:rPr>
        <w:t xml:space="preserve">Zhou, A., </w:t>
      </w:r>
      <w:proofErr w:type="spellStart"/>
      <w:r w:rsidRPr="00427DC3">
        <w:rPr>
          <w:rFonts w:ascii="Arial" w:hAnsi="Arial" w:cs="Arial"/>
          <w:sz w:val="22"/>
          <w:szCs w:val="22"/>
          <w:lang w:val="en-US"/>
        </w:rPr>
        <w:t>Scoggin</w:t>
      </w:r>
      <w:proofErr w:type="spellEnd"/>
      <w:r w:rsidRPr="00427DC3">
        <w:rPr>
          <w:rFonts w:ascii="Arial" w:hAnsi="Arial" w:cs="Arial"/>
          <w:sz w:val="22"/>
          <w:szCs w:val="22"/>
          <w:lang w:val="en-US"/>
        </w:rPr>
        <w:t xml:space="preserve">, S., Gaynor, R.B., Williams, N.S., 2003. Identification of NF-kappa B-regulated genes induced by </w:t>
      </w:r>
      <w:proofErr w:type="spellStart"/>
      <w:r w:rsidRPr="00427DC3">
        <w:rPr>
          <w:rFonts w:ascii="Arial" w:hAnsi="Arial" w:cs="Arial"/>
          <w:sz w:val="22"/>
          <w:szCs w:val="22"/>
          <w:lang w:val="en-US"/>
        </w:rPr>
        <w:t>TNFalpha</w:t>
      </w:r>
      <w:proofErr w:type="spellEnd"/>
      <w:r w:rsidRPr="00427DC3">
        <w:rPr>
          <w:rFonts w:ascii="Arial" w:hAnsi="Arial" w:cs="Arial"/>
          <w:sz w:val="22"/>
          <w:szCs w:val="22"/>
          <w:lang w:val="en-US"/>
        </w:rPr>
        <w:t xml:space="preserve"> utilizing expression profiling and RNA interference. </w:t>
      </w:r>
      <w:proofErr w:type="spellStart"/>
      <w:r w:rsidRPr="00427DC3">
        <w:rPr>
          <w:rFonts w:ascii="Arial" w:hAnsi="Arial" w:cs="Arial"/>
          <w:sz w:val="22"/>
          <w:szCs w:val="22"/>
          <w:lang w:val="de-DE"/>
        </w:rPr>
        <w:t>Oncogene</w:t>
      </w:r>
      <w:proofErr w:type="spellEnd"/>
      <w:r w:rsidRPr="00427DC3">
        <w:rPr>
          <w:rFonts w:ascii="Arial" w:hAnsi="Arial" w:cs="Arial"/>
          <w:sz w:val="22"/>
          <w:szCs w:val="22"/>
          <w:lang w:val="de-DE"/>
        </w:rPr>
        <w:t xml:space="preserve"> 22, 2054–2064. https://doi.org/10.1038/sj.onc.1206262</w:t>
      </w:r>
    </w:p>
    <w:p w14:paraId="4746328A"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de-DE"/>
        </w:rPr>
        <w:t xml:space="preserve">Zhou, F., Li, X., Wang, W., Zhu, P., Zhou, J., He, W., Ding, M., </w:t>
      </w:r>
      <w:proofErr w:type="spellStart"/>
      <w:r w:rsidRPr="00427DC3">
        <w:rPr>
          <w:rFonts w:ascii="Arial" w:hAnsi="Arial" w:cs="Arial"/>
          <w:sz w:val="22"/>
          <w:szCs w:val="22"/>
          <w:lang w:val="de-DE"/>
        </w:rPr>
        <w:t>Xiong</w:t>
      </w:r>
      <w:proofErr w:type="spellEnd"/>
      <w:r w:rsidRPr="00427DC3">
        <w:rPr>
          <w:rFonts w:ascii="Arial" w:hAnsi="Arial" w:cs="Arial"/>
          <w:sz w:val="22"/>
          <w:szCs w:val="22"/>
          <w:lang w:val="de-DE"/>
        </w:rPr>
        <w:t xml:space="preserve">, F., Zheng, X., Li, Z., </w:t>
      </w:r>
      <w:proofErr w:type="spellStart"/>
      <w:r w:rsidRPr="00427DC3">
        <w:rPr>
          <w:rFonts w:ascii="Arial" w:hAnsi="Arial" w:cs="Arial"/>
          <w:sz w:val="22"/>
          <w:szCs w:val="22"/>
          <w:lang w:val="de-DE"/>
        </w:rPr>
        <w:t>Ni</w:t>
      </w:r>
      <w:proofErr w:type="spellEnd"/>
      <w:r w:rsidRPr="00427DC3">
        <w:rPr>
          <w:rFonts w:ascii="Arial" w:hAnsi="Arial" w:cs="Arial"/>
          <w:sz w:val="22"/>
          <w:szCs w:val="22"/>
          <w:lang w:val="de-DE"/>
        </w:rPr>
        <w:t xml:space="preserve">, Y., </w:t>
      </w:r>
      <w:proofErr w:type="spellStart"/>
      <w:r w:rsidRPr="00427DC3">
        <w:rPr>
          <w:rFonts w:ascii="Arial" w:hAnsi="Arial" w:cs="Arial"/>
          <w:sz w:val="22"/>
          <w:szCs w:val="22"/>
          <w:lang w:val="de-DE"/>
        </w:rPr>
        <w:t>Mu</w:t>
      </w:r>
      <w:proofErr w:type="spellEnd"/>
      <w:r w:rsidRPr="00427DC3">
        <w:rPr>
          <w:rFonts w:ascii="Arial" w:hAnsi="Arial" w:cs="Arial"/>
          <w:sz w:val="22"/>
          <w:szCs w:val="22"/>
          <w:lang w:val="de-DE"/>
        </w:rPr>
        <w:t xml:space="preserve">, X., Wen, L., Cheng, T., </w:t>
      </w:r>
      <w:proofErr w:type="spellStart"/>
      <w:r w:rsidRPr="00427DC3">
        <w:rPr>
          <w:rFonts w:ascii="Arial" w:hAnsi="Arial" w:cs="Arial"/>
          <w:sz w:val="22"/>
          <w:szCs w:val="22"/>
          <w:lang w:val="de-DE"/>
        </w:rPr>
        <w:t>Lan</w:t>
      </w:r>
      <w:proofErr w:type="spellEnd"/>
      <w:r w:rsidRPr="00427DC3">
        <w:rPr>
          <w:rFonts w:ascii="Arial" w:hAnsi="Arial" w:cs="Arial"/>
          <w:sz w:val="22"/>
          <w:szCs w:val="22"/>
          <w:lang w:val="de-DE"/>
        </w:rPr>
        <w:t xml:space="preserve">, Y., Yuan, W., Tang, F., Liu, B., 2016. </w:t>
      </w:r>
      <w:r w:rsidRPr="00427DC3">
        <w:rPr>
          <w:rFonts w:ascii="Arial" w:hAnsi="Arial" w:cs="Arial"/>
          <w:sz w:val="22"/>
          <w:szCs w:val="22"/>
          <w:lang w:val="en-US"/>
        </w:rPr>
        <w:t xml:space="preserve">Tracing </w:t>
      </w:r>
      <w:proofErr w:type="spellStart"/>
      <w:r w:rsidRPr="00427DC3">
        <w:rPr>
          <w:rFonts w:ascii="Arial" w:hAnsi="Arial" w:cs="Arial"/>
          <w:sz w:val="22"/>
          <w:szCs w:val="22"/>
          <w:lang w:val="en-US"/>
        </w:rPr>
        <w:t>haematopoietic</w:t>
      </w:r>
      <w:proofErr w:type="spellEnd"/>
      <w:r w:rsidRPr="00427DC3">
        <w:rPr>
          <w:rFonts w:ascii="Arial" w:hAnsi="Arial" w:cs="Arial"/>
          <w:sz w:val="22"/>
          <w:szCs w:val="22"/>
          <w:lang w:val="en-US"/>
        </w:rPr>
        <w:t xml:space="preserve"> stem cell formation at single-cell resolution. Nature 533, 487–492. https://doi.org/10.1038/nature17997</w:t>
      </w:r>
    </w:p>
    <w:p w14:paraId="6B0DBA49"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de-DE"/>
        </w:rPr>
      </w:pPr>
      <w:r w:rsidRPr="00427DC3">
        <w:rPr>
          <w:rFonts w:ascii="Arial" w:hAnsi="Arial" w:cs="Arial"/>
          <w:sz w:val="22"/>
          <w:szCs w:val="22"/>
          <w:lang w:val="en-US"/>
        </w:rPr>
        <w:t xml:space="preserve">Zhou, T., Chen, P., Gu, J., Bishop, A.J.R., Scott, L.M., Hasty, P., Rebel, V.I., 2015. Potential Relationship between Inadequate Response to DNA Damage and Development of Myelodysplastic Syndrome. </w:t>
      </w:r>
      <w:proofErr w:type="spellStart"/>
      <w:r w:rsidRPr="00427DC3">
        <w:rPr>
          <w:rFonts w:ascii="Arial" w:hAnsi="Arial" w:cs="Arial"/>
          <w:sz w:val="22"/>
          <w:szCs w:val="22"/>
          <w:lang w:val="de-DE"/>
        </w:rPr>
        <w:t>Int</w:t>
      </w:r>
      <w:proofErr w:type="spellEnd"/>
      <w:r w:rsidRPr="00427DC3">
        <w:rPr>
          <w:rFonts w:ascii="Arial" w:hAnsi="Arial" w:cs="Arial"/>
          <w:sz w:val="22"/>
          <w:szCs w:val="22"/>
          <w:lang w:val="de-DE"/>
        </w:rPr>
        <w:t xml:space="preserve"> J Mol </w:t>
      </w:r>
      <w:proofErr w:type="spellStart"/>
      <w:r w:rsidRPr="00427DC3">
        <w:rPr>
          <w:rFonts w:ascii="Arial" w:hAnsi="Arial" w:cs="Arial"/>
          <w:sz w:val="22"/>
          <w:szCs w:val="22"/>
          <w:lang w:val="de-DE"/>
        </w:rPr>
        <w:t>Sci</w:t>
      </w:r>
      <w:proofErr w:type="spellEnd"/>
      <w:r w:rsidRPr="00427DC3">
        <w:rPr>
          <w:rFonts w:ascii="Arial" w:hAnsi="Arial" w:cs="Arial"/>
          <w:sz w:val="22"/>
          <w:szCs w:val="22"/>
          <w:lang w:val="de-DE"/>
        </w:rPr>
        <w:t xml:space="preserve"> 16, 966–989. https://doi.org/10.3390/ijms16010966</w:t>
      </w:r>
    </w:p>
    <w:p w14:paraId="08B080C7"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r w:rsidRPr="00427DC3">
        <w:rPr>
          <w:rFonts w:ascii="Arial" w:hAnsi="Arial" w:cs="Arial"/>
          <w:sz w:val="22"/>
          <w:szCs w:val="22"/>
          <w:lang w:val="de-DE"/>
        </w:rPr>
        <w:t xml:space="preserve">Zhu, Y.M., Das-Gupta, E.P., Russell, N.H., 1999. </w:t>
      </w:r>
      <w:r w:rsidRPr="00427DC3">
        <w:rPr>
          <w:rFonts w:ascii="Arial" w:hAnsi="Arial" w:cs="Arial"/>
          <w:sz w:val="22"/>
          <w:szCs w:val="22"/>
          <w:lang w:val="en-US"/>
        </w:rPr>
        <w:t>Microsatellite instability and p53 mutations are associated with abnormal expression of the MSH2 gene in adult acute leukemia. Blood 94, 733–740.</w:t>
      </w:r>
    </w:p>
    <w:p w14:paraId="76490850" w14:textId="77777777" w:rsidR="00593278" w:rsidRPr="00427DC3" w:rsidRDefault="00593278" w:rsidP="00427DC3">
      <w:pPr>
        <w:widowControl w:val="0"/>
        <w:autoSpaceDE w:val="0"/>
        <w:autoSpaceDN w:val="0"/>
        <w:adjustRightInd w:val="0"/>
        <w:spacing w:afterLines="80" w:after="192"/>
        <w:ind w:left="426" w:hanging="426"/>
        <w:jc w:val="both"/>
        <w:rPr>
          <w:rFonts w:ascii="Arial" w:hAnsi="Arial" w:cs="Arial"/>
          <w:sz w:val="22"/>
          <w:szCs w:val="22"/>
          <w:lang w:val="en-US"/>
        </w:rPr>
      </w:pPr>
      <w:proofErr w:type="spellStart"/>
      <w:r w:rsidRPr="00427DC3">
        <w:rPr>
          <w:rFonts w:ascii="Arial" w:hAnsi="Arial" w:cs="Arial"/>
          <w:sz w:val="22"/>
          <w:szCs w:val="22"/>
          <w:lang w:val="en-US"/>
        </w:rPr>
        <w:t>Zuna</w:t>
      </w:r>
      <w:proofErr w:type="spellEnd"/>
      <w:r w:rsidRPr="00427DC3">
        <w:rPr>
          <w:rFonts w:ascii="Arial" w:hAnsi="Arial" w:cs="Arial"/>
          <w:sz w:val="22"/>
          <w:szCs w:val="22"/>
          <w:lang w:val="en-US"/>
        </w:rPr>
        <w:t xml:space="preserve">, J., </w:t>
      </w:r>
      <w:proofErr w:type="spellStart"/>
      <w:r w:rsidRPr="00427DC3">
        <w:rPr>
          <w:rFonts w:ascii="Arial" w:hAnsi="Arial" w:cs="Arial"/>
          <w:sz w:val="22"/>
          <w:szCs w:val="22"/>
          <w:lang w:val="en-US"/>
        </w:rPr>
        <w:t>Burjanivova</w:t>
      </w:r>
      <w:proofErr w:type="spellEnd"/>
      <w:r w:rsidRPr="00427DC3">
        <w:rPr>
          <w:rFonts w:ascii="Arial" w:hAnsi="Arial" w:cs="Arial"/>
          <w:sz w:val="22"/>
          <w:szCs w:val="22"/>
          <w:lang w:val="en-US"/>
        </w:rPr>
        <w:t xml:space="preserve">, T., </w:t>
      </w:r>
      <w:proofErr w:type="spellStart"/>
      <w:r w:rsidRPr="00427DC3">
        <w:rPr>
          <w:rFonts w:ascii="Arial" w:hAnsi="Arial" w:cs="Arial"/>
          <w:sz w:val="22"/>
          <w:szCs w:val="22"/>
          <w:lang w:val="en-US"/>
        </w:rPr>
        <w:t>Mejstrikova</w:t>
      </w:r>
      <w:proofErr w:type="spellEnd"/>
      <w:r w:rsidRPr="00427DC3">
        <w:rPr>
          <w:rFonts w:ascii="Arial" w:hAnsi="Arial" w:cs="Arial"/>
          <w:sz w:val="22"/>
          <w:szCs w:val="22"/>
          <w:lang w:val="en-US"/>
        </w:rPr>
        <w:t xml:space="preserve">, E., </w:t>
      </w:r>
      <w:proofErr w:type="spellStart"/>
      <w:r w:rsidRPr="00427DC3">
        <w:rPr>
          <w:rFonts w:ascii="Arial" w:hAnsi="Arial" w:cs="Arial"/>
          <w:sz w:val="22"/>
          <w:szCs w:val="22"/>
          <w:lang w:val="en-US"/>
        </w:rPr>
        <w:t>Zemanova</w:t>
      </w:r>
      <w:proofErr w:type="spellEnd"/>
      <w:r w:rsidRPr="00427DC3">
        <w:rPr>
          <w:rFonts w:ascii="Arial" w:hAnsi="Arial" w:cs="Arial"/>
          <w:sz w:val="22"/>
          <w:szCs w:val="22"/>
          <w:lang w:val="en-US"/>
        </w:rPr>
        <w:t xml:space="preserve">, Z., </w:t>
      </w:r>
      <w:proofErr w:type="spellStart"/>
      <w:r w:rsidRPr="00427DC3">
        <w:rPr>
          <w:rFonts w:ascii="Arial" w:hAnsi="Arial" w:cs="Arial"/>
          <w:sz w:val="22"/>
          <w:szCs w:val="22"/>
          <w:lang w:val="en-US"/>
        </w:rPr>
        <w:t>Muzikova</w:t>
      </w:r>
      <w:proofErr w:type="spellEnd"/>
      <w:r w:rsidRPr="00427DC3">
        <w:rPr>
          <w:rFonts w:ascii="Arial" w:hAnsi="Arial" w:cs="Arial"/>
          <w:sz w:val="22"/>
          <w:szCs w:val="22"/>
          <w:lang w:val="en-US"/>
        </w:rPr>
        <w:t xml:space="preserve">, K., Meyer, C., Horsley, S.W., Kearney, L., Colman, S., </w:t>
      </w:r>
      <w:proofErr w:type="spellStart"/>
      <w:r w:rsidRPr="00427DC3">
        <w:rPr>
          <w:rFonts w:ascii="Arial" w:hAnsi="Arial" w:cs="Arial"/>
          <w:sz w:val="22"/>
          <w:szCs w:val="22"/>
          <w:lang w:val="en-US"/>
        </w:rPr>
        <w:t>Ptoszkova</w:t>
      </w:r>
      <w:proofErr w:type="spellEnd"/>
      <w:r w:rsidRPr="00427DC3">
        <w:rPr>
          <w:rFonts w:ascii="Arial" w:hAnsi="Arial" w:cs="Arial"/>
          <w:sz w:val="22"/>
          <w:szCs w:val="22"/>
          <w:lang w:val="en-US"/>
        </w:rPr>
        <w:t xml:space="preserve">, H., </w:t>
      </w:r>
      <w:proofErr w:type="spellStart"/>
      <w:r w:rsidRPr="00427DC3">
        <w:rPr>
          <w:rFonts w:ascii="Arial" w:hAnsi="Arial" w:cs="Arial"/>
          <w:sz w:val="22"/>
          <w:szCs w:val="22"/>
          <w:lang w:val="en-US"/>
        </w:rPr>
        <w:t>Marschalek</w:t>
      </w:r>
      <w:proofErr w:type="spellEnd"/>
      <w:r w:rsidRPr="00427DC3">
        <w:rPr>
          <w:rFonts w:ascii="Arial" w:hAnsi="Arial" w:cs="Arial"/>
          <w:sz w:val="22"/>
          <w:szCs w:val="22"/>
          <w:lang w:val="en-US"/>
        </w:rPr>
        <w:t xml:space="preserve">, R., </w:t>
      </w:r>
      <w:proofErr w:type="spellStart"/>
      <w:r w:rsidRPr="00427DC3">
        <w:rPr>
          <w:rFonts w:ascii="Arial" w:hAnsi="Arial" w:cs="Arial"/>
          <w:sz w:val="22"/>
          <w:szCs w:val="22"/>
          <w:lang w:val="en-US"/>
        </w:rPr>
        <w:t>Hrusak</w:t>
      </w:r>
      <w:proofErr w:type="spellEnd"/>
      <w:r w:rsidRPr="00427DC3">
        <w:rPr>
          <w:rFonts w:ascii="Arial" w:hAnsi="Arial" w:cs="Arial"/>
          <w:sz w:val="22"/>
          <w:szCs w:val="22"/>
          <w:lang w:val="en-US"/>
        </w:rPr>
        <w:t xml:space="preserve">, O., Stary, J., Greaves, M., </w:t>
      </w:r>
      <w:proofErr w:type="spellStart"/>
      <w:r w:rsidRPr="00427DC3">
        <w:rPr>
          <w:rFonts w:ascii="Arial" w:hAnsi="Arial" w:cs="Arial"/>
          <w:sz w:val="22"/>
          <w:szCs w:val="22"/>
          <w:lang w:val="en-US"/>
        </w:rPr>
        <w:t>Trka</w:t>
      </w:r>
      <w:proofErr w:type="spellEnd"/>
      <w:r w:rsidRPr="00427DC3">
        <w:rPr>
          <w:rFonts w:ascii="Arial" w:hAnsi="Arial" w:cs="Arial"/>
          <w:sz w:val="22"/>
          <w:szCs w:val="22"/>
          <w:lang w:val="en-US"/>
        </w:rPr>
        <w:t>, J., 2009. Covert preleukemia driven by MLL gene fusion. Genes Chromosomes Cancer 48, 98–107. https://doi.org/10.1002/gcc.20622</w:t>
      </w:r>
    </w:p>
    <w:p w14:paraId="583BC78A" w14:textId="650B7DF0" w:rsidR="009110D0" w:rsidRPr="00094D87" w:rsidRDefault="00E543EA" w:rsidP="00427DC3">
      <w:pPr>
        <w:spacing w:afterLines="80" w:after="192"/>
        <w:ind w:left="426" w:hanging="426"/>
        <w:jc w:val="both"/>
        <w:rPr>
          <w:rFonts w:ascii="Arial" w:hAnsi="Arial" w:cs="Arial"/>
          <w:sz w:val="22"/>
          <w:szCs w:val="22"/>
          <w:lang w:val="en-US"/>
        </w:rPr>
      </w:pPr>
      <w:r w:rsidRPr="00427DC3">
        <w:rPr>
          <w:rFonts w:ascii="Arial" w:hAnsi="Arial" w:cs="Arial"/>
          <w:b/>
          <w:bCs/>
          <w:sz w:val="22"/>
          <w:szCs w:val="22"/>
          <w:lang w:val="en-US"/>
        </w:rPr>
        <w:fldChar w:fldCharType="end"/>
      </w:r>
      <w:r w:rsidR="009110D0">
        <w:rPr>
          <w:rFonts w:cs="Arial"/>
          <w:b/>
          <w:bCs/>
          <w:sz w:val="48"/>
          <w:szCs w:val="48"/>
          <w:lang w:val="en-US"/>
        </w:rPr>
        <w:br w:type="page"/>
      </w:r>
    </w:p>
    <w:p w14:paraId="0862EC14" w14:textId="2E73A395" w:rsidR="00053BDD" w:rsidRPr="003A5293" w:rsidRDefault="00053BDD" w:rsidP="00053BDD">
      <w:pPr>
        <w:pStyle w:val="MainHeading2"/>
        <w:rPr>
          <w:rFonts w:cs="Arial"/>
          <w:lang w:val="en-US"/>
        </w:rPr>
      </w:pPr>
      <w:bookmarkStart w:id="53" w:name="_Toc57582528"/>
      <w:r w:rsidRPr="003A5293">
        <w:rPr>
          <w:rFonts w:cs="Arial"/>
          <w:b w:val="0"/>
          <w:bCs/>
          <w:sz w:val="48"/>
          <w:szCs w:val="48"/>
          <w:lang w:val="en-US"/>
        </w:rPr>
        <w:lastRenderedPageBreak/>
        <w:t>7</w:t>
      </w:r>
      <w:r w:rsidR="00933466" w:rsidRPr="003A5293">
        <w:rPr>
          <w:rFonts w:cs="Arial"/>
          <w:b w:val="0"/>
          <w:bCs/>
          <w:sz w:val="48"/>
          <w:szCs w:val="48"/>
          <w:lang w:val="en-US"/>
        </w:rPr>
        <w:t>.</w:t>
      </w:r>
      <w:r w:rsidR="00933466" w:rsidRPr="003A5293">
        <w:rPr>
          <w:rFonts w:cs="Arial"/>
          <w:lang w:val="en-US"/>
        </w:rPr>
        <w:t xml:space="preserve"> </w:t>
      </w:r>
      <w:bookmarkEnd w:id="53"/>
      <w:r w:rsidR="000D3A95">
        <w:rPr>
          <w:rFonts w:cs="Arial"/>
          <w:lang w:val="en-US"/>
        </w:rPr>
        <w:t>S</w:t>
      </w:r>
      <w:r w:rsidR="000D3A95" w:rsidRPr="003A5293">
        <w:rPr>
          <w:rFonts w:cs="Arial"/>
          <w:lang w:val="en-US"/>
        </w:rPr>
        <w:t>upplements</w:t>
      </w:r>
    </w:p>
    <w:p w14:paraId="56076C45" w14:textId="77777777" w:rsidR="00053BDD" w:rsidRPr="003A5293" w:rsidRDefault="00053BDD" w:rsidP="00053BDD">
      <w:pPr>
        <w:spacing w:line="480" w:lineRule="auto"/>
        <w:jc w:val="both"/>
        <w:rPr>
          <w:rFonts w:ascii="Arial" w:hAnsi="Arial" w:cs="Arial"/>
          <w:b/>
          <w:sz w:val="22"/>
          <w:szCs w:val="22"/>
          <w:lang w:val="en-US"/>
        </w:rPr>
      </w:pPr>
    </w:p>
    <w:p w14:paraId="25122D32" w14:textId="35748D19" w:rsidR="003521FE" w:rsidRPr="003A5293" w:rsidRDefault="003521FE" w:rsidP="003521FE">
      <w:pPr>
        <w:spacing w:line="480" w:lineRule="auto"/>
        <w:jc w:val="both"/>
        <w:rPr>
          <w:rFonts w:ascii="Arial" w:hAnsi="Arial" w:cs="Arial"/>
          <w:szCs w:val="20"/>
          <w:lang w:val="en-US"/>
        </w:rPr>
      </w:pPr>
      <w:r w:rsidRPr="003A5293">
        <w:rPr>
          <w:rFonts w:ascii="Arial" w:hAnsi="Arial" w:cs="Arial"/>
          <w:b/>
          <w:szCs w:val="20"/>
          <w:lang w:val="en-US"/>
        </w:rPr>
        <w:t>Table S</w:t>
      </w:r>
      <w:r w:rsidR="00452D46">
        <w:rPr>
          <w:rFonts w:ascii="Arial" w:hAnsi="Arial" w:cs="Arial"/>
          <w:b/>
          <w:szCs w:val="20"/>
          <w:lang w:val="en-US"/>
        </w:rPr>
        <w:t>1</w:t>
      </w:r>
      <w:r w:rsidRPr="003A5293">
        <w:rPr>
          <w:rFonts w:ascii="Arial" w:hAnsi="Arial" w:cs="Arial"/>
          <w:szCs w:val="20"/>
          <w:lang w:val="en-US"/>
        </w:rPr>
        <w:t>: Antibodies used in the study</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3"/>
        <w:gridCol w:w="851"/>
        <w:gridCol w:w="1276"/>
        <w:gridCol w:w="1559"/>
        <w:gridCol w:w="2693"/>
      </w:tblGrid>
      <w:tr w:rsidR="003521FE" w:rsidRPr="003A5293" w14:paraId="5D8C06E2" w14:textId="77777777" w:rsidTr="003521FE">
        <w:trPr>
          <w:trHeight w:val="315"/>
        </w:trPr>
        <w:tc>
          <w:tcPr>
            <w:tcW w:w="2263" w:type="dxa"/>
            <w:shd w:val="clear" w:color="auto" w:fill="auto"/>
            <w:noWrap/>
          </w:tcPr>
          <w:p w14:paraId="455CA1F1" w14:textId="77777777" w:rsidR="003521FE" w:rsidRPr="003A5293" w:rsidRDefault="003521FE" w:rsidP="00753E7D">
            <w:pPr>
              <w:spacing w:line="480" w:lineRule="auto"/>
              <w:jc w:val="center"/>
              <w:rPr>
                <w:rFonts w:ascii="Arial" w:hAnsi="Arial" w:cs="Arial"/>
                <w:b/>
                <w:bCs/>
                <w:color w:val="000000"/>
                <w:sz w:val="20"/>
                <w:szCs w:val="20"/>
                <w:lang w:val="en-US"/>
              </w:rPr>
            </w:pPr>
            <w:r w:rsidRPr="003A5293">
              <w:rPr>
                <w:rFonts w:ascii="Arial" w:hAnsi="Arial" w:cs="Arial"/>
                <w:b/>
                <w:bCs/>
                <w:color w:val="000000"/>
                <w:sz w:val="20"/>
                <w:szCs w:val="20"/>
                <w:lang w:val="en-US"/>
              </w:rPr>
              <w:t>ANTIGEN</w:t>
            </w:r>
          </w:p>
        </w:tc>
        <w:tc>
          <w:tcPr>
            <w:tcW w:w="851" w:type="dxa"/>
            <w:shd w:val="clear" w:color="auto" w:fill="auto"/>
            <w:noWrap/>
          </w:tcPr>
          <w:p w14:paraId="0DBD7F08" w14:textId="77777777" w:rsidR="003521FE" w:rsidRPr="003A5293" w:rsidRDefault="003521FE" w:rsidP="00753E7D">
            <w:pPr>
              <w:spacing w:line="480" w:lineRule="auto"/>
              <w:jc w:val="center"/>
              <w:rPr>
                <w:rFonts w:ascii="Arial" w:hAnsi="Arial" w:cs="Arial"/>
                <w:b/>
                <w:bCs/>
                <w:color w:val="000000"/>
                <w:sz w:val="20"/>
                <w:szCs w:val="20"/>
                <w:lang w:val="en-US"/>
              </w:rPr>
            </w:pPr>
            <w:r w:rsidRPr="003A5293">
              <w:rPr>
                <w:rFonts w:ascii="Arial" w:hAnsi="Arial" w:cs="Arial"/>
                <w:b/>
                <w:bCs/>
                <w:color w:val="000000"/>
                <w:sz w:val="20"/>
                <w:szCs w:val="20"/>
                <w:lang w:val="en-US"/>
              </w:rPr>
              <w:t>HOST</w:t>
            </w:r>
          </w:p>
        </w:tc>
        <w:tc>
          <w:tcPr>
            <w:tcW w:w="1276" w:type="dxa"/>
            <w:shd w:val="clear" w:color="auto" w:fill="auto"/>
            <w:noWrap/>
          </w:tcPr>
          <w:p w14:paraId="39BF1FA3" w14:textId="77777777" w:rsidR="003521FE" w:rsidRPr="003A5293" w:rsidRDefault="003521FE" w:rsidP="00753E7D">
            <w:pPr>
              <w:spacing w:line="480" w:lineRule="auto"/>
              <w:jc w:val="center"/>
              <w:rPr>
                <w:rFonts w:ascii="Arial" w:hAnsi="Arial" w:cs="Arial"/>
                <w:b/>
                <w:bCs/>
                <w:color w:val="000000"/>
                <w:sz w:val="20"/>
                <w:szCs w:val="20"/>
                <w:lang w:val="en-US"/>
              </w:rPr>
            </w:pPr>
            <w:r w:rsidRPr="003A5293">
              <w:rPr>
                <w:rFonts w:ascii="Arial" w:hAnsi="Arial" w:cs="Arial"/>
                <w:b/>
                <w:bCs/>
                <w:color w:val="000000"/>
                <w:sz w:val="20"/>
                <w:szCs w:val="20"/>
                <w:lang w:val="en-US"/>
              </w:rPr>
              <w:t>DILUTION</w:t>
            </w:r>
          </w:p>
        </w:tc>
        <w:tc>
          <w:tcPr>
            <w:tcW w:w="1559" w:type="dxa"/>
          </w:tcPr>
          <w:p w14:paraId="742D7FDC" w14:textId="77777777" w:rsidR="003521FE" w:rsidRPr="003A5293" w:rsidRDefault="003521FE" w:rsidP="00753E7D">
            <w:pPr>
              <w:spacing w:line="480" w:lineRule="auto"/>
              <w:jc w:val="center"/>
              <w:rPr>
                <w:rFonts w:ascii="Arial" w:hAnsi="Arial" w:cs="Arial"/>
                <w:b/>
                <w:bCs/>
                <w:color w:val="000000"/>
                <w:sz w:val="20"/>
                <w:szCs w:val="20"/>
                <w:lang w:val="en-US"/>
              </w:rPr>
            </w:pPr>
            <w:r w:rsidRPr="003A5293">
              <w:rPr>
                <w:rFonts w:ascii="Arial" w:hAnsi="Arial" w:cs="Arial"/>
                <w:b/>
                <w:bCs/>
                <w:color w:val="000000"/>
                <w:sz w:val="20"/>
                <w:szCs w:val="20"/>
                <w:lang w:val="en-US"/>
              </w:rPr>
              <w:t>PRODUCT N.</w:t>
            </w:r>
          </w:p>
        </w:tc>
        <w:tc>
          <w:tcPr>
            <w:tcW w:w="2693" w:type="dxa"/>
            <w:shd w:val="clear" w:color="auto" w:fill="auto"/>
            <w:noWrap/>
          </w:tcPr>
          <w:p w14:paraId="108F1E59" w14:textId="77777777" w:rsidR="003521FE" w:rsidRPr="003A5293" w:rsidRDefault="003521FE" w:rsidP="00753E7D">
            <w:pPr>
              <w:spacing w:line="480" w:lineRule="auto"/>
              <w:jc w:val="center"/>
              <w:rPr>
                <w:rFonts w:ascii="Arial" w:hAnsi="Arial" w:cs="Arial"/>
                <w:b/>
                <w:bCs/>
                <w:color w:val="000000"/>
                <w:sz w:val="20"/>
                <w:szCs w:val="20"/>
                <w:lang w:val="en-US"/>
              </w:rPr>
            </w:pPr>
            <w:r w:rsidRPr="003A5293">
              <w:rPr>
                <w:rFonts w:ascii="Arial" w:hAnsi="Arial" w:cs="Arial"/>
                <w:b/>
                <w:bCs/>
                <w:color w:val="000000"/>
                <w:sz w:val="20"/>
                <w:szCs w:val="20"/>
                <w:lang w:val="en-US"/>
              </w:rPr>
              <w:t>COMPANY</w:t>
            </w:r>
          </w:p>
        </w:tc>
      </w:tr>
      <w:tr w:rsidR="003521FE" w:rsidRPr="003A5293" w14:paraId="20D7D309" w14:textId="77777777" w:rsidTr="003521FE">
        <w:trPr>
          <w:trHeight w:val="315"/>
        </w:trPr>
        <w:tc>
          <w:tcPr>
            <w:tcW w:w="2263" w:type="dxa"/>
            <w:shd w:val="clear" w:color="auto" w:fill="auto"/>
            <w:noWrap/>
          </w:tcPr>
          <w:p w14:paraId="5FF10209" w14:textId="77777777" w:rsidR="003521FE" w:rsidRPr="003A5293" w:rsidRDefault="003521FE" w:rsidP="00753E7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8-oxoG</w:t>
            </w:r>
          </w:p>
        </w:tc>
        <w:tc>
          <w:tcPr>
            <w:tcW w:w="851" w:type="dxa"/>
            <w:shd w:val="clear" w:color="auto" w:fill="auto"/>
            <w:noWrap/>
          </w:tcPr>
          <w:p w14:paraId="3BE80FBA" w14:textId="77777777" w:rsidR="003521FE" w:rsidRPr="003A5293" w:rsidRDefault="003521FE" w:rsidP="00753E7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Mouse</w:t>
            </w:r>
          </w:p>
        </w:tc>
        <w:tc>
          <w:tcPr>
            <w:tcW w:w="1276" w:type="dxa"/>
            <w:shd w:val="clear" w:color="auto" w:fill="auto"/>
            <w:noWrap/>
          </w:tcPr>
          <w:p w14:paraId="50B02118" w14:textId="77777777" w:rsidR="003521FE" w:rsidRPr="003A5293" w:rsidRDefault="003521FE" w:rsidP="00753E7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1:400</w:t>
            </w:r>
          </w:p>
        </w:tc>
        <w:tc>
          <w:tcPr>
            <w:tcW w:w="1559" w:type="dxa"/>
          </w:tcPr>
          <w:p w14:paraId="0FF27D59" w14:textId="77777777" w:rsidR="003521FE" w:rsidRPr="003A5293" w:rsidRDefault="003521FE" w:rsidP="00753E7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ab64548</w:t>
            </w:r>
          </w:p>
        </w:tc>
        <w:tc>
          <w:tcPr>
            <w:tcW w:w="2693" w:type="dxa"/>
            <w:shd w:val="clear" w:color="auto" w:fill="auto"/>
            <w:noWrap/>
          </w:tcPr>
          <w:p w14:paraId="64BF7AD3" w14:textId="77777777" w:rsidR="003521FE" w:rsidRPr="003A5293" w:rsidRDefault="003521FE" w:rsidP="00753E7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r w:rsidR="003521FE" w:rsidRPr="003A5293" w14:paraId="201FC029" w14:textId="77777777" w:rsidTr="003521FE">
        <w:trPr>
          <w:trHeight w:val="315"/>
        </w:trPr>
        <w:tc>
          <w:tcPr>
            <w:tcW w:w="2263" w:type="dxa"/>
            <w:shd w:val="clear" w:color="auto" w:fill="auto"/>
            <w:noWrap/>
          </w:tcPr>
          <w:p w14:paraId="12C7C6B5" w14:textId="77777777" w:rsidR="003521FE" w:rsidRPr="003A5293" w:rsidRDefault="003521FE" w:rsidP="00753E7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actin</w:t>
            </w:r>
          </w:p>
        </w:tc>
        <w:tc>
          <w:tcPr>
            <w:tcW w:w="851" w:type="dxa"/>
            <w:shd w:val="clear" w:color="auto" w:fill="auto"/>
            <w:noWrap/>
          </w:tcPr>
          <w:p w14:paraId="151EB758" w14:textId="77777777" w:rsidR="003521FE" w:rsidRPr="003A5293" w:rsidRDefault="003521FE" w:rsidP="00753E7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566C572D" w14:textId="77777777" w:rsidR="003521FE" w:rsidRPr="003A5293" w:rsidRDefault="003521FE" w:rsidP="00753E7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1:1000</w:t>
            </w:r>
          </w:p>
        </w:tc>
        <w:tc>
          <w:tcPr>
            <w:tcW w:w="1559" w:type="dxa"/>
          </w:tcPr>
          <w:p w14:paraId="155939A2" w14:textId="77777777" w:rsidR="003521FE" w:rsidRPr="003A5293" w:rsidRDefault="003521FE" w:rsidP="00753E7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A-2668</w:t>
            </w:r>
          </w:p>
        </w:tc>
        <w:tc>
          <w:tcPr>
            <w:tcW w:w="2693" w:type="dxa"/>
            <w:shd w:val="clear" w:color="auto" w:fill="auto"/>
            <w:noWrap/>
          </w:tcPr>
          <w:p w14:paraId="1B04BEFD" w14:textId="77777777" w:rsidR="003521FE" w:rsidRPr="003A5293" w:rsidRDefault="003521FE" w:rsidP="00753E7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Sigma-Aldrich</w:t>
            </w:r>
          </w:p>
        </w:tc>
      </w:tr>
      <w:tr w:rsidR="0025251D" w:rsidRPr="003A5293" w14:paraId="6C85F880" w14:textId="77777777" w:rsidTr="003521FE">
        <w:trPr>
          <w:trHeight w:val="315"/>
        </w:trPr>
        <w:tc>
          <w:tcPr>
            <w:tcW w:w="2263" w:type="dxa"/>
            <w:shd w:val="clear" w:color="auto" w:fill="auto"/>
            <w:noWrap/>
          </w:tcPr>
          <w:p w14:paraId="7D1BACF9" w14:textId="77777777" w:rsidR="0025251D" w:rsidRPr="003A5293" w:rsidRDefault="0025251D" w:rsidP="00753E7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Biotinylated CD4</w:t>
            </w:r>
          </w:p>
        </w:tc>
        <w:tc>
          <w:tcPr>
            <w:tcW w:w="851" w:type="dxa"/>
            <w:shd w:val="clear" w:color="auto" w:fill="auto"/>
            <w:noWrap/>
          </w:tcPr>
          <w:p w14:paraId="29C7C29F" w14:textId="77777777" w:rsidR="0025251D" w:rsidRPr="003A5293" w:rsidRDefault="0025251D" w:rsidP="00753E7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Rat</w:t>
            </w:r>
          </w:p>
        </w:tc>
        <w:tc>
          <w:tcPr>
            <w:tcW w:w="1276" w:type="dxa"/>
            <w:shd w:val="clear" w:color="auto" w:fill="auto"/>
            <w:noWrap/>
          </w:tcPr>
          <w:p w14:paraId="6F821278" w14:textId="77777777" w:rsidR="0025251D" w:rsidRPr="003A5293" w:rsidRDefault="0025251D" w:rsidP="00753E7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1:200</w:t>
            </w:r>
          </w:p>
        </w:tc>
        <w:tc>
          <w:tcPr>
            <w:tcW w:w="1559" w:type="dxa"/>
          </w:tcPr>
          <w:p w14:paraId="6C0B7516" w14:textId="77777777" w:rsidR="0025251D" w:rsidRPr="003A5293" w:rsidRDefault="0025251D" w:rsidP="00753E7D">
            <w:pPr>
              <w:spacing w:line="480" w:lineRule="auto"/>
              <w:jc w:val="center"/>
              <w:rPr>
                <w:rFonts w:ascii="Arial" w:hAnsi="Arial" w:cs="Arial"/>
                <w:color w:val="000000"/>
                <w:sz w:val="20"/>
                <w:szCs w:val="20"/>
                <w:lang w:val="en-US"/>
              </w:rPr>
            </w:pPr>
            <w:r w:rsidRPr="0025251D">
              <w:rPr>
                <w:rFonts w:ascii="Arial" w:hAnsi="Arial" w:cs="Arial"/>
                <w:color w:val="000000"/>
                <w:sz w:val="20"/>
                <w:szCs w:val="20"/>
                <w:lang w:val="en-US"/>
              </w:rPr>
              <w:t>100404</w:t>
            </w:r>
          </w:p>
        </w:tc>
        <w:tc>
          <w:tcPr>
            <w:tcW w:w="2693" w:type="dxa"/>
            <w:shd w:val="clear" w:color="auto" w:fill="auto"/>
            <w:noWrap/>
          </w:tcPr>
          <w:p w14:paraId="0E97B1A0" w14:textId="77777777" w:rsidR="0025251D" w:rsidRPr="003A5293" w:rsidRDefault="0025251D" w:rsidP="00753E7D">
            <w:pPr>
              <w:spacing w:line="480" w:lineRule="auto"/>
              <w:jc w:val="center"/>
              <w:rPr>
                <w:rFonts w:ascii="Arial" w:hAnsi="Arial" w:cs="Arial"/>
                <w:color w:val="000000"/>
                <w:sz w:val="20"/>
                <w:szCs w:val="20"/>
                <w:lang w:val="en-US"/>
              </w:rPr>
            </w:pPr>
            <w:proofErr w:type="spellStart"/>
            <w:r>
              <w:rPr>
                <w:rFonts w:ascii="Arial" w:hAnsi="Arial" w:cs="Arial"/>
                <w:color w:val="000000"/>
                <w:sz w:val="20"/>
                <w:szCs w:val="20"/>
                <w:lang w:val="en-US"/>
              </w:rPr>
              <w:t>Biolegend</w:t>
            </w:r>
            <w:proofErr w:type="spellEnd"/>
          </w:p>
        </w:tc>
      </w:tr>
      <w:tr w:rsidR="0025251D" w:rsidRPr="003A5293" w14:paraId="21844BB3" w14:textId="77777777" w:rsidTr="003521FE">
        <w:trPr>
          <w:trHeight w:val="315"/>
        </w:trPr>
        <w:tc>
          <w:tcPr>
            <w:tcW w:w="2263" w:type="dxa"/>
            <w:shd w:val="clear" w:color="auto" w:fill="auto"/>
            <w:noWrap/>
          </w:tcPr>
          <w:p w14:paraId="6A9B3B3C"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Biotinylated CD8</w:t>
            </w:r>
          </w:p>
        </w:tc>
        <w:tc>
          <w:tcPr>
            <w:tcW w:w="851" w:type="dxa"/>
            <w:shd w:val="clear" w:color="auto" w:fill="auto"/>
            <w:noWrap/>
          </w:tcPr>
          <w:p w14:paraId="603C6CFF"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Rat</w:t>
            </w:r>
          </w:p>
        </w:tc>
        <w:tc>
          <w:tcPr>
            <w:tcW w:w="1276" w:type="dxa"/>
            <w:shd w:val="clear" w:color="auto" w:fill="auto"/>
            <w:noWrap/>
          </w:tcPr>
          <w:p w14:paraId="092E6AAD"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1:200</w:t>
            </w:r>
          </w:p>
        </w:tc>
        <w:tc>
          <w:tcPr>
            <w:tcW w:w="1559" w:type="dxa"/>
          </w:tcPr>
          <w:p w14:paraId="54BF21DF" w14:textId="77777777" w:rsidR="0025251D" w:rsidRPr="003A5293" w:rsidRDefault="0025251D" w:rsidP="0025251D">
            <w:pPr>
              <w:spacing w:line="480" w:lineRule="auto"/>
              <w:jc w:val="center"/>
              <w:rPr>
                <w:rFonts w:ascii="Arial" w:hAnsi="Arial" w:cs="Arial"/>
                <w:color w:val="000000"/>
                <w:sz w:val="20"/>
                <w:szCs w:val="20"/>
                <w:lang w:val="en-US"/>
              </w:rPr>
            </w:pPr>
            <w:r w:rsidRPr="0025251D">
              <w:rPr>
                <w:rFonts w:ascii="Arial" w:hAnsi="Arial" w:cs="Arial"/>
                <w:color w:val="000000"/>
                <w:sz w:val="20"/>
                <w:szCs w:val="20"/>
                <w:lang w:val="en-US"/>
              </w:rPr>
              <w:t>100704</w:t>
            </w:r>
          </w:p>
        </w:tc>
        <w:tc>
          <w:tcPr>
            <w:tcW w:w="2693" w:type="dxa"/>
            <w:shd w:val="clear" w:color="auto" w:fill="auto"/>
            <w:noWrap/>
          </w:tcPr>
          <w:p w14:paraId="43835C9A" w14:textId="77777777" w:rsidR="0025251D" w:rsidRPr="003A5293" w:rsidRDefault="0025251D" w:rsidP="0025251D">
            <w:pPr>
              <w:spacing w:line="480" w:lineRule="auto"/>
              <w:jc w:val="center"/>
              <w:rPr>
                <w:rFonts w:ascii="Arial" w:hAnsi="Arial" w:cs="Arial"/>
                <w:color w:val="000000"/>
                <w:sz w:val="20"/>
                <w:szCs w:val="20"/>
                <w:lang w:val="en-US"/>
              </w:rPr>
            </w:pPr>
            <w:proofErr w:type="spellStart"/>
            <w:r>
              <w:rPr>
                <w:rFonts w:ascii="Arial" w:hAnsi="Arial" w:cs="Arial"/>
                <w:color w:val="000000"/>
                <w:sz w:val="20"/>
                <w:szCs w:val="20"/>
                <w:lang w:val="en-US"/>
              </w:rPr>
              <w:t>Biolegend</w:t>
            </w:r>
            <w:proofErr w:type="spellEnd"/>
          </w:p>
        </w:tc>
      </w:tr>
      <w:tr w:rsidR="0025251D" w:rsidRPr="003A5293" w14:paraId="6C2F5009" w14:textId="77777777" w:rsidTr="003521FE">
        <w:trPr>
          <w:trHeight w:val="315"/>
        </w:trPr>
        <w:tc>
          <w:tcPr>
            <w:tcW w:w="2263" w:type="dxa"/>
            <w:shd w:val="clear" w:color="auto" w:fill="auto"/>
            <w:noWrap/>
          </w:tcPr>
          <w:p w14:paraId="6B58DE01"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Biotinylated B220</w:t>
            </w:r>
          </w:p>
        </w:tc>
        <w:tc>
          <w:tcPr>
            <w:tcW w:w="851" w:type="dxa"/>
            <w:shd w:val="clear" w:color="auto" w:fill="auto"/>
            <w:noWrap/>
          </w:tcPr>
          <w:p w14:paraId="4B49AD3F"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Rat</w:t>
            </w:r>
          </w:p>
        </w:tc>
        <w:tc>
          <w:tcPr>
            <w:tcW w:w="1276" w:type="dxa"/>
            <w:shd w:val="clear" w:color="auto" w:fill="auto"/>
            <w:noWrap/>
          </w:tcPr>
          <w:p w14:paraId="64881E7B"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1:200</w:t>
            </w:r>
          </w:p>
        </w:tc>
        <w:tc>
          <w:tcPr>
            <w:tcW w:w="1559" w:type="dxa"/>
          </w:tcPr>
          <w:p w14:paraId="5506314B" w14:textId="77777777" w:rsidR="0025251D" w:rsidRPr="003A5293" w:rsidRDefault="0025251D" w:rsidP="0025251D">
            <w:pPr>
              <w:spacing w:line="480" w:lineRule="auto"/>
              <w:jc w:val="center"/>
              <w:rPr>
                <w:rFonts w:ascii="Arial" w:hAnsi="Arial" w:cs="Arial"/>
                <w:color w:val="000000"/>
                <w:sz w:val="20"/>
                <w:szCs w:val="20"/>
                <w:lang w:val="en-US"/>
              </w:rPr>
            </w:pPr>
            <w:r w:rsidRPr="0025251D">
              <w:rPr>
                <w:rFonts w:ascii="Arial" w:hAnsi="Arial" w:cs="Arial"/>
                <w:color w:val="000000"/>
                <w:sz w:val="20"/>
                <w:szCs w:val="20"/>
                <w:lang w:val="en-US"/>
              </w:rPr>
              <w:t>103204</w:t>
            </w:r>
          </w:p>
        </w:tc>
        <w:tc>
          <w:tcPr>
            <w:tcW w:w="2693" w:type="dxa"/>
            <w:shd w:val="clear" w:color="auto" w:fill="auto"/>
            <w:noWrap/>
          </w:tcPr>
          <w:p w14:paraId="699DF790" w14:textId="77777777" w:rsidR="0025251D" w:rsidRPr="003A5293" w:rsidRDefault="0025251D" w:rsidP="0025251D">
            <w:pPr>
              <w:spacing w:line="480" w:lineRule="auto"/>
              <w:jc w:val="center"/>
              <w:rPr>
                <w:rFonts w:ascii="Arial" w:hAnsi="Arial" w:cs="Arial"/>
                <w:color w:val="000000"/>
                <w:sz w:val="20"/>
                <w:szCs w:val="20"/>
                <w:lang w:val="en-US"/>
              </w:rPr>
            </w:pPr>
            <w:proofErr w:type="spellStart"/>
            <w:r>
              <w:rPr>
                <w:rFonts w:ascii="Arial" w:hAnsi="Arial" w:cs="Arial"/>
                <w:color w:val="000000"/>
                <w:sz w:val="20"/>
                <w:szCs w:val="20"/>
                <w:lang w:val="en-US"/>
              </w:rPr>
              <w:t>Biolegend</w:t>
            </w:r>
            <w:proofErr w:type="spellEnd"/>
          </w:p>
        </w:tc>
      </w:tr>
      <w:tr w:rsidR="0025251D" w:rsidRPr="003A5293" w14:paraId="141F74CB" w14:textId="77777777" w:rsidTr="003521FE">
        <w:trPr>
          <w:trHeight w:val="315"/>
        </w:trPr>
        <w:tc>
          <w:tcPr>
            <w:tcW w:w="2263" w:type="dxa"/>
            <w:shd w:val="clear" w:color="auto" w:fill="auto"/>
            <w:noWrap/>
          </w:tcPr>
          <w:p w14:paraId="6E1E6BB8"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Biotinylated CD11b</w:t>
            </w:r>
          </w:p>
        </w:tc>
        <w:tc>
          <w:tcPr>
            <w:tcW w:w="851" w:type="dxa"/>
            <w:shd w:val="clear" w:color="auto" w:fill="auto"/>
            <w:noWrap/>
          </w:tcPr>
          <w:p w14:paraId="201754D4"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Rat</w:t>
            </w:r>
          </w:p>
        </w:tc>
        <w:tc>
          <w:tcPr>
            <w:tcW w:w="1276" w:type="dxa"/>
            <w:shd w:val="clear" w:color="auto" w:fill="auto"/>
            <w:noWrap/>
          </w:tcPr>
          <w:p w14:paraId="3A1DFA8B"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1:800</w:t>
            </w:r>
          </w:p>
        </w:tc>
        <w:tc>
          <w:tcPr>
            <w:tcW w:w="1559" w:type="dxa"/>
          </w:tcPr>
          <w:p w14:paraId="2B2182CF" w14:textId="77777777" w:rsidR="0025251D" w:rsidRPr="003A5293" w:rsidRDefault="0025251D" w:rsidP="0025251D">
            <w:pPr>
              <w:spacing w:line="480" w:lineRule="auto"/>
              <w:jc w:val="center"/>
              <w:rPr>
                <w:rFonts w:ascii="Arial" w:hAnsi="Arial" w:cs="Arial"/>
                <w:color w:val="000000"/>
                <w:sz w:val="20"/>
                <w:szCs w:val="20"/>
                <w:lang w:val="en-US"/>
              </w:rPr>
            </w:pPr>
            <w:r w:rsidRPr="0025251D">
              <w:rPr>
                <w:rFonts w:ascii="Arial" w:hAnsi="Arial" w:cs="Arial"/>
                <w:color w:val="000000"/>
                <w:sz w:val="20"/>
                <w:szCs w:val="20"/>
                <w:lang w:val="en-US"/>
              </w:rPr>
              <w:t>101204</w:t>
            </w:r>
          </w:p>
        </w:tc>
        <w:tc>
          <w:tcPr>
            <w:tcW w:w="2693" w:type="dxa"/>
            <w:shd w:val="clear" w:color="auto" w:fill="auto"/>
            <w:noWrap/>
          </w:tcPr>
          <w:p w14:paraId="3FA410A6" w14:textId="77777777" w:rsidR="0025251D" w:rsidRPr="003A5293" w:rsidRDefault="0025251D" w:rsidP="0025251D">
            <w:pPr>
              <w:spacing w:line="480" w:lineRule="auto"/>
              <w:jc w:val="center"/>
              <w:rPr>
                <w:rFonts w:ascii="Arial" w:hAnsi="Arial" w:cs="Arial"/>
                <w:color w:val="000000"/>
                <w:sz w:val="20"/>
                <w:szCs w:val="20"/>
                <w:lang w:val="en-US"/>
              </w:rPr>
            </w:pPr>
            <w:proofErr w:type="spellStart"/>
            <w:r>
              <w:rPr>
                <w:rFonts w:ascii="Arial" w:hAnsi="Arial" w:cs="Arial"/>
                <w:color w:val="000000"/>
                <w:sz w:val="20"/>
                <w:szCs w:val="20"/>
                <w:lang w:val="en-US"/>
              </w:rPr>
              <w:t>Biolegend</w:t>
            </w:r>
            <w:proofErr w:type="spellEnd"/>
          </w:p>
        </w:tc>
      </w:tr>
      <w:tr w:rsidR="0025251D" w:rsidRPr="003A5293" w14:paraId="6C8B13BA" w14:textId="77777777" w:rsidTr="003521FE">
        <w:trPr>
          <w:trHeight w:val="315"/>
        </w:trPr>
        <w:tc>
          <w:tcPr>
            <w:tcW w:w="2263" w:type="dxa"/>
            <w:shd w:val="clear" w:color="auto" w:fill="auto"/>
            <w:noWrap/>
          </w:tcPr>
          <w:p w14:paraId="15D043F9"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Biotinylated Gr1</w:t>
            </w:r>
          </w:p>
        </w:tc>
        <w:tc>
          <w:tcPr>
            <w:tcW w:w="851" w:type="dxa"/>
            <w:shd w:val="clear" w:color="auto" w:fill="auto"/>
            <w:noWrap/>
          </w:tcPr>
          <w:p w14:paraId="71CC7215"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Rat</w:t>
            </w:r>
          </w:p>
        </w:tc>
        <w:tc>
          <w:tcPr>
            <w:tcW w:w="1276" w:type="dxa"/>
            <w:shd w:val="clear" w:color="auto" w:fill="auto"/>
            <w:noWrap/>
          </w:tcPr>
          <w:p w14:paraId="4B418C89"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1:400</w:t>
            </w:r>
          </w:p>
        </w:tc>
        <w:tc>
          <w:tcPr>
            <w:tcW w:w="1559" w:type="dxa"/>
          </w:tcPr>
          <w:p w14:paraId="2CB935D1" w14:textId="77777777" w:rsidR="0025251D" w:rsidRPr="003A5293" w:rsidRDefault="0025251D" w:rsidP="0025251D">
            <w:pPr>
              <w:spacing w:line="480" w:lineRule="auto"/>
              <w:jc w:val="center"/>
              <w:rPr>
                <w:rFonts w:ascii="Arial" w:hAnsi="Arial" w:cs="Arial"/>
                <w:color w:val="000000"/>
                <w:sz w:val="20"/>
                <w:szCs w:val="20"/>
                <w:lang w:val="en-US"/>
              </w:rPr>
            </w:pPr>
            <w:r w:rsidRPr="0025251D">
              <w:rPr>
                <w:rFonts w:ascii="Arial" w:hAnsi="Arial" w:cs="Arial"/>
                <w:color w:val="000000"/>
                <w:sz w:val="20"/>
                <w:szCs w:val="20"/>
                <w:lang w:val="en-US"/>
              </w:rPr>
              <w:t>108404</w:t>
            </w:r>
          </w:p>
        </w:tc>
        <w:tc>
          <w:tcPr>
            <w:tcW w:w="2693" w:type="dxa"/>
            <w:shd w:val="clear" w:color="auto" w:fill="auto"/>
            <w:noWrap/>
          </w:tcPr>
          <w:p w14:paraId="585268CB" w14:textId="77777777" w:rsidR="0025251D" w:rsidRPr="003A5293" w:rsidRDefault="0025251D" w:rsidP="0025251D">
            <w:pPr>
              <w:spacing w:line="480" w:lineRule="auto"/>
              <w:jc w:val="center"/>
              <w:rPr>
                <w:rFonts w:ascii="Arial" w:hAnsi="Arial" w:cs="Arial"/>
                <w:color w:val="000000"/>
                <w:sz w:val="20"/>
                <w:szCs w:val="20"/>
                <w:lang w:val="en-US"/>
              </w:rPr>
            </w:pPr>
            <w:proofErr w:type="spellStart"/>
            <w:r>
              <w:rPr>
                <w:rFonts w:ascii="Arial" w:hAnsi="Arial" w:cs="Arial"/>
                <w:color w:val="000000"/>
                <w:sz w:val="20"/>
                <w:szCs w:val="20"/>
                <w:lang w:val="en-US"/>
              </w:rPr>
              <w:t>Biolegend</w:t>
            </w:r>
            <w:proofErr w:type="spellEnd"/>
          </w:p>
        </w:tc>
      </w:tr>
      <w:tr w:rsidR="0025251D" w:rsidRPr="003A5293" w14:paraId="4404C88F" w14:textId="77777777" w:rsidTr="003521FE">
        <w:trPr>
          <w:trHeight w:val="315"/>
        </w:trPr>
        <w:tc>
          <w:tcPr>
            <w:tcW w:w="2263" w:type="dxa"/>
            <w:shd w:val="clear" w:color="auto" w:fill="auto"/>
            <w:noWrap/>
          </w:tcPr>
          <w:p w14:paraId="2E80BA90"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Biotinylated Ter119</w:t>
            </w:r>
          </w:p>
        </w:tc>
        <w:tc>
          <w:tcPr>
            <w:tcW w:w="851" w:type="dxa"/>
            <w:shd w:val="clear" w:color="auto" w:fill="auto"/>
            <w:noWrap/>
          </w:tcPr>
          <w:p w14:paraId="1B81E0AF"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Rat</w:t>
            </w:r>
          </w:p>
        </w:tc>
        <w:tc>
          <w:tcPr>
            <w:tcW w:w="1276" w:type="dxa"/>
            <w:shd w:val="clear" w:color="auto" w:fill="auto"/>
            <w:noWrap/>
          </w:tcPr>
          <w:p w14:paraId="60956028"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1:100</w:t>
            </w:r>
          </w:p>
        </w:tc>
        <w:tc>
          <w:tcPr>
            <w:tcW w:w="1559" w:type="dxa"/>
          </w:tcPr>
          <w:p w14:paraId="5D96BC6A" w14:textId="77777777" w:rsidR="0025251D" w:rsidRPr="003A5293" w:rsidRDefault="0025251D" w:rsidP="0025251D">
            <w:pPr>
              <w:spacing w:line="480" w:lineRule="auto"/>
              <w:jc w:val="center"/>
              <w:rPr>
                <w:rFonts w:ascii="Arial" w:hAnsi="Arial" w:cs="Arial"/>
                <w:color w:val="000000"/>
                <w:sz w:val="20"/>
                <w:szCs w:val="20"/>
                <w:lang w:val="en-US"/>
              </w:rPr>
            </w:pPr>
            <w:r w:rsidRPr="0025251D">
              <w:rPr>
                <w:rFonts w:ascii="Arial" w:hAnsi="Arial" w:cs="Arial"/>
                <w:color w:val="000000"/>
                <w:sz w:val="20"/>
                <w:szCs w:val="20"/>
                <w:lang w:val="en-US"/>
              </w:rPr>
              <w:t>116204</w:t>
            </w:r>
          </w:p>
        </w:tc>
        <w:tc>
          <w:tcPr>
            <w:tcW w:w="2693" w:type="dxa"/>
            <w:shd w:val="clear" w:color="auto" w:fill="auto"/>
            <w:noWrap/>
          </w:tcPr>
          <w:p w14:paraId="7AC71F32" w14:textId="77777777" w:rsidR="0025251D" w:rsidRPr="003A5293" w:rsidRDefault="0025251D" w:rsidP="0025251D">
            <w:pPr>
              <w:spacing w:line="480" w:lineRule="auto"/>
              <w:jc w:val="center"/>
              <w:rPr>
                <w:rFonts w:ascii="Arial" w:hAnsi="Arial" w:cs="Arial"/>
                <w:color w:val="000000"/>
                <w:sz w:val="20"/>
                <w:szCs w:val="20"/>
                <w:lang w:val="en-US"/>
              </w:rPr>
            </w:pPr>
            <w:proofErr w:type="spellStart"/>
            <w:r>
              <w:rPr>
                <w:rFonts w:ascii="Arial" w:hAnsi="Arial" w:cs="Arial"/>
                <w:color w:val="000000"/>
                <w:sz w:val="20"/>
                <w:szCs w:val="20"/>
                <w:lang w:val="en-US"/>
              </w:rPr>
              <w:t>Biolegend</w:t>
            </w:r>
            <w:proofErr w:type="spellEnd"/>
          </w:p>
        </w:tc>
      </w:tr>
      <w:tr w:rsidR="0025251D" w:rsidRPr="003A5293" w14:paraId="7B6A9C28" w14:textId="77777777" w:rsidTr="003521FE">
        <w:trPr>
          <w:trHeight w:val="315"/>
        </w:trPr>
        <w:tc>
          <w:tcPr>
            <w:tcW w:w="2263" w:type="dxa"/>
            <w:shd w:val="clear" w:color="auto" w:fill="auto"/>
            <w:noWrap/>
          </w:tcPr>
          <w:p w14:paraId="068EF87C" w14:textId="77777777" w:rsidR="0025251D" w:rsidRPr="003A5293" w:rsidRDefault="0025251D" w:rsidP="0025251D">
            <w:pPr>
              <w:spacing w:line="480" w:lineRule="auto"/>
              <w:jc w:val="center"/>
              <w:rPr>
                <w:rFonts w:ascii="Arial" w:hAnsi="Arial" w:cs="Arial"/>
                <w:color w:val="000000"/>
                <w:sz w:val="20"/>
                <w:szCs w:val="20"/>
                <w:lang w:val="en-US"/>
              </w:rPr>
            </w:pPr>
            <w:proofErr w:type="spellStart"/>
            <w:r w:rsidRPr="003A5293">
              <w:rPr>
                <w:rFonts w:ascii="Arial" w:hAnsi="Arial" w:cs="Arial"/>
                <w:color w:val="000000"/>
                <w:sz w:val="20"/>
                <w:szCs w:val="20"/>
                <w:lang w:val="en-US"/>
              </w:rPr>
              <w:t>BrdU</w:t>
            </w:r>
            <w:proofErr w:type="spellEnd"/>
            <w:r w:rsidRPr="003A5293">
              <w:rPr>
                <w:rFonts w:ascii="Arial" w:hAnsi="Arial" w:cs="Arial"/>
                <w:color w:val="000000"/>
                <w:sz w:val="20"/>
                <w:szCs w:val="20"/>
                <w:lang w:val="en-US"/>
              </w:rPr>
              <w:t>, FITC</w:t>
            </w:r>
          </w:p>
        </w:tc>
        <w:tc>
          <w:tcPr>
            <w:tcW w:w="851" w:type="dxa"/>
            <w:shd w:val="clear" w:color="auto" w:fill="auto"/>
            <w:noWrap/>
          </w:tcPr>
          <w:p w14:paraId="35DF5B0E"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Mouse</w:t>
            </w:r>
          </w:p>
        </w:tc>
        <w:tc>
          <w:tcPr>
            <w:tcW w:w="1276" w:type="dxa"/>
            <w:shd w:val="clear" w:color="auto" w:fill="auto"/>
            <w:noWrap/>
          </w:tcPr>
          <w:p w14:paraId="54B4EFCB"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1:20</w:t>
            </w:r>
          </w:p>
        </w:tc>
        <w:tc>
          <w:tcPr>
            <w:tcW w:w="1559" w:type="dxa"/>
          </w:tcPr>
          <w:p w14:paraId="3C601211"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11202693001</w:t>
            </w:r>
          </w:p>
        </w:tc>
        <w:tc>
          <w:tcPr>
            <w:tcW w:w="2693" w:type="dxa"/>
            <w:shd w:val="clear" w:color="auto" w:fill="auto"/>
            <w:noWrap/>
          </w:tcPr>
          <w:p w14:paraId="4CA1EF6A"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Roche</w:t>
            </w:r>
          </w:p>
        </w:tc>
      </w:tr>
      <w:tr w:rsidR="0025251D" w:rsidRPr="003A5293" w14:paraId="706D89B7" w14:textId="77777777" w:rsidTr="003521FE">
        <w:trPr>
          <w:trHeight w:val="315"/>
        </w:trPr>
        <w:tc>
          <w:tcPr>
            <w:tcW w:w="2263" w:type="dxa"/>
            <w:shd w:val="clear" w:color="auto" w:fill="auto"/>
            <w:noWrap/>
          </w:tcPr>
          <w:p w14:paraId="43F5A4E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CCL3</w:t>
            </w:r>
          </w:p>
        </w:tc>
        <w:tc>
          <w:tcPr>
            <w:tcW w:w="851" w:type="dxa"/>
            <w:shd w:val="clear" w:color="auto" w:fill="auto"/>
            <w:noWrap/>
          </w:tcPr>
          <w:p w14:paraId="41C38A22"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059702E3"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1:100</w:t>
            </w:r>
          </w:p>
        </w:tc>
        <w:tc>
          <w:tcPr>
            <w:tcW w:w="1559" w:type="dxa"/>
          </w:tcPr>
          <w:p w14:paraId="0D566B5A"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ab32609</w:t>
            </w:r>
          </w:p>
        </w:tc>
        <w:tc>
          <w:tcPr>
            <w:tcW w:w="2693" w:type="dxa"/>
            <w:shd w:val="clear" w:color="auto" w:fill="auto"/>
            <w:noWrap/>
          </w:tcPr>
          <w:p w14:paraId="4761079A"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r w:rsidR="005D762D" w:rsidRPr="003A5293" w14:paraId="2D68A6A7" w14:textId="77777777" w:rsidTr="003521FE">
        <w:trPr>
          <w:trHeight w:val="315"/>
        </w:trPr>
        <w:tc>
          <w:tcPr>
            <w:tcW w:w="2263" w:type="dxa"/>
            <w:shd w:val="clear" w:color="auto" w:fill="auto"/>
            <w:noWrap/>
          </w:tcPr>
          <w:p w14:paraId="35492B77" w14:textId="77777777" w:rsidR="005D762D" w:rsidRPr="003A5293"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CD150, PE</w:t>
            </w:r>
          </w:p>
        </w:tc>
        <w:tc>
          <w:tcPr>
            <w:tcW w:w="851" w:type="dxa"/>
            <w:shd w:val="clear" w:color="auto" w:fill="auto"/>
            <w:noWrap/>
          </w:tcPr>
          <w:p w14:paraId="531542FB" w14:textId="77777777" w:rsidR="005D762D" w:rsidRPr="003A5293"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Rat</w:t>
            </w:r>
          </w:p>
        </w:tc>
        <w:tc>
          <w:tcPr>
            <w:tcW w:w="1276" w:type="dxa"/>
            <w:shd w:val="clear" w:color="auto" w:fill="auto"/>
            <w:noWrap/>
          </w:tcPr>
          <w:p w14:paraId="71B76D59" w14:textId="77777777" w:rsidR="005D762D" w:rsidRPr="003A5293"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1:100</w:t>
            </w:r>
          </w:p>
        </w:tc>
        <w:tc>
          <w:tcPr>
            <w:tcW w:w="1559" w:type="dxa"/>
          </w:tcPr>
          <w:p w14:paraId="24EAEB31" w14:textId="77777777" w:rsidR="005D762D" w:rsidRPr="003A5293" w:rsidRDefault="005D762D" w:rsidP="0025251D">
            <w:pPr>
              <w:spacing w:line="480" w:lineRule="auto"/>
              <w:jc w:val="center"/>
              <w:rPr>
                <w:rFonts w:ascii="Arial" w:hAnsi="Arial" w:cs="Arial"/>
                <w:color w:val="000000"/>
                <w:sz w:val="20"/>
                <w:szCs w:val="20"/>
                <w:lang w:val="en-US"/>
              </w:rPr>
            </w:pPr>
            <w:r w:rsidRPr="005D762D">
              <w:rPr>
                <w:rFonts w:ascii="Arial" w:hAnsi="Arial" w:cs="Arial"/>
                <w:color w:val="000000"/>
                <w:sz w:val="20"/>
                <w:szCs w:val="20"/>
                <w:lang w:val="en-US"/>
              </w:rPr>
              <w:t>115904</w:t>
            </w:r>
          </w:p>
        </w:tc>
        <w:tc>
          <w:tcPr>
            <w:tcW w:w="2693" w:type="dxa"/>
            <w:shd w:val="clear" w:color="auto" w:fill="auto"/>
            <w:noWrap/>
          </w:tcPr>
          <w:p w14:paraId="634D7404" w14:textId="77777777" w:rsidR="005D762D" w:rsidRPr="003A5293" w:rsidRDefault="005D762D" w:rsidP="0025251D">
            <w:pPr>
              <w:spacing w:line="480" w:lineRule="auto"/>
              <w:jc w:val="center"/>
              <w:rPr>
                <w:rFonts w:ascii="Arial" w:hAnsi="Arial" w:cs="Arial"/>
                <w:color w:val="000000"/>
                <w:sz w:val="20"/>
                <w:szCs w:val="20"/>
                <w:lang w:val="en-US"/>
              </w:rPr>
            </w:pPr>
            <w:proofErr w:type="spellStart"/>
            <w:r w:rsidRPr="005D762D">
              <w:rPr>
                <w:rFonts w:ascii="Arial" w:hAnsi="Arial" w:cs="Arial"/>
                <w:color w:val="000000"/>
                <w:sz w:val="20"/>
                <w:szCs w:val="20"/>
                <w:lang w:val="en-US"/>
              </w:rPr>
              <w:t>Biolegend</w:t>
            </w:r>
            <w:proofErr w:type="spellEnd"/>
          </w:p>
        </w:tc>
      </w:tr>
      <w:tr w:rsidR="005D762D" w:rsidRPr="003A5293" w14:paraId="038B9E3D" w14:textId="77777777" w:rsidTr="003521FE">
        <w:trPr>
          <w:trHeight w:val="315"/>
        </w:trPr>
        <w:tc>
          <w:tcPr>
            <w:tcW w:w="2263" w:type="dxa"/>
            <w:shd w:val="clear" w:color="auto" w:fill="auto"/>
            <w:noWrap/>
          </w:tcPr>
          <w:p w14:paraId="22CE2F69" w14:textId="77777777" w:rsidR="005D762D"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CD16, APC</w:t>
            </w:r>
          </w:p>
        </w:tc>
        <w:tc>
          <w:tcPr>
            <w:tcW w:w="851" w:type="dxa"/>
            <w:shd w:val="clear" w:color="auto" w:fill="auto"/>
            <w:noWrap/>
          </w:tcPr>
          <w:p w14:paraId="5AFD8158" w14:textId="77777777" w:rsidR="005D762D"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Rat</w:t>
            </w:r>
          </w:p>
        </w:tc>
        <w:tc>
          <w:tcPr>
            <w:tcW w:w="1276" w:type="dxa"/>
            <w:shd w:val="clear" w:color="auto" w:fill="auto"/>
            <w:noWrap/>
          </w:tcPr>
          <w:p w14:paraId="4A5801A2" w14:textId="77777777" w:rsidR="005D762D"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1:200</w:t>
            </w:r>
          </w:p>
        </w:tc>
        <w:tc>
          <w:tcPr>
            <w:tcW w:w="1559" w:type="dxa"/>
          </w:tcPr>
          <w:p w14:paraId="2D437693" w14:textId="77777777" w:rsidR="005D762D" w:rsidRPr="005D762D" w:rsidRDefault="005D762D" w:rsidP="0025251D">
            <w:pPr>
              <w:spacing w:line="480" w:lineRule="auto"/>
              <w:jc w:val="center"/>
              <w:rPr>
                <w:rFonts w:ascii="Arial" w:hAnsi="Arial" w:cs="Arial"/>
                <w:color w:val="000000"/>
                <w:sz w:val="20"/>
                <w:szCs w:val="20"/>
                <w:lang w:val="en-US"/>
              </w:rPr>
            </w:pPr>
            <w:r w:rsidRPr="005D762D">
              <w:rPr>
                <w:rFonts w:ascii="Arial" w:hAnsi="Arial" w:cs="Arial"/>
                <w:color w:val="000000"/>
                <w:sz w:val="20"/>
                <w:szCs w:val="20"/>
                <w:lang w:val="en-US"/>
              </w:rPr>
              <w:t>158005</w:t>
            </w:r>
          </w:p>
        </w:tc>
        <w:tc>
          <w:tcPr>
            <w:tcW w:w="2693" w:type="dxa"/>
            <w:shd w:val="clear" w:color="auto" w:fill="auto"/>
            <w:noWrap/>
          </w:tcPr>
          <w:p w14:paraId="1028AD43" w14:textId="77777777" w:rsidR="005D762D" w:rsidRPr="005D762D" w:rsidRDefault="005D762D" w:rsidP="0025251D">
            <w:pPr>
              <w:spacing w:line="480" w:lineRule="auto"/>
              <w:jc w:val="center"/>
              <w:rPr>
                <w:rFonts w:ascii="Arial" w:hAnsi="Arial" w:cs="Arial"/>
                <w:color w:val="000000"/>
                <w:sz w:val="20"/>
                <w:szCs w:val="20"/>
                <w:lang w:val="en-US"/>
              </w:rPr>
            </w:pPr>
            <w:proofErr w:type="spellStart"/>
            <w:r w:rsidRPr="005D762D">
              <w:rPr>
                <w:rFonts w:ascii="Arial" w:hAnsi="Arial" w:cs="Arial"/>
                <w:color w:val="000000"/>
                <w:sz w:val="20"/>
                <w:szCs w:val="20"/>
                <w:lang w:val="en-US"/>
              </w:rPr>
              <w:t>Biolegend</w:t>
            </w:r>
            <w:proofErr w:type="spellEnd"/>
          </w:p>
        </w:tc>
      </w:tr>
      <w:tr w:rsidR="0025251D" w:rsidRPr="003A5293" w14:paraId="5CE04BD6" w14:textId="77777777" w:rsidTr="003521FE">
        <w:trPr>
          <w:trHeight w:val="315"/>
        </w:trPr>
        <w:tc>
          <w:tcPr>
            <w:tcW w:w="2263" w:type="dxa"/>
            <w:shd w:val="clear" w:color="auto" w:fill="auto"/>
            <w:noWrap/>
          </w:tcPr>
          <w:p w14:paraId="1E4234CC"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CD34</w:t>
            </w:r>
          </w:p>
        </w:tc>
        <w:tc>
          <w:tcPr>
            <w:tcW w:w="851" w:type="dxa"/>
            <w:shd w:val="clear" w:color="auto" w:fill="auto"/>
            <w:noWrap/>
          </w:tcPr>
          <w:p w14:paraId="6CF03725"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Mouse</w:t>
            </w:r>
          </w:p>
        </w:tc>
        <w:tc>
          <w:tcPr>
            <w:tcW w:w="1276" w:type="dxa"/>
            <w:shd w:val="clear" w:color="auto" w:fill="auto"/>
            <w:noWrap/>
          </w:tcPr>
          <w:p w14:paraId="568079C1"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1:500</w:t>
            </w:r>
          </w:p>
        </w:tc>
        <w:tc>
          <w:tcPr>
            <w:tcW w:w="1559" w:type="dxa"/>
          </w:tcPr>
          <w:p w14:paraId="19CBCFEF"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ab762</w:t>
            </w:r>
          </w:p>
        </w:tc>
        <w:tc>
          <w:tcPr>
            <w:tcW w:w="2693" w:type="dxa"/>
            <w:shd w:val="clear" w:color="auto" w:fill="auto"/>
            <w:noWrap/>
          </w:tcPr>
          <w:p w14:paraId="3AF4D01A"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r w:rsidR="0025251D" w:rsidRPr="003A5293" w14:paraId="3D588F45" w14:textId="77777777" w:rsidTr="003521FE">
        <w:trPr>
          <w:trHeight w:val="315"/>
        </w:trPr>
        <w:tc>
          <w:tcPr>
            <w:tcW w:w="2263" w:type="dxa"/>
            <w:shd w:val="clear" w:color="auto" w:fill="auto"/>
            <w:noWrap/>
          </w:tcPr>
          <w:p w14:paraId="23CA3B2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CD34, FITC</w:t>
            </w:r>
          </w:p>
        </w:tc>
        <w:tc>
          <w:tcPr>
            <w:tcW w:w="851" w:type="dxa"/>
            <w:shd w:val="clear" w:color="auto" w:fill="auto"/>
            <w:noWrap/>
          </w:tcPr>
          <w:p w14:paraId="204BAB39"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Mouse</w:t>
            </w:r>
          </w:p>
        </w:tc>
        <w:tc>
          <w:tcPr>
            <w:tcW w:w="1276" w:type="dxa"/>
            <w:shd w:val="clear" w:color="auto" w:fill="auto"/>
            <w:noWrap/>
          </w:tcPr>
          <w:p w14:paraId="11F466B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1:20</w:t>
            </w:r>
          </w:p>
        </w:tc>
        <w:tc>
          <w:tcPr>
            <w:tcW w:w="1559" w:type="dxa"/>
          </w:tcPr>
          <w:p w14:paraId="6814B552"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CD34-581-01</w:t>
            </w:r>
          </w:p>
        </w:tc>
        <w:tc>
          <w:tcPr>
            <w:tcW w:w="2693" w:type="dxa"/>
            <w:shd w:val="clear" w:color="auto" w:fill="auto"/>
            <w:noWrap/>
          </w:tcPr>
          <w:p w14:paraId="7D7CF1E3"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Thermo Fisher</w:t>
            </w:r>
          </w:p>
        </w:tc>
      </w:tr>
      <w:tr w:rsidR="0025251D" w:rsidRPr="003A5293" w14:paraId="77796FE8" w14:textId="77777777" w:rsidTr="003521FE">
        <w:trPr>
          <w:trHeight w:val="315"/>
        </w:trPr>
        <w:tc>
          <w:tcPr>
            <w:tcW w:w="2263" w:type="dxa"/>
            <w:shd w:val="clear" w:color="auto" w:fill="auto"/>
            <w:noWrap/>
          </w:tcPr>
          <w:p w14:paraId="097D2303"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CD41a, PerCP-Cy5.5</w:t>
            </w:r>
          </w:p>
        </w:tc>
        <w:tc>
          <w:tcPr>
            <w:tcW w:w="851" w:type="dxa"/>
            <w:shd w:val="clear" w:color="auto" w:fill="auto"/>
            <w:noWrap/>
          </w:tcPr>
          <w:p w14:paraId="20B4CE82"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Mouse</w:t>
            </w:r>
          </w:p>
        </w:tc>
        <w:tc>
          <w:tcPr>
            <w:tcW w:w="1276" w:type="dxa"/>
            <w:shd w:val="clear" w:color="auto" w:fill="auto"/>
            <w:noWrap/>
          </w:tcPr>
          <w:p w14:paraId="53630F57"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w:t>
            </w:r>
          </w:p>
        </w:tc>
        <w:tc>
          <w:tcPr>
            <w:tcW w:w="1559" w:type="dxa"/>
          </w:tcPr>
          <w:p w14:paraId="1A506CB3"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333148</w:t>
            </w:r>
          </w:p>
        </w:tc>
        <w:tc>
          <w:tcPr>
            <w:tcW w:w="2693" w:type="dxa"/>
            <w:shd w:val="clear" w:color="auto" w:fill="auto"/>
            <w:noWrap/>
          </w:tcPr>
          <w:p w14:paraId="1A66DEAE"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BD Biosciences</w:t>
            </w:r>
          </w:p>
        </w:tc>
      </w:tr>
      <w:tr w:rsidR="0025251D" w:rsidRPr="003A5293" w14:paraId="698DA363" w14:textId="77777777" w:rsidTr="003521FE">
        <w:trPr>
          <w:trHeight w:val="315"/>
        </w:trPr>
        <w:tc>
          <w:tcPr>
            <w:tcW w:w="2263" w:type="dxa"/>
            <w:shd w:val="clear" w:color="auto" w:fill="auto"/>
            <w:noWrap/>
          </w:tcPr>
          <w:p w14:paraId="08C7080D"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 xml:space="preserve">CD41, </w:t>
            </w:r>
            <w:r w:rsidRPr="00840267">
              <w:rPr>
                <w:rFonts w:ascii="Arial" w:hAnsi="Arial" w:cs="Arial"/>
                <w:color w:val="000000"/>
                <w:sz w:val="20"/>
                <w:szCs w:val="20"/>
                <w:lang w:val="en-US"/>
              </w:rPr>
              <w:t>BV 605</w:t>
            </w:r>
          </w:p>
        </w:tc>
        <w:tc>
          <w:tcPr>
            <w:tcW w:w="851" w:type="dxa"/>
            <w:shd w:val="clear" w:color="auto" w:fill="auto"/>
            <w:noWrap/>
          </w:tcPr>
          <w:p w14:paraId="568C9C6F"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Rat</w:t>
            </w:r>
          </w:p>
        </w:tc>
        <w:tc>
          <w:tcPr>
            <w:tcW w:w="1276" w:type="dxa"/>
            <w:shd w:val="clear" w:color="auto" w:fill="auto"/>
            <w:noWrap/>
          </w:tcPr>
          <w:p w14:paraId="6B5A33A0"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1:100</w:t>
            </w:r>
          </w:p>
        </w:tc>
        <w:tc>
          <w:tcPr>
            <w:tcW w:w="1559" w:type="dxa"/>
          </w:tcPr>
          <w:p w14:paraId="7E7B7124" w14:textId="77777777" w:rsidR="0025251D" w:rsidRPr="003A5293" w:rsidRDefault="0025251D" w:rsidP="0025251D">
            <w:pPr>
              <w:spacing w:line="480" w:lineRule="auto"/>
              <w:jc w:val="center"/>
              <w:rPr>
                <w:rFonts w:ascii="Arial" w:hAnsi="Arial" w:cs="Arial"/>
                <w:color w:val="000000"/>
                <w:sz w:val="20"/>
                <w:szCs w:val="20"/>
                <w:lang w:val="en-US"/>
              </w:rPr>
            </w:pPr>
            <w:r w:rsidRPr="00840267">
              <w:rPr>
                <w:rFonts w:ascii="Arial" w:hAnsi="Arial" w:cs="Arial"/>
                <w:color w:val="000000"/>
                <w:sz w:val="20"/>
                <w:szCs w:val="20"/>
                <w:lang w:val="en-US"/>
              </w:rPr>
              <w:t>133921</w:t>
            </w:r>
          </w:p>
        </w:tc>
        <w:tc>
          <w:tcPr>
            <w:tcW w:w="2693" w:type="dxa"/>
            <w:shd w:val="clear" w:color="auto" w:fill="auto"/>
            <w:noWrap/>
          </w:tcPr>
          <w:p w14:paraId="60B06132" w14:textId="77777777" w:rsidR="0025251D" w:rsidRPr="003A5293" w:rsidRDefault="0025251D" w:rsidP="0025251D">
            <w:pPr>
              <w:spacing w:line="480" w:lineRule="auto"/>
              <w:jc w:val="center"/>
              <w:rPr>
                <w:rFonts w:ascii="Arial" w:hAnsi="Arial" w:cs="Arial"/>
                <w:color w:val="000000"/>
                <w:sz w:val="20"/>
                <w:szCs w:val="20"/>
                <w:lang w:val="en-US"/>
              </w:rPr>
            </w:pPr>
            <w:proofErr w:type="spellStart"/>
            <w:r>
              <w:rPr>
                <w:rFonts w:ascii="Arial" w:hAnsi="Arial" w:cs="Arial"/>
                <w:color w:val="000000"/>
                <w:sz w:val="20"/>
                <w:szCs w:val="20"/>
                <w:lang w:val="en-US"/>
              </w:rPr>
              <w:t>Biolegend</w:t>
            </w:r>
            <w:proofErr w:type="spellEnd"/>
          </w:p>
        </w:tc>
      </w:tr>
      <w:tr w:rsidR="0025251D" w:rsidRPr="003A5293" w14:paraId="0C18D348" w14:textId="77777777" w:rsidTr="003521FE">
        <w:trPr>
          <w:trHeight w:val="315"/>
        </w:trPr>
        <w:tc>
          <w:tcPr>
            <w:tcW w:w="2263" w:type="dxa"/>
            <w:shd w:val="clear" w:color="auto" w:fill="auto"/>
            <w:noWrap/>
          </w:tcPr>
          <w:p w14:paraId="79C2003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CD43, APC</w:t>
            </w:r>
          </w:p>
        </w:tc>
        <w:tc>
          <w:tcPr>
            <w:tcW w:w="851" w:type="dxa"/>
            <w:shd w:val="clear" w:color="auto" w:fill="auto"/>
            <w:noWrap/>
          </w:tcPr>
          <w:p w14:paraId="228EB2AB"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Mouse</w:t>
            </w:r>
          </w:p>
        </w:tc>
        <w:tc>
          <w:tcPr>
            <w:tcW w:w="1276" w:type="dxa"/>
            <w:shd w:val="clear" w:color="auto" w:fill="auto"/>
            <w:noWrap/>
          </w:tcPr>
          <w:p w14:paraId="576913A0"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1:20</w:t>
            </w:r>
          </w:p>
        </w:tc>
        <w:tc>
          <w:tcPr>
            <w:tcW w:w="1559" w:type="dxa"/>
          </w:tcPr>
          <w:p w14:paraId="7522C23B"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MHCD4305</w:t>
            </w:r>
          </w:p>
        </w:tc>
        <w:tc>
          <w:tcPr>
            <w:tcW w:w="2693" w:type="dxa"/>
            <w:shd w:val="clear" w:color="auto" w:fill="auto"/>
            <w:noWrap/>
          </w:tcPr>
          <w:p w14:paraId="51823ADB"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Thermo Fisher</w:t>
            </w:r>
          </w:p>
        </w:tc>
      </w:tr>
      <w:tr w:rsidR="005D762D" w:rsidRPr="003A5293" w14:paraId="05C99476" w14:textId="77777777" w:rsidTr="003521FE">
        <w:trPr>
          <w:trHeight w:val="315"/>
        </w:trPr>
        <w:tc>
          <w:tcPr>
            <w:tcW w:w="2263" w:type="dxa"/>
            <w:shd w:val="clear" w:color="auto" w:fill="auto"/>
            <w:noWrap/>
          </w:tcPr>
          <w:p w14:paraId="2F6E1DF7" w14:textId="77777777" w:rsidR="005D762D" w:rsidRPr="003A5293"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CD48, FITC</w:t>
            </w:r>
          </w:p>
        </w:tc>
        <w:tc>
          <w:tcPr>
            <w:tcW w:w="851" w:type="dxa"/>
            <w:shd w:val="clear" w:color="auto" w:fill="auto"/>
            <w:noWrap/>
          </w:tcPr>
          <w:p w14:paraId="2E805809" w14:textId="77777777" w:rsidR="005D762D" w:rsidRPr="003A5293"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Rat</w:t>
            </w:r>
          </w:p>
        </w:tc>
        <w:tc>
          <w:tcPr>
            <w:tcW w:w="1276" w:type="dxa"/>
            <w:shd w:val="clear" w:color="auto" w:fill="auto"/>
            <w:noWrap/>
          </w:tcPr>
          <w:p w14:paraId="0CBE19CE" w14:textId="77777777" w:rsidR="005D762D" w:rsidRPr="003A5293"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1:100</w:t>
            </w:r>
          </w:p>
        </w:tc>
        <w:tc>
          <w:tcPr>
            <w:tcW w:w="1559" w:type="dxa"/>
          </w:tcPr>
          <w:p w14:paraId="73F0A0B7" w14:textId="77777777" w:rsidR="005D762D" w:rsidRPr="003A5293" w:rsidRDefault="005D762D" w:rsidP="0025251D">
            <w:pPr>
              <w:spacing w:line="480" w:lineRule="auto"/>
              <w:jc w:val="center"/>
              <w:rPr>
                <w:rFonts w:ascii="Arial" w:hAnsi="Arial" w:cs="Arial"/>
                <w:color w:val="000000"/>
                <w:sz w:val="20"/>
                <w:szCs w:val="20"/>
                <w:lang w:val="en-US"/>
              </w:rPr>
            </w:pPr>
            <w:r w:rsidRPr="005D762D">
              <w:rPr>
                <w:rFonts w:ascii="Arial" w:hAnsi="Arial" w:cs="Arial"/>
                <w:color w:val="000000"/>
                <w:sz w:val="20"/>
                <w:szCs w:val="20"/>
                <w:lang w:val="en-US"/>
              </w:rPr>
              <w:t>11-0481-81</w:t>
            </w:r>
          </w:p>
        </w:tc>
        <w:tc>
          <w:tcPr>
            <w:tcW w:w="2693" w:type="dxa"/>
            <w:shd w:val="clear" w:color="auto" w:fill="auto"/>
            <w:noWrap/>
          </w:tcPr>
          <w:p w14:paraId="7152851D" w14:textId="77777777" w:rsidR="005D762D" w:rsidRPr="003A5293" w:rsidRDefault="005D762D" w:rsidP="0025251D">
            <w:pPr>
              <w:spacing w:line="480" w:lineRule="auto"/>
              <w:jc w:val="center"/>
              <w:rPr>
                <w:rFonts w:ascii="Arial" w:hAnsi="Arial" w:cs="Arial"/>
                <w:color w:val="000000"/>
                <w:sz w:val="20"/>
                <w:szCs w:val="20"/>
                <w:lang w:val="en-US"/>
              </w:rPr>
            </w:pPr>
            <w:proofErr w:type="spellStart"/>
            <w:r w:rsidRPr="005D762D">
              <w:rPr>
                <w:rFonts w:ascii="Arial" w:hAnsi="Arial" w:cs="Arial"/>
                <w:color w:val="000000"/>
                <w:sz w:val="20"/>
                <w:szCs w:val="20"/>
                <w:lang w:val="en-US"/>
              </w:rPr>
              <w:t>eBiosciences</w:t>
            </w:r>
            <w:proofErr w:type="spellEnd"/>
          </w:p>
        </w:tc>
      </w:tr>
      <w:tr w:rsidR="005D762D" w:rsidRPr="003A5293" w14:paraId="1F0042D2" w14:textId="77777777" w:rsidTr="003521FE">
        <w:trPr>
          <w:trHeight w:val="315"/>
        </w:trPr>
        <w:tc>
          <w:tcPr>
            <w:tcW w:w="2263" w:type="dxa"/>
            <w:shd w:val="clear" w:color="auto" w:fill="auto"/>
            <w:noWrap/>
          </w:tcPr>
          <w:p w14:paraId="21512E23" w14:textId="77777777" w:rsidR="005D762D" w:rsidRPr="003A5293"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c-Kit, BV711</w:t>
            </w:r>
          </w:p>
        </w:tc>
        <w:tc>
          <w:tcPr>
            <w:tcW w:w="851" w:type="dxa"/>
            <w:shd w:val="clear" w:color="auto" w:fill="auto"/>
            <w:noWrap/>
          </w:tcPr>
          <w:p w14:paraId="4263C231" w14:textId="77777777" w:rsidR="005D762D" w:rsidRPr="003A5293"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Rat</w:t>
            </w:r>
          </w:p>
        </w:tc>
        <w:tc>
          <w:tcPr>
            <w:tcW w:w="1276" w:type="dxa"/>
            <w:shd w:val="clear" w:color="auto" w:fill="auto"/>
            <w:noWrap/>
          </w:tcPr>
          <w:p w14:paraId="081DA49A" w14:textId="77777777" w:rsidR="005D762D" w:rsidRPr="003A5293"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1:100</w:t>
            </w:r>
          </w:p>
        </w:tc>
        <w:tc>
          <w:tcPr>
            <w:tcW w:w="1559" w:type="dxa"/>
          </w:tcPr>
          <w:p w14:paraId="74405067" w14:textId="77777777" w:rsidR="005D762D" w:rsidRPr="003A5293" w:rsidRDefault="005D762D" w:rsidP="0025251D">
            <w:pPr>
              <w:spacing w:line="480" w:lineRule="auto"/>
              <w:jc w:val="center"/>
              <w:rPr>
                <w:rFonts w:ascii="Arial" w:hAnsi="Arial" w:cs="Arial"/>
                <w:color w:val="000000"/>
                <w:sz w:val="20"/>
                <w:szCs w:val="20"/>
                <w:lang w:val="en-US"/>
              </w:rPr>
            </w:pPr>
            <w:r w:rsidRPr="005D762D">
              <w:rPr>
                <w:rFonts w:ascii="Arial" w:hAnsi="Arial" w:cs="Arial"/>
                <w:color w:val="000000"/>
                <w:sz w:val="20"/>
                <w:szCs w:val="20"/>
                <w:lang w:val="en-US"/>
              </w:rPr>
              <w:t>105835</w:t>
            </w:r>
          </w:p>
        </w:tc>
        <w:tc>
          <w:tcPr>
            <w:tcW w:w="2693" w:type="dxa"/>
            <w:shd w:val="clear" w:color="auto" w:fill="auto"/>
            <w:noWrap/>
          </w:tcPr>
          <w:p w14:paraId="625982EA" w14:textId="77777777" w:rsidR="005D762D" w:rsidRPr="003A5293" w:rsidRDefault="005D762D" w:rsidP="0025251D">
            <w:pPr>
              <w:spacing w:line="480" w:lineRule="auto"/>
              <w:jc w:val="center"/>
              <w:rPr>
                <w:rFonts w:ascii="Arial" w:hAnsi="Arial" w:cs="Arial"/>
                <w:color w:val="000000"/>
                <w:sz w:val="20"/>
                <w:szCs w:val="20"/>
                <w:lang w:val="en-US"/>
              </w:rPr>
            </w:pPr>
            <w:proofErr w:type="spellStart"/>
            <w:r>
              <w:rPr>
                <w:rFonts w:ascii="Arial" w:hAnsi="Arial" w:cs="Arial"/>
                <w:color w:val="000000"/>
                <w:sz w:val="20"/>
                <w:szCs w:val="20"/>
                <w:lang w:val="en-US"/>
              </w:rPr>
              <w:t>Biolegend</w:t>
            </w:r>
            <w:proofErr w:type="spellEnd"/>
          </w:p>
        </w:tc>
      </w:tr>
      <w:tr w:rsidR="0025251D" w:rsidRPr="003A5293" w14:paraId="31F02F39" w14:textId="77777777" w:rsidTr="003521FE">
        <w:trPr>
          <w:trHeight w:val="315"/>
        </w:trPr>
        <w:tc>
          <w:tcPr>
            <w:tcW w:w="2263" w:type="dxa"/>
            <w:shd w:val="clear" w:color="auto" w:fill="auto"/>
            <w:noWrap/>
          </w:tcPr>
          <w:p w14:paraId="681036C5"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CXCL10</w:t>
            </w:r>
          </w:p>
        </w:tc>
        <w:tc>
          <w:tcPr>
            <w:tcW w:w="851" w:type="dxa"/>
            <w:shd w:val="clear" w:color="auto" w:fill="auto"/>
            <w:noWrap/>
          </w:tcPr>
          <w:p w14:paraId="5112248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400FCCF2"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1:100</w:t>
            </w:r>
          </w:p>
        </w:tc>
        <w:tc>
          <w:tcPr>
            <w:tcW w:w="1559" w:type="dxa"/>
          </w:tcPr>
          <w:p w14:paraId="39363675"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ab9807</w:t>
            </w:r>
          </w:p>
        </w:tc>
        <w:tc>
          <w:tcPr>
            <w:tcW w:w="2693" w:type="dxa"/>
            <w:shd w:val="clear" w:color="auto" w:fill="auto"/>
            <w:noWrap/>
          </w:tcPr>
          <w:p w14:paraId="6FD3F879"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r w:rsidR="0025251D" w:rsidRPr="003A5293" w14:paraId="3567B2AE" w14:textId="77777777" w:rsidTr="003521FE">
        <w:trPr>
          <w:trHeight w:val="315"/>
        </w:trPr>
        <w:tc>
          <w:tcPr>
            <w:tcW w:w="2263" w:type="dxa"/>
            <w:shd w:val="clear" w:color="auto" w:fill="auto"/>
            <w:noWrap/>
          </w:tcPr>
          <w:p w14:paraId="66505B85"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CXCL9</w:t>
            </w:r>
          </w:p>
        </w:tc>
        <w:tc>
          <w:tcPr>
            <w:tcW w:w="851" w:type="dxa"/>
            <w:shd w:val="clear" w:color="auto" w:fill="auto"/>
            <w:noWrap/>
          </w:tcPr>
          <w:p w14:paraId="33D3F7E6"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65DA12B0"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1:1000</w:t>
            </w:r>
          </w:p>
        </w:tc>
        <w:tc>
          <w:tcPr>
            <w:tcW w:w="1559" w:type="dxa"/>
          </w:tcPr>
          <w:p w14:paraId="7A0BC57F"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ab9720</w:t>
            </w:r>
          </w:p>
        </w:tc>
        <w:tc>
          <w:tcPr>
            <w:tcW w:w="2693" w:type="dxa"/>
            <w:shd w:val="clear" w:color="auto" w:fill="auto"/>
            <w:noWrap/>
          </w:tcPr>
          <w:p w14:paraId="30A497FE"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r w:rsidR="0025251D" w:rsidRPr="003A5293" w14:paraId="7E7693C8" w14:textId="77777777" w:rsidTr="003521FE">
        <w:trPr>
          <w:trHeight w:val="315"/>
        </w:trPr>
        <w:tc>
          <w:tcPr>
            <w:tcW w:w="2263" w:type="dxa"/>
            <w:shd w:val="clear" w:color="auto" w:fill="auto"/>
            <w:noWrap/>
          </w:tcPr>
          <w:p w14:paraId="53B720B3"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DUSP1</w:t>
            </w:r>
          </w:p>
        </w:tc>
        <w:tc>
          <w:tcPr>
            <w:tcW w:w="851" w:type="dxa"/>
            <w:shd w:val="clear" w:color="auto" w:fill="auto"/>
            <w:noWrap/>
          </w:tcPr>
          <w:p w14:paraId="336E618C"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2CA10EA1"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1:50</w:t>
            </w:r>
          </w:p>
        </w:tc>
        <w:tc>
          <w:tcPr>
            <w:tcW w:w="1559" w:type="dxa"/>
          </w:tcPr>
          <w:p w14:paraId="39BAF701"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ab61201</w:t>
            </w:r>
          </w:p>
        </w:tc>
        <w:tc>
          <w:tcPr>
            <w:tcW w:w="2693" w:type="dxa"/>
            <w:shd w:val="clear" w:color="auto" w:fill="auto"/>
            <w:noWrap/>
          </w:tcPr>
          <w:p w14:paraId="54A2A3E6"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r w:rsidR="0025251D" w:rsidRPr="003A5293" w14:paraId="4E453053" w14:textId="77777777" w:rsidTr="003521FE">
        <w:trPr>
          <w:trHeight w:val="315"/>
        </w:trPr>
        <w:tc>
          <w:tcPr>
            <w:tcW w:w="2263" w:type="dxa"/>
            <w:shd w:val="clear" w:color="auto" w:fill="auto"/>
            <w:noWrap/>
          </w:tcPr>
          <w:p w14:paraId="261048B5"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DUSP1</w:t>
            </w:r>
          </w:p>
        </w:tc>
        <w:tc>
          <w:tcPr>
            <w:tcW w:w="851" w:type="dxa"/>
            <w:shd w:val="clear" w:color="auto" w:fill="auto"/>
            <w:noWrap/>
          </w:tcPr>
          <w:p w14:paraId="59C214B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Mouse</w:t>
            </w:r>
          </w:p>
        </w:tc>
        <w:tc>
          <w:tcPr>
            <w:tcW w:w="1276" w:type="dxa"/>
            <w:shd w:val="clear" w:color="auto" w:fill="auto"/>
            <w:noWrap/>
          </w:tcPr>
          <w:p w14:paraId="05A12C23"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1:200</w:t>
            </w:r>
          </w:p>
        </w:tc>
        <w:tc>
          <w:tcPr>
            <w:tcW w:w="1559" w:type="dxa"/>
          </w:tcPr>
          <w:p w14:paraId="13270007"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sc-373841</w:t>
            </w:r>
          </w:p>
        </w:tc>
        <w:tc>
          <w:tcPr>
            <w:tcW w:w="2693" w:type="dxa"/>
            <w:shd w:val="clear" w:color="auto" w:fill="auto"/>
            <w:noWrap/>
          </w:tcPr>
          <w:p w14:paraId="5A38C0B1"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SANTA CRUZ BIOTECHNOLOGY</w:t>
            </w:r>
          </w:p>
        </w:tc>
      </w:tr>
      <w:tr w:rsidR="0025251D" w:rsidRPr="003A5293" w14:paraId="36E68D20" w14:textId="77777777" w:rsidTr="003521FE">
        <w:trPr>
          <w:trHeight w:val="315"/>
        </w:trPr>
        <w:tc>
          <w:tcPr>
            <w:tcW w:w="2263" w:type="dxa"/>
            <w:shd w:val="clear" w:color="auto" w:fill="auto"/>
            <w:noWrap/>
          </w:tcPr>
          <w:p w14:paraId="4F5BBAD1"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DUSP6</w:t>
            </w:r>
          </w:p>
        </w:tc>
        <w:tc>
          <w:tcPr>
            <w:tcW w:w="851" w:type="dxa"/>
            <w:shd w:val="clear" w:color="auto" w:fill="auto"/>
            <w:noWrap/>
          </w:tcPr>
          <w:p w14:paraId="0D1AB587"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54B2A81A"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1:50</w:t>
            </w:r>
          </w:p>
        </w:tc>
        <w:tc>
          <w:tcPr>
            <w:tcW w:w="1559" w:type="dxa"/>
          </w:tcPr>
          <w:p w14:paraId="64E7BFCA"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ab76310</w:t>
            </w:r>
          </w:p>
        </w:tc>
        <w:tc>
          <w:tcPr>
            <w:tcW w:w="2693" w:type="dxa"/>
            <w:shd w:val="clear" w:color="auto" w:fill="auto"/>
            <w:noWrap/>
          </w:tcPr>
          <w:p w14:paraId="29B59A20"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r w:rsidR="0025251D" w:rsidRPr="003A5293" w14:paraId="0F0BED8E" w14:textId="77777777" w:rsidTr="003521FE">
        <w:trPr>
          <w:trHeight w:val="315"/>
        </w:trPr>
        <w:tc>
          <w:tcPr>
            <w:tcW w:w="2263" w:type="dxa"/>
            <w:shd w:val="clear" w:color="auto" w:fill="auto"/>
            <w:noWrap/>
          </w:tcPr>
          <w:p w14:paraId="45C0D3C0" w14:textId="77777777" w:rsidR="0025251D" w:rsidRPr="003A5293" w:rsidRDefault="0025251D" w:rsidP="0025251D">
            <w:pPr>
              <w:spacing w:line="480" w:lineRule="auto"/>
              <w:jc w:val="center"/>
              <w:rPr>
                <w:rFonts w:ascii="Arial" w:hAnsi="Arial" w:cs="Arial"/>
                <w:color w:val="000000"/>
                <w:sz w:val="20"/>
                <w:szCs w:val="20"/>
                <w:lang w:val="en-US"/>
              </w:rPr>
            </w:pPr>
            <w:proofErr w:type="spellStart"/>
            <w:r>
              <w:rPr>
                <w:rFonts w:ascii="Arial" w:hAnsi="Arial" w:cs="Arial"/>
                <w:color w:val="000000"/>
                <w:sz w:val="20"/>
                <w:szCs w:val="20"/>
                <w:lang w:val="en-US"/>
              </w:rPr>
              <w:lastRenderedPageBreak/>
              <w:t>Epcr</w:t>
            </w:r>
            <w:proofErr w:type="spellEnd"/>
            <w:r>
              <w:rPr>
                <w:rFonts w:ascii="Arial" w:hAnsi="Arial" w:cs="Arial"/>
                <w:color w:val="000000"/>
                <w:sz w:val="20"/>
                <w:szCs w:val="20"/>
                <w:lang w:val="en-US"/>
              </w:rPr>
              <w:t>. APC</w:t>
            </w:r>
          </w:p>
        </w:tc>
        <w:tc>
          <w:tcPr>
            <w:tcW w:w="851" w:type="dxa"/>
            <w:shd w:val="clear" w:color="auto" w:fill="auto"/>
            <w:noWrap/>
          </w:tcPr>
          <w:p w14:paraId="11883F66"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Rat</w:t>
            </w:r>
          </w:p>
        </w:tc>
        <w:tc>
          <w:tcPr>
            <w:tcW w:w="1276" w:type="dxa"/>
            <w:shd w:val="clear" w:color="auto" w:fill="auto"/>
            <w:noWrap/>
          </w:tcPr>
          <w:p w14:paraId="32F4ECF2"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1:100</w:t>
            </w:r>
          </w:p>
        </w:tc>
        <w:tc>
          <w:tcPr>
            <w:tcW w:w="1559" w:type="dxa"/>
          </w:tcPr>
          <w:p w14:paraId="7932BEED"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w:t>
            </w:r>
            <w:r w:rsidRPr="00840267">
              <w:rPr>
                <w:rFonts w:ascii="Arial" w:hAnsi="Arial" w:cs="Arial"/>
                <w:color w:val="000000"/>
                <w:sz w:val="20"/>
                <w:szCs w:val="20"/>
                <w:lang w:val="en-US"/>
              </w:rPr>
              <w:t>2-2012-82</w:t>
            </w:r>
          </w:p>
        </w:tc>
        <w:tc>
          <w:tcPr>
            <w:tcW w:w="2693" w:type="dxa"/>
            <w:shd w:val="clear" w:color="auto" w:fill="auto"/>
            <w:noWrap/>
          </w:tcPr>
          <w:p w14:paraId="2AD38116" w14:textId="77777777" w:rsidR="0025251D" w:rsidRPr="003A5293" w:rsidRDefault="0025251D" w:rsidP="0025251D">
            <w:pPr>
              <w:spacing w:line="480" w:lineRule="auto"/>
              <w:jc w:val="center"/>
              <w:rPr>
                <w:rFonts w:ascii="Arial" w:hAnsi="Arial" w:cs="Arial"/>
                <w:color w:val="000000"/>
                <w:sz w:val="20"/>
                <w:szCs w:val="20"/>
                <w:lang w:val="en-US"/>
              </w:rPr>
            </w:pPr>
            <w:r w:rsidRPr="00840267">
              <w:rPr>
                <w:rFonts w:ascii="Arial" w:hAnsi="Arial" w:cs="Arial"/>
                <w:color w:val="000000"/>
                <w:sz w:val="20"/>
                <w:szCs w:val="20"/>
                <w:lang w:val="en-US"/>
              </w:rPr>
              <w:t>Thermo</w:t>
            </w:r>
            <w:r>
              <w:rPr>
                <w:rFonts w:ascii="Arial" w:hAnsi="Arial" w:cs="Arial"/>
                <w:color w:val="000000"/>
                <w:sz w:val="20"/>
                <w:szCs w:val="20"/>
                <w:lang w:val="en-US"/>
              </w:rPr>
              <w:t xml:space="preserve"> </w:t>
            </w:r>
            <w:r w:rsidRPr="00840267">
              <w:rPr>
                <w:rFonts w:ascii="Arial" w:hAnsi="Arial" w:cs="Arial"/>
                <w:color w:val="000000"/>
                <w:sz w:val="20"/>
                <w:szCs w:val="20"/>
                <w:lang w:val="en-US"/>
              </w:rPr>
              <w:t>Fisher Scientific</w:t>
            </w:r>
          </w:p>
        </w:tc>
      </w:tr>
      <w:tr w:rsidR="0025251D" w:rsidRPr="003A5293" w14:paraId="0FF0332F" w14:textId="77777777" w:rsidTr="003521FE">
        <w:trPr>
          <w:trHeight w:val="315"/>
        </w:trPr>
        <w:tc>
          <w:tcPr>
            <w:tcW w:w="2263" w:type="dxa"/>
            <w:shd w:val="clear" w:color="auto" w:fill="auto"/>
            <w:noWrap/>
          </w:tcPr>
          <w:p w14:paraId="57A51BC7" w14:textId="77777777" w:rsidR="0025251D" w:rsidRPr="003A5293" w:rsidRDefault="0025251D" w:rsidP="0025251D">
            <w:pPr>
              <w:spacing w:line="480" w:lineRule="auto"/>
              <w:jc w:val="center"/>
              <w:rPr>
                <w:rFonts w:ascii="Arial" w:hAnsi="Arial" w:cs="Arial"/>
                <w:color w:val="000000"/>
                <w:sz w:val="20"/>
                <w:szCs w:val="20"/>
                <w:lang w:val="en-US"/>
              </w:rPr>
            </w:pPr>
            <w:proofErr w:type="spellStart"/>
            <w:r>
              <w:rPr>
                <w:rFonts w:ascii="Arial" w:hAnsi="Arial" w:cs="Arial"/>
                <w:color w:val="000000"/>
                <w:sz w:val="20"/>
                <w:szCs w:val="20"/>
                <w:lang w:val="en-US"/>
              </w:rPr>
              <w:t>Esam</w:t>
            </w:r>
            <w:proofErr w:type="spellEnd"/>
            <w:r>
              <w:rPr>
                <w:rFonts w:ascii="Arial" w:hAnsi="Arial" w:cs="Arial"/>
                <w:color w:val="000000"/>
                <w:sz w:val="20"/>
                <w:szCs w:val="20"/>
                <w:lang w:val="en-US"/>
              </w:rPr>
              <w:t>, PE</w:t>
            </w:r>
          </w:p>
        </w:tc>
        <w:tc>
          <w:tcPr>
            <w:tcW w:w="851" w:type="dxa"/>
            <w:shd w:val="clear" w:color="auto" w:fill="auto"/>
            <w:noWrap/>
          </w:tcPr>
          <w:p w14:paraId="74278E29"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Rat</w:t>
            </w:r>
          </w:p>
        </w:tc>
        <w:tc>
          <w:tcPr>
            <w:tcW w:w="1276" w:type="dxa"/>
            <w:shd w:val="clear" w:color="auto" w:fill="auto"/>
            <w:noWrap/>
          </w:tcPr>
          <w:p w14:paraId="2C85B82D" w14:textId="77777777" w:rsidR="0025251D" w:rsidRPr="003A5293" w:rsidRDefault="0025251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1:100</w:t>
            </w:r>
          </w:p>
        </w:tc>
        <w:tc>
          <w:tcPr>
            <w:tcW w:w="1559" w:type="dxa"/>
          </w:tcPr>
          <w:p w14:paraId="20F764CD" w14:textId="77777777" w:rsidR="0025251D" w:rsidRPr="003A5293" w:rsidRDefault="0025251D" w:rsidP="0025251D">
            <w:pPr>
              <w:spacing w:line="480" w:lineRule="auto"/>
              <w:jc w:val="center"/>
              <w:rPr>
                <w:rFonts w:ascii="Arial" w:hAnsi="Arial" w:cs="Arial"/>
                <w:color w:val="000000"/>
                <w:sz w:val="20"/>
                <w:szCs w:val="20"/>
                <w:lang w:val="en-US"/>
              </w:rPr>
            </w:pPr>
            <w:r w:rsidRPr="00840267">
              <w:rPr>
                <w:rFonts w:ascii="Arial" w:hAnsi="Arial" w:cs="Arial"/>
                <w:color w:val="000000"/>
                <w:sz w:val="20"/>
                <w:szCs w:val="20"/>
                <w:lang w:val="en-US"/>
              </w:rPr>
              <w:t>136204</w:t>
            </w:r>
          </w:p>
        </w:tc>
        <w:tc>
          <w:tcPr>
            <w:tcW w:w="2693" w:type="dxa"/>
            <w:shd w:val="clear" w:color="auto" w:fill="auto"/>
            <w:noWrap/>
          </w:tcPr>
          <w:p w14:paraId="4DE2C6C4" w14:textId="77777777" w:rsidR="0025251D" w:rsidRPr="003A5293" w:rsidRDefault="0025251D" w:rsidP="0025251D">
            <w:pPr>
              <w:spacing w:line="480" w:lineRule="auto"/>
              <w:jc w:val="center"/>
              <w:rPr>
                <w:rFonts w:ascii="Arial" w:hAnsi="Arial" w:cs="Arial"/>
                <w:color w:val="000000"/>
                <w:sz w:val="20"/>
                <w:szCs w:val="20"/>
                <w:lang w:val="en-US"/>
              </w:rPr>
            </w:pPr>
            <w:proofErr w:type="spellStart"/>
            <w:r>
              <w:rPr>
                <w:rFonts w:ascii="Arial" w:hAnsi="Arial" w:cs="Arial"/>
                <w:color w:val="000000"/>
                <w:sz w:val="20"/>
                <w:szCs w:val="20"/>
                <w:lang w:val="en-US"/>
              </w:rPr>
              <w:t>Biolegend</w:t>
            </w:r>
            <w:proofErr w:type="spellEnd"/>
          </w:p>
        </w:tc>
      </w:tr>
      <w:tr w:rsidR="0025251D" w:rsidRPr="003A5293" w14:paraId="49D86157" w14:textId="77777777" w:rsidTr="003521FE">
        <w:trPr>
          <w:trHeight w:val="315"/>
        </w:trPr>
        <w:tc>
          <w:tcPr>
            <w:tcW w:w="2263" w:type="dxa"/>
            <w:shd w:val="clear" w:color="auto" w:fill="auto"/>
            <w:noWrap/>
          </w:tcPr>
          <w:p w14:paraId="0CE84DB8"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H2AX (pS139)/γ-H2AX</w:t>
            </w:r>
          </w:p>
        </w:tc>
        <w:tc>
          <w:tcPr>
            <w:tcW w:w="851" w:type="dxa"/>
            <w:shd w:val="clear" w:color="auto" w:fill="auto"/>
            <w:noWrap/>
          </w:tcPr>
          <w:p w14:paraId="46FA55CC"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0CBA57AB"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1:50</w:t>
            </w:r>
          </w:p>
        </w:tc>
        <w:tc>
          <w:tcPr>
            <w:tcW w:w="1559" w:type="dxa"/>
          </w:tcPr>
          <w:p w14:paraId="63C1E57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9718</w:t>
            </w:r>
          </w:p>
        </w:tc>
        <w:tc>
          <w:tcPr>
            <w:tcW w:w="2693" w:type="dxa"/>
            <w:shd w:val="clear" w:color="auto" w:fill="auto"/>
            <w:noWrap/>
          </w:tcPr>
          <w:p w14:paraId="208C8509"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Cell Signaling Technology</w:t>
            </w:r>
          </w:p>
        </w:tc>
      </w:tr>
      <w:tr w:rsidR="0025251D" w:rsidRPr="003A5293" w14:paraId="2A3E6750" w14:textId="77777777" w:rsidTr="003521FE">
        <w:trPr>
          <w:trHeight w:val="315"/>
        </w:trPr>
        <w:tc>
          <w:tcPr>
            <w:tcW w:w="2263" w:type="dxa"/>
            <w:shd w:val="clear" w:color="auto" w:fill="auto"/>
            <w:noWrap/>
          </w:tcPr>
          <w:p w14:paraId="0D1B33DB"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H2AX (pS139)/γ-H2AX</w:t>
            </w:r>
          </w:p>
        </w:tc>
        <w:tc>
          <w:tcPr>
            <w:tcW w:w="851" w:type="dxa"/>
            <w:shd w:val="clear" w:color="auto" w:fill="auto"/>
            <w:noWrap/>
          </w:tcPr>
          <w:p w14:paraId="67A10597"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Mouse</w:t>
            </w:r>
          </w:p>
        </w:tc>
        <w:tc>
          <w:tcPr>
            <w:tcW w:w="1276" w:type="dxa"/>
            <w:shd w:val="clear" w:color="auto" w:fill="auto"/>
            <w:noWrap/>
          </w:tcPr>
          <w:p w14:paraId="27605211"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1:500</w:t>
            </w:r>
          </w:p>
        </w:tc>
        <w:tc>
          <w:tcPr>
            <w:tcW w:w="1559" w:type="dxa"/>
          </w:tcPr>
          <w:p w14:paraId="35391258"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05-636</w:t>
            </w:r>
          </w:p>
        </w:tc>
        <w:tc>
          <w:tcPr>
            <w:tcW w:w="2693" w:type="dxa"/>
            <w:shd w:val="clear" w:color="auto" w:fill="auto"/>
            <w:noWrap/>
          </w:tcPr>
          <w:p w14:paraId="69818E56"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Millipore</w:t>
            </w:r>
          </w:p>
        </w:tc>
      </w:tr>
      <w:tr w:rsidR="0025251D" w:rsidRPr="003A5293" w14:paraId="2535DF00" w14:textId="77777777" w:rsidTr="003521FE">
        <w:trPr>
          <w:trHeight w:val="315"/>
        </w:trPr>
        <w:tc>
          <w:tcPr>
            <w:tcW w:w="2263" w:type="dxa"/>
            <w:shd w:val="clear" w:color="auto" w:fill="auto"/>
            <w:noWrap/>
          </w:tcPr>
          <w:p w14:paraId="370E3B62"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Chk1</w:t>
            </w:r>
          </w:p>
        </w:tc>
        <w:tc>
          <w:tcPr>
            <w:tcW w:w="851" w:type="dxa"/>
            <w:shd w:val="clear" w:color="auto" w:fill="auto"/>
            <w:noWrap/>
          </w:tcPr>
          <w:p w14:paraId="3808F7D8"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Mouse</w:t>
            </w:r>
          </w:p>
        </w:tc>
        <w:tc>
          <w:tcPr>
            <w:tcW w:w="1276" w:type="dxa"/>
            <w:shd w:val="clear" w:color="auto" w:fill="auto"/>
            <w:noWrap/>
          </w:tcPr>
          <w:p w14:paraId="4B18D9C2"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1:1000</w:t>
            </w:r>
          </w:p>
        </w:tc>
        <w:tc>
          <w:tcPr>
            <w:tcW w:w="1559" w:type="dxa"/>
          </w:tcPr>
          <w:p w14:paraId="1366BB79"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C9358</w:t>
            </w:r>
          </w:p>
        </w:tc>
        <w:tc>
          <w:tcPr>
            <w:tcW w:w="2693" w:type="dxa"/>
            <w:shd w:val="clear" w:color="auto" w:fill="auto"/>
            <w:noWrap/>
          </w:tcPr>
          <w:p w14:paraId="6732DC2F"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Sigma-Aldrich</w:t>
            </w:r>
          </w:p>
        </w:tc>
      </w:tr>
      <w:tr w:rsidR="0025251D" w:rsidRPr="003A5293" w14:paraId="6CA1AC22" w14:textId="77777777" w:rsidTr="003521FE">
        <w:trPr>
          <w:trHeight w:val="315"/>
        </w:trPr>
        <w:tc>
          <w:tcPr>
            <w:tcW w:w="2263" w:type="dxa"/>
            <w:shd w:val="clear" w:color="auto" w:fill="auto"/>
            <w:noWrap/>
          </w:tcPr>
          <w:p w14:paraId="1EB8DA5E"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Chk1 S317</w:t>
            </w:r>
          </w:p>
        </w:tc>
        <w:tc>
          <w:tcPr>
            <w:tcW w:w="851" w:type="dxa"/>
            <w:shd w:val="clear" w:color="auto" w:fill="auto"/>
            <w:noWrap/>
          </w:tcPr>
          <w:p w14:paraId="349E1A0C"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305A064B"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1:500</w:t>
            </w:r>
          </w:p>
        </w:tc>
        <w:tc>
          <w:tcPr>
            <w:tcW w:w="1559" w:type="dxa"/>
          </w:tcPr>
          <w:p w14:paraId="08B02D1D"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2344S</w:t>
            </w:r>
          </w:p>
        </w:tc>
        <w:tc>
          <w:tcPr>
            <w:tcW w:w="2693" w:type="dxa"/>
            <w:shd w:val="clear" w:color="auto" w:fill="auto"/>
            <w:noWrap/>
          </w:tcPr>
          <w:p w14:paraId="69BF580C"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Cell Signaling Technology</w:t>
            </w:r>
          </w:p>
        </w:tc>
      </w:tr>
      <w:tr w:rsidR="0025251D" w:rsidRPr="003A5293" w14:paraId="59B787F4" w14:textId="77777777" w:rsidTr="003521FE">
        <w:trPr>
          <w:trHeight w:val="315"/>
        </w:trPr>
        <w:tc>
          <w:tcPr>
            <w:tcW w:w="2263" w:type="dxa"/>
            <w:shd w:val="clear" w:color="auto" w:fill="auto"/>
            <w:noWrap/>
          </w:tcPr>
          <w:p w14:paraId="11558426"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Chk2</w:t>
            </w:r>
          </w:p>
        </w:tc>
        <w:tc>
          <w:tcPr>
            <w:tcW w:w="851" w:type="dxa"/>
            <w:shd w:val="clear" w:color="auto" w:fill="auto"/>
            <w:noWrap/>
          </w:tcPr>
          <w:p w14:paraId="18BB5995"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Mouse</w:t>
            </w:r>
          </w:p>
        </w:tc>
        <w:tc>
          <w:tcPr>
            <w:tcW w:w="1276" w:type="dxa"/>
            <w:shd w:val="clear" w:color="auto" w:fill="auto"/>
            <w:noWrap/>
          </w:tcPr>
          <w:p w14:paraId="6668704F"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1:1000</w:t>
            </w:r>
          </w:p>
        </w:tc>
        <w:tc>
          <w:tcPr>
            <w:tcW w:w="1559" w:type="dxa"/>
          </w:tcPr>
          <w:p w14:paraId="4FA975F8"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C9108</w:t>
            </w:r>
          </w:p>
        </w:tc>
        <w:tc>
          <w:tcPr>
            <w:tcW w:w="2693" w:type="dxa"/>
            <w:shd w:val="clear" w:color="auto" w:fill="auto"/>
            <w:noWrap/>
          </w:tcPr>
          <w:p w14:paraId="331F7AD2"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Sigma-Aldrich</w:t>
            </w:r>
          </w:p>
        </w:tc>
      </w:tr>
      <w:tr w:rsidR="0025251D" w:rsidRPr="003A5293" w14:paraId="605A5F7C" w14:textId="77777777" w:rsidTr="003521FE">
        <w:trPr>
          <w:trHeight w:val="315"/>
        </w:trPr>
        <w:tc>
          <w:tcPr>
            <w:tcW w:w="2263" w:type="dxa"/>
            <w:shd w:val="clear" w:color="auto" w:fill="auto"/>
            <w:noWrap/>
          </w:tcPr>
          <w:p w14:paraId="70E78849"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Chk2 Thr68</w:t>
            </w:r>
          </w:p>
        </w:tc>
        <w:tc>
          <w:tcPr>
            <w:tcW w:w="851" w:type="dxa"/>
            <w:shd w:val="clear" w:color="auto" w:fill="auto"/>
            <w:noWrap/>
          </w:tcPr>
          <w:p w14:paraId="7D6440E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0A1A6C15"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1:500</w:t>
            </w:r>
          </w:p>
        </w:tc>
        <w:tc>
          <w:tcPr>
            <w:tcW w:w="1559" w:type="dxa"/>
          </w:tcPr>
          <w:p w14:paraId="32B121D8"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2661S</w:t>
            </w:r>
          </w:p>
        </w:tc>
        <w:tc>
          <w:tcPr>
            <w:tcW w:w="2693" w:type="dxa"/>
            <w:shd w:val="clear" w:color="auto" w:fill="auto"/>
            <w:noWrap/>
          </w:tcPr>
          <w:p w14:paraId="506C287F"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Cell Signaling Technology</w:t>
            </w:r>
          </w:p>
        </w:tc>
      </w:tr>
      <w:tr w:rsidR="0025251D" w:rsidRPr="003A5293" w14:paraId="024B6C0A" w14:textId="77777777" w:rsidTr="003521FE">
        <w:trPr>
          <w:trHeight w:val="315"/>
        </w:trPr>
        <w:tc>
          <w:tcPr>
            <w:tcW w:w="2263" w:type="dxa"/>
            <w:shd w:val="clear" w:color="auto" w:fill="auto"/>
            <w:noWrap/>
          </w:tcPr>
          <w:p w14:paraId="060DFF9A" w14:textId="77777777" w:rsidR="0025251D" w:rsidRPr="003A5293" w:rsidRDefault="0025251D" w:rsidP="0025251D">
            <w:pPr>
              <w:spacing w:line="480" w:lineRule="auto"/>
              <w:jc w:val="center"/>
              <w:rPr>
                <w:rFonts w:ascii="Arial" w:hAnsi="Arial" w:cs="Arial"/>
                <w:color w:val="000000"/>
                <w:sz w:val="20"/>
                <w:szCs w:val="20"/>
                <w:lang w:val="en-US"/>
              </w:rPr>
            </w:pPr>
            <w:proofErr w:type="spellStart"/>
            <w:r w:rsidRPr="003A5293">
              <w:rPr>
                <w:rFonts w:ascii="Arial" w:hAnsi="Arial" w:cs="Arial"/>
                <w:color w:val="000000"/>
                <w:sz w:val="20"/>
                <w:szCs w:val="20"/>
                <w:lang w:val="en-US"/>
              </w:rPr>
              <w:t>IFNγ</w:t>
            </w:r>
            <w:proofErr w:type="spellEnd"/>
          </w:p>
        </w:tc>
        <w:tc>
          <w:tcPr>
            <w:tcW w:w="851" w:type="dxa"/>
            <w:shd w:val="clear" w:color="auto" w:fill="auto"/>
            <w:noWrap/>
          </w:tcPr>
          <w:p w14:paraId="62136B78"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1E0EC119"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1:750</w:t>
            </w:r>
          </w:p>
        </w:tc>
        <w:tc>
          <w:tcPr>
            <w:tcW w:w="1559" w:type="dxa"/>
          </w:tcPr>
          <w:p w14:paraId="3712A22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ab9657</w:t>
            </w:r>
          </w:p>
        </w:tc>
        <w:tc>
          <w:tcPr>
            <w:tcW w:w="2693" w:type="dxa"/>
            <w:shd w:val="clear" w:color="auto" w:fill="auto"/>
            <w:noWrap/>
          </w:tcPr>
          <w:p w14:paraId="60E3128C"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r w:rsidR="0025251D" w:rsidRPr="003A5293" w14:paraId="42FEBFD0" w14:textId="77777777" w:rsidTr="003521FE">
        <w:trPr>
          <w:trHeight w:val="315"/>
        </w:trPr>
        <w:tc>
          <w:tcPr>
            <w:tcW w:w="2263" w:type="dxa"/>
            <w:shd w:val="clear" w:color="auto" w:fill="auto"/>
            <w:noWrap/>
          </w:tcPr>
          <w:p w14:paraId="76C898DA"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IL</w:t>
            </w:r>
            <w:r w:rsidR="00263AC1">
              <w:rPr>
                <w:rFonts w:ascii="Arial" w:hAnsi="Arial" w:cs="Arial"/>
                <w:color w:val="000000"/>
                <w:sz w:val="20"/>
                <w:szCs w:val="20"/>
                <w:lang w:val="en-US"/>
              </w:rPr>
              <w:t>-</w:t>
            </w:r>
            <w:r w:rsidRPr="003A5293">
              <w:rPr>
                <w:rFonts w:ascii="Arial" w:hAnsi="Arial" w:cs="Arial"/>
                <w:color w:val="000000"/>
                <w:sz w:val="20"/>
                <w:szCs w:val="20"/>
                <w:lang w:val="en-US"/>
              </w:rPr>
              <w:t>6</w:t>
            </w:r>
          </w:p>
        </w:tc>
        <w:tc>
          <w:tcPr>
            <w:tcW w:w="851" w:type="dxa"/>
            <w:shd w:val="clear" w:color="auto" w:fill="auto"/>
            <w:noWrap/>
          </w:tcPr>
          <w:p w14:paraId="089CCA4D"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0209B422"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1:500</w:t>
            </w:r>
          </w:p>
        </w:tc>
        <w:tc>
          <w:tcPr>
            <w:tcW w:w="1559" w:type="dxa"/>
          </w:tcPr>
          <w:p w14:paraId="49502CC1"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ab154367</w:t>
            </w:r>
          </w:p>
        </w:tc>
        <w:tc>
          <w:tcPr>
            <w:tcW w:w="2693" w:type="dxa"/>
            <w:shd w:val="clear" w:color="auto" w:fill="auto"/>
            <w:noWrap/>
          </w:tcPr>
          <w:p w14:paraId="23D1CEFF"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r w:rsidR="0025251D" w:rsidRPr="003A5293" w14:paraId="540F1EA6" w14:textId="77777777" w:rsidTr="003521FE">
        <w:trPr>
          <w:trHeight w:val="315"/>
        </w:trPr>
        <w:tc>
          <w:tcPr>
            <w:tcW w:w="2263" w:type="dxa"/>
            <w:shd w:val="clear" w:color="auto" w:fill="auto"/>
            <w:noWrap/>
          </w:tcPr>
          <w:p w14:paraId="7D603A8E"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KAP1</w:t>
            </w:r>
          </w:p>
        </w:tc>
        <w:tc>
          <w:tcPr>
            <w:tcW w:w="851" w:type="dxa"/>
            <w:shd w:val="clear" w:color="auto" w:fill="auto"/>
            <w:noWrap/>
          </w:tcPr>
          <w:p w14:paraId="6FB343AF"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4B387235"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1:10 000</w:t>
            </w:r>
          </w:p>
        </w:tc>
        <w:tc>
          <w:tcPr>
            <w:tcW w:w="1559" w:type="dxa"/>
          </w:tcPr>
          <w:p w14:paraId="4F8228CE"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ab109545</w:t>
            </w:r>
          </w:p>
        </w:tc>
        <w:tc>
          <w:tcPr>
            <w:tcW w:w="2693" w:type="dxa"/>
            <w:shd w:val="clear" w:color="auto" w:fill="auto"/>
            <w:noWrap/>
          </w:tcPr>
          <w:p w14:paraId="4F644099"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r w:rsidR="0025251D" w:rsidRPr="003A5293" w14:paraId="0D8F31AD" w14:textId="77777777" w:rsidTr="003521FE">
        <w:trPr>
          <w:trHeight w:val="315"/>
        </w:trPr>
        <w:tc>
          <w:tcPr>
            <w:tcW w:w="2263" w:type="dxa"/>
            <w:shd w:val="clear" w:color="auto" w:fill="auto"/>
            <w:noWrap/>
          </w:tcPr>
          <w:p w14:paraId="6317A3D0"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KAP1 S824</w:t>
            </w:r>
          </w:p>
        </w:tc>
        <w:tc>
          <w:tcPr>
            <w:tcW w:w="851" w:type="dxa"/>
            <w:shd w:val="clear" w:color="auto" w:fill="auto"/>
            <w:noWrap/>
          </w:tcPr>
          <w:p w14:paraId="1CF456C7"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64B1DF91"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1:500</w:t>
            </w:r>
          </w:p>
        </w:tc>
        <w:tc>
          <w:tcPr>
            <w:tcW w:w="1559" w:type="dxa"/>
          </w:tcPr>
          <w:p w14:paraId="16DA9E43"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ab70369</w:t>
            </w:r>
          </w:p>
        </w:tc>
        <w:tc>
          <w:tcPr>
            <w:tcW w:w="2693" w:type="dxa"/>
            <w:shd w:val="clear" w:color="auto" w:fill="auto"/>
            <w:noWrap/>
          </w:tcPr>
          <w:p w14:paraId="5BF628FC"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r w:rsidR="00B068BC" w:rsidRPr="003A5293" w14:paraId="76E843BE" w14:textId="77777777" w:rsidTr="003521FE">
        <w:trPr>
          <w:trHeight w:val="315"/>
        </w:trPr>
        <w:tc>
          <w:tcPr>
            <w:tcW w:w="2263" w:type="dxa"/>
            <w:shd w:val="clear" w:color="auto" w:fill="auto"/>
            <w:noWrap/>
          </w:tcPr>
          <w:p w14:paraId="4971836D" w14:textId="77777777" w:rsidR="00B068BC" w:rsidRPr="003A5293" w:rsidRDefault="00B068BC"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Ki-67</w:t>
            </w:r>
          </w:p>
        </w:tc>
        <w:tc>
          <w:tcPr>
            <w:tcW w:w="851" w:type="dxa"/>
            <w:shd w:val="clear" w:color="auto" w:fill="auto"/>
            <w:noWrap/>
          </w:tcPr>
          <w:p w14:paraId="22CBD4AD" w14:textId="77777777" w:rsidR="00B068BC" w:rsidRPr="003A5293" w:rsidRDefault="00B068BC"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Mouse</w:t>
            </w:r>
          </w:p>
        </w:tc>
        <w:tc>
          <w:tcPr>
            <w:tcW w:w="1276" w:type="dxa"/>
            <w:shd w:val="clear" w:color="auto" w:fill="auto"/>
            <w:noWrap/>
          </w:tcPr>
          <w:p w14:paraId="00AAAFCB" w14:textId="77777777" w:rsidR="00B068BC" w:rsidRPr="003A5293" w:rsidRDefault="00B068BC"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1:25</w:t>
            </w:r>
          </w:p>
        </w:tc>
        <w:tc>
          <w:tcPr>
            <w:tcW w:w="1559" w:type="dxa"/>
          </w:tcPr>
          <w:p w14:paraId="2F26A20A" w14:textId="77777777" w:rsidR="00B068BC" w:rsidRPr="003A5293" w:rsidRDefault="00B068BC" w:rsidP="0025251D">
            <w:pPr>
              <w:spacing w:line="480" w:lineRule="auto"/>
              <w:jc w:val="center"/>
              <w:rPr>
                <w:rFonts w:ascii="Arial" w:hAnsi="Arial" w:cs="Arial"/>
                <w:color w:val="000000"/>
                <w:sz w:val="20"/>
                <w:szCs w:val="20"/>
                <w:lang w:val="en-US"/>
              </w:rPr>
            </w:pPr>
            <w:r w:rsidRPr="00B068BC">
              <w:rPr>
                <w:rFonts w:ascii="Arial" w:hAnsi="Arial" w:cs="Arial"/>
                <w:color w:val="000000"/>
                <w:sz w:val="20"/>
                <w:szCs w:val="20"/>
                <w:lang w:val="en-US"/>
              </w:rPr>
              <w:t>GA62661-2</w:t>
            </w:r>
          </w:p>
        </w:tc>
        <w:tc>
          <w:tcPr>
            <w:tcW w:w="2693" w:type="dxa"/>
            <w:shd w:val="clear" w:color="auto" w:fill="auto"/>
            <w:noWrap/>
          </w:tcPr>
          <w:p w14:paraId="78232250" w14:textId="77777777" w:rsidR="00B068BC" w:rsidRPr="003A5293" w:rsidRDefault="00B068BC"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DAKO</w:t>
            </w:r>
          </w:p>
        </w:tc>
      </w:tr>
      <w:tr w:rsidR="0025251D" w:rsidRPr="003A5293" w14:paraId="4A5B8161" w14:textId="77777777" w:rsidTr="003521FE">
        <w:trPr>
          <w:trHeight w:val="315"/>
        </w:trPr>
        <w:tc>
          <w:tcPr>
            <w:tcW w:w="2263" w:type="dxa"/>
            <w:shd w:val="clear" w:color="auto" w:fill="auto"/>
            <w:noWrap/>
          </w:tcPr>
          <w:p w14:paraId="477BCF2D"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p21waf1</w:t>
            </w:r>
          </w:p>
        </w:tc>
        <w:tc>
          <w:tcPr>
            <w:tcW w:w="851" w:type="dxa"/>
            <w:shd w:val="clear" w:color="auto" w:fill="auto"/>
            <w:noWrap/>
          </w:tcPr>
          <w:p w14:paraId="73C7D4A0"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5434F1D0"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1:500</w:t>
            </w:r>
          </w:p>
        </w:tc>
        <w:tc>
          <w:tcPr>
            <w:tcW w:w="1559" w:type="dxa"/>
          </w:tcPr>
          <w:p w14:paraId="0E2DA3CA"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sc-397</w:t>
            </w:r>
          </w:p>
        </w:tc>
        <w:tc>
          <w:tcPr>
            <w:tcW w:w="2693" w:type="dxa"/>
            <w:shd w:val="clear" w:color="auto" w:fill="auto"/>
            <w:noWrap/>
          </w:tcPr>
          <w:p w14:paraId="07F12D17"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SANTA CRUZ BIOTECHNOLOGY</w:t>
            </w:r>
          </w:p>
        </w:tc>
      </w:tr>
      <w:tr w:rsidR="0025251D" w:rsidRPr="003A5293" w14:paraId="3F3A004C" w14:textId="77777777" w:rsidTr="003521FE">
        <w:trPr>
          <w:trHeight w:val="315"/>
        </w:trPr>
        <w:tc>
          <w:tcPr>
            <w:tcW w:w="2263" w:type="dxa"/>
            <w:shd w:val="clear" w:color="auto" w:fill="auto"/>
            <w:noWrap/>
          </w:tcPr>
          <w:p w14:paraId="337F3EA8"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p38</w:t>
            </w:r>
          </w:p>
        </w:tc>
        <w:tc>
          <w:tcPr>
            <w:tcW w:w="851" w:type="dxa"/>
            <w:shd w:val="clear" w:color="auto" w:fill="auto"/>
            <w:noWrap/>
          </w:tcPr>
          <w:p w14:paraId="33937365"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3ABEC4A8"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1:1000</w:t>
            </w:r>
          </w:p>
        </w:tc>
        <w:tc>
          <w:tcPr>
            <w:tcW w:w="1559" w:type="dxa"/>
          </w:tcPr>
          <w:p w14:paraId="438B2823"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9212</w:t>
            </w:r>
          </w:p>
        </w:tc>
        <w:tc>
          <w:tcPr>
            <w:tcW w:w="2693" w:type="dxa"/>
            <w:shd w:val="clear" w:color="auto" w:fill="auto"/>
            <w:noWrap/>
          </w:tcPr>
          <w:p w14:paraId="4C8FAF0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Cell Signaling Technology</w:t>
            </w:r>
          </w:p>
        </w:tc>
      </w:tr>
      <w:tr w:rsidR="0025251D" w:rsidRPr="003A5293" w14:paraId="1015895E" w14:textId="77777777" w:rsidTr="003521FE">
        <w:trPr>
          <w:trHeight w:val="315"/>
        </w:trPr>
        <w:tc>
          <w:tcPr>
            <w:tcW w:w="2263" w:type="dxa"/>
            <w:shd w:val="clear" w:color="auto" w:fill="auto"/>
            <w:noWrap/>
          </w:tcPr>
          <w:p w14:paraId="2F2A474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p38 T180/Y182</w:t>
            </w:r>
          </w:p>
        </w:tc>
        <w:tc>
          <w:tcPr>
            <w:tcW w:w="851" w:type="dxa"/>
            <w:shd w:val="clear" w:color="auto" w:fill="auto"/>
            <w:noWrap/>
          </w:tcPr>
          <w:p w14:paraId="03FCC583"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1331E2D9"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1:500</w:t>
            </w:r>
          </w:p>
        </w:tc>
        <w:tc>
          <w:tcPr>
            <w:tcW w:w="1559" w:type="dxa"/>
          </w:tcPr>
          <w:p w14:paraId="7BD85168"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9211</w:t>
            </w:r>
          </w:p>
        </w:tc>
        <w:tc>
          <w:tcPr>
            <w:tcW w:w="2693" w:type="dxa"/>
            <w:shd w:val="clear" w:color="auto" w:fill="auto"/>
            <w:noWrap/>
          </w:tcPr>
          <w:p w14:paraId="34B7F3ED"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Cell Signaling Technology</w:t>
            </w:r>
          </w:p>
        </w:tc>
      </w:tr>
      <w:tr w:rsidR="0025251D" w:rsidRPr="003A5293" w14:paraId="56CEEAD7" w14:textId="77777777" w:rsidTr="003521FE">
        <w:trPr>
          <w:trHeight w:val="315"/>
        </w:trPr>
        <w:tc>
          <w:tcPr>
            <w:tcW w:w="2263" w:type="dxa"/>
            <w:shd w:val="clear" w:color="auto" w:fill="auto"/>
            <w:noWrap/>
          </w:tcPr>
          <w:p w14:paraId="25438C7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p53</w:t>
            </w:r>
          </w:p>
        </w:tc>
        <w:tc>
          <w:tcPr>
            <w:tcW w:w="851" w:type="dxa"/>
            <w:shd w:val="clear" w:color="auto" w:fill="auto"/>
            <w:noWrap/>
          </w:tcPr>
          <w:p w14:paraId="2B70058D"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Mouse</w:t>
            </w:r>
          </w:p>
        </w:tc>
        <w:tc>
          <w:tcPr>
            <w:tcW w:w="1276" w:type="dxa"/>
            <w:shd w:val="clear" w:color="auto" w:fill="auto"/>
            <w:noWrap/>
          </w:tcPr>
          <w:p w14:paraId="0391A9AC"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1:1000</w:t>
            </w:r>
          </w:p>
        </w:tc>
        <w:tc>
          <w:tcPr>
            <w:tcW w:w="1559" w:type="dxa"/>
          </w:tcPr>
          <w:p w14:paraId="0626EED9"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2524</w:t>
            </w:r>
          </w:p>
        </w:tc>
        <w:tc>
          <w:tcPr>
            <w:tcW w:w="2693" w:type="dxa"/>
            <w:shd w:val="clear" w:color="auto" w:fill="auto"/>
            <w:noWrap/>
          </w:tcPr>
          <w:p w14:paraId="1EA5B9A0"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Cell Signaling Technology</w:t>
            </w:r>
          </w:p>
        </w:tc>
      </w:tr>
      <w:tr w:rsidR="0025251D" w:rsidRPr="003A5293" w14:paraId="1310DA47" w14:textId="77777777" w:rsidTr="003521FE">
        <w:trPr>
          <w:trHeight w:val="315"/>
        </w:trPr>
        <w:tc>
          <w:tcPr>
            <w:tcW w:w="2263" w:type="dxa"/>
            <w:shd w:val="clear" w:color="auto" w:fill="auto"/>
            <w:noWrap/>
          </w:tcPr>
          <w:p w14:paraId="5B14316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p53 S15</w:t>
            </w:r>
          </w:p>
        </w:tc>
        <w:tc>
          <w:tcPr>
            <w:tcW w:w="851" w:type="dxa"/>
            <w:shd w:val="clear" w:color="auto" w:fill="auto"/>
            <w:noWrap/>
          </w:tcPr>
          <w:p w14:paraId="30B7A9C3"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10F86EEA"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1:500</w:t>
            </w:r>
          </w:p>
        </w:tc>
        <w:tc>
          <w:tcPr>
            <w:tcW w:w="1559" w:type="dxa"/>
          </w:tcPr>
          <w:p w14:paraId="25C3CF0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9284S</w:t>
            </w:r>
          </w:p>
        </w:tc>
        <w:tc>
          <w:tcPr>
            <w:tcW w:w="2693" w:type="dxa"/>
            <w:shd w:val="clear" w:color="auto" w:fill="auto"/>
            <w:noWrap/>
          </w:tcPr>
          <w:p w14:paraId="63E99548"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Cell Signaling Technology</w:t>
            </w:r>
          </w:p>
        </w:tc>
      </w:tr>
      <w:tr w:rsidR="0025251D" w:rsidRPr="003A5293" w14:paraId="4005A104" w14:textId="77777777" w:rsidTr="003521FE">
        <w:trPr>
          <w:trHeight w:val="315"/>
        </w:trPr>
        <w:tc>
          <w:tcPr>
            <w:tcW w:w="2263" w:type="dxa"/>
            <w:shd w:val="clear" w:color="auto" w:fill="auto"/>
            <w:noWrap/>
          </w:tcPr>
          <w:p w14:paraId="08929795"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pATMS1981</w:t>
            </w:r>
          </w:p>
        </w:tc>
        <w:tc>
          <w:tcPr>
            <w:tcW w:w="851" w:type="dxa"/>
            <w:shd w:val="clear" w:color="auto" w:fill="auto"/>
            <w:noWrap/>
          </w:tcPr>
          <w:p w14:paraId="7ACDF509"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Mouse</w:t>
            </w:r>
          </w:p>
        </w:tc>
        <w:tc>
          <w:tcPr>
            <w:tcW w:w="1276" w:type="dxa"/>
            <w:shd w:val="clear" w:color="auto" w:fill="auto"/>
            <w:noWrap/>
          </w:tcPr>
          <w:p w14:paraId="4A3E462A"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1:500</w:t>
            </w:r>
          </w:p>
        </w:tc>
        <w:tc>
          <w:tcPr>
            <w:tcW w:w="1559" w:type="dxa"/>
          </w:tcPr>
          <w:p w14:paraId="5216A8AD"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200-301-500</w:t>
            </w:r>
          </w:p>
        </w:tc>
        <w:tc>
          <w:tcPr>
            <w:tcW w:w="2693" w:type="dxa"/>
            <w:shd w:val="clear" w:color="auto" w:fill="auto"/>
            <w:noWrap/>
          </w:tcPr>
          <w:p w14:paraId="4A51D282"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 xml:space="preserve">Rockland </w:t>
            </w:r>
            <w:proofErr w:type="spellStart"/>
            <w:r w:rsidRPr="003A5293">
              <w:rPr>
                <w:rFonts w:ascii="Arial" w:hAnsi="Arial" w:cs="Arial"/>
                <w:color w:val="000000"/>
                <w:sz w:val="20"/>
                <w:szCs w:val="20"/>
                <w:lang w:val="en-US"/>
              </w:rPr>
              <w:t>Immunochemicals</w:t>
            </w:r>
            <w:proofErr w:type="spellEnd"/>
          </w:p>
        </w:tc>
      </w:tr>
      <w:tr w:rsidR="0025251D" w:rsidRPr="003A5293" w14:paraId="0A1AB8B5" w14:textId="77777777" w:rsidTr="003521FE">
        <w:trPr>
          <w:trHeight w:val="315"/>
        </w:trPr>
        <w:tc>
          <w:tcPr>
            <w:tcW w:w="2263" w:type="dxa"/>
            <w:shd w:val="clear" w:color="auto" w:fill="auto"/>
            <w:noWrap/>
          </w:tcPr>
          <w:p w14:paraId="32FEDD7C"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pATRT1989</w:t>
            </w:r>
          </w:p>
        </w:tc>
        <w:tc>
          <w:tcPr>
            <w:tcW w:w="851" w:type="dxa"/>
            <w:shd w:val="clear" w:color="auto" w:fill="auto"/>
            <w:noWrap/>
          </w:tcPr>
          <w:p w14:paraId="7683BF60"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3751C43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1:100</w:t>
            </w:r>
          </w:p>
        </w:tc>
        <w:tc>
          <w:tcPr>
            <w:tcW w:w="1559" w:type="dxa"/>
          </w:tcPr>
          <w:p w14:paraId="56E0E252"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ab227851</w:t>
            </w:r>
          </w:p>
        </w:tc>
        <w:tc>
          <w:tcPr>
            <w:tcW w:w="2693" w:type="dxa"/>
            <w:shd w:val="clear" w:color="auto" w:fill="auto"/>
            <w:noWrap/>
          </w:tcPr>
          <w:p w14:paraId="0C573F0E"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r w:rsidR="0025251D" w:rsidRPr="003A5293" w14:paraId="74C6C026" w14:textId="77777777" w:rsidTr="003521FE">
        <w:trPr>
          <w:trHeight w:val="315"/>
        </w:trPr>
        <w:tc>
          <w:tcPr>
            <w:tcW w:w="2263" w:type="dxa"/>
            <w:shd w:val="clear" w:color="auto" w:fill="auto"/>
            <w:noWrap/>
          </w:tcPr>
          <w:p w14:paraId="3E2CA935"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RAD51</w:t>
            </w:r>
          </w:p>
        </w:tc>
        <w:tc>
          <w:tcPr>
            <w:tcW w:w="851" w:type="dxa"/>
            <w:shd w:val="clear" w:color="auto" w:fill="auto"/>
            <w:noWrap/>
          </w:tcPr>
          <w:p w14:paraId="52642B99"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67E96226"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1:250</w:t>
            </w:r>
          </w:p>
        </w:tc>
        <w:tc>
          <w:tcPr>
            <w:tcW w:w="1559" w:type="dxa"/>
          </w:tcPr>
          <w:p w14:paraId="7F673646"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ab63801</w:t>
            </w:r>
          </w:p>
        </w:tc>
        <w:tc>
          <w:tcPr>
            <w:tcW w:w="2693" w:type="dxa"/>
            <w:shd w:val="clear" w:color="auto" w:fill="auto"/>
            <w:noWrap/>
          </w:tcPr>
          <w:p w14:paraId="359A1FE7"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r w:rsidR="0025251D" w:rsidRPr="003A5293" w14:paraId="54DA9F0D" w14:textId="77777777" w:rsidTr="003521FE">
        <w:trPr>
          <w:trHeight w:val="315"/>
        </w:trPr>
        <w:tc>
          <w:tcPr>
            <w:tcW w:w="2263" w:type="dxa"/>
            <w:shd w:val="clear" w:color="auto" w:fill="auto"/>
            <w:noWrap/>
          </w:tcPr>
          <w:p w14:paraId="07C66CD7"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SAPK/JNK</w:t>
            </w:r>
          </w:p>
        </w:tc>
        <w:tc>
          <w:tcPr>
            <w:tcW w:w="851" w:type="dxa"/>
            <w:shd w:val="clear" w:color="auto" w:fill="auto"/>
            <w:noWrap/>
          </w:tcPr>
          <w:p w14:paraId="624A3178"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5358BFBB"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1:1000</w:t>
            </w:r>
          </w:p>
        </w:tc>
        <w:tc>
          <w:tcPr>
            <w:tcW w:w="1559" w:type="dxa"/>
          </w:tcPr>
          <w:p w14:paraId="0EC03B6F"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9252</w:t>
            </w:r>
          </w:p>
        </w:tc>
        <w:tc>
          <w:tcPr>
            <w:tcW w:w="2693" w:type="dxa"/>
            <w:shd w:val="clear" w:color="auto" w:fill="auto"/>
            <w:noWrap/>
          </w:tcPr>
          <w:p w14:paraId="7FB4C446"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Cell Signaling Technology</w:t>
            </w:r>
          </w:p>
        </w:tc>
      </w:tr>
      <w:tr w:rsidR="0025251D" w:rsidRPr="003A5293" w14:paraId="12F81DAC" w14:textId="77777777" w:rsidTr="003521FE">
        <w:trPr>
          <w:trHeight w:val="315"/>
        </w:trPr>
        <w:tc>
          <w:tcPr>
            <w:tcW w:w="2263" w:type="dxa"/>
            <w:shd w:val="clear" w:color="auto" w:fill="auto"/>
            <w:noWrap/>
          </w:tcPr>
          <w:p w14:paraId="621485AB"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SAPK/JNK T183/Y185</w:t>
            </w:r>
          </w:p>
        </w:tc>
        <w:tc>
          <w:tcPr>
            <w:tcW w:w="851" w:type="dxa"/>
            <w:shd w:val="clear" w:color="auto" w:fill="auto"/>
            <w:noWrap/>
          </w:tcPr>
          <w:p w14:paraId="4858EA0E"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1617FB5F"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1:500</w:t>
            </w:r>
          </w:p>
        </w:tc>
        <w:tc>
          <w:tcPr>
            <w:tcW w:w="1559" w:type="dxa"/>
          </w:tcPr>
          <w:p w14:paraId="31132EA6"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9251</w:t>
            </w:r>
          </w:p>
        </w:tc>
        <w:tc>
          <w:tcPr>
            <w:tcW w:w="2693" w:type="dxa"/>
            <w:shd w:val="clear" w:color="auto" w:fill="auto"/>
            <w:noWrap/>
          </w:tcPr>
          <w:p w14:paraId="47F1668D"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Cell Signaling Technology</w:t>
            </w:r>
          </w:p>
        </w:tc>
      </w:tr>
      <w:tr w:rsidR="005D762D" w:rsidRPr="003A5293" w14:paraId="3A035549" w14:textId="77777777" w:rsidTr="003521FE">
        <w:trPr>
          <w:trHeight w:val="315"/>
        </w:trPr>
        <w:tc>
          <w:tcPr>
            <w:tcW w:w="2263" w:type="dxa"/>
            <w:shd w:val="clear" w:color="auto" w:fill="auto"/>
            <w:noWrap/>
          </w:tcPr>
          <w:p w14:paraId="5396F8EB" w14:textId="77777777" w:rsidR="005D762D" w:rsidRPr="003A5293"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Sca-1, PE/Cy7</w:t>
            </w:r>
          </w:p>
        </w:tc>
        <w:tc>
          <w:tcPr>
            <w:tcW w:w="851" w:type="dxa"/>
            <w:shd w:val="clear" w:color="auto" w:fill="auto"/>
            <w:noWrap/>
          </w:tcPr>
          <w:p w14:paraId="61D83A5E" w14:textId="77777777" w:rsidR="005D762D" w:rsidRPr="003A5293"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Rat</w:t>
            </w:r>
          </w:p>
        </w:tc>
        <w:tc>
          <w:tcPr>
            <w:tcW w:w="1276" w:type="dxa"/>
            <w:shd w:val="clear" w:color="auto" w:fill="auto"/>
            <w:noWrap/>
          </w:tcPr>
          <w:p w14:paraId="3F4410AC" w14:textId="77777777" w:rsidR="005D762D" w:rsidRPr="003A5293" w:rsidRDefault="005D762D" w:rsidP="0025251D">
            <w:pPr>
              <w:spacing w:line="480" w:lineRule="auto"/>
              <w:jc w:val="center"/>
              <w:rPr>
                <w:rFonts w:ascii="Arial" w:hAnsi="Arial" w:cs="Arial"/>
                <w:color w:val="000000"/>
                <w:sz w:val="20"/>
                <w:szCs w:val="20"/>
                <w:lang w:val="en-US"/>
              </w:rPr>
            </w:pPr>
            <w:r>
              <w:rPr>
                <w:rFonts w:ascii="Arial" w:hAnsi="Arial" w:cs="Arial"/>
                <w:color w:val="000000"/>
                <w:sz w:val="20"/>
                <w:szCs w:val="20"/>
                <w:lang w:val="en-US"/>
              </w:rPr>
              <w:t>1:100</w:t>
            </w:r>
          </w:p>
        </w:tc>
        <w:tc>
          <w:tcPr>
            <w:tcW w:w="1559" w:type="dxa"/>
          </w:tcPr>
          <w:p w14:paraId="31407F3C" w14:textId="77777777" w:rsidR="005D762D" w:rsidRPr="003A5293" w:rsidRDefault="005D762D" w:rsidP="0025251D">
            <w:pPr>
              <w:spacing w:line="480" w:lineRule="auto"/>
              <w:jc w:val="center"/>
              <w:rPr>
                <w:rFonts w:ascii="Arial" w:hAnsi="Arial" w:cs="Arial"/>
                <w:color w:val="000000"/>
                <w:sz w:val="20"/>
                <w:szCs w:val="20"/>
                <w:lang w:val="en-US"/>
              </w:rPr>
            </w:pPr>
            <w:r w:rsidRPr="005D762D">
              <w:rPr>
                <w:rFonts w:ascii="Arial" w:hAnsi="Arial" w:cs="Arial"/>
                <w:color w:val="000000"/>
                <w:sz w:val="20"/>
                <w:szCs w:val="20"/>
                <w:lang w:val="en-US"/>
              </w:rPr>
              <w:t>25-5981-82</w:t>
            </w:r>
          </w:p>
        </w:tc>
        <w:tc>
          <w:tcPr>
            <w:tcW w:w="2693" w:type="dxa"/>
            <w:shd w:val="clear" w:color="auto" w:fill="auto"/>
            <w:noWrap/>
          </w:tcPr>
          <w:p w14:paraId="125DF817" w14:textId="77777777" w:rsidR="005D762D" w:rsidRPr="003A5293" w:rsidRDefault="005D762D" w:rsidP="0025251D">
            <w:pPr>
              <w:spacing w:line="480" w:lineRule="auto"/>
              <w:jc w:val="center"/>
              <w:rPr>
                <w:rFonts w:ascii="Arial" w:hAnsi="Arial" w:cs="Arial"/>
                <w:color w:val="000000"/>
                <w:sz w:val="20"/>
                <w:szCs w:val="20"/>
                <w:lang w:val="en-US"/>
              </w:rPr>
            </w:pPr>
            <w:proofErr w:type="spellStart"/>
            <w:r w:rsidRPr="005D762D">
              <w:rPr>
                <w:rFonts w:ascii="Arial" w:hAnsi="Arial" w:cs="Arial"/>
                <w:color w:val="000000"/>
                <w:sz w:val="20"/>
                <w:szCs w:val="20"/>
                <w:lang w:val="en-US"/>
              </w:rPr>
              <w:t>eBiosciences</w:t>
            </w:r>
            <w:proofErr w:type="spellEnd"/>
          </w:p>
        </w:tc>
      </w:tr>
      <w:tr w:rsidR="0025251D" w:rsidRPr="003A5293" w14:paraId="50691265" w14:textId="77777777" w:rsidTr="003521FE">
        <w:trPr>
          <w:trHeight w:val="315"/>
        </w:trPr>
        <w:tc>
          <w:tcPr>
            <w:tcW w:w="2263" w:type="dxa"/>
            <w:shd w:val="clear" w:color="auto" w:fill="auto"/>
            <w:noWrap/>
          </w:tcPr>
          <w:p w14:paraId="2CEB9D93"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STAT1</w:t>
            </w:r>
          </w:p>
        </w:tc>
        <w:tc>
          <w:tcPr>
            <w:tcW w:w="851" w:type="dxa"/>
            <w:shd w:val="clear" w:color="auto" w:fill="auto"/>
            <w:noWrap/>
          </w:tcPr>
          <w:p w14:paraId="6608D1E3"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7B68E839"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1:1000</w:t>
            </w:r>
          </w:p>
        </w:tc>
        <w:tc>
          <w:tcPr>
            <w:tcW w:w="1559" w:type="dxa"/>
          </w:tcPr>
          <w:p w14:paraId="02A1CF18"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9172</w:t>
            </w:r>
          </w:p>
        </w:tc>
        <w:tc>
          <w:tcPr>
            <w:tcW w:w="2693" w:type="dxa"/>
            <w:shd w:val="clear" w:color="auto" w:fill="auto"/>
            <w:noWrap/>
          </w:tcPr>
          <w:p w14:paraId="14926CEA"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Cell Signaling Technology</w:t>
            </w:r>
          </w:p>
        </w:tc>
      </w:tr>
      <w:tr w:rsidR="0025251D" w:rsidRPr="003A5293" w14:paraId="21E9556C" w14:textId="77777777" w:rsidTr="003521FE">
        <w:trPr>
          <w:trHeight w:val="315"/>
        </w:trPr>
        <w:tc>
          <w:tcPr>
            <w:tcW w:w="2263" w:type="dxa"/>
            <w:shd w:val="clear" w:color="auto" w:fill="auto"/>
            <w:noWrap/>
          </w:tcPr>
          <w:p w14:paraId="69F37ED0"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STAT1 Tyr701</w:t>
            </w:r>
          </w:p>
        </w:tc>
        <w:tc>
          <w:tcPr>
            <w:tcW w:w="851" w:type="dxa"/>
            <w:shd w:val="clear" w:color="auto" w:fill="auto"/>
            <w:noWrap/>
          </w:tcPr>
          <w:p w14:paraId="3D54CE66"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797EFAEA"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1:1000</w:t>
            </w:r>
          </w:p>
        </w:tc>
        <w:tc>
          <w:tcPr>
            <w:tcW w:w="1559" w:type="dxa"/>
          </w:tcPr>
          <w:p w14:paraId="176CD760"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9167</w:t>
            </w:r>
          </w:p>
        </w:tc>
        <w:tc>
          <w:tcPr>
            <w:tcW w:w="2693" w:type="dxa"/>
            <w:shd w:val="clear" w:color="auto" w:fill="auto"/>
            <w:noWrap/>
          </w:tcPr>
          <w:p w14:paraId="458F34CC"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Cell Signaling Technology</w:t>
            </w:r>
          </w:p>
        </w:tc>
      </w:tr>
      <w:tr w:rsidR="0025251D" w:rsidRPr="003A5293" w14:paraId="52BB20A3" w14:textId="77777777" w:rsidTr="003521FE">
        <w:trPr>
          <w:trHeight w:val="315"/>
        </w:trPr>
        <w:tc>
          <w:tcPr>
            <w:tcW w:w="2263" w:type="dxa"/>
            <w:shd w:val="clear" w:color="auto" w:fill="auto"/>
            <w:noWrap/>
          </w:tcPr>
          <w:p w14:paraId="0F7EC583"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TGFβ1</w:t>
            </w:r>
          </w:p>
        </w:tc>
        <w:tc>
          <w:tcPr>
            <w:tcW w:w="851" w:type="dxa"/>
            <w:shd w:val="clear" w:color="auto" w:fill="auto"/>
            <w:noWrap/>
          </w:tcPr>
          <w:p w14:paraId="0D6BEBB0"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003D8227"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1:1000</w:t>
            </w:r>
          </w:p>
        </w:tc>
        <w:tc>
          <w:tcPr>
            <w:tcW w:w="1559" w:type="dxa"/>
          </w:tcPr>
          <w:p w14:paraId="52B6C305"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ab92486</w:t>
            </w:r>
          </w:p>
        </w:tc>
        <w:tc>
          <w:tcPr>
            <w:tcW w:w="2693" w:type="dxa"/>
            <w:shd w:val="clear" w:color="auto" w:fill="auto"/>
            <w:noWrap/>
          </w:tcPr>
          <w:p w14:paraId="48648124"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r w:rsidR="0025251D" w:rsidRPr="003A5293" w14:paraId="444345B0" w14:textId="77777777" w:rsidTr="003521FE">
        <w:trPr>
          <w:trHeight w:val="315"/>
        </w:trPr>
        <w:tc>
          <w:tcPr>
            <w:tcW w:w="2263" w:type="dxa"/>
            <w:shd w:val="clear" w:color="auto" w:fill="auto"/>
            <w:noWrap/>
          </w:tcPr>
          <w:p w14:paraId="6FDFEFE5"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lastRenderedPageBreak/>
              <w:t>TNFα</w:t>
            </w:r>
          </w:p>
        </w:tc>
        <w:tc>
          <w:tcPr>
            <w:tcW w:w="851" w:type="dxa"/>
            <w:shd w:val="clear" w:color="auto" w:fill="auto"/>
            <w:noWrap/>
          </w:tcPr>
          <w:p w14:paraId="7D03067E"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Rabbit</w:t>
            </w:r>
          </w:p>
        </w:tc>
        <w:tc>
          <w:tcPr>
            <w:tcW w:w="1276" w:type="dxa"/>
            <w:shd w:val="clear" w:color="auto" w:fill="auto"/>
            <w:noWrap/>
          </w:tcPr>
          <w:p w14:paraId="781D1BF6"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1:100</w:t>
            </w:r>
          </w:p>
        </w:tc>
        <w:tc>
          <w:tcPr>
            <w:tcW w:w="1559" w:type="dxa"/>
          </w:tcPr>
          <w:p w14:paraId="0FC6A6E1"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ab6671</w:t>
            </w:r>
          </w:p>
        </w:tc>
        <w:tc>
          <w:tcPr>
            <w:tcW w:w="2693" w:type="dxa"/>
            <w:shd w:val="clear" w:color="auto" w:fill="auto"/>
            <w:noWrap/>
          </w:tcPr>
          <w:p w14:paraId="52FCB89D" w14:textId="77777777" w:rsidR="0025251D" w:rsidRPr="003A5293" w:rsidRDefault="0025251D" w:rsidP="0025251D">
            <w:pPr>
              <w:spacing w:line="480" w:lineRule="auto"/>
              <w:jc w:val="center"/>
              <w:rPr>
                <w:rFonts w:ascii="Arial" w:hAnsi="Arial" w:cs="Arial"/>
                <w:color w:val="000000"/>
                <w:sz w:val="20"/>
                <w:szCs w:val="20"/>
                <w:lang w:val="en-US"/>
              </w:rPr>
            </w:pPr>
            <w:r w:rsidRPr="003A5293">
              <w:rPr>
                <w:rFonts w:ascii="Arial" w:hAnsi="Arial" w:cs="Arial"/>
                <w:color w:val="000000"/>
                <w:sz w:val="20"/>
                <w:szCs w:val="20"/>
                <w:lang w:val="en-US"/>
              </w:rPr>
              <w:t>Abcam</w:t>
            </w:r>
          </w:p>
        </w:tc>
      </w:tr>
    </w:tbl>
    <w:p w14:paraId="1161B9EA" w14:textId="77777777" w:rsidR="00B92DBD" w:rsidRPr="003A5293" w:rsidRDefault="00B92DBD" w:rsidP="00B92DBD">
      <w:pPr>
        <w:spacing w:line="480" w:lineRule="auto"/>
        <w:jc w:val="both"/>
        <w:rPr>
          <w:rFonts w:ascii="Arial" w:hAnsi="Arial" w:cs="Arial"/>
          <w:sz w:val="22"/>
          <w:szCs w:val="22"/>
          <w:lang w:val="en-US"/>
        </w:rPr>
      </w:pPr>
    </w:p>
    <w:p w14:paraId="6D260D1D" w14:textId="77777777" w:rsidR="00933466" w:rsidRPr="003A5293" w:rsidRDefault="00933466" w:rsidP="00053BDD">
      <w:pPr>
        <w:rPr>
          <w:rFonts w:ascii="Arial" w:hAnsi="Arial" w:cs="Arial"/>
          <w:lang w:val="en-US"/>
        </w:rPr>
      </w:pPr>
      <w:r w:rsidRPr="003A5293">
        <w:rPr>
          <w:rFonts w:ascii="Arial" w:hAnsi="Arial" w:cs="Arial"/>
          <w:lang w:val="en-US"/>
        </w:rPr>
        <w:br w:type="page"/>
      </w:r>
    </w:p>
    <w:p w14:paraId="67D1F9D5" w14:textId="2E1E9AED" w:rsidR="008C7838" w:rsidRPr="003A5293" w:rsidRDefault="00053BDD" w:rsidP="008C7838">
      <w:pPr>
        <w:pStyle w:val="MainHeading2"/>
        <w:rPr>
          <w:rFonts w:cs="Arial"/>
          <w:lang w:val="en-US"/>
        </w:rPr>
      </w:pPr>
      <w:bookmarkStart w:id="54" w:name="_Toc57582529"/>
      <w:r w:rsidRPr="003A5293">
        <w:rPr>
          <w:rFonts w:cs="Arial"/>
          <w:b w:val="0"/>
          <w:bCs/>
          <w:sz w:val="48"/>
          <w:szCs w:val="48"/>
          <w:lang w:val="en-US"/>
        </w:rPr>
        <w:lastRenderedPageBreak/>
        <w:t>8</w:t>
      </w:r>
      <w:r w:rsidR="008C7838" w:rsidRPr="003A5293">
        <w:rPr>
          <w:rFonts w:cs="Arial"/>
          <w:b w:val="0"/>
          <w:bCs/>
          <w:sz w:val="48"/>
          <w:szCs w:val="48"/>
          <w:lang w:val="en-US"/>
        </w:rPr>
        <w:t>.</w:t>
      </w:r>
      <w:r w:rsidR="008C7838" w:rsidRPr="003A5293">
        <w:rPr>
          <w:rFonts w:cs="Arial"/>
          <w:lang w:val="en-US"/>
        </w:rPr>
        <w:t xml:space="preserve"> </w:t>
      </w:r>
      <w:r w:rsidR="004956BF" w:rsidRPr="003A5293">
        <w:rPr>
          <w:rFonts w:cs="Arial"/>
          <w:lang w:val="en-US"/>
        </w:rPr>
        <w:t>Acronyms and abbreviations</w:t>
      </w:r>
      <w:bookmarkEnd w:id="54"/>
    </w:p>
    <w:p w14:paraId="7D6A5A95" w14:textId="77777777" w:rsidR="002E51C4" w:rsidRPr="003A5293" w:rsidRDefault="002E51C4" w:rsidP="00F30EE5">
      <w:pPr>
        <w:spacing w:line="360" w:lineRule="auto"/>
        <w:rPr>
          <w:rFonts w:ascii="Arial" w:hAnsi="Arial" w:cs="Arial"/>
          <w:sz w:val="22"/>
          <w:szCs w:val="22"/>
          <w:lang w:val="en-US"/>
        </w:rPr>
      </w:pPr>
    </w:p>
    <w:p w14:paraId="74221025"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8-OG</w:t>
      </w:r>
      <w:r w:rsidRPr="00F34A7C">
        <w:rPr>
          <w:rFonts w:ascii="Arial" w:hAnsi="Arial" w:cs="Arial"/>
          <w:sz w:val="22"/>
          <w:szCs w:val="22"/>
          <w:lang w:val="en-US"/>
        </w:rPr>
        <w:tab/>
        <w:t>8-oxoguanine</w:t>
      </w:r>
    </w:p>
    <w:p w14:paraId="59D24BC2"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8-oxoG</w:t>
      </w:r>
      <w:r w:rsidRPr="00F34A7C">
        <w:rPr>
          <w:rFonts w:ascii="Arial" w:hAnsi="Arial" w:cs="Arial"/>
          <w:sz w:val="22"/>
          <w:szCs w:val="22"/>
          <w:lang w:val="en-US"/>
        </w:rPr>
        <w:tab/>
        <w:t>8-oxoguanine</w:t>
      </w:r>
    </w:p>
    <w:p w14:paraId="73B1361A"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AML</w:t>
      </w:r>
      <w:r w:rsidRPr="00F34A7C">
        <w:rPr>
          <w:rFonts w:ascii="Arial" w:hAnsi="Arial" w:cs="Arial"/>
          <w:sz w:val="22"/>
          <w:szCs w:val="22"/>
          <w:lang w:val="en-US"/>
        </w:rPr>
        <w:tab/>
        <w:t>acute myeloid leukemia</w:t>
      </w:r>
    </w:p>
    <w:p w14:paraId="70758179"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 xml:space="preserve">ASXL1 </w:t>
      </w:r>
      <w:r w:rsidRPr="00F34A7C">
        <w:rPr>
          <w:rFonts w:ascii="Arial" w:hAnsi="Arial" w:cs="Arial"/>
          <w:sz w:val="22"/>
          <w:szCs w:val="22"/>
          <w:lang w:val="en-US"/>
        </w:rPr>
        <w:tab/>
        <w:t>ASXL transcriptional regulator 1</w:t>
      </w:r>
    </w:p>
    <w:p w14:paraId="66F4ECE0"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ATM</w:t>
      </w:r>
      <w:r w:rsidRPr="00F34A7C">
        <w:rPr>
          <w:rFonts w:ascii="Arial" w:hAnsi="Arial" w:cs="Arial"/>
          <w:sz w:val="22"/>
          <w:szCs w:val="22"/>
          <w:lang w:val="en-US"/>
        </w:rPr>
        <w:tab/>
      </w:r>
      <w:proofErr w:type="spellStart"/>
      <w:r w:rsidRPr="00F34A7C">
        <w:rPr>
          <w:rFonts w:ascii="Arial" w:hAnsi="Arial" w:cs="Arial"/>
          <w:sz w:val="22"/>
          <w:szCs w:val="22"/>
          <w:lang w:val="en-US"/>
        </w:rPr>
        <w:t>ATM</w:t>
      </w:r>
      <w:proofErr w:type="spellEnd"/>
      <w:r w:rsidRPr="00F34A7C">
        <w:rPr>
          <w:rFonts w:ascii="Arial" w:hAnsi="Arial" w:cs="Arial"/>
          <w:sz w:val="22"/>
          <w:szCs w:val="22"/>
          <w:lang w:val="en-US"/>
        </w:rPr>
        <w:t xml:space="preserve"> serine/threonine kinase</w:t>
      </w:r>
    </w:p>
    <w:p w14:paraId="5D303932"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ATR</w:t>
      </w:r>
      <w:r w:rsidRPr="00F34A7C">
        <w:rPr>
          <w:rFonts w:ascii="Arial" w:hAnsi="Arial" w:cs="Arial"/>
          <w:sz w:val="22"/>
          <w:szCs w:val="22"/>
          <w:lang w:val="en-US"/>
        </w:rPr>
        <w:tab/>
      </w:r>
      <w:proofErr w:type="spellStart"/>
      <w:r w:rsidRPr="00F34A7C">
        <w:rPr>
          <w:rFonts w:ascii="Arial" w:hAnsi="Arial" w:cs="Arial"/>
          <w:sz w:val="22"/>
          <w:szCs w:val="22"/>
          <w:lang w:val="en-US"/>
        </w:rPr>
        <w:t>ATR</w:t>
      </w:r>
      <w:proofErr w:type="spellEnd"/>
      <w:r w:rsidRPr="00F34A7C">
        <w:rPr>
          <w:rFonts w:ascii="Arial" w:hAnsi="Arial" w:cs="Arial"/>
          <w:sz w:val="22"/>
          <w:szCs w:val="22"/>
          <w:lang w:val="en-US"/>
        </w:rPr>
        <w:t xml:space="preserve"> serine/threonine kinase</w:t>
      </w:r>
    </w:p>
    <w:p w14:paraId="1E0F1B9E"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B2M</w:t>
      </w:r>
      <w:r w:rsidRPr="00F34A7C">
        <w:rPr>
          <w:rFonts w:ascii="Arial" w:hAnsi="Arial" w:cs="Arial"/>
          <w:sz w:val="22"/>
          <w:szCs w:val="22"/>
          <w:lang w:val="en-US"/>
        </w:rPr>
        <w:tab/>
        <w:t>beta-2-microglobulin</w:t>
      </w:r>
    </w:p>
    <w:p w14:paraId="44A337D1"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 xml:space="preserve">Ba/F3 </w:t>
      </w:r>
      <w:r w:rsidRPr="00F34A7C">
        <w:rPr>
          <w:rFonts w:ascii="Arial" w:hAnsi="Arial" w:cs="Arial"/>
          <w:sz w:val="22"/>
          <w:szCs w:val="22"/>
          <w:lang w:val="en-US"/>
        </w:rPr>
        <w:tab/>
      </w:r>
      <w:proofErr w:type="spellStart"/>
      <w:r w:rsidRPr="00F34A7C">
        <w:rPr>
          <w:rFonts w:ascii="Arial" w:hAnsi="Arial" w:cs="Arial"/>
          <w:sz w:val="22"/>
          <w:szCs w:val="22"/>
          <w:lang w:val="en-US"/>
        </w:rPr>
        <w:t>cellosaurus</w:t>
      </w:r>
      <w:proofErr w:type="spellEnd"/>
      <w:r w:rsidRPr="00F34A7C">
        <w:rPr>
          <w:rFonts w:ascii="Arial" w:hAnsi="Arial" w:cs="Arial"/>
          <w:sz w:val="22"/>
          <w:szCs w:val="22"/>
          <w:lang w:val="en-US"/>
        </w:rPr>
        <w:t xml:space="preserve"> cell line Ba/F3</w:t>
      </w:r>
    </w:p>
    <w:p w14:paraId="44A12857"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BCI</w:t>
      </w:r>
      <w:r w:rsidRPr="00F34A7C">
        <w:rPr>
          <w:rFonts w:ascii="Arial" w:hAnsi="Arial" w:cs="Arial"/>
          <w:sz w:val="22"/>
          <w:szCs w:val="22"/>
          <w:lang w:val="en-US"/>
        </w:rPr>
        <w:tab/>
        <w:t>(E)-2-benzylidene-3-(</w:t>
      </w:r>
      <w:proofErr w:type="spellStart"/>
      <w:r w:rsidRPr="00F34A7C">
        <w:rPr>
          <w:rFonts w:ascii="Arial" w:hAnsi="Arial" w:cs="Arial"/>
          <w:sz w:val="22"/>
          <w:szCs w:val="22"/>
          <w:lang w:val="en-US"/>
        </w:rPr>
        <w:t>cyclohexylamino</w:t>
      </w:r>
      <w:proofErr w:type="spellEnd"/>
      <w:r w:rsidRPr="00F34A7C">
        <w:rPr>
          <w:rFonts w:ascii="Arial" w:hAnsi="Arial" w:cs="Arial"/>
          <w:sz w:val="22"/>
          <w:szCs w:val="22"/>
          <w:lang w:val="en-US"/>
        </w:rPr>
        <w:t>)-2,3-dihydro-1H-inden-1-one</w:t>
      </w:r>
    </w:p>
    <w:p w14:paraId="75955C28"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BM</w:t>
      </w:r>
      <w:r w:rsidRPr="00F34A7C">
        <w:rPr>
          <w:rFonts w:ascii="Arial" w:hAnsi="Arial" w:cs="Arial"/>
          <w:sz w:val="22"/>
          <w:szCs w:val="22"/>
          <w:lang w:val="en-US"/>
        </w:rPr>
        <w:tab/>
        <w:t>bone marrow</w:t>
      </w:r>
    </w:p>
    <w:p w14:paraId="7DFD6077"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BMP-4</w:t>
      </w:r>
      <w:r w:rsidRPr="00F34A7C">
        <w:rPr>
          <w:rFonts w:ascii="Arial" w:hAnsi="Arial" w:cs="Arial"/>
          <w:sz w:val="22"/>
          <w:szCs w:val="22"/>
          <w:lang w:val="en-US"/>
        </w:rPr>
        <w:tab/>
        <w:t>bone morphogenetic protein 4</w:t>
      </w:r>
    </w:p>
    <w:p w14:paraId="7C6AB1D5" w14:textId="77777777" w:rsidR="00F34A7C" w:rsidRPr="00F34A7C" w:rsidRDefault="00F34A7C" w:rsidP="00F34A7C">
      <w:pPr>
        <w:spacing w:line="360" w:lineRule="auto"/>
        <w:ind w:left="2120" w:hanging="2120"/>
        <w:rPr>
          <w:rFonts w:ascii="Arial" w:hAnsi="Arial" w:cs="Arial"/>
          <w:sz w:val="22"/>
          <w:szCs w:val="22"/>
          <w:lang w:val="en-US"/>
        </w:rPr>
      </w:pPr>
      <w:proofErr w:type="spellStart"/>
      <w:r w:rsidRPr="00F34A7C">
        <w:rPr>
          <w:rFonts w:ascii="Arial" w:hAnsi="Arial" w:cs="Arial"/>
          <w:sz w:val="22"/>
          <w:szCs w:val="22"/>
          <w:lang w:val="en-US"/>
        </w:rPr>
        <w:t>BrdU</w:t>
      </w:r>
      <w:proofErr w:type="spellEnd"/>
      <w:r w:rsidRPr="00F34A7C">
        <w:rPr>
          <w:rFonts w:ascii="Arial" w:hAnsi="Arial" w:cs="Arial"/>
          <w:sz w:val="22"/>
          <w:szCs w:val="22"/>
          <w:lang w:val="en-US"/>
        </w:rPr>
        <w:tab/>
        <w:t>5-Bromo-2′-deoxyuridine (nucleotide analog)</w:t>
      </w:r>
    </w:p>
    <w:p w14:paraId="24353B48" w14:textId="77777777" w:rsidR="00F34A7C" w:rsidRPr="00452D46" w:rsidRDefault="00F34A7C" w:rsidP="00F34A7C">
      <w:pPr>
        <w:spacing w:line="360" w:lineRule="auto"/>
        <w:ind w:left="2120" w:hanging="2120"/>
        <w:rPr>
          <w:rFonts w:ascii="Arial" w:hAnsi="Arial" w:cs="Arial"/>
          <w:sz w:val="22"/>
          <w:szCs w:val="22"/>
          <w:lang w:val="en-US"/>
        </w:rPr>
      </w:pPr>
      <w:r w:rsidRPr="00452D46">
        <w:rPr>
          <w:rFonts w:ascii="Arial" w:hAnsi="Arial" w:cs="Arial"/>
          <w:sz w:val="22"/>
          <w:szCs w:val="22"/>
          <w:lang w:val="en-US"/>
        </w:rPr>
        <w:t>BSA</w:t>
      </w:r>
      <w:r w:rsidRPr="00452D46">
        <w:rPr>
          <w:rFonts w:ascii="Arial" w:hAnsi="Arial" w:cs="Arial"/>
          <w:sz w:val="22"/>
          <w:szCs w:val="22"/>
          <w:lang w:val="en-US"/>
        </w:rPr>
        <w:tab/>
        <w:t>bovine serum albumin</w:t>
      </w:r>
    </w:p>
    <w:p w14:paraId="3078BECC"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c-Kit</w:t>
      </w:r>
      <w:r w:rsidRPr="00F34A7C">
        <w:rPr>
          <w:rFonts w:ascii="Arial" w:hAnsi="Arial" w:cs="Arial"/>
          <w:sz w:val="22"/>
          <w:szCs w:val="22"/>
          <w:lang w:val="en-US"/>
        </w:rPr>
        <w:tab/>
        <w:t>KIT proto-oncogene receptor tyrosine kinase</w:t>
      </w:r>
    </w:p>
    <w:p w14:paraId="233C6FB4" w14:textId="77777777" w:rsid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Cas9</w:t>
      </w:r>
      <w:r w:rsidRPr="00F34A7C">
        <w:rPr>
          <w:rFonts w:ascii="Arial" w:hAnsi="Arial" w:cs="Arial"/>
          <w:sz w:val="22"/>
          <w:szCs w:val="22"/>
          <w:lang w:val="en-US"/>
        </w:rPr>
        <w:tab/>
        <w:t>CRISPR associated protein 9</w:t>
      </w:r>
    </w:p>
    <w:p w14:paraId="60960CD4" w14:textId="77777777" w:rsidR="00EB3BC9" w:rsidRPr="00F34A7C" w:rsidRDefault="00EB3BC9" w:rsidP="00F34A7C">
      <w:pPr>
        <w:spacing w:line="360" w:lineRule="auto"/>
        <w:ind w:left="2120" w:hanging="2120"/>
        <w:rPr>
          <w:rFonts w:ascii="Arial" w:hAnsi="Arial" w:cs="Arial"/>
          <w:sz w:val="22"/>
          <w:szCs w:val="22"/>
          <w:lang w:val="en-US"/>
        </w:rPr>
      </w:pPr>
      <w:r>
        <w:rPr>
          <w:rFonts w:ascii="Arial" w:hAnsi="Arial" w:cs="Arial"/>
          <w:sz w:val="22"/>
          <w:szCs w:val="22"/>
          <w:lang w:val="en-US"/>
        </w:rPr>
        <w:t>CBC</w:t>
      </w:r>
      <w:r>
        <w:rPr>
          <w:rFonts w:ascii="Arial" w:hAnsi="Arial" w:cs="Arial"/>
          <w:sz w:val="22"/>
          <w:szCs w:val="22"/>
          <w:lang w:val="en-US"/>
        </w:rPr>
        <w:tab/>
        <w:t>complete blood count</w:t>
      </w:r>
    </w:p>
    <w:p w14:paraId="777702F2"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CCD</w:t>
      </w:r>
      <w:r w:rsidRPr="00F34A7C">
        <w:rPr>
          <w:rFonts w:ascii="Arial" w:hAnsi="Arial" w:cs="Arial"/>
          <w:sz w:val="22"/>
          <w:szCs w:val="22"/>
          <w:lang w:val="en-US"/>
        </w:rPr>
        <w:tab/>
        <w:t>charge-coupled device</w:t>
      </w:r>
    </w:p>
    <w:p w14:paraId="2BB8E744"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CCL3</w:t>
      </w:r>
      <w:r w:rsidRPr="00F34A7C">
        <w:rPr>
          <w:rFonts w:ascii="Arial" w:hAnsi="Arial" w:cs="Arial"/>
          <w:sz w:val="22"/>
          <w:szCs w:val="22"/>
          <w:lang w:val="en-US"/>
        </w:rPr>
        <w:tab/>
        <w:t>C-C motif chemokine ligand 3</w:t>
      </w:r>
    </w:p>
    <w:p w14:paraId="6F8CDE29"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CD</w:t>
      </w:r>
      <w:r w:rsidRPr="00F34A7C">
        <w:rPr>
          <w:rFonts w:ascii="Arial" w:hAnsi="Arial" w:cs="Arial"/>
          <w:sz w:val="22"/>
          <w:szCs w:val="22"/>
          <w:lang w:val="en-US"/>
        </w:rPr>
        <w:tab/>
        <w:t>Cluster of Differentiation</w:t>
      </w:r>
    </w:p>
    <w:p w14:paraId="0A33CF85"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CD34</w:t>
      </w:r>
      <w:r w:rsidRPr="00300C79">
        <w:rPr>
          <w:rFonts w:ascii="Arial" w:hAnsi="Arial" w:cs="Arial"/>
          <w:sz w:val="22"/>
          <w:szCs w:val="22"/>
          <w:vertAlign w:val="superscript"/>
          <w:lang w:val="en-US"/>
        </w:rPr>
        <w:t>+</w:t>
      </w:r>
      <w:r w:rsidRPr="00F34A7C">
        <w:rPr>
          <w:rFonts w:ascii="Arial" w:hAnsi="Arial" w:cs="Arial"/>
          <w:sz w:val="22"/>
          <w:szCs w:val="22"/>
          <w:lang w:val="en-US"/>
        </w:rPr>
        <w:t xml:space="preserve"> P-ECs</w:t>
      </w:r>
      <w:r w:rsidRPr="00F34A7C">
        <w:rPr>
          <w:rFonts w:ascii="Arial" w:hAnsi="Arial" w:cs="Arial"/>
          <w:sz w:val="22"/>
          <w:szCs w:val="22"/>
          <w:lang w:val="en-US"/>
        </w:rPr>
        <w:tab/>
        <w:t>CD34+ progenitor-enriched cultures</w:t>
      </w:r>
    </w:p>
    <w:p w14:paraId="00ACE847" w14:textId="77777777" w:rsid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cDNA</w:t>
      </w:r>
      <w:r w:rsidRPr="00F34A7C">
        <w:rPr>
          <w:rFonts w:ascii="Arial" w:hAnsi="Arial" w:cs="Arial"/>
          <w:sz w:val="22"/>
          <w:szCs w:val="22"/>
          <w:lang w:val="en-US"/>
        </w:rPr>
        <w:tab/>
        <w:t xml:space="preserve">complementary DNA </w:t>
      </w:r>
    </w:p>
    <w:p w14:paraId="04579FCC" w14:textId="60EC98E7" w:rsidR="00EB3BC9" w:rsidRPr="00F34A7C" w:rsidRDefault="00EB3BC9" w:rsidP="00F34A7C">
      <w:pPr>
        <w:spacing w:line="360" w:lineRule="auto"/>
        <w:ind w:left="2120" w:hanging="2120"/>
        <w:rPr>
          <w:rFonts w:ascii="Arial" w:hAnsi="Arial" w:cs="Arial"/>
          <w:sz w:val="22"/>
          <w:szCs w:val="22"/>
          <w:lang w:val="en-US"/>
        </w:rPr>
      </w:pPr>
      <w:r w:rsidRPr="00EB3BC9">
        <w:rPr>
          <w:rFonts w:ascii="Arial" w:hAnsi="Arial" w:cs="Arial"/>
          <w:sz w:val="22"/>
          <w:szCs w:val="22"/>
          <w:lang w:val="en-US"/>
        </w:rPr>
        <w:t xml:space="preserve">CFU-E </w:t>
      </w:r>
      <w:r>
        <w:rPr>
          <w:rFonts w:ascii="Arial" w:hAnsi="Arial" w:cs="Arial"/>
          <w:sz w:val="22"/>
          <w:szCs w:val="22"/>
          <w:lang w:val="en-US"/>
        </w:rPr>
        <w:tab/>
      </w:r>
      <w:r w:rsidRPr="00EB3BC9">
        <w:rPr>
          <w:rFonts w:ascii="Arial" w:hAnsi="Arial" w:cs="Arial"/>
          <w:sz w:val="22"/>
          <w:szCs w:val="22"/>
          <w:lang w:val="en-US"/>
        </w:rPr>
        <w:t>colony forming unit erythro</w:t>
      </w:r>
      <w:r w:rsidR="00653992">
        <w:rPr>
          <w:rFonts w:ascii="Arial" w:hAnsi="Arial" w:cs="Arial"/>
          <w:sz w:val="22"/>
          <w:szCs w:val="22"/>
          <w:lang w:val="en-US"/>
        </w:rPr>
        <w:t>id</w:t>
      </w:r>
    </w:p>
    <w:p w14:paraId="309A0AD6"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CHEK2</w:t>
      </w:r>
      <w:r w:rsidRPr="00F34A7C">
        <w:rPr>
          <w:rFonts w:ascii="Arial" w:hAnsi="Arial" w:cs="Arial"/>
          <w:sz w:val="22"/>
          <w:szCs w:val="22"/>
          <w:lang w:val="en-US"/>
        </w:rPr>
        <w:tab/>
        <w:t>checkpoint kinase 2</w:t>
      </w:r>
    </w:p>
    <w:p w14:paraId="209E7BC9"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Chk1</w:t>
      </w:r>
      <w:r w:rsidRPr="00F34A7C">
        <w:rPr>
          <w:rFonts w:ascii="Arial" w:hAnsi="Arial" w:cs="Arial"/>
          <w:sz w:val="22"/>
          <w:szCs w:val="22"/>
          <w:lang w:val="en-US"/>
        </w:rPr>
        <w:tab/>
        <w:t>checkpoint kinase 1</w:t>
      </w:r>
    </w:p>
    <w:p w14:paraId="7AFF7F82" w14:textId="77777777" w:rsid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CML</w:t>
      </w:r>
      <w:r w:rsidRPr="00F34A7C">
        <w:rPr>
          <w:rFonts w:ascii="Arial" w:hAnsi="Arial" w:cs="Arial"/>
          <w:sz w:val="22"/>
          <w:szCs w:val="22"/>
          <w:lang w:val="en-US"/>
        </w:rPr>
        <w:tab/>
        <w:t>chronic myeloid leukemia</w:t>
      </w:r>
    </w:p>
    <w:p w14:paraId="36CB8A3D" w14:textId="6FB2D31F" w:rsidR="00EB3BC9" w:rsidRPr="00F34A7C" w:rsidRDefault="00EB3BC9" w:rsidP="00F34A7C">
      <w:pPr>
        <w:spacing w:line="360" w:lineRule="auto"/>
        <w:ind w:left="2120" w:hanging="2120"/>
        <w:rPr>
          <w:rFonts w:ascii="Arial" w:hAnsi="Arial" w:cs="Arial"/>
          <w:sz w:val="22"/>
          <w:szCs w:val="22"/>
          <w:lang w:val="en-US"/>
        </w:rPr>
      </w:pPr>
      <w:r w:rsidRPr="00EB3BC9">
        <w:rPr>
          <w:rFonts w:ascii="Arial" w:hAnsi="Arial" w:cs="Arial"/>
          <w:sz w:val="22"/>
          <w:szCs w:val="22"/>
          <w:lang w:val="en-US"/>
        </w:rPr>
        <w:t>CMP</w:t>
      </w:r>
      <w:r>
        <w:rPr>
          <w:rFonts w:ascii="Arial" w:hAnsi="Arial" w:cs="Arial"/>
          <w:sz w:val="22"/>
          <w:szCs w:val="22"/>
          <w:lang w:val="en-US"/>
        </w:rPr>
        <w:tab/>
      </w:r>
      <w:r w:rsidRPr="00EB3BC9">
        <w:rPr>
          <w:rFonts w:ascii="Arial" w:hAnsi="Arial" w:cs="Arial"/>
          <w:sz w:val="22"/>
          <w:szCs w:val="22"/>
          <w:lang w:val="en-US"/>
        </w:rPr>
        <w:t>common myeloid progenitor</w:t>
      </w:r>
    </w:p>
    <w:p w14:paraId="39830686" w14:textId="77777777" w:rsidR="00F34A7C" w:rsidRPr="00F34A7C" w:rsidRDefault="00F34A7C" w:rsidP="00F34A7C">
      <w:pPr>
        <w:spacing w:line="360" w:lineRule="auto"/>
        <w:ind w:left="2120" w:hanging="2120"/>
        <w:rPr>
          <w:rFonts w:ascii="Arial" w:hAnsi="Arial" w:cs="Arial"/>
          <w:sz w:val="22"/>
          <w:szCs w:val="22"/>
          <w:lang w:val="en-US"/>
        </w:rPr>
      </w:pPr>
      <w:proofErr w:type="spellStart"/>
      <w:r w:rsidRPr="00F34A7C">
        <w:rPr>
          <w:rFonts w:ascii="Arial" w:hAnsi="Arial" w:cs="Arial"/>
          <w:sz w:val="22"/>
          <w:szCs w:val="22"/>
          <w:lang w:val="en-US"/>
        </w:rPr>
        <w:t>Cre</w:t>
      </w:r>
      <w:proofErr w:type="spellEnd"/>
      <w:r w:rsidRPr="00F34A7C">
        <w:rPr>
          <w:rFonts w:ascii="Arial" w:hAnsi="Arial" w:cs="Arial"/>
          <w:sz w:val="22"/>
          <w:szCs w:val="22"/>
          <w:lang w:val="en-US"/>
        </w:rPr>
        <w:tab/>
        <w:t>cyclization recombinase</w:t>
      </w:r>
    </w:p>
    <w:p w14:paraId="729E1DA4"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CRISPR</w:t>
      </w:r>
      <w:r w:rsidRPr="00F34A7C">
        <w:rPr>
          <w:rFonts w:ascii="Arial" w:hAnsi="Arial" w:cs="Arial"/>
          <w:sz w:val="22"/>
          <w:szCs w:val="22"/>
          <w:lang w:val="en-US"/>
        </w:rPr>
        <w:tab/>
        <w:t>clustered regularly interspaced short palindromic repeats</w:t>
      </w:r>
    </w:p>
    <w:p w14:paraId="36E40A0D"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CXCL10</w:t>
      </w:r>
      <w:r w:rsidRPr="00F34A7C">
        <w:rPr>
          <w:rFonts w:ascii="Arial" w:hAnsi="Arial" w:cs="Arial"/>
          <w:sz w:val="22"/>
          <w:szCs w:val="22"/>
          <w:lang w:val="en-US"/>
        </w:rPr>
        <w:tab/>
        <w:t>C-X-C motif chemokine ligand 10</w:t>
      </w:r>
    </w:p>
    <w:p w14:paraId="656256BC"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CXCL9</w:t>
      </w:r>
      <w:r w:rsidRPr="00F34A7C">
        <w:rPr>
          <w:rFonts w:ascii="Arial" w:hAnsi="Arial" w:cs="Arial"/>
          <w:sz w:val="22"/>
          <w:szCs w:val="22"/>
          <w:lang w:val="en-US"/>
        </w:rPr>
        <w:tab/>
        <w:t>C-X-C motif chemokine ligand 9</w:t>
      </w:r>
    </w:p>
    <w:p w14:paraId="08A6451D"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DAPI</w:t>
      </w:r>
      <w:r w:rsidRPr="00F34A7C">
        <w:rPr>
          <w:rFonts w:ascii="Arial" w:hAnsi="Arial" w:cs="Arial"/>
          <w:sz w:val="22"/>
          <w:szCs w:val="22"/>
          <w:lang w:val="en-US"/>
        </w:rPr>
        <w:tab/>
        <w:t>4′,6-diamidino-2-phenylindole</w:t>
      </w:r>
    </w:p>
    <w:p w14:paraId="6DB622B4"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DDR</w:t>
      </w:r>
      <w:r w:rsidRPr="00F34A7C">
        <w:rPr>
          <w:rFonts w:ascii="Arial" w:hAnsi="Arial" w:cs="Arial"/>
          <w:sz w:val="22"/>
          <w:szCs w:val="22"/>
          <w:lang w:val="en-US"/>
        </w:rPr>
        <w:tab/>
        <w:t>DNA damage response</w:t>
      </w:r>
    </w:p>
    <w:p w14:paraId="7F5E43EE"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DEGs</w:t>
      </w:r>
      <w:r w:rsidRPr="00F34A7C">
        <w:rPr>
          <w:rFonts w:ascii="Arial" w:hAnsi="Arial" w:cs="Arial"/>
          <w:sz w:val="22"/>
          <w:szCs w:val="22"/>
          <w:lang w:val="en-US"/>
        </w:rPr>
        <w:tab/>
        <w:t>differentially expressed genes</w:t>
      </w:r>
    </w:p>
    <w:p w14:paraId="5E60FB11"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lastRenderedPageBreak/>
        <w:t>DKK-1</w:t>
      </w:r>
      <w:r w:rsidRPr="00F34A7C">
        <w:rPr>
          <w:rFonts w:ascii="Arial" w:hAnsi="Arial" w:cs="Arial"/>
          <w:sz w:val="22"/>
          <w:szCs w:val="22"/>
          <w:lang w:val="en-US"/>
        </w:rPr>
        <w:tab/>
      </w:r>
      <w:proofErr w:type="spellStart"/>
      <w:r w:rsidRPr="00F34A7C">
        <w:rPr>
          <w:rFonts w:ascii="Arial" w:hAnsi="Arial" w:cs="Arial"/>
          <w:sz w:val="22"/>
          <w:szCs w:val="22"/>
          <w:lang w:val="en-US"/>
        </w:rPr>
        <w:t>dickkopf</w:t>
      </w:r>
      <w:proofErr w:type="spellEnd"/>
      <w:r w:rsidRPr="00F34A7C">
        <w:rPr>
          <w:rFonts w:ascii="Arial" w:hAnsi="Arial" w:cs="Arial"/>
          <w:sz w:val="22"/>
          <w:szCs w:val="22"/>
          <w:lang w:val="en-US"/>
        </w:rPr>
        <w:t>-related protein 1</w:t>
      </w:r>
    </w:p>
    <w:p w14:paraId="498CB3E3"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DMEM</w:t>
      </w:r>
      <w:r w:rsidRPr="00F34A7C">
        <w:rPr>
          <w:rFonts w:ascii="Arial" w:hAnsi="Arial" w:cs="Arial"/>
          <w:sz w:val="22"/>
          <w:szCs w:val="22"/>
          <w:lang w:val="en-US"/>
        </w:rPr>
        <w:tab/>
      </w:r>
      <w:proofErr w:type="spellStart"/>
      <w:r w:rsidRPr="00F34A7C">
        <w:rPr>
          <w:rFonts w:ascii="Arial" w:hAnsi="Arial" w:cs="Arial"/>
          <w:sz w:val="22"/>
          <w:szCs w:val="22"/>
          <w:lang w:val="en-US"/>
        </w:rPr>
        <w:t>dulbecco's</w:t>
      </w:r>
      <w:proofErr w:type="spellEnd"/>
      <w:r w:rsidRPr="00F34A7C">
        <w:rPr>
          <w:rFonts w:ascii="Arial" w:hAnsi="Arial" w:cs="Arial"/>
          <w:sz w:val="22"/>
          <w:szCs w:val="22"/>
          <w:lang w:val="en-US"/>
        </w:rPr>
        <w:t xml:space="preserve"> modified eagle medium</w:t>
      </w:r>
    </w:p>
    <w:p w14:paraId="35DDD6D8"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DNA</w:t>
      </w:r>
      <w:r w:rsidRPr="00F34A7C">
        <w:rPr>
          <w:rFonts w:ascii="Arial" w:hAnsi="Arial" w:cs="Arial"/>
          <w:sz w:val="22"/>
          <w:szCs w:val="22"/>
          <w:lang w:val="en-US"/>
        </w:rPr>
        <w:tab/>
        <w:t>Deoxyribonucleic acid</w:t>
      </w:r>
    </w:p>
    <w:p w14:paraId="1A87EBF8"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DNMT3A</w:t>
      </w:r>
      <w:r w:rsidRPr="00F34A7C">
        <w:rPr>
          <w:rFonts w:ascii="Arial" w:hAnsi="Arial" w:cs="Arial"/>
          <w:sz w:val="22"/>
          <w:szCs w:val="22"/>
          <w:lang w:val="en-US"/>
        </w:rPr>
        <w:tab/>
        <w:t>DNA (cytosine-5)-methyltransferase 3A</w:t>
      </w:r>
    </w:p>
    <w:p w14:paraId="6B745837"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DSB</w:t>
      </w:r>
      <w:r w:rsidRPr="00F34A7C">
        <w:rPr>
          <w:rFonts w:ascii="Arial" w:hAnsi="Arial" w:cs="Arial"/>
          <w:sz w:val="22"/>
          <w:szCs w:val="22"/>
          <w:lang w:val="en-US"/>
        </w:rPr>
        <w:tab/>
        <w:t>double-strand break</w:t>
      </w:r>
    </w:p>
    <w:p w14:paraId="69692EFD" w14:textId="3A5A3A1B"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dsDNA</w:t>
      </w:r>
      <w:r w:rsidRPr="00F34A7C">
        <w:rPr>
          <w:rFonts w:ascii="Arial" w:hAnsi="Arial" w:cs="Arial"/>
          <w:sz w:val="22"/>
          <w:szCs w:val="22"/>
          <w:lang w:val="en-US"/>
        </w:rPr>
        <w:tab/>
        <w:t>double-stranded D</w:t>
      </w:r>
      <w:r w:rsidR="005B40AB">
        <w:rPr>
          <w:rFonts w:ascii="Arial" w:hAnsi="Arial" w:cs="Arial"/>
          <w:sz w:val="22"/>
          <w:szCs w:val="22"/>
          <w:lang w:val="en-US"/>
        </w:rPr>
        <w:t>NA</w:t>
      </w:r>
    </w:p>
    <w:p w14:paraId="033C873E"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DUSP</w:t>
      </w:r>
      <w:r w:rsidRPr="00F34A7C">
        <w:rPr>
          <w:rFonts w:ascii="Arial" w:hAnsi="Arial" w:cs="Arial"/>
          <w:sz w:val="22"/>
          <w:szCs w:val="22"/>
          <w:lang w:val="en-US"/>
        </w:rPr>
        <w:tab/>
        <w:t>dual-specificity phosphatase</w:t>
      </w:r>
    </w:p>
    <w:p w14:paraId="441CF525"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EB</w:t>
      </w:r>
      <w:r w:rsidRPr="00F34A7C">
        <w:rPr>
          <w:rFonts w:ascii="Arial" w:hAnsi="Arial" w:cs="Arial"/>
          <w:sz w:val="22"/>
          <w:szCs w:val="22"/>
          <w:lang w:val="en-US"/>
        </w:rPr>
        <w:tab/>
        <w:t>embryoid bod</w:t>
      </w:r>
      <w:r w:rsidR="00300C79">
        <w:rPr>
          <w:rFonts w:ascii="Arial" w:hAnsi="Arial" w:cs="Arial"/>
          <w:sz w:val="22"/>
          <w:szCs w:val="22"/>
          <w:lang w:val="en-US"/>
        </w:rPr>
        <w:t>y</w:t>
      </w:r>
    </w:p>
    <w:p w14:paraId="25F558F3" w14:textId="77777777" w:rsidR="00F34A7C" w:rsidRPr="00F34A7C" w:rsidRDefault="00F34A7C" w:rsidP="00F34A7C">
      <w:pPr>
        <w:spacing w:line="360" w:lineRule="auto"/>
        <w:ind w:left="2120" w:hanging="2120"/>
        <w:rPr>
          <w:rFonts w:ascii="Arial" w:hAnsi="Arial" w:cs="Arial"/>
          <w:sz w:val="22"/>
          <w:szCs w:val="22"/>
          <w:lang w:val="en-US"/>
        </w:rPr>
      </w:pPr>
      <w:proofErr w:type="spellStart"/>
      <w:r w:rsidRPr="00F34A7C">
        <w:rPr>
          <w:rFonts w:ascii="Arial" w:hAnsi="Arial" w:cs="Arial"/>
          <w:sz w:val="22"/>
          <w:szCs w:val="22"/>
          <w:lang w:val="en-US"/>
        </w:rPr>
        <w:t>Epcr</w:t>
      </w:r>
      <w:proofErr w:type="spellEnd"/>
      <w:r w:rsidRPr="00F34A7C">
        <w:rPr>
          <w:rFonts w:ascii="Arial" w:hAnsi="Arial" w:cs="Arial"/>
          <w:sz w:val="22"/>
          <w:szCs w:val="22"/>
          <w:lang w:val="en-US"/>
        </w:rPr>
        <w:tab/>
        <w:t>Endothelial protein C receptor</w:t>
      </w:r>
    </w:p>
    <w:p w14:paraId="506217DA"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EPO</w:t>
      </w:r>
      <w:r w:rsidR="003F44A2">
        <w:rPr>
          <w:rFonts w:ascii="Arial" w:hAnsi="Arial" w:cs="Arial"/>
          <w:sz w:val="22"/>
          <w:szCs w:val="22"/>
          <w:lang w:val="en-US"/>
        </w:rPr>
        <w:t xml:space="preserve">, </w:t>
      </w:r>
      <w:proofErr w:type="spellStart"/>
      <w:r w:rsidR="003F44A2">
        <w:rPr>
          <w:rFonts w:ascii="Arial" w:hAnsi="Arial" w:cs="Arial"/>
          <w:sz w:val="22"/>
          <w:szCs w:val="22"/>
          <w:lang w:val="en-US"/>
        </w:rPr>
        <w:t>Epo</w:t>
      </w:r>
      <w:proofErr w:type="spellEnd"/>
      <w:r w:rsidRPr="00F34A7C">
        <w:rPr>
          <w:rFonts w:ascii="Arial" w:hAnsi="Arial" w:cs="Arial"/>
          <w:sz w:val="22"/>
          <w:szCs w:val="22"/>
          <w:lang w:val="en-US"/>
        </w:rPr>
        <w:tab/>
        <w:t>erythropoietin</w:t>
      </w:r>
    </w:p>
    <w:p w14:paraId="5E39DB2A"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ERCC3</w:t>
      </w:r>
      <w:r w:rsidRPr="00F34A7C">
        <w:rPr>
          <w:rFonts w:ascii="Arial" w:hAnsi="Arial" w:cs="Arial"/>
          <w:sz w:val="22"/>
          <w:szCs w:val="22"/>
          <w:lang w:val="en-US"/>
        </w:rPr>
        <w:tab/>
        <w:t>ERCC excision repair 3, TFIIH core complex helicase subunit</w:t>
      </w:r>
    </w:p>
    <w:p w14:paraId="6C99B358"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ERCC5</w:t>
      </w:r>
      <w:r w:rsidRPr="00F34A7C">
        <w:rPr>
          <w:rFonts w:ascii="Arial" w:hAnsi="Arial" w:cs="Arial"/>
          <w:sz w:val="22"/>
          <w:szCs w:val="22"/>
          <w:lang w:val="en-US"/>
        </w:rPr>
        <w:tab/>
        <w:t>ERCC excision repair 5, endonuclease</w:t>
      </w:r>
    </w:p>
    <w:p w14:paraId="5F82360C"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ERK</w:t>
      </w:r>
      <w:r w:rsidRPr="00F34A7C">
        <w:rPr>
          <w:rFonts w:ascii="Arial" w:hAnsi="Arial" w:cs="Arial"/>
          <w:sz w:val="22"/>
          <w:szCs w:val="22"/>
          <w:lang w:val="en-US"/>
        </w:rPr>
        <w:tab/>
        <w:t>extracellular signal–regulated kinase</w:t>
      </w:r>
    </w:p>
    <w:p w14:paraId="21604699" w14:textId="77777777" w:rsidR="00F34A7C" w:rsidRPr="00F34A7C" w:rsidRDefault="00F34A7C" w:rsidP="00F34A7C">
      <w:pPr>
        <w:spacing w:line="360" w:lineRule="auto"/>
        <w:ind w:left="2120" w:hanging="2120"/>
        <w:rPr>
          <w:rFonts w:ascii="Arial" w:hAnsi="Arial" w:cs="Arial"/>
          <w:sz w:val="22"/>
          <w:szCs w:val="22"/>
          <w:lang w:val="en-US"/>
        </w:rPr>
      </w:pPr>
      <w:proofErr w:type="spellStart"/>
      <w:r w:rsidRPr="00F34A7C">
        <w:rPr>
          <w:rFonts w:ascii="Arial" w:hAnsi="Arial" w:cs="Arial"/>
          <w:sz w:val="22"/>
          <w:szCs w:val="22"/>
          <w:lang w:val="en-US"/>
        </w:rPr>
        <w:t>ERtm</w:t>
      </w:r>
      <w:proofErr w:type="spellEnd"/>
      <w:r w:rsidRPr="00F34A7C">
        <w:rPr>
          <w:rFonts w:ascii="Arial" w:hAnsi="Arial" w:cs="Arial"/>
          <w:sz w:val="22"/>
          <w:szCs w:val="22"/>
          <w:lang w:val="en-US"/>
        </w:rPr>
        <w:tab/>
        <w:t xml:space="preserve">truncated </w:t>
      </w:r>
      <w:r w:rsidR="00F741D5">
        <w:rPr>
          <w:rFonts w:ascii="Arial" w:hAnsi="Arial" w:cs="Arial"/>
          <w:sz w:val="22"/>
          <w:szCs w:val="22"/>
          <w:lang w:val="en-US"/>
        </w:rPr>
        <w:t xml:space="preserve">form of mutant </w:t>
      </w:r>
      <w:r w:rsidRPr="00F34A7C">
        <w:rPr>
          <w:rFonts w:ascii="Arial" w:hAnsi="Arial" w:cs="Arial"/>
          <w:sz w:val="22"/>
          <w:szCs w:val="22"/>
          <w:lang w:val="en-US"/>
        </w:rPr>
        <w:t>estrogen receptor</w:t>
      </w:r>
    </w:p>
    <w:p w14:paraId="05812611" w14:textId="77777777" w:rsidR="00F34A7C" w:rsidRPr="00F34A7C" w:rsidRDefault="00F34A7C" w:rsidP="00F34A7C">
      <w:pPr>
        <w:spacing w:line="360" w:lineRule="auto"/>
        <w:ind w:left="2120" w:hanging="2120"/>
        <w:rPr>
          <w:rFonts w:ascii="Arial" w:hAnsi="Arial" w:cs="Arial"/>
          <w:sz w:val="22"/>
          <w:szCs w:val="22"/>
          <w:lang w:val="en-US"/>
        </w:rPr>
      </w:pPr>
      <w:proofErr w:type="spellStart"/>
      <w:r w:rsidRPr="00F34A7C">
        <w:rPr>
          <w:rFonts w:ascii="Arial" w:hAnsi="Arial" w:cs="Arial"/>
          <w:sz w:val="22"/>
          <w:szCs w:val="22"/>
          <w:lang w:val="en-US"/>
        </w:rPr>
        <w:t>Esam</w:t>
      </w:r>
      <w:proofErr w:type="spellEnd"/>
      <w:r w:rsidRPr="00F34A7C">
        <w:rPr>
          <w:rFonts w:ascii="Arial" w:hAnsi="Arial" w:cs="Arial"/>
          <w:sz w:val="22"/>
          <w:szCs w:val="22"/>
          <w:lang w:val="en-US"/>
        </w:rPr>
        <w:tab/>
        <w:t>endothelial cell adhesion molecule</w:t>
      </w:r>
    </w:p>
    <w:p w14:paraId="469DFC6B"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ET</w:t>
      </w:r>
      <w:r w:rsidRPr="00F34A7C">
        <w:rPr>
          <w:rFonts w:ascii="Arial" w:hAnsi="Arial" w:cs="Arial"/>
          <w:sz w:val="22"/>
          <w:szCs w:val="22"/>
          <w:lang w:val="en-US"/>
        </w:rPr>
        <w:tab/>
        <w:t>essential thrombocythemia</w:t>
      </w:r>
    </w:p>
    <w:p w14:paraId="35E96F16"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EZH2</w:t>
      </w:r>
      <w:r w:rsidRPr="00F34A7C">
        <w:rPr>
          <w:rFonts w:ascii="Arial" w:hAnsi="Arial" w:cs="Arial"/>
          <w:sz w:val="22"/>
          <w:szCs w:val="22"/>
          <w:lang w:val="en-US"/>
        </w:rPr>
        <w:tab/>
        <w:t xml:space="preserve">Enhancer of </w:t>
      </w:r>
      <w:proofErr w:type="spellStart"/>
      <w:r w:rsidRPr="00F34A7C">
        <w:rPr>
          <w:rFonts w:ascii="Arial" w:hAnsi="Arial" w:cs="Arial"/>
          <w:sz w:val="22"/>
          <w:szCs w:val="22"/>
          <w:lang w:val="en-US"/>
        </w:rPr>
        <w:t>zeste</w:t>
      </w:r>
      <w:proofErr w:type="spellEnd"/>
      <w:r w:rsidRPr="00F34A7C">
        <w:rPr>
          <w:rFonts w:ascii="Arial" w:hAnsi="Arial" w:cs="Arial"/>
          <w:sz w:val="22"/>
          <w:szCs w:val="22"/>
          <w:lang w:val="en-US"/>
        </w:rPr>
        <w:t xml:space="preserve"> homolog 2 </w:t>
      </w:r>
    </w:p>
    <w:p w14:paraId="57576D24"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FACS</w:t>
      </w:r>
      <w:r w:rsidRPr="00F34A7C">
        <w:rPr>
          <w:rFonts w:ascii="Arial" w:hAnsi="Arial" w:cs="Arial"/>
          <w:sz w:val="22"/>
          <w:szCs w:val="22"/>
          <w:lang w:val="en-US"/>
        </w:rPr>
        <w:tab/>
        <w:t>Fluorescence-activated cell sorting</w:t>
      </w:r>
    </w:p>
    <w:p w14:paraId="5002E93A"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FBS</w:t>
      </w:r>
      <w:r w:rsidRPr="00F34A7C">
        <w:rPr>
          <w:rFonts w:ascii="Arial" w:hAnsi="Arial" w:cs="Arial"/>
          <w:sz w:val="22"/>
          <w:szCs w:val="22"/>
          <w:lang w:val="en-US"/>
        </w:rPr>
        <w:tab/>
        <w:t>fetal bovine serum</w:t>
      </w:r>
    </w:p>
    <w:p w14:paraId="1ABA262C"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FGF</w:t>
      </w:r>
      <w:r w:rsidRPr="00F34A7C">
        <w:rPr>
          <w:rFonts w:ascii="Arial" w:hAnsi="Arial" w:cs="Arial"/>
          <w:sz w:val="22"/>
          <w:szCs w:val="22"/>
          <w:lang w:val="en-US"/>
        </w:rPr>
        <w:tab/>
        <w:t>fibroblast growth factor</w:t>
      </w:r>
    </w:p>
    <w:p w14:paraId="72572020"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FGF-Basic</w:t>
      </w:r>
      <w:r w:rsidRPr="00F34A7C">
        <w:rPr>
          <w:rFonts w:ascii="Arial" w:hAnsi="Arial" w:cs="Arial"/>
          <w:sz w:val="22"/>
          <w:szCs w:val="22"/>
          <w:lang w:val="en-US"/>
        </w:rPr>
        <w:tab/>
        <w:t>fibroblast growth factor-basic</w:t>
      </w:r>
    </w:p>
    <w:p w14:paraId="13786A08"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FLT3</w:t>
      </w:r>
      <w:r w:rsidRPr="00F34A7C">
        <w:rPr>
          <w:rFonts w:ascii="Arial" w:hAnsi="Arial" w:cs="Arial"/>
          <w:sz w:val="22"/>
          <w:szCs w:val="22"/>
          <w:lang w:val="en-US"/>
        </w:rPr>
        <w:tab/>
      </w:r>
      <w:proofErr w:type="spellStart"/>
      <w:r w:rsidRPr="00F34A7C">
        <w:rPr>
          <w:rFonts w:ascii="Arial" w:hAnsi="Arial" w:cs="Arial"/>
          <w:sz w:val="22"/>
          <w:szCs w:val="22"/>
          <w:lang w:val="en-US"/>
        </w:rPr>
        <w:t>fms</w:t>
      </w:r>
      <w:proofErr w:type="spellEnd"/>
      <w:r w:rsidRPr="00F34A7C">
        <w:rPr>
          <w:rFonts w:ascii="Arial" w:hAnsi="Arial" w:cs="Arial"/>
          <w:sz w:val="22"/>
          <w:szCs w:val="22"/>
          <w:lang w:val="en-US"/>
        </w:rPr>
        <w:t xml:space="preserve"> like tyrosine kinase 3</w:t>
      </w:r>
    </w:p>
    <w:p w14:paraId="0D8878DF"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FLT3LG</w:t>
      </w:r>
      <w:r w:rsidRPr="00F34A7C">
        <w:rPr>
          <w:rFonts w:ascii="Arial" w:hAnsi="Arial" w:cs="Arial"/>
          <w:sz w:val="22"/>
          <w:szCs w:val="22"/>
          <w:lang w:val="en-US"/>
        </w:rPr>
        <w:tab/>
      </w:r>
      <w:proofErr w:type="spellStart"/>
      <w:r w:rsidRPr="00F34A7C">
        <w:rPr>
          <w:rFonts w:ascii="Arial" w:hAnsi="Arial" w:cs="Arial"/>
          <w:sz w:val="22"/>
          <w:szCs w:val="22"/>
          <w:lang w:val="en-US"/>
        </w:rPr>
        <w:t>Fms</w:t>
      </w:r>
      <w:proofErr w:type="spellEnd"/>
      <w:r w:rsidRPr="00F34A7C">
        <w:rPr>
          <w:rFonts w:ascii="Arial" w:hAnsi="Arial" w:cs="Arial"/>
          <w:sz w:val="22"/>
          <w:szCs w:val="22"/>
          <w:lang w:val="en-US"/>
        </w:rPr>
        <w:t>-related tyrosine kinase 3 ligand</w:t>
      </w:r>
    </w:p>
    <w:p w14:paraId="4791ACD2" w14:textId="77777777" w:rsidR="00F34A7C" w:rsidRPr="00F34A7C" w:rsidRDefault="00F34A7C" w:rsidP="00F34A7C">
      <w:pPr>
        <w:spacing w:line="360" w:lineRule="auto"/>
        <w:ind w:left="2120" w:hanging="2120"/>
        <w:rPr>
          <w:rFonts w:ascii="Arial" w:hAnsi="Arial" w:cs="Arial"/>
          <w:sz w:val="22"/>
          <w:szCs w:val="22"/>
        </w:rPr>
      </w:pPr>
      <w:r w:rsidRPr="00F34A7C">
        <w:rPr>
          <w:rFonts w:ascii="Arial" w:hAnsi="Arial" w:cs="Arial"/>
          <w:sz w:val="22"/>
          <w:szCs w:val="22"/>
        </w:rPr>
        <w:t>G6PD</w:t>
      </w:r>
      <w:r w:rsidRPr="00F34A7C">
        <w:rPr>
          <w:rFonts w:ascii="Arial" w:hAnsi="Arial" w:cs="Arial"/>
          <w:sz w:val="22"/>
          <w:szCs w:val="22"/>
        </w:rPr>
        <w:tab/>
        <w:t xml:space="preserve">glucose-6-phosphate </w:t>
      </w:r>
      <w:proofErr w:type="spellStart"/>
      <w:r w:rsidRPr="00F34A7C">
        <w:rPr>
          <w:rFonts w:ascii="Arial" w:hAnsi="Arial" w:cs="Arial"/>
          <w:sz w:val="22"/>
          <w:szCs w:val="22"/>
        </w:rPr>
        <w:t>dehydrogenase</w:t>
      </w:r>
      <w:proofErr w:type="spellEnd"/>
    </w:p>
    <w:p w14:paraId="3A9FDBC4" w14:textId="77777777" w:rsidR="00F34A7C" w:rsidRPr="00F34A7C" w:rsidRDefault="00F34A7C" w:rsidP="00F34A7C">
      <w:pPr>
        <w:spacing w:line="360" w:lineRule="auto"/>
        <w:ind w:left="2120" w:hanging="2120"/>
        <w:rPr>
          <w:rFonts w:ascii="Arial" w:hAnsi="Arial" w:cs="Arial"/>
          <w:sz w:val="22"/>
          <w:szCs w:val="22"/>
        </w:rPr>
      </w:pPr>
      <w:r w:rsidRPr="00F34A7C">
        <w:rPr>
          <w:rFonts w:ascii="Arial" w:hAnsi="Arial" w:cs="Arial"/>
          <w:sz w:val="22"/>
          <w:szCs w:val="22"/>
        </w:rPr>
        <w:t>GBP1</w:t>
      </w:r>
      <w:r w:rsidRPr="00F34A7C">
        <w:rPr>
          <w:rFonts w:ascii="Arial" w:hAnsi="Arial" w:cs="Arial"/>
          <w:sz w:val="22"/>
          <w:szCs w:val="22"/>
        </w:rPr>
        <w:tab/>
      </w:r>
      <w:proofErr w:type="spellStart"/>
      <w:r w:rsidRPr="00F34A7C">
        <w:rPr>
          <w:rFonts w:ascii="Arial" w:hAnsi="Arial" w:cs="Arial"/>
          <w:sz w:val="22"/>
          <w:szCs w:val="22"/>
        </w:rPr>
        <w:t>guanylate</w:t>
      </w:r>
      <w:proofErr w:type="spellEnd"/>
      <w:r w:rsidRPr="00F34A7C">
        <w:rPr>
          <w:rFonts w:ascii="Arial" w:hAnsi="Arial" w:cs="Arial"/>
          <w:sz w:val="22"/>
          <w:szCs w:val="22"/>
        </w:rPr>
        <w:t xml:space="preserve"> </w:t>
      </w:r>
      <w:proofErr w:type="spellStart"/>
      <w:r w:rsidRPr="00F34A7C">
        <w:rPr>
          <w:rFonts w:ascii="Arial" w:hAnsi="Arial" w:cs="Arial"/>
          <w:sz w:val="22"/>
          <w:szCs w:val="22"/>
        </w:rPr>
        <w:t>binding</w:t>
      </w:r>
      <w:proofErr w:type="spellEnd"/>
      <w:r w:rsidRPr="00F34A7C">
        <w:rPr>
          <w:rFonts w:ascii="Arial" w:hAnsi="Arial" w:cs="Arial"/>
          <w:sz w:val="22"/>
          <w:szCs w:val="22"/>
        </w:rPr>
        <w:t xml:space="preserve"> </w:t>
      </w:r>
      <w:proofErr w:type="spellStart"/>
      <w:r w:rsidRPr="00F34A7C">
        <w:rPr>
          <w:rFonts w:ascii="Arial" w:hAnsi="Arial" w:cs="Arial"/>
          <w:sz w:val="22"/>
          <w:szCs w:val="22"/>
        </w:rPr>
        <w:t>protein</w:t>
      </w:r>
      <w:proofErr w:type="spellEnd"/>
      <w:r w:rsidRPr="00F34A7C">
        <w:rPr>
          <w:rFonts w:ascii="Arial" w:hAnsi="Arial" w:cs="Arial"/>
          <w:sz w:val="22"/>
          <w:szCs w:val="22"/>
        </w:rPr>
        <w:t xml:space="preserve"> 1</w:t>
      </w:r>
    </w:p>
    <w:p w14:paraId="21BEC220"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GBP2</w:t>
      </w:r>
      <w:r w:rsidRPr="00F34A7C">
        <w:rPr>
          <w:rFonts w:ascii="Arial" w:hAnsi="Arial" w:cs="Arial"/>
          <w:sz w:val="22"/>
          <w:szCs w:val="22"/>
          <w:lang w:val="en-US"/>
        </w:rPr>
        <w:tab/>
        <w:t>guanylate binding protein 2</w:t>
      </w:r>
    </w:p>
    <w:p w14:paraId="2E2A09E3"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GFP</w:t>
      </w:r>
      <w:r w:rsidRPr="00F34A7C">
        <w:rPr>
          <w:rFonts w:ascii="Arial" w:hAnsi="Arial" w:cs="Arial"/>
          <w:sz w:val="22"/>
          <w:szCs w:val="22"/>
          <w:lang w:val="en-US"/>
        </w:rPr>
        <w:tab/>
        <w:t>green fluorescent protein</w:t>
      </w:r>
    </w:p>
    <w:p w14:paraId="1DCA0F27" w14:textId="77777777" w:rsidR="00F34A7C" w:rsidRPr="00F34A7C" w:rsidRDefault="00F34A7C" w:rsidP="00F34A7C">
      <w:pPr>
        <w:spacing w:line="360" w:lineRule="auto"/>
        <w:ind w:left="2120" w:hanging="2120"/>
        <w:rPr>
          <w:rFonts w:ascii="Arial" w:hAnsi="Arial" w:cs="Arial"/>
          <w:sz w:val="22"/>
          <w:szCs w:val="22"/>
          <w:lang w:val="en-US"/>
        </w:rPr>
      </w:pPr>
      <w:proofErr w:type="spellStart"/>
      <w:r w:rsidRPr="00F34A7C">
        <w:rPr>
          <w:rFonts w:ascii="Arial" w:hAnsi="Arial" w:cs="Arial"/>
          <w:sz w:val="22"/>
          <w:szCs w:val="22"/>
          <w:lang w:val="en-US"/>
        </w:rPr>
        <w:t>GPx</w:t>
      </w:r>
      <w:proofErr w:type="spellEnd"/>
      <w:r w:rsidRPr="00F34A7C">
        <w:rPr>
          <w:rFonts w:ascii="Arial" w:hAnsi="Arial" w:cs="Arial"/>
          <w:sz w:val="22"/>
          <w:szCs w:val="22"/>
          <w:lang w:val="en-US"/>
        </w:rPr>
        <w:tab/>
        <w:t>glutathione peroxidase</w:t>
      </w:r>
    </w:p>
    <w:p w14:paraId="6BB3FBCB"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GR</w:t>
      </w:r>
      <w:r w:rsidRPr="00F34A7C">
        <w:rPr>
          <w:rFonts w:ascii="Arial" w:hAnsi="Arial" w:cs="Arial"/>
          <w:sz w:val="22"/>
          <w:szCs w:val="22"/>
          <w:lang w:val="en-US"/>
        </w:rPr>
        <w:tab/>
        <w:t>glutathione reductase</w:t>
      </w:r>
    </w:p>
    <w:p w14:paraId="72CF9686"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GSEA</w:t>
      </w:r>
      <w:r w:rsidRPr="00F34A7C">
        <w:rPr>
          <w:rFonts w:ascii="Arial" w:hAnsi="Arial" w:cs="Arial"/>
          <w:sz w:val="22"/>
          <w:szCs w:val="22"/>
          <w:lang w:val="en-US"/>
        </w:rPr>
        <w:tab/>
        <w:t>gene set enrichment analysis</w:t>
      </w:r>
    </w:p>
    <w:p w14:paraId="20CE9595"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HCL</w:t>
      </w:r>
      <w:r w:rsidRPr="00F34A7C">
        <w:rPr>
          <w:rFonts w:ascii="Arial" w:hAnsi="Arial" w:cs="Arial"/>
          <w:sz w:val="22"/>
          <w:szCs w:val="22"/>
          <w:lang w:val="en-US"/>
        </w:rPr>
        <w:tab/>
        <w:t>hydrochloric acid</w:t>
      </w:r>
    </w:p>
    <w:p w14:paraId="304D3532"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HEL</w:t>
      </w:r>
      <w:r w:rsidRPr="00F34A7C">
        <w:rPr>
          <w:rFonts w:ascii="Arial" w:hAnsi="Arial" w:cs="Arial"/>
          <w:sz w:val="22"/>
          <w:szCs w:val="22"/>
          <w:lang w:val="en-US"/>
        </w:rPr>
        <w:tab/>
        <w:t>human erythroleukemia cell line</w:t>
      </w:r>
    </w:p>
    <w:p w14:paraId="1CFE7E42"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HGD</w:t>
      </w:r>
      <w:r w:rsidRPr="00F34A7C">
        <w:rPr>
          <w:rFonts w:ascii="Arial" w:hAnsi="Arial" w:cs="Arial"/>
          <w:sz w:val="22"/>
          <w:szCs w:val="22"/>
          <w:lang w:val="en-US"/>
        </w:rPr>
        <w:tab/>
        <w:t>high-grade dysplasia</w:t>
      </w:r>
    </w:p>
    <w:p w14:paraId="6A3E5B34"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HK</w:t>
      </w:r>
      <w:r w:rsidRPr="00F34A7C">
        <w:rPr>
          <w:rFonts w:ascii="Arial" w:hAnsi="Arial" w:cs="Arial"/>
          <w:sz w:val="22"/>
          <w:szCs w:val="22"/>
          <w:lang w:val="en-US"/>
        </w:rPr>
        <w:tab/>
        <w:t xml:space="preserve">hexokinase </w:t>
      </w:r>
    </w:p>
    <w:p w14:paraId="753DC0B0"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HPRT1</w:t>
      </w:r>
      <w:r w:rsidRPr="00F34A7C">
        <w:rPr>
          <w:rFonts w:ascii="Arial" w:hAnsi="Arial" w:cs="Arial"/>
          <w:sz w:val="22"/>
          <w:szCs w:val="22"/>
          <w:lang w:val="en-US"/>
        </w:rPr>
        <w:tab/>
        <w:t xml:space="preserve">hypoxanthine </w:t>
      </w:r>
      <w:proofErr w:type="spellStart"/>
      <w:r w:rsidRPr="00F34A7C">
        <w:rPr>
          <w:rFonts w:ascii="Arial" w:hAnsi="Arial" w:cs="Arial"/>
          <w:sz w:val="22"/>
          <w:szCs w:val="22"/>
          <w:lang w:val="en-US"/>
        </w:rPr>
        <w:t>phosphoribosyltransferase</w:t>
      </w:r>
      <w:proofErr w:type="spellEnd"/>
      <w:r w:rsidRPr="00F34A7C">
        <w:rPr>
          <w:rFonts w:ascii="Arial" w:hAnsi="Arial" w:cs="Arial"/>
          <w:sz w:val="22"/>
          <w:szCs w:val="22"/>
          <w:lang w:val="en-US"/>
        </w:rPr>
        <w:t xml:space="preserve"> 1</w:t>
      </w:r>
    </w:p>
    <w:p w14:paraId="5D16283B"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HR</w:t>
      </w:r>
      <w:r w:rsidRPr="00F34A7C">
        <w:rPr>
          <w:rFonts w:ascii="Arial" w:hAnsi="Arial" w:cs="Arial"/>
          <w:sz w:val="22"/>
          <w:szCs w:val="22"/>
          <w:lang w:val="en-US"/>
        </w:rPr>
        <w:tab/>
        <w:t xml:space="preserve">homology-dependent recombination </w:t>
      </w:r>
    </w:p>
    <w:p w14:paraId="361248DC"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HRP</w:t>
      </w:r>
      <w:r w:rsidRPr="00F34A7C">
        <w:rPr>
          <w:rFonts w:ascii="Arial" w:hAnsi="Arial" w:cs="Arial"/>
          <w:sz w:val="22"/>
          <w:szCs w:val="22"/>
          <w:lang w:val="en-US"/>
        </w:rPr>
        <w:tab/>
        <w:t>horseradish peroxidas</w:t>
      </w:r>
      <w:r w:rsidR="005B40AB">
        <w:rPr>
          <w:rFonts w:ascii="Arial" w:hAnsi="Arial" w:cs="Arial"/>
          <w:sz w:val="22"/>
          <w:szCs w:val="22"/>
          <w:lang w:val="en-US"/>
        </w:rPr>
        <w:t>e</w:t>
      </w:r>
    </w:p>
    <w:p w14:paraId="7681E933"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lastRenderedPageBreak/>
        <w:t>HSC</w:t>
      </w:r>
      <w:r w:rsidRPr="00F34A7C">
        <w:rPr>
          <w:rFonts w:ascii="Arial" w:hAnsi="Arial" w:cs="Arial"/>
          <w:sz w:val="22"/>
          <w:szCs w:val="22"/>
          <w:lang w:val="en-US"/>
        </w:rPr>
        <w:tab/>
        <w:t>hematopoietic stem cell</w:t>
      </w:r>
    </w:p>
    <w:p w14:paraId="70DC3C17" w14:textId="77777777" w:rsidR="00F34A7C" w:rsidRPr="00F34A7C" w:rsidRDefault="00F34A7C" w:rsidP="00F34A7C">
      <w:pPr>
        <w:spacing w:line="360" w:lineRule="auto"/>
        <w:ind w:left="2120" w:hanging="2120"/>
        <w:rPr>
          <w:rFonts w:ascii="Arial" w:hAnsi="Arial" w:cs="Arial"/>
          <w:sz w:val="22"/>
          <w:szCs w:val="22"/>
        </w:rPr>
      </w:pPr>
      <w:r w:rsidRPr="00F34A7C">
        <w:rPr>
          <w:rFonts w:ascii="Arial" w:hAnsi="Arial" w:cs="Arial"/>
          <w:sz w:val="22"/>
          <w:szCs w:val="22"/>
        </w:rPr>
        <w:t>IDH1/2</w:t>
      </w:r>
      <w:r w:rsidRPr="00F34A7C">
        <w:rPr>
          <w:rFonts w:ascii="Arial" w:hAnsi="Arial" w:cs="Arial"/>
          <w:sz w:val="22"/>
          <w:szCs w:val="22"/>
        </w:rPr>
        <w:tab/>
      </w:r>
      <w:proofErr w:type="spellStart"/>
      <w:r w:rsidRPr="00F34A7C">
        <w:rPr>
          <w:rFonts w:ascii="Arial" w:hAnsi="Arial" w:cs="Arial"/>
          <w:sz w:val="22"/>
          <w:szCs w:val="22"/>
        </w:rPr>
        <w:t>isocitrate</w:t>
      </w:r>
      <w:proofErr w:type="spellEnd"/>
      <w:r w:rsidRPr="00F34A7C">
        <w:rPr>
          <w:rFonts w:ascii="Arial" w:hAnsi="Arial" w:cs="Arial"/>
          <w:sz w:val="22"/>
          <w:szCs w:val="22"/>
        </w:rPr>
        <w:t xml:space="preserve"> </w:t>
      </w:r>
      <w:proofErr w:type="spellStart"/>
      <w:r w:rsidRPr="00F34A7C">
        <w:rPr>
          <w:rFonts w:ascii="Arial" w:hAnsi="Arial" w:cs="Arial"/>
          <w:sz w:val="22"/>
          <w:szCs w:val="22"/>
        </w:rPr>
        <w:t>dehydrogenase</w:t>
      </w:r>
      <w:proofErr w:type="spellEnd"/>
      <w:r w:rsidRPr="00F34A7C">
        <w:rPr>
          <w:rFonts w:ascii="Arial" w:hAnsi="Arial" w:cs="Arial"/>
          <w:sz w:val="22"/>
          <w:szCs w:val="22"/>
        </w:rPr>
        <w:t xml:space="preserve"> (NADP(+)) 1/2</w:t>
      </w:r>
    </w:p>
    <w:p w14:paraId="4BFA3438" w14:textId="77777777" w:rsidR="00F34A7C" w:rsidRPr="00F34A7C" w:rsidRDefault="00F34A7C" w:rsidP="00F34A7C">
      <w:pPr>
        <w:spacing w:line="360" w:lineRule="auto"/>
        <w:ind w:left="2120" w:hanging="2120"/>
        <w:rPr>
          <w:rFonts w:ascii="Arial" w:hAnsi="Arial" w:cs="Arial"/>
          <w:sz w:val="22"/>
          <w:szCs w:val="22"/>
        </w:rPr>
      </w:pPr>
      <w:r w:rsidRPr="00F34A7C">
        <w:rPr>
          <w:rFonts w:ascii="Arial" w:hAnsi="Arial" w:cs="Arial"/>
          <w:sz w:val="22"/>
          <w:szCs w:val="22"/>
        </w:rPr>
        <w:t>IFN</w:t>
      </w:r>
      <w:r w:rsidRPr="00F34A7C">
        <w:rPr>
          <w:rFonts w:ascii="Arial" w:hAnsi="Arial" w:cs="Arial"/>
          <w:sz w:val="22"/>
          <w:szCs w:val="22"/>
        </w:rPr>
        <w:tab/>
      </w:r>
      <w:proofErr w:type="spellStart"/>
      <w:r w:rsidRPr="00F34A7C">
        <w:rPr>
          <w:rFonts w:ascii="Arial" w:hAnsi="Arial" w:cs="Arial"/>
          <w:sz w:val="22"/>
          <w:szCs w:val="22"/>
        </w:rPr>
        <w:t>interferon</w:t>
      </w:r>
      <w:proofErr w:type="spellEnd"/>
    </w:p>
    <w:p w14:paraId="58B2178B" w14:textId="77777777" w:rsidR="00F34A7C" w:rsidRPr="00F34A7C" w:rsidRDefault="00F34A7C" w:rsidP="00F34A7C">
      <w:pPr>
        <w:spacing w:line="360" w:lineRule="auto"/>
        <w:ind w:left="2120" w:hanging="2120"/>
        <w:rPr>
          <w:rFonts w:ascii="Arial" w:hAnsi="Arial" w:cs="Arial"/>
          <w:sz w:val="22"/>
          <w:szCs w:val="22"/>
          <w:lang w:val="en-US"/>
        </w:rPr>
      </w:pPr>
      <w:proofErr w:type="spellStart"/>
      <w:r w:rsidRPr="00F34A7C">
        <w:rPr>
          <w:rFonts w:ascii="Arial" w:hAnsi="Arial" w:cs="Arial"/>
          <w:sz w:val="22"/>
          <w:szCs w:val="22"/>
          <w:lang w:val="en-US"/>
        </w:rPr>
        <w:t>IFNγ</w:t>
      </w:r>
      <w:proofErr w:type="spellEnd"/>
      <w:r w:rsidRPr="00F34A7C">
        <w:rPr>
          <w:rFonts w:ascii="Arial" w:hAnsi="Arial" w:cs="Arial"/>
          <w:sz w:val="22"/>
          <w:szCs w:val="22"/>
          <w:lang w:val="en-US"/>
        </w:rPr>
        <w:tab/>
        <w:t>interferon gamma</w:t>
      </w:r>
    </w:p>
    <w:p w14:paraId="433E091C"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IGF-1</w:t>
      </w:r>
      <w:r w:rsidRPr="00F34A7C">
        <w:rPr>
          <w:rFonts w:ascii="Arial" w:hAnsi="Arial" w:cs="Arial"/>
          <w:sz w:val="22"/>
          <w:szCs w:val="22"/>
          <w:lang w:val="en-US"/>
        </w:rPr>
        <w:tab/>
        <w:t>Insulin-like growth factor 1</w:t>
      </w:r>
    </w:p>
    <w:p w14:paraId="3DF05A4D"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IHC</w:t>
      </w:r>
      <w:r w:rsidRPr="00F34A7C">
        <w:rPr>
          <w:rFonts w:ascii="Arial" w:hAnsi="Arial" w:cs="Arial"/>
          <w:sz w:val="22"/>
          <w:szCs w:val="22"/>
          <w:lang w:val="en-US"/>
        </w:rPr>
        <w:tab/>
        <w:t>Immunohistochemistry</w:t>
      </w:r>
    </w:p>
    <w:p w14:paraId="48C521BA"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IL</w:t>
      </w:r>
      <w:r w:rsidRPr="00F34A7C">
        <w:rPr>
          <w:rFonts w:ascii="Arial" w:hAnsi="Arial" w:cs="Arial"/>
          <w:sz w:val="22"/>
          <w:szCs w:val="22"/>
          <w:lang w:val="en-US"/>
        </w:rPr>
        <w:tab/>
        <w:t>Interleukin</w:t>
      </w:r>
    </w:p>
    <w:p w14:paraId="4DABA9AC"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iPSCs</w:t>
      </w:r>
      <w:r w:rsidRPr="00F34A7C">
        <w:rPr>
          <w:rFonts w:ascii="Arial" w:hAnsi="Arial" w:cs="Arial"/>
          <w:sz w:val="22"/>
          <w:szCs w:val="22"/>
          <w:lang w:val="en-US"/>
        </w:rPr>
        <w:tab/>
        <w:t>induced pluripotent stem cells</w:t>
      </w:r>
    </w:p>
    <w:p w14:paraId="4D9901CD"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IRF1</w:t>
      </w:r>
      <w:r w:rsidRPr="00F34A7C">
        <w:rPr>
          <w:rFonts w:ascii="Arial" w:hAnsi="Arial" w:cs="Arial"/>
          <w:sz w:val="22"/>
          <w:szCs w:val="22"/>
          <w:lang w:val="en-US"/>
        </w:rPr>
        <w:tab/>
        <w:t>interferon regulatory factor 1</w:t>
      </w:r>
    </w:p>
    <w:p w14:paraId="01E6F8E8"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JAK2</w:t>
      </w:r>
      <w:r w:rsidRPr="00F34A7C">
        <w:rPr>
          <w:rFonts w:ascii="Arial" w:hAnsi="Arial" w:cs="Arial"/>
          <w:sz w:val="22"/>
          <w:szCs w:val="22"/>
          <w:lang w:val="en-US"/>
        </w:rPr>
        <w:tab/>
        <w:t>Janus kinase 2</w:t>
      </w:r>
    </w:p>
    <w:p w14:paraId="14E7912F"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JNK</w:t>
      </w:r>
      <w:r w:rsidRPr="00F34A7C">
        <w:rPr>
          <w:rFonts w:ascii="Arial" w:hAnsi="Arial" w:cs="Arial"/>
          <w:sz w:val="22"/>
          <w:szCs w:val="22"/>
          <w:lang w:val="en-US"/>
        </w:rPr>
        <w:tab/>
        <w:t>c-Jun N-terminal kinase</w:t>
      </w:r>
    </w:p>
    <w:p w14:paraId="12B974B2"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Jun</w:t>
      </w:r>
      <w:r w:rsidRPr="00F34A7C">
        <w:rPr>
          <w:rFonts w:ascii="Arial" w:hAnsi="Arial" w:cs="Arial"/>
          <w:sz w:val="22"/>
          <w:szCs w:val="22"/>
          <w:lang w:val="en-US"/>
        </w:rPr>
        <w:tab/>
      </w:r>
      <w:proofErr w:type="spellStart"/>
      <w:r w:rsidRPr="00F34A7C">
        <w:rPr>
          <w:rFonts w:ascii="Arial" w:hAnsi="Arial" w:cs="Arial"/>
          <w:sz w:val="22"/>
          <w:szCs w:val="22"/>
          <w:lang w:val="en-US"/>
        </w:rPr>
        <w:t>Jun</w:t>
      </w:r>
      <w:proofErr w:type="spellEnd"/>
      <w:r w:rsidRPr="00F34A7C">
        <w:rPr>
          <w:rFonts w:ascii="Arial" w:hAnsi="Arial" w:cs="Arial"/>
          <w:sz w:val="22"/>
          <w:szCs w:val="22"/>
          <w:lang w:val="en-US"/>
        </w:rPr>
        <w:t xml:space="preserve"> proto-oncogene, AP-1 transcription factor subunit</w:t>
      </w:r>
    </w:p>
    <w:p w14:paraId="6FBE991E"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KAP1</w:t>
      </w:r>
      <w:r w:rsidRPr="00F34A7C">
        <w:rPr>
          <w:rFonts w:ascii="Arial" w:hAnsi="Arial" w:cs="Arial"/>
          <w:sz w:val="22"/>
          <w:szCs w:val="22"/>
          <w:lang w:val="en-US"/>
        </w:rPr>
        <w:tab/>
        <w:t>KRAB-associated protein-1</w:t>
      </w:r>
    </w:p>
    <w:p w14:paraId="7E050689"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Ki-67</w:t>
      </w:r>
      <w:r w:rsidRPr="00F34A7C">
        <w:rPr>
          <w:rFonts w:ascii="Arial" w:hAnsi="Arial" w:cs="Arial"/>
          <w:sz w:val="22"/>
          <w:szCs w:val="22"/>
          <w:lang w:val="en-US"/>
        </w:rPr>
        <w:tab/>
        <w:t>marker of proliferation Ki-67</w:t>
      </w:r>
    </w:p>
    <w:p w14:paraId="21D8B2AD"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KIT</w:t>
      </w:r>
      <w:r w:rsidRPr="00F34A7C">
        <w:rPr>
          <w:rFonts w:ascii="Arial" w:hAnsi="Arial" w:cs="Arial"/>
          <w:sz w:val="22"/>
          <w:szCs w:val="22"/>
          <w:lang w:val="en-US"/>
        </w:rPr>
        <w:tab/>
      </w:r>
      <w:proofErr w:type="spellStart"/>
      <w:r w:rsidRPr="00F34A7C">
        <w:rPr>
          <w:rFonts w:ascii="Arial" w:hAnsi="Arial" w:cs="Arial"/>
          <w:sz w:val="22"/>
          <w:szCs w:val="22"/>
          <w:lang w:val="en-US"/>
        </w:rPr>
        <w:t>KIT</w:t>
      </w:r>
      <w:proofErr w:type="spellEnd"/>
      <w:r w:rsidRPr="00F34A7C">
        <w:rPr>
          <w:rFonts w:ascii="Arial" w:hAnsi="Arial" w:cs="Arial"/>
          <w:sz w:val="22"/>
          <w:szCs w:val="22"/>
          <w:lang w:val="en-US"/>
        </w:rPr>
        <w:t xml:space="preserve"> proto-oncogene</w:t>
      </w:r>
    </w:p>
    <w:p w14:paraId="114B68E6" w14:textId="77777777" w:rsidR="00F34A7C" w:rsidRPr="00F34A7C" w:rsidRDefault="00F34A7C" w:rsidP="00F34A7C">
      <w:pPr>
        <w:spacing w:line="360" w:lineRule="auto"/>
        <w:ind w:left="2120" w:hanging="2120"/>
        <w:rPr>
          <w:rFonts w:ascii="Arial" w:hAnsi="Arial" w:cs="Arial"/>
          <w:sz w:val="22"/>
          <w:szCs w:val="22"/>
          <w:lang w:val="en-US"/>
        </w:rPr>
      </w:pPr>
      <w:proofErr w:type="spellStart"/>
      <w:r w:rsidRPr="00F34A7C">
        <w:rPr>
          <w:rFonts w:ascii="Arial" w:hAnsi="Arial" w:cs="Arial"/>
          <w:sz w:val="22"/>
          <w:szCs w:val="22"/>
          <w:lang w:val="en-US"/>
        </w:rPr>
        <w:t>logFC</w:t>
      </w:r>
      <w:proofErr w:type="spellEnd"/>
      <w:r w:rsidRPr="00F34A7C">
        <w:rPr>
          <w:rFonts w:ascii="Arial" w:hAnsi="Arial" w:cs="Arial"/>
          <w:sz w:val="22"/>
          <w:szCs w:val="22"/>
          <w:lang w:val="en-US"/>
        </w:rPr>
        <w:tab/>
        <w:t>log of fold change</w:t>
      </w:r>
    </w:p>
    <w:p w14:paraId="1503EF10"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LSC</w:t>
      </w:r>
      <w:r w:rsidRPr="00F34A7C">
        <w:rPr>
          <w:rFonts w:ascii="Arial" w:hAnsi="Arial" w:cs="Arial"/>
          <w:sz w:val="22"/>
          <w:szCs w:val="22"/>
          <w:lang w:val="en-US"/>
        </w:rPr>
        <w:tab/>
        <w:t>leukemia stem cell</w:t>
      </w:r>
    </w:p>
    <w:p w14:paraId="52F6F26E"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LSK</w:t>
      </w:r>
      <w:r w:rsidRPr="00F34A7C">
        <w:rPr>
          <w:rFonts w:ascii="Arial" w:hAnsi="Arial" w:cs="Arial"/>
          <w:sz w:val="22"/>
          <w:szCs w:val="22"/>
          <w:lang w:val="en-US"/>
        </w:rPr>
        <w:tab/>
        <w:t>Linage-negative, Sca-1-positive, c-Kit-positive cells</w:t>
      </w:r>
    </w:p>
    <w:p w14:paraId="66BF59F3" w14:textId="77777777" w:rsid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MAPK</w:t>
      </w:r>
      <w:r w:rsidRPr="00F34A7C">
        <w:rPr>
          <w:rFonts w:ascii="Arial" w:hAnsi="Arial" w:cs="Arial"/>
          <w:sz w:val="22"/>
          <w:szCs w:val="22"/>
          <w:lang w:val="en-US"/>
        </w:rPr>
        <w:tab/>
        <w:t>Mitogen-activated protein kinase</w:t>
      </w:r>
    </w:p>
    <w:p w14:paraId="55EAA002" w14:textId="77777777" w:rsidR="003F44A2" w:rsidRDefault="003F44A2" w:rsidP="00F34A7C">
      <w:pPr>
        <w:spacing w:line="360" w:lineRule="auto"/>
        <w:ind w:left="2120" w:hanging="2120"/>
        <w:rPr>
          <w:rFonts w:ascii="Arial" w:hAnsi="Arial" w:cs="Arial"/>
          <w:sz w:val="22"/>
          <w:szCs w:val="22"/>
          <w:lang w:val="en-US"/>
        </w:rPr>
      </w:pPr>
      <w:r>
        <w:rPr>
          <w:rFonts w:ascii="Arial" w:hAnsi="Arial" w:cs="Arial"/>
          <w:sz w:val="22"/>
          <w:szCs w:val="22"/>
          <w:lang w:val="en-US"/>
        </w:rPr>
        <w:t>MCH</w:t>
      </w:r>
      <w:r>
        <w:rPr>
          <w:rFonts w:ascii="Arial" w:hAnsi="Arial" w:cs="Arial"/>
          <w:sz w:val="22"/>
          <w:szCs w:val="22"/>
          <w:lang w:val="en-US"/>
        </w:rPr>
        <w:tab/>
        <w:t>Mean corpuscular hemoglobin</w:t>
      </w:r>
    </w:p>
    <w:p w14:paraId="250959AD" w14:textId="77777777" w:rsidR="003F44A2" w:rsidRPr="00F34A7C" w:rsidRDefault="003F44A2" w:rsidP="00F34A7C">
      <w:pPr>
        <w:spacing w:line="360" w:lineRule="auto"/>
        <w:ind w:left="2120" w:hanging="2120"/>
        <w:rPr>
          <w:rFonts w:ascii="Arial" w:hAnsi="Arial" w:cs="Arial"/>
          <w:sz w:val="22"/>
          <w:szCs w:val="22"/>
          <w:lang w:val="en-US"/>
        </w:rPr>
      </w:pPr>
      <w:r>
        <w:rPr>
          <w:rFonts w:ascii="Arial" w:hAnsi="Arial" w:cs="Arial"/>
          <w:sz w:val="22"/>
          <w:szCs w:val="22"/>
          <w:lang w:val="en-US"/>
        </w:rPr>
        <w:t>MCV</w:t>
      </w:r>
      <w:r w:rsidRPr="003F44A2">
        <w:rPr>
          <w:rFonts w:ascii="Arial" w:hAnsi="Arial" w:cs="Arial"/>
          <w:sz w:val="22"/>
          <w:szCs w:val="22"/>
          <w:lang w:val="en-US"/>
        </w:rPr>
        <w:t xml:space="preserve"> </w:t>
      </w:r>
      <w:r>
        <w:rPr>
          <w:rFonts w:ascii="Arial" w:hAnsi="Arial" w:cs="Arial"/>
          <w:sz w:val="22"/>
          <w:szCs w:val="22"/>
          <w:lang w:val="en-US"/>
        </w:rPr>
        <w:tab/>
        <w:t>Mean corpuscular volume</w:t>
      </w:r>
    </w:p>
    <w:p w14:paraId="72C1F95E"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MDS</w:t>
      </w:r>
      <w:r w:rsidRPr="00F34A7C">
        <w:rPr>
          <w:rFonts w:ascii="Arial" w:hAnsi="Arial" w:cs="Arial"/>
          <w:sz w:val="22"/>
          <w:szCs w:val="22"/>
          <w:lang w:val="en-US"/>
        </w:rPr>
        <w:tab/>
        <w:t>myelodysplastic syndrome</w:t>
      </w:r>
    </w:p>
    <w:p w14:paraId="16887BD8" w14:textId="77777777" w:rsid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MEFs</w:t>
      </w:r>
      <w:r w:rsidRPr="00F34A7C">
        <w:rPr>
          <w:rFonts w:ascii="Arial" w:hAnsi="Arial" w:cs="Arial"/>
          <w:sz w:val="22"/>
          <w:szCs w:val="22"/>
          <w:lang w:val="en-US"/>
        </w:rPr>
        <w:tab/>
        <w:t>mouse embryonic fibroblasts</w:t>
      </w:r>
    </w:p>
    <w:p w14:paraId="0D03C824" w14:textId="77777777" w:rsidR="00EB3BC9" w:rsidRPr="00F34A7C" w:rsidRDefault="00EB3BC9" w:rsidP="00F34A7C">
      <w:pPr>
        <w:spacing w:line="360" w:lineRule="auto"/>
        <w:ind w:left="2120" w:hanging="2120"/>
        <w:rPr>
          <w:rFonts w:ascii="Arial" w:hAnsi="Arial" w:cs="Arial"/>
          <w:sz w:val="22"/>
          <w:szCs w:val="22"/>
          <w:lang w:val="en-US"/>
        </w:rPr>
      </w:pPr>
      <w:r w:rsidRPr="00EB3BC9">
        <w:rPr>
          <w:rFonts w:ascii="Arial" w:hAnsi="Arial" w:cs="Arial"/>
          <w:sz w:val="22"/>
          <w:szCs w:val="22"/>
          <w:lang w:val="en-US"/>
        </w:rPr>
        <w:t xml:space="preserve">MEP </w:t>
      </w:r>
      <w:r>
        <w:rPr>
          <w:rFonts w:ascii="Arial" w:hAnsi="Arial" w:cs="Arial"/>
          <w:sz w:val="22"/>
          <w:szCs w:val="22"/>
          <w:lang w:val="en-US"/>
        </w:rPr>
        <w:tab/>
      </w:r>
      <w:r w:rsidRPr="00EB3BC9">
        <w:rPr>
          <w:rFonts w:ascii="Arial" w:hAnsi="Arial" w:cs="Arial"/>
          <w:sz w:val="22"/>
          <w:szCs w:val="22"/>
          <w:lang w:val="en-US"/>
        </w:rPr>
        <w:t>megakaryocyte-erythrocyte progenitor</w:t>
      </w:r>
    </w:p>
    <w:p w14:paraId="6521C92B"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MF</w:t>
      </w:r>
      <w:r w:rsidRPr="00F34A7C">
        <w:rPr>
          <w:rFonts w:ascii="Arial" w:hAnsi="Arial" w:cs="Arial"/>
          <w:sz w:val="22"/>
          <w:szCs w:val="22"/>
          <w:lang w:val="en-US"/>
        </w:rPr>
        <w:tab/>
        <w:t>myelofibrosis</w:t>
      </w:r>
    </w:p>
    <w:p w14:paraId="5C2F6A62" w14:textId="77777777" w:rsid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Mk</w:t>
      </w:r>
      <w:r w:rsidRPr="00F34A7C">
        <w:rPr>
          <w:rFonts w:ascii="Arial" w:hAnsi="Arial" w:cs="Arial"/>
          <w:sz w:val="22"/>
          <w:szCs w:val="22"/>
          <w:lang w:val="en-US"/>
        </w:rPr>
        <w:tab/>
        <w:t>Megakaryocyte</w:t>
      </w:r>
    </w:p>
    <w:p w14:paraId="221123CB" w14:textId="327402BD" w:rsidR="00EB3BC9" w:rsidRPr="00F34A7C" w:rsidRDefault="00EB3BC9" w:rsidP="00F34A7C">
      <w:pPr>
        <w:spacing w:line="360" w:lineRule="auto"/>
        <w:ind w:left="2120" w:hanging="2120"/>
        <w:rPr>
          <w:rFonts w:ascii="Arial" w:hAnsi="Arial" w:cs="Arial"/>
          <w:sz w:val="22"/>
          <w:szCs w:val="22"/>
          <w:lang w:val="en-US"/>
        </w:rPr>
      </w:pPr>
      <w:proofErr w:type="spellStart"/>
      <w:r w:rsidRPr="00EB3BC9">
        <w:rPr>
          <w:rFonts w:ascii="Arial" w:hAnsi="Arial" w:cs="Arial"/>
          <w:sz w:val="22"/>
          <w:szCs w:val="22"/>
          <w:lang w:val="en-US"/>
        </w:rPr>
        <w:t>MkP</w:t>
      </w:r>
      <w:proofErr w:type="spellEnd"/>
      <w:r w:rsidRPr="00EB3BC9">
        <w:rPr>
          <w:rFonts w:ascii="Arial" w:hAnsi="Arial" w:cs="Arial"/>
          <w:sz w:val="22"/>
          <w:szCs w:val="22"/>
          <w:lang w:val="en-US"/>
        </w:rPr>
        <w:t xml:space="preserve"> </w:t>
      </w:r>
      <w:r>
        <w:rPr>
          <w:rFonts w:ascii="Arial" w:hAnsi="Arial" w:cs="Arial"/>
          <w:sz w:val="22"/>
          <w:szCs w:val="22"/>
          <w:lang w:val="en-US"/>
        </w:rPr>
        <w:tab/>
      </w:r>
      <w:r w:rsidRPr="00EB3BC9">
        <w:rPr>
          <w:rFonts w:ascii="Arial" w:hAnsi="Arial" w:cs="Arial"/>
          <w:sz w:val="22"/>
          <w:szCs w:val="22"/>
          <w:lang w:val="en-US"/>
        </w:rPr>
        <w:t>megakaryocyte progenitor</w:t>
      </w:r>
    </w:p>
    <w:p w14:paraId="0696F5B2"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MKPs</w:t>
      </w:r>
      <w:r w:rsidRPr="00F34A7C">
        <w:rPr>
          <w:rFonts w:ascii="Arial" w:hAnsi="Arial" w:cs="Arial"/>
          <w:sz w:val="22"/>
          <w:szCs w:val="22"/>
          <w:lang w:val="en-US"/>
        </w:rPr>
        <w:tab/>
        <w:t>Dual-specificity MAP kinase phosphatases</w:t>
      </w:r>
    </w:p>
    <w:p w14:paraId="685C640F"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MLH1</w:t>
      </w:r>
      <w:r w:rsidRPr="00F34A7C">
        <w:rPr>
          <w:rFonts w:ascii="Arial" w:hAnsi="Arial" w:cs="Arial"/>
          <w:sz w:val="22"/>
          <w:szCs w:val="22"/>
          <w:lang w:val="en-US"/>
        </w:rPr>
        <w:tab/>
      </w:r>
      <w:proofErr w:type="spellStart"/>
      <w:r w:rsidRPr="00F34A7C">
        <w:rPr>
          <w:rFonts w:ascii="Arial" w:hAnsi="Arial" w:cs="Arial"/>
          <w:sz w:val="22"/>
          <w:szCs w:val="22"/>
          <w:lang w:val="en-US"/>
        </w:rPr>
        <w:t>mutL</w:t>
      </w:r>
      <w:proofErr w:type="spellEnd"/>
      <w:r w:rsidRPr="00F34A7C">
        <w:rPr>
          <w:rFonts w:ascii="Arial" w:hAnsi="Arial" w:cs="Arial"/>
          <w:sz w:val="22"/>
          <w:szCs w:val="22"/>
          <w:lang w:val="en-US"/>
        </w:rPr>
        <w:t xml:space="preserve"> homolog 1</w:t>
      </w:r>
    </w:p>
    <w:p w14:paraId="3B778EB5"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MLL</w:t>
      </w:r>
      <w:r w:rsidRPr="00F34A7C">
        <w:rPr>
          <w:rFonts w:ascii="Arial" w:hAnsi="Arial" w:cs="Arial"/>
          <w:sz w:val="22"/>
          <w:szCs w:val="22"/>
          <w:lang w:val="en-US"/>
        </w:rPr>
        <w:tab/>
        <w:t>mixed-lineage leukemia</w:t>
      </w:r>
    </w:p>
    <w:p w14:paraId="74AA87DF"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MLL-ENL</w:t>
      </w:r>
      <w:r w:rsidRPr="00F34A7C">
        <w:rPr>
          <w:rFonts w:ascii="Arial" w:hAnsi="Arial" w:cs="Arial"/>
          <w:sz w:val="22"/>
          <w:szCs w:val="22"/>
          <w:lang w:val="en-US"/>
        </w:rPr>
        <w:tab/>
        <w:t>MLL–eleven nineteen leukemia</w:t>
      </w:r>
    </w:p>
    <w:p w14:paraId="4D2B7936"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MMR</w:t>
      </w:r>
      <w:r w:rsidRPr="00F34A7C">
        <w:rPr>
          <w:rFonts w:ascii="Arial" w:hAnsi="Arial" w:cs="Arial"/>
          <w:sz w:val="22"/>
          <w:szCs w:val="22"/>
          <w:lang w:val="en-US"/>
        </w:rPr>
        <w:tab/>
        <w:t>mismatch repair</w:t>
      </w:r>
    </w:p>
    <w:p w14:paraId="17D5E88F"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MOWIOL</w:t>
      </w:r>
      <w:r w:rsidRPr="00F34A7C">
        <w:rPr>
          <w:rFonts w:ascii="Arial" w:hAnsi="Arial" w:cs="Arial"/>
          <w:sz w:val="22"/>
          <w:szCs w:val="22"/>
          <w:lang w:val="en-US"/>
        </w:rPr>
        <w:tab/>
      </w:r>
      <w:proofErr w:type="gramStart"/>
      <w:r w:rsidRPr="00F34A7C">
        <w:rPr>
          <w:rFonts w:ascii="Arial" w:hAnsi="Arial" w:cs="Arial"/>
          <w:sz w:val="22"/>
          <w:szCs w:val="22"/>
          <w:lang w:val="en-US"/>
        </w:rPr>
        <w:t>Poly(</w:t>
      </w:r>
      <w:proofErr w:type="gramEnd"/>
      <w:r w:rsidRPr="00F34A7C">
        <w:rPr>
          <w:rFonts w:ascii="Arial" w:hAnsi="Arial" w:cs="Arial"/>
          <w:sz w:val="22"/>
          <w:szCs w:val="22"/>
          <w:lang w:val="en-US"/>
        </w:rPr>
        <w:t>vinyl alcohol)</w:t>
      </w:r>
    </w:p>
    <w:p w14:paraId="0447648F"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MPN</w:t>
      </w:r>
      <w:r w:rsidRPr="00F34A7C">
        <w:rPr>
          <w:rFonts w:ascii="Arial" w:hAnsi="Arial" w:cs="Arial"/>
          <w:sz w:val="22"/>
          <w:szCs w:val="22"/>
          <w:lang w:val="en-US"/>
        </w:rPr>
        <w:tab/>
        <w:t>myeloproliferative neoplasms</w:t>
      </w:r>
    </w:p>
    <w:p w14:paraId="41E974AD" w14:textId="77777777" w:rsidR="00F34A7C" w:rsidRPr="00A85F6E" w:rsidRDefault="00F34A7C" w:rsidP="00F34A7C">
      <w:pPr>
        <w:spacing w:line="360" w:lineRule="auto"/>
        <w:ind w:left="2120" w:hanging="2120"/>
        <w:rPr>
          <w:rFonts w:ascii="Arial" w:hAnsi="Arial" w:cs="Arial"/>
          <w:sz w:val="22"/>
          <w:szCs w:val="22"/>
        </w:rPr>
      </w:pPr>
      <w:proofErr w:type="spellStart"/>
      <w:r w:rsidRPr="00A85F6E">
        <w:rPr>
          <w:rFonts w:ascii="Arial" w:hAnsi="Arial" w:cs="Arial"/>
          <w:sz w:val="22"/>
          <w:szCs w:val="22"/>
        </w:rPr>
        <w:t>mRNA</w:t>
      </w:r>
      <w:proofErr w:type="spellEnd"/>
      <w:r w:rsidRPr="00A85F6E">
        <w:rPr>
          <w:rFonts w:ascii="Arial" w:hAnsi="Arial" w:cs="Arial"/>
          <w:sz w:val="22"/>
          <w:szCs w:val="22"/>
        </w:rPr>
        <w:tab/>
      </w:r>
      <w:proofErr w:type="spellStart"/>
      <w:r w:rsidRPr="00A85F6E">
        <w:rPr>
          <w:rFonts w:ascii="Arial" w:hAnsi="Arial" w:cs="Arial"/>
          <w:sz w:val="22"/>
          <w:szCs w:val="22"/>
        </w:rPr>
        <w:t>messenger</w:t>
      </w:r>
      <w:proofErr w:type="spellEnd"/>
      <w:r w:rsidRPr="00A85F6E">
        <w:rPr>
          <w:rFonts w:ascii="Arial" w:hAnsi="Arial" w:cs="Arial"/>
          <w:sz w:val="22"/>
          <w:szCs w:val="22"/>
        </w:rPr>
        <w:t xml:space="preserve"> RNA</w:t>
      </w:r>
    </w:p>
    <w:p w14:paraId="342DE990" w14:textId="77777777" w:rsidR="00F34A7C" w:rsidRPr="00A85F6E" w:rsidRDefault="00F34A7C" w:rsidP="00F34A7C">
      <w:pPr>
        <w:spacing w:line="360" w:lineRule="auto"/>
        <w:ind w:left="2120" w:hanging="2120"/>
        <w:rPr>
          <w:rFonts w:ascii="Arial" w:hAnsi="Arial" w:cs="Arial"/>
          <w:sz w:val="22"/>
          <w:szCs w:val="22"/>
        </w:rPr>
      </w:pPr>
      <w:r w:rsidRPr="00A85F6E">
        <w:rPr>
          <w:rFonts w:ascii="Arial" w:hAnsi="Arial" w:cs="Arial"/>
          <w:sz w:val="22"/>
          <w:szCs w:val="22"/>
        </w:rPr>
        <w:t>MSH2</w:t>
      </w:r>
      <w:r w:rsidRPr="00A85F6E">
        <w:rPr>
          <w:rFonts w:ascii="Arial" w:hAnsi="Arial" w:cs="Arial"/>
          <w:sz w:val="22"/>
          <w:szCs w:val="22"/>
        </w:rPr>
        <w:tab/>
      </w:r>
      <w:proofErr w:type="spellStart"/>
      <w:r w:rsidRPr="00A85F6E">
        <w:rPr>
          <w:rFonts w:ascii="Arial" w:hAnsi="Arial" w:cs="Arial"/>
          <w:sz w:val="22"/>
          <w:szCs w:val="22"/>
        </w:rPr>
        <w:t>mutS</w:t>
      </w:r>
      <w:proofErr w:type="spellEnd"/>
      <w:r w:rsidRPr="00A85F6E">
        <w:rPr>
          <w:rFonts w:ascii="Arial" w:hAnsi="Arial" w:cs="Arial"/>
          <w:sz w:val="22"/>
          <w:szCs w:val="22"/>
        </w:rPr>
        <w:t xml:space="preserve"> homolog 2</w:t>
      </w:r>
    </w:p>
    <w:p w14:paraId="6066158C"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NF-</w:t>
      </w:r>
      <w:r w:rsidR="00300C79">
        <w:rPr>
          <w:rFonts w:ascii="Arial" w:hAnsi="Arial" w:cs="Arial"/>
          <w:sz w:val="22"/>
          <w:szCs w:val="22"/>
          <w:lang w:val="en-US"/>
        </w:rPr>
        <w:sym w:font="Symbol" w:char="F06B"/>
      </w:r>
      <w:r w:rsidRPr="00F34A7C">
        <w:rPr>
          <w:rFonts w:ascii="Arial" w:hAnsi="Arial" w:cs="Arial"/>
          <w:sz w:val="22"/>
          <w:szCs w:val="22"/>
          <w:lang w:val="en-US"/>
        </w:rPr>
        <w:t>B</w:t>
      </w:r>
      <w:r w:rsidRPr="00F34A7C">
        <w:rPr>
          <w:rFonts w:ascii="Arial" w:hAnsi="Arial" w:cs="Arial"/>
          <w:sz w:val="22"/>
          <w:szCs w:val="22"/>
          <w:lang w:val="en-US"/>
        </w:rPr>
        <w:tab/>
        <w:t>nuclear factor kappa B</w:t>
      </w:r>
    </w:p>
    <w:p w14:paraId="47558CB4"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lastRenderedPageBreak/>
        <w:t>NGS</w:t>
      </w:r>
      <w:r w:rsidRPr="00F34A7C">
        <w:rPr>
          <w:rFonts w:ascii="Arial" w:hAnsi="Arial" w:cs="Arial"/>
          <w:sz w:val="22"/>
          <w:szCs w:val="22"/>
          <w:lang w:val="en-US"/>
        </w:rPr>
        <w:tab/>
        <w:t>next generation sequencing</w:t>
      </w:r>
    </w:p>
    <w:p w14:paraId="38039DFF"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OGG1</w:t>
      </w:r>
      <w:r w:rsidRPr="00F34A7C">
        <w:rPr>
          <w:rFonts w:ascii="Arial" w:hAnsi="Arial" w:cs="Arial"/>
          <w:sz w:val="22"/>
          <w:szCs w:val="22"/>
          <w:lang w:val="en-US"/>
        </w:rPr>
        <w:tab/>
        <w:t>8-oxoguanine DNA glycosylase</w:t>
      </w:r>
    </w:p>
    <w:p w14:paraId="7DD119D9"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p21</w:t>
      </w:r>
      <w:r w:rsidRPr="00F34A7C">
        <w:rPr>
          <w:rFonts w:ascii="Arial" w:hAnsi="Arial" w:cs="Arial"/>
          <w:sz w:val="22"/>
          <w:szCs w:val="22"/>
          <w:lang w:val="en-US"/>
        </w:rPr>
        <w:tab/>
        <w:t>cyclin-dependent kinase inhibitor 1</w:t>
      </w:r>
    </w:p>
    <w:p w14:paraId="59D98E58"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p38 MAPK</w:t>
      </w:r>
      <w:r w:rsidRPr="00F34A7C">
        <w:rPr>
          <w:rFonts w:ascii="Arial" w:hAnsi="Arial" w:cs="Arial"/>
          <w:sz w:val="22"/>
          <w:szCs w:val="22"/>
          <w:lang w:val="en-US"/>
        </w:rPr>
        <w:tab/>
        <w:t>p38 mitogen-activated protein kinases</w:t>
      </w:r>
    </w:p>
    <w:p w14:paraId="0A36B132"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p53</w:t>
      </w:r>
      <w:r w:rsidRPr="00F34A7C">
        <w:rPr>
          <w:rFonts w:ascii="Arial" w:hAnsi="Arial" w:cs="Arial"/>
          <w:sz w:val="22"/>
          <w:szCs w:val="22"/>
          <w:lang w:val="en-US"/>
        </w:rPr>
        <w:tab/>
        <w:t>Tumor protein p53</w:t>
      </w:r>
    </w:p>
    <w:p w14:paraId="6F387BDD"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PB</w:t>
      </w:r>
      <w:r w:rsidRPr="00F34A7C">
        <w:rPr>
          <w:rFonts w:ascii="Arial" w:hAnsi="Arial" w:cs="Arial"/>
          <w:sz w:val="22"/>
          <w:szCs w:val="22"/>
          <w:lang w:val="en-US"/>
        </w:rPr>
        <w:tab/>
        <w:t>peripheral blood</w:t>
      </w:r>
    </w:p>
    <w:p w14:paraId="64F4D008"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PBS</w:t>
      </w:r>
      <w:r w:rsidRPr="00F34A7C">
        <w:rPr>
          <w:rFonts w:ascii="Arial" w:hAnsi="Arial" w:cs="Arial"/>
          <w:sz w:val="22"/>
          <w:szCs w:val="22"/>
          <w:lang w:val="en-US"/>
        </w:rPr>
        <w:tab/>
        <w:t>phosphate-Buffered Saline</w:t>
      </w:r>
    </w:p>
    <w:p w14:paraId="1EDDC1C3"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PBS-T</w:t>
      </w:r>
      <w:r w:rsidRPr="00F34A7C">
        <w:rPr>
          <w:rFonts w:ascii="Arial" w:hAnsi="Arial" w:cs="Arial"/>
          <w:sz w:val="22"/>
          <w:szCs w:val="22"/>
          <w:lang w:val="en-US"/>
        </w:rPr>
        <w:tab/>
        <w:t>phosphate buffered saline with Tween20</w:t>
      </w:r>
    </w:p>
    <w:p w14:paraId="3C5F1D2C"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PCR</w:t>
      </w:r>
      <w:r w:rsidRPr="00F34A7C">
        <w:rPr>
          <w:rFonts w:ascii="Arial" w:hAnsi="Arial" w:cs="Arial"/>
          <w:sz w:val="22"/>
          <w:szCs w:val="22"/>
          <w:lang w:val="en-US"/>
        </w:rPr>
        <w:tab/>
        <w:t xml:space="preserve">polymerase chain reaction </w:t>
      </w:r>
    </w:p>
    <w:p w14:paraId="27EEF7D4" w14:textId="77777777" w:rsidR="00F34A7C" w:rsidRPr="00F34A7C" w:rsidRDefault="00F34A7C" w:rsidP="00F34A7C">
      <w:pPr>
        <w:spacing w:line="360" w:lineRule="auto"/>
        <w:ind w:left="2120" w:hanging="2120"/>
        <w:rPr>
          <w:rFonts w:ascii="Arial" w:hAnsi="Arial" w:cs="Arial"/>
          <w:sz w:val="22"/>
          <w:szCs w:val="22"/>
          <w:lang w:val="en-US"/>
        </w:rPr>
      </w:pPr>
      <w:proofErr w:type="spellStart"/>
      <w:r w:rsidRPr="00F34A7C">
        <w:rPr>
          <w:rFonts w:ascii="Arial" w:hAnsi="Arial" w:cs="Arial"/>
          <w:sz w:val="22"/>
          <w:szCs w:val="22"/>
          <w:lang w:val="en-US"/>
        </w:rPr>
        <w:t>pegIFN</w:t>
      </w:r>
      <w:proofErr w:type="spellEnd"/>
      <w:r w:rsidR="00300C79">
        <w:rPr>
          <w:rFonts w:ascii="Arial" w:hAnsi="Arial" w:cs="Arial"/>
          <w:sz w:val="22"/>
          <w:szCs w:val="22"/>
          <w:lang w:val="en-US"/>
        </w:rPr>
        <w:sym w:font="Symbol" w:char="F061"/>
      </w:r>
      <w:r w:rsidRPr="00F34A7C">
        <w:rPr>
          <w:rFonts w:ascii="Arial" w:hAnsi="Arial" w:cs="Arial"/>
          <w:sz w:val="22"/>
          <w:szCs w:val="22"/>
          <w:lang w:val="en-US"/>
        </w:rPr>
        <w:tab/>
        <w:t>pegylated interferon alpha</w:t>
      </w:r>
    </w:p>
    <w:p w14:paraId="15A64780"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PI3K</w:t>
      </w:r>
      <w:r w:rsidRPr="00F34A7C">
        <w:rPr>
          <w:rFonts w:ascii="Arial" w:hAnsi="Arial" w:cs="Arial"/>
          <w:sz w:val="22"/>
          <w:szCs w:val="22"/>
          <w:lang w:val="en-US"/>
        </w:rPr>
        <w:tab/>
        <w:t>phosphatidylinositol 3-kinase,</w:t>
      </w:r>
    </w:p>
    <w:p w14:paraId="2711B7EB" w14:textId="77777777" w:rsidR="00F34A7C" w:rsidRPr="00F34A7C" w:rsidRDefault="00F34A7C" w:rsidP="00F34A7C">
      <w:pPr>
        <w:spacing w:line="360" w:lineRule="auto"/>
        <w:ind w:left="2120" w:hanging="2120"/>
        <w:rPr>
          <w:rFonts w:ascii="Arial" w:hAnsi="Arial" w:cs="Arial"/>
          <w:sz w:val="22"/>
          <w:szCs w:val="22"/>
          <w:lang w:val="en-US"/>
        </w:rPr>
      </w:pPr>
      <w:proofErr w:type="spellStart"/>
      <w:r w:rsidRPr="00F34A7C">
        <w:rPr>
          <w:rFonts w:ascii="Arial" w:hAnsi="Arial" w:cs="Arial"/>
          <w:sz w:val="22"/>
          <w:szCs w:val="22"/>
          <w:lang w:val="en-US"/>
        </w:rPr>
        <w:t>pIpC</w:t>
      </w:r>
      <w:proofErr w:type="spellEnd"/>
      <w:r w:rsidRPr="00F34A7C">
        <w:rPr>
          <w:rFonts w:ascii="Arial" w:hAnsi="Arial" w:cs="Arial"/>
          <w:sz w:val="22"/>
          <w:szCs w:val="22"/>
          <w:lang w:val="en-US"/>
        </w:rPr>
        <w:tab/>
      </w:r>
      <w:proofErr w:type="spellStart"/>
      <w:proofErr w:type="gramStart"/>
      <w:r w:rsidRPr="00F34A7C">
        <w:rPr>
          <w:rFonts w:ascii="Arial" w:hAnsi="Arial" w:cs="Arial"/>
          <w:sz w:val="22"/>
          <w:szCs w:val="22"/>
          <w:lang w:val="en-US"/>
        </w:rPr>
        <w:t>Polyinosinic:polycytidylic</w:t>
      </w:r>
      <w:proofErr w:type="spellEnd"/>
      <w:proofErr w:type="gramEnd"/>
      <w:r w:rsidRPr="00F34A7C">
        <w:rPr>
          <w:rFonts w:ascii="Arial" w:hAnsi="Arial" w:cs="Arial"/>
          <w:sz w:val="22"/>
          <w:szCs w:val="22"/>
          <w:lang w:val="en-US"/>
        </w:rPr>
        <w:t xml:space="preserve"> acid</w:t>
      </w:r>
    </w:p>
    <w:p w14:paraId="6DC9719C"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PKB</w:t>
      </w:r>
      <w:r w:rsidRPr="00F34A7C">
        <w:rPr>
          <w:rFonts w:ascii="Arial" w:hAnsi="Arial" w:cs="Arial"/>
          <w:sz w:val="22"/>
          <w:szCs w:val="22"/>
          <w:lang w:val="en-US"/>
        </w:rPr>
        <w:tab/>
        <w:t>Protein kinase B</w:t>
      </w:r>
    </w:p>
    <w:p w14:paraId="64185333"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PMF</w:t>
      </w:r>
      <w:r w:rsidRPr="00F34A7C">
        <w:rPr>
          <w:rFonts w:ascii="Arial" w:hAnsi="Arial" w:cs="Arial"/>
          <w:sz w:val="22"/>
          <w:szCs w:val="22"/>
          <w:lang w:val="en-US"/>
        </w:rPr>
        <w:tab/>
        <w:t>primary myelofibrosis</w:t>
      </w:r>
    </w:p>
    <w:p w14:paraId="143CAA2A" w14:textId="77777777" w:rsid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pre-LSC</w:t>
      </w:r>
      <w:r w:rsidRPr="00F34A7C">
        <w:rPr>
          <w:rFonts w:ascii="Arial" w:hAnsi="Arial" w:cs="Arial"/>
          <w:sz w:val="22"/>
          <w:szCs w:val="22"/>
          <w:lang w:val="en-US"/>
        </w:rPr>
        <w:tab/>
        <w:t>pre-leukemia stem cell</w:t>
      </w:r>
    </w:p>
    <w:p w14:paraId="7658D08A" w14:textId="77777777" w:rsidR="00EB3BC9" w:rsidRPr="00F34A7C" w:rsidRDefault="00EB3BC9" w:rsidP="00F34A7C">
      <w:pPr>
        <w:spacing w:line="360" w:lineRule="auto"/>
        <w:ind w:left="2120" w:hanging="2120"/>
        <w:rPr>
          <w:rFonts w:ascii="Arial" w:hAnsi="Arial" w:cs="Arial"/>
          <w:sz w:val="22"/>
          <w:szCs w:val="22"/>
          <w:lang w:val="en-US"/>
        </w:rPr>
      </w:pPr>
      <w:r w:rsidRPr="00EB3BC9">
        <w:rPr>
          <w:rFonts w:ascii="Arial" w:hAnsi="Arial" w:cs="Arial"/>
          <w:sz w:val="22"/>
          <w:szCs w:val="22"/>
          <w:lang w:val="en-US"/>
        </w:rPr>
        <w:t>Pre-</w:t>
      </w:r>
      <w:proofErr w:type="spellStart"/>
      <w:r w:rsidRPr="00EB3BC9">
        <w:rPr>
          <w:rFonts w:ascii="Arial" w:hAnsi="Arial" w:cs="Arial"/>
          <w:sz w:val="22"/>
          <w:szCs w:val="22"/>
          <w:lang w:val="en-US"/>
        </w:rPr>
        <w:t>MegE</w:t>
      </w:r>
      <w:proofErr w:type="spellEnd"/>
      <w:r w:rsidRPr="00EB3BC9">
        <w:rPr>
          <w:rFonts w:ascii="Arial" w:hAnsi="Arial" w:cs="Arial"/>
          <w:sz w:val="22"/>
          <w:szCs w:val="22"/>
          <w:lang w:val="en-US"/>
        </w:rPr>
        <w:t xml:space="preserve"> </w:t>
      </w:r>
      <w:r>
        <w:rPr>
          <w:rFonts w:ascii="Arial" w:hAnsi="Arial" w:cs="Arial"/>
          <w:sz w:val="22"/>
          <w:szCs w:val="22"/>
          <w:lang w:val="en-US"/>
        </w:rPr>
        <w:tab/>
      </w:r>
      <w:r w:rsidRPr="00EB3BC9">
        <w:rPr>
          <w:rFonts w:ascii="Arial" w:hAnsi="Arial" w:cs="Arial"/>
          <w:sz w:val="22"/>
          <w:szCs w:val="22"/>
          <w:lang w:val="en-US"/>
        </w:rPr>
        <w:t>pre-megakaryocyte-erythrocyte</w:t>
      </w:r>
    </w:p>
    <w:p w14:paraId="484542AE"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PV</w:t>
      </w:r>
      <w:r w:rsidRPr="00F34A7C">
        <w:rPr>
          <w:rFonts w:ascii="Arial" w:hAnsi="Arial" w:cs="Arial"/>
          <w:sz w:val="22"/>
          <w:szCs w:val="22"/>
          <w:lang w:val="en-US"/>
        </w:rPr>
        <w:tab/>
        <w:t>polycythemia vera</w:t>
      </w:r>
    </w:p>
    <w:p w14:paraId="241BF37D"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PVDF</w:t>
      </w:r>
      <w:r w:rsidRPr="00F34A7C">
        <w:rPr>
          <w:rFonts w:ascii="Arial" w:hAnsi="Arial" w:cs="Arial"/>
          <w:sz w:val="22"/>
          <w:szCs w:val="22"/>
          <w:lang w:val="en-US"/>
        </w:rPr>
        <w:tab/>
        <w:t>polyvinylidene fluoride</w:t>
      </w:r>
    </w:p>
    <w:p w14:paraId="5F58D9ED"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RAD51</w:t>
      </w:r>
      <w:r w:rsidRPr="00F34A7C">
        <w:rPr>
          <w:rFonts w:ascii="Arial" w:hAnsi="Arial" w:cs="Arial"/>
          <w:sz w:val="22"/>
          <w:szCs w:val="22"/>
          <w:lang w:val="en-US"/>
        </w:rPr>
        <w:tab/>
      </w:r>
      <w:proofErr w:type="spellStart"/>
      <w:r w:rsidRPr="00F34A7C">
        <w:rPr>
          <w:rFonts w:ascii="Arial" w:hAnsi="Arial" w:cs="Arial"/>
          <w:sz w:val="22"/>
          <w:szCs w:val="22"/>
          <w:lang w:val="en-US"/>
        </w:rPr>
        <w:t>RAD51</w:t>
      </w:r>
      <w:proofErr w:type="spellEnd"/>
      <w:r w:rsidRPr="00F34A7C">
        <w:rPr>
          <w:rFonts w:ascii="Arial" w:hAnsi="Arial" w:cs="Arial"/>
          <w:sz w:val="22"/>
          <w:szCs w:val="22"/>
          <w:lang w:val="en-US"/>
        </w:rPr>
        <w:t xml:space="preserve"> recombinase</w:t>
      </w:r>
    </w:p>
    <w:p w14:paraId="6EAD38EE"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RAS</w:t>
      </w:r>
      <w:r w:rsidRPr="00F34A7C">
        <w:rPr>
          <w:rFonts w:ascii="Arial" w:hAnsi="Arial" w:cs="Arial"/>
          <w:sz w:val="22"/>
          <w:szCs w:val="22"/>
          <w:lang w:val="en-US"/>
        </w:rPr>
        <w:tab/>
      </w:r>
      <w:proofErr w:type="spellStart"/>
      <w:r w:rsidRPr="00F34A7C">
        <w:rPr>
          <w:rFonts w:ascii="Arial" w:hAnsi="Arial" w:cs="Arial"/>
          <w:sz w:val="22"/>
          <w:szCs w:val="22"/>
          <w:lang w:val="en-US"/>
        </w:rPr>
        <w:t>Ras</w:t>
      </w:r>
      <w:proofErr w:type="spellEnd"/>
      <w:r w:rsidRPr="00F34A7C">
        <w:rPr>
          <w:rFonts w:ascii="Arial" w:hAnsi="Arial" w:cs="Arial"/>
          <w:sz w:val="22"/>
          <w:szCs w:val="22"/>
          <w:lang w:val="en-US"/>
        </w:rPr>
        <w:t xml:space="preserve"> GTPase</w:t>
      </w:r>
    </w:p>
    <w:p w14:paraId="066DE884"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RECQ</w:t>
      </w:r>
      <w:r w:rsidRPr="00F34A7C">
        <w:rPr>
          <w:rFonts w:ascii="Arial" w:hAnsi="Arial" w:cs="Arial"/>
          <w:sz w:val="22"/>
          <w:szCs w:val="22"/>
          <w:lang w:val="en-US"/>
        </w:rPr>
        <w:tab/>
        <w:t>DNA helicase RecQ</w:t>
      </w:r>
    </w:p>
    <w:p w14:paraId="417DD2B7"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RECQL5</w:t>
      </w:r>
      <w:r w:rsidRPr="00F34A7C">
        <w:rPr>
          <w:rFonts w:ascii="Arial" w:hAnsi="Arial" w:cs="Arial"/>
          <w:sz w:val="22"/>
          <w:szCs w:val="22"/>
          <w:lang w:val="en-US"/>
        </w:rPr>
        <w:tab/>
        <w:t>RecQ like helicase 5</w:t>
      </w:r>
    </w:p>
    <w:p w14:paraId="13098A41"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RIN</w:t>
      </w:r>
      <w:r w:rsidRPr="00F34A7C">
        <w:rPr>
          <w:rFonts w:ascii="Arial" w:hAnsi="Arial" w:cs="Arial"/>
          <w:sz w:val="22"/>
          <w:szCs w:val="22"/>
          <w:lang w:val="en-US"/>
        </w:rPr>
        <w:tab/>
        <w:t xml:space="preserve">RNA integrity number </w:t>
      </w:r>
    </w:p>
    <w:p w14:paraId="700995EF"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RNA</w:t>
      </w:r>
      <w:r w:rsidRPr="00F34A7C">
        <w:rPr>
          <w:rFonts w:ascii="Arial" w:hAnsi="Arial" w:cs="Arial"/>
          <w:sz w:val="22"/>
          <w:szCs w:val="22"/>
          <w:lang w:val="en-US"/>
        </w:rPr>
        <w:tab/>
        <w:t xml:space="preserve">ribonucleic acid </w:t>
      </w:r>
    </w:p>
    <w:p w14:paraId="3AC9E61D" w14:textId="77777777" w:rsidR="00F34A7C" w:rsidRPr="00F34A7C" w:rsidRDefault="00F34A7C" w:rsidP="00F34A7C">
      <w:pPr>
        <w:spacing w:line="360" w:lineRule="auto"/>
        <w:ind w:left="2120" w:hanging="2120"/>
        <w:rPr>
          <w:rFonts w:ascii="Arial" w:hAnsi="Arial" w:cs="Arial"/>
          <w:sz w:val="22"/>
          <w:szCs w:val="22"/>
          <w:lang w:val="en-US"/>
        </w:rPr>
      </w:pPr>
      <w:proofErr w:type="spellStart"/>
      <w:r w:rsidRPr="00F34A7C">
        <w:rPr>
          <w:rFonts w:ascii="Arial" w:hAnsi="Arial" w:cs="Arial"/>
          <w:sz w:val="22"/>
          <w:szCs w:val="22"/>
          <w:lang w:val="en-US"/>
        </w:rPr>
        <w:t>RNAseq</w:t>
      </w:r>
      <w:proofErr w:type="spellEnd"/>
      <w:r w:rsidRPr="00F34A7C">
        <w:rPr>
          <w:rFonts w:ascii="Arial" w:hAnsi="Arial" w:cs="Arial"/>
          <w:sz w:val="22"/>
          <w:szCs w:val="22"/>
          <w:lang w:val="en-US"/>
        </w:rPr>
        <w:tab/>
        <w:t>RNA sequencing</w:t>
      </w:r>
    </w:p>
    <w:p w14:paraId="6E8DBCC6"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ROS</w:t>
      </w:r>
      <w:r w:rsidRPr="00F34A7C">
        <w:rPr>
          <w:rFonts w:ascii="Arial" w:hAnsi="Arial" w:cs="Arial"/>
          <w:sz w:val="22"/>
          <w:szCs w:val="22"/>
          <w:lang w:val="en-US"/>
        </w:rPr>
        <w:tab/>
        <w:t>reactive oxygen species</w:t>
      </w:r>
    </w:p>
    <w:p w14:paraId="4E8FFAC1"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RPLP0</w:t>
      </w:r>
      <w:r w:rsidRPr="00F34A7C">
        <w:rPr>
          <w:rFonts w:ascii="Arial" w:hAnsi="Arial" w:cs="Arial"/>
          <w:sz w:val="22"/>
          <w:szCs w:val="22"/>
          <w:lang w:val="en-US"/>
        </w:rPr>
        <w:tab/>
        <w:t>ribosomal protein lateral stalk subunit P0</w:t>
      </w:r>
    </w:p>
    <w:p w14:paraId="04939DA7"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RT</w:t>
      </w:r>
      <w:r w:rsidRPr="00F34A7C">
        <w:rPr>
          <w:rFonts w:ascii="Arial" w:hAnsi="Arial" w:cs="Arial"/>
          <w:sz w:val="22"/>
          <w:szCs w:val="22"/>
          <w:lang w:val="en-US"/>
        </w:rPr>
        <w:tab/>
        <w:t>room temperature</w:t>
      </w:r>
    </w:p>
    <w:p w14:paraId="2E13B37C"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SAPK</w:t>
      </w:r>
      <w:r w:rsidRPr="00F34A7C">
        <w:rPr>
          <w:rFonts w:ascii="Arial" w:hAnsi="Arial" w:cs="Arial"/>
          <w:sz w:val="22"/>
          <w:szCs w:val="22"/>
          <w:lang w:val="en-US"/>
        </w:rPr>
        <w:tab/>
        <w:t>Stress-activated protein kinases</w:t>
      </w:r>
    </w:p>
    <w:p w14:paraId="44D96F24"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Sca-1</w:t>
      </w:r>
      <w:r w:rsidRPr="00F34A7C">
        <w:rPr>
          <w:rFonts w:ascii="Arial" w:hAnsi="Arial" w:cs="Arial"/>
          <w:sz w:val="22"/>
          <w:szCs w:val="22"/>
          <w:lang w:val="en-US"/>
        </w:rPr>
        <w:tab/>
        <w:t>Stem cells antigen-1</w:t>
      </w:r>
    </w:p>
    <w:p w14:paraId="6489A2C6"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SCF</w:t>
      </w:r>
      <w:r w:rsidRPr="00F34A7C">
        <w:rPr>
          <w:rFonts w:ascii="Arial" w:hAnsi="Arial" w:cs="Arial"/>
          <w:sz w:val="22"/>
          <w:szCs w:val="22"/>
          <w:lang w:val="en-US"/>
        </w:rPr>
        <w:tab/>
        <w:t>stem cell factor</w:t>
      </w:r>
    </w:p>
    <w:p w14:paraId="0F3678F3" w14:textId="77777777" w:rsidR="00F34A7C" w:rsidRPr="00F34A7C" w:rsidRDefault="00F34A7C" w:rsidP="00F34A7C">
      <w:pPr>
        <w:spacing w:line="360" w:lineRule="auto"/>
        <w:ind w:left="2120" w:hanging="2120"/>
        <w:rPr>
          <w:rFonts w:ascii="Arial" w:hAnsi="Arial" w:cs="Arial"/>
          <w:sz w:val="22"/>
          <w:szCs w:val="22"/>
          <w:lang w:val="en-US"/>
        </w:rPr>
      </w:pPr>
      <w:proofErr w:type="spellStart"/>
      <w:r w:rsidRPr="00F34A7C">
        <w:rPr>
          <w:rFonts w:ascii="Arial" w:hAnsi="Arial" w:cs="Arial"/>
          <w:sz w:val="22"/>
          <w:szCs w:val="22"/>
          <w:lang w:val="en-US"/>
        </w:rPr>
        <w:t>scr</w:t>
      </w:r>
      <w:proofErr w:type="spellEnd"/>
      <w:r w:rsidRPr="00F34A7C">
        <w:rPr>
          <w:rFonts w:ascii="Arial" w:hAnsi="Arial" w:cs="Arial"/>
          <w:sz w:val="22"/>
          <w:szCs w:val="22"/>
          <w:lang w:val="en-US"/>
        </w:rPr>
        <w:tab/>
        <w:t>scrambled</w:t>
      </w:r>
      <w:r w:rsidR="00300C79" w:rsidRPr="00300C79">
        <w:rPr>
          <w:lang w:val="en-US"/>
        </w:rPr>
        <w:t xml:space="preserve"> </w:t>
      </w:r>
      <w:r w:rsidR="00300C79" w:rsidRPr="00300C79">
        <w:rPr>
          <w:rFonts w:ascii="Arial" w:hAnsi="Arial" w:cs="Arial"/>
          <w:sz w:val="22"/>
          <w:szCs w:val="22"/>
          <w:lang w:val="en-US"/>
        </w:rPr>
        <w:t>small interfering RNA</w:t>
      </w:r>
      <w:r w:rsidRPr="00F34A7C">
        <w:rPr>
          <w:rFonts w:ascii="Arial" w:hAnsi="Arial" w:cs="Arial"/>
          <w:sz w:val="22"/>
          <w:szCs w:val="22"/>
          <w:lang w:val="en-US"/>
        </w:rPr>
        <w:t xml:space="preserve"> control</w:t>
      </w:r>
    </w:p>
    <w:p w14:paraId="37CAAEC9"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SD</w:t>
      </w:r>
      <w:r w:rsidRPr="00F34A7C">
        <w:rPr>
          <w:rFonts w:ascii="Arial" w:hAnsi="Arial" w:cs="Arial"/>
          <w:sz w:val="22"/>
          <w:szCs w:val="22"/>
          <w:lang w:val="en-US"/>
        </w:rPr>
        <w:tab/>
        <w:t>standard deviation</w:t>
      </w:r>
    </w:p>
    <w:p w14:paraId="75A02ACF"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SDS-APGE</w:t>
      </w:r>
      <w:r w:rsidRPr="00F34A7C">
        <w:rPr>
          <w:rFonts w:ascii="Arial" w:hAnsi="Arial" w:cs="Arial"/>
          <w:sz w:val="22"/>
          <w:szCs w:val="22"/>
          <w:lang w:val="en-US"/>
        </w:rPr>
        <w:tab/>
        <w:t>sodium dodecyl sulfate–polyacrylamide gel electrophoresis</w:t>
      </w:r>
    </w:p>
    <w:p w14:paraId="1C974694"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SEM</w:t>
      </w:r>
      <w:r w:rsidRPr="00F34A7C">
        <w:rPr>
          <w:rFonts w:ascii="Arial" w:hAnsi="Arial" w:cs="Arial"/>
          <w:sz w:val="22"/>
          <w:szCs w:val="22"/>
          <w:lang w:val="en-US"/>
        </w:rPr>
        <w:tab/>
        <w:t>standard error of mean</w:t>
      </w:r>
    </w:p>
    <w:p w14:paraId="727B6D82"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SFM</w:t>
      </w:r>
      <w:r w:rsidRPr="00F34A7C">
        <w:rPr>
          <w:rFonts w:ascii="Arial" w:hAnsi="Arial" w:cs="Arial"/>
          <w:sz w:val="22"/>
          <w:szCs w:val="22"/>
          <w:lang w:val="en-US"/>
        </w:rPr>
        <w:tab/>
        <w:t>serum free medium</w:t>
      </w:r>
    </w:p>
    <w:p w14:paraId="04251AF4"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siRNA</w:t>
      </w:r>
      <w:r w:rsidRPr="00F34A7C">
        <w:rPr>
          <w:rFonts w:ascii="Arial" w:hAnsi="Arial" w:cs="Arial"/>
          <w:sz w:val="22"/>
          <w:szCs w:val="22"/>
          <w:lang w:val="en-US"/>
        </w:rPr>
        <w:tab/>
        <w:t>small interfering RNA</w:t>
      </w:r>
    </w:p>
    <w:p w14:paraId="1E87A689"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lastRenderedPageBreak/>
        <w:t>SNP</w:t>
      </w:r>
      <w:r w:rsidRPr="00F34A7C">
        <w:rPr>
          <w:rFonts w:ascii="Arial" w:hAnsi="Arial" w:cs="Arial"/>
          <w:sz w:val="22"/>
          <w:szCs w:val="22"/>
          <w:lang w:val="en-US"/>
        </w:rPr>
        <w:tab/>
        <w:t>single nucleotide polymorphism</w:t>
      </w:r>
    </w:p>
    <w:p w14:paraId="550C8978"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ssDNA</w:t>
      </w:r>
      <w:r w:rsidRPr="00F34A7C">
        <w:rPr>
          <w:rFonts w:ascii="Arial" w:hAnsi="Arial" w:cs="Arial"/>
          <w:sz w:val="22"/>
          <w:szCs w:val="22"/>
          <w:lang w:val="en-US"/>
        </w:rPr>
        <w:tab/>
        <w:t>single-stranded DNA</w:t>
      </w:r>
    </w:p>
    <w:p w14:paraId="5D02A72B"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STAT</w:t>
      </w:r>
      <w:r w:rsidRPr="00F34A7C">
        <w:rPr>
          <w:rFonts w:ascii="Arial" w:hAnsi="Arial" w:cs="Arial"/>
          <w:sz w:val="22"/>
          <w:szCs w:val="22"/>
          <w:lang w:val="en-US"/>
        </w:rPr>
        <w:tab/>
        <w:t>signal transducer and activator of transcription</w:t>
      </w:r>
    </w:p>
    <w:p w14:paraId="49D41003"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t-AML</w:t>
      </w:r>
      <w:r w:rsidRPr="00F34A7C">
        <w:rPr>
          <w:rFonts w:ascii="Arial" w:hAnsi="Arial" w:cs="Arial"/>
          <w:sz w:val="22"/>
          <w:szCs w:val="22"/>
          <w:lang w:val="en-US"/>
        </w:rPr>
        <w:tab/>
        <w:t>therapy-related acute myeloid leukemia</w:t>
      </w:r>
    </w:p>
    <w:p w14:paraId="67771270"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TAP1</w:t>
      </w:r>
      <w:r w:rsidRPr="00F34A7C">
        <w:rPr>
          <w:rFonts w:ascii="Arial" w:hAnsi="Arial" w:cs="Arial"/>
          <w:sz w:val="22"/>
          <w:szCs w:val="22"/>
          <w:lang w:val="en-US"/>
        </w:rPr>
        <w:tab/>
        <w:t>transporter 1, ATP binding cassette subfamily B member</w:t>
      </w:r>
    </w:p>
    <w:p w14:paraId="5E0B3A3D" w14:textId="77777777" w:rsid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TET2</w:t>
      </w:r>
      <w:r w:rsidRPr="00F34A7C">
        <w:rPr>
          <w:rFonts w:ascii="Arial" w:hAnsi="Arial" w:cs="Arial"/>
          <w:sz w:val="22"/>
          <w:szCs w:val="22"/>
          <w:lang w:val="en-US"/>
        </w:rPr>
        <w:tab/>
        <w:t xml:space="preserve">Tet </w:t>
      </w:r>
      <w:proofErr w:type="spellStart"/>
      <w:r w:rsidRPr="00F34A7C">
        <w:rPr>
          <w:rFonts w:ascii="Arial" w:hAnsi="Arial" w:cs="Arial"/>
          <w:sz w:val="22"/>
          <w:szCs w:val="22"/>
          <w:lang w:val="en-US"/>
        </w:rPr>
        <w:t>methylcytosine</w:t>
      </w:r>
      <w:proofErr w:type="spellEnd"/>
      <w:r w:rsidRPr="00F34A7C">
        <w:rPr>
          <w:rFonts w:ascii="Arial" w:hAnsi="Arial" w:cs="Arial"/>
          <w:sz w:val="22"/>
          <w:szCs w:val="22"/>
          <w:lang w:val="en-US"/>
        </w:rPr>
        <w:t xml:space="preserve"> dioxygenase 2</w:t>
      </w:r>
    </w:p>
    <w:p w14:paraId="6FC6110C" w14:textId="77777777" w:rsidR="003F44A2" w:rsidRPr="00F34A7C" w:rsidRDefault="003F44A2" w:rsidP="00F34A7C">
      <w:pPr>
        <w:spacing w:line="360" w:lineRule="auto"/>
        <w:ind w:left="2120" w:hanging="2120"/>
        <w:rPr>
          <w:rFonts w:ascii="Arial" w:hAnsi="Arial" w:cs="Arial"/>
          <w:sz w:val="22"/>
          <w:szCs w:val="22"/>
          <w:lang w:val="en-US"/>
        </w:rPr>
      </w:pPr>
      <w:r w:rsidRPr="003F44A2">
        <w:rPr>
          <w:rFonts w:ascii="Arial" w:hAnsi="Arial" w:cs="Arial"/>
          <w:sz w:val="22"/>
          <w:szCs w:val="22"/>
          <w:lang w:val="en-US"/>
        </w:rPr>
        <w:t>Tf</w:t>
      </w:r>
      <w:r>
        <w:rPr>
          <w:rFonts w:ascii="Arial" w:hAnsi="Arial" w:cs="Arial"/>
          <w:sz w:val="22"/>
          <w:szCs w:val="22"/>
          <w:lang w:val="en-US"/>
        </w:rPr>
        <w:t>r</w:t>
      </w:r>
      <w:r w:rsidRPr="003F44A2">
        <w:rPr>
          <w:rFonts w:ascii="Arial" w:hAnsi="Arial" w:cs="Arial"/>
          <w:sz w:val="22"/>
          <w:szCs w:val="22"/>
          <w:lang w:val="en-US"/>
        </w:rPr>
        <w:t>1</w:t>
      </w:r>
      <w:r>
        <w:rPr>
          <w:rFonts w:ascii="Arial" w:hAnsi="Arial" w:cs="Arial"/>
          <w:sz w:val="22"/>
          <w:szCs w:val="22"/>
          <w:lang w:val="en-US"/>
        </w:rPr>
        <w:tab/>
      </w:r>
      <w:r w:rsidRPr="003F44A2">
        <w:rPr>
          <w:rFonts w:ascii="Arial" w:hAnsi="Arial" w:cs="Arial"/>
          <w:sz w:val="22"/>
          <w:szCs w:val="22"/>
          <w:lang w:val="en-US"/>
        </w:rPr>
        <w:t>Transferrin receptor 1</w:t>
      </w:r>
    </w:p>
    <w:p w14:paraId="1C88DFDD" w14:textId="77777777" w:rsid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TGFβ1</w:t>
      </w:r>
      <w:r w:rsidRPr="00F34A7C">
        <w:rPr>
          <w:rFonts w:ascii="Arial" w:hAnsi="Arial" w:cs="Arial"/>
          <w:sz w:val="22"/>
          <w:szCs w:val="22"/>
          <w:lang w:val="en-US"/>
        </w:rPr>
        <w:tab/>
        <w:t>transforming growth factor beta 1</w:t>
      </w:r>
    </w:p>
    <w:p w14:paraId="4A00E758" w14:textId="77777777" w:rsidR="003F44A2" w:rsidRPr="00F34A7C" w:rsidRDefault="003F44A2" w:rsidP="00F34A7C">
      <w:pPr>
        <w:spacing w:line="360" w:lineRule="auto"/>
        <w:ind w:left="2120" w:hanging="2120"/>
        <w:rPr>
          <w:rFonts w:ascii="Arial" w:hAnsi="Arial" w:cs="Arial"/>
          <w:sz w:val="22"/>
          <w:szCs w:val="22"/>
          <w:lang w:val="en-US"/>
        </w:rPr>
      </w:pPr>
      <w:r>
        <w:rPr>
          <w:rFonts w:ascii="Arial" w:hAnsi="Arial" w:cs="Arial"/>
          <w:sz w:val="22"/>
          <w:szCs w:val="22"/>
          <w:lang w:val="en-US"/>
        </w:rPr>
        <w:t>TIBC</w:t>
      </w:r>
      <w:r>
        <w:rPr>
          <w:rFonts w:ascii="Arial" w:hAnsi="Arial" w:cs="Arial"/>
          <w:sz w:val="22"/>
          <w:szCs w:val="22"/>
          <w:lang w:val="en-US"/>
        </w:rPr>
        <w:tab/>
        <w:t>total iron binding capacity</w:t>
      </w:r>
    </w:p>
    <w:p w14:paraId="1FB7EE71"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TNFα</w:t>
      </w:r>
      <w:r w:rsidRPr="00F34A7C">
        <w:rPr>
          <w:rFonts w:ascii="Arial" w:hAnsi="Arial" w:cs="Arial"/>
          <w:sz w:val="22"/>
          <w:szCs w:val="22"/>
          <w:lang w:val="en-US"/>
        </w:rPr>
        <w:tab/>
        <w:t>tumor necrosis factor alpha</w:t>
      </w:r>
    </w:p>
    <w:p w14:paraId="6E4325DC"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TP53</w:t>
      </w:r>
      <w:r w:rsidRPr="00F34A7C">
        <w:rPr>
          <w:rFonts w:ascii="Arial" w:hAnsi="Arial" w:cs="Arial"/>
          <w:sz w:val="22"/>
          <w:szCs w:val="22"/>
          <w:lang w:val="en-US"/>
        </w:rPr>
        <w:tab/>
        <w:t>tumor protein p53</w:t>
      </w:r>
    </w:p>
    <w:p w14:paraId="21106DB2"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TPO</w:t>
      </w:r>
      <w:r w:rsidR="003F44A2">
        <w:rPr>
          <w:rFonts w:ascii="Arial" w:hAnsi="Arial" w:cs="Arial"/>
          <w:sz w:val="22"/>
          <w:szCs w:val="22"/>
          <w:lang w:val="en-US"/>
        </w:rPr>
        <w:t xml:space="preserve">, </w:t>
      </w:r>
      <w:proofErr w:type="spellStart"/>
      <w:r w:rsidR="003F44A2">
        <w:rPr>
          <w:rFonts w:ascii="Arial" w:hAnsi="Arial" w:cs="Arial"/>
          <w:sz w:val="22"/>
          <w:szCs w:val="22"/>
          <w:lang w:val="en-US"/>
        </w:rPr>
        <w:t>Tpo</w:t>
      </w:r>
      <w:proofErr w:type="spellEnd"/>
      <w:r w:rsidRPr="00F34A7C">
        <w:rPr>
          <w:rFonts w:ascii="Arial" w:hAnsi="Arial" w:cs="Arial"/>
          <w:sz w:val="22"/>
          <w:szCs w:val="22"/>
          <w:lang w:val="en-US"/>
        </w:rPr>
        <w:tab/>
        <w:t>thrombopoietin</w:t>
      </w:r>
    </w:p>
    <w:p w14:paraId="0E4D1A69"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UBC</w:t>
      </w:r>
      <w:r w:rsidRPr="00F34A7C">
        <w:rPr>
          <w:rFonts w:ascii="Arial" w:hAnsi="Arial" w:cs="Arial"/>
          <w:sz w:val="22"/>
          <w:szCs w:val="22"/>
          <w:lang w:val="en-US"/>
        </w:rPr>
        <w:tab/>
        <w:t>ubiquitin C</w:t>
      </w:r>
    </w:p>
    <w:p w14:paraId="3EFAF254"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UBD</w:t>
      </w:r>
      <w:r w:rsidRPr="00F34A7C">
        <w:rPr>
          <w:rFonts w:ascii="Arial" w:hAnsi="Arial" w:cs="Arial"/>
          <w:sz w:val="22"/>
          <w:szCs w:val="22"/>
          <w:lang w:val="en-US"/>
        </w:rPr>
        <w:tab/>
        <w:t>ubiquitin D</w:t>
      </w:r>
    </w:p>
    <w:p w14:paraId="3C2F6598"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UHOL</w:t>
      </w:r>
      <w:r w:rsidRPr="00F34A7C">
        <w:rPr>
          <w:rFonts w:ascii="Arial" w:hAnsi="Arial" w:cs="Arial"/>
          <w:sz w:val="22"/>
          <w:szCs w:val="22"/>
          <w:lang w:val="en-US"/>
        </w:rPr>
        <w:tab/>
        <w:t>University Hospital Olomouc</w:t>
      </w:r>
    </w:p>
    <w:p w14:paraId="01595356"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VCAM1</w:t>
      </w:r>
      <w:r w:rsidRPr="00F34A7C">
        <w:rPr>
          <w:rFonts w:ascii="Arial" w:hAnsi="Arial" w:cs="Arial"/>
          <w:sz w:val="22"/>
          <w:szCs w:val="22"/>
          <w:lang w:val="en-US"/>
        </w:rPr>
        <w:tab/>
        <w:t>vascular cell adhesion molecule 1</w:t>
      </w:r>
    </w:p>
    <w:p w14:paraId="5ADEB8EC"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VEGF</w:t>
      </w:r>
      <w:r w:rsidRPr="00F34A7C">
        <w:rPr>
          <w:rFonts w:ascii="Arial" w:hAnsi="Arial" w:cs="Arial"/>
          <w:sz w:val="22"/>
          <w:szCs w:val="22"/>
          <w:lang w:val="en-US"/>
        </w:rPr>
        <w:tab/>
        <w:t>vascular endothelial growth factor</w:t>
      </w:r>
    </w:p>
    <w:p w14:paraId="3375ECCE"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VF</w:t>
      </w:r>
      <w:r w:rsidRPr="00F34A7C">
        <w:rPr>
          <w:rFonts w:ascii="Arial" w:hAnsi="Arial" w:cs="Arial"/>
          <w:sz w:val="22"/>
          <w:szCs w:val="22"/>
          <w:lang w:val="en-US"/>
        </w:rPr>
        <w:tab/>
        <w:t>JAK2 V617F</w:t>
      </w:r>
    </w:p>
    <w:p w14:paraId="4E0A6F6E" w14:textId="2661C9D6"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WHO</w:t>
      </w:r>
      <w:r w:rsidRPr="00F34A7C">
        <w:rPr>
          <w:rFonts w:ascii="Arial" w:hAnsi="Arial" w:cs="Arial"/>
          <w:sz w:val="22"/>
          <w:szCs w:val="22"/>
          <w:lang w:val="en-US"/>
        </w:rPr>
        <w:tab/>
      </w:r>
      <w:r w:rsidR="005B40AB">
        <w:rPr>
          <w:rFonts w:ascii="Arial" w:hAnsi="Arial" w:cs="Arial"/>
          <w:sz w:val="22"/>
          <w:szCs w:val="22"/>
          <w:lang w:val="en-US"/>
        </w:rPr>
        <w:t>W</w:t>
      </w:r>
      <w:r w:rsidR="005B40AB" w:rsidRPr="00F34A7C">
        <w:rPr>
          <w:rFonts w:ascii="Arial" w:hAnsi="Arial" w:cs="Arial"/>
          <w:sz w:val="22"/>
          <w:szCs w:val="22"/>
          <w:lang w:val="en-US"/>
        </w:rPr>
        <w:t xml:space="preserve">orld </w:t>
      </w:r>
      <w:r w:rsidR="005B40AB">
        <w:rPr>
          <w:rFonts w:ascii="Arial" w:hAnsi="Arial" w:cs="Arial"/>
          <w:sz w:val="22"/>
          <w:szCs w:val="22"/>
          <w:lang w:val="en-US"/>
        </w:rPr>
        <w:t>H</w:t>
      </w:r>
      <w:r w:rsidR="005B40AB" w:rsidRPr="00F34A7C">
        <w:rPr>
          <w:rFonts w:ascii="Arial" w:hAnsi="Arial" w:cs="Arial"/>
          <w:sz w:val="22"/>
          <w:szCs w:val="22"/>
          <w:lang w:val="en-US"/>
        </w:rPr>
        <w:t xml:space="preserve">ealth </w:t>
      </w:r>
      <w:r w:rsidR="005B40AB">
        <w:rPr>
          <w:rFonts w:ascii="Arial" w:hAnsi="Arial" w:cs="Arial"/>
          <w:sz w:val="22"/>
          <w:szCs w:val="22"/>
          <w:lang w:val="en-US"/>
        </w:rPr>
        <w:t>O</w:t>
      </w:r>
      <w:r w:rsidR="005B40AB" w:rsidRPr="00F34A7C">
        <w:rPr>
          <w:rFonts w:ascii="Arial" w:hAnsi="Arial" w:cs="Arial"/>
          <w:sz w:val="22"/>
          <w:szCs w:val="22"/>
          <w:lang w:val="en-US"/>
        </w:rPr>
        <w:t>rganization</w:t>
      </w:r>
    </w:p>
    <w:p w14:paraId="0161AB94"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WT</w:t>
      </w:r>
      <w:r w:rsidRPr="00F34A7C">
        <w:rPr>
          <w:rFonts w:ascii="Arial" w:hAnsi="Arial" w:cs="Arial"/>
          <w:sz w:val="22"/>
          <w:szCs w:val="22"/>
          <w:lang w:val="en-US"/>
        </w:rPr>
        <w:tab/>
        <w:t>wildtype</w:t>
      </w:r>
    </w:p>
    <w:p w14:paraId="1AFFED5D"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XPC</w:t>
      </w:r>
      <w:r w:rsidRPr="00F34A7C">
        <w:rPr>
          <w:rFonts w:ascii="Arial" w:hAnsi="Arial" w:cs="Arial"/>
          <w:sz w:val="22"/>
          <w:szCs w:val="22"/>
          <w:lang w:val="en-US"/>
        </w:rPr>
        <w:tab/>
      </w:r>
      <w:proofErr w:type="spellStart"/>
      <w:r w:rsidRPr="00F34A7C">
        <w:rPr>
          <w:rFonts w:ascii="Arial" w:hAnsi="Arial" w:cs="Arial"/>
          <w:sz w:val="22"/>
          <w:szCs w:val="22"/>
          <w:lang w:val="en-US"/>
        </w:rPr>
        <w:t>XPC</w:t>
      </w:r>
      <w:proofErr w:type="spellEnd"/>
      <w:r w:rsidRPr="00F34A7C">
        <w:rPr>
          <w:rFonts w:ascii="Arial" w:hAnsi="Arial" w:cs="Arial"/>
          <w:sz w:val="22"/>
          <w:szCs w:val="22"/>
          <w:lang w:val="en-US"/>
        </w:rPr>
        <w:t xml:space="preserve"> complex subunit, DNA damage recognition and repair factor</w:t>
      </w:r>
    </w:p>
    <w:p w14:paraId="6741BCC9"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XPD</w:t>
      </w:r>
      <w:r w:rsidRPr="00F34A7C">
        <w:rPr>
          <w:rFonts w:ascii="Arial" w:hAnsi="Arial" w:cs="Arial"/>
          <w:sz w:val="22"/>
          <w:szCs w:val="22"/>
          <w:lang w:val="en-US"/>
        </w:rPr>
        <w:tab/>
        <w:t>Xeroderma pigmentosum D</w:t>
      </w:r>
    </w:p>
    <w:p w14:paraId="5FF4529B"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XRCC1</w:t>
      </w:r>
      <w:r w:rsidRPr="00F34A7C">
        <w:rPr>
          <w:rFonts w:ascii="Arial" w:hAnsi="Arial" w:cs="Arial"/>
          <w:sz w:val="22"/>
          <w:szCs w:val="22"/>
          <w:lang w:val="en-US"/>
        </w:rPr>
        <w:tab/>
        <w:t>X-ray repair cross complementing 1</w:t>
      </w:r>
    </w:p>
    <w:p w14:paraId="3B11F5E7"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XRCC3</w:t>
      </w:r>
      <w:r w:rsidRPr="00F34A7C">
        <w:rPr>
          <w:rFonts w:ascii="Arial" w:hAnsi="Arial" w:cs="Arial"/>
          <w:sz w:val="22"/>
          <w:szCs w:val="22"/>
          <w:lang w:val="en-US"/>
        </w:rPr>
        <w:tab/>
        <w:t>X-ray repair cross complementing 3</w:t>
      </w:r>
    </w:p>
    <w:p w14:paraId="3B13607B" w14:textId="77777777" w:rsidR="00F34A7C" w:rsidRPr="00F34A7C"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YWHAZ</w:t>
      </w:r>
      <w:r w:rsidRPr="00F34A7C">
        <w:rPr>
          <w:rFonts w:ascii="Arial" w:hAnsi="Arial" w:cs="Arial"/>
          <w:sz w:val="22"/>
          <w:szCs w:val="22"/>
          <w:lang w:val="en-US"/>
        </w:rPr>
        <w:tab/>
        <w:t>tyrosine 3-monooxygenase/tryptophan 5-monooxygenase activation protein zeta</w:t>
      </w:r>
    </w:p>
    <w:p w14:paraId="7169260C" w14:textId="77777777" w:rsidR="00646C0C" w:rsidRPr="003A5293" w:rsidRDefault="00F34A7C" w:rsidP="00F34A7C">
      <w:pPr>
        <w:spacing w:line="360" w:lineRule="auto"/>
        <w:ind w:left="2120" w:hanging="2120"/>
        <w:rPr>
          <w:rFonts w:ascii="Arial" w:hAnsi="Arial" w:cs="Arial"/>
          <w:sz w:val="22"/>
          <w:szCs w:val="22"/>
          <w:lang w:val="en-US"/>
        </w:rPr>
      </w:pPr>
      <w:r w:rsidRPr="00F34A7C">
        <w:rPr>
          <w:rFonts w:ascii="Arial" w:hAnsi="Arial" w:cs="Arial"/>
          <w:sz w:val="22"/>
          <w:szCs w:val="22"/>
          <w:lang w:val="en-US"/>
        </w:rPr>
        <w:t>γH2AX</w:t>
      </w:r>
      <w:r w:rsidRPr="00F34A7C">
        <w:rPr>
          <w:rFonts w:ascii="Arial" w:hAnsi="Arial" w:cs="Arial"/>
          <w:sz w:val="22"/>
          <w:szCs w:val="22"/>
          <w:lang w:val="en-US"/>
        </w:rPr>
        <w:tab/>
      </w:r>
      <w:r w:rsidR="005B40AB" w:rsidRPr="005B40AB">
        <w:rPr>
          <w:rFonts w:ascii="Arial" w:hAnsi="Arial" w:cs="Arial"/>
          <w:sz w:val="22"/>
          <w:szCs w:val="22"/>
          <w:lang w:val="en-US"/>
        </w:rPr>
        <w:t>phosphorylated form</w:t>
      </w:r>
      <w:r w:rsidR="005B40AB">
        <w:rPr>
          <w:rFonts w:ascii="Arial" w:hAnsi="Arial" w:cs="Arial"/>
          <w:sz w:val="22"/>
          <w:szCs w:val="22"/>
          <w:lang w:val="en-US"/>
        </w:rPr>
        <w:t xml:space="preserve"> of </w:t>
      </w:r>
      <w:r w:rsidRPr="00F34A7C">
        <w:rPr>
          <w:rFonts w:ascii="Arial" w:hAnsi="Arial" w:cs="Arial"/>
          <w:sz w:val="22"/>
          <w:szCs w:val="22"/>
          <w:lang w:val="en-US"/>
        </w:rPr>
        <w:t>H2A histone family member X</w:t>
      </w:r>
    </w:p>
    <w:p w14:paraId="69E5929E" w14:textId="77777777" w:rsidR="008C7838" w:rsidRPr="003A5293" w:rsidRDefault="008C7838" w:rsidP="0032474A">
      <w:pPr>
        <w:spacing w:line="360" w:lineRule="auto"/>
        <w:rPr>
          <w:rFonts w:ascii="Arial" w:hAnsi="Arial" w:cs="Arial"/>
          <w:lang w:val="en-US"/>
        </w:rPr>
      </w:pPr>
      <w:r w:rsidRPr="003A5293">
        <w:rPr>
          <w:rFonts w:ascii="Arial" w:hAnsi="Arial" w:cs="Arial"/>
          <w:lang w:val="en-US"/>
        </w:rPr>
        <w:br w:type="page"/>
      </w:r>
    </w:p>
    <w:p w14:paraId="2736A5C5" w14:textId="77777777" w:rsidR="00917FA0" w:rsidRPr="00BC2456" w:rsidRDefault="00053BDD" w:rsidP="00BC2456">
      <w:pPr>
        <w:pStyle w:val="MainHeading2"/>
        <w:rPr>
          <w:rFonts w:cs="Arial"/>
          <w:lang w:val="en-US"/>
        </w:rPr>
      </w:pPr>
      <w:bookmarkStart w:id="55" w:name="_Toc57582530"/>
      <w:r w:rsidRPr="003A5293">
        <w:rPr>
          <w:rFonts w:cs="Arial"/>
          <w:b w:val="0"/>
          <w:bCs/>
          <w:sz w:val="48"/>
          <w:szCs w:val="48"/>
          <w:lang w:val="en-US"/>
        </w:rPr>
        <w:lastRenderedPageBreak/>
        <w:t>9</w:t>
      </w:r>
      <w:r w:rsidR="008C7838" w:rsidRPr="003A5293">
        <w:rPr>
          <w:rFonts w:cs="Arial"/>
          <w:b w:val="0"/>
          <w:bCs/>
          <w:sz w:val="48"/>
          <w:szCs w:val="48"/>
          <w:lang w:val="en-US"/>
        </w:rPr>
        <w:t>.</w:t>
      </w:r>
      <w:r w:rsidR="008C7838" w:rsidRPr="003A5293">
        <w:rPr>
          <w:rFonts w:cs="Arial"/>
          <w:lang w:val="en-US"/>
        </w:rPr>
        <w:t xml:space="preserve"> </w:t>
      </w:r>
      <w:r w:rsidR="004956BF" w:rsidRPr="003A5293">
        <w:rPr>
          <w:rFonts w:cs="Arial"/>
          <w:lang w:val="en-US"/>
        </w:rPr>
        <w:t>List of publications</w:t>
      </w:r>
      <w:bookmarkEnd w:id="55"/>
    </w:p>
    <w:p w14:paraId="600E97A4" w14:textId="77777777" w:rsidR="0080427B" w:rsidRDefault="0080427B" w:rsidP="00917FA0">
      <w:pPr>
        <w:spacing w:line="360" w:lineRule="auto"/>
        <w:rPr>
          <w:rFonts w:ascii="Arial" w:hAnsi="Arial" w:cs="Arial"/>
          <w:b/>
          <w:bCs/>
          <w:sz w:val="22"/>
          <w:szCs w:val="22"/>
          <w:lang w:val="en-US"/>
        </w:rPr>
      </w:pPr>
    </w:p>
    <w:p w14:paraId="76823F65" w14:textId="0D466147" w:rsidR="00917FA0" w:rsidRDefault="00917FA0" w:rsidP="00917FA0">
      <w:pPr>
        <w:spacing w:line="360" w:lineRule="auto"/>
        <w:rPr>
          <w:rFonts w:ascii="Arial" w:hAnsi="Arial" w:cs="Arial"/>
          <w:sz w:val="22"/>
          <w:szCs w:val="22"/>
          <w:lang w:val="en-US"/>
        </w:rPr>
      </w:pPr>
      <w:r w:rsidRPr="006E03E6">
        <w:rPr>
          <w:rFonts w:ascii="Arial" w:hAnsi="Arial" w:cs="Arial"/>
          <w:b/>
          <w:bCs/>
          <w:sz w:val="22"/>
          <w:szCs w:val="22"/>
          <w:lang w:val="en-US"/>
        </w:rPr>
        <w:t>Articles</w:t>
      </w:r>
      <w:r>
        <w:rPr>
          <w:rFonts w:ascii="Arial" w:hAnsi="Arial" w:cs="Arial"/>
          <w:sz w:val="22"/>
          <w:szCs w:val="22"/>
          <w:lang w:val="en-US"/>
        </w:rPr>
        <w:t>:</w:t>
      </w:r>
    </w:p>
    <w:p w14:paraId="7DC6F4CE" w14:textId="77777777" w:rsidR="00917FA0" w:rsidRDefault="00917FA0" w:rsidP="00917FA0">
      <w:pPr>
        <w:spacing w:line="360" w:lineRule="auto"/>
        <w:jc w:val="both"/>
        <w:rPr>
          <w:rFonts w:ascii="Arial" w:hAnsi="Arial" w:cs="Arial"/>
          <w:sz w:val="22"/>
          <w:szCs w:val="22"/>
          <w:lang w:val="en-US"/>
        </w:rPr>
      </w:pPr>
      <w:proofErr w:type="spellStart"/>
      <w:r>
        <w:rPr>
          <w:rFonts w:ascii="Arial" w:hAnsi="Arial" w:cs="Arial"/>
          <w:sz w:val="22"/>
          <w:szCs w:val="22"/>
          <w:lang w:val="en-US"/>
        </w:rPr>
        <w:t>S</w:t>
      </w:r>
      <w:r w:rsidRPr="00336950">
        <w:rPr>
          <w:rFonts w:ascii="Arial" w:hAnsi="Arial" w:cs="Arial"/>
          <w:sz w:val="22"/>
          <w:szCs w:val="22"/>
          <w:lang w:val="en-US"/>
        </w:rPr>
        <w:t>tetka</w:t>
      </w:r>
      <w:proofErr w:type="spellEnd"/>
      <w:r w:rsidRPr="00336950">
        <w:rPr>
          <w:rFonts w:ascii="Arial" w:hAnsi="Arial" w:cs="Arial"/>
          <w:sz w:val="22"/>
          <w:szCs w:val="22"/>
          <w:lang w:val="en-US"/>
        </w:rPr>
        <w:t xml:space="preserve">, J., </w:t>
      </w:r>
      <w:proofErr w:type="spellStart"/>
      <w:r w:rsidRPr="00336950">
        <w:rPr>
          <w:rFonts w:ascii="Arial" w:hAnsi="Arial" w:cs="Arial"/>
          <w:sz w:val="22"/>
          <w:szCs w:val="22"/>
          <w:lang w:val="en-US"/>
        </w:rPr>
        <w:t>Vyhlidalova</w:t>
      </w:r>
      <w:proofErr w:type="spellEnd"/>
      <w:r w:rsidRPr="00336950">
        <w:rPr>
          <w:rFonts w:ascii="Arial" w:hAnsi="Arial" w:cs="Arial"/>
          <w:sz w:val="22"/>
          <w:szCs w:val="22"/>
          <w:lang w:val="en-US"/>
        </w:rPr>
        <w:t xml:space="preserve">, P., </w:t>
      </w:r>
      <w:proofErr w:type="spellStart"/>
      <w:r w:rsidRPr="00336950">
        <w:rPr>
          <w:rFonts w:ascii="Arial" w:hAnsi="Arial" w:cs="Arial"/>
          <w:sz w:val="22"/>
          <w:szCs w:val="22"/>
          <w:lang w:val="en-US"/>
        </w:rPr>
        <w:t>Lanikova</w:t>
      </w:r>
      <w:proofErr w:type="spellEnd"/>
      <w:r w:rsidRPr="00336950">
        <w:rPr>
          <w:rFonts w:ascii="Arial" w:hAnsi="Arial" w:cs="Arial"/>
          <w:sz w:val="22"/>
          <w:szCs w:val="22"/>
          <w:lang w:val="en-US"/>
        </w:rPr>
        <w:t xml:space="preserve">, L., </w:t>
      </w:r>
      <w:proofErr w:type="spellStart"/>
      <w:r w:rsidRPr="00336950">
        <w:rPr>
          <w:rFonts w:ascii="Arial" w:hAnsi="Arial" w:cs="Arial"/>
          <w:sz w:val="22"/>
          <w:szCs w:val="22"/>
          <w:lang w:val="en-US"/>
        </w:rPr>
        <w:t>Koralkova</w:t>
      </w:r>
      <w:proofErr w:type="spellEnd"/>
      <w:r w:rsidRPr="00336950">
        <w:rPr>
          <w:rFonts w:ascii="Arial" w:hAnsi="Arial" w:cs="Arial"/>
          <w:sz w:val="22"/>
          <w:szCs w:val="22"/>
          <w:lang w:val="en-US"/>
        </w:rPr>
        <w:t xml:space="preserve">, P., </w:t>
      </w:r>
      <w:proofErr w:type="spellStart"/>
      <w:r w:rsidRPr="00336950">
        <w:rPr>
          <w:rFonts w:ascii="Arial" w:hAnsi="Arial" w:cs="Arial"/>
          <w:sz w:val="22"/>
          <w:szCs w:val="22"/>
          <w:lang w:val="en-US"/>
        </w:rPr>
        <w:t>Gursky</w:t>
      </w:r>
      <w:proofErr w:type="spellEnd"/>
      <w:r w:rsidRPr="00336950">
        <w:rPr>
          <w:rFonts w:ascii="Arial" w:hAnsi="Arial" w:cs="Arial"/>
          <w:sz w:val="22"/>
          <w:szCs w:val="22"/>
          <w:lang w:val="en-US"/>
        </w:rPr>
        <w:t xml:space="preserve">, J., </w:t>
      </w:r>
      <w:proofErr w:type="spellStart"/>
      <w:r w:rsidRPr="00336950">
        <w:rPr>
          <w:rFonts w:ascii="Arial" w:hAnsi="Arial" w:cs="Arial"/>
          <w:sz w:val="22"/>
          <w:szCs w:val="22"/>
          <w:lang w:val="en-US"/>
        </w:rPr>
        <w:t>Hlusi</w:t>
      </w:r>
      <w:proofErr w:type="spellEnd"/>
      <w:r w:rsidRPr="00336950">
        <w:rPr>
          <w:rFonts w:ascii="Arial" w:hAnsi="Arial" w:cs="Arial"/>
          <w:sz w:val="22"/>
          <w:szCs w:val="22"/>
          <w:lang w:val="en-US"/>
        </w:rPr>
        <w:t xml:space="preserve">, A., </w:t>
      </w:r>
      <w:proofErr w:type="spellStart"/>
      <w:r w:rsidRPr="00336950">
        <w:rPr>
          <w:rFonts w:ascii="Arial" w:hAnsi="Arial" w:cs="Arial"/>
          <w:sz w:val="22"/>
          <w:szCs w:val="22"/>
          <w:lang w:val="en-US"/>
        </w:rPr>
        <w:t>Flodr</w:t>
      </w:r>
      <w:proofErr w:type="spellEnd"/>
      <w:r w:rsidRPr="00336950">
        <w:rPr>
          <w:rFonts w:ascii="Arial" w:hAnsi="Arial" w:cs="Arial"/>
          <w:sz w:val="22"/>
          <w:szCs w:val="22"/>
          <w:lang w:val="en-US"/>
        </w:rPr>
        <w:t xml:space="preserve">, P., </w:t>
      </w:r>
      <w:proofErr w:type="spellStart"/>
      <w:r w:rsidRPr="00336950">
        <w:rPr>
          <w:rFonts w:ascii="Arial" w:hAnsi="Arial" w:cs="Arial"/>
          <w:sz w:val="22"/>
          <w:szCs w:val="22"/>
          <w:lang w:val="en-US"/>
        </w:rPr>
        <w:t>Hubackova</w:t>
      </w:r>
      <w:proofErr w:type="spellEnd"/>
      <w:r w:rsidRPr="00336950">
        <w:rPr>
          <w:rFonts w:ascii="Arial" w:hAnsi="Arial" w:cs="Arial"/>
          <w:sz w:val="22"/>
          <w:szCs w:val="22"/>
          <w:lang w:val="en-US"/>
        </w:rPr>
        <w:t xml:space="preserve">, S., Bartek, J., </w:t>
      </w:r>
      <w:proofErr w:type="spellStart"/>
      <w:r w:rsidRPr="00336950">
        <w:rPr>
          <w:rFonts w:ascii="Arial" w:hAnsi="Arial" w:cs="Arial"/>
          <w:sz w:val="22"/>
          <w:szCs w:val="22"/>
          <w:lang w:val="en-US"/>
        </w:rPr>
        <w:t>Hodny</w:t>
      </w:r>
      <w:proofErr w:type="spellEnd"/>
      <w:r w:rsidRPr="00336950">
        <w:rPr>
          <w:rFonts w:ascii="Arial" w:hAnsi="Arial" w:cs="Arial"/>
          <w:sz w:val="22"/>
          <w:szCs w:val="22"/>
          <w:lang w:val="en-US"/>
        </w:rPr>
        <w:t xml:space="preserve">, Z., </w:t>
      </w:r>
      <w:proofErr w:type="spellStart"/>
      <w:r w:rsidRPr="00336950">
        <w:rPr>
          <w:rFonts w:ascii="Arial" w:hAnsi="Arial" w:cs="Arial"/>
          <w:sz w:val="22"/>
          <w:szCs w:val="22"/>
          <w:lang w:val="en-US"/>
        </w:rPr>
        <w:t>Divoky</w:t>
      </w:r>
      <w:proofErr w:type="spellEnd"/>
      <w:r w:rsidRPr="00336950">
        <w:rPr>
          <w:rFonts w:ascii="Arial" w:hAnsi="Arial" w:cs="Arial"/>
          <w:sz w:val="22"/>
          <w:szCs w:val="22"/>
          <w:lang w:val="en-US"/>
        </w:rPr>
        <w:t>, V., 2019. Addiction to DUSP1 protects JAK2V617F-driven polycythemia vera progenitors against inflammatory stress and DNA damage, allowing chronic proliferation. Oncogene 38, 5627–5642. https://doi.org/10.1038/s41388-019-0813-7</w:t>
      </w:r>
    </w:p>
    <w:p w14:paraId="54AA916C" w14:textId="77777777" w:rsidR="000657BE" w:rsidRDefault="000657BE" w:rsidP="00917FA0">
      <w:pPr>
        <w:spacing w:line="360" w:lineRule="auto"/>
        <w:jc w:val="both"/>
        <w:rPr>
          <w:rFonts w:ascii="Arial" w:hAnsi="Arial" w:cs="Arial"/>
          <w:sz w:val="22"/>
          <w:szCs w:val="22"/>
          <w:lang w:val="en-US"/>
        </w:rPr>
      </w:pPr>
      <w:r w:rsidRPr="000657BE">
        <w:rPr>
          <w:rFonts w:ascii="Arial" w:hAnsi="Arial" w:cs="Arial"/>
          <w:sz w:val="22"/>
          <w:szCs w:val="22"/>
          <w:lang w:val="en-US"/>
        </w:rPr>
        <w:t>Impact factor:</w:t>
      </w:r>
      <w:r>
        <w:rPr>
          <w:rFonts w:ascii="Arial" w:hAnsi="Arial" w:cs="Arial"/>
          <w:sz w:val="22"/>
          <w:szCs w:val="22"/>
          <w:lang w:val="en-US"/>
        </w:rPr>
        <w:t xml:space="preserve"> </w:t>
      </w:r>
      <w:r w:rsidRPr="000657BE">
        <w:rPr>
          <w:rFonts w:ascii="Arial" w:hAnsi="Arial" w:cs="Arial"/>
          <w:sz w:val="22"/>
          <w:szCs w:val="22"/>
          <w:lang w:val="en-US"/>
        </w:rPr>
        <w:t>7.971</w:t>
      </w:r>
    </w:p>
    <w:p w14:paraId="2E99CF8D" w14:textId="77777777" w:rsidR="00917FA0" w:rsidRDefault="00917FA0" w:rsidP="00917FA0">
      <w:pPr>
        <w:spacing w:line="360" w:lineRule="auto"/>
        <w:rPr>
          <w:rFonts w:ascii="Arial" w:hAnsi="Arial" w:cs="Arial"/>
          <w:sz w:val="22"/>
          <w:szCs w:val="22"/>
          <w:lang w:val="en-US"/>
        </w:rPr>
      </w:pPr>
    </w:p>
    <w:p w14:paraId="5DBC1C9A" w14:textId="77777777" w:rsidR="00917FA0" w:rsidRDefault="00917FA0" w:rsidP="00917FA0">
      <w:pPr>
        <w:spacing w:line="360" w:lineRule="auto"/>
        <w:rPr>
          <w:rFonts w:ascii="Arial" w:hAnsi="Arial" w:cs="Arial"/>
          <w:sz w:val="22"/>
          <w:szCs w:val="22"/>
          <w:lang w:val="en-US"/>
        </w:rPr>
      </w:pPr>
      <w:proofErr w:type="spellStart"/>
      <w:r>
        <w:rPr>
          <w:rFonts w:ascii="Arial" w:hAnsi="Arial" w:cs="Arial"/>
          <w:sz w:val="22"/>
          <w:szCs w:val="22"/>
          <w:lang w:val="en-US"/>
        </w:rPr>
        <w:t>S</w:t>
      </w:r>
      <w:r w:rsidRPr="008F7BBD">
        <w:rPr>
          <w:rFonts w:ascii="Arial" w:hAnsi="Arial" w:cs="Arial"/>
          <w:sz w:val="22"/>
          <w:szCs w:val="22"/>
          <w:lang w:val="en-US"/>
        </w:rPr>
        <w:t>tetka</w:t>
      </w:r>
      <w:proofErr w:type="spellEnd"/>
      <w:r w:rsidRPr="008F7BBD">
        <w:rPr>
          <w:rFonts w:ascii="Arial" w:hAnsi="Arial" w:cs="Arial"/>
          <w:sz w:val="22"/>
          <w:szCs w:val="22"/>
          <w:lang w:val="en-US"/>
        </w:rPr>
        <w:t xml:space="preserve">, J., </w:t>
      </w:r>
      <w:proofErr w:type="spellStart"/>
      <w:r w:rsidRPr="008F7BBD">
        <w:rPr>
          <w:rFonts w:ascii="Arial" w:hAnsi="Arial" w:cs="Arial"/>
          <w:sz w:val="22"/>
          <w:szCs w:val="22"/>
          <w:lang w:val="en-US"/>
        </w:rPr>
        <w:t>Gursky</w:t>
      </w:r>
      <w:proofErr w:type="spellEnd"/>
      <w:r w:rsidRPr="008F7BBD">
        <w:rPr>
          <w:rFonts w:ascii="Arial" w:hAnsi="Arial" w:cs="Arial"/>
          <w:sz w:val="22"/>
          <w:szCs w:val="22"/>
          <w:lang w:val="en-US"/>
        </w:rPr>
        <w:t xml:space="preserve">, J., </w:t>
      </w:r>
      <w:proofErr w:type="spellStart"/>
      <w:r w:rsidRPr="008F7BBD">
        <w:rPr>
          <w:rFonts w:ascii="Arial" w:hAnsi="Arial" w:cs="Arial"/>
          <w:sz w:val="22"/>
          <w:szCs w:val="22"/>
          <w:lang w:val="en-US"/>
        </w:rPr>
        <w:t>Liñan</w:t>
      </w:r>
      <w:proofErr w:type="spellEnd"/>
      <w:r w:rsidRPr="008F7BBD">
        <w:rPr>
          <w:rFonts w:ascii="Arial" w:hAnsi="Arial" w:cs="Arial"/>
          <w:sz w:val="22"/>
          <w:szCs w:val="22"/>
          <w:lang w:val="en-US"/>
        </w:rPr>
        <w:t xml:space="preserve"> Velasquez, J., </w:t>
      </w:r>
      <w:proofErr w:type="spellStart"/>
      <w:r w:rsidRPr="008F7BBD">
        <w:rPr>
          <w:rFonts w:ascii="Arial" w:hAnsi="Arial" w:cs="Arial"/>
          <w:sz w:val="22"/>
          <w:szCs w:val="22"/>
          <w:lang w:val="en-US"/>
        </w:rPr>
        <w:t>Mojzikova</w:t>
      </w:r>
      <w:proofErr w:type="spellEnd"/>
      <w:r w:rsidRPr="008F7BBD">
        <w:rPr>
          <w:rFonts w:ascii="Arial" w:hAnsi="Arial" w:cs="Arial"/>
          <w:sz w:val="22"/>
          <w:szCs w:val="22"/>
          <w:lang w:val="en-US"/>
        </w:rPr>
        <w:t xml:space="preserve">, R., </w:t>
      </w:r>
      <w:proofErr w:type="spellStart"/>
      <w:r w:rsidRPr="008F7BBD">
        <w:rPr>
          <w:rFonts w:ascii="Arial" w:hAnsi="Arial" w:cs="Arial"/>
          <w:sz w:val="22"/>
          <w:szCs w:val="22"/>
          <w:lang w:val="en-US"/>
        </w:rPr>
        <w:t>Vyhlidalova</w:t>
      </w:r>
      <w:proofErr w:type="spellEnd"/>
      <w:r w:rsidRPr="008F7BBD">
        <w:rPr>
          <w:rFonts w:ascii="Arial" w:hAnsi="Arial" w:cs="Arial"/>
          <w:sz w:val="22"/>
          <w:szCs w:val="22"/>
          <w:lang w:val="en-US"/>
        </w:rPr>
        <w:t xml:space="preserve">, P., </w:t>
      </w:r>
      <w:proofErr w:type="spellStart"/>
      <w:r w:rsidRPr="008F7BBD">
        <w:rPr>
          <w:rFonts w:ascii="Arial" w:hAnsi="Arial" w:cs="Arial"/>
          <w:sz w:val="22"/>
          <w:szCs w:val="22"/>
          <w:lang w:val="en-US"/>
        </w:rPr>
        <w:t>Vrablova</w:t>
      </w:r>
      <w:proofErr w:type="spellEnd"/>
      <w:r w:rsidRPr="008F7BBD">
        <w:rPr>
          <w:rFonts w:ascii="Arial" w:hAnsi="Arial" w:cs="Arial"/>
          <w:sz w:val="22"/>
          <w:szCs w:val="22"/>
          <w:lang w:val="en-US"/>
        </w:rPr>
        <w:t xml:space="preserve">, L., Bartek, J., </w:t>
      </w:r>
      <w:proofErr w:type="spellStart"/>
      <w:r w:rsidRPr="008F7BBD">
        <w:rPr>
          <w:rFonts w:ascii="Arial" w:hAnsi="Arial" w:cs="Arial"/>
          <w:sz w:val="22"/>
          <w:szCs w:val="22"/>
          <w:lang w:val="en-US"/>
        </w:rPr>
        <w:t>Divoky</w:t>
      </w:r>
      <w:proofErr w:type="spellEnd"/>
      <w:r w:rsidRPr="008F7BBD">
        <w:rPr>
          <w:rFonts w:ascii="Arial" w:hAnsi="Arial" w:cs="Arial"/>
          <w:sz w:val="22"/>
          <w:szCs w:val="22"/>
          <w:lang w:val="en-US"/>
        </w:rPr>
        <w:t>, V., 2020. Role of DNA Damage Response in Suppressing Malignant Progression of Chronic Myeloid Leukemia and Polycythemia Vera: Impact of Different Oncogenes. Cancers (Basel) 12. https://doi.org/10.3390/cancers12040903</w:t>
      </w:r>
    </w:p>
    <w:p w14:paraId="14A22B9F" w14:textId="77777777" w:rsidR="0030798E" w:rsidRPr="00452D46" w:rsidRDefault="000657BE" w:rsidP="00F30EE5">
      <w:pPr>
        <w:spacing w:line="360" w:lineRule="auto"/>
        <w:rPr>
          <w:rFonts w:ascii="Arial" w:hAnsi="Arial" w:cs="Arial"/>
          <w:sz w:val="22"/>
          <w:szCs w:val="22"/>
          <w:lang w:val="en-US"/>
        </w:rPr>
      </w:pPr>
      <w:r w:rsidRPr="000657BE">
        <w:rPr>
          <w:rFonts w:ascii="Arial" w:hAnsi="Arial" w:cs="Arial"/>
          <w:sz w:val="22"/>
          <w:szCs w:val="22"/>
          <w:lang w:val="en-US"/>
        </w:rPr>
        <w:t xml:space="preserve">Impact factor: </w:t>
      </w:r>
      <w:r w:rsidRPr="00452D46">
        <w:rPr>
          <w:rFonts w:ascii="Arial" w:hAnsi="Arial" w:cs="Arial"/>
          <w:sz w:val="22"/>
          <w:szCs w:val="22"/>
          <w:lang w:val="en-US"/>
        </w:rPr>
        <w:t>6.126</w:t>
      </w:r>
    </w:p>
    <w:p w14:paraId="2C7026EA" w14:textId="77777777" w:rsidR="000657BE" w:rsidRPr="003A5293" w:rsidRDefault="000657BE" w:rsidP="00F30EE5">
      <w:pPr>
        <w:spacing w:line="360" w:lineRule="auto"/>
        <w:rPr>
          <w:rFonts w:ascii="Arial" w:hAnsi="Arial" w:cs="Arial"/>
          <w:lang w:val="en-US"/>
        </w:rPr>
      </w:pPr>
    </w:p>
    <w:p w14:paraId="6591A2AB" w14:textId="77777777" w:rsidR="00917FA0" w:rsidRDefault="00917FA0" w:rsidP="00917FA0">
      <w:pPr>
        <w:spacing w:line="360" w:lineRule="auto"/>
        <w:jc w:val="both"/>
        <w:rPr>
          <w:rFonts w:ascii="Arial" w:hAnsi="Arial" w:cs="Arial"/>
          <w:i/>
          <w:iCs/>
          <w:sz w:val="22"/>
          <w:szCs w:val="22"/>
          <w:lang w:val="en-US"/>
        </w:rPr>
      </w:pPr>
      <w:r w:rsidRPr="004B06E5">
        <w:rPr>
          <w:rFonts w:ascii="Arial" w:hAnsi="Arial" w:cs="Arial"/>
          <w:sz w:val="22"/>
          <w:szCs w:val="22"/>
          <w:lang w:val="en-US"/>
        </w:rPr>
        <w:t xml:space="preserve">Rao, T.N., </w:t>
      </w:r>
      <w:r w:rsidRPr="00553DCD">
        <w:rPr>
          <w:rFonts w:ascii="Arial" w:hAnsi="Arial" w:cs="Arial"/>
          <w:sz w:val="22"/>
          <w:szCs w:val="22"/>
          <w:lang w:val="en-US"/>
        </w:rPr>
        <w:t xml:space="preserve">Hansen, N., </w:t>
      </w:r>
      <w:proofErr w:type="spellStart"/>
      <w:r w:rsidRPr="00553DCD">
        <w:rPr>
          <w:rFonts w:ascii="Arial" w:hAnsi="Arial" w:cs="Arial"/>
          <w:sz w:val="22"/>
          <w:szCs w:val="22"/>
          <w:lang w:val="en-US"/>
        </w:rPr>
        <w:t>Stetka</w:t>
      </w:r>
      <w:proofErr w:type="spellEnd"/>
      <w:r w:rsidRPr="00553DCD">
        <w:rPr>
          <w:rFonts w:ascii="Arial" w:hAnsi="Arial" w:cs="Arial"/>
          <w:sz w:val="22"/>
          <w:szCs w:val="22"/>
          <w:lang w:val="en-US"/>
        </w:rPr>
        <w:t xml:space="preserve">, J., </w:t>
      </w:r>
      <w:proofErr w:type="spellStart"/>
      <w:r w:rsidRPr="00553DCD">
        <w:rPr>
          <w:rFonts w:ascii="Arial" w:hAnsi="Arial" w:cs="Arial"/>
          <w:sz w:val="22"/>
          <w:szCs w:val="22"/>
          <w:lang w:val="en-US"/>
        </w:rPr>
        <w:t>Kalmer</w:t>
      </w:r>
      <w:proofErr w:type="spellEnd"/>
      <w:r w:rsidRPr="00553DCD">
        <w:rPr>
          <w:rFonts w:ascii="Arial" w:hAnsi="Arial" w:cs="Arial"/>
          <w:sz w:val="22"/>
          <w:szCs w:val="22"/>
          <w:lang w:val="en-US"/>
        </w:rPr>
        <w:t xml:space="preserve">, M., </w:t>
      </w:r>
      <w:proofErr w:type="spellStart"/>
      <w:r w:rsidRPr="00553DCD">
        <w:rPr>
          <w:rFonts w:ascii="Arial" w:hAnsi="Arial" w:cs="Arial"/>
          <w:sz w:val="22"/>
          <w:szCs w:val="22"/>
          <w:lang w:val="en-US"/>
        </w:rPr>
        <w:t>Hilfiker</w:t>
      </w:r>
      <w:proofErr w:type="spellEnd"/>
      <w:r w:rsidRPr="00553DCD">
        <w:rPr>
          <w:rFonts w:ascii="Arial" w:hAnsi="Arial" w:cs="Arial"/>
          <w:sz w:val="22"/>
          <w:szCs w:val="22"/>
          <w:lang w:val="en-US"/>
        </w:rPr>
        <w:t xml:space="preserve">, J., </w:t>
      </w:r>
      <w:proofErr w:type="spellStart"/>
      <w:r w:rsidRPr="00553DCD">
        <w:rPr>
          <w:rFonts w:ascii="Arial" w:hAnsi="Arial" w:cs="Arial"/>
          <w:sz w:val="22"/>
          <w:szCs w:val="22"/>
          <w:lang w:val="en-US"/>
        </w:rPr>
        <w:t>Endele</w:t>
      </w:r>
      <w:proofErr w:type="spellEnd"/>
      <w:r w:rsidRPr="00553DCD">
        <w:rPr>
          <w:rFonts w:ascii="Arial" w:hAnsi="Arial" w:cs="Arial"/>
          <w:sz w:val="22"/>
          <w:szCs w:val="22"/>
          <w:lang w:val="en-US"/>
        </w:rPr>
        <w:t xml:space="preserve">, M., </w:t>
      </w:r>
      <w:proofErr w:type="spellStart"/>
      <w:r w:rsidRPr="00553DCD">
        <w:rPr>
          <w:rFonts w:ascii="Arial" w:hAnsi="Arial" w:cs="Arial"/>
          <w:sz w:val="22"/>
          <w:szCs w:val="22"/>
          <w:lang w:val="en-US"/>
        </w:rPr>
        <w:t>Kubovcakova</w:t>
      </w:r>
      <w:proofErr w:type="spellEnd"/>
      <w:r w:rsidRPr="00553DCD">
        <w:rPr>
          <w:rFonts w:ascii="Arial" w:hAnsi="Arial" w:cs="Arial"/>
          <w:sz w:val="22"/>
          <w:szCs w:val="22"/>
          <w:lang w:val="en-US"/>
        </w:rPr>
        <w:t xml:space="preserve">, L., </w:t>
      </w:r>
      <w:proofErr w:type="spellStart"/>
      <w:r w:rsidRPr="00553DCD">
        <w:rPr>
          <w:rFonts w:ascii="Arial" w:hAnsi="Arial" w:cs="Arial"/>
          <w:sz w:val="22"/>
          <w:szCs w:val="22"/>
          <w:lang w:val="en-US"/>
        </w:rPr>
        <w:t>Rybarikova</w:t>
      </w:r>
      <w:proofErr w:type="spellEnd"/>
      <w:r w:rsidRPr="00553DCD">
        <w:rPr>
          <w:rFonts w:ascii="Arial" w:hAnsi="Arial" w:cs="Arial"/>
          <w:sz w:val="22"/>
          <w:szCs w:val="22"/>
          <w:lang w:val="en-US"/>
        </w:rPr>
        <w:t xml:space="preserve">, M., Hao-Shen, H., Geier, F., </w:t>
      </w:r>
      <w:proofErr w:type="spellStart"/>
      <w:r w:rsidRPr="00553DCD">
        <w:rPr>
          <w:rFonts w:ascii="Arial" w:hAnsi="Arial" w:cs="Arial"/>
          <w:sz w:val="22"/>
          <w:szCs w:val="22"/>
          <w:lang w:val="en-US"/>
        </w:rPr>
        <w:t>Beisel</w:t>
      </w:r>
      <w:proofErr w:type="spellEnd"/>
      <w:r w:rsidRPr="00553DCD">
        <w:rPr>
          <w:rFonts w:ascii="Arial" w:hAnsi="Arial" w:cs="Arial"/>
          <w:sz w:val="22"/>
          <w:szCs w:val="22"/>
          <w:lang w:val="en-US"/>
        </w:rPr>
        <w:t xml:space="preserve">, Ch., </w:t>
      </w:r>
      <w:proofErr w:type="spellStart"/>
      <w:r w:rsidRPr="00553DCD">
        <w:rPr>
          <w:rFonts w:ascii="Arial" w:hAnsi="Arial" w:cs="Arial"/>
          <w:sz w:val="22"/>
          <w:szCs w:val="22"/>
          <w:lang w:val="en-US"/>
        </w:rPr>
        <w:t>Dirnhofer</w:t>
      </w:r>
      <w:proofErr w:type="spellEnd"/>
      <w:r w:rsidRPr="00553DCD">
        <w:rPr>
          <w:rFonts w:ascii="Arial" w:hAnsi="Arial" w:cs="Arial"/>
          <w:sz w:val="22"/>
          <w:szCs w:val="22"/>
          <w:lang w:val="en-US"/>
        </w:rPr>
        <w:t xml:space="preserve">, S., Schroeder, T., </w:t>
      </w:r>
      <w:proofErr w:type="spellStart"/>
      <w:r w:rsidRPr="00553DCD">
        <w:rPr>
          <w:rFonts w:ascii="Arial" w:hAnsi="Arial" w:cs="Arial"/>
          <w:sz w:val="22"/>
          <w:szCs w:val="22"/>
          <w:lang w:val="en-US"/>
        </w:rPr>
        <w:t>Brümmendorf</w:t>
      </w:r>
      <w:proofErr w:type="spellEnd"/>
      <w:r w:rsidRPr="00553DCD">
        <w:rPr>
          <w:rFonts w:ascii="Arial" w:hAnsi="Arial" w:cs="Arial"/>
          <w:sz w:val="22"/>
          <w:szCs w:val="22"/>
          <w:lang w:val="en-US"/>
        </w:rPr>
        <w:t xml:space="preserve">, T., Wolf, D., </w:t>
      </w:r>
      <w:proofErr w:type="spellStart"/>
      <w:r w:rsidRPr="00553DCD">
        <w:rPr>
          <w:rFonts w:ascii="Arial" w:hAnsi="Arial" w:cs="Arial"/>
          <w:sz w:val="22"/>
          <w:szCs w:val="22"/>
          <w:lang w:val="en-US"/>
        </w:rPr>
        <w:t>Koschmieder</w:t>
      </w:r>
      <w:proofErr w:type="spellEnd"/>
      <w:r w:rsidRPr="00553DCD">
        <w:rPr>
          <w:rFonts w:ascii="Arial" w:hAnsi="Arial" w:cs="Arial"/>
          <w:sz w:val="22"/>
          <w:szCs w:val="22"/>
          <w:lang w:val="en-US"/>
        </w:rPr>
        <w:t xml:space="preserve">, S., Skoda, R.C., 2020. </w:t>
      </w:r>
      <w:r w:rsidRPr="00626FF0">
        <w:rPr>
          <w:rFonts w:ascii="Arial" w:hAnsi="Arial" w:cs="Arial"/>
          <w:sz w:val="22"/>
          <w:szCs w:val="22"/>
          <w:lang w:val="en-US"/>
        </w:rPr>
        <w:t>Interferon-α achieves molecular remission in myeloproliferative neoplasms by inducing</w:t>
      </w:r>
      <w:r>
        <w:rPr>
          <w:rFonts w:ascii="Arial" w:hAnsi="Arial" w:cs="Arial"/>
          <w:sz w:val="22"/>
          <w:szCs w:val="22"/>
          <w:lang w:val="en-US"/>
        </w:rPr>
        <w:t xml:space="preserve"> </w:t>
      </w:r>
      <w:r w:rsidRPr="00626FF0">
        <w:rPr>
          <w:rFonts w:ascii="Arial" w:hAnsi="Arial" w:cs="Arial"/>
          <w:sz w:val="22"/>
          <w:szCs w:val="22"/>
          <w:lang w:val="en-US"/>
        </w:rPr>
        <w:t>megakaryocyte-biased stem cells</w:t>
      </w:r>
      <w:r w:rsidRPr="004B06E5">
        <w:rPr>
          <w:rFonts w:ascii="Arial" w:hAnsi="Arial" w:cs="Arial"/>
          <w:sz w:val="22"/>
          <w:szCs w:val="22"/>
          <w:lang w:val="en-US"/>
        </w:rPr>
        <w:t xml:space="preserve">. </w:t>
      </w:r>
      <w:r w:rsidR="009517EE" w:rsidRPr="00336950">
        <w:rPr>
          <w:rFonts w:ascii="Arial" w:hAnsi="Arial" w:cs="Arial"/>
          <w:i/>
          <w:iCs/>
          <w:sz w:val="22"/>
          <w:szCs w:val="22"/>
          <w:lang w:val="en-US"/>
        </w:rPr>
        <w:t>Manuscript</w:t>
      </w:r>
      <w:r w:rsidR="009517EE">
        <w:rPr>
          <w:rFonts w:ascii="Arial" w:hAnsi="Arial" w:cs="Arial"/>
          <w:sz w:val="22"/>
          <w:szCs w:val="22"/>
          <w:lang w:val="en-US"/>
        </w:rPr>
        <w:t xml:space="preserve"> </w:t>
      </w:r>
      <w:r w:rsidR="009517EE">
        <w:rPr>
          <w:rFonts w:ascii="Arial" w:hAnsi="Arial" w:cs="Arial"/>
          <w:i/>
          <w:iCs/>
          <w:sz w:val="22"/>
          <w:szCs w:val="22"/>
          <w:lang w:val="en-US"/>
        </w:rPr>
        <w:t>s</w:t>
      </w:r>
      <w:r w:rsidR="009517EE" w:rsidRPr="00336950">
        <w:rPr>
          <w:rFonts w:ascii="Arial" w:hAnsi="Arial" w:cs="Arial"/>
          <w:i/>
          <w:iCs/>
          <w:sz w:val="22"/>
          <w:szCs w:val="22"/>
          <w:lang w:val="en-US"/>
        </w:rPr>
        <w:t xml:space="preserve">ubmitted </w:t>
      </w:r>
      <w:r w:rsidRPr="00626FF0">
        <w:rPr>
          <w:rFonts w:ascii="Arial" w:hAnsi="Arial" w:cs="Arial"/>
          <w:i/>
          <w:iCs/>
          <w:sz w:val="22"/>
          <w:szCs w:val="22"/>
          <w:lang w:val="en-US"/>
        </w:rPr>
        <w:t>in Blood</w:t>
      </w:r>
      <w:r w:rsidR="000657BE">
        <w:rPr>
          <w:rFonts w:ascii="Arial" w:hAnsi="Arial" w:cs="Arial"/>
          <w:i/>
          <w:iCs/>
          <w:sz w:val="22"/>
          <w:szCs w:val="22"/>
          <w:lang w:val="en-US"/>
        </w:rPr>
        <w:t xml:space="preserve"> – second round of revision</w:t>
      </w:r>
      <w:r w:rsidR="00B47DE0">
        <w:rPr>
          <w:rFonts w:ascii="Arial" w:hAnsi="Arial" w:cs="Arial"/>
          <w:i/>
          <w:iCs/>
          <w:sz w:val="22"/>
          <w:szCs w:val="22"/>
          <w:lang w:val="en-US"/>
        </w:rPr>
        <w:t>s</w:t>
      </w:r>
    </w:p>
    <w:p w14:paraId="1F1A54C9" w14:textId="77777777" w:rsidR="000657BE" w:rsidRPr="003A5293" w:rsidRDefault="000657BE" w:rsidP="00917FA0">
      <w:pPr>
        <w:spacing w:line="360" w:lineRule="auto"/>
        <w:jc w:val="both"/>
        <w:rPr>
          <w:rFonts w:ascii="Arial" w:hAnsi="Arial" w:cs="Arial"/>
          <w:sz w:val="22"/>
          <w:szCs w:val="22"/>
          <w:lang w:val="en-US"/>
        </w:rPr>
      </w:pPr>
      <w:r w:rsidRPr="000657BE">
        <w:rPr>
          <w:rFonts w:ascii="Arial" w:hAnsi="Arial" w:cs="Arial"/>
          <w:sz w:val="22"/>
          <w:szCs w:val="22"/>
          <w:lang w:val="en-US"/>
        </w:rPr>
        <w:t>Impact factor: 17.543</w:t>
      </w:r>
    </w:p>
    <w:p w14:paraId="5033749E" w14:textId="77777777" w:rsidR="006760AB" w:rsidRDefault="006760AB" w:rsidP="00917FA0">
      <w:pPr>
        <w:spacing w:line="360" w:lineRule="auto"/>
        <w:jc w:val="both"/>
        <w:rPr>
          <w:rFonts w:ascii="Arial" w:hAnsi="Arial" w:cs="Arial"/>
          <w:sz w:val="22"/>
          <w:szCs w:val="22"/>
          <w:lang w:val="en-US"/>
        </w:rPr>
      </w:pPr>
    </w:p>
    <w:p w14:paraId="610DA3D1" w14:textId="77777777" w:rsidR="006760AB" w:rsidRPr="006760AB" w:rsidRDefault="006760AB" w:rsidP="00917FA0">
      <w:pPr>
        <w:spacing w:line="360" w:lineRule="auto"/>
        <w:jc w:val="both"/>
        <w:rPr>
          <w:rFonts w:ascii="Arial" w:hAnsi="Arial" w:cs="Arial"/>
          <w:b/>
          <w:bCs/>
          <w:lang w:val="en-US"/>
        </w:rPr>
      </w:pPr>
      <w:r w:rsidRPr="006760AB">
        <w:rPr>
          <w:rFonts w:ascii="Arial" w:hAnsi="Arial" w:cs="Arial"/>
          <w:b/>
          <w:bCs/>
          <w:lang w:val="en-US"/>
        </w:rPr>
        <w:t xml:space="preserve">Abstracts published in </w:t>
      </w:r>
      <w:proofErr w:type="spellStart"/>
      <w:r w:rsidRPr="006760AB">
        <w:rPr>
          <w:rFonts w:ascii="Arial" w:hAnsi="Arial" w:cs="Arial"/>
          <w:b/>
          <w:bCs/>
          <w:lang w:val="en-US"/>
        </w:rPr>
        <w:t>WoS</w:t>
      </w:r>
      <w:proofErr w:type="spellEnd"/>
      <w:r w:rsidRPr="006760AB">
        <w:rPr>
          <w:rFonts w:ascii="Arial" w:hAnsi="Arial" w:cs="Arial"/>
          <w:b/>
          <w:bCs/>
          <w:lang w:val="en-US"/>
        </w:rPr>
        <w:t xml:space="preserve"> Core Collection Journals:</w:t>
      </w:r>
    </w:p>
    <w:p w14:paraId="635281A2" w14:textId="77777777" w:rsidR="006760AB" w:rsidRDefault="006760AB" w:rsidP="006760AB">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Raskova</w:t>
      </w:r>
      <w:proofErr w:type="spellEnd"/>
      <w:r w:rsidRPr="006C276C">
        <w:rPr>
          <w:rFonts w:ascii="Arial" w:hAnsi="Arial" w:cs="Arial"/>
          <w:sz w:val="22"/>
          <w:szCs w:val="22"/>
          <w:lang w:val="en-US"/>
        </w:rPr>
        <w:t xml:space="preserve"> </w:t>
      </w:r>
      <w:proofErr w:type="spellStart"/>
      <w:r w:rsidRPr="006C276C">
        <w:rPr>
          <w:rFonts w:ascii="Arial" w:hAnsi="Arial" w:cs="Arial"/>
          <w:sz w:val="22"/>
          <w:szCs w:val="22"/>
          <w:lang w:val="en-US"/>
        </w:rPr>
        <w:t>Kafkova</w:t>
      </w:r>
      <w:proofErr w:type="spellEnd"/>
      <w:r w:rsidRPr="006C276C">
        <w:rPr>
          <w:rFonts w:ascii="Arial" w:hAnsi="Arial" w:cs="Arial"/>
          <w:sz w:val="22"/>
          <w:szCs w:val="22"/>
          <w:lang w:val="en-US"/>
        </w:rPr>
        <w:t xml:space="preserve">, L., </w:t>
      </w:r>
      <w:proofErr w:type="spellStart"/>
      <w:r w:rsidRPr="006C276C">
        <w:rPr>
          <w:rFonts w:ascii="Arial" w:hAnsi="Arial" w:cs="Arial"/>
          <w:sz w:val="22"/>
          <w:szCs w:val="22"/>
          <w:lang w:val="en-US"/>
        </w:rPr>
        <w:t>Somikova</w:t>
      </w:r>
      <w:proofErr w:type="spellEnd"/>
      <w:r w:rsidRPr="006C276C">
        <w:rPr>
          <w:rFonts w:ascii="Arial" w:hAnsi="Arial" w:cs="Arial"/>
          <w:sz w:val="22"/>
          <w:szCs w:val="22"/>
          <w:lang w:val="en-US"/>
        </w:rPr>
        <w:t xml:space="preserve">, Z., </w:t>
      </w:r>
      <w:proofErr w:type="spellStart"/>
      <w:r w:rsidRPr="006C276C">
        <w:rPr>
          <w:rFonts w:ascii="Arial" w:hAnsi="Arial" w:cs="Arial"/>
          <w:sz w:val="22"/>
          <w:szCs w:val="22"/>
          <w:lang w:val="en-US"/>
        </w:rPr>
        <w:t>Kucerova</w:t>
      </w:r>
      <w:proofErr w:type="spellEnd"/>
      <w:r w:rsidRPr="006C276C">
        <w:rPr>
          <w:rFonts w:ascii="Arial" w:hAnsi="Arial" w:cs="Arial"/>
          <w:sz w:val="22"/>
          <w:szCs w:val="22"/>
          <w:lang w:val="en-US"/>
        </w:rPr>
        <w:t xml:space="preserve">, J., </w:t>
      </w:r>
      <w:proofErr w:type="spellStart"/>
      <w:r w:rsidRPr="006C276C">
        <w:rPr>
          <w:rFonts w:ascii="Arial" w:hAnsi="Arial" w:cs="Arial"/>
          <w:sz w:val="22"/>
          <w:szCs w:val="22"/>
          <w:lang w:val="en-US"/>
        </w:rPr>
        <w:t>Calabkova</w:t>
      </w:r>
      <w:proofErr w:type="spellEnd"/>
      <w:r w:rsidRPr="006C276C">
        <w:rPr>
          <w:rFonts w:ascii="Arial" w:hAnsi="Arial" w:cs="Arial"/>
          <w:sz w:val="22"/>
          <w:szCs w:val="22"/>
          <w:lang w:val="en-US"/>
        </w:rPr>
        <w:t xml:space="preserve">, L., </w:t>
      </w:r>
      <w:proofErr w:type="spellStart"/>
      <w:r w:rsidRPr="006C276C">
        <w:rPr>
          <w:rFonts w:ascii="Arial" w:hAnsi="Arial" w:cs="Arial"/>
          <w:sz w:val="22"/>
          <w:szCs w:val="22"/>
          <w:lang w:val="en-US"/>
        </w:rPr>
        <w:t>Luzna</w:t>
      </w:r>
      <w:proofErr w:type="spellEnd"/>
      <w:r w:rsidRPr="006C276C">
        <w:rPr>
          <w:rFonts w:ascii="Arial" w:hAnsi="Arial" w:cs="Arial"/>
          <w:sz w:val="22"/>
          <w:szCs w:val="22"/>
          <w:lang w:val="en-US"/>
        </w:rPr>
        <w:t xml:space="preserve">, P., </w:t>
      </w:r>
      <w:proofErr w:type="spellStart"/>
      <w:r w:rsidRPr="006C276C">
        <w:rPr>
          <w:rFonts w:ascii="Arial" w:hAnsi="Arial" w:cs="Arial"/>
          <w:sz w:val="22"/>
          <w:szCs w:val="22"/>
          <w:lang w:val="en-US"/>
        </w:rPr>
        <w:t>Stetka</w:t>
      </w:r>
      <w:proofErr w:type="spellEnd"/>
      <w:r w:rsidRPr="006C276C">
        <w:rPr>
          <w:rFonts w:ascii="Arial" w:hAnsi="Arial" w:cs="Arial"/>
          <w:sz w:val="22"/>
          <w:szCs w:val="22"/>
          <w:lang w:val="en-US"/>
        </w:rPr>
        <w:t xml:space="preserve">, J., </w:t>
      </w:r>
      <w:proofErr w:type="spellStart"/>
      <w:r w:rsidRPr="006C276C">
        <w:rPr>
          <w:rFonts w:ascii="Arial" w:hAnsi="Arial" w:cs="Arial"/>
          <w:sz w:val="22"/>
          <w:szCs w:val="22"/>
          <w:lang w:val="en-US"/>
        </w:rPr>
        <w:t>Simkova</w:t>
      </w:r>
      <w:proofErr w:type="spellEnd"/>
      <w:r w:rsidRPr="006C276C">
        <w:rPr>
          <w:rFonts w:ascii="Arial" w:hAnsi="Arial" w:cs="Arial"/>
          <w:sz w:val="22"/>
          <w:szCs w:val="22"/>
          <w:lang w:val="en-US"/>
        </w:rPr>
        <w:t xml:space="preserve">, D., Dolezal, D., </w:t>
      </w:r>
      <w:proofErr w:type="spellStart"/>
      <w:r w:rsidRPr="006C276C">
        <w:rPr>
          <w:rFonts w:ascii="Arial" w:hAnsi="Arial" w:cs="Arial"/>
          <w:sz w:val="22"/>
          <w:szCs w:val="22"/>
          <w:lang w:val="en-US"/>
        </w:rPr>
        <w:t>Divoky</w:t>
      </w:r>
      <w:proofErr w:type="spellEnd"/>
      <w:r w:rsidRPr="006C276C">
        <w:rPr>
          <w:rFonts w:ascii="Arial" w:hAnsi="Arial" w:cs="Arial"/>
          <w:sz w:val="22"/>
          <w:szCs w:val="22"/>
          <w:lang w:val="en-US"/>
        </w:rPr>
        <w:t>, V., 2015. Iron Chelation Reinforces DNA Damage Response and Leads to G2/M Checkpoint Activation and Autophagy in Myeloid Bone Marrow Cells of Preleukemia Mouse Model. Blood 126, 3351–3351. https://doi.org/10.1182/blood.V126.23.3351.3351</w:t>
      </w:r>
    </w:p>
    <w:p w14:paraId="21FD37B8" w14:textId="77777777" w:rsidR="000657BE" w:rsidRDefault="000657BE" w:rsidP="006760AB">
      <w:pPr>
        <w:spacing w:line="360" w:lineRule="auto"/>
        <w:jc w:val="both"/>
        <w:rPr>
          <w:rFonts w:ascii="Arial" w:hAnsi="Arial" w:cs="Arial"/>
          <w:sz w:val="22"/>
          <w:szCs w:val="22"/>
          <w:lang w:val="en-US"/>
        </w:rPr>
      </w:pPr>
    </w:p>
    <w:p w14:paraId="0A4F5D0C" w14:textId="77777777" w:rsidR="00F60980" w:rsidRDefault="006760AB" w:rsidP="006760AB">
      <w:pPr>
        <w:spacing w:line="360" w:lineRule="auto"/>
        <w:jc w:val="both"/>
        <w:rPr>
          <w:rFonts w:ascii="Arial" w:hAnsi="Arial" w:cs="Arial"/>
          <w:sz w:val="22"/>
          <w:szCs w:val="22"/>
          <w:lang w:val="en-US"/>
        </w:rPr>
      </w:pPr>
      <w:proofErr w:type="spellStart"/>
      <w:r w:rsidRPr="003A5293">
        <w:rPr>
          <w:rFonts w:ascii="Arial" w:hAnsi="Arial" w:cs="Arial"/>
          <w:sz w:val="22"/>
          <w:szCs w:val="22"/>
          <w:lang w:val="en-US"/>
        </w:rPr>
        <w:t>Stetka</w:t>
      </w:r>
      <w:proofErr w:type="spellEnd"/>
      <w:r w:rsidRPr="003A5293">
        <w:rPr>
          <w:rFonts w:ascii="Arial" w:hAnsi="Arial" w:cs="Arial"/>
          <w:sz w:val="22"/>
          <w:szCs w:val="22"/>
          <w:lang w:val="en-US"/>
        </w:rPr>
        <w:t xml:space="preserve">, J., </w:t>
      </w:r>
      <w:proofErr w:type="spellStart"/>
      <w:r w:rsidRPr="003A5293">
        <w:rPr>
          <w:rFonts w:ascii="Arial" w:hAnsi="Arial" w:cs="Arial"/>
          <w:sz w:val="22"/>
          <w:szCs w:val="22"/>
          <w:lang w:val="en-US"/>
        </w:rPr>
        <w:t>Luzna</w:t>
      </w:r>
      <w:proofErr w:type="spellEnd"/>
      <w:r w:rsidRPr="003A5293">
        <w:rPr>
          <w:rFonts w:ascii="Arial" w:hAnsi="Arial" w:cs="Arial"/>
          <w:sz w:val="22"/>
          <w:szCs w:val="22"/>
          <w:lang w:val="en-US"/>
        </w:rPr>
        <w:t xml:space="preserve">, P., </w:t>
      </w:r>
      <w:proofErr w:type="spellStart"/>
      <w:r w:rsidRPr="003A5293">
        <w:rPr>
          <w:rFonts w:ascii="Arial" w:hAnsi="Arial" w:cs="Arial"/>
          <w:sz w:val="22"/>
          <w:szCs w:val="22"/>
          <w:lang w:val="en-US"/>
        </w:rPr>
        <w:t>Lanikova</w:t>
      </w:r>
      <w:proofErr w:type="spellEnd"/>
      <w:r w:rsidRPr="003A5293">
        <w:rPr>
          <w:rFonts w:ascii="Arial" w:hAnsi="Arial" w:cs="Arial"/>
          <w:sz w:val="22"/>
          <w:szCs w:val="22"/>
          <w:lang w:val="en-US"/>
        </w:rPr>
        <w:t xml:space="preserve">, L., </w:t>
      </w:r>
      <w:proofErr w:type="spellStart"/>
      <w:r w:rsidRPr="003A5293">
        <w:rPr>
          <w:rFonts w:ascii="Arial" w:hAnsi="Arial" w:cs="Arial"/>
          <w:sz w:val="22"/>
          <w:szCs w:val="22"/>
          <w:lang w:val="en-US"/>
        </w:rPr>
        <w:t>Koralkova</w:t>
      </w:r>
      <w:proofErr w:type="spellEnd"/>
      <w:r w:rsidRPr="003A5293">
        <w:rPr>
          <w:rFonts w:ascii="Arial" w:hAnsi="Arial" w:cs="Arial"/>
          <w:sz w:val="22"/>
          <w:szCs w:val="22"/>
          <w:lang w:val="en-US"/>
        </w:rPr>
        <w:t xml:space="preserve">, P., </w:t>
      </w:r>
      <w:proofErr w:type="spellStart"/>
      <w:r w:rsidRPr="003A5293">
        <w:rPr>
          <w:rFonts w:ascii="Arial" w:hAnsi="Arial" w:cs="Arial"/>
          <w:sz w:val="22"/>
          <w:szCs w:val="22"/>
          <w:lang w:val="en-US"/>
        </w:rPr>
        <w:t>Gursky</w:t>
      </w:r>
      <w:proofErr w:type="spellEnd"/>
      <w:r w:rsidRPr="003A5293">
        <w:rPr>
          <w:rFonts w:ascii="Arial" w:hAnsi="Arial" w:cs="Arial"/>
          <w:sz w:val="22"/>
          <w:szCs w:val="22"/>
          <w:lang w:val="en-US"/>
        </w:rPr>
        <w:t xml:space="preserve">, J., </w:t>
      </w:r>
      <w:proofErr w:type="spellStart"/>
      <w:r w:rsidRPr="003A5293">
        <w:rPr>
          <w:rFonts w:ascii="Arial" w:hAnsi="Arial" w:cs="Arial"/>
          <w:sz w:val="22"/>
          <w:szCs w:val="22"/>
          <w:lang w:val="en-US"/>
        </w:rPr>
        <w:t>Hodny</w:t>
      </w:r>
      <w:proofErr w:type="spellEnd"/>
      <w:r w:rsidRPr="003A5293">
        <w:rPr>
          <w:rFonts w:ascii="Arial" w:hAnsi="Arial" w:cs="Arial"/>
          <w:sz w:val="22"/>
          <w:szCs w:val="22"/>
          <w:lang w:val="en-US"/>
        </w:rPr>
        <w:t xml:space="preserve">, Z., S., Bartek, J., </w:t>
      </w:r>
      <w:proofErr w:type="spellStart"/>
      <w:r w:rsidRPr="003A5293">
        <w:rPr>
          <w:rFonts w:ascii="Arial" w:hAnsi="Arial" w:cs="Arial"/>
          <w:sz w:val="22"/>
          <w:szCs w:val="22"/>
          <w:lang w:val="en-US"/>
        </w:rPr>
        <w:t>Divoky</w:t>
      </w:r>
      <w:proofErr w:type="spellEnd"/>
      <w:r w:rsidRPr="003A5293">
        <w:rPr>
          <w:rFonts w:ascii="Arial" w:hAnsi="Arial" w:cs="Arial"/>
          <w:sz w:val="22"/>
          <w:szCs w:val="22"/>
          <w:lang w:val="en-US"/>
        </w:rPr>
        <w:t>, V., 2017. JAK2 V617F Progenitors Utilize Adaptations to Cell-Autonomous and Microenvironment-Dependent Inflammatory Stress in Polycythemia Vera, Likely Exhibiting Barrier Against Rapid Transformation to Myelofibrosis. Blood 130, (Supplement 1): 1667</w:t>
      </w:r>
    </w:p>
    <w:p w14:paraId="293B6BCE" w14:textId="77777777" w:rsidR="00E922EE" w:rsidRDefault="00E922EE" w:rsidP="00917FA0">
      <w:pPr>
        <w:spacing w:line="360" w:lineRule="auto"/>
        <w:jc w:val="both"/>
        <w:rPr>
          <w:rFonts w:ascii="Arial" w:hAnsi="Arial" w:cs="Arial"/>
          <w:sz w:val="22"/>
          <w:szCs w:val="22"/>
          <w:lang w:val="en-US"/>
        </w:rPr>
      </w:pPr>
    </w:p>
    <w:p w14:paraId="67A37D39" w14:textId="77777777" w:rsidR="00E922EE" w:rsidRDefault="00E922EE" w:rsidP="00E922EE">
      <w:pPr>
        <w:spacing w:line="360" w:lineRule="auto"/>
        <w:jc w:val="both"/>
        <w:rPr>
          <w:rFonts w:ascii="Arial" w:hAnsi="Arial" w:cs="Arial"/>
          <w:sz w:val="22"/>
          <w:szCs w:val="22"/>
          <w:lang w:val="en-US"/>
        </w:rPr>
      </w:pPr>
      <w:proofErr w:type="spellStart"/>
      <w:r w:rsidRPr="006760AB">
        <w:rPr>
          <w:rFonts w:ascii="Arial" w:hAnsi="Arial" w:cs="Arial"/>
          <w:sz w:val="22"/>
          <w:szCs w:val="22"/>
          <w:lang w:val="en-US"/>
        </w:rPr>
        <w:lastRenderedPageBreak/>
        <w:t>Stetka</w:t>
      </w:r>
      <w:proofErr w:type="spellEnd"/>
      <w:r w:rsidRPr="006760AB">
        <w:rPr>
          <w:rFonts w:ascii="Arial" w:hAnsi="Arial" w:cs="Arial"/>
          <w:sz w:val="22"/>
          <w:szCs w:val="22"/>
          <w:lang w:val="en-US"/>
        </w:rPr>
        <w:t xml:space="preserve">, J., Hansen, N., </w:t>
      </w:r>
      <w:proofErr w:type="spellStart"/>
      <w:r w:rsidRPr="006760AB">
        <w:rPr>
          <w:rFonts w:ascii="Arial" w:hAnsi="Arial" w:cs="Arial"/>
          <w:sz w:val="22"/>
          <w:szCs w:val="22"/>
          <w:lang w:val="en-US"/>
        </w:rPr>
        <w:t>Kubovcakova</w:t>
      </w:r>
      <w:proofErr w:type="spellEnd"/>
      <w:r w:rsidRPr="006760AB">
        <w:rPr>
          <w:rFonts w:ascii="Arial" w:hAnsi="Arial" w:cs="Arial"/>
          <w:sz w:val="22"/>
          <w:szCs w:val="22"/>
          <w:lang w:val="en-US"/>
        </w:rPr>
        <w:t xml:space="preserve">, L., Hao-Shen, H., </w:t>
      </w:r>
      <w:proofErr w:type="spellStart"/>
      <w:r w:rsidRPr="006760AB">
        <w:rPr>
          <w:rFonts w:ascii="Arial" w:hAnsi="Arial" w:cs="Arial"/>
          <w:sz w:val="22"/>
          <w:szCs w:val="22"/>
          <w:lang w:val="en-US"/>
        </w:rPr>
        <w:t>Dirnhofer</w:t>
      </w:r>
      <w:proofErr w:type="spellEnd"/>
      <w:r w:rsidRPr="006760AB">
        <w:rPr>
          <w:rFonts w:ascii="Arial" w:hAnsi="Arial" w:cs="Arial"/>
          <w:sz w:val="22"/>
          <w:szCs w:val="22"/>
          <w:lang w:val="en-US"/>
        </w:rPr>
        <w:t>, S., Skoda, R.C</w:t>
      </w:r>
      <w:r>
        <w:rPr>
          <w:rFonts w:ascii="Arial" w:hAnsi="Arial" w:cs="Arial"/>
          <w:sz w:val="22"/>
          <w:szCs w:val="22"/>
          <w:lang w:val="en-US"/>
        </w:rPr>
        <w:t xml:space="preserve">., </w:t>
      </w:r>
      <w:r w:rsidRPr="006760AB">
        <w:rPr>
          <w:rFonts w:ascii="Arial" w:hAnsi="Arial" w:cs="Arial"/>
          <w:sz w:val="22"/>
          <w:szCs w:val="22"/>
          <w:lang w:val="en-US"/>
        </w:rPr>
        <w:t xml:space="preserve">2020. Loss of Dnmt3a Confers Resistance to </w:t>
      </w:r>
      <w:proofErr w:type="spellStart"/>
      <w:r w:rsidRPr="006760AB">
        <w:rPr>
          <w:rFonts w:ascii="Arial" w:hAnsi="Arial" w:cs="Arial"/>
          <w:sz w:val="22"/>
          <w:szCs w:val="22"/>
          <w:lang w:val="en-US"/>
        </w:rPr>
        <w:t>Pegifn</w:t>
      </w:r>
      <w:proofErr w:type="spellEnd"/>
      <w:r w:rsidRPr="006760AB">
        <w:rPr>
          <w:rFonts w:ascii="Arial" w:hAnsi="Arial" w:cs="Arial"/>
          <w:sz w:val="22"/>
          <w:szCs w:val="22"/>
          <w:lang w:val="en-US"/>
        </w:rPr>
        <w:t xml:space="preserve">α in </w:t>
      </w:r>
      <w:r w:rsidRPr="000657BE">
        <w:rPr>
          <w:rFonts w:ascii="Arial" w:hAnsi="Arial" w:cs="Arial"/>
          <w:sz w:val="22"/>
          <w:szCs w:val="22"/>
          <w:lang w:val="en-US"/>
        </w:rPr>
        <w:t>JAK2</w:t>
      </w:r>
      <w:r w:rsidRPr="006760AB">
        <w:rPr>
          <w:rFonts w:ascii="Arial" w:hAnsi="Arial" w:cs="Arial"/>
          <w:sz w:val="22"/>
          <w:szCs w:val="22"/>
          <w:lang w:val="en-US"/>
        </w:rPr>
        <w:t xml:space="preserve"> -V617F Mouse Model</w:t>
      </w:r>
      <w:r>
        <w:rPr>
          <w:rFonts w:ascii="Arial" w:hAnsi="Arial" w:cs="Arial"/>
          <w:sz w:val="22"/>
          <w:szCs w:val="22"/>
          <w:lang w:val="en-US"/>
        </w:rPr>
        <w:t>. Swiss Medical Weekly</w:t>
      </w:r>
      <w:r w:rsidRPr="006760AB">
        <w:rPr>
          <w:rFonts w:ascii="Arial" w:hAnsi="Arial" w:cs="Arial"/>
          <w:sz w:val="22"/>
          <w:szCs w:val="22"/>
          <w:lang w:val="en-US"/>
        </w:rPr>
        <w:t xml:space="preserve"> </w:t>
      </w:r>
      <w:r w:rsidRPr="00F60980">
        <w:rPr>
          <w:rFonts w:ascii="Arial" w:hAnsi="Arial" w:cs="Arial"/>
          <w:sz w:val="22"/>
          <w:szCs w:val="22"/>
          <w:lang w:val="en-US"/>
        </w:rPr>
        <w:t>150:w20411</w:t>
      </w:r>
      <w:r>
        <w:rPr>
          <w:rFonts w:ascii="Arial" w:hAnsi="Arial" w:cs="Arial"/>
          <w:sz w:val="22"/>
          <w:szCs w:val="22"/>
          <w:lang w:val="en-US"/>
        </w:rPr>
        <w:t xml:space="preserve">, </w:t>
      </w:r>
      <w:r w:rsidRPr="00F60980">
        <w:rPr>
          <w:rFonts w:ascii="Arial" w:hAnsi="Arial" w:cs="Arial"/>
          <w:sz w:val="22"/>
          <w:szCs w:val="22"/>
          <w:lang w:val="en-US"/>
        </w:rPr>
        <w:t>https://doi.org/10.4414/smw.2020.20411</w:t>
      </w:r>
    </w:p>
    <w:p w14:paraId="0607E72D" w14:textId="77777777" w:rsidR="00E922EE" w:rsidRDefault="00E922EE" w:rsidP="00E922EE">
      <w:pPr>
        <w:spacing w:line="360" w:lineRule="auto"/>
        <w:jc w:val="both"/>
        <w:rPr>
          <w:rFonts w:ascii="Arial" w:hAnsi="Arial" w:cs="Arial"/>
          <w:i/>
          <w:iCs/>
          <w:sz w:val="22"/>
          <w:szCs w:val="22"/>
          <w:lang w:val="en-US"/>
        </w:rPr>
      </w:pPr>
      <w:r w:rsidRPr="00F60980">
        <w:rPr>
          <w:rFonts w:ascii="Arial" w:hAnsi="Arial" w:cs="Arial"/>
          <w:i/>
          <w:iCs/>
          <w:sz w:val="22"/>
          <w:szCs w:val="22"/>
          <w:lang w:val="en-US"/>
        </w:rPr>
        <w:t xml:space="preserve">Received </w:t>
      </w:r>
      <w:r>
        <w:rPr>
          <w:rFonts w:ascii="Arial" w:hAnsi="Arial" w:cs="Arial"/>
          <w:i/>
          <w:iCs/>
          <w:sz w:val="22"/>
          <w:szCs w:val="22"/>
          <w:lang w:val="en-US"/>
        </w:rPr>
        <w:t>Swiss Society of Hematology and Swiss Society of Medical Oncology price for best abstract</w:t>
      </w:r>
      <w:r w:rsidR="00EA7E61">
        <w:rPr>
          <w:rFonts w:ascii="Arial" w:hAnsi="Arial" w:cs="Arial"/>
          <w:i/>
          <w:iCs/>
          <w:sz w:val="22"/>
          <w:szCs w:val="22"/>
          <w:lang w:val="en-US"/>
        </w:rPr>
        <w:t>.</w:t>
      </w:r>
    </w:p>
    <w:p w14:paraId="3E3AC267" w14:textId="77777777" w:rsidR="00E922EE" w:rsidRDefault="00E922EE" w:rsidP="00917FA0">
      <w:pPr>
        <w:spacing w:line="360" w:lineRule="auto"/>
        <w:jc w:val="both"/>
        <w:rPr>
          <w:rFonts w:ascii="Arial" w:hAnsi="Arial" w:cs="Arial"/>
          <w:sz w:val="22"/>
          <w:szCs w:val="22"/>
          <w:lang w:val="en-US"/>
        </w:rPr>
      </w:pPr>
    </w:p>
    <w:p w14:paraId="6F40C4C1" w14:textId="77777777" w:rsidR="006760AB" w:rsidRDefault="006760AB" w:rsidP="00917FA0">
      <w:pPr>
        <w:spacing w:line="360" w:lineRule="auto"/>
        <w:jc w:val="both"/>
        <w:rPr>
          <w:rFonts w:ascii="Arial" w:hAnsi="Arial" w:cs="Arial"/>
          <w:sz w:val="22"/>
          <w:szCs w:val="22"/>
          <w:lang w:val="en-US"/>
        </w:rPr>
      </w:pPr>
      <w:proofErr w:type="spellStart"/>
      <w:r w:rsidRPr="006760AB">
        <w:rPr>
          <w:rFonts w:ascii="Arial" w:hAnsi="Arial" w:cs="Arial"/>
          <w:sz w:val="22"/>
          <w:szCs w:val="22"/>
          <w:lang w:val="en-US"/>
        </w:rPr>
        <w:t>Stetka</w:t>
      </w:r>
      <w:proofErr w:type="spellEnd"/>
      <w:r w:rsidRPr="006760AB">
        <w:rPr>
          <w:rFonts w:ascii="Arial" w:hAnsi="Arial" w:cs="Arial"/>
          <w:sz w:val="22"/>
          <w:szCs w:val="22"/>
          <w:lang w:val="en-US"/>
        </w:rPr>
        <w:t xml:space="preserve">, J., Hansen, N., </w:t>
      </w:r>
      <w:proofErr w:type="spellStart"/>
      <w:r w:rsidRPr="006760AB">
        <w:rPr>
          <w:rFonts w:ascii="Arial" w:hAnsi="Arial" w:cs="Arial"/>
          <w:sz w:val="22"/>
          <w:szCs w:val="22"/>
          <w:lang w:val="en-US"/>
        </w:rPr>
        <w:t>Kubovcakova</w:t>
      </w:r>
      <w:proofErr w:type="spellEnd"/>
      <w:r w:rsidRPr="006760AB">
        <w:rPr>
          <w:rFonts w:ascii="Arial" w:hAnsi="Arial" w:cs="Arial"/>
          <w:sz w:val="22"/>
          <w:szCs w:val="22"/>
          <w:lang w:val="en-US"/>
        </w:rPr>
        <w:t xml:space="preserve">, L., Hao-Shen, H., </w:t>
      </w:r>
      <w:proofErr w:type="spellStart"/>
      <w:r w:rsidRPr="006760AB">
        <w:rPr>
          <w:rFonts w:ascii="Arial" w:hAnsi="Arial" w:cs="Arial"/>
          <w:sz w:val="22"/>
          <w:szCs w:val="22"/>
          <w:lang w:val="en-US"/>
        </w:rPr>
        <w:t>Dirnhofer</w:t>
      </w:r>
      <w:proofErr w:type="spellEnd"/>
      <w:r w:rsidRPr="006760AB">
        <w:rPr>
          <w:rFonts w:ascii="Arial" w:hAnsi="Arial" w:cs="Arial"/>
          <w:sz w:val="22"/>
          <w:szCs w:val="22"/>
          <w:lang w:val="en-US"/>
        </w:rPr>
        <w:t>, S., Skoda, R.C</w:t>
      </w:r>
      <w:r>
        <w:rPr>
          <w:rFonts w:ascii="Arial" w:hAnsi="Arial" w:cs="Arial"/>
          <w:sz w:val="22"/>
          <w:szCs w:val="22"/>
          <w:lang w:val="en-US"/>
        </w:rPr>
        <w:t xml:space="preserve">., </w:t>
      </w:r>
      <w:r w:rsidRPr="006760AB">
        <w:rPr>
          <w:rFonts w:ascii="Arial" w:hAnsi="Arial" w:cs="Arial"/>
          <w:sz w:val="22"/>
          <w:szCs w:val="22"/>
          <w:lang w:val="en-US"/>
        </w:rPr>
        <w:t xml:space="preserve">2020. Loss of Dnmt3a Confers Resistance to </w:t>
      </w:r>
      <w:proofErr w:type="spellStart"/>
      <w:r w:rsidRPr="006760AB">
        <w:rPr>
          <w:rFonts w:ascii="Arial" w:hAnsi="Arial" w:cs="Arial"/>
          <w:sz w:val="22"/>
          <w:szCs w:val="22"/>
          <w:lang w:val="en-US"/>
        </w:rPr>
        <w:t>Pegifn</w:t>
      </w:r>
      <w:proofErr w:type="spellEnd"/>
      <w:r w:rsidRPr="006760AB">
        <w:rPr>
          <w:rFonts w:ascii="Arial" w:hAnsi="Arial" w:cs="Arial"/>
          <w:sz w:val="22"/>
          <w:szCs w:val="22"/>
          <w:lang w:val="en-US"/>
        </w:rPr>
        <w:t xml:space="preserve">α in </w:t>
      </w:r>
      <w:r w:rsidRPr="006760AB">
        <w:rPr>
          <w:rFonts w:ascii="Arial" w:hAnsi="Arial" w:cs="Arial"/>
          <w:i/>
          <w:iCs/>
          <w:sz w:val="22"/>
          <w:szCs w:val="22"/>
          <w:lang w:val="en-US"/>
        </w:rPr>
        <w:t>JAK2</w:t>
      </w:r>
      <w:r w:rsidRPr="006760AB">
        <w:rPr>
          <w:rFonts w:ascii="Arial" w:hAnsi="Arial" w:cs="Arial"/>
          <w:sz w:val="22"/>
          <w:szCs w:val="22"/>
          <w:lang w:val="en-US"/>
        </w:rPr>
        <w:t xml:space="preserve"> -V617F Mouse Model</w:t>
      </w:r>
      <w:r>
        <w:rPr>
          <w:rFonts w:ascii="Arial" w:hAnsi="Arial" w:cs="Arial"/>
          <w:sz w:val="22"/>
          <w:szCs w:val="22"/>
          <w:lang w:val="en-US"/>
        </w:rPr>
        <w:t xml:space="preserve">. </w:t>
      </w:r>
      <w:r w:rsidRPr="006760AB">
        <w:rPr>
          <w:rFonts w:ascii="Arial" w:hAnsi="Arial" w:cs="Arial"/>
          <w:sz w:val="22"/>
          <w:szCs w:val="22"/>
          <w:lang w:val="en-US"/>
        </w:rPr>
        <w:t>Blood 136</w:t>
      </w:r>
      <w:r>
        <w:rPr>
          <w:rFonts w:ascii="Arial" w:hAnsi="Arial" w:cs="Arial"/>
          <w:sz w:val="22"/>
          <w:szCs w:val="22"/>
          <w:lang w:val="en-US"/>
        </w:rPr>
        <w:t>,</w:t>
      </w:r>
      <w:r w:rsidRPr="006760AB">
        <w:rPr>
          <w:rFonts w:ascii="Arial" w:hAnsi="Arial" w:cs="Arial"/>
          <w:sz w:val="22"/>
          <w:szCs w:val="22"/>
          <w:lang w:val="en-US"/>
        </w:rPr>
        <w:t xml:space="preserve"> (Supplement 1): 8–9</w:t>
      </w:r>
    </w:p>
    <w:p w14:paraId="22C90A10" w14:textId="77777777" w:rsidR="00F60980" w:rsidRDefault="00F60980" w:rsidP="00917FA0">
      <w:pPr>
        <w:spacing w:line="360" w:lineRule="auto"/>
        <w:jc w:val="both"/>
        <w:rPr>
          <w:rFonts w:ascii="Arial" w:hAnsi="Arial" w:cs="Arial"/>
          <w:i/>
          <w:iCs/>
          <w:sz w:val="22"/>
          <w:szCs w:val="22"/>
          <w:lang w:val="en-US"/>
        </w:rPr>
      </w:pPr>
      <w:r w:rsidRPr="00F60980">
        <w:rPr>
          <w:rFonts w:ascii="Arial" w:hAnsi="Arial" w:cs="Arial"/>
          <w:i/>
          <w:iCs/>
          <w:sz w:val="22"/>
          <w:szCs w:val="22"/>
          <w:lang w:val="en-US"/>
        </w:rPr>
        <w:t>Received ASH Abstract Achievement Award</w:t>
      </w:r>
      <w:r w:rsidR="00EA7E61">
        <w:rPr>
          <w:rFonts w:ascii="Arial" w:hAnsi="Arial" w:cs="Arial"/>
          <w:i/>
          <w:iCs/>
          <w:sz w:val="22"/>
          <w:szCs w:val="22"/>
          <w:lang w:val="en-US"/>
        </w:rPr>
        <w:t>.</w:t>
      </w:r>
    </w:p>
    <w:p w14:paraId="645E9FAF" w14:textId="77777777" w:rsidR="00BC2456" w:rsidRDefault="00BC2456" w:rsidP="000657BE">
      <w:pPr>
        <w:spacing w:line="360" w:lineRule="auto"/>
        <w:jc w:val="both"/>
        <w:rPr>
          <w:rFonts w:ascii="Arial" w:hAnsi="Arial" w:cs="Arial"/>
          <w:sz w:val="22"/>
          <w:szCs w:val="22"/>
          <w:lang w:val="en-US"/>
        </w:rPr>
      </w:pPr>
    </w:p>
    <w:p w14:paraId="1D20ECBF" w14:textId="77777777" w:rsidR="00BC2456" w:rsidRDefault="00BC2456" w:rsidP="00BC2456">
      <w:pPr>
        <w:spacing w:line="360" w:lineRule="auto"/>
        <w:jc w:val="both"/>
        <w:rPr>
          <w:rFonts w:ascii="Arial" w:hAnsi="Arial" w:cs="Arial"/>
          <w:lang w:val="en-US"/>
        </w:rPr>
      </w:pPr>
      <w:r>
        <w:rPr>
          <w:rFonts w:ascii="Arial" w:hAnsi="Arial" w:cs="Arial"/>
          <w:b/>
          <w:bCs/>
          <w:lang w:val="en-US"/>
        </w:rPr>
        <w:t>Other published abstracts</w:t>
      </w:r>
      <w:r>
        <w:rPr>
          <w:rFonts w:ascii="Arial" w:hAnsi="Arial" w:cs="Arial"/>
          <w:lang w:val="en-US"/>
        </w:rPr>
        <w:t>:</w:t>
      </w:r>
    </w:p>
    <w:p w14:paraId="13270BA5" w14:textId="77777777" w:rsidR="00BC2456" w:rsidRDefault="00BC2456" w:rsidP="00BC2456">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 Bartek</w:t>
      </w:r>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Divoky</w:t>
      </w:r>
      <w:proofErr w:type="spellEnd"/>
      <w:r>
        <w:rPr>
          <w:rFonts w:ascii="Arial" w:hAnsi="Arial" w:cs="Arial"/>
          <w:sz w:val="22"/>
          <w:szCs w:val="22"/>
          <w:lang w:val="en-US"/>
        </w:rPr>
        <w:t>,</w:t>
      </w:r>
      <w:r w:rsidRPr="006C276C">
        <w:rPr>
          <w:rFonts w:ascii="Arial" w:hAnsi="Arial" w:cs="Arial"/>
          <w:sz w:val="22"/>
          <w:szCs w:val="22"/>
          <w:lang w:val="en-US"/>
        </w:rPr>
        <w:t xml:space="preserve"> V.</w:t>
      </w:r>
      <w:r>
        <w:rPr>
          <w:rFonts w:ascii="Arial" w:hAnsi="Arial" w:cs="Arial"/>
          <w:sz w:val="22"/>
          <w:szCs w:val="22"/>
          <w:lang w:val="en-US"/>
        </w:rPr>
        <w:t>, 2015.</w:t>
      </w:r>
      <w:r w:rsidRPr="006C276C">
        <w:rPr>
          <w:rFonts w:ascii="Arial" w:hAnsi="Arial" w:cs="Arial"/>
          <w:sz w:val="22"/>
          <w:szCs w:val="22"/>
          <w:lang w:val="en-US"/>
        </w:rPr>
        <w:t xml:space="preserve"> Inflammatory response of hematopoietic progenitors differentiated from polycythemia vera patient-specific induced pluripotent stem cells. International Conference on the </w:t>
      </w:r>
      <w:proofErr w:type="spellStart"/>
      <w:r w:rsidRPr="006C276C">
        <w:rPr>
          <w:rFonts w:ascii="Arial" w:hAnsi="Arial" w:cs="Arial"/>
          <w:sz w:val="22"/>
          <w:szCs w:val="22"/>
          <w:lang w:val="en-US"/>
        </w:rPr>
        <w:t>tumour</w:t>
      </w:r>
      <w:proofErr w:type="spellEnd"/>
      <w:r w:rsidRPr="006C276C">
        <w:rPr>
          <w:rFonts w:ascii="Arial" w:hAnsi="Arial" w:cs="Arial"/>
          <w:sz w:val="22"/>
          <w:szCs w:val="22"/>
          <w:lang w:val="en-US"/>
        </w:rPr>
        <w:t xml:space="preserve"> microenvironment in the </w:t>
      </w:r>
      <w:proofErr w:type="spellStart"/>
      <w:r w:rsidRPr="006C276C">
        <w:rPr>
          <w:rFonts w:ascii="Arial" w:hAnsi="Arial" w:cs="Arial"/>
          <w:sz w:val="22"/>
          <w:szCs w:val="22"/>
          <w:lang w:val="en-US"/>
        </w:rPr>
        <w:t>haematological</w:t>
      </w:r>
      <w:proofErr w:type="spellEnd"/>
      <w:r w:rsidRPr="006C276C">
        <w:rPr>
          <w:rFonts w:ascii="Arial" w:hAnsi="Arial" w:cs="Arial"/>
          <w:sz w:val="22"/>
          <w:szCs w:val="22"/>
          <w:lang w:val="en-US"/>
        </w:rPr>
        <w:t xml:space="preserve"> malignancies and its therapeutic targeting, 201</w:t>
      </w:r>
      <w:r>
        <w:rPr>
          <w:rFonts w:ascii="Arial" w:hAnsi="Arial" w:cs="Arial"/>
          <w:sz w:val="22"/>
          <w:szCs w:val="22"/>
          <w:lang w:val="en-US"/>
        </w:rPr>
        <w:t>5</w:t>
      </w:r>
      <w:r w:rsidRPr="006C276C">
        <w:rPr>
          <w:rFonts w:ascii="Arial" w:hAnsi="Arial" w:cs="Arial"/>
          <w:sz w:val="22"/>
          <w:szCs w:val="22"/>
          <w:lang w:val="en-US"/>
        </w:rPr>
        <w:t xml:space="preserve">, Lisbon, Portugal, </w:t>
      </w:r>
      <w:r>
        <w:rPr>
          <w:rFonts w:ascii="Arial" w:hAnsi="Arial" w:cs="Arial"/>
          <w:sz w:val="22"/>
          <w:szCs w:val="22"/>
          <w:lang w:val="en-US"/>
        </w:rPr>
        <w:t>abstracts</w:t>
      </w:r>
      <w:r w:rsidRPr="006C276C">
        <w:rPr>
          <w:rFonts w:ascii="Arial" w:hAnsi="Arial" w:cs="Arial"/>
          <w:sz w:val="22"/>
          <w:szCs w:val="22"/>
          <w:lang w:val="en-US"/>
        </w:rPr>
        <w:t>, poster 24</w:t>
      </w:r>
    </w:p>
    <w:p w14:paraId="5BF66B84" w14:textId="77777777" w:rsidR="00BC2456" w:rsidRDefault="00BC2456" w:rsidP="00BC2456">
      <w:pPr>
        <w:spacing w:line="360" w:lineRule="auto"/>
        <w:jc w:val="both"/>
        <w:rPr>
          <w:rFonts w:ascii="Arial" w:hAnsi="Arial" w:cs="Arial"/>
          <w:sz w:val="22"/>
          <w:szCs w:val="22"/>
          <w:lang w:val="en-US"/>
        </w:rPr>
      </w:pPr>
    </w:p>
    <w:p w14:paraId="17879819" w14:textId="77777777" w:rsidR="00BC2456" w:rsidRDefault="00BC2456" w:rsidP="00BC2456">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 Bartek</w:t>
      </w:r>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Divoky</w:t>
      </w:r>
      <w:proofErr w:type="spellEnd"/>
      <w:r>
        <w:rPr>
          <w:rFonts w:ascii="Arial" w:hAnsi="Arial" w:cs="Arial"/>
          <w:sz w:val="22"/>
          <w:szCs w:val="22"/>
          <w:lang w:val="en-US"/>
        </w:rPr>
        <w:t>,</w:t>
      </w:r>
      <w:r w:rsidRPr="006C276C">
        <w:rPr>
          <w:rFonts w:ascii="Arial" w:hAnsi="Arial" w:cs="Arial"/>
          <w:sz w:val="22"/>
          <w:szCs w:val="22"/>
          <w:lang w:val="en-US"/>
        </w:rPr>
        <w:t xml:space="preserve"> V.</w:t>
      </w:r>
      <w:r>
        <w:rPr>
          <w:rFonts w:ascii="Arial" w:hAnsi="Arial" w:cs="Arial"/>
          <w:sz w:val="22"/>
          <w:szCs w:val="22"/>
          <w:lang w:val="en-US"/>
        </w:rPr>
        <w:t>, 2015</w:t>
      </w:r>
      <w:r w:rsidRPr="006C276C">
        <w:rPr>
          <w:rFonts w:ascii="Arial" w:hAnsi="Arial" w:cs="Arial"/>
          <w:sz w:val="22"/>
          <w:szCs w:val="22"/>
          <w:lang w:val="en-US"/>
        </w:rPr>
        <w:t xml:space="preserve"> Inflammatory response of polycythemia vera hematopoietic progenitors differentiated from patient-specific induced pluripotent stem cells. </w:t>
      </w:r>
      <w:r w:rsidRPr="0007234B">
        <w:rPr>
          <w:rFonts w:ascii="Arial" w:hAnsi="Arial" w:cs="Arial"/>
          <w:sz w:val="22"/>
          <w:szCs w:val="22"/>
          <w:lang w:val="en-US"/>
        </w:rPr>
        <w:t>Olomouc Hematological Days</w:t>
      </w:r>
      <w:r w:rsidRPr="006C276C">
        <w:rPr>
          <w:rFonts w:ascii="Arial" w:hAnsi="Arial" w:cs="Arial"/>
          <w:sz w:val="22"/>
          <w:szCs w:val="22"/>
          <w:lang w:val="en-US"/>
        </w:rPr>
        <w:t xml:space="preserve">, 2015, Olomouc, </w:t>
      </w:r>
      <w:r>
        <w:rPr>
          <w:rFonts w:ascii="Arial" w:hAnsi="Arial" w:cs="Arial"/>
          <w:sz w:val="22"/>
          <w:szCs w:val="22"/>
          <w:lang w:val="en-US"/>
        </w:rPr>
        <w:t>abstracts,</w:t>
      </w:r>
      <w:r w:rsidRPr="006C276C">
        <w:rPr>
          <w:rFonts w:ascii="Arial" w:hAnsi="Arial" w:cs="Arial"/>
          <w:sz w:val="22"/>
          <w:szCs w:val="22"/>
          <w:lang w:val="en-US"/>
        </w:rPr>
        <w:t xml:space="preserve"> ISBN 978-80-244-4697-4</w:t>
      </w:r>
      <w:r>
        <w:rPr>
          <w:rFonts w:ascii="Arial" w:hAnsi="Arial" w:cs="Arial"/>
          <w:sz w:val="22"/>
          <w:szCs w:val="22"/>
          <w:lang w:val="en-US"/>
        </w:rPr>
        <w:t>, page</w:t>
      </w:r>
      <w:r w:rsidRPr="006C276C">
        <w:rPr>
          <w:rFonts w:ascii="Arial" w:hAnsi="Arial" w:cs="Arial"/>
          <w:sz w:val="22"/>
          <w:szCs w:val="22"/>
          <w:lang w:val="en-US"/>
        </w:rPr>
        <w:t xml:space="preserve"> 6</w:t>
      </w:r>
    </w:p>
    <w:p w14:paraId="47E2B533" w14:textId="77777777" w:rsidR="00BC2456" w:rsidRDefault="00BC2456" w:rsidP="00BC2456">
      <w:pPr>
        <w:spacing w:line="360" w:lineRule="auto"/>
        <w:jc w:val="both"/>
        <w:rPr>
          <w:rFonts w:ascii="Arial" w:hAnsi="Arial" w:cs="Arial"/>
          <w:sz w:val="22"/>
          <w:szCs w:val="22"/>
          <w:lang w:val="en-US"/>
        </w:rPr>
      </w:pPr>
    </w:p>
    <w:p w14:paraId="5F4E2F41" w14:textId="77777777" w:rsidR="00BC2456" w:rsidRDefault="00BC2456" w:rsidP="00BC2456">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Koralkova</w:t>
      </w:r>
      <w:proofErr w:type="spellEnd"/>
      <w:r>
        <w:rPr>
          <w:rFonts w:ascii="Arial" w:hAnsi="Arial" w:cs="Arial"/>
          <w:sz w:val="22"/>
          <w:szCs w:val="22"/>
          <w:lang w:val="en-US"/>
        </w:rPr>
        <w:t>,</w:t>
      </w:r>
      <w:r w:rsidRPr="0007234B">
        <w:rPr>
          <w:rFonts w:ascii="Arial" w:hAnsi="Arial" w:cs="Arial"/>
          <w:sz w:val="22"/>
          <w:szCs w:val="22"/>
          <w:lang w:val="en-US"/>
        </w:rPr>
        <w:t xml:space="preserve"> P</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Hodny</w:t>
      </w:r>
      <w:proofErr w:type="spellEnd"/>
      <w:r>
        <w:rPr>
          <w:rFonts w:ascii="Arial" w:hAnsi="Arial" w:cs="Arial"/>
          <w:sz w:val="22"/>
          <w:szCs w:val="22"/>
          <w:lang w:val="en-US"/>
        </w:rPr>
        <w:t>,</w:t>
      </w:r>
      <w:r w:rsidRPr="0007234B">
        <w:rPr>
          <w:rFonts w:ascii="Arial" w:hAnsi="Arial" w:cs="Arial"/>
          <w:sz w:val="22"/>
          <w:szCs w:val="22"/>
          <w:lang w:val="en-US"/>
        </w:rPr>
        <w:t xml:space="preserve"> Z</w:t>
      </w:r>
      <w:r>
        <w:rPr>
          <w:rFonts w:ascii="Arial" w:hAnsi="Arial" w:cs="Arial"/>
          <w:sz w:val="22"/>
          <w:szCs w:val="22"/>
          <w:lang w:val="en-US"/>
        </w:rPr>
        <w:t>.</w:t>
      </w:r>
      <w:r w:rsidRPr="0007234B">
        <w:rPr>
          <w:rFonts w:ascii="Arial" w:hAnsi="Arial" w:cs="Arial"/>
          <w:sz w:val="22"/>
          <w:szCs w:val="22"/>
          <w:lang w:val="en-US"/>
        </w:rPr>
        <w:t>, Prchal</w:t>
      </w:r>
      <w:r>
        <w:rPr>
          <w:rFonts w:ascii="Arial" w:hAnsi="Arial" w:cs="Arial"/>
          <w:sz w:val="22"/>
          <w:szCs w:val="22"/>
          <w:lang w:val="en-US"/>
        </w:rPr>
        <w:t>,</w:t>
      </w:r>
      <w:r w:rsidRPr="0007234B">
        <w:rPr>
          <w:rFonts w:ascii="Arial" w:hAnsi="Arial" w:cs="Arial"/>
          <w:sz w:val="22"/>
          <w:szCs w:val="22"/>
          <w:lang w:val="en-US"/>
        </w:rPr>
        <w:t xml:space="preserve"> J</w:t>
      </w:r>
      <w:r>
        <w:rPr>
          <w:rFonts w:ascii="Arial" w:hAnsi="Arial" w:cs="Arial"/>
          <w:sz w:val="22"/>
          <w:szCs w:val="22"/>
          <w:lang w:val="en-US"/>
        </w:rPr>
        <w:t>.</w:t>
      </w:r>
      <w:r w:rsidRPr="0007234B">
        <w:rPr>
          <w:rFonts w:ascii="Arial" w:hAnsi="Arial" w:cs="Arial"/>
          <w:sz w:val="22"/>
          <w:szCs w:val="22"/>
          <w:lang w:val="en-US"/>
        </w:rPr>
        <w:t>, Bartek</w:t>
      </w:r>
      <w:r>
        <w:rPr>
          <w:rFonts w:ascii="Arial" w:hAnsi="Arial" w:cs="Arial"/>
          <w:sz w:val="22"/>
          <w:szCs w:val="22"/>
          <w:lang w:val="en-US"/>
        </w:rPr>
        <w:t>,</w:t>
      </w:r>
      <w:r w:rsidRPr="0007234B">
        <w:rPr>
          <w:rFonts w:ascii="Arial" w:hAnsi="Arial" w:cs="Arial"/>
          <w:sz w:val="22"/>
          <w:szCs w:val="22"/>
          <w:lang w:val="en-US"/>
        </w:rPr>
        <w:t xml:space="preserve"> J</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Divoky</w:t>
      </w:r>
      <w:proofErr w:type="spellEnd"/>
      <w:r>
        <w:rPr>
          <w:rFonts w:ascii="Arial" w:hAnsi="Arial" w:cs="Arial"/>
          <w:sz w:val="22"/>
          <w:szCs w:val="22"/>
          <w:lang w:val="en-US"/>
        </w:rPr>
        <w:t>,</w:t>
      </w:r>
      <w:r w:rsidRPr="0007234B">
        <w:rPr>
          <w:rFonts w:ascii="Arial" w:hAnsi="Arial" w:cs="Arial"/>
          <w:sz w:val="22"/>
          <w:szCs w:val="22"/>
          <w:lang w:val="en-US"/>
        </w:rPr>
        <w:t xml:space="preserve"> V.</w:t>
      </w:r>
      <w:r>
        <w:rPr>
          <w:rFonts w:ascii="Arial" w:hAnsi="Arial" w:cs="Arial"/>
          <w:sz w:val="22"/>
          <w:szCs w:val="22"/>
          <w:lang w:val="en-US"/>
        </w:rPr>
        <w:t>, 2016.</w:t>
      </w:r>
      <w:r w:rsidRPr="0007234B">
        <w:rPr>
          <w:rFonts w:ascii="Arial" w:hAnsi="Arial" w:cs="Arial"/>
          <w:sz w:val="22"/>
          <w:szCs w:val="22"/>
          <w:lang w:val="en-US"/>
        </w:rPr>
        <w:t xml:space="preserve"> JAK2 V617F progenitors exhibit intrinsic inflammatory signaling and protection against inflammation induced DNA damage. ESH 7th International Conference on MYELOPROLIFERATIVE NEOPLASMS, 2016, Estoril, Portugal, </w:t>
      </w:r>
      <w:r>
        <w:rPr>
          <w:rFonts w:ascii="Arial" w:hAnsi="Arial" w:cs="Arial"/>
          <w:sz w:val="22"/>
          <w:szCs w:val="22"/>
          <w:lang w:val="en-US"/>
        </w:rPr>
        <w:t>abstracts</w:t>
      </w:r>
      <w:r w:rsidRPr="0007234B">
        <w:rPr>
          <w:rFonts w:ascii="Arial" w:hAnsi="Arial" w:cs="Arial"/>
          <w:sz w:val="22"/>
          <w:szCs w:val="22"/>
          <w:lang w:val="en-US"/>
        </w:rPr>
        <w:t>, poster 21</w:t>
      </w:r>
    </w:p>
    <w:p w14:paraId="5577C6A0" w14:textId="77777777" w:rsidR="00BC2456" w:rsidRDefault="00BC2456" w:rsidP="00BC2456">
      <w:pPr>
        <w:spacing w:line="360" w:lineRule="auto"/>
        <w:jc w:val="both"/>
        <w:rPr>
          <w:rFonts w:ascii="Arial" w:hAnsi="Arial" w:cs="Arial"/>
          <w:sz w:val="22"/>
          <w:szCs w:val="22"/>
          <w:lang w:val="en-US"/>
        </w:rPr>
      </w:pPr>
    </w:p>
    <w:p w14:paraId="6F0BC52F" w14:textId="77777777" w:rsidR="00BC2456" w:rsidRDefault="00BC2456" w:rsidP="00BC2456">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Koralkova</w:t>
      </w:r>
      <w:proofErr w:type="spellEnd"/>
      <w:r>
        <w:rPr>
          <w:rFonts w:ascii="Arial" w:hAnsi="Arial" w:cs="Arial"/>
          <w:sz w:val="22"/>
          <w:szCs w:val="22"/>
          <w:lang w:val="en-US"/>
        </w:rPr>
        <w:t>,</w:t>
      </w:r>
      <w:r w:rsidRPr="0007234B">
        <w:rPr>
          <w:rFonts w:ascii="Arial" w:hAnsi="Arial" w:cs="Arial"/>
          <w:sz w:val="22"/>
          <w:szCs w:val="22"/>
          <w:lang w:val="en-US"/>
        </w:rPr>
        <w:t xml:space="preserve"> P</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Hodny</w:t>
      </w:r>
      <w:proofErr w:type="spellEnd"/>
      <w:r>
        <w:rPr>
          <w:rFonts w:ascii="Arial" w:hAnsi="Arial" w:cs="Arial"/>
          <w:sz w:val="22"/>
          <w:szCs w:val="22"/>
          <w:lang w:val="en-US"/>
        </w:rPr>
        <w:t>,</w:t>
      </w:r>
      <w:r w:rsidRPr="0007234B">
        <w:rPr>
          <w:rFonts w:ascii="Arial" w:hAnsi="Arial" w:cs="Arial"/>
          <w:sz w:val="22"/>
          <w:szCs w:val="22"/>
          <w:lang w:val="en-US"/>
        </w:rPr>
        <w:t xml:space="preserve"> Z</w:t>
      </w:r>
      <w:r>
        <w:rPr>
          <w:rFonts w:ascii="Arial" w:hAnsi="Arial" w:cs="Arial"/>
          <w:sz w:val="22"/>
          <w:szCs w:val="22"/>
          <w:lang w:val="en-US"/>
        </w:rPr>
        <w:t>.</w:t>
      </w:r>
      <w:r w:rsidRPr="0007234B">
        <w:rPr>
          <w:rFonts w:ascii="Arial" w:hAnsi="Arial" w:cs="Arial"/>
          <w:sz w:val="22"/>
          <w:szCs w:val="22"/>
          <w:lang w:val="en-US"/>
        </w:rPr>
        <w:t>, Bartek</w:t>
      </w:r>
      <w:r>
        <w:rPr>
          <w:rFonts w:ascii="Arial" w:hAnsi="Arial" w:cs="Arial"/>
          <w:sz w:val="22"/>
          <w:szCs w:val="22"/>
          <w:lang w:val="en-US"/>
        </w:rPr>
        <w:t>,</w:t>
      </w:r>
      <w:r w:rsidRPr="0007234B">
        <w:rPr>
          <w:rFonts w:ascii="Arial" w:hAnsi="Arial" w:cs="Arial"/>
          <w:sz w:val="22"/>
          <w:szCs w:val="22"/>
          <w:lang w:val="en-US"/>
        </w:rPr>
        <w:t xml:space="preserve"> J</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Divoky</w:t>
      </w:r>
      <w:proofErr w:type="spellEnd"/>
      <w:r>
        <w:rPr>
          <w:rFonts w:ascii="Arial" w:hAnsi="Arial" w:cs="Arial"/>
          <w:sz w:val="22"/>
          <w:szCs w:val="22"/>
          <w:lang w:val="en-US"/>
        </w:rPr>
        <w:t>,</w:t>
      </w:r>
      <w:r w:rsidRPr="0007234B">
        <w:rPr>
          <w:rFonts w:ascii="Arial" w:hAnsi="Arial" w:cs="Arial"/>
          <w:sz w:val="22"/>
          <w:szCs w:val="22"/>
          <w:lang w:val="en-US"/>
        </w:rPr>
        <w:t xml:space="preserve"> V.</w:t>
      </w:r>
      <w:r>
        <w:rPr>
          <w:rFonts w:ascii="Arial" w:hAnsi="Arial" w:cs="Arial"/>
          <w:sz w:val="22"/>
          <w:szCs w:val="22"/>
          <w:lang w:val="en-US"/>
        </w:rPr>
        <w:t>, 2016.</w:t>
      </w:r>
      <w:r w:rsidRPr="0007234B">
        <w:rPr>
          <w:rFonts w:ascii="Arial" w:hAnsi="Arial" w:cs="Arial"/>
          <w:sz w:val="22"/>
          <w:szCs w:val="22"/>
          <w:lang w:val="en-US"/>
        </w:rPr>
        <w:t xml:space="preserve"> JAK2 V617F progenitors exhibit intrinsic inflammatory signaling and protection against inflammation induced DNA damage. Olomouc Hematological Days, 2016, Olomouc, </w:t>
      </w:r>
      <w:r>
        <w:rPr>
          <w:rFonts w:ascii="Arial" w:hAnsi="Arial" w:cs="Arial"/>
          <w:sz w:val="22"/>
          <w:szCs w:val="22"/>
          <w:lang w:val="en-US"/>
        </w:rPr>
        <w:t>abstracts</w:t>
      </w:r>
      <w:r w:rsidRPr="0007234B">
        <w:rPr>
          <w:rFonts w:ascii="Arial" w:hAnsi="Arial" w:cs="Arial"/>
          <w:sz w:val="22"/>
          <w:szCs w:val="22"/>
          <w:lang w:val="en-US"/>
        </w:rPr>
        <w:t xml:space="preserve">, ISSN 1213-5763, </w:t>
      </w:r>
      <w:r>
        <w:rPr>
          <w:rFonts w:ascii="Arial" w:hAnsi="Arial" w:cs="Arial"/>
          <w:sz w:val="22"/>
          <w:szCs w:val="22"/>
          <w:lang w:val="en-US"/>
        </w:rPr>
        <w:t>page</w:t>
      </w:r>
      <w:r w:rsidRPr="0007234B">
        <w:rPr>
          <w:rFonts w:ascii="Arial" w:hAnsi="Arial" w:cs="Arial"/>
          <w:sz w:val="22"/>
          <w:szCs w:val="22"/>
          <w:lang w:val="en-US"/>
        </w:rPr>
        <w:t xml:space="preserve"> 28-29</w:t>
      </w:r>
    </w:p>
    <w:p w14:paraId="31988CD8" w14:textId="77777777" w:rsidR="00BC2456" w:rsidRPr="00F60980" w:rsidRDefault="00BC2456" w:rsidP="00BC2456">
      <w:pPr>
        <w:spacing w:line="360" w:lineRule="auto"/>
        <w:jc w:val="both"/>
        <w:rPr>
          <w:rFonts w:ascii="Arial" w:hAnsi="Arial" w:cs="Arial"/>
          <w:i/>
          <w:iCs/>
          <w:sz w:val="22"/>
          <w:szCs w:val="22"/>
          <w:lang w:val="en-US"/>
        </w:rPr>
      </w:pPr>
      <w:r w:rsidRPr="00F60980">
        <w:rPr>
          <w:rFonts w:ascii="Arial" w:hAnsi="Arial" w:cs="Arial"/>
          <w:i/>
          <w:iCs/>
          <w:sz w:val="22"/>
          <w:szCs w:val="22"/>
          <w:lang w:val="en-US"/>
        </w:rPr>
        <w:t>Received Award</w:t>
      </w:r>
      <w:r>
        <w:rPr>
          <w:rFonts w:ascii="Arial" w:hAnsi="Arial" w:cs="Arial"/>
          <w:i/>
          <w:iCs/>
          <w:sz w:val="22"/>
          <w:szCs w:val="22"/>
          <w:lang w:val="en-US"/>
        </w:rPr>
        <w:t xml:space="preserve"> for best abstract in its category</w:t>
      </w:r>
      <w:r w:rsidR="00EA7E61">
        <w:rPr>
          <w:rFonts w:ascii="Arial" w:hAnsi="Arial" w:cs="Arial"/>
          <w:i/>
          <w:iCs/>
          <w:sz w:val="22"/>
          <w:szCs w:val="22"/>
          <w:lang w:val="en-US"/>
        </w:rPr>
        <w:t>.</w:t>
      </w:r>
    </w:p>
    <w:p w14:paraId="445FFC2E" w14:textId="77777777" w:rsidR="00BC2456" w:rsidRDefault="00BC2456" w:rsidP="00BC2456">
      <w:pPr>
        <w:spacing w:line="360" w:lineRule="auto"/>
        <w:jc w:val="both"/>
        <w:rPr>
          <w:rFonts w:ascii="Arial" w:hAnsi="Arial" w:cs="Arial"/>
          <w:sz w:val="22"/>
          <w:szCs w:val="22"/>
          <w:lang w:val="en-US"/>
        </w:rPr>
      </w:pPr>
    </w:p>
    <w:p w14:paraId="315A5604" w14:textId="77777777" w:rsidR="00BC2456" w:rsidRDefault="00BC2456" w:rsidP="00BC2456">
      <w:pPr>
        <w:spacing w:line="360" w:lineRule="auto"/>
        <w:jc w:val="both"/>
        <w:rPr>
          <w:rFonts w:ascii="Arial" w:hAnsi="Arial" w:cs="Arial"/>
          <w:sz w:val="22"/>
          <w:szCs w:val="22"/>
          <w:lang w:val="en-US"/>
        </w:rPr>
      </w:pPr>
      <w:proofErr w:type="spellStart"/>
      <w:r w:rsidRPr="006C276C">
        <w:rPr>
          <w:rFonts w:ascii="Arial" w:hAnsi="Arial" w:cs="Arial"/>
          <w:sz w:val="22"/>
          <w:szCs w:val="22"/>
          <w:lang w:val="en-US"/>
        </w:rPr>
        <w:t>Stetka</w:t>
      </w:r>
      <w:proofErr w:type="spellEnd"/>
      <w:r>
        <w:rPr>
          <w:rFonts w:ascii="Arial" w:hAnsi="Arial" w:cs="Arial"/>
          <w:sz w:val="22"/>
          <w:szCs w:val="22"/>
          <w:lang w:val="en-US"/>
        </w:rPr>
        <w:t>,</w:t>
      </w:r>
      <w:r w:rsidRPr="006C276C">
        <w:rPr>
          <w:rFonts w:ascii="Arial" w:hAnsi="Arial" w:cs="Arial"/>
          <w:sz w:val="22"/>
          <w:szCs w:val="22"/>
          <w:lang w:val="en-US"/>
        </w:rPr>
        <w:t xml:space="preserve"> J</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Luzna</w:t>
      </w:r>
      <w:proofErr w:type="spellEnd"/>
      <w:r>
        <w:rPr>
          <w:rFonts w:ascii="Arial" w:hAnsi="Arial" w:cs="Arial"/>
          <w:sz w:val="22"/>
          <w:szCs w:val="22"/>
          <w:lang w:val="en-US"/>
        </w:rPr>
        <w:t>,</w:t>
      </w:r>
      <w:r w:rsidRPr="006C276C">
        <w:rPr>
          <w:rFonts w:ascii="Arial" w:hAnsi="Arial" w:cs="Arial"/>
          <w:sz w:val="22"/>
          <w:szCs w:val="22"/>
          <w:lang w:val="en-US"/>
        </w:rPr>
        <w:t xml:space="preserve"> P</w:t>
      </w:r>
      <w:r>
        <w:rPr>
          <w:rFonts w:ascii="Arial" w:hAnsi="Arial" w:cs="Arial"/>
          <w:sz w:val="22"/>
          <w:szCs w:val="22"/>
          <w:lang w:val="en-US"/>
        </w:rPr>
        <w:t>.</w:t>
      </w:r>
      <w:r w:rsidRPr="006C276C">
        <w:rPr>
          <w:rFonts w:ascii="Arial" w:hAnsi="Arial" w:cs="Arial"/>
          <w:sz w:val="22"/>
          <w:szCs w:val="22"/>
          <w:lang w:val="en-US"/>
        </w:rPr>
        <w:t xml:space="preserve">, </w:t>
      </w:r>
      <w:proofErr w:type="spellStart"/>
      <w:r w:rsidRPr="006C276C">
        <w:rPr>
          <w:rFonts w:ascii="Arial" w:hAnsi="Arial" w:cs="Arial"/>
          <w:sz w:val="22"/>
          <w:szCs w:val="22"/>
          <w:lang w:val="en-US"/>
        </w:rPr>
        <w:t>Lanikova</w:t>
      </w:r>
      <w:proofErr w:type="spellEnd"/>
      <w:r>
        <w:rPr>
          <w:rFonts w:ascii="Arial" w:hAnsi="Arial" w:cs="Arial"/>
          <w:sz w:val="22"/>
          <w:szCs w:val="22"/>
          <w:lang w:val="en-US"/>
        </w:rPr>
        <w:t>,</w:t>
      </w:r>
      <w:r w:rsidRPr="006C276C">
        <w:rPr>
          <w:rFonts w:ascii="Arial" w:hAnsi="Arial" w:cs="Arial"/>
          <w:sz w:val="22"/>
          <w:szCs w:val="22"/>
          <w:lang w:val="en-US"/>
        </w:rPr>
        <w:t xml:space="preserve"> L</w:t>
      </w:r>
      <w:r>
        <w:rPr>
          <w:rFonts w:ascii="Arial" w:hAnsi="Arial" w:cs="Arial"/>
          <w:sz w:val="22"/>
          <w:szCs w:val="22"/>
          <w:lang w:val="en-US"/>
        </w:rPr>
        <w:t>.</w:t>
      </w:r>
      <w:r w:rsidRPr="006C276C">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Koralkova</w:t>
      </w:r>
      <w:proofErr w:type="spellEnd"/>
      <w:r>
        <w:rPr>
          <w:rFonts w:ascii="Arial" w:hAnsi="Arial" w:cs="Arial"/>
          <w:sz w:val="22"/>
          <w:szCs w:val="22"/>
          <w:lang w:val="en-US"/>
        </w:rPr>
        <w:t>,</w:t>
      </w:r>
      <w:r w:rsidRPr="0007234B">
        <w:rPr>
          <w:rFonts w:ascii="Arial" w:hAnsi="Arial" w:cs="Arial"/>
          <w:sz w:val="22"/>
          <w:szCs w:val="22"/>
          <w:lang w:val="en-US"/>
        </w:rPr>
        <w:t xml:space="preserve"> P</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Hodny</w:t>
      </w:r>
      <w:proofErr w:type="spellEnd"/>
      <w:r>
        <w:rPr>
          <w:rFonts w:ascii="Arial" w:hAnsi="Arial" w:cs="Arial"/>
          <w:sz w:val="22"/>
          <w:szCs w:val="22"/>
          <w:lang w:val="en-US"/>
        </w:rPr>
        <w:t>,</w:t>
      </w:r>
      <w:r w:rsidRPr="0007234B">
        <w:rPr>
          <w:rFonts w:ascii="Arial" w:hAnsi="Arial" w:cs="Arial"/>
          <w:sz w:val="22"/>
          <w:szCs w:val="22"/>
          <w:lang w:val="en-US"/>
        </w:rPr>
        <w:t xml:space="preserve"> Z</w:t>
      </w:r>
      <w:r>
        <w:rPr>
          <w:rFonts w:ascii="Arial" w:hAnsi="Arial" w:cs="Arial"/>
          <w:sz w:val="22"/>
          <w:szCs w:val="22"/>
          <w:lang w:val="en-US"/>
        </w:rPr>
        <w:t>.</w:t>
      </w:r>
      <w:r w:rsidRPr="0007234B">
        <w:rPr>
          <w:rFonts w:ascii="Arial" w:hAnsi="Arial" w:cs="Arial"/>
          <w:sz w:val="22"/>
          <w:szCs w:val="22"/>
          <w:lang w:val="en-US"/>
        </w:rPr>
        <w:t>, Bartek</w:t>
      </w:r>
      <w:r>
        <w:rPr>
          <w:rFonts w:ascii="Arial" w:hAnsi="Arial" w:cs="Arial"/>
          <w:sz w:val="22"/>
          <w:szCs w:val="22"/>
          <w:lang w:val="en-US"/>
        </w:rPr>
        <w:t>,</w:t>
      </w:r>
      <w:r w:rsidRPr="0007234B">
        <w:rPr>
          <w:rFonts w:ascii="Arial" w:hAnsi="Arial" w:cs="Arial"/>
          <w:sz w:val="22"/>
          <w:szCs w:val="22"/>
          <w:lang w:val="en-US"/>
        </w:rPr>
        <w:t xml:space="preserve"> J</w:t>
      </w:r>
      <w:r>
        <w:rPr>
          <w:rFonts w:ascii="Arial" w:hAnsi="Arial" w:cs="Arial"/>
          <w:sz w:val="22"/>
          <w:szCs w:val="22"/>
          <w:lang w:val="en-US"/>
        </w:rPr>
        <w:t>.</w:t>
      </w:r>
      <w:r w:rsidRPr="0007234B">
        <w:rPr>
          <w:rFonts w:ascii="Arial" w:hAnsi="Arial" w:cs="Arial"/>
          <w:sz w:val="22"/>
          <w:szCs w:val="22"/>
          <w:lang w:val="en-US"/>
        </w:rPr>
        <w:t xml:space="preserve">, </w:t>
      </w:r>
      <w:proofErr w:type="spellStart"/>
      <w:r w:rsidRPr="0007234B">
        <w:rPr>
          <w:rFonts w:ascii="Arial" w:hAnsi="Arial" w:cs="Arial"/>
          <w:sz w:val="22"/>
          <w:szCs w:val="22"/>
          <w:lang w:val="en-US"/>
        </w:rPr>
        <w:t>Divoky</w:t>
      </w:r>
      <w:proofErr w:type="spellEnd"/>
      <w:r>
        <w:rPr>
          <w:rFonts w:ascii="Arial" w:hAnsi="Arial" w:cs="Arial"/>
          <w:sz w:val="22"/>
          <w:szCs w:val="22"/>
          <w:lang w:val="en-US"/>
        </w:rPr>
        <w:t>,</w:t>
      </w:r>
      <w:r w:rsidRPr="0007234B">
        <w:rPr>
          <w:rFonts w:ascii="Arial" w:hAnsi="Arial" w:cs="Arial"/>
          <w:sz w:val="22"/>
          <w:szCs w:val="22"/>
          <w:lang w:val="en-US"/>
        </w:rPr>
        <w:t xml:space="preserve"> V.</w:t>
      </w:r>
      <w:r>
        <w:rPr>
          <w:rFonts w:ascii="Arial" w:hAnsi="Arial" w:cs="Arial"/>
          <w:sz w:val="22"/>
          <w:szCs w:val="22"/>
          <w:lang w:val="en-US"/>
        </w:rPr>
        <w:t>, 2016.</w:t>
      </w:r>
      <w:r w:rsidRPr="0007234B">
        <w:rPr>
          <w:rFonts w:ascii="Arial" w:hAnsi="Arial" w:cs="Arial"/>
          <w:sz w:val="22"/>
          <w:szCs w:val="22"/>
          <w:lang w:val="en-US"/>
        </w:rPr>
        <w:t xml:space="preserve"> JAK2 V617F progenitors exhibit intrinsic inflammatory signaling and protection against </w:t>
      </w:r>
      <w:r w:rsidRPr="0007234B">
        <w:rPr>
          <w:rFonts w:ascii="Arial" w:hAnsi="Arial" w:cs="Arial"/>
          <w:sz w:val="22"/>
          <w:szCs w:val="22"/>
          <w:lang w:val="en-US"/>
        </w:rPr>
        <w:lastRenderedPageBreak/>
        <w:t xml:space="preserve">inflammation induced DNA damage. 12th International Congress of Cell Biology in Prague, 2016, Praha, </w:t>
      </w:r>
      <w:r>
        <w:rPr>
          <w:rFonts w:ascii="Arial" w:hAnsi="Arial" w:cs="Arial"/>
          <w:sz w:val="22"/>
          <w:szCs w:val="22"/>
          <w:lang w:val="en-US"/>
        </w:rPr>
        <w:t>abstracts</w:t>
      </w:r>
      <w:r w:rsidRPr="0007234B">
        <w:rPr>
          <w:rFonts w:ascii="Arial" w:hAnsi="Arial" w:cs="Arial"/>
          <w:sz w:val="22"/>
          <w:szCs w:val="22"/>
          <w:lang w:val="en-US"/>
        </w:rPr>
        <w:t xml:space="preserve">, </w:t>
      </w:r>
      <w:r>
        <w:rPr>
          <w:rFonts w:ascii="Arial" w:hAnsi="Arial" w:cs="Arial"/>
          <w:sz w:val="22"/>
          <w:szCs w:val="22"/>
          <w:lang w:val="en-US"/>
        </w:rPr>
        <w:t>page</w:t>
      </w:r>
      <w:r w:rsidRPr="0007234B">
        <w:rPr>
          <w:rFonts w:ascii="Arial" w:hAnsi="Arial" w:cs="Arial"/>
          <w:sz w:val="22"/>
          <w:szCs w:val="22"/>
          <w:lang w:val="en-US"/>
        </w:rPr>
        <w:t xml:space="preserve"> 110</w:t>
      </w:r>
    </w:p>
    <w:p w14:paraId="71A2A11B" w14:textId="77777777" w:rsidR="00BC2456" w:rsidRPr="000657BE" w:rsidRDefault="00BC2456" w:rsidP="000657BE">
      <w:pPr>
        <w:spacing w:line="360" w:lineRule="auto"/>
        <w:jc w:val="both"/>
        <w:rPr>
          <w:rFonts w:ascii="Arial" w:hAnsi="Arial" w:cs="Arial"/>
          <w:sz w:val="22"/>
          <w:szCs w:val="22"/>
          <w:lang w:val="en-US"/>
        </w:rPr>
      </w:pPr>
    </w:p>
    <w:p w14:paraId="070B77DB" w14:textId="77777777" w:rsidR="000657BE" w:rsidRPr="000657BE" w:rsidRDefault="000657BE" w:rsidP="00917FA0">
      <w:pPr>
        <w:spacing w:line="360" w:lineRule="auto"/>
        <w:jc w:val="both"/>
        <w:rPr>
          <w:rFonts w:ascii="Arial" w:hAnsi="Arial" w:cs="Arial"/>
          <w:sz w:val="22"/>
          <w:szCs w:val="22"/>
          <w:lang w:val="en-US"/>
        </w:rPr>
      </w:pPr>
    </w:p>
    <w:p w14:paraId="5E01C787" w14:textId="77777777" w:rsidR="006760AB" w:rsidRPr="003A5293" w:rsidRDefault="006760AB" w:rsidP="00917FA0">
      <w:pPr>
        <w:spacing w:line="360" w:lineRule="auto"/>
        <w:jc w:val="both"/>
        <w:rPr>
          <w:rFonts w:ascii="Arial" w:hAnsi="Arial" w:cs="Arial"/>
          <w:sz w:val="22"/>
          <w:szCs w:val="22"/>
          <w:lang w:val="en-US"/>
        </w:rPr>
      </w:pPr>
    </w:p>
    <w:p w14:paraId="05505E03" w14:textId="1316E1D4" w:rsidR="00917FA0" w:rsidRPr="003A5293" w:rsidRDefault="00917FA0" w:rsidP="00F85FAA">
      <w:pPr>
        <w:spacing w:line="360" w:lineRule="auto"/>
        <w:jc w:val="both"/>
        <w:rPr>
          <w:rFonts w:ascii="Arial" w:hAnsi="Arial" w:cs="Arial"/>
          <w:lang w:val="en-US"/>
        </w:rPr>
      </w:pPr>
    </w:p>
    <w:sectPr w:rsidR="00917FA0" w:rsidRPr="003A5293" w:rsidSect="00D8178D">
      <w:headerReference w:type="default" r:id="rId56"/>
      <w:pgSz w:w="11900" w:h="16840"/>
      <w:pgMar w:top="1418" w:right="1418" w:bottom="1418" w:left="1985" w:header="709" w:footer="709" w:gutter="0"/>
      <w:pgNumType w:chapStyle="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9D297D" w14:textId="77777777" w:rsidR="001B0B8A" w:rsidRDefault="001B0B8A" w:rsidP="00E75293">
      <w:r>
        <w:separator/>
      </w:r>
    </w:p>
  </w:endnote>
  <w:endnote w:type="continuationSeparator" w:id="0">
    <w:p w14:paraId="7ECC11D3" w14:textId="77777777" w:rsidR="001B0B8A" w:rsidRDefault="001B0B8A" w:rsidP="00E752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EE"/>
    <w:family w:val="roman"/>
    <w:pitch w:val="variable"/>
    <w:sig w:usb0="E00006FF" w:usb1="420024FF" w:usb2="02000000" w:usb3="00000000" w:csb0="0000019F" w:csb1="00000000"/>
  </w:font>
  <w:font w:name="Symbol">
    <w:panose1 w:val="05050102010706020507"/>
    <w:charset w:val="02"/>
    <w:family w:val="decorative"/>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mn-ea">
    <w:altName w:val="Times New Roman"/>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rPr>
      <w:id w:val="771824921"/>
      <w:docPartObj>
        <w:docPartGallery w:val="Page Numbers (Bottom of Page)"/>
        <w:docPartUnique/>
      </w:docPartObj>
    </w:sdtPr>
    <w:sdtContent>
      <w:p w14:paraId="07362659" w14:textId="77777777" w:rsidR="00593278" w:rsidRDefault="00593278" w:rsidP="00B67A7A">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4369EAEA" w14:textId="77777777" w:rsidR="00593278" w:rsidRDefault="00593278" w:rsidP="00E75293">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D74B85" w14:textId="77777777" w:rsidR="00593278" w:rsidRDefault="00593278" w:rsidP="00E75293">
    <w:pPr>
      <w:pStyle w:val="Fuzeil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rFonts w:ascii="Arial" w:hAnsi="Arial" w:cs="Arial"/>
        <w:sz w:val="22"/>
        <w:szCs w:val="22"/>
      </w:rPr>
      <w:id w:val="1979414970"/>
      <w:docPartObj>
        <w:docPartGallery w:val="Page Numbers (Bottom of Page)"/>
        <w:docPartUnique/>
      </w:docPartObj>
    </w:sdtPr>
    <w:sdtContent>
      <w:p w14:paraId="6CB7B2D8" w14:textId="77777777" w:rsidR="00593278" w:rsidRPr="00F30EE5" w:rsidRDefault="00593278" w:rsidP="00880C06">
        <w:pPr>
          <w:pStyle w:val="Fuzeile"/>
          <w:framePr w:wrap="none" w:vAnchor="text" w:hAnchor="margin" w:xAlign="right" w:y="1"/>
          <w:rPr>
            <w:rStyle w:val="Seitenzahl"/>
            <w:rFonts w:ascii="Arial" w:hAnsi="Arial" w:cs="Arial"/>
            <w:sz w:val="22"/>
            <w:szCs w:val="22"/>
          </w:rPr>
        </w:pPr>
        <w:r>
          <w:rPr>
            <w:rStyle w:val="Seitenzahl"/>
            <w:rFonts w:ascii="Arial" w:hAnsi="Arial" w:cs="Arial"/>
            <w:sz w:val="22"/>
            <w:szCs w:val="22"/>
          </w:rPr>
          <w:t xml:space="preserve">Page </w:t>
        </w:r>
        <w:r w:rsidRPr="00F30EE5">
          <w:rPr>
            <w:rStyle w:val="Seitenzahl"/>
            <w:rFonts w:ascii="Arial" w:hAnsi="Arial" w:cs="Arial"/>
            <w:sz w:val="22"/>
            <w:szCs w:val="22"/>
          </w:rPr>
          <w:fldChar w:fldCharType="begin"/>
        </w:r>
        <w:r w:rsidRPr="00F30EE5">
          <w:rPr>
            <w:rStyle w:val="Seitenzahl"/>
            <w:rFonts w:ascii="Arial" w:hAnsi="Arial" w:cs="Arial"/>
            <w:sz w:val="22"/>
            <w:szCs w:val="22"/>
          </w:rPr>
          <w:instrText xml:space="preserve"> PAGE </w:instrText>
        </w:r>
        <w:r w:rsidRPr="00F30EE5">
          <w:rPr>
            <w:rStyle w:val="Seitenzahl"/>
            <w:rFonts w:ascii="Arial" w:hAnsi="Arial" w:cs="Arial"/>
            <w:sz w:val="22"/>
            <w:szCs w:val="22"/>
          </w:rPr>
          <w:fldChar w:fldCharType="separate"/>
        </w:r>
        <w:r>
          <w:rPr>
            <w:rStyle w:val="Seitenzahl"/>
            <w:rFonts w:ascii="Arial" w:hAnsi="Arial" w:cs="Arial"/>
            <w:noProof/>
            <w:sz w:val="22"/>
            <w:szCs w:val="22"/>
          </w:rPr>
          <w:t>20</w:t>
        </w:r>
        <w:r w:rsidRPr="00F30EE5">
          <w:rPr>
            <w:rStyle w:val="Seitenzahl"/>
            <w:rFonts w:ascii="Arial" w:hAnsi="Arial" w:cs="Arial"/>
            <w:sz w:val="22"/>
            <w:szCs w:val="22"/>
          </w:rPr>
          <w:fldChar w:fldCharType="end"/>
        </w:r>
      </w:p>
    </w:sdtContent>
  </w:sdt>
  <w:p w14:paraId="5E5501C7" w14:textId="77777777" w:rsidR="00593278" w:rsidRPr="00F30EE5" w:rsidRDefault="00593278" w:rsidP="00E75293">
    <w:pPr>
      <w:pStyle w:val="Fuzeile"/>
      <w:ind w:right="360"/>
      <w:rPr>
        <w:rFonts w:ascii="Arial" w:hAnsi="Arial" w:cs="Arial"/>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92A147" w14:textId="77777777" w:rsidR="001B0B8A" w:rsidRDefault="001B0B8A" w:rsidP="00E75293">
      <w:r>
        <w:separator/>
      </w:r>
    </w:p>
  </w:footnote>
  <w:footnote w:type="continuationSeparator" w:id="0">
    <w:p w14:paraId="59B484F6" w14:textId="77777777" w:rsidR="001B0B8A" w:rsidRDefault="001B0B8A" w:rsidP="00E752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284ECA" w14:textId="77777777" w:rsidR="00593278" w:rsidRPr="00D8178D" w:rsidRDefault="00593278" w:rsidP="00D8178D">
    <w:pPr>
      <w:pStyle w:val="Formatvorlage3"/>
      <w:rPr>
        <w:rFonts w:cs="Arial"/>
        <w:lang w:val="en-US"/>
      </w:rPr>
    </w:pPr>
    <w:r w:rsidRPr="00D8178D">
      <w:rPr>
        <w:rFonts w:eastAsia="MS Mincho" w:cs="Arial"/>
        <w:lang w:val="en-US"/>
      </w:rPr>
      <w:t>〉</w:t>
    </w:r>
    <w:r w:rsidRPr="00D8178D">
      <w:rPr>
        <w:rFonts w:cs="Arial"/>
        <w:lang w:val="en-US"/>
      </w:rPr>
      <w:t>Theoretical Background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0829D9" w14:textId="77777777" w:rsidR="00593278" w:rsidRPr="00FE77AC" w:rsidRDefault="00593278">
    <w:pPr>
      <w:pStyle w:val="Kopfzeile"/>
      <w:rPr>
        <w:rFonts w:ascii="Arial" w:hAnsi="Arial" w:cs="Arial"/>
        <w:lang w:val="en-US"/>
      </w:rPr>
    </w:pPr>
    <w:r w:rsidRPr="00FE77AC">
      <w:rPr>
        <w:rFonts w:ascii="Arial" w:eastAsia="MS Gothic" w:hAnsi="Arial" w:cs="Arial"/>
        <w:lang w:val="en-US"/>
      </w:rPr>
      <w:t>》</w:t>
    </w:r>
    <w:r>
      <w:rPr>
        <w:rFonts w:ascii="Arial" w:eastAsia="MS Gothic" w:hAnsi="Arial" w:cs="Arial"/>
        <w:lang w:val="en-US"/>
      </w:rPr>
      <w:t>Original Research</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42411F" w14:textId="77777777" w:rsidR="00593278" w:rsidRPr="00FE77AC" w:rsidRDefault="00593278">
    <w:pPr>
      <w:pStyle w:val="Kopfzeile"/>
      <w:rPr>
        <w:rFonts w:ascii="Arial" w:hAnsi="Arial" w:cs="Arial"/>
        <w:lang w:val="en-US"/>
      </w:rPr>
    </w:pPr>
    <w:r w:rsidRPr="00FE77AC">
      <w:rPr>
        <w:rFonts w:ascii="Arial" w:eastAsia="MS Gothic" w:hAnsi="Arial" w:cs="Arial"/>
        <w:lang w:val="en-US"/>
      </w:rPr>
      <w:t>》</w:t>
    </w:r>
    <w:r w:rsidRPr="00FE77AC">
      <w:rPr>
        <w:rFonts w:ascii="Arial" w:eastAsia="MS Gothic" w:hAnsi="Arial" w:cs="Arial"/>
        <w:lang w:val="en-US"/>
      </w:rPr>
      <w:t>Supplements and Appendices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F4556AF"/>
    <w:multiLevelType w:val="hybridMultilevel"/>
    <w:tmpl w:val="AB00B93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23854C0C"/>
    <w:multiLevelType w:val="multilevel"/>
    <w:tmpl w:val="CB6A3B1C"/>
    <w:lvl w:ilvl="0">
      <w:start w:val="1"/>
      <w:numFmt w:val="decimal"/>
      <w:lvlText w:val="%1."/>
      <w:lvlJc w:val="left"/>
      <w:pPr>
        <w:ind w:left="720" w:hanging="360"/>
      </w:pPr>
      <w:rPr>
        <w:rFonts w:hint="default"/>
      </w:r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25573533"/>
    <w:multiLevelType w:val="hybridMultilevel"/>
    <w:tmpl w:val="9B9ACAB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366330F7"/>
    <w:multiLevelType w:val="multilevel"/>
    <w:tmpl w:val="CB6A3B1C"/>
    <w:lvl w:ilvl="0">
      <w:start w:val="1"/>
      <w:numFmt w:val="decimal"/>
      <w:lvlText w:val="%1."/>
      <w:lvlJc w:val="left"/>
      <w:pPr>
        <w:ind w:left="720" w:hanging="360"/>
      </w:pPr>
      <w:rPr>
        <w:rFonts w:hint="default"/>
      </w:r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3B9B6EF9"/>
    <w:multiLevelType w:val="multilevel"/>
    <w:tmpl w:val="CB6A3B1C"/>
    <w:lvl w:ilvl="0">
      <w:start w:val="1"/>
      <w:numFmt w:val="decimal"/>
      <w:lvlText w:val="%1."/>
      <w:lvlJc w:val="left"/>
      <w:pPr>
        <w:ind w:left="720" w:hanging="360"/>
      </w:pPr>
      <w:rPr>
        <w:rFonts w:hint="default"/>
      </w:r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50330438"/>
    <w:multiLevelType w:val="hybridMultilevel"/>
    <w:tmpl w:val="2680828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5FDE02AC"/>
    <w:multiLevelType w:val="multilevel"/>
    <w:tmpl w:val="3B6ADD6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0"/>
  </w:num>
  <w:num w:numId="3">
    <w:abstractNumId w:val="5"/>
  </w:num>
  <w:num w:numId="4">
    <w:abstractNumId w:val="4"/>
  </w:num>
  <w:num w:numId="5">
    <w:abstractNumId w:val="6"/>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1C04"/>
    <w:rsid w:val="00000DEE"/>
    <w:rsid w:val="000050AC"/>
    <w:rsid w:val="00005992"/>
    <w:rsid w:val="000076C9"/>
    <w:rsid w:val="00011D25"/>
    <w:rsid w:val="000144F9"/>
    <w:rsid w:val="00016503"/>
    <w:rsid w:val="000166C5"/>
    <w:rsid w:val="0002086C"/>
    <w:rsid w:val="00020D22"/>
    <w:rsid w:val="000222BC"/>
    <w:rsid w:val="00023D06"/>
    <w:rsid w:val="00031A45"/>
    <w:rsid w:val="00032173"/>
    <w:rsid w:val="000328B4"/>
    <w:rsid w:val="00035201"/>
    <w:rsid w:val="00037BC0"/>
    <w:rsid w:val="000406BA"/>
    <w:rsid w:val="0004078E"/>
    <w:rsid w:val="00040B33"/>
    <w:rsid w:val="0004249F"/>
    <w:rsid w:val="000425C4"/>
    <w:rsid w:val="00043B23"/>
    <w:rsid w:val="00045F87"/>
    <w:rsid w:val="00046D57"/>
    <w:rsid w:val="000476EC"/>
    <w:rsid w:val="00050546"/>
    <w:rsid w:val="00050576"/>
    <w:rsid w:val="000516B9"/>
    <w:rsid w:val="000518A4"/>
    <w:rsid w:val="000523B9"/>
    <w:rsid w:val="000537A1"/>
    <w:rsid w:val="00053BDD"/>
    <w:rsid w:val="000541DF"/>
    <w:rsid w:val="00054680"/>
    <w:rsid w:val="0005648F"/>
    <w:rsid w:val="000570BC"/>
    <w:rsid w:val="00060030"/>
    <w:rsid w:val="00060047"/>
    <w:rsid w:val="000600F6"/>
    <w:rsid w:val="00061DDF"/>
    <w:rsid w:val="000657BE"/>
    <w:rsid w:val="000702B7"/>
    <w:rsid w:val="0007234B"/>
    <w:rsid w:val="0007282F"/>
    <w:rsid w:val="000835AC"/>
    <w:rsid w:val="00083948"/>
    <w:rsid w:val="000860B0"/>
    <w:rsid w:val="0008739E"/>
    <w:rsid w:val="000902BC"/>
    <w:rsid w:val="000902E8"/>
    <w:rsid w:val="000902EF"/>
    <w:rsid w:val="00091661"/>
    <w:rsid w:val="00094D87"/>
    <w:rsid w:val="00095325"/>
    <w:rsid w:val="000A0459"/>
    <w:rsid w:val="000A3477"/>
    <w:rsid w:val="000A4C99"/>
    <w:rsid w:val="000A51F2"/>
    <w:rsid w:val="000A5B69"/>
    <w:rsid w:val="000A6C60"/>
    <w:rsid w:val="000B0659"/>
    <w:rsid w:val="000B22A7"/>
    <w:rsid w:val="000B2430"/>
    <w:rsid w:val="000B2E64"/>
    <w:rsid w:val="000B34A3"/>
    <w:rsid w:val="000C3F0E"/>
    <w:rsid w:val="000D0D78"/>
    <w:rsid w:val="000D1B97"/>
    <w:rsid w:val="000D3181"/>
    <w:rsid w:val="000D3A95"/>
    <w:rsid w:val="000D6427"/>
    <w:rsid w:val="000E19D3"/>
    <w:rsid w:val="000F3EC3"/>
    <w:rsid w:val="000F4538"/>
    <w:rsid w:val="000F4ADA"/>
    <w:rsid w:val="000F7C2A"/>
    <w:rsid w:val="00101F0B"/>
    <w:rsid w:val="00106EE4"/>
    <w:rsid w:val="00111037"/>
    <w:rsid w:val="00111543"/>
    <w:rsid w:val="00112A6E"/>
    <w:rsid w:val="001136FB"/>
    <w:rsid w:val="00114981"/>
    <w:rsid w:val="00116902"/>
    <w:rsid w:val="00116F01"/>
    <w:rsid w:val="00120B13"/>
    <w:rsid w:val="00121054"/>
    <w:rsid w:val="001241C6"/>
    <w:rsid w:val="001258C0"/>
    <w:rsid w:val="001310C5"/>
    <w:rsid w:val="001310FD"/>
    <w:rsid w:val="00134514"/>
    <w:rsid w:val="0013682E"/>
    <w:rsid w:val="001406EF"/>
    <w:rsid w:val="00142FDD"/>
    <w:rsid w:val="00143F61"/>
    <w:rsid w:val="00152FDA"/>
    <w:rsid w:val="001548A9"/>
    <w:rsid w:val="0015498E"/>
    <w:rsid w:val="00154D01"/>
    <w:rsid w:val="0016447D"/>
    <w:rsid w:val="00170D0B"/>
    <w:rsid w:val="00172FB9"/>
    <w:rsid w:val="00175764"/>
    <w:rsid w:val="001768A9"/>
    <w:rsid w:val="00184AD1"/>
    <w:rsid w:val="00187D98"/>
    <w:rsid w:val="00187E2C"/>
    <w:rsid w:val="00190074"/>
    <w:rsid w:val="00190F29"/>
    <w:rsid w:val="00195B8E"/>
    <w:rsid w:val="001A49B3"/>
    <w:rsid w:val="001A4ED7"/>
    <w:rsid w:val="001A69CC"/>
    <w:rsid w:val="001B0B8A"/>
    <w:rsid w:val="001B1DAC"/>
    <w:rsid w:val="001B2472"/>
    <w:rsid w:val="001B608A"/>
    <w:rsid w:val="001C2E9B"/>
    <w:rsid w:val="001C40D2"/>
    <w:rsid w:val="001C44DE"/>
    <w:rsid w:val="001C6601"/>
    <w:rsid w:val="001D00BA"/>
    <w:rsid w:val="001D0420"/>
    <w:rsid w:val="001D50A9"/>
    <w:rsid w:val="001D5F77"/>
    <w:rsid w:val="001D672A"/>
    <w:rsid w:val="001D7FC0"/>
    <w:rsid w:val="001E0B16"/>
    <w:rsid w:val="001E24CE"/>
    <w:rsid w:val="001E7069"/>
    <w:rsid w:val="001F6418"/>
    <w:rsid w:val="001F7549"/>
    <w:rsid w:val="00200F07"/>
    <w:rsid w:val="00201675"/>
    <w:rsid w:val="00203EBF"/>
    <w:rsid w:val="00204C87"/>
    <w:rsid w:val="00205DAE"/>
    <w:rsid w:val="0020604D"/>
    <w:rsid w:val="00207E90"/>
    <w:rsid w:val="00211245"/>
    <w:rsid w:val="00215D9B"/>
    <w:rsid w:val="00215F4D"/>
    <w:rsid w:val="0022116F"/>
    <w:rsid w:val="002214C9"/>
    <w:rsid w:val="0022344B"/>
    <w:rsid w:val="00223FFF"/>
    <w:rsid w:val="00227F91"/>
    <w:rsid w:val="002312A0"/>
    <w:rsid w:val="00236A7A"/>
    <w:rsid w:val="00242730"/>
    <w:rsid w:val="00243A72"/>
    <w:rsid w:val="00243C38"/>
    <w:rsid w:val="002458EC"/>
    <w:rsid w:val="002518ED"/>
    <w:rsid w:val="0025251D"/>
    <w:rsid w:val="0025290E"/>
    <w:rsid w:val="002539B5"/>
    <w:rsid w:val="0025520C"/>
    <w:rsid w:val="00255297"/>
    <w:rsid w:val="002624F0"/>
    <w:rsid w:val="00263AC1"/>
    <w:rsid w:val="00270C84"/>
    <w:rsid w:val="00274B9D"/>
    <w:rsid w:val="002751CF"/>
    <w:rsid w:val="00275448"/>
    <w:rsid w:val="0027657D"/>
    <w:rsid w:val="0028291F"/>
    <w:rsid w:val="00282BEC"/>
    <w:rsid w:val="002847E9"/>
    <w:rsid w:val="0028560A"/>
    <w:rsid w:val="00287D42"/>
    <w:rsid w:val="0029014D"/>
    <w:rsid w:val="00290B27"/>
    <w:rsid w:val="00293B5D"/>
    <w:rsid w:val="00295F0D"/>
    <w:rsid w:val="002A27BF"/>
    <w:rsid w:val="002A385E"/>
    <w:rsid w:val="002A55A0"/>
    <w:rsid w:val="002A610D"/>
    <w:rsid w:val="002A725C"/>
    <w:rsid w:val="002B00FE"/>
    <w:rsid w:val="002B0D85"/>
    <w:rsid w:val="002B2381"/>
    <w:rsid w:val="002B29B3"/>
    <w:rsid w:val="002B4EDA"/>
    <w:rsid w:val="002B6894"/>
    <w:rsid w:val="002C04FE"/>
    <w:rsid w:val="002C2995"/>
    <w:rsid w:val="002C551C"/>
    <w:rsid w:val="002C6264"/>
    <w:rsid w:val="002C6B06"/>
    <w:rsid w:val="002D1947"/>
    <w:rsid w:val="002D2B93"/>
    <w:rsid w:val="002D3762"/>
    <w:rsid w:val="002D47BA"/>
    <w:rsid w:val="002D6708"/>
    <w:rsid w:val="002E167E"/>
    <w:rsid w:val="002E1766"/>
    <w:rsid w:val="002E2397"/>
    <w:rsid w:val="002E51C4"/>
    <w:rsid w:val="002F0A7D"/>
    <w:rsid w:val="002F6CAB"/>
    <w:rsid w:val="00300C79"/>
    <w:rsid w:val="0030168F"/>
    <w:rsid w:val="00301FC2"/>
    <w:rsid w:val="00303405"/>
    <w:rsid w:val="003060A6"/>
    <w:rsid w:val="003063BF"/>
    <w:rsid w:val="0030798E"/>
    <w:rsid w:val="00307A57"/>
    <w:rsid w:val="00313D09"/>
    <w:rsid w:val="00314CBA"/>
    <w:rsid w:val="0031589A"/>
    <w:rsid w:val="00320D41"/>
    <w:rsid w:val="0032474A"/>
    <w:rsid w:val="003265B9"/>
    <w:rsid w:val="003367FF"/>
    <w:rsid w:val="00336950"/>
    <w:rsid w:val="003371B0"/>
    <w:rsid w:val="0034016E"/>
    <w:rsid w:val="00345796"/>
    <w:rsid w:val="00347F47"/>
    <w:rsid w:val="0035179D"/>
    <w:rsid w:val="003521FE"/>
    <w:rsid w:val="00355C94"/>
    <w:rsid w:val="00357849"/>
    <w:rsid w:val="003606FC"/>
    <w:rsid w:val="003635FC"/>
    <w:rsid w:val="00363D5B"/>
    <w:rsid w:val="0036460F"/>
    <w:rsid w:val="00364670"/>
    <w:rsid w:val="00364A2F"/>
    <w:rsid w:val="00364BCC"/>
    <w:rsid w:val="0036583C"/>
    <w:rsid w:val="0036587B"/>
    <w:rsid w:val="0036589D"/>
    <w:rsid w:val="003663C0"/>
    <w:rsid w:val="00366C95"/>
    <w:rsid w:val="00367AE8"/>
    <w:rsid w:val="003701A2"/>
    <w:rsid w:val="003734C0"/>
    <w:rsid w:val="00380819"/>
    <w:rsid w:val="00380D2C"/>
    <w:rsid w:val="00382A11"/>
    <w:rsid w:val="00383356"/>
    <w:rsid w:val="0038394A"/>
    <w:rsid w:val="00384702"/>
    <w:rsid w:val="00396967"/>
    <w:rsid w:val="003A283A"/>
    <w:rsid w:val="003A4D95"/>
    <w:rsid w:val="003A5293"/>
    <w:rsid w:val="003A5D99"/>
    <w:rsid w:val="003A79A1"/>
    <w:rsid w:val="003B0C95"/>
    <w:rsid w:val="003B145B"/>
    <w:rsid w:val="003B3A8C"/>
    <w:rsid w:val="003B6E2A"/>
    <w:rsid w:val="003C29D4"/>
    <w:rsid w:val="003C2B38"/>
    <w:rsid w:val="003C43E2"/>
    <w:rsid w:val="003C54D7"/>
    <w:rsid w:val="003C628B"/>
    <w:rsid w:val="003D039E"/>
    <w:rsid w:val="003D0590"/>
    <w:rsid w:val="003D4258"/>
    <w:rsid w:val="003D7C9F"/>
    <w:rsid w:val="003E1661"/>
    <w:rsid w:val="003E1B85"/>
    <w:rsid w:val="003F0F1C"/>
    <w:rsid w:val="003F3334"/>
    <w:rsid w:val="003F3CCE"/>
    <w:rsid w:val="003F44A2"/>
    <w:rsid w:val="003F470E"/>
    <w:rsid w:val="00404AA5"/>
    <w:rsid w:val="004069AA"/>
    <w:rsid w:val="004069EE"/>
    <w:rsid w:val="00407841"/>
    <w:rsid w:val="004101F2"/>
    <w:rsid w:val="00412175"/>
    <w:rsid w:val="00415242"/>
    <w:rsid w:val="004171C5"/>
    <w:rsid w:val="00421C0B"/>
    <w:rsid w:val="00424065"/>
    <w:rsid w:val="00424C2F"/>
    <w:rsid w:val="00424E25"/>
    <w:rsid w:val="004256A9"/>
    <w:rsid w:val="00425D81"/>
    <w:rsid w:val="00427DC3"/>
    <w:rsid w:val="00427DD3"/>
    <w:rsid w:val="00430591"/>
    <w:rsid w:val="00431516"/>
    <w:rsid w:val="004327B2"/>
    <w:rsid w:val="004329C8"/>
    <w:rsid w:val="00432C97"/>
    <w:rsid w:val="00433509"/>
    <w:rsid w:val="00434D19"/>
    <w:rsid w:val="0043699E"/>
    <w:rsid w:val="00437F54"/>
    <w:rsid w:val="00442857"/>
    <w:rsid w:val="00443069"/>
    <w:rsid w:val="00452D46"/>
    <w:rsid w:val="0045542D"/>
    <w:rsid w:val="00457FBB"/>
    <w:rsid w:val="00460427"/>
    <w:rsid w:val="00463DFE"/>
    <w:rsid w:val="00470F18"/>
    <w:rsid w:val="004711FA"/>
    <w:rsid w:val="00471C1F"/>
    <w:rsid w:val="0047300F"/>
    <w:rsid w:val="004731AC"/>
    <w:rsid w:val="004759B9"/>
    <w:rsid w:val="00476FF4"/>
    <w:rsid w:val="00477A90"/>
    <w:rsid w:val="0049142A"/>
    <w:rsid w:val="00492EC8"/>
    <w:rsid w:val="00493E6C"/>
    <w:rsid w:val="004956BF"/>
    <w:rsid w:val="004A2681"/>
    <w:rsid w:val="004A3634"/>
    <w:rsid w:val="004A5FDB"/>
    <w:rsid w:val="004B06E5"/>
    <w:rsid w:val="004B0BA9"/>
    <w:rsid w:val="004B24E3"/>
    <w:rsid w:val="004B4B02"/>
    <w:rsid w:val="004B54D1"/>
    <w:rsid w:val="004B6423"/>
    <w:rsid w:val="004B66B5"/>
    <w:rsid w:val="004C0B28"/>
    <w:rsid w:val="004C5363"/>
    <w:rsid w:val="004C6327"/>
    <w:rsid w:val="004C6B00"/>
    <w:rsid w:val="004D0BF5"/>
    <w:rsid w:val="004E403F"/>
    <w:rsid w:val="004E582E"/>
    <w:rsid w:val="004F040B"/>
    <w:rsid w:val="004F08BF"/>
    <w:rsid w:val="004F2A81"/>
    <w:rsid w:val="004F4CED"/>
    <w:rsid w:val="004F6667"/>
    <w:rsid w:val="004F67A2"/>
    <w:rsid w:val="004F7C90"/>
    <w:rsid w:val="0050498A"/>
    <w:rsid w:val="00505EA3"/>
    <w:rsid w:val="00506169"/>
    <w:rsid w:val="00507F6B"/>
    <w:rsid w:val="0051125F"/>
    <w:rsid w:val="0051325E"/>
    <w:rsid w:val="005207B3"/>
    <w:rsid w:val="00522819"/>
    <w:rsid w:val="0052433A"/>
    <w:rsid w:val="005248D8"/>
    <w:rsid w:val="00531F55"/>
    <w:rsid w:val="00532EB1"/>
    <w:rsid w:val="005413BF"/>
    <w:rsid w:val="00550E7A"/>
    <w:rsid w:val="0055374D"/>
    <w:rsid w:val="00553DA9"/>
    <w:rsid w:val="00553DCD"/>
    <w:rsid w:val="0055432F"/>
    <w:rsid w:val="00554589"/>
    <w:rsid w:val="005576D5"/>
    <w:rsid w:val="00562011"/>
    <w:rsid w:val="00562D17"/>
    <w:rsid w:val="00563E71"/>
    <w:rsid w:val="00565B99"/>
    <w:rsid w:val="0057055E"/>
    <w:rsid w:val="00572CA9"/>
    <w:rsid w:val="00573F0A"/>
    <w:rsid w:val="005750A5"/>
    <w:rsid w:val="00576CF8"/>
    <w:rsid w:val="00583D55"/>
    <w:rsid w:val="005864D2"/>
    <w:rsid w:val="00593278"/>
    <w:rsid w:val="00595734"/>
    <w:rsid w:val="005976E1"/>
    <w:rsid w:val="00597EA6"/>
    <w:rsid w:val="005A2DF4"/>
    <w:rsid w:val="005A442B"/>
    <w:rsid w:val="005A477E"/>
    <w:rsid w:val="005A478D"/>
    <w:rsid w:val="005A683C"/>
    <w:rsid w:val="005A6D07"/>
    <w:rsid w:val="005A7C99"/>
    <w:rsid w:val="005B2624"/>
    <w:rsid w:val="005B2F06"/>
    <w:rsid w:val="005B40AB"/>
    <w:rsid w:val="005B694D"/>
    <w:rsid w:val="005B69C2"/>
    <w:rsid w:val="005C08C8"/>
    <w:rsid w:val="005C39F9"/>
    <w:rsid w:val="005C3EE3"/>
    <w:rsid w:val="005C5CDA"/>
    <w:rsid w:val="005C6F60"/>
    <w:rsid w:val="005C74C5"/>
    <w:rsid w:val="005D01C6"/>
    <w:rsid w:val="005D16E3"/>
    <w:rsid w:val="005D2029"/>
    <w:rsid w:val="005D42D7"/>
    <w:rsid w:val="005D762D"/>
    <w:rsid w:val="005E6469"/>
    <w:rsid w:val="005F03D9"/>
    <w:rsid w:val="005F1171"/>
    <w:rsid w:val="005F331F"/>
    <w:rsid w:val="005F45FF"/>
    <w:rsid w:val="005F7CB0"/>
    <w:rsid w:val="00605651"/>
    <w:rsid w:val="00610C08"/>
    <w:rsid w:val="006123CE"/>
    <w:rsid w:val="0061495E"/>
    <w:rsid w:val="00615368"/>
    <w:rsid w:val="00622D71"/>
    <w:rsid w:val="00625097"/>
    <w:rsid w:val="0062583A"/>
    <w:rsid w:val="00625B27"/>
    <w:rsid w:val="00626FF0"/>
    <w:rsid w:val="0063189B"/>
    <w:rsid w:val="00631B3F"/>
    <w:rsid w:val="00632EED"/>
    <w:rsid w:val="00635852"/>
    <w:rsid w:val="0063650A"/>
    <w:rsid w:val="0064105C"/>
    <w:rsid w:val="00646C0C"/>
    <w:rsid w:val="0065049D"/>
    <w:rsid w:val="00652A86"/>
    <w:rsid w:val="00653992"/>
    <w:rsid w:val="00663CBE"/>
    <w:rsid w:val="00665F8B"/>
    <w:rsid w:val="00667E23"/>
    <w:rsid w:val="00670227"/>
    <w:rsid w:val="006760AB"/>
    <w:rsid w:val="006770AC"/>
    <w:rsid w:val="00683F6B"/>
    <w:rsid w:val="0068467D"/>
    <w:rsid w:val="00687990"/>
    <w:rsid w:val="00691721"/>
    <w:rsid w:val="00691CF3"/>
    <w:rsid w:val="0069402C"/>
    <w:rsid w:val="0069410B"/>
    <w:rsid w:val="00694FC9"/>
    <w:rsid w:val="006A2F82"/>
    <w:rsid w:val="006A3256"/>
    <w:rsid w:val="006A40E8"/>
    <w:rsid w:val="006B199A"/>
    <w:rsid w:val="006B2486"/>
    <w:rsid w:val="006B6EFF"/>
    <w:rsid w:val="006B77C3"/>
    <w:rsid w:val="006B78BE"/>
    <w:rsid w:val="006C078D"/>
    <w:rsid w:val="006C276C"/>
    <w:rsid w:val="006C574E"/>
    <w:rsid w:val="006C63AD"/>
    <w:rsid w:val="006D0E3F"/>
    <w:rsid w:val="006D410E"/>
    <w:rsid w:val="006D567F"/>
    <w:rsid w:val="006E03E6"/>
    <w:rsid w:val="006F263B"/>
    <w:rsid w:val="006F46C6"/>
    <w:rsid w:val="006F5ABC"/>
    <w:rsid w:val="007013D3"/>
    <w:rsid w:val="007020A6"/>
    <w:rsid w:val="007047AF"/>
    <w:rsid w:val="00705427"/>
    <w:rsid w:val="007067E4"/>
    <w:rsid w:val="00706D96"/>
    <w:rsid w:val="00710FA0"/>
    <w:rsid w:val="007140A6"/>
    <w:rsid w:val="00716CEB"/>
    <w:rsid w:val="00717111"/>
    <w:rsid w:val="0072378E"/>
    <w:rsid w:val="00724011"/>
    <w:rsid w:val="0072408D"/>
    <w:rsid w:val="00724852"/>
    <w:rsid w:val="00726E91"/>
    <w:rsid w:val="0072783B"/>
    <w:rsid w:val="00730630"/>
    <w:rsid w:val="0073433A"/>
    <w:rsid w:val="007359C9"/>
    <w:rsid w:val="00736101"/>
    <w:rsid w:val="0073693A"/>
    <w:rsid w:val="00744C3B"/>
    <w:rsid w:val="00747BF2"/>
    <w:rsid w:val="00750F84"/>
    <w:rsid w:val="00751A82"/>
    <w:rsid w:val="007532B8"/>
    <w:rsid w:val="00753E7D"/>
    <w:rsid w:val="00753EFA"/>
    <w:rsid w:val="00754136"/>
    <w:rsid w:val="00756482"/>
    <w:rsid w:val="007612DC"/>
    <w:rsid w:val="00764F3D"/>
    <w:rsid w:val="00767967"/>
    <w:rsid w:val="007734AD"/>
    <w:rsid w:val="00774772"/>
    <w:rsid w:val="007751C2"/>
    <w:rsid w:val="00782158"/>
    <w:rsid w:val="00784827"/>
    <w:rsid w:val="00784D02"/>
    <w:rsid w:val="00785E75"/>
    <w:rsid w:val="00787044"/>
    <w:rsid w:val="00787475"/>
    <w:rsid w:val="007919A2"/>
    <w:rsid w:val="00792273"/>
    <w:rsid w:val="007928CF"/>
    <w:rsid w:val="007967C5"/>
    <w:rsid w:val="007A1233"/>
    <w:rsid w:val="007A1E28"/>
    <w:rsid w:val="007A3886"/>
    <w:rsid w:val="007B0593"/>
    <w:rsid w:val="007B2669"/>
    <w:rsid w:val="007B387C"/>
    <w:rsid w:val="007B43EE"/>
    <w:rsid w:val="007B6194"/>
    <w:rsid w:val="007B66A0"/>
    <w:rsid w:val="007C1A89"/>
    <w:rsid w:val="007D0B74"/>
    <w:rsid w:val="007D4B86"/>
    <w:rsid w:val="007D5A29"/>
    <w:rsid w:val="007E1A17"/>
    <w:rsid w:val="007E4E99"/>
    <w:rsid w:val="007E5632"/>
    <w:rsid w:val="007E6CDB"/>
    <w:rsid w:val="007F1217"/>
    <w:rsid w:val="007F1F27"/>
    <w:rsid w:val="007F4608"/>
    <w:rsid w:val="007F6204"/>
    <w:rsid w:val="00803EA7"/>
    <w:rsid w:val="0080427B"/>
    <w:rsid w:val="0080450C"/>
    <w:rsid w:val="00804F42"/>
    <w:rsid w:val="00810FE3"/>
    <w:rsid w:val="0081236E"/>
    <w:rsid w:val="00815B8B"/>
    <w:rsid w:val="008174C7"/>
    <w:rsid w:val="0082216D"/>
    <w:rsid w:val="00822387"/>
    <w:rsid w:val="00826CED"/>
    <w:rsid w:val="008307ED"/>
    <w:rsid w:val="00831C6F"/>
    <w:rsid w:val="00834792"/>
    <w:rsid w:val="00836755"/>
    <w:rsid w:val="008377CC"/>
    <w:rsid w:val="00840267"/>
    <w:rsid w:val="00844DB6"/>
    <w:rsid w:val="00861C76"/>
    <w:rsid w:val="00861FC6"/>
    <w:rsid w:val="00863D0F"/>
    <w:rsid w:val="00867AF3"/>
    <w:rsid w:val="00871707"/>
    <w:rsid w:val="008725F8"/>
    <w:rsid w:val="008726AB"/>
    <w:rsid w:val="0088040B"/>
    <w:rsid w:val="00880C06"/>
    <w:rsid w:val="008815B0"/>
    <w:rsid w:val="00882A85"/>
    <w:rsid w:val="00882D1A"/>
    <w:rsid w:val="008845D9"/>
    <w:rsid w:val="0088463E"/>
    <w:rsid w:val="008956DF"/>
    <w:rsid w:val="008A0D24"/>
    <w:rsid w:val="008A37EC"/>
    <w:rsid w:val="008A6447"/>
    <w:rsid w:val="008A66CD"/>
    <w:rsid w:val="008A7C1B"/>
    <w:rsid w:val="008B1BEE"/>
    <w:rsid w:val="008B45A3"/>
    <w:rsid w:val="008B4D29"/>
    <w:rsid w:val="008B6121"/>
    <w:rsid w:val="008B7083"/>
    <w:rsid w:val="008C7838"/>
    <w:rsid w:val="008D272D"/>
    <w:rsid w:val="008D5700"/>
    <w:rsid w:val="008D5717"/>
    <w:rsid w:val="008E0E62"/>
    <w:rsid w:val="008E3AB4"/>
    <w:rsid w:val="008E4165"/>
    <w:rsid w:val="008F04B3"/>
    <w:rsid w:val="008F67E0"/>
    <w:rsid w:val="008F7BBD"/>
    <w:rsid w:val="008F7C99"/>
    <w:rsid w:val="0090014B"/>
    <w:rsid w:val="009033ED"/>
    <w:rsid w:val="00905F11"/>
    <w:rsid w:val="009060D2"/>
    <w:rsid w:val="00907A8C"/>
    <w:rsid w:val="00907ED3"/>
    <w:rsid w:val="009105D0"/>
    <w:rsid w:val="009110D0"/>
    <w:rsid w:val="00914150"/>
    <w:rsid w:val="0091531C"/>
    <w:rsid w:val="00917FA0"/>
    <w:rsid w:val="009217CA"/>
    <w:rsid w:val="00922761"/>
    <w:rsid w:val="009241B3"/>
    <w:rsid w:val="00925148"/>
    <w:rsid w:val="00926E79"/>
    <w:rsid w:val="00927618"/>
    <w:rsid w:val="00933466"/>
    <w:rsid w:val="00934166"/>
    <w:rsid w:val="00935F8A"/>
    <w:rsid w:val="00937CE1"/>
    <w:rsid w:val="00941B33"/>
    <w:rsid w:val="0094613D"/>
    <w:rsid w:val="0095026B"/>
    <w:rsid w:val="009517EE"/>
    <w:rsid w:val="00960173"/>
    <w:rsid w:val="00962ACE"/>
    <w:rsid w:val="00963CFF"/>
    <w:rsid w:val="00971D81"/>
    <w:rsid w:val="00972C00"/>
    <w:rsid w:val="00972CD9"/>
    <w:rsid w:val="009747D1"/>
    <w:rsid w:val="00976BEA"/>
    <w:rsid w:val="00981CDB"/>
    <w:rsid w:val="00985B3D"/>
    <w:rsid w:val="009937B8"/>
    <w:rsid w:val="00997D59"/>
    <w:rsid w:val="009A1FB5"/>
    <w:rsid w:val="009A2659"/>
    <w:rsid w:val="009A55B8"/>
    <w:rsid w:val="009A6274"/>
    <w:rsid w:val="009B454A"/>
    <w:rsid w:val="009B4FA1"/>
    <w:rsid w:val="009B653F"/>
    <w:rsid w:val="009C23AD"/>
    <w:rsid w:val="009C25F6"/>
    <w:rsid w:val="009C2DED"/>
    <w:rsid w:val="009C482C"/>
    <w:rsid w:val="009C5861"/>
    <w:rsid w:val="009D0394"/>
    <w:rsid w:val="009D0441"/>
    <w:rsid w:val="009D08D6"/>
    <w:rsid w:val="009D11E3"/>
    <w:rsid w:val="009D2922"/>
    <w:rsid w:val="009D2CB9"/>
    <w:rsid w:val="009D512E"/>
    <w:rsid w:val="009D5C7D"/>
    <w:rsid w:val="009D7CBB"/>
    <w:rsid w:val="009E127C"/>
    <w:rsid w:val="009E1283"/>
    <w:rsid w:val="009E2FAF"/>
    <w:rsid w:val="009E539B"/>
    <w:rsid w:val="009E628C"/>
    <w:rsid w:val="009F0117"/>
    <w:rsid w:val="009F1BDB"/>
    <w:rsid w:val="009F2A09"/>
    <w:rsid w:val="009F2EC7"/>
    <w:rsid w:val="00A12603"/>
    <w:rsid w:val="00A2001F"/>
    <w:rsid w:val="00A214E4"/>
    <w:rsid w:val="00A22A33"/>
    <w:rsid w:val="00A24C47"/>
    <w:rsid w:val="00A25BDC"/>
    <w:rsid w:val="00A274DC"/>
    <w:rsid w:val="00A27F2D"/>
    <w:rsid w:val="00A31C9D"/>
    <w:rsid w:val="00A41BDE"/>
    <w:rsid w:val="00A43657"/>
    <w:rsid w:val="00A45776"/>
    <w:rsid w:val="00A508BE"/>
    <w:rsid w:val="00A545CA"/>
    <w:rsid w:val="00A5497D"/>
    <w:rsid w:val="00A570C9"/>
    <w:rsid w:val="00A57117"/>
    <w:rsid w:val="00A62011"/>
    <w:rsid w:val="00A63FB0"/>
    <w:rsid w:val="00A653ED"/>
    <w:rsid w:val="00A65E83"/>
    <w:rsid w:val="00A76D8B"/>
    <w:rsid w:val="00A80571"/>
    <w:rsid w:val="00A80C9D"/>
    <w:rsid w:val="00A812D2"/>
    <w:rsid w:val="00A825A0"/>
    <w:rsid w:val="00A85F6E"/>
    <w:rsid w:val="00A9338F"/>
    <w:rsid w:val="00A961CF"/>
    <w:rsid w:val="00AA0D85"/>
    <w:rsid w:val="00AA2FF8"/>
    <w:rsid w:val="00AA41CA"/>
    <w:rsid w:val="00AA7C1F"/>
    <w:rsid w:val="00AB33CF"/>
    <w:rsid w:val="00AB3F73"/>
    <w:rsid w:val="00AC09F9"/>
    <w:rsid w:val="00AC72AC"/>
    <w:rsid w:val="00AD03B2"/>
    <w:rsid w:val="00AD28A7"/>
    <w:rsid w:val="00AD3516"/>
    <w:rsid w:val="00AD7FAE"/>
    <w:rsid w:val="00AE02AD"/>
    <w:rsid w:val="00AE0337"/>
    <w:rsid w:val="00AE0C10"/>
    <w:rsid w:val="00AE6253"/>
    <w:rsid w:val="00AE6895"/>
    <w:rsid w:val="00AF0B1E"/>
    <w:rsid w:val="00AF1CA2"/>
    <w:rsid w:val="00AF1ECC"/>
    <w:rsid w:val="00AF235F"/>
    <w:rsid w:val="00AF2D0E"/>
    <w:rsid w:val="00AF334E"/>
    <w:rsid w:val="00AF5EFA"/>
    <w:rsid w:val="00AF623F"/>
    <w:rsid w:val="00AF6990"/>
    <w:rsid w:val="00AF69C3"/>
    <w:rsid w:val="00AF7AAD"/>
    <w:rsid w:val="00B01CDC"/>
    <w:rsid w:val="00B0300D"/>
    <w:rsid w:val="00B034CE"/>
    <w:rsid w:val="00B049CB"/>
    <w:rsid w:val="00B068BC"/>
    <w:rsid w:val="00B07DC6"/>
    <w:rsid w:val="00B10D2B"/>
    <w:rsid w:val="00B11D1C"/>
    <w:rsid w:val="00B142A2"/>
    <w:rsid w:val="00B16A9A"/>
    <w:rsid w:val="00B2018B"/>
    <w:rsid w:val="00B213BF"/>
    <w:rsid w:val="00B23497"/>
    <w:rsid w:val="00B32127"/>
    <w:rsid w:val="00B32DB7"/>
    <w:rsid w:val="00B3342C"/>
    <w:rsid w:val="00B34E1A"/>
    <w:rsid w:val="00B34F0A"/>
    <w:rsid w:val="00B36C45"/>
    <w:rsid w:val="00B370A6"/>
    <w:rsid w:val="00B431EE"/>
    <w:rsid w:val="00B43DBE"/>
    <w:rsid w:val="00B43FE7"/>
    <w:rsid w:val="00B44D7C"/>
    <w:rsid w:val="00B46070"/>
    <w:rsid w:val="00B47525"/>
    <w:rsid w:val="00B47DE0"/>
    <w:rsid w:val="00B51163"/>
    <w:rsid w:val="00B5123D"/>
    <w:rsid w:val="00B55479"/>
    <w:rsid w:val="00B55CC2"/>
    <w:rsid w:val="00B567EB"/>
    <w:rsid w:val="00B570B7"/>
    <w:rsid w:val="00B574C4"/>
    <w:rsid w:val="00B6262E"/>
    <w:rsid w:val="00B63E92"/>
    <w:rsid w:val="00B653F8"/>
    <w:rsid w:val="00B67A7A"/>
    <w:rsid w:val="00B703ED"/>
    <w:rsid w:val="00B7494F"/>
    <w:rsid w:val="00B74951"/>
    <w:rsid w:val="00B83266"/>
    <w:rsid w:val="00B84914"/>
    <w:rsid w:val="00B8525A"/>
    <w:rsid w:val="00B92DBD"/>
    <w:rsid w:val="00B94867"/>
    <w:rsid w:val="00B956E3"/>
    <w:rsid w:val="00BA0863"/>
    <w:rsid w:val="00BA217D"/>
    <w:rsid w:val="00BA558C"/>
    <w:rsid w:val="00BA780E"/>
    <w:rsid w:val="00BB1AA6"/>
    <w:rsid w:val="00BB2419"/>
    <w:rsid w:val="00BB5975"/>
    <w:rsid w:val="00BB5D74"/>
    <w:rsid w:val="00BC03BD"/>
    <w:rsid w:val="00BC2456"/>
    <w:rsid w:val="00BC2726"/>
    <w:rsid w:val="00BC3A9C"/>
    <w:rsid w:val="00BC4A54"/>
    <w:rsid w:val="00BC7661"/>
    <w:rsid w:val="00BD15E3"/>
    <w:rsid w:val="00BD1735"/>
    <w:rsid w:val="00BD3688"/>
    <w:rsid w:val="00BD36BA"/>
    <w:rsid w:val="00BD45F5"/>
    <w:rsid w:val="00BD77A5"/>
    <w:rsid w:val="00BE015D"/>
    <w:rsid w:val="00BE0D58"/>
    <w:rsid w:val="00BE4DBD"/>
    <w:rsid w:val="00BE5D5F"/>
    <w:rsid w:val="00BE672A"/>
    <w:rsid w:val="00BF31B4"/>
    <w:rsid w:val="00C00E90"/>
    <w:rsid w:val="00C02A53"/>
    <w:rsid w:val="00C02BFF"/>
    <w:rsid w:val="00C05A7C"/>
    <w:rsid w:val="00C0605F"/>
    <w:rsid w:val="00C060EC"/>
    <w:rsid w:val="00C06426"/>
    <w:rsid w:val="00C067A1"/>
    <w:rsid w:val="00C125C5"/>
    <w:rsid w:val="00C13986"/>
    <w:rsid w:val="00C1587E"/>
    <w:rsid w:val="00C17491"/>
    <w:rsid w:val="00C1756F"/>
    <w:rsid w:val="00C231ED"/>
    <w:rsid w:val="00C24C33"/>
    <w:rsid w:val="00C3083B"/>
    <w:rsid w:val="00C353A3"/>
    <w:rsid w:val="00C36ED9"/>
    <w:rsid w:val="00C37CCB"/>
    <w:rsid w:val="00C37EB9"/>
    <w:rsid w:val="00C418F9"/>
    <w:rsid w:val="00C44DA1"/>
    <w:rsid w:val="00C45056"/>
    <w:rsid w:val="00C45D32"/>
    <w:rsid w:val="00C46385"/>
    <w:rsid w:val="00C535CF"/>
    <w:rsid w:val="00C63AF8"/>
    <w:rsid w:val="00C6573A"/>
    <w:rsid w:val="00C674A3"/>
    <w:rsid w:val="00C67CC0"/>
    <w:rsid w:val="00C70A27"/>
    <w:rsid w:val="00C731CD"/>
    <w:rsid w:val="00C75156"/>
    <w:rsid w:val="00C765B8"/>
    <w:rsid w:val="00C7765A"/>
    <w:rsid w:val="00C77D16"/>
    <w:rsid w:val="00C8112C"/>
    <w:rsid w:val="00C81B32"/>
    <w:rsid w:val="00C82BD9"/>
    <w:rsid w:val="00C83062"/>
    <w:rsid w:val="00C83646"/>
    <w:rsid w:val="00C83EF1"/>
    <w:rsid w:val="00C8498C"/>
    <w:rsid w:val="00C85377"/>
    <w:rsid w:val="00C90891"/>
    <w:rsid w:val="00C96131"/>
    <w:rsid w:val="00C96B8A"/>
    <w:rsid w:val="00CA0815"/>
    <w:rsid w:val="00CA33A2"/>
    <w:rsid w:val="00CA40F8"/>
    <w:rsid w:val="00CA7CD4"/>
    <w:rsid w:val="00CB1D5E"/>
    <w:rsid w:val="00CB34A2"/>
    <w:rsid w:val="00CB3F49"/>
    <w:rsid w:val="00CB48C1"/>
    <w:rsid w:val="00CB5622"/>
    <w:rsid w:val="00CB6978"/>
    <w:rsid w:val="00CC163C"/>
    <w:rsid w:val="00CC16D2"/>
    <w:rsid w:val="00CC719E"/>
    <w:rsid w:val="00CC7D3B"/>
    <w:rsid w:val="00CD0378"/>
    <w:rsid w:val="00CD395D"/>
    <w:rsid w:val="00CD64BD"/>
    <w:rsid w:val="00CD7282"/>
    <w:rsid w:val="00CD7BFC"/>
    <w:rsid w:val="00CE398E"/>
    <w:rsid w:val="00CE47E6"/>
    <w:rsid w:val="00CE4A84"/>
    <w:rsid w:val="00CE595B"/>
    <w:rsid w:val="00CF03F3"/>
    <w:rsid w:val="00CF1E10"/>
    <w:rsid w:val="00CF4331"/>
    <w:rsid w:val="00CF516E"/>
    <w:rsid w:val="00CF6D34"/>
    <w:rsid w:val="00D055CD"/>
    <w:rsid w:val="00D05F3F"/>
    <w:rsid w:val="00D10066"/>
    <w:rsid w:val="00D1055A"/>
    <w:rsid w:val="00D1066B"/>
    <w:rsid w:val="00D14B1D"/>
    <w:rsid w:val="00D15CF5"/>
    <w:rsid w:val="00D20AAD"/>
    <w:rsid w:val="00D215F7"/>
    <w:rsid w:val="00D21C04"/>
    <w:rsid w:val="00D21CAE"/>
    <w:rsid w:val="00D25D86"/>
    <w:rsid w:val="00D26315"/>
    <w:rsid w:val="00D30E8B"/>
    <w:rsid w:val="00D321A4"/>
    <w:rsid w:val="00D33DD2"/>
    <w:rsid w:val="00D3499B"/>
    <w:rsid w:val="00D41A8D"/>
    <w:rsid w:val="00D45011"/>
    <w:rsid w:val="00D5194F"/>
    <w:rsid w:val="00D51EC3"/>
    <w:rsid w:val="00D53C50"/>
    <w:rsid w:val="00D64CC1"/>
    <w:rsid w:val="00D66707"/>
    <w:rsid w:val="00D66D61"/>
    <w:rsid w:val="00D671AE"/>
    <w:rsid w:val="00D67DA7"/>
    <w:rsid w:val="00D706CE"/>
    <w:rsid w:val="00D72C82"/>
    <w:rsid w:val="00D8178D"/>
    <w:rsid w:val="00D82659"/>
    <w:rsid w:val="00D8667F"/>
    <w:rsid w:val="00D915F7"/>
    <w:rsid w:val="00D967E3"/>
    <w:rsid w:val="00DA3275"/>
    <w:rsid w:val="00DA4BC6"/>
    <w:rsid w:val="00DA57F8"/>
    <w:rsid w:val="00DA5B36"/>
    <w:rsid w:val="00DB4760"/>
    <w:rsid w:val="00DB5E36"/>
    <w:rsid w:val="00DC1900"/>
    <w:rsid w:val="00DC194A"/>
    <w:rsid w:val="00DC4061"/>
    <w:rsid w:val="00DC7C93"/>
    <w:rsid w:val="00DD58EA"/>
    <w:rsid w:val="00DD5C26"/>
    <w:rsid w:val="00DD6DCE"/>
    <w:rsid w:val="00DD7FF8"/>
    <w:rsid w:val="00DE0B43"/>
    <w:rsid w:val="00DE19E2"/>
    <w:rsid w:val="00DF0EC6"/>
    <w:rsid w:val="00DF3976"/>
    <w:rsid w:val="00DF5422"/>
    <w:rsid w:val="00DF64FE"/>
    <w:rsid w:val="00E009B7"/>
    <w:rsid w:val="00E021FF"/>
    <w:rsid w:val="00E0266B"/>
    <w:rsid w:val="00E02FC5"/>
    <w:rsid w:val="00E06737"/>
    <w:rsid w:val="00E07480"/>
    <w:rsid w:val="00E07EE3"/>
    <w:rsid w:val="00E11027"/>
    <w:rsid w:val="00E12E23"/>
    <w:rsid w:val="00E1305A"/>
    <w:rsid w:val="00E16BE5"/>
    <w:rsid w:val="00E2346E"/>
    <w:rsid w:val="00E25BA9"/>
    <w:rsid w:val="00E27D0F"/>
    <w:rsid w:val="00E31E82"/>
    <w:rsid w:val="00E32E9F"/>
    <w:rsid w:val="00E34719"/>
    <w:rsid w:val="00E34D8D"/>
    <w:rsid w:val="00E34EE0"/>
    <w:rsid w:val="00E37ACA"/>
    <w:rsid w:val="00E44AEC"/>
    <w:rsid w:val="00E47927"/>
    <w:rsid w:val="00E50697"/>
    <w:rsid w:val="00E53EBE"/>
    <w:rsid w:val="00E543EA"/>
    <w:rsid w:val="00E54D42"/>
    <w:rsid w:val="00E55E33"/>
    <w:rsid w:val="00E6025C"/>
    <w:rsid w:val="00E6557F"/>
    <w:rsid w:val="00E66ADB"/>
    <w:rsid w:val="00E66BEA"/>
    <w:rsid w:val="00E67DE9"/>
    <w:rsid w:val="00E75293"/>
    <w:rsid w:val="00E82247"/>
    <w:rsid w:val="00E85D53"/>
    <w:rsid w:val="00E86731"/>
    <w:rsid w:val="00E86C2E"/>
    <w:rsid w:val="00E86EC4"/>
    <w:rsid w:val="00E87EC5"/>
    <w:rsid w:val="00E91CAE"/>
    <w:rsid w:val="00E922EE"/>
    <w:rsid w:val="00E92C98"/>
    <w:rsid w:val="00E96D0E"/>
    <w:rsid w:val="00EA3756"/>
    <w:rsid w:val="00EA7716"/>
    <w:rsid w:val="00EA7E61"/>
    <w:rsid w:val="00EB3BC9"/>
    <w:rsid w:val="00EB575D"/>
    <w:rsid w:val="00EB6275"/>
    <w:rsid w:val="00EC06A6"/>
    <w:rsid w:val="00EC1ABD"/>
    <w:rsid w:val="00EC206D"/>
    <w:rsid w:val="00EC48CF"/>
    <w:rsid w:val="00EC4A24"/>
    <w:rsid w:val="00EC7AFD"/>
    <w:rsid w:val="00ED5231"/>
    <w:rsid w:val="00EE2B7D"/>
    <w:rsid w:val="00EE3C25"/>
    <w:rsid w:val="00EE5710"/>
    <w:rsid w:val="00EE5BD7"/>
    <w:rsid w:val="00EE5F31"/>
    <w:rsid w:val="00EE691C"/>
    <w:rsid w:val="00EF0E59"/>
    <w:rsid w:val="00EF469E"/>
    <w:rsid w:val="00EF4C1C"/>
    <w:rsid w:val="00EF5DE1"/>
    <w:rsid w:val="00F00B5B"/>
    <w:rsid w:val="00F00CFA"/>
    <w:rsid w:val="00F02CF9"/>
    <w:rsid w:val="00F0796C"/>
    <w:rsid w:val="00F103D5"/>
    <w:rsid w:val="00F10D69"/>
    <w:rsid w:val="00F11394"/>
    <w:rsid w:val="00F120DD"/>
    <w:rsid w:val="00F13502"/>
    <w:rsid w:val="00F1360B"/>
    <w:rsid w:val="00F1457E"/>
    <w:rsid w:val="00F14CBD"/>
    <w:rsid w:val="00F1593B"/>
    <w:rsid w:val="00F21970"/>
    <w:rsid w:val="00F23C28"/>
    <w:rsid w:val="00F26E69"/>
    <w:rsid w:val="00F26EB6"/>
    <w:rsid w:val="00F30EE5"/>
    <w:rsid w:val="00F31110"/>
    <w:rsid w:val="00F33C2D"/>
    <w:rsid w:val="00F34A7C"/>
    <w:rsid w:val="00F36296"/>
    <w:rsid w:val="00F374AA"/>
    <w:rsid w:val="00F43A5F"/>
    <w:rsid w:val="00F460AB"/>
    <w:rsid w:val="00F60980"/>
    <w:rsid w:val="00F60D50"/>
    <w:rsid w:val="00F64751"/>
    <w:rsid w:val="00F6727A"/>
    <w:rsid w:val="00F674B8"/>
    <w:rsid w:val="00F67FAB"/>
    <w:rsid w:val="00F708A8"/>
    <w:rsid w:val="00F70A71"/>
    <w:rsid w:val="00F7124E"/>
    <w:rsid w:val="00F73007"/>
    <w:rsid w:val="00F741D5"/>
    <w:rsid w:val="00F80823"/>
    <w:rsid w:val="00F82BFB"/>
    <w:rsid w:val="00F85FAA"/>
    <w:rsid w:val="00F86644"/>
    <w:rsid w:val="00F87B38"/>
    <w:rsid w:val="00F914BE"/>
    <w:rsid w:val="00F91560"/>
    <w:rsid w:val="00F92B59"/>
    <w:rsid w:val="00F94C70"/>
    <w:rsid w:val="00FA2759"/>
    <w:rsid w:val="00FA40AF"/>
    <w:rsid w:val="00FA65B2"/>
    <w:rsid w:val="00FA73B2"/>
    <w:rsid w:val="00FB06D5"/>
    <w:rsid w:val="00FB329F"/>
    <w:rsid w:val="00FB4961"/>
    <w:rsid w:val="00FB5FFA"/>
    <w:rsid w:val="00FC623C"/>
    <w:rsid w:val="00FC6C02"/>
    <w:rsid w:val="00FC733D"/>
    <w:rsid w:val="00FD3EA4"/>
    <w:rsid w:val="00FD537D"/>
    <w:rsid w:val="00FD5587"/>
    <w:rsid w:val="00FE5B5B"/>
    <w:rsid w:val="00FE77AC"/>
    <w:rsid w:val="00FF0C38"/>
    <w:rsid w:val="00FF315A"/>
    <w:rsid w:val="00FF386A"/>
    <w:rsid w:val="00FF493F"/>
    <w:rsid w:val="00FF518D"/>
    <w:rsid w:val="00FF550A"/>
    <w:rsid w:val="00FF7421"/>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899E50"/>
  <w15:docId w15:val="{E78464A2-C48E-6848-B9DA-1E2118A3FC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53EBE"/>
    <w:rPr>
      <w:rFonts w:ascii="Times New Roman" w:eastAsia="Times New Roman" w:hAnsi="Times New Roman" w:cs="Times New Roman"/>
      <w:lang w:eastAsia="de-DE"/>
    </w:rPr>
  </w:style>
  <w:style w:type="paragraph" w:styleId="berschrift1">
    <w:name w:val="heading 1"/>
    <w:basedOn w:val="Standard"/>
    <w:next w:val="Standard"/>
    <w:link w:val="berschrift1Zchn"/>
    <w:uiPriority w:val="9"/>
    <w:qFormat/>
    <w:rsid w:val="000B22A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AF2D0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C37CCB"/>
    <w:pPr>
      <w:keepNext/>
      <w:keepLines/>
      <w:spacing w:before="40"/>
      <w:outlineLvl w:val="2"/>
    </w:pPr>
    <w:rPr>
      <w:rFonts w:asciiTheme="majorHAnsi" w:eastAsiaTheme="majorEastAsia" w:hAnsiTheme="majorHAnsi" w:cstheme="majorBidi"/>
      <w:color w:val="1F3763" w:themeColor="accent1" w:themeShade="7F"/>
    </w:rPr>
  </w:style>
  <w:style w:type="paragraph" w:styleId="berschrift4">
    <w:name w:val="heading 4"/>
    <w:basedOn w:val="Standard"/>
    <w:next w:val="Standard"/>
    <w:link w:val="berschrift4Zchn"/>
    <w:uiPriority w:val="9"/>
    <w:semiHidden/>
    <w:unhideWhenUsed/>
    <w:qFormat/>
    <w:rsid w:val="006760AB"/>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link w:val="FuzeileZchn"/>
    <w:uiPriority w:val="99"/>
    <w:unhideWhenUsed/>
    <w:rsid w:val="00E75293"/>
    <w:pPr>
      <w:tabs>
        <w:tab w:val="center" w:pos="4536"/>
        <w:tab w:val="right" w:pos="9072"/>
      </w:tabs>
    </w:pPr>
  </w:style>
  <w:style w:type="character" w:customStyle="1" w:styleId="FuzeileZchn">
    <w:name w:val="Fußzeile Zchn"/>
    <w:basedOn w:val="Absatz-Standardschriftart"/>
    <w:link w:val="Fuzeile"/>
    <w:uiPriority w:val="99"/>
    <w:rsid w:val="00E75293"/>
  </w:style>
  <w:style w:type="character" w:styleId="Seitenzahl">
    <w:name w:val="page number"/>
    <w:basedOn w:val="Absatz-Standardschriftart"/>
    <w:uiPriority w:val="99"/>
    <w:semiHidden/>
    <w:unhideWhenUsed/>
    <w:rsid w:val="00E75293"/>
  </w:style>
  <w:style w:type="paragraph" w:styleId="Kopfzeile">
    <w:name w:val="header"/>
    <w:basedOn w:val="Standard"/>
    <w:link w:val="KopfzeileZchn"/>
    <w:uiPriority w:val="99"/>
    <w:unhideWhenUsed/>
    <w:rsid w:val="00E75293"/>
    <w:pPr>
      <w:tabs>
        <w:tab w:val="center" w:pos="4536"/>
        <w:tab w:val="right" w:pos="9072"/>
      </w:tabs>
    </w:pPr>
  </w:style>
  <w:style w:type="character" w:customStyle="1" w:styleId="KopfzeileZchn">
    <w:name w:val="Kopfzeile Zchn"/>
    <w:basedOn w:val="Absatz-Standardschriftart"/>
    <w:link w:val="Kopfzeile"/>
    <w:uiPriority w:val="99"/>
    <w:rsid w:val="00E75293"/>
  </w:style>
  <w:style w:type="paragraph" w:styleId="Listenabsatz">
    <w:name w:val="List Paragraph"/>
    <w:basedOn w:val="Standard"/>
    <w:uiPriority w:val="34"/>
    <w:qFormat/>
    <w:rsid w:val="00F30EE5"/>
    <w:pPr>
      <w:ind w:left="720"/>
      <w:contextualSpacing/>
    </w:pPr>
  </w:style>
  <w:style w:type="character" w:customStyle="1" w:styleId="berschrift1Zchn">
    <w:name w:val="Überschrift 1 Zchn"/>
    <w:basedOn w:val="Absatz-Standardschriftart"/>
    <w:link w:val="berschrift1"/>
    <w:uiPriority w:val="9"/>
    <w:rsid w:val="000B22A7"/>
    <w:rPr>
      <w:rFonts w:asciiTheme="majorHAnsi" w:eastAsiaTheme="majorEastAsia" w:hAnsiTheme="majorHAnsi" w:cstheme="majorBidi"/>
      <w:color w:val="2F5496" w:themeColor="accent1" w:themeShade="BF"/>
      <w:sz w:val="32"/>
      <w:szCs w:val="32"/>
    </w:rPr>
  </w:style>
  <w:style w:type="paragraph" w:styleId="Inhaltsverzeichnisberschrift">
    <w:name w:val="TOC Heading"/>
    <w:basedOn w:val="berschrift1"/>
    <w:next w:val="Standard"/>
    <w:uiPriority w:val="39"/>
    <w:unhideWhenUsed/>
    <w:qFormat/>
    <w:rsid w:val="000B22A7"/>
    <w:pPr>
      <w:spacing w:before="480" w:line="276" w:lineRule="auto"/>
      <w:outlineLvl w:val="9"/>
    </w:pPr>
    <w:rPr>
      <w:b/>
      <w:bCs/>
      <w:sz w:val="28"/>
      <w:szCs w:val="28"/>
    </w:rPr>
  </w:style>
  <w:style w:type="paragraph" w:styleId="Verzeichnis1">
    <w:name w:val="toc 1"/>
    <w:basedOn w:val="Standard"/>
    <w:next w:val="Standard"/>
    <w:autoRedefine/>
    <w:uiPriority w:val="39"/>
    <w:unhideWhenUsed/>
    <w:rsid w:val="00784827"/>
    <w:pPr>
      <w:tabs>
        <w:tab w:val="right" w:leader="dot" w:pos="8487"/>
      </w:tabs>
      <w:spacing w:before="360" w:after="360"/>
      <w:ind w:left="708"/>
    </w:pPr>
    <w:rPr>
      <w:b/>
      <w:bCs/>
      <w:caps/>
      <w:sz w:val="22"/>
      <w:szCs w:val="22"/>
      <w:u w:val="single"/>
    </w:rPr>
  </w:style>
  <w:style w:type="paragraph" w:styleId="Verzeichnis2">
    <w:name w:val="toc 2"/>
    <w:basedOn w:val="Standard"/>
    <w:next w:val="Standard"/>
    <w:autoRedefine/>
    <w:uiPriority w:val="39"/>
    <w:semiHidden/>
    <w:unhideWhenUsed/>
    <w:rsid w:val="000B22A7"/>
    <w:rPr>
      <w:b/>
      <w:bCs/>
      <w:smallCaps/>
      <w:sz w:val="22"/>
      <w:szCs w:val="22"/>
    </w:rPr>
  </w:style>
  <w:style w:type="paragraph" w:styleId="Verzeichnis3">
    <w:name w:val="toc 3"/>
    <w:basedOn w:val="Standard"/>
    <w:next w:val="Standard"/>
    <w:autoRedefine/>
    <w:uiPriority w:val="39"/>
    <w:semiHidden/>
    <w:unhideWhenUsed/>
    <w:rsid w:val="000B22A7"/>
    <w:rPr>
      <w:smallCaps/>
      <w:sz w:val="22"/>
      <w:szCs w:val="22"/>
    </w:rPr>
  </w:style>
  <w:style w:type="paragraph" w:styleId="Verzeichnis4">
    <w:name w:val="toc 4"/>
    <w:basedOn w:val="Standard"/>
    <w:next w:val="Standard"/>
    <w:autoRedefine/>
    <w:uiPriority w:val="39"/>
    <w:semiHidden/>
    <w:unhideWhenUsed/>
    <w:rsid w:val="000B22A7"/>
    <w:rPr>
      <w:sz w:val="22"/>
      <w:szCs w:val="22"/>
    </w:rPr>
  </w:style>
  <w:style w:type="paragraph" w:styleId="Verzeichnis5">
    <w:name w:val="toc 5"/>
    <w:basedOn w:val="Standard"/>
    <w:next w:val="Standard"/>
    <w:autoRedefine/>
    <w:uiPriority w:val="39"/>
    <w:semiHidden/>
    <w:unhideWhenUsed/>
    <w:rsid w:val="000B22A7"/>
    <w:rPr>
      <w:sz w:val="22"/>
      <w:szCs w:val="22"/>
    </w:rPr>
  </w:style>
  <w:style w:type="paragraph" w:styleId="Verzeichnis6">
    <w:name w:val="toc 6"/>
    <w:basedOn w:val="Standard"/>
    <w:next w:val="Standard"/>
    <w:autoRedefine/>
    <w:uiPriority w:val="39"/>
    <w:semiHidden/>
    <w:unhideWhenUsed/>
    <w:rsid w:val="000B22A7"/>
    <w:rPr>
      <w:sz w:val="22"/>
      <w:szCs w:val="22"/>
    </w:rPr>
  </w:style>
  <w:style w:type="paragraph" w:styleId="Verzeichnis7">
    <w:name w:val="toc 7"/>
    <w:basedOn w:val="Standard"/>
    <w:next w:val="Standard"/>
    <w:autoRedefine/>
    <w:uiPriority w:val="39"/>
    <w:semiHidden/>
    <w:unhideWhenUsed/>
    <w:rsid w:val="000B22A7"/>
    <w:rPr>
      <w:sz w:val="22"/>
      <w:szCs w:val="22"/>
    </w:rPr>
  </w:style>
  <w:style w:type="paragraph" w:styleId="Verzeichnis8">
    <w:name w:val="toc 8"/>
    <w:basedOn w:val="Standard"/>
    <w:next w:val="Standard"/>
    <w:autoRedefine/>
    <w:uiPriority w:val="39"/>
    <w:semiHidden/>
    <w:unhideWhenUsed/>
    <w:rsid w:val="000B22A7"/>
    <w:rPr>
      <w:sz w:val="22"/>
      <w:szCs w:val="22"/>
    </w:rPr>
  </w:style>
  <w:style w:type="paragraph" w:styleId="Verzeichnis9">
    <w:name w:val="toc 9"/>
    <w:basedOn w:val="Standard"/>
    <w:next w:val="Standard"/>
    <w:autoRedefine/>
    <w:uiPriority w:val="39"/>
    <w:semiHidden/>
    <w:unhideWhenUsed/>
    <w:rsid w:val="000B22A7"/>
    <w:rPr>
      <w:sz w:val="22"/>
      <w:szCs w:val="22"/>
    </w:rPr>
  </w:style>
  <w:style w:type="paragraph" w:customStyle="1" w:styleId="MainHeading">
    <w:name w:val="Main Heading"/>
    <w:basedOn w:val="berschrift1"/>
    <w:qFormat/>
    <w:rsid w:val="000B22A7"/>
    <w:pPr>
      <w:spacing w:line="360" w:lineRule="auto"/>
      <w:jc w:val="both"/>
    </w:pPr>
    <w:rPr>
      <w:rFonts w:ascii="Arial" w:hAnsi="Arial" w:cs="Arial"/>
      <w:b/>
      <w:bCs/>
      <w:color w:val="000000" w:themeColor="text1"/>
      <w:sz w:val="28"/>
      <w:szCs w:val="28"/>
      <w:lang w:val="en-US"/>
    </w:rPr>
  </w:style>
  <w:style w:type="paragraph" w:styleId="Titel">
    <w:name w:val="Title"/>
    <w:basedOn w:val="Standard"/>
    <w:next w:val="Standard"/>
    <w:link w:val="TitelZchn"/>
    <w:uiPriority w:val="10"/>
    <w:qFormat/>
    <w:rsid w:val="000B22A7"/>
    <w:pPr>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0B22A7"/>
    <w:rPr>
      <w:rFonts w:asciiTheme="majorHAnsi" w:eastAsiaTheme="majorEastAsia" w:hAnsiTheme="majorHAnsi" w:cstheme="majorBidi"/>
      <w:spacing w:val="-10"/>
      <w:kern w:val="28"/>
      <w:sz w:val="56"/>
      <w:szCs w:val="56"/>
    </w:rPr>
  </w:style>
  <w:style w:type="character" w:styleId="Hyperlink">
    <w:name w:val="Hyperlink"/>
    <w:basedOn w:val="Absatz-Standardschriftart"/>
    <w:uiPriority w:val="99"/>
    <w:unhideWhenUsed/>
    <w:rsid w:val="000B22A7"/>
    <w:rPr>
      <w:color w:val="0563C1" w:themeColor="hyperlink"/>
      <w:u w:val="single"/>
    </w:rPr>
  </w:style>
  <w:style w:type="paragraph" w:customStyle="1" w:styleId="MainHeading2">
    <w:name w:val="Main Heading2"/>
    <w:basedOn w:val="berschrift1"/>
    <w:qFormat/>
    <w:rsid w:val="000B22A7"/>
    <w:pPr>
      <w:spacing w:after="120"/>
      <w:jc w:val="both"/>
    </w:pPr>
    <w:rPr>
      <w:rFonts w:ascii="Arial" w:hAnsi="Arial"/>
      <w:b/>
      <w:color w:val="000000" w:themeColor="text1"/>
      <w:sz w:val="28"/>
    </w:rPr>
  </w:style>
  <w:style w:type="paragraph" w:styleId="Sprechblasentext">
    <w:name w:val="Balloon Text"/>
    <w:basedOn w:val="Standard"/>
    <w:link w:val="SprechblasentextZchn"/>
    <w:uiPriority w:val="99"/>
    <w:semiHidden/>
    <w:unhideWhenUsed/>
    <w:rsid w:val="00FB329F"/>
    <w:rPr>
      <w:sz w:val="18"/>
      <w:szCs w:val="18"/>
    </w:rPr>
  </w:style>
  <w:style w:type="character" w:customStyle="1" w:styleId="SprechblasentextZchn">
    <w:name w:val="Sprechblasentext Zchn"/>
    <w:basedOn w:val="Absatz-Standardschriftart"/>
    <w:link w:val="Sprechblasentext"/>
    <w:uiPriority w:val="99"/>
    <w:semiHidden/>
    <w:rsid w:val="00FB329F"/>
    <w:rPr>
      <w:rFonts w:ascii="Times New Roman" w:hAnsi="Times New Roman" w:cs="Times New Roman"/>
      <w:sz w:val="18"/>
      <w:szCs w:val="18"/>
    </w:rPr>
  </w:style>
  <w:style w:type="paragraph" w:customStyle="1" w:styleId="Formatvorlage1">
    <w:name w:val="Formatvorlage1"/>
    <w:basedOn w:val="MainHeading2"/>
    <w:qFormat/>
    <w:rsid w:val="00FB329F"/>
    <w:rPr>
      <w:sz w:val="24"/>
      <w:lang w:val="en-US"/>
    </w:rPr>
  </w:style>
  <w:style w:type="paragraph" w:customStyle="1" w:styleId="Formatvorlage2">
    <w:name w:val="Formatvorlage2"/>
    <w:basedOn w:val="Kopfzeile"/>
    <w:qFormat/>
    <w:rsid w:val="00D8178D"/>
    <w:rPr>
      <w:rFonts w:ascii="Arial" w:eastAsia="MS Gothic" w:hAnsi="Arial" w:cs="Arial"/>
      <w:sz w:val="28"/>
      <w:szCs w:val="28"/>
      <w:lang w:val="en-US"/>
    </w:rPr>
  </w:style>
  <w:style w:type="paragraph" w:customStyle="1" w:styleId="Formatvorlage3">
    <w:name w:val="Formatvorlage3"/>
    <w:basedOn w:val="berschrift1"/>
    <w:qFormat/>
    <w:rsid w:val="00D8178D"/>
    <w:rPr>
      <w:rFonts w:ascii="Arial" w:hAnsi="Arial"/>
      <w:color w:val="000000" w:themeColor="text1"/>
      <w:sz w:val="24"/>
      <w:szCs w:val="24"/>
    </w:rPr>
  </w:style>
  <w:style w:type="paragraph" w:customStyle="1" w:styleId="Literaturverzeichnis1">
    <w:name w:val="Literaturverzeichnis1"/>
    <w:basedOn w:val="Standard"/>
    <w:link w:val="BibliographyZchn"/>
    <w:rsid w:val="00683F6B"/>
    <w:pPr>
      <w:ind w:left="720" w:hanging="720"/>
    </w:pPr>
    <w:rPr>
      <w:rFonts w:ascii="Arial" w:hAnsi="Arial" w:cs="Arial"/>
      <w:lang w:val="en-US"/>
    </w:rPr>
  </w:style>
  <w:style w:type="character" w:customStyle="1" w:styleId="BibliographyZchn">
    <w:name w:val="Bibliography Zchn"/>
    <w:basedOn w:val="Absatz-Standardschriftart"/>
    <w:link w:val="Literaturverzeichnis1"/>
    <w:rsid w:val="00683F6B"/>
    <w:rPr>
      <w:rFonts w:ascii="Arial" w:hAnsi="Arial" w:cs="Arial"/>
      <w:lang w:val="en-US"/>
    </w:rPr>
  </w:style>
  <w:style w:type="character" w:customStyle="1" w:styleId="berschrift3Zchn">
    <w:name w:val="Überschrift 3 Zchn"/>
    <w:basedOn w:val="Absatz-Standardschriftart"/>
    <w:link w:val="berschrift3"/>
    <w:uiPriority w:val="9"/>
    <w:rsid w:val="00C37CCB"/>
    <w:rPr>
      <w:rFonts w:asciiTheme="majorHAnsi" w:eastAsiaTheme="majorEastAsia" w:hAnsiTheme="majorHAnsi" w:cstheme="majorBidi"/>
      <w:color w:val="1F3763" w:themeColor="accent1" w:themeShade="7F"/>
    </w:rPr>
  </w:style>
  <w:style w:type="character" w:customStyle="1" w:styleId="berschrift2Zchn">
    <w:name w:val="Überschrift 2 Zchn"/>
    <w:basedOn w:val="Absatz-Standardschriftart"/>
    <w:link w:val="berschrift2"/>
    <w:uiPriority w:val="9"/>
    <w:rsid w:val="00AF2D0E"/>
    <w:rPr>
      <w:rFonts w:asciiTheme="majorHAnsi" w:eastAsiaTheme="majorEastAsia" w:hAnsiTheme="majorHAnsi" w:cstheme="majorBidi"/>
      <w:color w:val="2F5496" w:themeColor="accent1" w:themeShade="BF"/>
      <w:sz w:val="26"/>
      <w:szCs w:val="26"/>
    </w:rPr>
  </w:style>
  <w:style w:type="character" w:styleId="BesuchterLink">
    <w:name w:val="FollowedHyperlink"/>
    <w:basedOn w:val="Absatz-Standardschriftart"/>
    <w:uiPriority w:val="99"/>
    <w:semiHidden/>
    <w:unhideWhenUsed/>
    <w:rsid w:val="00A508BE"/>
    <w:rPr>
      <w:color w:val="954F72" w:themeColor="followedHyperlink"/>
      <w:u w:val="single"/>
    </w:rPr>
  </w:style>
  <w:style w:type="character" w:customStyle="1" w:styleId="NichtaufgelsteErwhnung1">
    <w:name w:val="Nicht aufgelöste Erwähnung1"/>
    <w:basedOn w:val="Absatz-Standardschriftart"/>
    <w:uiPriority w:val="99"/>
    <w:semiHidden/>
    <w:unhideWhenUsed/>
    <w:rsid w:val="00FF7421"/>
    <w:rPr>
      <w:color w:val="605E5C"/>
      <w:shd w:val="clear" w:color="auto" w:fill="E1DFDD"/>
    </w:rPr>
  </w:style>
  <w:style w:type="character" w:styleId="Kommentarzeichen">
    <w:name w:val="annotation reference"/>
    <w:basedOn w:val="Absatz-Standardschriftart"/>
    <w:uiPriority w:val="99"/>
    <w:semiHidden/>
    <w:unhideWhenUsed/>
    <w:rsid w:val="00E009B7"/>
    <w:rPr>
      <w:sz w:val="16"/>
      <w:szCs w:val="16"/>
    </w:rPr>
  </w:style>
  <w:style w:type="paragraph" w:styleId="Kommentartext">
    <w:name w:val="annotation text"/>
    <w:basedOn w:val="Standard"/>
    <w:link w:val="KommentartextZchn"/>
    <w:uiPriority w:val="99"/>
    <w:semiHidden/>
    <w:unhideWhenUsed/>
    <w:rsid w:val="00E009B7"/>
    <w:rPr>
      <w:sz w:val="20"/>
      <w:szCs w:val="20"/>
    </w:rPr>
  </w:style>
  <w:style w:type="character" w:customStyle="1" w:styleId="KommentartextZchn">
    <w:name w:val="Kommentartext Zchn"/>
    <w:basedOn w:val="Absatz-Standardschriftart"/>
    <w:link w:val="Kommentartext"/>
    <w:uiPriority w:val="99"/>
    <w:semiHidden/>
    <w:rsid w:val="00E009B7"/>
    <w:rPr>
      <w:rFonts w:ascii="Times New Roman" w:eastAsia="Times New Roman" w:hAnsi="Times New Roman" w:cs="Times New Roman"/>
      <w:sz w:val="20"/>
      <w:szCs w:val="20"/>
      <w:lang w:eastAsia="de-DE"/>
    </w:rPr>
  </w:style>
  <w:style w:type="paragraph" w:styleId="Kommentarthema">
    <w:name w:val="annotation subject"/>
    <w:basedOn w:val="Kommentartext"/>
    <w:next w:val="Kommentartext"/>
    <w:link w:val="KommentarthemaZchn"/>
    <w:uiPriority w:val="99"/>
    <w:semiHidden/>
    <w:unhideWhenUsed/>
    <w:rsid w:val="00E009B7"/>
    <w:rPr>
      <w:b/>
      <w:bCs/>
    </w:rPr>
  </w:style>
  <w:style w:type="character" w:customStyle="1" w:styleId="KommentarthemaZchn">
    <w:name w:val="Kommentarthema Zchn"/>
    <w:basedOn w:val="KommentartextZchn"/>
    <w:link w:val="Kommentarthema"/>
    <w:uiPriority w:val="99"/>
    <w:semiHidden/>
    <w:rsid w:val="00E009B7"/>
    <w:rPr>
      <w:rFonts w:ascii="Times New Roman" w:eastAsia="Times New Roman" w:hAnsi="Times New Roman" w:cs="Times New Roman"/>
      <w:b/>
      <w:bCs/>
      <w:sz w:val="20"/>
      <w:szCs w:val="20"/>
      <w:lang w:eastAsia="de-DE"/>
    </w:rPr>
  </w:style>
  <w:style w:type="paragraph" w:customStyle="1" w:styleId="Content">
    <w:name w:val="Content"/>
    <w:basedOn w:val="Verzeichnis1"/>
    <w:qFormat/>
    <w:rsid w:val="00C02A53"/>
    <w:pPr>
      <w:spacing w:before="100" w:after="100"/>
    </w:pPr>
    <w:rPr>
      <w:rFonts w:ascii="Arial" w:hAnsi="Arial" w:cs="Arial"/>
      <w:b w:val="0"/>
      <w:bCs w:val="0"/>
      <w:caps w:val="0"/>
      <w:u w:val="none"/>
      <w:lang w:val="en-US"/>
    </w:rPr>
  </w:style>
  <w:style w:type="character" w:customStyle="1" w:styleId="st">
    <w:name w:val="st"/>
    <w:basedOn w:val="Absatz-Standardschriftart"/>
    <w:rsid w:val="00BE0D58"/>
  </w:style>
  <w:style w:type="character" w:customStyle="1" w:styleId="berschrift4Zchn">
    <w:name w:val="Überschrift 4 Zchn"/>
    <w:basedOn w:val="Absatz-Standardschriftart"/>
    <w:link w:val="berschrift4"/>
    <w:uiPriority w:val="9"/>
    <w:semiHidden/>
    <w:rsid w:val="006760AB"/>
    <w:rPr>
      <w:rFonts w:asciiTheme="majorHAnsi" w:eastAsiaTheme="majorEastAsia" w:hAnsiTheme="majorHAnsi" w:cstheme="majorBidi"/>
      <w:i/>
      <w:iCs/>
      <w:color w:val="2F5496" w:themeColor="accent1" w:themeShade="BF"/>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17907">
      <w:bodyDiv w:val="1"/>
      <w:marLeft w:val="0"/>
      <w:marRight w:val="0"/>
      <w:marTop w:val="0"/>
      <w:marBottom w:val="0"/>
      <w:divBdr>
        <w:top w:val="none" w:sz="0" w:space="0" w:color="auto"/>
        <w:left w:val="none" w:sz="0" w:space="0" w:color="auto"/>
        <w:bottom w:val="none" w:sz="0" w:space="0" w:color="auto"/>
        <w:right w:val="none" w:sz="0" w:space="0" w:color="auto"/>
      </w:divBdr>
    </w:div>
    <w:div w:id="5443291">
      <w:bodyDiv w:val="1"/>
      <w:marLeft w:val="0"/>
      <w:marRight w:val="0"/>
      <w:marTop w:val="0"/>
      <w:marBottom w:val="0"/>
      <w:divBdr>
        <w:top w:val="none" w:sz="0" w:space="0" w:color="auto"/>
        <w:left w:val="none" w:sz="0" w:space="0" w:color="auto"/>
        <w:bottom w:val="none" w:sz="0" w:space="0" w:color="auto"/>
        <w:right w:val="none" w:sz="0" w:space="0" w:color="auto"/>
      </w:divBdr>
    </w:div>
    <w:div w:id="21133820">
      <w:bodyDiv w:val="1"/>
      <w:marLeft w:val="0"/>
      <w:marRight w:val="0"/>
      <w:marTop w:val="0"/>
      <w:marBottom w:val="0"/>
      <w:divBdr>
        <w:top w:val="none" w:sz="0" w:space="0" w:color="auto"/>
        <w:left w:val="none" w:sz="0" w:space="0" w:color="auto"/>
        <w:bottom w:val="none" w:sz="0" w:space="0" w:color="auto"/>
        <w:right w:val="none" w:sz="0" w:space="0" w:color="auto"/>
      </w:divBdr>
    </w:div>
    <w:div w:id="23017247">
      <w:bodyDiv w:val="1"/>
      <w:marLeft w:val="0"/>
      <w:marRight w:val="0"/>
      <w:marTop w:val="0"/>
      <w:marBottom w:val="0"/>
      <w:divBdr>
        <w:top w:val="none" w:sz="0" w:space="0" w:color="auto"/>
        <w:left w:val="none" w:sz="0" w:space="0" w:color="auto"/>
        <w:bottom w:val="none" w:sz="0" w:space="0" w:color="auto"/>
        <w:right w:val="none" w:sz="0" w:space="0" w:color="auto"/>
      </w:divBdr>
    </w:div>
    <w:div w:id="33165410">
      <w:bodyDiv w:val="1"/>
      <w:marLeft w:val="0"/>
      <w:marRight w:val="0"/>
      <w:marTop w:val="0"/>
      <w:marBottom w:val="0"/>
      <w:divBdr>
        <w:top w:val="none" w:sz="0" w:space="0" w:color="auto"/>
        <w:left w:val="none" w:sz="0" w:space="0" w:color="auto"/>
        <w:bottom w:val="none" w:sz="0" w:space="0" w:color="auto"/>
        <w:right w:val="none" w:sz="0" w:space="0" w:color="auto"/>
      </w:divBdr>
    </w:div>
    <w:div w:id="37558432">
      <w:bodyDiv w:val="1"/>
      <w:marLeft w:val="0"/>
      <w:marRight w:val="0"/>
      <w:marTop w:val="0"/>
      <w:marBottom w:val="0"/>
      <w:divBdr>
        <w:top w:val="none" w:sz="0" w:space="0" w:color="auto"/>
        <w:left w:val="none" w:sz="0" w:space="0" w:color="auto"/>
        <w:bottom w:val="none" w:sz="0" w:space="0" w:color="auto"/>
        <w:right w:val="none" w:sz="0" w:space="0" w:color="auto"/>
      </w:divBdr>
    </w:div>
    <w:div w:id="40520217">
      <w:bodyDiv w:val="1"/>
      <w:marLeft w:val="0"/>
      <w:marRight w:val="0"/>
      <w:marTop w:val="0"/>
      <w:marBottom w:val="0"/>
      <w:divBdr>
        <w:top w:val="none" w:sz="0" w:space="0" w:color="auto"/>
        <w:left w:val="none" w:sz="0" w:space="0" w:color="auto"/>
        <w:bottom w:val="none" w:sz="0" w:space="0" w:color="auto"/>
        <w:right w:val="none" w:sz="0" w:space="0" w:color="auto"/>
      </w:divBdr>
    </w:div>
    <w:div w:id="41711693">
      <w:bodyDiv w:val="1"/>
      <w:marLeft w:val="0"/>
      <w:marRight w:val="0"/>
      <w:marTop w:val="0"/>
      <w:marBottom w:val="0"/>
      <w:divBdr>
        <w:top w:val="none" w:sz="0" w:space="0" w:color="auto"/>
        <w:left w:val="none" w:sz="0" w:space="0" w:color="auto"/>
        <w:bottom w:val="none" w:sz="0" w:space="0" w:color="auto"/>
        <w:right w:val="none" w:sz="0" w:space="0" w:color="auto"/>
      </w:divBdr>
    </w:div>
    <w:div w:id="42562333">
      <w:bodyDiv w:val="1"/>
      <w:marLeft w:val="0"/>
      <w:marRight w:val="0"/>
      <w:marTop w:val="0"/>
      <w:marBottom w:val="0"/>
      <w:divBdr>
        <w:top w:val="none" w:sz="0" w:space="0" w:color="auto"/>
        <w:left w:val="none" w:sz="0" w:space="0" w:color="auto"/>
        <w:bottom w:val="none" w:sz="0" w:space="0" w:color="auto"/>
        <w:right w:val="none" w:sz="0" w:space="0" w:color="auto"/>
      </w:divBdr>
    </w:div>
    <w:div w:id="44063216">
      <w:bodyDiv w:val="1"/>
      <w:marLeft w:val="0"/>
      <w:marRight w:val="0"/>
      <w:marTop w:val="0"/>
      <w:marBottom w:val="0"/>
      <w:divBdr>
        <w:top w:val="none" w:sz="0" w:space="0" w:color="auto"/>
        <w:left w:val="none" w:sz="0" w:space="0" w:color="auto"/>
        <w:bottom w:val="none" w:sz="0" w:space="0" w:color="auto"/>
        <w:right w:val="none" w:sz="0" w:space="0" w:color="auto"/>
      </w:divBdr>
    </w:div>
    <w:div w:id="44958094">
      <w:bodyDiv w:val="1"/>
      <w:marLeft w:val="0"/>
      <w:marRight w:val="0"/>
      <w:marTop w:val="0"/>
      <w:marBottom w:val="0"/>
      <w:divBdr>
        <w:top w:val="none" w:sz="0" w:space="0" w:color="auto"/>
        <w:left w:val="none" w:sz="0" w:space="0" w:color="auto"/>
        <w:bottom w:val="none" w:sz="0" w:space="0" w:color="auto"/>
        <w:right w:val="none" w:sz="0" w:space="0" w:color="auto"/>
      </w:divBdr>
    </w:div>
    <w:div w:id="53966357">
      <w:bodyDiv w:val="1"/>
      <w:marLeft w:val="0"/>
      <w:marRight w:val="0"/>
      <w:marTop w:val="0"/>
      <w:marBottom w:val="0"/>
      <w:divBdr>
        <w:top w:val="none" w:sz="0" w:space="0" w:color="auto"/>
        <w:left w:val="none" w:sz="0" w:space="0" w:color="auto"/>
        <w:bottom w:val="none" w:sz="0" w:space="0" w:color="auto"/>
        <w:right w:val="none" w:sz="0" w:space="0" w:color="auto"/>
      </w:divBdr>
    </w:div>
    <w:div w:id="72045101">
      <w:bodyDiv w:val="1"/>
      <w:marLeft w:val="0"/>
      <w:marRight w:val="0"/>
      <w:marTop w:val="0"/>
      <w:marBottom w:val="0"/>
      <w:divBdr>
        <w:top w:val="none" w:sz="0" w:space="0" w:color="auto"/>
        <w:left w:val="none" w:sz="0" w:space="0" w:color="auto"/>
        <w:bottom w:val="none" w:sz="0" w:space="0" w:color="auto"/>
        <w:right w:val="none" w:sz="0" w:space="0" w:color="auto"/>
      </w:divBdr>
    </w:div>
    <w:div w:id="72746740">
      <w:bodyDiv w:val="1"/>
      <w:marLeft w:val="0"/>
      <w:marRight w:val="0"/>
      <w:marTop w:val="0"/>
      <w:marBottom w:val="0"/>
      <w:divBdr>
        <w:top w:val="none" w:sz="0" w:space="0" w:color="auto"/>
        <w:left w:val="none" w:sz="0" w:space="0" w:color="auto"/>
        <w:bottom w:val="none" w:sz="0" w:space="0" w:color="auto"/>
        <w:right w:val="none" w:sz="0" w:space="0" w:color="auto"/>
      </w:divBdr>
    </w:div>
    <w:div w:id="84419053">
      <w:bodyDiv w:val="1"/>
      <w:marLeft w:val="0"/>
      <w:marRight w:val="0"/>
      <w:marTop w:val="0"/>
      <w:marBottom w:val="0"/>
      <w:divBdr>
        <w:top w:val="none" w:sz="0" w:space="0" w:color="auto"/>
        <w:left w:val="none" w:sz="0" w:space="0" w:color="auto"/>
        <w:bottom w:val="none" w:sz="0" w:space="0" w:color="auto"/>
        <w:right w:val="none" w:sz="0" w:space="0" w:color="auto"/>
      </w:divBdr>
    </w:div>
    <w:div w:id="97525024">
      <w:bodyDiv w:val="1"/>
      <w:marLeft w:val="0"/>
      <w:marRight w:val="0"/>
      <w:marTop w:val="0"/>
      <w:marBottom w:val="0"/>
      <w:divBdr>
        <w:top w:val="none" w:sz="0" w:space="0" w:color="auto"/>
        <w:left w:val="none" w:sz="0" w:space="0" w:color="auto"/>
        <w:bottom w:val="none" w:sz="0" w:space="0" w:color="auto"/>
        <w:right w:val="none" w:sz="0" w:space="0" w:color="auto"/>
      </w:divBdr>
    </w:div>
    <w:div w:id="99378026">
      <w:bodyDiv w:val="1"/>
      <w:marLeft w:val="0"/>
      <w:marRight w:val="0"/>
      <w:marTop w:val="0"/>
      <w:marBottom w:val="0"/>
      <w:divBdr>
        <w:top w:val="none" w:sz="0" w:space="0" w:color="auto"/>
        <w:left w:val="none" w:sz="0" w:space="0" w:color="auto"/>
        <w:bottom w:val="none" w:sz="0" w:space="0" w:color="auto"/>
        <w:right w:val="none" w:sz="0" w:space="0" w:color="auto"/>
      </w:divBdr>
    </w:div>
    <w:div w:id="104347180">
      <w:bodyDiv w:val="1"/>
      <w:marLeft w:val="0"/>
      <w:marRight w:val="0"/>
      <w:marTop w:val="0"/>
      <w:marBottom w:val="0"/>
      <w:divBdr>
        <w:top w:val="none" w:sz="0" w:space="0" w:color="auto"/>
        <w:left w:val="none" w:sz="0" w:space="0" w:color="auto"/>
        <w:bottom w:val="none" w:sz="0" w:space="0" w:color="auto"/>
        <w:right w:val="none" w:sz="0" w:space="0" w:color="auto"/>
      </w:divBdr>
    </w:div>
    <w:div w:id="106511576">
      <w:bodyDiv w:val="1"/>
      <w:marLeft w:val="0"/>
      <w:marRight w:val="0"/>
      <w:marTop w:val="0"/>
      <w:marBottom w:val="0"/>
      <w:divBdr>
        <w:top w:val="none" w:sz="0" w:space="0" w:color="auto"/>
        <w:left w:val="none" w:sz="0" w:space="0" w:color="auto"/>
        <w:bottom w:val="none" w:sz="0" w:space="0" w:color="auto"/>
        <w:right w:val="none" w:sz="0" w:space="0" w:color="auto"/>
      </w:divBdr>
    </w:div>
    <w:div w:id="111949066">
      <w:bodyDiv w:val="1"/>
      <w:marLeft w:val="0"/>
      <w:marRight w:val="0"/>
      <w:marTop w:val="0"/>
      <w:marBottom w:val="0"/>
      <w:divBdr>
        <w:top w:val="none" w:sz="0" w:space="0" w:color="auto"/>
        <w:left w:val="none" w:sz="0" w:space="0" w:color="auto"/>
        <w:bottom w:val="none" w:sz="0" w:space="0" w:color="auto"/>
        <w:right w:val="none" w:sz="0" w:space="0" w:color="auto"/>
      </w:divBdr>
    </w:div>
    <w:div w:id="120852758">
      <w:bodyDiv w:val="1"/>
      <w:marLeft w:val="0"/>
      <w:marRight w:val="0"/>
      <w:marTop w:val="0"/>
      <w:marBottom w:val="0"/>
      <w:divBdr>
        <w:top w:val="none" w:sz="0" w:space="0" w:color="auto"/>
        <w:left w:val="none" w:sz="0" w:space="0" w:color="auto"/>
        <w:bottom w:val="none" w:sz="0" w:space="0" w:color="auto"/>
        <w:right w:val="none" w:sz="0" w:space="0" w:color="auto"/>
      </w:divBdr>
    </w:div>
    <w:div w:id="121578277">
      <w:bodyDiv w:val="1"/>
      <w:marLeft w:val="0"/>
      <w:marRight w:val="0"/>
      <w:marTop w:val="0"/>
      <w:marBottom w:val="0"/>
      <w:divBdr>
        <w:top w:val="none" w:sz="0" w:space="0" w:color="auto"/>
        <w:left w:val="none" w:sz="0" w:space="0" w:color="auto"/>
        <w:bottom w:val="none" w:sz="0" w:space="0" w:color="auto"/>
        <w:right w:val="none" w:sz="0" w:space="0" w:color="auto"/>
      </w:divBdr>
    </w:div>
    <w:div w:id="124931752">
      <w:bodyDiv w:val="1"/>
      <w:marLeft w:val="0"/>
      <w:marRight w:val="0"/>
      <w:marTop w:val="0"/>
      <w:marBottom w:val="0"/>
      <w:divBdr>
        <w:top w:val="none" w:sz="0" w:space="0" w:color="auto"/>
        <w:left w:val="none" w:sz="0" w:space="0" w:color="auto"/>
        <w:bottom w:val="none" w:sz="0" w:space="0" w:color="auto"/>
        <w:right w:val="none" w:sz="0" w:space="0" w:color="auto"/>
      </w:divBdr>
    </w:div>
    <w:div w:id="132257075">
      <w:bodyDiv w:val="1"/>
      <w:marLeft w:val="0"/>
      <w:marRight w:val="0"/>
      <w:marTop w:val="0"/>
      <w:marBottom w:val="0"/>
      <w:divBdr>
        <w:top w:val="none" w:sz="0" w:space="0" w:color="auto"/>
        <w:left w:val="none" w:sz="0" w:space="0" w:color="auto"/>
        <w:bottom w:val="none" w:sz="0" w:space="0" w:color="auto"/>
        <w:right w:val="none" w:sz="0" w:space="0" w:color="auto"/>
      </w:divBdr>
    </w:div>
    <w:div w:id="135612359">
      <w:bodyDiv w:val="1"/>
      <w:marLeft w:val="0"/>
      <w:marRight w:val="0"/>
      <w:marTop w:val="0"/>
      <w:marBottom w:val="0"/>
      <w:divBdr>
        <w:top w:val="none" w:sz="0" w:space="0" w:color="auto"/>
        <w:left w:val="none" w:sz="0" w:space="0" w:color="auto"/>
        <w:bottom w:val="none" w:sz="0" w:space="0" w:color="auto"/>
        <w:right w:val="none" w:sz="0" w:space="0" w:color="auto"/>
      </w:divBdr>
    </w:div>
    <w:div w:id="136119066">
      <w:bodyDiv w:val="1"/>
      <w:marLeft w:val="0"/>
      <w:marRight w:val="0"/>
      <w:marTop w:val="0"/>
      <w:marBottom w:val="0"/>
      <w:divBdr>
        <w:top w:val="none" w:sz="0" w:space="0" w:color="auto"/>
        <w:left w:val="none" w:sz="0" w:space="0" w:color="auto"/>
        <w:bottom w:val="none" w:sz="0" w:space="0" w:color="auto"/>
        <w:right w:val="none" w:sz="0" w:space="0" w:color="auto"/>
      </w:divBdr>
    </w:div>
    <w:div w:id="141852390">
      <w:bodyDiv w:val="1"/>
      <w:marLeft w:val="0"/>
      <w:marRight w:val="0"/>
      <w:marTop w:val="0"/>
      <w:marBottom w:val="0"/>
      <w:divBdr>
        <w:top w:val="none" w:sz="0" w:space="0" w:color="auto"/>
        <w:left w:val="none" w:sz="0" w:space="0" w:color="auto"/>
        <w:bottom w:val="none" w:sz="0" w:space="0" w:color="auto"/>
        <w:right w:val="none" w:sz="0" w:space="0" w:color="auto"/>
      </w:divBdr>
    </w:div>
    <w:div w:id="145978793">
      <w:bodyDiv w:val="1"/>
      <w:marLeft w:val="0"/>
      <w:marRight w:val="0"/>
      <w:marTop w:val="0"/>
      <w:marBottom w:val="0"/>
      <w:divBdr>
        <w:top w:val="none" w:sz="0" w:space="0" w:color="auto"/>
        <w:left w:val="none" w:sz="0" w:space="0" w:color="auto"/>
        <w:bottom w:val="none" w:sz="0" w:space="0" w:color="auto"/>
        <w:right w:val="none" w:sz="0" w:space="0" w:color="auto"/>
      </w:divBdr>
    </w:div>
    <w:div w:id="158471240">
      <w:bodyDiv w:val="1"/>
      <w:marLeft w:val="0"/>
      <w:marRight w:val="0"/>
      <w:marTop w:val="0"/>
      <w:marBottom w:val="0"/>
      <w:divBdr>
        <w:top w:val="none" w:sz="0" w:space="0" w:color="auto"/>
        <w:left w:val="none" w:sz="0" w:space="0" w:color="auto"/>
        <w:bottom w:val="none" w:sz="0" w:space="0" w:color="auto"/>
        <w:right w:val="none" w:sz="0" w:space="0" w:color="auto"/>
      </w:divBdr>
    </w:div>
    <w:div w:id="161245442">
      <w:bodyDiv w:val="1"/>
      <w:marLeft w:val="0"/>
      <w:marRight w:val="0"/>
      <w:marTop w:val="0"/>
      <w:marBottom w:val="0"/>
      <w:divBdr>
        <w:top w:val="none" w:sz="0" w:space="0" w:color="auto"/>
        <w:left w:val="none" w:sz="0" w:space="0" w:color="auto"/>
        <w:bottom w:val="none" w:sz="0" w:space="0" w:color="auto"/>
        <w:right w:val="none" w:sz="0" w:space="0" w:color="auto"/>
      </w:divBdr>
    </w:div>
    <w:div w:id="178277662">
      <w:bodyDiv w:val="1"/>
      <w:marLeft w:val="0"/>
      <w:marRight w:val="0"/>
      <w:marTop w:val="0"/>
      <w:marBottom w:val="0"/>
      <w:divBdr>
        <w:top w:val="none" w:sz="0" w:space="0" w:color="auto"/>
        <w:left w:val="none" w:sz="0" w:space="0" w:color="auto"/>
        <w:bottom w:val="none" w:sz="0" w:space="0" w:color="auto"/>
        <w:right w:val="none" w:sz="0" w:space="0" w:color="auto"/>
      </w:divBdr>
    </w:div>
    <w:div w:id="183597685">
      <w:bodyDiv w:val="1"/>
      <w:marLeft w:val="0"/>
      <w:marRight w:val="0"/>
      <w:marTop w:val="0"/>
      <w:marBottom w:val="0"/>
      <w:divBdr>
        <w:top w:val="none" w:sz="0" w:space="0" w:color="auto"/>
        <w:left w:val="none" w:sz="0" w:space="0" w:color="auto"/>
        <w:bottom w:val="none" w:sz="0" w:space="0" w:color="auto"/>
        <w:right w:val="none" w:sz="0" w:space="0" w:color="auto"/>
      </w:divBdr>
    </w:div>
    <w:div w:id="200829839">
      <w:bodyDiv w:val="1"/>
      <w:marLeft w:val="0"/>
      <w:marRight w:val="0"/>
      <w:marTop w:val="0"/>
      <w:marBottom w:val="0"/>
      <w:divBdr>
        <w:top w:val="none" w:sz="0" w:space="0" w:color="auto"/>
        <w:left w:val="none" w:sz="0" w:space="0" w:color="auto"/>
        <w:bottom w:val="none" w:sz="0" w:space="0" w:color="auto"/>
        <w:right w:val="none" w:sz="0" w:space="0" w:color="auto"/>
      </w:divBdr>
    </w:div>
    <w:div w:id="206113677">
      <w:bodyDiv w:val="1"/>
      <w:marLeft w:val="0"/>
      <w:marRight w:val="0"/>
      <w:marTop w:val="0"/>
      <w:marBottom w:val="0"/>
      <w:divBdr>
        <w:top w:val="none" w:sz="0" w:space="0" w:color="auto"/>
        <w:left w:val="none" w:sz="0" w:space="0" w:color="auto"/>
        <w:bottom w:val="none" w:sz="0" w:space="0" w:color="auto"/>
        <w:right w:val="none" w:sz="0" w:space="0" w:color="auto"/>
      </w:divBdr>
    </w:div>
    <w:div w:id="209614450">
      <w:bodyDiv w:val="1"/>
      <w:marLeft w:val="0"/>
      <w:marRight w:val="0"/>
      <w:marTop w:val="0"/>
      <w:marBottom w:val="0"/>
      <w:divBdr>
        <w:top w:val="none" w:sz="0" w:space="0" w:color="auto"/>
        <w:left w:val="none" w:sz="0" w:space="0" w:color="auto"/>
        <w:bottom w:val="none" w:sz="0" w:space="0" w:color="auto"/>
        <w:right w:val="none" w:sz="0" w:space="0" w:color="auto"/>
      </w:divBdr>
    </w:div>
    <w:div w:id="225528230">
      <w:bodyDiv w:val="1"/>
      <w:marLeft w:val="0"/>
      <w:marRight w:val="0"/>
      <w:marTop w:val="0"/>
      <w:marBottom w:val="0"/>
      <w:divBdr>
        <w:top w:val="none" w:sz="0" w:space="0" w:color="auto"/>
        <w:left w:val="none" w:sz="0" w:space="0" w:color="auto"/>
        <w:bottom w:val="none" w:sz="0" w:space="0" w:color="auto"/>
        <w:right w:val="none" w:sz="0" w:space="0" w:color="auto"/>
      </w:divBdr>
    </w:div>
    <w:div w:id="230118182">
      <w:bodyDiv w:val="1"/>
      <w:marLeft w:val="0"/>
      <w:marRight w:val="0"/>
      <w:marTop w:val="0"/>
      <w:marBottom w:val="0"/>
      <w:divBdr>
        <w:top w:val="none" w:sz="0" w:space="0" w:color="auto"/>
        <w:left w:val="none" w:sz="0" w:space="0" w:color="auto"/>
        <w:bottom w:val="none" w:sz="0" w:space="0" w:color="auto"/>
        <w:right w:val="none" w:sz="0" w:space="0" w:color="auto"/>
      </w:divBdr>
    </w:div>
    <w:div w:id="237060904">
      <w:bodyDiv w:val="1"/>
      <w:marLeft w:val="0"/>
      <w:marRight w:val="0"/>
      <w:marTop w:val="0"/>
      <w:marBottom w:val="0"/>
      <w:divBdr>
        <w:top w:val="none" w:sz="0" w:space="0" w:color="auto"/>
        <w:left w:val="none" w:sz="0" w:space="0" w:color="auto"/>
        <w:bottom w:val="none" w:sz="0" w:space="0" w:color="auto"/>
        <w:right w:val="none" w:sz="0" w:space="0" w:color="auto"/>
      </w:divBdr>
    </w:div>
    <w:div w:id="239409819">
      <w:bodyDiv w:val="1"/>
      <w:marLeft w:val="0"/>
      <w:marRight w:val="0"/>
      <w:marTop w:val="0"/>
      <w:marBottom w:val="0"/>
      <w:divBdr>
        <w:top w:val="none" w:sz="0" w:space="0" w:color="auto"/>
        <w:left w:val="none" w:sz="0" w:space="0" w:color="auto"/>
        <w:bottom w:val="none" w:sz="0" w:space="0" w:color="auto"/>
        <w:right w:val="none" w:sz="0" w:space="0" w:color="auto"/>
      </w:divBdr>
      <w:divsChild>
        <w:div w:id="2060083070">
          <w:marLeft w:val="0"/>
          <w:marRight w:val="0"/>
          <w:marTop w:val="90"/>
          <w:marBottom w:val="0"/>
          <w:divBdr>
            <w:top w:val="none" w:sz="0" w:space="0" w:color="auto"/>
            <w:left w:val="none" w:sz="0" w:space="0" w:color="auto"/>
            <w:bottom w:val="none" w:sz="0" w:space="0" w:color="auto"/>
            <w:right w:val="none" w:sz="0" w:space="0" w:color="auto"/>
          </w:divBdr>
          <w:divsChild>
            <w:div w:id="948976504">
              <w:marLeft w:val="0"/>
              <w:marRight w:val="0"/>
              <w:marTop w:val="0"/>
              <w:marBottom w:val="420"/>
              <w:divBdr>
                <w:top w:val="none" w:sz="0" w:space="0" w:color="auto"/>
                <w:left w:val="none" w:sz="0" w:space="0" w:color="auto"/>
                <w:bottom w:val="none" w:sz="0" w:space="0" w:color="auto"/>
                <w:right w:val="none" w:sz="0" w:space="0" w:color="auto"/>
              </w:divBdr>
              <w:divsChild>
                <w:div w:id="376585932">
                  <w:marLeft w:val="0"/>
                  <w:marRight w:val="0"/>
                  <w:marTop w:val="0"/>
                  <w:marBottom w:val="0"/>
                  <w:divBdr>
                    <w:top w:val="none" w:sz="0" w:space="0" w:color="auto"/>
                    <w:left w:val="none" w:sz="0" w:space="0" w:color="auto"/>
                    <w:bottom w:val="none" w:sz="0" w:space="0" w:color="auto"/>
                    <w:right w:val="none" w:sz="0" w:space="0" w:color="auto"/>
                  </w:divBdr>
                  <w:divsChild>
                    <w:div w:id="154429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2954264">
      <w:bodyDiv w:val="1"/>
      <w:marLeft w:val="0"/>
      <w:marRight w:val="0"/>
      <w:marTop w:val="0"/>
      <w:marBottom w:val="0"/>
      <w:divBdr>
        <w:top w:val="none" w:sz="0" w:space="0" w:color="auto"/>
        <w:left w:val="none" w:sz="0" w:space="0" w:color="auto"/>
        <w:bottom w:val="none" w:sz="0" w:space="0" w:color="auto"/>
        <w:right w:val="none" w:sz="0" w:space="0" w:color="auto"/>
      </w:divBdr>
    </w:div>
    <w:div w:id="244189091">
      <w:bodyDiv w:val="1"/>
      <w:marLeft w:val="0"/>
      <w:marRight w:val="0"/>
      <w:marTop w:val="0"/>
      <w:marBottom w:val="0"/>
      <w:divBdr>
        <w:top w:val="none" w:sz="0" w:space="0" w:color="auto"/>
        <w:left w:val="none" w:sz="0" w:space="0" w:color="auto"/>
        <w:bottom w:val="none" w:sz="0" w:space="0" w:color="auto"/>
        <w:right w:val="none" w:sz="0" w:space="0" w:color="auto"/>
      </w:divBdr>
    </w:div>
    <w:div w:id="247541315">
      <w:bodyDiv w:val="1"/>
      <w:marLeft w:val="0"/>
      <w:marRight w:val="0"/>
      <w:marTop w:val="0"/>
      <w:marBottom w:val="0"/>
      <w:divBdr>
        <w:top w:val="none" w:sz="0" w:space="0" w:color="auto"/>
        <w:left w:val="none" w:sz="0" w:space="0" w:color="auto"/>
        <w:bottom w:val="none" w:sz="0" w:space="0" w:color="auto"/>
        <w:right w:val="none" w:sz="0" w:space="0" w:color="auto"/>
      </w:divBdr>
    </w:div>
    <w:div w:id="256602135">
      <w:bodyDiv w:val="1"/>
      <w:marLeft w:val="0"/>
      <w:marRight w:val="0"/>
      <w:marTop w:val="0"/>
      <w:marBottom w:val="0"/>
      <w:divBdr>
        <w:top w:val="none" w:sz="0" w:space="0" w:color="auto"/>
        <w:left w:val="none" w:sz="0" w:space="0" w:color="auto"/>
        <w:bottom w:val="none" w:sz="0" w:space="0" w:color="auto"/>
        <w:right w:val="none" w:sz="0" w:space="0" w:color="auto"/>
      </w:divBdr>
    </w:div>
    <w:div w:id="262566812">
      <w:bodyDiv w:val="1"/>
      <w:marLeft w:val="0"/>
      <w:marRight w:val="0"/>
      <w:marTop w:val="0"/>
      <w:marBottom w:val="0"/>
      <w:divBdr>
        <w:top w:val="none" w:sz="0" w:space="0" w:color="auto"/>
        <w:left w:val="none" w:sz="0" w:space="0" w:color="auto"/>
        <w:bottom w:val="none" w:sz="0" w:space="0" w:color="auto"/>
        <w:right w:val="none" w:sz="0" w:space="0" w:color="auto"/>
      </w:divBdr>
    </w:div>
    <w:div w:id="264727736">
      <w:bodyDiv w:val="1"/>
      <w:marLeft w:val="0"/>
      <w:marRight w:val="0"/>
      <w:marTop w:val="0"/>
      <w:marBottom w:val="0"/>
      <w:divBdr>
        <w:top w:val="none" w:sz="0" w:space="0" w:color="auto"/>
        <w:left w:val="none" w:sz="0" w:space="0" w:color="auto"/>
        <w:bottom w:val="none" w:sz="0" w:space="0" w:color="auto"/>
        <w:right w:val="none" w:sz="0" w:space="0" w:color="auto"/>
      </w:divBdr>
    </w:div>
    <w:div w:id="275989229">
      <w:bodyDiv w:val="1"/>
      <w:marLeft w:val="0"/>
      <w:marRight w:val="0"/>
      <w:marTop w:val="0"/>
      <w:marBottom w:val="0"/>
      <w:divBdr>
        <w:top w:val="none" w:sz="0" w:space="0" w:color="auto"/>
        <w:left w:val="none" w:sz="0" w:space="0" w:color="auto"/>
        <w:bottom w:val="none" w:sz="0" w:space="0" w:color="auto"/>
        <w:right w:val="none" w:sz="0" w:space="0" w:color="auto"/>
      </w:divBdr>
    </w:div>
    <w:div w:id="285939958">
      <w:bodyDiv w:val="1"/>
      <w:marLeft w:val="0"/>
      <w:marRight w:val="0"/>
      <w:marTop w:val="0"/>
      <w:marBottom w:val="0"/>
      <w:divBdr>
        <w:top w:val="none" w:sz="0" w:space="0" w:color="auto"/>
        <w:left w:val="none" w:sz="0" w:space="0" w:color="auto"/>
        <w:bottom w:val="none" w:sz="0" w:space="0" w:color="auto"/>
        <w:right w:val="none" w:sz="0" w:space="0" w:color="auto"/>
      </w:divBdr>
    </w:div>
    <w:div w:id="289015392">
      <w:bodyDiv w:val="1"/>
      <w:marLeft w:val="0"/>
      <w:marRight w:val="0"/>
      <w:marTop w:val="0"/>
      <w:marBottom w:val="0"/>
      <w:divBdr>
        <w:top w:val="none" w:sz="0" w:space="0" w:color="auto"/>
        <w:left w:val="none" w:sz="0" w:space="0" w:color="auto"/>
        <w:bottom w:val="none" w:sz="0" w:space="0" w:color="auto"/>
        <w:right w:val="none" w:sz="0" w:space="0" w:color="auto"/>
      </w:divBdr>
    </w:div>
    <w:div w:id="290945434">
      <w:bodyDiv w:val="1"/>
      <w:marLeft w:val="0"/>
      <w:marRight w:val="0"/>
      <w:marTop w:val="0"/>
      <w:marBottom w:val="0"/>
      <w:divBdr>
        <w:top w:val="none" w:sz="0" w:space="0" w:color="auto"/>
        <w:left w:val="none" w:sz="0" w:space="0" w:color="auto"/>
        <w:bottom w:val="none" w:sz="0" w:space="0" w:color="auto"/>
        <w:right w:val="none" w:sz="0" w:space="0" w:color="auto"/>
      </w:divBdr>
    </w:div>
    <w:div w:id="298583359">
      <w:bodyDiv w:val="1"/>
      <w:marLeft w:val="0"/>
      <w:marRight w:val="0"/>
      <w:marTop w:val="0"/>
      <w:marBottom w:val="0"/>
      <w:divBdr>
        <w:top w:val="none" w:sz="0" w:space="0" w:color="auto"/>
        <w:left w:val="none" w:sz="0" w:space="0" w:color="auto"/>
        <w:bottom w:val="none" w:sz="0" w:space="0" w:color="auto"/>
        <w:right w:val="none" w:sz="0" w:space="0" w:color="auto"/>
      </w:divBdr>
    </w:div>
    <w:div w:id="306981008">
      <w:bodyDiv w:val="1"/>
      <w:marLeft w:val="0"/>
      <w:marRight w:val="0"/>
      <w:marTop w:val="0"/>
      <w:marBottom w:val="0"/>
      <w:divBdr>
        <w:top w:val="none" w:sz="0" w:space="0" w:color="auto"/>
        <w:left w:val="none" w:sz="0" w:space="0" w:color="auto"/>
        <w:bottom w:val="none" w:sz="0" w:space="0" w:color="auto"/>
        <w:right w:val="none" w:sz="0" w:space="0" w:color="auto"/>
      </w:divBdr>
    </w:div>
    <w:div w:id="324477486">
      <w:bodyDiv w:val="1"/>
      <w:marLeft w:val="0"/>
      <w:marRight w:val="0"/>
      <w:marTop w:val="0"/>
      <w:marBottom w:val="0"/>
      <w:divBdr>
        <w:top w:val="none" w:sz="0" w:space="0" w:color="auto"/>
        <w:left w:val="none" w:sz="0" w:space="0" w:color="auto"/>
        <w:bottom w:val="none" w:sz="0" w:space="0" w:color="auto"/>
        <w:right w:val="none" w:sz="0" w:space="0" w:color="auto"/>
      </w:divBdr>
    </w:div>
    <w:div w:id="326328873">
      <w:bodyDiv w:val="1"/>
      <w:marLeft w:val="0"/>
      <w:marRight w:val="0"/>
      <w:marTop w:val="0"/>
      <w:marBottom w:val="0"/>
      <w:divBdr>
        <w:top w:val="none" w:sz="0" w:space="0" w:color="auto"/>
        <w:left w:val="none" w:sz="0" w:space="0" w:color="auto"/>
        <w:bottom w:val="none" w:sz="0" w:space="0" w:color="auto"/>
        <w:right w:val="none" w:sz="0" w:space="0" w:color="auto"/>
      </w:divBdr>
      <w:divsChild>
        <w:div w:id="604196359">
          <w:marLeft w:val="0"/>
          <w:marRight w:val="0"/>
          <w:marTop w:val="0"/>
          <w:marBottom w:val="0"/>
          <w:divBdr>
            <w:top w:val="none" w:sz="0" w:space="0" w:color="auto"/>
            <w:left w:val="none" w:sz="0" w:space="0" w:color="auto"/>
            <w:bottom w:val="none" w:sz="0" w:space="0" w:color="auto"/>
            <w:right w:val="none" w:sz="0" w:space="0" w:color="auto"/>
          </w:divBdr>
          <w:divsChild>
            <w:div w:id="110265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438575">
      <w:bodyDiv w:val="1"/>
      <w:marLeft w:val="0"/>
      <w:marRight w:val="0"/>
      <w:marTop w:val="0"/>
      <w:marBottom w:val="0"/>
      <w:divBdr>
        <w:top w:val="none" w:sz="0" w:space="0" w:color="auto"/>
        <w:left w:val="none" w:sz="0" w:space="0" w:color="auto"/>
        <w:bottom w:val="none" w:sz="0" w:space="0" w:color="auto"/>
        <w:right w:val="none" w:sz="0" w:space="0" w:color="auto"/>
      </w:divBdr>
    </w:div>
    <w:div w:id="339506378">
      <w:bodyDiv w:val="1"/>
      <w:marLeft w:val="0"/>
      <w:marRight w:val="0"/>
      <w:marTop w:val="0"/>
      <w:marBottom w:val="0"/>
      <w:divBdr>
        <w:top w:val="none" w:sz="0" w:space="0" w:color="auto"/>
        <w:left w:val="none" w:sz="0" w:space="0" w:color="auto"/>
        <w:bottom w:val="none" w:sz="0" w:space="0" w:color="auto"/>
        <w:right w:val="none" w:sz="0" w:space="0" w:color="auto"/>
      </w:divBdr>
    </w:div>
    <w:div w:id="354963939">
      <w:bodyDiv w:val="1"/>
      <w:marLeft w:val="0"/>
      <w:marRight w:val="0"/>
      <w:marTop w:val="0"/>
      <w:marBottom w:val="0"/>
      <w:divBdr>
        <w:top w:val="none" w:sz="0" w:space="0" w:color="auto"/>
        <w:left w:val="none" w:sz="0" w:space="0" w:color="auto"/>
        <w:bottom w:val="none" w:sz="0" w:space="0" w:color="auto"/>
        <w:right w:val="none" w:sz="0" w:space="0" w:color="auto"/>
      </w:divBdr>
    </w:div>
    <w:div w:id="359627617">
      <w:bodyDiv w:val="1"/>
      <w:marLeft w:val="0"/>
      <w:marRight w:val="0"/>
      <w:marTop w:val="0"/>
      <w:marBottom w:val="0"/>
      <w:divBdr>
        <w:top w:val="none" w:sz="0" w:space="0" w:color="auto"/>
        <w:left w:val="none" w:sz="0" w:space="0" w:color="auto"/>
        <w:bottom w:val="none" w:sz="0" w:space="0" w:color="auto"/>
        <w:right w:val="none" w:sz="0" w:space="0" w:color="auto"/>
      </w:divBdr>
    </w:div>
    <w:div w:id="380978104">
      <w:bodyDiv w:val="1"/>
      <w:marLeft w:val="0"/>
      <w:marRight w:val="0"/>
      <w:marTop w:val="0"/>
      <w:marBottom w:val="0"/>
      <w:divBdr>
        <w:top w:val="none" w:sz="0" w:space="0" w:color="auto"/>
        <w:left w:val="none" w:sz="0" w:space="0" w:color="auto"/>
        <w:bottom w:val="none" w:sz="0" w:space="0" w:color="auto"/>
        <w:right w:val="none" w:sz="0" w:space="0" w:color="auto"/>
      </w:divBdr>
    </w:div>
    <w:div w:id="383414566">
      <w:bodyDiv w:val="1"/>
      <w:marLeft w:val="0"/>
      <w:marRight w:val="0"/>
      <w:marTop w:val="0"/>
      <w:marBottom w:val="0"/>
      <w:divBdr>
        <w:top w:val="none" w:sz="0" w:space="0" w:color="auto"/>
        <w:left w:val="none" w:sz="0" w:space="0" w:color="auto"/>
        <w:bottom w:val="none" w:sz="0" w:space="0" w:color="auto"/>
        <w:right w:val="none" w:sz="0" w:space="0" w:color="auto"/>
      </w:divBdr>
    </w:div>
    <w:div w:id="385186571">
      <w:bodyDiv w:val="1"/>
      <w:marLeft w:val="0"/>
      <w:marRight w:val="0"/>
      <w:marTop w:val="0"/>
      <w:marBottom w:val="0"/>
      <w:divBdr>
        <w:top w:val="none" w:sz="0" w:space="0" w:color="auto"/>
        <w:left w:val="none" w:sz="0" w:space="0" w:color="auto"/>
        <w:bottom w:val="none" w:sz="0" w:space="0" w:color="auto"/>
        <w:right w:val="none" w:sz="0" w:space="0" w:color="auto"/>
      </w:divBdr>
    </w:div>
    <w:div w:id="386346938">
      <w:bodyDiv w:val="1"/>
      <w:marLeft w:val="0"/>
      <w:marRight w:val="0"/>
      <w:marTop w:val="0"/>
      <w:marBottom w:val="0"/>
      <w:divBdr>
        <w:top w:val="none" w:sz="0" w:space="0" w:color="auto"/>
        <w:left w:val="none" w:sz="0" w:space="0" w:color="auto"/>
        <w:bottom w:val="none" w:sz="0" w:space="0" w:color="auto"/>
        <w:right w:val="none" w:sz="0" w:space="0" w:color="auto"/>
      </w:divBdr>
    </w:div>
    <w:div w:id="386612787">
      <w:bodyDiv w:val="1"/>
      <w:marLeft w:val="0"/>
      <w:marRight w:val="0"/>
      <w:marTop w:val="0"/>
      <w:marBottom w:val="0"/>
      <w:divBdr>
        <w:top w:val="none" w:sz="0" w:space="0" w:color="auto"/>
        <w:left w:val="none" w:sz="0" w:space="0" w:color="auto"/>
        <w:bottom w:val="none" w:sz="0" w:space="0" w:color="auto"/>
        <w:right w:val="none" w:sz="0" w:space="0" w:color="auto"/>
      </w:divBdr>
    </w:div>
    <w:div w:id="390278130">
      <w:bodyDiv w:val="1"/>
      <w:marLeft w:val="0"/>
      <w:marRight w:val="0"/>
      <w:marTop w:val="0"/>
      <w:marBottom w:val="0"/>
      <w:divBdr>
        <w:top w:val="none" w:sz="0" w:space="0" w:color="auto"/>
        <w:left w:val="none" w:sz="0" w:space="0" w:color="auto"/>
        <w:bottom w:val="none" w:sz="0" w:space="0" w:color="auto"/>
        <w:right w:val="none" w:sz="0" w:space="0" w:color="auto"/>
      </w:divBdr>
    </w:div>
    <w:div w:id="391080717">
      <w:bodyDiv w:val="1"/>
      <w:marLeft w:val="0"/>
      <w:marRight w:val="0"/>
      <w:marTop w:val="0"/>
      <w:marBottom w:val="0"/>
      <w:divBdr>
        <w:top w:val="none" w:sz="0" w:space="0" w:color="auto"/>
        <w:left w:val="none" w:sz="0" w:space="0" w:color="auto"/>
        <w:bottom w:val="none" w:sz="0" w:space="0" w:color="auto"/>
        <w:right w:val="none" w:sz="0" w:space="0" w:color="auto"/>
      </w:divBdr>
    </w:div>
    <w:div w:id="391199640">
      <w:bodyDiv w:val="1"/>
      <w:marLeft w:val="0"/>
      <w:marRight w:val="0"/>
      <w:marTop w:val="0"/>
      <w:marBottom w:val="0"/>
      <w:divBdr>
        <w:top w:val="none" w:sz="0" w:space="0" w:color="auto"/>
        <w:left w:val="none" w:sz="0" w:space="0" w:color="auto"/>
        <w:bottom w:val="none" w:sz="0" w:space="0" w:color="auto"/>
        <w:right w:val="none" w:sz="0" w:space="0" w:color="auto"/>
      </w:divBdr>
    </w:div>
    <w:div w:id="408118060">
      <w:bodyDiv w:val="1"/>
      <w:marLeft w:val="0"/>
      <w:marRight w:val="0"/>
      <w:marTop w:val="0"/>
      <w:marBottom w:val="0"/>
      <w:divBdr>
        <w:top w:val="none" w:sz="0" w:space="0" w:color="auto"/>
        <w:left w:val="none" w:sz="0" w:space="0" w:color="auto"/>
        <w:bottom w:val="none" w:sz="0" w:space="0" w:color="auto"/>
        <w:right w:val="none" w:sz="0" w:space="0" w:color="auto"/>
      </w:divBdr>
    </w:div>
    <w:div w:id="410851789">
      <w:bodyDiv w:val="1"/>
      <w:marLeft w:val="0"/>
      <w:marRight w:val="0"/>
      <w:marTop w:val="0"/>
      <w:marBottom w:val="0"/>
      <w:divBdr>
        <w:top w:val="none" w:sz="0" w:space="0" w:color="auto"/>
        <w:left w:val="none" w:sz="0" w:space="0" w:color="auto"/>
        <w:bottom w:val="none" w:sz="0" w:space="0" w:color="auto"/>
        <w:right w:val="none" w:sz="0" w:space="0" w:color="auto"/>
      </w:divBdr>
    </w:div>
    <w:div w:id="414325946">
      <w:bodyDiv w:val="1"/>
      <w:marLeft w:val="0"/>
      <w:marRight w:val="0"/>
      <w:marTop w:val="0"/>
      <w:marBottom w:val="0"/>
      <w:divBdr>
        <w:top w:val="none" w:sz="0" w:space="0" w:color="auto"/>
        <w:left w:val="none" w:sz="0" w:space="0" w:color="auto"/>
        <w:bottom w:val="none" w:sz="0" w:space="0" w:color="auto"/>
        <w:right w:val="none" w:sz="0" w:space="0" w:color="auto"/>
      </w:divBdr>
    </w:div>
    <w:div w:id="416098331">
      <w:bodyDiv w:val="1"/>
      <w:marLeft w:val="0"/>
      <w:marRight w:val="0"/>
      <w:marTop w:val="0"/>
      <w:marBottom w:val="0"/>
      <w:divBdr>
        <w:top w:val="none" w:sz="0" w:space="0" w:color="auto"/>
        <w:left w:val="none" w:sz="0" w:space="0" w:color="auto"/>
        <w:bottom w:val="none" w:sz="0" w:space="0" w:color="auto"/>
        <w:right w:val="none" w:sz="0" w:space="0" w:color="auto"/>
      </w:divBdr>
    </w:div>
    <w:div w:id="426730732">
      <w:bodyDiv w:val="1"/>
      <w:marLeft w:val="0"/>
      <w:marRight w:val="0"/>
      <w:marTop w:val="0"/>
      <w:marBottom w:val="0"/>
      <w:divBdr>
        <w:top w:val="none" w:sz="0" w:space="0" w:color="auto"/>
        <w:left w:val="none" w:sz="0" w:space="0" w:color="auto"/>
        <w:bottom w:val="none" w:sz="0" w:space="0" w:color="auto"/>
        <w:right w:val="none" w:sz="0" w:space="0" w:color="auto"/>
      </w:divBdr>
      <w:divsChild>
        <w:div w:id="946891861">
          <w:marLeft w:val="0"/>
          <w:marRight w:val="0"/>
          <w:marTop w:val="0"/>
          <w:marBottom w:val="0"/>
          <w:divBdr>
            <w:top w:val="none" w:sz="0" w:space="0" w:color="auto"/>
            <w:left w:val="none" w:sz="0" w:space="0" w:color="auto"/>
            <w:bottom w:val="none" w:sz="0" w:space="0" w:color="auto"/>
            <w:right w:val="none" w:sz="0" w:space="0" w:color="auto"/>
          </w:divBdr>
        </w:div>
      </w:divsChild>
    </w:div>
    <w:div w:id="434905038">
      <w:bodyDiv w:val="1"/>
      <w:marLeft w:val="0"/>
      <w:marRight w:val="0"/>
      <w:marTop w:val="0"/>
      <w:marBottom w:val="0"/>
      <w:divBdr>
        <w:top w:val="none" w:sz="0" w:space="0" w:color="auto"/>
        <w:left w:val="none" w:sz="0" w:space="0" w:color="auto"/>
        <w:bottom w:val="none" w:sz="0" w:space="0" w:color="auto"/>
        <w:right w:val="none" w:sz="0" w:space="0" w:color="auto"/>
      </w:divBdr>
    </w:div>
    <w:div w:id="440994241">
      <w:bodyDiv w:val="1"/>
      <w:marLeft w:val="0"/>
      <w:marRight w:val="0"/>
      <w:marTop w:val="0"/>
      <w:marBottom w:val="0"/>
      <w:divBdr>
        <w:top w:val="none" w:sz="0" w:space="0" w:color="auto"/>
        <w:left w:val="none" w:sz="0" w:space="0" w:color="auto"/>
        <w:bottom w:val="none" w:sz="0" w:space="0" w:color="auto"/>
        <w:right w:val="none" w:sz="0" w:space="0" w:color="auto"/>
      </w:divBdr>
    </w:div>
    <w:div w:id="442847904">
      <w:bodyDiv w:val="1"/>
      <w:marLeft w:val="0"/>
      <w:marRight w:val="0"/>
      <w:marTop w:val="0"/>
      <w:marBottom w:val="0"/>
      <w:divBdr>
        <w:top w:val="none" w:sz="0" w:space="0" w:color="auto"/>
        <w:left w:val="none" w:sz="0" w:space="0" w:color="auto"/>
        <w:bottom w:val="none" w:sz="0" w:space="0" w:color="auto"/>
        <w:right w:val="none" w:sz="0" w:space="0" w:color="auto"/>
      </w:divBdr>
    </w:div>
    <w:div w:id="465512511">
      <w:bodyDiv w:val="1"/>
      <w:marLeft w:val="0"/>
      <w:marRight w:val="0"/>
      <w:marTop w:val="0"/>
      <w:marBottom w:val="0"/>
      <w:divBdr>
        <w:top w:val="none" w:sz="0" w:space="0" w:color="auto"/>
        <w:left w:val="none" w:sz="0" w:space="0" w:color="auto"/>
        <w:bottom w:val="none" w:sz="0" w:space="0" w:color="auto"/>
        <w:right w:val="none" w:sz="0" w:space="0" w:color="auto"/>
      </w:divBdr>
    </w:div>
    <w:div w:id="472992612">
      <w:bodyDiv w:val="1"/>
      <w:marLeft w:val="0"/>
      <w:marRight w:val="0"/>
      <w:marTop w:val="0"/>
      <w:marBottom w:val="0"/>
      <w:divBdr>
        <w:top w:val="none" w:sz="0" w:space="0" w:color="auto"/>
        <w:left w:val="none" w:sz="0" w:space="0" w:color="auto"/>
        <w:bottom w:val="none" w:sz="0" w:space="0" w:color="auto"/>
        <w:right w:val="none" w:sz="0" w:space="0" w:color="auto"/>
      </w:divBdr>
    </w:div>
    <w:div w:id="480074547">
      <w:bodyDiv w:val="1"/>
      <w:marLeft w:val="0"/>
      <w:marRight w:val="0"/>
      <w:marTop w:val="0"/>
      <w:marBottom w:val="0"/>
      <w:divBdr>
        <w:top w:val="none" w:sz="0" w:space="0" w:color="auto"/>
        <w:left w:val="none" w:sz="0" w:space="0" w:color="auto"/>
        <w:bottom w:val="none" w:sz="0" w:space="0" w:color="auto"/>
        <w:right w:val="none" w:sz="0" w:space="0" w:color="auto"/>
      </w:divBdr>
    </w:div>
    <w:div w:id="480772407">
      <w:bodyDiv w:val="1"/>
      <w:marLeft w:val="0"/>
      <w:marRight w:val="0"/>
      <w:marTop w:val="0"/>
      <w:marBottom w:val="0"/>
      <w:divBdr>
        <w:top w:val="none" w:sz="0" w:space="0" w:color="auto"/>
        <w:left w:val="none" w:sz="0" w:space="0" w:color="auto"/>
        <w:bottom w:val="none" w:sz="0" w:space="0" w:color="auto"/>
        <w:right w:val="none" w:sz="0" w:space="0" w:color="auto"/>
      </w:divBdr>
    </w:div>
    <w:div w:id="482355652">
      <w:bodyDiv w:val="1"/>
      <w:marLeft w:val="0"/>
      <w:marRight w:val="0"/>
      <w:marTop w:val="0"/>
      <w:marBottom w:val="0"/>
      <w:divBdr>
        <w:top w:val="none" w:sz="0" w:space="0" w:color="auto"/>
        <w:left w:val="none" w:sz="0" w:space="0" w:color="auto"/>
        <w:bottom w:val="none" w:sz="0" w:space="0" w:color="auto"/>
        <w:right w:val="none" w:sz="0" w:space="0" w:color="auto"/>
      </w:divBdr>
    </w:div>
    <w:div w:id="488596725">
      <w:bodyDiv w:val="1"/>
      <w:marLeft w:val="0"/>
      <w:marRight w:val="0"/>
      <w:marTop w:val="0"/>
      <w:marBottom w:val="0"/>
      <w:divBdr>
        <w:top w:val="none" w:sz="0" w:space="0" w:color="auto"/>
        <w:left w:val="none" w:sz="0" w:space="0" w:color="auto"/>
        <w:bottom w:val="none" w:sz="0" w:space="0" w:color="auto"/>
        <w:right w:val="none" w:sz="0" w:space="0" w:color="auto"/>
      </w:divBdr>
    </w:div>
    <w:div w:id="492376763">
      <w:bodyDiv w:val="1"/>
      <w:marLeft w:val="0"/>
      <w:marRight w:val="0"/>
      <w:marTop w:val="0"/>
      <w:marBottom w:val="0"/>
      <w:divBdr>
        <w:top w:val="none" w:sz="0" w:space="0" w:color="auto"/>
        <w:left w:val="none" w:sz="0" w:space="0" w:color="auto"/>
        <w:bottom w:val="none" w:sz="0" w:space="0" w:color="auto"/>
        <w:right w:val="none" w:sz="0" w:space="0" w:color="auto"/>
      </w:divBdr>
    </w:div>
    <w:div w:id="499004170">
      <w:bodyDiv w:val="1"/>
      <w:marLeft w:val="0"/>
      <w:marRight w:val="0"/>
      <w:marTop w:val="0"/>
      <w:marBottom w:val="0"/>
      <w:divBdr>
        <w:top w:val="none" w:sz="0" w:space="0" w:color="auto"/>
        <w:left w:val="none" w:sz="0" w:space="0" w:color="auto"/>
        <w:bottom w:val="none" w:sz="0" w:space="0" w:color="auto"/>
        <w:right w:val="none" w:sz="0" w:space="0" w:color="auto"/>
      </w:divBdr>
    </w:div>
    <w:div w:id="507864384">
      <w:bodyDiv w:val="1"/>
      <w:marLeft w:val="0"/>
      <w:marRight w:val="0"/>
      <w:marTop w:val="0"/>
      <w:marBottom w:val="0"/>
      <w:divBdr>
        <w:top w:val="none" w:sz="0" w:space="0" w:color="auto"/>
        <w:left w:val="none" w:sz="0" w:space="0" w:color="auto"/>
        <w:bottom w:val="none" w:sz="0" w:space="0" w:color="auto"/>
        <w:right w:val="none" w:sz="0" w:space="0" w:color="auto"/>
      </w:divBdr>
    </w:div>
    <w:div w:id="518542731">
      <w:bodyDiv w:val="1"/>
      <w:marLeft w:val="0"/>
      <w:marRight w:val="0"/>
      <w:marTop w:val="0"/>
      <w:marBottom w:val="0"/>
      <w:divBdr>
        <w:top w:val="none" w:sz="0" w:space="0" w:color="auto"/>
        <w:left w:val="none" w:sz="0" w:space="0" w:color="auto"/>
        <w:bottom w:val="none" w:sz="0" w:space="0" w:color="auto"/>
        <w:right w:val="none" w:sz="0" w:space="0" w:color="auto"/>
      </w:divBdr>
    </w:div>
    <w:div w:id="520053161">
      <w:bodyDiv w:val="1"/>
      <w:marLeft w:val="0"/>
      <w:marRight w:val="0"/>
      <w:marTop w:val="0"/>
      <w:marBottom w:val="0"/>
      <w:divBdr>
        <w:top w:val="none" w:sz="0" w:space="0" w:color="auto"/>
        <w:left w:val="none" w:sz="0" w:space="0" w:color="auto"/>
        <w:bottom w:val="none" w:sz="0" w:space="0" w:color="auto"/>
        <w:right w:val="none" w:sz="0" w:space="0" w:color="auto"/>
      </w:divBdr>
      <w:divsChild>
        <w:div w:id="1615358062">
          <w:marLeft w:val="0"/>
          <w:marRight w:val="0"/>
          <w:marTop w:val="0"/>
          <w:marBottom w:val="0"/>
          <w:divBdr>
            <w:top w:val="none" w:sz="0" w:space="0" w:color="auto"/>
            <w:left w:val="none" w:sz="0" w:space="0" w:color="auto"/>
            <w:bottom w:val="none" w:sz="0" w:space="0" w:color="auto"/>
            <w:right w:val="none" w:sz="0" w:space="0" w:color="auto"/>
          </w:divBdr>
          <w:divsChild>
            <w:div w:id="1588921610">
              <w:marLeft w:val="0"/>
              <w:marRight w:val="0"/>
              <w:marTop w:val="0"/>
              <w:marBottom w:val="0"/>
              <w:divBdr>
                <w:top w:val="none" w:sz="0" w:space="0" w:color="auto"/>
                <w:left w:val="none" w:sz="0" w:space="0" w:color="auto"/>
                <w:bottom w:val="none" w:sz="0" w:space="0" w:color="auto"/>
                <w:right w:val="none" w:sz="0" w:space="0" w:color="auto"/>
              </w:divBdr>
              <w:divsChild>
                <w:div w:id="900214479">
                  <w:marLeft w:val="0"/>
                  <w:marRight w:val="0"/>
                  <w:marTop w:val="0"/>
                  <w:marBottom w:val="0"/>
                  <w:divBdr>
                    <w:top w:val="none" w:sz="0" w:space="0" w:color="auto"/>
                    <w:left w:val="none" w:sz="0" w:space="0" w:color="auto"/>
                    <w:bottom w:val="none" w:sz="0" w:space="0" w:color="auto"/>
                    <w:right w:val="none" w:sz="0" w:space="0" w:color="auto"/>
                  </w:divBdr>
                  <w:divsChild>
                    <w:div w:id="171338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059834">
          <w:marLeft w:val="4095"/>
          <w:marRight w:val="0"/>
          <w:marTop w:val="0"/>
          <w:marBottom w:val="0"/>
          <w:divBdr>
            <w:top w:val="none" w:sz="0" w:space="0" w:color="auto"/>
            <w:left w:val="none" w:sz="0" w:space="0" w:color="auto"/>
            <w:bottom w:val="none" w:sz="0" w:space="0" w:color="auto"/>
            <w:right w:val="none" w:sz="0" w:space="0" w:color="auto"/>
          </w:divBdr>
          <w:divsChild>
            <w:div w:id="1252815023">
              <w:marLeft w:val="0"/>
              <w:marRight w:val="0"/>
              <w:marTop w:val="0"/>
              <w:marBottom w:val="120"/>
              <w:divBdr>
                <w:top w:val="none" w:sz="0" w:space="0" w:color="auto"/>
                <w:left w:val="none" w:sz="0" w:space="0" w:color="auto"/>
                <w:bottom w:val="none" w:sz="0" w:space="0" w:color="auto"/>
                <w:right w:val="none" w:sz="0" w:space="0" w:color="auto"/>
              </w:divBdr>
              <w:divsChild>
                <w:div w:id="1889028059">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536086456">
      <w:bodyDiv w:val="1"/>
      <w:marLeft w:val="0"/>
      <w:marRight w:val="0"/>
      <w:marTop w:val="0"/>
      <w:marBottom w:val="0"/>
      <w:divBdr>
        <w:top w:val="none" w:sz="0" w:space="0" w:color="auto"/>
        <w:left w:val="none" w:sz="0" w:space="0" w:color="auto"/>
        <w:bottom w:val="none" w:sz="0" w:space="0" w:color="auto"/>
        <w:right w:val="none" w:sz="0" w:space="0" w:color="auto"/>
      </w:divBdr>
    </w:div>
    <w:div w:id="546649659">
      <w:bodyDiv w:val="1"/>
      <w:marLeft w:val="0"/>
      <w:marRight w:val="0"/>
      <w:marTop w:val="0"/>
      <w:marBottom w:val="0"/>
      <w:divBdr>
        <w:top w:val="none" w:sz="0" w:space="0" w:color="auto"/>
        <w:left w:val="none" w:sz="0" w:space="0" w:color="auto"/>
        <w:bottom w:val="none" w:sz="0" w:space="0" w:color="auto"/>
        <w:right w:val="none" w:sz="0" w:space="0" w:color="auto"/>
      </w:divBdr>
    </w:div>
    <w:div w:id="547378479">
      <w:bodyDiv w:val="1"/>
      <w:marLeft w:val="0"/>
      <w:marRight w:val="0"/>
      <w:marTop w:val="0"/>
      <w:marBottom w:val="0"/>
      <w:divBdr>
        <w:top w:val="none" w:sz="0" w:space="0" w:color="auto"/>
        <w:left w:val="none" w:sz="0" w:space="0" w:color="auto"/>
        <w:bottom w:val="none" w:sz="0" w:space="0" w:color="auto"/>
        <w:right w:val="none" w:sz="0" w:space="0" w:color="auto"/>
      </w:divBdr>
    </w:div>
    <w:div w:id="564799835">
      <w:bodyDiv w:val="1"/>
      <w:marLeft w:val="0"/>
      <w:marRight w:val="0"/>
      <w:marTop w:val="0"/>
      <w:marBottom w:val="0"/>
      <w:divBdr>
        <w:top w:val="none" w:sz="0" w:space="0" w:color="auto"/>
        <w:left w:val="none" w:sz="0" w:space="0" w:color="auto"/>
        <w:bottom w:val="none" w:sz="0" w:space="0" w:color="auto"/>
        <w:right w:val="none" w:sz="0" w:space="0" w:color="auto"/>
      </w:divBdr>
    </w:div>
    <w:div w:id="565608158">
      <w:bodyDiv w:val="1"/>
      <w:marLeft w:val="0"/>
      <w:marRight w:val="0"/>
      <w:marTop w:val="0"/>
      <w:marBottom w:val="0"/>
      <w:divBdr>
        <w:top w:val="none" w:sz="0" w:space="0" w:color="auto"/>
        <w:left w:val="none" w:sz="0" w:space="0" w:color="auto"/>
        <w:bottom w:val="none" w:sz="0" w:space="0" w:color="auto"/>
        <w:right w:val="none" w:sz="0" w:space="0" w:color="auto"/>
      </w:divBdr>
    </w:div>
    <w:div w:id="570430356">
      <w:bodyDiv w:val="1"/>
      <w:marLeft w:val="0"/>
      <w:marRight w:val="0"/>
      <w:marTop w:val="0"/>
      <w:marBottom w:val="0"/>
      <w:divBdr>
        <w:top w:val="none" w:sz="0" w:space="0" w:color="auto"/>
        <w:left w:val="none" w:sz="0" w:space="0" w:color="auto"/>
        <w:bottom w:val="none" w:sz="0" w:space="0" w:color="auto"/>
        <w:right w:val="none" w:sz="0" w:space="0" w:color="auto"/>
      </w:divBdr>
    </w:div>
    <w:div w:id="570653955">
      <w:bodyDiv w:val="1"/>
      <w:marLeft w:val="0"/>
      <w:marRight w:val="0"/>
      <w:marTop w:val="0"/>
      <w:marBottom w:val="0"/>
      <w:divBdr>
        <w:top w:val="none" w:sz="0" w:space="0" w:color="auto"/>
        <w:left w:val="none" w:sz="0" w:space="0" w:color="auto"/>
        <w:bottom w:val="none" w:sz="0" w:space="0" w:color="auto"/>
        <w:right w:val="none" w:sz="0" w:space="0" w:color="auto"/>
      </w:divBdr>
    </w:div>
    <w:div w:id="577903279">
      <w:bodyDiv w:val="1"/>
      <w:marLeft w:val="0"/>
      <w:marRight w:val="0"/>
      <w:marTop w:val="0"/>
      <w:marBottom w:val="0"/>
      <w:divBdr>
        <w:top w:val="none" w:sz="0" w:space="0" w:color="auto"/>
        <w:left w:val="none" w:sz="0" w:space="0" w:color="auto"/>
        <w:bottom w:val="none" w:sz="0" w:space="0" w:color="auto"/>
        <w:right w:val="none" w:sz="0" w:space="0" w:color="auto"/>
      </w:divBdr>
    </w:div>
    <w:div w:id="595797139">
      <w:bodyDiv w:val="1"/>
      <w:marLeft w:val="0"/>
      <w:marRight w:val="0"/>
      <w:marTop w:val="0"/>
      <w:marBottom w:val="0"/>
      <w:divBdr>
        <w:top w:val="none" w:sz="0" w:space="0" w:color="auto"/>
        <w:left w:val="none" w:sz="0" w:space="0" w:color="auto"/>
        <w:bottom w:val="none" w:sz="0" w:space="0" w:color="auto"/>
        <w:right w:val="none" w:sz="0" w:space="0" w:color="auto"/>
      </w:divBdr>
    </w:div>
    <w:div w:id="604114740">
      <w:bodyDiv w:val="1"/>
      <w:marLeft w:val="0"/>
      <w:marRight w:val="0"/>
      <w:marTop w:val="0"/>
      <w:marBottom w:val="0"/>
      <w:divBdr>
        <w:top w:val="none" w:sz="0" w:space="0" w:color="auto"/>
        <w:left w:val="none" w:sz="0" w:space="0" w:color="auto"/>
        <w:bottom w:val="none" w:sz="0" w:space="0" w:color="auto"/>
        <w:right w:val="none" w:sz="0" w:space="0" w:color="auto"/>
      </w:divBdr>
    </w:div>
    <w:div w:id="633371004">
      <w:bodyDiv w:val="1"/>
      <w:marLeft w:val="0"/>
      <w:marRight w:val="0"/>
      <w:marTop w:val="0"/>
      <w:marBottom w:val="0"/>
      <w:divBdr>
        <w:top w:val="none" w:sz="0" w:space="0" w:color="auto"/>
        <w:left w:val="none" w:sz="0" w:space="0" w:color="auto"/>
        <w:bottom w:val="none" w:sz="0" w:space="0" w:color="auto"/>
        <w:right w:val="none" w:sz="0" w:space="0" w:color="auto"/>
      </w:divBdr>
      <w:divsChild>
        <w:div w:id="577717772">
          <w:marLeft w:val="0"/>
          <w:marRight w:val="0"/>
          <w:marTop w:val="0"/>
          <w:marBottom w:val="0"/>
          <w:divBdr>
            <w:top w:val="none" w:sz="0" w:space="0" w:color="auto"/>
            <w:left w:val="none" w:sz="0" w:space="0" w:color="auto"/>
            <w:bottom w:val="none" w:sz="0" w:space="0" w:color="auto"/>
            <w:right w:val="none" w:sz="0" w:space="0" w:color="auto"/>
          </w:divBdr>
        </w:div>
        <w:div w:id="1633943998">
          <w:marLeft w:val="0"/>
          <w:marRight w:val="0"/>
          <w:marTop w:val="0"/>
          <w:marBottom w:val="0"/>
          <w:divBdr>
            <w:top w:val="none" w:sz="0" w:space="0" w:color="auto"/>
            <w:left w:val="none" w:sz="0" w:space="0" w:color="auto"/>
            <w:bottom w:val="none" w:sz="0" w:space="0" w:color="auto"/>
            <w:right w:val="none" w:sz="0" w:space="0" w:color="auto"/>
          </w:divBdr>
          <w:divsChild>
            <w:div w:id="2040814841">
              <w:marLeft w:val="0"/>
              <w:marRight w:val="0"/>
              <w:marTop w:val="0"/>
              <w:marBottom w:val="0"/>
              <w:divBdr>
                <w:top w:val="none" w:sz="0" w:space="0" w:color="auto"/>
                <w:left w:val="none" w:sz="0" w:space="0" w:color="auto"/>
                <w:bottom w:val="none" w:sz="0" w:space="0" w:color="auto"/>
                <w:right w:val="none" w:sz="0" w:space="0" w:color="auto"/>
              </w:divBdr>
              <w:divsChild>
                <w:div w:id="658119969">
                  <w:marLeft w:val="0"/>
                  <w:marRight w:val="0"/>
                  <w:marTop w:val="0"/>
                  <w:marBottom w:val="0"/>
                  <w:divBdr>
                    <w:top w:val="none" w:sz="0" w:space="0" w:color="auto"/>
                    <w:left w:val="none" w:sz="0" w:space="0" w:color="auto"/>
                    <w:bottom w:val="none" w:sz="0" w:space="0" w:color="auto"/>
                    <w:right w:val="none" w:sz="0" w:space="0" w:color="auto"/>
                  </w:divBdr>
                  <w:divsChild>
                    <w:div w:id="1745880456">
                      <w:marLeft w:val="0"/>
                      <w:marRight w:val="0"/>
                      <w:marTop w:val="0"/>
                      <w:marBottom w:val="0"/>
                      <w:divBdr>
                        <w:top w:val="none" w:sz="0" w:space="0" w:color="auto"/>
                        <w:left w:val="none" w:sz="0" w:space="0" w:color="auto"/>
                        <w:bottom w:val="none" w:sz="0" w:space="0" w:color="auto"/>
                        <w:right w:val="none" w:sz="0" w:space="0" w:color="auto"/>
                      </w:divBdr>
                    </w:div>
                    <w:div w:id="1222714969">
                      <w:marLeft w:val="0"/>
                      <w:marRight w:val="0"/>
                      <w:marTop w:val="0"/>
                      <w:marBottom w:val="0"/>
                      <w:divBdr>
                        <w:top w:val="none" w:sz="0" w:space="0" w:color="auto"/>
                        <w:left w:val="none" w:sz="0" w:space="0" w:color="auto"/>
                        <w:bottom w:val="none" w:sz="0" w:space="0" w:color="auto"/>
                        <w:right w:val="none" w:sz="0" w:space="0" w:color="auto"/>
                      </w:divBdr>
                    </w:div>
                    <w:div w:id="995569488">
                      <w:marLeft w:val="0"/>
                      <w:marRight w:val="0"/>
                      <w:marTop w:val="0"/>
                      <w:marBottom w:val="0"/>
                      <w:divBdr>
                        <w:top w:val="none" w:sz="0" w:space="0" w:color="auto"/>
                        <w:left w:val="none" w:sz="0" w:space="0" w:color="auto"/>
                        <w:bottom w:val="none" w:sz="0" w:space="0" w:color="auto"/>
                        <w:right w:val="none" w:sz="0" w:space="0" w:color="auto"/>
                      </w:divBdr>
                    </w:div>
                  </w:divsChild>
                </w:div>
                <w:div w:id="2025395965">
                  <w:marLeft w:val="0"/>
                  <w:marRight w:val="0"/>
                  <w:marTop w:val="0"/>
                  <w:marBottom w:val="0"/>
                  <w:divBdr>
                    <w:top w:val="none" w:sz="0" w:space="0" w:color="auto"/>
                    <w:left w:val="none" w:sz="0" w:space="0" w:color="auto"/>
                    <w:bottom w:val="none" w:sz="0" w:space="0" w:color="auto"/>
                    <w:right w:val="none" w:sz="0" w:space="0" w:color="auto"/>
                  </w:divBdr>
                  <w:divsChild>
                    <w:div w:id="461921281">
                      <w:marLeft w:val="0"/>
                      <w:marRight w:val="0"/>
                      <w:marTop w:val="0"/>
                      <w:marBottom w:val="0"/>
                      <w:divBdr>
                        <w:top w:val="none" w:sz="0" w:space="0" w:color="auto"/>
                        <w:left w:val="none" w:sz="0" w:space="0" w:color="auto"/>
                        <w:bottom w:val="single" w:sz="6" w:space="0" w:color="D6D7D9"/>
                        <w:right w:val="none" w:sz="0" w:space="0" w:color="auto"/>
                      </w:divBdr>
                    </w:div>
                    <w:div w:id="79155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006045">
          <w:marLeft w:val="0"/>
          <w:marRight w:val="0"/>
          <w:marTop w:val="0"/>
          <w:marBottom w:val="0"/>
          <w:divBdr>
            <w:top w:val="none" w:sz="0" w:space="0" w:color="auto"/>
            <w:left w:val="none" w:sz="0" w:space="0" w:color="auto"/>
            <w:bottom w:val="none" w:sz="0" w:space="0" w:color="auto"/>
            <w:right w:val="none" w:sz="0" w:space="0" w:color="auto"/>
          </w:divBdr>
        </w:div>
        <w:div w:id="1624727853">
          <w:marLeft w:val="0"/>
          <w:marRight w:val="0"/>
          <w:marTop w:val="0"/>
          <w:marBottom w:val="0"/>
          <w:divBdr>
            <w:top w:val="none" w:sz="0" w:space="0" w:color="auto"/>
            <w:left w:val="none" w:sz="0" w:space="0" w:color="auto"/>
            <w:bottom w:val="none" w:sz="0" w:space="0" w:color="auto"/>
            <w:right w:val="none" w:sz="0" w:space="0" w:color="auto"/>
          </w:divBdr>
          <w:divsChild>
            <w:div w:id="1700812729">
              <w:marLeft w:val="0"/>
              <w:marRight w:val="0"/>
              <w:marTop w:val="0"/>
              <w:marBottom w:val="0"/>
              <w:divBdr>
                <w:top w:val="none" w:sz="0" w:space="0" w:color="auto"/>
                <w:left w:val="none" w:sz="0" w:space="0" w:color="auto"/>
                <w:bottom w:val="none" w:sz="0" w:space="0" w:color="auto"/>
                <w:right w:val="none" w:sz="0" w:space="0" w:color="auto"/>
              </w:divBdr>
              <w:divsChild>
                <w:div w:id="441652832">
                  <w:marLeft w:val="0"/>
                  <w:marRight w:val="0"/>
                  <w:marTop w:val="0"/>
                  <w:marBottom w:val="0"/>
                  <w:divBdr>
                    <w:top w:val="none" w:sz="0" w:space="0" w:color="auto"/>
                    <w:left w:val="none" w:sz="0" w:space="0" w:color="auto"/>
                    <w:bottom w:val="none" w:sz="0" w:space="0" w:color="auto"/>
                    <w:right w:val="none" w:sz="0" w:space="0" w:color="auto"/>
                  </w:divBdr>
                </w:div>
              </w:divsChild>
            </w:div>
            <w:div w:id="200555116">
              <w:marLeft w:val="0"/>
              <w:marRight w:val="0"/>
              <w:marTop w:val="0"/>
              <w:marBottom w:val="0"/>
              <w:divBdr>
                <w:top w:val="none" w:sz="0" w:space="0" w:color="auto"/>
                <w:left w:val="none" w:sz="0" w:space="0" w:color="auto"/>
                <w:bottom w:val="none" w:sz="0" w:space="0" w:color="auto"/>
                <w:right w:val="none" w:sz="0" w:space="0" w:color="auto"/>
              </w:divBdr>
              <w:divsChild>
                <w:div w:id="207461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413070">
          <w:marLeft w:val="0"/>
          <w:marRight w:val="0"/>
          <w:marTop w:val="0"/>
          <w:marBottom w:val="0"/>
          <w:divBdr>
            <w:top w:val="none" w:sz="0" w:space="0" w:color="auto"/>
            <w:left w:val="none" w:sz="0" w:space="0" w:color="auto"/>
            <w:bottom w:val="none" w:sz="0" w:space="0" w:color="auto"/>
            <w:right w:val="none" w:sz="0" w:space="0" w:color="auto"/>
          </w:divBdr>
          <w:divsChild>
            <w:div w:id="677384844">
              <w:marLeft w:val="0"/>
              <w:marRight w:val="0"/>
              <w:marTop w:val="0"/>
              <w:marBottom w:val="0"/>
              <w:divBdr>
                <w:top w:val="none" w:sz="0" w:space="0" w:color="auto"/>
                <w:left w:val="none" w:sz="0" w:space="0" w:color="auto"/>
                <w:bottom w:val="none" w:sz="0" w:space="0" w:color="auto"/>
                <w:right w:val="none" w:sz="0" w:space="0" w:color="auto"/>
              </w:divBdr>
              <w:divsChild>
                <w:div w:id="1311056562">
                  <w:marLeft w:val="0"/>
                  <w:marRight w:val="0"/>
                  <w:marTop w:val="0"/>
                  <w:marBottom w:val="0"/>
                  <w:divBdr>
                    <w:top w:val="none" w:sz="0" w:space="0" w:color="auto"/>
                    <w:left w:val="none" w:sz="0" w:space="0" w:color="auto"/>
                    <w:bottom w:val="none" w:sz="0" w:space="0" w:color="auto"/>
                    <w:right w:val="none" w:sz="0" w:space="0" w:color="auto"/>
                  </w:divBdr>
                  <w:divsChild>
                    <w:div w:id="1684041885">
                      <w:marLeft w:val="0"/>
                      <w:marRight w:val="0"/>
                      <w:marTop w:val="0"/>
                      <w:marBottom w:val="0"/>
                      <w:divBdr>
                        <w:top w:val="none" w:sz="0" w:space="0" w:color="auto"/>
                        <w:left w:val="none" w:sz="0" w:space="0" w:color="auto"/>
                        <w:bottom w:val="none" w:sz="0" w:space="0" w:color="auto"/>
                        <w:right w:val="none" w:sz="0" w:space="0" w:color="auto"/>
                      </w:divBdr>
                      <w:divsChild>
                        <w:div w:id="718016642">
                          <w:marLeft w:val="0"/>
                          <w:marRight w:val="0"/>
                          <w:marTop w:val="0"/>
                          <w:marBottom w:val="0"/>
                          <w:divBdr>
                            <w:top w:val="none" w:sz="0" w:space="0" w:color="auto"/>
                            <w:left w:val="none" w:sz="0" w:space="0" w:color="auto"/>
                            <w:bottom w:val="none" w:sz="0" w:space="0" w:color="auto"/>
                            <w:right w:val="none" w:sz="0" w:space="0" w:color="auto"/>
                          </w:divBdr>
                        </w:div>
                        <w:div w:id="529151379">
                          <w:marLeft w:val="0"/>
                          <w:marRight w:val="0"/>
                          <w:marTop w:val="0"/>
                          <w:marBottom w:val="0"/>
                          <w:divBdr>
                            <w:top w:val="none" w:sz="0" w:space="0" w:color="auto"/>
                            <w:left w:val="none" w:sz="0" w:space="0" w:color="auto"/>
                            <w:bottom w:val="none" w:sz="0" w:space="0" w:color="auto"/>
                            <w:right w:val="none" w:sz="0" w:space="0" w:color="auto"/>
                          </w:divBdr>
                          <w:divsChild>
                            <w:div w:id="153781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5020479">
          <w:marLeft w:val="0"/>
          <w:marRight w:val="0"/>
          <w:marTop w:val="0"/>
          <w:marBottom w:val="0"/>
          <w:divBdr>
            <w:top w:val="none" w:sz="0" w:space="0" w:color="auto"/>
            <w:left w:val="none" w:sz="0" w:space="0" w:color="auto"/>
            <w:bottom w:val="none" w:sz="0" w:space="0" w:color="auto"/>
            <w:right w:val="none" w:sz="0" w:space="0" w:color="auto"/>
          </w:divBdr>
          <w:divsChild>
            <w:div w:id="85612867">
              <w:marLeft w:val="0"/>
              <w:marRight w:val="0"/>
              <w:marTop w:val="0"/>
              <w:marBottom w:val="0"/>
              <w:divBdr>
                <w:top w:val="none" w:sz="0" w:space="0" w:color="auto"/>
                <w:left w:val="none" w:sz="0" w:space="0" w:color="auto"/>
                <w:bottom w:val="none" w:sz="0" w:space="0" w:color="auto"/>
                <w:right w:val="none" w:sz="0" w:space="0" w:color="auto"/>
              </w:divBdr>
              <w:divsChild>
                <w:div w:id="1037704208">
                  <w:marLeft w:val="0"/>
                  <w:marRight w:val="0"/>
                  <w:marTop w:val="0"/>
                  <w:marBottom w:val="0"/>
                  <w:divBdr>
                    <w:top w:val="none" w:sz="0" w:space="0" w:color="auto"/>
                    <w:left w:val="none" w:sz="0" w:space="0" w:color="auto"/>
                    <w:bottom w:val="none" w:sz="0" w:space="0" w:color="auto"/>
                    <w:right w:val="none" w:sz="0" w:space="0" w:color="auto"/>
                  </w:divBdr>
                  <w:divsChild>
                    <w:div w:id="631903665">
                      <w:marLeft w:val="0"/>
                      <w:marRight w:val="0"/>
                      <w:marTop w:val="0"/>
                      <w:marBottom w:val="0"/>
                      <w:divBdr>
                        <w:top w:val="none" w:sz="0" w:space="0" w:color="auto"/>
                        <w:left w:val="none" w:sz="0" w:space="0" w:color="auto"/>
                        <w:bottom w:val="none" w:sz="0" w:space="0" w:color="auto"/>
                        <w:right w:val="none" w:sz="0" w:space="0" w:color="auto"/>
                      </w:divBdr>
                      <w:divsChild>
                        <w:div w:id="35470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677126">
                  <w:marLeft w:val="0"/>
                  <w:marRight w:val="0"/>
                  <w:marTop w:val="0"/>
                  <w:marBottom w:val="0"/>
                  <w:divBdr>
                    <w:top w:val="none" w:sz="0" w:space="0" w:color="auto"/>
                    <w:left w:val="none" w:sz="0" w:space="0" w:color="auto"/>
                    <w:bottom w:val="none" w:sz="0" w:space="0" w:color="auto"/>
                    <w:right w:val="none" w:sz="0" w:space="0" w:color="auto"/>
                  </w:divBdr>
                  <w:divsChild>
                    <w:div w:id="1536961962">
                      <w:marLeft w:val="0"/>
                      <w:marRight w:val="0"/>
                      <w:marTop w:val="0"/>
                      <w:marBottom w:val="0"/>
                      <w:divBdr>
                        <w:top w:val="none" w:sz="0" w:space="0" w:color="auto"/>
                        <w:left w:val="none" w:sz="0" w:space="0" w:color="auto"/>
                        <w:bottom w:val="none" w:sz="0" w:space="0" w:color="auto"/>
                        <w:right w:val="none" w:sz="0" w:space="0" w:color="auto"/>
                      </w:divBdr>
                      <w:divsChild>
                        <w:div w:id="63564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336066">
                  <w:marLeft w:val="0"/>
                  <w:marRight w:val="0"/>
                  <w:marTop w:val="0"/>
                  <w:marBottom w:val="0"/>
                  <w:divBdr>
                    <w:top w:val="none" w:sz="0" w:space="0" w:color="auto"/>
                    <w:left w:val="none" w:sz="0" w:space="0" w:color="auto"/>
                    <w:bottom w:val="none" w:sz="0" w:space="0" w:color="auto"/>
                    <w:right w:val="none" w:sz="0" w:space="0" w:color="auto"/>
                  </w:divBdr>
                </w:div>
                <w:div w:id="1784641968">
                  <w:marLeft w:val="0"/>
                  <w:marRight w:val="0"/>
                  <w:marTop w:val="0"/>
                  <w:marBottom w:val="0"/>
                  <w:divBdr>
                    <w:top w:val="none" w:sz="0" w:space="0" w:color="auto"/>
                    <w:left w:val="none" w:sz="0" w:space="0" w:color="auto"/>
                    <w:bottom w:val="none" w:sz="0" w:space="0" w:color="auto"/>
                    <w:right w:val="none" w:sz="0" w:space="0" w:color="auto"/>
                  </w:divBdr>
                </w:div>
              </w:divsChild>
            </w:div>
            <w:div w:id="1515417936">
              <w:marLeft w:val="0"/>
              <w:marRight w:val="0"/>
              <w:marTop w:val="0"/>
              <w:marBottom w:val="0"/>
              <w:divBdr>
                <w:top w:val="none" w:sz="0" w:space="0" w:color="auto"/>
                <w:left w:val="none" w:sz="0" w:space="0" w:color="auto"/>
                <w:bottom w:val="none" w:sz="0" w:space="0" w:color="auto"/>
                <w:right w:val="none" w:sz="0" w:space="0" w:color="auto"/>
              </w:divBdr>
              <w:divsChild>
                <w:div w:id="1434475156">
                  <w:marLeft w:val="0"/>
                  <w:marRight w:val="0"/>
                  <w:marTop w:val="0"/>
                  <w:marBottom w:val="0"/>
                  <w:divBdr>
                    <w:top w:val="none" w:sz="0" w:space="0" w:color="auto"/>
                    <w:left w:val="none" w:sz="0" w:space="0" w:color="auto"/>
                    <w:bottom w:val="none" w:sz="0" w:space="0" w:color="auto"/>
                    <w:right w:val="none" w:sz="0" w:space="0" w:color="auto"/>
                  </w:divBdr>
                  <w:divsChild>
                    <w:div w:id="233509712">
                      <w:marLeft w:val="0"/>
                      <w:marRight w:val="0"/>
                      <w:marTop w:val="0"/>
                      <w:marBottom w:val="0"/>
                      <w:divBdr>
                        <w:top w:val="none" w:sz="0" w:space="0" w:color="auto"/>
                        <w:left w:val="none" w:sz="0" w:space="0" w:color="auto"/>
                        <w:bottom w:val="none" w:sz="0" w:space="0" w:color="auto"/>
                        <w:right w:val="none" w:sz="0" w:space="0" w:color="auto"/>
                      </w:divBdr>
                    </w:div>
                    <w:div w:id="1854219359">
                      <w:marLeft w:val="0"/>
                      <w:marRight w:val="0"/>
                      <w:marTop w:val="0"/>
                      <w:marBottom w:val="0"/>
                      <w:divBdr>
                        <w:top w:val="none" w:sz="0" w:space="0" w:color="auto"/>
                        <w:left w:val="none" w:sz="0" w:space="0" w:color="auto"/>
                        <w:bottom w:val="none" w:sz="0" w:space="0" w:color="auto"/>
                        <w:right w:val="none" w:sz="0" w:space="0" w:color="auto"/>
                      </w:divBdr>
                      <w:divsChild>
                        <w:div w:id="1133449013">
                          <w:marLeft w:val="0"/>
                          <w:marRight w:val="0"/>
                          <w:marTop w:val="0"/>
                          <w:marBottom w:val="0"/>
                          <w:divBdr>
                            <w:top w:val="none" w:sz="0" w:space="0" w:color="auto"/>
                            <w:left w:val="none" w:sz="0" w:space="0" w:color="auto"/>
                            <w:bottom w:val="none" w:sz="0" w:space="0" w:color="auto"/>
                            <w:right w:val="none" w:sz="0" w:space="0" w:color="auto"/>
                          </w:divBdr>
                          <w:divsChild>
                            <w:div w:id="925849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346045">
                  <w:marLeft w:val="0"/>
                  <w:marRight w:val="0"/>
                  <w:marTop w:val="0"/>
                  <w:marBottom w:val="0"/>
                  <w:divBdr>
                    <w:top w:val="none" w:sz="0" w:space="0" w:color="auto"/>
                    <w:left w:val="none" w:sz="0" w:space="0" w:color="auto"/>
                    <w:bottom w:val="none" w:sz="0" w:space="0" w:color="auto"/>
                    <w:right w:val="none" w:sz="0" w:space="0" w:color="auto"/>
                  </w:divBdr>
                  <w:divsChild>
                    <w:div w:id="687876164">
                      <w:marLeft w:val="0"/>
                      <w:marRight w:val="0"/>
                      <w:marTop w:val="0"/>
                      <w:marBottom w:val="0"/>
                      <w:divBdr>
                        <w:top w:val="none" w:sz="0" w:space="0" w:color="auto"/>
                        <w:left w:val="none" w:sz="0" w:space="0" w:color="auto"/>
                        <w:bottom w:val="none" w:sz="0" w:space="0" w:color="auto"/>
                        <w:right w:val="none" w:sz="0" w:space="0" w:color="auto"/>
                      </w:divBdr>
                      <w:divsChild>
                        <w:div w:id="15342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2592">
                  <w:marLeft w:val="0"/>
                  <w:marRight w:val="0"/>
                  <w:marTop w:val="0"/>
                  <w:marBottom w:val="0"/>
                  <w:divBdr>
                    <w:top w:val="none" w:sz="0" w:space="0" w:color="auto"/>
                    <w:left w:val="none" w:sz="0" w:space="0" w:color="auto"/>
                    <w:bottom w:val="none" w:sz="0" w:space="0" w:color="auto"/>
                    <w:right w:val="none" w:sz="0" w:space="0" w:color="auto"/>
                  </w:divBdr>
                </w:div>
              </w:divsChild>
            </w:div>
            <w:div w:id="945620518">
              <w:marLeft w:val="0"/>
              <w:marRight w:val="0"/>
              <w:marTop w:val="0"/>
              <w:marBottom w:val="0"/>
              <w:divBdr>
                <w:top w:val="none" w:sz="0" w:space="0" w:color="auto"/>
                <w:left w:val="none" w:sz="0" w:space="0" w:color="auto"/>
                <w:bottom w:val="none" w:sz="0" w:space="0" w:color="auto"/>
                <w:right w:val="none" w:sz="0" w:space="0" w:color="auto"/>
              </w:divBdr>
              <w:divsChild>
                <w:div w:id="808011395">
                  <w:marLeft w:val="0"/>
                  <w:marRight w:val="0"/>
                  <w:marTop w:val="0"/>
                  <w:marBottom w:val="0"/>
                  <w:divBdr>
                    <w:top w:val="none" w:sz="0" w:space="0" w:color="auto"/>
                    <w:left w:val="none" w:sz="0" w:space="0" w:color="auto"/>
                    <w:bottom w:val="none" w:sz="0" w:space="0" w:color="auto"/>
                    <w:right w:val="none" w:sz="0" w:space="0" w:color="auto"/>
                  </w:divBdr>
                </w:div>
              </w:divsChild>
            </w:div>
            <w:div w:id="1568876583">
              <w:marLeft w:val="0"/>
              <w:marRight w:val="0"/>
              <w:marTop w:val="0"/>
              <w:marBottom w:val="0"/>
              <w:divBdr>
                <w:top w:val="none" w:sz="0" w:space="0" w:color="auto"/>
                <w:left w:val="none" w:sz="0" w:space="0" w:color="auto"/>
                <w:bottom w:val="none" w:sz="0" w:space="0" w:color="auto"/>
                <w:right w:val="none" w:sz="0" w:space="0" w:color="auto"/>
              </w:divBdr>
              <w:divsChild>
                <w:div w:id="1564028904">
                  <w:marLeft w:val="0"/>
                  <w:marRight w:val="0"/>
                  <w:marTop w:val="0"/>
                  <w:marBottom w:val="0"/>
                  <w:divBdr>
                    <w:top w:val="none" w:sz="0" w:space="0" w:color="auto"/>
                    <w:left w:val="none" w:sz="0" w:space="0" w:color="auto"/>
                    <w:bottom w:val="none" w:sz="0" w:space="0" w:color="auto"/>
                    <w:right w:val="none" w:sz="0" w:space="0" w:color="auto"/>
                  </w:divBdr>
                </w:div>
              </w:divsChild>
            </w:div>
            <w:div w:id="1705472314">
              <w:marLeft w:val="0"/>
              <w:marRight w:val="0"/>
              <w:marTop w:val="0"/>
              <w:marBottom w:val="0"/>
              <w:divBdr>
                <w:top w:val="none" w:sz="0" w:space="0" w:color="auto"/>
                <w:left w:val="none" w:sz="0" w:space="0" w:color="auto"/>
                <w:bottom w:val="none" w:sz="0" w:space="0" w:color="auto"/>
                <w:right w:val="none" w:sz="0" w:space="0" w:color="auto"/>
              </w:divBdr>
              <w:divsChild>
                <w:div w:id="194319477">
                  <w:marLeft w:val="0"/>
                  <w:marRight w:val="0"/>
                  <w:marTop w:val="0"/>
                  <w:marBottom w:val="0"/>
                  <w:divBdr>
                    <w:top w:val="none" w:sz="0" w:space="0" w:color="auto"/>
                    <w:left w:val="none" w:sz="0" w:space="0" w:color="auto"/>
                    <w:bottom w:val="none" w:sz="0" w:space="0" w:color="auto"/>
                    <w:right w:val="none" w:sz="0" w:space="0" w:color="auto"/>
                  </w:divBdr>
                  <w:divsChild>
                    <w:div w:id="1439987752">
                      <w:marLeft w:val="0"/>
                      <w:marRight w:val="0"/>
                      <w:marTop w:val="0"/>
                      <w:marBottom w:val="0"/>
                      <w:divBdr>
                        <w:top w:val="none" w:sz="0" w:space="0" w:color="auto"/>
                        <w:left w:val="none" w:sz="0" w:space="0" w:color="auto"/>
                        <w:bottom w:val="none" w:sz="0" w:space="0" w:color="auto"/>
                        <w:right w:val="none" w:sz="0" w:space="0" w:color="auto"/>
                      </w:divBdr>
                      <w:divsChild>
                        <w:div w:id="473375458">
                          <w:marLeft w:val="0"/>
                          <w:marRight w:val="0"/>
                          <w:marTop w:val="0"/>
                          <w:marBottom w:val="0"/>
                          <w:divBdr>
                            <w:top w:val="none" w:sz="0" w:space="0" w:color="auto"/>
                            <w:left w:val="none" w:sz="0" w:space="0" w:color="auto"/>
                            <w:bottom w:val="none" w:sz="0" w:space="0" w:color="auto"/>
                            <w:right w:val="none" w:sz="0" w:space="0" w:color="auto"/>
                          </w:divBdr>
                          <w:divsChild>
                            <w:div w:id="190004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954151">
                      <w:marLeft w:val="0"/>
                      <w:marRight w:val="0"/>
                      <w:marTop w:val="0"/>
                      <w:marBottom w:val="0"/>
                      <w:divBdr>
                        <w:top w:val="none" w:sz="0" w:space="0" w:color="auto"/>
                        <w:left w:val="none" w:sz="0" w:space="0" w:color="auto"/>
                        <w:bottom w:val="none" w:sz="0" w:space="0" w:color="auto"/>
                        <w:right w:val="none" w:sz="0" w:space="0" w:color="auto"/>
                      </w:divBdr>
                      <w:divsChild>
                        <w:div w:id="1993634760">
                          <w:marLeft w:val="0"/>
                          <w:marRight w:val="0"/>
                          <w:marTop w:val="0"/>
                          <w:marBottom w:val="0"/>
                          <w:divBdr>
                            <w:top w:val="none" w:sz="0" w:space="0" w:color="auto"/>
                            <w:left w:val="none" w:sz="0" w:space="0" w:color="auto"/>
                            <w:bottom w:val="none" w:sz="0" w:space="0" w:color="auto"/>
                            <w:right w:val="none" w:sz="0" w:space="0" w:color="auto"/>
                          </w:divBdr>
                          <w:divsChild>
                            <w:div w:id="112303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993423">
                      <w:marLeft w:val="0"/>
                      <w:marRight w:val="0"/>
                      <w:marTop w:val="0"/>
                      <w:marBottom w:val="0"/>
                      <w:divBdr>
                        <w:top w:val="none" w:sz="0" w:space="0" w:color="auto"/>
                        <w:left w:val="none" w:sz="0" w:space="0" w:color="auto"/>
                        <w:bottom w:val="none" w:sz="0" w:space="0" w:color="auto"/>
                        <w:right w:val="none" w:sz="0" w:space="0" w:color="auto"/>
                      </w:divBdr>
                      <w:divsChild>
                        <w:div w:id="1154835422">
                          <w:marLeft w:val="0"/>
                          <w:marRight w:val="0"/>
                          <w:marTop w:val="0"/>
                          <w:marBottom w:val="0"/>
                          <w:divBdr>
                            <w:top w:val="none" w:sz="0" w:space="0" w:color="auto"/>
                            <w:left w:val="none" w:sz="0" w:space="0" w:color="auto"/>
                            <w:bottom w:val="none" w:sz="0" w:space="0" w:color="auto"/>
                            <w:right w:val="none" w:sz="0" w:space="0" w:color="auto"/>
                          </w:divBdr>
                          <w:divsChild>
                            <w:div w:id="1725786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288018">
                      <w:marLeft w:val="0"/>
                      <w:marRight w:val="0"/>
                      <w:marTop w:val="0"/>
                      <w:marBottom w:val="0"/>
                      <w:divBdr>
                        <w:top w:val="none" w:sz="0" w:space="0" w:color="auto"/>
                        <w:left w:val="none" w:sz="0" w:space="0" w:color="auto"/>
                        <w:bottom w:val="none" w:sz="0" w:space="0" w:color="auto"/>
                        <w:right w:val="none" w:sz="0" w:space="0" w:color="auto"/>
                      </w:divBdr>
                      <w:divsChild>
                        <w:div w:id="402218300">
                          <w:marLeft w:val="0"/>
                          <w:marRight w:val="0"/>
                          <w:marTop w:val="0"/>
                          <w:marBottom w:val="0"/>
                          <w:divBdr>
                            <w:top w:val="none" w:sz="0" w:space="0" w:color="auto"/>
                            <w:left w:val="none" w:sz="0" w:space="0" w:color="auto"/>
                            <w:bottom w:val="none" w:sz="0" w:space="0" w:color="auto"/>
                            <w:right w:val="none" w:sz="0" w:space="0" w:color="auto"/>
                          </w:divBdr>
                          <w:divsChild>
                            <w:div w:id="94538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29629">
              <w:marLeft w:val="0"/>
              <w:marRight w:val="0"/>
              <w:marTop w:val="0"/>
              <w:marBottom w:val="0"/>
              <w:divBdr>
                <w:top w:val="none" w:sz="0" w:space="0" w:color="auto"/>
                <w:left w:val="none" w:sz="0" w:space="0" w:color="auto"/>
                <w:bottom w:val="none" w:sz="0" w:space="0" w:color="auto"/>
                <w:right w:val="none" w:sz="0" w:space="0" w:color="auto"/>
              </w:divBdr>
              <w:divsChild>
                <w:div w:id="490560243">
                  <w:marLeft w:val="0"/>
                  <w:marRight w:val="0"/>
                  <w:marTop w:val="0"/>
                  <w:marBottom w:val="0"/>
                  <w:divBdr>
                    <w:top w:val="none" w:sz="0" w:space="0" w:color="auto"/>
                    <w:left w:val="none" w:sz="0" w:space="0" w:color="auto"/>
                    <w:bottom w:val="none" w:sz="0" w:space="0" w:color="auto"/>
                    <w:right w:val="none" w:sz="0" w:space="0" w:color="auto"/>
                  </w:divBdr>
                  <w:divsChild>
                    <w:div w:id="2007131120">
                      <w:marLeft w:val="0"/>
                      <w:marRight w:val="0"/>
                      <w:marTop w:val="0"/>
                      <w:marBottom w:val="0"/>
                      <w:divBdr>
                        <w:top w:val="none" w:sz="0" w:space="0" w:color="auto"/>
                        <w:left w:val="none" w:sz="0" w:space="0" w:color="auto"/>
                        <w:bottom w:val="none" w:sz="0" w:space="0" w:color="auto"/>
                        <w:right w:val="none" w:sz="0" w:space="0" w:color="auto"/>
                      </w:divBdr>
                    </w:div>
                  </w:divsChild>
                </w:div>
                <w:div w:id="1969361771">
                  <w:marLeft w:val="0"/>
                  <w:marRight w:val="0"/>
                  <w:marTop w:val="0"/>
                  <w:marBottom w:val="0"/>
                  <w:divBdr>
                    <w:top w:val="none" w:sz="0" w:space="0" w:color="auto"/>
                    <w:left w:val="none" w:sz="0" w:space="0" w:color="auto"/>
                    <w:bottom w:val="none" w:sz="0" w:space="0" w:color="auto"/>
                    <w:right w:val="none" w:sz="0" w:space="0" w:color="auto"/>
                  </w:divBdr>
                  <w:divsChild>
                    <w:div w:id="1040086140">
                      <w:marLeft w:val="0"/>
                      <w:marRight w:val="0"/>
                      <w:marTop w:val="0"/>
                      <w:marBottom w:val="0"/>
                      <w:divBdr>
                        <w:top w:val="none" w:sz="0" w:space="0" w:color="auto"/>
                        <w:left w:val="none" w:sz="0" w:space="0" w:color="auto"/>
                        <w:bottom w:val="none" w:sz="0" w:space="0" w:color="auto"/>
                        <w:right w:val="none" w:sz="0" w:space="0" w:color="auto"/>
                      </w:divBdr>
                    </w:div>
                  </w:divsChild>
                </w:div>
                <w:div w:id="747924299">
                  <w:marLeft w:val="0"/>
                  <w:marRight w:val="0"/>
                  <w:marTop w:val="0"/>
                  <w:marBottom w:val="0"/>
                  <w:divBdr>
                    <w:top w:val="none" w:sz="0" w:space="0" w:color="auto"/>
                    <w:left w:val="none" w:sz="0" w:space="0" w:color="auto"/>
                    <w:bottom w:val="none" w:sz="0" w:space="0" w:color="auto"/>
                    <w:right w:val="none" w:sz="0" w:space="0" w:color="auto"/>
                  </w:divBdr>
                  <w:divsChild>
                    <w:div w:id="1801879138">
                      <w:marLeft w:val="0"/>
                      <w:marRight w:val="0"/>
                      <w:marTop w:val="0"/>
                      <w:marBottom w:val="0"/>
                      <w:divBdr>
                        <w:top w:val="none" w:sz="0" w:space="0" w:color="auto"/>
                        <w:left w:val="none" w:sz="0" w:space="0" w:color="auto"/>
                        <w:bottom w:val="none" w:sz="0" w:space="0" w:color="auto"/>
                        <w:right w:val="none" w:sz="0" w:space="0" w:color="auto"/>
                      </w:divBdr>
                    </w:div>
                  </w:divsChild>
                </w:div>
                <w:div w:id="241184852">
                  <w:marLeft w:val="0"/>
                  <w:marRight w:val="0"/>
                  <w:marTop w:val="0"/>
                  <w:marBottom w:val="0"/>
                  <w:divBdr>
                    <w:top w:val="none" w:sz="0" w:space="0" w:color="auto"/>
                    <w:left w:val="none" w:sz="0" w:space="0" w:color="auto"/>
                    <w:bottom w:val="none" w:sz="0" w:space="0" w:color="auto"/>
                    <w:right w:val="none" w:sz="0" w:space="0" w:color="auto"/>
                  </w:divBdr>
                  <w:divsChild>
                    <w:div w:id="1083143377">
                      <w:marLeft w:val="0"/>
                      <w:marRight w:val="0"/>
                      <w:marTop w:val="0"/>
                      <w:marBottom w:val="0"/>
                      <w:divBdr>
                        <w:top w:val="none" w:sz="0" w:space="0" w:color="auto"/>
                        <w:left w:val="none" w:sz="0" w:space="0" w:color="auto"/>
                        <w:bottom w:val="none" w:sz="0" w:space="0" w:color="auto"/>
                        <w:right w:val="none" w:sz="0" w:space="0" w:color="auto"/>
                      </w:divBdr>
                    </w:div>
                  </w:divsChild>
                </w:div>
                <w:div w:id="25568499">
                  <w:marLeft w:val="0"/>
                  <w:marRight w:val="0"/>
                  <w:marTop w:val="0"/>
                  <w:marBottom w:val="0"/>
                  <w:divBdr>
                    <w:top w:val="none" w:sz="0" w:space="0" w:color="auto"/>
                    <w:left w:val="none" w:sz="0" w:space="0" w:color="auto"/>
                    <w:bottom w:val="none" w:sz="0" w:space="0" w:color="auto"/>
                    <w:right w:val="none" w:sz="0" w:space="0" w:color="auto"/>
                  </w:divBdr>
                  <w:divsChild>
                    <w:div w:id="546069050">
                      <w:marLeft w:val="0"/>
                      <w:marRight w:val="0"/>
                      <w:marTop w:val="0"/>
                      <w:marBottom w:val="0"/>
                      <w:divBdr>
                        <w:top w:val="none" w:sz="0" w:space="0" w:color="auto"/>
                        <w:left w:val="none" w:sz="0" w:space="0" w:color="auto"/>
                        <w:bottom w:val="none" w:sz="0" w:space="0" w:color="auto"/>
                        <w:right w:val="none" w:sz="0" w:space="0" w:color="auto"/>
                      </w:divBdr>
                    </w:div>
                  </w:divsChild>
                </w:div>
                <w:div w:id="139424996">
                  <w:marLeft w:val="0"/>
                  <w:marRight w:val="0"/>
                  <w:marTop w:val="0"/>
                  <w:marBottom w:val="0"/>
                  <w:divBdr>
                    <w:top w:val="none" w:sz="0" w:space="0" w:color="auto"/>
                    <w:left w:val="none" w:sz="0" w:space="0" w:color="auto"/>
                    <w:bottom w:val="none" w:sz="0" w:space="0" w:color="auto"/>
                    <w:right w:val="none" w:sz="0" w:space="0" w:color="auto"/>
                  </w:divBdr>
                </w:div>
              </w:divsChild>
            </w:div>
            <w:div w:id="888034089">
              <w:marLeft w:val="0"/>
              <w:marRight w:val="0"/>
              <w:marTop w:val="0"/>
              <w:marBottom w:val="0"/>
              <w:divBdr>
                <w:top w:val="none" w:sz="0" w:space="0" w:color="auto"/>
                <w:left w:val="none" w:sz="0" w:space="0" w:color="auto"/>
                <w:bottom w:val="none" w:sz="0" w:space="0" w:color="auto"/>
                <w:right w:val="none" w:sz="0" w:space="0" w:color="auto"/>
              </w:divBdr>
              <w:divsChild>
                <w:div w:id="515965303">
                  <w:marLeft w:val="0"/>
                  <w:marRight w:val="0"/>
                  <w:marTop w:val="0"/>
                  <w:marBottom w:val="0"/>
                  <w:divBdr>
                    <w:top w:val="none" w:sz="0" w:space="0" w:color="auto"/>
                    <w:left w:val="none" w:sz="0" w:space="0" w:color="auto"/>
                    <w:bottom w:val="none" w:sz="0" w:space="0" w:color="auto"/>
                    <w:right w:val="none" w:sz="0" w:space="0" w:color="auto"/>
                  </w:divBdr>
                  <w:divsChild>
                    <w:div w:id="1600017651">
                      <w:marLeft w:val="0"/>
                      <w:marRight w:val="0"/>
                      <w:marTop w:val="0"/>
                      <w:marBottom w:val="0"/>
                      <w:divBdr>
                        <w:top w:val="none" w:sz="0" w:space="0" w:color="auto"/>
                        <w:left w:val="none" w:sz="0" w:space="0" w:color="auto"/>
                        <w:bottom w:val="none" w:sz="0" w:space="0" w:color="auto"/>
                        <w:right w:val="none" w:sz="0" w:space="0" w:color="auto"/>
                      </w:divBdr>
                      <w:divsChild>
                        <w:div w:id="68926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213053">
              <w:marLeft w:val="0"/>
              <w:marRight w:val="0"/>
              <w:marTop w:val="0"/>
              <w:marBottom w:val="0"/>
              <w:divBdr>
                <w:top w:val="none" w:sz="0" w:space="0" w:color="auto"/>
                <w:left w:val="none" w:sz="0" w:space="0" w:color="auto"/>
                <w:bottom w:val="none" w:sz="0" w:space="0" w:color="auto"/>
                <w:right w:val="none" w:sz="0" w:space="0" w:color="auto"/>
              </w:divBdr>
              <w:divsChild>
                <w:div w:id="1705136805">
                  <w:marLeft w:val="0"/>
                  <w:marRight w:val="0"/>
                  <w:marTop w:val="0"/>
                  <w:marBottom w:val="0"/>
                  <w:divBdr>
                    <w:top w:val="none" w:sz="0" w:space="0" w:color="auto"/>
                    <w:left w:val="none" w:sz="0" w:space="0" w:color="auto"/>
                    <w:bottom w:val="none" w:sz="0" w:space="0" w:color="auto"/>
                    <w:right w:val="none" w:sz="0" w:space="0" w:color="auto"/>
                  </w:divBdr>
                  <w:divsChild>
                    <w:div w:id="63021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381708">
              <w:marLeft w:val="0"/>
              <w:marRight w:val="0"/>
              <w:marTop w:val="0"/>
              <w:marBottom w:val="0"/>
              <w:divBdr>
                <w:top w:val="none" w:sz="0" w:space="0" w:color="auto"/>
                <w:left w:val="none" w:sz="0" w:space="0" w:color="auto"/>
                <w:bottom w:val="none" w:sz="0" w:space="0" w:color="auto"/>
                <w:right w:val="none" w:sz="0" w:space="0" w:color="auto"/>
              </w:divBdr>
              <w:divsChild>
                <w:div w:id="1823161876">
                  <w:marLeft w:val="0"/>
                  <w:marRight w:val="0"/>
                  <w:marTop w:val="0"/>
                  <w:marBottom w:val="0"/>
                  <w:divBdr>
                    <w:top w:val="none" w:sz="0" w:space="0" w:color="auto"/>
                    <w:left w:val="none" w:sz="0" w:space="0" w:color="auto"/>
                    <w:bottom w:val="none" w:sz="0" w:space="0" w:color="auto"/>
                    <w:right w:val="none" w:sz="0" w:space="0" w:color="auto"/>
                  </w:divBdr>
                </w:div>
                <w:div w:id="318578704">
                  <w:marLeft w:val="0"/>
                  <w:marRight w:val="0"/>
                  <w:marTop w:val="0"/>
                  <w:marBottom w:val="0"/>
                  <w:divBdr>
                    <w:top w:val="none" w:sz="0" w:space="0" w:color="auto"/>
                    <w:left w:val="none" w:sz="0" w:space="0" w:color="auto"/>
                    <w:bottom w:val="none" w:sz="0" w:space="0" w:color="auto"/>
                    <w:right w:val="none" w:sz="0" w:space="0" w:color="auto"/>
                  </w:divBdr>
                </w:div>
              </w:divsChild>
            </w:div>
            <w:div w:id="574365873">
              <w:marLeft w:val="0"/>
              <w:marRight w:val="0"/>
              <w:marTop w:val="0"/>
              <w:marBottom w:val="0"/>
              <w:divBdr>
                <w:top w:val="none" w:sz="0" w:space="0" w:color="auto"/>
                <w:left w:val="none" w:sz="0" w:space="0" w:color="auto"/>
                <w:bottom w:val="none" w:sz="0" w:space="0" w:color="auto"/>
                <w:right w:val="none" w:sz="0" w:space="0" w:color="auto"/>
              </w:divBdr>
            </w:div>
            <w:div w:id="2020354200">
              <w:marLeft w:val="0"/>
              <w:marRight w:val="0"/>
              <w:marTop w:val="0"/>
              <w:marBottom w:val="0"/>
              <w:divBdr>
                <w:top w:val="none" w:sz="0" w:space="0" w:color="auto"/>
                <w:left w:val="none" w:sz="0" w:space="0" w:color="auto"/>
                <w:bottom w:val="none" w:sz="0" w:space="0" w:color="auto"/>
                <w:right w:val="none" w:sz="0" w:space="0" w:color="auto"/>
              </w:divBdr>
              <w:divsChild>
                <w:div w:id="725956648">
                  <w:marLeft w:val="0"/>
                  <w:marRight w:val="0"/>
                  <w:marTop w:val="0"/>
                  <w:marBottom w:val="0"/>
                  <w:divBdr>
                    <w:top w:val="none" w:sz="0" w:space="0" w:color="auto"/>
                    <w:left w:val="none" w:sz="0" w:space="0" w:color="auto"/>
                    <w:bottom w:val="none" w:sz="0" w:space="0" w:color="auto"/>
                    <w:right w:val="none" w:sz="0" w:space="0" w:color="auto"/>
                  </w:divBdr>
                  <w:divsChild>
                    <w:div w:id="120640402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292757773">
              <w:marLeft w:val="0"/>
              <w:marRight w:val="0"/>
              <w:marTop w:val="0"/>
              <w:marBottom w:val="0"/>
              <w:divBdr>
                <w:top w:val="none" w:sz="0" w:space="0" w:color="auto"/>
                <w:left w:val="none" w:sz="0" w:space="0" w:color="auto"/>
                <w:bottom w:val="none" w:sz="0" w:space="0" w:color="auto"/>
                <w:right w:val="none" w:sz="0" w:space="0" w:color="auto"/>
              </w:divBdr>
              <w:divsChild>
                <w:div w:id="1235698143">
                  <w:marLeft w:val="0"/>
                  <w:marRight w:val="0"/>
                  <w:marTop w:val="0"/>
                  <w:marBottom w:val="0"/>
                  <w:divBdr>
                    <w:top w:val="none" w:sz="0" w:space="0" w:color="auto"/>
                    <w:left w:val="none" w:sz="0" w:space="0" w:color="auto"/>
                    <w:bottom w:val="none" w:sz="0" w:space="0" w:color="auto"/>
                    <w:right w:val="none" w:sz="0" w:space="0" w:color="auto"/>
                  </w:divBdr>
                  <w:divsChild>
                    <w:div w:id="1449394976">
                      <w:marLeft w:val="0"/>
                      <w:marRight w:val="0"/>
                      <w:marTop w:val="0"/>
                      <w:marBottom w:val="0"/>
                      <w:divBdr>
                        <w:top w:val="none" w:sz="0" w:space="0" w:color="auto"/>
                        <w:left w:val="none" w:sz="0" w:space="0" w:color="auto"/>
                        <w:bottom w:val="none" w:sz="0" w:space="0" w:color="auto"/>
                        <w:right w:val="none" w:sz="0" w:space="0" w:color="auto"/>
                      </w:divBdr>
                    </w:div>
                    <w:div w:id="1324240076">
                      <w:marLeft w:val="0"/>
                      <w:marRight w:val="0"/>
                      <w:marTop w:val="0"/>
                      <w:marBottom w:val="0"/>
                      <w:divBdr>
                        <w:top w:val="none" w:sz="0" w:space="0" w:color="auto"/>
                        <w:left w:val="none" w:sz="0" w:space="0" w:color="auto"/>
                        <w:bottom w:val="none" w:sz="0" w:space="0" w:color="auto"/>
                        <w:right w:val="none" w:sz="0" w:space="0" w:color="auto"/>
                      </w:divBdr>
                      <w:divsChild>
                        <w:div w:id="1558130373">
                          <w:marLeft w:val="0"/>
                          <w:marRight w:val="0"/>
                          <w:marTop w:val="0"/>
                          <w:marBottom w:val="0"/>
                          <w:divBdr>
                            <w:top w:val="single" w:sz="6" w:space="0" w:color="5B616B"/>
                            <w:left w:val="single" w:sz="6" w:space="0" w:color="5B616B"/>
                            <w:bottom w:val="single" w:sz="6" w:space="0" w:color="5B616B"/>
                            <w:right w:val="single" w:sz="6" w:space="0" w:color="5B616B"/>
                          </w:divBdr>
                        </w:div>
                        <w:div w:id="115730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022905">
              <w:marLeft w:val="0"/>
              <w:marRight w:val="0"/>
              <w:marTop w:val="0"/>
              <w:marBottom w:val="0"/>
              <w:divBdr>
                <w:top w:val="none" w:sz="0" w:space="0" w:color="auto"/>
                <w:left w:val="none" w:sz="0" w:space="0" w:color="auto"/>
                <w:bottom w:val="none" w:sz="0" w:space="0" w:color="auto"/>
                <w:right w:val="none" w:sz="0" w:space="0" w:color="auto"/>
              </w:divBdr>
              <w:divsChild>
                <w:div w:id="35215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269814">
          <w:marLeft w:val="0"/>
          <w:marRight w:val="0"/>
          <w:marTop w:val="0"/>
          <w:marBottom w:val="0"/>
          <w:divBdr>
            <w:top w:val="none" w:sz="0" w:space="0" w:color="auto"/>
            <w:left w:val="none" w:sz="0" w:space="0" w:color="auto"/>
            <w:bottom w:val="none" w:sz="0" w:space="0" w:color="auto"/>
            <w:right w:val="none" w:sz="0" w:space="0" w:color="auto"/>
          </w:divBdr>
          <w:divsChild>
            <w:div w:id="941884297">
              <w:marLeft w:val="0"/>
              <w:marRight w:val="0"/>
              <w:marTop w:val="0"/>
              <w:marBottom w:val="0"/>
              <w:divBdr>
                <w:top w:val="none" w:sz="0" w:space="0" w:color="auto"/>
                <w:left w:val="none" w:sz="0" w:space="0" w:color="auto"/>
                <w:bottom w:val="none" w:sz="0" w:space="0" w:color="auto"/>
                <w:right w:val="none" w:sz="0" w:space="0" w:color="auto"/>
              </w:divBdr>
              <w:divsChild>
                <w:div w:id="65163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833592">
          <w:marLeft w:val="0"/>
          <w:marRight w:val="0"/>
          <w:marTop w:val="0"/>
          <w:marBottom w:val="0"/>
          <w:divBdr>
            <w:top w:val="none" w:sz="0" w:space="0" w:color="auto"/>
            <w:left w:val="none" w:sz="0" w:space="0" w:color="auto"/>
            <w:bottom w:val="none" w:sz="0" w:space="0" w:color="auto"/>
            <w:right w:val="none" w:sz="0" w:space="0" w:color="auto"/>
          </w:divBdr>
          <w:divsChild>
            <w:div w:id="1118569448">
              <w:marLeft w:val="0"/>
              <w:marRight w:val="0"/>
              <w:marTop w:val="0"/>
              <w:marBottom w:val="0"/>
              <w:divBdr>
                <w:top w:val="none" w:sz="0" w:space="0" w:color="auto"/>
                <w:left w:val="none" w:sz="0" w:space="0" w:color="auto"/>
                <w:bottom w:val="none" w:sz="0" w:space="0" w:color="auto"/>
                <w:right w:val="none" w:sz="0" w:space="0" w:color="auto"/>
              </w:divBdr>
              <w:divsChild>
                <w:div w:id="1334409412">
                  <w:marLeft w:val="0"/>
                  <w:marRight w:val="385"/>
                  <w:marTop w:val="0"/>
                  <w:marBottom w:val="0"/>
                  <w:divBdr>
                    <w:top w:val="none" w:sz="0" w:space="0" w:color="auto"/>
                    <w:left w:val="none" w:sz="0" w:space="0" w:color="auto"/>
                    <w:bottom w:val="none" w:sz="0" w:space="0" w:color="auto"/>
                    <w:right w:val="none" w:sz="0" w:space="0" w:color="auto"/>
                  </w:divBdr>
                </w:div>
                <w:div w:id="305400724">
                  <w:marLeft w:val="0"/>
                  <w:marRight w:val="0"/>
                  <w:marTop w:val="0"/>
                  <w:marBottom w:val="0"/>
                  <w:divBdr>
                    <w:top w:val="none" w:sz="0" w:space="0" w:color="auto"/>
                    <w:left w:val="none" w:sz="0" w:space="0" w:color="auto"/>
                    <w:bottom w:val="none" w:sz="0" w:space="0" w:color="auto"/>
                    <w:right w:val="none" w:sz="0" w:space="0" w:color="auto"/>
                  </w:divBdr>
                  <w:divsChild>
                    <w:div w:id="1821847232">
                      <w:marLeft w:val="0"/>
                      <w:marRight w:val="0"/>
                      <w:marTop w:val="0"/>
                      <w:marBottom w:val="0"/>
                      <w:divBdr>
                        <w:top w:val="none" w:sz="0" w:space="0" w:color="auto"/>
                        <w:left w:val="none" w:sz="0" w:space="0" w:color="auto"/>
                        <w:bottom w:val="none" w:sz="0" w:space="0" w:color="auto"/>
                        <w:right w:val="none" w:sz="0" w:space="0" w:color="auto"/>
                      </w:divBdr>
                      <w:divsChild>
                        <w:div w:id="614214749">
                          <w:marLeft w:val="0"/>
                          <w:marRight w:val="188"/>
                          <w:marTop w:val="0"/>
                          <w:marBottom w:val="0"/>
                          <w:divBdr>
                            <w:top w:val="none" w:sz="0" w:space="0" w:color="auto"/>
                            <w:left w:val="none" w:sz="0" w:space="0" w:color="auto"/>
                            <w:bottom w:val="none" w:sz="0" w:space="0" w:color="auto"/>
                            <w:right w:val="none" w:sz="0" w:space="0" w:color="auto"/>
                          </w:divBdr>
                        </w:div>
                        <w:div w:id="960300413">
                          <w:marLeft w:val="0"/>
                          <w:marRight w:val="188"/>
                          <w:marTop w:val="0"/>
                          <w:marBottom w:val="0"/>
                          <w:divBdr>
                            <w:top w:val="none" w:sz="0" w:space="0" w:color="auto"/>
                            <w:left w:val="none" w:sz="0" w:space="0" w:color="auto"/>
                            <w:bottom w:val="none" w:sz="0" w:space="0" w:color="auto"/>
                            <w:right w:val="none" w:sz="0" w:space="0" w:color="auto"/>
                          </w:divBdr>
                        </w:div>
                        <w:div w:id="199113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204602">
          <w:marLeft w:val="0"/>
          <w:marRight w:val="0"/>
          <w:marTop w:val="0"/>
          <w:marBottom w:val="0"/>
          <w:divBdr>
            <w:top w:val="none" w:sz="0" w:space="0" w:color="auto"/>
            <w:left w:val="none" w:sz="0" w:space="0" w:color="auto"/>
            <w:bottom w:val="none" w:sz="0" w:space="0" w:color="auto"/>
            <w:right w:val="none" w:sz="0" w:space="0" w:color="auto"/>
          </w:divBdr>
          <w:divsChild>
            <w:div w:id="1115448412">
              <w:marLeft w:val="0"/>
              <w:marRight w:val="0"/>
              <w:marTop w:val="0"/>
              <w:marBottom w:val="0"/>
              <w:divBdr>
                <w:top w:val="none" w:sz="0" w:space="0" w:color="auto"/>
                <w:left w:val="none" w:sz="0" w:space="0" w:color="auto"/>
                <w:bottom w:val="none" w:sz="0" w:space="0" w:color="auto"/>
                <w:right w:val="none" w:sz="0" w:space="0" w:color="auto"/>
              </w:divBdr>
            </w:div>
          </w:divsChild>
        </w:div>
        <w:div w:id="174346033">
          <w:marLeft w:val="0"/>
          <w:marRight w:val="0"/>
          <w:marTop w:val="0"/>
          <w:marBottom w:val="0"/>
          <w:divBdr>
            <w:top w:val="none" w:sz="0" w:space="0" w:color="auto"/>
            <w:left w:val="none" w:sz="0" w:space="0" w:color="auto"/>
            <w:bottom w:val="none" w:sz="0" w:space="0" w:color="auto"/>
            <w:right w:val="none" w:sz="0" w:space="0" w:color="auto"/>
          </w:divBdr>
        </w:div>
      </w:divsChild>
    </w:div>
    <w:div w:id="638918187">
      <w:bodyDiv w:val="1"/>
      <w:marLeft w:val="0"/>
      <w:marRight w:val="0"/>
      <w:marTop w:val="0"/>
      <w:marBottom w:val="0"/>
      <w:divBdr>
        <w:top w:val="none" w:sz="0" w:space="0" w:color="auto"/>
        <w:left w:val="none" w:sz="0" w:space="0" w:color="auto"/>
        <w:bottom w:val="none" w:sz="0" w:space="0" w:color="auto"/>
        <w:right w:val="none" w:sz="0" w:space="0" w:color="auto"/>
      </w:divBdr>
    </w:div>
    <w:div w:id="644509337">
      <w:bodyDiv w:val="1"/>
      <w:marLeft w:val="0"/>
      <w:marRight w:val="0"/>
      <w:marTop w:val="0"/>
      <w:marBottom w:val="0"/>
      <w:divBdr>
        <w:top w:val="none" w:sz="0" w:space="0" w:color="auto"/>
        <w:left w:val="none" w:sz="0" w:space="0" w:color="auto"/>
        <w:bottom w:val="none" w:sz="0" w:space="0" w:color="auto"/>
        <w:right w:val="none" w:sz="0" w:space="0" w:color="auto"/>
      </w:divBdr>
    </w:div>
    <w:div w:id="670374256">
      <w:bodyDiv w:val="1"/>
      <w:marLeft w:val="0"/>
      <w:marRight w:val="0"/>
      <w:marTop w:val="0"/>
      <w:marBottom w:val="0"/>
      <w:divBdr>
        <w:top w:val="none" w:sz="0" w:space="0" w:color="auto"/>
        <w:left w:val="none" w:sz="0" w:space="0" w:color="auto"/>
        <w:bottom w:val="none" w:sz="0" w:space="0" w:color="auto"/>
        <w:right w:val="none" w:sz="0" w:space="0" w:color="auto"/>
      </w:divBdr>
    </w:div>
    <w:div w:id="680934361">
      <w:bodyDiv w:val="1"/>
      <w:marLeft w:val="0"/>
      <w:marRight w:val="0"/>
      <w:marTop w:val="0"/>
      <w:marBottom w:val="0"/>
      <w:divBdr>
        <w:top w:val="none" w:sz="0" w:space="0" w:color="auto"/>
        <w:left w:val="none" w:sz="0" w:space="0" w:color="auto"/>
        <w:bottom w:val="none" w:sz="0" w:space="0" w:color="auto"/>
        <w:right w:val="none" w:sz="0" w:space="0" w:color="auto"/>
      </w:divBdr>
    </w:div>
    <w:div w:id="683673402">
      <w:bodyDiv w:val="1"/>
      <w:marLeft w:val="0"/>
      <w:marRight w:val="0"/>
      <w:marTop w:val="0"/>
      <w:marBottom w:val="0"/>
      <w:divBdr>
        <w:top w:val="none" w:sz="0" w:space="0" w:color="auto"/>
        <w:left w:val="none" w:sz="0" w:space="0" w:color="auto"/>
        <w:bottom w:val="none" w:sz="0" w:space="0" w:color="auto"/>
        <w:right w:val="none" w:sz="0" w:space="0" w:color="auto"/>
      </w:divBdr>
    </w:div>
    <w:div w:id="705714801">
      <w:bodyDiv w:val="1"/>
      <w:marLeft w:val="0"/>
      <w:marRight w:val="0"/>
      <w:marTop w:val="0"/>
      <w:marBottom w:val="0"/>
      <w:divBdr>
        <w:top w:val="none" w:sz="0" w:space="0" w:color="auto"/>
        <w:left w:val="none" w:sz="0" w:space="0" w:color="auto"/>
        <w:bottom w:val="none" w:sz="0" w:space="0" w:color="auto"/>
        <w:right w:val="none" w:sz="0" w:space="0" w:color="auto"/>
      </w:divBdr>
    </w:div>
    <w:div w:id="722100548">
      <w:bodyDiv w:val="1"/>
      <w:marLeft w:val="0"/>
      <w:marRight w:val="0"/>
      <w:marTop w:val="0"/>
      <w:marBottom w:val="0"/>
      <w:divBdr>
        <w:top w:val="none" w:sz="0" w:space="0" w:color="auto"/>
        <w:left w:val="none" w:sz="0" w:space="0" w:color="auto"/>
        <w:bottom w:val="none" w:sz="0" w:space="0" w:color="auto"/>
        <w:right w:val="none" w:sz="0" w:space="0" w:color="auto"/>
      </w:divBdr>
    </w:div>
    <w:div w:id="732508549">
      <w:bodyDiv w:val="1"/>
      <w:marLeft w:val="0"/>
      <w:marRight w:val="0"/>
      <w:marTop w:val="0"/>
      <w:marBottom w:val="0"/>
      <w:divBdr>
        <w:top w:val="none" w:sz="0" w:space="0" w:color="auto"/>
        <w:left w:val="none" w:sz="0" w:space="0" w:color="auto"/>
        <w:bottom w:val="none" w:sz="0" w:space="0" w:color="auto"/>
        <w:right w:val="none" w:sz="0" w:space="0" w:color="auto"/>
      </w:divBdr>
    </w:div>
    <w:div w:id="738019398">
      <w:bodyDiv w:val="1"/>
      <w:marLeft w:val="0"/>
      <w:marRight w:val="0"/>
      <w:marTop w:val="0"/>
      <w:marBottom w:val="0"/>
      <w:divBdr>
        <w:top w:val="none" w:sz="0" w:space="0" w:color="auto"/>
        <w:left w:val="none" w:sz="0" w:space="0" w:color="auto"/>
        <w:bottom w:val="none" w:sz="0" w:space="0" w:color="auto"/>
        <w:right w:val="none" w:sz="0" w:space="0" w:color="auto"/>
      </w:divBdr>
    </w:div>
    <w:div w:id="742416395">
      <w:bodyDiv w:val="1"/>
      <w:marLeft w:val="0"/>
      <w:marRight w:val="0"/>
      <w:marTop w:val="0"/>
      <w:marBottom w:val="0"/>
      <w:divBdr>
        <w:top w:val="none" w:sz="0" w:space="0" w:color="auto"/>
        <w:left w:val="none" w:sz="0" w:space="0" w:color="auto"/>
        <w:bottom w:val="none" w:sz="0" w:space="0" w:color="auto"/>
        <w:right w:val="none" w:sz="0" w:space="0" w:color="auto"/>
      </w:divBdr>
    </w:div>
    <w:div w:id="780879686">
      <w:bodyDiv w:val="1"/>
      <w:marLeft w:val="0"/>
      <w:marRight w:val="0"/>
      <w:marTop w:val="0"/>
      <w:marBottom w:val="0"/>
      <w:divBdr>
        <w:top w:val="none" w:sz="0" w:space="0" w:color="auto"/>
        <w:left w:val="none" w:sz="0" w:space="0" w:color="auto"/>
        <w:bottom w:val="none" w:sz="0" w:space="0" w:color="auto"/>
        <w:right w:val="none" w:sz="0" w:space="0" w:color="auto"/>
      </w:divBdr>
    </w:div>
    <w:div w:id="783963141">
      <w:bodyDiv w:val="1"/>
      <w:marLeft w:val="0"/>
      <w:marRight w:val="0"/>
      <w:marTop w:val="0"/>
      <w:marBottom w:val="0"/>
      <w:divBdr>
        <w:top w:val="none" w:sz="0" w:space="0" w:color="auto"/>
        <w:left w:val="none" w:sz="0" w:space="0" w:color="auto"/>
        <w:bottom w:val="none" w:sz="0" w:space="0" w:color="auto"/>
        <w:right w:val="none" w:sz="0" w:space="0" w:color="auto"/>
      </w:divBdr>
    </w:div>
    <w:div w:id="785663625">
      <w:bodyDiv w:val="1"/>
      <w:marLeft w:val="0"/>
      <w:marRight w:val="0"/>
      <w:marTop w:val="0"/>
      <w:marBottom w:val="0"/>
      <w:divBdr>
        <w:top w:val="none" w:sz="0" w:space="0" w:color="auto"/>
        <w:left w:val="none" w:sz="0" w:space="0" w:color="auto"/>
        <w:bottom w:val="none" w:sz="0" w:space="0" w:color="auto"/>
        <w:right w:val="none" w:sz="0" w:space="0" w:color="auto"/>
      </w:divBdr>
    </w:div>
    <w:div w:id="793672205">
      <w:bodyDiv w:val="1"/>
      <w:marLeft w:val="0"/>
      <w:marRight w:val="0"/>
      <w:marTop w:val="0"/>
      <w:marBottom w:val="0"/>
      <w:divBdr>
        <w:top w:val="none" w:sz="0" w:space="0" w:color="auto"/>
        <w:left w:val="none" w:sz="0" w:space="0" w:color="auto"/>
        <w:bottom w:val="none" w:sz="0" w:space="0" w:color="auto"/>
        <w:right w:val="none" w:sz="0" w:space="0" w:color="auto"/>
      </w:divBdr>
    </w:div>
    <w:div w:id="823401320">
      <w:bodyDiv w:val="1"/>
      <w:marLeft w:val="0"/>
      <w:marRight w:val="0"/>
      <w:marTop w:val="0"/>
      <w:marBottom w:val="0"/>
      <w:divBdr>
        <w:top w:val="none" w:sz="0" w:space="0" w:color="auto"/>
        <w:left w:val="none" w:sz="0" w:space="0" w:color="auto"/>
        <w:bottom w:val="none" w:sz="0" w:space="0" w:color="auto"/>
        <w:right w:val="none" w:sz="0" w:space="0" w:color="auto"/>
      </w:divBdr>
    </w:div>
    <w:div w:id="824200723">
      <w:bodyDiv w:val="1"/>
      <w:marLeft w:val="0"/>
      <w:marRight w:val="0"/>
      <w:marTop w:val="0"/>
      <w:marBottom w:val="0"/>
      <w:divBdr>
        <w:top w:val="none" w:sz="0" w:space="0" w:color="auto"/>
        <w:left w:val="none" w:sz="0" w:space="0" w:color="auto"/>
        <w:bottom w:val="none" w:sz="0" w:space="0" w:color="auto"/>
        <w:right w:val="none" w:sz="0" w:space="0" w:color="auto"/>
      </w:divBdr>
    </w:div>
    <w:div w:id="827751888">
      <w:bodyDiv w:val="1"/>
      <w:marLeft w:val="0"/>
      <w:marRight w:val="0"/>
      <w:marTop w:val="0"/>
      <w:marBottom w:val="0"/>
      <w:divBdr>
        <w:top w:val="none" w:sz="0" w:space="0" w:color="auto"/>
        <w:left w:val="none" w:sz="0" w:space="0" w:color="auto"/>
        <w:bottom w:val="none" w:sz="0" w:space="0" w:color="auto"/>
        <w:right w:val="none" w:sz="0" w:space="0" w:color="auto"/>
      </w:divBdr>
    </w:div>
    <w:div w:id="841824105">
      <w:bodyDiv w:val="1"/>
      <w:marLeft w:val="0"/>
      <w:marRight w:val="0"/>
      <w:marTop w:val="0"/>
      <w:marBottom w:val="0"/>
      <w:divBdr>
        <w:top w:val="none" w:sz="0" w:space="0" w:color="auto"/>
        <w:left w:val="none" w:sz="0" w:space="0" w:color="auto"/>
        <w:bottom w:val="none" w:sz="0" w:space="0" w:color="auto"/>
        <w:right w:val="none" w:sz="0" w:space="0" w:color="auto"/>
      </w:divBdr>
    </w:div>
    <w:div w:id="844827155">
      <w:bodyDiv w:val="1"/>
      <w:marLeft w:val="0"/>
      <w:marRight w:val="0"/>
      <w:marTop w:val="0"/>
      <w:marBottom w:val="0"/>
      <w:divBdr>
        <w:top w:val="none" w:sz="0" w:space="0" w:color="auto"/>
        <w:left w:val="none" w:sz="0" w:space="0" w:color="auto"/>
        <w:bottom w:val="none" w:sz="0" w:space="0" w:color="auto"/>
        <w:right w:val="none" w:sz="0" w:space="0" w:color="auto"/>
      </w:divBdr>
    </w:div>
    <w:div w:id="852887650">
      <w:bodyDiv w:val="1"/>
      <w:marLeft w:val="0"/>
      <w:marRight w:val="0"/>
      <w:marTop w:val="0"/>
      <w:marBottom w:val="0"/>
      <w:divBdr>
        <w:top w:val="none" w:sz="0" w:space="0" w:color="auto"/>
        <w:left w:val="none" w:sz="0" w:space="0" w:color="auto"/>
        <w:bottom w:val="none" w:sz="0" w:space="0" w:color="auto"/>
        <w:right w:val="none" w:sz="0" w:space="0" w:color="auto"/>
      </w:divBdr>
    </w:div>
    <w:div w:id="859124212">
      <w:bodyDiv w:val="1"/>
      <w:marLeft w:val="0"/>
      <w:marRight w:val="0"/>
      <w:marTop w:val="0"/>
      <w:marBottom w:val="0"/>
      <w:divBdr>
        <w:top w:val="none" w:sz="0" w:space="0" w:color="auto"/>
        <w:left w:val="none" w:sz="0" w:space="0" w:color="auto"/>
        <w:bottom w:val="none" w:sz="0" w:space="0" w:color="auto"/>
        <w:right w:val="none" w:sz="0" w:space="0" w:color="auto"/>
      </w:divBdr>
    </w:div>
    <w:div w:id="867720115">
      <w:bodyDiv w:val="1"/>
      <w:marLeft w:val="0"/>
      <w:marRight w:val="0"/>
      <w:marTop w:val="0"/>
      <w:marBottom w:val="0"/>
      <w:divBdr>
        <w:top w:val="none" w:sz="0" w:space="0" w:color="auto"/>
        <w:left w:val="none" w:sz="0" w:space="0" w:color="auto"/>
        <w:bottom w:val="none" w:sz="0" w:space="0" w:color="auto"/>
        <w:right w:val="none" w:sz="0" w:space="0" w:color="auto"/>
      </w:divBdr>
    </w:div>
    <w:div w:id="867987527">
      <w:bodyDiv w:val="1"/>
      <w:marLeft w:val="0"/>
      <w:marRight w:val="0"/>
      <w:marTop w:val="0"/>
      <w:marBottom w:val="0"/>
      <w:divBdr>
        <w:top w:val="none" w:sz="0" w:space="0" w:color="auto"/>
        <w:left w:val="none" w:sz="0" w:space="0" w:color="auto"/>
        <w:bottom w:val="none" w:sz="0" w:space="0" w:color="auto"/>
        <w:right w:val="none" w:sz="0" w:space="0" w:color="auto"/>
      </w:divBdr>
    </w:div>
    <w:div w:id="869224046">
      <w:bodyDiv w:val="1"/>
      <w:marLeft w:val="0"/>
      <w:marRight w:val="0"/>
      <w:marTop w:val="0"/>
      <w:marBottom w:val="0"/>
      <w:divBdr>
        <w:top w:val="none" w:sz="0" w:space="0" w:color="auto"/>
        <w:left w:val="none" w:sz="0" w:space="0" w:color="auto"/>
        <w:bottom w:val="none" w:sz="0" w:space="0" w:color="auto"/>
        <w:right w:val="none" w:sz="0" w:space="0" w:color="auto"/>
      </w:divBdr>
    </w:div>
    <w:div w:id="871843134">
      <w:bodyDiv w:val="1"/>
      <w:marLeft w:val="0"/>
      <w:marRight w:val="0"/>
      <w:marTop w:val="0"/>
      <w:marBottom w:val="0"/>
      <w:divBdr>
        <w:top w:val="none" w:sz="0" w:space="0" w:color="auto"/>
        <w:left w:val="none" w:sz="0" w:space="0" w:color="auto"/>
        <w:bottom w:val="none" w:sz="0" w:space="0" w:color="auto"/>
        <w:right w:val="none" w:sz="0" w:space="0" w:color="auto"/>
      </w:divBdr>
    </w:div>
    <w:div w:id="876428336">
      <w:bodyDiv w:val="1"/>
      <w:marLeft w:val="0"/>
      <w:marRight w:val="0"/>
      <w:marTop w:val="0"/>
      <w:marBottom w:val="0"/>
      <w:divBdr>
        <w:top w:val="none" w:sz="0" w:space="0" w:color="auto"/>
        <w:left w:val="none" w:sz="0" w:space="0" w:color="auto"/>
        <w:bottom w:val="none" w:sz="0" w:space="0" w:color="auto"/>
        <w:right w:val="none" w:sz="0" w:space="0" w:color="auto"/>
      </w:divBdr>
    </w:div>
    <w:div w:id="878589927">
      <w:bodyDiv w:val="1"/>
      <w:marLeft w:val="0"/>
      <w:marRight w:val="0"/>
      <w:marTop w:val="0"/>
      <w:marBottom w:val="0"/>
      <w:divBdr>
        <w:top w:val="none" w:sz="0" w:space="0" w:color="auto"/>
        <w:left w:val="none" w:sz="0" w:space="0" w:color="auto"/>
        <w:bottom w:val="none" w:sz="0" w:space="0" w:color="auto"/>
        <w:right w:val="none" w:sz="0" w:space="0" w:color="auto"/>
      </w:divBdr>
    </w:div>
    <w:div w:id="913511442">
      <w:bodyDiv w:val="1"/>
      <w:marLeft w:val="0"/>
      <w:marRight w:val="0"/>
      <w:marTop w:val="0"/>
      <w:marBottom w:val="0"/>
      <w:divBdr>
        <w:top w:val="none" w:sz="0" w:space="0" w:color="auto"/>
        <w:left w:val="none" w:sz="0" w:space="0" w:color="auto"/>
        <w:bottom w:val="none" w:sz="0" w:space="0" w:color="auto"/>
        <w:right w:val="none" w:sz="0" w:space="0" w:color="auto"/>
      </w:divBdr>
    </w:div>
    <w:div w:id="924800085">
      <w:bodyDiv w:val="1"/>
      <w:marLeft w:val="0"/>
      <w:marRight w:val="0"/>
      <w:marTop w:val="0"/>
      <w:marBottom w:val="0"/>
      <w:divBdr>
        <w:top w:val="none" w:sz="0" w:space="0" w:color="auto"/>
        <w:left w:val="none" w:sz="0" w:space="0" w:color="auto"/>
        <w:bottom w:val="none" w:sz="0" w:space="0" w:color="auto"/>
        <w:right w:val="none" w:sz="0" w:space="0" w:color="auto"/>
      </w:divBdr>
    </w:div>
    <w:div w:id="942344661">
      <w:bodyDiv w:val="1"/>
      <w:marLeft w:val="0"/>
      <w:marRight w:val="0"/>
      <w:marTop w:val="0"/>
      <w:marBottom w:val="0"/>
      <w:divBdr>
        <w:top w:val="none" w:sz="0" w:space="0" w:color="auto"/>
        <w:left w:val="none" w:sz="0" w:space="0" w:color="auto"/>
        <w:bottom w:val="none" w:sz="0" w:space="0" w:color="auto"/>
        <w:right w:val="none" w:sz="0" w:space="0" w:color="auto"/>
      </w:divBdr>
    </w:div>
    <w:div w:id="943348251">
      <w:bodyDiv w:val="1"/>
      <w:marLeft w:val="0"/>
      <w:marRight w:val="0"/>
      <w:marTop w:val="0"/>
      <w:marBottom w:val="0"/>
      <w:divBdr>
        <w:top w:val="none" w:sz="0" w:space="0" w:color="auto"/>
        <w:left w:val="none" w:sz="0" w:space="0" w:color="auto"/>
        <w:bottom w:val="none" w:sz="0" w:space="0" w:color="auto"/>
        <w:right w:val="none" w:sz="0" w:space="0" w:color="auto"/>
      </w:divBdr>
    </w:div>
    <w:div w:id="951858195">
      <w:bodyDiv w:val="1"/>
      <w:marLeft w:val="0"/>
      <w:marRight w:val="0"/>
      <w:marTop w:val="0"/>
      <w:marBottom w:val="0"/>
      <w:divBdr>
        <w:top w:val="none" w:sz="0" w:space="0" w:color="auto"/>
        <w:left w:val="none" w:sz="0" w:space="0" w:color="auto"/>
        <w:bottom w:val="none" w:sz="0" w:space="0" w:color="auto"/>
        <w:right w:val="none" w:sz="0" w:space="0" w:color="auto"/>
      </w:divBdr>
    </w:div>
    <w:div w:id="952588805">
      <w:bodyDiv w:val="1"/>
      <w:marLeft w:val="0"/>
      <w:marRight w:val="0"/>
      <w:marTop w:val="0"/>
      <w:marBottom w:val="0"/>
      <w:divBdr>
        <w:top w:val="none" w:sz="0" w:space="0" w:color="auto"/>
        <w:left w:val="none" w:sz="0" w:space="0" w:color="auto"/>
        <w:bottom w:val="none" w:sz="0" w:space="0" w:color="auto"/>
        <w:right w:val="none" w:sz="0" w:space="0" w:color="auto"/>
      </w:divBdr>
    </w:div>
    <w:div w:id="954337134">
      <w:bodyDiv w:val="1"/>
      <w:marLeft w:val="0"/>
      <w:marRight w:val="0"/>
      <w:marTop w:val="0"/>
      <w:marBottom w:val="0"/>
      <w:divBdr>
        <w:top w:val="none" w:sz="0" w:space="0" w:color="auto"/>
        <w:left w:val="none" w:sz="0" w:space="0" w:color="auto"/>
        <w:bottom w:val="none" w:sz="0" w:space="0" w:color="auto"/>
        <w:right w:val="none" w:sz="0" w:space="0" w:color="auto"/>
      </w:divBdr>
    </w:div>
    <w:div w:id="967974312">
      <w:bodyDiv w:val="1"/>
      <w:marLeft w:val="0"/>
      <w:marRight w:val="0"/>
      <w:marTop w:val="0"/>
      <w:marBottom w:val="0"/>
      <w:divBdr>
        <w:top w:val="none" w:sz="0" w:space="0" w:color="auto"/>
        <w:left w:val="none" w:sz="0" w:space="0" w:color="auto"/>
        <w:bottom w:val="none" w:sz="0" w:space="0" w:color="auto"/>
        <w:right w:val="none" w:sz="0" w:space="0" w:color="auto"/>
      </w:divBdr>
    </w:div>
    <w:div w:id="981232755">
      <w:bodyDiv w:val="1"/>
      <w:marLeft w:val="0"/>
      <w:marRight w:val="0"/>
      <w:marTop w:val="0"/>
      <w:marBottom w:val="0"/>
      <w:divBdr>
        <w:top w:val="none" w:sz="0" w:space="0" w:color="auto"/>
        <w:left w:val="none" w:sz="0" w:space="0" w:color="auto"/>
        <w:bottom w:val="none" w:sz="0" w:space="0" w:color="auto"/>
        <w:right w:val="none" w:sz="0" w:space="0" w:color="auto"/>
      </w:divBdr>
    </w:div>
    <w:div w:id="986474873">
      <w:bodyDiv w:val="1"/>
      <w:marLeft w:val="0"/>
      <w:marRight w:val="0"/>
      <w:marTop w:val="0"/>
      <w:marBottom w:val="0"/>
      <w:divBdr>
        <w:top w:val="none" w:sz="0" w:space="0" w:color="auto"/>
        <w:left w:val="none" w:sz="0" w:space="0" w:color="auto"/>
        <w:bottom w:val="none" w:sz="0" w:space="0" w:color="auto"/>
        <w:right w:val="none" w:sz="0" w:space="0" w:color="auto"/>
      </w:divBdr>
    </w:div>
    <w:div w:id="1005673021">
      <w:bodyDiv w:val="1"/>
      <w:marLeft w:val="0"/>
      <w:marRight w:val="0"/>
      <w:marTop w:val="0"/>
      <w:marBottom w:val="0"/>
      <w:divBdr>
        <w:top w:val="none" w:sz="0" w:space="0" w:color="auto"/>
        <w:left w:val="none" w:sz="0" w:space="0" w:color="auto"/>
        <w:bottom w:val="none" w:sz="0" w:space="0" w:color="auto"/>
        <w:right w:val="none" w:sz="0" w:space="0" w:color="auto"/>
      </w:divBdr>
    </w:div>
    <w:div w:id="1005716019">
      <w:bodyDiv w:val="1"/>
      <w:marLeft w:val="0"/>
      <w:marRight w:val="0"/>
      <w:marTop w:val="0"/>
      <w:marBottom w:val="0"/>
      <w:divBdr>
        <w:top w:val="none" w:sz="0" w:space="0" w:color="auto"/>
        <w:left w:val="none" w:sz="0" w:space="0" w:color="auto"/>
        <w:bottom w:val="none" w:sz="0" w:space="0" w:color="auto"/>
        <w:right w:val="none" w:sz="0" w:space="0" w:color="auto"/>
      </w:divBdr>
    </w:div>
    <w:div w:id="1006902583">
      <w:bodyDiv w:val="1"/>
      <w:marLeft w:val="0"/>
      <w:marRight w:val="0"/>
      <w:marTop w:val="0"/>
      <w:marBottom w:val="0"/>
      <w:divBdr>
        <w:top w:val="none" w:sz="0" w:space="0" w:color="auto"/>
        <w:left w:val="none" w:sz="0" w:space="0" w:color="auto"/>
        <w:bottom w:val="none" w:sz="0" w:space="0" w:color="auto"/>
        <w:right w:val="none" w:sz="0" w:space="0" w:color="auto"/>
      </w:divBdr>
    </w:div>
    <w:div w:id="1013385221">
      <w:bodyDiv w:val="1"/>
      <w:marLeft w:val="0"/>
      <w:marRight w:val="0"/>
      <w:marTop w:val="0"/>
      <w:marBottom w:val="0"/>
      <w:divBdr>
        <w:top w:val="none" w:sz="0" w:space="0" w:color="auto"/>
        <w:left w:val="none" w:sz="0" w:space="0" w:color="auto"/>
        <w:bottom w:val="none" w:sz="0" w:space="0" w:color="auto"/>
        <w:right w:val="none" w:sz="0" w:space="0" w:color="auto"/>
      </w:divBdr>
    </w:div>
    <w:div w:id="1016349987">
      <w:bodyDiv w:val="1"/>
      <w:marLeft w:val="0"/>
      <w:marRight w:val="0"/>
      <w:marTop w:val="0"/>
      <w:marBottom w:val="0"/>
      <w:divBdr>
        <w:top w:val="none" w:sz="0" w:space="0" w:color="auto"/>
        <w:left w:val="none" w:sz="0" w:space="0" w:color="auto"/>
        <w:bottom w:val="none" w:sz="0" w:space="0" w:color="auto"/>
        <w:right w:val="none" w:sz="0" w:space="0" w:color="auto"/>
      </w:divBdr>
    </w:div>
    <w:div w:id="1016738393">
      <w:bodyDiv w:val="1"/>
      <w:marLeft w:val="0"/>
      <w:marRight w:val="0"/>
      <w:marTop w:val="0"/>
      <w:marBottom w:val="0"/>
      <w:divBdr>
        <w:top w:val="none" w:sz="0" w:space="0" w:color="auto"/>
        <w:left w:val="none" w:sz="0" w:space="0" w:color="auto"/>
        <w:bottom w:val="none" w:sz="0" w:space="0" w:color="auto"/>
        <w:right w:val="none" w:sz="0" w:space="0" w:color="auto"/>
      </w:divBdr>
    </w:div>
    <w:div w:id="1023894456">
      <w:bodyDiv w:val="1"/>
      <w:marLeft w:val="0"/>
      <w:marRight w:val="0"/>
      <w:marTop w:val="0"/>
      <w:marBottom w:val="0"/>
      <w:divBdr>
        <w:top w:val="none" w:sz="0" w:space="0" w:color="auto"/>
        <w:left w:val="none" w:sz="0" w:space="0" w:color="auto"/>
        <w:bottom w:val="none" w:sz="0" w:space="0" w:color="auto"/>
        <w:right w:val="none" w:sz="0" w:space="0" w:color="auto"/>
      </w:divBdr>
    </w:div>
    <w:div w:id="1029452042">
      <w:bodyDiv w:val="1"/>
      <w:marLeft w:val="0"/>
      <w:marRight w:val="0"/>
      <w:marTop w:val="0"/>
      <w:marBottom w:val="0"/>
      <w:divBdr>
        <w:top w:val="none" w:sz="0" w:space="0" w:color="auto"/>
        <w:left w:val="none" w:sz="0" w:space="0" w:color="auto"/>
        <w:bottom w:val="none" w:sz="0" w:space="0" w:color="auto"/>
        <w:right w:val="none" w:sz="0" w:space="0" w:color="auto"/>
      </w:divBdr>
    </w:div>
    <w:div w:id="1031303419">
      <w:bodyDiv w:val="1"/>
      <w:marLeft w:val="0"/>
      <w:marRight w:val="0"/>
      <w:marTop w:val="0"/>
      <w:marBottom w:val="0"/>
      <w:divBdr>
        <w:top w:val="none" w:sz="0" w:space="0" w:color="auto"/>
        <w:left w:val="none" w:sz="0" w:space="0" w:color="auto"/>
        <w:bottom w:val="none" w:sz="0" w:space="0" w:color="auto"/>
        <w:right w:val="none" w:sz="0" w:space="0" w:color="auto"/>
      </w:divBdr>
    </w:div>
    <w:div w:id="1043362398">
      <w:bodyDiv w:val="1"/>
      <w:marLeft w:val="0"/>
      <w:marRight w:val="0"/>
      <w:marTop w:val="0"/>
      <w:marBottom w:val="0"/>
      <w:divBdr>
        <w:top w:val="none" w:sz="0" w:space="0" w:color="auto"/>
        <w:left w:val="none" w:sz="0" w:space="0" w:color="auto"/>
        <w:bottom w:val="none" w:sz="0" w:space="0" w:color="auto"/>
        <w:right w:val="none" w:sz="0" w:space="0" w:color="auto"/>
      </w:divBdr>
    </w:div>
    <w:div w:id="1046682393">
      <w:bodyDiv w:val="1"/>
      <w:marLeft w:val="0"/>
      <w:marRight w:val="0"/>
      <w:marTop w:val="0"/>
      <w:marBottom w:val="0"/>
      <w:divBdr>
        <w:top w:val="none" w:sz="0" w:space="0" w:color="auto"/>
        <w:left w:val="none" w:sz="0" w:space="0" w:color="auto"/>
        <w:bottom w:val="none" w:sz="0" w:space="0" w:color="auto"/>
        <w:right w:val="none" w:sz="0" w:space="0" w:color="auto"/>
      </w:divBdr>
    </w:div>
    <w:div w:id="1049916360">
      <w:bodyDiv w:val="1"/>
      <w:marLeft w:val="0"/>
      <w:marRight w:val="0"/>
      <w:marTop w:val="0"/>
      <w:marBottom w:val="0"/>
      <w:divBdr>
        <w:top w:val="none" w:sz="0" w:space="0" w:color="auto"/>
        <w:left w:val="none" w:sz="0" w:space="0" w:color="auto"/>
        <w:bottom w:val="none" w:sz="0" w:space="0" w:color="auto"/>
        <w:right w:val="none" w:sz="0" w:space="0" w:color="auto"/>
      </w:divBdr>
    </w:div>
    <w:div w:id="1108086610">
      <w:bodyDiv w:val="1"/>
      <w:marLeft w:val="0"/>
      <w:marRight w:val="0"/>
      <w:marTop w:val="0"/>
      <w:marBottom w:val="0"/>
      <w:divBdr>
        <w:top w:val="none" w:sz="0" w:space="0" w:color="auto"/>
        <w:left w:val="none" w:sz="0" w:space="0" w:color="auto"/>
        <w:bottom w:val="none" w:sz="0" w:space="0" w:color="auto"/>
        <w:right w:val="none" w:sz="0" w:space="0" w:color="auto"/>
      </w:divBdr>
    </w:div>
    <w:div w:id="1130825679">
      <w:bodyDiv w:val="1"/>
      <w:marLeft w:val="0"/>
      <w:marRight w:val="0"/>
      <w:marTop w:val="0"/>
      <w:marBottom w:val="0"/>
      <w:divBdr>
        <w:top w:val="none" w:sz="0" w:space="0" w:color="auto"/>
        <w:left w:val="none" w:sz="0" w:space="0" w:color="auto"/>
        <w:bottom w:val="none" w:sz="0" w:space="0" w:color="auto"/>
        <w:right w:val="none" w:sz="0" w:space="0" w:color="auto"/>
      </w:divBdr>
    </w:div>
    <w:div w:id="1133447233">
      <w:bodyDiv w:val="1"/>
      <w:marLeft w:val="0"/>
      <w:marRight w:val="0"/>
      <w:marTop w:val="0"/>
      <w:marBottom w:val="0"/>
      <w:divBdr>
        <w:top w:val="none" w:sz="0" w:space="0" w:color="auto"/>
        <w:left w:val="none" w:sz="0" w:space="0" w:color="auto"/>
        <w:bottom w:val="none" w:sz="0" w:space="0" w:color="auto"/>
        <w:right w:val="none" w:sz="0" w:space="0" w:color="auto"/>
      </w:divBdr>
    </w:div>
    <w:div w:id="1133672916">
      <w:bodyDiv w:val="1"/>
      <w:marLeft w:val="0"/>
      <w:marRight w:val="0"/>
      <w:marTop w:val="0"/>
      <w:marBottom w:val="0"/>
      <w:divBdr>
        <w:top w:val="none" w:sz="0" w:space="0" w:color="auto"/>
        <w:left w:val="none" w:sz="0" w:space="0" w:color="auto"/>
        <w:bottom w:val="none" w:sz="0" w:space="0" w:color="auto"/>
        <w:right w:val="none" w:sz="0" w:space="0" w:color="auto"/>
      </w:divBdr>
    </w:div>
    <w:div w:id="1147479539">
      <w:bodyDiv w:val="1"/>
      <w:marLeft w:val="0"/>
      <w:marRight w:val="0"/>
      <w:marTop w:val="0"/>
      <w:marBottom w:val="0"/>
      <w:divBdr>
        <w:top w:val="none" w:sz="0" w:space="0" w:color="auto"/>
        <w:left w:val="none" w:sz="0" w:space="0" w:color="auto"/>
        <w:bottom w:val="none" w:sz="0" w:space="0" w:color="auto"/>
        <w:right w:val="none" w:sz="0" w:space="0" w:color="auto"/>
      </w:divBdr>
    </w:div>
    <w:div w:id="1148398880">
      <w:bodyDiv w:val="1"/>
      <w:marLeft w:val="0"/>
      <w:marRight w:val="0"/>
      <w:marTop w:val="0"/>
      <w:marBottom w:val="0"/>
      <w:divBdr>
        <w:top w:val="none" w:sz="0" w:space="0" w:color="auto"/>
        <w:left w:val="none" w:sz="0" w:space="0" w:color="auto"/>
        <w:bottom w:val="none" w:sz="0" w:space="0" w:color="auto"/>
        <w:right w:val="none" w:sz="0" w:space="0" w:color="auto"/>
      </w:divBdr>
    </w:div>
    <w:div w:id="1156648198">
      <w:bodyDiv w:val="1"/>
      <w:marLeft w:val="0"/>
      <w:marRight w:val="0"/>
      <w:marTop w:val="0"/>
      <w:marBottom w:val="0"/>
      <w:divBdr>
        <w:top w:val="none" w:sz="0" w:space="0" w:color="auto"/>
        <w:left w:val="none" w:sz="0" w:space="0" w:color="auto"/>
        <w:bottom w:val="none" w:sz="0" w:space="0" w:color="auto"/>
        <w:right w:val="none" w:sz="0" w:space="0" w:color="auto"/>
      </w:divBdr>
    </w:div>
    <w:div w:id="1174303726">
      <w:bodyDiv w:val="1"/>
      <w:marLeft w:val="0"/>
      <w:marRight w:val="0"/>
      <w:marTop w:val="0"/>
      <w:marBottom w:val="0"/>
      <w:divBdr>
        <w:top w:val="none" w:sz="0" w:space="0" w:color="auto"/>
        <w:left w:val="none" w:sz="0" w:space="0" w:color="auto"/>
        <w:bottom w:val="none" w:sz="0" w:space="0" w:color="auto"/>
        <w:right w:val="none" w:sz="0" w:space="0" w:color="auto"/>
      </w:divBdr>
    </w:div>
    <w:div w:id="1174346627">
      <w:bodyDiv w:val="1"/>
      <w:marLeft w:val="0"/>
      <w:marRight w:val="0"/>
      <w:marTop w:val="0"/>
      <w:marBottom w:val="0"/>
      <w:divBdr>
        <w:top w:val="none" w:sz="0" w:space="0" w:color="auto"/>
        <w:left w:val="none" w:sz="0" w:space="0" w:color="auto"/>
        <w:bottom w:val="none" w:sz="0" w:space="0" w:color="auto"/>
        <w:right w:val="none" w:sz="0" w:space="0" w:color="auto"/>
      </w:divBdr>
    </w:div>
    <w:div w:id="1180435510">
      <w:bodyDiv w:val="1"/>
      <w:marLeft w:val="0"/>
      <w:marRight w:val="0"/>
      <w:marTop w:val="0"/>
      <w:marBottom w:val="0"/>
      <w:divBdr>
        <w:top w:val="none" w:sz="0" w:space="0" w:color="auto"/>
        <w:left w:val="none" w:sz="0" w:space="0" w:color="auto"/>
        <w:bottom w:val="none" w:sz="0" w:space="0" w:color="auto"/>
        <w:right w:val="none" w:sz="0" w:space="0" w:color="auto"/>
      </w:divBdr>
    </w:div>
    <w:div w:id="1196382349">
      <w:bodyDiv w:val="1"/>
      <w:marLeft w:val="0"/>
      <w:marRight w:val="0"/>
      <w:marTop w:val="0"/>
      <w:marBottom w:val="0"/>
      <w:divBdr>
        <w:top w:val="none" w:sz="0" w:space="0" w:color="auto"/>
        <w:left w:val="none" w:sz="0" w:space="0" w:color="auto"/>
        <w:bottom w:val="none" w:sz="0" w:space="0" w:color="auto"/>
        <w:right w:val="none" w:sz="0" w:space="0" w:color="auto"/>
      </w:divBdr>
    </w:div>
    <w:div w:id="1200313230">
      <w:bodyDiv w:val="1"/>
      <w:marLeft w:val="0"/>
      <w:marRight w:val="0"/>
      <w:marTop w:val="0"/>
      <w:marBottom w:val="0"/>
      <w:divBdr>
        <w:top w:val="none" w:sz="0" w:space="0" w:color="auto"/>
        <w:left w:val="none" w:sz="0" w:space="0" w:color="auto"/>
        <w:bottom w:val="none" w:sz="0" w:space="0" w:color="auto"/>
        <w:right w:val="none" w:sz="0" w:space="0" w:color="auto"/>
      </w:divBdr>
    </w:div>
    <w:div w:id="1207912356">
      <w:bodyDiv w:val="1"/>
      <w:marLeft w:val="0"/>
      <w:marRight w:val="0"/>
      <w:marTop w:val="0"/>
      <w:marBottom w:val="0"/>
      <w:divBdr>
        <w:top w:val="none" w:sz="0" w:space="0" w:color="auto"/>
        <w:left w:val="none" w:sz="0" w:space="0" w:color="auto"/>
        <w:bottom w:val="none" w:sz="0" w:space="0" w:color="auto"/>
        <w:right w:val="none" w:sz="0" w:space="0" w:color="auto"/>
      </w:divBdr>
    </w:div>
    <w:div w:id="1213999748">
      <w:bodyDiv w:val="1"/>
      <w:marLeft w:val="0"/>
      <w:marRight w:val="0"/>
      <w:marTop w:val="0"/>
      <w:marBottom w:val="0"/>
      <w:divBdr>
        <w:top w:val="none" w:sz="0" w:space="0" w:color="auto"/>
        <w:left w:val="none" w:sz="0" w:space="0" w:color="auto"/>
        <w:bottom w:val="none" w:sz="0" w:space="0" w:color="auto"/>
        <w:right w:val="none" w:sz="0" w:space="0" w:color="auto"/>
      </w:divBdr>
    </w:div>
    <w:div w:id="1217009439">
      <w:bodyDiv w:val="1"/>
      <w:marLeft w:val="0"/>
      <w:marRight w:val="0"/>
      <w:marTop w:val="0"/>
      <w:marBottom w:val="0"/>
      <w:divBdr>
        <w:top w:val="none" w:sz="0" w:space="0" w:color="auto"/>
        <w:left w:val="none" w:sz="0" w:space="0" w:color="auto"/>
        <w:bottom w:val="none" w:sz="0" w:space="0" w:color="auto"/>
        <w:right w:val="none" w:sz="0" w:space="0" w:color="auto"/>
      </w:divBdr>
    </w:div>
    <w:div w:id="1233270339">
      <w:bodyDiv w:val="1"/>
      <w:marLeft w:val="0"/>
      <w:marRight w:val="0"/>
      <w:marTop w:val="0"/>
      <w:marBottom w:val="0"/>
      <w:divBdr>
        <w:top w:val="none" w:sz="0" w:space="0" w:color="auto"/>
        <w:left w:val="none" w:sz="0" w:space="0" w:color="auto"/>
        <w:bottom w:val="none" w:sz="0" w:space="0" w:color="auto"/>
        <w:right w:val="none" w:sz="0" w:space="0" w:color="auto"/>
      </w:divBdr>
    </w:div>
    <w:div w:id="1234701907">
      <w:bodyDiv w:val="1"/>
      <w:marLeft w:val="0"/>
      <w:marRight w:val="0"/>
      <w:marTop w:val="0"/>
      <w:marBottom w:val="0"/>
      <w:divBdr>
        <w:top w:val="none" w:sz="0" w:space="0" w:color="auto"/>
        <w:left w:val="none" w:sz="0" w:space="0" w:color="auto"/>
        <w:bottom w:val="none" w:sz="0" w:space="0" w:color="auto"/>
        <w:right w:val="none" w:sz="0" w:space="0" w:color="auto"/>
      </w:divBdr>
    </w:div>
    <w:div w:id="1250115241">
      <w:bodyDiv w:val="1"/>
      <w:marLeft w:val="0"/>
      <w:marRight w:val="0"/>
      <w:marTop w:val="0"/>
      <w:marBottom w:val="0"/>
      <w:divBdr>
        <w:top w:val="none" w:sz="0" w:space="0" w:color="auto"/>
        <w:left w:val="none" w:sz="0" w:space="0" w:color="auto"/>
        <w:bottom w:val="none" w:sz="0" w:space="0" w:color="auto"/>
        <w:right w:val="none" w:sz="0" w:space="0" w:color="auto"/>
      </w:divBdr>
    </w:div>
    <w:div w:id="1250387043">
      <w:bodyDiv w:val="1"/>
      <w:marLeft w:val="0"/>
      <w:marRight w:val="0"/>
      <w:marTop w:val="0"/>
      <w:marBottom w:val="0"/>
      <w:divBdr>
        <w:top w:val="none" w:sz="0" w:space="0" w:color="auto"/>
        <w:left w:val="none" w:sz="0" w:space="0" w:color="auto"/>
        <w:bottom w:val="none" w:sz="0" w:space="0" w:color="auto"/>
        <w:right w:val="none" w:sz="0" w:space="0" w:color="auto"/>
      </w:divBdr>
    </w:div>
    <w:div w:id="1251239460">
      <w:bodyDiv w:val="1"/>
      <w:marLeft w:val="0"/>
      <w:marRight w:val="0"/>
      <w:marTop w:val="0"/>
      <w:marBottom w:val="0"/>
      <w:divBdr>
        <w:top w:val="none" w:sz="0" w:space="0" w:color="auto"/>
        <w:left w:val="none" w:sz="0" w:space="0" w:color="auto"/>
        <w:bottom w:val="none" w:sz="0" w:space="0" w:color="auto"/>
        <w:right w:val="none" w:sz="0" w:space="0" w:color="auto"/>
      </w:divBdr>
    </w:div>
    <w:div w:id="1256480113">
      <w:bodyDiv w:val="1"/>
      <w:marLeft w:val="0"/>
      <w:marRight w:val="0"/>
      <w:marTop w:val="0"/>
      <w:marBottom w:val="0"/>
      <w:divBdr>
        <w:top w:val="none" w:sz="0" w:space="0" w:color="auto"/>
        <w:left w:val="none" w:sz="0" w:space="0" w:color="auto"/>
        <w:bottom w:val="none" w:sz="0" w:space="0" w:color="auto"/>
        <w:right w:val="none" w:sz="0" w:space="0" w:color="auto"/>
      </w:divBdr>
    </w:div>
    <w:div w:id="1256862001">
      <w:bodyDiv w:val="1"/>
      <w:marLeft w:val="0"/>
      <w:marRight w:val="0"/>
      <w:marTop w:val="0"/>
      <w:marBottom w:val="0"/>
      <w:divBdr>
        <w:top w:val="none" w:sz="0" w:space="0" w:color="auto"/>
        <w:left w:val="none" w:sz="0" w:space="0" w:color="auto"/>
        <w:bottom w:val="none" w:sz="0" w:space="0" w:color="auto"/>
        <w:right w:val="none" w:sz="0" w:space="0" w:color="auto"/>
      </w:divBdr>
    </w:div>
    <w:div w:id="1270548303">
      <w:bodyDiv w:val="1"/>
      <w:marLeft w:val="0"/>
      <w:marRight w:val="0"/>
      <w:marTop w:val="0"/>
      <w:marBottom w:val="0"/>
      <w:divBdr>
        <w:top w:val="none" w:sz="0" w:space="0" w:color="auto"/>
        <w:left w:val="none" w:sz="0" w:space="0" w:color="auto"/>
        <w:bottom w:val="none" w:sz="0" w:space="0" w:color="auto"/>
        <w:right w:val="none" w:sz="0" w:space="0" w:color="auto"/>
      </w:divBdr>
    </w:div>
    <w:div w:id="1272736457">
      <w:bodyDiv w:val="1"/>
      <w:marLeft w:val="0"/>
      <w:marRight w:val="0"/>
      <w:marTop w:val="0"/>
      <w:marBottom w:val="0"/>
      <w:divBdr>
        <w:top w:val="none" w:sz="0" w:space="0" w:color="auto"/>
        <w:left w:val="none" w:sz="0" w:space="0" w:color="auto"/>
        <w:bottom w:val="none" w:sz="0" w:space="0" w:color="auto"/>
        <w:right w:val="none" w:sz="0" w:space="0" w:color="auto"/>
      </w:divBdr>
    </w:div>
    <w:div w:id="1279025501">
      <w:bodyDiv w:val="1"/>
      <w:marLeft w:val="0"/>
      <w:marRight w:val="0"/>
      <w:marTop w:val="0"/>
      <w:marBottom w:val="0"/>
      <w:divBdr>
        <w:top w:val="none" w:sz="0" w:space="0" w:color="auto"/>
        <w:left w:val="none" w:sz="0" w:space="0" w:color="auto"/>
        <w:bottom w:val="none" w:sz="0" w:space="0" w:color="auto"/>
        <w:right w:val="none" w:sz="0" w:space="0" w:color="auto"/>
      </w:divBdr>
    </w:div>
    <w:div w:id="1288506624">
      <w:bodyDiv w:val="1"/>
      <w:marLeft w:val="0"/>
      <w:marRight w:val="0"/>
      <w:marTop w:val="0"/>
      <w:marBottom w:val="0"/>
      <w:divBdr>
        <w:top w:val="none" w:sz="0" w:space="0" w:color="auto"/>
        <w:left w:val="none" w:sz="0" w:space="0" w:color="auto"/>
        <w:bottom w:val="none" w:sz="0" w:space="0" w:color="auto"/>
        <w:right w:val="none" w:sz="0" w:space="0" w:color="auto"/>
      </w:divBdr>
    </w:div>
    <w:div w:id="1290477129">
      <w:bodyDiv w:val="1"/>
      <w:marLeft w:val="0"/>
      <w:marRight w:val="0"/>
      <w:marTop w:val="0"/>
      <w:marBottom w:val="0"/>
      <w:divBdr>
        <w:top w:val="none" w:sz="0" w:space="0" w:color="auto"/>
        <w:left w:val="none" w:sz="0" w:space="0" w:color="auto"/>
        <w:bottom w:val="none" w:sz="0" w:space="0" w:color="auto"/>
        <w:right w:val="none" w:sz="0" w:space="0" w:color="auto"/>
      </w:divBdr>
    </w:div>
    <w:div w:id="1316570590">
      <w:bodyDiv w:val="1"/>
      <w:marLeft w:val="0"/>
      <w:marRight w:val="0"/>
      <w:marTop w:val="0"/>
      <w:marBottom w:val="0"/>
      <w:divBdr>
        <w:top w:val="none" w:sz="0" w:space="0" w:color="auto"/>
        <w:left w:val="none" w:sz="0" w:space="0" w:color="auto"/>
        <w:bottom w:val="none" w:sz="0" w:space="0" w:color="auto"/>
        <w:right w:val="none" w:sz="0" w:space="0" w:color="auto"/>
      </w:divBdr>
    </w:div>
    <w:div w:id="1334068131">
      <w:bodyDiv w:val="1"/>
      <w:marLeft w:val="0"/>
      <w:marRight w:val="0"/>
      <w:marTop w:val="0"/>
      <w:marBottom w:val="0"/>
      <w:divBdr>
        <w:top w:val="none" w:sz="0" w:space="0" w:color="auto"/>
        <w:left w:val="none" w:sz="0" w:space="0" w:color="auto"/>
        <w:bottom w:val="none" w:sz="0" w:space="0" w:color="auto"/>
        <w:right w:val="none" w:sz="0" w:space="0" w:color="auto"/>
      </w:divBdr>
    </w:div>
    <w:div w:id="1347513660">
      <w:bodyDiv w:val="1"/>
      <w:marLeft w:val="0"/>
      <w:marRight w:val="0"/>
      <w:marTop w:val="0"/>
      <w:marBottom w:val="0"/>
      <w:divBdr>
        <w:top w:val="none" w:sz="0" w:space="0" w:color="auto"/>
        <w:left w:val="none" w:sz="0" w:space="0" w:color="auto"/>
        <w:bottom w:val="none" w:sz="0" w:space="0" w:color="auto"/>
        <w:right w:val="none" w:sz="0" w:space="0" w:color="auto"/>
      </w:divBdr>
    </w:div>
    <w:div w:id="1367290784">
      <w:bodyDiv w:val="1"/>
      <w:marLeft w:val="0"/>
      <w:marRight w:val="0"/>
      <w:marTop w:val="0"/>
      <w:marBottom w:val="0"/>
      <w:divBdr>
        <w:top w:val="none" w:sz="0" w:space="0" w:color="auto"/>
        <w:left w:val="none" w:sz="0" w:space="0" w:color="auto"/>
        <w:bottom w:val="none" w:sz="0" w:space="0" w:color="auto"/>
        <w:right w:val="none" w:sz="0" w:space="0" w:color="auto"/>
      </w:divBdr>
    </w:div>
    <w:div w:id="1391658761">
      <w:bodyDiv w:val="1"/>
      <w:marLeft w:val="0"/>
      <w:marRight w:val="0"/>
      <w:marTop w:val="0"/>
      <w:marBottom w:val="0"/>
      <w:divBdr>
        <w:top w:val="none" w:sz="0" w:space="0" w:color="auto"/>
        <w:left w:val="none" w:sz="0" w:space="0" w:color="auto"/>
        <w:bottom w:val="none" w:sz="0" w:space="0" w:color="auto"/>
        <w:right w:val="none" w:sz="0" w:space="0" w:color="auto"/>
      </w:divBdr>
    </w:div>
    <w:div w:id="1393502285">
      <w:bodyDiv w:val="1"/>
      <w:marLeft w:val="0"/>
      <w:marRight w:val="0"/>
      <w:marTop w:val="0"/>
      <w:marBottom w:val="0"/>
      <w:divBdr>
        <w:top w:val="none" w:sz="0" w:space="0" w:color="auto"/>
        <w:left w:val="none" w:sz="0" w:space="0" w:color="auto"/>
        <w:bottom w:val="none" w:sz="0" w:space="0" w:color="auto"/>
        <w:right w:val="none" w:sz="0" w:space="0" w:color="auto"/>
      </w:divBdr>
    </w:div>
    <w:div w:id="1394505046">
      <w:bodyDiv w:val="1"/>
      <w:marLeft w:val="0"/>
      <w:marRight w:val="0"/>
      <w:marTop w:val="0"/>
      <w:marBottom w:val="0"/>
      <w:divBdr>
        <w:top w:val="none" w:sz="0" w:space="0" w:color="auto"/>
        <w:left w:val="none" w:sz="0" w:space="0" w:color="auto"/>
        <w:bottom w:val="none" w:sz="0" w:space="0" w:color="auto"/>
        <w:right w:val="none" w:sz="0" w:space="0" w:color="auto"/>
      </w:divBdr>
    </w:div>
    <w:div w:id="1398087120">
      <w:bodyDiv w:val="1"/>
      <w:marLeft w:val="0"/>
      <w:marRight w:val="0"/>
      <w:marTop w:val="0"/>
      <w:marBottom w:val="0"/>
      <w:divBdr>
        <w:top w:val="none" w:sz="0" w:space="0" w:color="auto"/>
        <w:left w:val="none" w:sz="0" w:space="0" w:color="auto"/>
        <w:bottom w:val="none" w:sz="0" w:space="0" w:color="auto"/>
        <w:right w:val="none" w:sz="0" w:space="0" w:color="auto"/>
      </w:divBdr>
    </w:div>
    <w:div w:id="1403674177">
      <w:bodyDiv w:val="1"/>
      <w:marLeft w:val="0"/>
      <w:marRight w:val="0"/>
      <w:marTop w:val="0"/>
      <w:marBottom w:val="0"/>
      <w:divBdr>
        <w:top w:val="none" w:sz="0" w:space="0" w:color="auto"/>
        <w:left w:val="none" w:sz="0" w:space="0" w:color="auto"/>
        <w:bottom w:val="none" w:sz="0" w:space="0" w:color="auto"/>
        <w:right w:val="none" w:sz="0" w:space="0" w:color="auto"/>
      </w:divBdr>
    </w:div>
    <w:div w:id="1406952777">
      <w:bodyDiv w:val="1"/>
      <w:marLeft w:val="0"/>
      <w:marRight w:val="0"/>
      <w:marTop w:val="0"/>
      <w:marBottom w:val="0"/>
      <w:divBdr>
        <w:top w:val="none" w:sz="0" w:space="0" w:color="auto"/>
        <w:left w:val="none" w:sz="0" w:space="0" w:color="auto"/>
        <w:bottom w:val="none" w:sz="0" w:space="0" w:color="auto"/>
        <w:right w:val="none" w:sz="0" w:space="0" w:color="auto"/>
      </w:divBdr>
    </w:div>
    <w:div w:id="1408268239">
      <w:bodyDiv w:val="1"/>
      <w:marLeft w:val="0"/>
      <w:marRight w:val="0"/>
      <w:marTop w:val="0"/>
      <w:marBottom w:val="0"/>
      <w:divBdr>
        <w:top w:val="none" w:sz="0" w:space="0" w:color="auto"/>
        <w:left w:val="none" w:sz="0" w:space="0" w:color="auto"/>
        <w:bottom w:val="none" w:sz="0" w:space="0" w:color="auto"/>
        <w:right w:val="none" w:sz="0" w:space="0" w:color="auto"/>
      </w:divBdr>
    </w:div>
    <w:div w:id="1410155804">
      <w:bodyDiv w:val="1"/>
      <w:marLeft w:val="0"/>
      <w:marRight w:val="0"/>
      <w:marTop w:val="0"/>
      <w:marBottom w:val="0"/>
      <w:divBdr>
        <w:top w:val="none" w:sz="0" w:space="0" w:color="auto"/>
        <w:left w:val="none" w:sz="0" w:space="0" w:color="auto"/>
        <w:bottom w:val="none" w:sz="0" w:space="0" w:color="auto"/>
        <w:right w:val="none" w:sz="0" w:space="0" w:color="auto"/>
      </w:divBdr>
      <w:divsChild>
        <w:div w:id="343821746">
          <w:marLeft w:val="0"/>
          <w:marRight w:val="0"/>
          <w:marTop w:val="90"/>
          <w:marBottom w:val="0"/>
          <w:divBdr>
            <w:top w:val="none" w:sz="0" w:space="0" w:color="auto"/>
            <w:left w:val="none" w:sz="0" w:space="0" w:color="auto"/>
            <w:bottom w:val="none" w:sz="0" w:space="0" w:color="auto"/>
            <w:right w:val="none" w:sz="0" w:space="0" w:color="auto"/>
          </w:divBdr>
          <w:divsChild>
            <w:div w:id="80104133">
              <w:marLeft w:val="0"/>
              <w:marRight w:val="0"/>
              <w:marTop w:val="0"/>
              <w:marBottom w:val="420"/>
              <w:divBdr>
                <w:top w:val="none" w:sz="0" w:space="0" w:color="auto"/>
                <w:left w:val="none" w:sz="0" w:space="0" w:color="auto"/>
                <w:bottom w:val="none" w:sz="0" w:space="0" w:color="auto"/>
                <w:right w:val="none" w:sz="0" w:space="0" w:color="auto"/>
              </w:divBdr>
              <w:divsChild>
                <w:div w:id="1088190963">
                  <w:marLeft w:val="0"/>
                  <w:marRight w:val="0"/>
                  <w:marTop w:val="0"/>
                  <w:marBottom w:val="0"/>
                  <w:divBdr>
                    <w:top w:val="none" w:sz="0" w:space="0" w:color="auto"/>
                    <w:left w:val="none" w:sz="0" w:space="0" w:color="auto"/>
                    <w:bottom w:val="none" w:sz="0" w:space="0" w:color="auto"/>
                    <w:right w:val="none" w:sz="0" w:space="0" w:color="auto"/>
                  </w:divBdr>
                  <w:divsChild>
                    <w:div w:id="125390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536442">
      <w:bodyDiv w:val="1"/>
      <w:marLeft w:val="0"/>
      <w:marRight w:val="0"/>
      <w:marTop w:val="0"/>
      <w:marBottom w:val="0"/>
      <w:divBdr>
        <w:top w:val="none" w:sz="0" w:space="0" w:color="auto"/>
        <w:left w:val="none" w:sz="0" w:space="0" w:color="auto"/>
        <w:bottom w:val="none" w:sz="0" w:space="0" w:color="auto"/>
        <w:right w:val="none" w:sz="0" w:space="0" w:color="auto"/>
      </w:divBdr>
    </w:div>
    <w:div w:id="1433863336">
      <w:bodyDiv w:val="1"/>
      <w:marLeft w:val="0"/>
      <w:marRight w:val="0"/>
      <w:marTop w:val="0"/>
      <w:marBottom w:val="0"/>
      <w:divBdr>
        <w:top w:val="none" w:sz="0" w:space="0" w:color="auto"/>
        <w:left w:val="none" w:sz="0" w:space="0" w:color="auto"/>
        <w:bottom w:val="none" w:sz="0" w:space="0" w:color="auto"/>
        <w:right w:val="none" w:sz="0" w:space="0" w:color="auto"/>
      </w:divBdr>
    </w:div>
    <w:div w:id="1439371370">
      <w:bodyDiv w:val="1"/>
      <w:marLeft w:val="0"/>
      <w:marRight w:val="0"/>
      <w:marTop w:val="0"/>
      <w:marBottom w:val="0"/>
      <w:divBdr>
        <w:top w:val="none" w:sz="0" w:space="0" w:color="auto"/>
        <w:left w:val="none" w:sz="0" w:space="0" w:color="auto"/>
        <w:bottom w:val="none" w:sz="0" w:space="0" w:color="auto"/>
        <w:right w:val="none" w:sz="0" w:space="0" w:color="auto"/>
      </w:divBdr>
    </w:div>
    <w:div w:id="1456173450">
      <w:bodyDiv w:val="1"/>
      <w:marLeft w:val="0"/>
      <w:marRight w:val="0"/>
      <w:marTop w:val="0"/>
      <w:marBottom w:val="0"/>
      <w:divBdr>
        <w:top w:val="none" w:sz="0" w:space="0" w:color="auto"/>
        <w:left w:val="none" w:sz="0" w:space="0" w:color="auto"/>
        <w:bottom w:val="none" w:sz="0" w:space="0" w:color="auto"/>
        <w:right w:val="none" w:sz="0" w:space="0" w:color="auto"/>
      </w:divBdr>
    </w:div>
    <w:div w:id="1467896270">
      <w:bodyDiv w:val="1"/>
      <w:marLeft w:val="0"/>
      <w:marRight w:val="0"/>
      <w:marTop w:val="0"/>
      <w:marBottom w:val="0"/>
      <w:divBdr>
        <w:top w:val="none" w:sz="0" w:space="0" w:color="auto"/>
        <w:left w:val="none" w:sz="0" w:space="0" w:color="auto"/>
        <w:bottom w:val="none" w:sz="0" w:space="0" w:color="auto"/>
        <w:right w:val="none" w:sz="0" w:space="0" w:color="auto"/>
      </w:divBdr>
    </w:div>
    <w:div w:id="1469934822">
      <w:bodyDiv w:val="1"/>
      <w:marLeft w:val="0"/>
      <w:marRight w:val="0"/>
      <w:marTop w:val="0"/>
      <w:marBottom w:val="0"/>
      <w:divBdr>
        <w:top w:val="none" w:sz="0" w:space="0" w:color="auto"/>
        <w:left w:val="none" w:sz="0" w:space="0" w:color="auto"/>
        <w:bottom w:val="none" w:sz="0" w:space="0" w:color="auto"/>
        <w:right w:val="none" w:sz="0" w:space="0" w:color="auto"/>
      </w:divBdr>
    </w:div>
    <w:div w:id="1473478096">
      <w:bodyDiv w:val="1"/>
      <w:marLeft w:val="0"/>
      <w:marRight w:val="0"/>
      <w:marTop w:val="0"/>
      <w:marBottom w:val="0"/>
      <w:divBdr>
        <w:top w:val="none" w:sz="0" w:space="0" w:color="auto"/>
        <w:left w:val="none" w:sz="0" w:space="0" w:color="auto"/>
        <w:bottom w:val="none" w:sz="0" w:space="0" w:color="auto"/>
        <w:right w:val="none" w:sz="0" w:space="0" w:color="auto"/>
      </w:divBdr>
    </w:div>
    <w:div w:id="1474371430">
      <w:bodyDiv w:val="1"/>
      <w:marLeft w:val="0"/>
      <w:marRight w:val="0"/>
      <w:marTop w:val="0"/>
      <w:marBottom w:val="0"/>
      <w:divBdr>
        <w:top w:val="none" w:sz="0" w:space="0" w:color="auto"/>
        <w:left w:val="none" w:sz="0" w:space="0" w:color="auto"/>
        <w:bottom w:val="none" w:sz="0" w:space="0" w:color="auto"/>
        <w:right w:val="none" w:sz="0" w:space="0" w:color="auto"/>
      </w:divBdr>
    </w:div>
    <w:div w:id="1479835243">
      <w:bodyDiv w:val="1"/>
      <w:marLeft w:val="0"/>
      <w:marRight w:val="0"/>
      <w:marTop w:val="0"/>
      <w:marBottom w:val="0"/>
      <w:divBdr>
        <w:top w:val="none" w:sz="0" w:space="0" w:color="auto"/>
        <w:left w:val="none" w:sz="0" w:space="0" w:color="auto"/>
        <w:bottom w:val="none" w:sz="0" w:space="0" w:color="auto"/>
        <w:right w:val="none" w:sz="0" w:space="0" w:color="auto"/>
      </w:divBdr>
    </w:div>
    <w:div w:id="1493181590">
      <w:bodyDiv w:val="1"/>
      <w:marLeft w:val="0"/>
      <w:marRight w:val="0"/>
      <w:marTop w:val="0"/>
      <w:marBottom w:val="0"/>
      <w:divBdr>
        <w:top w:val="none" w:sz="0" w:space="0" w:color="auto"/>
        <w:left w:val="none" w:sz="0" w:space="0" w:color="auto"/>
        <w:bottom w:val="none" w:sz="0" w:space="0" w:color="auto"/>
        <w:right w:val="none" w:sz="0" w:space="0" w:color="auto"/>
      </w:divBdr>
    </w:div>
    <w:div w:id="1495879620">
      <w:bodyDiv w:val="1"/>
      <w:marLeft w:val="0"/>
      <w:marRight w:val="0"/>
      <w:marTop w:val="0"/>
      <w:marBottom w:val="0"/>
      <w:divBdr>
        <w:top w:val="none" w:sz="0" w:space="0" w:color="auto"/>
        <w:left w:val="none" w:sz="0" w:space="0" w:color="auto"/>
        <w:bottom w:val="none" w:sz="0" w:space="0" w:color="auto"/>
        <w:right w:val="none" w:sz="0" w:space="0" w:color="auto"/>
      </w:divBdr>
    </w:div>
    <w:div w:id="1499157136">
      <w:bodyDiv w:val="1"/>
      <w:marLeft w:val="0"/>
      <w:marRight w:val="0"/>
      <w:marTop w:val="0"/>
      <w:marBottom w:val="0"/>
      <w:divBdr>
        <w:top w:val="none" w:sz="0" w:space="0" w:color="auto"/>
        <w:left w:val="none" w:sz="0" w:space="0" w:color="auto"/>
        <w:bottom w:val="none" w:sz="0" w:space="0" w:color="auto"/>
        <w:right w:val="none" w:sz="0" w:space="0" w:color="auto"/>
      </w:divBdr>
    </w:div>
    <w:div w:id="1559434050">
      <w:bodyDiv w:val="1"/>
      <w:marLeft w:val="0"/>
      <w:marRight w:val="0"/>
      <w:marTop w:val="0"/>
      <w:marBottom w:val="0"/>
      <w:divBdr>
        <w:top w:val="none" w:sz="0" w:space="0" w:color="auto"/>
        <w:left w:val="none" w:sz="0" w:space="0" w:color="auto"/>
        <w:bottom w:val="none" w:sz="0" w:space="0" w:color="auto"/>
        <w:right w:val="none" w:sz="0" w:space="0" w:color="auto"/>
      </w:divBdr>
    </w:div>
    <w:div w:id="1566604099">
      <w:bodyDiv w:val="1"/>
      <w:marLeft w:val="0"/>
      <w:marRight w:val="0"/>
      <w:marTop w:val="0"/>
      <w:marBottom w:val="0"/>
      <w:divBdr>
        <w:top w:val="none" w:sz="0" w:space="0" w:color="auto"/>
        <w:left w:val="none" w:sz="0" w:space="0" w:color="auto"/>
        <w:bottom w:val="none" w:sz="0" w:space="0" w:color="auto"/>
        <w:right w:val="none" w:sz="0" w:space="0" w:color="auto"/>
      </w:divBdr>
    </w:div>
    <w:div w:id="1570532082">
      <w:bodyDiv w:val="1"/>
      <w:marLeft w:val="0"/>
      <w:marRight w:val="0"/>
      <w:marTop w:val="0"/>
      <w:marBottom w:val="0"/>
      <w:divBdr>
        <w:top w:val="none" w:sz="0" w:space="0" w:color="auto"/>
        <w:left w:val="none" w:sz="0" w:space="0" w:color="auto"/>
        <w:bottom w:val="none" w:sz="0" w:space="0" w:color="auto"/>
        <w:right w:val="none" w:sz="0" w:space="0" w:color="auto"/>
      </w:divBdr>
    </w:div>
    <w:div w:id="1576470986">
      <w:bodyDiv w:val="1"/>
      <w:marLeft w:val="0"/>
      <w:marRight w:val="0"/>
      <w:marTop w:val="0"/>
      <w:marBottom w:val="0"/>
      <w:divBdr>
        <w:top w:val="none" w:sz="0" w:space="0" w:color="auto"/>
        <w:left w:val="none" w:sz="0" w:space="0" w:color="auto"/>
        <w:bottom w:val="none" w:sz="0" w:space="0" w:color="auto"/>
        <w:right w:val="none" w:sz="0" w:space="0" w:color="auto"/>
      </w:divBdr>
    </w:div>
    <w:div w:id="1580015923">
      <w:bodyDiv w:val="1"/>
      <w:marLeft w:val="0"/>
      <w:marRight w:val="0"/>
      <w:marTop w:val="0"/>
      <w:marBottom w:val="0"/>
      <w:divBdr>
        <w:top w:val="none" w:sz="0" w:space="0" w:color="auto"/>
        <w:left w:val="none" w:sz="0" w:space="0" w:color="auto"/>
        <w:bottom w:val="none" w:sz="0" w:space="0" w:color="auto"/>
        <w:right w:val="none" w:sz="0" w:space="0" w:color="auto"/>
      </w:divBdr>
    </w:div>
    <w:div w:id="1581020270">
      <w:bodyDiv w:val="1"/>
      <w:marLeft w:val="0"/>
      <w:marRight w:val="0"/>
      <w:marTop w:val="0"/>
      <w:marBottom w:val="0"/>
      <w:divBdr>
        <w:top w:val="none" w:sz="0" w:space="0" w:color="auto"/>
        <w:left w:val="none" w:sz="0" w:space="0" w:color="auto"/>
        <w:bottom w:val="none" w:sz="0" w:space="0" w:color="auto"/>
        <w:right w:val="none" w:sz="0" w:space="0" w:color="auto"/>
      </w:divBdr>
    </w:div>
    <w:div w:id="1586304325">
      <w:bodyDiv w:val="1"/>
      <w:marLeft w:val="0"/>
      <w:marRight w:val="0"/>
      <w:marTop w:val="0"/>
      <w:marBottom w:val="0"/>
      <w:divBdr>
        <w:top w:val="none" w:sz="0" w:space="0" w:color="auto"/>
        <w:left w:val="none" w:sz="0" w:space="0" w:color="auto"/>
        <w:bottom w:val="none" w:sz="0" w:space="0" w:color="auto"/>
        <w:right w:val="none" w:sz="0" w:space="0" w:color="auto"/>
      </w:divBdr>
    </w:div>
    <w:div w:id="1597403047">
      <w:bodyDiv w:val="1"/>
      <w:marLeft w:val="0"/>
      <w:marRight w:val="0"/>
      <w:marTop w:val="0"/>
      <w:marBottom w:val="0"/>
      <w:divBdr>
        <w:top w:val="none" w:sz="0" w:space="0" w:color="auto"/>
        <w:left w:val="none" w:sz="0" w:space="0" w:color="auto"/>
        <w:bottom w:val="none" w:sz="0" w:space="0" w:color="auto"/>
        <w:right w:val="none" w:sz="0" w:space="0" w:color="auto"/>
      </w:divBdr>
      <w:divsChild>
        <w:div w:id="16975658">
          <w:marLeft w:val="0"/>
          <w:marRight w:val="0"/>
          <w:marTop w:val="105"/>
          <w:marBottom w:val="0"/>
          <w:divBdr>
            <w:top w:val="none" w:sz="0" w:space="0" w:color="auto"/>
            <w:left w:val="none" w:sz="0" w:space="0" w:color="auto"/>
            <w:bottom w:val="none" w:sz="0" w:space="0" w:color="auto"/>
            <w:right w:val="none" w:sz="0" w:space="0" w:color="auto"/>
          </w:divBdr>
          <w:divsChild>
            <w:div w:id="1595092528">
              <w:marLeft w:val="0"/>
              <w:marRight w:val="0"/>
              <w:marTop w:val="0"/>
              <w:marBottom w:val="0"/>
              <w:divBdr>
                <w:top w:val="none" w:sz="0" w:space="0" w:color="auto"/>
                <w:left w:val="none" w:sz="0" w:space="0" w:color="auto"/>
                <w:bottom w:val="none" w:sz="0" w:space="0" w:color="auto"/>
                <w:right w:val="none" w:sz="0" w:space="0" w:color="auto"/>
              </w:divBdr>
              <w:divsChild>
                <w:div w:id="2134251050">
                  <w:marLeft w:val="0"/>
                  <w:marRight w:val="0"/>
                  <w:marTop w:val="0"/>
                  <w:marBottom w:val="0"/>
                  <w:divBdr>
                    <w:top w:val="none" w:sz="0" w:space="0" w:color="auto"/>
                    <w:left w:val="none" w:sz="0" w:space="0" w:color="auto"/>
                    <w:bottom w:val="none" w:sz="0" w:space="0" w:color="auto"/>
                    <w:right w:val="none" w:sz="0" w:space="0" w:color="auto"/>
                  </w:divBdr>
                  <w:divsChild>
                    <w:div w:id="1305702454">
                      <w:marLeft w:val="0"/>
                      <w:marRight w:val="0"/>
                      <w:marTop w:val="0"/>
                      <w:marBottom w:val="405"/>
                      <w:divBdr>
                        <w:top w:val="none" w:sz="0" w:space="0" w:color="auto"/>
                        <w:left w:val="none" w:sz="0" w:space="0" w:color="auto"/>
                        <w:bottom w:val="none" w:sz="0" w:space="0" w:color="auto"/>
                        <w:right w:val="none" w:sz="0" w:space="0" w:color="auto"/>
                      </w:divBdr>
                      <w:divsChild>
                        <w:div w:id="1905797972">
                          <w:marLeft w:val="0"/>
                          <w:marRight w:val="0"/>
                          <w:marTop w:val="0"/>
                          <w:marBottom w:val="0"/>
                          <w:divBdr>
                            <w:top w:val="none" w:sz="0" w:space="0" w:color="auto"/>
                            <w:left w:val="none" w:sz="0" w:space="0" w:color="auto"/>
                            <w:bottom w:val="none" w:sz="0" w:space="0" w:color="auto"/>
                            <w:right w:val="none" w:sz="0" w:space="0" w:color="auto"/>
                          </w:divBdr>
                          <w:divsChild>
                            <w:div w:id="801702128">
                              <w:marLeft w:val="0"/>
                              <w:marRight w:val="0"/>
                              <w:marTop w:val="0"/>
                              <w:marBottom w:val="0"/>
                              <w:divBdr>
                                <w:top w:val="none" w:sz="0" w:space="0" w:color="auto"/>
                                <w:left w:val="none" w:sz="0" w:space="0" w:color="auto"/>
                                <w:bottom w:val="none" w:sz="0" w:space="0" w:color="auto"/>
                                <w:right w:val="none" w:sz="0" w:space="0" w:color="auto"/>
                              </w:divBdr>
                              <w:divsChild>
                                <w:div w:id="5219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9679825">
      <w:bodyDiv w:val="1"/>
      <w:marLeft w:val="0"/>
      <w:marRight w:val="0"/>
      <w:marTop w:val="0"/>
      <w:marBottom w:val="0"/>
      <w:divBdr>
        <w:top w:val="none" w:sz="0" w:space="0" w:color="auto"/>
        <w:left w:val="none" w:sz="0" w:space="0" w:color="auto"/>
        <w:bottom w:val="none" w:sz="0" w:space="0" w:color="auto"/>
        <w:right w:val="none" w:sz="0" w:space="0" w:color="auto"/>
      </w:divBdr>
    </w:div>
    <w:div w:id="1611817923">
      <w:bodyDiv w:val="1"/>
      <w:marLeft w:val="0"/>
      <w:marRight w:val="0"/>
      <w:marTop w:val="0"/>
      <w:marBottom w:val="0"/>
      <w:divBdr>
        <w:top w:val="none" w:sz="0" w:space="0" w:color="auto"/>
        <w:left w:val="none" w:sz="0" w:space="0" w:color="auto"/>
        <w:bottom w:val="none" w:sz="0" w:space="0" w:color="auto"/>
        <w:right w:val="none" w:sz="0" w:space="0" w:color="auto"/>
      </w:divBdr>
    </w:div>
    <w:div w:id="1617714127">
      <w:bodyDiv w:val="1"/>
      <w:marLeft w:val="0"/>
      <w:marRight w:val="0"/>
      <w:marTop w:val="0"/>
      <w:marBottom w:val="0"/>
      <w:divBdr>
        <w:top w:val="none" w:sz="0" w:space="0" w:color="auto"/>
        <w:left w:val="none" w:sz="0" w:space="0" w:color="auto"/>
        <w:bottom w:val="none" w:sz="0" w:space="0" w:color="auto"/>
        <w:right w:val="none" w:sz="0" w:space="0" w:color="auto"/>
      </w:divBdr>
    </w:div>
    <w:div w:id="1626160136">
      <w:bodyDiv w:val="1"/>
      <w:marLeft w:val="0"/>
      <w:marRight w:val="0"/>
      <w:marTop w:val="0"/>
      <w:marBottom w:val="0"/>
      <w:divBdr>
        <w:top w:val="none" w:sz="0" w:space="0" w:color="auto"/>
        <w:left w:val="none" w:sz="0" w:space="0" w:color="auto"/>
        <w:bottom w:val="none" w:sz="0" w:space="0" w:color="auto"/>
        <w:right w:val="none" w:sz="0" w:space="0" w:color="auto"/>
      </w:divBdr>
    </w:div>
    <w:div w:id="1638298184">
      <w:bodyDiv w:val="1"/>
      <w:marLeft w:val="0"/>
      <w:marRight w:val="0"/>
      <w:marTop w:val="0"/>
      <w:marBottom w:val="0"/>
      <w:divBdr>
        <w:top w:val="none" w:sz="0" w:space="0" w:color="auto"/>
        <w:left w:val="none" w:sz="0" w:space="0" w:color="auto"/>
        <w:bottom w:val="none" w:sz="0" w:space="0" w:color="auto"/>
        <w:right w:val="none" w:sz="0" w:space="0" w:color="auto"/>
      </w:divBdr>
    </w:div>
    <w:div w:id="1640569043">
      <w:bodyDiv w:val="1"/>
      <w:marLeft w:val="0"/>
      <w:marRight w:val="0"/>
      <w:marTop w:val="0"/>
      <w:marBottom w:val="0"/>
      <w:divBdr>
        <w:top w:val="none" w:sz="0" w:space="0" w:color="auto"/>
        <w:left w:val="none" w:sz="0" w:space="0" w:color="auto"/>
        <w:bottom w:val="none" w:sz="0" w:space="0" w:color="auto"/>
        <w:right w:val="none" w:sz="0" w:space="0" w:color="auto"/>
      </w:divBdr>
    </w:div>
    <w:div w:id="1674986628">
      <w:bodyDiv w:val="1"/>
      <w:marLeft w:val="0"/>
      <w:marRight w:val="0"/>
      <w:marTop w:val="0"/>
      <w:marBottom w:val="0"/>
      <w:divBdr>
        <w:top w:val="none" w:sz="0" w:space="0" w:color="auto"/>
        <w:left w:val="none" w:sz="0" w:space="0" w:color="auto"/>
        <w:bottom w:val="none" w:sz="0" w:space="0" w:color="auto"/>
        <w:right w:val="none" w:sz="0" w:space="0" w:color="auto"/>
      </w:divBdr>
    </w:div>
    <w:div w:id="1684240659">
      <w:bodyDiv w:val="1"/>
      <w:marLeft w:val="0"/>
      <w:marRight w:val="0"/>
      <w:marTop w:val="0"/>
      <w:marBottom w:val="0"/>
      <w:divBdr>
        <w:top w:val="none" w:sz="0" w:space="0" w:color="auto"/>
        <w:left w:val="none" w:sz="0" w:space="0" w:color="auto"/>
        <w:bottom w:val="none" w:sz="0" w:space="0" w:color="auto"/>
        <w:right w:val="none" w:sz="0" w:space="0" w:color="auto"/>
      </w:divBdr>
    </w:div>
    <w:div w:id="1686832439">
      <w:bodyDiv w:val="1"/>
      <w:marLeft w:val="0"/>
      <w:marRight w:val="0"/>
      <w:marTop w:val="0"/>
      <w:marBottom w:val="0"/>
      <w:divBdr>
        <w:top w:val="none" w:sz="0" w:space="0" w:color="auto"/>
        <w:left w:val="none" w:sz="0" w:space="0" w:color="auto"/>
        <w:bottom w:val="none" w:sz="0" w:space="0" w:color="auto"/>
        <w:right w:val="none" w:sz="0" w:space="0" w:color="auto"/>
      </w:divBdr>
    </w:div>
    <w:div w:id="1702706664">
      <w:bodyDiv w:val="1"/>
      <w:marLeft w:val="0"/>
      <w:marRight w:val="0"/>
      <w:marTop w:val="0"/>
      <w:marBottom w:val="0"/>
      <w:divBdr>
        <w:top w:val="none" w:sz="0" w:space="0" w:color="auto"/>
        <w:left w:val="none" w:sz="0" w:space="0" w:color="auto"/>
        <w:bottom w:val="none" w:sz="0" w:space="0" w:color="auto"/>
        <w:right w:val="none" w:sz="0" w:space="0" w:color="auto"/>
      </w:divBdr>
    </w:div>
    <w:div w:id="1707943684">
      <w:bodyDiv w:val="1"/>
      <w:marLeft w:val="0"/>
      <w:marRight w:val="0"/>
      <w:marTop w:val="0"/>
      <w:marBottom w:val="0"/>
      <w:divBdr>
        <w:top w:val="none" w:sz="0" w:space="0" w:color="auto"/>
        <w:left w:val="none" w:sz="0" w:space="0" w:color="auto"/>
        <w:bottom w:val="none" w:sz="0" w:space="0" w:color="auto"/>
        <w:right w:val="none" w:sz="0" w:space="0" w:color="auto"/>
      </w:divBdr>
    </w:div>
    <w:div w:id="1714500894">
      <w:bodyDiv w:val="1"/>
      <w:marLeft w:val="0"/>
      <w:marRight w:val="0"/>
      <w:marTop w:val="0"/>
      <w:marBottom w:val="0"/>
      <w:divBdr>
        <w:top w:val="none" w:sz="0" w:space="0" w:color="auto"/>
        <w:left w:val="none" w:sz="0" w:space="0" w:color="auto"/>
        <w:bottom w:val="none" w:sz="0" w:space="0" w:color="auto"/>
        <w:right w:val="none" w:sz="0" w:space="0" w:color="auto"/>
      </w:divBdr>
    </w:div>
    <w:div w:id="1729694043">
      <w:bodyDiv w:val="1"/>
      <w:marLeft w:val="0"/>
      <w:marRight w:val="0"/>
      <w:marTop w:val="0"/>
      <w:marBottom w:val="0"/>
      <w:divBdr>
        <w:top w:val="none" w:sz="0" w:space="0" w:color="auto"/>
        <w:left w:val="none" w:sz="0" w:space="0" w:color="auto"/>
        <w:bottom w:val="none" w:sz="0" w:space="0" w:color="auto"/>
        <w:right w:val="none" w:sz="0" w:space="0" w:color="auto"/>
      </w:divBdr>
    </w:div>
    <w:div w:id="1734351037">
      <w:bodyDiv w:val="1"/>
      <w:marLeft w:val="0"/>
      <w:marRight w:val="0"/>
      <w:marTop w:val="0"/>
      <w:marBottom w:val="0"/>
      <w:divBdr>
        <w:top w:val="none" w:sz="0" w:space="0" w:color="auto"/>
        <w:left w:val="none" w:sz="0" w:space="0" w:color="auto"/>
        <w:bottom w:val="none" w:sz="0" w:space="0" w:color="auto"/>
        <w:right w:val="none" w:sz="0" w:space="0" w:color="auto"/>
      </w:divBdr>
    </w:div>
    <w:div w:id="1737432621">
      <w:bodyDiv w:val="1"/>
      <w:marLeft w:val="0"/>
      <w:marRight w:val="0"/>
      <w:marTop w:val="0"/>
      <w:marBottom w:val="0"/>
      <w:divBdr>
        <w:top w:val="none" w:sz="0" w:space="0" w:color="auto"/>
        <w:left w:val="none" w:sz="0" w:space="0" w:color="auto"/>
        <w:bottom w:val="none" w:sz="0" w:space="0" w:color="auto"/>
        <w:right w:val="none" w:sz="0" w:space="0" w:color="auto"/>
      </w:divBdr>
    </w:div>
    <w:div w:id="1759015456">
      <w:bodyDiv w:val="1"/>
      <w:marLeft w:val="0"/>
      <w:marRight w:val="0"/>
      <w:marTop w:val="0"/>
      <w:marBottom w:val="0"/>
      <w:divBdr>
        <w:top w:val="none" w:sz="0" w:space="0" w:color="auto"/>
        <w:left w:val="none" w:sz="0" w:space="0" w:color="auto"/>
        <w:bottom w:val="none" w:sz="0" w:space="0" w:color="auto"/>
        <w:right w:val="none" w:sz="0" w:space="0" w:color="auto"/>
      </w:divBdr>
    </w:div>
    <w:div w:id="1760441075">
      <w:bodyDiv w:val="1"/>
      <w:marLeft w:val="0"/>
      <w:marRight w:val="0"/>
      <w:marTop w:val="0"/>
      <w:marBottom w:val="0"/>
      <w:divBdr>
        <w:top w:val="none" w:sz="0" w:space="0" w:color="auto"/>
        <w:left w:val="none" w:sz="0" w:space="0" w:color="auto"/>
        <w:bottom w:val="none" w:sz="0" w:space="0" w:color="auto"/>
        <w:right w:val="none" w:sz="0" w:space="0" w:color="auto"/>
      </w:divBdr>
    </w:div>
    <w:div w:id="1763333813">
      <w:bodyDiv w:val="1"/>
      <w:marLeft w:val="0"/>
      <w:marRight w:val="0"/>
      <w:marTop w:val="0"/>
      <w:marBottom w:val="0"/>
      <w:divBdr>
        <w:top w:val="none" w:sz="0" w:space="0" w:color="auto"/>
        <w:left w:val="none" w:sz="0" w:space="0" w:color="auto"/>
        <w:bottom w:val="none" w:sz="0" w:space="0" w:color="auto"/>
        <w:right w:val="none" w:sz="0" w:space="0" w:color="auto"/>
      </w:divBdr>
    </w:div>
    <w:div w:id="1763794622">
      <w:bodyDiv w:val="1"/>
      <w:marLeft w:val="0"/>
      <w:marRight w:val="0"/>
      <w:marTop w:val="0"/>
      <w:marBottom w:val="0"/>
      <w:divBdr>
        <w:top w:val="none" w:sz="0" w:space="0" w:color="auto"/>
        <w:left w:val="none" w:sz="0" w:space="0" w:color="auto"/>
        <w:bottom w:val="none" w:sz="0" w:space="0" w:color="auto"/>
        <w:right w:val="none" w:sz="0" w:space="0" w:color="auto"/>
      </w:divBdr>
    </w:div>
    <w:div w:id="1771193151">
      <w:bodyDiv w:val="1"/>
      <w:marLeft w:val="0"/>
      <w:marRight w:val="0"/>
      <w:marTop w:val="0"/>
      <w:marBottom w:val="0"/>
      <w:divBdr>
        <w:top w:val="none" w:sz="0" w:space="0" w:color="auto"/>
        <w:left w:val="none" w:sz="0" w:space="0" w:color="auto"/>
        <w:bottom w:val="none" w:sz="0" w:space="0" w:color="auto"/>
        <w:right w:val="none" w:sz="0" w:space="0" w:color="auto"/>
      </w:divBdr>
    </w:div>
    <w:div w:id="1777212156">
      <w:bodyDiv w:val="1"/>
      <w:marLeft w:val="0"/>
      <w:marRight w:val="0"/>
      <w:marTop w:val="0"/>
      <w:marBottom w:val="0"/>
      <w:divBdr>
        <w:top w:val="none" w:sz="0" w:space="0" w:color="auto"/>
        <w:left w:val="none" w:sz="0" w:space="0" w:color="auto"/>
        <w:bottom w:val="none" w:sz="0" w:space="0" w:color="auto"/>
        <w:right w:val="none" w:sz="0" w:space="0" w:color="auto"/>
      </w:divBdr>
    </w:div>
    <w:div w:id="1779106284">
      <w:bodyDiv w:val="1"/>
      <w:marLeft w:val="0"/>
      <w:marRight w:val="0"/>
      <w:marTop w:val="0"/>
      <w:marBottom w:val="0"/>
      <w:divBdr>
        <w:top w:val="none" w:sz="0" w:space="0" w:color="auto"/>
        <w:left w:val="none" w:sz="0" w:space="0" w:color="auto"/>
        <w:bottom w:val="none" w:sz="0" w:space="0" w:color="auto"/>
        <w:right w:val="none" w:sz="0" w:space="0" w:color="auto"/>
      </w:divBdr>
    </w:div>
    <w:div w:id="1780485805">
      <w:bodyDiv w:val="1"/>
      <w:marLeft w:val="0"/>
      <w:marRight w:val="0"/>
      <w:marTop w:val="0"/>
      <w:marBottom w:val="0"/>
      <w:divBdr>
        <w:top w:val="none" w:sz="0" w:space="0" w:color="auto"/>
        <w:left w:val="none" w:sz="0" w:space="0" w:color="auto"/>
        <w:bottom w:val="none" w:sz="0" w:space="0" w:color="auto"/>
        <w:right w:val="none" w:sz="0" w:space="0" w:color="auto"/>
      </w:divBdr>
      <w:divsChild>
        <w:div w:id="1589851242">
          <w:marLeft w:val="0"/>
          <w:marRight w:val="0"/>
          <w:marTop w:val="90"/>
          <w:marBottom w:val="0"/>
          <w:divBdr>
            <w:top w:val="none" w:sz="0" w:space="0" w:color="auto"/>
            <w:left w:val="none" w:sz="0" w:space="0" w:color="auto"/>
            <w:bottom w:val="none" w:sz="0" w:space="0" w:color="auto"/>
            <w:right w:val="none" w:sz="0" w:space="0" w:color="auto"/>
          </w:divBdr>
          <w:divsChild>
            <w:div w:id="1373114905">
              <w:marLeft w:val="0"/>
              <w:marRight w:val="0"/>
              <w:marTop w:val="0"/>
              <w:marBottom w:val="420"/>
              <w:divBdr>
                <w:top w:val="none" w:sz="0" w:space="0" w:color="auto"/>
                <w:left w:val="none" w:sz="0" w:space="0" w:color="auto"/>
                <w:bottom w:val="none" w:sz="0" w:space="0" w:color="auto"/>
                <w:right w:val="none" w:sz="0" w:space="0" w:color="auto"/>
              </w:divBdr>
              <w:divsChild>
                <w:div w:id="371072855">
                  <w:marLeft w:val="0"/>
                  <w:marRight w:val="0"/>
                  <w:marTop w:val="0"/>
                  <w:marBottom w:val="0"/>
                  <w:divBdr>
                    <w:top w:val="none" w:sz="0" w:space="0" w:color="auto"/>
                    <w:left w:val="none" w:sz="0" w:space="0" w:color="auto"/>
                    <w:bottom w:val="none" w:sz="0" w:space="0" w:color="auto"/>
                    <w:right w:val="none" w:sz="0" w:space="0" w:color="auto"/>
                  </w:divBdr>
                  <w:divsChild>
                    <w:div w:id="1623614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471184">
      <w:bodyDiv w:val="1"/>
      <w:marLeft w:val="0"/>
      <w:marRight w:val="0"/>
      <w:marTop w:val="0"/>
      <w:marBottom w:val="0"/>
      <w:divBdr>
        <w:top w:val="none" w:sz="0" w:space="0" w:color="auto"/>
        <w:left w:val="none" w:sz="0" w:space="0" w:color="auto"/>
        <w:bottom w:val="none" w:sz="0" w:space="0" w:color="auto"/>
        <w:right w:val="none" w:sz="0" w:space="0" w:color="auto"/>
      </w:divBdr>
    </w:div>
    <w:div w:id="1799104479">
      <w:bodyDiv w:val="1"/>
      <w:marLeft w:val="0"/>
      <w:marRight w:val="0"/>
      <w:marTop w:val="0"/>
      <w:marBottom w:val="0"/>
      <w:divBdr>
        <w:top w:val="none" w:sz="0" w:space="0" w:color="auto"/>
        <w:left w:val="none" w:sz="0" w:space="0" w:color="auto"/>
        <w:bottom w:val="none" w:sz="0" w:space="0" w:color="auto"/>
        <w:right w:val="none" w:sz="0" w:space="0" w:color="auto"/>
      </w:divBdr>
    </w:div>
    <w:div w:id="1809783995">
      <w:bodyDiv w:val="1"/>
      <w:marLeft w:val="0"/>
      <w:marRight w:val="0"/>
      <w:marTop w:val="0"/>
      <w:marBottom w:val="0"/>
      <w:divBdr>
        <w:top w:val="none" w:sz="0" w:space="0" w:color="auto"/>
        <w:left w:val="none" w:sz="0" w:space="0" w:color="auto"/>
        <w:bottom w:val="none" w:sz="0" w:space="0" w:color="auto"/>
        <w:right w:val="none" w:sz="0" w:space="0" w:color="auto"/>
      </w:divBdr>
    </w:div>
    <w:div w:id="1811246670">
      <w:bodyDiv w:val="1"/>
      <w:marLeft w:val="0"/>
      <w:marRight w:val="0"/>
      <w:marTop w:val="0"/>
      <w:marBottom w:val="0"/>
      <w:divBdr>
        <w:top w:val="none" w:sz="0" w:space="0" w:color="auto"/>
        <w:left w:val="none" w:sz="0" w:space="0" w:color="auto"/>
        <w:bottom w:val="none" w:sz="0" w:space="0" w:color="auto"/>
        <w:right w:val="none" w:sz="0" w:space="0" w:color="auto"/>
      </w:divBdr>
    </w:div>
    <w:div w:id="1822884441">
      <w:bodyDiv w:val="1"/>
      <w:marLeft w:val="0"/>
      <w:marRight w:val="0"/>
      <w:marTop w:val="0"/>
      <w:marBottom w:val="0"/>
      <w:divBdr>
        <w:top w:val="none" w:sz="0" w:space="0" w:color="auto"/>
        <w:left w:val="none" w:sz="0" w:space="0" w:color="auto"/>
        <w:bottom w:val="none" w:sz="0" w:space="0" w:color="auto"/>
        <w:right w:val="none" w:sz="0" w:space="0" w:color="auto"/>
      </w:divBdr>
    </w:div>
    <w:div w:id="1826362698">
      <w:bodyDiv w:val="1"/>
      <w:marLeft w:val="0"/>
      <w:marRight w:val="0"/>
      <w:marTop w:val="0"/>
      <w:marBottom w:val="0"/>
      <w:divBdr>
        <w:top w:val="none" w:sz="0" w:space="0" w:color="auto"/>
        <w:left w:val="none" w:sz="0" w:space="0" w:color="auto"/>
        <w:bottom w:val="none" w:sz="0" w:space="0" w:color="auto"/>
        <w:right w:val="none" w:sz="0" w:space="0" w:color="auto"/>
      </w:divBdr>
    </w:div>
    <w:div w:id="1841848162">
      <w:bodyDiv w:val="1"/>
      <w:marLeft w:val="0"/>
      <w:marRight w:val="0"/>
      <w:marTop w:val="0"/>
      <w:marBottom w:val="0"/>
      <w:divBdr>
        <w:top w:val="none" w:sz="0" w:space="0" w:color="auto"/>
        <w:left w:val="none" w:sz="0" w:space="0" w:color="auto"/>
        <w:bottom w:val="none" w:sz="0" w:space="0" w:color="auto"/>
        <w:right w:val="none" w:sz="0" w:space="0" w:color="auto"/>
      </w:divBdr>
    </w:div>
    <w:div w:id="1846481222">
      <w:bodyDiv w:val="1"/>
      <w:marLeft w:val="0"/>
      <w:marRight w:val="0"/>
      <w:marTop w:val="0"/>
      <w:marBottom w:val="0"/>
      <w:divBdr>
        <w:top w:val="none" w:sz="0" w:space="0" w:color="auto"/>
        <w:left w:val="none" w:sz="0" w:space="0" w:color="auto"/>
        <w:bottom w:val="none" w:sz="0" w:space="0" w:color="auto"/>
        <w:right w:val="none" w:sz="0" w:space="0" w:color="auto"/>
      </w:divBdr>
    </w:div>
    <w:div w:id="1879704358">
      <w:bodyDiv w:val="1"/>
      <w:marLeft w:val="0"/>
      <w:marRight w:val="0"/>
      <w:marTop w:val="0"/>
      <w:marBottom w:val="0"/>
      <w:divBdr>
        <w:top w:val="none" w:sz="0" w:space="0" w:color="auto"/>
        <w:left w:val="none" w:sz="0" w:space="0" w:color="auto"/>
        <w:bottom w:val="none" w:sz="0" w:space="0" w:color="auto"/>
        <w:right w:val="none" w:sz="0" w:space="0" w:color="auto"/>
      </w:divBdr>
    </w:div>
    <w:div w:id="1880124468">
      <w:bodyDiv w:val="1"/>
      <w:marLeft w:val="0"/>
      <w:marRight w:val="0"/>
      <w:marTop w:val="0"/>
      <w:marBottom w:val="0"/>
      <w:divBdr>
        <w:top w:val="none" w:sz="0" w:space="0" w:color="auto"/>
        <w:left w:val="none" w:sz="0" w:space="0" w:color="auto"/>
        <w:bottom w:val="none" w:sz="0" w:space="0" w:color="auto"/>
        <w:right w:val="none" w:sz="0" w:space="0" w:color="auto"/>
      </w:divBdr>
    </w:div>
    <w:div w:id="1881093611">
      <w:bodyDiv w:val="1"/>
      <w:marLeft w:val="0"/>
      <w:marRight w:val="0"/>
      <w:marTop w:val="0"/>
      <w:marBottom w:val="0"/>
      <w:divBdr>
        <w:top w:val="none" w:sz="0" w:space="0" w:color="auto"/>
        <w:left w:val="none" w:sz="0" w:space="0" w:color="auto"/>
        <w:bottom w:val="none" w:sz="0" w:space="0" w:color="auto"/>
        <w:right w:val="none" w:sz="0" w:space="0" w:color="auto"/>
      </w:divBdr>
    </w:div>
    <w:div w:id="1886402235">
      <w:bodyDiv w:val="1"/>
      <w:marLeft w:val="0"/>
      <w:marRight w:val="0"/>
      <w:marTop w:val="0"/>
      <w:marBottom w:val="0"/>
      <w:divBdr>
        <w:top w:val="none" w:sz="0" w:space="0" w:color="auto"/>
        <w:left w:val="none" w:sz="0" w:space="0" w:color="auto"/>
        <w:bottom w:val="none" w:sz="0" w:space="0" w:color="auto"/>
        <w:right w:val="none" w:sz="0" w:space="0" w:color="auto"/>
      </w:divBdr>
    </w:div>
    <w:div w:id="1893031130">
      <w:bodyDiv w:val="1"/>
      <w:marLeft w:val="0"/>
      <w:marRight w:val="0"/>
      <w:marTop w:val="0"/>
      <w:marBottom w:val="0"/>
      <w:divBdr>
        <w:top w:val="none" w:sz="0" w:space="0" w:color="auto"/>
        <w:left w:val="none" w:sz="0" w:space="0" w:color="auto"/>
        <w:bottom w:val="none" w:sz="0" w:space="0" w:color="auto"/>
        <w:right w:val="none" w:sz="0" w:space="0" w:color="auto"/>
      </w:divBdr>
    </w:div>
    <w:div w:id="1894849565">
      <w:bodyDiv w:val="1"/>
      <w:marLeft w:val="0"/>
      <w:marRight w:val="0"/>
      <w:marTop w:val="0"/>
      <w:marBottom w:val="0"/>
      <w:divBdr>
        <w:top w:val="none" w:sz="0" w:space="0" w:color="auto"/>
        <w:left w:val="none" w:sz="0" w:space="0" w:color="auto"/>
        <w:bottom w:val="none" w:sz="0" w:space="0" w:color="auto"/>
        <w:right w:val="none" w:sz="0" w:space="0" w:color="auto"/>
      </w:divBdr>
    </w:div>
    <w:div w:id="1895895792">
      <w:bodyDiv w:val="1"/>
      <w:marLeft w:val="0"/>
      <w:marRight w:val="0"/>
      <w:marTop w:val="0"/>
      <w:marBottom w:val="0"/>
      <w:divBdr>
        <w:top w:val="none" w:sz="0" w:space="0" w:color="auto"/>
        <w:left w:val="none" w:sz="0" w:space="0" w:color="auto"/>
        <w:bottom w:val="none" w:sz="0" w:space="0" w:color="auto"/>
        <w:right w:val="none" w:sz="0" w:space="0" w:color="auto"/>
      </w:divBdr>
    </w:div>
    <w:div w:id="1910655536">
      <w:bodyDiv w:val="1"/>
      <w:marLeft w:val="0"/>
      <w:marRight w:val="0"/>
      <w:marTop w:val="0"/>
      <w:marBottom w:val="0"/>
      <w:divBdr>
        <w:top w:val="none" w:sz="0" w:space="0" w:color="auto"/>
        <w:left w:val="none" w:sz="0" w:space="0" w:color="auto"/>
        <w:bottom w:val="none" w:sz="0" w:space="0" w:color="auto"/>
        <w:right w:val="none" w:sz="0" w:space="0" w:color="auto"/>
      </w:divBdr>
    </w:div>
    <w:div w:id="1912809463">
      <w:bodyDiv w:val="1"/>
      <w:marLeft w:val="0"/>
      <w:marRight w:val="0"/>
      <w:marTop w:val="0"/>
      <w:marBottom w:val="0"/>
      <w:divBdr>
        <w:top w:val="none" w:sz="0" w:space="0" w:color="auto"/>
        <w:left w:val="none" w:sz="0" w:space="0" w:color="auto"/>
        <w:bottom w:val="none" w:sz="0" w:space="0" w:color="auto"/>
        <w:right w:val="none" w:sz="0" w:space="0" w:color="auto"/>
      </w:divBdr>
    </w:div>
    <w:div w:id="1919972858">
      <w:bodyDiv w:val="1"/>
      <w:marLeft w:val="0"/>
      <w:marRight w:val="0"/>
      <w:marTop w:val="0"/>
      <w:marBottom w:val="0"/>
      <w:divBdr>
        <w:top w:val="none" w:sz="0" w:space="0" w:color="auto"/>
        <w:left w:val="none" w:sz="0" w:space="0" w:color="auto"/>
        <w:bottom w:val="none" w:sz="0" w:space="0" w:color="auto"/>
        <w:right w:val="none" w:sz="0" w:space="0" w:color="auto"/>
      </w:divBdr>
    </w:div>
    <w:div w:id="1922984682">
      <w:bodyDiv w:val="1"/>
      <w:marLeft w:val="0"/>
      <w:marRight w:val="0"/>
      <w:marTop w:val="0"/>
      <w:marBottom w:val="0"/>
      <w:divBdr>
        <w:top w:val="none" w:sz="0" w:space="0" w:color="auto"/>
        <w:left w:val="none" w:sz="0" w:space="0" w:color="auto"/>
        <w:bottom w:val="none" w:sz="0" w:space="0" w:color="auto"/>
        <w:right w:val="none" w:sz="0" w:space="0" w:color="auto"/>
      </w:divBdr>
    </w:div>
    <w:div w:id="1931967709">
      <w:bodyDiv w:val="1"/>
      <w:marLeft w:val="0"/>
      <w:marRight w:val="0"/>
      <w:marTop w:val="0"/>
      <w:marBottom w:val="0"/>
      <w:divBdr>
        <w:top w:val="none" w:sz="0" w:space="0" w:color="auto"/>
        <w:left w:val="none" w:sz="0" w:space="0" w:color="auto"/>
        <w:bottom w:val="none" w:sz="0" w:space="0" w:color="auto"/>
        <w:right w:val="none" w:sz="0" w:space="0" w:color="auto"/>
      </w:divBdr>
    </w:div>
    <w:div w:id="1936940324">
      <w:bodyDiv w:val="1"/>
      <w:marLeft w:val="0"/>
      <w:marRight w:val="0"/>
      <w:marTop w:val="0"/>
      <w:marBottom w:val="0"/>
      <w:divBdr>
        <w:top w:val="none" w:sz="0" w:space="0" w:color="auto"/>
        <w:left w:val="none" w:sz="0" w:space="0" w:color="auto"/>
        <w:bottom w:val="none" w:sz="0" w:space="0" w:color="auto"/>
        <w:right w:val="none" w:sz="0" w:space="0" w:color="auto"/>
      </w:divBdr>
    </w:div>
    <w:div w:id="1952393714">
      <w:bodyDiv w:val="1"/>
      <w:marLeft w:val="0"/>
      <w:marRight w:val="0"/>
      <w:marTop w:val="0"/>
      <w:marBottom w:val="0"/>
      <w:divBdr>
        <w:top w:val="none" w:sz="0" w:space="0" w:color="auto"/>
        <w:left w:val="none" w:sz="0" w:space="0" w:color="auto"/>
        <w:bottom w:val="none" w:sz="0" w:space="0" w:color="auto"/>
        <w:right w:val="none" w:sz="0" w:space="0" w:color="auto"/>
      </w:divBdr>
    </w:div>
    <w:div w:id="1955164034">
      <w:bodyDiv w:val="1"/>
      <w:marLeft w:val="0"/>
      <w:marRight w:val="0"/>
      <w:marTop w:val="0"/>
      <w:marBottom w:val="0"/>
      <w:divBdr>
        <w:top w:val="none" w:sz="0" w:space="0" w:color="auto"/>
        <w:left w:val="none" w:sz="0" w:space="0" w:color="auto"/>
        <w:bottom w:val="none" w:sz="0" w:space="0" w:color="auto"/>
        <w:right w:val="none" w:sz="0" w:space="0" w:color="auto"/>
      </w:divBdr>
    </w:div>
    <w:div w:id="1956674460">
      <w:bodyDiv w:val="1"/>
      <w:marLeft w:val="0"/>
      <w:marRight w:val="0"/>
      <w:marTop w:val="0"/>
      <w:marBottom w:val="0"/>
      <w:divBdr>
        <w:top w:val="none" w:sz="0" w:space="0" w:color="auto"/>
        <w:left w:val="none" w:sz="0" w:space="0" w:color="auto"/>
        <w:bottom w:val="none" w:sz="0" w:space="0" w:color="auto"/>
        <w:right w:val="none" w:sz="0" w:space="0" w:color="auto"/>
      </w:divBdr>
    </w:div>
    <w:div w:id="1957058711">
      <w:bodyDiv w:val="1"/>
      <w:marLeft w:val="0"/>
      <w:marRight w:val="0"/>
      <w:marTop w:val="0"/>
      <w:marBottom w:val="0"/>
      <w:divBdr>
        <w:top w:val="none" w:sz="0" w:space="0" w:color="auto"/>
        <w:left w:val="none" w:sz="0" w:space="0" w:color="auto"/>
        <w:bottom w:val="none" w:sz="0" w:space="0" w:color="auto"/>
        <w:right w:val="none" w:sz="0" w:space="0" w:color="auto"/>
      </w:divBdr>
    </w:div>
    <w:div w:id="2008745333">
      <w:bodyDiv w:val="1"/>
      <w:marLeft w:val="0"/>
      <w:marRight w:val="0"/>
      <w:marTop w:val="0"/>
      <w:marBottom w:val="0"/>
      <w:divBdr>
        <w:top w:val="none" w:sz="0" w:space="0" w:color="auto"/>
        <w:left w:val="none" w:sz="0" w:space="0" w:color="auto"/>
        <w:bottom w:val="none" w:sz="0" w:space="0" w:color="auto"/>
        <w:right w:val="none" w:sz="0" w:space="0" w:color="auto"/>
      </w:divBdr>
    </w:div>
    <w:div w:id="2010867834">
      <w:bodyDiv w:val="1"/>
      <w:marLeft w:val="0"/>
      <w:marRight w:val="0"/>
      <w:marTop w:val="0"/>
      <w:marBottom w:val="0"/>
      <w:divBdr>
        <w:top w:val="none" w:sz="0" w:space="0" w:color="auto"/>
        <w:left w:val="none" w:sz="0" w:space="0" w:color="auto"/>
        <w:bottom w:val="none" w:sz="0" w:space="0" w:color="auto"/>
        <w:right w:val="none" w:sz="0" w:space="0" w:color="auto"/>
      </w:divBdr>
    </w:div>
    <w:div w:id="2033534932">
      <w:bodyDiv w:val="1"/>
      <w:marLeft w:val="0"/>
      <w:marRight w:val="0"/>
      <w:marTop w:val="0"/>
      <w:marBottom w:val="0"/>
      <w:divBdr>
        <w:top w:val="none" w:sz="0" w:space="0" w:color="auto"/>
        <w:left w:val="none" w:sz="0" w:space="0" w:color="auto"/>
        <w:bottom w:val="none" w:sz="0" w:space="0" w:color="auto"/>
        <w:right w:val="none" w:sz="0" w:space="0" w:color="auto"/>
      </w:divBdr>
    </w:div>
    <w:div w:id="2039231908">
      <w:bodyDiv w:val="1"/>
      <w:marLeft w:val="0"/>
      <w:marRight w:val="0"/>
      <w:marTop w:val="0"/>
      <w:marBottom w:val="0"/>
      <w:divBdr>
        <w:top w:val="none" w:sz="0" w:space="0" w:color="auto"/>
        <w:left w:val="none" w:sz="0" w:space="0" w:color="auto"/>
        <w:bottom w:val="none" w:sz="0" w:space="0" w:color="auto"/>
        <w:right w:val="none" w:sz="0" w:space="0" w:color="auto"/>
      </w:divBdr>
    </w:div>
    <w:div w:id="2040466706">
      <w:bodyDiv w:val="1"/>
      <w:marLeft w:val="0"/>
      <w:marRight w:val="0"/>
      <w:marTop w:val="0"/>
      <w:marBottom w:val="0"/>
      <w:divBdr>
        <w:top w:val="none" w:sz="0" w:space="0" w:color="auto"/>
        <w:left w:val="none" w:sz="0" w:space="0" w:color="auto"/>
        <w:bottom w:val="none" w:sz="0" w:space="0" w:color="auto"/>
        <w:right w:val="none" w:sz="0" w:space="0" w:color="auto"/>
      </w:divBdr>
      <w:divsChild>
        <w:div w:id="57942505">
          <w:marLeft w:val="0"/>
          <w:marRight w:val="0"/>
          <w:marTop w:val="90"/>
          <w:marBottom w:val="0"/>
          <w:divBdr>
            <w:top w:val="none" w:sz="0" w:space="0" w:color="auto"/>
            <w:left w:val="none" w:sz="0" w:space="0" w:color="auto"/>
            <w:bottom w:val="none" w:sz="0" w:space="0" w:color="auto"/>
            <w:right w:val="none" w:sz="0" w:space="0" w:color="auto"/>
          </w:divBdr>
          <w:divsChild>
            <w:div w:id="1637178758">
              <w:marLeft w:val="0"/>
              <w:marRight w:val="0"/>
              <w:marTop w:val="0"/>
              <w:marBottom w:val="420"/>
              <w:divBdr>
                <w:top w:val="none" w:sz="0" w:space="0" w:color="auto"/>
                <w:left w:val="none" w:sz="0" w:space="0" w:color="auto"/>
                <w:bottom w:val="none" w:sz="0" w:space="0" w:color="auto"/>
                <w:right w:val="none" w:sz="0" w:space="0" w:color="auto"/>
              </w:divBdr>
              <w:divsChild>
                <w:div w:id="351959404">
                  <w:marLeft w:val="0"/>
                  <w:marRight w:val="0"/>
                  <w:marTop w:val="0"/>
                  <w:marBottom w:val="0"/>
                  <w:divBdr>
                    <w:top w:val="none" w:sz="0" w:space="0" w:color="auto"/>
                    <w:left w:val="none" w:sz="0" w:space="0" w:color="auto"/>
                    <w:bottom w:val="none" w:sz="0" w:space="0" w:color="auto"/>
                    <w:right w:val="none" w:sz="0" w:space="0" w:color="auto"/>
                  </w:divBdr>
                  <w:divsChild>
                    <w:div w:id="159929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8988155">
      <w:bodyDiv w:val="1"/>
      <w:marLeft w:val="0"/>
      <w:marRight w:val="0"/>
      <w:marTop w:val="0"/>
      <w:marBottom w:val="0"/>
      <w:divBdr>
        <w:top w:val="none" w:sz="0" w:space="0" w:color="auto"/>
        <w:left w:val="none" w:sz="0" w:space="0" w:color="auto"/>
        <w:bottom w:val="none" w:sz="0" w:space="0" w:color="auto"/>
        <w:right w:val="none" w:sz="0" w:space="0" w:color="auto"/>
      </w:divBdr>
    </w:div>
    <w:div w:id="2050956939">
      <w:bodyDiv w:val="1"/>
      <w:marLeft w:val="0"/>
      <w:marRight w:val="0"/>
      <w:marTop w:val="0"/>
      <w:marBottom w:val="0"/>
      <w:divBdr>
        <w:top w:val="none" w:sz="0" w:space="0" w:color="auto"/>
        <w:left w:val="none" w:sz="0" w:space="0" w:color="auto"/>
        <w:bottom w:val="none" w:sz="0" w:space="0" w:color="auto"/>
        <w:right w:val="none" w:sz="0" w:space="0" w:color="auto"/>
      </w:divBdr>
    </w:div>
    <w:div w:id="2054570611">
      <w:bodyDiv w:val="1"/>
      <w:marLeft w:val="0"/>
      <w:marRight w:val="0"/>
      <w:marTop w:val="0"/>
      <w:marBottom w:val="0"/>
      <w:divBdr>
        <w:top w:val="none" w:sz="0" w:space="0" w:color="auto"/>
        <w:left w:val="none" w:sz="0" w:space="0" w:color="auto"/>
        <w:bottom w:val="none" w:sz="0" w:space="0" w:color="auto"/>
        <w:right w:val="none" w:sz="0" w:space="0" w:color="auto"/>
      </w:divBdr>
    </w:div>
    <w:div w:id="2057045904">
      <w:bodyDiv w:val="1"/>
      <w:marLeft w:val="0"/>
      <w:marRight w:val="0"/>
      <w:marTop w:val="0"/>
      <w:marBottom w:val="0"/>
      <w:divBdr>
        <w:top w:val="none" w:sz="0" w:space="0" w:color="auto"/>
        <w:left w:val="none" w:sz="0" w:space="0" w:color="auto"/>
        <w:bottom w:val="none" w:sz="0" w:space="0" w:color="auto"/>
        <w:right w:val="none" w:sz="0" w:space="0" w:color="auto"/>
      </w:divBdr>
    </w:div>
    <w:div w:id="2059429557">
      <w:bodyDiv w:val="1"/>
      <w:marLeft w:val="0"/>
      <w:marRight w:val="0"/>
      <w:marTop w:val="0"/>
      <w:marBottom w:val="0"/>
      <w:divBdr>
        <w:top w:val="none" w:sz="0" w:space="0" w:color="auto"/>
        <w:left w:val="none" w:sz="0" w:space="0" w:color="auto"/>
        <w:bottom w:val="none" w:sz="0" w:space="0" w:color="auto"/>
        <w:right w:val="none" w:sz="0" w:space="0" w:color="auto"/>
      </w:divBdr>
    </w:div>
    <w:div w:id="2069573771">
      <w:bodyDiv w:val="1"/>
      <w:marLeft w:val="0"/>
      <w:marRight w:val="0"/>
      <w:marTop w:val="0"/>
      <w:marBottom w:val="0"/>
      <w:divBdr>
        <w:top w:val="none" w:sz="0" w:space="0" w:color="auto"/>
        <w:left w:val="none" w:sz="0" w:space="0" w:color="auto"/>
        <w:bottom w:val="none" w:sz="0" w:space="0" w:color="auto"/>
        <w:right w:val="none" w:sz="0" w:space="0" w:color="auto"/>
      </w:divBdr>
    </w:div>
    <w:div w:id="2069962053">
      <w:bodyDiv w:val="1"/>
      <w:marLeft w:val="0"/>
      <w:marRight w:val="0"/>
      <w:marTop w:val="0"/>
      <w:marBottom w:val="0"/>
      <w:divBdr>
        <w:top w:val="none" w:sz="0" w:space="0" w:color="auto"/>
        <w:left w:val="none" w:sz="0" w:space="0" w:color="auto"/>
        <w:bottom w:val="none" w:sz="0" w:space="0" w:color="auto"/>
        <w:right w:val="none" w:sz="0" w:space="0" w:color="auto"/>
      </w:divBdr>
    </w:div>
    <w:div w:id="2074547181">
      <w:bodyDiv w:val="1"/>
      <w:marLeft w:val="0"/>
      <w:marRight w:val="0"/>
      <w:marTop w:val="0"/>
      <w:marBottom w:val="0"/>
      <w:divBdr>
        <w:top w:val="none" w:sz="0" w:space="0" w:color="auto"/>
        <w:left w:val="none" w:sz="0" w:space="0" w:color="auto"/>
        <w:bottom w:val="none" w:sz="0" w:space="0" w:color="auto"/>
        <w:right w:val="none" w:sz="0" w:space="0" w:color="auto"/>
      </w:divBdr>
    </w:div>
    <w:div w:id="2076125921">
      <w:bodyDiv w:val="1"/>
      <w:marLeft w:val="0"/>
      <w:marRight w:val="0"/>
      <w:marTop w:val="0"/>
      <w:marBottom w:val="0"/>
      <w:divBdr>
        <w:top w:val="none" w:sz="0" w:space="0" w:color="auto"/>
        <w:left w:val="none" w:sz="0" w:space="0" w:color="auto"/>
        <w:bottom w:val="none" w:sz="0" w:space="0" w:color="auto"/>
        <w:right w:val="none" w:sz="0" w:space="0" w:color="auto"/>
      </w:divBdr>
    </w:div>
    <w:div w:id="2077314328">
      <w:bodyDiv w:val="1"/>
      <w:marLeft w:val="0"/>
      <w:marRight w:val="0"/>
      <w:marTop w:val="0"/>
      <w:marBottom w:val="0"/>
      <w:divBdr>
        <w:top w:val="none" w:sz="0" w:space="0" w:color="auto"/>
        <w:left w:val="none" w:sz="0" w:space="0" w:color="auto"/>
        <w:bottom w:val="none" w:sz="0" w:space="0" w:color="auto"/>
        <w:right w:val="none" w:sz="0" w:space="0" w:color="auto"/>
      </w:divBdr>
    </w:div>
    <w:div w:id="2086101218">
      <w:bodyDiv w:val="1"/>
      <w:marLeft w:val="0"/>
      <w:marRight w:val="0"/>
      <w:marTop w:val="0"/>
      <w:marBottom w:val="0"/>
      <w:divBdr>
        <w:top w:val="none" w:sz="0" w:space="0" w:color="auto"/>
        <w:left w:val="none" w:sz="0" w:space="0" w:color="auto"/>
        <w:bottom w:val="none" w:sz="0" w:space="0" w:color="auto"/>
        <w:right w:val="none" w:sz="0" w:space="0" w:color="auto"/>
      </w:divBdr>
    </w:div>
    <w:div w:id="2090688646">
      <w:bodyDiv w:val="1"/>
      <w:marLeft w:val="0"/>
      <w:marRight w:val="0"/>
      <w:marTop w:val="0"/>
      <w:marBottom w:val="0"/>
      <w:divBdr>
        <w:top w:val="none" w:sz="0" w:space="0" w:color="auto"/>
        <w:left w:val="none" w:sz="0" w:space="0" w:color="auto"/>
        <w:bottom w:val="none" w:sz="0" w:space="0" w:color="auto"/>
        <w:right w:val="none" w:sz="0" w:space="0" w:color="auto"/>
      </w:divBdr>
    </w:div>
    <w:div w:id="2111897849">
      <w:bodyDiv w:val="1"/>
      <w:marLeft w:val="0"/>
      <w:marRight w:val="0"/>
      <w:marTop w:val="0"/>
      <w:marBottom w:val="0"/>
      <w:divBdr>
        <w:top w:val="none" w:sz="0" w:space="0" w:color="auto"/>
        <w:left w:val="none" w:sz="0" w:space="0" w:color="auto"/>
        <w:bottom w:val="none" w:sz="0" w:space="0" w:color="auto"/>
        <w:right w:val="none" w:sz="0" w:space="0" w:color="auto"/>
      </w:divBdr>
    </w:div>
    <w:div w:id="2112432979">
      <w:bodyDiv w:val="1"/>
      <w:marLeft w:val="0"/>
      <w:marRight w:val="0"/>
      <w:marTop w:val="0"/>
      <w:marBottom w:val="0"/>
      <w:divBdr>
        <w:top w:val="none" w:sz="0" w:space="0" w:color="auto"/>
        <w:left w:val="none" w:sz="0" w:space="0" w:color="auto"/>
        <w:bottom w:val="none" w:sz="0" w:space="0" w:color="auto"/>
        <w:right w:val="none" w:sz="0" w:space="0" w:color="auto"/>
      </w:divBdr>
    </w:div>
    <w:div w:id="2114594204">
      <w:bodyDiv w:val="1"/>
      <w:marLeft w:val="0"/>
      <w:marRight w:val="0"/>
      <w:marTop w:val="0"/>
      <w:marBottom w:val="0"/>
      <w:divBdr>
        <w:top w:val="none" w:sz="0" w:space="0" w:color="auto"/>
        <w:left w:val="none" w:sz="0" w:space="0" w:color="auto"/>
        <w:bottom w:val="none" w:sz="0" w:space="0" w:color="auto"/>
        <w:right w:val="none" w:sz="0" w:space="0" w:color="auto"/>
      </w:divBdr>
    </w:div>
    <w:div w:id="2116359186">
      <w:bodyDiv w:val="1"/>
      <w:marLeft w:val="0"/>
      <w:marRight w:val="0"/>
      <w:marTop w:val="0"/>
      <w:marBottom w:val="0"/>
      <w:divBdr>
        <w:top w:val="none" w:sz="0" w:space="0" w:color="auto"/>
        <w:left w:val="none" w:sz="0" w:space="0" w:color="auto"/>
        <w:bottom w:val="none" w:sz="0" w:space="0" w:color="auto"/>
        <w:right w:val="none" w:sz="0" w:space="0" w:color="auto"/>
      </w:divBdr>
    </w:div>
    <w:div w:id="2121215768">
      <w:bodyDiv w:val="1"/>
      <w:marLeft w:val="0"/>
      <w:marRight w:val="0"/>
      <w:marTop w:val="0"/>
      <w:marBottom w:val="0"/>
      <w:divBdr>
        <w:top w:val="none" w:sz="0" w:space="0" w:color="auto"/>
        <w:left w:val="none" w:sz="0" w:space="0" w:color="auto"/>
        <w:bottom w:val="none" w:sz="0" w:space="0" w:color="auto"/>
        <w:right w:val="none" w:sz="0" w:space="0" w:color="auto"/>
      </w:divBdr>
    </w:div>
    <w:div w:id="2133471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2.jpeg"/><Relationship Id="rId24" Type="http://schemas.openxmlformats.org/officeDocument/2006/relationships/image" Target="media/image13.png"/><Relationship Id="rId32" Type="http://schemas.microsoft.com/office/2007/relationships/hdphoto" Target="media/hdphoto1.wdp"/><Relationship Id="rId37" Type="http://schemas.openxmlformats.org/officeDocument/2006/relationships/image" Target="media/image25.jp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39.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emf"/><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2ED2BA-8E45-48BA-B484-753E973100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121</Pages>
  <Words>124048</Words>
  <Characters>781508</Characters>
  <Application>Microsoft Office Word</Application>
  <DocSecurity>0</DocSecurity>
  <Lines>6512</Lines>
  <Paragraphs>1807</Paragraphs>
  <ScaleCrop>false</ScaleCrop>
  <HeadingPairs>
    <vt:vector size="4" baseType="variant">
      <vt:variant>
        <vt:lpstr>Titel</vt:lpstr>
      </vt:variant>
      <vt:variant>
        <vt:i4>1</vt:i4>
      </vt:variant>
      <vt:variant>
        <vt:lpstr>Název</vt:lpstr>
      </vt:variant>
      <vt:variant>
        <vt:i4>1</vt:i4>
      </vt:variant>
    </vt:vector>
  </HeadingPairs>
  <TitlesOfParts>
    <vt:vector size="2" baseType="lpstr">
      <vt:lpstr/>
      <vt:lpstr/>
    </vt:vector>
  </TitlesOfParts>
  <Company/>
  <LinksUpToDate>false</LinksUpToDate>
  <CharactersWithSpaces>903749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Jan Stetka</cp:lastModifiedBy>
  <cp:revision>3</cp:revision>
  <cp:lastPrinted>2020-12-14T19:53:00Z</cp:lastPrinted>
  <dcterms:created xsi:type="dcterms:W3CDTF">2020-12-15T12:05:00Z</dcterms:created>
  <dcterms:modified xsi:type="dcterms:W3CDTF">2020-12-15T12:06:00Z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zotero-version="5.0.93"&gt;&lt;session id="b2b0IfOV"/&gt;&lt;style id="http://www.zotero.org/styles/elsevier-harvard" hasBibliography="1" bibliographyStyleHasBeenSet="1"/&gt;&lt;prefs&gt;&lt;pref name="fieldType" value="Field"/&gt;&lt;pref name="dontAskDelayCita</vt:lpwstr>
  </property>
  <property fmtid="{D5CDD505-2E9C-101B-9397-08002B2CF9AE}" pid="3" name="ZOTERO_PREF_2">
    <vt:lpwstr>tionUpdates" value="true"/&gt;&lt;/prefs&gt;&lt;/data&gt;</vt:lpwstr>
  </property>
</Properties>
</file>