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FF5" w:rsidRPr="00D075FC" w:rsidRDefault="00911FF5" w:rsidP="00911FF5">
      <w:pPr>
        <w:ind w:left="-567"/>
        <w:jc w:val="center"/>
        <w:rPr>
          <w:rFonts w:cs="Arial"/>
          <w:b/>
          <w:sz w:val="32"/>
          <w:szCs w:val="32"/>
        </w:rPr>
      </w:pPr>
      <w:bookmarkStart w:id="0" w:name="_GoBack"/>
      <w:r w:rsidRPr="00D075FC">
        <w:rPr>
          <w:rFonts w:cs="Arial"/>
          <w:b/>
          <w:sz w:val="32"/>
          <w:szCs w:val="32"/>
        </w:rPr>
        <w:t>Univerzita Palackého v Olomouci</w:t>
      </w:r>
    </w:p>
    <w:p w:rsidR="00911FF5" w:rsidRDefault="00911FF5" w:rsidP="00911FF5">
      <w:pPr>
        <w:ind w:left="-567"/>
        <w:jc w:val="center"/>
        <w:rPr>
          <w:rFonts w:cs="Arial"/>
          <w:b/>
          <w:sz w:val="32"/>
          <w:szCs w:val="32"/>
        </w:rPr>
      </w:pPr>
      <w:r w:rsidRPr="00D075FC">
        <w:rPr>
          <w:rFonts w:cs="Arial"/>
          <w:b/>
          <w:sz w:val="32"/>
          <w:szCs w:val="32"/>
        </w:rPr>
        <w:t>Právnická fakulta</w:t>
      </w:r>
    </w:p>
    <w:p w:rsidR="00911FF5" w:rsidRPr="00D075FC" w:rsidRDefault="00911FF5" w:rsidP="00911FF5">
      <w:pPr>
        <w:spacing w:before="3600"/>
        <w:ind w:left="-567"/>
        <w:jc w:val="center"/>
        <w:rPr>
          <w:rFonts w:cs="Arial"/>
          <w:b/>
          <w:sz w:val="32"/>
          <w:szCs w:val="32"/>
        </w:rPr>
      </w:pPr>
      <w:r>
        <w:rPr>
          <w:rFonts w:cs="Arial"/>
          <w:b/>
          <w:sz w:val="32"/>
          <w:szCs w:val="32"/>
        </w:rPr>
        <w:t>Jan Vytřísal</w:t>
      </w:r>
    </w:p>
    <w:p w:rsidR="00911FF5" w:rsidRPr="009A1B01" w:rsidRDefault="00911FF5" w:rsidP="00911FF5">
      <w:pPr>
        <w:spacing w:before="240"/>
        <w:ind w:left="-567"/>
        <w:jc w:val="center"/>
        <w:rPr>
          <w:rFonts w:cs="Arial"/>
          <w:b/>
          <w:sz w:val="36"/>
          <w:szCs w:val="36"/>
        </w:rPr>
      </w:pPr>
      <w:r w:rsidRPr="00730844">
        <w:rPr>
          <w:rFonts w:cs="Arial"/>
          <w:b/>
          <w:sz w:val="36"/>
          <w:szCs w:val="36"/>
        </w:rPr>
        <w:t>Dvojkolejnost úpravy bytových jednotek</w:t>
      </w:r>
    </w:p>
    <w:p w:rsidR="00911FF5" w:rsidRPr="008854E5" w:rsidRDefault="00911FF5" w:rsidP="00911FF5">
      <w:pPr>
        <w:spacing w:before="240"/>
        <w:ind w:left="-567"/>
        <w:jc w:val="center"/>
        <w:rPr>
          <w:rFonts w:cs="Arial"/>
          <w:b/>
          <w:sz w:val="28"/>
          <w:szCs w:val="28"/>
        </w:rPr>
      </w:pPr>
      <w:r>
        <w:rPr>
          <w:rFonts w:cs="Arial"/>
          <w:b/>
          <w:sz w:val="28"/>
          <w:szCs w:val="28"/>
        </w:rPr>
        <w:t>Diplomová práce</w:t>
      </w:r>
    </w:p>
    <w:p w:rsidR="00911FF5" w:rsidRDefault="00911FF5" w:rsidP="00911FF5">
      <w:pPr>
        <w:spacing w:before="5640"/>
        <w:ind w:left="-567"/>
        <w:jc w:val="center"/>
        <w:rPr>
          <w:rFonts w:cs="Arial"/>
          <w:b/>
        </w:rPr>
      </w:pPr>
      <w:r w:rsidRPr="00D075FC">
        <w:rPr>
          <w:rFonts w:cs="Arial"/>
          <w:b/>
        </w:rPr>
        <w:t xml:space="preserve">Olomouc </w:t>
      </w:r>
      <w:r>
        <w:rPr>
          <w:rFonts w:cs="Arial"/>
          <w:b/>
        </w:rPr>
        <w:t>2018</w:t>
      </w:r>
    </w:p>
    <w:p w:rsidR="00911FF5" w:rsidRDefault="00911FF5" w:rsidP="00911FF5">
      <w:pPr>
        <w:spacing w:line="276" w:lineRule="auto"/>
        <w:ind w:firstLine="0"/>
        <w:jc w:val="left"/>
        <w:rPr>
          <w:rFonts w:cs="Arial"/>
          <w:b/>
        </w:rPr>
        <w:sectPr w:rsidR="00911FF5" w:rsidSect="0039036A">
          <w:footerReference w:type="default" r:id="rId8"/>
          <w:pgSz w:w="11906" w:h="16838"/>
          <w:pgMar w:top="1418" w:right="1134" w:bottom="1418" w:left="1701" w:header="709" w:footer="709" w:gutter="0"/>
          <w:cols w:space="708"/>
          <w:titlePg/>
          <w:docGrid w:linePitch="360"/>
        </w:sectPr>
      </w:pPr>
      <w:r>
        <w:rPr>
          <w:rFonts w:cs="Arial"/>
          <w:b/>
        </w:rPr>
        <w:br w:type="page"/>
      </w:r>
      <w:bookmarkEnd w:id="0"/>
    </w:p>
    <w:p w:rsidR="00911FF5" w:rsidRDefault="00911FF5" w:rsidP="00911FF5">
      <w:pPr>
        <w:spacing w:before="11520" w:line="276" w:lineRule="auto"/>
        <w:ind w:firstLine="0"/>
        <w:jc w:val="left"/>
        <w:rPr>
          <w:rFonts w:cs="Arial"/>
          <w:b/>
        </w:rPr>
      </w:pPr>
    </w:p>
    <w:p w:rsidR="00911FF5" w:rsidRDefault="00911FF5" w:rsidP="00911FF5">
      <w:r>
        <w:t>Prohlašuji, že jsem práci na téma „</w:t>
      </w:r>
      <w:r w:rsidRPr="00730844">
        <w:rPr>
          <w:i/>
        </w:rPr>
        <w:t>Dvojkolejnost úpravy bytových jednotek</w:t>
      </w:r>
      <w:r>
        <w:t>“ vypracoval samostatně a všechny použité zdroje řádně cituji.</w:t>
      </w:r>
    </w:p>
    <w:p w:rsidR="00911FF5" w:rsidRDefault="00911FF5" w:rsidP="00911FF5"/>
    <w:p w:rsidR="00911FF5" w:rsidRDefault="00911FF5" w:rsidP="00911FF5">
      <w:pPr>
        <w:ind w:firstLine="0"/>
      </w:pPr>
      <w:r>
        <w:t>V Olomouci dne 20. února 2018</w:t>
      </w:r>
      <w:r>
        <w:tab/>
      </w:r>
      <w:r>
        <w:tab/>
      </w:r>
      <w:r>
        <w:tab/>
      </w:r>
      <w:r>
        <w:tab/>
      </w:r>
      <w:r>
        <w:tab/>
      </w:r>
      <w:r>
        <w:tab/>
        <w:t>Jan Vytřísal</w:t>
      </w:r>
    </w:p>
    <w:p w:rsidR="00911FF5" w:rsidRDefault="00911FF5" w:rsidP="00911FF5">
      <w:pPr>
        <w:ind w:firstLine="0"/>
      </w:pPr>
    </w:p>
    <w:p w:rsidR="00FD4610" w:rsidRDefault="00FD4610" w:rsidP="00911FF5">
      <w:pPr>
        <w:ind w:firstLine="0"/>
      </w:pPr>
    </w:p>
    <w:p w:rsidR="00FD4610" w:rsidRDefault="00FD4610" w:rsidP="00911FF5">
      <w:pPr>
        <w:ind w:firstLine="0"/>
      </w:pPr>
    </w:p>
    <w:p w:rsidR="00FD4610" w:rsidRDefault="00FD4610" w:rsidP="00911FF5">
      <w:pPr>
        <w:ind w:firstLine="0"/>
      </w:pPr>
    </w:p>
    <w:p w:rsidR="00FD4610" w:rsidRDefault="00FD4610" w:rsidP="00911FF5">
      <w:pPr>
        <w:ind w:firstLine="0"/>
      </w:pPr>
    </w:p>
    <w:p w:rsidR="00FD4610" w:rsidRDefault="00FD4610" w:rsidP="00911FF5">
      <w:pPr>
        <w:ind w:firstLine="0"/>
      </w:pPr>
    </w:p>
    <w:p w:rsidR="00FD4610" w:rsidRDefault="00FD4610" w:rsidP="00911FF5">
      <w:pPr>
        <w:ind w:firstLine="0"/>
      </w:pPr>
    </w:p>
    <w:p w:rsidR="00FD4610" w:rsidRDefault="00FD4610" w:rsidP="00911FF5">
      <w:pPr>
        <w:ind w:firstLine="0"/>
      </w:pPr>
    </w:p>
    <w:p w:rsidR="00FD4610" w:rsidRDefault="00FD4610" w:rsidP="00911FF5">
      <w:pPr>
        <w:ind w:firstLine="0"/>
      </w:pPr>
    </w:p>
    <w:p w:rsidR="00FD4610" w:rsidRDefault="00FD4610" w:rsidP="00911FF5">
      <w:pPr>
        <w:ind w:firstLine="0"/>
      </w:pPr>
    </w:p>
    <w:p w:rsidR="00FD4610" w:rsidRDefault="00FD4610" w:rsidP="00911FF5">
      <w:pPr>
        <w:ind w:firstLine="0"/>
      </w:pPr>
    </w:p>
    <w:p w:rsidR="00FD4610" w:rsidRDefault="00FD4610" w:rsidP="00911FF5">
      <w:pPr>
        <w:ind w:firstLine="0"/>
      </w:pPr>
    </w:p>
    <w:p w:rsidR="00FD4610" w:rsidRDefault="00FD4610" w:rsidP="00911FF5">
      <w:pPr>
        <w:ind w:firstLine="0"/>
      </w:pPr>
    </w:p>
    <w:p w:rsidR="00FD4610" w:rsidRDefault="00FD4610" w:rsidP="00911FF5">
      <w:pPr>
        <w:ind w:firstLine="0"/>
      </w:pPr>
    </w:p>
    <w:p w:rsidR="00FD4610" w:rsidRDefault="00FD4610" w:rsidP="00911FF5">
      <w:pPr>
        <w:ind w:firstLine="0"/>
      </w:pPr>
    </w:p>
    <w:p w:rsidR="00FD4610" w:rsidRDefault="00FD4610" w:rsidP="00911FF5">
      <w:pPr>
        <w:ind w:firstLine="0"/>
      </w:pPr>
    </w:p>
    <w:p w:rsidR="00FD4610" w:rsidRDefault="00FD4610" w:rsidP="00911FF5">
      <w:pPr>
        <w:ind w:firstLine="0"/>
      </w:pPr>
    </w:p>
    <w:p w:rsidR="00FD4610" w:rsidRDefault="00FD4610" w:rsidP="00911FF5">
      <w:pPr>
        <w:ind w:firstLine="0"/>
      </w:pPr>
    </w:p>
    <w:p w:rsidR="00FD4610" w:rsidRDefault="00FD4610" w:rsidP="00911FF5">
      <w:pPr>
        <w:ind w:firstLine="0"/>
      </w:pPr>
    </w:p>
    <w:p w:rsidR="00FD4610" w:rsidRDefault="00FD4610" w:rsidP="00911FF5">
      <w:pPr>
        <w:ind w:firstLine="0"/>
      </w:pPr>
    </w:p>
    <w:p w:rsidR="00FD4610" w:rsidRDefault="00FD4610" w:rsidP="00911FF5">
      <w:pPr>
        <w:ind w:firstLine="0"/>
      </w:pPr>
    </w:p>
    <w:p w:rsidR="00FD4610" w:rsidRDefault="00FD4610" w:rsidP="00911FF5">
      <w:pPr>
        <w:ind w:firstLine="0"/>
      </w:pPr>
    </w:p>
    <w:p w:rsidR="00FD4610" w:rsidRDefault="00FD4610" w:rsidP="00911FF5">
      <w:pPr>
        <w:ind w:firstLine="0"/>
      </w:pPr>
    </w:p>
    <w:p w:rsidR="00FD4610" w:rsidRDefault="00FD4610" w:rsidP="00911FF5">
      <w:pPr>
        <w:ind w:firstLine="0"/>
      </w:pPr>
    </w:p>
    <w:p w:rsidR="00FD4610" w:rsidRDefault="00FD4610" w:rsidP="00911FF5">
      <w:pPr>
        <w:ind w:firstLine="0"/>
      </w:pPr>
    </w:p>
    <w:p w:rsidR="00FD4610" w:rsidRDefault="00FD4610" w:rsidP="00911FF5">
      <w:pPr>
        <w:ind w:firstLine="0"/>
      </w:pPr>
    </w:p>
    <w:p w:rsidR="00FD4610" w:rsidRDefault="00FD4610" w:rsidP="00911FF5">
      <w:pPr>
        <w:ind w:firstLine="0"/>
      </w:pPr>
    </w:p>
    <w:p w:rsidR="00FD4610" w:rsidRDefault="00FD4610" w:rsidP="00911FF5">
      <w:pPr>
        <w:ind w:firstLine="0"/>
      </w:pPr>
    </w:p>
    <w:p w:rsidR="00FD4610" w:rsidRDefault="00FD4610" w:rsidP="00911FF5">
      <w:pPr>
        <w:ind w:firstLine="0"/>
      </w:pPr>
    </w:p>
    <w:p w:rsidR="00FD4610" w:rsidRDefault="00FD4610" w:rsidP="00911FF5">
      <w:pPr>
        <w:ind w:firstLine="0"/>
      </w:pPr>
    </w:p>
    <w:p w:rsidR="00FD4610" w:rsidRDefault="00FD4610" w:rsidP="00911FF5">
      <w:pPr>
        <w:ind w:firstLine="0"/>
      </w:pPr>
    </w:p>
    <w:p w:rsidR="00FD4610" w:rsidRDefault="00FD4610" w:rsidP="00FD4610">
      <w:pPr>
        <w:ind w:firstLine="708"/>
      </w:pPr>
      <w:r w:rsidRPr="00FD4610">
        <w:t>Za odborné vedení a cenné připomínky při psaní této práce bych rád vyjádřil poděkování JUDr. Pavlu Petrovi, LL.M. Ph.D., stejně jako za jeho profesionální a neotřelou výuku problematiky nejen bytového spoluvlastnictví.</w:t>
      </w:r>
    </w:p>
    <w:p w:rsidR="00911FF5" w:rsidRDefault="00911FF5" w:rsidP="00911FF5">
      <w:pPr>
        <w:ind w:firstLine="0"/>
      </w:pPr>
    </w:p>
    <w:p w:rsidR="00911FF5" w:rsidRDefault="00911FF5" w:rsidP="00911FF5">
      <w:pPr>
        <w:pStyle w:val="Nadpismimoobsah"/>
      </w:pPr>
      <w:r>
        <w:lastRenderedPageBreak/>
        <w:t>Seznam použitých zkratek</w:t>
      </w:r>
    </w:p>
    <w:p w:rsidR="00911FF5" w:rsidRDefault="00911FF5" w:rsidP="00911FF5"/>
    <w:p w:rsidR="00911FF5" w:rsidRDefault="00405692" w:rsidP="00911FF5">
      <w:r>
        <w:t>LZPS</w:t>
      </w:r>
      <w:r w:rsidR="006D6E9E">
        <w:tab/>
        <w:t xml:space="preserve"> -</w:t>
      </w:r>
      <w:r w:rsidR="00911FF5">
        <w:t xml:space="preserve"> Listina základních práv a svobod</w:t>
      </w:r>
    </w:p>
    <w:p w:rsidR="00911FF5" w:rsidRDefault="00911FF5" w:rsidP="00911FF5">
      <w:r>
        <w:t>NOZ</w:t>
      </w:r>
      <w:r w:rsidR="006D6E9E">
        <w:tab/>
        <w:t xml:space="preserve"> -</w:t>
      </w:r>
      <w:r>
        <w:t xml:space="preserve"> Nový občanský zákoník</w:t>
      </w:r>
    </w:p>
    <w:p w:rsidR="00911FF5" w:rsidRDefault="008C51DB" w:rsidP="00911FF5">
      <w:r>
        <w:t>ZOVB</w:t>
      </w:r>
      <w:r w:rsidR="006D6E9E">
        <w:tab/>
        <w:t xml:space="preserve"> -</w:t>
      </w:r>
      <w:r w:rsidR="00911FF5">
        <w:t xml:space="preserve"> Zákon o vlastnictví bytů</w:t>
      </w:r>
    </w:p>
    <w:p w:rsidR="00911FF5" w:rsidRDefault="00B16A37" w:rsidP="00911FF5">
      <w:r>
        <w:t>SOZ</w:t>
      </w:r>
      <w:r w:rsidR="006D6E9E">
        <w:tab/>
        <w:t xml:space="preserve"> -</w:t>
      </w:r>
      <w:r w:rsidR="00911FF5">
        <w:t xml:space="preserve"> Občanský zákoník z roku 1964</w:t>
      </w:r>
    </w:p>
    <w:p w:rsidR="006B2128" w:rsidRDefault="006D6E9E" w:rsidP="006B2128">
      <w:r>
        <w:t>SVJ</w:t>
      </w:r>
      <w:r>
        <w:tab/>
        <w:t xml:space="preserve"> - Společenství vlastníků jednotek</w:t>
      </w:r>
    </w:p>
    <w:p w:rsidR="006B2128" w:rsidRPr="003C37C8" w:rsidRDefault="00055941" w:rsidP="00B16A37">
      <w:pPr>
        <w:ind w:left="709" w:hanging="142"/>
        <w:jc w:val="left"/>
        <w:sectPr w:rsidR="006B2128" w:rsidRPr="003C37C8" w:rsidSect="0039036A">
          <w:pgSz w:w="11906" w:h="16838"/>
          <w:pgMar w:top="1418" w:right="1134" w:bottom="1418" w:left="1701" w:header="709" w:footer="709" w:gutter="0"/>
          <w:cols w:space="708"/>
          <w:titlePg/>
          <w:docGrid w:linePitch="360"/>
        </w:sectPr>
      </w:pPr>
      <w:r>
        <w:t>OSŘ</w:t>
      </w:r>
      <w:r>
        <w:tab/>
        <w:t xml:space="preserve"> - </w:t>
      </w:r>
      <w:r w:rsidR="006B2128">
        <w:t>Občanský soudní řád</w:t>
      </w:r>
    </w:p>
    <w:p w:rsidR="00911FF5" w:rsidRDefault="00B56644" w:rsidP="00911FF5">
      <w:pPr>
        <w:pStyle w:val="Nadpis1"/>
        <w:numPr>
          <w:ilvl w:val="0"/>
          <w:numId w:val="0"/>
        </w:numPr>
      </w:pPr>
      <w:r>
        <w:lastRenderedPageBreak/>
        <w:t>Obsah</w:t>
      </w:r>
    </w:p>
    <w:p w:rsidR="00911FF5" w:rsidRPr="0004738D" w:rsidRDefault="00911FF5" w:rsidP="00911FF5"/>
    <w:sdt>
      <w:sdtPr>
        <w:rPr>
          <w:rFonts w:asciiTheme="majorHAnsi" w:eastAsiaTheme="majorEastAsia" w:hAnsiTheme="majorHAnsi" w:cstheme="majorBidi"/>
          <w:bCs/>
          <w:color w:val="2E74B5" w:themeColor="accent1" w:themeShade="BF"/>
          <w:sz w:val="28"/>
          <w:szCs w:val="28"/>
        </w:rPr>
        <w:id w:val="-1080599562"/>
        <w:docPartObj>
          <w:docPartGallery w:val="Table of Contents"/>
          <w:docPartUnique/>
        </w:docPartObj>
      </w:sdtPr>
      <w:sdtEndPr>
        <w:rPr>
          <w:b w:val="0"/>
        </w:rPr>
      </w:sdtEndPr>
      <w:sdtContent>
        <w:p w:rsidR="00B56644" w:rsidRDefault="00374A9A">
          <w:pPr>
            <w:pStyle w:val="Obsah1"/>
            <w:rPr>
              <w:rFonts w:asciiTheme="minorHAnsi" w:eastAsiaTheme="minorEastAsia" w:hAnsiTheme="minorHAnsi"/>
              <w:b w:val="0"/>
              <w:noProof/>
              <w:sz w:val="22"/>
              <w:lang w:eastAsia="cs-CZ"/>
            </w:rPr>
          </w:pPr>
          <w:r>
            <w:fldChar w:fldCharType="begin"/>
          </w:r>
          <w:r w:rsidR="00911FF5">
            <w:instrText xml:space="preserve"> TOC \o "1-3" \h \z \u </w:instrText>
          </w:r>
          <w:r>
            <w:fldChar w:fldCharType="separate"/>
          </w:r>
        </w:p>
        <w:p w:rsidR="00B56644" w:rsidRDefault="00E05371">
          <w:pPr>
            <w:pStyle w:val="Obsah1"/>
            <w:rPr>
              <w:rFonts w:asciiTheme="minorHAnsi" w:eastAsiaTheme="minorEastAsia" w:hAnsiTheme="minorHAnsi"/>
              <w:b w:val="0"/>
              <w:noProof/>
              <w:sz w:val="22"/>
              <w:lang w:eastAsia="cs-CZ"/>
            </w:rPr>
          </w:pPr>
          <w:hyperlink w:anchor="_Toc509413064" w:history="1">
            <w:r w:rsidR="00B56644" w:rsidRPr="005253EA">
              <w:rPr>
                <w:rStyle w:val="Hypertextovodkaz"/>
                <w:noProof/>
              </w:rPr>
              <w:t>1</w:t>
            </w:r>
            <w:r w:rsidR="00B56644">
              <w:rPr>
                <w:rFonts w:asciiTheme="minorHAnsi" w:eastAsiaTheme="minorEastAsia" w:hAnsiTheme="minorHAnsi"/>
                <w:b w:val="0"/>
                <w:noProof/>
                <w:sz w:val="22"/>
                <w:lang w:eastAsia="cs-CZ"/>
              </w:rPr>
              <w:tab/>
            </w:r>
            <w:r w:rsidR="00B56644" w:rsidRPr="005253EA">
              <w:rPr>
                <w:rStyle w:val="Hypertextovodkaz"/>
                <w:noProof/>
              </w:rPr>
              <w:t>Druhy koncepcí, vývoj úpravy</w:t>
            </w:r>
            <w:r w:rsidR="00B56644">
              <w:rPr>
                <w:noProof/>
                <w:webHidden/>
              </w:rPr>
              <w:tab/>
            </w:r>
            <w:r w:rsidR="00374A9A">
              <w:rPr>
                <w:noProof/>
                <w:webHidden/>
              </w:rPr>
              <w:fldChar w:fldCharType="begin"/>
            </w:r>
            <w:r w:rsidR="00B56644">
              <w:rPr>
                <w:noProof/>
                <w:webHidden/>
              </w:rPr>
              <w:instrText xml:space="preserve"> PAGEREF _Toc509413064 \h </w:instrText>
            </w:r>
            <w:r w:rsidR="00374A9A">
              <w:rPr>
                <w:noProof/>
                <w:webHidden/>
              </w:rPr>
            </w:r>
            <w:r w:rsidR="00374A9A">
              <w:rPr>
                <w:noProof/>
                <w:webHidden/>
              </w:rPr>
              <w:fldChar w:fldCharType="separate"/>
            </w:r>
            <w:r w:rsidR="00CF2202">
              <w:rPr>
                <w:noProof/>
                <w:webHidden/>
              </w:rPr>
              <w:t>7</w:t>
            </w:r>
            <w:r w:rsidR="00374A9A">
              <w:rPr>
                <w:noProof/>
                <w:webHidden/>
              </w:rPr>
              <w:fldChar w:fldCharType="end"/>
            </w:r>
          </w:hyperlink>
        </w:p>
        <w:p w:rsidR="00B56644" w:rsidRDefault="00E05371">
          <w:pPr>
            <w:pStyle w:val="Obsah2"/>
            <w:tabs>
              <w:tab w:val="left" w:pos="880"/>
              <w:tab w:val="right" w:leader="dot" w:pos="9062"/>
            </w:tabs>
            <w:rPr>
              <w:rFonts w:asciiTheme="minorHAnsi" w:eastAsiaTheme="minorEastAsia" w:hAnsiTheme="minorHAnsi"/>
              <w:noProof/>
              <w:sz w:val="22"/>
              <w:lang w:eastAsia="cs-CZ"/>
            </w:rPr>
          </w:pPr>
          <w:hyperlink w:anchor="_Toc509413065" w:history="1">
            <w:r w:rsidR="00B56644" w:rsidRPr="005253EA">
              <w:rPr>
                <w:rStyle w:val="Hypertextovodkaz"/>
                <w:noProof/>
              </w:rPr>
              <w:t>1.1</w:t>
            </w:r>
            <w:r w:rsidR="00B56644">
              <w:rPr>
                <w:rFonts w:asciiTheme="minorHAnsi" w:eastAsiaTheme="minorEastAsia" w:hAnsiTheme="minorHAnsi"/>
                <w:noProof/>
                <w:sz w:val="22"/>
                <w:lang w:eastAsia="cs-CZ"/>
              </w:rPr>
              <w:tab/>
            </w:r>
            <w:r w:rsidR="00B56644" w:rsidRPr="005253EA">
              <w:rPr>
                <w:rStyle w:val="Hypertextovodkaz"/>
                <w:noProof/>
              </w:rPr>
              <w:t>Byt jako předmět vlastnictví</w:t>
            </w:r>
            <w:r w:rsidR="00B56644">
              <w:rPr>
                <w:noProof/>
                <w:webHidden/>
              </w:rPr>
              <w:tab/>
            </w:r>
            <w:r w:rsidR="00374A9A">
              <w:rPr>
                <w:noProof/>
                <w:webHidden/>
              </w:rPr>
              <w:fldChar w:fldCharType="begin"/>
            </w:r>
            <w:r w:rsidR="00B56644">
              <w:rPr>
                <w:noProof/>
                <w:webHidden/>
              </w:rPr>
              <w:instrText xml:space="preserve"> PAGEREF _Toc509413065 \h </w:instrText>
            </w:r>
            <w:r w:rsidR="00374A9A">
              <w:rPr>
                <w:noProof/>
                <w:webHidden/>
              </w:rPr>
            </w:r>
            <w:r w:rsidR="00374A9A">
              <w:rPr>
                <w:noProof/>
                <w:webHidden/>
              </w:rPr>
              <w:fldChar w:fldCharType="separate"/>
            </w:r>
            <w:r w:rsidR="00CF2202">
              <w:rPr>
                <w:noProof/>
                <w:webHidden/>
              </w:rPr>
              <w:t>7</w:t>
            </w:r>
            <w:r w:rsidR="00374A9A">
              <w:rPr>
                <w:noProof/>
                <w:webHidden/>
              </w:rPr>
              <w:fldChar w:fldCharType="end"/>
            </w:r>
          </w:hyperlink>
        </w:p>
        <w:p w:rsidR="00B56644" w:rsidRDefault="00E05371">
          <w:pPr>
            <w:pStyle w:val="Obsah3"/>
            <w:tabs>
              <w:tab w:val="left" w:pos="1320"/>
              <w:tab w:val="right" w:leader="dot" w:pos="9062"/>
            </w:tabs>
            <w:rPr>
              <w:rFonts w:asciiTheme="minorHAnsi" w:eastAsiaTheme="minorEastAsia" w:hAnsiTheme="minorHAnsi"/>
              <w:noProof/>
              <w:sz w:val="22"/>
              <w:lang w:eastAsia="cs-CZ"/>
            </w:rPr>
          </w:pPr>
          <w:hyperlink w:anchor="_Toc509413066" w:history="1">
            <w:r w:rsidR="00B56644" w:rsidRPr="005253EA">
              <w:rPr>
                <w:rStyle w:val="Hypertextovodkaz"/>
                <w:noProof/>
              </w:rPr>
              <w:t>1.1.1</w:t>
            </w:r>
            <w:r w:rsidR="00B56644">
              <w:rPr>
                <w:rFonts w:asciiTheme="minorHAnsi" w:eastAsiaTheme="minorEastAsia" w:hAnsiTheme="minorHAnsi"/>
                <w:noProof/>
                <w:sz w:val="22"/>
                <w:lang w:eastAsia="cs-CZ"/>
              </w:rPr>
              <w:tab/>
            </w:r>
            <w:r w:rsidR="00B56644" w:rsidRPr="005253EA">
              <w:rPr>
                <w:rStyle w:val="Hypertextovodkaz"/>
                <w:noProof/>
              </w:rPr>
              <w:t>Pojem „nebyt“</w:t>
            </w:r>
            <w:r w:rsidR="00B56644">
              <w:rPr>
                <w:noProof/>
                <w:webHidden/>
              </w:rPr>
              <w:tab/>
            </w:r>
            <w:r w:rsidR="00374A9A">
              <w:rPr>
                <w:noProof/>
                <w:webHidden/>
              </w:rPr>
              <w:fldChar w:fldCharType="begin"/>
            </w:r>
            <w:r w:rsidR="00B56644">
              <w:rPr>
                <w:noProof/>
                <w:webHidden/>
              </w:rPr>
              <w:instrText xml:space="preserve"> PAGEREF _Toc509413066 \h </w:instrText>
            </w:r>
            <w:r w:rsidR="00374A9A">
              <w:rPr>
                <w:noProof/>
                <w:webHidden/>
              </w:rPr>
            </w:r>
            <w:r w:rsidR="00374A9A">
              <w:rPr>
                <w:noProof/>
                <w:webHidden/>
              </w:rPr>
              <w:fldChar w:fldCharType="separate"/>
            </w:r>
            <w:r w:rsidR="00CF2202">
              <w:rPr>
                <w:noProof/>
                <w:webHidden/>
              </w:rPr>
              <w:t>9</w:t>
            </w:r>
            <w:r w:rsidR="00374A9A">
              <w:rPr>
                <w:noProof/>
                <w:webHidden/>
              </w:rPr>
              <w:fldChar w:fldCharType="end"/>
            </w:r>
          </w:hyperlink>
        </w:p>
        <w:p w:rsidR="00B56644" w:rsidRDefault="00E05371">
          <w:pPr>
            <w:pStyle w:val="Obsah2"/>
            <w:tabs>
              <w:tab w:val="left" w:pos="880"/>
              <w:tab w:val="right" w:leader="dot" w:pos="9062"/>
            </w:tabs>
            <w:rPr>
              <w:rFonts w:asciiTheme="minorHAnsi" w:eastAsiaTheme="minorEastAsia" w:hAnsiTheme="minorHAnsi"/>
              <w:noProof/>
              <w:sz w:val="22"/>
              <w:lang w:eastAsia="cs-CZ"/>
            </w:rPr>
          </w:pPr>
          <w:hyperlink w:anchor="_Toc509413067" w:history="1">
            <w:r w:rsidR="00B56644" w:rsidRPr="005253EA">
              <w:rPr>
                <w:rStyle w:val="Hypertextovodkaz"/>
                <w:noProof/>
              </w:rPr>
              <w:t>1.2</w:t>
            </w:r>
            <w:r w:rsidR="00B56644">
              <w:rPr>
                <w:rFonts w:asciiTheme="minorHAnsi" w:eastAsiaTheme="minorEastAsia" w:hAnsiTheme="minorHAnsi"/>
                <w:noProof/>
                <w:sz w:val="22"/>
                <w:lang w:eastAsia="cs-CZ"/>
              </w:rPr>
              <w:tab/>
            </w:r>
            <w:r w:rsidR="00B56644" w:rsidRPr="005253EA">
              <w:rPr>
                <w:rStyle w:val="Hypertextovodkaz"/>
                <w:noProof/>
              </w:rPr>
              <w:t>Jednotlivé koncepce</w:t>
            </w:r>
            <w:r w:rsidR="00B56644">
              <w:rPr>
                <w:noProof/>
                <w:webHidden/>
              </w:rPr>
              <w:tab/>
            </w:r>
            <w:r w:rsidR="00374A9A">
              <w:rPr>
                <w:noProof/>
                <w:webHidden/>
              </w:rPr>
              <w:fldChar w:fldCharType="begin"/>
            </w:r>
            <w:r w:rsidR="00B56644">
              <w:rPr>
                <w:noProof/>
                <w:webHidden/>
              </w:rPr>
              <w:instrText xml:space="preserve"> PAGEREF _Toc509413067 \h </w:instrText>
            </w:r>
            <w:r w:rsidR="00374A9A">
              <w:rPr>
                <w:noProof/>
                <w:webHidden/>
              </w:rPr>
            </w:r>
            <w:r w:rsidR="00374A9A">
              <w:rPr>
                <w:noProof/>
                <w:webHidden/>
              </w:rPr>
              <w:fldChar w:fldCharType="separate"/>
            </w:r>
            <w:r w:rsidR="00CF2202">
              <w:rPr>
                <w:noProof/>
                <w:webHidden/>
              </w:rPr>
              <w:t>9</w:t>
            </w:r>
            <w:r w:rsidR="00374A9A">
              <w:rPr>
                <w:noProof/>
                <w:webHidden/>
              </w:rPr>
              <w:fldChar w:fldCharType="end"/>
            </w:r>
          </w:hyperlink>
        </w:p>
        <w:p w:rsidR="00B56644" w:rsidRDefault="00E05371">
          <w:pPr>
            <w:pStyle w:val="Obsah3"/>
            <w:tabs>
              <w:tab w:val="left" w:pos="1320"/>
              <w:tab w:val="right" w:leader="dot" w:pos="9062"/>
            </w:tabs>
            <w:rPr>
              <w:rFonts w:asciiTheme="minorHAnsi" w:eastAsiaTheme="minorEastAsia" w:hAnsiTheme="minorHAnsi"/>
              <w:noProof/>
              <w:sz w:val="22"/>
              <w:lang w:eastAsia="cs-CZ"/>
            </w:rPr>
          </w:pPr>
          <w:hyperlink w:anchor="_Toc509413068" w:history="1">
            <w:r w:rsidR="00B56644" w:rsidRPr="005253EA">
              <w:rPr>
                <w:rStyle w:val="Hypertextovodkaz"/>
                <w:noProof/>
              </w:rPr>
              <w:t>1.2.1</w:t>
            </w:r>
            <w:r w:rsidR="00B56644">
              <w:rPr>
                <w:rFonts w:asciiTheme="minorHAnsi" w:eastAsiaTheme="minorEastAsia" w:hAnsiTheme="minorHAnsi"/>
                <w:noProof/>
                <w:sz w:val="22"/>
                <w:lang w:eastAsia="cs-CZ"/>
              </w:rPr>
              <w:tab/>
            </w:r>
            <w:r w:rsidR="00B56644" w:rsidRPr="005253EA">
              <w:rPr>
                <w:rStyle w:val="Hypertextovodkaz"/>
                <w:noProof/>
              </w:rPr>
              <w:t>Monistické koncepce</w:t>
            </w:r>
            <w:r w:rsidR="00B56644">
              <w:rPr>
                <w:noProof/>
                <w:webHidden/>
              </w:rPr>
              <w:tab/>
            </w:r>
            <w:r w:rsidR="00374A9A">
              <w:rPr>
                <w:noProof/>
                <w:webHidden/>
              </w:rPr>
              <w:fldChar w:fldCharType="begin"/>
            </w:r>
            <w:r w:rsidR="00B56644">
              <w:rPr>
                <w:noProof/>
                <w:webHidden/>
              </w:rPr>
              <w:instrText xml:space="preserve"> PAGEREF _Toc509413068 \h </w:instrText>
            </w:r>
            <w:r w:rsidR="00374A9A">
              <w:rPr>
                <w:noProof/>
                <w:webHidden/>
              </w:rPr>
            </w:r>
            <w:r w:rsidR="00374A9A">
              <w:rPr>
                <w:noProof/>
                <w:webHidden/>
              </w:rPr>
              <w:fldChar w:fldCharType="separate"/>
            </w:r>
            <w:r w:rsidR="00CF2202">
              <w:rPr>
                <w:noProof/>
                <w:webHidden/>
              </w:rPr>
              <w:t>9</w:t>
            </w:r>
            <w:r w:rsidR="00374A9A">
              <w:rPr>
                <w:noProof/>
                <w:webHidden/>
              </w:rPr>
              <w:fldChar w:fldCharType="end"/>
            </w:r>
          </w:hyperlink>
        </w:p>
        <w:p w:rsidR="00B56644" w:rsidRDefault="00E05371">
          <w:pPr>
            <w:pStyle w:val="Obsah3"/>
            <w:tabs>
              <w:tab w:val="left" w:pos="1320"/>
              <w:tab w:val="right" w:leader="dot" w:pos="9062"/>
            </w:tabs>
            <w:rPr>
              <w:rFonts w:asciiTheme="minorHAnsi" w:eastAsiaTheme="minorEastAsia" w:hAnsiTheme="minorHAnsi"/>
              <w:noProof/>
              <w:sz w:val="22"/>
              <w:lang w:eastAsia="cs-CZ"/>
            </w:rPr>
          </w:pPr>
          <w:hyperlink w:anchor="_Toc509413069" w:history="1">
            <w:r w:rsidR="00B56644" w:rsidRPr="005253EA">
              <w:rPr>
                <w:rStyle w:val="Hypertextovodkaz"/>
                <w:noProof/>
              </w:rPr>
              <w:t>1.2.2</w:t>
            </w:r>
            <w:r w:rsidR="00B56644">
              <w:rPr>
                <w:rFonts w:asciiTheme="minorHAnsi" w:eastAsiaTheme="minorEastAsia" w:hAnsiTheme="minorHAnsi"/>
                <w:noProof/>
                <w:sz w:val="22"/>
                <w:lang w:eastAsia="cs-CZ"/>
              </w:rPr>
              <w:tab/>
            </w:r>
            <w:r w:rsidR="00B56644" w:rsidRPr="005253EA">
              <w:rPr>
                <w:rStyle w:val="Hypertextovodkaz"/>
                <w:noProof/>
              </w:rPr>
              <w:t>Dualistické koncepce</w:t>
            </w:r>
            <w:r w:rsidR="00B56644">
              <w:rPr>
                <w:noProof/>
                <w:webHidden/>
              </w:rPr>
              <w:tab/>
            </w:r>
            <w:r w:rsidR="00374A9A">
              <w:rPr>
                <w:noProof/>
                <w:webHidden/>
              </w:rPr>
              <w:fldChar w:fldCharType="begin"/>
            </w:r>
            <w:r w:rsidR="00B56644">
              <w:rPr>
                <w:noProof/>
                <w:webHidden/>
              </w:rPr>
              <w:instrText xml:space="preserve"> PAGEREF _Toc509413069 \h </w:instrText>
            </w:r>
            <w:r w:rsidR="00374A9A">
              <w:rPr>
                <w:noProof/>
                <w:webHidden/>
              </w:rPr>
            </w:r>
            <w:r w:rsidR="00374A9A">
              <w:rPr>
                <w:noProof/>
                <w:webHidden/>
              </w:rPr>
              <w:fldChar w:fldCharType="separate"/>
            </w:r>
            <w:r w:rsidR="00CF2202">
              <w:rPr>
                <w:noProof/>
                <w:webHidden/>
              </w:rPr>
              <w:t>10</w:t>
            </w:r>
            <w:r w:rsidR="00374A9A">
              <w:rPr>
                <w:noProof/>
                <w:webHidden/>
              </w:rPr>
              <w:fldChar w:fldCharType="end"/>
            </w:r>
          </w:hyperlink>
        </w:p>
        <w:p w:rsidR="00B56644" w:rsidRDefault="00E05371">
          <w:pPr>
            <w:pStyle w:val="Obsah3"/>
            <w:tabs>
              <w:tab w:val="left" w:pos="1320"/>
              <w:tab w:val="right" w:leader="dot" w:pos="9062"/>
            </w:tabs>
            <w:rPr>
              <w:rFonts w:asciiTheme="minorHAnsi" w:eastAsiaTheme="minorEastAsia" w:hAnsiTheme="minorHAnsi"/>
              <w:noProof/>
              <w:sz w:val="22"/>
              <w:lang w:eastAsia="cs-CZ"/>
            </w:rPr>
          </w:pPr>
          <w:hyperlink w:anchor="_Toc509413070" w:history="1">
            <w:r w:rsidR="00B56644" w:rsidRPr="005253EA">
              <w:rPr>
                <w:rStyle w:val="Hypertextovodkaz"/>
                <w:noProof/>
              </w:rPr>
              <w:t>1.2.3</w:t>
            </w:r>
            <w:r w:rsidR="00B56644">
              <w:rPr>
                <w:rFonts w:asciiTheme="minorHAnsi" w:eastAsiaTheme="minorEastAsia" w:hAnsiTheme="minorHAnsi"/>
                <w:noProof/>
                <w:sz w:val="22"/>
                <w:lang w:eastAsia="cs-CZ"/>
              </w:rPr>
              <w:tab/>
            </w:r>
            <w:r w:rsidR="00B56644" w:rsidRPr="005253EA">
              <w:rPr>
                <w:rStyle w:val="Hypertextovodkaz"/>
                <w:noProof/>
              </w:rPr>
              <w:t>Dualisticko-monistické koncepce</w:t>
            </w:r>
            <w:r w:rsidR="00B56644">
              <w:rPr>
                <w:noProof/>
                <w:webHidden/>
              </w:rPr>
              <w:tab/>
            </w:r>
            <w:r w:rsidR="00374A9A">
              <w:rPr>
                <w:noProof/>
                <w:webHidden/>
              </w:rPr>
              <w:fldChar w:fldCharType="begin"/>
            </w:r>
            <w:r w:rsidR="00B56644">
              <w:rPr>
                <w:noProof/>
                <w:webHidden/>
              </w:rPr>
              <w:instrText xml:space="preserve"> PAGEREF _Toc509413070 \h </w:instrText>
            </w:r>
            <w:r w:rsidR="00374A9A">
              <w:rPr>
                <w:noProof/>
                <w:webHidden/>
              </w:rPr>
            </w:r>
            <w:r w:rsidR="00374A9A">
              <w:rPr>
                <w:noProof/>
                <w:webHidden/>
              </w:rPr>
              <w:fldChar w:fldCharType="separate"/>
            </w:r>
            <w:r w:rsidR="00CF2202">
              <w:rPr>
                <w:noProof/>
                <w:webHidden/>
              </w:rPr>
              <w:t>10</w:t>
            </w:r>
            <w:r w:rsidR="00374A9A">
              <w:rPr>
                <w:noProof/>
                <w:webHidden/>
              </w:rPr>
              <w:fldChar w:fldCharType="end"/>
            </w:r>
          </w:hyperlink>
        </w:p>
        <w:p w:rsidR="00B56644" w:rsidRDefault="00E05371">
          <w:pPr>
            <w:pStyle w:val="Obsah3"/>
            <w:tabs>
              <w:tab w:val="left" w:pos="1320"/>
              <w:tab w:val="right" w:leader="dot" w:pos="9062"/>
            </w:tabs>
            <w:rPr>
              <w:rFonts w:asciiTheme="minorHAnsi" w:eastAsiaTheme="minorEastAsia" w:hAnsiTheme="minorHAnsi"/>
              <w:noProof/>
              <w:sz w:val="22"/>
              <w:lang w:eastAsia="cs-CZ"/>
            </w:rPr>
          </w:pPr>
          <w:hyperlink w:anchor="_Toc509413071" w:history="1">
            <w:r w:rsidR="00B56644" w:rsidRPr="005253EA">
              <w:rPr>
                <w:rStyle w:val="Hypertextovodkaz"/>
                <w:noProof/>
              </w:rPr>
              <w:t>1.2.4</w:t>
            </w:r>
            <w:r w:rsidR="00B56644">
              <w:rPr>
                <w:rFonts w:asciiTheme="minorHAnsi" w:eastAsiaTheme="minorEastAsia" w:hAnsiTheme="minorHAnsi"/>
                <w:noProof/>
                <w:sz w:val="22"/>
                <w:lang w:eastAsia="cs-CZ"/>
              </w:rPr>
              <w:tab/>
            </w:r>
            <w:r w:rsidR="00B56644" w:rsidRPr="005253EA">
              <w:rPr>
                <w:rStyle w:val="Hypertextovodkaz"/>
                <w:noProof/>
              </w:rPr>
              <w:t>Antivlastnické koncepce</w:t>
            </w:r>
            <w:r w:rsidR="00B56644">
              <w:rPr>
                <w:noProof/>
                <w:webHidden/>
              </w:rPr>
              <w:tab/>
            </w:r>
            <w:r w:rsidR="00374A9A">
              <w:rPr>
                <w:noProof/>
                <w:webHidden/>
              </w:rPr>
              <w:fldChar w:fldCharType="begin"/>
            </w:r>
            <w:r w:rsidR="00B56644">
              <w:rPr>
                <w:noProof/>
                <w:webHidden/>
              </w:rPr>
              <w:instrText xml:space="preserve"> PAGEREF _Toc509413071 \h </w:instrText>
            </w:r>
            <w:r w:rsidR="00374A9A">
              <w:rPr>
                <w:noProof/>
                <w:webHidden/>
              </w:rPr>
            </w:r>
            <w:r w:rsidR="00374A9A">
              <w:rPr>
                <w:noProof/>
                <w:webHidden/>
              </w:rPr>
              <w:fldChar w:fldCharType="separate"/>
            </w:r>
            <w:r w:rsidR="00CF2202">
              <w:rPr>
                <w:noProof/>
                <w:webHidden/>
              </w:rPr>
              <w:t>11</w:t>
            </w:r>
            <w:r w:rsidR="00374A9A">
              <w:rPr>
                <w:noProof/>
                <w:webHidden/>
              </w:rPr>
              <w:fldChar w:fldCharType="end"/>
            </w:r>
          </w:hyperlink>
        </w:p>
        <w:p w:rsidR="00B56644" w:rsidRDefault="00E05371">
          <w:pPr>
            <w:pStyle w:val="Obsah2"/>
            <w:tabs>
              <w:tab w:val="left" w:pos="880"/>
              <w:tab w:val="right" w:leader="dot" w:pos="9062"/>
            </w:tabs>
            <w:rPr>
              <w:rFonts w:asciiTheme="minorHAnsi" w:eastAsiaTheme="minorEastAsia" w:hAnsiTheme="minorHAnsi"/>
              <w:noProof/>
              <w:sz w:val="22"/>
              <w:lang w:eastAsia="cs-CZ"/>
            </w:rPr>
          </w:pPr>
          <w:hyperlink w:anchor="_Toc509413072" w:history="1">
            <w:r w:rsidR="00B56644" w:rsidRPr="005253EA">
              <w:rPr>
                <w:rStyle w:val="Hypertextovodkaz"/>
                <w:noProof/>
              </w:rPr>
              <w:t>1.3</w:t>
            </w:r>
            <w:r w:rsidR="00B56644">
              <w:rPr>
                <w:rFonts w:asciiTheme="minorHAnsi" w:eastAsiaTheme="minorEastAsia" w:hAnsiTheme="minorHAnsi"/>
                <w:noProof/>
                <w:sz w:val="22"/>
                <w:lang w:eastAsia="cs-CZ"/>
              </w:rPr>
              <w:tab/>
            </w:r>
            <w:r w:rsidR="00B56644" w:rsidRPr="005253EA">
              <w:rPr>
                <w:rStyle w:val="Hypertextovodkaz"/>
                <w:noProof/>
              </w:rPr>
              <w:t>Historie vývoje u nás</w:t>
            </w:r>
            <w:r w:rsidR="00B56644">
              <w:rPr>
                <w:noProof/>
                <w:webHidden/>
              </w:rPr>
              <w:tab/>
            </w:r>
            <w:r w:rsidR="00374A9A">
              <w:rPr>
                <w:noProof/>
                <w:webHidden/>
              </w:rPr>
              <w:fldChar w:fldCharType="begin"/>
            </w:r>
            <w:r w:rsidR="00B56644">
              <w:rPr>
                <w:noProof/>
                <w:webHidden/>
              </w:rPr>
              <w:instrText xml:space="preserve"> PAGEREF _Toc509413072 \h </w:instrText>
            </w:r>
            <w:r w:rsidR="00374A9A">
              <w:rPr>
                <w:noProof/>
                <w:webHidden/>
              </w:rPr>
            </w:r>
            <w:r w:rsidR="00374A9A">
              <w:rPr>
                <w:noProof/>
                <w:webHidden/>
              </w:rPr>
              <w:fldChar w:fldCharType="separate"/>
            </w:r>
            <w:r w:rsidR="00CF2202">
              <w:rPr>
                <w:noProof/>
                <w:webHidden/>
              </w:rPr>
              <w:t>12</w:t>
            </w:r>
            <w:r w:rsidR="00374A9A">
              <w:rPr>
                <w:noProof/>
                <w:webHidden/>
              </w:rPr>
              <w:fldChar w:fldCharType="end"/>
            </w:r>
          </w:hyperlink>
        </w:p>
        <w:p w:rsidR="00B56644" w:rsidRDefault="00E05371">
          <w:pPr>
            <w:pStyle w:val="Obsah3"/>
            <w:tabs>
              <w:tab w:val="left" w:pos="1320"/>
              <w:tab w:val="right" w:leader="dot" w:pos="9062"/>
            </w:tabs>
            <w:rPr>
              <w:rFonts w:asciiTheme="minorHAnsi" w:eastAsiaTheme="minorEastAsia" w:hAnsiTheme="minorHAnsi"/>
              <w:noProof/>
              <w:sz w:val="22"/>
              <w:lang w:eastAsia="cs-CZ"/>
            </w:rPr>
          </w:pPr>
          <w:hyperlink w:anchor="_Toc509413073" w:history="1">
            <w:r w:rsidR="00B56644" w:rsidRPr="005253EA">
              <w:rPr>
                <w:rStyle w:val="Hypertextovodkaz"/>
                <w:noProof/>
              </w:rPr>
              <w:t>1.3.1</w:t>
            </w:r>
            <w:r w:rsidR="00B56644">
              <w:rPr>
                <w:rFonts w:asciiTheme="minorHAnsi" w:eastAsiaTheme="minorEastAsia" w:hAnsiTheme="minorHAnsi"/>
                <w:noProof/>
                <w:sz w:val="22"/>
                <w:lang w:eastAsia="cs-CZ"/>
              </w:rPr>
              <w:tab/>
            </w:r>
            <w:r w:rsidR="00B56644" w:rsidRPr="005253EA">
              <w:rPr>
                <w:rStyle w:val="Hypertextovodkaz"/>
                <w:noProof/>
              </w:rPr>
              <w:t>Zákon č. 52/1966 Sb., o osobním vlastnictví k bytům</w:t>
            </w:r>
            <w:r w:rsidR="00B56644">
              <w:rPr>
                <w:noProof/>
                <w:webHidden/>
              </w:rPr>
              <w:tab/>
            </w:r>
            <w:r w:rsidR="00374A9A">
              <w:rPr>
                <w:noProof/>
                <w:webHidden/>
              </w:rPr>
              <w:fldChar w:fldCharType="begin"/>
            </w:r>
            <w:r w:rsidR="00B56644">
              <w:rPr>
                <w:noProof/>
                <w:webHidden/>
              </w:rPr>
              <w:instrText xml:space="preserve"> PAGEREF _Toc509413073 \h </w:instrText>
            </w:r>
            <w:r w:rsidR="00374A9A">
              <w:rPr>
                <w:noProof/>
                <w:webHidden/>
              </w:rPr>
            </w:r>
            <w:r w:rsidR="00374A9A">
              <w:rPr>
                <w:noProof/>
                <w:webHidden/>
              </w:rPr>
              <w:fldChar w:fldCharType="separate"/>
            </w:r>
            <w:r w:rsidR="00CF2202">
              <w:rPr>
                <w:noProof/>
                <w:webHidden/>
              </w:rPr>
              <w:t>12</w:t>
            </w:r>
            <w:r w:rsidR="00374A9A">
              <w:rPr>
                <w:noProof/>
                <w:webHidden/>
              </w:rPr>
              <w:fldChar w:fldCharType="end"/>
            </w:r>
          </w:hyperlink>
        </w:p>
        <w:p w:rsidR="00B56644" w:rsidRDefault="00E05371">
          <w:pPr>
            <w:pStyle w:val="Obsah3"/>
            <w:tabs>
              <w:tab w:val="left" w:pos="1320"/>
              <w:tab w:val="right" w:leader="dot" w:pos="9062"/>
            </w:tabs>
            <w:rPr>
              <w:rFonts w:asciiTheme="minorHAnsi" w:eastAsiaTheme="minorEastAsia" w:hAnsiTheme="minorHAnsi"/>
              <w:noProof/>
              <w:sz w:val="22"/>
              <w:lang w:eastAsia="cs-CZ"/>
            </w:rPr>
          </w:pPr>
          <w:hyperlink w:anchor="_Toc509413074" w:history="1">
            <w:r w:rsidR="00B56644" w:rsidRPr="005253EA">
              <w:rPr>
                <w:rStyle w:val="Hypertextovodkaz"/>
                <w:noProof/>
              </w:rPr>
              <w:t>1.3.2</w:t>
            </w:r>
            <w:r w:rsidR="00B56644">
              <w:rPr>
                <w:rFonts w:asciiTheme="minorHAnsi" w:eastAsiaTheme="minorEastAsia" w:hAnsiTheme="minorHAnsi"/>
                <w:noProof/>
                <w:sz w:val="22"/>
                <w:lang w:eastAsia="cs-CZ"/>
              </w:rPr>
              <w:tab/>
            </w:r>
            <w:r w:rsidR="00B56644" w:rsidRPr="005253EA">
              <w:rPr>
                <w:rStyle w:val="Hypertextovodkaz"/>
                <w:noProof/>
              </w:rPr>
              <w:t>Zákon č. 72/1994 Sb., o vlastnictví bytů</w:t>
            </w:r>
            <w:r w:rsidR="00B56644">
              <w:rPr>
                <w:noProof/>
                <w:webHidden/>
              </w:rPr>
              <w:tab/>
            </w:r>
            <w:r w:rsidR="00374A9A">
              <w:rPr>
                <w:noProof/>
                <w:webHidden/>
              </w:rPr>
              <w:fldChar w:fldCharType="begin"/>
            </w:r>
            <w:r w:rsidR="00B56644">
              <w:rPr>
                <w:noProof/>
                <w:webHidden/>
              </w:rPr>
              <w:instrText xml:space="preserve"> PAGEREF _Toc509413074 \h </w:instrText>
            </w:r>
            <w:r w:rsidR="00374A9A">
              <w:rPr>
                <w:noProof/>
                <w:webHidden/>
              </w:rPr>
            </w:r>
            <w:r w:rsidR="00374A9A">
              <w:rPr>
                <w:noProof/>
                <w:webHidden/>
              </w:rPr>
              <w:fldChar w:fldCharType="separate"/>
            </w:r>
            <w:r w:rsidR="00CF2202">
              <w:rPr>
                <w:noProof/>
                <w:webHidden/>
              </w:rPr>
              <w:t>13</w:t>
            </w:r>
            <w:r w:rsidR="00374A9A">
              <w:rPr>
                <w:noProof/>
                <w:webHidden/>
              </w:rPr>
              <w:fldChar w:fldCharType="end"/>
            </w:r>
          </w:hyperlink>
        </w:p>
        <w:p w:rsidR="00B56644" w:rsidRDefault="00E05371">
          <w:pPr>
            <w:pStyle w:val="Obsah1"/>
            <w:rPr>
              <w:rFonts w:asciiTheme="minorHAnsi" w:eastAsiaTheme="minorEastAsia" w:hAnsiTheme="minorHAnsi"/>
              <w:b w:val="0"/>
              <w:noProof/>
              <w:sz w:val="22"/>
              <w:lang w:eastAsia="cs-CZ"/>
            </w:rPr>
          </w:pPr>
          <w:hyperlink w:anchor="_Toc509413075" w:history="1">
            <w:r w:rsidR="00B56644" w:rsidRPr="005253EA">
              <w:rPr>
                <w:rStyle w:val="Hypertextovodkaz"/>
                <w:noProof/>
              </w:rPr>
              <w:t>2</w:t>
            </w:r>
            <w:r w:rsidR="00B56644">
              <w:rPr>
                <w:rFonts w:asciiTheme="minorHAnsi" w:eastAsiaTheme="minorEastAsia" w:hAnsiTheme="minorHAnsi"/>
                <w:b w:val="0"/>
                <w:noProof/>
                <w:sz w:val="22"/>
                <w:lang w:eastAsia="cs-CZ"/>
              </w:rPr>
              <w:tab/>
            </w:r>
            <w:r w:rsidR="00B56644" w:rsidRPr="005253EA">
              <w:rPr>
                <w:rStyle w:val="Hypertextovodkaz"/>
                <w:noProof/>
              </w:rPr>
              <w:t>Bytová jednotka dle ZOVB a dle NOZ – základní srovnání</w:t>
            </w:r>
            <w:r w:rsidR="00B56644">
              <w:rPr>
                <w:noProof/>
                <w:webHidden/>
              </w:rPr>
              <w:tab/>
            </w:r>
            <w:r w:rsidR="00374A9A">
              <w:rPr>
                <w:noProof/>
                <w:webHidden/>
              </w:rPr>
              <w:fldChar w:fldCharType="begin"/>
            </w:r>
            <w:r w:rsidR="00B56644">
              <w:rPr>
                <w:noProof/>
                <w:webHidden/>
              </w:rPr>
              <w:instrText xml:space="preserve"> PAGEREF _Toc509413075 \h </w:instrText>
            </w:r>
            <w:r w:rsidR="00374A9A">
              <w:rPr>
                <w:noProof/>
                <w:webHidden/>
              </w:rPr>
            </w:r>
            <w:r w:rsidR="00374A9A">
              <w:rPr>
                <w:noProof/>
                <w:webHidden/>
              </w:rPr>
              <w:fldChar w:fldCharType="separate"/>
            </w:r>
            <w:r w:rsidR="00CF2202">
              <w:rPr>
                <w:noProof/>
                <w:webHidden/>
              </w:rPr>
              <w:t>15</w:t>
            </w:r>
            <w:r w:rsidR="00374A9A">
              <w:rPr>
                <w:noProof/>
                <w:webHidden/>
              </w:rPr>
              <w:fldChar w:fldCharType="end"/>
            </w:r>
          </w:hyperlink>
        </w:p>
        <w:p w:rsidR="00B56644" w:rsidRDefault="00E05371">
          <w:pPr>
            <w:pStyle w:val="Obsah2"/>
            <w:tabs>
              <w:tab w:val="left" w:pos="880"/>
              <w:tab w:val="right" w:leader="dot" w:pos="9062"/>
            </w:tabs>
            <w:rPr>
              <w:rFonts w:asciiTheme="minorHAnsi" w:eastAsiaTheme="minorEastAsia" w:hAnsiTheme="minorHAnsi"/>
              <w:noProof/>
              <w:sz w:val="22"/>
              <w:lang w:eastAsia="cs-CZ"/>
            </w:rPr>
          </w:pPr>
          <w:hyperlink w:anchor="_Toc509413076" w:history="1">
            <w:r w:rsidR="00B56644" w:rsidRPr="005253EA">
              <w:rPr>
                <w:rStyle w:val="Hypertextovodkaz"/>
                <w:noProof/>
              </w:rPr>
              <w:t>2.1</w:t>
            </w:r>
            <w:r w:rsidR="00B56644">
              <w:rPr>
                <w:rFonts w:asciiTheme="minorHAnsi" w:eastAsiaTheme="minorEastAsia" w:hAnsiTheme="minorHAnsi"/>
                <w:noProof/>
                <w:sz w:val="22"/>
                <w:lang w:eastAsia="cs-CZ"/>
              </w:rPr>
              <w:tab/>
            </w:r>
            <w:r w:rsidR="00B56644" w:rsidRPr="005253EA">
              <w:rPr>
                <w:rStyle w:val="Hypertextovodkaz"/>
                <w:noProof/>
              </w:rPr>
              <w:t>Dvojkolejnost jednotek</w:t>
            </w:r>
            <w:r w:rsidR="00B56644">
              <w:rPr>
                <w:noProof/>
                <w:webHidden/>
              </w:rPr>
              <w:tab/>
            </w:r>
            <w:r w:rsidR="00374A9A">
              <w:rPr>
                <w:noProof/>
                <w:webHidden/>
              </w:rPr>
              <w:fldChar w:fldCharType="begin"/>
            </w:r>
            <w:r w:rsidR="00B56644">
              <w:rPr>
                <w:noProof/>
                <w:webHidden/>
              </w:rPr>
              <w:instrText xml:space="preserve"> PAGEREF _Toc509413076 \h </w:instrText>
            </w:r>
            <w:r w:rsidR="00374A9A">
              <w:rPr>
                <w:noProof/>
                <w:webHidden/>
              </w:rPr>
            </w:r>
            <w:r w:rsidR="00374A9A">
              <w:rPr>
                <w:noProof/>
                <w:webHidden/>
              </w:rPr>
              <w:fldChar w:fldCharType="separate"/>
            </w:r>
            <w:r w:rsidR="00CF2202">
              <w:rPr>
                <w:noProof/>
                <w:webHidden/>
              </w:rPr>
              <w:t>15</w:t>
            </w:r>
            <w:r w:rsidR="00374A9A">
              <w:rPr>
                <w:noProof/>
                <w:webHidden/>
              </w:rPr>
              <w:fldChar w:fldCharType="end"/>
            </w:r>
          </w:hyperlink>
        </w:p>
        <w:p w:rsidR="00B56644" w:rsidRDefault="00E05371">
          <w:pPr>
            <w:pStyle w:val="Obsah3"/>
            <w:tabs>
              <w:tab w:val="left" w:pos="1320"/>
              <w:tab w:val="right" w:leader="dot" w:pos="9062"/>
            </w:tabs>
            <w:rPr>
              <w:rFonts w:asciiTheme="minorHAnsi" w:eastAsiaTheme="minorEastAsia" w:hAnsiTheme="minorHAnsi"/>
              <w:noProof/>
              <w:sz w:val="22"/>
              <w:lang w:eastAsia="cs-CZ"/>
            </w:rPr>
          </w:pPr>
          <w:hyperlink w:anchor="_Toc509413077" w:history="1">
            <w:r w:rsidR="00B56644" w:rsidRPr="005253EA">
              <w:rPr>
                <w:rStyle w:val="Hypertextovodkaz"/>
                <w:noProof/>
              </w:rPr>
              <w:t>2.1.1</w:t>
            </w:r>
            <w:r w:rsidR="00B56644">
              <w:rPr>
                <w:rFonts w:asciiTheme="minorHAnsi" w:eastAsiaTheme="minorEastAsia" w:hAnsiTheme="minorHAnsi"/>
                <w:noProof/>
                <w:sz w:val="22"/>
                <w:lang w:eastAsia="cs-CZ"/>
              </w:rPr>
              <w:tab/>
            </w:r>
            <w:r w:rsidR="00B56644" w:rsidRPr="005253EA">
              <w:rPr>
                <w:rStyle w:val="Hypertextovodkaz"/>
                <w:noProof/>
              </w:rPr>
              <w:t>Přechodná ustanovení</w:t>
            </w:r>
            <w:r w:rsidR="00B56644">
              <w:rPr>
                <w:noProof/>
                <w:webHidden/>
              </w:rPr>
              <w:tab/>
            </w:r>
            <w:r w:rsidR="00374A9A">
              <w:rPr>
                <w:noProof/>
                <w:webHidden/>
              </w:rPr>
              <w:fldChar w:fldCharType="begin"/>
            </w:r>
            <w:r w:rsidR="00B56644">
              <w:rPr>
                <w:noProof/>
                <w:webHidden/>
              </w:rPr>
              <w:instrText xml:space="preserve"> PAGEREF _Toc509413077 \h </w:instrText>
            </w:r>
            <w:r w:rsidR="00374A9A">
              <w:rPr>
                <w:noProof/>
                <w:webHidden/>
              </w:rPr>
            </w:r>
            <w:r w:rsidR="00374A9A">
              <w:rPr>
                <w:noProof/>
                <w:webHidden/>
              </w:rPr>
              <w:fldChar w:fldCharType="separate"/>
            </w:r>
            <w:r w:rsidR="00CF2202">
              <w:rPr>
                <w:noProof/>
                <w:webHidden/>
              </w:rPr>
              <w:t>16</w:t>
            </w:r>
            <w:r w:rsidR="00374A9A">
              <w:rPr>
                <w:noProof/>
                <w:webHidden/>
              </w:rPr>
              <w:fldChar w:fldCharType="end"/>
            </w:r>
          </w:hyperlink>
        </w:p>
        <w:p w:rsidR="00B56644" w:rsidRDefault="00E05371">
          <w:pPr>
            <w:pStyle w:val="Obsah2"/>
            <w:tabs>
              <w:tab w:val="left" w:pos="880"/>
              <w:tab w:val="right" w:leader="dot" w:pos="9062"/>
            </w:tabs>
            <w:rPr>
              <w:rFonts w:asciiTheme="minorHAnsi" w:eastAsiaTheme="minorEastAsia" w:hAnsiTheme="minorHAnsi"/>
              <w:noProof/>
              <w:sz w:val="22"/>
              <w:lang w:eastAsia="cs-CZ"/>
            </w:rPr>
          </w:pPr>
          <w:hyperlink w:anchor="_Toc509413078" w:history="1">
            <w:r w:rsidR="00B56644" w:rsidRPr="005253EA">
              <w:rPr>
                <w:rStyle w:val="Hypertextovodkaz"/>
                <w:noProof/>
              </w:rPr>
              <w:t>2.2</w:t>
            </w:r>
            <w:r w:rsidR="00B56644">
              <w:rPr>
                <w:rFonts w:asciiTheme="minorHAnsi" w:eastAsiaTheme="minorEastAsia" w:hAnsiTheme="minorHAnsi"/>
                <w:noProof/>
                <w:sz w:val="22"/>
                <w:lang w:eastAsia="cs-CZ"/>
              </w:rPr>
              <w:tab/>
            </w:r>
            <w:r w:rsidR="00B56644" w:rsidRPr="005253EA">
              <w:rPr>
                <w:rStyle w:val="Hypertextovodkaz"/>
                <w:noProof/>
              </w:rPr>
              <w:t>Posuzování vad prohlášení vlastníka budovy vydaných podle ZOVB po 1. 1. 2014</w:t>
            </w:r>
            <w:r w:rsidR="00B56644">
              <w:rPr>
                <w:noProof/>
                <w:webHidden/>
              </w:rPr>
              <w:tab/>
            </w:r>
            <w:r w:rsidR="00374A9A">
              <w:rPr>
                <w:noProof/>
                <w:webHidden/>
              </w:rPr>
              <w:fldChar w:fldCharType="begin"/>
            </w:r>
            <w:r w:rsidR="00B56644">
              <w:rPr>
                <w:noProof/>
                <w:webHidden/>
              </w:rPr>
              <w:instrText xml:space="preserve"> PAGEREF _Toc509413078 \h </w:instrText>
            </w:r>
            <w:r w:rsidR="00374A9A">
              <w:rPr>
                <w:noProof/>
                <w:webHidden/>
              </w:rPr>
            </w:r>
            <w:r w:rsidR="00374A9A">
              <w:rPr>
                <w:noProof/>
                <w:webHidden/>
              </w:rPr>
              <w:fldChar w:fldCharType="separate"/>
            </w:r>
            <w:r w:rsidR="00CF2202">
              <w:rPr>
                <w:noProof/>
                <w:webHidden/>
              </w:rPr>
              <w:t>20</w:t>
            </w:r>
            <w:r w:rsidR="00374A9A">
              <w:rPr>
                <w:noProof/>
                <w:webHidden/>
              </w:rPr>
              <w:fldChar w:fldCharType="end"/>
            </w:r>
          </w:hyperlink>
        </w:p>
        <w:p w:rsidR="00B56644" w:rsidRDefault="00E05371">
          <w:pPr>
            <w:pStyle w:val="Obsah2"/>
            <w:tabs>
              <w:tab w:val="left" w:pos="880"/>
              <w:tab w:val="right" w:leader="dot" w:pos="9062"/>
            </w:tabs>
            <w:rPr>
              <w:rFonts w:asciiTheme="minorHAnsi" w:eastAsiaTheme="minorEastAsia" w:hAnsiTheme="minorHAnsi"/>
              <w:noProof/>
              <w:sz w:val="22"/>
              <w:lang w:eastAsia="cs-CZ"/>
            </w:rPr>
          </w:pPr>
          <w:hyperlink w:anchor="_Toc509413079" w:history="1">
            <w:r w:rsidR="00B56644" w:rsidRPr="005253EA">
              <w:rPr>
                <w:rStyle w:val="Hypertextovodkaz"/>
                <w:noProof/>
              </w:rPr>
              <w:t>2.3</w:t>
            </w:r>
            <w:r w:rsidR="00B56644">
              <w:rPr>
                <w:rFonts w:asciiTheme="minorHAnsi" w:eastAsiaTheme="minorEastAsia" w:hAnsiTheme="minorHAnsi"/>
                <w:noProof/>
                <w:sz w:val="22"/>
                <w:lang w:eastAsia="cs-CZ"/>
              </w:rPr>
              <w:tab/>
            </w:r>
            <w:r w:rsidR="00B56644" w:rsidRPr="005253EA">
              <w:rPr>
                <w:rStyle w:val="Hypertextovodkaz"/>
                <w:noProof/>
              </w:rPr>
              <w:t>Výpočet podílů na společných částech</w:t>
            </w:r>
            <w:r w:rsidR="00B56644">
              <w:rPr>
                <w:noProof/>
                <w:webHidden/>
              </w:rPr>
              <w:tab/>
            </w:r>
            <w:r w:rsidR="00374A9A">
              <w:rPr>
                <w:noProof/>
                <w:webHidden/>
              </w:rPr>
              <w:fldChar w:fldCharType="begin"/>
            </w:r>
            <w:r w:rsidR="00B56644">
              <w:rPr>
                <w:noProof/>
                <w:webHidden/>
              </w:rPr>
              <w:instrText xml:space="preserve"> PAGEREF _Toc509413079 \h </w:instrText>
            </w:r>
            <w:r w:rsidR="00374A9A">
              <w:rPr>
                <w:noProof/>
                <w:webHidden/>
              </w:rPr>
            </w:r>
            <w:r w:rsidR="00374A9A">
              <w:rPr>
                <w:noProof/>
                <w:webHidden/>
              </w:rPr>
              <w:fldChar w:fldCharType="separate"/>
            </w:r>
            <w:r w:rsidR="00CF2202">
              <w:rPr>
                <w:noProof/>
                <w:webHidden/>
              </w:rPr>
              <w:t>22</w:t>
            </w:r>
            <w:r w:rsidR="00374A9A">
              <w:rPr>
                <w:noProof/>
                <w:webHidden/>
              </w:rPr>
              <w:fldChar w:fldCharType="end"/>
            </w:r>
          </w:hyperlink>
        </w:p>
        <w:p w:rsidR="00B56644" w:rsidRDefault="00E05371">
          <w:pPr>
            <w:pStyle w:val="Obsah1"/>
            <w:rPr>
              <w:rFonts w:asciiTheme="minorHAnsi" w:eastAsiaTheme="minorEastAsia" w:hAnsiTheme="minorHAnsi"/>
              <w:b w:val="0"/>
              <w:noProof/>
              <w:sz w:val="22"/>
              <w:lang w:eastAsia="cs-CZ"/>
            </w:rPr>
          </w:pPr>
          <w:hyperlink w:anchor="_Toc509413080" w:history="1">
            <w:r w:rsidR="00B56644" w:rsidRPr="005253EA">
              <w:rPr>
                <w:rStyle w:val="Hypertextovodkaz"/>
                <w:noProof/>
              </w:rPr>
              <w:t>3</w:t>
            </w:r>
            <w:r w:rsidR="00B56644">
              <w:rPr>
                <w:rFonts w:asciiTheme="minorHAnsi" w:eastAsiaTheme="minorEastAsia" w:hAnsiTheme="minorHAnsi"/>
                <w:b w:val="0"/>
                <w:noProof/>
                <w:sz w:val="22"/>
                <w:lang w:eastAsia="cs-CZ"/>
              </w:rPr>
              <w:tab/>
            </w:r>
            <w:r w:rsidR="00B56644" w:rsidRPr="005253EA">
              <w:rPr>
                <w:rStyle w:val="Hypertextovodkaz"/>
                <w:noProof/>
              </w:rPr>
              <w:t>Pojetí NOZ</w:t>
            </w:r>
            <w:r w:rsidR="00B56644">
              <w:rPr>
                <w:noProof/>
                <w:webHidden/>
              </w:rPr>
              <w:tab/>
            </w:r>
            <w:r w:rsidR="00374A9A">
              <w:rPr>
                <w:noProof/>
                <w:webHidden/>
              </w:rPr>
              <w:fldChar w:fldCharType="begin"/>
            </w:r>
            <w:r w:rsidR="00B56644">
              <w:rPr>
                <w:noProof/>
                <w:webHidden/>
              </w:rPr>
              <w:instrText xml:space="preserve"> PAGEREF _Toc509413080 \h </w:instrText>
            </w:r>
            <w:r w:rsidR="00374A9A">
              <w:rPr>
                <w:noProof/>
                <w:webHidden/>
              </w:rPr>
            </w:r>
            <w:r w:rsidR="00374A9A">
              <w:rPr>
                <w:noProof/>
                <w:webHidden/>
              </w:rPr>
              <w:fldChar w:fldCharType="separate"/>
            </w:r>
            <w:r w:rsidR="00CF2202">
              <w:rPr>
                <w:noProof/>
                <w:webHidden/>
              </w:rPr>
              <w:t>23</w:t>
            </w:r>
            <w:r w:rsidR="00374A9A">
              <w:rPr>
                <w:noProof/>
                <w:webHidden/>
              </w:rPr>
              <w:fldChar w:fldCharType="end"/>
            </w:r>
          </w:hyperlink>
        </w:p>
        <w:p w:rsidR="00B56644" w:rsidRDefault="00E05371">
          <w:pPr>
            <w:pStyle w:val="Obsah2"/>
            <w:tabs>
              <w:tab w:val="left" w:pos="880"/>
              <w:tab w:val="right" w:leader="dot" w:pos="9062"/>
            </w:tabs>
            <w:rPr>
              <w:rFonts w:asciiTheme="minorHAnsi" w:eastAsiaTheme="minorEastAsia" w:hAnsiTheme="minorHAnsi"/>
              <w:noProof/>
              <w:sz w:val="22"/>
              <w:lang w:eastAsia="cs-CZ"/>
            </w:rPr>
          </w:pPr>
          <w:hyperlink w:anchor="_Toc509413081" w:history="1">
            <w:r w:rsidR="00B56644" w:rsidRPr="005253EA">
              <w:rPr>
                <w:rStyle w:val="Hypertextovodkaz"/>
                <w:noProof/>
              </w:rPr>
              <w:t>3.1</w:t>
            </w:r>
            <w:r w:rsidR="00B56644">
              <w:rPr>
                <w:rFonts w:asciiTheme="minorHAnsi" w:eastAsiaTheme="minorEastAsia" w:hAnsiTheme="minorHAnsi"/>
                <w:noProof/>
                <w:sz w:val="22"/>
                <w:lang w:eastAsia="cs-CZ"/>
              </w:rPr>
              <w:tab/>
            </w:r>
            <w:r w:rsidR="00B56644" w:rsidRPr="005253EA">
              <w:rPr>
                <w:rStyle w:val="Hypertextovodkaz"/>
                <w:noProof/>
              </w:rPr>
              <w:t>Vznik jednotky</w:t>
            </w:r>
            <w:r w:rsidR="00B56644">
              <w:rPr>
                <w:noProof/>
                <w:webHidden/>
              </w:rPr>
              <w:tab/>
            </w:r>
            <w:r w:rsidR="00374A9A">
              <w:rPr>
                <w:noProof/>
                <w:webHidden/>
              </w:rPr>
              <w:fldChar w:fldCharType="begin"/>
            </w:r>
            <w:r w:rsidR="00B56644">
              <w:rPr>
                <w:noProof/>
                <w:webHidden/>
              </w:rPr>
              <w:instrText xml:space="preserve"> PAGEREF _Toc509413081 \h </w:instrText>
            </w:r>
            <w:r w:rsidR="00374A9A">
              <w:rPr>
                <w:noProof/>
                <w:webHidden/>
              </w:rPr>
            </w:r>
            <w:r w:rsidR="00374A9A">
              <w:rPr>
                <w:noProof/>
                <w:webHidden/>
              </w:rPr>
              <w:fldChar w:fldCharType="separate"/>
            </w:r>
            <w:r w:rsidR="00CF2202">
              <w:rPr>
                <w:noProof/>
                <w:webHidden/>
              </w:rPr>
              <w:t>25</w:t>
            </w:r>
            <w:r w:rsidR="00374A9A">
              <w:rPr>
                <w:noProof/>
                <w:webHidden/>
              </w:rPr>
              <w:fldChar w:fldCharType="end"/>
            </w:r>
          </w:hyperlink>
        </w:p>
        <w:p w:rsidR="00B56644" w:rsidRDefault="00E05371">
          <w:pPr>
            <w:pStyle w:val="Obsah2"/>
            <w:tabs>
              <w:tab w:val="left" w:pos="880"/>
              <w:tab w:val="right" w:leader="dot" w:pos="9062"/>
            </w:tabs>
            <w:rPr>
              <w:rFonts w:asciiTheme="minorHAnsi" w:eastAsiaTheme="minorEastAsia" w:hAnsiTheme="minorHAnsi"/>
              <w:noProof/>
              <w:sz w:val="22"/>
              <w:lang w:eastAsia="cs-CZ"/>
            </w:rPr>
          </w:pPr>
          <w:hyperlink w:anchor="_Toc509413082" w:history="1">
            <w:r w:rsidR="00B56644" w:rsidRPr="005253EA">
              <w:rPr>
                <w:rStyle w:val="Hypertextovodkaz"/>
                <w:noProof/>
              </w:rPr>
              <w:t>3.2</w:t>
            </w:r>
            <w:r w:rsidR="00B56644">
              <w:rPr>
                <w:rFonts w:asciiTheme="minorHAnsi" w:eastAsiaTheme="minorEastAsia" w:hAnsiTheme="minorHAnsi"/>
                <w:noProof/>
                <w:sz w:val="22"/>
                <w:lang w:eastAsia="cs-CZ"/>
              </w:rPr>
              <w:tab/>
            </w:r>
            <w:r w:rsidR="00B56644" w:rsidRPr="005253EA">
              <w:rPr>
                <w:rStyle w:val="Hypertextovodkaz"/>
                <w:noProof/>
              </w:rPr>
              <w:t>Vlastnictví jednotek</w:t>
            </w:r>
            <w:r w:rsidR="00B56644">
              <w:rPr>
                <w:noProof/>
                <w:webHidden/>
              </w:rPr>
              <w:tab/>
            </w:r>
            <w:r w:rsidR="00374A9A">
              <w:rPr>
                <w:noProof/>
                <w:webHidden/>
              </w:rPr>
              <w:fldChar w:fldCharType="begin"/>
            </w:r>
            <w:r w:rsidR="00B56644">
              <w:rPr>
                <w:noProof/>
                <w:webHidden/>
              </w:rPr>
              <w:instrText xml:space="preserve"> PAGEREF _Toc509413082 \h </w:instrText>
            </w:r>
            <w:r w:rsidR="00374A9A">
              <w:rPr>
                <w:noProof/>
                <w:webHidden/>
              </w:rPr>
            </w:r>
            <w:r w:rsidR="00374A9A">
              <w:rPr>
                <w:noProof/>
                <w:webHidden/>
              </w:rPr>
              <w:fldChar w:fldCharType="separate"/>
            </w:r>
            <w:r w:rsidR="00CF2202">
              <w:rPr>
                <w:noProof/>
                <w:webHidden/>
              </w:rPr>
              <w:t>25</w:t>
            </w:r>
            <w:r w:rsidR="00374A9A">
              <w:rPr>
                <w:noProof/>
                <w:webHidden/>
              </w:rPr>
              <w:fldChar w:fldCharType="end"/>
            </w:r>
          </w:hyperlink>
        </w:p>
        <w:p w:rsidR="00B56644" w:rsidRDefault="00E05371">
          <w:pPr>
            <w:pStyle w:val="Obsah2"/>
            <w:tabs>
              <w:tab w:val="left" w:pos="880"/>
              <w:tab w:val="right" w:leader="dot" w:pos="9062"/>
            </w:tabs>
            <w:rPr>
              <w:rFonts w:asciiTheme="minorHAnsi" w:eastAsiaTheme="minorEastAsia" w:hAnsiTheme="minorHAnsi"/>
              <w:noProof/>
              <w:sz w:val="22"/>
              <w:lang w:eastAsia="cs-CZ"/>
            </w:rPr>
          </w:pPr>
          <w:hyperlink w:anchor="_Toc509413083" w:history="1">
            <w:r w:rsidR="00B56644" w:rsidRPr="005253EA">
              <w:rPr>
                <w:rStyle w:val="Hypertextovodkaz"/>
                <w:noProof/>
              </w:rPr>
              <w:t>3.3</w:t>
            </w:r>
            <w:r w:rsidR="00B56644">
              <w:rPr>
                <w:rFonts w:asciiTheme="minorHAnsi" w:eastAsiaTheme="minorEastAsia" w:hAnsiTheme="minorHAnsi"/>
                <w:noProof/>
                <w:sz w:val="22"/>
                <w:lang w:eastAsia="cs-CZ"/>
              </w:rPr>
              <w:tab/>
            </w:r>
            <w:r w:rsidR="00B56644" w:rsidRPr="005253EA">
              <w:rPr>
                <w:rStyle w:val="Hypertextovodkaz"/>
                <w:noProof/>
              </w:rPr>
              <w:t>Správa domu a pozemku</w:t>
            </w:r>
            <w:r w:rsidR="00B56644">
              <w:rPr>
                <w:noProof/>
                <w:webHidden/>
              </w:rPr>
              <w:tab/>
            </w:r>
            <w:r w:rsidR="00374A9A">
              <w:rPr>
                <w:noProof/>
                <w:webHidden/>
              </w:rPr>
              <w:fldChar w:fldCharType="begin"/>
            </w:r>
            <w:r w:rsidR="00B56644">
              <w:rPr>
                <w:noProof/>
                <w:webHidden/>
              </w:rPr>
              <w:instrText xml:space="preserve"> PAGEREF _Toc509413083 \h </w:instrText>
            </w:r>
            <w:r w:rsidR="00374A9A">
              <w:rPr>
                <w:noProof/>
                <w:webHidden/>
              </w:rPr>
            </w:r>
            <w:r w:rsidR="00374A9A">
              <w:rPr>
                <w:noProof/>
                <w:webHidden/>
              </w:rPr>
              <w:fldChar w:fldCharType="separate"/>
            </w:r>
            <w:r w:rsidR="00CF2202">
              <w:rPr>
                <w:noProof/>
                <w:webHidden/>
              </w:rPr>
              <w:t>26</w:t>
            </w:r>
            <w:r w:rsidR="00374A9A">
              <w:rPr>
                <w:noProof/>
                <w:webHidden/>
              </w:rPr>
              <w:fldChar w:fldCharType="end"/>
            </w:r>
          </w:hyperlink>
        </w:p>
        <w:p w:rsidR="00B56644" w:rsidRDefault="00E05371">
          <w:pPr>
            <w:pStyle w:val="Obsah2"/>
            <w:tabs>
              <w:tab w:val="left" w:pos="880"/>
              <w:tab w:val="right" w:leader="dot" w:pos="9062"/>
            </w:tabs>
            <w:rPr>
              <w:rFonts w:asciiTheme="minorHAnsi" w:eastAsiaTheme="minorEastAsia" w:hAnsiTheme="minorHAnsi"/>
              <w:noProof/>
              <w:sz w:val="22"/>
              <w:lang w:eastAsia="cs-CZ"/>
            </w:rPr>
          </w:pPr>
          <w:hyperlink w:anchor="_Toc509413084" w:history="1">
            <w:r w:rsidR="00B56644" w:rsidRPr="005253EA">
              <w:rPr>
                <w:rStyle w:val="Hypertextovodkaz"/>
                <w:noProof/>
              </w:rPr>
              <w:t>3.4</w:t>
            </w:r>
            <w:r w:rsidR="00B56644">
              <w:rPr>
                <w:rFonts w:asciiTheme="minorHAnsi" w:eastAsiaTheme="minorEastAsia" w:hAnsiTheme="minorHAnsi"/>
                <w:noProof/>
                <w:sz w:val="22"/>
                <w:lang w:eastAsia="cs-CZ"/>
              </w:rPr>
              <w:tab/>
            </w:r>
            <w:r w:rsidR="00B56644" w:rsidRPr="005253EA">
              <w:rPr>
                <w:rStyle w:val="Hypertextovodkaz"/>
                <w:noProof/>
              </w:rPr>
              <w:t>Předmět vlastnictví</w:t>
            </w:r>
            <w:r w:rsidR="00B56644">
              <w:rPr>
                <w:noProof/>
                <w:webHidden/>
              </w:rPr>
              <w:tab/>
            </w:r>
            <w:r w:rsidR="00374A9A">
              <w:rPr>
                <w:noProof/>
                <w:webHidden/>
              </w:rPr>
              <w:fldChar w:fldCharType="begin"/>
            </w:r>
            <w:r w:rsidR="00B56644">
              <w:rPr>
                <w:noProof/>
                <w:webHidden/>
              </w:rPr>
              <w:instrText xml:space="preserve"> PAGEREF _Toc509413084 \h </w:instrText>
            </w:r>
            <w:r w:rsidR="00374A9A">
              <w:rPr>
                <w:noProof/>
                <w:webHidden/>
              </w:rPr>
            </w:r>
            <w:r w:rsidR="00374A9A">
              <w:rPr>
                <w:noProof/>
                <w:webHidden/>
              </w:rPr>
              <w:fldChar w:fldCharType="separate"/>
            </w:r>
            <w:r w:rsidR="00CF2202">
              <w:rPr>
                <w:noProof/>
                <w:webHidden/>
              </w:rPr>
              <w:t>28</w:t>
            </w:r>
            <w:r w:rsidR="00374A9A">
              <w:rPr>
                <w:noProof/>
                <w:webHidden/>
              </w:rPr>
              <w:fldChar w:fldCharType="end"/>
            </w:r>
          </w:hyperlink>
        </w:p>
        <w:p w:rsidR="00B56644" w:rsidRDefault="00E05371">
          <w:pPr>
            <w:pStyle w:val="Obsah2"/>
            <w:tabs>
              <w:tab w:val="left" w:pos="880"/>
              <w:tab w:val="right" w:leader="dot" w:pos="9062"/>
            </w:tabs>
            <w:rPr>
              <w:rFonts w:asciiTheme="minorHAnsi" w:eastAsiaTheme="minorEastAsia" w:hAnsiTheme="minorHAnsi"/>
              <w:noProof/>
              <w:sz w:val="22"/>
              <w:lang w:eastAsia="cs-CZ"/>
            </w:rPr>
          </w:pPr>
          <w:hyperlink w:anchor="_Toc509413085" w:history="1">
            <w:r w:rsidR="00B56644" w:rsidRPr="005253EA">
              <w:rPr>
                <w:rStyle w:val="Hypertextovodkaz"/>
                <w:noProof/>
              </w:rPr>
              <w:t>3.5</w:t>
            </w:r>
            <w:r w:rsidR="00B56644">
              <w:rPr>
                <w:rFonts w:asciiTheme="minorHAnsi" w:eastAsiaTheme="minorEastAsia" w:hAnsiTheme="minorHAnsi"/>
                <w:noProof/>
                <w:sz w:val="22"/>
                <w:lang w:eastAsia="cs-CZ"/>
              </w:rPr>
              <w:tab/>
            </w:r>
            <w:r w:rsidR="00B56644" w:rsidRPr="005253EA">
              <w:rPr>
                <w:rStyle w:val="Hypertextovodkaz"/>
                <w:noProof/>
              </w:rPr>
              <w:t>Zápis vlastnického práva k jednotkám</w:t>
            </w:r>
            <w:r w:rsidR="00B56644">
              <w:rPr>
                <w:noProof/>
                <w:webHidden/>
              </w:rPr>
              <w:tab/>
            </w:r>
            <w:r w:rsidR="00374A9A">
              <w:rPr>
                <w:noProof/>
                <w:webHidden/>
              </w:rPr>
              <w:fldChar w:fldCharType="begin"/>
            </w:r>
            <w:r w:rsidR="00B56644">
              <w:rPr>
                <w:noProof/>
                <w:webHidden/>
              </w:rPr>
              <w:instrText xml:space="preserve"> PAGEREF _Toc509413085 \h </w:instrText>
            </w:r>
            <w:r w:rsidR="00374A9A">
              <w:rPr>
                <w:noProof/>
                <w:webHidden/>
              </w:rPr>
            </w:r>
            <w:r w:rsidR="00374A9A">
              <w:rPr>
                <w:noProof/>
                <w:webHidden/>
              </w:rPr>
              <w:fldChar w:fldCharType="separate"/>
            </w:r>
            <w:r w:rsidR="00CF2202">
              <w:rPr>
                <w:noProof/>
                <w:webHidden/>
              </w:rPr>
              <w:t>29</w:t>
            </w:r>
            <w:r w:rsidR="00374A9A">
              <w:rPr>
                <w:noProof/>
                <w:webHidden/>
              </w:rPr>
              <w:fldChar w:fldCharType="end"/>
            </w:r>
          </w:hyperlink>
        </w:p>
        <w:p w:rsidR="00B56644" w:rsidRDefault="00E05371">
          <w:pPr>
            <w:pStyle w:val="Obsah2"/>
            <w:tabs>
              <w:tab w:val="left" w:pos="880"/>
              <w:tab w:val="right" w:leader="dot" w:pos="9062"/>
            </w:tabs>
            <w:rPr>
              <w:rFonts w:asciiTheme="minorHAnsi" w:eastAsiaTheme="minorEastAsia" w:hAnsiTheme="minorHAnsi"/>
              <w:noProof/>
              <w:sz w:val="22"/>
              <w:lang w:eastAsia="cs-CZ"/>
            </w:rPr>
          </w:pPr>
          <w:hyperlink w:anchor="_Toc509413086" w:history="1">
            <w:r w:rsidR="00B56644" w:rsidRPr="005253EA">
              <w:rPr>
                <w:rStyle w:val="Hypertextovodkaz"/>
                <w:noProof/>
              </w:rPr>
              <w:t>3.6</w:t>
            </w:r>
            <w:r w:rsidR="00B56644">
              <w:rPr>
                <w:rFonts w:asciiTheme="minorHAnsi" w:eastAsiaTheme="minorEastAsia" w:hAnsiTheme="minorHAnsi"/>
                <w:noProof/>
                <w:sz w:val="22"/>
                <w:lang w:eastAsia="cs-CZ"/>
              </w:rPr>
              <w:tab/>
            </w:r>
            <w:r w:rsidR="00B56644" w:rsidRPr="005253EA">
              <w:rPr>
                <w:rStyle w:val="Hypertextovodkaz"/>
                <w:noProof/>
              </w:rPr>
              <w:t>Prohlášení vlastníka</w:t>
            </w:r>
            <w:r w:rsidR="00B56644">
              <w:rPr>
                <w:noProof/>
                <w:webHidden/>
              </w:rPr>
              <w:tab/>
            </w:r>
            <w:r w:rsidR="00374A9A">
              <w:rPr>
                <w:noProof/>
                <w:webHidden/>
              </w:rPr>
              <w:fldChar w:fldCharType="begin"/>
            </w:r>
            <w:r w:rsidR="00B56644">
              <w:rPr>
                <w:noProof/>
                <w:webHidden/>
              </w:rPr>
              <w:instrText xml:space="preserve"> PAGEREF _Toc509413086 \h </w:instrText>
            </w:r>
            <w:r w:rsidR="00374A9A">
              <w:rPr>
                <w:noProof/>
                <w:webHidden/>
              </w:rPr>
            </w:r>
            <w:r w:rsidR="00374A9A">
              <w:rPr>
                <w:noProof/>
                <w:webHidden/>
              </w:rPr>
              <w:fldChar w:fldCharType="separate"/>
            </w:r>
            <w:r w:rsidR="00CF2202">
              <w:rPr>
                <w:noProof/>
                <w:webHidden/>
              </w:rPr>
              <w:t>29</w:t>
            </w:r>
            <w:r w:rsidR="00374A9A">
              <w:rPr>
                <w:noProof/>
                <w:webHidden/>
              </w:rPr>
              <w:fldChar w:fldCharType="end"/>
            </w:r>
          </w:hyperlink>
        </w:p>
        <w:p w:rsidR="00B56644" w:rsidRDefault="00E05371">
          <w:pPr>
            <w:pStyle w:val="Obsah2"/>
            <w:tabs>
              <w:tab w:val="left" w:pos="880"/>
              <w:tab w:val="right" w:leader="dot" w:pos="9062"/>
            </w:tabs>
            <w:rPr>
              <w:rFonts w:asciiTheme="minorHAnsi" w:eastAsiaTheme="minorEastAsia" w:hAnsiTheme="minorHAnsi"/>
              <w:noProof/>
              <w:sz w:val="22"/>
              <w:lang w:eastAsia="cs-CZ"/>
            </w:rPr>
          </w:pPr>
          <w:hyperlink w:anchor="_Toc509413087" w:history="1">
            <w:r w:rsidR="00B56644" w:rsidRPr="005253EA">
              <w:rPr>
                <w:rStyle w:val="Hypertextovodkaz"/>
                <w:noProof/>
              </w:rPr>
              <w:t>3.7</w:t>
            </w:r>
            <w:r w:rsidR="00B56644">
              <w:rPr>
                <w:rFonts w:asciiTheme="minorHAnsi" w:eastAsiaTheme="minorEastAsia" w:hAnsiTheme="minorHAnsi"/>
                <w:noProof/>
                <w:sz w:val="22"/>
                <w:lang w:eastAsia="cs-CZ"/>
              </w:rPr>
              <w:tab/>
            </w:r>
            <w:r w:rsidR="00B56644" w:rsidRPr="005253EA">
              <w:rPr>
                <w:rStyle w:val="Hypertextovodkaz"/>
                <w:noProof/>
              </w:rPr>
              <w:t>Vztah k sousedům</w:t>
            </w:r>
            <w:r w:rsidR="00B56644">
              <w:rPr>
                <w:noProof/>
                <w:webHidden/>
              </w:rPr>
              <w:tab/>
            </w:r>
            <w:r w:rsidR="00374A9A">
              <w:rPr>
                <w:noProof/>
                <w:webHidden/>
              </w:rPr>
              <w:fldChar w:fldCharType="begin"/>
            </w:r>
            <w:r w:rsidR="00B56644">
              <w:rPr>
                <w:noProof/>
                <w:webHidden/>
              </w:rPr>
              <w:instrText xml:space="preserve"> PAGEREF _Toc509413087 \h </w:instrText>
            </w:r>
            <w:r w:rsidR="00374A9A">
              <w:rPr>
                <w:noProof/>
                <w:webHidden/>
              </w:rPr>
            </w:r>
            <w:r w:rsidR="00374A9A">
              <w:rPr>
                <w:noProof/>
                <w:webHidden/>
              </w:rPr>
              <w:fldChar w:fldCharType="separate"/>
            </w:r>
            <w:r w:rsidR="00CF2202">
              <w:rPr>
                <w:noProof/>
                <w:webHidden/>
              </w:rPr>
              <w:t>30</w:t>
            </w:r>
            <w:r w:rsidR="00374A9A">
              <w:rPr>
                <w:noProof/>
                <w:webHidden/>
              </w:rPr>
              <w:fldChar w:fldCharType="end"/>
            </w:r>
          </w:hyperlink>
        </w:p>
        <w:p w:rsidR="00B56644" w:rsidRDefault="00E05371">
          <w:pPr>
            <w:pStyle w:val="Obsah2"/>
            <w:tabs>
              <w:tab w:val="left" w:pos="880"/>
              <w:tab w:val="right" w:leader="dot" w:pos="9062"/>
            </w:tabs>
            <w:rPr>
              <w:rFonts w:asciiTheme="minorHAnsi" w:eastAsiaTheme="minorEastAsia" w:hAnsiTheme="minorHAnsi"/>
              <w:noProof/>
              <w:sz w:val="22"/>
              <w:lang w:eastAsia="cs-CZ"/>
            </w:rPr>
          </w:pPr>
          <w:hyperlink w:anchor="_Toc509413088" w:history="1">
            <w:r w:rsidR="00B56644" w:rsidRPr="005253EA">
              <w:rPr>
                <w:rStyle w:val="Hypertextovodkaz"/>
                <w:noProof/>
              </w:rPr>
              <w:t>3.8</w:t>
            </w:r>
            <w:r w:rsidR="00B56644">
              <w:rPr>
                <w:rFonts w:asciiTheme="minorHAnsi" w:eastAsiaTheme="minorEastAsia" w:hAnsiTheme="minorHAnsi"/>
                <w:noProof/>
                <w:sz w:val="22"/>
                <w:lang w:eastAsia="cs-CZ"/>
              </w:rPr>
              <w:tab/>
            </w:r>
            <w:r w:rsidR="00B56644" w:rsidRPr="005253EA">
              <w:rPr>
                <w:rStyle w:val="Hypertextovodkaz"/>
                <w:noProof/>
              </w:rPr>
              <w:t>Superficies solo cedit a zákonné předkupní právo k jednotkám?</w:t>
            </w:r>
            <w:r w:rsidR="00B56644">
              <w:rPr>
                <w:noProof/>
                <w:webHidden/>
              </w:rPr>
              <w:tab/>
            </w:r>
            <w:r w:rsidR="00374A9A">
              <w:rPr>
                <w:noProof/>
                <w:webHidden/>
              </w:rPr>
              <w:fldChar w:fldCharType="begin"/>
            </w:r>
            <w:r w:rsidR="00B56644">
              <w:rPr>
                <w:noProof/>
                <w:webHidden/>
              </w:rPr>
              <w:instrText xml:space="preserve"> PAGEREF _Toc509413088 \h </w:instrText>
            </w:r>
            <w:r w:rsidR="00374A9A">
              <w:rPr>
                <w:noProof/>
                <w:webHidden/>
              </w:rPr>
            </w:r>
            <w:r w:rsidR="00374A9A">
              <w:rPr>
                <w:noProof/>
                <w:webHidden/>
              </w:rPr>
              <w:fldChar w:fldCharType="separate"/>
            </w:r>
            <w:r w:rsidR="00CF2202">
              <w:rPr>
                <w:noProof/>
                <w:webHidden/>
              </w:rPr>
              <w:t>30</w:t>
            </w:r>
            <w:r w:rsidR="00374A9A">
              <w:rPr>
                <w:noProof/>
                <w:webHidden/>
              </w:rPr>
              <w:fldChar w:fldCharType="end"/>
            </w:r>
          </w:hyperlink>
        </w:p>
        <w:p w:rsidR="00B56644" w:rsidRDefault="00E05371">
          <w:pPr>
            <w:pStyle w:val="Obsah2"/>
            <w:tabs>
              <w:tab w:val="left" w:pos="880"/>
              <w:tab w:val="right" w:leader="dot" w:pos="9062"/>
            </w:tabs>
            <w:rPr>
              <w:rFonts w:asciiTheme="minorHAnsi" w:eastAsiaTheme="minorEastAsia" w:hAnsiTheme="minorHAnsi"/>
              <w:noProof/>
              <w:sz w:val="22"/>
              <w:lang w:eastAsia="cs-CZ"/>
            </w:rPr>
          </w:pPr>
          <w:hyperlink w:anchor="_Toc509413089" w:history="1">
            <w:r w:rsidR="00B56644" w:rsidRPr="005253EA">
              <w:rPr>
                <w:rStyle w:val="Hypertextovodkaz"/>
                <w:noProof/>
              </w:rPr>
              <w:t>3.9</w:t>
            </w:r>
            <w:r w:rsidR="00B56644">
              <w:rPr>
                <w:rFonts w:asciiTheme="minorHAnsi" w:eastAsiaTheme="minorEastAsia" w:hAnsiTheme="minorHAnsi"/>
                <w:noProof/>
                <w:sz w:val="22"/>
                <w:lang w:eastAsia="cs-CZ"/>
              </w:rPr>
              <w:tab/>
            </w:r>
            <w:r w:rsidR="00B56644" w:rsidRPr="005253EA">
              <w:rPr>
                <w:rStyle w:val="Hypertextovodkaz"/>
                <w:noProof/>
              </w:rPr>
              <w:t>Materiální publicita zápisů do katastru nemovitostí</w:t>
            </w:r>
            <w:r w:rsidR="00B56644">
              <w:rPr>
                <w:noProof/>
                <w:webHidden/>
              </w:rPr>
              <w:tab/>
            </w:r>
            <w:r w:rsidR="00374A9A">
              <w:rPr>
                <w:noProof/>
                <w:webHidden/>
              </w:rPr>
              <w:fldChar w:fldCharType="begin"/>
            </w:r>
            <w:r w:rsidR="00B56644">
              <w:rPr>
                <w:noProof/>
                <w:webHidden/>
              </w:rPr>
              <w:instrText xml:space="preserve"> PAGEREF _Toc509413089 \h </w:instrText>
            </w:r>
            <w:r w:rsidR="00374A9A">
              <w:rPr>
                <w:noProof/>
                <w:webHidden/>
              </w:rPr>
            </w:r>
            <w:r w:rsidR="00374A9A">
              <w:rPr>
                <w:noProof/>
                <w:webHidden/>
              </w:rPr>
              <w:fldChar w:fldCharType="separate"/>
            </w:r>
            <w:r w:rsidR="00CF2202">
              <w:rPr>
                <w:noProof/>
                <w:webHidden/>
              </w:rPr>
              <w:t>34</w:t>
            </w:r>
            <w:r w:rsidR="00374A9A">
              <w:rPr>
                <w:noProof/>
                <w:webHidden/>
              </w:rPr>
              <w:fldChar w:fldCharType="end"/>
            </w:r>
          </w:hyperlink>
        </w:p>
        <w:p w:rsidR="00B56644" w:rsidRDefault="00E05371">
          <w:pPr>
            <w:pStyle w:val="Obsah2"/>
            <w:tabs>
              <w:tab w:val="left" w:pos="1100"/>
              <w:tab w:val="right" w:leader="dot" w:pos="9062"/>
            </w:tabs>
            <w:rPr>
              <w:rFonts w:asciiTheme="minorHAnsi" w:eastAsiaTheme="minorEastAsia" w:hAnsiTheme="minorHAnsi"/>
              <w:noProof/>
              <w:sz w:val="22"/>
              <w:lang w:eastAsia="cs-CZ"/>
            </w:rPr>
          </w:pPr>
          <w:hyperlink w:anchor="_Toc509413090" w:history="1">
            <w:r w:rsidR="00B56644" w:rsidRPr="005253EA">
              <w:rPr>
                <w:rStyle w:val="Hypertextovodkaz"/>
                <w:noProof/>
              </w:rPr>
              <w:t>3.10</w:t>
            </w:r>
            <w:r w:rsidR="00B56644">
              <w:rPr>
                <w:rFonts w:asciiTheme="minorHAnsi" w:eastAsiaTheme="minorEastAsia" w:hAnsiTheme="minorHAnsi"/>
                <w:noProof/>
                <w:sz w:val="22"/>
                <w:lang w:eastAsia="cs-CZ"/>
              </w:rPr>
              <w:tab/>
            </w:r>
            <w:r w:rsidR="00B56644" w:rsidRPr="005253EA">
              <w:rPr>
                <w:rStyle w:val="Hypertextovodkaz"/>
                <w:noProof/>
              </w:rPr>
              <w:t>Společenství vlastníků jednotek</w:t>
            </w:r>
            <w:r w:rsidR="00B56644">
              <w:rPr>
                <w:noProof/>
                <w:webHidden/>
              </w:rPr>
              <w:tab/>
            </w:r>
            <w:r w:rsidR="00374A9A">
              <w:rPr>
                <w:noProof/>
                <w:webHidden/>
              </w:rPr>
              <w:fldChar w:fldCharType="begin"/>
            </w:r>
            <w:r w:rsidR="00B56644">
              <w:rPr>
                <w:noProof/>
                <w:webHidden/>
              </w:rPr>
              <w:instrText xml:space="preserve"> PAGEREF _Toc509413090 \h </w:instrText>
            </w:r>
            <w:r w:rsidR="00374A9A">
              <w:rPr>
                <w:noProof/>
                <w:webHidden/>
              </w:rPr>
            </w:r>
            <w:r w:rsidR="00374A9A">
              <w:rPr>
                <w:noProof/>
                <w:webHidden/>
              </w:rPr>
              <w:fldChar w:fldCharType="separate"/>
            </w:r>
            <w:r w:rsidR="00CF2202">
              <w:rPr>
                <w:noProof/>
                <w:webHidden/>
              </w:rPr>
              <w:t>35</w:t>
            </w:r>
            <w:r w:rsidR="00374A9A">
              <w:rPr>
                <w:noProof/>
                <w:webHidden/>
              </w:rPr>
              <w:fldChar w:fldCharType="end"/>
            </w:r>
          </w:hyperlink>
        </w:p>
        <w:p w:rsidR="00B56644" w:rsidRDefault="00E05371">
          <w:pPr>
            <w:pStyle w:val="Obsah2"/>
            <w:tabs>
              <w:tab w:val="left" w:pos="1100"/>
              <w:tab w:val="right" w:leader="dot" w:pos="9062"/>
            </w:tabs>
            <w:rPr>
              <w:rFonts w:asciiTheme="minorHAnsi" w:eastAsiaTheme="minorEastAsia" w:hAnsiTheme="minorHAnsi"/>
              <w:noProof/>
              <w:sz w:val="22"/>
              <w:lang w:eastAsia="cs-CZ"/>
            </w:rPr>
          </w:pPr>
          <w:hyperlink w:anchor="_Toc509413091" w:history="1">
            <w:r w:rsidR="00B56644" w:rsidRPr="005253EA">
              <w:rPr>
                <w:rStyle w:val="Hypertextovodkaz"/>
                <w:noProof/>
              </w:rPr>
              <w:t>3.11</w:t>
            </w:r>
            <w:r w:rsidR="00B56644">
              <w:rPr>
                <w:rFonts w:asciiTheme="minorHAnsi" w:eastAsiaTheme="minorEastAsia" w:hAnsiTheme="minorHAnsi"/>
                <w:noProof/>
                <w:sz w:val="22"/>
                <w:lang w:eastAsia="cs-CZ"/>
              </w:rPr>
              <w:tab/>
            </w:r>
            <w:r w:rsidR="00B56644" w:rsidRPr="005253EA">
              <w:rPr>
                <w:rStyle w:val="Hypertextovodkaz"/>
                <w:noProof/>
              </w:rPr>
              <w:t>Důvody změn</w:t>
            </w:r>
            <w:r w:rsidR="00B56644">
              <w:rPr>
                <w:noProof/>
                <w:webHidden/>
              </w:rPr>
              <w:tab/>
            </w:r>
            <w:r w:rsidR="00374A9A">
              <w:rPr>
                <w:noProof/>
                <w:webHidden/>
              </w:rPr>
              <w:fldChar w:fldCharType="begin"/>
            </w:r>
            <w:r w:rsidR="00B56644">
              <w:rPr>
                <w:noProof/>
                <w:webHidden/>
              </w:rPr>
              <w:instrText xml:space="preserve"> PAGEREF _Toc509413091 \h </w:instrText>
            </w:r>
            <w:r w:rsidR="00374A9A">
              <w:rPr>
                <w:noProof/>
                <w:webHidden/>
              </w:rPr>
            </w:r>
            <w:r w:rsidR="00374A9A">
              <w:rPr>
                <w:noProof/>
                <w:webHidden/>
              </w:rPr>
              <w:fldChar w:fldCharType="separate"/>
            </w:r>
            <w:r w:rsidR="00CF2202">
              <w:rPr>
                <w:noProof/>
                <w:webHidden/>
              </w:rPr>
              <w:t>36</w:t>
            </w:r>
            <w:r w:rsidR="00374A9A">
              <w:rPr>
                <w:noProof/>
                <w:webHidden/>
              </w:rPr>
              <w:fldChar w:fldCharType="end"/>
            </w:r>
          </w:hyperlink>
        </w:p>
        <w:p w:rsidR="00B56644" w:rsidRDefault="00E05371">
          <w:pPr>
            <w:pStyle w:val="Obsah1"/>
            <w:rPr>
              <w:rFonts w:asciiTheme="minorHAnsi" w:eastAsiaTheme="minorEastAsia" w:hAnsiTheme="minorHAnsi"/>
              <w:b w:val="0"/>
              <w:noProof/>
              <w:sz w:val="22"/>
              <w:lang w:eastAsia="cs-CZ"/>
            </w:rPr>
          </w:pPr>
          <w:hyperlink w:anchor="_Toc509413092" w:history="1">
            <w:r w:rsidR="00B56644" w:rsidRPr="005253EA">
              <w:rPr>
                <w:rStyle w:val="Hypertextovodkaz"/>
                <w:noProof/>
              </w:rPr>
              <w:t>4</w:t>
            </w:r>
            <w:r w:rsidR="00B56644">
              <w:rPr>
                <w:rFonts w:asciiTheme="minorHAnsi" w:eastAsiaTheme="minorEastAsia" w:hAnsiTheme="minorHAnsi"/>
                <w:b w:val="0"/>
                <w:noProof/>
                <w:sz w:val="22"/>
                <w:lang w:eastAsia="cs-CZ"/>
              </w:rPr>
              <w:tab/>
            </w:r>
            <w:r w:rsidR="00B56644" w:rsidRPr="005253EA">
              <w:rPr>
                <w:rStyle w:val="Hypertextovodkaz"/>
                <w:noProof/>
              </w:rPr>
              <w:t>Praktické dopady, nekompatibilita režimů?</w:t>
            </w:r>
            <w:r w:rsidR="00B56644">
              <w:rPr>
                <w:noProof/>
                <w:webHidden/>
              </w:rPr>
              <w:tab/>
            </w:r>
            <w:r w:rsidR="00374A9A">
              <w:rPr>
                <w:noProof/>
                <w:webHidden/>
              </w:rPr>
              <w:fldChar w:fldCharType="begin"/>
            </w:r>
            <w:r w:rsidR="00B56644">
              <w:rPr>
                <w:noProof/>
                <w:webHidden/>
              </w:rPr>
              <w:instrText xml:space="preserve"> PAGEREF _Toc509413092 \h </w:instrText>
            </w:r>
            <w:r w:rsidR="00374A9A">
              <w:rPr>
                <w:noProof/>
                <w:webHidden/>
              </w:rPr>
            </w:r>
            <w:r w:rsidR="00374A9A">
              <w:rPr>
                <w:noProof/>
                <w:webHidden/>
              </w:rPr>
              <w:fldChar w:fldCharType="separate"/>
            </w:r>
            <w:r w:rsidR="00CF2202">
              <w:rPr>
                <w:noProof/>
                <w:webHidden/>
              </w:rPr>
              <w:t>38</w:t>
            </w:r>
            <w:r w:rsidR="00374A9A">
              <w:rPr>
                <w:noProof/>
                <w:webHidden/>
              </w:rPr>
              <w:fldChar w:fldCharType="end"/>
            </w:r>
          </w:hyperlink>
        </w:p>
        <w:p w:rsidR="00B56644" w:rsidRDefault="00E05371">
          <w:pPr>
            <w:pStyle w:val="Obsah2"/>
            <w:tabs>
              <w:tab w:val="left" w:pos="880"/>
              <w:tab w:val="right" w:leader="dot" w:pos="9062"/>
            </w:tabs>
            <w:rPr>
              <w:rFonts w:asciiTheme="minorHAnsi" w:eastAsiaTheme="minorEastAsia" w:hAnsiTheme="minorHAnsi"/>
              <w:noProof/>
              <w:sz w:val="22"/>
              <w:lang w:eastAsia="cs-CZ"/>
            </w:rPr>
          </w:pPr>
          <w:hyperlink w:anchor="_Toc509413093" w:history="1">
            <w:r w:rsidR="00B56644" w:rsidRPr="005253EA">
              <w:rPr>
                <w:rStyle w:val="Hypertextovodkaz"/>
                <w:noProof/>
              </w:rPr>
              <w:t>4.1</w:t>
            </w:r>
            <w:r w:rsidR="00B56644">
              <w:rPr>
                <w:rFonts w:asciiTheme="minorHAnsi" w:eastAsiaTheme="minorEastAsia" w:hAnsiTheme="minorHAnsi"/>
                <w:noProof/>
                <w:sz w:val="22"/>
                <w:lang w:eastAsia="cs-CZ"/>
              </w:rPr>
              <w:tab/>
            </w:r>
            <w:r w:rsidR="00B56644" w:rsidRPr="005253EA">
              <w:rPr>
                <w:rStyle w:val="Hypertextovodkaz"/>
                <w:noProof/>
              </w:rPr>
              <w:t>Statistika</w:t>
            </w:r>
            <w:r w:rsidR="00B56644">
              <w:rPr>
                <w:noProof/>
                <w:webHidden/>
              </w:rPr>
              <w:tab/>
            </w:r>
            <w:r w:rsidR="00374A9A">
              <w:rPr>
                <w:noProof/>
                <w:webHidden/>
              </w:rPr>
              <w:fldChar w:fldCharType="begin"/>
            </w:r>
            <w:r w:rsidR="00B56644">
              <w:rPr>
                <w:noProof/>
                <w:webHidden/>
              </w:rPr>
              <w:instrText xml:space="preserve"> PAGEREF _Toc509413093 \h </w:instrText>
            </w:r>
            <w:r w:rsidR="00374A9A">
              <w:rPr>
                <w:noProof/>
                <w:webHidden/>
              </w:rPr>
            </w:r>
            <w:r w:rsidR="00374A9A">
              <w:rPr>
                <w:noProof/>
                <w:webHidden/>
              </w:rPr>
              <w:fldChar w:fldCharType="separate"/>
            </w:r>
            <w:r w:rsidR="00CF2202">
              <w:rPr>
                <w:noProof/>
                <w:webHidden/>
              </w:rPr>
              <w:t>39</w:t>
            </w:r>
            <w:r w:rsidR="00374A9A">
              <w:rPr>
                <w:noProof/>
                <w:webHidden/>
              </w:rPr>
              <w:fldChar w:fldCharType="end"/>
            </w:r>
          </w:hyperlink>
        </w:p>
        <w:p w:rsidR="00B56644" w:rsidRDefault="00E05371">
          <w:pPr>
            <w:pStyle w:val="Obsah2"/>
            <w:tabs>
              <w:tab w:val="left" w:pos="880"/>
              <w:tab w:val="right" w:leader="dot" w:pos="9062"/>
            </w:tabs>
            <w:rPr>
              <w:rFonts w:asciiTheme="minorHAnsi" w:eastAsiaTheme="minorEastAsia" w:hAnsiTheme="minorHAnsi"/>
              <w:noProof/>
              <w:sz w:val="22"/>
              <w:lang w:eastAsia="cs-CZ"/>
            </w:rPr>
          </w:pPr>
          <w:hyperlink w:anchor="_Toc509413094" w:history="1">
            <w:r w:rsidR="00B56644" w:rsidRPr="005253EA">
              <w:rPr>
                <w:rStyle w:val="Hypertextovodkaz"/>
                <w:noProof/>
              </w:rPr>
              <w:t>4.2</w:t>
            </w:r>
            <w:r w:rsidR="00B56644">
              <w:rPr>
                <w:rFonts w:asciiTheme="minorHAnsi" w:eastAsiaTheme="minorEastAsia" w:hAnsiTheme="minorHAnsi"/>
                <w:noProof/>
                <w:sz w:val="22"/>
                <w:lang w:eastAsia="cs-CZ"/>
              </w:rPr>
              <w:tab/>
            </w:r>
            <w:r w:rsidR="00B56644" w:rsidRPr="005253EA">
              <w:rPr>
                <w:rStyle w:val="Hypertextovodkaz"/>
                <w:noProof/>
              </w:rPr>
              <w:t>Dvojí režim katastru nemovitostí</w:t>
            </w:r>
            <w:r w:rsidR="00B56644">
              <w:rPr>
                <w:noProof/>
                <w:webHidden/>
              </w:rPr>
              <w:tab/>
            </w:r>
            <w:r w:rsidR="00374A9A">
              <w:rPr>
                <w:noProof/>
                <w:webHidden/>
              </w:rPr>
              <w:fldChar w:fldCharType="begin"/>
            </w:r>
            <w:r w:rsidR="00B56644">
              <w:rPr>
                <w:noProof/>
                <w:webHidden/>
              </w:rPr>
              <w:instrText xml:space="preserve"> PAGEREF _Toc509413094 \h </w:instrText>
            </w:r>
            <w:r w:rsidR="00374A9A">
              <w:rPr>
                <w:noProof/>
                <w:webHidden/>
              </w:rPr>
            </w:r>
            <w:r w:rsidR="00374A9A">
              <w:rPr>
                <w:noProof/>
                <w:webHidden/>
              </w:rPr>
              <w:fldChar w:fldCharType="separate"/>
            </w:r>
            <w:r w:rsidR="00CF2202">
              <w:rPr>
                <w:noProof/>
                <w:webHidden/>
              </w:rPr>
              <w:t>40</w:t>
            </w:r>
            <w:r w:rsidR="00374A9A">
              <w:rPr>
                <w:noProof/>
                <w:webHidden/>
              </w:rPr>
              <w:fldChar w:fldCharType="end"/>
            </w:r>
          </w:hyperlink>
        </w:p>
        <w:p w:rsidR="00B56644" w:rsidRDefault="00E05371">
          <w:pPr>
            <w:pStyle w:val="Obsah2"/>
            <w:tabs>
              <w:tab w:val="left" w:pos="880"/>
              <w:tab w:val="right" w:leader="dot" w:pos="9062"/>
            </w:tabs>
            <w:rPr>
              <w:rFonts w:asciiTheme="minorHAnsi" w:eastAsiaTheme="minorEastAsia" w:hAnsiTheme="minorHAnsi"/>
              <w:noProof/>
              <w:sz w:val="22"/>
              <w:lang w:eastAsia="cs-CZ"/>
            </w:rPr>
          </w:pPr>
          <w:hyperlink w:anchor="_Toc509413095" w:history="1">
            <w:r w:rsidR="00B56644" w:rsidRPr="005253EA">
              <w:rPr>
                <w:rStyle w:val="Hypertextovodkaz"/>
                <w:noProof/>
              </w:rPr>
              <w:t>4.3</w:t>
            </w:r>
            <w:r w:rsidR="00B56644">
              <w:rPr>
                <w:rFonts w:asciiTheme="minorHAnsi" w:eastAsiaTheme="minorEastAsia" w:hAnsiTheme="minorHAnsi"/>
                <w:noProof/>
                <w:sz w:val="22"/>
                <w:lang w:eastAsia="cs-CZ"/>
              </w:rPr>
              <w:tab/>
            </w:r>
            <w:r w:rsidR="00B56644" w:rsidRPr="005253EA">
              <w:rPr>
                <w:rStyle w:val="Hypertextovodkaz"/>
                <w:noProof/>
              </w:rPr>
              <w:t>Příslušenství bytu</w:t>
            </w:r>
            <w:r w:rsidR="00B56644">
              <w:rPr>
                <w:noProof/>
                <w:webHidden/>
              </w:rPr>
              <w:tab/>
            </w:r>
            <w:r w:rsidR="00374A9A">
              <w:rPr>
                <w:noProof/>
                <w:webHidden/>
              </w:rPr>
              <w:fldChar w:fldCharType="begin"/>
            </w:r>
            <w:r w:rsidR="00B56644">
              <w:rPr>
                <w:noProof/>
                <w:webHidden/>
              </w:rPr>
              <w:instrText xml:space="preserve"> PAGEREF _Toc509413095 \h </w:instrText>
            </w:r>
            <w:r w:rsidR="00374A9A">
              <w:rPr>
                <w:noProof/>
                <w:webHidden/>
              </w:rPr>
            </w:r>
            <w:r w:rsidR="00374A9A">
              <w:rPr>
                <w:noProof/>
                <w:webHidden/>
              </w:rPr>
              <w:fldChar w:fldCharType="separate"/>
            </w:r>
            <w:r w:rsidR="00CF2202">
              <w:rPr>
                <w:noProof/>
                <w:webHidden/>
              </w:rPr>
              <w:t>41</w:t>
            </w:r>
            <w:r w:rsidR="00374A9A">
              <w:rPr>
                <w:noProof/>
                <w:webHidden/>
              </w:rPr>
              <w:fldChar w:fldCharType="end"/>
            </w:r>
          </w:hyperlink>
        </w:p>
        <w:p w:rsidR="00B56644" w:rsidRDefault="00E05371">
          <w:pPr>
            <w:pStyle w:val="Obsah2"/>
            <w:tabs>
              <w:tab w:val="left" w:pos="880"/>
              <w:tab w:val="right" w:leader="dot" w:pos="9062"/>
            </w:tabs>
            <w:rPr>
              <w:rFonts w:asciiTheme="minorHAnsi" w:eastAsiaTheme="minorEastAsia" w:hAnsiTheme="minorHAnsi"/>
              <w:noProof/>
              <w:sz w:val="22"/>
              <w:lang w:eastAsia="cs-CZ"/>
            </w:rPr>
          </w:pPr>
          <w:hyperlink w:anchor="_Toc509413096" w:history="1">
            <w:r w:rsidR="00B56644" w:rsidRPr="005253EA">
              <w:rPr>
                <w:rStyle w:val="Hypertextovodkaz"/>
                <w:noProof/>
              </w:rPr>
              <w:t>4.4</w:t>
            </w:r>
            <w:r w:rsidR="00B56644">
              <w:rPr>
                <w:rFonts w:asciiTheme="minorHAnsi" w:eastAsiaTheme="minorEastAsia" w:hAnsiTheme="minorHAnsi"/>
                <w:noProof/>
                <w:sz w:val="22"/>
                <w:lang w:eastAsia="cs-CZ"/>
              </w:rPr>
              <w:tab/>
            </w:r>
            <w:r w:rsidR="00B56644" w:rsidRPr="005253EA">
              <w:rPr>
                <w:rStyle w:val="Hypertextovodkaz"/>
                <w:noProof/>
              </w:rPr>
              <w:t>Společné části</w:t>
            </w:r>
            <w:r w:rsidR="00B56644">
              <w:rPr>
                <w:noProof/>
                <w:webHidden/>
              </w:rPr>
              <w:tab/>
            </w:r>
            <w:r w:rsidR="00374A9A">
              <w:rPr>
                <w:noProof/>
                <w:webHidden/>
              </w:rPr>
              <w:fldChar w:fldCharType="begin"/>
            </w:r>
            <w:r w:rsidR="00B56644">
              <w:rPr>
                <w:noProof/>
                <w:webHidden/>
              </w:rPr>
              <w:instrText xml:space="preserve"> PAGEREF _Toc509413096 \h </w:instrText>
            </w:r>
            <w:r w:rsidR="00374A9A">
              <w:rPr>
                <w:noProof/>
                <w:webHidden/>
              </w:rPr>
            </w:r>
            <w:r w:rsidR="00374A9A">
              <w:rPr>
                <w:noProof/>
                <w:webHidden/>
              </w:rPr>
              <w:fldChar w:fldCharType="separate"/>
            </w:r>
            <w:r w:rsidR="00CF2202">
              <w:rPr>
                <w:noProof/>
                <w:webHidden/>
              </w:rPr>
              <w:t>43</w:t>
            </w:r>
            <w:r w:rsidR="00374A9A">
              <w:rPr>
                <w:noProof/>
                <w:webHidden/>
              </w:rPr>
              <w:fldChar w:fldCharType="end"/>
            </w:r>
          </w:hyperlink>
        </w:p>
        <w:p w:rsidR="00B56644" w:rsidRDefault="00E05371">
          <w:pPr>
            <w:pStyle w:val="Obsah3"/>
            <w:tabs>
              <w:tab w:val="left" w:pos="1320"/>
              <w:tab w:val="right" w:leader="dot" w:pos="9062"/>
            </w:tabs>
            <w:rPr>
              <w:rFonts w:asciiTheme="minorHAnsi" w:eastAsiaTheme="minorEastAsia" w:hAnsiTheme="minorHAnsi"/>
              <w:noProof/>
              <w:sz w:val="22"/>
              <w:lang w:eastAsia="cs-CZ"/>
            </w:rPr>
          </w:pPr>
          <w:hyperlink w:anchor="_Toc509413097" w:history="1">
            <w:r w:rsidR="00B56644" w:rsidRPr="005253EA">
              <w:rPr>
                <w:rStyle w:val="Hypertextovodkaz"/>
                <w:noProof/>
              </w:rPr>
              <w:t>4.4.1</w:t>
            </w:r>
            <w:r w:rsidR="00B56644">
              <w:rPr>
                <w:rFonts w:asciiTheme="minorHAnsi" w:eastAsiaTheme="minorEastAsia" w:hAnsiTheme="minorHAnsi"/>
                <w:noProof/>
                <w:sz w:val="22"/>
                <w:lang w:eastAsia="cs-CZ"/>
              </w:rPr>
              <w:tab/>
            </w:r>
            <w:r w:rsidR="00B56644" w:rsidRPr="005253EA">
              <w:rPr>
                <w:rStyle w:val="Hypertextovodkaz"/>
                <w:noProof/>
              </w:rPr>
              <w:t>Lodžie</w:t>
            </w:r>
            <w:r w:rsidR="00B56644">
              <w:rPr>
                <w:noProof/>
                <w:webHidden/>
              </w:rPr>
              <w:tab/>
            </w:r>
            <w:r w:rsidR="00374A9A">
              <w:rPr>
                <w:noProof/>
                <w:webHidden/>
              </w:rPr>
              <w:fldChar w:fldCharType="begin"/>
            </w:r>
            <w:r w:rsidR="00B56644">
              <w:rPr>
                <w:noProof/>
                <w:webHidden/>
              </w:rPr>
              <w:instrText xml:space="preserve"> PAGEREF _Toc509413097 \h </w:instrText>
            </w:r>
            <w:r w:rsidR="00374A9A">
              <w:rPr>
                <w:noProof/>
                <w:webHidden/>
              </w:rPr>
            </w:r>
            <w:r w:rsidR="00374A9A">
              <w:rPr>
                <w:noProof/>
                <w:webHidden/>
              </w:rPr>
              <w:fldChar w:fldCharType="separate"/>
            </w:r>
            <w:r w:rsidR="00CF2202">
              <w:rPr>
                <w:noProof/>
                <w:webHidden/>
              </w:rPr>
              <w:t>45</w:t>
            </w:r>
            <w:r w:rsidR="00374A9A">
              <w:rPr>
                <w:noProof/>
                <w:webHidden/>
              </w:rPr>
              <w:fldChar w:fldCharType="end"/>
            </w:r>
          </w:hyperlink>
        </w:p>
        <w:p w:rsidR="00B56644" w:rsidRDefault="00E05371">
          <w:pPr>
            <w:pStyle w:val="Obsah3"/>
            <w:tabs>
              <w:tab w:val="left" w:pos="1320"/>
              <w:tab w:val="right" w:leader="dot" w:pos="9062"/>
            </w:tabs>
            <w:rPr>
              <w:rFonts w:asciiTheme="minorHAnsi" w:eastAsiaTheme="minorEastAsia" w:hAnsiTheme="minorHAnsi"/>
              <w:noProof/>
              <w:sz w:val="22"/>
              <w:lang w:eastAsia="cs-CZ"/>
            </w:rPr>
          </w:pPr>
          <w:hyperlink w:anchor="_Toc509413098" w:history="1">
            <w:r w:rsidR="00B56644" w:rsidRPr="005253EA">
              <w:rPr>
                <w:rStyle w:val="Hypertextovodkaz"/>
                <w:noProof/>
              </w:rPr>
              <w:t>4.4.2</w:t>
            </w:r>
            <w:r w:rsidR="00B56644">
              <w:rPr>
                <w:rFonts w:asciiTheme="minorHAnsi" w:eastAsiaTheme="minorEastAsia" w:hAnsiTheme="minorHAnsi"/>
                <w:noProof/>
                <w:sz w:val="22"/>
                <w:lang w:eastAsia="cs-CZ"/>
              </w:rPr>
              <w:tab/>
            </w:r>
            <w:r w:rsidR="00B56644" w:rsidRPr="005253EA">
              <w:rPr>
                <w:rStyle w:val="Hypertextovodkaz"/>
                <w:noProof/>
              </w:rPr>
              <w:t>Určení velikosti podílu na společných částech</w:t>
            </w:r>
            <w:r w:rsidR="00B56644">
              <w:rPr>
                <w:noProof/>
                <w:webHidden/>
              </w:rPr>
              <w:tab/>
            </w:r>
            <w:r w:rsidR="00374A9A">
              <w:rPr>
                <w:noProof/>
                <w:webHidden/>
              </w:rPr>
              <w:fldChar w:fldCharType="begin"/>
            </w:r>
            <w:r w:rsidR="00B56644">
              <w:rPr>
                <w:noProof/>
                <w:webHidden/>
              </w:rPr>
              <w:instrText xml:space="preserve"> PAGEREF _Toc509413098 \h </w:instrText>
            </w:r>
            <w:r w:rsidR="00374A9A">
              <w:rPr>
                <w:noProof/>
                <w:webHidden/>
              </w:rPr>
            </w:r>
            <w:r w:rsidR="00374A9A">
              <w:rPr>
                <w:noProof/>
                <w:webHidden/>
              </w:rPr>
              <w:fldChar w:fldCharType="separate"/>
            </w:r>
            <w:r w:rsidR="00CF2202">
              <w:rPr>
                <w:noProof/>
                <w:webHidden/>
              </w:rPr>
              <w:t>45</w:t>
            </w:r>
            <w:r w:rsidR="00374A9A">
              <w:rPr>
                <w:noProof/>
                <w:webHidden/>
              </w:rPr>
              <w:fldChar w:fldCharType="end"/>
            </w:r>
          </w:hyperlink>
        </w:p>
        <w:p w:rsidR="00B56644" w:rsidRDefault="00E05371">
          <w:pPr>
            <w:pStyle w:val="Obsah2"/>
            <w:tabs>
              <w:tab w:val="left" w:pos="880"/>
              <w:tab w:val="right" w:leader="dot" w:pos="9062"/>
            </w:tabs>
            <w:rPr>
              <w:rFonts w:asciiTheme="minorHAnsi" w:eastAsiaTheme="minorEastAsia" w:hAnsiTheme="minorHAnsi"/>
              <w:noProof/>
              <w:sz w:val="22"/>
              <w:lang w:eastAsia="cs-CZ"/>
            </w:rPr>
          </w:pPr>
          <w:hyperlink w:anchor="_Toc509413099" w:history="1">
            <w:r w:rsidR="00B56644" w:rsidRPr="005253EA">
              <w:rPr>
                <w:rStyle w:val="Hypertextovodkaz"/>
                <w:noProof/>
              </w:rPr>
              <w:t>4.5</w:t>
            </w:r>
            <w:r w:rsidR="00B56644">
              <w:rPr>
                <w:rFonts w:asciiTheme="minorHAnsi" w:eastAsiaTheme="minorEastAsia" w:hAnsiTheme="minorHAnsi"/>
                <w:noProof/>
                <w:sz w:val="22"/>
                <w:lang w:eastAsia="cs-CZ"/>
              </w:rPr>
              <w:tab/>
            </w:r>
            <w:r w:rsidR="00B56644" w:rsidRPr="005253EA">
              <w:rPr>
                <w:rStyle w:val="Hypertextovodkaz"/>
                <w:noProof/>
              </w:rPr>
              <w:t>Návrhy de lege ferenda</w:t>
            </w:r>
            <w:r w:rsidR="00B56644">
              <w:rPr>
                <w:noProof/>
                <w:webHidden/>
              </w:rPr>
              <w:tab/>
            </w:r>
            <w:r w:rsidR="00374A9A">
              <w:rPr>
                <w:noProof/>
                <w:webHidden/>
              </w:rPr>
              <w:fldChar w:fldCharType="begin"/>
            </w:r>
            <w:r w:rsidR="00B56644">
              <w:rPr>
                <w:noProof/>
                <w:webHidden/>
              </w:rPr>
              <w:instrText xml:space="preserve"> PAGEREF _Toc509413099 \h </w:instrText>
            </w:r>
            <w:r w:rsidR="00374A9A">
              <w:rPr>
                <w:noProof/>
                <w:webHidden/>
              </w:rPr>
            </w:r>
            <w:r w:rsidR="00374A9A">
              <w:rPr>
                <w:noProof/>
                <w:webHidden/>
              </w:rPr>
              <w:fldChar w:fldCharType="separate"/>
            </w:r>
            <w:r w:rsidR="00CF2202">
              <w:rPr>
                <w:noProof/>
                <w:webHidden/>
              </w:rPr>
              <w:t>46</w:t>
            </w:r>
            <w:r w:rsidR="00374A9A">
              <w:rPr>
                <w:noProof/>
                <w:webHidden/>
              </w:rPr>
              <w:fldChar w:fldCharType="end"/>
            </w:r>
          </w:hyperlink>
        </w:p>
        <w:p w:rsidR="00B56644" w:rsidRDefault="00E05371">
          <w:pPr>
            <w:pStyle w:val="Obsah1"/>
            <w:rPr>
              <w:rFonts w:asciiTheme="minorHAnsi" w:eastAsiaTheme="minorEastAsia" w:hAnsiTheme="minorHAnsi"/>
              <w:b w:val="0"/>
              <w:noProof/>
              <w:sz w:val="22"/>
              <w:lang w:eastAsia="cs-CZ"/>
            </w:rPr>
          </w:pPr>
          <w:hyperlink w:anchor="_Toc509413100" w:history="1">
            <w:r w:rsidR="00B56644" w:rsidRPr="005253EA">
              <w:rPr>
                <w:rStyle w:val="Hypertextovodkaz"/>
                <w:noProof/>
              </w:rPr>
              <w:t>Závěr</w:t>
            </w:r>
            <w:r w:rsidR="00B56644">
              <w:rPr>
                <w:noProof/>
                <w:webHidden/>
              </w:rPr>
              <w:tab/>
            </w:r>
            <w:r w:rsidR="00374A9A">
              <w:rPr>
                <w:noProof/>
                <w:webHidden/>
              </w:rPr>
              <w:fldChar w:fldCharType="begin"/>
            </w:r>
            <w:r w:rsidR="00B56644">
              <w:rPr>
                <w:noProof/>
                <w:webHidden/>
              </w:rPr>
              <w:instrText xml:space="preserve"> PAGEREF _Toc509413100 \h </w:instrText>
            </w:r>
            <w:r w:rsidR="00374A9A">
              <w:rPr>
                <w:noProof/>
                <w:webHidden/>
              </w:rPr>
            </w:r>
            <w:r w:rsidR="00374A9A">
              <w:rPr>
                <w:noProof/>
                <w:webHidden/>
              </w:rPr>
              <w:fldChar w:fldCharType="separate"/>
            </w:r>
            <w:r w:rsidR="00CF2202">
              <w:rPr>
                <w:noProof/>
                <w:webHidden/>
              </w:rPr>
              <w:t>47</w:t>
            </w:r>
            <w:r w:rsidR="00374A9A">
              <w:rPr>
                <w:noProof/>
                <w:webHidden/>
              </w:rPr>
              <w:fldChar w:fldCharType="end"/>
            </w:r>
          </w:hyperlink>
        </w:p>
        <w:p w:rsidR="00B56644" w:rsidRDefault="00E05371">
          <w:pPr>
            <w:pStyle w:val="Obsah1"/>
            <w:rPr>
              <w:rFonts w:asciiTheme="minorHAnsi" w:eastAsiaTheme="minorEastAsia" w:hAnsiTheme="minorHAnsi"/>
              <w:b w:val="0"/>
              <w:noProof/>
              <w:sz w:val="22"/>
              <w:lang w:eastAsia="cs-CZ"/>
            </w:rPr>
          </w:pPr>
          <w:hyperlink w:anchor="_Toc509413101" w:history="1">
            <w:r w:rsidR="00B56644" w:rsidRPr="005253EA">
              <w:rPr>
                <w:rStyle w:val="Hypertextovodkaz"/>
                <w:noProof/>
              </w:rPr>
              <w:t>Seznam použité literatury</w:t>
            </w:r>
            <w:r w:rsidR="00B56644">
              <w:rPr>
                <w:noProof/>
                <w:webHidden/>
              </w:rPr>
              <w:tab/>
            </w:r>
            <w:r w:rsidR="00374A9A">
              <w:rPr>
                <w:noProof/>
                <w:webHidden/>
              </w:rPr>
              <w:fldChar w:fldCharType="begin"/>
            </w:r>
            <w:r w:rsidR="00B56644">
              <w:rPr>
                <w:noProof/>
                <w:webHidden/>
              </w:rPr>
              <w:instrText xml:space="preserve"> PAGEREF _Toc509413101 \h </w:instrText>
            </w:r>
            <w:r w:rsidR="00374A9A">
              <w:rPr>
                <w:noProof/>
                <w:webHidden/>
              </w:rPr>
            </w:r>
            <w:r w:rsidR="00374A9A">
              <w:rPr>
                <w:noProof/>
                <w:webHidden/>
              </w:rPr>
              <w:fldChar w:fldCharType="separate"/>
            </w:r>
            <w:r w:rsidR="00CF2202">
              <w:rPr>
                <w:noProof/>
                <w:webHidden/>
              </w:rPr>
              <w:t>48</w:t>
            </w:r>
            <w:r w:rsidR="00374A9A">
              <w:rPr>
                <w:noProof/>
                <w:webHidden/>
              </w:rPr>
              <w:fldChar w:fldCharType="end"/>
            </w:r>
          </w:hyperlink>
        </w:p>
        <w:p w:rsidR="00B56644" w:rsidRDefault="00E05371">
          <w:pPr>
            <w:pStyle w:val="Obsah1"/>
            <w:rPr>
              <w:rFonts w:asciiTheme="minorHAnsi" w:eastAsiaTheme="minorEastAsia" w:hAnsiTheme="minorHAnsi"/>
              <w:b w:val="0"/>
              <w:noProof/>
              <w:sz w:val="22"/>
              <w:lang w:eastAsia="cs-CZ"/>
            </w:rPr>
          </w:pPr>
          <w:hyperlink w:anchor="_Toc509413110" w:history="1">
            <w:r w:rsidR="00B56644" w:rsidRPr="005253EA">
              <w:rPr>
                <w:rStyle w:val="Hypertextovodkaz"/>
                <w:noProof/>
              </w:rPr>
              <w:t>Shrnutí</w:t>
            </w:r>
            <w:r w:rsidR="00B56644">
              <w:rPr>
                <w:noProof/>
                <w:webHidden/>
              </w:rPr>
              <w:tab/>
            </w:r>
            <w:r w:rsidR="00374A9A">
              <w:rPr>
                <w:noProof/>
                <w:webHidden/>
              </w:rPr>
              <w:fldChar w:fldCharType="begin"/>
            </w:r>
            <w:r w:rsidR="00B56644">
              <w:rPr>
                <w:noProof/>
                <w:webHidden/>
              </w:rPr>
              <w:instrText xml:space="preserve"> PAGEREF _Toc509413110 \h </w:instrText>
            </w:r>
            <w:r w:rsidR="00374A9A">
              <w:rPr>
                <w:noProof/>
                <w:webHidden/>
              </w:rPr>
            </w:r>
            <w:r w:rsidR="00374A9A">
              <w:rPr>
                <w:noProof/>
                <w:webHidden/>
              </w:rPr>
              <w:fldChar w:fldCharType="separate"/>
            </w:r>
            <w:r w:rsidR="00CF2202">
              <w:rPr>
                <w:noProof/>
                <w:webHidden/>
              </w:rPr>
              <w:t>53</w:t>
            </w:r>
            <w:r w:rsidR="00374A9A">
              <w:rPr>
                <w:noProof/>
                <w:webHidden/>
              </w:rPr>
              <w:fldChar w:fldCharType="end"/>
            </w:r>
          </w:hyperlink>
        </w:p>
        <w:p w:rsidR="00B56644" w:rsidRDefault="00E05371">
          <w:pPr>
            <w:pStyle w:val="Obsah1"/>
            <w:rPr>
              <w:rFonts w:asciiTheme="minorHAnsi" w:eastAsiaTheme="minorEastAsia" w:hAnsiTheme="minorHAnsi"/>
              <w:b w:val="0"/>
              <w:noProof/>
              <w:sz w:val="22"/>
              <w:lang w:eastAsia="cs-CZ"/>
            </w:rPr>
          </w:pPr>
          <w:hyperlink w:anchor="_Toc509413111" w:history="1">
            <w:r w:rsidR="00B56644" w:rsidRPr="005253EA">
              <w:rPr>
                <w:rStyle w:val="Hypertextovodkaz"/>
                <w:noProof/>
              </w:rPr>
              <w:t>Abstract</w:t>
            </w:r>
            <w:r w:rsidR="00B56644">
              <w:rPr>
                <w:noProof/>
                <w:webHidden/>
              </w:rPr>
              <w:tab/>
            </w:r>
            <w:r w:rsidR="00374A9A">
              <w:rPr>
                <w:noProof/>
                <w:webHidden/>
              </w:rPr>
              <w:fldChar w:fldCharType="begin"/>
            </w:r>
            <w:r w:rsidR="00B56644">
              <w:rPr>
                <w:noProof/>
                <w:webHidden/>
              </w:rPr>
              <w:instrText xml:space="preserve"> PAGEREF _Toc509413111 \h </w:instrText>
            </w:r>
            <w:r w:rsidR="00374A9A">
              <w:rPr>
                <w:noProof/>
                <w:webHidden/>
              </w:rPr>
            </w:r>
            <w:r w:rsidR="00374A9A">
              <w:rPr>
                <w:noProof/>
                <w:webHidden/>
              </w:rPr>
              <w:fldChar w:fldCharType="separate"/>
            </w:r>
            <w:r w:rsidR="00CF2202">
              <w:rPr>
                <w:noProof/>
                <w:webHidden/>
              </w:rPr>
              <w:t>53</w:t>
            </w:r>
            <w:r w:rsidR="00374A9A">
              <w:rPr>
                <w:noProof/>
                <w:webHidden/>
              </w:rPr>
              <w:fldChar w:fldCharType="end"/>
            </w:r>
          </w:hyperlink>
        </w:p>
        <w:p w:rsidR="00B56644" w:rsidRDefault="00E05371">
          <w:pPr>
            <w:pStyle w:val="Obsah1"/>
            <w:rPr>
              <w:rFonts w:asciiTheme="minorHAnsi" w:eastAsiaTheme="minorEastAsia" w:hAnsiTheme="minorHAnsi"/>
              <w:b w:val="0"/>
              <w:noProof/>
              <w:sz w:val="22"/>
              <w:lang w:eastAsia="cs-CZ"/>
            </w:rPr>
          </w:pPr>
          <w:hyperlink w:anchor="_Toc509413112" w:history="1">
            <w:r w:rsidR="00B56644" w:rsidRPr="005253EA">
              <w:rPr>
                <w:rStyle w:val="Hypertextovodkaz"/>
                <w:noProof/>
              </w:rPr>
              <w:t>Seznam klíčových slov / Key Words</w:t>
            </w:r>
            <w:r w:rsidR="00B56644">
              <w:rPr>
                <w:noProof/>
                <w:webHidden/>
              </w:rPr>
              <w:tab/>
            </w:r>
            <w:r w:rsidR="00374A9A">
              <w:rPr>
                <w:noProof/>
                <w:webHidden/>
              </w:rPr>
              <w:fldChar w:fldCharType="begin"/>
            </w:r>
            <w:r w:rsidR="00B56644">
              <w:rPr>
                <w:noProof/>
                <w:webHidden/>
              </w:rPr>
              <w:instrText xml:space="preserve"> PAGEREF _Toc509413112 \h </w:instrText>
            </w:r>
            <w:r w:rsidR="00374A9A">
              <w:rPr>
                <w:noProof/>
                <w:webHidden/>
              </w:rPr>
            </w:r>
            <w:r w:rsidR="00374A9A">
              <w:rPr>
                <w:noProof/>
                <w:webHidden/>
              </w:rPr>
              <w:fldChar w:fldCharType="separate"/>
            </w:r>
            <w:r w:rsidR="00CF2202">
              <w:rPr>
                <w:noProof/>
                <w:webHidden/>
              </w:rPr>
              <w:t>54</w:t>
            </w:r>
            <w:r w:rsidR="00374A9A">
              <w:rPr>
                <w:noProof/>
                <w:webHidden/>
              </w:rPr>
              <w:fldChar w:fldCharType="end"/>
            </w:r>
          </w:hyperlink>
        </w:p>
        <w:p w:rsidR="009E0EF4" w:rsidRDefault="00374A9A" w:rsidP="00B56644">
          <w:pPr>
            <w:pStyle w:val="Nadpisobsahu"/>
          </w:pPr>
          <w:r>
            <w:lastRenderedPageBreak/>
            <w:fldChar w:fldCharType="end"/>
          </w:r>
        </w:p>
      </w:sdtContent>
    </w:sdt>
    <w:bookmarkStart w:id="1" w:name="_Toc380257008" w:displacedByCustomXml="prev"/>
    <w:p w:rsidR="00911FF5" w:rsidRDefault="00911FF5" w:rsidP="00911FF5">
      <w:pPr>
        <w:pStyle w:val="Nadpis1"/>
        <w:numPr>
          <w:ilvl w:val="0"/>
          <w:numId w:val="0"/>
        </w:numPr>
        <w:ind w:left="851" w:hanging="851"/>
      </w:pPr>
      <w:bookmarkStart w:id="2" w:name="_Toc509239005"/>
      <w:bookmarkStart w:id="3" w:name="_Toc509413063"/>
      <w:r>
        <w:t>Úvod</w:t>
      </w:r>
      <w:bookmarkEnd w:id="1"/>
      <w:bookmarkEnd w:id="2"/>
      <w:bookmarkEnd w:id="3"/>
    </w:p>
    <w:p w:rsidR="00911FF5" w:rsidRDefault="00911FF5" w:rsidP="00911FF5">
      <w:r>
        <w:t xml:space="preserve">V dnešní době již nikoho nepřekvapuje, že byt může být předmětem vlastnictví, přesto je tento fenomén ve své podstatě složitý, neboť nejde o vlastnictví v obvyklé formě. O vlastnictví bytů, bytových jednotkách, či </w:t>
      </w:r>
      <w:r w:rsidR="00405692">
        <w:t>obecně</w:t>
      </w:r>
      <w:r>
        <w:t xml:space="preserve"> bytech</w:t>
      </w:r>
      <w:r w:rsidR="00405692">
        <w:t xml:space="preserve"> v právním pojetí</w:t>
      </w:r>
      <w:r>
        <w:t xml:space="preserve"> ji</w:t>
      </w:r>
      <w:r w:rsidR="00B9694C">
        <w:t>ž byly napsány mnohé práce, vždy</w:t>
      </w:r>
      <w:r>
        <w:t>ť problematika bytu jako věci v právním smyslu není nová. Je však stále co dodat k problematice dvojk</w:t>
      </w:r>
      <w:r w:rsidR="00B9694C">
        <w:t>olejnosti úpravy bytů, protože n</w:t>
      </w:r>
      <w:r>
        <w:t xml:space="preserve">ový občanský zákoník je účinný teprve </w:t>
      </w:r>
      <w:r w:rsidR="00B9694C">
        <w:t>čtvrtým</w:t>
      </w:r>
      <w:r>
        <w:t xml:space="preserve"> rokem a dvojí režim bytových jednotek je tak nejen aktuální, ale stále velmi čerstvou</w:t>
      </w:r>
      <w:r w:rsidR="00B9694C">
        <w:t xml:space="preserve"> a novou</w:t>
      </w:r>
      <w:r>
        <w:t xml:space="preserve"> otázkou. Že koncepcí přístupu k vlastnictví a vymezení bytových jednotek je vícero asi netřeba zdůrazňovat. Však 2 režimy konkurující si nejen v právní, ale také v důsledku v praktické rovině, jsou komplikací, která se vymyká pouhým právně-teoretickým diskuzím. Svou práci jsem se tedy rozhodl pojmout jako analýzu fungování obou režimů v aktuální české právní úpravě i v kontextu evropské právní kultury a dosáhnout tak možného postupu při řešení právně-praktických situací i celé právní úpravy bytových jednotek s hlavním cílem dozvědět se, zda je dvojkolejnost opravdovým problémem.</w:t>
      </w:r>
    </w:p>
    <w:p w:rsidR="00911FF5" w:rsidRDefault="00911FF5" w:rsidP="00911FF5">
      <w:r>
        <w:t>Cílem této práce je nastínit problematiku nekompat</w:t>
      </w:r>
      <w:r w:rsidR="00405692">
        <w:t>ibility obou úprav, zjistit</w:t>
      </w:r>
      <w:r>
        <w:t xml:space="preserve"> příčin</w:t>
      </w:r>
      <w:r w:rsidR="00405692">
        <w:t>y</w:t>
      </w:r>
      <w:r>
        <w:t>, především pak poukázat na praktické důsledky dvojkolejnosti, zjistit, jestli je nutné je řešit, jestli by bylo možné je řešit, případně jak. Zpracování podkládám logickými argumenty</w:t>
      </w:r>
      <w:r w:rsidR="00062790">
        <w:t>,</w:t>
      </w:r>
      <w:r>
        <w:t xml:space="preserve"> a to jak z teoreticko-právní roviny týkající se koncepcí, tak z roviny praktické, týkající se přímo subjektů s bytovými jednotkami nakládajících. Nechybí ani pohled skrz aktuální principy a zásady, na nichž stojí samotná demokratická společnost i právo jako takové. </w:t>
      </w:r>
    </w:p>
    <w:p w:rsidR="00911FF5" w:rsidRDefault="006E5134" w:rsidP="00911FF5">
      <w:r>
        <w:t>Práci strukturuji do čtyř</w:t>
      </w:r>
      <w:r w:rsidR="00911FF5">
        <w:t xml:space="preserve"> kapitol dále členěných na různý počet podkapitol. V první se zabývám uvedením do problematiky vlastnictví bytů, jejího historického vývoje a stručným nástinem různých přístupů, stejně jako v</w:t>
      </w:r>
      <w:r w:rsidR="004E0DC7">
        <w:t>znikem samotné dvojkolejnosti.</w:t>
      </w:r>
      <w:r w:rsidR="00911FF5">
        <w:t xml:space="preserve"> V dr</w:t>
      </w:r>
      <w:r w:rsidR="004E0DC7">
        <w:t>uhé kapitole se zabývám</w:t>
      </w:r>
      <w:r w:rsidR="00911FF5">
        <w:t xml:space="preserve"> bytovou jednotkou dle dvou stěžejních předpisů pro tuto práci – Zákona o vlastnictví bytů a Nového občanského zákoníku, přežíváním prvního</w:t>
      </w:r>
      <w:r w:rsidR="006505E7">
        <w:t xml:space="preserve"> ze jmenovaných předpisů</w:t>
      </w:r>
      <w:r w:rsidR="00911FF5">
        <w:t xml:space="preserve"> i</w:t>
      </w:r>
      <w:r w:rsidR="00405692">
        <w:t xml:space="preserve"> přes jeho formální neexistenci; dále rozdílnostmi</w:t>
      </w:r>
      <w:r w:rsidR="00911FF5">
        <w:t>, důvody změn a</w:t>
      </w:r>
      <w:r w:rsidR="006505E7">
        <w:t xml:space="preserve"> relativně</w:t>
      </w:r>
      <w:r w:rsidR="00911FF5">
        <w:t xml:space="preserve"> o</w:t>
      </w:r>
      <w:r w:rsidR="006505E7">
        <w:t>mezenou použitelností aktuálně účinného</w:t>
      </w:r>
      <w:r w:rsidR="00911FF5">
        <w:t xml:space="preserve"> před</w:t>
      </w:r>
      <w:r w:rsidR="004E0DC7">
        <w:t>pisu, jeho přechodnými ustanoveními</w:t>
      </w:r>
      <w:r w:rsidR="00BB7580">
        <w:t xml:space="preserve"> jako zásadními pro dané téma</w:t>
      </w:r>
      <w:r w:rsidR="004E0DC7">
        <w:t>.</w:t>
      </w:r>
      <w:r w:rsidR="00314FCD">
        <w:t xml:space="preserve"> </w:t>
      </w:r>
      <w:r w:rsidR="0097734E">
        <w:t>Třetí kapitola je zaměřena na aktuální právní úpravu a její bližší rozbor. Čtvrtá</w:t>
      </w:r>
      <w:r w:rsidR="00314FCD">
        <w:t xml:space="preserve"> kapitola</w:t>
      </w:r>
      <w:r>
        <w:t xml:space="preserve"> se věnuje</w:t>
      </w:r>
      <w:r w:rsidR="00314FCD">
        <w:t xml:space="preserve"> nekompatibilitě obou režimů, veřejnoprávním a správním následkům</w:t>
      </w:r>
      <w:r w:rsidR="00E05371">
        <w:t xml:space="preserve">, </w:t>
      </w:r>
      <w:r w:rsidR="00911FF5">
        <w:t>v ní se</w:t>
      </w:r>
      <w:r w:rsidR="00E05371">
        <w:t xml:space="preserve"> také</w:t>
      </w:r>
      <w:r w:rsidR="00911FF5">
        <w:t xml:space="preserve"> věnuji praktickým dopadům promítajícím se ve sféře práv vlastníků domů s jednotkami a </w:t>
      </w:r>
      <w:r w:rsidR="0097734E">
        <w:t>společenství vlastníků jednotek, v této kapitole jsou také</w:t>
      </w:r>
      <w:r w:rsidR="00911FF5">
        <w:t xml:space="preserve"> </w:t>
      </w:r>
      <w:r w:rsidR="0097734E">
        <w:t>předloženy úvahy</w:t>
      </w:r>
      <w:r w:rsidR="00911FF5">
        <w:t xml:space="preserve"> </w:t>
      </w:r>
      <w:r w:rsidR="00911FF5" w:rsidRPr="00405692">
        <w:rPr>
          <w:i/>
        </w:rPr>
        <w:t>de lege ferenda</w:t>
      </w:r>
      <w:r w:rsidR="004E0DC7">
        <w:t>.</w:t>
      </w:r>
    </w:p>
    <w:p w:rsidR="00911FF5" w:rsidRPr="00913353" w:rsidRDefault="00911FF5" w:rsidP="00E05371">
      <w:pPr>
        <w:spacing w:after="160" w:line="259" w:lineRule="auto"/>
        <w:ind w:firstLine="432"/>
        <w:jc w:val="left"/>
      </w:pPr>
      <w:r>
        <w:t xml:space="preserve">Výchozím zdrojem mi byl komentář </w:t>
      </w:r>
      <w:r w:rsidRPr="00407D49">
        <w:t>Bytové spoluvlastnictví a bytová družstva</w:t>
      </w:r>
      <w:r>
        <w:t xml:space="preserve"> zpracovaný Markem Novotný a kolektivem.</w:t>
      </w:r>
      <w:r w:rsidR="00FD4610">
        <w:t xml:space="preserve"> Práce je zpracována k právnímu stavu ke dni 1. 1. 20</w:t>
      </w:r>
      <w:r w:rsidR="005A16E3">
        <w:t>18.</w:t>
      </w:r>
      <w:r w:rsidR="005A16E3">
        <w:br w:type="page"/>
      </w:r>
    </w:p>
    <w:p w:rsidR="006834A1" w:rsidRPr="006834A1" w:rsidRDefault="00062790" w:rsidP="006834A1">
      <w:pPr>
        <w:pStyle w:val="Nadpis1"/>
      </w:pPr>
      <w:bookmarkStart w:id="4" w:name="_Toc509413064"/>
      <w:r>
        <w:lastRenderedPageBreak/>
        <w:t>Druhy koncepcí, vývoj úpravy</w:t>
      </w:r>
      <w:bookmarkEnd w:id="4"/>
    </w:p>
    <w:p w:rsidR="00911FF5" w:rsidRDefault="00F631F3" w:rsidP="00911FF5">
      <w:pPr>
        <w:rPr>
          <w:rFonts w:cs="Times New Roman"/>
          <w:szCs w:val="24"/>
        </w:rPr>
      </w:pPr>
      <w:r>
        <w:rPr>
          <w:rFonts w:cs="Times New Roman"/>
          <w:szCs w:val="24"/>
        </w:rPr>
        <w:t>Bydlení je jedna ze základních lidských potřeb a její uspokojování má pro člověka klíčový význam.</w:t>
      </w:r>
      <w:r w:rsidR="001B3876">
        <w:rPr>
          <w:rFonts w:cs="Times New Roman"/>
          <w:szCs w:val="24"/>
        </w:rPr>
        <w:t xml:space="preserve"> Právo na bydlení je součástí práva na ochranu přiměřené životní úrovně, a proto základním lidským právem.</w:t>
      </w:r>
      <w:r w:rsidR="001B3876">
        <w:rPr>
          <w:rStyle w:val="Znakapoznpodarou"/>
          <w:rFonts w:cs="Times New Roman"/>
          <w:szCs w:val="24"/>
        </w:rPr>
        <w:footnoteReference w:id="1"/>
      </w:r>
      <w:r>
        <w:rPr>
          <w:rFonts w:cs="Times New Roman"/>
          <w:szCs w:val="24"/>
        </w:rPr>
        <w:t xml:space="preserve"> </w:t>
      </w:r>
      <w:r w:rsidR="001B3876">
        <w:rPr>
          <w:rFonts w:cs="Times New Roman"/>
          <w:szCs w:val="24"/>
        </w:rPr>
        <w:t>To připomíná i Ústavní soud.</w:t>
      </w:r>
      <w:r w:rsidR="001B3876">
        <w:rPr>
          <w:rStyle w:val="Znakapoznpodarou"/>
          <w:rFonts w:cs="Times New Roman"/>
          <w:szCs w:val="24"/>
        </w:rPr>
        <w:footnoteReference w:id="2"/>
      </w:r>
      <w:r w:rsidR="001B3876">
        <w:rPr>
          <w:rFonts w:cs="Times New Roman"/>
          <w:szCs w:val="24"/>
        </w:rPr>
        <w:t xml:space="preserve"> Základním prostředkem a předmětem uspokojování tohoto práva je byt.</w:t>
      </w:r>
      <w:r w:rsidR="00A74AAD">
        <w:rPr>
          <w:rFonts w:cs="Times New Roman"/>
          <w:szCs w:val="24"/>
        </w:rPr>
        <w:t xml:space="preserve"> Byt je nehledě na formu vlastnictví zároveň spotřebním zbožím, soukromou investicí a společenským statkem.</w:t>
      </w:r>
      <w:r w:rsidR="00A74AAD">
        <w:rPr>
          <w:rStyle w:val="Znakapoznpodarou"/>
          <w:rFonts w:cs="Times New Roman"/>
          <w:szCs w:val="24"/>
        </w:rPr>
        <w:footnoteReference w:id="3"/>
      </w:r>
      <w:r w:rsidR="001B3876">
        <w:rPr>
          <w:rFonts w:cs="Times New Roman"/>
          <w:szCs w:val="24"/>
        </w:rPr>
        <w:t xml:space="preserve"> </w:t>
      </w:r>
      <w:r w:rsidR="006473FA">
        <w:rPr>
          <w:rFonts w:cs="Times New Roman"/>
          <w:szCs w:val="24"/>
        </w:rPr>
        <w:t>Byt jakožto část domu není v </w:t>
      </w:r>
      <w:r w:rsidR="003A6F7C">
        <w:rPr>
          <w:rFonts w:cs="Times New Roman"/>
          <w:szCs w:val="24"/>
        </w:rPr>
        <w:t>obecně</w:t>
      </w:r>
      <w:r w:rsidR="00062790">
        <w:rPr>
          <w:rFonts w:cs="Times New Roman"/>
          <w:szCs w:val="24"/>
        </w:rPr>
        <w:t xml:space="preserve"> chápán jako věc,</w:t>
      </w:r>
      <w:r w:rsidR="00707D4B">
        <w:rPr>
          <w:rFonts w:cs="Times New Roman"/>
          <w:szCs w:val="24"/>
        </w:rPr>
        <w:t xml:space="preserve"> res</w:t>
      </w:r>
      <w:r w:rsidR="003A6F7C">
        <w:rPr>
          <w:rFonts w:cs="Times New Roman"/>
          <w:szCs w:val="24"/>
        </w:rPr>
        <w:t xml:space="preserve">pektive v přírodovědném pojetí </w:t>
      </w:r>
      <w:r w:rsidR="00707D4B">
        <w:rPr>
          <w:rFonts w:cs="Times New Roman"/>
          <w:szCs w:val="24"/>
        </w:rPr>
        <w:t xml:space="preserve">jako samostatný </w:t>
      </w:r>
      <w:r w:rsidR="003A6F7C">
        <w:rPr>
          <w:rFonts w:cs="Times New Roman"/>
          <w:szCs w:val="24"/>
        </w:rPr>
        <w:t xml:space="preserve">objekt. Právo si pro své účely </w:t>
      </w:r>
      <w:r w:rsidR="00707D4B">
        <w:rPr>
          <w:rFonts w:cs="Times New Roman"/>
          <w:szCs w:val="24"/>
        </w:rPr>
        <w:t xml:space="preserve">musí bytovou jednotku definovat, aby se na </w:t>
      </w:r>
      <w:r w:rsidR="00F117B6">
        <w:rPr>
          <w:rFonts w:cs="Times New Roman"/>
          <w:szCs w:val="24"/>
        </w:rPr>
        <w:t>jednotku</w:t>
      </w:r>
      <w:r w:rsidR="00707D4B">
        <w:rPr>
          <w:rFonts w:cs="Times New Roman"/>
          <w:szCs w:val="24"/>
        </w:rPr>
        <w:t xml:space="preserve"> mohlo nahlížet jako na věc v pr</w:t>
      </w:r>
      <w:r w:rsidR="00F117B6">
        <w:rPr>
          <w:rFonts w:cs="Times New Roman"/>
          <w:szCs w:val="24"/>
        </w:rPr>
        <w:t>ávním smyslu, nebo aby se na jednotku</w:t>
      </w:r>
      <w:r w:rsidR="00707D4B">
        <w:rPr>
          <w:rFonts w:cs="Times New Roman"/>
          <w:szCs w:val="24"/>
        </w:rPr>
        <w:t xml:space="preserve"> alespoň mohla použít ustanovení o věcech. Následně pak </w:t>
      </w:r>
      <w:r w:rsidR="00F117B6">
        <w:rPr>
          <w:rFonts w:cs="Times New Roman"/>
          <w:szCs w:val="24"/>
        </w:rPr>
        <w:t>jednotka</w:t>
      </w:r>
      <w:r w:rsidR="00707D4B">
        <w:rPr>
          <w:rFonts w:cs="Times New Roman"/>
          <w:szCs w:val="24"/>
        </w:rPr>
        <w:t xml:space="preserve"> může být předmětem výkonu nejen vlastnických práv. Vzhledem ke značné míře abstrakce při konstruování takové cesty se</w:t>
      </w:r>
      <w:r w:rsidR="00BA5D58">
        <w:rPr>
          <w:rFonts w:cs="Times New Roman"/>
          <w:szCs w:val="24"/>
        </w:rPr>
        <w:t xml:space="preserve"> v průběhu času</w:t>
      </w:r>
      <w:r w:rsidR="00707D4B">
        <w:rPr>
          <w:rFonts w:cs="Times New Roman"/>
          <w:szCs w:val="24"/>
        </w:rPr>
        <w:t xml:space="preserve"> vyvinulo vícero </w:t>
      </w:r>
      <w:r w:rsidR="004F49D8">
        <w:rPr>
          <w:rFonts w:cs="Times New Roman"/>
          <w:szCs w:val="24"/>
        </w:rPr>
        <w:t>koncepcí</w:t>
      </w:r>
      <w:r w:rsidR="00707D4B">
        <w:rPr>
          <w:rFonts w:cs="Times New Roman"/>
          <w:szCs w:val="24"/>
        </w:rPr>
        <w:t>, jak tohoto cíle dosáhnout</w:t>
      </w:r>
      <w:r w:rsidR="00BA5D58">
        <w:rPr>
          <w:rFonts w:cs="Times New Roman"/>
          <w:szCs w:val="24"/>
        </w:rPr>
        <w:t>.</w:t>
      </w:r>
    </w:p>
    <w:p w:rsidR="006834A1" w:rsidRDefault="002F118A" w:rsidP="006834A1">
      <w:pPr>
        <w:pStyle w:val="Nadpis2"/>
      </w:pPr>
      <w:bookmarkStart w:id="5" w:name="_Toc509413065"/>
      <w:r>
        <w:t>Byt jako předmět vlastnictví</w:t>
      </w:r>
      <w:bookmarkEnd w:id="5"/>
    </w:p>
    <w:p w:rsidR="003F6D43" w:rsidRDefault="00BA5D58" w:rsidP="002F118A">
      <w:r>
        <w:t>Dnes je již pro</w:t>
      </w:r>
      <w:r w:rsidR="002F118A">
        <w:t xml:space="preserve"> </w:t>
      </w:r>
      <w:r w:rsidR="00B71885">
        <w:t>společnost</w:t>
      </w:r>
      <w:r w:rsidR="002F118A">
        <w:t xml:space="preserve"> zcela přirozené, že je možné vlastnit byt</w:t>
      </w:r>
      <w:r>
        <w:t xml:space="preserve">, </w:t>
      </w:r>
      <w:r w:rsidR="00F117B6">
        <w:t>resp. jednotku</w:t>
      </w:r>
      <w:r>
        <w:t xml:space="preserve">, přesto je </w:t>
      </w:r>
      <w:r w:rsidR="002F118A">
        <w:t>pro studenty právnických fakult pochopení podstaty bytového spoluvlastnictví často oříškem. Byt, či bytová jednotka, ať už zákon používá kterýkoli pojem</w:t>
      </w:r>
      <w:r w:rsidR="00C57002">
        <w:t>,</w:t>
      </w:r>
      <w:r w:rsidR="002F118A">
        <w:t xml:space="preserve"> je názvem pro nemalý </w:t>
      </w:r>
      <w:r w:rsidR="00F117B6">
        <w:t>konglomerát vzájemně spjatých</w:t>
      </w:r>
      <w:r w:rsidR="002F118A">
        <w:t xml:space="preserve"> práv</w:t>
      </w:r>
      <w:r w:rsidR="006505E7">
        <w:t>, ale i povinností</w:t>
      </w:r>
      <w:r w:rsidR="002F118A">
        <w:t>.</w:t>
      </w:r>
      <w:r w:rsidR="00F117B6">
        <w:rPr>
          <w:rStyle w:val="Znakapoznpodarou"/>
        </w:rPr>
        <w:footnoteReference w:id="4"/>
      </w:r>
      <w:r w:rsidR="002F118A">
        <w:t xml:space="preserve"> Bytové spoluvlastnictví zásadně není spol</w:t>
      </w:r>
      <w:r>
        <w:t>uvlastnictví ideálním</w:t>
      </w:r>
      <w:r w:rsidR="002F118A">
        <w:t>, je</w:t>
      </w:r>
      <w:r w:rsidR="00C57002">
        <w:t xml:space="preserve"> tedy</w:t>
      </w:r>
      <w:r w:rsidR="002F118A">
        <w:t xml:space="preserve"> obvyklé jej proto nazývat vlastnictvím reálným, což však také není přesné. Při určitém zjednodušení je možné říci, </w:t>
      </w:r>
      <w:r w:rsidR="00907C78">
        <w:t xml:space="preserve">alespoň co se aktuálního chápání týče, </w:t>
      </w:r>
      <w:r w:rsidR="002F118A">
        <w:t xml:space="preserve">že bytové spoluvlastnictví je </w:t>
      </w:r>
      <w:r w:rsidR="00C57002">
        <w:t>souborem či hybridem obojího. Reálné vlastnictví zde vzniká právě k bytu tak, jak je chápán ve faktickém slova smyslu</w:t>
      </w:r>
      <w:r w:rsidR="00007F3C">
        <w:t>. Naopak sp</w:t>
      </w:r>
      <w:r w:rsidR="006505E7">
        <w:t>ol</w:t>
      </w:r>
      <w:r w:rsidR="00007F3C">
        <w:t>uvlastnictví podílové vzniká ke společným částem domu a k pozemku (pokud dům není samostatnou věcí</w:t>
      </w:r>
      <w:r w:rsidR="004F49D8">
        <w:t>,</w:t>
      </w:r>
      <w:r w:rsidR="00A60C25">
        <w:t xml:space="preserve"> a tedy je součástí pozemku</w:t>
      </w:r>
      <w:r w:rsidR="006505E7">
        <w:t>; při opaku vzniká pouze právo ke společným částem domu</w:t>
      </w:r>
      <w:r w:rsidR="00007F3C">
        <w:t xml:space="preserve">). </w:t>
      </w:r>
    </w:p>
    <w:p w:rsidR="002F118A" w:rsidRDefault="00A60C25" w:rsidP="002F118A">
      <w:r>
        <w:t xml:space="preserve">§ </w:t>
      </w:r>
      <w:r w:rsidR="00186575">
        <w:t>1158 NOZ definuje bytové spoluvlastnictví jako spoluvlastnictví nemovité věci založe</w:t>
      </w:r>
      <w:r w:rsidR="00B71885">
        <w:t>né vlastnictvím jednotek. T</w:t>
      </w:r>
      <w:r w:rsidR="00186575">
        <w:t>o může vzniknout, pokud je součástí nemovit</w:t>
      </w:r>
      <w:r w:rsidR="00BA5D58">
        <w:t>é věci dům alespoň s dvěma byty</w:t>
      </w:r>
      <w:r w:rsidR="00B71885">
        <w:t>.</w:t>
      </w:r>
      <w:r w:rsidR="00BA5D58">
        <w:t xml:space="preserve"> </w:t>
      </w:r>
      <w:r w:rsidR="00B71885">
        <w:t xml:space="preserve">§ 1159 NOZ zakotvuje </w:t>
      </w:r>
      <w:r w:rsidR="00186575">
        <w:t>konstrukci</w:t>
      </w:r>
      <w:r w:rsidR="00B71885">
        <w:t>, že</w:t>
      </w:r>
      <w:r w:rsidR="00186575">
        <w:t xml:space="preserve"> jednotka zahrnuje byt jako prostorově oddělenou část domu a podíl na společných částech nemovité věci vzájemně spojené a neoddělitelné. Pro specifikaci pojmu byt je možno se inspirovat </w:t>
      </w:r>
      <w:r w:rsidR="00C76AE6">
        <w:t xml:space="preserve">vymezením, které na základě § 2236 NOZ praxe a doktrína používá při vymezení bytu pro účely nájmu bytu. Toto ustanovení obsahuje legální definici pojmu byt, když stanoví </w:t>
      </w:r>
      <w:r w:rsidR="00C76AE6" w:rsidRPr="00C76AE6">
        <w:t xml:space="preserve">několik kritérií, která musejí být kumulativně </w:t>
      </w:r>
      <w:r w:rsidR="00C76AE6" w:rsidRPr="00C76AE6">
        <w:lastRenderedPageBreak/>
        <w:t>splněna.</w:t>
      </w:r>
      <w:r w:rsidR="00752E23">
        <w:rPr>
          <w:rStyle w:val="Znakapoznpodarou"/>
        </w:rPr>
        <w:footnoteReference w:id="5"/>
      </w:r>
      <w:r w:rsidR="007A73B3">
        <w:t xml:space="preserve"> B</w:t>
      </w:r>
      <w:r w:rsidR="007A73B3" w:rsidRPr="007A73B3">
        <w:t>ez dalšího</w:t>
      </w:r>
      <w:r w:rsidR="006505E7">
        <w:t xml:space="preserve"> </w:t>
      </w:r>
      <w:r w:rsidR="006505E7" w:rsidRPr="007A73B3">
        <w:t>definici bytu podle § 2236 odst. 1</w:t>
      </w:r>
      <w:r w:rsidR="007A73B3">
        <w:t xml:space="preserve"> není možné použít</w:t>
      </w:r>
      <w:r w:rsidR="007A73B3" w:rsidRPr="007A73B3">
        <w:t xml:space="preserve"> pro věcněprávní úpravu, užití analogie však zřejmě nic nebrání.</w:t>
      </w:r>
      <w:r w:rsidR="007A73B3">
        <w:rPr>
          <w:rStyle w:val="Znakapoznpodarou"/>
        </w:rPr>
        <w:footnoteReference w:id="6"/>
      </w:r>
      <w:r w:rsidR="00FD5458">
        <w:t xml:space="preserve"> </w:t>
      </w:r>
    </w:p>
    <w:p w:rsidR="00752E23" w:rsidRDefault="00752E23" w:rsidP="00752E23">
      <w:r>
        <w:t>Zákoník se neodchyluje od toho, co s</w:t>
      </w:r>
      <w:r w:rsidR="006505E7">
        <w:t>e bytem rozumí v běžném jazyce i</w:t>
      </w:r>
      <w:r>
        <w:t xml:space="preserve"> právním styku. Bytem se rozumí</w:t>
      </w:r>
      <w:r w:rsidR="006505E7">
        <w:t xml:space="preserve"> kumulativně</w:t>
      </w:r>
      <w:r>
        <w:t>:</w:t>
      </w:r>
    </w:p>
    <w:p w:rsidR="00752E23" w:rsidRDefault="00752E23" w:rsidP="00752E23">
      <w:r>
        <w:t>a)</w:t>
      </w:r>
      <w:r>
        <w:tab/>
        <w:t>místnost nebo soubor místností,</w:t>
      </w:r>
    </w:p>
    <w:p w:rsidR="00752E23" w:rsidRDefault="00752E23" w:rsidP="00752E23">
      <w:r>
        <w:t>b)</w:t>
      </w:r>
      <w:r>
        <w:tab/>
        <w:t>které jsou částí domu,</w:t>
      </w:r>
    </w:p>
    <w:p w:rsidR="00752E23" w:rsidRDefault="00752E23" w:rsidP="00752E23">
      <w:r>
        <w:t>c)</w:t>
      </w:r>
      <w:r>
        <w:tab/>
        <w:t>tvoří obytný prostor</w:t>
      </w:r>
    </w:p>
    <w:p w:rsidR="00752E23" w:rsidRDefault="00752E23" w:rsidP="00752E23">
      <w:r>
        <w:t>d)</w:t>
      </w:r>
      <w:r>
        <w:tab/>
        <w:t>a jsou určeny a užívány k účelu bydlení.</w:t>
      </w:r>
    </w:p>
    <w:p w:rsidR="004A747F" w:rsidRDefault="00752E23" w:rsidP="00752E23">
      <w:pPr>
        <w:ind w:firstLine="0"/>
      </w:pPr>
      <w:r>
        <w:t>Pro rozklíčování obsahu p</w:t>
      </w:r>
      <w:r w:rsidRPr="00752E23">
        <w:t>ojmů místnost či dům je možné následovat jejich význam v obecné řeči.</w:t>
      </w:r>
      <w:r w:rsidR="00C80D6C">
        <w:t xml:space="preserve"> </w:t>
      </w:r>
      <w:r w:rsidR="00C80D6C" w:rsidRPr="00C80D6C">
        <w:t xml:space="preserve">Jako místnost je chápán </w:t>
      </w:r>
      <w:r w:rsidRPr="00C80D6C">
        <w:t>prostor, který je ohranič</w:t>
      </w:r>
      <w:r w:rsidR="00C80D6C" w:rsidRPr="00C80D6C">
        <w:t xml:space="preserve">en stěnami, podlahou a stropem, nebo </w:t>
      </w:r>
      <w:r w:rsidRPr="00C80D6C">
        <w:t>případně</w:t>
      </w:r>
      <w:r w:rsidR="00C80D6C" w:rsidRPr="00C80D6C">
        <w:t xml:space="preserve"> také přímo konstrukcí krovu</w:t>
      </w:r>
      <w:r w:rsidRPr="00752E23">
        <w:rPr>
          <w:i/>
        </w:rPr>
        <w:t xml:space="preserve">; </w:t>
      </w:r>
      <w:r w:rsidR="00C80D6C" w:rsidRPr="00C80D6C">
        <w:t xml:space="preserve">Jak je místnost pojmenována, není rozhodující – zda </w:t>
      </w:r>
      <w:r w:rsidRPr="00C80D6C">
        <w:t>obývac</w:t>
      </w:r>
      <w:r w:rsidR="00C80D6C" w:rsidRPr="00C80D6C">
        <w:t>í pokoj, ložnice, jídelna apod</w:t>
      </w:r>
      <w:r w:rsidRPr="00752E23">
        <w:rPr>
          <w:i/>
        </w:rPr>
        <w:t>.</w:t>
      </w:r>
      <w:r w:rsidR="00C80D6C">
        <w:rPr>
          <w:i/>
        </w:rPr>
        <w:t xml:space="preserve"> </w:t>
      </w:r>
      <w:r w:rsidR="00C80D6C" w:rsidRPr="00C80D6C">
        <w:t xml:space="preserve">Jako dům je </w:t>
      </w:r>
      <w:r w:rsidRPr="00C80D6C">
        <w:t>nazývá</w:t>
      </w:r>
      <w:r w:rsidR="00C80D6C" w:rsidRPr="00C80D6C">
        <w:t>na</w:t>
      </w:r>
      <w:r w:rsidRPr="00C80D6C">
        <w:t xml:space="preserve"> stavba, kte</w:t>
      </w:r>
      <w:r w:rsidR="00C80D6C" w:rsidRPr="00C80D6C">
        <w:t>rá má obvodové stěny a střechu, kdy obojí dohromady tvoří plášť domu.</w:t>
      </w:r>
      <w:r w:rsidR="00C80D6C">
        <w:rPr>
          <w:i/>
        </w:rPr>
        <w:t xml:space="preserve"> </w:t>
      </w:r>
      <w:r w:rsidR="00C80D6C" w:rsidRPr="00C80D6C">
        <w:t>Stavební provedení do</w:t>
      </w:r>
      <w:r w:rsidR="00B71885">
        <w:t>mu není podstatné (</w:t>
      </w:r>
      <w:r w:rsidR="00C80D6C" w:rsidRPr="00C80D6C">
        <w:t>velikost, použitý materiál atd.</w:t>
      </w:r>
      <w:r w:rsidR="00B71885">
        <w:t>).</w:t>
      </w:r>
      <w:r w:rsidRPr="00752E23">
        <w:rPr>
          <w:i/>
        </w:rPr>
        <w:t xml:space="preserve"> </w:t>
      </w:r>
      <w:r w:rsidR="00C80D6C" w:rsidRPr="00C80D6C">
        <w:t xml:space="preserve">Pluralitní pojem </w:t>
      </w:r>
      <w:r w:rsidRPr="00C80D6C">
        <w:t>soubor</w:t>
      </w:r>
      <w:r w:rsidR="00C80D6C" w:rsidRPr="00C80D6C">
        <w:t>u místností naznačuje</w:t>
      </w:r>
      <w:r w:rsidRPr="00C80D6C">
        <w:t>, že byt je zpravidla tvořen více místnostmi,</w:t>
      </w:r>
      <w:r w:rsidR="00C80D6C" w:rsidRPr="00C80D6C">
        <w:t xml:space="preserve"> které spolu stavebně i účelem souvisejí,</w:t>
      </w:r>
      <w:r w:rsidR="00C80D6C">
        <w:t xml:space="preserve"> tvoří celek. </w:t>
      </w:r>
      <w:r>
        <w:t>T</w:t>
      </w:r>
      <w:r w:rsidRPr="00752E23">
        <w:t>yto místnosti jsou přístupné společnými vchodovými dveřmi, nacházejí se pod společným uzamčením</w:t>
      </w:r>
      <w:r w:rsidR="004A747F">
        <w:t>.</w:t>
      </w:r>
      <w:r w:rsidR="004A747F" w:rsidRPr="004A747F">
        <w:rPr>
          <w:rStyle w:val="Znakapoznpodarou"/>
        </w:rPr>
        <w:t xml:space="preserve"> </w:t>
      </w:r>
      <w:r w:rsidR="004A747F">
        <w:rPr>
          <w:rStyle w:val="Znakapoznpodarou"/>
        </w:rPr>
        <w:footnoteReference w:id="7"/>
      </w:r>
    </w:p>
    <w:p w:rsidR="008923B5" w:rsidRDefault="004A747F" w:rsidP="004A747F">
      <w:pPr>
        <w:ind w:firstLine="708"/>
      </w:pPr>
      <w:r>
        <w:t>Co se týče veřejnoprávní stránky věci,</w:t>
      </w:r>
      <w:r w:rsidR="007B7785">
        <w:t xml:space="preserve"> připomíná důvodová zpráva k</w:t>
      </w:r>
      <w:r w:rsidR="00FD5458">
        <w:t xml:space="preserve"> § 2235 až 2238 N</w:t>
      </w:r>
      <w:r w:rsidR="00A26F63">
        <w:t>OZ, že veřejnoprávní rozhodnutí není pro soukromoprávní povahu bytu rozhodující.</w:t>
      </w:r>
      <w:r w:rsidR="00FD5458">
        <w:rPr>
          <w:rStyle w:val="Znakapoznpodarou"/>
        </w:rPr>
        <w:footnoteReference w:id="8"/>
      </w:r>
      <w:r w:rsidR="00B40658">
        <w:t xml:space="preserve"> </w:t>
      </w:r>
      <w:r w:rsidR="00FD5458">
        <w:t>Tento přístup se mutatis mutandis uplatní i při posuzování obdobné problematiky v souvislosti s vlastnictvím bytů.</w:t>
      </w:r>
      <w:r w:rsidR="00FD5458">
        <w:rPr>
          <w:rStyle w:val="Znakapoznpodarou"/>
        </w:rPr>
        <w:footnoteReference w:id="9"/>
      </w:r>
    </w:p>
    <w:p w:rsidR="00752E23" w:rsidRDefault="00286BB4" w:rsidP="008923B5">
      <w:pPr>
        <w:ind w:firstLine="708"/>
      </w:pPr>
      <w:r w:rsidRPr="00286BB4">
        <w:t>Podmínka užívání prostorů jako bytu</w:t>
      </w:r>
      <w:r w:rsidR="00FD5458">
        <w:rPr>
          <w:rStyle w:val="Znakapoznpodarou"/>
        </w:rPr>
        <w:footnoteReference w:id="10"/>
      </w:r>
      <w:r w:rsidRPr="00286BB4">
        <w:t xml:space="preserve"> je</w:t>
      </w:r>
      <w:r>
        <w:t>, zdá se,</w:t>
      </w:r>
      <w:r w:rsidRPr="00286BB4">
        <w:t xml:space="preserve"> pojmově svázána jen s definicí bytu u nájmu, </w:t>
      </w:r>
      <w:r>
        <w:t xml:space="preserve">ale </w:t>
      </w:r>
      <w:r w:rsidRPr="00286BB4">
        <w:t xml:space="preserve">pro účely bytového spoluvlastnictví bude podstatné jen bytové určení prostorů, podobně jako v dosavadní úpravě v § 2 písm. b) </w:t>
      </w:r>
      <w:r w:rsidR="008C51DB">
        <w:t>ZOVB</w:t>
      </w:r>
      <w:r w:rsidRPr="00286BB4">
        <w:t>, již</w:t>
      </w:r>
      <w:r>
        <w:t xml:space="preserve"> však</w:t>
      </w:r>
      <w:r w:rsidRPr="00286BB4">
        <w:t xml:space="preserve"> bez odkazu na rozhodnutí stavebního úřadu.</w:t>
      </w:r>
      <w:r>
        <w:rPr>
          <w:rStyle w:val="Znakapoznpodarou"/>
        </w:rPr>
        <w:footnoteReference w:id="11"/>
      </w:r>
      <w:r>
        <w:t xml:space="preserve"> </w:t>
      </w:r>
    </w:p>
    <w:p w:rsidR="009813EE" w:rsidRDefault="009813EE" w:rsidP="009813EE">
      <w:pPr>
        <w:pStyle w:val="Nadpis3"/>
      </w:pPr>
      <w:bookmarkStart w:id="6" w:name="_Toc509413066"/>
      <w:r>
        <w:lastRenderedPageBreak/>
        <w:t>Pojem „nebyt“</w:t>
      </w:r>
      <w:bookmarkEnd w:id="6"/>
    </w:p>
    <w:p w:rsidR="009813EE" w:rsidRPr="009813EE" w:rsidRDefault="009813EE" w:rsidP="009813EE">
      <w:r>
        <w:t>§ 1558 odst. 2 NOZ operuje s pojmem nebytových prostor, když stanovuje, že c</w:t>
      </w:r>
      <w:r w:rsidRPr="009813EE">
        <w:t xml:space="preserve">o je stanoveno </w:t>
      </w:r>
      <w:r w:rsidR="004E5E0B">
        <w:t xml:space="preserve">v </w:t>
      </w:r>
      <w:r w:rsidRPr="009813EE">
        <w:t>oddílu</w:t>
      </w:r>
      <w:r>
        <w:t xml:space="preserve"> 5 </w:t>
      </w:r>
      <w:r w:rsidR="004E5E0B">
        <w:t>Hlavy II. Části třetí</w:t>
      </w:r>
      <w:r w:rsidRPr="009813EE">
        <w:t xml:space="preserve"> o bytu, platí také pro nebytový prostor, jakož i pro soubor bytů nebo nebytových prostorů.</w:t>
      </w:r>
      <w:r w:rsidR="004E5E0B">
        <w:t xml:space="preserve"> </w:t>
      </w:r>
      <w:r w:rsidR="0068672F">
        <w:t>Význam pojmu n</w:t>
      </w:r>
      <w:r w:rsidR="004E5E0B">
        <w:t xml:space="preserve">ebytový prostor neboli zkráceně „nebyt“ můžeme </w:t>
      </w:r>
      <w:r w:rsidR="0068672F" w:rsidRPr="0068672F">
        <w:t>v zásadě dovodit z negace pojmu byt</w:t>
      </w:r>
      <w:r w:rsidR="0068672F">
        <w:rPr>
          <w:rStyle w:val="Znakapoznpodarou"/>
        </w:rPr>
        <w:footnoteReference w:id="12"/>
      </w:r>
      <w:r w:rsidR="0068672F" w:rsidRPr="0068672F">
        <w:t>.</w:t>
      </w:r>
      <w:r w:rsidR="004E5E0B">
        <w:t xml:space="preserve"> </w:t>
      </w:r>
      <w:r w:rsidR="006473FA">
        <w:t>V případě, že prostor nesplňuje některé z výše uvedených kritérií pro byt, jedná se v aktuálním režimu NOZ o nebytový prostor. Zákon o vlastnict</w:t>
      </w:r>
      <w:r w:rsidR="007B7785">
        <w:t>ví bytů nebytový prostor v </w:t>
      </w:r>
      <w:r w:rsidR="006473FA">
        <w:t xml:space="preserve">§ 2 vymezoval jako </w:t>
      </w:r>
      <w:r w:rsidR="006473FA" w:rsidRPr="006473FA">
        <w:rPr>
          <w:i/>
        </w:rPr>
        <w:t>místnost nebo soubor místností, které jsou podle rozhodnutí stavebního úřadu určeny k jiným účelům než k bydlení; nebytovými prostory nejsou příslušenství bytu nebo příslušenství nebytového prostoru ani společné části domu</w:t>
      </w:r>
      <w:r w:rsidR="006473FA">
        <w:rPr>
          <w:i/>
        </w:rPr>
        <w:t>.</w:t>
      </w:r>
      <w:r w:rsidR="00091C44">
        <w:rPr>
          <w:i/>
        </w:rPr>
        <w:t xml:space="preserve"> </w:t>
      </w:r>
      <w:r w:rsidR="009F7CEB">
        <w:t>Vymezení předmětu vlastnictví jako soukromého subjektivního práva tak do určité míry záviselo na veřejnoprávním rozhodnutí. Jako rozhodující</w:t>
      </w:r>
      <w:r w:rsidR="00091C44" w:rsidRPr="00091C44">
        <w:t xml:space="preserve"> nepojímal obecná kritéria, ale rozhodnutí veřejnoprávního orgánu, od čehož se NOZ odchyluje.</w:t>
      </w:r>
    </w:p>
    <w:p w:rsidR="006834A1" w:rsidRDefault="006834A1" w:rsidP="00062790">
      <w:pPr>
        <w:pStyle w:val="Nadpis2"/>
      </w:pPr>
      <w:bookmarkStart w:id="7" w:name="_Toc509413067"/>
      <w:r>
        <w:t xml:space="preserve">Jednotlivé </w:t>
      </w:r>
      <w:r w:rsidR="00062790">
        <w:t>koncepce</w:t>
      </w:r>
      <w:bookmarkEnd w:id="7"/>
    </w:p>
    <w:p w:rsidR="00062790" w:rsidRPr="00BA4F23" w:rsidRDefault="00062790" w:rsidP="00062790">
      <w:pPr>
        <w:rPr>
          <w:color w:val="000000" w:themeColor="text1"/>
        </w:rPr>
      </w:pPr>
      <w:r w:rsidRPr="00BA4F23">
        <w:rPr>
          <w:color w:val="000000" w:themeColor="text1"/>
        </w:rPr>
        <w:t>Všem</w:t>
      </w:r>
      <w:r w:rsidR="00A26F63">
        <w:rPr>
          <w:color w:val="000000" w:themeColor="text1"/>
        </w:rPr>
        <w:t xml:space="preserve"> koncepcím je v zásadě</w:t>
      </w:r>
      <w:r w:rsidRPr="00BA4F23">
        <w:rPr>
          <w:color w:val="000000" w:themeColor="text1"/>
        </w:rPr>
        <w:t xml:space="preserve"> společný charakteristický znak plurality objektů, kdy předmětem vlastnictví je vždy samotný byt, někdy i celý dům, či alespoň jeho části v něm společné, většinou také pozemek. Vedle plurality objektů se vyskytuje i pluralita subjektů s vlastnickým právem vůči objektům. Z toho pramení závislý právní režim, který je v omezeném rozsahu společný pro více subjektů. Oba typy plurality existují po celou dobu trvání bytového vlastnictví a jsou jeho pojmovým znakem. Tedy je vlastnictví bytu speciálním typem spoluvlastnictví budovy, kdy spoluvlastník je vlastník bytu a na společných částech má vlastnictví podílové.</w:t>
      </w:r>
      <w:r w:rsidRPr="00BA4F23">
        <w:rPr>
          <w:rStyle w:val="Znakapoznpodarou"/>
        </w:rPr>
        <w:footnoteReference w:id="13"/>
      </w:r>
    </w:p>
    <w:p w:rsidR="00062790" w:rsidRPr="00062790" w:rsidRDefault="00062790" w:rsidP="00062790">
      <w:r>
        <w:t xml:space="preserve">V podrobnostech </w:t>
      </w:r>
      <w:r w:rsidR="007B7785">
        <w:t>se již jednotlivé koncepce liší</w:t>
      </w:r>
      <w:r>
        <w:t>. Přehledem koncepcí se zabýval ve své publikaci Vlastnictvo bytov (1971) Š. Luby</w:t>
      </w:r>
      <w:r w:rsidRPr="00181C68">
        <w:t xml:space="preserve">, který je dělí na monistické, </w:t>
      </w:r>
      <w:r w:rsidRPr="00181C68">
        <w:rPr>
          <w:szCs w:val="24"/>
        </w:rPr>
        <w:t>dualistické, dualisticko-monistické a antivlastnické</w:t>
      </w:r>
      <w:r w:rsidRPr="00181C68">
        <w:rPr>
          <w:rStyle w:val="Znakapoznpodarou"/>
          <w:szCs w:val="24"/>
        </w:rPr>
        <w:footnoteReference w:id="14"/>
      </w:r>
      <w:r>
        <w:rPr>
          <w:szCs w:val="24"/>
        </w:rPr>
        <w:t>, toto dělení je v našem právním prostoru všeobecně uznáváno. V</w:t>
      </w:r>
      <w:r w:rsidRPr="00181C68">
        <w:rPr>
          <w:szCs w:val="24"/>
        </w:rPr>
        <w:t>šechny</w:t>
      </w:r>
      <w:r>
        <w:rPr>
          <w:szCs w:val="24"/>
        </w:rPr>
        <w:t xml:space="preserve"> vyjmenované</w:t>
      </w:r>
      <w:r w:rsidRPr="00181C68">
        <w:rPr>
          <w:szCs w:val="24"/>
        </w:rPr>
        <w:t xml:space="preserve"> </w:t>
      </w:r>
      <w:r w:rsidR="009F7CEB">
        <w:rPr>
          <w:szCs w:val="24"/>
        </w:rPr>
        <w:t xml:space="preserve">přístupy </w:t>
      </w:r>
      <w:r w:rsidRPr="00181C68">
        <w:rPr>
          <w:szCs w:val="24"/>
        </w:rPr>
        <w:t xml:space="preserve">mají společné, že přiznávají </w:t>
      </w:r>
      <w:r w:rsidRPr="00181C68">
        <w:rPr>
          <w:rFonts w:cs="Times New Roman"/>
          <w:szCs w:val="24"/>
        </w:rPr>
        <w:t>nerozlučitelnost práva k bytu a ke společným částem domu,</w:t>
      </w:r>
      <w:r>
        <w:rPr>
          <w:rFonts w:cs="Times New Roman"/>
          <w:szCs w:val="24"/>
        </w:rPr>
        <w:t xml:space="preserve"> případně</w:t>
      </w:r>
      <w:r w:rsidRPr="00181C68">
        <w:rPr>
          <w:rFonts w:cs="Times New Roman"/>
          <w:szCs w:val="24"/>
        </w:rPr>
        <w:t xml:space="preserve"> pozemku, </w:t>
      </w:r>
      <w:r>
        <w:rPr>
          <w:rFonts w:cs="Times New Roman"/>
          <w:szCs w:val="24"/>
        </w:rPr>
        <w:t>kterou disponuje jediný subjekt</w:t>
      </w:r>
      <w:r w:rsidRPr="00181C68">
        <w:rPr>
          <w:rFonts w:cs="Times New Roman"/>
          <w:szCs w:val="24"/>
        </w:rPr>
        <w:t>.</w:t>
      </w:r>
    </w:p>
    <w:p w:rsidR="00911FF5" w:rsidRDefault="00911FF5" w:rsidP="00911FF5">
      <w:pPr>
        <w:pStyle w:val="Nadpis3"/>
      </w:pPr>
      <w:bookmarkStart w:id="8" w:name="_Toc509413068"/>
      <w:r>
        <w:t>Monistické koncepce</w:t>
      </w:r>
      <w:bookmarkEnd w:id="8"/>
    </w:p>
    <w:p w:rsidR="00911FF5" w:rsidRDefault="00CF655B" w:rsidP="00911FF5">
      <w:r>
        <w:t xml:space="preserve">Dle první monistické koncepce, která preferuje postavení domu, je </w:t>
      </w:r>
      <w:r w:rsidR="00EF41A3">
        <w:t>dům</w:t>
      </w:r>
      <w:r w:rsidR="00911FF5">
        <w:t xml:space="preserve"> nedělitelný</w:t>
      </w:r>
      <w:r w:rsidR="00405692">
        <w:t>,</w:t>
      </w:r>
      <w:r w:rsidR="00911FF5">
        <w:t xml:space="preserve"> a proto</w:t>
      </w:r>
      <w:r>
        <w:t xml:space="preserve"> tato koncepce popírá možnost uznání bytu za předmět vlastnictví</w:t>
      </w:r>
      <w:r w:rsidR="00EF41A3">
        <w:t>. Druhá monistická koncepce</w:t>
      </w:r>
      <w:r>
        <w:t xml:space="preserve"> vychází z bytu jako výlučného předmětu vlastnického práva</w:t>
      </w:r>
      <w:r w:rsidR="00911FF5">
        <w:t>, a buď vůbec neuznává existenci společných částí domu, nebo</w:t>
      </w:r>
      <w:r>
        <w:t xml:space="preserve"> ve druhém případě</w:t>
      </w:r>
      <w:r w:rsidR="00911FF5">
        <w:t xml:space="preserve"> </w:t>
      </w:r>
      <w:r>
        <w:t>existenci společných částí</w:t>
      </w:r>
      <w:r w:rsidR="00911FF5">
        <w:t xml:space="preserve"> sice uznává, </w:t>
      </w:r>
      <w:r w:rsidR="00911FF5">
        <w:lastRenderedPageBreak/>
        <w:t xml:space="preserve">ale bez spoluvlastnického práva k nim ze strany vlastníků bytů, </w:t>
      </w:r>
      <w:r>
        <w:t>což</w:t>
      </w:r>
      <w:r w:rsidR="00911FF5">
        <w:t xml:space="preserve"> se samozřejmě jeví jako logičtější. </w:t>
      </w:r>
      <w:r w:rsidR="00911FF5" w:rsidRPr="0034758A">
        <w:t>Tento „poddruh“ byl uplatněn v zákoně č. 52/1966 Sb., o osobním vlastnictví k</w:t>
      </w:r>
      <w:r w:rsidR="00911FF5">
        <w:t> </w:t>
      </w:r>
      <w:r w:rsidR="00911FF5" w:rsidRPr="0034758A">
        <w:t>bytům</w:t>
      </w:r>
      <w:r w:rsidR="00911FF5">
        <w:t>.</w:t>
      </w:r>
      <w:r w:rsidR="00911FF5">
        <w:rPr>
          <w:rStyle w:val="Znakapoznpodarou"/>
        </w:rPr>
        <w:footnoteReference w:id="15"/>
      </w:r>
    </w:p>
    <w:p w:rsidR="00911FF5" w:rsidRDefault="00911FF5" w:rsidP="00911FF5">
      <w:pPr>
        <w:pStyle w:val="Nadpis3"/>
      </w:pPr>
      <w:bookmarkStart w:id="9" w:name="_Toc509413069"/>
      <w:r>
        <w:t>Dualistické koncepce</w:t>
      </w:r>
      <w:bookmarkEnd w:id="9"/>
    </w:p>
    <w:p w:rsidR="00911FF5" w:rsidRDefault="00EF41A3" w:rsidP="00911FF5">
      <w:r>
        <w:t>Zde</w:t>
      </w:r>
      <w:r w:rsidR="00911FF5">
        <w:t xml:space="preserve"> byt i dům stojí jako předměty vlastnického práva zároveň, dům vša</w:t>
      </w:r>
      <w:r w:rsidR="00AC7986">
        <w:t xml:space="preserve">k jako předmět hlavní a vedle </w:t>
      </w:r>
      <w:r w:rsidR="00911FF5">
        <w:t>k němu přistupující speciální předmět byt</w:t>
      </w:r>
      <w:r w:rsidR="00911FF5" w:rsidRPr="00EC1A05">
        <w:t>.</w:t>
      </w:r>
      <w:r w:rsidR="00911FF5">
        <w:t xml:space="preserve"> Tím dualistické koncepce uznávají spoluvlastnictví domu. Dále můžeme rozlišovat, zda varianty těchto teorií předpokládají celistvost spoluvlastnictví a vlastnictví, či jen akcesoritu bytového vlastnictví vůči spoluvlastnictví</w:t>
      </w:r>
      <w:r w:rsidR="00FB07CB">
        <w:t xml:space="preserve"> domu</w:t>
      </w:r>
      <w:r w:rsidR="00911FF5">
        <w:t xml:space="preserve">. Na </w:t>
      </w:r>
      <w:r>
        <w:t>takové</w:t>
      </w:r>
      <w:r w:rsidR="00911FF5">
        <w:t xml:space="preserve"> koncepci staví </w:t>
      </w:r>
      <w:r w:rsidR="00911FF5" w:rsidRPr="0034758A">
        <w:t>zákon o vlastnictví bytů</w:t>
      </w:r>
      <w:r w:rsidR="00911FF5">
        <w:t>.</w:t>
      </w:r>
      <w:r w:rsidR="00911FF5">
        <w:rPr>
          <w:rStyle w:val="Znakapoznpodarou"/>
        </w:rPr>
        <w:footnoteReference w:id="16"/>
      </w:r>
      <w:r w:rsidR="00911FF5">
        <w:t xml:space="preserve"> Dualistické teorie, které dávají přednost vlastnictví bytu, chápou podstatu bytového vlastnictví povahově a funkčně určenou vlastnictvím bytu a všechna ostatní práva jako podřízená vlastnictví bytu</w:t>
      </w:r>
      <w:r w:rsidR="00FB07CB">
        <w:t>,</w:t>
      </w:r>
      <w:r w:rsidR="00911FF5">
        <w:t xml:space="preserve"> a tedy přídatné povahy (spoluvlastnictví společných částí domu a pozemku).</w:t>
      </w:r>
      <w:r w:rsidR="002E4098" w:rsidRPr="002E4098">
        <w:rPr>
          <w:noProof/>
        </w:rPr>
        <w:t xml:space="preserve"> </w:t>
      </w:r>
    </w:p>
    <w:p w:rsidR="002E4098" w:rsidRDefault="002E4098" w:rsidP="002E4098">
      <w:r>
        <w:rPr>
          <w:noProof/>
          <w:lang w:eastAsia="cs-CZ"/>
        </w:rPr>
        <w:drawing>
          <wp:anchor distT="0" distB="0" distL="114300" distR="114300" simplePos="0" relativeHeight="251658240" behindDoc="0" locked="0" layoutInCell="1" allowOverlap="1">
            <wp:simplePos x="0" y="0"/>
            <wp:positionH relativeFrom="column">
              <wp:posOffset>1224280</wp:posOffset>
            </wp:positionH>
            <wp:positionV relativeFrom="paragraph">
              <wp:posOffset>205105</wp:posOffset>
            </wp:positionV>
            <wp:extent cx="3600450" cy="2400300"/>
            <wp:effectExtent l="0" t="0" r="0" b="0"/>
            <wp:wrapTopAndBottom/>
            <wp:docPr id="3" name="Obrázek 3" descr="C:\Users\Honza\AppData\Local\Microsoft\Windows\INetCache\Content.Word\Dualistické teori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onza\AppData\Local\Microsoft\Windows\INetCache\Content.Word\Dualistické teorie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450" cy="2400300"/>
                    </a:xfrm>
                    <a:prstGeom prst="rect">
                      <a:avLst/>
                    </a:prstGeom>
                    <a:noFill/>
                    <a:ln>
                      <a:noFill/>
                    </a:ln>
                  </pic:spPr>
                </pic:pic>
              </a:graphicData>
            </a:graphic>
          </wp:anchor>
        </w:drawing>
      </w:r>
    </w:p>
    <w:p w:rsidR="00911FF5" w:rsidRDefault="00911FF5" w:rsidP="00911FF5">
      <w:pPr>
        <w:pStyle w:val="Nadpis3"/>
      </w:pPr>
      <w:bookmarkStart w:id="11" w:name="_Toc509413070"/>
      <w:r>
        <w:t>Dualisticko-monistické koncepce</w:t>
      </w:r>
      <w:bookmarkEnd w:id="11"/>
    </w:p>
    <w:p w:rsidR="002E4098" w:rsidRDefault="00911FF5" w:rsidP="00183479">
      <w:pPr>
        <w:rPr>
          <w:szCs w:val="24"/>
        </w:rPr>
      </w:pPr>
      <w:r>
        <w:t xml:space="preserve">Tyto sice přiznávají domu i bytu samostatnost jako předmětům právních vztahů, avšak kvůli jejich faktické nerozlučitelnosti se ubírají k chápání domu a bytu jako celku. Z této faktické jednoty odvozují i jednotu právní – jednotu spoluvlastnického práva k domu a zvláštního práva k bytu. Tato dvě tvoří jedno vlastnické právo, které je však, vzhledem k rozdílnosti od ostatních vlastnických práv, právem svého druhu. V první variantě chápou tyto teorie vlastníky domu jako </w:t>
      </w:r>
      <w:r>
        <w:lastRenderedPageBreak/>
        <w:t xml:space="preserve">jediný kolektiv zvláštního druhu, jehož členové netvoří právnickou </w:t>
      </w:r>
      <w:r w:rsidR="00BB6B15">
        <w:t>osobu,</w:t>
      </w:r>
      <w:r>
        <w:t xml:space="preserve"> a dokonce ani s</w:t>
      </w:r>
      <w:r w:rsidR="000D2CE6">
        <w:t>družení bez právní subjektivity – tato varianta</w:t>
      </w:r>
      <w:r>
        <w:t xml:space="preserve"> tedy vychází z kolektivního vlastnictví. Druhý názorový proud upřednostňující předmět nevysvětluje vlastnictví jako zvláštní vlastnictví bytu, avšak pouze jako spoluvlastnictví celé budovy, kdy toto není vyjádřeno ideálními, ale reálnými díly budovy. Základem zvláštní povahy jednotně vnímaného </w:t>
      </w:r>
      <w:r w:rsidR="006A6B53">
        <w:t>v</w:t>
      </w:r>
      <w:r>
        <w:t>lastnictví bytu, je z hlediska „</w:t>
      </w:r>
      <w:r w:rsidRPr="00BC62FA">
        <w:rPr>
          <w:i/>
        </w:rPr>
        <w:t>zvláštní</w:t>
      </w:r>
      <w:r>
        <w:t xml:space="preserve"> </w:t>
      </w:r>
      <w:r w:rsidRPr="009826BF">
        <w:rPr>
          <w:i/>
        </w:rPr>
        <w:t>povahy buď pouhý souhrn vyskytujících se subjektivních práv</w:t>
      </w:r>
      <w:r w:rsidR="00183479" w:rsidRPr="009826BF">
        <w:rPr>
          <w:i/>
        </w:rPr>
        <w:t xml:space="preserve"> nebo</w:t>
      </w:r>
      <w:r w:rsidR="00183479">
        <w:rPr>
          <w:i/>
        </w:rPr>
        <w:t xml:space="preserve"> </w:t>
      </w:r>
      <w:r w:rsidR="00183479" w:rsidRPr="009826BF">
        <w:rPr>
          <w:i/>
        </w:rPr>
        <w:t>jejich organická a funkční jednota</w:t>
      </w:r>
      <w:r w:rsidR="00183479" w:rsidRPr="00BC62FA">
        <w:t>“</w:t>
      </w:r>
      <w:r w:rsidR="00183479" w:rsidRPr="009826BF">
        <w:rPr>
          <w:i/>
        </w:rPr>
        <w:t xml:space="preserve"> </w:t>
      </w:r>
      <w:r w:rsidR="00183479" w:rsidRPr="009826BF">
        <w:rPr>
          <w:szCs w:val="24"/>
        </w:rPr>
        <w:t>(</w:t>
      </w:r>
      <w:r w:rsidR="00183479" w:rsidRPr="009826BF">
        <w:rPr>
          <w:caps/>
          <w:szCs w:val="24"/>
        </w:rPr>
        <w:t>Fiala, J</w:t>
      </w:r>
      <w:r w:rsidR="00183479" w:rsidRPr="009826BF">
        <w:rPr>
          <w:szCs w:val="24"/>
        </w:rPr>
        <w:t xml:space="preserve">. Bytové </w:t>
      </w:r>
      <w:r w:rsidR="00BF5C0C">
        <w:rPr>
          <w:noProof/>
          <w:lang w:eastAsia="cs-CZ"/>
        </w:rPr>
        <w:drawing>
          <wp:anchor distT="0" distB="0" distL="114300" distR="114300" simplePos="0" relativeHeight="251659264" behindDoc="0" locked="0" layoutInCell="1" allowOverlap="1">
            <wp:simplePos x="0" y="0"/>
            <wp:positionH relativeFrom="column">
              <wp:posOffset>1052830</wp:posOffset>
            </wp:positionH>
            <wp:positionV relativeFrom="paragraph">
              <wp:posOffset>1553900</wp:posOffset>
            </wp:positionV>
            <wp:extent cx="3600450" cy="2400300"/>
            <wp:effectExtent l="0" t="0" r="0" b="0"/>
            <wp:wrapTopAndBottom/>
            <wp:docPr id="4" name="Obrázek 4" descr="C:\Users\Honza\AppData\Local\Microsoft\Windows\INetCache\Content.Word\Dualisticko-monistické teori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onza\AppData\Local\Microsoft\Windows\INetCache\Content.Word\Dualisticko-monistické teorie 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450" cy="2400300"/>
                    </a:xfrm>
                    <a:prstGeom prst="rect">
                      <a:avLst/>
                    </a:prstGeom>
                    <a:noFill/>
                    <a:ln>
                      <a:noFill/>
                    </a:ln>
                  </pic:spPr>
                </pic:pic>
              </a:graphicData>
            </a:graphic>
          </wp:anchor>
        </w:drawing>
      </w:r>
      <w:r w:rsidR="00183479" w:rsidRPr="009826BF">
        <w:rPr>
          <w:szCs w:val="24"/>
        </w:rPr>
        <w:t>vlastnictví v ČR)</w:t>
      </w:r>
      <w:r w:rsidR="00183479">
        <w:rPr>
          <w:szCs w:val="24"/>
        </w:rPr>
        <w:t>.</w:t>
      </w:r>
    </w:p>
    <w:p w:rsidR="00911FF5" w:rsidRDefault="00911FF5" w:rsidP="00911FF5">
      <w:pPr>
        <w:pStyle w:val="Nadpis3"/>
      </w:pPr>
      <w:bookmarkStart w:id="12" w:name="_Toc509413071"/>
      <w:r>
        <w:t>Antivlastnické koncepce</w:t>
      </w:r>
      <w:bookmarkEnd w:id="12"/>
    </w:p>
    <w:p w:rsidR="00911FF5" w:rsidRDefault="00BF5C0C" w:rsidP="00911FF5">
      <w:r>
        <w:t>B</w:t>
      </w:r>
      <w:r w:rsidR="00AD538E">
        <w:t>uď</w:t>
      </w:r>
      <w:r w:rsidR="00911FF5">
        <w:t xml:space="preserve"> bytu</w:t>
      </w:r>
      <w:r>
        <w:t xml:space="preserve"> vůbec nepřiznávají</w:t>
      </w:r>
      <w:r w:rsidR="00911FF5">
        <w:t xml:space="preserve"> povahu věci v právním smyslu, nebo pr</w:t>
      </w:r>
      <w:r>
        <w:t>ávu s bytem spojenému nepřiznávají</w:t>
      </w:r>
      <w:r w:rsidR="00911FF5">
        <w:t xml:space="preserve"> povahu práva vlastnického. Stoupenci první varianty se při popírání bytu jako předmětu vlastnictví odvolávají na to, že kvůli nerozdělitelnosti domu není byt věcí a ani se byt za věc uznat nemůže, neboť by to nebylo v souladu s obecným chápáním pojmu věci. Ve druhém případě pak zastánci podpírají své pojetí závažností a četností omezení, kterým podléhá právo k bytu, tedy že toto obsahově již nemá povahu vlastnictví</w:t>
      </w:r>
      <w:r w:rsidR="004F49D8">
        <w:t>,</w:t>
      </w:r>
      <w:r w:rsidR="00911FF5">
        <w:t xml:space="preserve"> a proto je jiným věcným právem. Také poukazují na omezenost bytového vlastnictví vlastnictvím jiných bytů a v jejich prospěch, stejně jako ve prospěch společných částí domu a že někdy lze zbavit vlastníka jeho práva kvůli porušení jeho povinností vůči ostatním.</w:t>
      </w:r>
    </w:p>
    <w:p w:rsidR="002E4098" w:rsidRDefault="002E4098" w:rsidP="00911FF5">
      <w:r>
        <w:rPr>
          <w:noProof/>
          <w:lang w:eastAsia="cs-CZ"/>
        </w:rPr>
        <w:lastRenderedPageBreak/>
        <w:drawing>
          <wp:anchor distT="0" distB="0" distL="114300" distR="114300" simplePos="0" relativeHeight="251660288" behindDoc="0" locked="0" layoutInCell="1" allowOverlap="1">
            <wp:simplePos x="0" y="0"/>
            <wp:positionH relativeFrom="column">
              <wp:posOffset>1052830</wp:posOffset>
            </wp:positionH>
            <wp:positionV relativeFrom="paragraph">
              <wp:posOffset>-138</wp:posOffset>
            </wp:positionV>
            <wp:extent cx="3505200" cy="2333625"/>
            <wp:effectExtent l="0" t="0" r="0" b="9525"/>
            <wp:wrapTopAndBottom/>
            <wp:docPr id="5" name="Obrázek 5" descr="C:\Users\Honza\AppData\Local\Microsoft\Windows\INetCache\Content.Word\antivlastnické teori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onza\AppData\Local\Microsoft\Windows\INetCache\Content.Word\antivlastnické teorie 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05200" cy="2333625"/>
                    </a:xfrm>
                    <a:prstGeom prst="rect">
                      <a:avLst/>
                    </a:prstGeom>
                    <a:noFill/>
                    <a:ln>
                      <a:noFill/>
                    </a:ln>
                  </pic:spPr>
                </pic:pic>
              </a:graphicData>
            </a:graphic>
          </wp:anchor>
        </w:drawing>
      </w:r>
    </w:p>
    <w:p w:rsidR="00911FF5" w:rsidRDefault="00F66C01" w:rsidP="00F66C01">
      <w:pPr>
        <w:pStyle w:val="Nadpis2"/>
      </w:pPr>
      <w:bookmarkStart w:id="13" w:name="_Toc509413072"/>
      <w:r w:rsidRPr="00F66C01">
        <w:t>Historie vývoje u nás</w:t>
      </w:r>
      <w:bookmarkEnd w:id="13"/>
    </w:p>
    <w:p w:rsidR="00911FF5" w:rsidRDefault="00911FF5" w:rsidP="00911FF5">
      <w:r>
        <w:t>Ačkoliv je Lubyho rozřazení již po dekády obecně uznáváno v publikacích jak v</w:t>
      </w:r>
      <w:r w:rsidR="00306918">
        <w:t> </w:t>
      </w:r>
      <w:r>
        <w:t>České</w:t>
      </w:r>
      <w:r w:rsidR="00306918">
        <w:t>,</w:t>
      </w:r>
      <w:r>
        <w:t xml:space="preserve"> tak Slovenské Republice, význam těchto teorií značně omezují konkrétní zákonné úpravy, protože nejenže z nich důsledně nevycházejí, ale pojímají je maximálně jako jakési vodítko pro výklad a chápání vlastnické koncepce </w:t>
      </w:r>
      <w:r w:rsidR="00FB07CB">
        <w:t>té které</w:t>
      </w:r>
      <w:r>
        <w:t xml:space="preserve"> zákonné úpravy.</w:t>
      </w:r>
      <w:r>
        <w:rPr>
          <w:rStyle w:val="Znakapoznpodarou"/>
        </w:rPr>
        <w:footnoteReference w:id="17"/>
      </w:r>
      <w:r w:rsidR="005D656F">
        <w:t xml:space="preserve"> Myšlenka upravit ve zdejším právu vlastnictví bytů se objevila se už v předválečné době</w:t>
      </w:r>
      <w:r w:rsidR="005D656F">
        <w:rPr>
          <w:rStyle w:val="Znakapoznpodarou"/>
        </w:rPr>
        <w:footnoteReference w:id="18"/>
      </w:r>
      <w:r w:rsidR="005D656F">
        <w:t xml:space="preserve"> i po válce</w:t>
      </w:r>
      <w:r w:rsidR="005D656F">
        <w:rPr>
          <w:rStyle w:val="Znakapoznpodarou"/>
        </w:rPr>
        <w:footnoteReference w:id="19"/>
      </w:r>
      <w:r w:rsidR="005D656F">
        <w:t xml:space="preserve"> v souvislosti s přípravou tehdy nových občanských zákoníků a zdaleka tak není nová.</w:t>
      </w:r>
    </w:p>
    <w:p w:rsidR="004F49D8" w:rsidRDefault="004F49D8" w:rsidP="004F49D8">
      <w:pPr>
        <w:pStyle w:val="Nadpis3"/>
      </w:pPr>
      <w:bookmarkStart w:id="14" w:name="_Toc509413073"/>
      <w:r>
        <w:t>Zákon č. 52/1966 Sb., o osobním vlastnictví k bytům</w:t>
      </w:r>
      <w:bookmarkEnd w:id="14"/>
    </w:p>
    <w:p w:rsidR="00911FF5" w:rsidRDefault="00576629" w:rsidP="00576629">
      <w:r>
        <w:t>Zákonná úprava v</w:t>
      </w:r>
      <w:r w:rsidR="00306918">
        <w:t>lastni</w:t>
      </w:r>
      <w:r>
        <w:t>ctví bytů přišla na naše území</w:t>
      </w:r>
      <w:r w:rsidR="00306918">
        <w:t xml:space="preserve"> až v r. 1966.</w:t>
      </w:r>
      <w:r>
        <w:t>, a to Zákonem</w:t>
      </w:r>
      <w:r w:rsidR="00306918">
        <w:t>. č. 52/1966 Sb., o osobním vlastnictví</w:t>
      </w:r>
      <w:r>
        <w:t xml:space="preserve"> k bytům. </w:t>
      </w:r>
      <w:r w:rsidR="00911FF5">
        <w:t xml:space="preserve">Jak již bylo zmíněno, Zákon o osobním vlastnictví k bytům vycházel z monistické teorie, přičemž jako ústřední shledával vlastnictví bytu, který byl </w:t>
      </w:r>
      <w:r w:rsidR="00AD538E">
        <w:t xml:space="preserve">jeho </w:t>
      </w:r>
      <w:r w:rsidR="00911FF5">
        <w:t xml:space="preserve">výlučným předmětem. Naproti tomu dům (společné části) předmětem vlastnického práva k bytu nebyl. </w:t>
      </w:r>
      <w:r w:rsidR="00911FF5" w:rsidRPr="007F7EF4">
        <w:t>Společné části nebyly vedlejším předmětem osobního vlastnictví bytu, nýbrž předmětem přistupujícího spoluvlastnického práva</w:t>
      </w:r>
      <w:r w:rsidR="00911FF5" w:rsidRPr="00112D72">
        <w:rPr>
          <w:i/>
        </w:rPr>
        <w:t>.</w:t>
      </w:r>
      <w:r w:rsidR="00911FF5">
        <w:rPr>
          <w:rStyle w:val="Znakapoznpodarou"/>
          <w:i/>
        </w:rPr>
        <w:footnoteReference w:id="20"/>
      </w:r>
      <w:r w:rsidR="00911FF5">
        <w:t xml:space="preserve"> Právě tímto zákonem bylo do právního řádu na našem území poprvé inkorporováno, byť ve svébytné formě, vlastnické právo k </w:t>
      </w:r>
      <w:r>
        <w:t>reálné části nemovitosti. Tento zákon tak byl prvním</w:t>
      </w:r>
      <w:r>
        <w:rPr>
          <w:rStyle w:val="Znakapoznpodarou"/>
        </w:rPr>
        <w:footnoteReference w:id="21"/>
      </w:r>
      <w:r>
        <w:t>,</w:t>
      </w:r>
      <w:r w:rsidR="00AC7986">
        <w:t xml:space="preserve"> jehož prostřednictvím se zákonodárce</w:t>
      </w:r>
      <w:r>
        <w:t xml:space="preserve"> odvážil </w:t>
      </w:r>
      <w:r>
        <w:lastRenderedPageBreak/>
        <w:t>prolomit dogma o reálné nedělitelnosti domu.</w:t>
      </w:r>
      <w:r>
        <w:rPr>
          <w:rStyle w:val="Znakapoznpodarou"/>
        </w:rPr>
        <w:footnoteReference w:id="22"/>
      </w:r>
      <w:r>
        <w:t xml:space="preserve"> Ú</w:t>
      </w:r>
      <w:r w:rsidR="00911FF5">
        <w:t>prava</w:t>
      </w:r>
      <w:r>
        <w:t xml:space="preserve"> zákona o osobním vlastnictví k bytům </w:t>
      </w:r>
      <w:r w:rsidR="00AD538E">
        <w:t xml:space="preserve">ale </w:t>
      </w:r>
      <w:r>
        <w:t xml:space="preserve">byla </w:t>
      </w:r>
      <w:r w:rsidR="00911FF5">
        <w:t>zřejmě poplatná</w:t>
      </w:r>
      <w:r w:rsidR="004F3F78">
        <w:rPr>
          <w:rStyle w:val="Znakapoznpodarou"/>
        </w:rPr>
        <w:footnoteReference w:id="23"/>
      </w:r>
      <w:r w:rsidR="00911FF5">
        <w:t xml:space="preserve"> době svého vzniku.</w:t>
      </w:r>
      <w:r w:rsidR="00911FF5">
        <w:rPr>
          <w:rStyle w:val="Znakapoznpodarou"/>
        </w:rPr>
        <w:footnoteReference w:id="24"/>
      </w:r>
    </w:p>
    <w:p w:rsidR="004F49D8" w:rsidRDefault="001F6562" w:rsidP="00576629">
      <w:r w:rsidRPr="001F6562">
        <w:t>Kvůli dobovému ideologickému pojetí osobního vlastnictví a jeho spotřebního charakteru se vlastnictví právně upjalo k bytu v domě, nikoli k domu s byty. Vlastník byl především vlastníkem bytu – šlo totiž o spotřební povahu uspokojování potřeby bydlení „občana“ a uspokojování bytových potřeb jeho blízkých (podobně jako např. u vlastnictví rodinného domu)</w:t>
      </w:r>
      <w:r>
        <w:rPr>
          <w:i/>
        </w:rPr>
        <w:t>.</w:t>
      </w:r>
      <w:r>
        <w:rPr>
          <w:rStyle w:val="Znakapoznpodarou"/>
          <w:i/>
        </w:rPr>
        <w:footnoteReference w:id="25"/>
      </w:r>
      <w:r>
        <w:rPr>
          <w:i/>
        </w:rPr>
        <w:t xml:space="preserve"> </w:t>
      </w:r>
      <w:r w:rsidRPr="001F6562">
        <w:t>Celé ideologii byla cizí představa socialistického občana, který by byl spoluvlastníkem činžovního domu.</w:t>
      </w:r>
      <w:r w:rsidRPr="001F6562">
        <w:rPr>
          <w:i/>
        </w:rPr>
        <w:t xml:space="preserve"> </w:t>
      </w:r>
      <w:r w:rsidR="004F49D8">
        <w:t>D</w:t>
      </w:r>
      <w:r w:rsidRPr="004F49D8">
        <w:t xml:space="preserve">alší práva </w:t>
      </w:r>
      <w:r w:rsidR="004F49D8" w:rsidRPr="004F49D8">
        <w:t>odvozená</w:t>
      </w:r>
      <w:r w:rsidRPr="004F49D8">
        <w:t xml:space="preserve"> z vlastnictví bytu</w:t>
      </w:r>
      <w:r w:rsidR="004F49D8" w:rsidRPr="004F49D8">
        <w:t xml:space="preserve"> tak byla</w:t>
      </w:r>
      <w:r w:rsidRPr="004F49D8">
        <w:t xml:space="preserve"> (spoluvlastnictví společných částí domu a společná užívací p</w:t>
      </w:r>
      <w:r w:rsidR="004F49D8" w:rsidRPr="004F49D8">
        <w:t>ráva, většinou k pozemku) chápána jako pouze přídatná k</w:t>
      </w:r>
      <w:r w:rsidRPr="004F49D8">
        <w:t xml:space="preserve"> vlastněn</w:t>
      </w:r>
      <w:r w:rsidR="004F49D8" w:rsidRPr="004F49D8">
        <w:t>í bytu.</w:t>
      </w:r>
      <w:r w:rsidR="004F49D8">
        <w:t xml:space="preserve"> </w:t>
      </w:r>
    </w:p>
    <w:p w:rsidR="004F3F78" w:rsidRDefault="00FE4798" w:rsidP="00576629">
      <w:r>
        <w:t>Nutno podotknout, že m</w:t>
      </w:r>
      <w:r w:rsidR="004F3F78">
        <w:t>yšlenka zákonné úpravy vlastnictví bytů se objevila ještě dříve</w:t>
      </w:r>
      <w:r w:rsidR="004F49D8">
        <w:t xml:space="preserve"> než v roce 1966</w:t>
      </w:r>
      <w:r w:rsidR="004F3F78">
        <w:t xml:space="preserve"> – při přípravě občanského zákoníku z roku 1964, při vydání jeho vládního návrhu z roku 1963 se v jeho ust. § 127 odst. 2 předpokládala úprav</w:t>
      </w:r>
      <w:r w:rsidR="001F6562">
        <w:t>a</w:t>
      </w:r>
      <w:r w:rsidR="004F3F78">
        <w:t xml:space="preserve"> zvláštním zákonem.</w:t>
      </w:r>
      <w:r w:rsidR="004F3F78">
        <w:rPr>
          <w:rStyle w:val="Znakapoznpodarou"/>
        </w:rPr>
        <w:footnoteReference w:id="26"/>
      </w:r>
    </w:p>
    <w:p w:rsidR="004F49D8" w:rsidRDefault="004F49D8" w:rsidP="004F49D8">
      <w:pPr>
        <w:pStyle w:val="Nadpis3"/>
      </w:pPr>
      <w:bookmarkStart w:id="15" w:name="_Toc509413074"/>
      <w:r>
        <w:t xml:space="preserve">Zákon č. 72/1994 Sb., o </w:t>
      </w:r>
      <w:r w:rsidRPr="004F49D8">
        <w:t>vlastnictví bytů</w:t>
      </w:r>
      <w:bookmarkEnd w:id="15"/>
    </w:p>
    <w:p w:rsidR="00BB6B15" w:rsidRDefault="00BB6B15" w:rsidP="00911FF5">
      <w:r>
        <w:t>Po roce 1989 musela nutně být otázka vlastnictví bytů</w:t>
      </w:r>
      <w:r w:rsidR="00FE4798">
        <w:t xml:space="preserve"> otevřena</w:t>
      </w:r>
      <w:r>
        <w:t xml:space="preserve"> znovu.</w:t>
      </w:r>
      <w:r w:rsidR="00E2655A">
        <w:t xml:space="preserve"> Při přípravě nového zákona, který byl</w:t>
      </w:r>
      <w:r w:rsidR="00FE4798">
        <w:t xml:space="preserve"> následně</w:t>
      </w:r>
      <w:r w:rsidR="00E2655A">
        <w:t xml:space="preserve"> ve Sbírce označen číslem 72/1994 a pojmenován</w:t>
      </w:r>
      <w:r w:rsidR="00AC17F4">
        <w:t xml:space="preserve"> celým jménem </w:t>
      </w:r>
      <w:r w:rsidR="0080190E">
        <w:t>Z</w:t>
      </w:r>
      <w:r w:rsidR="00AC17F4">
        <w:t>ákon kterým se upravují některé spoluvlastnické vztahy k budovám a některé vlastnické vztahy k bytům a nebytovým prostorům (zákon o vlastnictví bytů)</w:t>
      </w:r>
      <w:r w:rsidR="0080190E">
        <w:t xml:space="preserve">, proběhla diskuse především v politických kruzích a odborná veřejnost </w:t>
      </w:r>
      <w:r w:rsidR="00FE4798">
        <w:t xml:space="preserve">bohužel </w:t>
      </w:r>
      <w:r w:rsidR="0080190E">
        <w:t>zůstala stranou.</w:t>
      </w:r>
      <w:r w:rsidR="0080190E">
        <w:rPr>
          <w:rStyle w:val="Znakapoznpodarou"/>
        </w:rPr>
        <w:footnoteReference w:id="27"/>
      </w:r>
      <w:r w:rsidR="0080190E">
        <w:t xml:space="preserve"> Vznikl tak nový zákon s velkou řadou nedostatků.</w:t>
      </w:r>
      <w:r w:rsidR="0080190E">
        <w:rPr>
          <w:rStyle w:val="Znakapoznpodarou"/>
        </w:rPr>
        <w:footnoteReference w:id="28"/>
      </w:r>
      <w:r w:rsidR="00056A2D">
        <w:t xml:space="preserve"> V mnohém také pouze navázal na koncepci zákona předcházejícího.</w:t>
      </w:r>
      <w:r w:rsidR="00DA0A3F">
        <w:t xml:space="preserve"> Přes dílčí posuny </w:t>
      </w:r>
      <w:r w:rsidR="00FE4798">
        <w:t>učiněné</w:t>
      </w:r>
      <w:r w:rsidR="00DA0A3F">
        <w:t xml:space="preserve"> novelami </w:t>
      </w:r>
      <w:r w:rsidR="008C51DB">
        <w:t>ZOVB</w:t>
      </w:r>
      <w:r w:rsidR="00DA0A3F">
        <w:t xml:space="preserve"> se čím dál tím více ukazovala potřeba upravit problematiku bytového vlastnictví jinak. V letech 2005, 2007 a 2009 vznikly v gesci Ministerstva pro místní rozvoj návrhy nového zákona o vlastnictví bytů, avšak z různých důvodů nebyl</w:t>
      </w:r>
      <w:r w:rsidR="00FE4798">
        <w:t xml:space="preserve"> žádný z těchto návrhů schválen.</w:t>
      </w:r>
      <w:r w:rsidR="00DA0A3F" w:rsidRPr="00DA0A3F">
        <w:rPr>
          <w:rStyle w:val="Znakapoznpodarou"/>
        </w:rPr>
        <w:t xml:space="preserve"> </w:t>
      </w:r>
      <w:r w:rsidR="00DA0A3F">
        <w:rPr>
          <w:rStyle w:val="Znakapoznpodarou"/>
        </w:rPr>
        <w:footnoteReference w:id="29"/>
      </w:r>
      <w:r w:rsidR="00DA0A3F">
        <w:t xml:space="preserve"> Naopak byl znovu novelizován </w:t>
      </w:r>
      <w:r w:rsidR="00012C1F">
        <w:t>ZOVB</w:t>
      </w:r>
      <w:r w:rsidR="00DA0A3F">
        <w:t>, který tak za své relativně krátké</w:t>
      </w:r>
      <w:r w:rsidR="00FE4798">
        <w:t xml:space="preserve"> doby platnosti prošel</w:t>
      </w:r>
      <w:r w:rsidR="00DA0A3F">
        <w:t xml:space="preserve"> vysokým počtem novelizací. Již v roce 1994, kdy nabyl platnosti, byl přijat první pozměňující zákon. Změn </w:t>
      </w:r>
      <w:r w:rsidR="008C51DB">
        <w:t>ZOVB</w:t>
      </w:r>
      <w:r w:rsidR="00DA0A3F">
        <w:t xml:space="preserve"> zaznamenal celkem 15, dvě z nich byly přijaty </w:t>
      </w:r>
      <w:r w:rsidR="00DA0A3F">
        <w:lastRenderedPageBreak/>
        <w:t xml:space="preserve">zákonnými opatřeními z roku 2013 tedy již po nabytí platnosti NOZ, tyto novely tak nemohly být zapracovány vzhledem ke zrušení </w:t>
      </w:r>
      <w:r w:rsidR="008C51DB">
        <w:t>ZOVB</w:t>
      </w:r>
      <w:r w:rsidR="00DA0A3F">
        <w:t xml:space="preserve">. To činí průměrně každých přibližně 9 měsíců účinnosti </w:t>
      </w:r>
      <w:r w:rsidR="008C51DB">
        <w:t>ZOVB</w:t>
      </w:r>
      <w:r w:rsidR="00DA0A3F">
        <w:t xml:space="preserve"> jednu jeho novelu. Je tedy znát, že problematika vlastnictví bytů si stále žádala neustá</w:t>
      </w:r>
      <w:r w:rsidR="0008288F">
        <w:t>lé reakce na společenský vývoj a úpravy četných</w:t>
      </w:r>
      <w:r w:rsidR="00DA0A3F">
        <w:t xml:space="preserve"> nesrovnalostí.</w:t>
      </w:r>
    </w:p>
    <w:p w:rsidR="00911FF5" w:rsidRDefault="00012C1F" w:rsidP="00FE4798">
      <w:r>
        <w:t>ZOVB</w:t>
      </w:r>
      <w:r w:rsidR="00911FF5">
        <w:t>, který byl zrušen až k úč</w:t>
      </w:r>
      <w:r w:rsidR="00AC17F4">
        <w:t xml:space="preserve">innosti </w:t>
      </w:r>
      <w:r>
        <w:t>NOZ</w:t>
      </w:r>
      <w:r w:rsidR="00911FF5">
        <w:t xml:space="preserve">, vycházel spíše z koncepce dualistické preferující koncepci spoluvlastnictví k domu, kde předmět hlavní je budova a předmět vedlejší byt, obojí v rovině vlastnického práva, takže osoba je primárně spoluvlastníkem budovy a k tomu přistupuje vlastnictví bytu. Nutno však podoktnout, že v režimu </w:t>
      </w:r>
      <w:r w:rsidR="008C51DB">
        <w:t>ZOVB</w:t>
      </w:r>
      <w:r w:rsidR="00911FF5">
        <w:t xml:space="preserve"> se byt za samostatnou věc pouze považoval na základě </w:t>
      </w:r>
      <w:r w:rsidR="00911FF5" w:rsidRPr="009276DA">
        <w:t>§ 3 ve sp</w:t>
      </w:r>
      <w:r w:rsidR="00FE4798">
        <w:t xml:space="preserve">ojení s § 118 odst. 2 </w:t>
      </w:r>
      <w:r w:rsidR="00B16A37">
        <w:t>SOZ</w:t>
      </w:r>
      <w:r w:rsidR="00911FF5">
        <w:rPr>
          <w:rStyle w:val="Znakapoznpodarou"/>
        </w:rPr>
        <w:footnoteReference w:id="30"/>
      </w:r>
      <w:r w:rsidR="006A200B">
        <w:t>, věcí v právním smyslu však nebyl.</w:t>
      </w:r>
      <w:r w:rsidR="006A200B">
        <w:rPr>
          <w:rStyle w:val="Znakapoznpodarou"/>
        </w:rPr>
        <w:footnoteReference w:id="31"/>
      </w:r>
      <w:r w:rsidR="00911FF5">
        <w:t xml:space="preserve"> V rámci </w:t>
      </w:r>
      <w:r w:rsidR="008C51DB">
        <w:t>ZOVB</w:t>
      </w:r>
      <w:r w:rsidR="00911FF5">
        <w:t xml:space="preserve"> </w:t>
      </w:r>
      <w:r w:rsidR="00911FF5" w:rsidRPr="0002607E">
        <w:t xml:space="preserve">představoval byt </w:t>
      </w:r>
      <w:r w:rsidR="00911FF5">
        <w:t>pouze</w:t>
      </w:r>
      <w:r w:rsidR="00911FF5" w:rsidRPr="0002607E">
        <w:t xml:space="preserve"> specifický předmět věcněprávního vztahu, který se vlastnictví </w:t>
      </w:r>
      <w:r w:rsidR="00911FF5">
        <w:t>jen</w:t>
      </w:r>
      <w:r w:rsidR="00911FF5" w:rsidRPr="0002607E">
        <w:t xml:space="preserve"> blížil</w:t>
      </w:r>
      <w:r w:rsidR="00911FF5">
        <w:t xml:space="preserve"> – vlastník nemohl například byt zničit, tedy neměl všechna vlastnická práva.</w:t>
      </w:r>
      <w:r w:rsidR="00911FF5">
        <w:rPr>
          <w:rStyle w:val="Znakapoznpodarou"/>
        </w:rPr>
        <w:footnoteReference w:id="32"/>
      </w:r>
      <w:r w:rsidR="00911FF5">
        <w:t xml:space="preserve"> </w:t>
      </w:r>
      <w:r w:rsidR="00FB07CB">
        <w:t xml:space="preserve">V režimu </w:t>
      </w:r>
      <w:r w:rsidR="008C51DB">
        <w:t>ZOVB</w:t>
      </w:r>
      <w:r w:rsidR="00FB07CB">
        <w:t xml:space="preserve"> se tak</w:t>
      </w:r>
      <w:r w:rsidR="00043676">
        <w:t>é na byt</w:t>
      </w:r>
      <w:r w:rsidR="00AC7986">
        <w:t>, respektive bytovou jednotku, formálně</w:t>
      </w:r>
      <w:r w:rsidR="00FB07CB">
        <w:t xml:space="preserve"> ne</w:t>
      </w:r>
      <w:r w:rsidR="00043676">
        <w:t>nahlíželo jako na</w:t>
      </w:r>
      <w:r w:rsidR="00FB07CB">
        <w:t xml:space="preserve"> nemovitou věc</w:t>
      </w:r>
      <w:r w:rsidR="00043676">
        <w:t>, protože</w:t>
      </w:r>
      <w:r w:rsidR="0039036A">
        <w:t xml:space="preserve"> nesplňovala vymezení samostatné věci dle</w:t>
      </w:r>
      <w:r w:rsidR="00043676">
        <w:t xml:space="preserve"> ust. § 118 odst. </w:t>
      </w:r>
      <w:r w:rsidR="0039036A">
        <w:t>3</w:t>
      </w:r>
      <w:r w:rsidR="00043676">
        <w:t xml:space="preserve"> ObčZ 1964</w:t>
      </w:r>
      <w:r w:rsidR="0039036A">
        <w:t xml:space="preserve">. </w:t>
      </w:r>
    </w:p>
    <w:p w:rsidR="0039036A" w:rsidRPr="00255E3D" w:rsidRDefault="00255E3D" w:rsidP="00255E3D">
      <w:pPr>
        <w:rPr>
          <w:rFonts w:cs="Arial"/>
          <w:color w:val="000000"/>
          <w:szCs w:val="19"/>
        </w:rPr>
      </w:pPr>
      <w:r>
        <w:rPr>
          <w:rFonts w:cs="Arial"/>
          <w:color w:val="000000"/>
          <w:szCs w:val="19"/>
        </w:rPr>
        <w:br w:type="page"/>
      </w:r>
    </w:p>
    <w:p w:rsidR="00383CE8" w:rsidRDefault="00383CE8" w:rsidP="00383CE8">
      <w:pPr>
        <w:pStyle w:val="Nadpis1"/>
      </w:pPr>
      <w:bookmarkStart w:id="17" w:name="_Toc509413075"/>
      <w:r>
        <w:lastRenderedPageBreak/>
        <w:t xml:space="preserve">Bytová jednotka dle </w:t>
      </w:r>
      <w:r w:rsidR="008C51DB">
        <w:t>ZOVB</w:t>
      </w:r>
      <w:r>
        <w:t xml:space="preserve"> a dle NOZ</w:t>
      </w:r>
      <w:r w:rsidR="00C10239">
        <w:t xml:space="preserve"> </w:t>
      </w:r>
      <w:r w:rsidR="0097734E">
        <w:t>–</w:t>
      </w:r>
      <w:r w:rsidR="00C10239">
        <w:t xml:space="preserve"> </w:t>
      </w:r>
      <w:r w:rsidR="0097734E">
        <w:t>základní srovnání</w:t>
      </w:r>
      <w:bookmarkEnd w:id="17"/>
    </w:p>
    <w:p w:rsidR="00BB0DD6" w:rsidRPr="00BB0DD6" w:rsidRDefault="00BB0DD6" w:rsidP="00BB0DD6">
      <w:r>
        <w:t xml:space="preserve">V této kapitole prozkoumáme detailněji, jaké jsou rozdílnosti, ale i společné rysy obou úprav, respektive obou </w:t>
      </w:r>
      <w:r w:rsidR="00255E3D">
        <w:t xml:space="preserve">pro nás důležitých </w:t>
      </w:r>
      <w:r>
        <w:t>pojetí vymezení bytových jednotek.</w:t>
      </w:r>
      <w:r w:rsidR="00933370">
        <w:t xml:space="preserve"> S účinností </w:t>
      </w:r>
      <w:r w:rsidR="00012C1F">
        <w:t>NOZ</w:t>
      </w:r>
      <w:r w:rsidR="00933370">
        <w:t xml:space="preserve"> byl sice zrušen </w:t>
      </w:r>
      <w:r w:rsidR="00012C1F">
        <w:t>ZOVB</w:t>
      </w:r>
      <w:r w:rsidR="00933370">
        <w:t xml:space="preserve">, tento předpis však svým zrušením pramálo ztratil na důležitosti kvůli nutnosti další aplikace. Toto legislativní pojetí zavdalo příčinu oné dvoukolejnosti. Může se zdát, že zákonodárce si nechtěl dovolit razantněji změnit právní stav, původní </w:t>
      </w:r>
      <w:r w:rsidR="004E4D58">
        <w:t>„</w:t>
      </w:r>
      <w:r w:rsidR="00933370">
        <w:t>cestu zavřít a vytvořit novou</w:t>
      </w:r>
      <w:r w:rsidR="004E4D58">
        <w:t>“</w:t>
      </w:r>
      <w:r w:rsidR="00933370">
        <w:t>.</w:t>
      </w:r>
      <w:r w:rsidR="00722AD6">
        <w:t xml:space="preserve"> Významnou</w:t>
      </w:r>
      <w:r w:rsidR="00012C1F">
        <w:t xml:space="preserve"> otázkou, však s ideovým a politickým přesahem,</w:t>
      </w:r>
      <w:r w:rsidR="00722AD6">
        <w:t xml:space="preserve"> je, zda tak učinil správně.</w:t>
      </w:r>
    </w:p>
    <w:p w:rsidR="00B83843" w:rsidRDefault="00524D13" w:rsidP="00B83843">
      <w:pPr>
        <w:pStyle w:val="Nadpis2"/>
        <w:rPr>
          <w:szCs w:val="28"/>
        </w:rPr>
      </w:pPr>
      <w:bookmarkStart w:id="18" w:name="_Toc509413076"/>
      <w:r>
        <w:rPr>
          <w:szCs w:val="28"/>
        </w:rPr>
        <w:t>Dvojkolejnost</w:t>
      </w:r>
      <w:r w:rsidR="000A6BD5">
        <w:rPr>
          <w:szCs w:val="28"/>
        </w:rPr>
        <w:t xml:space="preserve"> jednotek</w:t>
      </w:r>
      <w:bookmarkEnd w:id="18"/>
    </w:p>
    <w:p w:rsidR="006A6B53" w:rsidRPr="006A6B53" w:rsidRDefault="00B55DE8" w:rsidP="00FB5C71">
      <w:pPr>
        <w:rPr>
          <w:i/>
        </w:rPr>
      </w:pPr>
      <w:r w:rsidRPr="00B55DE8">
        <w:t>Poslední účinná úprava ZOVB využívala</w:t>
      </w:r>
      <w:r w:rsidR="006A6B53" w:rsidRPr="00B55DE8">
        <w:t xml:space="preserve"> předpokladů vytvořených s účinností od 1. 1. 1992 </w:t>
      </w:r>
      <w:r w:rsidR="00B16A37">
        <w:t>SOZ</w:t>
      </w:r>
      <w:r w:rsidR="006A6B53" w:rsidRPr="00B55DE8">
        <w:t xml:space="preserve">, </w:t>
      </w:r>
      <w:r w:rsidRPr="00B55DE8">
        <w:t>jenž v§ 125 odst. 1 stanovil</w:t>
      </w:r>
      <w:r w:rsidR="006A6B53" w:rsidRPr="00B55DE8">
        <w:t>, že zvláštní zákon upravuje vlastnictví k bytům a nebytovým prostorám</w:t>
      </w:r>
      <w:r>
        <w:rPr>
          <w:i/>
        </w:rPr>
        <w:t xml:space="preserve">. </w:t>
      </w:r>
      <w:r w:rsidR="00012C1F">
        <w:t xml:space="preserve">Druhým východiskem byl </w:t>
      </w:r>
      <w:r w:rsidRPr="00B55DE8">
        <w:t xml:space="preserve">§ 118 odst. 2 </w:t>
      </w:r>
      <w:r w:rsidR="00B16A37">
        <w:t>SOZ</w:t>
      </w:r>
      <w:r w:rsidRPr="00B55DE8">
        <w:t>, podle kterého mohl</w:t>
      </w:r>
      <w:r w:rsidR="006F2DE7">
        <w:t>y</w:t>
      </w:r>
      <w:r w:rsidR="006A6B53" w:rsidRPr="00B55DE8">
        <w:t xml:space="preserve"> být předmětem občanskoprávních vztahů byty a nebytové prostory.</w:t>
      </w:r>
      <w:r w:rsidR="00CE02E6">
        <w:rPr>
          <w:i/>
        </w:rPr>
        <w:t xml:space="preserve"> </w:t>
      </w:r>
      <w:r w:rsidR="00CE02E6" w:rsidRPr="00085902">
        <w:t>T</w:t>
      </w:r>
      <w:r w:rsidRPr="00085902">
        <w:t>ato ustanovení vycházela</w:t>
      </w:r>
      <w:r w:rsidR="006A6B53" w:rsidRPr="00085902">
        <w:t xml:space="preserve"> z myšlenky, že</w:t>
      </w:r>
      <w:r w:rsidR="00CE02E6" w:rsidRPr="00085902">
        <w:t xml:space="preserve"> přesto, že je byt vymezen jako reálná část budovy, není fakticky samostatnou, reálně oddělitelnou částí</w:t>
      </w:r>
      <w:r w:rsidR="006A6B53" w:rsidRPr="00085902">
        <w:t xml:space="preserve"> budovy</w:t>
      </w:r>
      <w:r w:rsidR="00CE02E6" w:rsidRPr="00085902">
        <w:t>.</w:t>
      </w:r>
      <w:r w:rsidR="006A6B53" w:rsidRPr="006A6B53">
        <w:rPr>
          <w:i/>
        </w:rPr>
        <w:t xml:space="preserve"> </w:t>
      </w:r>
      <w:r w:rsidR="00085902" w:rsidRPr="00085902">
        <w:t>Šlo tak o jakousi</w:t>
      </w:r>
      <w:r w:rsidR="006A6B53" w:rsidRPr="00085902">
        <w:t xml:space="preserve"> právní fikci bytu </w:t>
      </w:r>
      <w:r w:rsidR="00085902" w:rsidRPr="00085902">
        <w:t>jako samostatné věci</w:t>
      </w:r>
      <w:r w:rsidR="001966C7">
        <w:t>,</w:t>
      </w:r>
      <w:r w:rsidR="00085902" w:rsidRPr="00085902">
        <w:t xml:space="preserve"> a tedy předmětu</w:t>
      </w:r>
      <w:r w:rsidR="006A6B53" w:rsidRPr="00085902">
        <w:t xml:space="preserve"> vlastnického práva. </w:t>
      </w:r>
    </w:p>
    <w:p w:rsidR="001966C7" w:rsidRDefault="00FB5C71" w:rsidP="001966C7">
      <w:r w:rsidRPr="00FB5C71">
        <w:t>P</w:t>
      </w:r>
      <w:r w:rsidR="006A6B53" w:rsidRPr="00FB5C71">
        <w:t>ojetí vlastnictví bytů</w:t>
      </w:r>
      <w:r w:rsidRPr="00FB5C71">
        <w:t xml:space="preserve"> dle ZOVB</w:t>
      </w:r>
      <w:r w:rsidR="006A6B53" w:rsidRPr="00FB5C71">
        <w:t xml:space="preserve"> je odlišné</w:t>
      </w:r>
      <w:r w:rsidRPr="00FB5C71">
        <w:t xml:space="preserve"> od úpravy jemu předcházející. P</w:t>
      </w:r>
      <w:r w:rsidR="006A6B53" w:rsidRPr="00FB5C71">
        <w:t xml:space="preserve">rvní znak odlišnosti se projevuje již v pojmenování zákona. </w:t>
      </w:r>
      <w:r w:rsidRPr="00FB5C71">
        <w:t>Úprava se hlásí k těm dualistickým</w:t>
      </w:r>
      <w:r w:rsidR="006A6B53" w:rsidRPr="00FB5C71">
        <w:t xml:space="preserve"> teorií</w:t>
      </w:r>
      <w:r w:rsidRPr="00FB5C71">
        <w:t>m, které preferují</w:t>
      </w:r>
      <w:r w:rsidR="006A6B53" w:rsidRPr="00FB5C71">
        <w:t xml:space="preserve"> spoluvlastnickou koncepci.</w:t>
      </w:r>
      <w:r>
        <w:rPr>
          <w:i/>
        </w:rPr>
        <w:t xml:space="preserve"> </w:t>
      </w:r>
      <w:r w:rsidRPr="00FB5C71">
        <w:t xml:space="preserve">Hlavním předmětem je </w:t>
      </w:r>
      <w:r w:rsidR="006A6B53" w:rsidRPr="00FB5C71">
        <w:t xml:space="preserve">budova, vedlejším </w:t>
      </w:r>
      <w:r w:rsidRPr="00FB5C71">
        <w:t>byt – obojí</w:t>
      </w:r>
      <w:r w:rsidR="006A6B53" w:rsidRPr="00FB5C71">
        <w:t xml:space="preserve"> v rovin</w:t>
      </w:r>
      <w:r w:rsidR="006A6B53" w:rsidRPr="00FB5C71">
        <w:rPr>
          <w:rFonts w:cs="Garamond"/>
        </w:rPr>
        <w:t>ě</w:t>
      </w:r>
      <w:r w:rsidR="006A6B53" w:rsidRPr="00FB5C71">
        <w:t xml:space="preserve"> vlastnick</w:t>
      </w:r>
      <w:r w:rsidR="006A6B53" w:rsidRPr="00FB5C71">
        <w:rPr>
          <w:rFonts w:cs="Garamond"/>
        </w:rPr>
        <w:t>é</w:t>
      </w:r>
      <w:r w:rsidR="006A6B53" w:rsidRPr="00FB5C71">
        <w:t>ho pr</w:t>
      </w:r>
      <w:r w:rsidR="006A6B53" w:rsidRPr="00FB5C71">
        <w:rPr>
          <w:rFonts w:cs="Garamond"/>
        </w:rPr>
        <w:t>á</w:t>
      </w:r>
      <w:r w:rsidRPr="00FB5C71">
        <w:t>va.</w:t>
      </w:r>
      <w:r w:rsidR="006A6B53" w:rsidRPr="00FB5C71">
        <w:t xml:space="preserve"> </w:t>
      </w:r>
      <w:r w:rsidRPr="00FB5C71">
        <w:t>To znamená, že</w:t>
      </w:r>
      <w:r w:rsidR="006A6B53" w:rsidRPr="00FB5C71">
        <w:t xml:space="preserve"> oprávněný subjekt je</w:t>
      </w:r>
      <w:r w:rsidRPr="00FB5C71">
        <w:t xml:space="preserve"> spoluvlastníkem budovy a k tomu</w:t>
      </w:r>
      <w:r w:rsidR="006A6B53" w:rsidRPr="00FB5C71">
        <w:t xml:space="preserve"> přistupuje vlastnictví bytu.</w:t>
      </w:r>
      <w:r w:rsidR="006A6B53" w:rsidRPr="001966C7">
        <w:t xml:space="preserve"> </w:t>
      </w:r>
      <w:r w:rsidR="001966C7" w:rsidRPr="001966C7">
        <w:t>„V</w:t>
      </w:r>
      <w:r w:rsidR="006A6B53" w:rsidRPr="001966C7">
        <w:t>lastnictví jednotky</w:t>
      </w:r>
      <w:r w:rsidR="001966C7" w:rsidRPr="001966C7">
        <w:t>“ je spojením vlastnictví bytu</w:t>
      </w:r>
      <w:r w:rsidR="006A6B53" w:rsidRPr="001966C7">
        <w:t xml:space="preserve"> a ideálního podílového spoluvlastnictví společných částí domu.</w:t>
      </w:r>
      <w:r w:rsidR="00B03E26">
        <w:rPr>
          <w:rStyle w:val="Znakapoznpodarou"/>
        </w:rPr>
        <w:footnoteReference w:id="33"/>
      </w:r>
      <w:r w:rsidR="00D438F7">
        <w:t xml:space="preserve"> </w:t>
      </w:r>
      <w:r w:rsidR="001613FD">
        <w:t>Naproti tomu š</w:t>
      </w:r>
      <w:r w:rsidR="00D438F7">
        <w:t>irší pojetí věci a rozdílná koncepce jednotky v NOZ znamená, že jednotkou dle NOZ se nemá na mysli totéž, co jednotkou dle ZOVB. Nová jednotka je pojem obsahově širší. Z tohoto hlediska je úprava NOZ efektivnější, neboť umožňuje konglomerát právních vztahů jednotně označit a dále s takto vymezeným pracovat</w:t>
      </w:r>
      <w:r w:rsidR="00610CA1">
        <w:t>.</w:t>
      </w:r>
      <w:r w:rsidR="007F580A">
        <w:t xml:space="preserve"> Předchozí úprava používala stejný termín, měla jím však na mysli pouze byt, který byl jako vymezená část domu určen rozhodnutím stavebního úřadu k bydlení (§ 2 písm. b), c) a h) ZOVB)</w:t>
      </w:r>
      <w:r w:rsidR="00D438F7">
        <w:rPr>
          <w:rStyle w:val="Znakapoznpodarou"/>
        </w:rPr>
        <w:footnoteReference w:id="34"/>
      </w:r>
    </w:p>
    <w:p w:rsidR="00D438F7" w:rsidRDefault="00D438F7" w:rsidP="001966C7">
      <w:r>
        <w:t>Vymezení předmětu bytového spoluvlastnictví bezesporu komplikuje superficiální zásada, která nedopadá na všechny stavby s byty. Je jasné, že všechny důsledky nejsou ideální, ale postup neoperující se znovuzavedením superficiální zásady by vedl k nespravedlivým důsledkům.</w:t>
      </w:r>
      <w:r w:rsidRPr="00D438F7">
        <w:rPr>
          <w:rStyle w:val="Znakapoznpodarou"/>
        </w:rPr>
        <w:t xml:space="preserve"> </w:t>
      </w:r>
      <w:r>
        <w:rPr>
          <w:rStyle w:val="Znakapoznpodarou"/>
        </w:rPr>
        <w:footnoteReference w:id="35"/>
      </w:r>
      <w:r>
        <w:t xml:space="preserve"> </w:t>
      </w:r>
    </w:p>
    <w:p w:rsidR="007F580A" w:rsidRDefault="007F580A" w:rsidP="001966C7">
      <w:r>
        <w:lastRenderedPageBreak/>
        <w:t>Bytové spoluvlastnictví</w:t>
      </w:r>
      <w:r w:rsidR="006A7247">
        <w:t xml:space="preserve"> dle NOZ</w:t>
      </w:r>
      <w:r>
        <w:t xml:space="preserve"> může vzniknout v rámci nemovité věc</w:t>
      </w:r>
      <w:r w:rsidR="006A7247">
        <w:t>i. Tou může být jak dům</w:t>
      </w:r>
      <w:r w:rsidR="00012C1F">
        <w:t xml:space="preserve"> samotný (pokud je nemovitostí)</w:t>
      </w:r>
      <w:r w:rsidR="00012C1F">
        <w:rPr>
          <w:rStyle w:val="Znakapoznpodarou"/>
        </w:rPr>
        <w:footnoteReference w:id="36"/>
      </w:r>
      <w:r w:rsidR="006A7247">
        <w:t>, tak pozemek, jehož je dům součástí, právo stavby.</w:t>
      </w:r>
      <w:r w:rsidR="006A7247">
        <w:rPr>
          <w:rStyle w:val="Znakapoznpodarou"/>
        </w:rPr>
        <w:footnoteReference w:id="37"/>
      </w:r>
      <w:r w:rsidR="006A7247">
        <w:t xml:space="preserve"> Dvořák připomíná také možnost zřízení bytového spoluvlastnictví také v rámci podzemní stavby se samostatným účelovým určením se záměrem zřízení např. podzemní garáže jakožto jednotky.</w:t>
      </w:r>
      <w:r w:rsidR="006A7247">
        <w:rPr>
          <w:rStyle w:val="Znakapoznpodarou"/>
        </w:rPr>
        <w:footnoteReference w:id="38"/>
      </w:r>
    </w:p>
    <w:p w:rsidR="006A7247" w:rsidRDefault="006A7247" w:rsidP="001966C7">
      <w:r>
        <w:t>Nynější provázanost bytu a podílu na společných částech má oproti v rámci jednotného termínu jednotka má oproti ZOVB nespornou výhodu. Vzájemná neoddělitelnost je konstatována zákonem</w:t>
      </w:r>
      <w:r w:rsidR="00012C1F">
        <w:t xml:space="preserve"> v legislativní definici v </w:t>
      </w:r>
      <w:r>
        <w:t xml:space="preserve">§ 1159. V režimu ZOVB však bylo vždy nutno </w:t>
      </w:r>
      <w:r w:rsidR="007F41D7">
        <w:t>provázanost opakovaně zdůrazňovat, což se samozřejmě ne vždy dařilo.</w:t>
      </w:r>
      <w:r w:rsidR="007F41D7">
        <w:rPr>
          <w:rStyle w:val="Znakapoznpodarou"/>
        </w:rPr>
        <w:footnoteReference w:id="39"/>
      </w:r>
      <w:r w:rsidR="007F41D7">
        <w:t xml:space="preserve"> Vlastní</w:t>
      </w:r>
      <w:r w:rsidR="00301EAA">
        <w:t>k</w:t>
      </w:r>
      <w:r w:rsidR="007F41D7">
        <w:t xml:space="preserve"> měl totiž ve svém vlastnictví hned několik objektů – byt, podíl na společných částech domu a zpravidla i podíl na pozemku. Již samotné označení smlouvy o převodu jednotky bylo zavádějící, protože nebylo jasné, jestli společně s převodem jednotky má automaticky dojít i k přechodu podílu na ostatních objektech.</w:t>
      </w:r>
      <w:r w:rsidR="007F41D7">
        <w:rPr>
          <w:rStyle w:val="Znakapoznpodarou"/>
        </w:rPr>
        <w:footnoteReference w:id="40"/>
      </w:r>
    </w:p>
    <w:p w:rsidR="00995B35" w:rsidRPr="00995B35" w:rsidRDefault="00995B35" w:rsidP="001966C7">
      <w:r w:rsidRPr="00995B35">
        <w:t>Podstatu bytového spoluvlastnictví dle NOZ trefně vystihuje Novotný konstatujíc, že souhrn všech jednotek dává celistvé bytové spoluvlastnictví celé nemovité věci. Přitom zdůrazňuje, že pojetí jednotky je primárně abstraktní a až sekundárně konkrétní.</w:t>
      </w:r>
      <w:r w:rsidRPr="00995B35">
        <w:rPr>
          <w:rStyle w:val="Znakapoznpodarou"/>
        </w:rPr>
        <w:footnoteReference w:id="41"/>
      </w:r>
    </w:p>
    <w:p w:rsidR="00524D13" w:rsidRPr="001966C7" w:rsidRDefault="00524D13" w:rsidP="00524D13">
      <w:pPr>
        <w:pStyle w:val="Nadpis3"/>
      </w:pPr>
      <w:bookmarkStart w:id="19" w:name="_Toc509413077"/>
      <w:r>
        <w:t>Přechodná ustanovení</w:t>
      </w:r>
      <w:bookmarkEnd w:id="19"/>
    </w:p>
    <w:p w:rsidR="00956CA1" w:rsidRDefault="001613FD" w:rsidP="00956CA1">
      <w:r>
        <w:t>Zásadním pro určení, zda na jednotku aplikovat ZOVB či NOZ je výklad (někte</w:t>
      </w:r>
      <w:r w:rsidR="007C670D">
        <w:t>rými označovaného jako nešťastný</w:t>
      </w:r>
      <w:r>
        <w:t>) § 3063 NOZ.</w:t>
      </w:r>
      <w:r>
        <w:rPr>
          <w:rStyle w:val="Znakapoznpodarou"/>
        </w:rPr>
        <w:footnoteReference w:id="42"/>
      </w:r>
      <w:r>
        <w:t xml:space="preserve"> </w:t>
      </w:r>
      <w:r w:rsidR="001001EC">
        <w:t>S</w:t>
      </w:r>
      <w:r w:rsidR="00B52AAE" w:rsidRPr="00B52AAE">
        <w:t>labinou</w:t>
      </w:r>
      <w:r>
        <w:t xml:space="preserve"> tohoto</w:t>
      </w:r>
      <w:r w:rsidR="00B52AAE" w:rsidRPr="00B52AAE">
        <w:t xml:space="preserve"> ustanovení</w:t>
      </w:r>
      <w:r>
        <w:t xml:space="preserve"> </w:t>
      </w:r>
      <w:r w:rsidR="00B52AAE" w:rsidRPr="00B52AAE">
        <w:t>je, že rezignovalo na sloučení starých a nových jednotek.</w:t>
      </w:r>
      <w:r w:rsidR="00660962">
        <w:t xml:space="preserve"> </w:t>
      </w:r>
      <w:r w:rsidR="00660962" w:rsidRPr="00660962">
        <w:t>Stačilo, aby do</w:t>
      </w:r>
      <w:r w:rsidR="007C670D">
        <w:t xml:space="preserve"> jeho textace </w:t>
      </w:r>
      <w:r w:rsidR="00660962" w:rsidRPr="00660962">
        <w:t>byla přidána jednoduchá věta</w:t>
      </w:r>
      <w:r w:rsidR="007C670D">
        <w:t xml:space="preserve">, </w:t>
      </w:r>
      <w:r w:rsidR="00660962" w:rsidRPr="00660962">
        <w:t>že</w:t>
      </w:r>
      <w:r w:rsidR="001001EC" w:rsidRPr="00660962">
        <w:t xml:space="preserve"> jednotky vzniklé za účinnosti zákona o vlastnictví bytů se považují za jednotky vzniklé podle </w:t>
      </w:r>
      <w:r w:rsidR="007C670D">
        <w:t>NOZ</w:t>
      </w:r>
      <w:r w:rsidR="001001EC" w:rsidRPr="00660962">
        <w:t>.</w:t>
      </w:r>
      <w:r w:rsidR="00862F54">
        <w:rPr>
          <w:rStyle w:val="Znakapoznpodarou"/>
        </w:rPr>
        <w:footnoteReference w:id="43"/>
      </w:r>
      <w:r w:rsidR="001001EC" w:rsidRPr="00660962">
        <w:t xml:space="preserve"> </w:t>
      </w:r>
      <w:r w:rsidR="00660962" w:rsidRPr="00660962">
        <w:t>Pak by nenastala otázka dvojkolejnosti a přidružené problémy s tím spojené</w:t>
      </w:r>
      <w:r w:rsidR="001001EC" w:rsidRPr="00660962">
        <w:t xml:space="preserve">. </w:t>
      </w:r>
      <w:r w:rsidR="00660962" w:rsidRPr="00660962">
        <w:t>To se ale nestalo, a tak existují jednotky dvojího typu.</w:t>
      </w:r>
      <w:r w:rsidR="001001EC" w:rsidRPr="00660962">
        <w:t xml:space="preserve"> </w:t>
      </w:r>
      <w:r w:rsidR="00660962" w:rsidRPr="00660962">
        <w:t>Z</w:t>
      </w:r>
      <w:r w:rsidR="001001EC" w:rsidRPr="00660962">
        <w:t>ákon neukládá povinnost vlastníků</w:t>
      </w:r>
      <w:r w:rsidR="00660962" w:rsidRPr="00660962">
        <w:t>m</w:t>
      </w:r>
      <w:r w:rsidR="001001EC" w:rsidRPr="00660962">
        <w:t xml:space="preserve"> dříve vzniklých jednote</w:t>
      </w:r>
      <w:r w:rsidR="007C670D">
        <w:t xml:space="preserve">k změnit je na nový režim, </w:t>
      </w:r>
      <w:r w:rsidR="001001EC" w:rsidRPr="00660962">
        <w:t>oba typy</w:t>
      </w:r>
      <w:r w:rsidR="007C670D">
        <w:t xml:space="preserve"> budou</w:t>
      </w:r>
      <w:r w:rsidR="001001EC" w:rsidRPr="00660962">
        <w:t xml:space="preserve"> koexistovat prakticky nekonečně. </w:t>
      </w:r>
      <w:r w:rsidR="00660962" w:rsidRPr="00660962">
        <w:t>Zároveň</w:t>
      </w:r>
      <w:r w:rsidR="001001EC" w:rsidRPr="00660962">
        <w:t xml:space="preserve"> není možné, aby v jedné budově existovaly jednotky v různých režimech. </w:t>
      </w:r>
      <w:r w:rsidR="00660962" w:rsidRPr="00660962">
        <w:t>P</w:t>
      </w:r>
      <w:r w:rsidR="001001EC" w:rsidRPr="00660962">
        <w:t>okud</w:t>
      </w:r>
      <w:r w:rsidR="00660962" w:rsidRPr="00660962">
        <w:t xml:space="preserve"> tak</w:t>
      </w:r>
      <w:r w:rsidR="001001EC" w:rsidRPr="00660962">
        <w:t xml:space="preserve"> po 1. lednu 2014</w:t>
      </w:r>
      <w:r w:rsidR="00660962" w:rsidRPr="00660962">
        <w:t xml:space="preserve"> fyzicky vznikají</w:t>
      </w:r>
      <w:r w:rsidR="001001EC" w:rsidRPr="00660962">
        <w:t xml:space="preserve"> nové jednotky (nástavby, vestavby, přístavby) v budovách, </w:t>
      </w:r>
      <w:r w:rsidR="00463FEE">
        <w:t>kde</w:t>
      </w:r>
      <w:r w:rsidR="001001EC" w:rsidRPr="00660962">
        <w:t xml:space="preserve"> již </w:t>
      </w:r>
      <w:r w:rsidR="001001EC" w:rsidRPr="00660962">
        <w:lastRenderedPageBreak/>
        <w:t xml:space="preserve">byly jednotky vymezeny podle </w:t>
      </w:r>
      <w:r w:rsidR="00660962" w:rsidRPr="00660962">
        <w:t>ZOVB</w:t>
      </w:r>
      <w:r w:rsidR="001001EC" w:rsidRPr="00660962">
        <w:t xml:space="preserve">, </w:t>
      </w:r>
      <w:r w:rsidR="00660962" w:rsidRPr="00660962">
        <w:t>aplikuje se i na tyto</w:t>
      </w:r>
      <w:r w:rsidR="001001EC" w:rsidRPr="00660962">
        <w:t xml:space="preserve"> jednotky </w:t>
      </w:r>
      <w:r w:rsidR="00660962" w:rsidRPr="00660962">
        <w:t xml:space="preserve">nadále </w:t>
      </w:r>
      <w:r w:rsidR="007C670D">
        <w:t>ZOVB</w:t>
      </w:r>
      <w:r w:rsidR="00660962">
        <w:rPr>
          <w:i/>
        </w:rPr>
        <w:t>.</w:t>
      </w:r>
      <w:r w:rsidR="001001EC" w:rsidRPr="001001EC">
        <w:rPr>
          <w:rStyle w:val="Znakapoznpodarou"/>
          <w:i/>
        </w:rPr>
        <w:footnoteReference w:id="44"/>
      </w:r>
      <w:r w:rsidR="00B52AAE" w:rsidRPr="00B52AAE">
        <w:t xml:space="preserve"> </w:t>
      </w:r>
      <w:r w:rsidR="00B52AAE">
        <w:t xml:space="preserve"> </w:t>
      </w:r>
      <w:r w:rsidR="006226B5" w:rsidRPr="00B974E5">
        <w:t>V souvislosti s</w:t>
      </w:r>
      <w:r w:rsidR="001001EC">
        <w:t xml:space="preserve"> § 3063</w:t>
      </w:r>
      <w:r w:rsidR="006226B5" w:rsidRPr="00B974E5">
        <w:t xml:space="preserve"> probíhaly diskuse</w:t>
      </w:r>
      <w:r w:rsidR="00B03E26">
        <w:t xml:space="preserve">, ve kterých se objevovaly </w:t>
      </w:r>
      <w:r w:rsidR="006226B5" w:rsidRPr="00B974E5">
        <w:t>mimo jiné i</w:t>
      </w:r>
      <w:r w:rsidR="007C670D">
        <w:t xml:space="preserve"> názory</w:t>
      </w:r>
      <w:r w:rsidR="006226B5" w:rsidRPr="00B974E5">
        <w:t xml:space="preserve">, že se na vlastnictví bytů vzniklé před účinností NOZ bude i po nabytí jeho účinnosti nadále </w:t>
      </w:r>
      <w:r w:rsidR="006226B5">
        <w:t>uplatňovat</w:t>
      </w:r>
      <w:r w:rsidR="006226B5" w:rsidRPr="00B974E5">
        <w:t xml:space="preserve"> dosavadní právní úprava.</w:t>
      </w:r>
      <w:r w:rsidR="006226B5" w:rsidRPr="00175C5C">
        <w:rPr>
          <w:i/>
        </w:rPr>
        <w:t xml:space="preserve"> </w:t>
      </w:r>
      <w:r w:rsidR="006226B5" w:rsidRPr="00B974E5">
        <w:t xml:space="preserve">Nejen </w:t>
      </w:r>
      <w:r w:rsidR="007C670D">
        <w:t xml:space="preserve">K. </w:t>
      </w:r>
      <w:r w:rsidR="006226B5" w:rsidRPr="00B974E5">
        <w:t xml:space="preserve">Eliáš s tímto pojetím nesouhlasí. V případech, na které dopadá ust. § 3063, jde pouze a jen o rozhodnutí otázky vzniku vlastnictví. </w:t>
      </w:r>
      <w:r w:rsidR="006226B5" w:rsidRPr="005776CE">
        <w:t xml:space="preserve">Protože se podle zákona o vlastnictví bytů odděluje vlastnictví bytu jako jednotky a podílu na společných částech domu jako vlastnictví dvou objektů, kdežto podle nového občanského zákoníku tvoří obojí jeden předmět vlastnictví, dává smysl konstruovat jednotky v jednom domě v jednom právním režimu. </w:t>
      </w:r>
      <w:r w:rsidR="006226B5" w:rsidRPr="003D30A0">
        <w:t xml:space="preserve">Rozebírané ustanovení </w:t>
      </w:r>
      <w:r w:rsidR="007C670D">
        <w:t xml:space="preserve">§ 3063 NOZ tedy obsahuje </w:t>
      </w:r>
      <w:r w:rsidR="006226B5" w:rsidRPr="003D30A0">
        <w:t>pravidlo pomáhající určit, co má osoba ve vlastnictví, nikoli jaká má vlastník k svému vlastnictví subjektivní práva, případně, jak je ve výkonu svých vlastnických oprávněních omezen.</w:t>
      </w:r>
      <w:r w:rsidR="006226B5" w:rsidRPr="00175C5C">
        <w:rPr>
          <w:i/>
        </w:rPr>
        <w:t xml:space="preserve"> </w:t>
      </w:r>
      <w:r w:rsidR="006226B5" w:rsidRPr="003D30A0">
        <w:t xml:space="preserve">Zde se uplatní obecná právní úprava § 3028 odst. 2 NOZ, který stanoví, že právní poměry týkající se mj. i práv věcných, se nadále řídí ustanoveními </w:t>
      </w:r>
      <w:r w:rsidR="00862F54">
        <w:t>¨NOZ</w:t>
      </w:r>
      <w:r w:rsidR="006226B5" w:rsidRPr="003D30A0">
        <w:t>.</w:t>
      </w:r>
      <w:r w:rsidR="00D801B3">
        <w:t xml:space="preserve"> </w:t>
      </w:r>
      <w:r w:rsidR="006226B5" w:rsidRPr="003D30A0">
        <w:t xml:space="preserve">Uvedené platí i pro úpravu vlastnictví bytů. Od účinnosti NOZ </w:t>
      </w:r>
      <w:r w:rsidR="006226B5">
        <w:t>má</w:t>
      </w:r>
      <w:r w:rsidR="006226B5" w:rsidRPr="003D30A0">
        <w:t xml:space="preserve"> vlastník jednotky – ať již v režimu vzniku před 1. 1. 2014 či po něm – práva a povi</w:t>
      </w:r>
      <w:r w:rsidR="00862F54">
        <w:t>nnosti plynoucí pro něho z </w:t>
      </w:r>
      <w:r w:rsidR="006226B5" w:rsidRPr="003D30A0">
        <w:t xml:space="preserve">§ 1175 a násl. </w:t>
      </w:r>
      <w:r w:rsidR="00862F54">
        <w:t>NOZ.</w:t>
      </w:r>
    </w:p>
    <w:p w:rsidR="00956CA1" w:rsidRDefault="00862F54" w:rsidP="00956CA1">
      <w:pPr>
        <w:rPr>
          <w:rFonts w:cs="Arial"/>
          <w:color w:val="000000"/>
          <w:szCs w:val="19"/>
        </w:rPr>
      </w:pPr>
      <w:r>
        <w:rPr>
          <w:rFonts w:cs="Arial"/>
          <w:color w:val="000000"/>
          <w:szCs w:val="19"/>
        </w:rPr>
        <w:t xml:space="preserve">§ 3028 NOZ </w:t>
      </w:r>
      <w:r w:rsidR="00956CA1">
        <w:rPr>
          <w:rFonts w:cs="Arial"/>
          <w:color w:val="000000"/>
          <w:szCs w:val="19"/>
        </w:rPr>
        <w:t>zakotvuje tzv. nepravou retroaktivitu (byť toto označení není přesné, protože nemá jít o zpětné působení): „</w:t>
      </w:r>
      <w:r w:rsidR="00956CA1">
        <w:rPr>
          <w:rFonts w:cs="Arial"/>
          <w:i/>
          <w:color w:val="000000"/>
          <w:szCs w:val="19"/>
        </w:rPr>
        <w:t>N</w:t>
      </w:r>
      <w:r w:rsidR="00956CA1" w:rsidRPr="004F3FD9">
        <w:rPr>
          <w:rFonts w:cs="Arial"/>
          <w:i/>
          <w:color w:val="000000"/>
          <w:szCs w:val="19"/>
        </w:rPr>
        <w:t>ení-li dále stanoveno jinak</w:t>
      </w:r>
      <w:r w:rsidR="00956CA1">
        <w:rPr>
          <w:rFonts w:cs="Arial"/>
          <w:i/>
          <w:color w:val="000000"/>
          <w:szCs w:val="19"/>
        </w:rPr>
        <w:t>,</w:t>
      </w:r>
      <w:r w:rsidR="00956CA1" w:rsidRPr="004F3FD9">
        <w:rPr>
          <w:rFonts w:cs="Arial"/>
          <w:i/>
          <w:color w:val="000000"/>
          <w:szCs w:val="19"/>
        </w:rPr>
        <w:t xml:space="preserve"> řídí se ustanoveními tohoto zákona i právní poměry týkající se práv věcných, jejich vznik, jakož i práva a povinnosti z nich dosud vzniklé se posoudí podl</w:t>
      </w:r>
      <w:r w:rsidR="00956CA1">
        <w:rPr>
          <w:rFonts w:cs="Arial"/>
          <w:i/>
          <w:color w:val="000000"/>
          <w:szCs w:val="19"/>
        </w:rPr>
        <w:t>e dosavadních právních předpisů.</w:t>
      </w:r>
      <w:r w:rsidR="00956CA1" w:rsidRPr="008A1BCA">
        <w:rPr>
          <w:rFonts w:cs="Arial"/>
          <w:color w:val="000000"/>
          <w:szCs w:val="19"/>
        </w:rPr>
        <w:t>“</w:t>
      </w:r>
      <w:r w:rsidR="00956CA1">
        <w:rPr>
          <w:rFonts w:cs="Arial"/>
          <w:i/>
          <w:color w:val="000000"/>
          <w:szCs w:val="19"/>
        </w:rPr>
        <w:t xml:space="preserve"> </w:t>
      </w:r>
      <w:r w:rsidR="00956CA1">
        <w:rPr>
          <w:rFonts w:cs="Arial"/>
          <w:color w:val="000000"/>
          <w:szCs w:val="19"/>
        </w:rPr>
        <w:t xml:space="preserve">Jde o situaci, kdy se sice úpravy NOZ použije na bytové jednotky vzniklé podle ZOVB, avšak jen v té části, v níž přetrvávají i za nové úpravy. </w:t>
      </w:r>
      <w:r w:rsidR="00463FEE">
        <w:rPr>
          <w:rFonts w:cs="Arial"/>
          <w:color w:val="000000"/>
          <w:szCs w:val="19"/>
        </w:rPr>
        <w:t>NOZ</w:t>
      </w:r>
      <w:r w:rsidR="00956CA1">
        <w:rPr>
          <w:rFonts w:cs="Arial"/>
          <w:color w:val="000000"/>
          <w:szCs w:val="19"/>
        </w:rPr>
        <w:t xml:space="preserve"> se použi</w:t>
      </w:r>
      <w:r w:rsidR="00463FEE">
        <w:rPr>
          <w:rFonts w:cs="Arial"/>
          <w:color w:val="000000"/>
          <w:szCs w:val="19"/>
        </w:rPr>
        <w:t>je jenom od okamžiku nabytí jeho</w:t>
      </w:r>
      <w:r w:rsidR="00956CA1">
        <w:rPr>
          <w:rFonts w:cs="Arial"/>
          <w:color w:val="000000"/>
          <w:szCs w:val="19"/>
        </w:rPr>
        <w:t xml:space="preserve"> účinnosti do budoucna. Bytové jednotky i následky z nich plynoucí, které vznikly za účinnosti ZOVB se podle ZOVB také posoudí.</w:t>
      </w:r>
      <w:r w:rsidR="00956CA1">
        <w:rPr>
          <w:rStyle w:val="Znakapoznpodarou"/>
          <w:rFonts w:cs="Arial"/>
          <w:color w:val="000000"/>
          <w:szCs w:val="19"/>
        </w:rPr>
        <w:footnoteReference w:id="45"/>
      </w:r>
    </w:p>
    <w:p w:rsidR="00956CA1" w:rsidRDefault="00463FEE" w:rsidP="00956CA1">
      <w:pPr>
        <w:rPr>
          <w:rFonts w:cs="Arial"/>
          <w:color w:val="000000"/>
          <w:szCs w:val="19"/>
        </w:rPr>
      </w:pPr>
      <w:r>
        <w:rPr>
          <w:rFonts w:cs="Arial"/>
          <w:color w:val="000000"/>
          <w:szCs w:val="19"/>
        </w:rPr>
        <w:t>Důležitější pro bytové spoluvlastnictví je ale právě</w:t>
      </w:r>
      <w:r w:rsidR="00956CA1">
        <w:rPr>
          <w:rFonts w:cs="Arial"/>
          <w:color w:val="000000"/>
          <w:szCs w:val="19"/>
        </w:rPr>
        <w:t xml:space="preserve"> § 3063 (v rámci přechodných ustanovení NOZ jediné speciálně se vztahující k bytovému spoluvlastnictví</w:t>
      </w:r>
      <w:r w:rsidR="00956CA1">
        <w:rPr>
          <w:rStyle w:val="Znakapoznpodarou"/>
          <w:rFonts w:cs="Arial"/>
          <w:color w:val="000000"/>
          <w:szCs w:val="19"/>
        </w:rPr>
        <w:footnoteReference w:id="46"/>
      </w:r>
      <w:r>
        <w:rPr>
          <w:rFonts w:cs="Arial"/>
          <w:color w:val="000000"/>
          <w:szCs w:val="19"/>
        </w:rPr>
        <w:t xml:space="preserve">). </w:t>
      </w:r>
      <w:r w:rsidR="00956CA1">
        <w:t>Toto pravidlo bylo doplněno do vládního návrhu NOZ</w:t>
      </w:r>
      <w:r w:rsidR="00956CA1" w:rsidRPr="001344E3">
        <w:t xml:space="preserve"> </w:t>
      </w:r>
      <w:r w:rsidR="00956CA1">
        <w:t xml:space="preserve">kvůli </w:t>
      </w:r>
      <w:r w:rsidR="00956CA1" w:rsidRPr="001344E3">
        <w:t>obavě, aby nedošlo k situaci, že v jedné nemovitosti vzniknou jednotky ve dvou právních režimech.</w:t>
      </w:r>
      <w:r w:rsidR="00956CA1">
        <w:t xml:space="preserve"> </w:t>
      </w:r>
      <w:r w:rsidR="00956CA1" w:rsidRPr="00A8029E">
        <w:t>Taková situace by mohla ojediněle nastat v případě výstavby domu s jednotkami, kde v domě by vznikly některé jednotky vytvořením před dnem účinnosti nového občanského zákoníku a jiné až po jeho účinnosti; dále i v případě změny prohlášení, na jehož základě byly jednotky zapsány do katastru nemovitosti ještě za účinnosti ZOVB, pokud by bylo změnou prohlášení v době účinnosti NOZ rozhodnuto o sloučení či rozdělení některých doposud existujících jednotek a vytvoření jednotek nových.</w:t>
      </w:r>
    </w:p>
    <w:p w:rsidR="00956CA1" w:rsidRDefault="00956CA1" w:rsidP="00956CA1">
      <w:pPr>
        <w:rPr>
          <w:rFonts w:cs="Arial"/>
          <w:color w:val="000000"/>
          <w:szCs w:val="19"/>
        </w:rPr>
      </w:pPr>
      <w:r>
        <w:rPr>
          <w:rFonts w:cs="Arial"/>
          <w:color w:val="000000"/>
          <w:szCs w:val="19"/>
        </w:rPr>
        <w:lastRenderedPageBreak/>
        <w:t>I p</w:t>
      </w:r>
      <w:r w:rsidRPr="00F959A3">
        <w:rPr>
          <w:rFonts w:cs="Arial"/>
          <w:color w:val="000000"/>
          <w:szCs w:val="19"/>
        </w:rPr>
        <w:t>odle důvodové zprávy</w:t>
      </w:r>
      <w:r>
        <w:rPr>
          <w:rStyle w:val="Znakapoznpodarou"/>
          <w:rFonts w:cs="Arial"/>
          <w:color w:val="000000"/>
          <w:szCs w:val="19"/>
        </w:rPr>
        <w:footnoteReference w:id="47"/>
      </w:r>
      <w:r>
        <w:rPr>
          <w:rFonts w:cs="Arial"/>
          <w:color w:val="000000"/>
          <w:szCs w:val="19"/>
        </w:rPr>
        <w:t xml:space="preserve"> k ust.</w:t>
      </w:r>
      <w:r w:rsidRPr="00F959A3">
        <w:rPr>
          <w:rFonts w:cs="Arial"/>
          <w:color w:val="000000"/>
          <w:szCs w:val="19"/>
        </w:rPr>
        <w:t xml:space="preserve"> § 3063 vylučuje vznik vlastnictví bytů, které by v sobě slučovalo jak právní režim podle </w:t>
      </w:r>
      <w:r>
        <w:rPr>
          <w:rFonts w:cs="Arial"/>
          <w:color w:val="000000"/>
          <w:szCs w:val="19"/>
        </w:rPr>
        <w:t>ZOVB</w:t>
      </w:r>
      <w:r w:rsidRPr="00F959A3">
        <w:rPr>
          <w:rFonts w:cs="Arial"/>
          <w:color w:val="000000"/>
          <w:szCs w:val="19"/>
        </w:rPr>
        <w:t xml:space="preserve">, tak právní režim podle </w:t>
      </w:r>
      <w:r>
        <w:rPr>
          <w:rFonts w:cs="Arial"/>
          <w:color w:val="000000"/>
          <w:szCs w:val="19"/>
        </w:rPr>
        <w:t>NOZ</w:t>
      </w:r>
      <w:r w:rsidRPr="00F959A3">
        <w:rPr>
          <w:rFonts w:cs="Arial"/>
          <w:color w:val="000000"/>
          <w:szCs w:val="19"/>
        </w:rPr>
        <w:t>, v jednom domě.</w:t>
      </w:r>
    </w:p>
    <w:p w:rsidR="00956CA1" w:rsidRPr="009C74EC" w:rsidRDefault="00956CA1" w:rsidP="00956CA1">
      <w:pPr>
        <w:rPr>
          <w:rFonts w:cs="Arial"/>
          <w:color w:val="000000"/>
          <w:szCs w:val="19"/>
        </w:rPr>
      </w:pPr>
      <w:r>
        <w:rPr>
          <w:rFonts w:cs="Arial"/>
          <w:color w:val="000000"/>
          <w:szCs w:val="19"/>
        </w:rPr>
        <w:t xml:space="preserve">Nejinak se k této otázce postavila </w:t>
      </w:r>
      <w:r w:rsidRPr="00EB4855">
        <w:rPr>
          <w:rFonts w:cs="Arial"/>
          <w:color w:val="000000"/>
          <w:szCs w:val="19"/>
        </w:rPr>
        <w:t>Expertní skupina Komise pro aplikaci nové civilní legislativy</w:t>
      </w:r>
      <w:r>
        <w:rPr>
          <w:rFonts w:cs="Arial"/>
          <w:color w:val="000000"/>
          <w:szCs w:val="19"/>
        </w:rPr>
        <w:t xml:space="preserve"> neboli „KANCL“, která však v dané věci vydala hned dvě stanoviska, v nichž se náhled komise na věc vyvinul. První stanovisko ze dne 19. 4. 2013 uzavírá pouze, že „</w:t>
      </w:r>
      <w:r w:rsidRPr="002C1188">
        <w:rPr>
          <w:i/>
        </w:rPr>
        <w:t xml:space="preserve">po nabytí účinnosti NOZ bude vlastník jednotky vzniklé před účinností NOZ </w:t>
      </w:r>
      <w:r w:rsidR="00862F54">
        <w:rPr>
          <w:i/>
        </w:rPr>
        <w:t>(</w:t>
      </w:r>
      <w:r w:rsidR="00862F54" w:rsidRPr="00862F54">
        <w:t>a vymezené dle ZOVB</w:t>
      </w:r>
      <w:r w:rsidRPr="002C1188">
        <w:rPr>
          <w:i/>
        </w:rPr>
        <w:t>) převádět stále tuto (starou) jednotku, jak je zapsána v katastru nemovitostí.</w:t>
      </w:r>
      <w:r>
        <w:t>“ Činí tak s odůvodněním, že „</w:t>
      </w:r>
      <w:r w:rsidRPr="002C1188">
        <w:rPr>
          <w:i/>
        </w:rPr>
        <w:t xml:space="preserve">Na převod vlastnického práva k jednotkám vzniklých před účinností NOZ bude po účinnosti NOZ dopadat i </w:t>
      </w:r>
      <w:r w:rsidR="00862F54">
        <w:rPr>
          <w:i/>
        </w:rPr>
        <w:t xml:space="preserve">ZOVB </w:t>
      </w:r>
      <w:r w:rsidRPr="002C1188">
        <w:rPr>
          <w:i/>
        </w:rPr>
        <w:t xml:space="preserve">jednak z hlediska předmětu převodu vlastnického práva (budou převáděny jednotky vymezené dosavadním zákonem o vlastnictví bytů), jednak z hlediska povinných náležitostí smlouvy stanovených </w:t>
      </w:r>
      <w:r w:rsidR="00862F54">
        <w:rPr>
          <w:i/>
        </w:rPr>
        <w:t>ZOVB</w:t>
      </w:r>
      <w:r w:rsidRPr="002C1188">
        <w:rPr>
          <w:i/>
        </w:rPr>
        <w:t xml:space="preserve"> (pokud jde o označení předmětu převodu a další náležitosti předepisované v § 6 </w:t>
      </w:r>
      <w:r w:rsidR="00862F54">
        <w:rPr>
          <w:i/>
        </w:rPr>
        <w:t>ZOVB</w:t>
      </w:r>
      <w:r w:rsidRPr="002C1188">
        <w:rPr>
          <w:i/>
        </w:rPr>
        <w:t>). K transformaci na (nové) jednotky vymezené NOZ by došlo teprve tehdy, pokud by vlastníci jednotek změnili prohlášení dle § 1169 NOZ.</w:t>
      </w:r>
      <w:r>
        <w:rPr>
          <w:i/>
        </w:rPr>
        <w:t>“</w:t>
      </w:r>
      <w:r w:rsidRPr="009C74EC">
        <w:rPr>
          <w:rStyle w:val="Znakapoznpodarou"/>
        </w:rPr>
        <w:footnoteReference w:id="48"/>
      </w:r>
      <w:r>
        <w:rPr>
          <w:i/>
        </w:rPr>
        <w:t xml:space="preserve"> </w:t>
      </w:r>
      <w:r>
        <w:t>První stanovisko tak mělo v úmyslu aplikovat ZOVB nejen v rovině vymezení jednotky jako předmětu vlastnictví, respektive jeho případného převodu, ale i v rovině povinných náležitostí smlouvy.</w:t>
      </w:r>
      <w:r w:rsidRPr="009C74EC">
        <w:rPr>
          <w:rStyle w:val="Znakapoznpodarou"/>
          <w:rFonts w:cs="Arial"/>
          <w:color w:val="000000"/>
          <w:szCs w:val="19"/>
        </w:rPr>
        <w:t xml:space="preserve"> </w:t>
      </w:r>
      <w:r>
        <w:t>Druhé stanovisko Expertní skupiny k této věci ze dne 16. 1. 2014 bylo doplněním a revizí prvního. Skupina se jeho prostřednictvím vyjadřuje i k přidružené otázce předkupního práva a mění svůj předchozí závěr ohledně povinných náležitostí smlouvy. „</w:t>
      </w:r>
      <w:r w:rsidRPr="00FC7D3F">
        <w:rPr>
          <w:i/>
        </w:rPr>
        <w:t xml:space="preserve">Od 1. 1. 2014 bude vlastník jednotky vzniklé před účinností NOZ </w:t>
      </w:r>
      <w:r w:rsidR="00862F54">
        <w:rPr>
          <w:i/>
        </w:rPr>
        <w:t>(a vymezené dle již zrušeného ZO</w:t>
      </w:r>
      <w:r w:rsidRPr="00FC7D3F">
        <w:rPr>
          <w:i/>
        </w:rPr>
        <w:t>VB) převádět stále tuto (starou) jednotku, jak je zapsána v katastru nemovitostí. K tomu, aby se vznik vlastnického práva ke všem jednotkám v domě řídil Z</w:t>
      </w:r>
      <w:r w:rsidR="00862F54">
        <w:rPr>
          <w:i/>
        </w:rPr>
        <w:t>O</w:t>
      </w:r>
      <w:r w:rsidRPr="00FC7D3F">
        <w:rPr>
          <w:i/>
        </w:rPr>
        <w:t>VB, nebylo zapotřebí, aby došlo k převodu jednotky z vlastníka budovy na další osobu do 31. prosince 2013, ale stačilo, když bylo nejpozději s účinky k 31. 12. 2013</w:t>
      </w:r>
      <w:r w:rsidR="00660962">
        <w:rPr>
          <w:rStyle w:val="Znakapoznpodarou"/>
          <w:i/>
        </w:rPr>
        <w:footnoteReference w:id="49"/>
      </w:r>
      <w:r w:rsidRPr="00FC7D3F">
        <w:rPr>
          <w:i/>
        </w:rPr>
        <w:t xml:space="preserve"> vkladem vloženo do katastru nemovitostí prohlášení vlastníka budovy. Jestliže došlo k zápisu prohlášení vlastníka domu vkladem do katastru nemovitostí s účinky nejpozději k 31. prosinci 2013, pak má po 1. lednu 2014 nájemce </w:t>
      </w:r>
      <w:r w:rsidR="00862F54" w:rsidRPr="00FC7D3F">
        <w:rPr>
          <w:i/>
        </w:rPr>
        <w:t>bytu – jednotky</w:t>
      </w:r>
      <w:r w:rsidR="00862F54">
        <w:rPr>
          <w:i/>
        </w:rPr>
        <w:t xml:space="preserve"> vymezené dle ZO</w:t>
      </w:r>
      <w:r w:rsidRPr="00FC7D3F">
        <w:rPr>
          <w:i/>
        </w:rPr>
        <w:t>VB, pouze předkupní právo k této jednotce při jejím prvním převodu dle § 1187 odst. 1 NOZ. Žádné jiné zákonné předkupní právo nájemce bytu nemá.</w:t>
      </w:r>
      <w:r>
        <w:rPr>
          <w:i/>
        </w:rPr>
        <w:t>“</w:t>
      </w:r>
      <w:r w:rsidRPr="009C74EC">
        <w:rPr>
          <w:rStyle w:val="Znakapoznpodarou"/>
          <w:rFonts w:cs="Arial"/>
          <w:color w:val="000000"/>
          <w:szCs w:val="19"/>
        </w:rPr>
        <w:t xml:space="preserve"> </w:t>
      </w:r>
      <w:r>
        <w:rPr>
          <w:rStyle w:val="Znakapoznpodarou"/>
          <w:rFonts w:cs="Arial"/>
          <w:color w:val="000000"/>
          <w:szCs w:val="19"/>
        </w:rPr>
        <w:footnoteReference w:id="50"/>
      </w:r>
      <w:r>
        <w:rPr>
          <w:i/>
        </w:rPr>
        <w:t xml:space="preserve"> </w:t>
      </w:r>
      <w:r w:rsidRPr="009C74EC">
        <w:t>Názorovou změnu v otázce podstatných náležitostí skupina blíže nezdůvodňuje, v odůvodnění stanoviska pouze uvádí, že</w:t>
      </w:r>
      <w:r>
        <w:t>:</w:t>
      </w:r>
      <w:r>
        <w:rPr>
          <w:i/>
        </w:rPr>
        <w:t xml:space="preserve"> „</w:t>
      </w:r>
      <w:r w:rsidRPr="009C74EC">
        <w:rPr>
          <w:i/>
        </w:rPr>
        <w:t>Na převod vlastnického práva k jednotkám vzniklým před účinností NOZ dop</w:t>
      </w:r>
      <w:r w:rsidR="00393743">
        <w:rPr>
          <w:i/>
        </w:rPr>
        <w:t>adá po účinnosti NOZ i nadále ZO</w:t>
      </w:r>
      <w:r w:rsidRPr="009C74EC">
        <w:rPr>
          <w:i/>
        </w:rPr>
        <w:t>VB co se týče vymezení předmětu převodu vlastnického práva (tj. budou převád</w:t>
      </w:r>
      <w:r w:rsidR="00393743">
        <w:rPr>
          <w:i/>
        </w:rPr>
        <w:t>ěny jednotky vymezené dle § 2 ZO</w:t>
      </w:r>
      <w:r w:rsidRPr="009C74EC">
        <w:rPr>
          <w:i/>
        </w:rPr>
        <w:t xml:space="preserve">VB). Povinné náležitosti smlouvy o převodu vlastnického práva k jednotce (a samotná smlouva o převodu vlastnického </w:t>
      </w:r>
      <w:r w:rsidRPr="009C74EC">
        <w:rPr>
          <w:i/>
        </w:rPr>
        <w:lastRenderedPageBreak/>
        <w:t>práva k jednotce) se již budou řídit novou právní úpravou.</w:t>
      </w:r>
      <w:r>
        <w:rPr>
          <w:i/>
        </w:rPr>
        <w:t xml:space="preserve">“ </w:t>
      </w:r>
      <w:r>
        <w:t>Tuto změnu považuji za správnou a při</w:t>
      </w:r>
      <w:r w:rsidR="00107328">
        <w:t>kláním se k revidovanému řešení s poukazem na kritiku prvního ze stanovisek, se kterou přišel již Dvořák. Důvodem kritiky bylo, že tímto prvním a nesprávným (byť ne zcela) stanoviskem se stihly inspirovat katastrální úřady. Ona zásadní chyba spočívala v užití ust. § 6 ZOVB na právní vztahy k jednotkám vymezeným dle ZOVB.</w:t>
      </w:r>
      <w:r w:rsidR="00107328">
        <w:rPr>
          <w:rStyle w:val="Znakapoznpodarou"/>
        </w:rPr>
        <w:footnoteReference w:id="51"/>
      </w:r>
      <w:r w:rsidR="00107328">
        <w:t xml:space="preserve"> </w:t>
      </w:r>
      <w:r>
        <w:t xml:space="preserve"> </w:t>
      </w:r>
      <w:r w:rsidR="001613FD">
        <w:t>Povšimněme si, že problematika bytového spoluvlastnictví byla pro skupinu KANCL jedním ze stěžejních témat, neboť celkem ¼ všech jejích stanovisek se týkala právě jeho.</w:t>
      </w:r>
      <w:r w:rsidR="001613FD">
        <w:rPr>
          <w:rStyle w:val="Znakapoznpodarou"/>
        </w:rPr>
        <w:footnoteReference w:id="52"/>
      </w:r>
    </w:p>
    <w:p w:rsidR="000D0A4D" w:rsidRDefault="00956CA1" w:rsidP="00463FEE">
      <w:pPr>
        <w:rPr>
          <w:rFonts w:cs="Arial"/>
          <w:color w:val="000000"/>
          <w:szCs w:val="19"/>
        </w:rPr>
      </w:pPr>
      <w:r>
        <w:rPr>
          <w:rFonts w:cs="Arial"/>
          <w:color w:val="000000"/>
          <w:szCs w:val="19"/>
        </w:rPr>
        <w:t xml:space="preserve">Byť ZOVB pozbyl platnosti s nabytím účinnosti NOZ k 1. 1. 2014, </w:t>
      </w:r>
      <w:r w:rsidR="00463FEE">
        <w:rPr>
          <w:rFonts w:cs="Arial"/>
          <w:color w:val="000000"/>
          <w:szCs w:val="19"/>
        </w:rPr>
        <w:t>prostřednictvím</w:t>
      </w:r>
      <w:r>
        <w:rPr>
          <w:rFonts w:cs="Arial"/>
          <w:color w:val="000000"/>
          <w:szCs w:val="19"/>
        </w:rPr>
        <w:t xml:space="preserve"> přechodných ustanovení </w:t>
      </w:r>
      <w:r w:rsidR="00463FEE">
        <w:rPr>
          <w:rFonts w:cs="Arial"/>
          <w:color w:val="000000"/>
          <w:szCs w:val="19"/>
        </w:rPr>
        <w:t>NOZ je ponechán ve</w:t>
      </w:r>
      <w:r>
        <w:rPr>
          <w:rFonts w:cs="Arial"/>
          <w:color w:val="000000"/>
          <w:szCs w:val="19"/>
        </w:rPr>
        <w:t xml:space="preserve"> faktické nutnosti aplikace pro jednotky vzniknuvší do 31. 12 2013 a jednotky nově vznikající i za účinnosti NOZ v domech, kde je již spoluvlastnictví vym</w:t>
      </w:r>
      <w:r w:rsidR="00463FEE">
        <w:rPr>
          <w:rFonts w:cs="Arial"/>
          <w:color w:val="000000"/>
          <w:szCs w:val="19"/>
        </w:rPr>
        <w:t>ezeno dle ZOVB. V</w:t>
      </w:r>
      <w:r w:rsidR="00393743">
        <w:rPr>
          <w:rFonts w:cs="Arial"/>
          <w:color w:val="000000"/>
          <w:szCs w:val="19"/>
        </w:rPr>
        <w:t>e vztahu k</w:t>
      </w:r>
      <w:r>
        <w:rPr>
          <w:rFonts w:cs="Arial"/>
          <w:color w:val="000000"/>
          <w:szCs w:val="19"/>
        </w:rPr>
        <w:t xml:space="preserve"> § 3063 NOZ není rozhodující, zda došlo do 31. prosince 2013 zároveň také k převodu alespoň jedné jednotky z vlastníka budovy na další osobu – stačí, pokud došlo pouze ke vzniku vlastnictví právě alespoň k jedné jednotce, kdy příslušným vkladem prohlášení vlastníka budovy do katastru nemovitostí vzniklo vlastnictví jednotky, respektive ke všem vymezeným jednotkám podle zákona o vlastnictví bytů.</w:t>
      </w:r>
      <w:r>
        <w:rPr>
          <w:rStyle w:val="Znakapoznpodarou"/>
          <w:rFonts w:cs="Arial"/>
          <w:color w:val="000000"/>
          <w:szCs w:val="19"/>
        </w:rPr>
        <w:footnoteReference w:id="53"/>
      </w:r>
      <w:r>
        <w:rPr>
          <w:rFonts w:cs="Arial"/>
          <w:color w:val="000000"/>
          <w:szCs w:val="19"/>
        </w:rPr>
        <w:t xml:space="preserve"> Formálně tedy dvojkolejnost vznikla právě k okamžiku účinnosti NOZ, materiálně-právně pak se zápisem první bytové jednotky do katastru nemovitostí v režimu NOZ.</w:t>
      </w:r>
      <w:r>
        <w:rPr>
          <w:rStyle w:val="Znakapoznpodarou"/>
          <w:rFonts w:cs="Arial"/>
          <w:color w:val="000000"/>
          <w:szCs w:val="19"/>
        </w:rPr>
        <w:footnoteReference w:id="54"/>
      </w:r>
    </w:p>
    <w:p w:rsidR="00B23F9D" w:rsidRPr="00D801B3" w:rsidRDefault="00B23F9D" w:rsidP="00956CA1">
      <w:pPr>
        <w:rPr>
          <w:i/>
        </w:rPr>
      </w:pPr>
      <w:r>
        <w:rPr>
          <w:rFonts w:cs="Arial"/>
          <w:color w:val="000000"/>
          <w:szCs w:val="19"/>
        </w:rPr>
        <w:t>Otázky aplikace té které úpravy však již není nutno pouze dovozovat výkladem přechodných ustanovení, neboť se k nim vyjádřil Nejvyšší i Ústavní soud.</w:t>
      </w:r>
      <w:r w:rsidR="005F38BA">
        <w:rPr>
          <w:rStyle w:val="Znakapoznpodarou"/>
          <w:rFonts w:cs="Arial"/>
          <w:color w:val="000000"/>
          <w:szCs w:val="19"/>
        </w:rPr>
        <w:footnoteReference w:id="55"/>
      </w:r>
    </w:p>
    <w:p w:rsidR="006226B5" w:rsidRPr="005C28DF" w:rsidRDefault="007958EC" w:rsidP="006226B5">
      <w:pPr>
        <w:rPr>
          <w:i/>
        </w:rPr>
      </w:pPr>
      <w:r>
        <w:t>Přidruženo</w:t>
      </w:r>
      <w:r w:rsidR="000F4F77">
        <w:t>u</w:t>
      </w:r>
      <w:r>
        <w:t xml:space="preserve"> problematikou je režim společenství vlastníků jednotek. </w:t>
      </w:r>
      <w:r w:rsidR="00393743">
        <w:t>V souladu s </w:t>
      </w:r>
      <w:r w:rsidR="006226B5" w:rsidRPr="00C16D77">
        <w:t xml:space="preserve">§ 3041 odst. 1 NOZ se právní povaha právnických osob upravených občanským zákoníkem řídí jeho ustanoveními od 1. 1. 2014. Dle odst. 2 ustanovení společenské smlouvy nebo statutu právnických osob uvedených v odstavci 1 odporující kogentním ustanovením NOZ, pozbývají závaznosti dnem nabytí jeho účinnosti. Dotčené právnické osoby byly povinny do tří let ode dne nabytí účinnosti NOZ, tedy do 1. 1. 2017, přizpůsobit společenskou smlouvu či statut nové zákonné úpravě a následně je doručit orgánu veřejné moci, který vede veřejný rejstřík, do něhož je tato právnická osoba zapsána. Společenství vlastníků jednotek nepochybně je právnickou osobou upravenou novým občanským zákoníkem, tedy se jí předchozí plně týká. Na tom nemění </w:t>
      </w:r>
      <w:r w:rsidR="006226B5" w:rsidRPr="00C16D77">
        <w:lastRenderedPageBreak/>
        <w:t>nic ani rozdílný způsob vzniku společenství v případě vzniku před 1. 1. 2014 za účinnosti ZOVB.</w:t>
      </w:r>
      <w:r w:rsidR="006226B5" w:rsidRPr="00C16D77">
        <w:rPr>
          <w:rStyle w:val="Znakapoznpodarou"/>
        </w:rPr>
        <w:footnoteReference w:id="56"/>
      </w:r>
      <w:r w:rsidR="000B34D6">
        <w:t xml:space="preserve"> Tento závěr se dnes již může opřít také o judikaturu Vrchních soudů.</w:t>
      </w:r>
      <w:r w:rsidR="000B34D6">
        <w:rPr>
          <w:rStyle w:val="Znakapoznpodarou"/>
        </w:rPr>
        <w:footnoteReference w:id="57"/>
      </w:r>
    </w:p>
    <w:p w:rsidR="006226B5" w:rsidRDefault="006226B5" w:rsidP="006F2DE7">
      <w:pPr>
        <w:pStyle w:val="Nadpis2"/>
      </w:pPr>
      <w:bookmarkStart w:id="20" w:name="_Toc509413078"/>
      <w:r w:rsidRPr="00B47220">
        <w:t>Posuzování vad prohlášení vlas</w:t>
      </w:r>
      <w:r>
        <w:t>tníka budovy vydaných podle ZOVB</w:t>
      </w:r>
      <w:r w:rsidRPr="00B47220">
        <w:t xml:space="preserve"> po 1. 1. 2014</w:t>
      </w:r>
      <w:bookmarkEnd w:id="20"/>
    </w:p>
    <w:p w:rsidR="006226B5" w:rsidRPr="002D758A" w:rsidRDefault="006226B5" w:rsidP="006226B5">
      <w:pPr>
        <w:rPr>
          <w:szCs w:val="24"/>
        </w:rPr>
      </w:pPr>
      <w:r w:rsidRPr="002D758A">
        <w:rPr>
          <w:szCs w:val="24"/>
        </w:rPr>
        <w:t>Nutnost aplikace již formálně neplatného zákona vyvolává otázku, jak postupovat ve vztahu k prohlášením vlastníka budovy vydaným podle § 4 ZOVB, která obsahují vady (</w:t>
      </w:r>
      <w:r>
        <w:rPr>
          <w:rFonts w:cs="Arial"/>
          <w:color w:val="000000"/>
          <w:szCs w:val="24"/>
          <w:shd w:val="clear" w:color="auto" w:fill="FFFFFF"/>
        </w:rPr>
        <w:t>t</w:t>
      </w:r>
      <w:r w:rsidRPr="002D758A">
        <w:rPr>
          <w:rFonts w:cs="Arial"/>
          <w:color w:val="000000"/>
          <w:szCs w:val="24"/>
          <w:shd w:val="clear" w:color="auto" w:fill="FFFFFF"/>
        </w:rPr>
        <w:t>j. vydaným v období od 1. 5. 1994 do 31. 12. 2013).</w:t>
      </w:r>
      <w:r w:rsidRPr="002D758A">
        <w:rPr>
          <w:szCs w:val="24"/>
        </w:rPr>
        <w:t xml:space="preserve"> Jedním ze základních principů právního státu je totiž zákaz retroaktivity právní úpravy.</w:t>
      </w:r>
    </w:p>
    <w:p w:rsidR="006226B5" w:rsidRPr="007D77A1" w:rsidRDefault="006226B5" w:rsidP="006226B5">
      <w:r w:rsidRPr="007D77A1">
        <w:t>Je ovšem třeba si uvědomit i praktický aspekt věci – právní vztahy vzniklé podle ZOVB budou pravděpodobně přetrvávat celá desetiletí (a dost možná i déle); Myšlenka, že za dlouhá desetiletí se budou osoby dovolávat (pro často jen formální vady) neplatnosti prohlášení vlastníka budovy vydaného v roce ještě za účinnosti ZOVB je přinejmenším nejistá.</w:t>
      </w:r>
    </w:p>
    <w:p w:rsidR="006226B5" w:rsidRPr="007D77A1" w:rsidRDefault="006226B5" w:rsidP="006226B5">
      <w:r w:rsidRPr="007D77A1">
        <w:t>Je tak třeba se opět podívat do přechodných ustanovení NOZ.</w:t>
      </w:r>
      <w:r>
        <w:t xml:space="preserve"> </w:t>
      </w:r>
      <w:r w:rsidRPr="007D77A1">
        <w:t>Ustanoveními NOZ se řídí mj. právní poměry týkající se věcných práv; jejich vznik, jakož i práva a povinnosti z nich vzniklé přede dnem nabytí účinnosti NOZ se však posuzují podle dosa</w:t>
      </w:r>
      <w:r w:rsidR="00393743">
        <w:t>vadních právních předpisů (</w:t>
      </w:r>
      <w:r w:rsidRPr="007D77A1">
        <w:t>§ 3028 odst. 2 NOZ).</w:t>
      </w:r>
      <w:r w:rsidRPr="00B47220">
        <w:rPr>
          <w:b/>
          <w:i/>
        </w:rPr>
        <w:t xml:space="preserve"> </w:t>
      </w:r>
      <w:r w:rsidRPr="007D77A1">
        <w:t xml:space="preserve">Problémem je, že ustanovení § 3063 NOZ na danou otázku nedopadá vůbec a jiná výslovná úprava zde neexistuje a ustanovení § 3028 pro její vyřešení nestačí. </w:t>
      </w:r>
      <w:r>
        <w:t>Zde je prostor pro judikaturu, která má autoritativně a závazně rozhodnout v rámci nastalé šedé zóny (</w:t>
      </w:r>
      <w:r w:rsidRPr="00951B33">
        <w:rPr>
          <w:i/>
        </w:rPr>
        <w:t>non liquet</w:t>
      </w:r>
      <w:r>
        <w:t>).</w:t>
      </w:r>
      <w:r>
        <w:rPr>
          <w:rStyle w:val="Znakapoznpodarou"/>
        </w:rPr>
        <w:footnoteReference w:id="58"/>
      </w:r>
    </w:p>
    <w:p w:rsidR="006226B5" w:rsidRPr="00F85172" w:rsidRDefault="006226B5" w:rsidP="006226B5">
      <w:r w:rsidRPr="00F85172">
        <w:t>Doslovný výklad § 3028 odst. 2 části věty za středníkem NOZ by stricto sensu musel vést k závěru o neplatnosti/nicotnosti prohlášení vlastníka budovy vydaného podle § 4 ZOVB pro vady spočívající v rozporu s právními předpisy. Z toho by samozřejmě dále plynuly různé nega</w:t>
      </w:r>
      <w:r>
        <w:t>tivní</w:t>
      </w:r>
      <w:r w:rsidRPr="00F85172">
        <w:t xml:space="preserve"> důsledky.</w:t>
      </w:r>
    </w:p>
    <w:p w:rsidR="006226B5" w:rsidRPr="00B47220" w:rsidRDefault="006226B5" w:rsidP="006226B5">
      <w:pPr>
        <w:rPr>
          <w:b/>
          <w:i/>
        </w:rPr>
      </w:pPr>
      <w:r w:rsidRPr="00544249">
        <w:t xml:space="preserve">Ústavní soud již v roce 2005 judikoval, že závěr o neurčitosti právního úkonu, která způsobuje neplatnost pro rozpor se zákonem nebo proto, že zákon obchází, se musí opírat o rozumný výklad dotčeného zákonného ustanovení. Nelze vystačit pouze s gramatickým výkladem. Významnou roli zde hraje především výklad teleologický. Je proto nutné se vždy ptát po účelu zákonného příkazu či zákazu. V soukromoprávní sféře ne každý rozpor se zákonem má </w:t>
      </w:r>
      <w:r>
        <w:t xml:space="preserve">mít </w:t>
      </w:r>
      <w:r w:rsidRPr="00544249">
        <w:t xml:space="preserve">za následek absolutní neplatnost právního úkonu. Smyslem ochrany legality v soukromoprávní sféře není jen ochrana zájmů státu, ale především ochrana soukromoprávních vztahů, tedy především ochrana smluvních vztahů podle zásady </w:t>
      </w:r>
      <w:r w:rsidRPr="00EC2D66">
        <w:rPr>
          <w:i/>
        </w:rPr>
        <w:t>pacta sunt servanda</w:t>
      </w:r>
      <w:r w:rsidRPr="00544249">
        <w:t xml:space="preserve">. V soukromoprávní sféře platí zásada, že co není zakázáno, je dovoleno. Proto každý zákonný zásah </w:t>
      </w:r>
      <w:r w:rsidRPr="00544249">
        <w:lastRenderedPageBreak/>
        <w:t>do této sféry je třeba vnímat jako</w:t>
      </w:r>
      <w:r>
        <w:t xml:space="preserve"> omezení lidské svobody, a tedy</w:t>
      </w:r>
      <w:r w:rsidRPr="00544249">
        <w:t xml:space="preserve"> je nutno vykládat ustanovení o neplatnosti právních úkonů pro rozpor se zákonem restriktivně. Opačný výklad by byl v rozporu s čl. 4 odst. 4 L</w:t>
      </w:r>
      <w:r>
        <w:t>istiny</w:t>
      </w:r>
      <w:r w:rsidRPr="00544249">
        <w:t>, podle kterého při používání ustanovení o mezích základních práv a svobod (v tomto případě smluvní volnosti stran) musí být šetřeno jejich podstaty a smyslu a taková omezení nesmějí být zneužívána k jiným účelům, než pro které byla stanovena.</w:t>
      </w:r>
      <w:r w:rsidRPr="00544249">
        <w:rPr>
          <w:rStyle w:val="Znakapoznpodarou"/>
        </w:rPr>
        <w:footnoteReference w:id="59"/>
      </w:r>
    </w:p>
    <w:p w:rsidR="006226B5" w:rsidRPr="00544249" w:rsidRDefault="006226B5" w:rsidP="006226B5">
      <w:r w:rsidRPr="00544249">
        <w:t xml:space="preserve">Obdobně Nejvyšší Soud judikoval, že při aplikaci ust. § 39 </w:t>
      </w:r>
      <w:r w:rsidR="00B16A37">
        <w:t>SOZ</w:t>
      </w:r>
      <w:r>
        <w:t xml:space="preserve"> je nutno posuzovat intenzitu</w:t>
      </w:r>
      <w:r w:rsidRPr="00544249">
        <w:t xml:space="preserve"> rozporu se zákonem a </w:t>
      </w:r>
      <w:r>
        <w:t xml:space="preserve">poměřovat </w:t>
      </w:r>
      <w:r w:rsidRPr="00544249">
        <w:t>přiměřenost sankce, protože ne každé</w:t>
      </w:r>
      <w:r>
        <w:t xml:space="preserve"> porušení zákona vede</w:t>
      </w:r>
      <w:r w:rsidRPr="00544249">
        <w:t xml:space="preserve"> k neplatnosti právního úkonu.</w:t>
      </w:r>
      <w:r w:rsidRPr="00544249">
        <w:rPr>
          <w:rStyle w:val="Znakapoznpodarou"/>
        </w:rPr>
        <w:footnoteReference w:id="60"/>
      </w:r>
    </w:p>
    <w:p w:rsidR="006226B5" w:rsidRPr="00B82447" w:rsidRDefault="006226B5" w:rsidP="006226B5">
      <w:r w:rsidRPr="00B82447">
        <w:t>Opět Nejvyšší soud</w:t>
      </w:r>
      <w:r>
        <w:t xml:space="preserve"> dále</w:t>
      </w:r>
      <w:r w:rsidRPr="00B82447">
        <w:t xml:space="preserve"> judikoval, že pokud bude prohlášení vlastníka budovy k vymezení společných částí domu a jednotek v rozporu se zákonem, nezakládá to automaticky důvod posuzovat prohlášení vlastníka budovy jako zcela</w:t>
      </w:r>
      <w:r>
        <w:t xml:space="preserve"> neplatné</w:t>
      </w:r>
      <w:r w:rsidRPr="00B82447">
        <w:t>, a to ani posuzovat jej jako částečně neplatné, vzhledem k tomu, že následky takto v katastru nemovitostí zapsané nesprávnosti dosud nikoho nepoškozují a není ve veřejném zájmu zpochybňovat platnost v zásadě jinak správného prohlášení vlastníka budovy, když tuto chybu lze zhojit opravou zápisu v katastru nemovitostí.</w:t>
      </w:r>
      <w:r w:rsidRPr="00B82447">
        <w:rPr>
          <w:rStyle w:val="Znakapoznpodarou"/>
        </w:rPr>
        <w:footnoteReference w:id="61"/>
      </w:r>
    </w:p>
    <w:p w:rsidR="006226B5" w:rsidRPr="003F0669" w:rsidRDefault="006226B5" w:rsidP="006226B5">
      <w:r w:rsidRPr="003F0669">
        <w:t xml:space="preserve">Aplikace sankce absolutní neplatnosti omezuje autonomii vůle. Preferovat je třeba vždy takový výklad právního jednání, který umožní co </w:t>
      </w:r>
      <w:r w:rsidR="003015BE">
        <w:t xml:space="preserve">nejvíce zachovat jeho platnost. </w:t>
      </w:r>
      <w:r w:rsidRPr="003F0669">
        <w:t>Použití sankce absolutní neplatnosti je vždy krajním řešením, které by mělo sloužit pouze až jako ultima ratio.</w:t>
      </w:r>
      <w:r w:rsidRPr="003F0669">
        <w:rPr>
          <w:rStyle w:val="Znakapoznpodarou"/>
        </w:rPr>
        <w:footnoteReference w:id="62"/>
      </w:r>
    </w:p>
    <w:p w:rsidR="006226B5" w:rsidRPr="00DA4B1F" w:rsidRDefault="006226B5" w:rsidP="006226B5">
      <w:r w:rsidRPr="00DA4B1F">
        <w:t>Konec konců i dnes úči</w:t>
      </w:r>
      <w:r w:rsidR="00393743">
        <w:t xml:space="preserve">nný NOZ se prostřednictvím </w:t>
      </w:r>
      <w:r w:rsidRPr="00DA4B1F">
        <w:t>§ 574 snaží o vyhnutí se neplatnosti stanovujíc, že na právní jednání je třeba spíše hledět jako na platné než jako na neplatné. I přesto, že NOZ nepůsobí retroaktivně, by se právní vztahy podle ZOVB související s vadnými prohlášeními měly tomuto požadavku podří</w:t>
      </w:r>
      <w:r w:rsidR="003015BE">
        <w:t>di</w:t>
      </w:r>
      <w:r w:rsidR="00393743">
        <w:t>t. V opačném případě by mohla</w:t>
      </w:r>
      <w:r w:rsidRPr="00DA4B1F">
        <w:t xml:space="preserve"> existovat obsahově obdobná prohlášení s obdobnými vadami, kde však prohlášení řídící se NOZ by zůstalo platné a prohlášení podle ZOVB by bylo stiženo neplatností.</w:t>
      </w:r>
    </w:p>
    <w:p w:rsidR="006226B5" w:rsidRPr="00F84755" w:rsidRDefault="006226B5" w:rsidP="006226B5">
      <w:r w:rsidRPr="00F84755">
        <w:t>Jako nejpraktičtější i nejspravedlivější se tak zdá postu</w:t>
      </w:r>
      <w:r w:rsidR="00393743">
        <w:t>p právě podle již zmíněného</w:t>
      </w:r>
      <w:r w:rsidRPr="00F84755">
        <w:t xml:space="preserve"> § 574 NOZ, kdy se bude nahlížet na prohlášení vlastníka budovy jako na spíše platné než na neplatné, a dále bude pomocí interpretační zásady in dubio mitius a extenzivního výkladu účelem a smyslem zákona postupováno zásadně obdobným způsobem jako při posuzování vad prohlášení v</w:t>
      </w:r>
      <w:r w:rsidR="00393743">
        <w:t xml:space="preserve">lastníka vydaných v režimu </w:t>
      </w:r>
      <w:r w:rsidRPr="00F84755">
        <w:t xml:space="preserve">§ </w:t>
      </w:r>
      <w:r w:rsidR="00393743">
        <w:t xml:space="preserve">1166 NOZ, tedy v souladu § </w:t>
      </w:r>
      <w:r w:rsidRPr="00F84755">
        <w:t>1167 NOZ. Opačný závěr by byl nejen nelogický, ale také a především nespravedlivý, totiž by byly bez ospravedlnitelného důvodu (a to jak věcné</w:t>
      </w:r>
      <w:r>
        <w:t>ho</w:t>
      </w:r>
      <w:r w:rsidRPr="00F84755">
        <w:t>, tak zejména formální</w:t>
      </w:r>
      <w:r>
        <w:t>ho</w:t>
      </w:r>
      <w:r w:rsidRPr="00F84755">
        <w:t>) vady prohlášení vlast</w:t>
      </w:r>
      <w:r w:rsidR="00393743">
        <w:t xml:space="preserve">níka budovy vydaného podle </w:t>
      </w:r>
      <w:r w:rsidRPr="00F84755">
        <w:t xml:space="preserve">§ 4 </w:t>
      </w:r>
      <w:r w:rsidRPr="00F84755">
        <w:lastRenderedPageBreak/>
        <w:t>ZOVB posuzovány přísnějším metrem než principiálně obdobné vady prohlášení v</w:t>
      </w:r>
      <w:r w:rsidR="00393743">
        <w:t xml:space="preserve">lastníka vydaného v režimu </w:t>
      </w:r>
      <w:r w:rsidRPr="00F84755">
        <w:t>§ 1166 NOZ</w:t>
      </w:r>
      <w:r>
        <w:rPr>
          <w:b/>
          <w:i/>
        </w:rPr>
        <w:t xml:space="preserve">. </w:t>
      </w:r>
      <w:r w:rsidRPr="00F84755">
        <w:t>V důsledku by tomu tak bylo pouze z důvodu, že u novější úpravy NOZ zákonodárce – na základě poznatků praxe – přijal výslovnou a komplexnější úpravu, která u starší úpravy absentovala.</w:t>
      </w:r>
      <w:r w:rsidRPr="00B47220">
        <w:rPr>
          <w:b/>
          <w:i/>
        </w:rPr>
        <w:t xml:space="preserve"> </w:t>
      </w:r>
      <w:r w:rsidRPr="00F84755">
        <w:t>Navíc prohlášení vlastníka budovy je ve své podstatě pouze technický dokument představující právní podklad pro uskutečnění přeměny předmětu vlastnického práva na jiný předmět vlastnického práva. Sám o sobě však žádné právní vztahy nezakládá, nemění, ani neruší.</w:t>
      </w:r>
      <w:r w:rsidRPr="00F84755">
        <w:rPr>
          <w:rStyle w:val="Znakapoznpodarou"/>
        </w:rPr>
        <w:footnoteReference w:id="63"/>
      </w:r>
      <w:r w:rsidR="009E0EF4">
        <w:t xml:space="preserve"> Nový koncept</w:t>
      </w:r>
      <w:r w:rsidR="00393743">
        <w:t xml:space="preserve"> posuzování</w:t>
      </w:r>
      <w:r w:rsidR="009E0EF4">
        <w:t xml:space="preserve"> neplatnosti vyzdvihuje jako jeden z hlavních přínosů NOZ pro problematiku bytového spoluvlastnictví také A. Zítek.</w:t>
      </w:r>
      <w:r w:rsidR="009E0EF4">
        <w:rPr>
          <w:rStyle w:val="Znakapoznpodarou"/>
        </w:rPr>
        <w:footnoteReference w:id="64"/>
      </w:r>
    </w:p>
    <w:p w:rsidR="006226B5" w:rsidRPr="001B12F8" w:rsidRDefault="006226B5" w:rsidP="006226B5">
      <w:r w:rsidRPr="001B12F8">
        <w:t>V neposlední řadě ve prospěch výše uvedeného jasně hovoří skutečnost, že podle čl. 4 bodu 1.1 písm. c) Pokynů lze do katastru nemovitostí zapsat záznamem také změnu ve stanovení spoluvlastnických podílů prostřednictvím změny prohlášení vlastníka budovy či dodatku k prohlášení dosavadnímu z důvodu chybně stanovených spoluvlastnických podílů. Z toho vyplývá, že i praxe katastrálních úřadů se drží racionální varianty a dává tak možnost opravy vadného prohlášení vlastníka budovy.</w:t>
      </w:r>
    </w:p>
    <w:p w:rsidR="00A01D5C" w:rsidRDefault="00A01D5C" w:rsidP="007958EC">
      <w:pPr>
        <w:pStyle w:val="Nadpis2"/>
      </w:pPr>
      <w:bookmarkStart w:id="21" w:name="_Toc509413079"/>
      <w:r>
        <w:t>Výpočet podílů na společných částech</w:t>
      </w:r>
      <w:bookmarkEnd w:id="21"/>
    </w:p>
    <w:p w:rsidR="0097734E" w:rsidRDefault="00393743" w:rsidP="00616409">
      <w:pPr>
        <w:sectPr w:rsidR="0097734E">
          <w:pgSz w:w="11906" w:h="16838"/>
          <w:pgMar w:top="1417" w:right="1417" w:bottom="1417" w:left="1417" w:header="708" w:footer="708" w:gutter="0"/>
          <w:cols w:space="708"/>
          <w:docGrid w:linePitch="360"/>
        </w:sectPr>
      </w:pPr>
      <w:r>
        <w:t>Zde se</w:t>
      </w:r>
      <w:r w:rsidR="00640B42" w:rsidRPr="005D7B95">
        <w:t xml:space="preserve"> </w:t>
      </w:r>
      <w:r w:rsidR="00616409" w:rsidRPr="005D7B95">
        <w:t xml:space="preserve">úprava </w:t>
      </w:r>
      <w:r>
        <w:t xml:space="preserve">ZOVB se řídí konceptem </w:t>
      </w:r>
      <w:r w:rsidR="00616409" w:rsidRPr="005D7B95">
        <w:t>§ 17 odst. 2 zák. č. 52/196</w:t>
      </w:r>
      <w:r w:rsidR="005D7B95" w:rsidRPr="005D7B95">
        <w:t>6 Sb. (srov.</w:t>
      </w:r>
      <w:r w:rsidR="005D7B95">
        <w:t xml:space="preserve"> ust.</w:t>
      </w:r>
      <w:r w:rsidR="005D7B95" w:rsidRPr="005D7B95">
        <w:t xml:space="preserve"> § 8 odst. 2 ZOVB</w:t>
      </w:r>
      <w:r w:rsidR="00616409" w:rsidRPr="005D7B95">
        <w:t>) a</w:t>
      </w:r>
      <w:r w:rsidR="005D7B95" w:rsidRPr="005D7B95">
        <w:t xml:space="preserve"> </w:t>
      </w:r>
      <w:r w:rsidR="00616409" w:rsidRPr="005D7B95">
        <w:t>k</w:t>
      </w:r>
      <w:r w:rsidR="005D7B95" w:rsidRPr="005D7B95">
        <w:t xml:space="preserve"> výpočtu</w:t>
      </w:r>
      <w:r w:rsidR="00616409" w:rsidRPr="005D7B95">
        <w:t xml:space="preserve"> </w:t>
      </w:r>
      <w:r w:rsidR="005D7B95" w:rsidRPr="005D7B95">
        <w:t xml:space="preserve">podílů </w:t>
      </w:r>
      <w:r w:rsidR="00616409" w:rsidRPr="005D7B95">
        <w:t>zná jediné kritéri</w:t>
      </w:r>
      <w:r w:rsidR="005D7B95">
        <w:t>um: poměr podlahové plochy bytu</w:t>
      </w:r>
      <w:r w:rsidR="005D7B95" w:rsidRPr="005D7B95">
        <w:t xml:space="preserve"> k celkové ploše všech bytů</w:t>
      </w:r>
      <w:r w:rsidR="005D7B95">
        <w:t xml:space="preserve"> v domě, tedy jednoduché a unifikované matematické pravidlo, které u nás mělo své opodstatnění</w:t>
      </w:r>
      <w:r w:rsidR="00616409" w:rsidRPr="005D7B95">
        <w:t xml:space="preserve"> </w:t>
      </w:r>
      <w:r w:rsidR="005D7B95">
        <w:t xml:space="preserve">především v 60. letech 20. století. V té době </w:t>
      </w:r>
      <w:r w:rsidR="005D7B95" w:rsidRPr="00DA42D6">
        <w:t xml:space="preserve">centralizovaný stát řídil vše </w:t>
      </w:r>
      <w:r w:rsidR="00616409" w:rsidRPr="00DA42D6">
        <w:t xml:space="preserve">s </w:t>
      </w:r>
      <w:r w:rsidR="005D7B95" w:rsidRPr="00DA42D6">
        <w:t>předpokladem</w:t>
      </w:r>
      <w:r w:rsidR="00616409" w:rsidRPr="00DA42D6">
        <w:t xml:space="preserve">, že </w:t>
      </w:r>
      <w:r w:rsidR="00DA42D6" w:rsidRPr="00DA42D6">
        <w:t xml:space="preserve">to provádí nejen vědecky, ale také </w:t>
      </w:r>
      <w:r w:rsidR="00616409" w:rsidRPr="00DA42D6">
        <w:t>ze všech nejlépe.</w:t>
      </w:r>
      <w:r w:rsidR="00DA42D6" w:rsidRPr="00DA42D6">
        <w:rPr>
          <w:i/>
        </w:rPr>
        <w:t xml:space="preserve"> </w:t>
      </w:r>
      <w:r w:rsidR="00DA42D6" w:rsidRPr="00DA42D6">
        <w:t>To zřejmě nalézalo své zdů</w:t>
      </w:r>
      <w:r w:rsidR="00616409" w:rsidRPr="00DA42D6">
        <w:t xml:space="preserve">vodnění i v době přijetí </w:t>
      </w:r>
      <w:r w:rsidR="00DA42D6" w:rsidRPr="00DA42D6">
        <w:t>ZOVB</w:t>
      </w:r>
      <w:r w:rsidR="00616409" w:rsidRPr="00DA42D6">
        <w:rPr>
          <w:i/>
        </w:rPr>
        <w:t xml:space="preserve">, </w:t>
      </w:r>
      <w:r w:rsidR="00616409" w:rsidRPr="00DA42D6">
        <w:t>kdy</w:t>
      </w:r>
      <w:r w:rsidR="00DA42D6" w:rsidRPr="00DA42D6">
        <w:t xml:space="preserve"> v 90. letech</w:t>
      </w:r>
      <w:r w:rsidR="00616409" w:rsidRPr="00DA42D6">
        <w:t xml:space="preserve"> docházelo k statisticky významné privatizaci bytového fondu.</w:t>
      </w:r>
      <w:r w:rsidR="00616409" w:rsidRPr="00DA42D6">
        <w:rPr>
          <w:i/>
        </w:rPr>
        <w:t xml:space="preserve"> </w:t>
      </w:r>
      <w:r>
        <w:t>ZOVB</w:t>
      </w:r>
      <w:r w:rsidR="00DA42D6" w:rsidRPr="004B6972">
        <w:t xml:space="preserve"> přišel</w:t>
      </w:r>
      <w:r w:rsidR="00616409" w:rsidRPr="004B6972">
        <w:t xml:space="preserve"> také</w:t>
      </w:r>
      <w:r w:rsidR="00DA42D6" w:rsidRPr="004B6972">
        <w:t xml:space="preserve"> s</w:t>
      </w:r>
      <w:r w:rsidR="00616409" w:rsidRPr="004B6972">
        <w:t xml:space="preserve"> logickou odchylk</w:t>
      </w:r>
      <w:r w:rsidR="00DA42D6" w:rsidRPr="004B6972">
        <w:t>o</w:t>
      </w:r>
      <w:r w:rsidR="00616409" w:rsidRPr="004B6972">
        <w:t>u od tohoto pravidla pro pří</w:t>
      </w:r>
      <w:r w:rsidR="00E92C16" w:rsidRPr="004B6972">
        <w:t xml:space="preserve">pad výstavby domu s jednotkami – v takovém případě </w:t>
      </w:r>
      <w:r w:rsidR="00616409" w:rsidRPr="004B6972">
        <w:t xml:space="preserve">se pravidlo </w:t>
      </w:r>
      <w:r w:rsidR="004B6972" w:rsidRPr="004B6972">
        <w:t>pro výpočet podílu na společných částech na základě</w:t>
      </w:r>
      <w:r w:rsidR="00616409" w:rsidRPr="004B6972">
        <w:t xml:space="preserve"> poměru podlahových ploch uplatňovalo </w:t>
      </w:r>
      <w:r w:rsidR="004B6972" w:rsidRPr="004B6972">
        <w:t>pouze</w:t>
      </w:r>
      <w:r w:rsidR="00616409" w:rsidRPr="004B6972">
        <w:t xml:space="preserve"> </w:t>
      </w:r>
      <w:r w:rsidR="004B6972" w:rsidRPr="004B6972">
        <w:t>jako dispozitivní</w:t>
      </w:r>
      <w:r w:rsidR="00616409" w:rsidRPr="00A7593E">
        <w:t xml:space="preserve">. </w:t>
      </w:r>
      <w:r w:rsidR="002763C8">
        <w:t>Subjektům, které se sdružily</w:t>
      </w:r>
      <w:r w:rsidR="00A7593E" w:rsidRPr="00A7593E">
        <w:t xml:space="preserve"> smlouvou o výstavbě ZOVB</w:t>
      </w:r>
      <w:r w:rsidR="00616409" w:rsidRPr="00A7593E">
        <w:t xml:space="preserve"> nez</w:t>
      </w:r>
      <w:r w:rsidR="00A7593E" w:rsidRPr="00A7593E">
        <w:t>akazoval odlišnou úpravu svých právních poměrů dl</w:t>
      </w:r>
      <w:r w:rsidR="00616409" w:rsidRPr="00A7593E">
        <w:t>e své vůle a podle svého.</w:t>
      </w:r>
      <w:r w:rsidR="00A7593E" w:rsidRPr="00A7593E">
        <w:t xml:space="preserve"> Vzhledem k mnoha novelizacím možnost odlišné úpravy</w:t>
      </w:r>
      <w:r w:rsidR="00616409" w:rsidRPr="00A7593E">
        <w:t xml:space="preserve"> brzy skončila (srov. zák. č. 103/2000 Sb.). </w:t>
      </w:r>
      <w:r w:rsidR="00A7593E" w:rsidRPr="00A7593E">
        <w:t>V dnešní době dochází k</w:t>
      </w:r>
      <w:r w:rsidR="00616409" w:rsidRPr="00A7593E">
        <w:t xml:space="preserve"> nabývání bytů do vlastnictví</w:t>
      </w:r>
      <w:r w:rsidR="00A7593E" w:rsidRPr="00A7593E">
        <w:t xml:space="preserve"> především na základě developerských projektů</w:t>
      </w:r>
      <w:r w:rsidR="00616409" w:rsidRPr="00A7593E">
        <w:t>,</w:t>
      </w:r>
      <w:r w:rsidR="00A7593E" w:rsidRPr="00A7593E">
        <w:t xml:space="preserve"> tedy</w:t>
      </w:r>
      <w:r w:rsidR="00616409" w:rsidRPr="00A7593E">
        <w:t xml:space="preserve"> není důvod k</w:t>
      </w:r>
      <w:r w:rsidR="00A7593E" w:rsidRPr="00A7593E">
        <w:t> zakotvení kogentního donucujícího pravidl</w:t>
      </w:r>
      <w:r w:rsidR="00ED483F">
        <w:t>a.</w:t>
      </w:r>
      <w:r w:rsidR="00616409">
        <w:rPr>
          <w:rStyle w:val="Znakapoznpodarou"/>
          <w:i/>
        </w:rPr>
        <w:footnoteReference w:id="65"/>
      </w:r>
    </w:p>
    <w:p w:rsidR="00F07060" w:rsidRDefault="00F07060" w:rsidP="0097734E">
      <w:pPr>
        <w:pStyle w:val="Nadpis1"/>
      </w:pPr>
      <w:bookmarkStart w:id="22" w:name="_Toc509413080"/>
      <w:r>
        <w:lastRenderedPageBreak/>
        <w:t>Pojetí NOZ</w:t>
      </w:r>
      <w:bookmarkEnd w:id="22"/>
    </w:p>
    <w:p w:rsidR="006A6B53" w:rsidRDefault="006A6B53" w:rsidP="0080190E">
      <w:r w:rsidRPr="00A375DE">
        <w:t xml:space="preserve">Již samotný název </w:t>
      </w:r>
      <w:r w:rsidR="00305F0C">
        <w:t>institutu vlastnictví bytů v NOZ</w:t>
      </w:r>
      <w:r w:rsidRPr="00A375DE">
        <w:t xml:space="preserve"> ukazuje na změn</w:t>
      </w:r>
      <w:r w:rsidR="00305F0C">
        <w:t>u koncepce, j</w:t>
      </w:r>
      <w:r w:rsidRPr="00A375DE">
        <w:t>e totiž označen jako bytové spoluvlastnictví</w:t>
      </w:r>
      <w:r>
        <w:t>,</w:t>
      </w:r>
      <w:r w:rsidRPr="00A375DE">
        <w:t xml:space="preserve"> a ne již jako vlastnictví bytů</w:t>
      </w:r>
      <w:r w:rsidRPr="00AF09ED">
        <w:rPr>
          <w:i/>
        </w:rPr>
        <w:t xml:space="preserve">. </w:t>
      </w:r>
      <w:r w:rsidRPr="00A375DE">
        <w:t>Co je věc hlavní a co je akcesorium –</w:t>
      </w:r>
      <w:r>
        <w:t xml:space="preserve"> že</w:t>
      </w:r>
      <w:r w:rsidRPr="00A375DE">
        <w:t xml:space="preserve"> právním předpokladem</w:t>
      </w:r>
      <w:r>
        <w:t xml:space="preserve"> pro</w:t>
      </w:r>
      <w:r w:rsidRPr="00A375DE">
        <w:t xml:space="preserve"> vlastnictví bytu je spoluvlastnický podíl na nemovitosti (typicky pozemku, jehož součástí je dům, nebo práv</w:t>
      </w:r>
      <w:r>
        <w:t>o</w:t>
      </w:r>
      <w:r w:rsidRPr="00A375DE">
        <w:t xml:space="preserve"> stavby, jehož součástí je dům, popřípadě domu, pokud je samostatnou nemovitou věcí), naznačuje jak název, tak i systematické zařazení</w:t>
      </w:r>
      <w:r>
        <w:rPr>
          <w:i/>
        </w:rPr>
        <w:t>.</w:t>
      </w:r>
      <w:r w:rsidRPr="00AF09ED">
        <w:rPr>
          <w:i/>
        </w:rPr>
        <w:t xml:space="preserve"> </w:t>
      </w:r>
      <w:r w:rsidRPr="00B43651">
        <w:t>Termín a zároveň institut spoluvlastnictví by měl jasně vyjadřovat příklon ke konceptu známému z úpravy belgické, francouzské, italské nebo québecké, v nichž jde rovněž o spoluvlastnictví (</w:t>
      </w:r>
      <w:r w:rsidRPr="0008288F">
        <w:rPr>
          <w:i/>
        </w:rPr>
        <w:t>copropriété, condominio</w:t>
      </w:r>
      <w:r w:rsidR="001D2C7A">
        <w:t>).</w:t>
      </w:r>
    </w:p>
    <w:p w:rsidR="00717D46" w:rsidRDefault="00A7593E" w:rsidP="0080190E">
      <w:r>
        <w:t xml:space="preserve">Při koncipování </w:t>
      </w:r>
      <w:r w:rsidR="001D2C7A">
        <w:t>NOZ</w:t>
      </w:r>
      <w:r w:rsidR="00717D46">
        <w:t xml:space="preserve"> se původně nepředpokládalo, že do nové kodifikace bude pojata i oblast vlastnictví bytů.</w:t>
      </w:r>
      <w:r w:rsidR="00717D46">
        <w:rPr>
          <w:rStyle w:val="Znakapoznpodarou"/>
        </w:rPr>
        <w:footnoteReference w:id="66"/>
      </w:r>
      <w:r w:rsidR="006841EE">
        <w:t xml:space="preserve"> Ještě i vládní návrh schválený 29. dubna 2009 předpokládal existenci zvláštního zákona o vlastnictví bytů a zůstal jen u uchopení jednotky ve smyslu </w:t>
      </w:r>
      <w:r w:rsidR="008C51DB">
        <w:t>ZOVB</w:t>
      </w:r>
      <w:r w:rsidR="005D656F">
        <w:t xml:space="preserve"> jako věci nemovité (ust. </w:t>
      </w:r>
      <w:r w:rsidR="006841EE">
        <w:t>§ 470 odst. 2</w:t>
      </w:r>
      <w:r w:rsidR="005D656F">
        <w:t xml:space="preserve"> osnovy</w:t>
      </w:r>
      <w:r w:rsidR="006841EE">
        <w:t>).</w:t>
      </w:r>
      <w:r w:rsidR="006841EE">
        <w:rPr>
          <w:rStyle w:val="Znakapoznpodarou"/>
        </w:rPr>
        <w:footnoteReference w:id="67"/>
      </w:r>
      <w:r w:rsidR="006841EE">
        <w:t xml:space="preserve"> </w:t>
      </w:r>
      <w:r w:rsidR="00300088">
        <w:t>Někteří autoři si oprávněně kladou otázku, proč bylo vlastnictví bytů do návrhu NOZ zařazeno až tak pozdě</w:t>
      </w:r>
      <w:r w:rsidR="00300088">
        <w:rPr>
          <w:rStyle w:val="Znakapoznpodarou"/>
        </w:rPr>
        <w:footnoteReference w:id="68"/>
      </w:r>
      <w:r w:rsidR="00300088">
        <w:t xml:space="preserve"> - </w:t>
      </w:r>
      <w:r w:rsidR="006841EE">
        <w:t xml:space="preserve">v závěru kodifikačních prací </w:t>
      </w:r>
      <w:r w:rsidR="005D656F">
        <w:t>v roce 2010 se Ministerstvo</w:t>
      </w:r>
      <w:r w:rsidR="006841EE">
        <w:t xml:space="preserve"> spravedlnosti a</w:t>
      </w:r>
      <w:r w:rsidR="005D656F">
        <w:t xml:space="preserve"> Minist</w:t>
      </w:r>
      <w:r w:rsidR="00300088">
        <w:t>e</w:t>
      </w:r>
      <w:r w:rsidR="005D656F">
        <w:t>rstvo</w:t>
      </w:r>
      <w:r w:rsidR="006841EE">
        <w:t xml:space="preserve"> pro místní rozvoj dohodla, že materie vlastnictví bytů bude součástí NOZ. </w:t>
      </w:r>
      <w:r w:rsidR="00300088">
        <w:t xml:space="preserve">Každopádně je toto </w:t>
      </w:r>
      <w:r w:rsidR="006841EE">
        <w:t xml:space="preserve">řešení </w:t>
      </w:r>
      <w:r w:rsidR="008A1037">
        <w:t>logické a systematické – vyčlenění</w:t>
      </w:r>
      <w:r w:rsidR="006841EE">
        <w:t xml:space="preserve"> dílčí úpravy vlastnického práva – nejvýznamnějšího z věcných práv – mimo občanský zákoník nedává při tvorbě nové kodifikace smysl.</w:t>
      </w:r>
      <w:r w:rsidR="008A1037">
        <w:rPr>
          <w:rStyle w:val="Znakapoznpodarou"/>
        </w:rPr>
        <w:footnoteReference w:id="69"/>
      </w:r>
      <w:r w:rsidR="008C51DB">
        <w:t xml:space="preserve"> Takové pojetí se také řídí současným evropským</w:t>
      </w:r>
      <w:r w:rsidR="008C51DB">
        <w:rPr>
          <w:rStyle w:val="Znakapoznpodarou"/>
        </w:rPr>
        <w:footnoteReference w:id="70"/>
      </w:r>
      <w:r w:rsidR="008C51DB">
        <w:t xml:space="preserve"> trendem (a nejen</w:t>
      </w:r>
      <w:r w:rsidR="008C51DB">
        <w:rPr>
          <w:rStyle w:val="Znakapoznpodarou"/>
        </w:rPr>
        <w:footnoteReference w:id="71"/>
      </w:r>
      <w:r w:rsidR="008C51DB">
        <w:t xml:space="preserve"> evropským), kde je v řadě zemí úprava vlastnického práva k bytům přirozenou součástí civilních kodexů.</w:t>
      </w:r>
      <w:r w:rsidR="00300088">
        <w:t xml:space="preserve"> Přes svá pozitiva se jeví zvolené řešení jako provedené nedůsledně.</w:t>
      </w:r>
      <w:r w:rsidR="00300088">
        <w:rPr>
          <w:rStyle w:val="Znakapoznpodarou"/>
        </w:rPr>
        <w:footnoteReference w:id="72"/>
      </w:r>
    </w:p>
    <w:p w:rsidR="0080190E" w:rsidRPr="0080190E" w:rsidRDefault="0080190E" w:rsidP="0080190E">
      <w:r>
        <w:t>Lze se setkat s názory, že ačkoliv v NOZ je bytové spoluvlastnictví upraveno v pouhých šedesáti čtyřech paragrafech</w:t>
      </w:r>
      <w:r>
        <w:rPr>
          <w:rStyle w:val="Znakapoznpodarou"/>
        </w:rPr>
        <w:footnoteReference w:id="73"/>
      </w:r>
      <w:r>
        <w:t>, je tato problematika v rámci celého kodexu jednou z nejsložitějších oblastí.</w:t>
      </w:r>
      <w:r>
        <w:rPr>
          <w:rStyle w:val="Znakapoznpodarou"/>
        </w:rPr>
        <w:footnoteReference w:id="74"/>
      </w:r>
      <w:r>
        <w:t xml:space="preserve"> To i přesto, že se NOZ úpravě některých jejích aspektů snad i cíleně vyhýbá a není tak </w:t>
      </w:r>
      <w:r>
        <w:lastRenderedPageBreak/>
        <w:t>komplexní, jak tomu bylo u předpisů předcházejících.</w:t>
      </w:r>
      <w:r>
        <w:rPr>
          <w:rStyle w:val="Znakapoznpodarou"/>
        </w:rPr>
        <w:footnoteReference w:id="75"/>
      </w:r>
      <w:r>
        <w:t xml:space="preserve"> Zákon je oproti předchůdci střídmý k definicím a jako obecný předpis nechává vymezení takových obecných pojmů speciálnímu právnímu předpisu.</w:t>
      </w:r>
      <w:r>
        <w:rPr>
          <w:rStyle w:val="Znakapoznpodarou"/>
        </w:rPr>
        <w:footnoteReference w:id="76"/>
      </w:r>
      <w:r>
        <w:t xml:space="preserve"> NOZ neupravuje ani oblast týkající se převodů jednotek bytových družstev, kterou taktéž přenechává zvláštnímu zákonu.</w:t>
      </w:r>
      <w:r>
        <w:rPr>
          <w:rStyle w:val="Znakapoznpodarou"/>
        </w:rPr>
        <w:footnoteReference w:id="77"/>
      </w:r>
      <w:r>
        <w:t xml:space="preserve"> Aktuální úprava převzala v zásadě dualistickou koncepci, kterou sleduje důsledněji než úpravy předcházející</w:t>
      </w:r>
      <w:r>
        <w:rPr>
          <w:rStyle w:val="Znakapoznpodarou"/>
        </w:rPr>
        <w:footnoteReference w:id="78"/>
      </w:r>
      <w:r>
        <w:t xml:space="preserve">, k tomu se prostřednictvím důvodové zprávy hlásí i zákonodárce, kdy prohlašuje, že úprava klade důraz </w:t>
      </w:r>
      <w:r w:rsidRPr="00A6409A">
        <w:t>na byt a dům.</w:t>
      </w:r>
      <w:r>
        <w:rPr>
          <w:rStyle w:val="Znakapoznpodarou"/>
        </w:rPr>
        <w:footnoteReference w:id="79"/>
      </w:r>
      <w:r>
        <w:t xml:space="preserve"> V neposlední řadě NOZ jasně rozsekává otázku, zda je jednotka věcí nemovitou, či sice ne, však se na ni obdobně použijí ustanovení o nemovitých věcech. Zařazení mezi nemovitosti se zdá býti praktičtějším, NO</w:t>
      </w:r>
      <w:r w:rsidR="001D2C7A">
        <w:t xml:space="preserve">Z tak činí prostřednictvím </w:t>
      </w:r>
      <w:r>
        <w:t>§ 1159: „</w:t>
      </w:r>
      <w:r w:rsidRPr="0039036A">
        <w:rPr>
          <w:i/>
        </w:rPr>
        <w:t xml:space="preserve">Jednotka zahrnuje byt jako prostorově oddělenou část domu a podíl na společných částech nemovité věci vzájemně spojené a neoddělitelné. </w:t>
      </w:r>
      <w:r w:rsidRPr="001D2C7A">
        <w:rPr>
          <w:i/>
        </w:rPr>
        <w:t>Jednotka je věc nemovitá.</w:t>
      </w:r>
      <w:r w:rsidRPr="0039036A">
        <w:t>“</w:t>
      </w:r>
      <w:r>
        <w:t>, ostatně se toto dá vypozorovat již z přístupu zákonodárce při nadepsání celého oddílu „</w:t>
      </w:r>
      <w:r w:rsidRPr="000F0295">
        <w:rPr>
          <w:i/>
        </w:rPr>
        <w:t>Bytové spoluvlastnictví</w:t>
      </w:r>
      <w:r>
        <w:t>“, což</w:t>
      </w:r>
      <w:r w:rsidRPr="000F0295">
        <w:t xml:space="preserve"> podle důvodové zprávy </w:t>
      </w:r>
      <w:r>
        <w:t>vyjadřuje hlavní účel úpravy, tedy zajistit spoluvlastníkům</w:t>
      </w:r>
      <w:r w:rsidRPr="000F0295">
        <w:t xml:space="preserve"> domu</w:t>
      </w:r>
      <w:r>
        <w:t xml:space="preserve"> nejen</w:t>
      </w:r>
      <w:r w:rsidRPr="000F0295">
        <w:t xml:space="preserve"> právo byt v domě výlučně</w:t>
      </w:r>
      <w:r>
        <w:rPr>
          <w:rFonts w:ascii="Segoe UI Symbol" w:hAnsi="Segoe UI Symbol" w:cs="Segoe UI Symbol"/>
        </w:rPr>
        <w:t xml:space="preserve"> </w:t>
      </w:r>
      <w:r w:rsidRPr="000F0295">
        <w:t>u</w:t>
      </w:r>
      <w:r w:rsidRPr="000F0295">
        <w:rPr>
          <w:rFonts w:cs="Garamond"/>
        </w:rPr>
        <w:t>ží</w:t>
      </w:r>
      <w:r w:rsidRPr="000F0295">
        <w:t>vat</w:t>
      </w:r>
      <w:r>
        <w:t>, ale také</w:t>
      </w:r>
      <w:r w:rsidRPr="000F0295">
        <w:t xml:space="preserve"> s bytem disponovat jako s prostorově</w:t>
      </w:r>
      <w:r>
        <w:t xml:space="preserve"> vyčleněnou částí domu (nemovitou věcí</w:t>
      </w:r>
      <w:r w:rsidRPr="000F0295">
        <w:t>).</w:t>
      </w:r>
      <w:r>
        <w:rPr>
          <w:rStyle w:val="Znakapoznpodarou"/>
        </w:rPr>
        <w:footnoteReference w:id="80"/>
      </w:r>
      <w:r w:rsidR="00146452">
        <w:t xml:space="preserve"> Hodí se připomenout, že byt není věcí v právním smyslu a nebylo tomu tak ani za účinnosti </w:t>
      </w:r>
      <w:r w:rsidR="00B16A37">
        <w:t>SOZ</w:t>
      </w:r>
      <w:r w:rsidR="00B44AB2">
        <w:t xml:space="preserve"> a ZOVB. Byt je vždy součástí jednotky jakožto vyššího útvaru.</w:t>
      </w:r>
      <w:r w:rsidR="00B44AB2">
        <w:rPr>
          <w:rStyle w:val="Znakapoznpodarou"/>
        </w:rPr>
        <w:footnoteReference w:id="81"/>
      </w:r>
    </w:p>
    <w:p w:rsidR="00B37803" w:rsidRDefault="001D2C7A" w:rsidP="00682E15">
      <w:pPr>
        <w:rPr>
          <w:color w:val="FF0000"/>
        </w:rPr>
      </w:pPr>
      <w:r>
        <w:t>NOZ</w:t>
      </w:r>
      <w:r w:rsidR="00F07060">
        <w:t xml:space="preserve"> je první civilní kodifikací na našem území, v níž je kromě jiného upraveno vlastnictví bytů (§ 1158 až 1222).</w:t>
      </w:r>
      <w:r w:rsidR="00180E28" w:rsidRPr="00180E28">
        <w:t xml:space="preserve"> Jakkoli je vzhledem k rozdílné legislativní technice počet </w:t>
      </w:r>
      <w:r w:rsidR="00180E28">
        <w:t>ustanovení</w:t>
      </w:r>
      <w:r w:rsidR="00180E28" w:rsidRPr="00180E28">
        <w:t xml:space="preserve"> věnovaný této úpravě v </w:t>
      </w:r>
      <w:r w:rsidR="00180E28">
        <w:t>NOZ</w:t>
      </w:r>
      <w:r w:rsidR="00180E28" w:rsidRPr="00180E28">
        <w:t xml:space="preserve"> proti počtu </w:t>
      </w:r>
      <w:r w:rsidR="00180E28">
        <w:t>ustanovení</w:t>
      </w:r>
      <w:r w:rsidR="00180E28" w:rsidRPr="00180E28">
        <w:t xml:space="preserve"> dosava</w:t>
      </w:r>
      <w:r w:rsidR="00180E28">
        <w:t>dního zákona o vlastnictví bytů</w:t>
      </w:r>
      <w:r w:rsidR="00180E28" w:rsidRPr="00180E28">
        <w:t xml:space="preserve"> </w:t>
      </w:r>
      <w:r w:rsidR="00FE4EF4">
        <w:t>téměř</w:t>
      </w:r>
      <w:r w:rsidR="00180E28" w:rsidRPr="00180E28">
        <w:t xml:space="preserve"> dvojnásobný, skutečný rozsah obou úprav se příliš neliší</w:t>
      </w:r>
      <w:r w:rsidR="00FA4B3B">
        <w:rPr>
          <w:rStyle w:val="Znakapoznpodarou"/>
        </w:rPr>
        <w:footnoteReference w:id="82"/>
      </w:r>
      <w:r w:rsidR="00180E28" w:rsidRPr="00180E28">
        <w:t xml:space="preserve">. Nový zákoník však přinesl v souvislosti s novou úpravou </w:t>
      </w:r>
      <w:r w:rsidR="00180E28">
        <w:t>určité</w:t>
      </w:r>
      <w:r w:rsidR="00180E28" w:rsidRPr="00180E28">
        <w:t xml:space="preserve"> výraznější změny v obsahu právní úpr</w:t>
      </w:r>
      <w:r w:rsidR="00180E28">
        <w:t xml:space="preserve">avy, alespoň podle hlavního autora zákoníku, </w:t>
      </w:r>
      <w:r>
        <w:t>K.</w:t>
      </w:r>
      <w:r w:rsidR="00180E28">
        <w:t xml:space="preserve"> Eliáše. </w:t>
      </w:r>
      <w:r w:rsidR="00180E28" w:rsidRPr="00180E28">
        <w:t>Předmětem vlastnictví podle nové právní úpravy</w:t>
      </w:r>
      <w:r w:rsidR="00FE4EF4">
        <w:t xml:space="preserve"> již</w:t>
      </w:r>
      <w:r w:rsidR="00180E28" w:rsidRPr="00180E28">
        <w:t xml:space="preserve"> není byt, </w:t>
      </w:r>
      <w:r w:rsidR="000301DD">
        <w:t>nýbrž</w:t>
      </w:r>
      <w:r w:rsidR="00180E28" w:rsidRPr="00180E28">
        <w:t xml:space="preserve"> jednotka.</w:t>
      </w:r>
      <w:r w:rsidR="00180E28">
        <w:t xml:space="preserve"> </w:t>
      </w:r>
      <w:r w:rsidR="00FE4EF4">
        <w:t>Vymezení jednotky pojímá</w:t>
      </w:r>
      <w:r w:rsidR="00180E28" w:rsidRPr="00180E28">
        <w:t xml:space="preserve"> </w:t>
      </w:r>
      <w:r w:rsidR="00FE4EF4">
        <w:t>NOZ</w:t>
      </w:r>
      <w:r w:rsidR="00180E28" w:rsidRPr="00180E28">
        <w:t xml:space="preserve"> </w:t>
      </w:r>
      <w:r w:rsidR="00FE4EF4">
        <w:t>rozdílně</w:t>
      </w:r>
      <w:r w:rsidR="000301DD">
        <w:t xml:space="preserve"> od</w:t>
      </w:r>
      <w:r w:rsidR="00FE4EF4">
        <w:t xml:space="preserve"> </w:t>
      </w:r>
      <w:r w:rsidR="00180E28" w:rsidRPr="00180E28">
        <w:t>úpravy</w:t>
      </w:r>
      <w:r w:rsidR="00FE4EF4">
        <w:t xml:space="preserve"> </w:t>
      </w:r>
      <w:r w:rsidR="008C51DB">
        <w:t>ZOVB</w:t>
      </w:r>
      <w:r w:rsidR="00FE4EF4">
        <w:t xml:space="preserve"> ve spojitosti s </w:t>
      </w:r>
      <w:r w:rsidR="00B16A37">
        <w:t>SOZ</w:t>
      </w:r>
      <w:r w:rsidR="00FE4EF4">
        <w:t>, přičemž</w:t>
      </w:r>
      <w:r w:rsidR="00180E28" w:rsidRPr="00180E28">
        <w:t xml:space="preserve"> jednotkou není jen byt jako prostorově oddělená část domu. Jednotka </w:t>
      </w:r>
      <w:r w:rsidR="00FE4EF4">
        <w:t xml:space="preserve">nyní </w:t>
      </w:r>
      <w:r w:rsidR="000301DD">
        <w:t>zahrnuje nejen byt, ale</w:t>
      </w:r>
      <w:r w:rsidR="00180E28" w:rsidRPr="00180E28">
        <w:t xml:space="preserve"> s</w:t>
      </w:r>
      <w:r w:rsidR="000301DD">
        <w:t> </w:t>
      </w:r>
      <w:r w:rsidR="00180E28" w:rsidRPr="00180E28">
        <w:t>ním</w:t>
      </w:r>
      <w:r w:rsidR="000301DD">
        <w:t xml:space="preserve"> také</w:t>
      </w:r>
      <w:r w:rsidR="00180E28" w:rsidRPr="00180E28">
        <w:t xml:space="preserve"> i podíl na společných část</w:t>
      </w:r>
      <w:r w:rsidR="009500E8">
        <w:t>ech nemovité věci, kdy</w:t>
      </w:r>
      <w:r w:rsidR="000301DD">
        <w:t xml:space="preserve"> obojí</w:t>
      </w:r>
      <w:r w:rsidR="00180E28" w:rsidRPr="00180E28">
        <w:t xml:space="preserve"> je</w:t>
      </w:r>
      <w:r w:rsidR="00FE4EF4">
        <w:t xml:space="preserve"> právně</w:t>
      </w:r>
      <w:r w:rsidR="00180E28" w:rsidRPr="00180E28">
        <w:t xml:space="preserve"> v</w:t>
      </w:r>
      <w:r w:rsidR="00FE4EF4">
        <w:t>zájemně spojené a neoddělitelné jako jedna věc v právním smyslu, a to věc nemovitá.</w:t>
      </w:r>
      <w:r w:rsidR="00BA7530">
        <w:t xml:space="preserve"> Věcí nemovitou je zde přímo bytová jednotka, ne onen podíl na pozemku</w:t>
      </w:r>
      <w:r w:rsidR="002C36B3">
        <w:t xml:space="preserve">, ten je pouze součástí </w:t>
      </w:r>
      <w:r w:rsidR="002C36B3">
        <w:lastRenderedPageBreak/>
        <w:t>jednotky.</w:t>
      </w:r>
      <w:r w:rsidR="002C36B3">
        <w:rPr>
          <w:rStyle w:val="Znakapoznpodarou"/>
        </w:rPr>
        <w:footnoteReference w:id="83"/>
      </w:r>
      <w:r w:rsidR="00FE4EF4">
        <w:t xml:space="preserve"> </w:t>
      </w:r>
      <w:r w:rsidR="00180E28" w:rsidRPr="00180E28">
        <w:t xml:space="preserve">Současně také </w:t>
      </w:r>
      <w:r w:rsidR="00FE4EF4">
        <w:t>NOZ</w:t>
      </w:r>
      <w:r w:rsidR="00180E28" w:rsidRPr="00180E28">
        <w:t xml:space="preserve"> pojal byt jako prostorově oddělenou část domu.</w:t>
      </w:r>
      <w:r w:rsidR="00180E28">
        <w:t xml:space="preserve"> </w:t>
      </w:r>
      <w:r w:rsidR="00180E28" w:rsidRPr="00180E28">
        <w:t>Co se týče spoluvlastnictví, zvolil zákoník konstrukci, že ustanovení o bytu platí i pro nebytový prostor, jakož i pro soubo</w:t>
      </w:r>
      <w:r w:rsidR="000301DD">
        <w:t>r bytů nebo nebytových prostorů, jak již je uvedeno výše.</w:t>
      </w:r>
      <w:r>
        <w:t xml:space="preserve"> Tím se zjednodušuje legislativní vyjadřování, také se tímto způsobem</w:t>
      </w:r>
      <w:r w:rsidRPr="00B44CC3">
        <w:t xml:space="preserve"> zároveň dává najevo, že jednu jednotku může spoluvytvářet nejen jediný byt, ale i soubor bytů nebo nebytových prostorů (samozřejmě i soubor bytu a nebytového prostoru, např. byt, ateliér a galerie; byt, dílna a obchodní místnosti; byt, restaurace apod.).</w:t>
      </w:r>
      <w:r w:rsidRPr="00B44CC3">
        <w:rPr>
          <w:rStyle w:val="Znakapoznpodarou"/>
        </w:rPr>
        <w:footnoteReference w:id="84"/>
      </w:r>
    </w:p>
    <w:p w:rsidR="00B37803" w:rsidRDefault="00B37803" w:rsidP="0097734E">
      <w:pPr>
        <w:pStyle w:val="Nadpis2"/>
      </w:pPr>
      <w:bookmarkStart w:id="23" w:name="_Toc509413081"/>
      <w:r>
        <w:t>Vznik jednotky</w:t>
      </w:r>
      <w:bookmarkEnd w:id="23"/>
    </w:p>
    <w:p w:rsidR="00682E15" w:rsidRDefault="000301DD" w:rsidP="00682E15">
      <w:r>
        <w:t>NOZ</w:t>
      </w:r>
      <w:r w:rsidR="001D2C7A">
        <w:t xml:space="preserve"> v</w:t>
      </w:r>
      <w:r w:rsidR="00B37803">
        <w:t xml:space="preserve"> § 1163 až 1169</w:t>
      </w:r>
      <w:r w:rsidR="005D656F">
        <w:t xml:space="preserve"> výslovně</w:t>
      </w:r>
      <w:r w:rsidRPr="000301DD">
        <w:t xml:space="preserve"> stano</w:t>
      </w:r>
      <w:r>
        <w:t>vuje, jak může bytová jednotka vzniknout</w:t>
      </w:r>
      <w:r w:rsidR="00B37803">
        <w:t>.</w:t>
      </w:r>
      <w:r w:rsidRPr="000301DD">
        <w:t xml:space="preserve"> </w:t>
      </w:r>
      <w:r>
        <w:t>Co se týče způsobů vzniku</w:t>
      </w:r>
      <w:r w:rsidRPr="000301DD">
        <w:t>, sleduje právní úprava model</w:t>
      </w:r>
      <w:r>
        <w:t xml:space="preserve"> použitý v </w:t>
      </w:r>
      <w:r w:rsidR="008C51DB">
        <w:t>ZOVB</w:t>
      </w:r>
      <w:r>
        <w:t xml:space="preserve"> – </w:t>
      </w:r>
      <w:r w:rsidR="00C84873" w:rsidRPr="00C84873">
        <w:t xml:space="preserve">vznik jednotky je možný na základě vytvoření </w:t>
      </w:r>
      <w:r w:rsidRPr="00C84873">
        <w:t>– výstavbou na základě smlouvy o výstavbě</w:t>
      </w:r>
      <w:r w:rsidR="00475854">
        <w:t xml:space="preserve"> (byť tento způsob nebude nejčastější)</w:t>
      </w:r>
      <w:r w:rsidR="00475854">
        <w:rPr>
          <w:rStyle w:val="Znakapoznpodarou"/>
        </w:rPr>
        <w:footnoteReference w:id="85"/>
      </w:r>
      <w:r w:rsidRPr="00C84873">
        <w:t>.</w:t>
      </w:r>
      <w:r w:rsidR="00C84873" w:rsidRPr="00C84873">
        <w:t xml:space="preserve"> Další možností je vznik</w:t>
      </w:r>
      <w:r w:rsidRPr="00C84873">
        <w:t xml:space="preserve"> na základě projevu vůle</w:t>
      </w:r>
      <w:r w:rsidR="00C84873" w:rsidRPr="00C84873">
        <w:t xml:space="preserve"> vlastníka</w:t>
      </w:r>
      <w:r w:rsidRPr="00C84873">
        <w:t xml:space="preserve"> nebo spoluvlastníků – prohlášením o rozdělení práva k</w:t>
      </w:r>
      <w:r w:rsidR="00475854">
        <w:t xml:space="preserve"> jiné</w:t>
      </w:r>
      <w:r w:rsidRPr="00C84873">
        <w:t xml:space="preserve"> nemovité věci </w:t>
      </w:r>
      <w:r w:rsidR="00475854">
        <w:t>n</w:t>
      </w:r>
      <w:r w:rsidRPr="00C84873">
        <w:t>a jednotky</w:t>
      </w:r>
      <w:r w:rsidR="00475854">
        <w:t>. Takové právo bude zapsáno vkladem do katast</w:t>
      </w:r>
      <w:r w:rsidR="001D2C7A">
        <w:t>ru nemovitostí v souladu s </w:t>
      </w:r>
      <w:r w:rsidR="00475854">
        <w:t>§ 11 odst. 2 KatZ (což znamená, že vznik jednotek tímto způsobem je navázán na rozhodnutí katastrálního úřadu o povolení vkladu, tedy prohlášení sa</w:t>
      </w:r>
      <w:r w:rsidR="001D2C7A">
        <w:t xml:space="preserve">motné není konstitutivní – </w:t>
      </w:r>
      <w:r w:rsidR="00475854">
        <w:t>§ 1164 NOZ)</w:t>
      </w:r>
      <w:r w:rsidR="00475854">
        <w:rPr>
          <w:rStyle w:val="Znakapoznpodarou"/>
        </w:rPr>
        <w:footnoteReference w:id="86"/>
      </w:r>
      <w:r w:rsidR="009B3CF1">
        <w:t>.</w:t>
      </w:r>
      <w:r w:rsidR="00475854">
        <w:t xml:space="preserve"> P</w:t>
      </w:r>
      <w:r w:rsidR="00C84873" w:rsidRPr="00C84873">
        <w:t>řípadně</w:t>
      </w:r>
      <w:r w:rsidRPr="00C84873">
        <w:t xml:space="preserve"> </w:t>
      </w:r>
      <w:r w:rsidR="00C84873" w:rsidRPr="00C84873">
        <w:t>prostřednictvím dohody uzavíran</w:t>
      </w:r>
      <w:r w:rsidR="0019024D" w:rsidRPr="00C84873">
        <w:t xml:space="preserve">é při zrušení spoluvlastnictví (popř. při oddělení ze spoluvlastnictví), anebo dohody o změně společného jmění manželů či o vypořádání </w:t>
      </w:r>
      <w:r w:rsidR="00C84873" w:rsidRPr="00C84873">
        <w:t>SJM</w:t>
      </w:r>
      <w:r w:rsidR="0019024D" w:rsidRPr="00C84873">
        <w:t xml:space="preserve"> </w:t>
      </w:r>
      <w:r w:rsidR="00C84873" w:rsidRPr="00C84873">
        <w:t>kvůli jeho zániku</w:t>
      </w:r>
      <w:r w:rsidR="0019024D" w:rsidRPr="00C84873">
        <w:t xml:space="preserve"> </w:t>
      </w:r>
      <w:r w:rsidR="00C84873" w:rsidRPr="00C84873">
        <w:t>(zde jednotka vzniká</w:t>
      </w:r>
      <w:r w:rsidR="0019024D" w:rsidRPr="00C84873">
        <w:t xml:space="preserve"> zápisem do </w:t>
      </w:r>
      <w:r w:rsidR="00C84873" w:rsidRPr="00C84873">
        <w:t>veřejného seznamu)</w:t>
      </w:r>
      <w:r w:rsidR="0019024D" w:rsidRPr="0019024D">
        <w:rPr>
          <w:i/>
        </w:rPr>
        <w:t xml:space="preserve">. </w:t>
      </w:r>
      <w:r w:rsidR="00722C12" w:rsidRPr="00722C12">
        <w:t>Taktéž</w:t>
      </w:r>
      <w:r w:rsidR="0019024D" w:rsidRPr="00722C12">
        <w:t xml:space="preserve"> může jednotka vzniknout </w:t>
      </w:r>
      <w:r w:rsidR="00722C12" w:rsidRPr="00722C12">
        <w:t>na základě</w:t>
      </w:r>
      <w:r w:rsidR="0019024D" w:rsidRPr="00722C12">
        <w:t xml:space="preserve"> soudního rozhodnutí v případech</w:t>
      </w:r>
      <w:r w:rsidR="001D2C7A">
        <w:t xml:space="preserve">, které zakotvuje </w:t>
      </w:r>
      <w:r w:rsidR="0019024D">
        <w:t>§ 1165 NOZ.</w:t>
      </w:r>
      <w:r w:rsidRPr="000301DD">
        <w:rPr>
          <w:rStyle w:val="Znakapoznpodarou"/>
        </w:rPr>
        <w:t xml:space="preserve"> </w:t>
      </w:r>
      <w:r>
        <w:rPr>
          <w:rStyle w:val="Znakapoznpodarou"/>
        </w:rPr>
        <w:footnoteReference w:id="87"/>
      </w:r>
      <w:r w:rsidR="00682E15">
        <w:t xml:space="preserve"> </w:t>
      </w:r>
    </w:p>
    <w:p w:rsidR="001475D9" w:rsidRDefault="001475D9" w:rsidP="00682E15"/>
    <w:p w:rsidR="004F5E0F" w:rsidRDefault="00754B10" w:rsidP="0097734E">
      <w:pPr>
        <w:pStyle w:val="Nadpis2"/>
      </w:pPr>
      <w:bookmarkStart w:id="24" w:name="_Toc509413082"/>
      <w:r>
        <w:t>Vlastnictví</w:t>
      </w:r>
      <w:r w:rsidR="004F5E0F">
        <w:t xml:space="preserve"> jednotek</w:t>
      </w:r>
      <w:bookmarkEnd w:id="24"/>
    </w:p>
    <w:p w:rsidR="005C576E" w:rsidRDefault="00AB08B6" w:rsidP="004F5E0F">
      <w:r w:rsidRPr="00AB08B6">
        <w:t>Protože je bytová jednotka věc v právním smyslu a lze ji tedy vlastnit, vlastník k ní má stejná práva jako jakýkoli vlastník ke své věci, tedy vlastnictví</w:t>
      </w:r>
      <w:r w:rsidR="008A7EA4">
        <w:rPr>
          <w:rStyle w:val="Znakapoznpodarou"/>
        </w:rPr>
        <w:footnoteReference w:id="88"/>
      </w:r>
      <w:r>
        <w:t>.</w:t>
      </w:r>
      <w:r w:rsidR="004F5E0F" w:rsidRPr="004F5E0F">
        <w:rPr>
          <w:i/>
        </w:rPr>
        <w:t xml:space="preserve"> </w:t>
      </w:r>
      <w:r w:rsidR="005C576E">
        <w:t xml:space="preserve">S jednotkou je mu umožněno </w:t>
      </w:r>
      <w:r w:rsidRPr="007B0149">
        <w:t>v</w:t>
      </w:r>
      <w:r w:rsidR="004F5E0F" w:rsidRPr="007B0149">
        <w:t xml:space="preserve"> mezích </w:t>
      </w:r>
      <w:r w:rsidR="005C576E">
        <w:t>právního řádu</w:t>
      </w:r>
      <w:r w:rsidRPr="007B0149">
        <w:t xml:space="preserve"> nakládat zcela libovolně</w:t>
      </w:r>
      <w:r w:rsidR="005C576E">
        <w:rPr>
          <w:rStyle w:val="Znakapoznpodarou"/>
        </w:rPr>
        <w:footnoteReference w:id="89"/>
      </w:r>
      <w:r w:rsidR="004F5E0F" w:rsidRPr="007B0149">
        <w:t xml:space="preserve"> a jiné osoby z toho vyloučit. </w:t>
      </w:r>
      <w:r w:rsidR="005C576E">
        <w:t xml:space="preserve">Mantinely vlastnického práva v dnešní době již určují často také právní předpisy veřejnoprávní povahy, bez toho se </w:t>
      </w:r>
      <w:r w:rsidR="006001B6">
        <w:t>dnes</w:t>
      </w:r>
      <w:r w:rsidR="005C576E">
        <w:t xml:space="preserve"> moderní společnost neobejde a množství těchto regulací stoupá.</w:t>
      </w:r>
      <w:r w:rsidR="00123BB2">
        <w:rPr>
          <w:rStyle w:val="Znakapoznpodarou"/>
        </w:rPr>
        <w:footnoteReference w:id="90"/>
      </w:r>
    </w:p>
    <w:p w:rsidR="004F5E0F" w:rsidRDefault="008A7EA4" w:rsidP="004F5E0F">
      <w:r>
        <w:lastRenderedPageBreak/>
        <w:t>NOZ sám ale zakazuje</w:t>
      </w:r>
      <w:r w:rsidR="00AB08B6" w:rsidRPr="007B0149">
        <w:t xml:space="preserve"> zneužít své vlastnické právo</w:t>
      </w:r>
      <w:r w:rsidR="004F5E0F" w:rsidRPr="007B0149">
        <w:t xml:space="preserve"> k</w:t>
      </w:r>
      <w:r w:rsidR="007B0149" w:rsidRPr="007B0149">
        <w:t> závažnému rušení nad míru přiměřenou poměrům</w:t>
      </w:r>
      <w:r w:rsidR="004F5E0F" w:rsidRPr="007B0149">
        <w:t xml:space="preserve"> </w:t>
      </w:r>
      <w:r w:rsidR="007B0149" w:rsidRPr="007B0149">
        <w:t xml:space="preserve">práva jiných osob, jakož i vykonávat takové činy, jejichž hlavním cílem je jiné osoby obtěžovat nebo poškodit </w:t>
      </w:r>
      <w:r w:rsidR="005C576E">
        <w:t xml:space="preserve">(vlastník má tedy tzv. dispoziční právo) </w:t>
      </w:r>
      <w:r w:rsidR="005434BD">
        <w:t xml:space="preserve">– </w:t>
      </w:r>
      <w:r w:rsidR="007B0149" w:rsidRPr="007B0149">
        <w:t>§ 1012.</w:t>
      </w:r>
      <w:r w:rsidR="004F5E0F" w:rsidRPr="004F5E0F">
        <w:rPr>
          <w:i/>
        </w:rPr>
        <w:t xml:space="preserve"> </w:t>
      </w:r>
      <w:r w:rsidRPr="008A7EA4">
        <w:t>Na to</w:t>
      </w:r>
      <w:r w:rsidR="004F5E0F" w:rsidRPr="008A7EA4">
        <w:t xml:space="preserve"> </w:t>
      </w:r>
      <w:r w:rsidR="007B0149" w:rsidRPr="008A7EA4">
        <w:t xml:space="preserve">dále </w:t>
      </w:r>
      <w:r w:rsidR="005434BD">
        <w:t xml:space="preserve">navazují </w:t>
      </w:r>
      <w:r w:rsidR="004F5E0F" w:rsidRPr="008A7EA4">
        <w:t xml:space="preserve">§ 1175 an. </w:t>
      </w:r>
      <w:r w:rsidR="007B0149" w:rsidRPr="008A7EA4">
        <w:t>NOZ</w:t>
      </w:r>
      <w:r w:rsidR="004F5E0F" w:rsidRPr="008A7EA4">
        <w:t xml:space="preserve"> </w:t>
      </w:r>
      <w:r w:rsidRPr="008A7EA4">
        <w:t>uvědomujíc si, že vlastníka jednotky</w:t>
      </w:r>
      <w:r w:rsidR="004F5E0F" w:rsidRPr="008A7EA4">
        <w:t xml:space="preserve"> zajímá</w:t>
      </w:r>
      <w:r w:rsidRPr="008A7EA4">
        <w:t xml:space="preserve"> především</w:t>
      </w:r>
      <w:r>
        <w:t xml:space="preserve"> jeho vlastní bydlení (což však</w:t>
      </w:r>
      <w:r w:rsidR="006001B6">
        <w:t xml:space="preserve"> samozřejmě</w:t>
      </w:r>
      <w:r>
        <w:t xml:space="preserve"> nevylučuje nabývání vlastnictví k jednotkám za účelem investic a pronajímání). </w:t>
      </w:r>
      <w:r w:rsidR="006001B6">
        <w:t xml:space="preserve">Toto ustanovení </w:t>
      </w:r>
      <w:r w:rsidR="004F5E0F" w:rsidRPr="00754B10">
        <w:t>reflektuje a</w:t>
      </w:r>
      <w:r w:rsidR="00754B10" w:rsidRPr="00754B10">
        <w:t xml:space="preserve"> dále</w:t>
      </w:r>
      <w:r w:rsidR="004F5E0F" w:rsidRPr="00754B10">
        <w:t xml:space="preserve"> rozvádí </w:t>
      </w:r>
      <w:r w:rsidR="005434BD">
        <w:t xml:space="preserve">myšlenkovou linii </w:t>
      </w:r>
      <w:r w:rsidR="00754B10" w:rsidRPr="00754B10">
        <w:t>§ 1012 tak</w:t>
      </w:r>
      <w:r w:rsidR="004F5E0F" w:rsidRPr="00754B10">
        <w:t>, že „</w:t>
      </w:r>
      <w:r w:rsidR="004F5E0F" w:rsidRPr="00754B10">
        <w:rPr>
          <w:i/>
        </w:rPr>
        <w:t>vlastník jednotky má právo svobodně spravovat, výlučně užívat a uvnitř stavebně upravovat svůj byt, jakož i užívat společné části, nesmí však ztížit jinému vlastníku jednotky výkon jeho práv ani ohrozit, změnit nebo poškodit společné části.</w:t>
      </w:r>
      <w:r w:rsidR="004F5E0F" w:rsidRPr="00754B10">
        <w:t xml:space="preserve">“ </w:t>
      </w:r>
      <w:r w:rsidR="00754B10" w:rsidRPr="00754B10">
        <w:t>Specifikem</w:t>
      </w:r>
      <w:r w:rsidR="004F5E0F" w:rsidRPr="00754B10">
        <w:t xml:space="preserve"> bytového spoluvlastnictví je</w:t>
      </w:r>
      <w:r w:rsidR="00754B10" w:rsidRPr="00754B10">
        <w:t xml:space="preserve"> právní samostatnost jeho předmětů (jednotek</w:t>
      </w:r>
      <w:r w:rsidR="004F5E0F" w:rsidRPr="00754B10">
        <w:t>)</w:t>
      </w:r>
      <w:r w:rsidR="00754B10" w:rsidRPr="00754B10">
        <w:t>, které však v</w:t>
      </w:r>
      <w:r w:rsidR="004F5E0F" w:rsidRPr="00754B10">
        <w:t xml:space="preserve"> </w:t>
      </w:r>
      <w:r w:rsidR="00754B10" w:rsidRPr="00754B10">
        <w:t>souhrnu vytvářejí jeden ucelený objekt, jež je funkčně závislý</w:t>
      </w:r>
      <w:r w:rsidR="004F5E0F" w:rsidRPr="00754B10">
        <w:t xml:space="preserve"> na funkčnosti jednotlivých složek</w:t>
      </w:r>
      <w:r w:rsidR="004F5E0F" w:rsidRPr="004F5E0F">
        <w:rPr>
          <w:i/>
        </w:rPr>
        <w:t xml:space="preserve">. </w:t>
      </w:r>
      <w:r w:rsidR="004F5E0F" w:rsidRPr="004A46A0">
        <w:t xml:space="preserve">Proto </w:t>
      </w:r>
      <w:r w:rsidR="004A46A0" w:rsidRPr="004A46A0">
        <w:t>NOZ</w:t>
      </w:r>
      <w:r w:rsidR="004F5E0F" w:rsidRPr="004A46A0">
        <w:t xml:space="preserve"> vyžaduje, aby vlastník udržoval svůj byt</w:t>
      </w:r>
      <w:r w:rsidR="004A46A0">
        <w:t>,</w:t>
      </w:r>
      <w:r w:rsidR="004F5E0F" w:rsidRPr="004A46A0">
        <w:t xml:space="preserve"> </w:t>
      </w:r>
      <w:r w:rsidR="004A46A0" w:rsidRPr="004A46A0">
        <w:t>jak to vyžaduje nezá</w:t>
      </w:r>
      <w:r w:rsidR="005434BD">
        <w:t>vadný</w:t>
      </w:r>
      <w:r w:rsidR="004A46A0" w:rsidRPr="004A46A0">
        <w:t xml:space="preserve"> stav a dobrý vzhled domu, což platí i o společných částech, které má ten který vlastník vyhrazené ve svém výlučném užívání.</w:t>
      </w:r>
      <w:r w:rsidR="006001B6">
        <w:t xml:space="preserve"> Tento přístup je ostatně reflexí</w:t>
      </w:r>
      <w:r w:rsidR="00DB3BE2">
        <w:t xml:space="preserve"> </w:t>
      </w:r>
      <w:r w:rsidR="006001B6">
        <w:t>čl. 11</w:t>
      </w:r>
      <w:r w:rsidR="00383728">
        <w:t xml:space="preserve"> odst. 3</w:t>
      </w:r>
      <w:r w:rsidR="006001B6">
        <w:t xml:space="preserve"> L</w:t>
      </w:r>
      <w:r w:rsidR="00383728">
        <w:t>istiny základních práv a svobod: „</w:t>
      </w:r>
      <w:r w:rsidR="00383728" w:rsidRPr="00383728">
        <w:rPr>
          <w:i/>
        </w:rPr>
        <w:t>Vlastnictví zavazuje. Nesmí být zneužito na újmu práv druhých anebo v rozporu se zákonem chráněnými obecnými zájmy. Jeho výkon nesmí poškozovat lidské zdraví, přírodu a životní prostředí nad míru stanovenou zákonem.</w:t>
      </w:r>
      <w:r w:rsidR="00383728">
        <w:rPr>
          <w:i/>
        </w:rPr>
        <w:t xml:space="preserve">“ </w:t>
      </w:r>
      <w:r w:rsidR="00383728" w:rsidRPr="00383728">
        <w:t>Právě</w:t>
      </w:r>
      <w:r w:rsidR="00383728">
        <w:t>,</w:t>
      </w:r>
      <w:r w:rsidR="00383728" w:rsidRPr="00383728">
        <w:t xml:space="preserve"> a především v první větě tohoto ustanovení</w:t>
      </w:r>
      <w:r w:rsidR="00383728">
        <w:t>, která lapidárně</w:t>
      </w:r>
      <w:r w:rsidR="00383728" w:rsidRPr="00383728">
        <w:t xml:space="preserve"> </w:t>
      </w:r>
      <w:r w:rsidR="00383728">
        <w:t xml:space="preserve">přejímá </w:t>
      </w:r>
      <w:r w:rsidR="00383728" w:rsidRPr="00383728">
        <w:t>tzv. Hedemanov</w:t>
      </w:r>
      <w:r w:rsidR="00383728">
        <w:t xml:space="preserve">u koncepci, </w:t>
      </w:r>
      <w:r w:rsidR="00383728" w:rsidRPr="00383728">
        <w:t>se skrývá onen požadavek k resp</w:t>
      </w:r>
      <w:r w:rsidR="00383728">
        <w:t>e</w:t>
      </w:r>
      <w:r w:rsidR="00383728" w:rsidRPr="00383728">
        <w:t>ktu ostatních</w:t>
      </w:r>
      <w:r w:rsidR="00383728">
        <w:t xml:space="preserve">, </w:t>
      </w:r>
      <w:r w:rsidR="00383728" w:rsidRPr="00383728">
        <w:t>s navazujícím zákazem jeho zneužití na újmu práv druhých anebo v rozporu se zákonem chráněnými obecnými zájmy.</w:t>
      </w:r>
      <w:r w:rsidR="00383728">
        <w:rPr>
          <w:rStyle w:val="Znakapoznpodarou"/>
        </w:rPr>
        <w:footnoteReference w:id="91"/>
      </w:r>
      <w:r w:rsidR="00DB3BE2">
        <w:t xml:space="preserve"> To ostatně také přihlášení se k zásadní liberální zásadě, že svoboda jednotlivce končí tam, kde začíná svoboda druhého.</w:t>
      </w:r>
      <w:r w:rsidR="00DB3BE2">
        <w:rPr>
          <w:rStyle w:val="Znakapoznpodarou"/>
        </w:rPr>
        <w:footnoteReference w:id="92"/>
      </w:r>
    </w:p>
    <w:p w:rsidR="00F07060" w:rsidRDefault="00CB6909" w:rsidP="0097734E">
      <w:pPr>
        <w:pStyle w:val="Nadpis2"/>
      </w:pPr>
      <w:bookmarkStart w:id="25" w:name="_Toc509413083"/>
      <w:r w:rsidRPr="00CB6909">
        <w:t>Správa domu a pozemku</w:t>
      </w:r>
      <w:bookmarkEnd w:id="25"/>
    </w:p>
    <w:p w:rsidR="00AF09ED" w:rsidRPr="006A6B53" w:rsidRDefault="009061B6" w:rsidP="006A6B53">
      <w:pPr>
        <w:rPr>
          <w:i/>
        </w:rPr>
      </w:pPr>
      <w:r w:rsidRPr="00AC1F31">
        <w:t>Pokud je nemovitost rozdělena alespoň na pět jednotek</w:t>
      </w:r>
      <w:r w:rsidR="00AC1F31" w:rsidRPr="00AC1F31">
        <w:t>, které patří alespoň třem různým vlastníkům</w:t>
      </w:r>
      <w:r w:rsidRPr="00AC1F31">
        <w:t>, je nezbytný vznik zvláštní právnické osoby</w:t>
      </w:r>
      <w:r w:rsidR="00AC1F31" w:rsidRPr="00AC1F31">
        <w:t xml:space="preserve"> – společenství vlastníků jednotek, v tom se NOZ neliší od úpravy ZOVB.</w:t>
      </w:r>
      <w:r w:rsidR="00AC1F31">
        <w:rPr>
          <w:i/>
        </w:rPr>
        <w:t xml:space="preserve"> </w:t>
      </w:r>
      <w:r w:rsidR="00CB6909" w:rsidRPr="00AC1F31">
        <w:t xml:space="preserve">Nová úprava se však od </w:t>
      </w:r>
      <w:r w:rsidR="00AC1F31" w:rsidRPr="00AC1F31">
        <w:t>ZOVB zásadně liší tím</w:t>
      </w:r>
      <w:r w:rsidR="00CB6909" w:rsidRPr="00AC1F31">
        <w:t xml:space="preserve">, že </w:t>
      </w:r>
      <w:r w:rsidR="00AC1F31" w:rsidRPr="00AC1F31">
        <w:t>SVJ</w:t>
      </w:r>
      <w:r w:rsidR="00CB6909" w:rsidRPr="00AC1F31">
        <w:t xml:space="preserve"> nevznikne ze zákona, ale </w:t>
      </w:r>
      <w:r w:rsidR="00AC1F31" w:rsidRPr="00AC1F31">
        <w:t>pouze</w:t>
      </w:r>
      <w:r w:rsidR="00CB6909" w:rsidRPr="00AC1F31">
        <w:t xml:space="preserve"> založením a</w:t>
      </w:r>
      <w:r w:rsidR="00AC1F31" w:rsidRPr="00AC1F31">
        <w:t xml:space="preserve"> následným</w:t>
      </w:r>
      <w:r w:rsidR="00CB6909" w:rsidRPr="00AC1F31">
        <w:t xml:space="preserve"> zápisem do veřejného rejstříku.</w:t>
      </w:r>
      <w:r w:rsidR="002172BE">
        <w:rPr>
          <w:i/>
        </w:rPr>
        <w:t xml:space="preserve"> </w:t>
      </w:r>
      <w:r w:rsidR="002172BE" w:rsidRPr="002172BE">
        <w:t>Okamžikem založení bude většinou vydání</w:t>
      </w:r>
      <w:r w:rsidR="00CB6909" w:rsidRPr="002172BE">
        <w:t xml:space="preserve"> prohlášení o rozdělení práva k nemovitosti na vlastnické </w:t>
      </w:r>
      <w:r w:rsidR="002172BE" w:rsidRPr="002172BE">
        <w:t>právo k jednotkám nebo ujednání o náležitostech stanov SVJ</w:t>
      </w:r>
      <w:r w:rsidR="00CB6909" w:rsidRPr="002172BE">
        <w:t xml:space="preserve"> ve smlouvě o výstavbě</w:t>
      </w:r>
      <w:r w:rsidR="002172BE">
        <w:t xml:space="preserve"> (přičemž tyto náležitosti nelze následně </w:t>
      </w:r>
      <w:r w:rsidR="00FC235E">
        <w:t xml:space="preserve">ještě </w:t>
      </w:r>
      <w:r w:rsidR="00E56A3D">
        <w:t>před vznikem SVJ měnit –</w:t>
      </w:r>
      <w:r w:rsidR="002172BE">
        <w:t xml:space="preserve"> § 1201 NOZ).</w:t>
      </w:r>
      <w:r w:rsidR="00E56A3D">
        <w:t xml:space="preserve"> V</w:t>
      </w:r>
      <w:r w:rsidR="003E74CA" w:rsidRPr="003E74CA">
        <w:t>lastníci příslušných jednotek v</w:t>
      </w:r>
      <w:r w:rsidR="00E56A3D">
        <w:t> </w:t>
      </w:r>
      <w:r w:rsidR="003E74CA" w:rsidRPr="003E74CA">
        <w:t>domě</w:t>
      </w:r>
      <w:r w:rsidR="00E56A3D">
        <w:t xml:space="preserve"> jsou</w:t>
      </w:r>
      <w:r w:rsidR="003E74CA" w:rsidRPr="003E74CA">
        <w:t xml:space="preserve"> nepřímo nuceni k podání návrhu blokací převodů jednotek dalším než prvním vlastníkům.</w:t>
      </w:r>
      <w:r w:rsidR="002172BE" w:rsidRPr="003E74CA">
        <w:t xml:space="preserve"> </w:t>
      </w:r>
      <w:r w:rsidR="003E74CA" w:rsidRPr="003E74CA">
        <w:t xml:space="preserve">SVJ má </w:t>
      </w:r>
      <w:r w:rsidR="00CB6909" w:rsidRPr="003E74CA">
        <w:t xml:space="preserve">i </w:t>
      </w:r>
      <w:r w:rsidR="003E74CA" w:rsidRPr="003E74CA">
        <w:t>dle úpravy NOZ úzce vymezený předmět</w:t>
      </w:r>
      <w:r w:rsidR="00CB6909" w:rsidRPr="003E74CA">
        <w:t xml:space="preserve"> činnosti účelově vázaný na správu domu a pozemku</w:t>
      </w:r>
      <w:r w:rsidR="007479FD">
        <w:t>.</w:t>
      </w:r>
      <w:r w:rsidR="007479FD">
        <w:rPr>
          <w:i/>
        </w:rPr>
        <w:t xml:space="preserve"> </w:t>
      </w:r>
      <w:r w:rsidR="007479FD" w:rsidRPr="007479FD">
        <w:t>S</w:t>
      </w:r>
      <w:r w:rsidR="00CB6909" w:rsidRPr="007479FD">
        <w:t>polečenství</w:t>
      </w:r>
      <w:r w:rsidR="007479FD" w:rsidRPr="007479FD">
        <w:t xml:space="preserve"> se může</w:t>
      </w:r>
      <w:r w:rsidR="00CB6909" w:rsidRPr="007479FD">
        <w:t xml:space="preserve"> sdruž</w:t>
      </w:r>
      <w:r w:rsidR="007479FD" w:rsidRPr="007479FD">
        <w:t xml:space="preserve">ovat </w:t>
      </w:r>
      <w:r w:rsidR="00CB6909" w:rsidRPr="007479FD">
        <w:t xml:space="preserve">v právnických </w:t>
      </w:r>
      <w:r w:rsidR="00CB6909" w:rsidRPr="007479FD">
        <w:lastRenderedPageBreak/>
        <w:t>osobách vytvářejících svazy společenství vlastníků nebo vlastníků jednotek či v právnických osobách angažovaných v oblasti bydlení, pokud členství v takových právnických osobách nezavazuje k ručení za jejich dluhy nebo k podílení se na ztrátách svazu apod. (§ 1197</w:t>
      </w:r>
      <w:r w:rsidR="007479FD" w:rsidRPr="007479FD">
        <w:t xml:space="preserve"> NOZ</w:t>
      </w:r>
      <w:r w:rsidR="00CB6909" w:rsidRPr="007479FD">
        <w:t xml:space="preserve">). </w:t>
      </w:r>
      <w:r w:rsidR="009762B3">
        <w:t xml:space="preserve">§ 1202 NOZ brání tomu, </w:t>
      </w:r>
      <w:r w:rsidR="009762B3" w:rsidRPr="00974FBD">
        <w:t>aby</w:t>
      </w:r>
      <w:r w:rsidR="00974FBD">
        <w:t xml:space="preserve"> např.</w:t>
      </w:r>
      <w:r w:rsidR="00CB6909" w:rsidRPr="00974FBD">
        <w:t xml:space="preserve"> d</w:t>
      </w:r>
      <w:r w:rsidR="00CB6909" w:rsidRPr="00B96D57">
        <w:t xml:space="preserve">eveloper </w:t>
      </w:r>
      <w:r w:rsidR="009762B3" w:rsidRPr="00B96D57">
        <w:t>při realizaci svého projektu rozprodal</w:t>
      </w:r>
      <w:r w:rsidR="00CB6909" w:rsidRPr="00B96D57">
        <w:t xml:space="preserve"> jen malou část bytů v</w:t>
      </w:r>
      <w:r w:rsidR="009762B3" w:rsidRPr="00B96D57">
        <w:t> </w:t>
      </w:r>
      <w:r w:rsidR="00CB6909" w:rsidRPr="00B96D57">
        <w:t>domě</w:t>
      </w:r>
      <w:r w:rsidR="009762B3" w:rsidRPr="00B96D57">
        <w:t xml:space="preserve">, svolal </w:t>
      </w:r>
      <w:r w:rsidR="00CB6909" w:rsidRPr="00B96D57">
        <w:t>shromáždění</w:t>
      </w:r>
      <w:r w:rsidR="009762B3" w:rsidRPr="00B96D57">
        <w:t xml:space="preserve"> a následně zvolil</w:t>
      </w:r>
      <w:r w:rsidR="00CB6909" w:rsidRPr="00B96D57">
        <w:t xml:space="preserve"> vahou svých hlasů výbor, na němž</w:t>
      </w:r>
      <w:r w:rsidR="00974FBD">
        <w:t xml:space="preserve"> by nev</w:t>
      </w:r>
      <w:r w:rsidR="009762B3" w:rsidRPr="00B96D57">
        <w:t>zal</w:t>
      </w:r>
      <w:r w:rsidR="00CB6909" w:rsidRPr="00B96D57">
        <w:t xml:space="preserve"> účast, a tak se</w:t>
      </w:r>
      <w:r w:rsidR="009762B3" w:rsidRPr="00B96D57">
        <w:t xml:space="preserve"> zbavil</w:t>
      </w:r>
      <w:r w:rsidR="00CB6909" w:rsidRPr="00B96D57">
        <w:t xml:space="preserve"> odpovědnosti za správu</w:t>
      </w:r>
      <w:r w:rsidR="009762B3" w:rsidRPr="00B96D57">
        <w:t xml:space="preserve"> domu a </w:t>
      </w:r>
      <w:r w:rsidR="00496D10" w:rsidRPr="00B96D57">
        <w:t>pozemku</w:t>
      </w:r>
      <w:r w:rsidR="00496D10">
        <w:t xml:space="preserve"> – zakladatel</w:t>
      </w:r>
      <w:r w:rsidR="00974FBD" w:rsidRPr="00974FBD">
        <w:t xml:space="preserve"> je tak </w:t>
      </w:r>
      <w:r w:rsidR="00B96D57" w:rsidRPr="00974FBD">
        <w:t>ze zákona</w:t>
      </w:r>
      <w:r w:rsidR="00974FBD" w:rsidRPr="00974FBD">
        <w:t xml:space="preserve"> správcem domu a pozemku po čas, kdy drží většinu hlasů.</w:t>
      </w:r>
      <w:r w:rsidR="00CB6909" w:rsidRPr="00CB6909">
        <w:rPr>
          <w:i/>
        </w:rPr>
        <w:t xml:space="preserve"> </w:t>
      </w:r>
      <w:r w:rsidR="00974FBD" w:rsidRPr="00C4634B">
        <w:t>Jakmile ztratí většinu hlasů</w:t>
      </w:r>
      <w:r w:rsidR="00C4634B" w:rsidRPr="00C4634B">
        <w:t xml:space="preserve"> a svolá shromáždění k volbě orgánů</w:t>
      </w:r>
      <w:r w:rsidR="00974FBD" w:rsidRPr="00C4634B">
        <w:t xml:space="preserve">, podává návrh na zápis společenství do rejstříku. </w:t>
      </w:r>
      <w:r w:rsidR="00CB6909" w:rsidRPr="007A6663">
        <w:t>V</w:t>
      </w:r>
      <w:r w:rsidR="00C4634B" w:rsidRPr="007A6663">
        <w:t> režimu ZOVB</w:t>
      </w:r>
      <w:r w:rsidR="00CB6909" w:rsidRPr="007A6663">
        <w:t xml:space="preserve"> </w:t>
      </w:r>
      <w:r w:rsidR="00C4634B" w:rsidRPr="007A6663">
        <w:t>způsobovaly značné problémy situace, kdy</w:t>
      </w:r>
      <w:r w:rsidR="00CB6909" w:rsidRPr="007A6663">
        <w:t xml:space="preserve"> se </w:t>
      </w:r>
      <w:r w:rsidR="00C4634B" w:rsidRPr="007A6663">
        <w:t>SVJ</w:t>
      </w:r>
      <w:r w:rsidR="00CB6909" w:rsidRPr="007A6663">
        <w:t xml:space="preserve"> ne</w:t>
      </w:r>
      <w:r w:rsidR="00C4634B" w:rsidRPr="007A6663">
        <w:t>sešlo</w:t>
      </w:r>
      <w:r w:rsidR="00CB6909" w:rsidRPr="007A6663">
        <w:t xml:space="preserve"> v </w:t>
      </w:r>
      <w:r w:rsidR="00C4634B" w:rsidRPr="007A6663">
        <w:t xml:space="preserve">usnášeníchopném </w:t>
      </w:r>
      <w:r w:rsidR="00CB6909" w:rsidRPr="007A6663">
        <w:t>počtu členů</w:t>
      </w:r>
      <w:r w:rsidR="00FC235E">
        <w:t>, což se stávalo poměrně</w:t>
      </w:r>
      <w:r w:rsidR="007A6663" w:rsidRPr="007A6663">
        <w:t xml:space="preserve"> často. Tato skutečnost dané společenství paralyzovala a bylo obtížné s</w:t>
      </w:r>
      <w:r w:rsidR="007A6663">
        <w:t>e</w:t>
      </w:r>
      <w:r w:rsidR="007A6663" w:rsidRPr="007A6663">
        <w:t> z</w:t>
      </w:r>
      <w:r w:rsidR="007A6663">
        <w:t xml:space="preserve"> </w:t>
      </w:r>
      <w:r w:rsidR="007A6663" w:rsidRPr="007A6663">
        <w:t>ní vymanit, negativní důsledky navíc dopadaly ponejvíc na členy ochotné k aktivitě.</w:t>
      </w:r>
      <w:r w:rsidR="00CB6909" w:rsidRPr="007A6663">
        <w:t xml:space="preserve"> </w:t>
      </w:r>
      <w:r w:rsidR="007A6663">
        <w:t xml:space="preserve">NOZ odmítl takové situace řešit subsidiaritou některých institutů spolkového práva, konkrétně shromáždění delegátů, dílčích členských schůzí, ani náhradních členských schůzích. </w:t>
      </w:r>
      <w:r w:rsidR="00CB6909" w:rsidRPr="00250D3C">
        <w:t xml:space="preserve">Nabízející se subsidiární použitelnost spolkového práva byla výslovně vyloučena (§ 1221 </w:t>
      </w:r>
      <w:r w:rsidR="007A6663" w:rsidRPr="00250D3C">
        <w:t>NOZ</w:t>
      </w:r>
      <w:r w:rsidR="00CB6909" w:rsidRPr="00250D3C">
        <w:t xml:space="preserve">) </w:t>
      </w:r>
      <w:r w:rsidR="00250D3C" w:rsidRPr="00250D3C">
        <w:t xml:space="preserve">- snad </w:t>
      </w:r>
      <w:r w:rsidR="00CB6909" w:rsidRPr="00250D3C">
        <w:t xml:space="preserve">v obavě, </w:t>
      </w:r>
      <w:r w:rsidR="00250D3C" w:rsidRPr="00250D3C">
        <w:t>před</w:t>
      </w:r>
      <w:r w:rsidR="00CB6909" w:rsidRPr="00250D3C">
        <w:t xml:space="preserve"> zneužívajícím</w:t>
      </w:r>
      <w:r w:rsidR="00250D3C" w:rsidRPr="00250D3C">
        <w:t>i aktivita</w:t>
      </w:r>
      <w:r w:rsidR="00CB6909" w:rsidRPr="00250D3C">
        <w:t>m</w:t>
      </w:r>
      <w:r w:rsidR="00250D3C" w:rsidRPr="00250D3C">
        <w:t>i</w:t>
      </w:r>
      <w:r w:rsidR="00CB6909" w:rsidRPr="00250D3C">
        <w:t xml:space="preserve"> v neprospě</w:t>
      </w:r>
      <w:r w:rsidR="00096FF1">
        <w:t xml:space="preserve">ch některých vlastníků </w:t>
      </w:r>
      <w:r w:rsidR="00096FF1" w:rsidRPr="006072D2">
        <w:t>jednotek;</w:t>
      </w:r>
      <w:r w:rsidR="00CB6909" w:rsidRPr="006072D2">
        <w:t xml:space="preserve"> </w:t>
      </w:r>
      <w:r w:rsidR="00096FF1" w:rsidRPr="006072D2">
        <w:t xml:space="preserve">reakcí </w:t>
      </w:r>
      <w:r w:rsidR="00E56A3D">
        <w:t>NOZ</w:t>
      </w:r>
      <w:r w:rsidR="00096FF1" w:rsidRPr="006072D2">
        <w:t xml:space="preserve"> je </w:t>
      </w:r>
      <w:r w:rsidR="00FC235E">
        <w:t xml:space="preserve">tak </w:t>
      </w:r>
      <w:r w:rsidR="00096FF1" w:rsidRPr="006072D2">
        <w:t>možnost rozhodnout</w:t>
      </w:r>
      <w:r w:rsidR="00742652" w:rsidRPr="006072D2">
        <w:t xml:space="preserve"> i</w:t>
      </w:r>
      <w:r w:rsidR="00096FF1" w:rsidRPr="006072D2">
        <w:t xml:space="preserve"> mimo</w:t>
      </w:r>
      <w:r w:rsidR="00742652" w:rsidRPr="006072D2">
        <w:t xml:space="preserve"> zasedání</w:t>
      </w:r>
      <w:r w:rsidR="00CB6909" w:rsidRPr="006072D2">
        <w:t xml:space="preserve">. </w:t>
      </w:r>
      <w:r w:rsidR="00742652" w:rsidRPr="006072D2">
        <w:t>P</w:t>
      </w:r>
      <w:r w:rsidR="00CB6909" w:rsidRPr="006072D2">
        <w:t>rávo inic</w:t>
      </w:r>
      <w:r w:rsidR="00742652" w:rsidRPr="006072D2">
        <w:t>iovat takové rozhodnutí se aktivuje</w:t>
      </w:r>
      <w:r w:rsidR="00CB6909" w:rsidRPr="006072D2">
        <w:t xml:space="preserve"> </w:t>
      </w:r>
      <w:r w:rsidR="00742652" w:rsidRPr="006072D2">
        <w:t xml:space="preserve">jen </w:t>
      </w:r>
      <w:r w:rsidR="00CB6909" w:rsidRPr="006072D2">
        <w:t>v případě, že shro</w:t>
      </w:r>
      <w:r w:rsidR="00742652" w:rsidRPr="006072D2">
        <w:t xml:space="preserve">máždění bylo svoláno, </w:t>
      </w:r>
      <w:r w:rsidR="00CB6909" w:rsidRPr="006072D2">
        <w:t>a</w:t>
      </w:r>
      <w:r w:rsidR="00742652" w:rsidRPr="006072D2">
        <w:t>le</w:t>
      </w:r>
      <w:r w:rsidR="00CB6909" w:rsidRPr="006072D2">
        <w:t xml:space="preserve"> nesešlo se</w:t>
      </w:r>
      <w:r w:rsidR="00742652" w:rsidRPr="006072D2">
        <w:t xml:space="preserve"> usnášeníschopném</w:t>
      </w:r>
      <w:r w:rsidR="00CB6909" w:rsidRPr="006072D2">
        <w:t xml:space="preserve"> počtu</w:t>
      </w:r>
      <w:r w:rsidR="00742652" w:rsidRPr="006072D2">
        <w:t>. Toto právo je dáno jen tomu</w:t>
      </w:r>
      <w:r w:rsidR="00CB6909" w:rsidRPr="006072D2">
        <w:t>, kdo je oprávně</w:t>
      </w:r>
      <w:r w:rsidR="00742652" w:rsidRPr="006072D2">
        <w:t>n shromáždění k zasedání svolat – statutárnímu</w:t>
      </w:r>
      <w:r w:rsidR="00CB6909" w:rsidRPr="006072D2">
        <w:t xml:space="preserve"> orgán</w:t>
      </w:r>
      <w:r w:rsidR="00742652" w:rsidRPr="006072D2">
        <w:t>u</w:t>
      </w:r>
      <w:r w:rsidR="00CB6909" w:rsidRPr="006072D2">
        <w:t xml:space="preserve"> (výbor, popř. předsed</w:t>
      </w:r>
      <w:r w:rsidR="00742652" w:rsidRPr="006072D2">
        <w:t>a společenství) nebo alespoň dvěma vlastníkům</w:t>
      </w:r>
      <w:r w:rsidR="00CB6909" w:rsidRPr="006072D2">
        <w:t xml:space="preserve"> jednotek disponující</w:t>
      </w:r>
      <w:r w:rsidR="00742652" w:rsidRPr="006072D2">
        <w:t>m</w:t>
      </w:r>
      <w:r w:rsidR="00CB6909" w:rsidRPr="006072D2">
        <w:t xml:space="preserve"> více než čtvrtinou hlasů.</w:t>
      </w:r>
      <w:r w:rsidR="00CB6909" w:rsidRPr="00CB6909">
        <w:rPr>
          <w:i/>
        </w:rPr>
        <w:t xml:space="preserve"> </w:t>
      </w:r>
      <w:r w:rsidR="006072D2" w:rsidRPr="006072D2">
        <w:t xml:space="preserve">Zákoník se zde snaží minimalizovat možnost rozhodovat mimo zasedání (tzv. korespondenčního hlasování) tu však lze opět otevřít stanovami, které mohou korespondenční hlasování </w:t>
      </w:r>
      <w:r w:rsidR="00CB6909" w:rsidRPr="006072D2">
        <w:t>připustit</w:t>
      </w:r>
      <w:r w:rsidR="006072D2" w:rsidRPr="006072D2">
        <w:t>, a to</w:t>
      </w:r>
      <w:r w:rsidR="00CB6909" w:rsidRPr="006072D2">
        <w:t xml:space="preserve"> i v dalších případech. </w:t>
      </w:r>
      <w:r w:rsidR="00E56A3D">
        <w:t>V</w:t>
      </w:r>
      <w:r w:rsidR="00496D10" w:rsidRPr="00496D10">
        <w:t>ýznamnou změnou týkající se SVJ je také</w:t>
      </w:r>
      <w:r w:rsidR="00CB6909" w:rsidRPr="00496D10">
        <w:t xml:space="preserve"> </w:t>
      </w:r>
      <w:r w:rsidR="00496D10" w:rsidRPr="00496D10">
        <w:t>pravidlo § 1205 odst. 2 NOZ.</w:t>
      </w:r>
      <w:r w:rsidR="00CB6909" w:rsidRPr="00CB6909">
        <w:rPr>
          <w:i/>
        </w:rPr>
        <w:t xml:space="preserve"> </w:t>
      </w:r>
      <w:r w:rsidR="00E56A3D">
        <w:t>ZOVB</w:t>
      </w:r>
      <w:r w:rsidR="00496D10" w:rsidRPr="00496D10">
        <w:t xml:space="preserve"> stanovoval</w:t>
      </w:r>
      <w:r w:rsidR="00CB6909" w:rsidRPr="00496D10">
        <w:t xml:space="preserve">, že členem statutárního orgánu společenství může být </w:t>
      </w:r>
      <w:r w:rsidR="00496D10" w:rsidRPr="00496D10">
        <w:t>pouze</w:t>
      </w:r>
      <w:r w:rsidR="00CB6909" w:rsidRPr="00496D10">
        <w:t xml:space="preserve"> vlastník jednotky. </w:t>
      </w:r>
      <w:r w:rsidR="00496D10" w:rsidRPr="00496D10">
        <w:t>NOZ</w:t>
      </w:r>
      <w:r w:rsidR="00CB6909" w:rsidRPr="00496D10">
        <w:t xml:space="preserve"> </w:t>
      </w:r>
      <w:r w:rsidR="00496D10" w:rsidRPr="00496D10">
        <w:t>v</w:t>
      </w:r>
      <w:r w:rsidR="00CB6909" w:rsidRPr="00496D10">
        <w:t xml:space="preserve">yžaduje </w:t>
      </w:r>
      <w:r w:rsidR="00496D10" w:rsidRPr="00496D10">
        <w:t>jen</w:t>
      </w:r>
      <w:r w:rsidR="00CB6909" w:rsidRPr="00496D10">
        <w:t>, aby</w:t>
      </w:r>
      <w:r w:rsidR="00496D10" w:rsidRPr="00496D10">
        <w:t xml:space="preserve"> člen statutárního orgánu byl plně svéprávný a bezúhonný, což umožňuje</w:t>
      </w:r>
      <w:r w:rsidR="00CB6909" w:rsidRPr="00496D10">
        <w:t xml:space="preserve"> profesionalizaci správy </w:t>
      </w:r>
      <w:r w:rsidR="00496D10" w:rsidRPr="00496D10">
        <w:t>nemovitosti</w:t>
      </w:r>
      <w:r w:rsidR="00CB6909" w:rsidRPr="00496D10">
        <w:t>, mj. i vzhledem k</w:t>
      </w:r>
      <w:r w:rsidR="00496D10" w:rsidRPr="00496D10">
        <w:t> </w:t>
      </w:r>
      <w:r w:rsidR="00CB6909" w:rsidRPr="00496D10">
        <w:t>požadavkům</w:t>
      </w:r>
      <w:r w:rsidR="00496D10" w:rsidRPr="00496D10">
        <w:t xml:space="preserve"> kladeným</w:t>
      </w:r>
      <w:r w:rsidR="00CB6909" w:rsidRPr="00496D10">
        <w:t xml:space="preserve"> na členy orgánů právnických osob (§ 159</w:t>
      </w:r>
      <w:r w:rsidR="00496D10" w:rsidRPr="00496D10">
        <w:t xml:space="preserve"> NOZ</w:t>
      </w:r>
      <w:r w:rsidR="00CB6909" w:rsidRPr="00496D10">
        <w:t xml:space="preserve">). </w:t>
      </w:r>
      <w:r w:rsidR="006372B6">
        <w:t>Stejně jako je možné společen</w:t>
      </w:r>
      <w:r w:rsidR="00FC235E">
        <w:t>ství vlastníků jednotek</w:t>
      </w:r>
      <w:r w:rsidR="006372B6">
        <w:t xml:space="preserve"> založit </w:t>
      </w:r>
      <w:r w:rsidR="000602C6">
        <w:t xml:space="preserve">projevem soukromé vůle, lze obdobným projevem </w:t>
      </w:r>
      <w:r w:rsidR="00FC235E">
        <w:t>toto</w:t>
      </w:r>
      <w:r w:rsidR="000602C6">
        <w:t xml:space="preserve"> zrušit</w:t>
      </w:r>
      <w:r w:rsidR="00CB6909" w:rsidRPr="00CB6909">
        <w:rPr>
          <w:i/>
        </w:rPr>
        <w:t xml:space="preserve">. </w:t>
      </w:r>
      <w:r w:rsidR="000602C6" w:rsidRPr="000602C6">
        <w:t>Zrušení je</w:t>
      </w:r>
      <w:r w:rsidR="00CB6909" w:rsidRPr="000602C6">
        <w:t xml:space="preserve"> možné při zániku vlastnického práva ke vš</w:t>
      </w:r>
      <w:r w:rsidR="000602C6" w:rsidRPr="000602C6">
        <w:t xml:space="preserve">em jednotkám v domě: </w:t>
      </w:r>
      <w:r w:rsidR="00CB6909" w:rsidRPr="000602C6">
        <w:t xml:space="preserve">v případě zkázy domu, </w:t>
      </w:r>
      <w:r w:rsidR="000602C6" w:rsidRPr="000602C6">
        <w:t>při přeměně SVJ</w:t>
      </w:r>
      <w:r w:rsidR="00CB6909" w:rsidRPr="000602C6">
        <w:t xml:space="preserve"> na podílové spoluvlastnictví nebo převedením nemovité věci jako celku do společného jmění manželů (§ 1217 </w:t>
      </w:r>
      <w:r w:rsidR="000602C6" w:rsidRPr="000602C6">
        <w:t>NOZ), jakož i</w:t>
      </w:r>
      <w:r w:rsidR="00CB6909" w:rsidRPr="000602C6">
        <w:t xml:space="preserve"> prohlášením jediného </w:t>
      </w:r>
      <w:r w:rsidR="000602C6" w:rsidRPr="000602C6">
        <w:t>vlastníka všech jednotek v domě o zrušení SVJ</w:t>
      </w:r>
      <w:r w:rsidR="00CB6909" w:rsidRPr="000602C6">
        <w:t xml:space="preserve"> a</w:t>
      </w:r>
      <w:r w:rsidR="000602C6" w:rsidRPr="000602C6">
        <w:t xml:space="preserve"> nabytí vlastnictví k celé nemovitosti v jeho </w:t>
      </w:r>
      <w:r w:rsidR="000602C6" w:rsidRPr="0018645B">
        <w:t>prospěch.</w:t>
      </w:r>
      <w:r w:rsidR="00FC235E">
        <w:t xml:space="preserve"> Takto</w:t>
      </w:r>
      <w:r w:rsidR="00CB6909" w:rsidRPr="0018645B">
        <w:t xml:space="preserve"> </w:t>
      </w:r>
      <w:r w:rsidR="00FC235E">
        <w:t>z</w:t>
      </w:r>
      <w:r w:rsidR="00CB6909" w:rsidRPr="0018645B">
        <w:t xml:space="preserve">rušit </w:t>
      </w:r>
      <w:r w:rsidR="0018645B" w:rsidRPr="0018645B">
        <w:t xml:space="preserve">je možné samozřejmě i to společenství, které bylo </w:t>
      </w:r>
      <w:r w:rsidR="00FC235E">
        <w:t>založeno dobrovolně projevem vůle vlastníků jednotek.</w:t>
      </w:r>
      <w:r w:rsidR="00CB6909" w:rsidRPr="0018645B">
        <w:t xml:space="preserve"> Rozdíl </w:t>
      </w:r>
      <w:r w:rsidR="0018645B" w:rsidRPr="0018645B">
        <w:t>oproti úpravě ZOVB je</w:t>
      </w:r>
      <w:r w:rsidR="00CB6909" w:rsidRPr="0018645B">
        <w:t>, že</w:t>
      </w:r>
      <w:r w:rsidR="0018645B" w:rsidRPr="0018645B">
        <w:t xml:space="preserve"> nebude-li založeno SVJ tam, kde by založeno být mohlo, ale nemuselo (počty vlastníků a jednotek nenaplňují kritéri</w:t>
      </w:r>
      <w:r w:rsidR="00C67697">
        <w:t xml:space="preserve">a pro povinné založení dle </w:t>
      </w:r>
      <w:r w:rsidR="0018645B" w:rsidRPr="0018645B">
        <w:t>§ 1198 NOZ)</w:t>
      </w:r>
      <w:r w:rsidR="00CB6909" w:rsidRPr="0018645B">
        <w:t xml:space="preserve">, </w:t>
      </w:r>
      <w:r w:rsidR="0018645B" w:rsidRPr="0018645B">
        <w:t>bude se</w:t>
      </w:r>
      <w:r w:rsidR="00CB6909" w:rsidRPr="0018645B">
        <w:t xml:space="preserve"> </w:t>
      </w:r>
      <w:r w:rsidR="00CB6909" w:rsidRPr="0018645B">
        <w:lastRenderedPageBreak/>
        <w:t>správa společné nemovité věci</w:t>
      </w:r>
      <w:r w:rsidR="0018645B" w:rsidRPr="0018645B">
        <w:t xml:space="preserve"> řídit</w:t>
      </w:r>
      <w:r w:rsidR="00CB6909" w:rsidRPr="0018645B">
        <w:t xml:space="preserve"> obecným</w:t>
      </w:r>
      <w:r w:rsidR="0018645B" w:rsidRPr="0018645B">
        <w:t>i</w:t>
      </w:r>
      <w:r w:rsidR="00CB6909" w:rsidRPr="0018645B">
        <w:t xml:space="preserve"> ustanovením</w:t>
      </w:r>
      <w:r w:rsidR="0018645B" w:rsidRPr="0018645B">
        <w:t>i</w:t>
      </w:r>
      <w:r w:rsidR="00CB6909" w:rsidRPr="0018645B">
        <w:t xml:space="preserve"> o správě společné věci ve </w:t>
      </w:r>
      <w:r w:rsidR="00C67697">
        <w:t>spoluvlastnictví (</w:t>
      </w:r>
      <w:r w:rsidR="00CB6909" w:rsidRPr="0018645B">
        <w:t xml:space="preserve">§ 1126 až 1139 </w:t>
      </w:r>
      <w:r w:rsidR="0018645B" w:rsidRPr="0018645B">
        <w:t>NOZ). Je tak na uvážení spoluvlastníků nemovitosti,</w:t>
      </w:r>
      <w:r w:rsidR="00CB6909" w:rsidRPr="0018645B">
        <w:t xml:space="preserve"> např. ro</w:t>
      </w:r>
      <w:r w:rsidR="0018645B" w:rsidRPr="0018645B">
        <w:t>zdělené jen na čtyři jednotky</w:t>
      </w:r>
      <w:r w:rsidR="00CB6909" w:rsidRPr="0018645B">
        <w:t>, jakému režimu správy společnou nemovitost podřídí.</w:t>
      </w:r>
      <w:r w:rsidR="00974FBD" w:rsidRPr="0018645B">
        <w:rPr>
          <w:rStyle w:val="Znakapoznpodarou"/>
        </w:rPr>
        <w:footnoteReference w:id="93"/>
      </w:r>
    </w:p>
    <w:p w:rsidR="002A122D" w:rsidRDefault="002A122D" w:rsidP="0097734E">
      <w:pPr>
        <w:pStyle w:val="Nadpis2"/>
      </w:pPr>
      <w:bookmarkStart w:id="26" w:name="_Toc509413084"/>
      <w:r>
        <w:t>Předmět vlastnictví</w:t>
      </w:r>
      <w:bookmarkEnd w:id="26"/>
    </w:p>
    <w:p w:rsidR="0008288F" w:rsidRDefault="001B7148" w:rsidP="00AF09ED">
      <w:r w:rsidRPr="001B7148">
        <w:t xml:space="preserve">Podle nové úpravy NOZ </w:t>
      </w:r>
      <w:r w:rsidR="0008288F" w:rsidRPr="001B7148">
        <w:t>není</w:t>
      </w:r>
      <w:r w:rsidRPr="001B7148">
        <w:t xml:space="preserve"> předmětem vlastnictví </w:t>
      </w:r>
      <w:r w:rsidR="0008288F" w:rsidRPr="001B7148">
        <w:t>byt (místnost nebo soubor místností</w:t>
      </w:r>
      <w:r w:rsidRPr="001B7148">
        <w:t xml:space="preserve"> – viz kap. 1.1</w:t>
      </w:r>
      <w:r w:rsidR="0008288F" w:rsidRPr="001B7148">
        <w:t xml:space="preserve">), </w:t>
      </w:r>
      <w:r w:rsidRPr="001B7148">
        <w:t>nýbrž</w:t>
      </w:r>
      <w:r w:rsidR="0008288F" w:rsidRPr="001B7148">
        <w:t xml:space="preserve"> jednotka</w:t>
      </w:r>
      <w:r w:rsidR="00983970">
        <w:rPr>
          <w:rStyle w:val="Znakapoznpodarou"/>
        </w:rPr>
        <w:footnoteReference w:id="94"/>
      </w:r>
      <w:r w:rsidR="0008288F" w:rsidRPr="001B7148">
        <w:t>.</w:t>
      </w:r>
      <w:r w:rsidR="0008288F" w:rsidRPr="0008288F">
        <w:rPr>
          <w:i/>
        </w:rPr>
        <w:t xml:space="preserve"> </w:t>
      </w:r>
      <w:r w:rsidRPr="001B7148">
        <w:t xml:space="preserve">Tu pojímá </w:t>
      </w:r>
      <w:r w:rsidR="00C67697">
        <w:t>NOZ</w:t>
      </w:r>
      <w:r w:rsidR="0008288F" w:rsidRPr="001B7148">
        <w:t xml:space="preserve"> odlišně od </w:t>
      </w:r>
      <w:r w:rsidRPr="001B7148">
        <w:t>§ 2 písm. h) ZOVB.</w:t>
      </w:r>
      <w:r w:rsidR="0008288F" w:rsidRPr="001B7148">
        <w:t xml:space="preserve"> Jednotkou</w:t>
      </w:r>
      <w:r w:rsidRPr="001B7148">
        <w:t xml:space="preserve"> totiž už</w:t>
      </w:r>
      <w:r w:rsidR="0008288F" w:rsidRPr="001B7148">
        <w:t xml:space="preserve"> není jen byt jako </w:t>
      </w:r>
      <w:r w:rsidRPr="001B7148">
        <w:t>prostorově odděl</w:t>
      </w:r>
      <w:r w:rsidR="00C67697">
        <w:t>ená část domu, ale podle § 1159 NOZ zahrnuje</w:t>
      </w:r>
      <w:r w:rsidRPr="001B7148">
        <w:t xml:space="preserve"> společ</w:t>
      </w:r>
      <w:r w:rsidR="0008288F" w:rsidRPr="001B7148">
        <w:t xml:space="preserve">ně s ním i podíl na společných částech </w:t>
      </w:r>
      <w:r w:rsidR="00C67697">
        <w:t>nemovitosti,</w:t>
      </w:r>
      <w:r w:rsidRPr="001B7148">
        <w:t xml:space="preserve"> obojí</w:t>
      </w:r>
      <w:r w:rsidR="0008288F" w:rsidRPr="001B7148">
        <w:t xml:space="preserve"> je vzájemně spojené a neoddělitelné.</w:t>
      </w:r>
      <w:r w:rsidR="006A200B">
        <w:t xml:space="preserve"> Obsah pojmu jednotka je podle nové úpravy širší.</w:t>
      </w:r>
      <w:r w:rsidR="006A200B">
        <w:rPr>
          <w:rStyle w:val="Znakapoznpodarou"/>
        </w:rPr>
        <w:footnoteReference w:id="95"/>
      </w:r>
      <w:r w:rsidR="00D83FA4">
        <w:t xml:space="preserve"> Především tímto spojením se liší jednotky dle NOZ od jednotek dle ZOVB.</w:t>
      </w:r>
      <w:r w:rsidR="00D83FA4">
        <w:rPr>
          <w:rStyle w:val="Znakapoznpodarou"/>
        </w:rPr>
        <w:footnoteReference w:id="96"/>
      </w:r>
      <w:r w:rsidR="0008288F" w:rsidRPr="001B7148">
        <w:t xml:space="preserve"> Jednotku </w:t>
      </w:r>
      <w:r w:rsidRPr="001B7148">
        <w:t>NOZ prohlašuje</w:t>
      </w:r>
      <w:r w:rsidR="0008288F" w:rsidRPr="001B7148">
        <w:t xml:space="preserve"> za věc nemovitou</w:t>
      </w:r>
      <w:r w:rsidRPr="001B7148">
        <w:t xml:space="preserve"> (viz kap. 2.3).</w:t>
      </w:r>
      <w:r w:rsidRPr="001B7148">
        <w:rPr>
          <w:rStyle w:val="Znakapoznpodarou"/>
        </w:rPr>
        <w:t xml:space="preserve"> </w:t>
      </w:r>
      <w:r w:rsidRPr="00B43651">
        <w:rPr>
          <w:rStyle w:val="Znakapoznpodarou"/>
        </w:rPr>
        <w:footnoteReference w:id="97"/>
      </w:r>
    </w:p>
    <w:p w:rsidR="00B44CC3" w:rsidRDefault="00B44CC3" w:rsidP="00AF09ED">
      <w:pPr>
        <w:rPr>
          <w:i/>
        </w:rPr>
      </w:pPr>
      <w:r w:rsidRPr="000F6769">
        <w:t>Odlišný p</w:t>
      </w:r>
      <w:r w:rsidR="00C67697">
        <w:t xml:space="preserve">řístup od dosavadní úpravy </w:t>
      </w:r>
      <w:r w:rsidRPr="000F6769">
        <w:t>§ 2 písm. g) ZOVB volí NOZ i ve vztahu k společným částem</w:t>
      </w:r>
      <w:r w:rsidR="000F6769" w:rsidRPr="000F6769">
        <w:t xml:space="preserve"> domu, respektive pozemku</w:t>
      </w:r>
      <w:r w:rsidRPr="000F6769">
        <w:t xml:space="preserve">. Dává tak za pravdu Lubymu uznávajíc, že právní úprava </w:t>
      </w:r>
      <w:r w:rsidR="000F6769" w:rsidRPr="000F6769">
        <w:t>není schopna</w:t>
      </w:r>
      <w:r w:rsidRPr="000F6769">
        <w:t xml:space="preserve"> dobře vytvořit pro všechny domy jednotné kritérium pro určení společných částí</w:t>
      </w:r>
      <w:r w:rsidR="000F6769" w:rsidRPr="000F6769">
        <w:t>, a to</w:t>
      </w:r>
      <w:r w:rsidRPr="000F6769">
        <w:t xml:space="preserve"> vzhledem k variabilitě stavebně technickéh</w:t>
      </w:r>
      <w:r w:rsidR="000F6769">
        <w:t>o uspořádání jednotlivých domů stejně jako</w:t>
      </w:r>
      <w:r w:rsidRPr="000F6769">
        <w:t xml:space="preserve"> k možné subjektivní determinaci odvozené z vůle dotčených osob</w:t>
      </w:r>
      <w:r w:rsidRPr="00C67697">
        <w:t>.</w:t>
      </w:r>
      <w:r w:rsidRPr="00C67697">
        <w:rPr>
          <w:rStyle w:val="Znakapoznpodarou"/>
        </w:rPr>
        <w:footnoteReference w:id="98"/>
      </w:r>
    </w:p>
    <w:p w:rsidR="00616409" w:rsidRDefault="00B2034B" w:rsidP="00AF09ED">
      <w:r>
        <w:t>Nový</w:t>
      </w:r>
      <w:r w:rsidR="004E2A15">
        <w:t xml:space="preserve"> občanský</w:t>
      </w:r>
      <w:r>
        <w:t xml:space="preserve"> zákoník se vydává cestou rámcového vymezení.</w:t>
      </w:r>
      <w:r>
        <w:rPr>
          <w:rStyle w:val="Znakapoznpodarou"/>
        </w:rPr>
        <w:footnoteReference w:id="99"/>
      </w:r>
      <w:r w:rsidR="00C67697">
        <w:t xml:space="preserve"> V rámci </w:t>
      </w:r>
      <w:r>
        <w:t>§ 1160 spojuje abst</w:t>
      </w:r>
      <w:r w:rsidR="004E2A15">
        <w:t>raktní vymezení – společné vlastníkům jednotek je vše</w:t>
      </w:r>
      <w:r>
        <w:t>, co</w:t>
      </w:r>
      <w:r w:rsidR="004E2A15">
        <w:t xml:space="preserve"> jim má sloužit</w:t>
      </w:r>
      <w:r>
        <w:t xml:space="preserve"> společně – s určením, že společný je vždy pozemek (případně věcné právo opravňující mít na cizím pozemku dům) a stavební části domu podstatné pro jeho zachování (včetně jeho hlavních konstrukcí), stejně jako pro zachování tvaru a vzhledu domu.</w:t>
      </w:r>
      <w:r w:rsidR="0072018B">
        <w:t xml:space="preserve"> Myšlenku konkrétnějšího vymezení společných částí</w:t>
      </w:r>
      <w:r w:rsidR="00506EC8">
        <w:t xml:space="preserve"> však nová úprava</w:t>
      </w:r>
      <w:r w:rsidR="0072018B">
        <w:t xml:space="preserve"> úplně nepopřela</w:t>
      </w:r>
      <w:r w:rsidR="00506EC8">
        <w:t xml:space="preserve"> a částečně tak zůstává spojena s úpravou ZOVB. </w:t>
      </w:r>
      <w:r w:rsidR="00506EC8" w:rsidRPr="00CB5C0B">
        <w:t xml:space="preserve">§ 1222 NOZ předpokládá, že otázky společných částí nemovitosti upraví prováděcí právní předpis – stanoví tak však cestou vyvratitelné právní domněnky. </w:t>
      </w:r>
      <w:r w:rsidR="00CB5C0B" w:rsidRPr="00CB5C0B">
        <w:t>Tímto předpisem je nařízení vlády č. 366/2013 Sb., o úpravě některých záležitostí souvisejících s bytovým spoluvlastnictvím. Tedy i když je tento předpis vydán, není</w:t>
      </w:r>
      <w:r w:rsidR="00506EC8" w:rsidRPr="00CB5C0B">
        <w:t xml:space="preserve"> vyloučeno, aby se prohlášení (§ 1166 </w:t>
      </w:r>
      <w:r w:rsidR="00CB5C0B" w:rsidRPr="00CB5C0B">
        <w:t>NOZ</w:t>
      </w:r>
      <w:r w:rsidR="00506EC8" w:rsidRPr="00CB5C0B">
        <w:t xml:space="preserve">) nebo smlouva o výstavbě (§ 1170 </w:t>
      </w:r>
      <w:r w:rsidR="00CB5C0B" w:rsidRPr="00CB5C0B">
        <w:t xml:space="preserve">NOZ), popř. jiný </w:t>
      </w:r>
      <w:r w:rsidR="00506EC8" w:rsidRPr="00CB5C0B">
        <w:t>právní akt</w:t>
      </w:r>
      <w:r w:rsidR="00CB5C0B" w:rsidRPr="00CB5C0B">
        <w:t xml:space="preserve"> konstitutivní povahy</w:t>
      </w:r>
      <w:r w:rsidR="00506EC8" w:rsidRPr="00CB5C0B">
        <w:t xml:space="preserve"> (dohoda o zrušení spoluvlastnictví nebo o změn</w:t>
      </w:r>
      <w:r w:rsidR="00CB5C0B" w:rsidRPr="00CB5C0B">
        <w:t>ě rozsahu či vypořádání společ</w:t>
      </w:r>
      <w:r w:rsidR="00506EC8" w:rsidRPr="00CB5C0B">
        <w:t>ného jmění manželů, soudní rozhodnutí) od vymezení v</w:t>
      </w:r>
      <w:r w:rsidR="00CB5C0B" w:rsidRPr="00CB5C0B">
        <w:t> nařízení vlády č. 366/2013 jakožto</w:t>
      </w:r>
      <w:r w:rsidR="00506EC8" w:rsidRPr="00CB5C0B">
        <w:t xml:space="preserve"> prováděcím předpisu odchýlily.</w:t>
      </w:r>
    </w:p>
    <w:p w:rsidR="00722C12" w:rsidRDefault="00722C12" w:rsidP="0097734E">
      <w:pPr>
        <w:pStyle w:val="Nadpis2"/>
      </w:pPr>
      <w:bookmarkStart w:id="27" w:name="_Toc509413085"/>
      <w:r w:rsidRPr="00722C12">
        <w:lastRenderedPageBreak/>
        <w:t>Zápis vlastnického práva k jednotkám</w:t>
      </w:r>
      <w:bookmarkEnd w:id="27"/>
    </w:p>
    <w:p w:rsidR="00722C12" w:rsidRDefault="008439DA" w:rsidP="00722C12">
      <w:r w:rsidRPr="008439DA">
        <w:t>Výrazná změna se značným</w:t>
      </w:r>
      <w:r w:rsidR="00722C12" w:rsidRPr="008439DA">
        <w:t xml:space="preserve"> praktický</w:t>
      </w:r>
      <w:r w:rsidRPr="008439DA">
        <w:t>m</w:t>
      </w:r>
      <w:r w:rsidR="00722C12" w:rsidRPr="008439DA">
        <w:t xml:space="preserve"> </w:t>
      </w:r>
      <w:r w:rsidR="0098263A">
        <w:t>dopadem je</w:t>
      </w:r>
      <w:r w:rsidR="00722C12" w:rsidRPr="008439DA">
        <w:t xml:space="preserve"> pravidlo</w:t>
      </w:r>
      <w:r w:rsidRPr="008439DA">
        <w:t xml:space="preserve"> </w:t>
      </w:r>
      <w:r w:rsidR="0098263A">
        <w:t xml:space="preserve">§ </w:t>
      </w:r>
      <w:r w:rsidRPr="008439DA">
        <w:t>1167 NOZ.</w:t>
      </w:r>
      <w:r w:rsidR="00722C12" w:rsidRPr="00722C12">
        <w:rPr>
          <w:i/>
        </w:rPr>
        <w:t xml:space="preserve"> </w:t>
      </w:r>
      <w:r w:rsidR="00017A42" w:rsidRPr="00017A42">
        <w:t xml:space="preserve">Od momentu zapsání vlastnického práva k jednotce </w:t>
      </w:r>
      <w:r w:rsidR="00722C12" w:rsidRPr="00017A42">
        <w:t>do katastru nemovito</w:t>
      </w:r>
      <w:r w:rsidR="00017A42" w:rsidRPr="00017A42">
        <w:t>stí</w:t>
      </w:r>
      <w:r w:rsidR="00722C12" w:rsidRPr="00017A42">
        <w:t xml:space="preserve">, </w:t>
      </w:r>
      <w:r w:rsidR="00017A42" w:rsidRPr="00017A42">
        <w:t>není možné prohlásit za neplatné prohlášení rozdělující nemovitost na jednotky</w:t>
      </w:r>
      <w:r w:rsidR="00722C12" w:rsidRPr="00017A42">
        <w:t xml:space="preserve"> </w:t>
      </w:r>
      <w:r w:rsidR="00017A42" w:rsidRPr="00017A42">
        <w:t>za situace, kdy další osoba nabyla k jednotce věcné právo</w:t>
      </w:r>
      <w:r w:rsidR="00722C12" w:rsidRPr="00017A42">
        <w:t>.</w:t>
      </w:r>
      <w:r w:rsidR="00722C12" w:rsidRPr="00722C12">
        <w:rPr>
          <w:i/>
        </w:rPr>
        <w:t xml:space="preserve"> </w:t>
      </w:r>
      <w:r w:rsidR="00017A42" w:rsidRPr="00017A42">
        <w:t xml:space="preserve">V takovém případě ani nelze </w:t>
      </w:r>
      <w:r w:rsidR="00722C12" w:rsidRPr="00017A42">
        <w:t>určit, že vlastn</w:t>
      </w:r>
      <w:r w:rsidR="00017A42">
        <w:t>ické právo k jednotce nevzniklo, což má za cíl</w:t>
      </w:r>
      <w:r w:rsidR="00722C12" w:rsidRPr="00017A42">
        <w:t xml:space="preserve"> </w:t>
      </w:r>
      <w:r w:rsidR="00017A42">
        <w:t xml:space="preserve">ochranu dobré víry třetích osob v katastr nemovitostí jakožto </w:t>
      </w:r>
      <w:r w:rsidR="00DC5B6F">
        <w:t>typ</w:t>
      </w:r>
      <w:r w:rsidR="00DC5B6F" w:rsidRPr="0098263A">
        <w:t>ický příklad veřejného seznamu</w:t>
      </w:r>
      <w:r w:rsidR="0098263A" w:rsidRPr="0098263A">
        <w:t>.</w:t>
      </w:r>
      <w:r w:rsidR="0098263A">
        <w:rPr>
          <w:i/>
        </w:rPr>
        <w:t xml:space="preserve"> </w:t>
      </w:r>
      <w:r w:rsidR="00DC5B6F" w:rsidRPr="0098263A">
        <w:rPr>
          <w:rStyle w:val="Znakapoznpodarou"/>
        </w:rPr>
        <w:footnoteReference w:id="100"/>
      </w:r>
      <w:r w:rsidR="00017A42" w:rsidRPr="0098263A">
        <w:t xml:space="preserve"> D</w:t>
      </w:r>
      <w:r w:rsidR="00017A42" w:rsidRPr="00D3180F">
        <w:t xml:space="preserve">obrá víra je z hlediska NOZ </w:t>
      </w:r>
      <w:r w:rsidR="00D3180F" w:rsidRPr="00D3180F">
        <w:t>důležitější než bezvadnost prohlášení.</w:t>
      </w:r>
      <w:r w:rsidR="00D3180F">
        <w:t xml:space="preserve"> Toto ustan</w:t>
      </w:r>
      <w:r w:rsidR="00D3180F" w:rsidRPr="00F216C6">
        <w:t>ovení chrání nejen nabyvatele vlastnictví jednotky, nýbrž i každého, kdo k jednotce získal věcné právo</w:t>
      </w:r>
      <w:r w:rsidR="00F216C6" w:rsidRPr="00F216C6">
        <w:t xml:space="preserve"> (což může být zástavní právo, reálné břemeno, služebnost užívání, požívání atd.).</w:t>
      </w:r>
      <w:r w:rsidR="00722C12" w:rsidRPr="00F216C6">
        <w:rPr>
          <w:rStyle w:val="Znakapoznpodarou"/>
        </w:rPr>
        <w:footnoteReference w:id="101"/>
      </w:r>
    </w:p>
    <w:p w:rsidR="00E518BB" w:rsidRDefault="00E518BB" w:rsidP="0097734E">
      <w:pPr>
        <w:pStyle w:val="Nadpis2"/>
      </w:pPr>
      <w:bookmarkStart w:id="28" w:name="_Toc509413086"/>
      <w:r w:rsidRPr="00E518BB">
        <w:t>Prohlášení vlastníka</w:t>
      </w:r>
      <w:bookmarkEnd w:id="28"/>
    </w:p>
    <w:p w:rsidR="009377D5" w:rsidRPr="009377D5" w:rsidRDefault="00900CB0" w:rsidP="009377D5">
      <w:pPr>
        <w:rPr>
          <w:i/>
        </w:rPr>
      </w:pPr>
      <w:r w:rsidRPr="00900CB0">
        <w:t>§ 1168 a 1169 NOZ přinášejí praktické řešení problematiky prohlášení vlastníka. Za účinnosti ZOVB docházelo v praxi poměrně často k situacím</w:t>
      </w:r>
      <w:r>
        <w:rPr>
          <w:i/>
        </w:rPr>
        <w:t xml:space="preserve">, </w:t>
      </w:r>
      <w:r w:rsidRPr="00900CB0">
        <w:t>kdy prohlášení vlastníka budovy ohledně určení prostorově vymezených částí za jednotky vykazovalo vady, popřípadě se později z různých důvodů objevovala potřeba změny původního prohlášení.</w:t>
      </w:r>
      <w:r w:rsidRPr="00900CB0">
        <w:rPr>
          <w:i/>
        </w:rPr>
        <w:t xml:space="preserve"> </w:t>
      </w:r>
      <w:r w:rsidR="003F351F" w:rsidRPr="003F351F">
        <w:t>Osoba vydávající prohlášení tak již k předmětné nemovitosti nemá žádný majetkový zájem, proto může být nesnadné ji přimět adekvátní projev vůle učinit.</w:t>
      </w:r>
      <w:r w:rsidRPr="003F351F">
        <w:t xml:space="preserve"> </w:t>
      </w:r>
      <w:r w:rsidR="003F351F" w:rsidRPr="003F351F">
        <w:t>NOZ pro vadná prohlášení zakotvuje povinnost tomu, jenž jej učinil vady odstranit s podmínkou, že pokud tak neučiní bez zbytečného odkladu, mohou to vykonat sami dotčení vlastníci bytových jednotek</w:t>
      </w:r>
      <w:r w:rsidR="005959A4" w:rsidRPr="004F5E0F">
        <w:t>.</w:t>
      </w:r>
      <w:r w:rsidR="009377D5">
        <w:t xml:space="preserve"> </w:t>
      </w:r>
      <w:r w:rsidR="009377D5" w:rsidRPr="009377D5">
        <w:t>Byť je tato úprava poměrně komplikovaná, je v praxi jediná aplikovatelná.</w:t>
      </w:r>
      <w:r w:rsidRPr="004F5E0F">
        <w:t xml:space="preserve"> </w:t>
      </w:r>
      <w:r w:rsidR="006B2128" w:rsidRPr="006B2128">
        <w:t>Je-li vlastníků jednotek v domě více, musejí se na opravě prohlášení dohodnout bezvýjimečně všichni; zákon zde vyžaduje absolutní konsenzus. Důvodem takové úpravy je požadavek respektu ústavně zaručené ochrany vlastnického práva (čl. 11 odst. 1 L</w:t>
      </w:r>
      <w:r w:rsidR="006B2128">
        <w:t>Z</w:t>
      </w:r>
      <w:r w:rsidR="006B2128" w:rsidRPr="006B2128">
        <w:t>PS). I kdyby šlo o opravu pouhé formální chyby, bez vědomí a souhlasu kteréhokoliv vlastníka některé z jednotek ji nelze odstranit.</w:t>
      </w:r>
      <w:r w:rsidR="006B2128" w:rsidRPr="006B2128">
        <w:rPr>
          <w:rStyle w:val="Znakapoznpodarou"/>
        </w:rPr>
        <w:footnoteReference w:id="102"/>
      </w:r>
      <w:r w:rsidR="006B2128">
        <w:t xml:space="preserve"> </w:t>
      </w:r>
    </w:p>
    <w:p w:rsidR="00421DB2" w:rsidRDefault="006B2128" w:rsidP="009377D5">
      <w:r w:rsidRPr="006B2128">
        <w:t xml:space="preserve">Dotčených vlastníků však mohou nezřídka být desítky, NOZ pro tyto případy zakotvuje </w:t>
      </w:r>
      <w:r w:rsidR="009377D5" w:rsidRPr="006B2128">
        <w:t xml:space="preserve">možnost soudního rozhodnutí </w:t>
      </w:r>
      <w:r w:rsidRPr="006B2128">
        <w:t>o odstranění vady na návrh osoby, která na tom má právní zájem.</w:t>
      </w:r>
      <w:r w:rsidR="009377D5" w:rsidRPr="009377D5">
        <w:rPr>
          <w:i/>
        </w:rPr>
        <w:t xml:space="preserve"> </w:t>
      </w:r>
      <w:r w:rsidRPr="006B2128">
        <w:t xml:space="preserve">Jde vlastně o nahrazení </w:t>
      </w:r>
      <w:r w:rsidR="009377D5" w:rsidRPr="006B2128">
        <w:t>projev</w:t>
      </w:r>
      <w:r w:rsidRPr="006B2128">
        <w:t>u</w:t>
      </w:r>
      <w:r w:rsidR="009377D5" w:rsidRPr="006B2128">
        <w:t xml:space="preserve"> vůle ostatních vlastníků jednotek (</w:t>
      </w:r>
      <w:r w:rsidR="00B47220">
        <w:t>§ 161 odst. 3 OSŘ).</w:t>
      </w:r>
    </w:p>
    <w:p w:rsidR="00900CB0" w:rsidRDefault="003633D6" w:rsidP="00421DB2">
      <w:r>
        <w:t xml:space="preserve">Dle </w:t>
      </w:r>
      <w:r w:rsidR="00900CB0" w:rsidRPr="004F5E0F">
        <w:t xml:space="preserve">§ 1169 </w:t>
      </w:r>
      <w:r w:rsidR="005959A4" w:rsidRPr="004F5E0F">
        <w:t>NOZ</w:t>
      </w:r>
      <w:r w:rsidR="00900CB0" w:rsidRPr="004F5E0F">
        <w:t xml:space="preserve"> </w:t>
      </w:r>
      <w:r w:rsidR="005959A4" w:rsidRPr="004F5E0F">
        <w:t xml:space="preserve">mohou vlastníci jednotek </w:t>
      </w:r>
      <w:r w:rsidR="00900CB0" w:rsidRPr="004F5E0F">
        <w:t xml:space="preserve">obsah prohlášení změnit i z jiných </w:t>
      </w:r>
      <w:r w:rsidR="005959A4" w:rsidRPr="004F5E0F">
        <w:t>důvodů</w:t>
      </w:r>
      <w:r w:rsidR="00900CB0" w:rsidRPr="004F5E0F">
        <w:t xml:space="preserve"> než </w:t>
      </w:r>
      <w:r w:rsidR="005959A4" w:rsidRPr="004F5E0F">
        <w:t>jen z pouhého zájmu</w:t>
      </w:r>
      <w:r w:rsidR="00900CB0" w:rsidRPr="004F5E0F">
        <w:t xml:space="preserve"> na odstranění vady. </w:t>
      </w:r>
      <w:r w:rsidR="004F5E0F" w:rsidRPr="004F5E0F">
        <w:t>Zde mají důležitou možnost také třetí osoby, především zájemci</w:t>
      </w:r>
      <w:r w:rsidR="00900CB0" w:rsidRPr="004F5E0F">
        <w:t xml:space="preserve"> o nabytí vlastnického práva k</w:t>
      </w:r>
      <w:r w:rsidR="004F5E0F" w:rsidRPr="004F5E0F">
        <w:t> </w:t>
      </w:r>
      <w:r w:rsidR="00900CB0" w:rsidRPr="004F5E0F">
        <w:t>jednotce</w:t>
      </w:r>
      <w:r w:rsidR="004F5E0F" w:rsidRPr="004F5E0F">
        <w:t xml:space="preserve">, a to seznámit se s </w:t>
      </w:r>
      <w:r w:rsidR="00900CB0" w:rsidRPr="004F5E0F">
        <w:t>aktuálním zněním</w:t>
      </w:r>
      <w:r w:rsidR="004F5E0F" w:rsidRPr="004F5E0F">
        <w:t xml:space="preserve"> prohlášení</w:t>
      </w:r>
      <w:r w:rsidR="00900CB0" w:rsidRPr="004F5E0F">
        <w:t>.</w:t>
      </w:r>
      <w:r w:rsidR="004F5E0F">
        <w:t xml:space="preserve"> </w:t>
      </w:r>
      <w:r w:rsidR="004F5E0F">
        <w:lastRenderedPageBreak/>
        <w:t xml:space="preserve">Z toho </w:t>
      </w:r>
      <w:r>
        <w:t xml:space="preserve">důvodu NOZ prostřednictvím </w:t>
      </w:r>
      <w:r w:rsidR="004F5E0F">
        <w:t>§ 1220 ukládá povinnost založit prohlášení do sbírky listin vedle orgánu vedoucího rejstřík SVJ i u katastru nemovitostí.</w:t>
      </w:r>
      <w:r w:rsidR="00900CB0" w:rsidRPr="004F5E0F">
        <w:rPr>
          <w:rStyle w:val="Znakapoznpodarou"/>
        </w:rPr>
        <w:footnoteReference w:id="103"/>
      </w:r>
    </w:p>
    <w:p w:rsidR="004F5419" w:rsidRDefault="004F5419" w:rsidP="0097734E">
      <w:pPr>
        <w:pStyle w:val="Nadpis2"/>
      </w:pPr>
      <w:bookmarkStart w:id="29" w:name="_Toc509413087"/>
      <w:r>
        <w:t>Vztah k sousedům</w:t>
      </w:r>
      <w:bookmarkEnd w:id="29"/>
    </w:p>
    <w:p w:rsidR="004F5419" w:rsidRPr="00900CB0" w:rsidRDefault="004F5419" w:rsidP="004F5419">
      <w:pPr>
        <w:rPr>
          <w:i/>
        </w:rPr>
      </w:pPr>
      <w:r w:rsidRPr="00D318D9">
        <w:t>Vlastník samozřejmě disponuje s právem svůj byt stavebně upravovat, doposud se však poměrně často sávalo, že bylo při úpravách zasaženo do hlavních konstrukcí domu, aniž tomu šlo preventivně zabránit.</w:t>
      </w:r>
      <w:r w:rsidRPr="004A46A0">
        <w:rPr>
          <w:i/>
        </w:rPr>
        <w:t xml:space="preserve"> </w:t>
      </w:r>
      <w:r w:rsidRPr="00D318D9">
        <w:t>Zákon o vlastnictví bytů nijak neumožňoval kontrolování rozsahu stavebních prací uvnitř bytu, při následném poškození např. nosných zdí domu, bylo již pozdě.  NOZ tak v takových případech ukládá vlastníku jednotky povinnost umožnit do svého bytu vstup pro ověření, zda stavební práce neohrožují nebo nepoškozují společné části (ust. § 1182). NOZ si t</w:t>
      </w:r>
      <w:r w:rsidR="00B731A8">
        <w:t>aké uvědomuje důležitost znalosti</w:t>
      </w:r>
      <w:r w:rsidRPr="00D318D9">
        <w:t xml:space="preserve"> sousedů, tu</w:t>
      </w:r>
      <w:r w:rsidR="003633D6">
        <w:t xml:space="preserve"> zajišťuje prostřednictvím § 1177 a 1178, jimiž </w:t>
      </w:r>
      <w:r w:rsidRPr="004F5419">
        <w:t>ukládá vlastníku jednotky oznámit osobě odpovědné za správu domu mj. i údaje o sobě, popř. údaje o osobě, které byt přenechal k užívání</w:t>
      </w:r>
      <w:r w:rsidRPr="004A46A0">
        <w:rPr>
          <w:i/>
        </w:rPr>
        <w:t xml:space="preserve">. </w:t>
      </w:r>
      <w:r w:rsidRPr="004F5419">
        <w:t xml:space="preserve">Každý vlastník jednotky má podle § 1178 </w:t>
      </w:r>
      <w:r>
        <w:t>NOZ</w:t>
      </w:r>
      <w:r w:rsidRPr="004F5419">
        <w:t xml:space="preserve"> právo</w:t>
      </w:r>
      <w:r w:rsidR="00B731A8">
        <w:t xml:space="preserve"> znát</w:t>
      </w:r>
      <w:r w:rsidRPr="004F5419">
        <w:t xml:space="preserve"> osobu odpovědnou za správu domu jméno a adresu kteréhokoliv vlastníka nebo nájemce jiné jednotky v domě.</w:t>
      </w:r>
      <w:r w:rsidRPr="004A46A0">
        <w:rPr>
          <w:i/>
        </w:rPr>
        <w:t xml:space="preserve"> </w:t>
      </w:r>
      <w:r w:rsidR="00B43428" w:rsidRPr="00B43428">
        <w:t>Drobný posun od úpravy ZOVB je také znát z</w:t>
      </w:r>
      <w:r w:rsidRPr="00B43428">
        <w:t xml:space="preserve"> nové úpravy nuceného prodeje jednotky (§ 1184 </w:t>
      </w:r>
      <w:r w:rsidR="00B43428" w:rsidRPr="00B43428">
        <w:t>NOZ</w:t>
      </w:r>
      <w:r w:rsidRPr="00B43428">
        <w:t>).</w:t>
      </w:r>
      <w:r w:rsidRPr="00B43428">
        <w:rPr>
          <w:rStyle w:val="Znakapoznpodarou"/>
        </w:rPr>
        <w:footnoteReference w:id="104"/>
      </w:r>
    </w:p>
    <w:p w:rsidR="00B44CC3" w:rsidRPr="00722C12" w:rsidRDefault="00722C12" w:rsidP="0097734E">
      <w:pPr>
        <w:pStyle w:val="Nadpis2"/>
      </w:pPr>
      <w:bookmarkStart w:id="30" w:name="_Toc509413088"/>
      <w:r>
        <w:t>Superficies solo cedit</w:t>
      </w:r>
      <w:r w:rsidR="00CE602F">
        <w:t xml:space="preserve"> a zákonné předkupní právo</w:t>
      </w:r>
      <w:r w:rsidR="00482DC9">
        <w:t xml:space="preserve"> k jednotkám?</w:t>
      </w:r>
      <w:bookmarkEnd w:id="30"/>
    </w:p>
    <w:p w:rsidR="001475D9" w:rsidRPr="00C652C3" w:rsidRDefault="00AF003C" w:rsidP="00996386">
      <w:r>
        <w:t>Institut bytového spoluvlastnictví představuje společně s právem stavby významnou výjimku ze superficiálního principu, přičemž se však jedná o výjimky potvrzující pravidlo.</w:t>
      </w:r>
      <w:r>
        <w:rPr>
          <w:rStyle w:val="Znakapoznpodarou"/>
        </w:rPr>
        <w:footnoteReference w:id="105"/>
      </w:r>
      <w:r w:rsidR="00693269">
        <w:t xml:space="preserve"> </w:t>
      </w:r>
      <w:r w:rsidR="00C004C4">
        <w:t>I pro toto podtéma jsou zásadní přechodná ustanovení NOZ</w:t>
      </w:r>
      <w:r w:rsidR="00D820E1">
        <w:t>, jejichž leitmotivem je snaha, aby se stavby staly součástí pozemku.</w:t>
      </w:r>
      <w:r w:rsidR="00D820E1">
        <w:rPr>
          <w:rStyle w:val="Znakapoznpodarou"/>
        </w:rPr>
        <w:footnoteReference w:id="106"/>
      </w:r>
      <w:r w:rsidR="00D820E1">
        <w:t xml:space="preserve"> </w:t>
      </w:r>
      <w:r w:rsidR="00996386">
        <w:t>Pro vlastníky bytu, kteří jsou podle dosavadní úpra</w:t>
      </w:r>
      <w:r w:rsidR="003633D6">
        <w:t>vy spoluvlastníky budovy (</w:t>
      </w:r>
      <w:r w:rsidR="00996386">
        <w:t>§ 1 odst. 1 ZOVB)</w:t>
      </w:r>
      <w:r w:rsidR="00C652C3" w:rsidRPr="00C652C3">
        <w:t xml:space="preserve"> </w:t>
      </w:r>
      <w:r w:rsidR="00996386">
        <w:t>nemají význam</w:t>
      </w:r>
      <w:r w:rsidR="00C652C3" w:rsidRPr="00C652C3">
        <w:t xml:space="preserve"> pouze </w:t>
      </w:r>
      <w:r w:rsidR="00D820E1">
        <w:t xml:space="preserve">ust. </w:t>
      </w:r>
      <w:r w:rsidR="00C652C3" w:rsidRPr="00C652C3">
        <w:t>§ 3028 a 3063, ale</w:t>
      </w:r>
      <w:r w:rsidR="00996386">
        <w:t xml:space="preserve"> i</w:t>
      </w:r>
      <w:r w:rsidR="00D820E1">
        <w:t xml:space="preserve"> to</w:t>
      </w:r>
      <w:r w:rsidR="00C652C3" w:rsidRPr="00C652C3">
        <w:t xml:space="preserve"> sledující obnovení zásady </w:t>
      </w:r>
      <w:r w:rsidR="00C652C3" w:rsidRPr="00F3729E">
        <w:rPr>
          <w:i/>
        </w:rPr>
        <w:t>superficies solo cedit</w:t>
      </w:r>
      <w:r w:rsidR="00C652C3" w:rsidRPr="00C652C3">
        <w:t xml:space="preserve"> v NOZ zakotvené v ust. § 506. To stanoví že, součástí pozemku je prostor nad povrchem i pod povrchem, stavby zřízené na pozemku a jiná zařízení (stavby), s výjimkou staveb dočasných, včetně toho, co je zapuštěno v pozemku nebo upevněno ve zdech.</w:t>
      </w:r>
      <w:r w:rsidR="00D820E1">
        <w:t xml:space="preserve"> V</w:t>
      </w:r>
      <w:r w:rsidR="00D820E1" w:rsidRPr="00D820E1">
        <w:t xml:space="preserve">šechno </w:t>
      </w:r>
      <w:r w:rsidR="00D820E1">
        <w:t>pevně spojené</w:t>
      </w:r>
      <w:r w:rsidR="00D820E1" w:rsidRPr="00D820E1">
        <w:t xml:space="preserve"> s pozemkem </w:t>
      </w:r>
      <w:r w:rsidR="00D820E1">
        <w:t xml:space="preserve">a </w:t>
      </w:r>
      <w:r w:rsidR="00D820E1" w:rsidRPr="00D820E1">
        <w:t>s ním tvoří</w:t>
      </w:r>
      <w:r w:rsidR="00D820E1">
        <w:t>cí</w:t>
      </w:r>
      <w:r w:rsidR="00D820E1" w:rsidRPr="00D820E1">
        <w:t xml:space="preserve"> hospodářsko</w:t>
      </w:r>
      <w:r w:rsidR="00D820E1">
        <w:t>u jednotu, funkční celek, nemá</w:t>
      </w:r>
      <w:r w:rsidR="00D820E1" w:rsidRPr="00D820E1">
        <w:t xml:space="preserve"> </w:t>
      </w:r>
      <w:r w:rsidR="00D820E1">
        <w:t>právo rozdělovat, ale chránit a podporovat</w:t>
      </w:r>
      <w:r w:rsidR="00D820E1" w:rsidRPr="00D820E1">
        <w:t>.</w:t>
      </w:r>
      <w:r w:rsidR="00D820E1">
        <w:rPr>
          <w:rStyle w:val="Znakapoznpodarou"/>
        </w:rPr>
        <w:footnoteReference w:id="107"/>
      </w:r>
      <w:r w:rsidR="00AE7AF6">
        <w:t xml:space="preserve"> Ustanovení § 506 odstraňuje dosavadní zcela nelogický</w:t>
      </w:r>
      <w:r w:rsidR="00F3729E">
        <w:rPr>
          <w:rStyle w:val="Znakapoznpodarou"/>
        </w:rPr>
        <w:footnoteReference w:id="108"/>
      </w:r>
      <w:r w:rsidR="00F3729E">
        <w:t xml:space="preserve"> a vzhledem k propojení věcí a jejich účelu zcela nedostatečný</w:t>
      </w:r>
      <w:r w:rsidR="00F3729E">
        <w:rPr>
          <w:rStyle w:val="Znakapoznpodarou"/>
        </w:rPr>
        <w:footnoteReference w:id="109"/>
      </w:r>
      <w:r w:rsidR="003633D6">
        <w:t xml:space="preserve"> přístup </w:t>
      </w:r>
      <w:r w:rsidR="00AE7AF6">
        <w:t xml:space="preserve">§ 120 odst. 2 </w:t>
      </w:r>
      <w:r w:rsidR="00B16A37">
        <w:t>SOZ</w:t>
      </w:r>
      <w:r w:rsidR="00AE7AF6">
        <w:t xml:space="preserve">, který byl založen v 50. letech 20. století především za účelem řešení vztahů mezi </w:t>
      </w:r>
      <w:r w:rsidR="00AE7AF6">
        <w:lastRenderedPageBreak/>
        <w:t>soukromými vlastníky pozemků a zemědělskými družstvy.</w:t>
      </w:r>
      <w:r w:rsidR="00AE7AF6">
        <w:rPr>
          <w:rStyle w:val="Znakapoznpodarou"/>
        </w:rPr>
        <w:footnoteReference w:id="110"/>
      </w:r>
      <w:r w:rsidR="00C652C3" w:rsidRPr="00C652C3">
        <w:t xml:space="preserve"> Dle NOZ tak k 1. 1. 2014 jakožto k datu jeho účinnosti došlo, v případě, že byla stavba, která byla</w:t>
      </w:r>
      <w:r w:rsidR="001475D9" w:rsidRPr="00C652C3">
        <w:t xml:space="preserve"> dle dosavadní právní úpravy</w:t>
      </w:r>
      <w:r w:rsidR="00C652C3" w:rsidRPr="00C652C3">
        <w:t xml:space="preserve"> zvláštní nemovitou věcí, a nebyla součástí pozemku, ke sloučení s pozemkem, přesněji řečeno k „vrůstu“ do pozemku, pokud měla</w:t>
      </w:r>
      <w:r w:rsidR="001475D9" w:rsidRPr="00C652C3">
        <w:t xml:space="preserve"> stavba i pozemek stejného vlastníka.</w:t>
      </w:r>
    </w:p>
    <w:p w:rsidR="00DF33D2" w:rsidRDefault="00A73974" w:rsidP="007B10BE">
      <w:r w:rsidRPr="00A73974">
        <w:t>Neměla</w:t>
      </w:r>
      <w:r w:rsidR="001475D9" w:rsidRPr="00A73974">
        <w:t xml:space="preserve">-li však stavba a pozemek </w:t>
      </w:r>
      <w:r w:rsidRPr="00A73974">
        <w:t>k tomuto dni stejného vlastníka, zůstala</w:t>
      </w:r>
      <w:r w:rsidR="001475D9" w:rsidRPr="00A73974">
        <w:t xml:space="preserve"> stavba i n</w:t>
      </w:r>
      <w:r w:rsidR="007C4B62">
        <w:t>adále samostatnou nemovitou věcí</w:t>
      </w:r>
      <w:r w:rsidR="001475D9" w:rsidRPr="00A73974">
        <w:t xml:space="preserve"> a vroste do pozemku</w:t>
      </w:r>
      <w:r w:rsidRPr="00A73974">
        <w:t>, tedy stane se jeho</w:t>
      </w:r>
      <w:r w:rsidR="001475D9" w:rsidRPr="00A73974">
        <w:t xml:space="preserve"> součást</w:t>
      </w:r>
      <w:r w:rsidRPr="00A73974">
        <w:t>í</w:t>
      </w:r>
      <w:r w:rsidR="001475D9" w:rsidRPr="00A73974">
        <w:t xml:space="preserve"> až</w:t>
      </w:r>
      <w:r w:rsidRPr="00A73974">
        <w:t xml:space="preserve"> k momentu</w:t>
      </w:r>
      <w:r w:rsidR="001475D9" w:rsidRPr="00A73974">
        <w:t>, kdy se oboje setká v rukou téhož vlastníka</w:t>
      </w:r>
      <w:r w:rsidR="00996386">
        <w:t xml:space="preserve"> </w:t>
      </w:r>
      <w:r w:rsidR="00996386" w:rsidRPr="00996386">
        <w:t xml:space="preserve">(§ 3055 odst. 1 a § 3058 odst. 1 </w:t>
      </w:r>
      <w:r w:rsidR="00996386">
        <w:t>NOZ</w:t>
      </w:r>
      <w:r w:rsidR="00996386" w:rsidRPr="00996386">
        <w:t>)</w:t>
      </w:r>
      <w:r w:rsidR="002C2C01">
        <w:t>.</w:t>
      </w:r>
    </w:p>
    <w:p w:rsidR="0091697A" w:rsidRDefault="00316243" w:rsidP="0091697A">
      <w:pPr>
        <w:rPr>
          <w:i/>
        </w:rPr>
      </w:pPr>
      <w:r w:rsidRPr="002C2C01">
        <w:t>Mi</w:t>
      </w:r>
      <w:r w:rsidR="003633D6">
        <w:t>mo právně relativně jednoduché situace</w:t>
      </w:r>
      <w:r w:rsidRPr="002C2C01">
        <w:t xml:space="preserve"> mohou nastat situace složitější</w:t>
      </w:r>
      <w:r w:rsidR="00DF33D2" w:rsidRPr="002C2C01">
        <w:t xml:space="preserve">, kdy na pozemku je umístěna stavba </w:t>
      </w:r>
      <w:r w:rsidR="002C2C01" w:rsidRPr="002C2C01">
        <w:t xml:space="preserve">jako samostatná věc </w:t>
      </w:r>
      <w:r w:rsidR="00DF33D2" w:rsidRPr="002C2C01">
        <w:t xml:space="preserve">ve spoluvlastnictví a pozemek </w:t>
      </w:r>
      <w:r w:rsidR="002C2C01" w:rsidRPr="002C2C01">
        <w:t>je ve vlastnictví třetí osoby nebo</w:t>
      </w:r>
      <w:r w:rsidR="00DF33D2" w:rsidRPr="002C2C01">
        <w:t xml:space="preserve"> ve spoluvlastnictví pouze některých spoluvlastníků stavby. </w:t>
      </w:r>
      <w:r w:rsidR="002C2C01" w:rsidRPr="002C2C01">
        <w:t>V takovém případě</w:t>
      </w:r>
      <w:r w:rsidR="00DF33D2" w:rsidRPr="002C2C01">
        <w:t xml:space="preserve"> se stavba nemůže stát součástí pozemku</w:t>
      </w:r>
      <w:r w:rsidR="00DF33D2" w:rsidRPr="00DF33D2">
        <w:rPr>
          <w:i/>
        </w:rPr>
        <w:t xml:space="preserve">. </w:t>
      </w:r>
      <w:r w:rsidR="00DF33D2" w:rsidRPr="002C2C01">
        <w:t xml:space="preserve">Ustanovení § 3055 odst. 1, </w:t>
      </w:r>
      <w:r w:rsidR="002C2C01" w:rsidRPr="002C2C01">
        <w:t>druhá věta stanoví</w:t>
      </w:r>
      <w:r w:rsidR="00DF33D2" w:rsidRPr="002C2C01">
        <w:t>, že</w:t>
      </w:r>
      <w:r w:rsidR="00DF33D2" w:rsidRPr="00DF33D2">
        <w:rPr>
          <w:i/>
        </w:rPr>
        <w:t xml:space="preserve"> stavba se nestane součástí pozemku ani tehdy, je-li stavba ve spoluvlastnictví a pouze některý ze spoluvlastníků je i vlastníkem pozemku, nebo jsou-li někteří spoluvlastníci stavby spoluvlastníky pozemku</w:t>
      </w:r>
      <w:r w:rsidR="00DF33D2" w:rsidRPr="002C2C01">
        <w:t>.</w:t>
      </w:r>
      <w:r w:rsidR="00DF33D2" w:rsidRPr="00DF33D2">
        <w:rPr>
          <w:i/>
        </w:rPr>
        <w:t xml:space="preserve"> </w:t>
      </w:r>
      <w:r w:rsidR="002C2C01" w:rsidRPr="002C2C01">
        <w:t>To znamená, že aby</w:t>
      </w:r>
      <w:r w:rsidR="00DF33D2" w:rsidRPr="002C2C01">
        <w:t xml:space="preserve"> stavba ve spoluvlastnictví</w:t>
      </w:r>
      <w:r w:rsidR="002C2C01" w:rsidRPr="002C2C01">
        <w:t xml:space="preserve"> právně vrostla </w:t>
      </w:r>
      <w:r w:rsidR="002C2C01">
        <w:t xml:space="preserve">do pozemku </w:t>
      </w:r>
      <w:r w:rsidR="002C2C01" w:rsidRPr="002C2C01">
        <w:t>a</w:t>
      </w:r>
      <w:r w:rsidR="00DF33D2" w:rsidRPr="002C2C01">
        <w:t xml:space="preserve"> stala </w:t>
      </w:r>
      <w:r w:rsidR="002C2C01" w:rsidRPr="002C2C01">
        <w:t>se tak jeho součástí</w:t>
      </w:r>
      <w:r w:rsidR="00DF33D2" w:rsidRPr="00DF33D2">
        <w:rPr>
          <w:i/>
        </w:rPr>
        <w:t xml:space="preserve">, </w:t>
      </w:r>
      <w:r w:rsidR="00DF33D2" w:rsidRPr="002C2C01">
        <w:t xml:space="preserve">vyžaduje se </w:t>
      </w:r>
      <w:r w:rsidR="002C2C01" w:rsidRPr="002C2C01">
        <w:t>jak</w:t>
      </w:r>
      <w:r w:rsidR="00DF33D2" w:rsidRPr="002C2C01">
        <w:t xml:space="preserve">, aby pozemek byl </w:t>
      </w:r>
      <w:r w:rsidR="002C2C01" w:rsidRPr="002C2C01">
        <w:t>zároveň</w:t>
      </w:r>
      <w:r w:rsidR="00DF33D2" w:rsidRPr="002C2C01">
        <w:t xml:space="preserve"> ve spoluvlastnictví stejného okruhu spoluvlastníků</w:t>
      </w:r>
      <w:r w:rsidR="002C2C01" w:rsidRPr="002C2C01">
        <w:t>, tak i</w:t>
      </w:r>
      <w:r w:rsidR="00DF33D2" w:rsidRPr="002C2C01">
        <w:t xml:space="preserve">, aby všichni spoluvlastníci měli stejné podíly jak na stavbě, tak na pozemku. </w:t>
      </w:r>
      <w:r w:rsidR="002C2C01" w:rsidRPr="002C2C01">
        <w:t>Jedině</w:t>
      </w:r>
      <w:r w:rsidR="00DF33D2" w:rsidRPr="002C2C01">
        <w:t xml:space="preserve"> v tomto případě se stavba může stát součástí pozemku. </w:t>
      </w:r>
      <w:r w:rsidR="0091697A" w:rsidRPr="0091697A">
        <w:t>Obdobně</w:t>
      </w:r>
      <w:r w:rsidR="00DF33D2" w:rsidRPr="0091697A">
        <w:t xml:space="preserve"> </w:t>
      </w:r>
      <w:r w:rsidR="0091697A" w:rsidRPr="0091697A">
        <w:t>je třeba k této otázce přistupovat v situacích, kdy</w:t>
      </w:r>
      <w:r w:rsidR="00DF33D2" w:rsidRPr="0091697A">
        <w:t xml:space="preserve"> je ve spoluvlastnictví pozemek a</w:t>
      </w:r>
      <w:r w:rsidR="0091697A" w:rsidRPr="0091697A">
        <w:t xml:space="preserve"> stavba patří buď třetí osobě nebo jen</w:t>
      </w:r>
      <w:r w:rsidR="0091697A">
        <w:t xml:space="preserve"> některým spoluvlastníkům – stavba</w:t>
      </w:r>
      <w:r w:rsidR="00DF33D2" w:rsidRPr="00DF33D2">
        <w:rPr>
          <w:i/>
        </w:rPr>
        <w:t xml:space="preserve"> </w:t>
      </w:r>
      <w:r w:rsidR="00DF33D2" w:rsidRPr="0091697A">
        <w:t>se stane součástí pozemku vždy, dojde-li k identitě všech spoluvlastníků a k identitě výše spoluvlastnického podílu každého spoluvlastníka ke stavbě i pozemku.</w:t>
      </w:r>
      <w:r w:rsidR="00DF33D2" w:rsidRPr="0091697A">
        <w:rPr>
          <w:rStyle w:val="Znakapoznpodarou"/>
        </w:rPr>
        <w:footnoteReference w:id="111"/>
      </w:r>
    </w:p>
    <w:p w:rsidR="00A903B2" w:rsidRDefault="0091697A" w:rsidP="0091697A">
      <w:pPr>
        <w:rPr>
          <w:i/>
        </w:rPr>
      </w:pPr>
      <w:r>
        <w:t>V</w:t>
      </w:r>
      <w:r w:rsidR="00A73974" w:rsidRPr="00A73974">
        <w:t xml:space="preserve">lastník pozemku </w:t>
      </w:r>
      <w:r>
        <w:t xml:space="preserve">má </w:t>
      </w:r>
      <w:r w:rsidR="00A73974" w:rsidRPr="00A73974">
        <w:t xml:space="preserve">ke stavbě a </w:t>
      </w:r>
      <w:r w:rsidR="001475D9" w:rsidRPr="00A73974">
        <w:t>vlastníku stavby k</w:t>
      </w:r>
      <w:r w:rsidR="00A73974" w:rsidRPr="00A73974">
        <w:t> </w:t>
      </w:r>
      <w:r w:rsidR="001475D9" w:rsidRPr="00A73974">
        <w:t>pozemku</w:t>
      </w:r>
      <w:r w:rsidR="00A73974" w:rsidRPr="00A73974">
        <w:t xml:space="preserve"> předkupní právo</w:t>
      </w:r>
      <w:r w:rsidR="005322E3">
        <w:rPr>
          <w:rStyle w:val="Znakapoznpodarou"/>
        </w:rPr>
        <w:footnoteReference w:id="112"/>
      </w:r>
      <w:r w:rsidR="00A73974" w:rsidRPr="00A73974">
        <w:t xml:space="preserve"> </w:t>
      </w:r>
      <w:r w:rsidR="00B76D14">
        <w:t>věcněprávní povahy</w:t>
      </w:r>
      <w:r w:rsidR="00B76D14">
        <w:rPr>
          <w:rStyle w:val="Znakapoznpodarou"/>
        </w:rPr>
        <w:footnoteReference w:id="113"/>
      </w:r>
      <w:r w:rsidR="00B76D14">
        <w:t xml:space="preserve"> </w:t>
      </w:r>
      <w:r w:rsidR="00C452BF">
        <w:t>(</w:t>
      </w:r>
      <w:r w:rsidR="00A73974" w:rsidRPr="00A73974">
        <w:t xml:space="preserve">§ </w:t>
      </w:r>
      <w:r w:rsidR="00996386">
        <w:t>3056 odst. 1</w:t>
      </w:r>
      <w:r w:rsidR="00A73974" w:rsidRPr="00A73974">
        <w:t xml:space="preserve"> NOZ)</w:t>
      </w:r>
      <w:r w:rsidR="001475D9" w:rsidRPr="00A73974">
        <w:t>.</w:t>
      </w:r>
      <w:r w:rsidR="00A533CC">
        <w:t xml:space="preserve"> </w:t>
      </w:r>
      <w:r w:rsidR="00B2653A" w:rsidRPr="00B2653A">
        <w:t xml:space="preserve">Pokud </w:t>
      </w:r>
      <w:r w:rsidR="00A533CC" w:rsidRPr="00B2653A">
        <w:t xml:space="preserve">stavba stojí </w:t>
      </w:r>
      <w:r w:rsidR="00B2653A" w:rsidRPr="00B2653A">
        <w:t>pouze</w:t>
      </w:r>
      <w:r w:rsidR="00A533CC" w:rsidRPr="00B2653A">
        <w:t xml:space="preserve"> na části pozemku,</w:t>
      </w:r>
      <w:r w:rsidR="00A533CC" w:rsidRPr="00A533CC">
        <w:rPr>
          <w:i/>
        </w:rPr>
        <w:t xml:space="preserve"> </w:t>
      </w:r>
      <w:r w:rsidR="00A533CC" w:rsidRPr="00B2653A">
        <w:t>nevztahuje se předkupní právo vlastníka stavby na c</w:t>
      </w:r>
      <w:r w:rsidR="00B2653A" w:rsidRPr="00B2653A">
        <w:t>elý pozemek</w:t>
      </w:r>
      <w:r w:rsidR="00B2653A">
        <w:t>,</w:t>
      </w:r>
      <w:r w:rsidR="00B731A8">
        <w:t xml:space="preserve"> ale</w:t>
      </w:r>
      <w:r w:rsidR="00B2653A" w:rsidRPr="00B2653A">
        <w:t xml:space="preserve"> pouze na tu část, kterou je možno</w:t>
      </w:r>
      <w:r w:rsidR="00A533CC" w:rsidRPr="00B2653A">
        <w:t xml:space="preserve"> oddělit jako nezbytnou</w:t>
      </w:r>
      <w:r w:rsidR="00B2653A">
        <w:rPr>
          <w:rStyle w:val="Znakapoznpodarou"/>
        </w:rPr>
        <w:footnoteReference w:id="114"/>
      </w:r>
      <w:r w:rsidR="00A533CC" w:rsidRPr="00B2653A">
        <w:t xml:space="preserve"> pro výkon vlastnického práva ke stavbě</w:t>
      </w:r>
      <w:r w:rsidR="00A533CC" w:rsidRPr="00871604">
        <w:t xml:space="preserve">; Předkupního práva </w:t>
      </w:r>
      <w:r w:rsidR="00871604" w:rsidRPr="00871604">
        <w:t>není možno se</w:t>
      </w:r>
      <w:r w:rsidR="00A533CC" w:rsidRPr="00871604">
        <w:t xml:space="preserve"> vzdát </w:t>
      </w:r>
      <w:r w:rsidR="00871604" w:rsidRPr="00871604">
        <w:t>ani je</w:t>
      </w:r>
      <w:r w:rsidR="00A533CC" w:rsidRPr="00871604">
        <w:t xml:space="preserve"> omezit. </w:t>
      </w:r>
      <w:r w:rsidR="00871604" w:rsidRPr="00871604">
        <w:t>Nutno však podotknout, že oprávněný není povinen své právo využít – jde o subjektivní právo, nikoli povinnost.</w:t>
      </w:r>
      <w:r w:rsidR="00871604">
        <w:rPr>
          <w:i/>
        </w:rPr>
        <w:t xml:space="preserve"> </w:t>
      </w:r>
      <w:r w:rsidR="009D1727" w:rsidRPr="009D1727">
        <w:t>Skutečností z toho plynoucí je</w:t>
      </w:r>
      <w:r w:rsidR="00A533CC" w:rsidRPr="009D1727">
        <w:t xml:space="preserve">, že </w:t>
      </w:r>
      <w:r w:rsidR="00A533CC" w:rsidRPr="009D1727">
        <w:lastRenderedPageBreak/>
        <w:t>oddělené vlastni</w:t>
      </w:r>
      <w:r w:rsidR="009D1727" w:rsidRPr="009D1727">
        <w:t>ctví stavby a pozemku může vedle sebe existovat po</w:t>
      </w:r>
      <w:r w:rsidR="00A533CC" w:rsidRPr="009D1727">
        <w:t xml:space="preserve"> desetiletí, ba staletí</w:t>
      </w:r>
      <w:r w:rsidR="00741D54">
        <w:rPr>
          <w:rStyle w:val="Znakapoznpodarou"/>
        </w:rPr>
        <w:footnoteReference w:id="115"/>
      </w:r>
      <w:r w:rsidR="00A533CC" w:rsidRPr="009D1727">
        <w:t xml:space="preserve"> </w:t>
      </w:r>
      <w:r w:rsidR="00B731A8">
        <w:t xml:space="preserve">po </w:t>
      </w:r>
      <w:r w:rsidR="009D1727" w:rsidRPr="009D1727">
        <w:t>nabytí účinnosti NOZ</w:t>
      </w:r>
      <w:r w:rsidR="005850F3">
        <w:t xml:space="preserve"> a formálnímu okamžiku</w:t>
      </w:r>
      <w:r w:rsidR="009D1727" w:rsidRPr="009D1727">
        <w:t xml:space="preserve"> přihlášení se k superficiální zásadě</w:t>
      </w:r>
      <w:r w:rsidR="009D1727">
        <w:rPr>
          <w:rStyle w:val="Znakapoznpodarou"/>
        </w:rPr>
        <w:footnoteReference w:id="116"/>
      </w:r>
      <w:r w:rsidR="00A533CC" w:rsidRPr="009D1727">
        <w:t>.</w:t>
      </w:r>
      <w:r w:rsidR="009D1727">
        <w:rPr>
          <w:i/>
        </w:rPr>
        <w:t xml:space="preserve"> </w:t>
      </w:r>
    </w:p>
    <w:p w:rsidR="00DF33D2" w:rsidRDefault="005850F3" w:rsidP="00777C9D">
      <w:r>
        <w:t>Na otázku, zda výše popsané předkupní právo svědčí i vlastníkům jednotek, se</w:t>
      </w:r>
      <w:r w:rsidR="0019731E">
        <w:t xml:space="preserve"> názory</w:t>
      </w:r>
      <w:r>
        <w:t xml:space="preserve"> různí.</w:t>
      </w:r>
    </w:p>
    <w:p w:rsidR="002C36B3" w:rsidRDefault="005850F3" w:rsidP="00DF33D2">
      <w:pPr>
        <w:ind w:firstLine="0"/>
      </w:pPr>
      <w:r>
        <w:t>Na jedné straně Eliáš zdůrazňuje, že</w:t>
      </w:r>
      <w:r w:rsidR="00A533CC" w:rsidRPr="00A903B2">
        <w:t xml:space="preserve"> zákonné předkupní právo vlastníka pozemku zatěžuje stavbu a že zákonné předkupní právo k pozemku náleží vlastníku stavby.</w:t>
      </w:r>
      <w:r w:rsidR="00A533CC" w:rsidRPr="00A533CC">
        <w:rPr>
          <w:b/>
          <w:i/>
        </w:rPr>
        <w:t xml:space="preserve"> </w:t>
      </w:r>
      <w:r w:rsidR="00A533CC" w:rsidRPr="00A903B2">
        <w:t xml:space="preserve">Jednotka vzniklá </w:t>
      </w:r>
      <w:r w:rsidR="00A903B2" w:rsidRPr="00A903B2">
        <w:t xml:space="preserve">a vedená v režimu </w:t>
      </w:r>
      <w:r w:rsidR="00A533CC" w:rsidRPr="00A903B2">
        <w:t xml:space="preserve">podle </w:t>
      </w:r>
      <w:r w:rsidR="00A903B2" w:rsidRPr="00A903B2">
        <w:t>ZOVB</w:t>
      </w:r>
      <w:r w:rsidR="00A533CC" w:rsidRPr="00A903B2">
        <w:t xml:space="preserve"> stavbou není – podle</w:t>
      </w:r>
      <w:r w:rsidR="00C452BF">
        <w:t xml:space="preserve"> </w:t>
      </w:r>
      <w:r w:rsidR="00A533CC" w:rsidRPr="00A903B2">
        <w:t>§ 3 odst. 2 se na ni</w:t>
      </w:r>
      <w:r w:rsidR="00A903B2" w:rsidRPr="00A903B2">
        <w:t xml:space="preserve"> pouze</w:t>
      </w:r>
      <w:r w:rsidR="00A533CC" w:rsidRPr="00A903B2">
        <w:t xml:space="preserve"> vztahují právní předpisy týkající se nemovitostí.</w:t>
      </w:r>
      <w:r w:rsidR="00A533CC" w:rsidRPr="00A533CC">
        <w:rPr>
          <w:i/>
        </w:rPr>
        <w:t xml:space="preserve"> </w:t>
      </w:r>
      <w:r w:rsidR="00A903B2" w:rsidRPr="00A903B2">
        <w:t>Stejně tak a</w:t>
      </w:r>
      <w:r w:rsidR="00A533CC" w:rsidRPr="00A903B2">
        <w:t xml:space="preserve">ni jednotka </w:t>
      </w:r>
      <w:r w:rsidR="00A903B2" w:rsidRPr="00A903B2">
        <w:t>v režimu NOZ</w:t>
      </w:r>
      <w:r w:rsidR="00A533CC" w:rsidRPr="00A903B2">
        <w:t xml:space="preserve"> není stavbou, </w:t>
      </w:r>
      <w:r w:rsidR="00A903B2" w:rsidRPr="00A903B2">
        <w:t>že</w:t>
      </w:r>
      <w:r w:rsidR="00A533CC" w:rsidRPr="00A903B2">
        <w:t xml:space="preserve"> ji </w:t>
      </w:r>
      <w:r w:rsidR="00A903B2" w:rsidRPr="00A903B2">
        <w:t>zákon označuje za věc nemovitou, na tom nic nemění</w:t>
      </w:r>
      <w:r w:rsidR="00A903B2" w:rsidRPr="00777C9D">
        <w:t>.</w:t>
      </w:r>
      <w:r w:rsidR="00A533CC" w:rsidRPr="00777C9D">
        <w:t xml:space="preserve"> </w:t>
      </w:r>
      <w:r w:rsidR="00777C9D" w:rsidRPr="00777C9D">
        <w:t>P</w:t>
      </w:r>
      <w:r w:rsidR="00A533CC" w:rsidRPr="00777C9D">
        <w:t>řevod jednotky</w:t>
      </w:r>
      <w:r w:rsidR="00777C9D" w:rsidRPr="00777C9D">
        <w:t xml:space="preserve"> tak, na rozdíl od staveb,</w:t>
      </w:r>
      <w:r w:rsidR="00A533CC" w:rsidRPr="00777C9D">
        <w:t xml:space="preserve"> není omezen zákonným předkupním právem založeným</w:t>
      </w:r>
      <w:r w:rsidR="00777C9D" w:rsidRPr="00777C9D">
        <w:t xml:space="preserve"> ust.</w:t>
      </w:r>
      <w:r w:rsidR="00A533CC" w:rsidRPr="00777C9D">
        <w:t xml:space="preserve"> § 3056 </w:t>
      </w:r>
      <w:r w:rsidR="00777C9D" w:rsidRPr="00777C9D">
        <w:t>NOZ</w:t>
      </w:r>
      <w:r w:rsidR="00777C9D">
        <w:t>.</w:t>
      </w:r>
      <w:r w:rsidR="00777C9D">
        <w:rPr>
          <w:rStyle w:val="Znakapoznpodarou"/>
        </w:rPr>
        <w:footnoteReference w:id="117"/>
      </w:r>
      <w:r>
        <w:t xml:space="preserve"> </w:t>
      </w:r>
      <w:r w:rsidR="002C36B3">
        <w:t>Ke stejným závěrům se nepřímo přiklání i Kindl.</w:t>
      </w:r>
      <w:r w:rsidR="002C36B3">
        <w:rPr>
          <w:rStyle w:val="Znakapoznpodarou"/>
        </w:rPr>
        <w:footnoteReference w:id="118"/>
      </w:r>
    </w:p>
    <w:p w:rsidR="001C77A9" w:rsidRDefault="00C80EF9" w:rsidP="001C77A9">
      <w:pPr>
        <w:rPr>
          <w:i/>
        </w:rPr>
      </w:pPr>
      <w:r>
        <w:t>Dále</w:t>
      </w:r>
      <w:r w:rsidR="005850F3">
        <w:t xml:space="preserve"> </w:t>
      </w:r>
      <w:r w:rsidR="001C77A9">
        <w:t>Novotný poukazuje na novým občanským zákoníkem nijak nezměněnou konstrukci spoluvlastnictví jednotek podle ZOVB. O</w:t>
      </w:r>
      <w:r w:rsidR="004026E5">
        <w:t>tázkou je, zda na domy rozdělené</w:t>
      </w:r>
      <w:r w:rsidR="001C77A9">
        <w:t xml:space="preserve"> na bytové jednotky v režimu ZOVB, které stojí na pozemku zapsaném jako samostatná nemovitá věc, uplatnit přechodná ustanovení NOZ, nebo nadále uplatňovat režim úpravy práv k pozemkům </w:t>
      </w:r>
      <w:r w:rsidR="00AD1D0B">
        <w:t xml:space="preserve">dle ust. § 21 ZOVB, případně zda obě úpravy kombinovat. Přitom by účinností nijak neměla být dotčena existence práv a povinností, zejména nájemních práv, které byly sjednány mezi vlastníky jednotek podle ZOVB a třetími osobami. Podle ust. § 3063 NOZ má spoluvlastnická struktura založená ZOVB existovat až do změny prohlášení, je tak otázkou, zda je vůbec možné připustit, aby se úprava NOZ o předkupním právu kombinovala s povinnostmi vlastníka jednotky a pozemku podle ust. § </w:t>
      </w:r>
      <w:r w:rsidR="00F326B3">
        <w:t>21 ZOVB.</w:t>
      </w:r>
      <w:r w:rsidR="005B0117">
        <w:t xml:space="preserve"> Pokud by bylo možné na problematiku použít </w:t>
      </w:r>
      <w:r w:rsidR="008F32E6">
        <w:t>ZOVB použít, nemělo by však být možné, aby vlastník pozemku disponoval s tímto jinak než ve prospěch vlastníků jednotek, a to podle velikosti jejich spoluvlastnických podílů. To by mohlo postupně vést ke sjednocení vlastnictví pozemku a domů v bytovém spoluvlastnictví podle ZOVB. Logický by tento postup byl zejména vůči již právně upraveným vztahům vlastníkům jednotek, např. nájmem pozemku.</w:t>
      </w:r>
    </w:p>
    <w:p w:rsidR="005850F3" w:rsidRDefault="00EB5D7A" w:rsidP="00C80EF9">
      <w:pPr>
        <w:rPr>
          <w:i/>
        </w:rPr>
      </w:pPr>
      <w:r w:rsidRPr="00024819">
        <w:t xml:space="preserve">Opačným výkladem, tedy užitím </w:t>
      </w:r>
      <w:r w:rsidR="00024819" w:rsidRPr="00024819">
        <w:t>ust.</w:t>
      </w:r>
      <w:r w:rsidR="0031042F" w:rsidRPr="00024819">
        <w:t xml:space="preserve"> § 3056</w:t>
      </w:r>
      <w:r w:rsidR="00024819" w:rsidRPr="00024819">
        <w:t xml:space="preserve"> NOZ i na předestřenou</w:t>
      </w:r>
      <w:r w:rsidR="0031042F" w:rsidRPr="00024819">
        <w:t xml:space="preserve"> situaci, by</w:t>
      </w:r>
      <w:r w:rsidR="00024819" w:rsidRPr="00024819">
        <w:t>chom</w:t>
      </w:r>
      <w:r w:rsidR="0031042F" w:rsidRPr="00024819">
        <w:t xml:space="preserve"> zřejmě musel</w:t>
      </w:r>
      <w:r w:rsidR="00024819" w:rsidRPr="00024819">
        <w:t>i negovat postup</w:t>
      </w:r>
      <w:r w:rsidR="0031042F" w:rsidRPr="00024819">
        <w:t xml:space="preserve"> podle</w:t>
      </w:r>
      <w:r w:rsidR="00024819" w:rsidRPr="00024819">
        <w:t xml:space="preserve"> ust. § 21 ZOVB, to by </w:t>
      </w:r>
      <w:r w:rsidR="0031042F" w:rsidRPr="00024819">
        <w:t xml:space="preserve">vedlo k řadě nejasností a problémů, </w:t>
      </w:r>
      <w:r w:rsidR="00024819" w:rsidRPr="00024819">
        <w:t>a to zejména při realizaci</w:t>
      </w:r>
      <w:r w:rsidR="0031042F" w:rsidRPr="00024819">
        <w:t xml:space="preserve"> pře</w:t>
      </w:r>
      <w:r w:rsidR="00024819" w:rsidRPr="00024819">
        <w:t>d</w:t>
      </w:r>
      <w:r w:rsidR="0031042F" w:rsidRPr="00024819">
        <w:t xml:space="preserve">kupního práva </w:t>
      </w:r>
      <w:r w:rsidR="00024819" w:rsidRPr="00024819">
        <w:t>ve vztahu k vlastníkům jednotek.</w:t>
      </w:r>
      <w:r w:rsidR="0031042F" w:rsidRPr="0031042F">
        <w:rPr>
          <w:i/>
        </w:rPr>
        <w:t xml:space="preserve"> </w:t>
      </w:r>
      <w:r w:rsidR="00024819" w:rsidRPr="00C80EF9">
        <w:t>Existovala by tak možnost, převodu pozemku z vlastníka</w:t>
      </w:r>
      <w:r w:rsidR="0031042F" w:rsidRPr="00C80EF9">
        <w:t xml:space="preserve"> na jinou </w:t>
      </w:r>
      <w:r w:rsidR="00C80EF9" w:rsidRPr="00C80EF9">
        <w:t xml:space="preserve">osobu než na vlastníka jednotky, to by celou </w:t>
      </w:r>
      <w:r w:rsidR="00C80EF9" w:rsidRPr="00C80EF9">
        <w:lastRenderedPageBreak/>
        <w:t xml:space="preserve">situaci ještě více zkomplikovalo a v </w:t>
      </w:r>
      <w:r w:rsidR="0031042F" w:rsidRPr="00C80EF9">
        <w:t>podstatě by to spíše vedlo k opaku smyslu přechodných ustanovení</w:t>
      </w:r>
      <w:r w:rsidR="0031042F" w:rsidRPr="0031042F">
        <w:rPr>
          <w:i/>
        </w:rPr>
        <w:t xml:space="preserve">. </w:t>
      </w:r>
      <w:r w:rsidR="00C80EF9" w:rsidRPr="00C80EF9">
        <w:t xml:space="preserve">Novotný se tak spíše přiklání k </w:t>
      </w:r>
      <w:r w:rsidR="0031042F" w:rsidRPr="00C80EF9">
        <w:t>první možnosti, a sice že v daném případě by předkupní právo podle</w:t>
      </w:r>
      <w:r w:rsidR="00C80EF9" w:rsidRPr="00C80EF9">
        <w:t xml:space="preserve"> ust.</w:t>
      </w:r>
      <w:r w:rsidR="0031042F" w:rsidRPr="00C80EF9">
        <w:t xml:space="preserve"> § 3056 uplatněno být nemělo a dále by platil § 21 </w:t>
      </w:r>
      <w:r w:rsidR="00C80EF9">
        <w:t>ZOVB</w:t>
      </w:r>
      <w:r w:rsidR="00C80EF9" w:rsidRPr="00C80EF9">
        <w:t>.</w:t>
      </w:r>
      <w:r w:rsidR="005850F3" w:rsidRPr="00C80EF9">
        <w:rPr>
          <w:rStyle w:val="Znakapoznpodarou"/>
        </w:rPr>
        <w:footnoteReference w:id="119"/>
      </w:r>
    </w:p>
    <w:p w:rsidR="00C708D7" w:rsidRDefault="00395182" w:rsidP="0031042F">
      <w:r w:rsidRPr="00395182">
        <w:t>Petrov</w:t>
      </w:r>
      <w:r w:rsidRPr="00395182">
        <w:rPr>
          <w:rStyle w:val="Znakapoznpodarou"/>
        </w:rPr>
        <w:footnoteReference w:id="120"/>
      </w:r>
      <w:r w:rsidRPr="00395182">
        <w:t xml:space="preserve"> se přiklání k obdobným závěrům prostřednictvím citace stanoviska KANCL č. 19: </w:t>
      </w:r>
      <w:r w:rsidR="00C708D7" w:rsidRPr="00395182">
        <w:t>jednotka podle § 1159 ani jednotka podle § 3063</w:t>
      </w:r>
      <w:r w:rsidRPr="00395182">
        <w:t xml:space="preserve"> není</w:t>
      </w:r>
      <w:r w:rsidR="00C708D7" w:rsidRPr="00395182">
        <w:t xml:space="preserve"> ve spojení s § 2 písm. h) ZOVB stavbou, a proto se na ni předkupní právo nevztahuje. Prohlášení podle § 1166 není ujednáním, nýbrž jednostranným p</w:t>
      </w:r>
      <w:r w:rsidRPr="00395182">
        <w:t>rávním jednáním, a proto jeho p</w:t>
      </w:r>
      <w:r w:rsidR="00C708D7" w:rsidRPr="00395182">
        <w:t>latnosti § 3056 odst. 1 věta poslední nebrání.</w:t>
      </w:r>
      <w:r w:rsidR="00362CF4" w:rsidRPr="00395182">
        <w:rPr>
          <w:rStyle w:val="Znakapoznpodarou"/>
        </w:rPr>
        <w:footnoteReference w:id="121"/>
      </w:r>
    </w:p>
    <w:p w:rsidR="00BC454C" w:rsidRDefault="00BC454C" w:rsidP="0031042F">
      <w:r>
        <w:t>Sýkorová poukazuje na fakt, že součástí jednotky vymezené podle ZOVB nebyl podíl na společných částech domu a při převodu jednotky ji pouze následoval. Vzhledem k vymezení stavby i ona uzavírá, že na jednotky vymezené podle ZOVB se předkupní právo neuplatní. Vůči jednotkám vymezeným dle NOZ rovněž uplatňuje stanovisko č. 19 výkladové komise</w:t>
      </w:r>
      <w:r w:rsidR="00E6145F">
        <w:t>, s odůvodněním, že na bytové spoluvlastnictví je třeba nahlížet jako na výjimku ze superficiální zásady, kdy jednotka je výjimkou zákonodárcem stanovená vzhledem ke svojí povaze nemovitosti.</w:t>
      </w:r>
      <w:r w:rsidR="00E6145F">
        <w:rPr>
          <w:rStyle w:val="Znakapoznpodarou"/>
        </w:rPr>
        <w:footnoteReference w:id="122"/>
      </w:r>
      <w:r>
        <w:t xml:space="preserve"> </w:t>
      </w:r>
    </w:p>
    <w:p w:rsidR="005D0955" w:rsidRDefault="00E6145F" w:rsidP="0031042F">
      <w:r>
        <w:t>Naopak</w:t>
      </w:r>
      <w:r w:rsidR="001474DB">
        <w:t>, oproti výš</w:t>
      </w:r>
      <w:r w:rsidR="00F30EDD">
        <w:t>e</w:t>
      </w:r>
      <w:r w:rsidR="001474DB">
        <w:t xml:space="preserve"> uvedeným,</w:t>
      </w:r>
      <w:r w:rsidR="00F30EDD">
        <w:t xml:space="preserve"> Dvořák </w:t>
      </w:r>
      <w:r>
        <w:t>vzájemné předkupní právo vlastníka pozemku a vlastníka jednotky</w:t>
      </w:r>
      <w:r w:rsidR="00F30EDD">
        <w:t xml:space="preserve"> dovozuje</w:t>
      </w:r>
      <w:r>
        <w:t>. Uvádí, že</w:t>
      </w:r>
      <w:r w:rsidR="00F30EDD">
        <w:t>, o</w:t>
      </w:r>
      <w:r w:rsidR="001474DB">
        <w:t>dlišování spoluvlastnictví celé stavby od spoluvlastnictví společných částí je pouze účelové a umělé, když zákon nestanoví výslovně, že podmínkou uplatnění předkupního práva je spoluvlastnictví celé stavby. Nepřiznání existence předkupního práva je důsled</w:t>
      </w:r>
      <w:r w:rsidR="00C452BF">
        <w:t>kem extenzivní interpretace</w:t>
      </w:r>
      <w:r w:rsidR="001474DB">
        <w:t xml:space="preserve"> § 3056 NOZ, možná pramení ze snahy o zjednodušení praktického obchodu s jednotkami, jež je v důsledku nejasného přechodného ustanovení značně zkomplikován.</w:t>
      </w:r>
      <w:r w:rsidR="00C452BF">
        <w:rPr>
          <w:rStyle w:val="Znakapoznpodarou"/>
        </w:rPr>
        <w:footnoteReference w:id="123"/>
      </w:r>
    </w:p>
    <w:p w:rsidR="005D0955" w:rsidRPr="00482DC9" w:rsidRDefault="00B5760F" w:rsidP="0031042F">
      <w:r>
        <w:t xml:space="preserve"> </w:t>
      </w:r>
      <w:r w:rsidR="001474DB">
        <w:t>Zákonodárce sice hovoří výslovně pouze o předkupním právu vlastníka, a ne bytových spoluvlastníků</w:t>
      </w:r>
      <w:r w:rsidR="001474DB" w:rsidRPr="00482DC9">
        <w:t>, přesto nelze pochybovat</w:t>
      </w:r>
      <w:r w:rsidR="00A737F0">
        <w:t xml:space="preserve">, že </w:t>
      </w:r>
      <w:r w:rsidR="00E6145F" w:rsidRPr="00482DC9">
        <w:t>§ 3056 odst. 1 NOZ zakládá předkupní právo jak vlastníků, tak spoluvlastníků staveb a pozemků.</w:t>
      </w:r>
    </w:p>
    <w:p w:rsidR="005D0955" w:rsidRDefault="00482DC9" w:rsidP="0031042F">
      <w:pPr>
        <w:rPr>
          <w:i/>
        </w:rPr>
      </w:pPr>
      <w:r w:rsidRPr="00482DC9">
        <w:t>Z logického hlediska není jasné, proč by právě</w:t>
      </w:r>
      <w:r w:rsidR="005D0955" w:rsidRPr="00482DC9">
        <w:t xml:space="preserve"> pro tyto případy měla být činěna výjimka z</w:t>
      </w:r>
      <w:r w:rsidR="00A737F0">
        <w:t> </w:t>
      </w:r>
      <w:r w:rsidR="005D0955" w:rsidRPr="00482DC9">
        <w:t>§ 3056 odst. 1 NOZ, kdy</w:t>
      </w:r>
      <w:r w:rsidRPr="00482DC9">
        <w:t>ž úmysl zákonodárce je nesporný.</w:t>
      </w:r>
      <w:r w:rsidR="005D0955" w:rsidRPr="005D0955">
        <w:rPr>
          <w:i/>
        </w:rPr>
        <w:t xml:space="preserve"> </w:t>
      </w:r>
      <w:r w:rsidRPr="00482DC9">
        <w:t xml:space="preserve">Tímto úmyslem je </w:t>
      </w:r>
      <w:r w:rsidR="005D0955" w:rsidRPr="00482DC9">
        <w:t>sjednocení vlastnictví sta</w:t>
      </w:r>
      <w:r w:rsidRPr="00482DC9">
        <w:t>vby a pozemku u jediného vlastníka, a to bez ohledu na skutečnost</w:t>
      </w:r>
      <w:r w:rsidR="005D0955" w:rsidRPr="00482DC9">
        <w:t>,</w:t>
      </w:r>
      <w:r>
        <w:rPr>
          <w:i/>
        </w:rPr>
        <w:t xml:space="preserve"> </w:t>
      </w:r>
      <w:r w:rsidRPr="00482DC9">
        <w:t>zda v rámci dané stavby</w:t>
      </w:r>
      <w:r w:rsidR="005D0955" w:rsidRPr="00482DC9">
        <w:t xml:space="preserve"> vlastnictví jednotek nebo bytové spol</w:t>
      </w:r>
      <w:r w:rsidRPr="00482DC9">
        <w:t>uvlastnictví vzniklo.</w:t>
      </w:r>
      <w:r w:rsidR="00DC51B7">
        <w:t xml:space="preserve"> </w:t>
      </w:r>
      <w:r w:rsidR="00A737F0">
        <w:t xml:space="preserve">Se zřetelem ke smyslu </w:t>
      </w:r>
      <w:r w:rsidR="005D0955" w:rsidRPr="00EA29E9">
        <w:t xml:space="preserve">§ 3056 odst. 1 NOZ </w:t>
      </w:r>
      <w:r w:rsidR="00EA29E9" w:rsidRPr="00EA29E9">
        <w:t xml:space="preserve">tak není ani věcný důvod, proč </w:t>
      </w:r>
      <w:r w:rsidR="005D0955" w:rsidRPr="00EA29E9">
        <w:t xml:space="preserve">pro </w:t>
      </w:r>
      <w:r w:rsidR="00EA29E9" w:rsidRPr="00EA29E9">
        <w:t>tyto případy dovozovat neexistenci</w:t>
      </w:r>
      <w:r w:rsidR="005D0955" w:rsidRPr="00EA29E9">
        <w:t xml:space="preserve"> </w:t>
      </w:r>
      <w:r w:rsidR="005D0955" w:rsidRPr="00EA29E9">
        <w:lastRenderedPageBreak/>
        <w:t>zákonného předkupního práva.</w:t>
      </w:r>
      <w:r w:rsidR="00EA29E9">
        <w:rPr>
          <w:i/>
        </w:rPr>
        <w:t xml:space="preserve"> </w:t>
      </w:r>
      <w:r w:rsidR="00EA29E9" w:rsidRPr="00EA29E9">
        <w:t>Pokud by zákonodárce chtěl pro tyto případy vytvořit výjimku</w:t>
      </w:r>
      <w:r w:rsidR="005D0955" w:rsidRPr="00EA29E9">
        <w:t>, musel by tak učinit zvláštním přechodným ustanov</w:t>
      </w:r>
      <w:r w:rsidR="00EA29E9" w:rsidRPr="00EA29E9">
        <w:t>ením, což se</w:t>
      </w:r>
      <w:r w:rsidR="005D0955" w:rsidRPr="00EA29E9">
        <w:t xml:space="preserve"> ovšem nestalo.</w:t>
      </w:r>
    </w:p>
    <w:p w:rsidR="007C02E7" w:rsidRDefault="005D0955" w:rsidP="0031042F">
      <w:r>
        <w:rPr>
          <w:i/>
        </w:rPr>
        <w:t xml:space="preserve"> </w:t>
      </w:r>
      <w:r w:rsidRPr="00F30EDD">
        <w:t>Vlastník jednotky je z titulu vlastnictví</w:t>
      </w:r>
      <w:r w:rsidR="00F30EDD">
        <w:t xml:space="preserve"> jednotky podle NOZ i podle ZOVB</w:t>
      </w:r>
      <w:r w:rsidRPr="00F30EDD">
        <w:t xml:space="preserve"> vždy též s</w:t>
      </w:r>
      <w:r w:rsidR="00F30EDD" w:rsidRPr="00F30EDD">
        <w:t>poluvlastníkem společných částí, a to nehledě na jiné vymezení jednotky.</w:t>
      </w:r>
      <w:r w:rsidR="00F30EDD">
        <w:rPr>
          <w:i/>
        </w:rPr>
        <w:t xml:space="preserve"> </w:t>
      </w:r>
      <w:r w:rsidR="00F30EDD" w:rsidRPr="00F30EDD">
        <w:t>P</w:t>
      </w:r>
      <w:r w:rsidRPr="00F30EDD">
        <w:t xml:space="preserve">rávě </w:t>
      </w:r>
      <w:r w:rsidR="00F30EDD" w:rsidRPr="00F30EDD">
        <w:t xml:space="preserve">to je imanentním rysem institutu </w:t>
      </w:r>
      <w:r w:rsidRPr="00F30EDD">
        <w:t>bytového spoluvlastnic</w:t>
      </w:r>
      <w:r w:rsidR="00F30EDD" w:rsidRPr="00F30EDD">
        <w:t>tví, resp. vlastnictví jednotek. Ten v sobě spojuje výlučné vlastnictví jednotky, jakožto výlučné části stavby,</w:t>
      </w:r>
      <w:r w:rsidRPr="00F30EDD">
        <w:t xml:space="preserve"> a spoluvlastnictví společných čás</w:t>
      </w:r>
      <w:r w:rsidR="00F30EDD" w:rsidRPr="00F30EDD">
        <w:t>tí domu (</w:t>
      </w:r>
      <w:r w:rsidRPr="00F30EDD">
        <w:t>nemovitosti</w:t>
      </w:r>
      <w:r w:rsidR="00F30EDD" w:rsidRPr="00F30EDD">
        <w:t>), j</w:t>
      </w:r>
      <w:r w:rsidRPr="00F30EDD">
        <w:t>ako</w:t>
      </w:r>
      <w:r w:rsidR="00F30EDD" w:rsidRPr="00F30EDD">
        <w:t>žto společných částí stavby</w:t>
      </w:r>
      <w:r w:rsidRPr="00F30EDD">
        <w:t xml:space="preserve">. </w:t>
      </w:r>
      <w:r w:rsidR="00F30EDD" w:rsidRPr="00F30EDD">
        <w:t>Logicky vzato je i s</w:t>
      </w:r>
      <w:r w:rsidRPr="00F30EDD">
        <w:t>poluvlastnictví společných částí domu</w:t>
      </w:r>
      <w:r w:rsidR="00F30EDD" w:rsidRPr="00F30EDD">
        <w:t xml:space="preserve"> (resp. nemovitosti)</w:t>
      </w:r>
      <w:r w:rsidRPr="00F30EDD">
        <w:t xml:space="preserve"> spoluvlastnictvím stavby.</w:t>
      </w:r>
      <w:r w:rsidR="00F30EDD" w:rsidRPr="00F30EDD">
        <w:rPr>
          <w:rStyle w:val="Znakapoznpodarou"/>
          <w:i/>
        </w:rPr>
        <w:t xml:space="preserve"> </w:t>
      </w:r>
      <w:r w:rsidR="00F30EDD" w:rsidRPr="00A13E89">
        <w:rPr>
          <w:rStyle w:val="Znakapoznpodarou"/>
        </w:rPr>
        <w:footnoteReference w:id="124"/>
      </w:r>
    </w:p>
    <w:p w:rsidR="00A13E89" w:rsidRDefault="00A13E89" w:rsidP="0031042F">
      <w:r>
        <w:t>Osobně se ztotožňuji s Dvořákovým pohledem na věc s ohledem na účel ustanovení § 3056. Pojem stavba v kontextu tohoto pravidla je nutno vykládat extenzivně a umožnit tak využít předkupního práva i vlastníkům bytových jednotek, ať již podle nového občanského zákoníku či zákona o vlastnictví bytů. (Nehledě na to, že pokud bychom dovodili tuto možnost pro jednotky dle NOZ, ne však už pro jednotky dle ZOVB, nemělo by toto dělení smysl s ohledem na možnost změny prohlášení spoluvlastníků.)</w:t>
      </w:r>
    </w:p>
    <w:p w:rsidR="00E6145F" w:rsidRPr="00A13E89" w:rsidRDefault="00A13E89" w:rsidP="00A13E89">
      <w:r w:rsidRPr="00C80EF9">
        <w:t>Je nutno podotknout, že konstrukce NOZ vykazuje v této věci značné nepřenosnosti a vyžadovala by si novelizaci</w:t>
      </w:r>
      <w:r>
        <w:t>.</w:t>
      </w:r>
      <w:r>
        <w:rPr>
          <w:rStyle w:val="Znakapoznpodarou"/>
        </w:rPr>
        <w:footnoteReference w:id="125"/>
      </w:r>
      <w:r>
        <w:t xml:space="preserve"> </w:t>
      </w:r>
      <w:r w:rsidRPr="00A13E89">
        <w:t>V</w:t>
      </w:r>
      <w:r w:rsidR="007C02E7" w:rsidRPr="00A13E89">
        <w:t>ýše uvedené interpretační pochybnosti – jež ovšem s ohledem na ne vždy uspořádané právní vztahy k pozemků a početně obrovský počet jednotek již existujících mají velký praktický význam</w:t>
      </w:r>
      <w:r>
        <w:t xml:space="preserve"> (a zdaleka tak tento problém není bagatelní</w:t>
      </w:r>
      <w:r>
        <w:rPr>
          <w:rStyle w:val="Znakapoznpodarou"/>
        </w:rPr>
        <w:footnoteReference w:id="126"/>
      </w:r>
      <w:r>
        <w:t>)</w:t>
      </w:r>
      <w:r w:rsidR="007C02E7" w:rsidRPr="00A13E89">
        <w:t xml:space="preserve"> pro </w:t>
      </w:r>
      <w:r w:rsidRPr="00A13E89">
        <w:t>realitní trh – by nemusely vzniknout, pokud by bylo do NOZ zapracováno výslovné přechodné ustanovení</w:t>
      </w:r>
      <w:r w:rsidR="007C02E7" w:rsidRPr="00A13E89">
        <w:t xml:space="preserve">. </w:t>
      </w:r>
      <w:r w:rsidR="00E6145F" w:rsidRPr="00A13E89">
        <w:rPr>
          <w:rStyle w:val="Znakapoznpodarou"/>
        </w:rPr>
        <w:footnoteReference w:id="127"/>
      </w:r>
    </w:p>
    <w:p w:rsidR="009D193C" w:rsidRDefault="009D193C" w:rsidP="0097734E">
      <w:pPr>
        <w:pStyle w:val="Nadpis2"/>
      </w:pPr>
      <w:bookmarkStart w:id="31" w:name="_Toc509413089"/>
      <w:r>
        <w:t>Materiální publicita zápisů do katastru nemovitostí</w:t>
      </w:r>
      <w:bookmarkEnd w:id="31"/>
    </w:p>
    <w:p w:rsidR="00DC39CD" w:rsidRPr="00DC39CD" w:rsidRDefault="00231A4F" w:rsidP="005B2467">
      <w:r w:rsidRPr="00231A4F">
        <w:t xml:space="preserve">Doposud účinná zákonná úprava dobrou víru v katastr nemovitostí jako veřejný seznam deklarovala, ale to pouze pro zápisy provedené po roce 1993. </w:t>
      </w:r>
      <w:r w:rsidR="006C7289">
        <w:t>NOZ</w:t>
      </w:r>
      <w:r w:rsidRPr="00231A4F">
        <w:t xml:space="preserve"> se tuto pro adresáty nepříznivou právní situaci rozhodl změnit a </w:t>
      </w:r>
      <w:r w:rsidR="00A64678">
        <w:t xml:space="preserve">učinil tak prostřednictvím </w:t>
      </w:r>
      <w:r w:rsidRPr="00231A4F">
        <w:t>§ 980 až 986</w:t>
      </w:r>
      <w:r w:rsidR="0014699D">
        <w:t xml:space="preserve"> (ve spojení se </w:t>
      </w:r>
      <w:r w:rsidR="0014699D" w:rsidRPr="0014699D">
        <w:t>zákonem č. 256/2013 Sb., o katastru nemovitostí, jenž byl připravován společně s </w:t>
      </w:r>
      <w:r w:rsidR="00A64678">
        <w:t>NOZ</w:t>
      </w:r>
      <w:r w:rsidR="0014699D" w:rsidRPr="0014699D">
        <w:t xml:space="preserve"> a vešel v účinnost také 1. 1. 2014</w:t>
      </w:r>
      <w:r w:rsidR="0014699D">
        <w:rPr>
          <w:i/>
        </w:rPr>
        <w:t>)</w:t>
      </w:r>
      <w:r w:rsidR="006D00A8">
        <w:t xml:space="preserve"> jimiž spojuje</w:t>
      </w:r>
      <w:r w:rsidR="009D193C" w:rsidRPr="006D00A8">
        <w:t xml:space="preserve"> se zápisy do veřejných seznamů, a tedy i do </w:t>
      </w:r>
      <w:r w:rsidR="009D193C" w:rsidRPr="001353E1">
        <w:t>katastru nemovitostí, zásadu materiální publicity</w:t>
      </w:r>
      <w:r w:rsidR="005B2467" w:rsidRPr="001353E1">
        <w:t xml:space="preserve"> (</w:t>
      </w:r>
      <w:r w:rsidR="00DC5B6F" w:rsidRPr="001353E1">
        <w:t>což je</w:t>
      </w:r>
      <w:r w:rsidR="005B2467" w:rsidRPr="001353E1">
        <w:t xml:space="preserve"> vyjádření zásady, že neznalost údaje zapsaného do katast</w:t>
      </w:r>
      <w:r w:rsidR="001353E1" w:rsidRPr="001353E1">
        <w:t>ru nemovitostí nikoho neomlouvá; také se stanovuje vyvratitelná právní domněnka</w:t>
      </w:r>
      <w:r w:rsidR="005B2467" w:rsidRPr="001353E1">
        <w:t xml:space="preserve"> existence práv zapsaných v katastru nemovitostí a neexisten</w:t>
      </w:r>
      <w:r w:rsidR="001353E1" w:rsidRPr="001353E1">
        <w:t>ce práv do katastru nezapsaných;</w:t>
      </w:r>
      <w:r w:rsidR="005B2467" w:rsidRPr="001353E1">
        <w:t xml:space="preserve"> </w:t>
      </w:r>
      <w:r w:rsidR="001353E1" w:rsidRPr="001353E1">
        <w:t>chrání se dobrá víra</w:t>
      </w:r>
      <w:r w:rsidR="005B2467" w:rsidRPr="001353E1">
        <w:t xml:space="preserve"> těch, kteří nabyli za úplatu věcné právo v souladu se stavem v katastru zapsaným, i když neodpovídá stavu skutečnému apod.)</w:t>
      </w:r>
      <w:r w:rsidR="009D193C" w:rsidRPr="001353E1">
        <w:t>.</w:t>
      </w:r>
      <w:r w:rsidR="001353E1" w:rsidRPr="001353E1">
        <w:t xml:space="preserve"> </w:t>
      </w:r>
      <w:r w:rsidR="00DC39CD" w:rsidRPr="001353E1">
        <w:t xml:space="preserve"> K určení</w:t>
      </w:r>
      <w:r w:rsidR="00DC39CD">
        <w:t xml:space="preserve">, co je veřejným seznamem existují v zásadě dvě kritéria – první, legislativně jednodušší, říká, že veřejným seznamem je pouze </w:t>
      </w:r>
      <w:r w:rsidR="00DC39CD">
        <w:lastRenderedPageBreak/>
        <w:t>to, co tak zákon výslovně označí.</w:t>
      </w:r>
      <w:r w:rsidR="00DC39CD">
        <w:rPr>
          <w:rStyle w:val="Znakapoznpodarou"/>
        </w:rPr>
        <w:footnoteReference w:id="128"/>
      </w:r>
      <w:r w:rsidR="00DC39CD">
        <w:t xml:space="preserve"> Druhou možností je splnění typických atributů, kumulativní splnění dvou podmínek, kterými jsou existence formální publicity a materiální publicity.</w:t>
      </w:r>
      <w:r w:rsidR="00DC39CD">
        <w:rPr>
          <w:rStyle w:val="Znakapoznpodarou"/>
        </w:rPr>
        <w:footnoteReference w:id="129"/>
      </w:r>
    </w:p>
    <w:p w:rsidR="005B2467" w:rsidRDefault="00DC39CD" w:rsidP="00DC39CD">
      <w:pPr>
        <w:rPr>
          <w:i/>
        </w:rPr>
      </w:pPr>
      <w:r>
        <w:t xml:space="preserve">NOZ rozebíranými ustanoveními </w:t>
      </w:r>
      <w:r w:rsidR="0014699D" w:rsidRPr="0014699D">
        <w:t>výrazně</w:t>
      </w:r>
      <w:r w:rsidR="009D193C" w:rsidRPr="0014699D">
        <w:t xml:space="preserve"> </w:t>
      </w:r>
      <w:r w:rsidR="0014699D" w:rsidRPr="0014699D">
        <w:t>posílil veřejnou víru</w:t>
      </w:r>
      <w:r w:rsidR="009D193C" w:rsidRPr="0014699D">
        <w:t xml:space="preserve"> v katastr a </w:t>
      </w:r>
      <w:r w:rsidR="0014699D" w:rsidRPr="0014699D">
        <w:t>především</w:t>
      </w:r>
      <w:r w:rsidR="009D193C" w:rsidRPr="0014699D">
        <w:t>, chrání se</w:t>
      </w:r>
      <w:r w:rsidR="002C36B3">
        <w:rPr>
          <w:rStyle w:val="Znakapoznpodarou"/>
        </w:rPr>
        <w:footnoteReference w:id="130"/>
      </w:r>
      <w:r w:rsidR="009D193C" w:rsidRPr="0014699D">
        <w:t xml:space="preserve"> dobrá víra v katastrální zápisy daleko významněji</w:t>
      </w:r>
      <w:r w:rsidR="00186ED7">
        <w:t>,</w:t>
      </w:r>
      <w:r w:rsidR="009D193C" w:rsidRPr="0014699D">
        <w:t xml:space="preserve"> než </w:t>
      </w:r>
      <w:r w:rsidR="0014699D" w:rsidRPr="0014699D">
        <w:t xml:space="preserve">tomu bylo </w:t>
      </w:r>
      <w:r w:rsidR="009D193C" w:rsidRPr="0014699D">
        <w:t>do</w:t>
      </w:r>
      <w:r w:rsidR="0014699D" w:rsidRPr="0014699D">
        <w:t>po</w:t>
      </w:r>
      <w:r w:rsidR="009D193C" w:rsidRPr="0014699D">
        <w:t>sud.</w:t>
      </w:r>
      <w:r w:rsidR="00231A4F" w:rsidRPr="002352AE">
        <w:rPr>
          <w:rStyle w:val="Znakapoznpodarou"/>
        </w:rPr>
        <w:footnoteReference w:id="131"/>
      </w:r>
    </w:p>
    <w:p w:rsidR="005B2467" w:rsidRDefault="005B2467" w:rsidP="0097734E">
      <w:pPr>
        <w:pStyle w:val="Nadpis2"/>
      </w:pPr>
      <w:bookmarkStart w:id="32" w:name="_Toc509413090"/>
      <w:r w:rsidRPr="005B2467">
        <w:t>Společenství vlastníků jednotek</w:t>
      </w:r>
      <w:bookmarkEnd w:id="32"/>
    </w:p>
    <w:p w:rsidR="00E23F19" w:rsidRDefault="00A64678" w:rsidP="005B2467">
      <w:pPr>
        <w:ind w:firstLine="0"/>
      </w:pPr>
      <w:r>
        <w:t xml:space="preserve">SVJ vzniklá v režimu </w:t>
      </w:r>
      <w:r w:rsidR="002352AE" w:rsidRPr="007D79A7">
        <w:t>§ 9 ZOVB</w:t>
      </w:r>
      <w:r w:rsidR="00205A7F" w:rsidRPr="007D79A7">
        <w:t xml:space="preserve"> </w:t>
      </w:r>
      <w:r w:rsidR="007D79A7" w:rsidRPr="007D79A7">
        <w:t>s</w:t>
      </w:r>
      <w:r w:rsidR="005B2467" w:rsidRPr="007D79A7">
        <w:t xml:space="preserve">e dnem účinnosti </w:t>
      </w:r>
      <w:r>
        <w:t>NOZ stala</w:t>
      </w:r>
      <w:r w:rsidR="005B2467" w:rsidRPr="007D79A7">
        <w:t xml:space="preserve"> právnickou osobou upravenou</w:t>
      </w:r>
      <w:r w:rsidR="007D79A7" w:rsidRPr="007D79A7">
        <w:t xml:space="preserve"> a řídící se</w:t>
      </w:r>
      <w:r w:rsidR="005B2467" w:rsidRPr="007D79A7">
        <w:t xml:space="preserve"> </w:t>
      </w:r>
      <w:r>
        <w:t>NOZ</w:t>
      </w:r>
      <w:r w:rsidR="005B2467" w:rsidRPr="007D79A7">
        <w:t>.</w:t>
      </w:r>
      <w:r w:rsidR="007D79A7">
        <w:rPr>
          <w:i/>
        </w:rPr>
        <w:t xml:space="preserve"> </w:t>
      </w:r>
      <w:r>
        <w:t>To pramení z </w:t>
      </w:r>
      <w:r w:rsidR="007D79A7" w:rsidRPr="007D79A7">
        <w:t>§ 3041 NOZ</w:t>
      </w:r>
      <w:r w:rsidR="005B2467" w:rsidRPr="007D79A7">
        <w:t xml:space="preserve"> a tento právní následek spojuje s povinností přizpůsobit společenskou smlouvu (tedy i stanovy) nové právní úpravě.</w:t>
      </w:r>
    </w:p>
    <w:p w:rsidR="00E23F19" w:rsidRDefault="00E23F19" w:rsidP="00E23F19">
      <w:r w:rsidRPr="000562A8">
        <w:t>Přílohou k nařízení vlády č. 371/2004 Sb., kterým se vydávají vzorové stanovy společenstv</w:t>
      </w:r>
      <w:r>
        <w:t>í vlastníků jednotek, byly</w:t>
      </w:r>
      <w:r w:rsidRPr="000562A8">
        <w:t xml:space="preserve"> tzv. vzorové stanovy. Ty se v některých případech staly nevhodnými či dokonce nepoužitelnými, a to zejména jejich článek VI stanovující, že pokud se nesejde shromáždění k volbě orgánu společenství nebo nejsou-li tyto orgány zvoleny, plní jejich funkci člen společenství, jehož vlastnický podíl na společných částech domu činí nejméně polovinu, jinak členové společenství, kteří se jimi stali dnem jeho vzniku, a totéž platí, nebude-li statutární orgán schopen plnit své funkce, nebo článek XII o zvláštním způsobu rozhodování ve společenství formou udělení souhlasu mimo shromáždění.</w:t>
      </w:r>
      <w:r w:rsidRPr="000562A8">
        <w:rPr>
          <w:rStyle w:val="Znakapoznpodarou"/>
        </w:rPr>
        <w:footnoteReference w:id="132"/>
      </w:r>
    </w:p>
    <w:p w:rsidR="005B2467" w:rsidRPr="005B2467" w:rsidRDefault="00A64678" w:rsidP="00E23F19">
      <w:pPr>
        <w:ind w:firstLine="576"/>
        <w:rPr>
          <w:i/>
        </w:rPr>
      </w:pPr>
      <w:r>
        <w:t>NOZ</w:t>
      </w:r>
      <w:r w:rsidR="00B06C05" w:rsidRPr="00B06C05">
        <w:t xml:space="preserve"> stanoví l</w:t>
      </w:r>
      <w:r w:rsidR="005B2467" w:rsidRPr="00B06C05">
        <w:t>hůtu k nařízeným změnám zakladatelského dokumentu právnické</w:t>
      </w:r>
      <w:r w:rsidR="00B06C05" w:rsidRPr="00B06C05">
        <w:t xml:space="preserve"> osoby </w:t>
      </w:r>
      <w:r w:rsidR="005B2467" w:rsidRPr="00B06C05">
        <w:t>v délce tří let počínajících dnem</w:t>
      </w:r>
      <w:r w:rsidR="00B06C05" w:rsidRPr="00B06C05">
        <w:t xml:space="preserve"> jeho účinnosti, lhůta tak skončila </w:t>
      </w:r>
      <w:r w:rsidR="005B2467" w:rsidRPr="00B06C05">
        <w:t>1. lednem 2017.</w:t>
      </w:r>
      <w:r w:rsidR="00D9493F">
        <w:t xml:space="preserve"> Při srovnání zákonných požadavků ZOVB na obsah st</w:t>
      </w:r>
      <w:r>
        <w:t xml:space="preserve">anov společenství dle jeho </w:t>
      </w:r>
      <w:r w:rsidR="00D9493F">
        <w:t xml:space="preserve">§ </w:t>
      </w:r>
      <w:r w:rsidR="00B801DE">
        <w:t>9 odst. 14</w:t>
      </w:r>
      <w:r w:rsidR="00D9493F">
        <w:t xml:space="preserve"> </w:t>
      </w:r>
      <w:r w:rsidR="00B801DE">
        <w:t>oprot</w:t>
      </w:r>
      <w:r>
        <w:t xml:space="preserve">i náležitostem vyžadovaným </w:t>
      </w:r>
      <w:r w:rsidR="00B801DE">
        <w:t>§ 1200 odst. 2, jsou vidět jasné rozdíly. Přední z nich je odlišnost v nařízení, aby sídlo společenství bylo určeno v domě, pro který společenství vzniklo. NOZ tak reaguje na požadavek praxe a její zkušenost, kdy si některá společenství zřizovala sídla v místech s vlastníky bytů zjevně nesouvisejících či těžce dosažitelných.</w:t>
      </w:r>
      <w:r w:rsidR="005B2467" w:rsidRPr="005B2467">
        <w:rPr>
          <w:i/>
        </w:rPr>
        <w:t xml:space="preserve"> </w:t>
      </w:r>
      <w:r w:rsidR="00B801DE" w:rsidRPr="00B801DE">
        <w:t xml:space="preserve">Od tohoto pravidla </w:t>
      </w:r>
      <w:r>
        <w:t>NOZ</w:t>
      </w:r>
      <w:r w:rsidR="00B801DE" w:rsidRPr="00B801DE">
        <w:t xml:space="preserve"> se společenství může odchýlit jen v případě, že zřízení sídla v domě, pro který SVJ vzniklo, není možné.</w:t>
      </w:r>
      <w:r w:rsidR="00A76238">
        <w:rPr>
          <w:i/>
        </w:rPr>
        <w:t xml:space="preserve"> </w:t>
      </w:r>
      <w:r w:rsidR="00A76238" w:rsidRPr="00A76238">
        <w:t>Rozhodujícím a zkoumaným kritériem je tedy možnost či nemožnost</w:t>
      </w:r>
      <w:r w:rsidR="00A76238">
        <w:t xml:space="preserve"> (např. nejsou k dispozici vyhovující prostory)</w:t>
      </w:r>
      <w:r w:rsidR="00A76238">
        <w:rPr>
          <w:rStyle w:val="Znakapoznpodarou"/>
        </w:rPr>
        <w:footnoteReference w:id="133"/>
      </w:r>
      <w:r w:rsidR="00A76238">
        <w:t xml:space="preserve">, ke kritériu účelnosti či vhodnosti se tak nepřihlíží. Avšak i v případě, že si společenství z určité nutnosti určí sídlo mimo předmětný dům, není možné z důvodu respektu k příkazu </w:t>
      </w:r>
      <w:r w:rsidR="002A1057">
        <w:t xml:space="preserve">poctivosti dle </w:t>
      </w:r>
      <w:r w:rsidR="00A76238">
        <w:t>§ 6 odst. 1</w:t>
      </w:r>
      <w:r w:rsidR="002A1057">
        <w:t xml:space="preserve"> NOZ</w:t>
      </w:r>
      <w:r w:rsidR="00A76238">
        <w:t xml:space="preserve"> využít této možnosti k nadměrnému obtěžování vlastníků jednotek, který by dále způsoboval horší kontakt vlastníků se společenstvím</w:t>
      </w:r>
      <w:r w:rsidR="002A1057">
        <w:t>.</w:t>
      </w:r>
      <w:r w:rsidR="002A1057">
        <w:rPr>
          <w:i/>
        </w:rPr>
        <w:t xml:space="preserve"> </w:t>
      </w:r>
      <w:r w:rsidR="002A1057" w:rsidRPr="002A1057">
        <w:lastRenderedPageBreak/>
        <w:t>Co se týče ostatních požadavků</w:t>
      </w:r>
      <w:r w:rsidR="005B2467" w:rsidRPr="002A1057">
        <w:t xml:space="preserve"> na obsah stanov</w:t>
      </w:r>
      <w:r w:rsidR="002A1057" w:rsidRPr="002A1057">
        <w:t>, NOZ se od</w:t>
      </w:r>
      <w:r w:rsidR="005B2467" w:rsidRPr="002A1057">
        <w:t xml:space="preserve"> úpravy</w:t>
      </w:r>
      <w:r w:rsidR="002A1057" w:rsidRPr="002A1057">
        <w:t xml:space="preserve"> ZOVB podstatně neliší.</w:t>
      </w:r>
      <w:r w:rsidR="002A1057">
        <w:rPr>
          <w:i/>
        </w:rPr>
        <w:t xml:space="preserve"> </w:t>
      </w:r>
      <w:r w:rsidR="002A1057" w:rsidRPr="002A1057">
        <w:t>Poukázat lze na snahu o přesnější formulace</w:t>
      </w:r>
      <w:r w:rsidR="005B2467" w:rsidRPr="002A1057">
        <w:t>,</w:t>
      </w:r>
      <w:r w:rsidR="002A1057">
        <w:t xml:space="preserve"> jako příklad lze uvést</w:t>
      </w:r>
      <w:r w:rsidR="002A1057">
        <w:rPr>
          <w:i/>
        </w:rPr>
        <w:t xml:space="preserve"> </w:t>
      </w:r>
      <w:r w:rsidR="002A1057" w:rsidRPr="002A1057">
        <w:t xml:space="preserve">výslovný požadavek, aby ve stanovách byla zahrnuta i </w:t>
      </w:r>
      <w:r w:rsidR="005B2467" w:rsidRPr="002A1057">
        <w:t xml:space="preserve">pravidla pro tvorbu rozpočtu společenství. </w:t>
      </w:r>
      <w:r w:rsidR="00755985">
        <w:t xml:space="preserve">Pokud společenství nepřizpůsobilo své stanovy požadavkům NOZ v jeho zákonné tříleté lhůtě a neučinilo-li tak po zmeškání ani v dodatečné lhůtě, kterou k tomu určil soud, mohlo být společenství soudem zrušeno. To by v případě, že pro daný dům byla existence společenství vlastníků jednotek zákonem vyžadována na </w:t>
      </w:r>
      <w:r>
        <w:t xml:space="preserve">základě </w:t>
      </w:r>
      <w:r w:rsidR="00755985" w:rsidRPr="00755985">
        <w:t>§ 1198 odst. 1 NOZ vedlo k blokaci převodů jednotek až do chvíle</w:t>
      </w:r>
      <w:r w:rsidR="00755985">
        <w:t xml:space="preserve"> prokázání vzniku nového společenství</w:t>
      </w:r>
      <w:r w:rsidR="00755985" w:rsidRPr="00755985">
        <w:rPr>
          <w:rStyle w:val="Znakapoznpodarou"/>
        </w:rPr>
        <w:footnoteReference w:id="134"/>
      </w:r>
      <w:r w:rsidR="00755985">
        <w:t>, kterým je je</w:t>
      </w:r>
      <w:r w:rsidR="00457C7D">
        <w:t>ho zápis do veřejného rejstříku.</w:t>
      </w:r>
      <w:r w:rsidR="00755985">
        <w:rPr>
          <w:rStyle w:val="Znakapoznpodarou"/>
        </w:rPr>
        <w:footnoteReference w:id="135"/>
      </w:r>
    </w:p>
    <w:p w:rsidR="00B83843" w:rsidRDefault="00B83843" w:rsidP="00B83843">
      <w:pPr>
        <w:pStyle w:val="Nadpis2"/>
        <w:rPr>
          <w:szCs w:val="28"/>
        </w:rPr>
      </w:pPr>
      <w:bookmarkStart w:id="33" w:name="_Toc509413091"/>
      <w:r w:rsidRPr="00B83843">
        <w:rPr>
          <w:szCs w:val="28"/>
        </w:rPr>
        <w:t>Důvody změn</w:t>
      </w:r>
      <w:bookmarkEnd w:id="33"/>
    </w:p>
    <w:p w:rsidR="00FC235E" w:rsidRPr="00457C7D" w:rsidRDefault="00457C7D" w:rsidP="00457C7D">
      <w:r>
        <w:t>V důvodové zprávě k </w:t>
      </w:r>
      <w:r w:rsidR="00666957" w:rsidRPr="00666957">
        <w:t xml:space="preserve">§ 1159 zákonodárce uvádí, že </w:t>
      </w:r>
      <w:r w:rsidR="00666957">
        <w:t>p</w:t>
      </w:r>
      <w:r w:rsidR="00666957" w:rsidRPr="00666957">
        <w:t>ojetí vlastnického práva a</w:t>
      </w:r>
      <w:r w:rsidR="00666957">
        <w:t xml:space="preserve"> věci v právním smyslu v občanském</w:t>
      </w:r>
      <w:r w:rsidR="00666957" w:rsidRPr="00666957">
        <w:t xml:space="preserve"> zákoníku umožňuje prolomit dosavadní dogmata v pohledu na pojetí věci v právním smyslu a pojmout svazek propojených subjektivních práv a povinností, byť jsou v jednotlivostech různorodá a promítají se do držby, spoludržby, správy, sousedských práv, nesení nákladů atd., jako jediný vlastnický objekt. Ten se označuje jako jednotka. Využívá se tak pojmu jednotky </w:t>
      </w:r>
      <w:r w:rsidR="00CA6517">
        <w:t>dle ZOVB</w:t>
      </w:r>
      <w:r w:rsidR="00666957" w:rsidRPr="00666957">
        <w:t>, ale rozšiřuje se jeho obsah</w:t>
      </w:r>
      <w:r w:rsidR="00666957">
        <w:t xml:space="preserve">. </w:t>
      </w:r>
      <w:r w:rsidR="00666957" w:rsidRPr="00666957">
        <w:t>Dosavadní odlišení spoluvlastnictví nemovité věci (tedy společného vlastnického práva několika osob k celému domu a pozemku) a individuálního vlastnického práva každé z těchto osob k jed</w:t>
      </w:r>
      <w:r w:rsidR="00CA6517">
        <w:t>notce jako dvou objektů vyžadovalo</w:t>
      </w:r>
      <w:r w:rsidR="00666957" w:rsidRPr="00666957">
        <w:t xml:space="preserve"> složitou úpravu propojující pevnou souvislost mezi oběma objekty.</w:t>
      </w:r>
      <w:r w:rsidR="00CA6517">
        <w:t xml:space="preserve"> Tyto komplikace NOZ odstraňuje.</w:t>
      </w:r>
      <w:r w:rsidR="00CA6517">
        <w:rPr>
          <w:rStyle w:val="Znakapoznpodarou"/>
        </w:rPr>
        <w:footnoteReference w:id="136"/>
      </w:r>
      <w:r w:rsidR="00CA6517">
        <w:t xml:space="preserve"> Otázkou však je, zda při odstranění těchto komplikací způsobem, jakým to činí NOZ, nevznikly komplikace závažnější. Jako důvod pro jejich „trpění“ uvádí </w:t>
      </w:r>
      <w:r>
        <w:t xml:space="preserve">K. </w:t>
      </w:r>
      <w:r w:rsidR="00CA6517">
        <w:t>Eliáš následující:</w:t>
      </w:r>
      <w:r>
        <w:t xml:space="preserve"> </w:t>
      </w:r>
      <w:r w:rsidR="00FC235E">
        <w:t>Nová kodifikace tak projevuje nechuť měnit záležitosti a vztahy, které nastaly v minulosti.</w:t>
      </w:r>
      <w:r w:rsidR="00FC235E" w:rsidRPr="00175C5C">
        <w:rPr>
          <w:i/>
        </w:rPr>
        <w:t xml:space="preserve"> </w:t>
      </w:r>
      <w:r w:rsidR="00FC235E" w:rsidRPr="00D36B96">
        <w:t>Ze stejného důvodu se NOZ nejal sloučit ke dni své účinnosti všechny stavby s pozemkem, byť se vrací k </w:t>
      </w:r>
      <w:r w:rsidR="00FC235E" w:rsidRPr="00D36B96">
        <w:rPr>
          <w:i/>
        </w:rPr>
        <w:t>zásadě superficies solo cedit</w:t>
      </w:r>
      <w:r w:rsidR="00FC235E" w:rsidRPr="00996386">
        <w:rPr>
          <w:i/>
        </w:rPr>
        <w:t xml:space="preserve">. </w:t>
      </w:r>
      <w:r w:rsidR="00FC235E" w:rsidRPr="001C2CF1">
        <w:t>I to je důvod obecného odmítnutí nepravé retroaktivity pro závazková práva a povinnosti vzniklé přede dnem jeho účinnosti.</w:t>
      </w:r>
      <w:r w:rsidR="00FC235E" w:rsidRPr="00996386">
        <w:rPr>
          <w:i/>
        </w:rPr>
        <w:t xml:space="preserve"> </w:t>
      </w:r>
      <w:r w:rsidR="00FC235E" w:rsidRPr="001C2CF1">
        <w:t>Vzniklo-li vlastnictví k bytu podle předchozí právní úpravy,</w:t>
      </w:r>
      <w:r w:rsidR="00FC235E">
        <w:rPr>
          <w:i/>
        </w:rPr>
        <w:t xml:space="preserve"> </w:t>
      </w:r>
      <w:r w:rsidR="00FC235E" w:rsidRPr="001C2CF1">
        <w:t xml:space="preserve">neshledává </w:t>
      </w:r>
      <w:r>
        <w:t>NOZ</w:t>
      </w:r>
      <w:r w:rsidR="00FC235E" w:rsidRPr="001C2CF1">
        <w:t xml:space="preserve"> nutnost měnit tento stav a stanovovat, že vlastník bytu má od jeho účinnosti ve vlastnictví něco jiného, než co podle předchozí úpravy nabyl.</w:t>
      </w:r>
      <w:r w:rsidR="00FC235E" w:rsidRPr="00175C5C">
        <w:rPr>
          <w:i/>
        </w:rPr>
        <w:t xml:space="preserve"> </w:t>
      </w:r>
      <w:r w:rsidR="00FC235E" w:rsidRPr="0001233F">
        <w:t>NOZ nevidí ani důvod zatěžovat osoby, které nabyly vlastnictví v souladu se zákonem platným a účinným v době nabytí, povinností uvádět to do souladu s novou úpravou.</w:t>
      </w:r>
      <w:r w:rsidR="00FC235E" w:rsidRPr="00175C5C">
        <w:rPr>
          <w:i/>
        </w:rPr>
        <w:t xml:space="preserve"> </w:t>
      </w:r>
      <w:r w:rsidR="00FC235E" w:rsidRPr="0001233F">
        <w:t>Vlastníci jednotek vzniklých v režimu ZOVB takovou možnost mají, pokud budou chtít, mohou ji využít prostřednictvím změny prohlášení podle § 1169 NOZ.</w:t>
      </w:r>
      <w:r w:rsidR="00FC235E" w:rsidRPr="0001233F">
        <w:rPr>
          <w:rStyle w:val="Znakapoznpodarou"/>
        </w:rPr>
        <w:footnoteReference w:id="137"/>
      </w:r>
    </w:p>
    <w:p w:rsidR="00AA3EFA" w:rsidRDefault="002B6211" w:rsidP="005B2467">
      <w:r w:rsidRPr="002B6211">
        <w:lastRenderedPageBreak/>
        <w:t xml:space="preserve">Eliáš uvádí, že právě na </w:t>
      </w:r>
      <w:r w:rsidR="005B2467" w:rsidRPr="002B6211">
        <w:t>úpravě bytového spoluvlastnictví v nové</w:t>
      </w:r>
      <w:r w:rsidRPr="002B6211">
        <w:t>m občanském zákoníku lze</w:t>
      </w:r>
      <w:r w:rsidR="005B2467" w:rsidRPr="002B6211">
        <w:t xml:space="preserve">, dobře pozorovat hlavní </w:t>
      </w:r>
      <w:r>
        <w:t>rysy a myšlenky nové kodifikace, které se</w:t>
      </w:r>
      <w:r>
        <w:rPr>
          <w:i/>
        </w:rPr>
        <w:t xml:space="preserve"> </w:t>
      </w:r>
      <w:r w:rsidRPr="002B6211">
        <w:t>často se vytýká diskontinuita s</w:t>
      </w:r>
      <w:r w:rsidR="005B2467" w:rsidRPr="002B6211">
        <w:t xml:space="preserve"> dosa</w:t>
      </w:r>
      <w:r w:rsidRPr="002B6211">
        <w:t>vadní zákonnou úpravou</w:t>
      </w:r>
      <w:r w:rsidR="005B2467" w:rsidRPr="002B6211">
        <w:t>.</w:t>
      </w:r>
      <w:r w:rsidR="00E27149">
        <w:rPr>
          <w:i/>
        </w:rPr>
        <w:t xml:space="preserve"> </w:t>
      </w:r>
      <w:r w:rsidR="00E27149" w:rsidRPr="00E27149">
        <w:t>Zastánci NOZ</w:t>
      </w:r>
      <w:r w:rsidR="005B2467" w:rsidRPr="00E27149">
        <w:t xml:space="preserve"> zd</w:t>
      </w:r>
      <w:r w:rsidR="00E27149" w:rsidRPr="00E27149">
        <w:t>ůrazňují, jeho hlavní myšlenku – integraci a konvenci</w:t>
      </w:r>
      <w:r w:rsidR="005B2467" w:rsidRPr="00E27149">
        <w:t>.</w:t>
      </w:r>
      <w:r w:rsidR="00E27149">
        <w:t xml:space="preserve"> Právě kvůli snaze o integraci o obnovu funkce občanského zákoníku jako stěžejního předpisu soukromého práva zahrnujícího nejdůležitější témata pro soukromou sféru byl opuštěn model úpravy vlastnictví bytů ve zvláštním zákoně a tato problematika tak byla zařazena do NOZ.</w:t>
      </w:r>
      <w:r w:rsidR="00DB1D3A">
        <w:rPr>
          <w:i/>
        </w:rPr>
        <w:t xml:space="preserve"> </w:t>
      </w:r>
      <w:r w:rsidR="00DB1D3A" w:rsidRPr="00285083">
        <w:t>Dále důraz</w:t>
      </w:r>
      <w:r w:rsidR="005B2467" w:rsidRPr="00285083">
        <w:t xml:space="preserve"> na ko</w:t>
      </w:r>
      <w:r w:rsidR="00285083" w:rsidRPr="00285083">
        <w:t>nvenci vedl k inspirování se a přizpůsobení se při tvorbě NOZ</w:t>
      </w:r>
      <w:r w:rsidR="005B2467" w:rsidRPr="00285083">
        <w:t xml:space="preserve"> modelům známým v zahraničních právních úpravách</w:t>
      </w:r>
      <w:r w:rsidR="00285083" w:rsidRPr="00285083">
        <w:t>,</w:t>
      </w:r>
      <w:r w:rsidR="005B2467" w:rsidRPr="00285083">
        <w:t xml:space="preserve"> zejména v právním prostředí západní Evropy.</w:t>
      </w:r>
      <w:r w:rsidR="00285083">
        <w:t xml:space="preserve"> Mimo to však byl také kladen důraz na dosavadní vývoj na našem území,</w:t>
      </w:r>
      <w:r w:rsidR="00285083" w:rsidRPr="00285083">
        <w:t xml:space="preserve"> a to</w:t>
      </w:r>
      <w:r w:rsidR="005B2467" w:rsidRPr="00285083">
        <w:t xml:space="preserve"> ve snaze zach</w:t>
      </w:r>
      <w:r w:rsidR="00457C7D">
        <w:t>ovat ze ZOVB</w:t>
      </w:r>
      <w:r w:rsidR="00285083" w:rsidRPr="00285083">
        <w:t xml:space="preserve"> maximální množství pravidel, která obstojí a jsou i nadále schopna</w:t>
      </w:r>
      <w:r w:rsidR="005B2467" w:rsidRPr="00285083">
        <w:t xml:space="preserve"> života</w:t>
      </w:r>
      <w:r w:rsidR="00285083">
        <w:rPr>
          <w:i/>
        </w:rPr>
        <w:t xml:space="preserve">, </w:t>
      </w:r>
      <w:r w:rsidR="00285083" w:rsidRPr="00285083">
        <w:t>stejně jako</w:t>
      </w:r>
      <w:r w:rsidR="005B2467" w:rsidRPr="00285083">
        <w:t xml:space="preserve"> na doplnění právních pravidel reagujících na těžkosti, na něž praktický živo</w:t>
      </w:r>
      <w:r w:rsidR="00285083" w:rsidRPr="00285083">
        <w:t xml:space="preserve">t při aplikaci </w:t>
      </w:r>
      <w:r w:rsidR="005B2467" w:rsidRPr="00285083">
        <w:t>právní úpravy</w:t>
      </w:r>
      <w:r w:rsidR="00285083" w:rsidRPr="00285083">
        <w:t xml:space="preserve"> ZOVB</w:t>
      </w:r>
      <w:r w:rsidR="005B2467" w:rsidRPr="00285083">
        <w:t xml:space="preserve"> narážel – pravidel formulovaných především s poučením v zahraničí</w:t>
      </w:r>
      <w:r w:rsidR="005B2467" w:rsidRPr="005B2467">
        <w:rPr>
          <w:i/>
        </w:rPr>
        <w:t>.</w:t>
      </w:r>
      <w:r w:rsidR="00285083">
        <w:rPr>
          <w:i/>
        </w:rPr>
        <w:t xml:space="preserve"> </w:t>
      </w:r>
      <w:r w:rsidR="00457C7D">
        <w:t>NOZ</w:t>
      </w:r>
      <w:r w:rsidR="00285083" w:rsidRPr="00452ADC">
        <w:t xml:space="preserve"> je veden hodnotovým konzervatismem, který znamená důraz na význam vlastnictví a jeho ochranu, na vlastníkovu svobodu</w:t>
      </w:r>
      <w:r w:rsidR="00452ADC" w:rsidRPr="00452ADC">
        <w:t>, na poctivost a dobrou víru, jakož i na limity vlastnické autonomie, které představuje nutná míra ohledů k ostatním, což se projevuje při spoluvlastnictví nemovitosti, kde spolu žije více lidí v blízkém sousedství,</w:t>
      </w:r>
      <w:r w:rsidR="00457C7D">
        <w:t xml:space="preserve"> jako</w:t>
      </w:r>
      <w:r w:rsidR="00452ADC" w:rsidRPr="00452ADC">
        <w:t xml:space="preserve"> velmi významné</w:t>
      </w:r>
      <w:r w:rsidR="005B2467" w:rsidRPr="00452ADC">
        <w:t>.</w:t>
      </w:r>
      <w:r w:rsidR="00452ADC" w:rsidRPr="00452ADC">
        <w:t xml:space="preserve"> Rovněž je NOZ veden ekonomickým liberalismem, který v rámci úpravy bytového spoluvlastnictví</w:t>
      </w:r>
      <w:r w:rsidR="005B2467" w:rsidRPr="00452ADC">
        <w:t xml:space="preserve"> </w:t>
      </w:r>
      <w:r w:rsidR="00452ADC" w:rsidRPr="00452ADC">
        <w:t>ústí rovněž</w:t>
      </w:r>
      <w:r w:rsidR="005B2467" w:rsidRPr="00452ADC">
        <w:t xml:space="preserve"> v uznání, že záležitosti soukromého života </w:t>
      </w:r>
      <w:r w:rsidR="00452ADC" w:rsidRPr="00452ADC">
        <w:t xml:space="preserve">nelze násilně unifikovat strohými </w:t>
      </w:r>
      <w:r w:rsidR="005B2467" w:rsidRPr="00452ADC">
        <w:t xml:space="preserve">řešeními. </w:t>
      </w:r>
      <w:r w:rsidR="00452ADC" w:rsidRPr="00452ADC">
        <w:t>Z tohoto důvodu NOZ opustil stanovení jednotných kritérií</w:t>
      </w:r>
      <w:r w:rsidR="005B2467" w:rsidRPr="00452ADC">
        <w:t xml:space="preserve">, které části domu jsou společné, nebo závazné stanovení jediné metody pro určení podílů spoluvlastníků na společných částech. </w:t>
      </w:r>
      <w:r w:rsidR="00917537" w:rsidRPr="00917537">
        <w:t xml:space="preserve">I proto se </w:t>
      </w:r>
      <w:r w:rsidR="005B2467" w:rsidRPr="00917537">
        <w:t>op</w:t>
      </w:r>
      <w:r w:rsidR="00917537" w:rsidRPr="00917537">
        <w:t>ustil</w:t>
      </w:r>
      <w:r w:rsidR="005B2467" w:rsidRPr="00917537">
        <w:t xml:space="preserve"> dosavadní striktní přístup</w:t>
      </w:r>
      <w:r w:rsidR="00917537" w:rsidRPr="00917537">
        <w:t xml:space="preserve"> ZOVB</w:t>
      </w:r>
      <w:r w:rsidR="005B2467" w:rsidRPr="00917537">
        <w:t xml:space="preserve"> k úpravě vnitřního života společenství vlastníků s</w:t>
      </w:r>
      <w:r w:rsidR="00917537" w:rsidRPr="00917537">
        <w:t> </w:t>
      </w:r>
      <w:r w:rsidR="005B2467" w:rsidRPr="00917537">
        <w:t>respektem</w:t>
      </w:r>
      <w:r w:rsidR="00917537" w:rsidRPr="00917537">
        <w:t xml:space="preserve"> faktu, že pro právnickou osobu</w:t>
      </w:r>
      <w:r w:rsidR="005B2467" w:rsidRPr="00917537">
        <w:t xml:space="preserve"> musí být rozhodující stanovy a jejich obsah.</w:t>
      </w:r>
      <w:r w:rsidR="005B2467" w:rsidRPr="00AA3EFA">
        <w:t xml:space="preserve"> </w:t>
      </w:r>
      <w:r w:rsidR="00917537" w:rsidRPr="00AA3EFA">
        <w:t xml:space="preserve">Neméně významný je i </w:t>
      </w:r>
      <w:r w:rsidR="005B2467" w:rsidRPr="00AA3EFA">
        <w:t>přístup k obecným institutů</w:t>
      </w:r>
      <w:r w:rsidR="00917537" w:rsidRPr="00AA3EFA">
        <w:t>m, které</w:t>
      </w:r>
      <w:r w:rsidR="005B2467" w:rsidRPr="00AA3EFA">
        <w:t xml:space="preserve"> </w:t>
      </w:r>
      <w:r w:rsidR="00917537" w:rsidRPr="00AA3EFA">
        <w:t>ovlivňují</w:t>
      </w:r>
      <w:r w:rsidR="005B2467" w:rsidRPr="00AA3EFA">
        <w:t xml:space="preserve"> kromě jiného i záležitosti vlastnického bydlení,</w:t>
      </w:r>
      <w:r w:rsidR="00AA3EFA" w:rsidRPr="00AA3EFA">
        <w:t xml:space="preserve"> jako je např. ústup od </w:t>
      </w:r>
      <w:r w:rsidR="005B2467" w:rsidRPr="00AA3EFA">
        <w:t>absolutní neplatnosti</w:t>
      </w:r>
      <w:r w:rsidR="00AA3EFA" w:rsidRPr="00AA3EFA">
        <w:t>, která byla typická</w:t>
      </w:r>
      <w:r w:rsidR="005B2467" w:rsidRPr="00AA3EFA">
        <w:t xml:space="preserve"> pro dosavadní právo. </w:t>
      </w:r>
    </w:p>
    <w:p w:rsidR="00683981" w:rsidRPr="00B16A37" w:rsidRDefault="00AA3EFA" w:rsidP="00B16A37">
      <w:pPr>
        <w:rPr>
          <w:i/>
        </w:rPr>
      </w:pPr>
      <w:r w:rsidRPr="00AA3EFA">
        <w:t>Je nutno souhlasit s Eliášem, že</w:t>
      </w:r>
      <w:r w:rsidR="005B2467" w:rsidRPr="00AA3EFA">
        <w:t xml:space="preserve"> k přirozeným limitům legislativní práce subjektivní i objektivní povahy</w:t>
      </w:r>
      <w:r w:rsidRPr="00AA3EFA">
        <w:t xml:space="preserve"> náleží</w:t>
      </w:r>
      <w:r w:rsidR="005B2467" w:rsidRPr="00AA3EFA">
        <w:t>, že zákonný text nemůže dát odpovědi na všechny myslitelné otázky.</w:t>
      </w:r>
      <w:r>
        <w:rPr>
          <w:i/>
        </w:rPr>
        <w:t xml:space="preserve"> </w:t>
      </w:r>
      <w:r w:rsidRPr="00AA3EFA">
        <w:t>Také je faktem</w:t>
      </w:r>
      <w:r w:rsidR="005B2467" w:rsidRPr="00AA3EFA">
        <w:t>, že</w:t>
      </w:r>
      <w:r w:rsidRPr="00AA3EFA">
        <w:t xml:space="preserve"> stejně</w:t>
      </w:r>
      <w:r w:rsidR="005B2467" w:rsidRPr="00AA3EFA">
        <w:t xml:space="preserve"> jak</w:t>
      </w:r>
      <w:r w:rsidRPr="00AA3EFA">
        <w:t>o</w:t>
      </w:r>
      <w:r w:rsidR="005B2467" w:rsidRPr="00AA3EFA">
        <w:t xml:space="preserve"> jednoduchá a jasná zák</w:t>
      </w:r>
      <w:r w:rsidRPr="00AA3EFA">
        <w:t>onná ustanovení, tak i ta s obsahem nejasným a zastřeným</w:t>
      </w:r>
      <w:r w:rsidR="005B2467" w:rsidRPr="00AA3EFA">
        <w:t xml:space="preserve"> lze vyložit dobře i špatně</w:t>
      </w:r>
      <w:r w:rsidR="005B2467" w:rsidRPr="005B2467">
        <w:rPr>
          <w:i/>
        </w:rPr>
        <w:t xml:space="preserve">. </w:t>
      </w:r>
      <w:r w:rsidR="00C03EB0" w:rsidRPr="00C03EB0">
        <w:t xml:space="preserve">Nový občanský zákoník staví mnohé nové výzvy nejen na poli úpravy bytového spoluvlastnictví. Úkolem právní vědy, odborné literatury i právní praxe je jim čelit a dospívat k dobrému výkladu zákonných ustanovení, </w:t>
      </w:r>
      <w:r w:rsidR="00A47DE8">
        <w:t xml:space="preserve">který bude </w:t>
      </w:r>
      <w:r w:rsidR="00C03EB0" w:rsidRPr="00C03EB0">
        <w:t>vstřícn</w:t>
      </w:r>
      <w:r w:rsidR="00A47DE8">
        <w:t>ý k</w:t>
      </w:r>
      <w:r w:rsidR="00C03EB0" w:rsidRPr="00C03EB0">
        <w:t xml:space="preserve"> potřebám praktického života</w:t>
      </w:r>
      <w:r w:rsidR="005B2467" w:rsidRPr="00C03EB0">
        <w:t>.</w:t>
      </w:r>
      <w:r w:rsidR="00227109" w:rsidRPr="00C03EB0">
        <w:rPr>
          <w:rStyle w:val="Znakapoznpodarou"/>
        </w:rPr>
        <w:footnoteReference w:id="138"/>
      </w:r>
    </w:p>
    <w:p w:rsidR="00383CE8" w:rsidRDefault="00314FCD" w:rsidP="00383CE8">
      <w:pPr>
        <w:pStyle w:val="Nadpis1"/>
      </w:pPr>
      <w:bookmarkStart w:id="34" w:name="_Toc509413092"/>
      <w:r>
        <w:lastRenderedPageBreak/>
        <w:t>Praktické dopady, n</w:t>
      </w:r>
      <w:r w:rsidR="00383CE8">
        <w:t>ekompatibilita režimů</w:t>
      </w:r>
      <w:r>
        <w:t>?</w:t>
      </w:r>
      <w:bookmarkEnd w:id="34"/>
    </w:p>
    <w:p w:rsidR="00314FCD" w:rsidRDefault="00314FCD" w:rsidP="00314FCD">
      <w:pPr>
        <w:ind w:firstLine="432"/>
      </w:pPr>
      <w:r>
        <w:t xml:space="preserve">Pokud by právo nemělo své praktické dopady, bylo by pouhou vědou beze smyslu. Právo je však pragmatická věda, ale také způsob regulace nejen mezilidských vztahů. Celá otázka dvojkolejnosti by mohla zůstat doménou bádání právníků z různých odvětví, pokud by neměla přesah do života adresátů práva, fyzických a právnických osob. </w:t>
      </w:r>
    </w:p>
    <w:p w:rsidR="00207BAC" w:rsidRDefault="00207BAC" w:rsidP="00CA6517">
      <w:r>
        <w:t xml:space="preserve">O pojmu dvojkolejnosti můžeme hovořit jen v rovině věcněprávní. Totiž jednotky dříve vymezené dle </w:t>
      </w:r>
      <w:r w:rsidR="008C51DB">
        <w:t>ZOVB</w:t>
      </w:r>
      <w:r>
        <w:t xml:space="preserve"> jimi jsou i nadále, </w:t>
      </w:r>
      <w:r w:rsidR="008C51DB">
        <w:t>ZOVB</w:t>
      </w:r>
      <w:r>
        <w:t xml:space="preserve"> se však neuplatní při jiných právních otázkách, jako je především převod vlastnictví. Celý převod je hybridem obou předpisů v různých rovinách. </w:t>
      </w:r>
      <w:r w:rsidR="00872680">
        <w:t xml:space="preserve">Na převod vlastnického práva k jednotkám vzniklým před účinností NOZ dále v období jeho účinnosti dopadá i nadále </w:t>
      </w:r>
      <w:r w:rsidR="008C51DB">
        <w:t>ZOVB</w:t>
      </w:r>
      <w:r w:rsidR="00872680">
        <w:t xml:space="preserve"> co se týče vymezení předmětu vlastnického práva (tj. převád</w:t>
      </w:r>
      <w:r w:rsidR="00457C7D">
        <w:t xml:space="preserve">í se jednotky vymezené dle </w:t>
      </w:r>
      <w:r w:rsidR="00872680">
        <w:t xml:space="preserve">§ 2 </w:t>
      </w:r>
      <w:r w:rsidR="008C51DB">
        <w:t>ZOVB</w:t>
      </w:r>
      <w:r w:rsidR="00872680">
        <w:t>). Povinné náležitosti smlouvy o převodu vlastnického práva k je</w:t>
      </w:r>
      <w:r w:rsidR="00CA6517">
        <w:t>dnotce (a samotná</w:t>
      </w:r>
      <w:r w:rsidR="00872680">
        <w:t xml:space="preserve"> smlouva o převodu vlastnického práva k jednotce) se již řídí novou právní úpravou.</w:t>
      </w:r>
      <w:r w:rsidR="00872680">
        <w:rPr>
          <w:rStyle w:val="Znakapoznpodarou"/>
        </w:rPr>
        <w:footnoteReference w:id="139"/>
      </w:r>
      <w:r w:rsidR="00872680">
        <w:t xml:space="preserve"> V rovině závazkového práva tak ke dvojkolejnosti nedochází, zde je NOZ dominantní – pokud metaforizujeme daný stav na onen příklad dvou kolejí, kolej levá je užší a kolej pravá širší.</w:t>
      </w:r>
    </w:p>
    <w:p w:rsidR="001A6616" w:rsidRDefault="00207BAC" w:rsidP="00CA6517">
      <w:r>
        <w:t>Je jednotka dne</w:t>
      </w:r>
      <w:r w:rsidR="0052441A">
        <w:t xml:space="preserve">s se řídící úpravou </w:t>
      </w:r>
      <w:r w:rsidR="008C51DB">
        <w:t>ZOVB</w:t>
      </w:r>
      <w:r w:rsidR="0052441A">
        <w:t xml:space="preserve"> věcí ve</w:t>
      </w:r>
      <w:r>
        <w:t xml:space="preserve"> smyslu NOZ, nebo se na ni pouze použijí ustanovení NOZ o věcech – tedy je věcněprávní režim těchto jednotek obdobný jako za účinnosti </w:t>
      </w:r>
      <w:r w:rsidR="00B16A37">
        <w:t>SOZ</w:t>
      </w:r>
      <w:r>
        <w:t>? Má tato otázka, respektive odpověď na</w:t>
      </w:r>
      <w:r w:rsidR="00CA6517">
        <w:t xml:space="preserve"> ni praktický význam? </w:t>
      </w:r>
      <w:r w:rsidR="00DC39CD">
        <w:t>Odpověď,</w:t>
      </w:r>
      <w:r w:rsidR="001A6616">
        <w:t xml:space="preserve"> na</w:t>
      </w:r>
      <w:r w:rsidR="00CA6517">
        <w:t xml:space="preserve"> tuto</w:t>
      </w:r>
      <w:r w:rsidR="001A6616">
        <w:t xml:space="preserve"> již výše položenou otázku, zda je jednotka vymezená podle </w:t>
      </w:r>
      <w:r w:rsidR="008C51DB">
        <w:t>ZOVB</w:t>
      </w:r>
      <w:r w:rsidR="001A6616">
        <w:t xml:space="preserve"> věcí v právním smyslu v souladu s</w:t>
      </w:r>
      <w:r w:rsidR="001B6D48">
        <w:t> </w:t>
      </w:r>
      <w:r w:rsidR="001A6616">
        <w:t>NOZ</w:t>
      </w:r>
      <w:r w:rsidR="001B6D48">
        <w:t xml:space="preserve"> nemá pro adresáty úpravy žá</w:t>
      </w:r>
      <w:r w:rsidR="00457C7D">
        <w:t xml:space="preserve">dný praktický význam kvůli </w:t>
      </w:r>
      <w:r w:rsidR="001B6D48">
        <w:t xml:space="preserve">§ 3 odst. 2 </w:t>
      </w:r>
      <w:r w:rsidR="008C51DB">
        <w:t>ZOVB</w:t>
      </w:r>
      <w:r w:rsidR="00457C7D">
        <w:t>. NOZ dikcí v </w:t>
      </w:r>
      <w:r w:rsidR="001B6D48">
        <w:t xml:space="preserve">§ 1159 zařazuje mezi nemovité věci bytové jednotky bez rozdílu. Dle jazykového výkladu tak včetně jednotek dle </w:t>
      </w:r>
      <w:r w:rsidR="008C51DB">
        <w:t>ZOVB</w:t>
      </w:r>
      <w:r w:rsidR="001B6D48">
        <w:t xml:space="preserve">. Otázkou spíše </w:t>
      </w:r>
      <w:r w:rsidR="004445D6">
        <w:t>teoretickou</w:t>
      </w:r>
      <w:r w:rsidR="00683981">
        <w:t xml:space="preserve"> může být, zda byl</w:t>
      </w:r>
      <w:r w:rsidR="001B6D48">
        <w:t xml:space="preserve"> úmysl zákonodárce</w:t>
      </w:r>
      <w:r w:rsidR="00683981">
        <w:t xml:space="preserve"> zařadit mezi nemovité věci i jednotky dle ZOVB</w:t>
      </w:r>
      <w:r w:rsidR="001B6D48">
        <w:t>.</w:t>
      </w:r>
      <w:r w:rsidR="00BA18CC">
        <w:t xml:space="preserve"> Odpověď musí být, že ano</w:t>
      </w:r>
      <w:r w:rsidR="006F5065">
        <w:t>,</w:t>
      </w:r>
      <w:r w:rsidR="00BA18CC">
        <w:t xml:space="preserve"> a to vzhledem k celému systematickému pojetí věci v NOZ a nové koncepci věci v právním smyslu, kterou NOZ zavedl</w:t>
      </w:r>
      <w:r w:rsidR="00BA18CC">
        <w:rPr>
          <w:rStyle w:val="Znakapoznpodarou"/>
        </w:rPr>
        <w:footnoteReference w:id="140"/>
      </w:r>
      <w:r w:rsidR="004445D6">
        <w:t xml:space="preserve"> prostřednictvím </w:t>
      </w:r>
      <w:r w:rsidR="00BA18CC">
        <w:t>§ 48</w:t>
      </w:r>
      <w:r w:rsidR="006F5065">
        <w:t>9</w:t>
      </w:r>
      <w:r w:rsidR="00BA18CC">
        <w:t>: „</w:t>
      </w:r>
      <w:r w:rsidR="00BA18CC" w:rsidRPr="00BA18CC">
        <w:rPr>
          <w:i/>
        </w:rPr>
        <w:t>Věc v právním smyslu (dále jen „věc“) je vše, co je rozdílné od osoby a slouží potřebě lidí.</w:t>
      </w:r>
      <w:r w:rsidR="00BA18CC">
        <w:t>“</w:t>
      </w:r>
      <w:r w:rsidR="0026219F">
        <w:t xml:space="preserve"> </w:t>
      </w:r>
      <w:r w:rsidR="006F5065">
        <w:t>Smyslem a účelem věci v právním smyslu je být objektem, ke kterému mohou vznikat majetková práva.</w:t>
      </w:r>
      <w:r w:rsidR="006F5065">
        <w:rPr>
          <w:rStyle w:val="Znakapoznpodarou"/>
        </w:rPr>
        <w:footnoteReference w:id="141"/>
      </w:r>
      <w:r w:rsidR="00606EE2">
        <w:t xml:space="preserve"> Hlavními definičními znaky věci jsou odlišnost od osoby a užitečnost – kdy předmět je objektivně vnímán jako užitečný, především hospodářsky.</w:t>
      </w:r>
      <w:r w:rsidR="00606EE2">
        <w:rPr>
          <w:rStyle w:val="Znakapoznpodarou"/>
        </w:rPr>
        <w:footnoteReference w:id="142"/>
      </w:r>
      <w:r w:rsidR="00683981">
        <w:t xml:space="preserve"> </w:t>
      </w:r>
      <w:r w:rsidR="00B15F81">
        <w:t xml:space="preserve">Hospodářskou užitečnost nesplňuje jednotka dle ZOVB o nic méně než dle NOZ. </w:t>
      </w:r>
      <w:r w:rsidR="00683981">
        <w:t xml:space="preserve">Zákon o vlastnictví bytů již není platný, jeho ustanoveními se jednotky v jeho režimu vzniklé řídí pouze ve věcněprávní rovině. Protože NOZ otázku, co je věcí, nechápe jako otázku věcněprávní, ale jako </w:t>
      </w:r>
      <w:r w:rsidR="00683981">
        <w:lastRenderedPageBreak/>
        <w:t>otázku pro věcná práva „předběžnou“, neboť ji řeší již v obecné části, ZOVB se v této části již neuplatní. Z toho plyne, že i jednotka dle předchozí úpravy je dnes věcí v právním smyslu.</w:t>
      </w:r>
    </w:p>
    <w:p w:rsidR="00314FCD" w:rsidRDefault="00314FCD" w:rsidP="006473FA">
      <w:pPr>
        <w:pStyle w:val="Nadpis2"/>
      </w:pPr>
      <w:bookmarkStart w:id="35" w:name="_Toc509413093"/>
      <w:r>
        <w:t>Statistika</w:t>
      </w:r>
      <w:bookmarkEnd w:id="35"/>
    </w:p>
    <w:p w:rsidR="00314FCD" w:rsidRDefault="00314FCD" w:rsidP="00314FCD">
      <w:r>
        <w:t>Podle statistiky Ministerstva pro místní rozvoj zveřejněné na webových stránkách</w:t>
      </w:r>
      <w:r>
        <w:rPr>
          <w:rStyle w:val="Znakapoznpodarou"/>
        </w:rPr>
        <w:footnoteReference w:id="143"/>
      </w:r>
      <w:r>
        <w:t xml:space="preserve"> bylo k září roku 2016 v ČR </w:t>
      </w:r>
      <w:r w:rsidRPr="004706D0">
        <w:t>10 144</w:t>
      </w:r>
      <w:r>
        <w:t> </w:t>
      </w:r>
      <w:r w:rsidRPr="004706D0">
        <w:t>961</w:t>
      </w:r>
      <w:r>
        <w:t xml:space="preserve"> osob bydlících v bytech, ať už tyto jsou právně součástí bytových jednotek, a dále, nehledě na fakt, zda se jedná o byty v rámci rodinných domů, ke stejnému období bylo evidováno 4 104 635 obydlených bytů.</w:t>
      </w:r>
    </w:p>
    <w:p w:rsidR="00314FCD" w:rsidRDefault="00314FCD" w:rsidP="00314FCD">
      <w:r>
        <w:t>Český úřad zeměměřický a katastrální k počtu jednotek v režimu obou zákonů uvádí následující údaje.</w:t>
      </w:r>
      <w:r>
        <w:rPr>
          <w:rStyle w:val="Znakapoznpodarou"/>
        </w:rPr>
        <w:footnoteReference w:id="144"/>
      </w:r>
    </w:p>
    <w:p w:rsidR="00314FCD" w:rsidRPr="00241EB1" w:rsidRDefault="00314FCD" w:rsidP="00314FCD">
      <w:pPr>
        <w:overflowPunct w:val="0"/>
        <w:autoSpaceDE w:val="0"/>
        <w:autoSpaceDN w:val="0"/>
        <w:adjustRightInd w:val="0"/>
        <w:ind w:firstLine="0"/>
        <w:rPr>
          <w:rFonts w:eastAsia="Times New Roman" w:cs="Arial"/>
          <w:szCs w:val="20"/>
          <w:lang w:eastAsia="cs-CZ"/>
        </w:rPr>
      </w:pPr>
      <w:r w:rsidRPr="00241EB1">
        <w:rPr>
          <w:rFonts w:eastAsia="Times New Roman" w:cs="Arial"/>
          <w:szCs w:val="20"/>
          <w:lang w:eastAsia="cs-CZ"/>
        </w:rPr>
        <w:t xml:space="preserve">Počet bytových a nebytových jednotek v ČR zapsaných v katastru nemovitostí vedených v režimu </w:t>
      </w:r>
      <w:r w:rsidR="004445D6">
        <w:rPr>
          <w:rFonts w:eastAsia="Times New Roman" w:cs="Arial"/>
          <w:szCs w:val="20"/>
          <w:lang w:eastAsia="cs-CZ"/>
        </w:rPr>
        <w:t>ZOVB</w:t>
      </w:r>
      <w:r w:rsidRPr="00241EB1">
        <w:rPr>
          <w:rFonts w:eastAsia="Times New Roman" w:cs="Arial"/>
          <w:szCs w:val="20"/>
          <w:lang w:eastAsia="cs-CZ"/>
        </w:rPr>
        <w:t>, a to k 1. 1. 2018</w:t>
      </w:r>
      <w:r>
        <w:rPr>
          <w:rFonts w:eastAsia="Times New Roman" w:cs="Arial"/>
          <w:szCs w:val="20"/>
          <w:lang w:eastAsia="cs-CZ"/>
        </w:rPr>
        <w:t>:</w:t>
      </w:r>
    </w:p>
    <w:p w:rsidR="00314FCD" w:rsidRPr="00241EB1" w:rsidRDefault="00314FCD" w:rsidP="00314FCD">
      <w:pPr>
        <w:overflowPunct w:val="0"/>
        <w:autoSpaceDE w:val="0"/>
        <w:autoSpaceDN w:val="0"/>
        <w:adjustRightInd w:val="0"/>
        <w:spacing w:line="240" w:lineRule="auto"/>
        <w:ind w:left="426" w:firstLine="0"/>
        <w:rPr>
          <w:rFonts w:eastAsia="Times New Roman" w:cs="Arial"/>
          <w:szCs w:val="20"/>
          <w:lang w:eastAsia="cs-CZ"/>
        </w:rPr>
      </w:pPr>
    </w:p>
    <w:tbl>
      <w:tblPr>
        <w:tblStyle w:val="Mkatabulky"/>
        <w:tblW w:w="0" w:type="auto"/>
        <w:tblInd w:w="988" w:type="dxa"/>
        <w:tblLook w:val="04A0" w:firstRow="1" w:lastRow="0" w:firstColumn="1" w:lastColumn="0" w:noHBand="0" w:noVBand="1"/>
      </w:tblPr>
      <w:tblGrid>
        <w:gridCol w:w="3397"/>
        <w:gridCol w:w="1559"/>
      </w:tblGrid>
      <w:tr w:rsidR="00314FCD" w:rsidRPr="00241EB1" w:rsidTr="00B15F81">
        <w:tc>
          <w:tcPr>
            <w:tcW w:w="3397" w:type="dxa"/>
            <w:tcBorders>
              <w:top w:val="single" w:sz="4" w:space="0" w:color="auto"/>
              <w:left w:val="single" w:sz="4" w:space="0" w:color="auto"/>
              <w:bottom w:val="single" w:sz="4" w:space="0" w:color="auto"/>
              <w:right w:val="single" w:sz="4" w:space="0" w:color="auto"/>
            </w:tcBorders>
            <w:hideMark/>
          </w:tcPr>
          <w:p w:rsidR="00314FCD" w:rsidRPr="00241EB1" w:rsidRDefault="00314FCD" w:rsidP="00B15F81">
            <w:pPr>
              <w:overflowPunct w:val="0"/>
              <w:autoSpaceDE w:val="0"/>
              <w:autoSpaceDN w:val="0"/>
              <w:adjustRightInd w:val="0"/>
              <w:spacing w:line="240" w:lineRule="auto"/>
              <w:ind w:firstLine="0"/>
              <w:rPr>
                <w:rFonts w:eastAsia="Times New Roman" w:cs="Arial"/>
                <w:szCs w:val="20"/>
              </w:rPr>
            </w:pPr>
            <w:r w:rsidRPr="00241EB1">
              <w:rPr>
                <w:rFonts w:eastAsia="Times New Roman" w:cs="Arial"/>
                <w:szCs w:val="20"/>
              </w:rPr>
              <w:t>způsob využití</w:t>
            </w:r>
          </w:p>
        </w:tc>
        <w:tc>
          <w:tcPr>
            <w:tcW w:w="1559" w:type="dxa"/>
            <w:tcBorders>
              <w:top w:val="single" w:sz="4" w:space="0" w:color="auto"/>
              <w:left w:val="single" w:sz="4" w:space="0" w:color="auto"/>
              <w:bottom w:val="single" w:sz="4" w:space="0" w:color="auto"/>
              <w:right w:val="single" w:sz="4" w:space="0" w:color="auto"/>
            </w:tcBorders>
            <w:hideMark/>
          </w:tcPr>
          <w:p w:rsidR="00314FCD" w:rsidRPr="00241EB1" w:rsidRDefault="00314FCD" w:rsidP="00B15F81">
            <w:pPr>
              <w:overflowPunct w:val="0"/>
              <w:autoSpaceDE w:val="0"/>
              <w:autoSpaceDN w:val="0"/>
              <w:adjustRightInd w:val="0"/>
              <w:spacing w:line="240" w:lineRule="auto"/>
              <w:ind w:firstLine="0"/>
              <w:jc w:val="right"/>
              <w:rPr>
                <w:rFonts w:eastAsia="Times New Roman" w:cs="Arial"/>
                <w:szCs w:val="20"/>
              </w:rPr>
            </w:pPr>
            <w:r w:rsidRPr="00241EB1">
              <w:rPr>
                <w:rFonts w:eastAsia="Times New Roman" w:cs="Arial"/>
                <w:szCs w:val="20"/>
              </w:rPr>
              <w:t xml:space="preserve">počet </w:t>
            </w:r>
          </w:p>
        </w:tc>
      </w:tr>
      <w:tr w:rsidR="00314FCD" w:rsidRPr="00241EB1" w:rsidTr="00B15F81">
        <w:tc>
          <w:tcPr>
            <w:tcW w:w="3397" w:type="dxa"/>
            <w:tcBorders>
              <w:top w:val="single" w:sz="4" w:space="0" w:color="auto"/>
              <w:left w:val="single" w:sz="4" w:space="0" w:color="auto"/>
              <w:bottom w:val="single" w:sz="4" w:space="0" w:color="auto"/>
              <w:right w:val="single" w:sz="4" w:space="0" w:color="auto"/>
            </w:tcBorders>
            <w:hideMark/>
          </w:tcPr>
          <w:p w:rsidR="00314FCD" w:rsidRPr="00241EB1" w:rsidRDefault="00314FCD" w:rsidP="00B15F81">
            <w:pPr>
              <w:overflowPunct w:val="0"/>
              <w:autoSpaceDE w:val="0"/>
              <w:autoSpaceDN w:val="0"/>
              <w:adjustRightInd w:val="0"/>
              <w:spacing w:line="240" w:lineRule="auto"/>
              <w:ind w:firstLine="0"/>
              <w:rPr>
                <w:rFonts w:eastAsia="Times New Roman" w:cs="Arial"/>
                <w:szCs w:val="20"/>
              </w:rPr>
            </w:pPr>
            <w:r w:rsidRPr="00241EB1">
              <w:rPr>
                <w:rFonts w:eastAsia="Times New Roman" w:cs="Arial"/>
                <w:szCs w:val="20"/>
              </w:rPr>
              <w:t xml:space="preserve">byt </w:t>
            </w:r>
          </w:p>
        </w:tc>
        <w:tc>
          <w:tcPr>
            <w:tcW w:w="1559" w:type="dxa"/>
            <w:tcBorders>
              <w:top w:val="single" w:sz="4" w:space="0" w:color="auto"/>
              <w:left w:val="single" w:sz="4" w:space="0" w:color="auto"/>
              <w:bottom w:val="single" w:sz="4" w:space="0" w:color="auto"/>
              <w:right w:val="single" w:sz="4" w:space="0" w:color="auto"/>
            </w:tcBorders>
            <w:hideMark/>
          </w:tcPr>
          <w:p w:rsidR="00314FCD" w:rsidRPr="00241EB1" w:rsidRDefault="00314FCD" w:rsidP="00B15F81">
            <w:pPr>
              <w:overflowPunct w:val="0"/>
              <w:autoSpaceDE w:val="0"/>
              <w:autoSpaceDN w:val="0"/>
              <w:adjustRightInd w:val="0"/>
              <w:spacing w:line="240" w:lineRule="auto"/>
              <w:ind w:firstLine="0"/>
              <w:jc w:val="right"/>
              <w:rPr>
                <w:rFonts w:eastAsia="Times New Roman" w:cs="Arial"/>
                <w:szCs w:val="20"/>
              </w:rPr>
            </w:pPr>
            <w:r w:rsidRPr="00241EB1">
              <w:rPr>
                <w:rFonts w:eastAsia="Times New Roman" w:cs="Arial"/>
                <w:szCs w:val="20"/>
              </w:rPr>
              <w:t>1 731 324</w:t>
            </w:r>
          </w:p>
        </w:tc>
      </w:tr>
      <w:tr w:rsidR="00314FCD" w:rsidRPr="00241EB1" w:rsidTr="00B15F81">
        <w:tc>
          <w:tcPr>
            <w:tcW w:w="3397" w:type="dxa"/>
            <w:tcBorders>
              <w:top w:val="single" w:sz="4" w:space="0" w:color="auto"/>
              <w:left w:val="single" w:sz="4" w:space="0" w:color="auto"/>
              <w:bottom w:val="single" w:sz="4" w:space="0" w:color="auto"/>
              <w:right w:val="single" w:sz="4" w:space="0" w:color="auto"/>
            </w:tcBorders>
            <w:hideMark/>
          </w:tcPr>
          <w:p w:rsidR="00314FCD" w:rsidRPr="00241EB1" w:rsidRDefault="00314FCD" w:rsidP="00B15F81">
            <w:pPr>
              <w:overflowPunct w:val="0"/>
              <w:autoSpaceDE w:val="0"/>
              <w:autoSpaceDN w:val="0"/>
              <w:adjustRightInd w:val="0"/>
              <w:spacing w:line="240" w:lineRule="auto"/>
              <w:ind w:firstLine="0"/>
              <w:rPr>
                <w:rFonts w:eastAsia="Times New Roman" w:cs="Arial"/>
                <w:szCs w:val="20"/>
              </w:rPr>
            </w:pPr>
            <w:r w:rsidRPr="00241EB1">
              <w:rPr>
                <w:rFonts w:eastAsia="Times New Roman" w:cs="Arial"/>
                <w:szCs w:val="20"/>
              </w:rPr>
              <w:t xml:space="preserve">ateliér </w:t>
            </w:r>
          </w:p>
        </w:tc>
        <w:tc>
          <w:tcPr>
            <w:tcW w:w="1559" w:type="dxa"/>
            <w:tcBorders>
              <w:top w:val="single" w:sz="4" w:space="0" w:color="auto"/>
              <w:left w:val="single" w:sz="4" w:space="0" w:color="auto"/>
              <w:bottom w:val="single" w:sz="4" w:space="0" w:color="auto"/>
              <w:right w:val="single" w:sz="4" w:space="0" w:color="auto"/>
            </w:tcBorders>
            <w:hideMark/>
          </w:tcPr>
          <w:p w:rsidR="00314FCD" w:rsidRPr="00241EB1" w:rsidRDefault="00314FCD" w:rsidP="00B15F81">
            <w:pPr>
              <w:overflowPunct w:val="0"/>
              <w:autoSpaceDE w:val="0"/>
              <w:autoSpaceDN w:val="0"/>
              <w:adjustRightInd w:val="0"/>
              <w:spacing w:line="240" w:lineRule="auto"/>
              <w:ind w:firstLine="0"/>
              <w:jc w:val="right"/>
              <w:rPr>
                <w:rFonts w:eastAsia="Times New Roman" w:cs="Arial"/>
                <w:szCs w:val="20"/>
              </w:rPr>
            </w:pPr>
            <w:r w:rsidRPr="00241EB1">
              <w:rPr>
                <w:rFonts w:eastAsia="Times New Roman" w:cs="Arial"/>
                <w:szCs w:val="20"/>
              </w:rPr>
              <w:t>2 779</w:t>
            </w:r>
          </w:p>
        </w:tc>
      </w:tr>
      <w:tr w:rsidR="00314FCD" w:rsidRPr="00241EB1" w:rsidTr="00B15F81">
        <w:tc>
          <w:tcPr>
            <w:tcW w:w="3397" w:type="dxa"/>
            <w:tcBorders>
              <w:top w:val="single" w:sz="4" w:space="0" w:color="auto"/>
              <w:left w:val="single" w:sz="4" w:space="0" w:color="auto"/>
              <w:bottom w:val="single" w:sz="4" w:space="0" w:color="auto"/>
              <w:right w:val="single" w:sz="4" w:space="0" w:color="auto"/>
            </w:tcBorders>
            <w:hideMark/>
          </w:tcPr>
          <w:p w:rsidR="00314FCD" w:rsidRPr="00241EB1" w:rsidRDefault="00314FCD" w:rsidP="00B15F81">
            <w:pPr>
              <w:overflowPunct w:val="0"/>
              <w:autoSpaceDE w:val="0"/>
              <w:autoSpaceDN w:val="0"/>
              <w:adjustRightInd w:val="0"/>
              <w:spacing w:line="240" w:lineRule="auto"/>
              <w:ind w:firstLine="0"/>
              <w:rPr>
                <w:rFonts w:eastAsia="Times New Roman" w:cs="Arial"/>
                <w:szCs w:val="20"/>
              </w:rPr>
            </w:pPr>
            <w:r w:rsidRPr="00241EB1">
              <w:rPr>
                <w:rFonts w:eastAsia="Times New Roman" w:cs="Arial"/>
                <w:szCs w:val="20"/>
              </w:rPr>
              <w:t xml:space="preserve">garáž </w:t>
            </w:r>
          </w:p>
        </w:tc>
        <w:tc>
          <w:tcPr>
            <w:tcW w:w="1559" w:type="dxa"/>
            <w:tcBorders>
              <w:top w:val="single" w:sz="4" w:space="0" w:color="auto"/>
              <w:left w:val="single" w:sz="4" w:space="0" w:color="auto"/>
              <w:bottom w:val="single" w:sz="4" w:space="0" w:color="auto"/>
              <w:right w:val="single" w:sz="4" w:space="0" w:color="auto"/>
            </w:tcBorders>
            <w:hideMark/>
          </w:tcPr>
          <w:p w:rsidR="00314FCD" w:rsidRPr="00241EB1" w:rsidRDefault="00314FCD" w:rsidP="00B15F81">
            <w:pPr>
              <w:overflowPunct w:val="0"/>
              <w:autoSpaceDE w:val="0"/>
              <w:autoSpaceDN w:val="0"/>
              <w:adjustRightInd w:val="0"/>
              <w:spacing w:line="240" w:lineRule="auto"/>
              <w:ind w:firstLine="0"/>
              <w:jc w:val="right"/>
              <w:rPr>
                <w:rFonts w:eastAsia="Times New Roman" w:cs="Arial"/>
                <w:szCs w:val="20"/>
              </w:rPr>
            </w:pPr>
            <w:r w:rsidRPr="00241EB1">
              <w:rPr>
                <w:rFonts w:eastAsia="Times New Roman" w:cs="Arial"/>
                <w:szCs w:val="20"/>
              </w:rPr>
              <w:t>85 311</w:t>
            </w:r>
          </w:p>
        </w:tc>
      </w:tr>
      <w:tr w:rsidR="00314FCD" w:rsidRPr="00241EB1" w:rsidTr="00B15F81">
        <w:tc>
          <w:tcPr>
            <w:tcW w:w="3397" w:type="dxa"/>
            <w:tcBorders>
              <w:top w:val="single" w:sz="4" w:space="0" w:color="auto"/>
              <w:left w:val="single" w:sz="4" w:space="0" w:color="auto"/>
              <w:bottom w:val="single" w:sz="4" w:space="0" w:color="auto"/>
              <w:right w:val="single" w:sz="4" w:space="0" w:color="auto"/>
            </w:tcBorders>
            <w:hideMark/>
          </w:tcPr>
          <w:p w:rsidR="00314FCD" w:rsidRPr="00241EB1" w:rsidRDefault="00314FCD" w:rsidP="00B15F81">
            <w:pPr>
              <w:overflowPunct w:val="0"/>
              <w:autoSpaceDE w:val="0"/>
              <w:autoSpaceDN w:val="0"/>
              <w:adjustRightInd w:val="0"/>
              <w:spacing w:line="240" w:lineRule="auto"/>
              <w:ind w:firstLine="0"/>
              <w:rPr>
                <w:rFonts w:eastAsia="Times New Roman" w:cs="Arial"/>
                <w:szCs w:val="20"/>
              </w:rPr>
            </w:pPr>
            <w:r w:rsidRPr="00241EB1">
              <w:rPr>
                <w:rFonts w:eastAsia="Times New Roman" w:cs="Arial"/>
                <w:szCs w:val="20"/>
              </w:rPr>
              <w:t>dílna nebo provozovna</w:t>
            </w:r>
          </w:p>
        </w:tc>
        <w:tc>
          <w:tcPr>
            <w:tcW w:w="1559" w:type="dxa"/>
            <w:tcBorders>
              <w:top w:val="single" w:sz="4" w:space="0" w:color="auto"/>
              <w:left w:val="single" w:sz="4" w:space="0" w:color="auto"/>
              <w:bottom w:val="single" w:sz="4" w:space="0" w:color="auto"/>
              <w:right w:val="single" w:sz="4" w:space="0" w:color="auto"/>
            </w:tcBorders>
            <w:hideMark/>
          </w:tcPr>
          <w:p w:rsidR="00314FCD" w:rsidRPr="00241EB1" w:rsidRDefault="00314FCD" w:rsidP="00B15F81">
            <w:pPr>
              <w:overflowPunct w:val="0"/>
              <w:autoSpaceDE w:val="0"/>
              <w:autoSpaceDN w:val="0"/>
              <w:adjustRightInd w:val="0"/>
              <w:spacing w:line="240" w:lineRule="auto"/>
              <w:ind w:firstLine="0"/>
              <w:jc w:val="right"/>
              <w:rPr>
                <w:rFonts w:eastAsia="Times New Roman" w:cs="Arial"/>
                <w:szCs w:val="20"/>
              </w:rPr>
            </w:pPr>
            <w:r w:rsidRPr="00241EB1">
              <w:rPr>
                <w:rFonts w:eastAsia="Times New Roman" w:cs="Arial"/>
                <w:szCs w:val="20"/>
              </w:rPr>
              <w:t>5 495</w:t>
            </w:r>
          </w:p>
        </w:tc>
      </w:tr>
      <w:tr w:rsidR="00314FCD" w:rsidRPr="00241EB1" w:rsidTr="00B15F81">
        <w:tc>
          <w:tcPr>
            <w:tcW w:w="3397" w:type="dxa"/>
            <w:tcBorders>
              <w:top w:val="single" w:sz="4" w:space="0" w:color="auto"/>
              <w:left w:val="single" w:sz="4" w:space="0" w:color="auto"/>
              <w:bottom w:val="single" w:sz="4" w:space="0" w:color="auto"/>
              <w:right w:val="single" w:sz="4" w:space="0" w:color="auto"/>
            </w:tcBorders>
            <w:hideMark/>
          </w:tcPr>
          <w:p w:rsidR="00314FCD" w:rsidRPr="00241EB1" w:rsidRDefault="00314FCD" w:rsidP="00B15F81">
            <w:pPr>
              <w:overflowPunct w:val="0"/>
              <w:autoSpaceDE w:val="0"/>
              <w:autoSpaceDN w:val="0"/>
              <w:adjustRightInd w:val="0"/>
              <w:spacing w:line="240" w:lineRule="auto"/>
              <w:ind w:firstLine="0"/>
              <w:rPr>
                <w:rFonts w:eastAsia="Times New Roman" w:cs="Arial"/>
                <w:szCs w:val="20"/>
              </w:rPr>
            </w:pPr>
            <w:r w:rsidRPr="00241EB1">
              <w:rPr>
                <w:rFonts w:eastAsia="Times New Roman" w:cs="Arial"/>
                <w:szCs w:val="20"/>
              </w:rPr>
              <w:t>jiný nebytový prostor</w:t>
            </w:r>
          </w:p>
        </w:tc>
        <w:tc>
          <w:tcPr>
            <w:tcW w:w="1559" w:type="dxa"/>
            <w:tcBorders>
              <w:top w:val="single" w:sz="4" w:space="0" w:color="auto"/>
              <w:left w:val="single" w:sz="4" w:space="0" w:color="auto"/>
              <w:bottom w:val="single" w:sz="4" w:space="0" w:color="auto"/>
              <w:right w:val="single" w:sz="4" w:space="0" w:color="auto"/>
            </w:tcBorders>
            <w:hideMark/>
          </w:tcPr>
          <w:p w:rsidR="00314FCD" w:rsidRPr="00241EB1" w:rsidRDefault="00314FCD" w:rsidP="00B15F81">
            <w:pPr>
              <w:overflowPunct w:val="0"/>
              <w:autoSpaceDE w:val="0"/>
              <w:autoSpaceDN w:val="0"/>
              <w:adjustRightInd w:val="0"/>
              <w:spacing w:line="240" w:lineRule="auto"/>
              <w:ind w:firstLine="0"/>
              <w:jc w:val="right"/>
              <w:rPr>
                <w:rFonts w:eastAsia="Times New Roman" w:cs="Arial"/>
                <w:szCs w:val="20"/>
              </w:rPr>
            </w:pPr>
            <w:r w:rsidRPr="00241EB1">
              <w:rPr>
                <w:rFonts w:eastAsia="Times New Roman" w:cs="Arial"/>
                <w:szCs w:val="20"/>
              </w:rPr>
              <w:t>63 807</w:t>
            </w:r>
          </w:p>
        </w:tc>
      </w:tr>
      <w:tr w:rsidR="00314FCD" w:rsidRPr="00241EB1" w:rsidTr="00B15F81">
        <w:tc>
          <w:tcPr>
            <w:tcW w:w="3397" w:type="dxa"/>
            <w:tcBorders>
              <w:top w:val="single" w:sz="4" w:space="0" w:color="auto"/>
              <w:left w:val="single" w:sz="4" w:space="0" w:color="auto"/>
              <w:bottom w:val="single" w:sz="4" w:space="0" w:color="auto"/>
              <w:right w:val="single" w:sz="4" w:space="0" w:color="auto"/>
            </w:tcBorders>
            <w:hideMark/>
          </w:tcPr>
          <w:p w:rsidR="00314FCD" w:rsidRPr="00241EB1" w:rsidRDefault="00314FCD" w:rsidP="00B15F81">
            <w:pPr>
              <w:overflowPunct w:val="0"/>
              <w:autoSpaceDE w:val="0"/>
              <w:autoSpaceDN w:val="0"/>
              <w:adjustRightInd w:val="0"/>
              <w:spacing w:line="240" w:lineRule="auto"/>
              <w:ind w:firstLine="0"/>
              <w:rPr>
                <w:rFonts w:eastAsia="Times New Roman" w:cs="Arial"/>
                <w:szCs w:val="20"/>
              </w:rPr>
            </w:pPr>
            <w:r w:rsidRPr="00241EB1">
              <w:rPr>
                <w:rFonts w:eastAsia="Times New Roman" w:cs="Arial"/>
                <w:szCs w:val="20"/>
              </w:rPr>
              <w:t>rozestavěná jednotka</w:t>
            </w:r>
          </w:p>
        </w:tc>
        <w:tc>
          <w:tcPr>
            <w:tcW w:w="1559" w:type="dxa"/>
            <w:tcBorders>
              <w:top w:val="single" w:sz="4" w:space="0" w:color="auto"/>
              <w:left w:val="single" w:sz="4" w:space="0" w:color="auto"/>
              <w:bottom w:val="single" w:sz="4" w:space="0" w:color="auto"/>
              <w:right w:val="single" w:sz="4" w:space="0" w:color="auto"/>
            </w:tcBorders>
            <w:hideMark/>
          </w:tcPr>
          <w:p w:rsidR="00314FCD" w:rsidRPr="00241EB1" w:rsidRDefault="00314FCD" w:rsidP="00B15F81">
            <w:pPr>
              <w:overflowPunct w:val="0"/>
              <w:autoSpaceDE w:val="0"/>
              <w:autoSpaceDN w:val="0"/>
              <w:adjustRightInd w:val="0"/>
              <w:spacing w:line="240" w:lineRule="auto"/>
              <w:ind w:firstLine="0"/>
              <w:jc w:val="right"/>
              <w:rPr>
                <w:rFonts w:eastAsia="Times New Roman" w:cs="Arial"/>
                <w:szCs w:val="20"/>
              </w:rPr>
            </w:pPr>
            <w:r w:rsidRPr="00241EB1">
              <w:rPr>
                <w:rFonts w:eastAsia="Times New Roman" w:cs="Arial"/>
                <w:szCs w:val="20"/>
              </w:rPr>
              <w:t>2 682</w:t>
            </w:r>
          </w:p>
        </w:tc>
      </w:tr>
      <w:tr w:rsidR="00314FCD" w:rsidRPr="00241EB1" w:rsidTr="00B15F81">
        <w:tc>
          <w:tcPr>
            <w:tcW w:w="3397" w:type="dxa"/>
            <w:tcBorders>
              <w:top w:val="single" w:sz="4" w:space="0" w:color="auto"/>
              <w:left w:val="single" w:sz="4" w:space="0" w:color="auto"/>
              <w:bottom w:val="single" w:sz="4" w:space="0" w:color="auto"/>
              <w:right w:val="single" w:sz="4" w:space="0" w:color="auto"/>
            </w:tcBorders>
            <w:hideMark/>
          </w:tcPr>
          <w:p w:rsidR="00314FCD" w:rsidRPr="00241EB1" w:rsidRDefault="00314FCD" w:rsidP="00B15F81">
            <w:pPr>
              <w:overflowPunct w:val="0"/>
              <w:autoSpaceDE w:val="0"/>
              <w:autoSpaceDN w:val="0"/>
              <w:adjustRightInd w:val="0"/>
              <w:spacing w:line="240" w:lineRule="auto"/>
              <w:ind w:firstLine="0"/>
              <w:rPr>
                <w:rFonts w:eastAsia="Times New Roman" w:cs="Arial"/>
                <w:szCs w:val="20"/>
              </w:rPr>
            </w:pPr>
            <w:r w:rsidRPr="00241EB1">
              <w:rPr>
                <w:rFonts w:eastAsia="Times New Roman" w:cs="Arial"/>
                <w:szCs w:val="20"/>
              </w:rPr>
              <w:t xml:space="preserve">skupina nebytových prostorů </w:t>
            </w:r>
          </w:p>
        </w:tc>
        <w:tc>
          <w:tcPr>
            <w:tcW w:w="1559" w:type="dxa"/>
            <w:tcBorders>
              <w:top w:val="single" w:sz="4" w:space="0" w:color="auto"/>
              <w:left w:val="single" w:sz="4" w:space="0" w:color="auto"/>
              <w:bottom w:val="single" w:sz="4" w:space="0" w:color="auto"/>
              <w:right w:val="single" w:sz="4" w:space="0" w:color="auto"/>
            </w:tcBorders>
            <w:hideMark/>
          </w:tcPr>
          <w:p w:rsidR="00314FCD" w:rsidRPr="00241EB1" w:rsidRDefault="00314FCD" w:rsidP="00B15F81">
            <w:pPr>
              <w:overflowPunct w:val="0"/>
              <w:autoSpaceDE w:val="0"/>
              <w:autoSpaceDN w:val="0"/>
              <w:adjustRightInd w:val="0"/>
              <w:spacing w:line="240" w:lineRule="auto"/>
              <w:ind w:firstLine="0"/>
              <w:jc w:val="right"/>
              <w:rPr>
                <w:rFonts w:eastAsia="Times New Roman" w:cs="Arial"/>
                <w:szCs w:val="20"/>
              </w:rPr>
            </w:pPr>
            <w:r w:rsidRPr="00241EB1">
              <w:rPr>
                <w:rFonts w:eastAsia="Times New Roman" w:cs="Arial"/>
                <w:szCs w:val="20"/>
              </w:rPr>
              <w:t>1</w:t>
            </w:r>
          </w:p>
        </w:tc>
      </w:tr>
    </w:tbl>
    <w:p w:rsidR="00314FCD" w:rsidRDefault="00314FCD" w:rsidP="00314FCD">
      <w:pPr>
        <w:spacing w:line="240" w:lineRule="auto"/>
      </w:pPr>
    </w:p>
    <w:p w:rsidR="00314FCD" w:rsidRPr="00241EB1" w:rsidRDefault="00314FCD" w:rsidP="00314FCD">
      <w:pPr>
        <w:pStyle w:val="Zkladntextodsazen"/>
        <w:spacing w:line="360" w:lineRule="auto"/>
        <w:ind w:left="0"/>
        <w:rPr>
          <w:rFonts w:ascii="Garamond" w:hAnsi="Garamond" w:cs="Arial"/>
        </w:rPr>
      </w:pPr>
      <w:r w:rsidRPr="00241EB1">
        <w:rPr>
          <w:rFonts w:ascii="Garamond" w:hAnsi="Garamond" w:cs="Arial"/>
        </w:rPr>
        <w:t xml:space="preserve">Počet bytových jednotek v ČR zapsaných v katastru nemovitostí vedených v režimu </w:t>
      </w:r>
      <w:r w:rsidR="004445D6">
        <w:rPr>
          <w:rFonts w:ascii="Garamond" w:hAnsi="Garamond" w:cs="Arial"/>
        </w:rPr>
        <w:t>NOZ</w:t>
      </w:r>
      <w:r w:rsidRPr="00241EB1">
        <w:rPr>
          <w:rFonts w:ascii="Garamond" w:hAnsi="Garamond" w:cs="Arial"/>
        </w:rPr>
        <w:t>, a to k 1. 1. 2018</w:t>
      </w:r>
      <w:r>
        <w:rPr>
          <w:rFonts w:ascii="Garamond" w:hAnsi="Garamond" w:cs="Arial"/>
        </w:rPr>
        <w:t>:</w:t>
      </w:r>
    </w:p>
    <w:p w:rsidR="00314FCD" w:rsidRPr="00241EB1" w:rsidRDefault="00314FCD" w:rsidP="00314FCD">
      <w:pPr>
        <w:pStyle w:val="Zkladntextodsazen"/>
        <w:ind w:left="0"/>
        <w:rPr>
          <w:rFonts w:ascii="Garamond" w:hAnsi="Garamond" w:cs="Arial"/>
        </w:rPr>
      </w:pPr>
    </w:p>
    <w:tbl>
      <w:tblPr>
        <w:tblStyle w:val="Mkatabulky"/>
        <w:tblW w:w="0" w:type="auto"/>
        <w:tblInd w:w="988" w:type="dxa"/>
        <w:tblLook w:val="04A0" w:firstRow="1" w:lastRow="0" w:firstColumn="1" w:lastColumn="0" w:noHBand="0" w:noVBand="1"/>
      </w:tblPr>
      <w:tblGrid>
        <w:gridCol w:w="3397"/>
        <w:gridCol w:w="1559"/>
      </w:tblGrid>
      <w:tr w:rsidR="00314FCD" w:rsidRPr="00241EB1" w:rsidTr="00B15F81">
        <w:tc>
          <w:tcPr>
            <w:tcW w:w="3397" w:type="dxa"/>
            <w:tcBorders>
              <w:top w:val="single" w:sz="4" w:space="0" w:color="auto"/>
              <w:left w:val="single" w:sz="4" w:space="0" w:color="auto"/>
              <w:bottom w:val="single" w:sz="4" w:space="0" w:color="auto"/>
              <w:right w:val="single" w:sz="4" w:space="0" w:color="auto"/>
            </w:tcBorders>
            <w:hideMark/>
          </w:tcPr>
          <w:p w:rsidR="00314FCD" w:rsidRPr="00241EB1" w:rsidRDefault="00314FCD" w:rsidP="00B15F81">
            <w:pPr>
              <w:pStyle w:val="Zkladntextodsazen"/>
              <w:ind w:left="0"/>
              <w:rPr>
                <w:rFonts w:ascii="Garamond" w:hAnsi="Garamond" w:cs="Arial"/>
                <w:lang w:eastAsia="en-US"/>
              </w:rPr>
            </w:pPr>
            <w:r w:rsidRPr="00241EB1">
              <w:rPr>
                <w:rFonts w:ascii="Garamond" w:hAnsi="Garamond" w:cs="Arial"/>
                <w:lang w:eastAsia="en-US"/>
              </w:rPr>
              <w:t>způsob využití</w:t>
            </w:r>
          </w:p>
        </w:tc>
        <w:tc>
          <w:tcPr>
            <w:tcW w:w="1559" w:type="dxa"/>
            <w:tcBorders>
              <w:top w:val="single" w:sz="4" w:space="0" w:color="auto"/>
              <w:left w:val="single" w:sz="4" w:space="0" w:color="auto"/>
              <w:bottom w:val="single" w:sz="4" w:space="0" w:color="auto"/>
              <w:right w:val="single" w:sz="4" w:space="0" w:color="auto"/>
            </w:tcBorders>
            <w:hideMark/>
          </w:tcPr>
          <w:p w:rsidR="00314FCD" w:rsidRPr="00241EB1" w:rsidRDefault="00314FCD" w:rsidP="00B15F81">
            <w:pPr>
              <w:pStyle w:val="Zkladntextodsazen"/>
              <w:ind w:left="0"/>
              <w:jc w:val="right"/>
              <w:rPr>
                <w:rFonts w:ascii="Garamond" w:hAnsi="Garamond" w:cs="Arial"/>
                <w:lang w:eastAsia="en-US"/>
              </w:rPr>
            </w:pPr>
            <w:r w:rsidRPr="00241EB1">
              <w:rPr>
                <w:rFonts w:ascii="Garamond" w:hAnsi="Garamond" w:cs="Arial"/>
                <w:lang w:eastAsia="en-US"/>
              </w:rPr>
              <w:t xml:space="preserve">počet </w:t>
            </w:r>
          </w:p>
        </w:tc>
      </w:tr>
      <w:tr w:rsidR="00314FCD" w:rsidRPr="00241EB1" w:rsidTr="00B15F81">
        <w:tc>
          <w:tcPr>
            <w:tcW w:w="3397" w:type="dxa"/>
            <w:tcBorders>
              <w:top w:val="single" w:sz="4" w:space="0" w:color="auto"/>
              <w:left w:val="single" w:sz="4" w:space="0" w:color="auto"/>
              <w:bottom w:val="single" w:sz="4" w:space="0" w:color="auto"/>
              <w:right w:val="single" w:sz="4" w:space="0" w:color="auto"/>
            </w:tcBorders>
            <w:hideMark/>
          </w:tcPr>
          <w:p w:rsidR="00314FCD" w:rsidRPr="00241EB1" w:rsidRDefault="00314FCD" w:rsidP="00B15F81">
            <w:pPr>
              <w:pStyle w:val="Zkladntextodsazen"/>
              <w:ind w:left="0"/>
              <w:rPr>
                <w:rFonts w:ascii="Garamond" w:hAnsi="Garamond" w:cs="Arial"/>
                <w:lang w:eastAsia="en-US"/>
              </w:rPr>
            </w:pPr>
            <w:r w:rsidRPr="00241EB1">
              <w:rPr>
                <w:rFonts w:ascii="Garamond" w:hAnsi="Garamond" w:cs="Arial"/>
                <w:lang w:eastAsia="en-US"/>
              </w:rPr>
              <w:t xml:space="preserve">byt </w:t>
            </w:r>
          </w:p>
        </w:tc>
        <w:tc>
          <w:tcPr>
            <w:tcW w:w="1559" w:type="dxa"/>
            <w:tcBorders>
              <w:top w:val="single" w:sz="4" w:space="0" w:color="auto"/>
              <w:left w:val="single" w:sz="4" w:space="0" w:color="auto"/>
              <w:bottom w:val="single" w:sz="4" w:space="0" w:color="auto"/>
              <w:right w:val="single" w:sz="4" w:space="0" w:color="auto"/>
            </w:tcBorders>
            <w:hideMark/>
          </w:tcPr>
          <w:p w:rsidR="00314FCD" w:rsidRPr="00241EB1" w:rsidRDefault="00314FCD" w:rsidP="00B15F81">
            <w:pPr>
              <w:pStyle w:val="Zkladntextodsazen"/>
              <w:ind w:left="0"/>
              <w:jc w:val="right"/>
              <w:rPr>
                <w:rFonts w:ascii="Garamond" w:hAnsi="Garamond" w:cs="Arial"/>
                <w:lang w:eastAsia="en-US"/>
              </w:rPr>
            </w:pPr>
            <w:r w:rsidRPr="00241EB1">
              <w:rPr>
                <w:rFonts w:ascii="Garamond" w:hAnsi="Garamond" w:cs="Arial"/>
                <w:lang w:eastAsia="en-US"/>
              </w:rPr>
              <w:t>90 399</w:t>
            </w:r>
          </w:p>
        </w:tc>
      </w:tr>
      <w:tr w:rsidR="00314FCD" w:rsidRPr="00241EB1" w:rsidTr="00B15F81">
        <w:tc>
          <w:tcPr>
            <w:tcW w:w="3397" w:type="dxa"/>
            <w:tcBorders>
              <w:top w:val="single" w:sz="4" w:space="0" w:color="auto"/>
              <w:left w:val="single" w:sz="4" w:space="0" w:color="auto"/>
              <w:bottom w:val="single" w:sz="4" w:space="0" w:color="auto"/>
              <w:right w:val="single" w:sz="4" w:space="0" w:color="auto"/>
            </w:tcBorders>
            <w:hideMark/>
          </w:tcPr>
          <w:p w:rsidR="00314FCD" w:rsidRPr="00241EB1" w:rsidRDefault="00314FCD" w:rsidP="00B15F81">
            <w:pPr>
              <w:pStyle w:val="Zkladntextodsazen"/>
              <w:ind w:left="0"/>
              <w:rPr>
                <w:rFonts w:ascii="Garamond" w:hAnsi="Garamond" w:cs="Arial"/>
                <w:lang w:eastAsia="en-US"/>
              </w:rPr>
            </w:pPr>
            <w:r w:rsidRPr="00241EB1">
              <w:rPr>
                <w:rFonts w:ascii="Garamond" w:hAnsi="Garamond" w:cs="Arial"/>
                <w:lang w:eastAsia="en-US"/>
              </w:rPr>
              <w:t xml:space="preserve">ateliér </w:t>
            </w:r>
          </w:p>
        </w:tc>
        <w:tc>
          <w:tcPr>
            <w:tcW w:w="1559" w:type="dxa"/>
            <w:tcBorders>
              <w:top w:val="single" w:sz="4" w:space="0" w:color="auto"/>
              <w:left w:val="single" w:sz="4" w:space="0" w:color="auto"/>
              <w:bottom w:val="single" w:sz="4" w:space="0" w:color="auto"/>
              <w:right w:val="single" w:sz="4" w:space="0" w:color="auto"/>
            </w:tcBorders>
            <w:hideMark/>
          </w:tcPr>
          <w:p w:rsidR="00314FCD" w:rsidRPr="00241EB1" w:rsidRDefault="00314FCD" w:rsidP="00B15F81">
            <w:pPr>
              <w:pStyle w:val="Zkladntextodsazen"/>
              <w:ind w:left="0"/>
              <w:jc w:val="right"/>
              <w:rPr>
                <w:rFonts w:ascii="Garamond" w:hAnsi="Garamond" w:cs="Arial"/>
                <w:lang w:eastAsia="en-US"/>
              </w:rPr>
            </w:pPr>
            <w:r w:rsidRPr="00241EB1">
              <w:rPr>
                <w:rFonts w:ascii="Garamond" w:hAnsi="Garamond" w:cs="Arial"/>
                <w:lang w:eastAsia="en-US"/>
              </w:rPr>
              <w:t>1 262</w:t>
            </w:r>
          </w:p>
        </w:tc>
      </w:tr>
      <w:tr w:rsidR="00314FCD" w:rsidRPr="00241EB1" w:rsidTr="00B15F81">
        <w:tc>
          <w:tcPr>
            <w:tcW w:w="3397" w:type="dxa"/>
            <w:tcBorders>
              <w:top w:val="single" w:sz="4" w:space="0" w:color="auto"/>
              <w:left w:val="single" w:sz="4" w:space="0" w:color="auto"/>
              <w:bottom w:val="single" w:sz="4" w:space="0" w:color="auto"/>
              <w:right w:val="single" w:sz="4" w:space="0" w:color="auto"/>
            </w:tcBorders>
            <w:hideMark/>
          </w:tcPr>
          <w:p w:rsidR="00314FCD" w:rsidRPr="00241EB1" w:rsidRDefault="00314FCD" w:rsidP="00B15F81">
            <w:pPr>
              <w:pStyle w:val="Zkladntextodsazen"/>
              <w:ind w:left="0"/>
              <w:rPr>
                <w:rFonts w:ascii="Garamond" w:hAnsi="Garamond" w:cs="Arial"/>
                <w:lang w:eastAsia="en-US"/>
              </w:rPr>
            </w:pPr>
            <w:r w:rsidRPr="00241EB1">
              <w:rPr>
                <w:rFonts w:ascii="Garamond" w:hAnsi="Garamond" w:cs="Arial"/>
                <w:lang w:eastAsia="en-US"/>
              </w:rPr>
              <w:t xml:space="preserve">garáž </w:t>
            </w:r>
          </w:p>
        </w:tc>
        <w:tc>
          <w:tcPr>
            <w:tcW w:w="1559" w:type="dxa"/>
            <w:tcBorders>
              <w:top w:val="single" w:sz="4" w:space="0" w:color="auto"/>
              <w:left w:val="single" w:sz="4" w:space="0" w:color="auto"/>
              <w:bottom w:val="single" w:sz="4" w:space="0" w:color="auto"/>
              <w:right w:val="single" w:sz="4" w:space="0" w:color="auto"/>
            </w:tcBorders>
            <w:hideMark/>
          </w:tcPr>
          <w:p w:rsidR="00314FCD" w:rsidRPr="00241EB1" w:rsidRDefault="00314FCD" w:rsidP="00B15F81">
            <w:pPr>
              <w:pStyle w:val="Zkladntextodsazen"/>
              <w:ind w:left="0"/>
              <w:jc w:val="right"/>
              <w:rPr>
                <w:rFonts w:ascii="Garamond" w:hAnsi="Garamond" w:cs="Arial"/>
                <w:lang w:eastAsia="en-US"/>
              </w:rPr>
            </w:pPr>
            <w:r w:rsidRPr="00241EB1">
              <w:rPr>
                <w:rFonts w:ascii="Garamond" w:hAnsi="Garamond" w:cs="Arial"/>
                <w:lang w:eastAsia="en-US"/>
              </w:rPr>
              <w:t>3 313</w:t>
            </w:r>
          </w:p>
        </w:tc>
      </w:tr>
      <w:tr w:rsidR="00314FCD" w:rsidRPr="00241EB1" w:rsidTr="00B15F81">
        <w:tc>
          <w:tcPr>
            <w:tcW w:w="3397" w:type="dxa"/>
            <w:tcBorders>
              <w:top w:val="single" w:sz="4" w:space="0" w:color="auto"/>
              <w:left w:val="single" w:sz="4" w:space="0" w:color="auto"/>
              <w:bottom w:val="single" w:sz="4" w:space="0" w:color="auto"/>
              <w:right w:val="single" w:sz="4" w:space="0" w:color="auto"/>
            </w:tcBorders>
            <w:hideMark/>
          </w:tcPr>
          <w:p w:rsidR="00314FCD" w:rsidRPr="00241EB1" w:rsidRDefault="00314FCD" w:rsidP="00B15F81">
            <w:pPr>
              <w:pStyle w:val="Zkladntextodsazen"/>
              <w:ind w:left="0"/>
              <w:rPr>
                <w:rFonts w:ascii="Garamond" w:hAnsi="Garamond" w:cs="Arial"/>
                <w:lang w:eastAsia="en-US"/>
              </w:rPr>
            </w:pPr>
            <w:r w:rsidRPr="00241EB1">
              <w:rPr>
                <w:rFonts w:ascii="Garamond" w:hAnsi="Garamond" w:cs="Arial"/>
                <w:lang w:eastAsia="en-US"/>
              </w:rPr>
              <w:t>dílna nebo provozovna</w:t>
            </w:r>
          </w:p>
        </w:tc>
        <w:tc>
          <w:tcPr>
            <w:tcW w:w="1559" w:type="dxa"/>
            <w:tcBorders>
              <w:top w:val="single" w:sz="4" w:space="0" w:color="auto"/>
              <w:left w:val="single" w:sz="4" w:space="0" w:color="auto"/>
              <w:bottom w:val="single" w:sz="4" w:space="0" w:color="auto"/>
              <w:right w:val="single" w:sz="4" w:space="0" w:color="auto"/>
            </w:tcBorders>
            <w:hideMark/>
          </w:tcPr>
          <w:p w:rsidR="00314FCD" w:rsidRPr="00241EB1" w:rsidRDefault="00314FCD" w:rsidP="00B15F81">
            <w:pPr>
              <w:pStyle w:val="Zkladntextodsazen"/>
              <w:ind w:left="0"/>
              <w:jc w:val="right"/>
              <w:rPr>
                <w:rFonts w:ascii="Garamond" w:hAnsi="Garamond" w:cs="Arial"/>
                <w:lang w:eastAsia="en-US"/>
              </w:rPr>
            </w:pPr>
            <w:r w:rsidRPr="00241EB1">
              <w:rPr>
                <w:rFonts w:ascii="Garamond" w:hAnsi="Garamond" w:cs="Arial"/>
                <w:lang w:eastAsia="en-US"/>
              </w:rPr>
              <w:t>669</w:t>
            </w:r>
          </w:p>
        </w:tc>
      </w:tr>
      <w:tr w:rsidR="00314FCD" w:rsidRPr="00241EB1" w:rsidTr="00B15F81">
        <w:tc>
          <w:tcPr>
            <w:tcW w:w="3397" w:type="dxa"/>
            <w:tcBorders>
              <w:top w:val="single" w:sz="4" w:space="0" w:color="auto"/>
              <w:left w:val="single" w:sz="4" w:space="0" w:color="auto"/>
              <w:bottom w:val="single" w:sz="4" w:space="0" w:color="auto"/>
              <w:right w:val="single" w:sz="4" w:space="0" w:color="auto"/>
            </w:tcBorders>
            <w:hideMark/>
          </w:tcPr>
          <w:p w:rsidR="00314FCD" w:rsidRPr="00241EB1" w:rsidRDefault="00314FCD" w:rsidP="00B15F81">
            <w:pPr>
              <w:pStyle w:val="Zkladntextodsazen"/>
              <w:ind w:left="0"/>
              <w:rPr>
                <w:rFonts w:ascii="Garamond" w:hAnsi="Garamond" w:cs="Arial"/>
                <w:lang w:eastAsia="en-US"/>
              </w:rPr>
            </w:pPr>
            <w:r w:rsidRPr="00241EB1">
              <w:rPr>
                <w:rFonts w:ascii="Garamond" w:hAnsi="Garamond" w:cs="Arial"/>
                <w:lang w:eastAsia="en-US"/>
              </w:rPr>
              <w:t>jiný nebytový prostor</w:t>
            </w:r>
          </w:p>
        </w:tc>
        <w:tc>
          <w:tcPr>
            <w:tcW w:w="1559" w:type="dxa"/>
            <w:tcBorders>
              <w:top w:val="single" w:sz="4" w:space="0" w:color="auto"/>
              <w:left w:val="single" w:sz="4" w:space="0" w:color="auto"/>
              <w:bottom w:val="single" w:sz="4" w:space="0" w:color="auto"/>
              <w:right w:val="single" w:sz="4" w:space="0" w:color="auto"/>
            </w:tcBorders>
            <w:hideMark/>
          </w:tcPr>
          <w:p w:rsidR="00314FCD" w:rsidRPr="00241EB1" w:rsidRDefault="00314FCD" w:rsidP="00B15F81">
            <w:pPr>
              <w:pStyle w:val="Zkladntextodsazen"/>
              <w:ind w:left="0"/>
              <w:jc w:val="right"/>
              <w:rPr>
                <w:rFonts w:ascii="Garamond" w:hAnsi="Garamond" w:cs="Arial"/>
                <w:lang w:eastAsia="en-US"/>
              </w:rPr>
            </w:pPr>
            <w:r w:rsidRPr="00241EB1">
              <w:rPr>
                <w:rFonts w:ascii="Garamond" w:hAnsi="Garamond" w:cs="Arial"/>
                <w:lang w:eastAsia="en-US"/>
              </w:rPr>
              <w:t>11 012</w:t>
            </w:r>
          </w:p>
        </w:tc>
      </w:tr>
      <w:tr w:rsidR="00314FCD" w:rsidRPr="00241EB1" w:rsidTr="00B15F81">
        <w:tc>
          <w:tcPr>
            <w:tcW w:w="3397" w:type="dxa"/>
            <w:tcBorders>
              <w:top w:val="single" w:sz="4" w:space="0" w:color="auto"/>
              <w:left w:val="single" w:sz="4" w:space="0" w:color="auto"/>
              <w:bottom w:val="single" w:sz="4" w:space="0" w:color="auto"/>
              <w:right w:val="single" w:sz="4" w:space="0" w:color="auto"/>
            </w:tcBorders>
            <w:hideMark/>
          </w:tcPr>
          <w:p w:rsidR="00314FCD" w:rsidRPr="00241EB1" w:rsidRDefault="00314FCD" w:rsidP="00B15F81">
            <w:pPr>
              <w:pStyle w:val="Zkladntextodsazen"/>
              <w:ind w:left="0"/>
              <w:rPr>
                <w:rFonts w:ascii="Garamond" w:hAnsi="Garamond" w:cs="Arial"/>
                <w:lang w:eastAsia="en-US"/>
              </w:rPr>
            </w:pPr>
            <w:r w:rsidRPr="00241EB1">
              <w:rPr>
                <w:rFonts w:ascii="Garamond" w:hAnsi="Garamond" w:cs="Arial"/>
                <w:lang w:eastAsia="en-US"/>
              </w:rPr>
              <w:t>rozestavěná jednotka</w:t>
            </w:r>
          </w:p>
        </w:tc>
        <w:tc>
          <w:tcPr>
            <w:tcW w:w="1559" w:type="dxa"/>
            <w:tcBorders>
              <w:top w:val="single" w:sz="4" w:space="0" w:color="auto"/>
              <w:left w:val="single" w:sz="4" w:space="0" w:color="auto"/>
              <w:bottom w:val="single" w:sz="4" w:space="0" w:color="auto"/>
              <w:right w:val="single" w:sz="4" w:space="0" w:color="auto"/>
            </w:tcBorders>
            <w:hideMark/>
          </w:tcPr>
          <w:p w:rsidR="00314FCD" w:rsidRPr="00241EB1" w:rsidRDefault="00314FCD" w:rsidP="00B15F81">
            <w:pPr>
              <w:pStyle w:val="Zkladntextodsazen"/>
              <w:ind w:left="0"/>
              <w:jc w:val="right"/>
              <w:rPr>
                <w:rFonts w:ascii="Garamond" w:hAnsi="Garamond" w:cs="Arial"/>
                <w:lang w:eastAsia="en-US"/>
              </w:rPr>
            </w:pPr>
            <w:r w:rsidRPr="00241EB1">
              <w:rPr>
                <w:rFonts w:ascii="Garamond" w:hAnsi="Garamond" w:cs="Arial"/>
                <w:lang w:eastAsia="en-US"/>
              </w:rPr>
              <w:t>5 635</w:t>
            </w:r>
          </w:p>
        </w:tc>
      </w:tr>
      <w:tr w:rsidR="00314FCD" w:rsidRPr="00241EB1" w:rsidTr="00B15F81">
        <w:tc>
          <w:tcPr>
            <w:tcW w:w="3397" w:type="dxa"/>
            <w:tcBorders>
              <w:top w:val="single" w:sz="4" w:space="0" w:color="auto"/>
              <w:left w:val="single" w:sz="4" w:space="0" w:color="auto"/>
              <w:bottom w:val="single" w:sz="4" w:space="0" w:color="auto"/>
              <w:right w:val="single" w:sz="4" w:space="0" w:color="auto"/>
            </w:tcBorders>
            <w:hideMark/>
          </w:tcPr>
          <w:p w:rsidR="00314FCD" w:rsidRPr="00241EB1" w:rsidRDefault="00314FCD" w:rsidP="00B15F81">
            <w:pPr>
              <w:pStyle w:val="Zkladntextodsazen"/>
              <w:ind w:left="0"/>
              <w:rPr>
                <w:rFonts w:ascii="Garamond" w:hAnsi="Garamond" w:cs="Arial"/>
                <w:lang w:eastAsia="en-US"/>
              </w:rPr>
            </w:pPr>
            <w:r w:rsidRPr="00241EB1">
              <w:rPr>
                <w:rFonts w:ascii="Garamond" w:hAnsi="Garamond" w:cs="Arial"/>
                <w:lang w:eastAsia="en-US"/>
              </w:rPr>
              <w:t xml:space="preserve">skupina bytů </w:t>
            </w:r>
          </w:p>
        </w:tc>
        <w:tc>
          <w:tcPr>
            <w:tcW w:w="1559" w:type="dxa"/>
            <w:tcBorders>
              <w:top w:val="single" w:sz="4" w:space="0" w:color="auto"/>
              <w:left w:val="single" w:sz="4" w:space="0" w:color="auto"/>
              <w:bottom w:val="single" w:sz="4" w:space="0" w:color="auto"/>
              <w:right w:val="single" w:sz="4" w:space="0" w:color="auto"/>
            </w:tcBorders>
            <w:hideMark/>
          </w:tcPr>
          <w:p w:rsidR="00314FCD" w:rsidRPr="00241EB1" w:rsidRDefault="00314FCD" w:rsidP="00B15F81">
            <w:pPr>
              <w:pStyle w:val="Zkladntextodsazen"/>
              <w:ind w:left="0"/>
              <w:jc w:val="right"/>
              <w:rPr>
                <w:rFonts w:ascii="Garamond" w:hAnsi="Garamond" w:cs="Arial"/>
                <w:lang w:eastAsia="en-US"/>
              </w:rPr>
            </w:pPr>
            <w:r w:rsidRPr="00241EB1">
              <w:rPr>
                <w:rFonts w:ascii="Garamond" w:hAnsi="Garamond" w:cs="Arial"/>
                <w:lang w:eastAsia="en-US"/>
              </w:rPr>
              <w:t>40</w:t>
            </w:r>
          </w:p>
        </w:tc>
      </w:tr>
      <w:tr w:rsidR="00314FCD" w:rsidRPr="00241EB1" w:rsidTr="00B15F81">
        <w:tc>
          <w:tcPr>
            <w:tcW w:w="3397" w:type="dxa"/>
            <w:tcBorders>
              <w:top w:val="single" w:sz="4" w:space="0" w:color="auto"/>
              <w:left w:val="single" w:sz="4" w:space="0" w:color="auto"/>
              <w:bottom w:val="single" w:sz="4" w:space="0" w:color="auto"/>
              <w:right w:val="single" w:sz="4" w:space="0" w:color="auto"/>
            </w:tcBorders>
            <w:hideMark/>
          </w:tcPr>
          <w:p w:rsidR="00314FCD" w:rsidRPr="00241EB1" w:rsidRDefault="00314FCD" w:rsidP="00B15F81">
            <w:pPr>
              <w:pStyle w:val="Zkladntextodsazen"/>
              <w:ind w:left="0"/>
              <w:rPr>
                <w:rFonts w:ascii="Garamond" w:hAnsi="Garamond" w:cs="Arial"/>
                <w:lang w:eastAsia="en-US"/>
              </w:rPr>
            </w:pPr>
            <w:r w:rsidRPr="00241EB1">
              <w:rPr>
                <w:rFonts w:ascii="Garamond" w:hAnsi="Garamond" w:cs="Arial"/>
                <w:lang w:eastAsia="en-US"/>
              </w:rPr>
              <w:t xml:space="preserve">skupina nebytových prostorů </w:t>
            </w:r>
          </w:p>
        </w:tc>
        <w:tc>
          <w:tcPr>
            <w:tcW w:w="1559" w:type="dxa"/>
            <w:tcBorders>
              <w:top w:val="single" w:sz="4" w:space="0" w:color="auto"/>
              <w:left w:val="single" w:sz="4" w:space="0" w:color="auto"/>
              <w:bottom w:val="single" w:sz="4" w:space="0" w:color="auto"/>
              <w:right w:val="single" w:sz="4" w:space="0" w:color="auto"/>
            </w:tcBorders>
            <w:hideMark/>
          </w:tcPr>
          <w:p w:rsidR="00314FCD" w:rsidRPr="00241EB1" w:rsidRDefault="00314FCD" w:rsidP="00B15F81">
            <w:pPr>
              <w:pStyle w:val="Zkladntextodsazen"/>
              <w:ind w:left="0"/>
              <w:jc w:val="right"/>
              <w:rPr>
                <w:rFonts w:ascii="Garamond" w:hAnsi="Garamond" w:cs="Arial"/>
                <w:lang w:eastAsia="en-US"/>
              </w:rPr>
            </w:pPr>
            <w:r w:rsidRPr="00241EB1">
              <w:rPr>
                <w:rFonts w:ascii="Garamond" w:hAnsi="Garamond" w:cs="Arial"/>
                <w:lang w:eastAsia="en-US"/>
              </w:rPr>
              <w:t>60</w:t>
            </w:r>
          </w:p>
        </w:tc>
      </w:tr>
      <w:tr w:rsidR="00314FCD" w:rsidRPr="00241EB1" w:rsidTr="00B15F81">
        <w:tc>
          <w:tcPr>
            <w:tcW w:w="3397" w:type="dxa"/>
            <w:tcBorders>
              <w:top w:val="single" w:sz="4" w:space="0" w:color="auto"/>
              <w:left w:val="single" w:sz="4" w:space="0" w:color="auto"/>
              <w:bottom w:val="single" w:sz="4" w:space="0" w:color="auto"/>
              <w:right w:val="single" w:sz="4" w:space="0" w:color="auto"/>
            </w:tcBorders>
            <w:hideMark/>
          </w:tcPr>
          <w:p w:rsidR="00314FCD" w:rsidRPr="00241EB1" w:rsidRDefault="00314FCD" w:rsidP="00B15F81">
            <w:pPr>
              <w:pStyle w:val="Zkladntextodsazen"/>
              <w:ind w:left="0"/>
              <w:rPr>
                <w:rFonts w:ascii="Garamond" w:hAnsi="Garamond" w:cs="Arial"/>
                <w:lang w:eastAsia="en-US"/>
              </w:rPr>
            </w:pPr>
            <w:r w:rsidRPr="00241EB1">
              <w:rPr>
                <w:rFonts w:ascii="Garamond" w:hAnsi="Garamond" w:cs="Arial"/>
                <w:lang w:eastAsia="en-US"/>
              </w:rPr>
              <w:t>skupina bytů a nebytových</w:t>
            </w:r>
          </w:p>
          <w:p w:rsidR="00314FCD" w:rsidRPr="00241EB1" w:rsidRDefault="00314FCD" w:rsidP="00B15F81">
            <w:pPr>
              <w:pStyle w:val="Zkladntextodsazen"/>
              <w:ind w:left="0"/>
              <w:rPr>
                <w:rFonts w:ascii="Garamond" w:hAnsi="Garamond" w:cs="Arial"/>
                <w:lang w:eastAsia="en-US"/>
              </w:rPr>
            </w:pPr>
            <w:r w:rsidRPr="00241EB1">
              <w:rPr>
                <w:rFonts w:ascii="Garamond" w:hAnsi="Garamond" w:cs="Arial"/>
                <w:lang w:eastAsia="en-US"/>
              </w:rPr>
              <w:t xml:space="preserve">prostorů </w:t>
            </w:r>
          </w:p>
        </w:tc>
        <w:tc>
          <w:tcPr>
            <w:tcW w:w="1559" w:type="dxa"/>
            <w:tcBorders>
              <w:top w:val="single" w:sz="4" w:space="0" w:color="auto"/>
              <w:left w:val="single" w:sz="4" w:space="0" w:color="auto"/>
              <w:bottom w:val="single" w:sz="4" w:space="0" w:color="auto"/>
              <w:right w:val="single" w:sz="4" w:space="0" w:color="auto"/>
            </w:tcBorders>
            <w:hideMark/>
          </w:tcPr>
          <w:p w:rsidR="00314FCD" w:rsidRPr="00241EB1" w:rsidRDefault="00314FCD" w:rsidP="00B15F81">
            <w:pPr>
              <w:pStyle w:val="Zkladntextodsazen"/>
              <w:ind w:left="0"/>
              <w:jc w:val="right"/>
              <w:rPr>
                <w:rFonts w:ascii="Garamond" w:hAnsi="Garamond" w:cs="Arial"/>
                <w:lang w:eastAsia="en-US"/>
              </w:rPr>
            </w:pPr>
            <w:r w:rsidRPr="00241EB1">
              <w:rPr>
                <w:rFonts w:ascii="Garamond" w:hAnsi="Garamond" w:cs="Arial"/>
                <w:lang w:eastAsia="en-US"/>
              </w:rPr>
              <w:t>164</w:t>
            </w:r>
          </w:p>
        </w:tc>
      </w:tr>
    </w:tbl>
    <w:p w:rsidR="00314FCD" w:rsidRPr="00241EB1" w:rsidRDefault="00314FCD" w:rsidP="00314FCD">
      <w:pPr>
        <w:spacing w:line="240" w:lineRule="auto"/>
        <w:rPr>
          <w:sz w:val="28"/>
        </w:rPr>
      </w:pPr>
    </w:p>
    <w:p w:rsidR="00314FCD" w:rsidRPr="00BB23C7" w:rsidRDefault="00314FCD" w:rsidP="00314FCD">
      <w:pPr>
        <w:ind w:firstLine="708"/>
        <w:rPr>
          <w:rFonts w:ascii="Calibri" w:eastAsia="Times New Roman" w:hAnsi="Calibri" w:cs="Calibri"/>
          <w:color w:val="000000"/>
          <w:sz w:val="22"/>
          <w:lang w:eastAsia="cs-CZ"/>
        </w:rPr>
      </w:pPr>
      <w:r>
        <w:t xml:space="preserve">Z čísel poskytnutých ČÚZK je patrné, že po třech letech účinnosti NOZ jsou počty jednotek stále velmi nevyrovnané. V režimu zákona o vlastnictví bytů je celkem vedeno </w:t>
      </w:r>
      <w:r w:rsidRPr="00BB23C7">
        <w:rPr>
          <w:rFonts w:eastAsia="Times New Roman" w:cs="Calibri"/>
          <w:color w:val="000000"/>
          <w:lang w:eastAsia="cs-CZ"/>
        </w:rPr>
        <w:t xml:space="preserve">1 891 399 </w:t>
      </w:r>
      <w:r w:rsidRPr="00BB23C7">
        <w:rPr>
          <w:rFonts w:eastAsia="Times New Roman" w:cs="Calibri"/>
          <w:color w:val="000000"/>
          <w:lang w:eastAsia="cs-CZ"/>
        </w:rPr>
        <w:lastRenderedPageBreak/>
        <w:t>jednotek</w:t>
      </w:r>
      <w:r>
        <w:rPr>
          <w:rFonts w:eastAsia="Times New Roman" w:cs="Calibri"/>
          <w:color w:val="000000"/>
          <w:lang w:eastAsia="cs-CZ"/>
        </w:rPr>
        <w:t xml:space="preserve">. V režimu nového občanského zákoníku je to pouhých </w:t>
      </w:r>
      <w:r w:rsidRPr="00BB23C7">
        <w:rPr>
          <w:rFonts w:eastAsia="Times New Roman" w:cs="Calibri"/>
          <w:color w:val="000000"/>
          <w:lang w:eastAsia="cs-CZ"/>
        </w:rPr>
        <w:t>112</w:t>
      </w:r>
      <w:r>
        <w:rPr>
          <w:rFonts w:eastAsia="Times New Roman" w:cs="Calibri"/>
          <w:color w:val="000000"/>
          <w:lang w:eastAsia="cs-CZ"/>
        </w:rPr>
        <w:t> </w:t>
      </w:r>
      <w:r w:rsidRPr="00BB23C7">
        <w:rPr>
          <w:rFonts w:eastAsia="Times New Roman" w:cs="Calibri"/>
          <w:color w:val="000000"/>
          <w:lang w:eastAsia="cs-CZ"/>
        </w:rPr>
        <w:t>554</w:t>
      </w:r>
      <w:r>
        <w:rPr>
          <w:rFonts w:eastAsia="Times New Roman" w:cs="Calibri"/>
          <w:color w:val="000000"/>
          <w:lang w:eastAsia="cs-CZ"/>
        </w:rPr>
        <w:t xml:space="preserve"> jednotek. Z celkového počtu tak 94, 38 %</w:t>
      </w:r>
      <w:r w:rsidR="00D363C1">
        <w:rPr>
          <w:rFonts w:eastAsia="Times New Roman" w:cs="Calibri"/>
          <w:color w:val="000000"/>
          <w:lang w:eastAsia="cs-CZ"/>
        </w:rPr>
        <w:t xml:space="preserve"> jednotek</w:t>
      </w:r>
      <w:r>
        <w:rPr>
          <w:rFonts w:eastAsia="Times New Roman" w:cs="Calibri"/>
          <w:color w:val="000000"/>
          <w:lang w:eastAsia="cs-CZ"/>
        </w:rPr>
        <w:t xml:space="preserve"> existuje v režimu ZOVB a 5,62 %</w:t>
      </w:r>
      <w:r w:rsidR="00D363C1">
        <w:rPr>
          <w:rFonts w:eastAsia="Times New Roman" w:cs="Calibri"/>
          <w:color w:val="000000"/>
          <w:lang w:eastAsia="cs-CZ"/>
        </w:rPr>
        <w:t xml:space="preserve"> jednotek</w:t>
      </w:r>
      <w:r>
        <w:rPr>
          <w:rFonts w:eastAsia="Times New Roman" w:cs="Calibri"/>
          <w:color w:val="000000"/>
          <w:lang w:eastAsia="cs-CZ"/>
        </w:rPr>
        <w:t xml:space="preserve"> v režimu NOZ. I k 1. 1. 2018 stále existuje 2682 jednotek rozestavěných dle ZOVB, byť zde je počet jednotek dle NOZ více než dvojnásobný.</w:t>
      </w:r>
    </w:p>
    <w:p w:rsidR="00314FCD" w:rsidRDefault="00314FCD" w:rsidP="00314FCD">
      <w:pPr>
        <w:ind w:firstLine="0"/>
      </w:pPr>
      <w:r>
        <w:t>V budoucnu již nebude razantně docházet ke vzniku dalších jednotek, které by byly vymezeny podle ZOVB, vzhledem vysokému počtu jednotek v tomto režimu již existujících, resp. přežívajících je však nepravděpodobné, že by se počty těchto v následujících letech zásadně snižovaly.</w:t>
      </w:r>
    </w:p>
    <w:p w:rsidR="00314FCD" w:rsidRDefault="00314FCD" w:rsidP="00314FCD">
      <w:pPr>
        <w:rPr>
          <w:rFonts w:cs="Arial"/>
          <w:szCs w:val="24"/>
          <w:shd w:val="clear" w:color="auto" w:fill="FFFFFF"/>
        </w:rPr>
      </w:pPr>
      <w:r>
        <w:t xml:space="preserve">Ke vzniku nových jednotek vymezených podle ZOVB může docházet i nadále – pokud např. stavebník přistaví k domu nové patro, v tomto domě jsou jednotky vymezeny podle ZOVB a vlastníci jednotek učiní nové prohlášení týkající se nově přistaveného patra. Dojde tak k přepočtu podílů na společných částech a „přírůstu“ nové jednotky ke stávajícímu počtu; </w:t>
      </w:r>
      <w:r w:rsidRPr="008116E9">
        <w:t>jiným případem je změna prohlášení vlastníků bytových jednotek, kde se některá jednotka či více jednotek rozdělí na vícero jednotek.,</w:t>
      </w:r>
      <w:r>
        <w:t xml:space="preserve"> k čemuž může dojít také prostřednictvím</w:t>
      </w:r>
      <w:r w:rsidRPr="004B21B5">
        <w:rPr>
          <w:rFonts w:cs="Arial"/>
          <w:color w:val="444444"/>
          <w:szCs w:val="24"/>
          <w:shd w:val="clear" w:color="auto" w:fill="FFFFFF"/>
        </w:rPr>
        <w:t xml:space="preserve"> </w:t>
      </w:r>
      <w:r w:rsidRPr="004B21B5">
        <w:rPr>
          <w:rFonts w:cs="Arial"/>
          <w:szCs w:val="24"/>
          <w:shd w:val="clear" w:color="auto" w:fill="FFFFFF"/>
        </w:rPr>
        <w:t>rozhodnutí soudu o vypořádání společného jmění manželů</w:t>
      </w:r>
      <w:r>
        <w:rPr>
          <w:rFonts w:cs="Arial"/>
          <w:szCs w:val="24"/>
          <w:shd w:val="clear" w:color="auto" w:fill="FFFFFF"/>
        </w:rPr>
        <w:t xml:space="preserve"> (pro poslední případ může posloužit příklad, kdy je nemovitost rozdělena na jednotky v režimu ZOVB, manželům patří ve faktickém pojetí dva byty, mezi nimiž je vybourána příčka a tyto jsou vedeny jako jediná jednotka</w:t>
      </w:r>
      <w:r w:rsidR="00D363C1">
        <w:rPr>
          <w:rFonts w:cs="Arial"/>
          <w:szCs w:val="24"/>
          <w:shd w:val="clear" w:color="auto" w:fill="FFFFFF"/>
        </w:rPr>
        <w:t>)</w:t>
      </w:r>
      <w:r>
        <w:rPr>
          <w:rFonts w:cs="Arial"/>
          <w:szCs w:val="24"/>
          <w:shd w:val="clear" w:color="auto" w:fill="FFFFFF"/>
        </w:rPr>
        <w:t>. Při vypořádání Společného jmění manželů tak soud může přistoupit k rozděl</w:t>
      </w:r>
      <w:r w:rsidR="00D363C1">
        <w:rPr>
          <w:rFonts w:cs="Arial"/>
          <w:szCs w:val="24"/>
          <w:shd w:val="clear" w:color="auto" w:fill="FFFFFF"/>
        </w:rPr>
        <w:t>ení těchto bytů na dvě jednotky</w:t>
      </w:r>
      <w:r>
        <w:rPr>
          <w:rFonts w:cs="Arial"/>
          <w:szCs w:val="24"/>
          <w:shd w:val="clear" w:color="auto" w:fill="FFFFFF"/>
        </w:rPr>
        <w:t>.</w:t>
      </w:r>
      <w:r>
        <w:rPr>
          <w:rStyle w:val="Znakapoznpodarou"/>
          <w:rFonts w:cs="Arial"/>
          <w:szCs w:val="24"/>
          <w:shd w:val="clear" w:color="auto" w:fill="FFFFFF"/>
        </w:rPr>
        <w:footnoteReference w:id="145"/>
      </w:r>
    </w:p>
    <w:p w:rsidR="002F60E0" w:rsidRPr="00314FCD" w:rsidRDefault="00D0550E" w:rsidP="00314FCD">
      <w:r>
        <w:rPr>
          <w:rFonts w:cs="Arial"/>
          <w:szCs w:val="24"/>
          <w:shd w:val="clear" w:color="auto" w:fill="FFFFFF"/>
        </w:rPr>
        <w:t>Ze strany široké</w:t>
      </w:r>
      <w:r w:rsidR="004445D6">
        <w:rPr>
          <w:rFonts w:cs="Arial"/>
          <w:szCs w:val="24"/>
          <w:shd w:val="clear" w:color="auto" w:fill="FFFFFF"/>
        </w:rPr>
        <w:t xml:space="preserve"> laické</w:t>
      </w:r>
      <w:r>
        <w:rPr>
          <w:rFonts w:cs="Arial"/>
          <w:szCs w:val="24"/>
          <w:shd w:val="clear" w:color="auto" w:fill="FFFFFF"/>
        </w:rPr>
        <w:t xml:space="preserve"> veřejnosti nebyl zaznamenán žádný výrazný</w:t>
      </w:r>
      <w:r w:rsidR="004445D6">
        <w:rPr>
          <w:rFonts w:cs="Arial"/>
          <w:szCs w:val="24"/>
          <w:shd w:val="clear" w:color="auto" w:fill="FFFFFF"/>
        </w:rPr>
        <w:t xml:space="preserve"> ohlas</w:t>
      </w:r>
      <w:r>
        <w:rPr>
          <w:rFonts w:cs="Arial"/>
          <w:szCs w:val="24"/>
          <w:shd w:val="clear" w:color="auto" w:fill="FFFFFF"/>
        </w:rPr>
        <w:t xml:space="preserve"> představující názor, že by existence jednotek dle ZOVB měla být problémem. To lze ostatně odvodit i z čísel – bezmála 95 % vlastníků jednotek stále nevyužilo zákonných možností, jak své jednotky dle ZOVB změnit v jednotky dle NOZ. Můžeme říct, že pokud by se teoreticky všichni vlastníci jednotek dle ZOVB z vlastní vůle rozhodli podřídit své jednotky pod NOZ, zanikl by právní dualismus. Takový společenský vývoj by však pravděpodobně byl pouhou reakcí na problém. Vzhledem k tomu, že se taková reakce neuskutečňuje, lze se domnívat, že dvojkolejnost není problémem. Pokud přesto fenomén dvojkolejnosti skýtá ještě neodkryté problémy, lze doufat, že ty dokáží právníci překlenout správným jak občanského zákoníku, tak případně i zákona o vlastnictví bytů a s nimi souvisejících předpisů.</w:t>
      </w:r>
    </w:p>
    <w:p w:rsidR="006473FA" w:rsidRDefault="006473FA" w:rsidP="006473FA">
      <w:pPr>
        <w:pStyle w:val="Nadpis2"/>
      </w:pPr>
      <w:bookmarkStart w:id="36" w:name="_Toc509413094"/>
      <w:r>
        <w:t>Dvojí režim katastru nemovitostí</w:t>
      </w:r>
      <w:bookmarkEnd w:id="36"/>
    </w:p>
    <w:p w:rsidR="008215DC" w:rsidRPr="008215DC" w:rsidRDefault="008215DC" w:rsidP="008215DC">
      <w:r>
        <w:t>Z informací poskytnutých ČÚZK je patrné, že dvojkolejnost nezpůsobuje katastrálním úřadům nutnost vynakládat žádné nepřiměřené náklady, respektive náklady nad rámec obvyklé činnosti, a</w:t>
      </w:r>
      <w:r w:rsidR="00D363C1">
        <w:t xml:space="preserve"> i</w:t>
      </w:r>
      <w:r>
        <w:t xml:space="preserve"> to vzhledem k množství </w:t>
      </w:r>
      <w:r w:rsidR="00D363C1">
        <w:t>evidovaných</w:t>
      </w:r>
      <w:r>
        <w:t xml:space="preserve"> pr</w:t>
      </w:r>
      <w:r w:rsidR="00D363C1">
        <w:t xml:space="preserve">ávních skutečností. </w:t>
      </w:r>
    </w:p>
    <w:p w:rsidR="00E461C5" w:rsidRDefault="00E461C5" w:rsidP="0074664F">
      <w:pPr>
        <w:pStyle w:val="Nadpis2"/>
      </w:pPr>
      <w:bookmarkStart w:id="37" w:name="_Toc509413095"/>
      <w:r>
        <w:lastRenderedPageBreak/>
        <w:t>Příslušenství bytu</w:t>
      </w:r>
      <w:bookmarkEnd w:id="37"/>
    </w:p>
    <w:p w:rsidR="00E461C5" w:rsidRDefault="00B16A37" w:rsidP="00E461C5">
      <w:r>
        <w:t>SOZ</w:t>
      </w:r>
      <w:r w:rsidR="00E461C5">
        <w:t>, na rozdíl od zákona o vlastnictví bytů upravoval příslušenství věci i příslušenství bytu. Otázka vždy byla, zda aplikovat úpravu příslušenství věci, když bytová jednotka byla vymezena ZOVB a formálně věcí nebyl</w:t>
      </w:r>
      <w:r w:rsidR="004445D6">
        <w:t>a</w:t>
      </w:r>
      <w:r w:rsidR="00E461C5">
        <w:t xml:space="preserve">. </w:t>
      </w:r>
      <w:r w:rsidR="00A81501">
        <w:t xml:space="preserve">Na jednotku lépe přiléhala úprava příslušenství bytu, neboť jednotkou se rozuměl byt jako prostorově vymezená část domu. </w:t>
      </w:r>
      <w:r>
        <w:t>SOZ</w:t>
      </w:r>
      <w:r w:rsidR="00A81501">
        <w:t xml:space="preserve"> vymezoval příslušenství bytu jako vedlejší místnosti a prostory určené k užívání společně s bytem.</w:t>
      </w:r>
      <w:r w:rsidR="00A81501">
        <w:rPr>
          <w:rStyle w:val="Znakapoznpodarou"/>
        </w:rPr>
        <w:footnoteReference w:id="146"/>
      </w:r>
      <w:r w:rsidR="00A81501">
        <w:t xml:space="preserve"> Vlastník budovy mohl prohlášením určit, že některé prostory, které by jinak spadaly do režimu společných částí domu, budou považovány za příslušenství některých bytů.</w:t>
      </w:r>
      <w:r w:rsidR="000618C9">
        <w:t xml:space="preserve"> Pokud však prohlášení tyto záležitosti nijak neřešilo, bylo třeba podpůrně použít úpravu </w:t>
      </w:r>
      <w:r>
        <w:t>SOZ</w:t>
      </w:r>
      <w:r w:rsidR="000618C9">
        <w:t>.</w:t>
      </w:r>
      <w:r w:rsidR="000618C9">
        <w:rPr>
          <w:rStyle w:val="Znakapoznpodarou"/>
        </w:rPr>
        <w:footnoteReference w:id="147"/>
      </w:r>
      <w:r w:rsidR="000618C9">
        <w:t xml:space="preserve"> K té se Nejvyšší soud vyjádřil tak, že vedlejší místnosti tvořily součást bytu, avšak nebylo možno je považovat za obytné (neobytné kuchyně, haly, komory, </w:t>
      </w:r>
      <w:r w:rsidR="002558B4">
        <w:t>koupelny, záchody, spíže, šatny atd.), zatímco vedlejší prostory ležely mimo byt a byly určeny k užívání s ním (sklep, dřevní</w:t>
      </w:r>
      <w:r w:rsidR="00D363C1">
        <w:t>k</w:t>
      </w:r>
      <w:r w:rsidR="002558B4">
        <w:t>, kočárkárna)</w:t>
      </w:r>
      <w:r w:rsidR="002558B4">
        <w:rPr>
          <w:rStyle w:val="Znakapoznpodarou"/>
        </w:rPr>
        <w:footnoteReference w:id="148"/>
      </w:r>
      <w:r w:rsidR="002558B4">
        <w:t>. Tyto závěry dále rozvedl tak, že byt složený z více místností zahrnuje jako součást i ty místnosti, které nejsou obytnými, tedy i neobytné kuchyně, neobytné haly a komory, koupelny, záchody, spíže, šatny, stavebně oddělené kuchyňské či koupelnové kout</w:t>
      </w:r>
      <w:r w:rsidR="004445D6">
        <w:t>y</w:t>
      </w:r>
      <w:r w:rsidR="002558B4">
        <w:t>, předsíně atd.; pokud by tomu tak nebylo, zákon by nepochybně byt vymezil jako soubor obytných místností. Pokud se tedy jako příslušenství bytu někdy uvádí i jiné než obytné místnosti pod společným uzavřením, je třeba toto označení přijmout jen s vědomím, že nejde o příslušenství v tradičním smyslu. … Jinak je však tomu u prostor, které s bytem přímo nesouvisí a nejsou pod společným uzavřením (sklep, dřevník, kolna apod.). Takové prostory nejsou součástí bytu, ale jeho příslušenstvím</w:t>
      </w:r>
      <w:r w:rsidR="009A24E5">
        <w:t>, jde o nesamostatné části domu.</w:t>
      </w:r>
      <w:r w:rsidR="009A24E5">
        <w:rPr>
          <w:rStyle w:val="Znakapoznpodarou"/>
        </w:rPr>
        <w:footnoteReference w:id="149"/>
      </w:r>
      <w:r w:rsidR="00B54381">
        <w:t xml:space="preserve"> Důležitou roli pro to, aby něco mohlo být považováno za příslušenství bytu, bylo v režimu ZOVB uspokojování bytové potřeby. Nejvyšší soud tak judikoval, že příslušenství bytu ve smyslu ust. § 121 odst. 2 </w:t>
      </w:r>
      <w:r>
        <w:t>SOZ</w:t>
      </w:r>
      <w:r w:rsidR="00B54381">
        <w:t xml:space="preserve"> není garáž, i když je umístěna ve stejném domě jako byt a je spolu s bytem užívána, neboť neslouží k uspokojování potřeby bydlení.</w:t>
      </w:r>
      <w:r w:rsidR="00B54381">
        <w:rPr>
          <w:rStyle w:val="Znakapoznpodarou"/>
        </w:rPr>
        <w:footnoteReference w:id="150"/>
      </w:r>
      <w:r w:rsidR="00B54381">
        <w:t xml:space="preserve"> Pro určení, zda to či ono je příslušenstvím bytu tak byl rozhodující nejen úmysl vlastníka domu, ale účel jakožto objektivní kritérium.</w:t>
      </w:r>
      <w:r w:rsidR="00B54381">
        <w:rPr>
          <w:rStyle w:val="Znakapoznpodarou"/>
        </w:rPr>
        <w:footnoteReference w:id="151"/>
      </w:r>
    </w:p>
    <w:p w:rsidR="00662CE1" w:rsidRDefault="004445D6" w:rsidP="00E461C5">
      <w:r>
        <w:t>Opačný názor má</w:t>
      </w:r>
      <w:r w:rsidR="00662CE1">
        <w:t xml:space="preserve"> Eliáš, dle kterého je třeba za vedlejší místnosti tvořící příslušenství bytu považovat jen prostory nacházející se mimo byt, protože v opačném případě by nastala situace, kdy by určité místnosti byly současně bytem a současně jeho příslušenstvím.</w:t>
      </w:r>
      <w:r w:rsidR="00662CE1">
        <w:rPr>
          <w:rStyle w:val="Znakapoznpodarou"/>
        </w:rPr>
        <w:footnoteReference w:id="152"/>
      </w:r>
    </w:p>
    <w:p w:rsidR="00D363C1" w:rsidRDefault="00A64DEF" w:rsidP="00E461C5">
      <w:r>
        <w:lastRenderedPageBreak/>
        <w:t>NOZ</w:t>
      </w:r>
      <w:r w:rsidR="00B54381">
        <w:t xml:space="preserve"> předchozí koncepci nepřevzal. Byla vypuštěna ustanovení o příslušenství bytu, nová úprava obsahuje k problematice</w:t>
      </w:r>
      <w:r w:rsidR="00026FDC">
        <w:t xml:space="preserve"> příslušenství věci obecný </w:t>
      </w:r>
      <w:r w:rsidR="00B54381">
        <w:t>§ 510</w:t>
      </w:r>
      <w:r w:rsidR="002D7E47">
        <w:t>, kter</w:t>
      </w:r>
      <w:r w:rsidR="00026FDC">
        <w:t>ý</w:t>
      </w:r>
      <w:r w:rsidR="002D7E47">
        <w:t xml:space="preserve"> příslušenství chápe jako vedlejší věc vlastníka u věci hlavní, je-li účelem vedlejší věci, aby se jí trvale užívalo společně s hlavní věcí v rámci jejich hospodářského určení; byla-li vedlejší věc od hlavní věci přechodně odloučena, nepřestává být příslušenstvím. Protože je jednotka dle NOZ výslovně věcí nemovitou, samozřejmě se na ni vztahuje tato úprava. Vyvstanou-li podle NOZ pochybnosti, zda je něco příslušenstvím věci, posoudí se takový případ podle zvyklostí. Příslušenství nyní, pokud si strany nestanoví jinak, následuje osud věci hlavní (</w:t>
      </w:r>
      <w:r w:rsidR="002D7E47" w:rsidRPr="002D7E47">
        <w:rPr>
          <w:i/>
        </w:rPr>
        <w:t>accesorium sequitar principale</w:t>
      </w:r>
      <w:r w:rsidR="002D7E47">
        <w:t>).</w:t>
      </w:r>
      <w:r w:rsidR="00503682">
        <w:t xml:space="preserve"> Úprava NOZ by se měla použít i na jednotky vymezené v režimu ZOVB.</w:t>
      </w:r>
      <w:r w:rsidR="00B07D08">
        <w:t xml:space="preserve"> Podle </w:t>
      </w:r>
      <w:r w:rsidR="00B16A37">
        <w:t>SOZ</w:t>
      </w:r>
      <w:r w:rsidR="007433F0">
        <w:t xml:space="preserve"> však</w:t>
      </w:r>
      <w:r w:rsidR="00B07D08">
        <w:t xml:space="preserve"> </w:t>
      </w:r>
      <w:r w:rsidR="00116122">
        <w:t>automaticky nevznikal nárok na převod příslušenství bytu ležícího mimo byt při převodu bytu. Navíc i judikatura byla, co se týče právního osudu příslušenství bytu i věci právním smyslu značně nejednotná.</w:t>
      </w:r>
      <w:r w:rsidR="00116122">
        <w:rPr>
          <w:rStyle w:val="Znakapoznpodarou"/>
        </w:rPr>
        <w:footnoteReference w:id="153"/>
      </w:r>
      <w:r w:rsidR="00116122">
        <w:t xml:space="preserve"> Diskuse probíhající v rámci soudních rozhodnutí vyústila v roce 2004 v rozhodnutí Nejvyššího soudu, ve kterém se o příslušenství bytu vyjádřil tak, že není a nemůže být samostatným předmětem právních vztahů, nýbrž se řídí režimem právního vztahu k bytu, k němuž náleží, jinak řečeno sdílí právní režim bytu, k němuž náleží</w:t>
      </w:r>
      <w:r w:rsidR="007433F0">
        <w:t>.</w:t>
      </w:r>
      <w:r w:rsidR="007433F0">
        <w:rPr>
          <w:rStyle w:val="Znakapoznpodarou"/>
        </w:rPr>
        <w:footnoteReference w:id="154"/>
      </w:r>
      <w:r w:rsidR="007433F0">
        <w:t xml:space="preserve"> </w:t>
      </w:r>
    </w:p>
    <w:p w:rsidR="00B54381" w:rsidRDefault="007433F0" w:rsidP="00E461C5">
      <w:r>
        <w:t>Zásada, že příslušenství následuje právní osud věci hlavní jakožto v NOZ nově vyjádřená, podle Ondřeje Horáka nenavazuje na</w:t>
      </w:r>
      <w:r w:rsidR="005A4A43">
        <w:t xml:space="preserve"> </w:t>
      </w:r>
      <w:r>
        <w:t>římskoprávní ani českou-rak</w:t>
      </w:r>
      <w:r w:rsidR="002700D1">
        <w:t>ouskou civilistickou tradici, což v důsledku</w:t>
      </w:r>
      <w:r>
        <w:t xml:space="preserve"> znamená </w:t>
      </w:r>
      <w:r w:rsidR="005A4A43">
        <w:t>odklon od zásady smluvní volnosti. Doporučuje proto vykládat ust. § 510 odst. 2 NOZ tak, že příslušenství osud věci hlavní bez dalšího sdílí pouze, pokud se jedná o příslušenství tzv. přirozené či kvalifikované. Důležitým kritériem pro posouzení, zda něco je či není příslušenstvím, tak má být jeho hospodářská nesamostatnost a nezbytnost pro věc hlavní, resp. do jaké míry ztrácí vedlejší věc svou individualitu. Jako příklad u smlouvy o převodu vlastnictví k jednotce, ve které otázka příslušenství není upravena, uvádí, že bude převedena pouze kuchyňská linka a vestavěná skříň, a ne tak obrazy, lednička, stůl či židle.</w:t>
      </w:r>
      <w:r w:rsidR="005A4A43">
        <w:rPr>
          <w:rStyle w:val="Znakapoznpodarou"/>
        </w:rPr>
        <w:footnoteReference w:id="155"/>
      </w:r>
      <w:r w:rsidR="005A4A43">
        <w:t xml:space="preserve"> S Horákovými závěry se neztotožňuji, jako přiléhavější </w:t>
      </w:r>
      <w:r w:rsidR="00DE24C8">
        <w:t>vnímám řešení</w:t>
      </w:r>
      <w:r w:rsidR="00541FD9">
        <w:t xml:space="preserve"> P.</w:t>
      </w:r>
      <w:r w:rsidR="00DE24C8">
        <w:t xml:space="preserve"> Tégla a</w:t>
      </w:r>
      <w:r w:rsidR="00541FD9">
        <w:t xml:space="preserve"> F.</w:t>
      </w:r>
      <w:r w:rsidR="00DE24C8">
        <w:t xml:space="preserve"> Melzera, které smysluplněji vykládá účel zákona.</w:t>
      </w:r>
      <w:r w:rsidR="00DE24C8">
        <w:rPr>
          <w:rStyle w:val="Znakapoznpodarou"/>
        </w:rPr>
        <w:footnoteReference w:id="156"/>
      </w:r>
      <w:r w:rsidR="00DE24C8">
        <w:t xml:space="preserve"> Kuchyňská linka i vestavěná skříň totiž jsou součástí je</w:t>
      </w:r>
      <w:r w:rsidR="00541FD9">
        <w:t xml:space="preserve">dnotky jako věci ve smyslu </w:t>
      </w:r>
      <w:r w:rsidR="00DE24C8">
        <w:t>§ 505 NOZ a nemůže s nimi být věcněprávně nakládáno do chvíle oddělení od jednotky, což však sníží její hodnotu.</w:t>
      </w:r>
    </w:p>
    <w:p w:rsidR="00501699" w:rsidRDefault="00C12A61" w:rsidP="00E461C5">
      <w:r>
        <w:t>Pro adresáta práva zkoumaná problematika příslušenství bytové jednotky</w:t>
      </w:r>
      <w:r w:rsidR="0022239B">
        <w:t xml:space="preserve"> dle</w:t>
      </w:r>
      <w:r w:rsidR="00D363C1">
        <w:t xml:space="preserve"> NOZ</w:t>
      </w:r>
      <w:r w:rsidR="0022239B">
        <w:t xml:space="preserve"> </w:t>
      </w:r>
      <w:r>
        <w:t xml:space="preserve">znamená především otázku, co bude </w:t>
      </w:r>
      <w:r w:rsidR="00B13097">
        <w:t xml:space="preserve">převedeno spolu s jednotkou, s čím bude mít faktickou možnost nakládat, co může zvýšit hodnotu jednotky, či konečně i jaký bude počet jeho hlasů </w:t>
      </w:r>
      <w:r w:rsidR="00B13097">
        <w:lastRenderedPageBreak/>
        <w:t>v rámci shromáždění společenství vlastníků jednotek, pokud je tento v daném případě navázán na velikost podílu na společných částech.</w:t>
      </w:r>
      <w:r w:rsidR="00501699">
        <w:t xml:space="preserve"> Může se zdát, že t</w:t>
      </w:r>
      <w:r w:rsidR="00B13097">
        <w:t xml:space="preserve">ato otázka odpadá, pokud je zkoumaný prostor, například sklepní místnost, vymezena jako samostatná nebytová jednotka. Taková věc může a zpravidla i bude příslušenstvím některé z jednotek bytových, každopádně je možno s ní nakládat rozdílně a smluvně </w:t>
      </w:r>
      <w:r w:rsidR="00541FD9">
        <w:t xml:space="preserve">vyloučit aplikaci pravidla </w:t>
      </w:r>
      <w:r w:rsidR="00B13097">
        <w:t>§ 510 odst. NOZ, tedy určit, že její osud nenásleduje osud jednotky bytové jako věci hlavní.</w:t>
      </w:r>
      <w:r w:rsidR="00501699">
        <w:t xml:space="preserve"> To však není řešením problému. Např. vlastník dvou bytových jednotek v jednom domě je vlastníkem také sklepní místnosti</w:t>
      </w:r>
      <w:r w:rsidR="0022239B">
        <w:t xml:space="preserve"> v domě</w:t>
      </w:r>
      <w:r w:rsidR="00501699">
        <w:t xml:space="preserve"> vymezené jako nebytová jednotka.</w:t>
      </w:r>
      <w:r w:rsidR="0022239B">
        <w:t xml:space="preserve"> V jedné </w:t>
      </w:r>
      <w:r w:rsidR="002700D1">
        <w:t xml:space="preserve">bytové </w:t>
      </w:r>
      <w:r w:rsidR="0022239B">
        <w:t xml:space="preserve">jednotce sám bydlí, ve druhé, na základě užívacího práva bydlí jeho příbuzný. Jak vlastník, tak příbuzný používají sklep na odkládání věcí. </w:t>
      </w:r>
      <w:r w:rsidR="00501699">
        <w:t xml:space="preserve">Následně </w:t>
      </w:r>
      <w:r w:rsidR="0022239B">
        <w:t xml:space="preserve">vlastník </w:t>
      </w:r>
      <w:r w:rsidR="00501699">
        <w:t xml:space="preserve">převádí vlastnictví </w:t>
      </w:r>
      <w:r w:rsidR="0022239B">
        <w:t>k jednotce, v níž sám bydlí, třetí osobě</w:t>
      </w:r>
      <w:r w:rsidR="00501699">
        <w:t>.</w:t>
      </w:r>
      <w:r w:rsidR="0022239B">
        <w:t xml:space="preserve"> Právní situaci sklepa lze dle některých výkladů chápat jako příslušenství bytových jednotek (ani nauka nevylučuje příslušenství společně k několika věcem hlavním, byť </w:t>
      </w:r>
      <w:r w:rsidR="00541FD9">
        <w:t xml:space="preserve">P. </w:t>
      </w:r>
      <w:r w:rsidR="0022239B">
        <w:t>Tégl a</w:t>
      </w:r>
      <w:r w:rsidR="00541FD9">
        <w:t xml:space="preserve"> F.</w:t>
      </w:r>
      <w:r w:rsidR="0022239B">
        <w:t xml:space="preserve"> Melzer v tomto směru uvažují</w:t>
      </w:r>
      <w:r w:rsidR="002700D1">
        <w:t xml:space="preserve"> výslovně pouze o pří</w:t>
      </w:r>
      <w:r w:rsidR="0022239B">
        <w:t>s</w:t>
      </w:r>
      <w:r w:rsidR="002700D1">
        <w:t>l</w:t>
      </w:r>
      <w:r w:rsidR="0022239B">
        <w:t>ušenství k věci hromadné, obecně připouštějí tento stav i v jiných případech.)</w:t>
      </w:r>
      <w:r w:rsidR="0022239B">
        <w:rPr>
          <w:rStyle w:val="Znakapoznpodarou"/>
        </w:rPr>
        <w:footnoteReference w:id="157"/>
      </w:r>
      <w:r w:rsidR="004456B0">
        <w:t xml:space="preserve"> Možným řešením je, že s převodem jednotky bude v souladu s principem </w:t>
      </w:r>
      <w:r w:rsidR="004456B0" w:rsidRPr="007D7A3A">
        <w:rPr>
          <w:i/>
        </w:rPr>
        <w:t>accesorium sequitar principale</w:t>
      </w:r>
      <w:r w:rsidR="004456B0">
        <w:t xml:space="preserve"> převeden poloviční podíl ke sklepní místnosti.</w:t>
      </w:r>
      <w:r w:rsidR="002700D1">
        <w:t xml:space="preserve"> Nabízí se pochybnost</w:t>
      </w:r>
      <w:r w:rsidR="004456B0">
        <w:t xml:space="preserve">, že to by bylo v rozporu s ust. § 560 NOZ požadujícím písemnou formu pro právní jednání, kterým se zřizuje nebo převádí věcné právo k nemovitosti. </w:t>
      </w:r>
      <w:r w:rsidR="00863A72">
        <w:t>Pokud by sklep příslušenstvím jednotky byl, rozpor</w:t>
      </w:r>
      <w:r w:rsidR="002700D1">
        <w:t xml:space="preserve"> však</w:t>
      </w:r>
      <w:r w:rsidR="00863A72">
        <w:t xml:space="preserve"> nenastane, protože smlouva o něm výslovně hovořit nemusí. Otázkou tak zůstává, zda sklep příslušenstvím je či není. Zcela praktickým argumentem reflektujícím společenskou realitu však je, že katastr nemovitostí by patrně nezapisoval vlastnické právo k jiné jednotce než k té, které se výslovně týká smlouva. </w:t>
      </w:r>
    </w:p>
    <w:p w:rsidR="00C12A61" w:rsidRPr="00E461C5" w:rsidRDefault="002700D1" w:rsidP="003940B3">
      <w:r>
        <w:t>Druhou otázkou pro adresáta významnou je, zda při převodu jeho jednotky vymezené dle ZOVB nyní, se bude určovat, ale i řídit příslušenství jednotky předchozí úpravou či NOZ. Mám za to, jak již výše obdobně uvádím, že nejen vzhledem k systematickému zařazení úpravy příslušenství v NOZ, se pře</w:t>
      </w:r>
      <w:r w:rsidR="007D7A3A">
        <w:t>vod</w:t>
      </w:r>
      <w:r>
        <w:t xml:space="preserve"> příslušenství jedn</w:t>
      </w:r>
      <w:r w:rsidR="007D7A3A">
        <w:t>otky bude</w:t>
      </w:r>
      <w:r w:rsidR="003940B3">
        <w:t xml:space="preserve"> řídit novou úpravou.</w:t>
      </w:r>
    </w:p>
    <w:p w:rsidR="00E461C5" w:rsidRDefault="00E461C5" w:rsidP="00E461C5">
      <w:pPr>
        <w:pStyle w:val="Nadpis2"/>
      </w:pPr>
      <w:bookmarkStart w:id="38" w:name="_Toc509413096"/>
      <w:r>
        <w:t>Společné části</w:t>
      </w:r>
      <w:bookmarkEnd w:id="38"/>
    </w:p>
    <w:p w:rsidR="0074664F" w:rsidRDefault="00D801B3" w:rsidP="0074664F">
      <w:r w:rsidRPr="004D4D85">
        <w:t xml:space="preserve">Úprava </w:t>
      </w:r>
      <w:r w:rsidR="00541FD9">
        <w:t>ZOVB</w:t>
      </w:r>
      <w:r w:rsidRPr="004D4D85">
        <w:t xml:space="preserve"> znala jen jeden způsob určování velikosti spoluvlastnických podílů na společných částech domu (a tento jeden byl také navíc obligatorní) – velikost spoluvlastnických podílů se určovala vzájemným poměrem velikosti podlahové plochy jednotky k velikosti celkové plochy všech jednotek v domě.</w:t>
      </w:r>
      <w:r w:rsidRPr="004D4D85">
        <w:rPr>
          <w:rStyle w:val="Znakapoznpodarou"/>
        </w:rPr>
        <w:footnoteReference w:id="158"/>
      </w:r>
      <w:r w:rsidR="003940B3">
        <w:t xml:space="preserve"> Právní teorie dříve rozlišovala tzv. absolutně společné části (sloužily k užívání všem vlastníkům jednotek) a relativně společné části (sloužily k užívání jen některým vlastníkům jednotek). Absolutně společné části se do prohlášení vlastníků uváděly </w:t>
      </w:r>
      <w:r w:rsidR="003940B3">
        <w:lastRenderedPageBreak/>
        <w:t>deklaratorně, relativní konstitutivně.</w:t>
      </w:r>
      <w:r w:rsidR="00716403">
        <w:rPr>
          <w:rStyle w:val="Znakapoznpodarou"/>
        </w:rPr>
        <w:footnoteReference w:id="159"/>
      </w:r>
      <w:r w:rsidR="00716403">
        <w:t xml:space="preserve"> Požadavek na kompletní výčet absolutně společných částí v prohlášení se ukázal být prakticky složitým. Novotný tuto praktickou překážku řešil vymezením pouze jejich obecného negativního výčtu, tedy</w:t>
      </w:r>
      <w:r w:rsidR="00541FD9">
        <w:t xml:space="preserve"> jako</w:t>
      </w:r>
      <w:r w:rsidR="00716403">
        <w:t xml:space="preserve"> vše, co nebylo jednotkami.</w:t>
      </w:r>
      <w:r w:rsidR="00716403">
        <w:rPr>
          <w:rStyle w:val="Znakapoznpodarou"/>
        </w:rPr>
        <w:footnoteReference w:id="160"/>
      </w:r>
      <w:r w:rsidR="00716403">
        <w:t xml:space="preserve"> Podíly na relativně společných částech se samostatně nezapisovaly, ale měly vliv na celkovou velikost </w:t>
      </w:r>
      <w:r w:rsidR="006223F6">
        <w:t>podílů na absolutně společných částech.</w:t>
      </w:r>
      <w:r w:rsidR="006223F6" w:rsidRPr="006223F6">
        <w:rPr>
          <w:rStyle w:val="Znakapoznpodarou"/>
        </w:rPr>
        <w:t xml:space="preserve"> </w:t>
      </w:r>
      <w:r w:rsidR="006223F6">
        <w:rPr>
          <w:rStyle w:val="Znakapoznpodarou"/>
        </w:rPr>
        <w:footnoteReference w:id="161"/>
      </w:r>
      <w:r w:rsidR="006223F6">
        <w:t xml:space="preserve"> Podle praxe se totiž pro účely výpočtu podílu na absolutně společných částech domu do výměry podlahové plochy jednotky započítávala rovněž výměra podlahové plochy relativně společné části domu, která náležela k dané jednotce.</w:t>
      </w:r>
      <w:r w:rsidR="006223F6">
        <w:rPr>
          <w:rStyle w:val="Znakapoznpodarou"/>
        </w:rPr>
        <w:footnoteReference w:id="162"/>
      </w:r>
      <w:r w:rsidR="00716403">
        <w:t xml:space="preserve"> Elegantnějším řešením</w:t>
      </w:r>
      <w:r w:rsidR="006223F6">
        <w:t xml:space="preserve"> než určovat relativně společné části byla dohoda o výlučném užívání některých společných částí domu některými z vlastníků jednotek. V té se strany dohodly na způsobu užívání, úhradě nákladů spojených s uží</w:t>
      </w:r>
      <w:r w:rsidR="00541FD9">
        <w:t>váním apod. ZOVB podával v </w:t>
      </w:r>
      <w:r w:rsidR="006223F6">
        <w:t>§ 2 písm. g) demons</w:t>
      </w:r>
      <w:r w:rsidR="00D44DB4">
        <w:t xml:space="preserve">trativní výčet společných částí, přes příkladnost výčtu však býval </w:t>
      </w:r>
      <w:r w:rsidR="007D7A3A">
        <w:t>jeho text do prohlášení</w:t>
      </w:r>
      <w:r w:rsidR="00D44DB4">
        <w:t xml:space="preserve"> mechanicky přejímán, což vedlo k nejistotě související s povahou některých ve výčtu neuvedených prostorů, jako např. lodžie. NOZ metodu deklaratorního výčtu nepřevzal, společné části jsou v jeho režimu jen ty určené svou povahou všemi vlastníky jednotek (tedy a</w:t>
      </w:r>
      <w:r w:rsidR="00541FD9">
        <w:t xml:space="preserve">bsolutně společné části) – </w:t>
      </w:r>
      <w:r w:rsidR="00D44DB4">
        <w:t>§ 1160</w:t>
      </w:r>
      <w:r w:rsidR="00F6576D">
        <w:t xml:space="preserve"> odst. 1</w:t>
      </w:r>
      <w:r w:rsidR="00D44DB4">
        <w:t xml:space="preserve"> NOZ.</w:t>
      </w:r>
      <w:r w:rsidR="00F6576D">
        <w:t xml:space="preserve"> NOZ jde dál v stanovení, že se nelze smluvně odchýlit od povahy některých společných částí dle výčtu</w:t>
      </w:r>
      <w:r w:rsidR="006972DF">
        <w:t xml:space="preserve"> odstavce 2 stejného ustanovení.</w:t>
      </w:r>
      <w:r w:rsidR="00F6576D">
        <w:t xml:space="preserve"> Dále v režimu NOZ společné části upravuje nařízení vlády č. 366/2013 Sb., o úpravě některých záležitostí souvisejících s bytovým spo</w:t>
      </w:r>
      <w:r w:rsidR="00541FD9">
        <w:t xml:space="preserve">luvlastnictvím. Podle jeho </w:t>
      </w:r>
      <w:r w:rsidR="00F6576D">
        <w:t>§ 4 může být společnou částí vedle pozemku, na němž je dům postaven, také pozemek funkčně související s provozem a správou domu a s užíváním jednotek, na němž jsou zejména zpevněné plochy, předzahrádky, parkovací plochy, dvory nebo na němž jsou umístěny drobné stavby, zejména čistička odpadních vod, septik, trafostanice, domovní kotelna a další stavby, které jsou nezbytné k zajištění provozu</w:t>
      </w:r>
      <w:r w:rsidR="0074664F">
        <w:t xml:space="preserve"> a správy domu. Mezi tyto se zřejmě dá řadit např. i hřiště, které pak nebude existovat v rámci klasického přídatného spoluvlastnictví. V následujícím ustanovení nařízení po vzoru ZOVB podává demonstrativní výčet společných částí. Nařízení se však použije jen</w:t>
      </w:r>
      <w:r w:rsidR="00541FD9">
        <w:t xml:space="preserve"> do té míry, kde nebudou některé</w:t>
      </w:r>
      <w:r w:rsidR="0074664F">
        <w:t xml:space="preserve"> části specifikovány v prohlášení vlastníků a zároveň nebudou spadat pod kogentní výčet společných částí NOZ.</w:t>
      </w:r>
      <w:r w:rsidR="0074664F">
        <w:rPr>
          <w:rStyle w:val="Znakapoznpodarou"/>
        </w:rPr>
        <w:footnoteReference w:id="163"/>
      </w:r>
    </w:p>
    <w:p w:rsidR="00B375D3" w:rsidRDefault="0074664F" w:rsidP="00B375D3">
      <w:r>
        <w:t>Vzhledem k tomu, že NOZ hovoří pouze o výlučném užívání</w:t>
      </w:r>
      <w:r w:rsidR="006972DF">
        <w:t xml:space="preserve"> vůči spoluvlastníku</w:t>
      </w:r>
      <w:r>
        <w:t>, vyvstává otázka, zda tak dochází k odklonu od stavu dle ZOVB, kdy mohly být některé části určeny právě jako relativně společné, a tak v praxi užívány jen některými spoluvlastníky</w:t>
      </w:r>
      <w:r w:rsidR="006972DF">
        <w:t>, i když nejen pouze jedním</w:t>
      </w:r>
      <w:r>
        <w:t>. Jeví se jako bezúče</w:t>
      </w:r>
      <w:r w:rsidR="00541FD9">
        <w:t xml:space="preserve">lné vykládat poslední větu </w:t>
      </w:r>
      <w:r>
        <w:t xml:space="preserve">§ 1160 odst. 2 NOZ pouze jazykovým </w:t>
      </w:r>
      <w:r>
        <w:lastRenderedPageBreak/>
        <w:t>výkladem a dojít tak k závěru, že dání do výlučného užívání několika spoluvlastníkům společně možné není. Jsem tedy názoru, že i přes singulár v této větě požitý</w:t>
      </w:r>
      <w:r w:rsidR="006972DF">
        <w:t>, je možno dát do užívání vícero spoluvlastníkům. K obdobným závěrům dochází např. Sýkorová</w:t>
      </w:r>
      <w:r w:rsidR="00B375D3">
        <w:rPr>
          <w:rStyle w:val="Znakapoznpodarou"/>
        </w:rPr>
        <w:footnoteReference w:id="164"/>
      </w:r>
      <w:r w:rsidR="00016941">
        <w:t xml:space="preserve"> či Novotný</w:t>
      </w:r>
      <w:r w:rsidR="00B375D3">
        <w:rPr>
          <w:rStyle w:val="Znakapoznpodarou"/>
        </w:rPr>
        <w:footnoteReference w:id="165"/>
      </w:r>
      <w:r w:rsidR="00B375D3">
        <w:t>. V tomto směru tak nejsou vlastníci jednotek změnou úpravy a nastalou dvojkolejností nijak zatíženi.</w:t>
      </w:r>
    </w:p>
    <w:p w:rsidR="001972AD" w:rsidRDefault="006972DF" w:rsidP="001972AD">
      <w:r>
        <w:t>Společnými částmi ve výlučném užívání jednoho vlastníka jsou v praxi často balkony, terasy, lodžie, sklepy, ale často i garáže či garážová stání</w:t>
      </w:r>
      <w:r w:rsidR="00B375D3">
        <w:t>, mohou jimi být i předzahrádky, venkovní parkovací stání, ventilace, antény, vrata, rolety.</w:t>
      </w:r>
      <w:r>
        <w:rPr>
          <w:rStyle w:val="Znakapoznpodarou"/>
        </w:rPr>
        <w:footnoteReference w:id="166"/>
      </w:r>
      <w:r w:rsidR="00B375D3">
        <w:t xml:space="preserve"> Spoluvlastník s výlučným spoluvlastnictvím má vůči těmto částem zvláštní práva a povinnosti</w:t>
      </w:r>
      <w:r w:rsidR="00541FD9">
        <w:t xml:space="preserve"> dle § </w:t>
      </w:r>
      <w:r w:rsidR="00B375D3">
        <w:t>1</w:t>
      </w:r>
      <w:r w:rsidR="001972AD">
        <w:t xml:space="preserve">175 odst. 2 a 1180 odst. 1 NOZ. </w:t>
      </w:r>
      <w:r w:rsidR="00C44834">
        <w:t>U některých částí však vyvstává otázka, zda je skutečně považovat za společné.</w:t>
      </w:r>
      <w:r w:rsidR="0075003F">
        <w:t xml:space="preserve"> </w:t>
      </w:r>
    </w:p>
    <w:p w:rsidR="001972AD" w:rsidRDefault="001972AD" w:rsidP="001972AD">
      <w:pPr>
        <w:pStyle w:val="Nadpis3"/>
      </w:pPr>
      <w:bookmarkStart w:id="39" w:name="_Toc509413097"/>
      <w:r>
        <w:t>Lodžie</w:t>
      </w:r>
      <w:bookmarkEnd w:id="39"/>
    </w:p>
    <w:p w:rsidR="00C44834" w:rsidRDefault="0075003F" w:rsidP="001972AD">
      <w:r>
        <w:t>V případě lodžie, která je, na rozdíl od balkonu, zpravidla zastřešená, nevystupuje z obvodové zdi a leží na části nosné podlahové konstrukce bytu, je praxe nejednotná. Podle Čápa má být určujícím kritériem společnosti v případě lodžií (ale i balkonů) skutečnost, že jde o část domu, která je společná z hlediska soustavy konstrukčních prvků vnějšího pláště (obvodových stěn)</w:t>
      </w:r>
      <w:r w:rsidR="00EC1FF1">
        <w:t xml:space="preserve"> budovy.</w:t>
      </w:r>
      <w:r w:rsidR="00EC1FF1">
        <w:rPr>
          <w:rStyle w:val="Znakapoznpodarou"/>
        </w:rPr>
        <w:footnoteReference w:id="167"/>
      </w:r>
      <w:r>
        <w:t xml:space="preserve"> </w:t>
      </w:r>
      <w:r w:rsidR="008B64B9">
        <w:t xml:space="preserve">Opačně se k řešení </w:t>
      </w:r>
      <w:r w:rsidR="006373FD">
        <w:t>povahy lodžie postavil Nejvyšší správní soud ve svém rozhodnutí</w:t>
      </w:r>
      <w:r w:rsidR="006373FD">
        <w:rPr>
          <w:rStyle w:val="Znakapoznpodarou"/>
        </w:rPr>
        <w:footnoteReference w:id="168"/>
      </w:r>
      <w:r w:rsidR="006373FD">
        <w:t xml:space="preserve"> týkajícím se balkonu analogicky použitelným i na lodžii, v tom se však nezabýval výměrou podlahové plochy bytu s ohledem na doktrínu vycházející ze stanoviska Ministerstva pro místní rozvoj</w:t>
      </w:r>
      <w:r w:rsidR="006373FD">
        <w:rPr>
          <w:rStyle w:val="Znakapoznpodarou"/>
        </w:rPr>
        <w:footnoteReference w:id="169"/>
      </w:r>
      <w:r w:rsidR="006373FD">
        <w:t>, dle něhož se balkony a lodžie nezapočítávaly do podlahové plochy bytu, která byla vymezena prohlášením vlastníka.</w:t>
      </w:r>
      <w:r w:rsidR="002334AE">
        <w:t xml:space="preserve"> V rámci nové úpravy do této nejasné problematiky vneslo světlo již zmíněné nařízení vlády, neboť stanovuje, že lodžie je společnou částí i v případě, že je přístupná pouze z bytu, a je-li přístupná pouze z bytu, je vždy ve výlučném užívání vlastníka příslušné </w:t>
      </w:r>
      <w:r w:rsidR="008D3965">
        <w:t>jednotky (</w:t>
      </w:r>
      <w:r w:rsidR="002334AE">
        <w:t>§ 5 odst. 1 písm. f) nařízení). V problematice lodžií tak NOZ a související předpisy vnášejí mezi adresáty více právní jistoty.</w:t>
      </w:r>
    </w:p>
    <w:p w:rsidR="001972AD" w:rsidRDefault="001972AD" w:rsidP="001972AD">
      <w:pPr>
        <w:pStyle w:val="Nadpis3"/>
      </w:pPr>
      <w:bookmarkStart w:id="40" w:name="_Toc509413098"/>
      <w:r>
        <w:t>Určení velikosti podílu na společných částech</w:t>
      </w:r>
      <w:bookmarkEnd w:id="40"/>
    </w:p>
    <w:p w:rsidR="00B46FBF" w:rsidRPr="001972AD" w:rsidRDefault="001972AD" w:rsidP="00542457">
      <w:r>
        <w:t>ZOVB autoritativně určoval jako způsob výpočtu velikosti podílů na společných částech vzájemný poměr velikosti podlahových ploch</w:t>
      </w:r>
      <w:r w:rsidR="00D26ED9">
        <w:t xml:space="preserve"> jednotek k celkové ploše všech jednotek v domě. To samozřejmě omezovalo svobodu vlastníků jednotek. NOZ, v souladu se zásadou autonomie vůle, se k výpočtu staví benevolentněji, i když jako výchozí kritérium stanoví stejný způsob výpočtu. Umožňuje tak, aby si vlastník v prohlášení určil velikost podílů i jinak – buď jako stejné, </w:t>
      </w:r>
      <w:r w:rsidR="00D26ED9">
        <w:lastRenderedPageBreak/>
        <w:t>nebo s ohledem k povaze, rozměrům a umístění bytu, což může vyústit například v řešení, kdy ti, jejichž jednotky byly objektivně dražší (třeba kvůli hezčímu výhledu), budou mít na základě většího vstupního vkladu do bydlení i větší hlasovací práva (což může i nemusí znamenat vyšší příspěvky na správu domu a pozemku).</w:t>
      </w:r>
      <w:r w:rsidR="007D7A3A">
        <w:t xml:space="preserve"> Takové kritérium by bylo složitě objektivizovatelné, ale bránit jeho užití by bylo v rozporu se zásadou autonomie vůle.</w:t>
      </w:r>
      <w:r w:rsidR="00D26ED9">
        <w:t xml:space="preserve"> Tam, kde byly podíly určeny na základě povahy, rozměrů a umístění bytu, má vlastník jednotky právo domáhat se změny určení podílů, pokud se okolnosti změnily tak podstatně, že by původní určení podílů bylo zjevně nespravedlivé</w:t>
      </w:r>
      <w:r w:rsidR="004E5F5F">
        <w:t xml:space="preserve"> – ust. § 1162 NOZ. Je také nutno dodat, že pokud jsou na výběr daná kritéria výpočtu neurčitá, použije se dle § 1168 odst. 2 kritérium poměru podlahových ploch.</w:t>
      </w:r>
      <w:r w:rsidR="00D26ED9">
        <w:t xml:space="preserve"> </w:t>
      </w:r>
      <w:r w:rsidR="004E5F5F">
        <w:t>Vzhledem k tomu, že jednotky dle ZOVB přetrvávají, nadto je však jejich vlastníkům umožněno změnit prohlášení a podřídit se tak NOZ, přičemž mohou zvolit jiný způsob výpočtu podílů na společných částech, nejeví se dualismus právní úpravy v rámci této problematiky jako problém pro adresáty.</w:t>
      </w:r>
    </w:p>
    <w:p w:rsidR="00383CE8" w:rsidRDefault="00383CE8" w:rsidP="0097734E">
      <w:pPr>
        <w:pStyle w:val="Nadpis2"/>
      </w:pPr>
      <w:bookmarkStart w:id="41" w:name="_Toc509413099"/>
      <w:r>
        <w:t>Návrhy de lege ferenda</w:t>
      </w:r>
      <w:bookmarkEnd w:id="41"/>
    </w:p>
    <w:p w:rsidR="00216FC0" w:rsidRDefault="00216FC0" w:rsidP="00216FC0">
      <w:r>
        <w:t>Vzhledem k tomu, že na základě předchozího zkoumání se dvojkolejnost nejeví jako problém</w:t>
      </w:r>
      <w:r w:rsidR="00746E82">
        <w:t>, není nutno nijak zásadně zasahovat do z</w:t>
      </w:r>
      <w:r w:rsidR="008D3965">
        <w:t xml:space="preserve">ákonné úpravy. Judikatura </w:t>
      </w:r>
      <w:r w:rsidR="00746E82">
        <w:t>většinou zdárně nap</w:t>
      </w:r>
      <w:r w:rsidR="008D3965">
        <w:t>omáhá rozřešení sporných otázek.</w:t>
      </w:r>
      <w:r w:rsidR="00746E82">
        <w:t xml:space="preserve"> Která judikatura vydaná k </w:t>
      </w:r>
      <w:r w:rsidR="00B16A37">
        <w:t>SOZ</w:t>
      </w:r>
      <w:r w:rsidR="00746E82">
        <w:t xml:space="preserve"> či ZOVB již není použitelná, odhalují mimo jiné i soukromé publikace v podobě nejen sbírek komentovaných soudních rozhodnutí.</w:t>
      </w:r>
    </w:p>
    <w:p w:rsidR="00520570" w:rsidRDefault="00520570" w:rsidP="00216FC0">
      <w:r>
        <w:t>Z pohledu této práce se může zdát usnesení Vrchního soudu v Praze jako pouhá deklarace opakující, že dvojkolejnost existuje.</w:t>
      </w:r>
      <w:r>
        <w:rPr>
          <w:rStyle w:val="Znakapoznpodarou"/>
        </w:rPr>
        <w:footnoteReference w:id="170"/>
      </w:r>
      <w:r>
        <w:t xml:space="preserve"> Závazné soudní rozhodnutí, že u</w:t>
      </w:r>
      <w:r w:rsidRPr="00520570">
        <w:t>stanovení § 3063</w:t>
      </w:r>
      <w:r>
        <w:t xml:space="preserve"> NOZ</w:t>
      </w:r>
      <w:r w:rsidRPr="00520570">
        <w:t xml:space="preserve"> je speciálním</w:t>
      </w:r>
      <w:r>
        <w:t xml:space="preserve"> ve vztahu k § 3028 odst. 2 NOZ</w:t>
      </w:r>
      <w:r w:rsidRPr="00520570">
        <w:t xml:space="preserve">, dle nějž se dosavadní právní úpravou řídí i vlastnické </w:t>
      </w:r>
      <w:r>
        <w:t>právo k tzv. „starým jednotkám“; a že z</w:t>
      </w:r>
      <w:r w:rsidRPr="00520570">
        <w:t>měna tzv. „starých jedno</w:t>
      </w:r>
      <w:r>
        <w:t>tek“ – jednotky vzniklé dle ZOVB</w:t>
      </w:r>
      <w:r w:rsidRPr="00520570">
        <w:t>, na tzv. „nové jednotky“ – jednotky právně vymezené v rámci bytového spoluvl</w:t>
      </w:r>
      <w:r>
        <w:t>astnictví dle § 1158 a 1159 NOZ</w:t>
      </w:r>
      <w:r w:rsidRPr="00520570">
        <w:t>, je možná jen v rámci speciálního právního procesu za so</w:t>
      </w:r>
      <w:r>
        <w:t xml:space="preserve">uhlasu všech vlastníků jednotek, je však zásadní tečkou za diskusí, co vlastně </w:t>
      </w:r>
      <w:r w:rsidR="008D3965">
        <w:t>NOZ</w:t>
      </w:r>
      <w:r>
        <w:t xml:space="preserve"> přinesl a zároveň pohledem do budoucna umožňujícím se nyní věnovat otázkám, jak co nejlépe aktuální stav řešit ve prospěch smyslu, který zákonodárce změnou sledoval.</w:t>
      </w:r>
      <w:r w:rsidR="00640100">
        <w:t xml:space="preserve"> Tím je respekt k poměrům vzniklým za předchozí úpravy a zároveň snaha, aby se věci posunuly dál.</w:t>
      </w:r>
      <w:r w:rsidR="0097734E">
        <w:t xml:space="preserve"> Za tímto účelem by se nabízelo motivovat adresáty k transformaci bytových jednotek starých na jednotky dle NOZ například daňovými výhodami či dotacemi na revitalizaci apod. O obdobném přístupu by se dalo uvažovat i pro účely naplně</w:t>
      </w:r>
      <w:r w:rsidR="009E0EF4">
        <w:t>ní superficiální zásady. Bližší rozbor takových idejí však přesahuje rozsah této práce.</w:t>
      </w:r>
    </w:p>
    <w:p w:rsidR="00B91527" w:rsidRDefault="008D3965" w:rsidP="00B91527">
      <w:r>
        <w:lastRenderedPageBreak/>
        <w:t>Při detailnějším pohledu je možno zákonodárci doporučit přesněji upravit některé sporné otázky, jako například existenci zákonného předkupního práva k pozemku pro vlastníky jednotek v domě na pozemku stojícím nebo specifika příslušenství jednotek. Lze však očekávat, že i s těmito dílčími otázkami se judikatura vypořádá</w:t>
      </w:r>
      <w:r w:rsidR="00B91527">
        <w:t>, pokud si zákonodárce své slovo nevezme.</w:t>
      </w:r>
    </w:p>
    <w:p w:rsidR="00B91527" w:rsidRDefault="00B91527" w:rsidP="00B91527">
      <w:pPr>
        <w:pStyle w:val="Nadpis1"/>
        <w:numPr>
          <w:ilvl w:val="0"/>
          <w:numId w:val="0"/>
        </w:numPr>
        <w:jc w:val="left"/>
      </w:pPr>
      <w:bookmarkStart w:id="43" w:name="_Toc509413100"/>
      <w:r>
        <w:t>Závěr</w:t>
      </w:r>
      <w:bookmarkEnd w:id="43"/>
    </w:p>
    <w:p w:rsidR="00463FEE" w:rsidRPr="00463FEE" w:rsidRDefault="00463FEE" w:rsidP="00B91527">
      <w:pPr>
        <w:rPr>
          <w:b/>
        </w:rPr>
      </w:pPr>
      <w:r>
        <w:rPr>
          <w:rFonts w:cs="Arial"/>
          <w:color w:val="000000"/>
          <w:szCs w:val="19"/>
        </w:rPr>
        <w:t>Můžeme uzavřít, že problém dvojkolejnosti již nemusí vypadat tak komplikovaně jako na počátku a jeho řešení se zdá být poměrně jednoduché. Dle slov P. Petra totiž rozdíl v právním režimu jednotek směřuje jen dovnitř, je tak nutné vždy správně vymezit obsah jednotky podle ZOVB, která obsahuje byt a s ním také podíl na společných částech domu, resp. pozemku, které musejí být výslovně zmíněny z důvodu určitosti právního jednání. Pro vnější poměr se posuzují právní vztahy k jednotkám starým i novým bez jakéhokoliv rozdílu. Například v textu dvou kupních smluv k jednotce dle dvou úprav bude rozdíl jen ve vymezení předmětu koupě. V případě jednotky dle ZOVB je nutno, aby z textu smlouvy bylo zřejmé i, že v případě spoluvlastnictví pozemku je předmětem i vklad vlastnického práva k příslušnému podílu na tomto pozemku. Na takové případy se bude zřejmě moci aplikovat ustanovení § 1223 NOZ o přídatném spoluvlastnictví.</w:t>
      </w:r>
      <w:r>
        <w:rPr>
          <w:rStyle w:val="Znakapoznpodarou"/>
          <w:rFonts w:cs="Arial"/>
          <w:color w:val="000000"/>
          <w:szCs w:val="19"/>
        </w:rPr>
        <w:footnoteReference w:id="171"/>
      </w:r>
    </w:p>
    <w:p w:rsidR="000246E7" w:rsidRDefault="000246E7" w:rsidP="00B91527">
      <w:r>
        <w:t xml:space="preserve">Dvojkolejnost způsobuje určité nejasnosti, ale s ohledem na význam hodnoty, kterou zákonodárce při jejím zakotvení sledoval, se tyto nejasnosti nezdají být zásadního významu, a to i díky řešením nalezeným v několikaletých diskusích na toto téma probíhajících mezi odborníky. Dvojkolejnost je jen dalším projevem práva jako lidského výtvoru, který se snaží reflektovat společenskou realitu. Byť jsou nejasnosti řešitelné, budeme se s jejich důsledky potýkat ještě dlouhá desetiletí. </w:t>
      </w:r>
    </w:p>
    <w:p w:rsidR="00FB01BD" w:rsidRDefault="00FB01BD" w:rsidP="00FD4610">
      <w:pPr>
        <w:ind w:firstLine="0"/>
      </w:pPr>
      <w:r>
        <w:br w:type="page"/>
      </w:r>
    </w:p>
    <w:p w:rsidR="00B91527" w:rsidRDefault="00FB01BD" w:rsidP="000133EB">
      <w:pPr>
        <w:pStyle w:val="Nadpis1"/>
        <w:numPr>
          <w:ilvl w:val="0"/>
          <w:numId w:val="0"/>
        </w:numPr>
      </w:pPr>
      <w:bookmarkStart w:id="44" w:name="_Toc509413101"/>
      <w:r>
        <w:lastRenderedPageBreak/>
        <w:t xml:space="preserve">Seznam </w:t>
      </w:r>
      <w:r w:rsidR="000133EB">
        <w:t xml:space="preserve">použité </w:t>
      </w:r>
      <w:r>
        <w:t>literatury</w:t>
      </w:r>
      <w:bookmarkEnd w:id="44"/>
    </w:p>
    <w:p w:rsidR="000133EB" w:rsidRDefault="000133EB" w:rsidP="000133EB">
      <w:pPr>
        <w:pStyle w:val="Nadpis2"/>
        <w:numPr>
          <w:ilvl w:val="0"/>
          <w:numId w:val="0"/>
        </w:numPr>
      </w:pPr>
      <w:bookmarkStart w:id="45" w:name="_Toc509413102"/>
      <w:r>
        <w:t>Monografie</w:t>
      </w:r>
      <w:bookmarkEnd w:id="45"/>
    </w:p>
    <w:p w:rsidR="00600B52" w:rsidRPr="00203FCB" w:rsidRDefault="00600B52" w:rsidP="00600B52">
      <w:pPr>
        <w:ind w:left="567" w:firstLine="0"/>
        <w:rPr>
          <w:szCs w:val="24"/>
        </w:rPr>
      </w:pPr>
      <w:r w:rsidRPr="00203FCB">
        <w:rPr>
          <w:szCs w:val="24"/>
        </w:rPr>
        <w:t>SPÁČIL, J</w:t>
      </w:r>
      <w:r w:rsidR="0047082A">
        <w:rPr>
          <w:szCs w:val="24"/>
        </w:rPr>
        <w:t>iří</w:t>
      </w:r>
      <w:r w:rsidRPr="00203FCB">
        <w:rPr>
          <w:szCs w:val="24"/>
        </w:rPr>
        <w:t xml:space="preserve">. </w:t>
      </w:r>
      <w:r w:rsidRPr="0047082A">
        <w:rPr>
          <w:i/>
          <w:szCs w:val="24"/>
        </w:rPr>
        <w:t>Ochrana vlastnictví a držby v občanském zákoníku.</w:t>
      </w:r>
      <w:r w:rsidRPr="00203FCB">
        <w:rPr>
          <w:szCs w:val="24"/>
        </w:rPr>
        <w:t xml:space="preserve"> 2. vyd. Praha</w:t>
      </w:r>
      <w:r w:rsidR="00203FCB" w:rsidRPr="00203FCB">
        <w:rPr>
          <w:szCs w:val="24"/>
        </w:rPr>
        <w:t>: C. H. Beck, 2005, s. 272</w:t>
      </w:r>
      <w:r w:rsidRPr="00203FCB">
        <w:rPr>
          <w:szCs w:val="24"/>
        </w:rPr>
        <w:t>.</w:t>
      </w:r>
    </w:p>
    <w:p w:rsidR="00600B52" w:rsidRPr="00203FCB" w:rsidRDefault="00600B52" w:rsidP="00203FCB">
      <w:pPr>
        <w:ind w:left="567" w:firstLine="0"/>
        <w:rPr>
          <w:szCs w:val="24"/>
        </w:rPr>
      </w:pPr>
      <w:r w:rsidRPr="00203FCB">
        <w:rPr>
          <w:szCs w:val="24"/>
        </w:rPr>
        <w:t xml:space="preserve">GARNETT, D. </w:t>
      </w:r>
      <w:r w:rsidRPr="0047082A">
        <w:rPr>
          <w:i/>
          <w:szCs w:val="24"/>
        </w:rPr>
        <w:t xml:space="preserve">Housing Finance. London: The Chartered </w:t>
      </w:r>
      <w:r w:rsidR="00203FCB" w:rsidRPr="0047082A">
        <w:rPr>
          <w:i/>
          <w:szCs w:val="24"/>
        </w:rPr>
        <w:t>Institute of Housing</w:t>
      </w:r>
      <w:r w:rsidR="00203FCB" w:rsidRPr="00203FCB">
        <w:rPr>
          <w:szCs w:val="24"/>
        </w:rPr>
        <w:t>. 2001, s. 285</w:t>
      </w:r>
      <w:r w:rsidRPr="00203FCB">
        <w:rPr>
          <w:szCs w:val="24"/>
        </w:rPr>
        <w:t>.</w:t>
      </w:r>
    </w:p>
    <w:p w:rsidR="00600B52" w:rsidRPr="00203FCB" w:rsidRDefault="00600B52" w:rsidP="00600B52">
      <w:pPr>
        <w:rPr>
          <w:szCs w:val="24"/>
        </w:rPr>
      </w:pPr>
      <w:r w:rsidRPr="00203FCB">
        <w:rPr>
          <w:szCs w:val="24"/>
        </w:rPr>
        <w:t>PETR, P</w:t>
      </w:r>
      <w:r w:rsidR="0047082A">
        <w:rPr>
          <w:szCs w:val="24"/>
        </w:rPr>
        <w:t>avel</w:t>
      </w:r>
      <w:r w:rsidRPr="00203FCB">
        <w:rPr>
          <w:szCs w:val="24"/>
        </w:rPr>
        <w:t xml:space="preserve">. </w:t>
      </w:r>
      <w:r w:rsidRPr="0047082A">
        <w:rPr>
          <w:i/>
          <w:szCs w:val="24"/>
        </w:rPr>
        <w:t xml:space="preserve">Vlastnictví bytů – kondominium. </w:t>
      </w:r>
      <w:r w:rsidRPr="00203FCB">
        <w:rPr>
          <w:szCs w:val="24"/>
        </w:rPr>
        <w:t>1. vydání. Praha: C. H. Beck, 2017, s.</w:t>
      </w:r>
      <w:r w:rsidR="00203FCB" w:rsidRPr="00203FCB">
        <w:rPr>
          <w:szCs w:val="24"/>
        </w:rPr>
        <w:t xml:space="preserve"> 144</w:t>
      </w:r>
    </w:p>
    <w:p w:rsidR="004E314C" w:rsidRPr="00203FCB" w:rsidRDefault="004E314C" w:rsidP="00600B52">
      <w:pPr>
        <w:rPr>
          <w:szCs w:val="24"/>
        </w:rPr>
      </w:pPr>
      <w:r w:rsidRPr="00203FCB">
        <w:rPr>
          <w:szCs w:val="24"/>
        </w:rPr>
        <w:t>FIALA, J</w:t>
      </w:r>
      <w:r w:rsidR="0047082A">
        <w:rPr>
          <w:szCs w:val="24"/>
        </w:rPr>
        <w:t>osef</w:t>
      </w:r>
      <w:r w:rsidRPr="00203FCB">
        <w:rPr>
          <w:szCs w:val="24"/>
        </w:rPr>
        <w:t xml:space="preserve">. </w:t>
      </w:r>
      <w:r w:rsidRPr="0047082A">
        <w:rPr>
          <w:i/>
          <w:szCs w:val="24"/>
        </w:rPr>
        <w:t>Bytové vlastnictví v ČR.</w:t>
      </w:r>
      <w:r w:rsidRPr="00203FCB">
        <w:rPr>
          <w:szCs w:val="24"/>
        </w:rPr>
        <w:t xml:space="preserve"> Brno: Iuridica Brunensia, 1995, s. 15</w:t>
      </w:r>
      <w:r w:rsidR="00203FCB" w:rsidRPr="00203FCB">
        <w:rPr>
          <w:szCs w:val="24"/>
        </w:rPr>
        <w:t>2</w:t>
      </w:r>
      <w:r w:rsidRPr="00203FCB">
        <w:rPr>
          <w:szCs w:val="24"/>
        </w:rPr>
        <w:t>.</w:t>
      </w:r>
    </w:p>
    <w:p w:rsidR="004E314C" w:rsidRPr="00203FCB" w:rsidRDefault="004E314C" w:rsidP="00203FCB">
      <w:pPr>
        <w:ind w:left="567" w:firstLine="0"/>
        <w:rPr>
          <w:szCs w:val="24"/>
        </w:rPr>
      </w:pPr>
      <w:r w:rsidRPr="00203FCB">
        <w:rPr>
          <w:szCs w:val="24"/>
        </w:rPr>
        <w:t>LUBY, Š</w:t>
      </w:r>
      <w:r w:rsidR="0047082A">
        <w:rPr>
          <w:szCs w:val="24"/>
        </w:rPr>
        <w:t>tefan</w:t>
      </w:r>
      <w:r w:rsidRPr="00203FCB">
        <w:rPr>
          <w:szCs w:val="24"/>
        </w:rPr>
        <w:t xml:space="preserve">. </w:t>
      </w:r>
      <w:r w:rsidRPr="00203FCB">
        <w:rPr>
          <w:i/>
          <w:szCs w:val="24"/>
        </w:rPr>
        <w:t>Vlastnictvo bytov</w:t>
      </w:r>
      <w:r w:rsidRPr="00203FCB">
        <w:rPr>
          <w:szCs w:val="24"/>
        </w:rPr>
        <w:t>. Bratislava: Vydavateľstvo Sloven</w:t>
      </w:r>
      <w:r w:rsidR="00203FCB">
        <w:rPr>
          <w:szCs w:val="24"/>
        </w:rPr>
        <w:t>skej akadémie vied,1971, s 200.</w:t>
      </w:r>
    </w:p>
    <w:p w:rsidR="004E314C" w:rsidRPr="00203FCB" w:rsidRDefault="004E314C" w:rsidP="004E314C">
      <w:pPr>
        <w:ind w:left="567" w:firstLine="0"/>
        <w:rPr>
          <w:szCs w:val="24"/>
        </w:rPr>
      </w:pPr>
      <w:r w:rsidRPr="00203FCB">
        <w:rPr>
          <w:szCs w:val="24"/>
        </w:rPr>
        <w:t xml:space="preserve">KRATOCHVÍL, Zdeněk. </w:t>
      </w:r>
      <w:r w:rsidRPr="00203FCB">
        <w:rPr>
          <w:i/>
          <w:szCs w:val="24"/>
        </w:rPr>
        <w:t>Nové občanské právo</w:t>
      </w:r>
      <w:r w:rsidRPr="00203FCB">
        <w:rPr>
          <w:szCs w:val="24"/>
        </w:rPr>
        <w:t>. Praha: Orbis, 1965, s. 200</w:t>
      </w:r>
      <w:r w:rsidR="002B37A3">
        <w:rPr>
          <w:szCs w:val="24"/>
        </w:rPr>
        <w:t>.</w:t>
      </w:r>
    </w:p>
    <w:p w:rsidR="004E314C" w:rsidRPr="00203FCB" w:rsidRDefault="004E314C" w:rsidP="004E314C">
      <w:pPr>
        <w:ind w:left="567" w:firstLine="0"/>
        <w:rPr>
          <w:szCs w:val="24"/>
        </w:rPr>
      </w:pPr>
      <w:r w:rsidRPr="00203FCB">
        <w:rPr>
          <w:szCs w:val="24"/>
        </w:rPr>
        <w:t xml:space="preserve">KABELKOVÁ, Eva, SHÖDELBAUEROVÁ, Pavla. </w:t>
      </w:r>
      <w:r w:rsidRPr="00203FCB">
        <w:rPr>
          <w:i/>
          <w:szCs w:val="24"/>
        </w:rPr>
        <w:t xml:space="preserve">Bytové spoluvlastnictví v novém občanském zákoníku. </w:t>
      </w:r>
      <w:r w:rsidRPr="00203FCB">
        <w:rPr>
          <w:szCs w:val="24"/>
        </w:rPr>
        <w:t>1.vydání. Praha: Nakladatelství C. H. Beck, 2013, s. 16.</w:t>
      </w:r>
    </w:p>
    <w:p w:rsidR="004E314C" w:rsidRPr="00203FCB" w:rsidRDefault="004E314C" w:rsidP="004E314C">
      <w:pPr>
        <w:ind w:left="567" w:firstLine="0"/>
        <w:rPr>
          <w:color w:val="000000" w:themeColor="text1"/>
          <w:szCs w:val="24"/>
        </w:rPr>
      </w:pPr>
      <w:r w:rsidRPr="00203FCB">
        <w:rPr>
          <w:color w:val="000000" w:themeColor="text1"/>
          <w:szCs w:val="24"/>
        </w:rPr>
        <w:t>MELZER, F</w:t>
      </w:r>
      <w:r w:rsidR="0047082A">
        <w:rPr>
          <w:color w:val="000000" w:themeColor="text1"/>
          <w:szCs w:val="24"/>
        </w:rPr>
        <w:t>ilip</w:t>
      </w:r>
      <w:r w:rsidRPr="00203FCB">
        <w:rPr>
          <w:color w:val="000000" w:themeColor="text1"/>
          <w:szCs w:val="24"/>
        </w:rPr>
        <w:t xml:space="preserve">. </w:t>
      </w:r>
      <w:r w:rsidRPr="00203FCB">
        <w:rPr>
          <w:i/>
          <w:color w:val="000000" w:themeColor="text1"/>
          <w:szCs w:val="24"/>
        </w:rPr>
        <w:t>Metodologie nalézání práva. Úvod do právní argumentace, 2. vydání</w:t>
      </w:r>
      <w:r w:rsidR="002B37A3">
        <w:rPr>
          <w:color w:val="000000" w:themeColor="text1"/>
          <w:szCs w:val="24"/>
        </w:rPr>
        <w:t>. Praha: C. H. Beck, 2011, s. 360.</w:t>
      </w:r>
    </w:p>
    <w:p w:rsidR="00E661E5" w:rsidRPr="00203FCB" w:rsidRDefault="00E661E5" w:rsidP="004E314C">
      <w:pPr>
        <w:ind w:left="567" w:firstLine="0"/>
        <w:rPr>
          <w:szCs w:val="24"/>
        </w:rPr>
      </w:pPr>
      <w:r w:rsidRPr="00203FCB">
        <w:rPr>
          <w:szCs w:val="24"/>
        </w:rPr>
        <w:t xml:space="preserve">ELIÁŠ, Karel, ZUKLÍNOVÁ, Michaela. </w:t>
      </w:r>
      <w:r w:rsidRPr="00203FCB">
        <w:rPr>
          <w:i/>
          <w:szCs w:val="24"/>
        </w:rPr>
        <w:t>Principy a východiska nového kodexu soukromého práva</w:t>
      </w:r>
      <w:r w:rsidR="002B37A3">
        <w:rPr>
          <w:szCs w:val="24"/>
        </w:rPr>
        <w:t>. Praha: Linde, 2001, s. 302</w:t>
      </w:r>
      <w:r w:rsidRPr="00203FCB">
        <w:rPr>
          <w:szCs w:val="24"/>
        </w:rPr>
        <w:t>.</w:t>
      </w:r>
    </w:p>
    <w:p w:rsidR="00E661E5" w:rsidRPr="00203FCB" w:rsidRDefault="00E661E5" w:rsidP="004E314C">
      <w:pPr>
        <w:ind w:left="567" w:firstLine="0"/>
        <w:rPr>
          <w:szCs w:val="24"/>
        </w:rPr>
      </w:pPr>
      <w:r w:rsidRPr="00203FCB">
        <w:rPr>
          <w:szCs w:val="24"/>
        </w:rPr>
        <w:t xml:space="preserve">ELIÁŠ, Karel, HAVEL, Bohumil. </w:t>
      </w:r>
      <w:r w:rsidRPr="00203FCB">
        <w:rPr>
          <w:i/>
          <w:szCs w:val="24"/>
        </w:rPr>
        <w:t xml:space="preserve">Osnova občanského zákoníku. Osnova zákona o obchodních korporacích. </w:t>
      </w:r>
      <w:r w:rsidR="002B37A3">
        <w:rPr>
          <w:szCs w:val="24"/>
        </w:rPr>
        <w:t>Plzeň: Aleš Čeněk, 2009, s. 574.</w:t>
      </w:r>
    </w:p>
    <w:p w:rsidR="00E661E5" w:rsidRPr="00203FCB" w:rsidRDefault="00E661E5" w:rsidP="004E314C">
      <w:pPr>
        <w:ind w:left="567" w:firstLine="0"/>
        <w:rPr>
          <w:szCs w:val="24"/>
        </w:rPr>
      </w:pPr>
      <w:r w:rsidRPr="00203FCB">
        <w:rPr>
          <w:szCs w:val="24"/>
        </w:rPr>
        <w:t xml:space="preserve">SÝKOROVÁ, Pavla. </w:t>
      </w:r>
      <w:r w:rsidRPr="00203FCB">
        <w:rPr>
          <w:i/>
          <w:szCs w:val="24"/>
        </w:rPr>
        <w:t>Bytové spoluvlastnictví v teorii a praxi</w:t>
      </w:r>
      <w:r w:rsidR="002B37A3">
        <w:rPr>
          <w:szCs w:val="24"/>
        </w:rPr>
        <w:t>. Praha: Leges, 2015, s. 224</w:t>
      </w:r>
      <w:r w:rsidRPr="00203FCB">
        <w:rPr>
          <w:szCs w:val="24"/>
        </w:rPr>
        <w:t>.</w:t>
      </w:r>
    </w:p>
    <w:p w:rsidR="00E661E5" w:rsidRPr="00203FCB" w:rsidRDefault="00E661E5" w:rsidP="004E314C">
      <w:pPr>
        <w:ind w:left="567" w:firstLine="0"/>
        <w:rPr>
          <w:szCs w:val="24"/>
        </w:rPr>
      </w:pPr>
      <w:r w:rsidRPr="00203FCB">
        <w:rPr>
          <w:szCs w:val="24"/>
        </w:rPr>
        <w:t xml:space="preserve">KINDL, M. </w:t>
      </w:r>
      <w:r w:rsidRPr="00203FCB">
        <w:rPr>
          <w:i/>
          <w:szCs w:val="24"/>
        </w:rPr>
        <w:t>Právo nemovitostí.</w:t>
      </w:r>
      <w:r w:rsidRPr="00203FCB">
        <w:rPr>
          <w:szCs w:val="24"/>
        </w:rPr>
        <w:t xml:space="preserve"> 1. vydání. Praha: C. H. Beck, 2015, s.</w:t>
      </w:r>
      <w:r w:rsidR="002B37A3">
        <w:rPr>
          <w:szCs w:val="24"/>
        </w:rPr>
        <w:t xml:space="preserve"> 504</w:t>
      </w:r>
      <w:r w:rsidRPr="00203FCB">
        <w:rPr>
          <w:szCs w:val="24"/>
        </w:rPr>
        <w:t>.</w:t>
      </w:r>
    </w:p>
    <w:p w:rsidR="00E661E5" w:rsidRPr="00203FCB" w:rsidRDefault="0047082A" w:rsidP="004E314C">
      <w:pPr>
        <w:ind w:left="567" w:firstLine="0"/>
        <w:rPr>
          <w:szCs w:val="24"/>
        </w:rPr>
      </w:pPr>
      <w:r>
        <w:rPr>
          <w:szCs w:val="24"/>
        </w:rPr>
        <w:t>ŠUSTROVÁ, Daniela, BOROVIČKA, Petr</w:t>
      </w:r>
      <w:r w:rsidR="00E661E5" w:rsidRPr="00203FCB">
        <w:rPr>
          <w:szCs w:val="24"/>
        </w:rPr>
        <w:t>, HOLÝ, J</w:t>
      </w:r>
      <w:r>
        <w:rPr>
          <w:szCs w:val="24"/>
        </w:rPr>
        <w:t>aroslav</w:t>
      </w:r>
      <w:r w:rsidR="00E661E5" w:rsidRPr="00203FCB">
        <w:rPr>
          <w:szCs w:val="24"/>
        </w:rPr>
        <w:t xml:space="preserve">. </w:t>
      </w:r>
      <w:r w:rsidR="00E661E5" w:rsidRPr="00203FCB">
        <w:rPr>
          <w:i/>
          <w:szCs w:val="24"/>
        </w:rPr>
        <w:t>Katastr nemovitostí.</w:t>
      </w:r>
      <w:r w:rsidR="00E661E5" w:rsidRPr="00203FCB">
        <w:rPr>
          <w:szCs w:val="24"/>
        </w:rPr>
        <w:t xml:space="preserve"> 2. vydání. Praha: Wolters Kluwer ČR, 2017, s. 3</w:t>
      </w:r>
      <w:r w:rsidR="002B37A3">
        <w:rPr>
          <w:szCs w:val="24"/>
        </w:rPr>
        <w:t>88.</w:t>
      </w:r>
    </w:p>
    <w:p w:rsidR="00F92A34" w:rsidRPr="00203FCB" w:rsidRDefault="00F92A34" w:rsidP="004E314C">
      <w:pPr>
        <w:ind w:left="567" w:firstLine="0"/>
        <w:rPr>
          <w:szCs w:val="24"/>
        </w:rPr>
      </w:pPr>
      <w:r w:rsidRPr="00203FCB">
        <w:rPr>
          <w:szCs w:val="24"/>
        </w:rPr>
        <w:t xml:space="preserve">ČÁP, Jiří. </w:t>
      </w:r>
      <w:r w:rsidRPr="0047082A">
        <w:rPr>
          <w:i/>
          <w:szCs w:val="24"/>
        </w:rPr>
        <w:t>Vlastnictví bytů, správa domu a rozhodování ve společenství vlastníků</w:t>
      </w:r>
      <w:r w:rsidRPr="00203FCB">
        <w:rPr>
          <w:szCs w:val="24"/>
        </w:rPr>
        <w:t xml:space="preserve">. 1. vydání. Praha: Wolters Kluwer ČR, 2011, </w:t>
      </w:r>
      <w:r w:rsidR="002B37A3">
        <w:rPr>
          <w:szCs w:val="24"/>
        </w:rPr>
        <w:t>s. 232.</w:t>
      </w:r>
    </w:p>
    <w:p w:rsidR="00600B52" w:rsidRDefault="00600B52" w:rsidP="00600B52">
      <w:pPr>
        <w:pStyle w:val="Nadpis2"/>
        <w:numPr>
          <w:ilvl w:val="0"/>
          <w:numId w:val="0"/>
        </w:numPr>
      </w:pPr>
      <w:bookmarkStart w:id="46" w:name="_Toc509413103"/>
      <w:r>
        <w:t>Komentáře</w:t>
      </w:r>
      <w:bookmarkEnd w:id="46"/>
    </w:p>
    <w:p w:rsidR="0047082A" w:rsidRPr="0047082A" w:rsidRDefault="0047082A" w:rsidP="0047082A">
      <w:pPr>
        <w:ind w:left="567" w:firstLine="0"/>
        <w:rPr>
          <w:szCs w:val="24"/>
        </w:rPr>
      </w:pPr>
      <w:r w:rsidRPr="00203FCB">
        <w:rPr>
          <w:szCs w:val="24"/>
        </w:rPr>
        <w:t xml:space="preserve">NOVOTNÝ, Marek, a kol. </w:t>
      </w:r>
      <w:r w:rsidRPr="0047082A">
        <w:rPr>
          <w:i/>
          <w:szCs w:val="24"/>
        </w:rPr>
        <w:t>Bytové spoluvlastnictví a bytová družstva. Komentář.</w:t>
      </w:r>
      <w:r w:rsidRPr="00203FCB">
        <w:rPr>
          <w:szCs w:val="24"/>
        </w:rPr>
        <w:t xml:space="preserve"> 1. vydání. Praha: Naklada</w:t>
      </w:r>
      <w:r>
        <w:rPr>
          <w:szCs w:val="24"/>
        </w:rPr>
        <w:t>telství C. H. Beck, 2016, s. 416.</w:t>
      </w:r>
    </w:p>
    <w:p w:rsidR="00600B52" w:rsidRDefault="00600B52" w:rsidP="00600B52">
      <w:pPr>
        <w:ind w:left="567" w:firstLine="0"/>
      </w:pPr>
      <w:r>
        <w:t xml:space="preserve">SPÁČIL, Jiří, a kol. </w:t>
      </w:r>
      <w:r w:rsidRPr="007A73B3">
        <w:rPr>
          <w:i/>
        </w:rPr>
        <w:t>Občanský zákoník III. Věcná práva</w:t>
      </w:r>
      <w:r>
        <w:rPr>
          <w:i/>
        </w:rPr>
        <w:t>, komentář.</w:t>
      </w:r>
      <w:r>
        <w:t xml:space="preserve"> (§ 976–1474). 1. vydání. Praha: Naklada</w:t>
      </w:r>
      <w:r w:rsidR="002B37A3">
        <w:t>telství C. H. Beck, 2013, s. 1280.</w:t>
      </w:r>
    </w:p>
    <w:p w:rsidR="004E314C" w:rsidRDefault="004E314C" w:rsidP="00600B52">
      <w:pPr>
        <w:ind w:left="567" w:firstLine="0"/>
      </w:pPr>
      <w:r w:rsidRPr="007F7EF4">
        <w:t xml:space="preserve">NOVOTNÝ, Marek, </w:t>
      </w:r>
      <w:r>
        <w:t>a kol</w:t>
      </w:r>
      <w:r w:rsidRPr="007F7EF4">
        <w:t xml:space="preserve">. </w:t>
      </w:r>
      <w:r w:rsidRPr="007F7EF4">
        <w:rPr>
          <w:i/>
        </w:rPr>
        <w:t xml:space="preserve">Zákon o vlastnictví bytů. Komentář, </w:t>
      </w:r>
      <w:r w:rsidRPr="00A373C6">
        <w:t>4. vydání.</w:t>
      </w:r>
      <w:r w:rsidRPr="007F7EF4">
        <w:t xml:space="preserve"> Praha: Nakla</w:t>
      </w:r>
      <w:r w:rsidR="002B37A3">
        <w:t>datelství C. H. Beck, 2011, s. 608</w:t>
      </w:r>
      <w:r w:rsidRPr="007F7EF4">
        <w:t>.</w:t>
      </w:r>
    </w:p>
    <w:p w:rsidR="004E314C" w:rsidRDefault="004E314C" w:rsidP="00600B52">
      <w:pPr>
        <w:ind w:left="567" w:firstLine="0"/>
      </w:pPr>
      <w:r w:rsidRPr="007F7EF4">
        <w:t xml:space="preserve">NOVOTNÝ, Marek, </w:t>
      </w:r>
      <w:r>
        <w:t>a kol</w:t>
      </w:r>
      <w:r w:rsidRPr="007F7EF4">
        <w:t xml:space="preserve">. </w:t>
      </w:r>
      <w:r w:rsidRPr="007F7EF4">
        <w:rPr>
          <w:i/>
        </w:rPr>
        <w:t xml:space="preserve">Zákon o vlastnictví bytů. Komentář, </w:t>
      </w:r>
      <w:r w:rsidRPr="00A373C6">
        <w:t>3. vydání.</w:t>
      </w:r>
      <w:r w:rsidRPr="007F7EF4">
        <w:t xml:space="preserve"> Praha: Nakladatelství C. H.</w:t>
      </w:r>
      <w:r w:rsidR="002B37A3">
        <w:t xml:space="preserve"> Beck, 2005, s. 504</w:t>
      </w:r>
      <w:r>
        <w:t>.</w:t>
      </w:r>
    </w:p>
    <w:p w:rsidR="004E314C" w:rsidRDefault="004E314C" w:rsidP="00600B52">
      <w:pPr>
        <w:ind w:left="567" w:firstLine="0"/>
      </w:pPr>
      <w:r>
        <w:lastRenderedPageBreak/>
        <w:t>ŠVESTKA, J</w:t>
      </w:r>
      <w:r w:rsidR="0047082A">
        <w:t>iří</w:t>
      </w:r>
      <w:r>
        <w:t xml:space="preserve">. a kol. </w:t>
      </w:r>
      <w:r w:rsidRPr="00A373C6">
        <w:rPr>
          <w:i/>
        </w:rPr>
        <w:t>Občanský zákoník. Komentář. Svazek III.</w:t>
      </w:r>
      <w:r>
        <w:t xml:space="preserve"> Praha: Wolters Kl</w:t>
      </w:r>
      <w:r w:rsidR="002B37A3">
        <w:t>uwer, 2014, s. 1328</w:t>
      </w:r>
      <w:r>
        <w:t>.</w:t>
      </w:r>
    </w:p>
    <w:p w:rsidR="004E314C" w:rsidRDefault="004E314C" w:rsidP="00600B52">
      <w:pPr>
        <w:ind w:left="567" w:firstLine="0"/>
      </w:pPr>
      <w:r>
        <w:t xml:space="preserve">LAVICKÝ, Petr a kol. </w:t>
      </w:r>
      <w:r w:rsidRPr="00B13B3C">
        <w:rPr>
          <w:i/>
        </w:rPr>
        <w:t>Občanský zákoník I. Obecná část (§ 1−654).</w:t>
      </w:r>
      <w:r>
        <w:t xml:space="preserve"> 1. vydání. Praha: Nakladatelství C. H. Beck, 2014, s. 2</w:t>
      </w:r>
      <w:r w:rsidR="002B37A3">
        <w:t>400.</w:t>
      </w:r>
    </w:p>
    <w:p w:rsidR="004E314C" w:rsidRDefault="004E314C" w:rsidP="00600B52">
      <w:pPr>
        <w:ind w:left="567" w:firstLine="0"/>
      </w:pPr>
      <w:r>
        <w:t>PETROV, J</w:t>
      </w:r>
      <w:r w:rsidR="0047082A">
        <w:t>an</w:t>
      </w:r>
      <w:r>
        <w:t xml:space="preserve">. a kol. </w:t>
      </w:r>
      <w:r w:rsidRPr="00054BC5">
        <w:rPr>
          <w:i/>
        </w:rPr>
        <w:t>Občanský zákoník. Komentář. 1. vydání</w:t>
      </w:r>
      <w:r>
        <w:t xml:space="preserve">. </w:t>
      </w:r>
      <w:r w:rsidR="002B37A3">
        <w:t>Praha: C. H. Beck, 2017, s. 3120.</w:t>
      </w:r>
    </w:p>
    <w:p w:rsidR="00E661E5" w:rsidRDefault="00E661E5" w:rsidP="00600B52">
      <w:pPr>
        <w:ind w:left="567" w:firstLine="0"/>
      </w:pPr>
      <w:r w:rsidRPr="00E661E5">
        <w:t>WAGNEROVÁ, E</w:t>
      </w:r>
      <w:r w:rsidR="0047082A">
        <w:t>liška</w:t>
      </w:r>
      <w:r w:rsidRPr="00E661E5">
        <w:t xml:space="preserve">. </w:t>
      </w:r>
      <w:r>
        <w:t xml:space="preserve">a </w:t>
      </w:r>
      <w:r w:rsidRPr="00E661E5">
        <w:t xml:space="preserve">kol. </w:t>
      </w:r>
      <w:r w:rsidRPr="0047082A">
        <w:rPr>
          <w:i/>
        </w:rPr>
        <w:t>Listina základních práv a svobod. Komentář.</w:t>
      </w:r>
      <w:r w:rsidRPr="00E661E5">
        <w:t xml:space="preserve"> Praha: Wolters Kluwer Č</w:t>
      </w:r>
      <w:r w:rsidR="002B37A3">
        <w:t>R, a. s. 2012, s. 931.</w:t>
      </w:r>
    </w:p>
    <w:p w:rsidR="00E661E5" w:rsidRDefault="0047082A" w:rsidP="00600B52">
      <w:pPr>
        <w:ind w:left="567" w:firstLine="0"/>
      </w:pPr>
      <w:r>
        <w:t>MELZER, Filip</w:t>
      </w:r>
      <w:r w:rsidR="00E661E5">
        <w:t>, TÉGL, P</w:t>
      </w:r>
      <w:r>
        <w:t>etr</w:t>
      </w:r>
      <w:r w:rsidR="00E661E5">
        <w:t xml:space="preserve">. a kolektiv: </w:t>
      </w:r>
      <w:r w:rsidR="00E661E5" w:rsidRPr="00673C6E">
        <w:rPr>
          <w:i/>
        </w:rPr>
        <w:t>Občanský zákoník – velký komentář. Svazek III.</w:t>
      </w:r>
      <w:r w:rsidR="00E661E5">
        <w:t xml:space="preserve"> §</w:t>
      </w:r>
      <w:r w:rsidR="002B37A3">
        <w:t xml:space="preserve"> 506. Praha: Leges, 2014, s. 1264</w:t>
      </w:r>
      <w:r w:rsidR="00E661E5">
        <w:t>.</w:t>
      </w:r>
    </w:p>
    <w:p w:rsidR="00F92A34" w:rsidRPr="00600B52" w:rsidRDefault="00F92A34" w:rsidP="00600B52">
      <w:pPr>
        <w:ind w:left="567" w:firstLine="0"/>
      </w:pPr>
      <w:r w:rsidRPr="00F92A34">
        <w:t xml:space="preserve">ELIÁŠ, Karel a kol. </w:t>
      </w:r>
      <w:r w:rsidRPr="0047082A">
        <w:rPr>
          <w:i/>
        </w:rPr>
        <w:t>Občanský zákoník. Velký akademický komentář. 1. svazek.</w:t>
      </w:r>
      <w:r w:rsidRPr="00F92A34">
        <w:t xml:space="preserve"> Praha: L</w:t>
      </w:r>
      <w:r w:rsidR="002B37A3">
        <w:t>inde Praha, a.s., 2008, str. 1397</w:t>
      </w:r>
      <w:r w:rsidRPr="00F92A34">
        <w:t>.</w:t>
      </w:r>
    </w:p>
    <w:p w:rsidR="00600B52" w:rsidRDefault="00600B52" w:rsidP="00600B52">
      <w:pPr>
        <w:pStyle w:val="Nadpis2"/>
        <w:numPr>
          <w:ilvl w:val="0"/>
          <w:numId w:val="0"/>
        </w:numPr>
      </w:pPr>
      <w:bookmarkStart w:id="47" w:name="_Toc509413104"/>
      <w:r>
        <w:t>Sborníky</w:t>
      </w:r>
      <w:bookmarkEnd w:id="47"/>
    </w:p>
    <w:p w:rsidR="004E314C" w:rsidRPr="004E314C" w:rsidRDefault="004E314C" w:rsidP="004E314C">
      <w:pPr>
        <w:ind w:left="567" w:firstLine="0"/>
      </w:pPr>
      <w:r w:rsidRPr="004E314C">
        <w:t>DVOŘÁK, T</w:t>
      </w:r>
      <w:r w:rsidR="009825B2">
        <w:t>omáš</w:t>
      </w:r>
      <w:r w:rsidRPr="004E314C">
        <w:t xml:space="preserve">. K vymezení nemovitosti, ve které může vzniknout vlastnictví bytů, resp. bytové spoluvlastnictví. In VOJČÍK, P., HUSÁR, J. Pôsobenie práva v 21. storočie. Súkromné právo v súčasnosti a perspektíve. </w:t>
      </w:r>
      <w:r w:rsidRPr="009825B2">
        <w:rPr>
          <w:i/>
        </w:rPr>
        <w:t>Sborník prací z mezinárodní vědecké konference konané v Košicích dne 27. 9. 2013</w:t>
      </w:r>
      <w:r w:rsidRPr="004E314C">
        <w:t>. Košice: Univerzita Pavla Josefa Šafaříka, 2013 s. 50.</w:t>
      </w:r>
    </w:p>
    <w:p w:rsidR="00600B52" w:rsidRDefault="00600B52" w:rsidP="00600B52">
      <w:pPr>
        <w:pStyle w:val="Nadpis2"/>
        <w:numPr>
          <w:ilvl w:val="0"/>
          <w:numId w:val="0"/>
        </w:numPr>
      </w:pPr>
      <w:bookmarkStart w:id="48" w:name="_Toc380257025"/>
      <w:bookmarkStart w:id="49" w:name="_Toc380257256"/>
      <w:bookmarkStart w:id="50" w:name="_Toc380257304"/>
      <w:bookmarkStart w:id="51" w:name="_Toc418094607"/>
      <w:bookmarkStart w:id="52" w:name="_Toc509413105"/>
      <w:r w:rsidRPr="00E726D9">
        <w:t>Články z odborných časopisů</w:t>
      </w:r>
      <w:bookmarkEnd w:id="48"/>
      <w:bookmarkEnd w:id="49"/>
      <w:bookmarkEnd w:id="50"/>
      <w:bookmarkEnd w:id="51"/>
      <w:bookmarkEnd w:id="52"/>
    </w:p>
    <w:p w:rsidR="00600B52" w:rsidRDefault="00600B52" w:rsidP="00600B52">
      <w:pPr>
        <w:ind w:left="567" w:firstLine="0"/>
      </w:pPr>
      <w:r>
        <w:t xml:space="preserve">BEZOUŠKA, Petr. Nájem bytu – výklad základních ustanovení (§ 2235, 2236 ObčZ). </w:t>
      </w:r>
      <w:r w:rsidRPr="00C80D6C">
        <w:rPr>
          <w:i/>
        </w:rPr>
        <w:t>Právní rozhledy</w:t>
      </w:r>
      <w:r>
        <w:t>. 2015, č. 3, s. 77-86</w:t>
      </w:r>
      <w:r w:rsidR="002B37A3">
        <w:t>.</w:t>
      </w:r>
    </w:p>
    <w:p w:rsidR="00600B52" w:rsidRDefault="00600B52" w:rsidP="00600B52">
      <w:pPr>
        <w:ind w:left="567" w:firstLine="0"/>
      </w:pPr>
      <w:r>
        <w:t>ELIÁŠ, Karel. Některé otázky spojené s vlastnictvím bytů</w:t>
      </w:r>
      <w:r w:rsidRPr="00F07060">
        <w:rPr>
          <w:i/>
        </w:rPr>
        <w:t>. Právník</w:t>
      </w:r>
      <w:r w:rsidR="002B37A3">
        <w:t>, 2012, č. 1, s. 14.</w:t>
      </w:r>
    </w:p>
    <w:p w:rsidR="004E314C" w:rsidRDefault="004E314C" w:rsidP="00600B52">
      <w:pPr>
        <w:ind w:left="567" w:firstLine="0"/>
      </w:pPr>
      <w:r w:rsidRPr="004E314C">
        <w:t xml:space="preserve">STIEBER, Miloslav. Reální dělení domů na vlastnické příbytky ve Francii a u nás. </w:t>
      </w:r>
      <w:r w:rsidRPr="00E661E5">
        <w:rPr>
          <w:i/>
        </w:rPr>
        <w:t>Právník</w:t>
      </w:r>
      <w:r w:rsidRPr="004E314C">
        <w:t>, 1926, roč. LXV, č. 3, s. 81 an.</w:t>
      </w:r>
    </w:p>
    <w:p w:rsidR="004E314C" w:rsidRDefault="004E314C" w:rsidP="00600B52">
      <w:pPr>
        <w:ind w:left="567" w:firstLine="0"/>
      </w:pPr>
      <w:r>
        <w:t xml:space="preserve">LUBY, Štefan. Systém osobního vlastníctva bytov v európskych socialistických krajinách. </w:t>
      </w:r>
      <w:r w:rsidRPr="00FA4B3B">
        <w:rPr>
          <w:i/>
        </w:rPr>
        <w:t>Právník</w:t>
      </w:r>
      <w:r>
        <w:t>, 1964, roč. CIII, č. 6, s. 535 an.</w:t>
      </w:r>
    </w:p>
    <w:p w:rsidR="004E314C" w:rsidRDefault="004E314C" w:rsidP="00600B52">
      <w:pPr>
        <w:ind w:left="567" w:firstLine="0"/>
      </w:pPr>
      <w:r>
        <w:t xml:space="preserve">VLÁČIL, David. </w:t>
      </w:r>
      <w:r w:rsidRPr="002E4098">
        <w:t>Společenství vlastníků jednotek podle novely zákona o vlastnictví bytů</w:t>
      </w:r>
      <w:r>
        <w:t xml:space="preserve">. </w:t>
      </w:r>
      <w:r w:rsidRPr="002E4098">
        <w:rPr>
          <w:i/>
        </w:rPr>
        <w:t>Právní rozhledy</w:t>
      </w:r>
      <w:r>
        <w:t>. 2000, č. 10, s. 440–443</w:t>
      </w:r>
      <w:r w:rsidR="002B37A3">
        <w:t>.</w:t>
      </w:r>
    </w:p>
    <w:p w:rsidR="004E314C" w:rsidRDefault="004E314C" w:rsidP="00600B52">
      <w:pPr>
        <w:ind w:left="567" w:firstLine="0"/>
      </w:pPr>
      <w:r>
        <w:t xml:space="preserve">ŠTĚPINA, Jaroslav. </w:t>
      </w:r>
      <w:r w:rsidRPr="001F6562">
        <w:t>Byt jako předmět osobního vlastnictví</w:t>
      </w:r>
      <w:r>
        <w:t xml:space="preserve">. </w:t>
      </w:r>
      <w:r w:rsidRPr="001F6562">
        <w:rPr>
          <w:i/>
        </w:rPr>
        <w:t>Socialistická zákonnost</w:t>
      </w:r>
      <w:r>
        <w:t>, 1966, roč. XIV, s. 17.</w:t>
      </w:r>
    </w:p>
    <w:p w:rsidR="004E314C" w:rsidRDefault="004E314C" w:rsidP="00600B52">
      <w:pPr>
        <w:ind w:left="567" w:firstLine="0"/>
      </w:pPr>
      <w:r>
        <w:t xml:space="preserve">DVOŘÁK, Tomáš. Převod vlastnického práva k jednotce podle nového občanského zákoníku. </w:t>
      </w:r>
      <w:r w:rsidRPr="00B13B3C">
        <w:rPr>
          <w:i/>
        </w:rPr>
        <w:t>Právní rozhledy</w:t>
      </w:r>
      <w:r>
        <w:t>. 2015, č. 2, s. 44-52</w:t>
      </w:r>
    </w:p>
    <w:p w:rsidR="00E661E5" w:rsidRDefault="00E661E5" w:rsidP="00600B52">
      <w:pPr>
        <w:ind w:left="567" w:firstLine="0"/>
      </w:pPr>
      <w:r>
        <w:t xml:space="preserve">TELEC, I. Není rozpor se zákonem jako rozpor se zákonem. </w:t>
      </w:r>
      <w:r w:rsidRPr="003F0669">
        <w:rPr>
          <w:i/>
        </w:rPr>
        <w:t>Právní rozhledy</w:t>
      </w:r>
      <w:r w:rsidR="002B37A3">
        <w:t>, ročník 2004, č. 5, s. 161 an.</w:t>
      </w:r>
    </w:p>
    <w:p w:rsidR="00E661E5" w:rsidRDefault="00E661E5" w:rsidP="00600B52">
      <w:pPr>
        <w:ind w:left="567" w:firstLine="0"/>
      </w:pPr>
      <w:r w:rsidRPr="00E661E5">
        <w:lastRenderedPageBreak/>
        <w:t xml:space="preserve">DVOŘÁK, Tomáš. Vady prohlášení vlastníka a jejich právní následky podle NObčZ. </w:t>
      </w:r>
      <w:r w:rsidRPr="00E661E5">
        <w:rPr>
          <w:i/>
        </w:rPr>
        <w:t>Soudní rozhledy</w:t>
      </w:r>
      <w:r w:rsidRPr="00E661E5">
        <w:t>, 2013, č. 11-12, s. 382-385</w:t>
      </w:r>
      <w:r w:rsidR="002B37A3">
        <w:t>.</w:t>
      </w:r>
    </w:p>
    <w:p w:rsidR="00E661E5" w:rsidRDefault="00E661E5" w:rsidP="00600B52">
      <w:pPr>
        <w:ind w:left="567" w:firstLine="0"/>
      </w:pPr>
      <w:r>
        <w:t xml:space="preserve">ZÍTEK, Adam. Vlastnictví bytů dle nového občanského zákoníku. </w:t>
      </w:r>
      <w:r w:rsidRPr="00AF4D18">
        <w:rPr>
          <w:i/>
        </w:rPr>
        <w:t>Právní rozhledy</w:t>
      </w:r>
      <w:r>
        <w:t>. 2012, č. 8, s. 291-296.</w:t>
      </w:r>
    </w:p>
    <w:p w:rsidR="00E661E5" w:rsidRDefault="00E661E5" w:rsidP="00600B52">
      <w:pPr>
        <w:ind w:left="567" w:firstLine="0"/>
      </w:pPr>
      <w:r>
        <w:t xml:space="preserve">ELIÁŠ, K. Nový občanský zákoník ve Sbírce zákonů. </w:t>
      </w:r>
      <w:r w:rsidRPr="00B40B08">
        <w:rPr>
          <w:i/>
        </w:rPr>
        <w:t>Právní rozhledy</w:t>
      </w:r>
      <w:r>
        <w:t>, 2012, č. 7, s. 234.</w:t>
      </w:r>
    </w:p>
    <w:p w:rsidR="00F92A34" w:rsidRPr="00600B52" w:rsidRDefault="00F92A34" w:rsidP="00600B52">
      <w:pPr>
        <w:ind w:left="567" w:firstLine="0"/>
      </w:pPr>
      <w:r>
        <w:t xml:space="preserve">HORÁK, Ondřej. Sdílí příslušenství osud věci hlavní? Ke změnám v souvislosti s novým občanským zákoníkem. </w:t>
      </w:r>
      <w:r w:rsidRPr="005A4A43">
        <w:rPr>
          <w:i/>
        </w:rPr>
        <w:t>Právní rozhledy</w:t>
      </w:r>
      <w:r w:rsidR="00F0340C">
        <w:t>. 2014. č. 6, s. 194 an.</w:t>
      </w:r>
    </w:p>
    <w:p w:rsidR="00600B52" w:rsidRDefault="00600B52" w:rsidP="00600B52">
      <w:pPr>
        <w:pStyle w:val="Nadpis2"/>
        <w:numPr>
          <w:ilvl w:val="0"/>
          <w:numId w:val="0"/>
        </w:numPr>
      </w:pPr>
      <w:bookmarkStart w:id="53" w:name="_Toc380257027"/>
      <w:bookmarkStart w:id="54" w:name="_Toc380257258"/>
      <w:bookmarkStart w:id="55" w:name="_Toc380257306"/>
      <w:bookmarkStart w:id="56" w:name="_Toc418094608"/>
      <w:bookmarkStart w:id="57" w:name="_Toc509413106"/>
      <w:r w:rsidRPr="00E726D9">
        <w:t>Internetové zdroje</w:t>
      </w:r>
      <w:bookmarkEnd w:id="53"/>
      <w:bookmarkEnd w:id="54"/>
      <w:bookmarkEnd w:id="55"/>
      <w:bookmarkEnd w:id="56"/>
      <w:bookmarkEnd w:id="57"/>
    </w:p>
    <w:p w:rsidR="00EC4A97" w:rsidRDefault="00EC4A97" w:rsidP="004E314C">
      <w:pPr>
        <w:ind w:left="687" w:firstLine="0"/>
      </w:pPr>
      <w:r w:rsidRPr="00EC4A97">
        <w:t>VLÁDA ČR: Důvodová zpráva k NOZ, [online]. obcanskyzakonik.justice.cz, 3. února 2012. Dostupné na &lt;</w:t>
      </w:r>
      <w:hyperlink r:id="rId12" w:history="1">
        <w:r w:rsidRPr="00EC4A97">
          <w:rPr>
            <w:rStyle w:val="Hypertextovodkaz"/>
          </w:rPr>
          <w:t>http://obcanskyzakonik.justice.cz/images/pdf/Duvodova-zprava-NOZ-konsolidovana-verze.pdf</w:t>
        </w:r>
      </w:hyperlink>
      <w:r w:rsidRPr="00EC4A97">
        <w:t>.&gt;</w:t>
      </w:r>
    </w:p>
    <w:p w:rsidR="00EC4A97" w:rsidRDefault="00EC4A97" w:rsidP="00EC4A97">
      <w:pPr>
        <w:ind w:left="687" w:firstLine="0"/>
        <w:jc w:val="left"/>
      </w:pPr>
      <w:r w:rsidRPr="00EC4A97">
        <w:t>VLÁDA ČR: Důvodová zpráva k ZOVB (k § 1), [online]. beck-online.cz, 13. října 1993. Dostupné na &lt;</w:t>
      </w:r>
      <w:hyperlink r:id="rId13" w:history="1">
        <w:r w:rsidRPr="00EC4A97">
          <w:rPr>
            <w:rStyle w:val="Hypertextovodkaz"/>
          </w:rPr>
          <w:t>https://www.beck-online.cz/bo/document-view.seam?documentId=oz5f6mjzhe2f6nzsl5shu&amp;groupIndex=0&amp;rowIndex=0&amp;relationType=reference&amp;referenceType=active&amp;referenceName=dz&amp;originalDocumentId=onrf6mjzhe2f6nzsfuytg&amp;showLowerSectionsRelations=false&amp;activeFacets=11&amp;sortType=sorted-rank-rp&amp;firstPage=0&amp;currentPage=0</w:t>
        </w:r>
      </w:hyperlink>
      <w:r w:rsidRPr="00EC4A97">
        <w:t>&gt;.</w:t>
      </w:r>
    </w:p>
    <w:p w:rsidR="004E314C" w:rsidRDefault="004E314C" w:rsidP="004E314C">
      <w:pPr>
        <w:ind w:left="687" w:firstLine="0"/>
      </w:pPr>
      <w:r w:rsidRPr="004E314C">
        <w:t xml:space="preserve">TÉGL, Petr. Vybrané otázky aplikace přechodných ustanovení [online]. pravniprostor.cz, 15. 7. 2014. Dostupné na </w:t>
      </w:r>
      <w:r w:rsidR="00E661E5">
        <w:t>&lt;</w:t>
      </w:r>
      <w:hyperlink r:id="rId14" w:history="1">
        <w:r w:rsidR="00E661E5" w:rsidRPr="00B7216C">
          <w:rPr>
            <w:rStyle w:val="Hypertextovodkaz"/>
          </w:rPr>
          <w:t>https://www.pravniprostor.cz/clanky/rekodifikace/vybrane-otazky-aplikace-prechodnych-ustanoveni</w:t>
        </w:r>
      </w:hyperlink>
      <w:r w:rsidR="00E661E5">
        <w:t>&gt;</w:t>
      </w:r>
    </w:p>
    <w:p w:rsidR="00E661E5" w:rsidRDefault="00E661E5" w:rsidP="004E314C">
      <w:pPr>
        <w:ind w:left="687" w:firstLine="0"/>
      </w:pPr>
      <w:r>
        <w:t xml:space="preserve">DVOŘÁK, Tomáš. Malá úvaha o (ne)existenci předkupního práva vlastníka jednotky k pozemku. </w:t>
      </w:r>
      <w:r w:rsidRPr="00E6145F">
        <w:rPr>
          <w:i/>
        </w:rPr>
        <w:t>Všehrd. Časopis českých právníků.</w:t>
      </w:r>
      <w:r>
        <w:rPr>
          <w:i/>
        </w:rPr>
        <w:t xml:space="preserve">  </w:t>
      </w:r>
      <w:r>
        <w:t xml:space="preserve">22. 6. 2014, [online]. </w:t>
      </w:r>
      <w:r w:rsidRPr="00093A18">
        <w:t>http://casopis.vsehrd.cz</w:t>
      </w:r>
      <w:r w:rsidR="00F92A34">
        <w:t>. D</w:t>
      </w:r>
      <w:r>
        <w:t>ostupné na &lt;</w:t>
      </w:r>
      <w:hyperlink r:id="rId15" w:history="1">
        <w:r w:rsidRPr="00463646">
          <w:rPr>
            <w:rStyle w:val="Hypertextovodkaz"/>
          </w:rPr>
          <w:t>http://casopis.vsehrd.cz/2014/06/mala-uvaha-o-neexistenci-predkupniho-prava-vlastnika-jednotky-k-pozemku/</w:t>
        </w:r>
      </w:hyperlink>
      <w:r>
        <w:t>&gt;</w:t>
      </w:r>
    </w:p>
    <w:p w:rsidR="00E661E5" w:rsidRDefault="00E661E5" w:rsidP="004E314C">
      <w:pPr>
        <w:ind w:left="687" w:firstLine="0"/>
      </w:pPr>
      <w:r w:rsidRPr="00B5418B">
        <w:t>TÉGL, Petr. Některé aspekty úpravy veřejných seznamů</w:t>
      </w:r>
      <w:r>
        <w:t xml:space="preserve"> [online]. </w:t>
      </w:r>
      <w:r w:rsidRPr="00B5418B">
        <w:t>pravniprostor.cz</w:t>
      </w:r>
      <w:r>
        <w:t xml:space="preserve">, </w:t>
      </w:r>
      <w:r w:rsidRPr="00B5418B">
        <w:t>26.</w:t>
      </w:r>
      <w:r w:rsidR="00F92A34">
        <w:t xml:space="preserve"> </w:t>
      </w:r>
      <w:r w:rsidRPr="00B5418B">
        <w:t>08.</w:t>
      </w:r>
      <w:r w:rsidR="00F92A34">
        <w:t xml:space="preserve"> </w:t>
      </w:r>
      <w:r w:rsidRPr="00B5418B">
        <w:t>2014</w:t>
      </w:r>
      <w:r>
        <w:t>. Dostupné na &lt;</w:t>
      </w:r>
      <w:hyperlink r:id="rId16" w:history="1">
        <w:r w:rsidRPr="0024006C">
          <w:rPr>
            <w:rStyle w:val="Hypertextovodkaz"/>
          </w:rPr>
          <w:t>https://www.pravniprostor.cz/clanky/rekodifikace/nektere-aspekty-upravy-verejnych-seznamu</w:t>
        </w:r>
      </w:hyperlink>
      <w:r>
        <w:t>&gt;</w:t>
      </w:r>
    </w:p>
    <w:p w:rsidR="00F92A34" w:rsidRPr="004E314C" w:rsidRDefault="00F92A34" w:rsidP="004E314C">
      <w:pPr>
        <w:ind w:left="687" w:firstLine="0"/>
      </w:pPr>
      <w:r w:rsidRPr="00F92A34">
        <w:t>MINISTERSTVO PRO MÍSTNÍ ROZVOJ, Bydlení v České republice v číslech (záři 2016), Internetová verze [online]. mmr.cz, září 2016</w:t>
      </w:r>
      <w:r>
        <w:t>.</w:t>
      </w:r>
      <w:r w:rsidRPr="00F92A34">
        <w:t xml:space="preserve"> Dostupné na &lt;https://www.mmr.cz/getmedia/c7b6b3b8-267c-4a90-bd3c-07187f5d77cd/Bydleni-v-Ceske-republice-v-cislech-(zari-2016),-web.pdf &gt;.</w:t>
      </w:r>
    </w:p>
    <w:p w:rsidR="009052CD" w:rsidRDefault="00600B52" w:rsidP="009052CD">
      <w:pPr>
        <w:pStyle w:val="Nadpis2"/>
        <w:numPr>
          <w:ilvl w:val="0"/>
          <w:numId w:val="0"/>
        </w:numPr>
      </w:pPr>
      <w:bookmarkStart w:id="58" w:name="_Toc380257028"/>
      <w:bookmarkStart w:id="59" w:name="_Toc380257259"/>
      <w:bookmarkStart w:id="60" w:name="_Toc380257307"/>
      <w:bookmarkStart w:id="61" w:name="_Toc418094609"/>
      <w:bookmarkStart w:id="62" w:name="_Toc509413107"/>
      <w:r w:rsidRPr="00E726D9">
        <w:lastRenderedPageBreak/>
        <w:t>Legislativní akty</w:t>
      </w:r>
      <w:bookmarkEnd w:id="58"/>
      <w:bookmarkEnd w:id="59"/>
      <w:bookmarkEnd w:id="60"/>
      <w:bookmarkEnd w:id="61"/>
      <w:bookmarkEnd w:id="62"/>
    </w:p>
    <w:p w:rsidR="009052CD" w:rsidRDefault="009052CD" w:rsidP="009052CD">
      <w:pPr>
        <w:ind w:left="567" w:firstLine="0"/>
      </w:pPr>
      <w:r>
        <w:t>USNESENÍ předsednictva České národní rady č. 2/1993 Sb., o vyhlášení LISTINY ZÁKLADNÍCH PRÁV A SVOBOD jako součásti ústavního pořádku České republiky</w:t>
      </w:r>
    </w:p>
    <w:p w:rsidR="009052CD" w:rsidRDefault="009052CD" w:rsidP="009052CD">
      <w:pPr>
        <w:ind w:left="567" w:firstLine="0"/>
      </w:pPr>
      <w:r>
        <w:t>Zákon č. 52/1966 Sb., o osobním vlastnictví k bytům</w:t>
      </w:r>
    </w:p>
    <w:p w:rsidR="009052CD" w:rsidRDefault="009052CD" w:rsidP="009052CD">
      <w:pPr>
        <w:ind w:left="567" w:firstLine="0"/>
      </w:pPr>
      <w:r>
        <w:t xml:space="preserve">Zákon č. </w:t>
      </w:r>
      <w:r w:rsidRPr="009052CD">
        <w:t>72/1994 Sb.</w:t>
      </w:r>
      <w:r>
        <w:t>, kterým se upravují některé spoluvlastnické vztahy k budovám a některé vlastnické vztahy k bytům a nebytovým prostorům a doplňují některé zákony (zákon o vlastnictví bytů)</w:t>
      </w:r>
    </w:p>
    <w:p w:rsidR="009527D5" w:rsidRDefault="009527D5" w:rsidP="00E661E5">
      <w:pPr>
        <w:ind w:left="567" w:firstLine="0"/>
      </w:pPr>
      <w:r>
        <w:t>Z</w:t>
      </w:r>
      <w:r w:rsidRPr="009527D5">
        <w:t>ákon č. 40/1964 Sb., občanský zákoník</w:t>
      </w:r>
    </w:p>
    <w:p w:rsidR="009527D5" w:rsidRDefault="009527D5" w:rsidP="00E661E5">
      <w:pPr>
        <w:ind w:left="567" w:firstLine="0"/>
      </w:pPr>
      <w:r>
        <w:t>Zákon č. 89/2012 Sb., občanský zákoník</w:t>
      </w:r>
    </w:p>
    <w:p w:rsidR="00E661E5" w:rsidRDefault="00E661E5" w:rsidP="00E661E5">
      <w:pPr>
        <w:ind w:left="567" w:firstLine="0"/>
      </w:pPr>
      <w:r>
        <w:t>Nařízení vlády č. 366/2013 Sb., o úpravě některých záležitostí souvisejících s bytovým spoluvlastnictvím</w:t>
      </w:r>
    </w:p>
    <w:p w:rsidR="00E661E5" w:rsidRDefault="00E661E5" w:rsidP="00E661E5">
      <w:pPr>
        <w:ind w:left="567" w:firstLine="0"/>
      </w:pPr>
      <w:r>
        <w:t>Zákon č. 311/2013 Sb., o převodu vlastnického práva k jednotkám a skupinovým rodinným domům některých bytových družstev a o změně některých zákonů</w:t>
      </w:r>
    </w:p>
    <w:p w:rsidR="009052CD" w:rsidRDefault="009052CD" w:rsidP="00E661E5">
      <w:pPr>
        <w:ind w:left="567" w:firstLine="0"/>
      </w:pPr>
      <w:r w:rsidRPr="00123BB2">
        <w:t>Zákon č. 114/1992 Sb., o ochraně přírody a krajiny</w:t>
      </w:r>
    </w:p>
    <w:p w:rsidR="009052CD" w:rsidRDefault="009052CD" w:rsidP="00E661E5">
      <w:pPr>
        <w:ind w:left="567" w:firstLine="0"/>
      </w:pPr>
      <w:r>
        <w:t>Z</w:t>
      </w:r>
      <w:r w:rsidRPr="00123BB2">
        <w:t>ákon č. 127/2005 Sb., o</w:t>
      </w:r>
      <w:r>
        <w:t xml:space="preserve"> elektronických komunikacích</w:t>
      </w:r>
    </w:p>
    <w:p w:rsidR="009052CD" w:rsidRDefault="009052CD" w:rsidP="00E661E5">
      <w:pPr>
        <w:ind w:left="567" w:firstLine="0"/>
      </w:pPr>
      <w:r>
        <w:t>Z</w:t>
      </w:r>
      <w:r w:rsidRPr="00123BB2">
        <w:t>ákon č. 274/2001 Sb.</w:t>
      </w:r>
      <w:r>
        <w:t xml:space="preserve">, </w:t>
      </w:r>
      <w:r w:rsidRPr="00123BB2">
        <w:t>o vodovodech a kanalizacích</w:t>
      </w:r>
    </w:p>
    <w:p w:rsidR="00CF2202" w:rsidRDefault="00CF2202" w:rsidP="00CF2202">
      <w:pPr>
        <w:ind w:left="567" w:firstLine="0"/>
      </w:pPr>
      <w:r>
        <w:t xml:space="preserve">Zákon č. 256/2013 Sb., </w:t>
      </w:r>
      <w:r>
        <w:t>o katastru nemovitostí (katastrální zákon)</w:t>
      </w:r>
    </w:p>
    <w:p w:rsidR="00A1412F" w:rsidRDefault="00A1412F" w:rsidP="00A1412F">
      <w:pPr>
        <w:pStyle w:val="Nadpis2"/>
        <w:numPr>
          <w:ilvl w:val="0"/>
          <w:numId w:val="0"/>
        </w:numPr>
      </w:pPr>
      <w:bookmarkStart w:id="63" w:name="_Toc509413108"/>
      <w:r>
        <w:t>Stanoviska</w:t>
      </w:r>
      <w:bookmarkEnd w:id="63"/>
    </w:p>
    <w:p w:rsidR="00135FC1" w:rsidRPr="00135FC1" w:rsidRDefault="00135FC1" w:rsidP="00135FC1">
      <w:pPr>
        <w:ind w:left="567" w:firstLine="0"/>
      </w:pPr>
      <w:r w:rsidRPr="00135FC1">
        <w:t>Expertní skupina Komise pro aplikaci nové civilní legislativy při Ministerstvu spravedlnosti ČR</w:t>
      </w:r>
      <w:r>
        <w:t>:</w:t>
      </w:r>
      <w:r w:rsidRPr="00135FC1">
        <w:t xml:space="preserve"> Výkladové stanovisko č. 7 ze dne 19. 4. 2013 - k problematice bytového spoluvlastnictví v NOZ.</w:t>
      </w:r>
    </w:p>
    <w:p w:rsidR="00A1412F" w:rsidRPr="00A1412F" w:rsidRDefault="00135FC1" w:rsidP="00CF2202">
      <w:pPr>
        <w:ind w:left="567" w:firstLine="0"/>
      </w:pPr>
      <w:r w:rsidRPr="00135FC1">
        <w:t>Expertní skupina Komise pro aplikaci nové civilní legislativy při Ministerstvu spravedlnosti ČR: výkladové stanovisko č. 16 ze dne 16. 1. 2014 – k problematice b</w:t>
      </w:r>
      <w:r w:rsidR="00CF2202">
        <w:t>ytového spoluvlastnictví v NOZ.</w:t>
      </w:r>
    </w:p>
    <w:p w:rsidR="00600B52" w:rsidRDefault="00600B52" w:rsidP="00600B52">
      <w:pPr>
        <w:pStyle w:val="Nadpis2"/>
        <w:numPr>
          <w:ilvl w:val="0"/>
          <w:numId w:val="0"/>
        </w:numPr>
      </w:pPr>
      <w:bookmarkStart w:id="64" w:name="_Toc380257029"/>
      <w:bookmarkStart w:id="65" w:name="_Toc380257260"/>
      <w:bookmarkStart w:id="66" w:name="_Toc380257308"/>
      <w:bookmarkStart w:id="67" w:name="_Toc418094610"/>
      <w:bookmarkStart w:id="68" w:name="_Toc509413109"/>
      <w:r w:rsidRPr="00E726D9">
        <w:t>Soudní rozhodnutí</w:t>
      </w:r>
      <w:bookmarkEnd w:id="64"/>
      <w:bookmarkEnd w:id="65"/>
      <w:bookmarkEnd w:id="66"/>
      <w:bookmarkEnd w:id="67"/>
      <w:bookmarkEnd w:id="68"/>
    </w:p>
    <w:p w:rsidR="00600B52" w:rsidRDefault="00600B52" w:rsidP="00600B52">
      <w:r>
        <w:t xml:space="preserve">Nález Ústavního soudu ze dne 12. 9. 2001, sp. zn. </w:t>
      </w:r>
      <w:r w:rsidRPr="00600B52">
        <w:t>II. ÚS 231/01</w:t>
      </w:r>
    </w:p>
    <w:p w:rsidR="004E314C" w:rsidRDefault="004E314C" w:rsidP="00600B52">
      <w:r w:rsidRPr="004E314C">
        <w:t xml:space="preserve">Nález Ústavního soudu ze dne 13. </w:t>
      </w:r>
      <w:r>
        <w:t>3. 2001, sp. zn. Pl. ÚS 51/2000</w:t>
      </w:r>
    </w:p>
    <w:p w:rsidR="004E314C" w:rsidRDefault="004E314C" w:rsidP="00600B52">
      <w:r w:rsidRPr="004E314C">
        <w:t xml:space="preserve">Rozsudek Nejvyššího soudu ze dne 2. 6. </w:t>
      </w:r>
      <w:r>
        <w:t>2008, sp. zn. 22 Cdo 1455/2008</w:t>
      </w:r>
    </w:p>
    <w:p w:rsidR="004E314C" w:rsidRDefault="004E314C" w:rsidP="00600B52">
      <w:r w:rsidRPr="004E314C">
        <w:t>Rozsudek Nejvyššího soudu ze dne 28. 4. 2008, sp. zn. 22 Cdo 4670/2008</w:t>
      </w:r>
    </w:p>
    <w:p w:rsidR="004E314C" w:rsidRDefault="004E314C" w:rsidP="00600B52">
      <w:r w:rsidRPr="004E314C">
        <w:t xml:space="preserve">Usnesení Nejvyššího soudu ze dne 9. 12. </w:t>
      </w:r>
      <w:r>
        <w:t>2015, sp. zn. 22 Cdo 4000/2015</w:t>
      </w:r>
    </w:p>
    <w:p w:rsidR="004E314C" w:rsidRDefault="004E314C" w:rsidP="00600B52">
      <w:r w:rsidRPr="004E314C">
        <w:t>Usnesení Ústavního soudu ze dne 26. 5. 2016, sp. zn. II. ÚS 799/16</w:t>
      </w:r>
    </w:p>
    <w:p w:rsidR="004E314C" w:rsidRDefault="004E314C" w:rsidP="00600B52">
      <w:pPr>
        <w:rPr>
          <w:rFonts w:cs="Arial"/>
          <w:iCs/>
          <w:color w:val="000000"/>
          <w:szCs w:val="19"/>
          <w:shd w:val="clear" w:color="auto" w:fill="FFFFFF"/>
        </w:rPr>
      </w:pPr>
      <w:r w:rsidRPr="000B34D6">
        <w:rPr>
          <w:rFonts w:cs="Arial"/>
          <w:iCs/>
          <w:color w:val="000000"/>
          <w:szCs w:val="19"/>
          <w:shd w:val="clear" w:color="auto" w:fill="FFFFFF"/>
        </w:rPr>
        <w:t>Usnesení Vrchního soudu v Praze ze dne 23. 9. 2016, sp. zn. 7 Cmo 315/2016</w:t>
      </w:r>
    </w:p>
    <w:p w:rsidR="00E661E5" w:rsidRDefault="00E661E5" w:rsidP="00600B52">
      <w:r w:rsidRPr="00F85172">
        <w:t>Nález Ú</w:t>
      </w:r>
      <w:r>
        <w:t>stavního soudu</w:t>
      </w:r>
      <w:r w:rsidRPr="00F85172">
        <w:t xml:space="preserve"> z</w:t>
      </w:r>
      <w:r>
        <w:t>e dne</w:t>
      </w:r>
      <w:r w:rsidRPr="00F85172">
        <w:t xml:space="preserve"> 11. 5. 2005, s</w:t>
      </w:r>
      <w:r>
        <w:t>p. zn. II. ÚS 87/04</w:t>
      </w:r>
    </w:p>
    <w:p w:rsidR="00135FC1" w:rsidRDefault="00135FC1" w:rsidP="00600B52">
      <w:r w:rsidRPr="00135FC1">
        <w:lastRenderedPageBreak/>
        <w:t>Usnesení Nejvyššího soudu ze dne 27. 10. 2015, sp. zn. 22 Cdo 3407/2015</w:t>
      </w:r>
    </w:p>
    <w:p w:rsidR="00E661E5" w:rsidRDefault="00E661E5" w:rsidP="00E661E5">
      <w:pPr>
        <w:ind w:left="567" w:firstLine="0"/>
      </w:pPr>
      <w:r>
        <w:t>Rozsudek Nejvyššího soudu ze dne 27. 5. 2004, sp. zn. 32 Odo 314/2003</w:t>
      </w:r>
    </w:p>
    <w:p w:rsidR="00E661E5" w:rsidRDefault="00E661E5" w:rsidP="00E661E5">
      <w:pPr>
        <w:ind w:left="567" w:firstLine="0"/>
      </w:pPr>
      <w:r>
        <w:t>Rozsudek Nejvyššího soudu ze dne 22. 12. 2005,</w:t>
      </w:r>
      <w:r w:rsidR="00135FC1">
        <w:t xml:space="preserve"> sp. zn. 28 Cdo 1067/2004</w:t>
      </w:r>
    </w:p>
    <w:p w:rsidR="00E661E5" w:rsidRDefault="00E661E5" w:rsidP="00E661E5">
      <w:pPr>
        <w:ind w:left="567" w:firstLine="0"/>
      </w:pPr>
      <w:r>
        <w:t xml:space="preserve">Usnesení Ústavního soudu ze dne 20. 10. 2011, sp. zn. </w:t>
      </w:r>
      <w:r w:rsidRPr="00383728">
        <w:t>I.</w:t>
      </w:r>
      <w:r>
        <w:t xml:space="preserve"> ÚS 2910/11</w:t>
      </w:r>
    </w:p>
    <w:p w:rsidR="00E661E5" w:rsidRDefault="00E661E5" w:rsidP="00E661E5">
      <w:pPr>
        <w:ind w:left="567" w:firstLine="0"/>
      </w:pPr>
      <w:r>
        <w:t>Nález Ústavního soudu ze dne 22. 2. 2011, sp. zn. I.ÚS 2166/2010</w:t>
      </w:r>
    </w:p>
    <w:p w:rsidR="00E661E5" w:rsidRDefault="00E661E5" w:rsidP="00E661E5">
      <w:pPr>
        <w:ind w:left="567" w:firstLine="0"/>
      </w:pPr>
      <w:r>
        <w:t>Nález Ústavního Soudu ze dne 1. 8. 2006, sp. zn. II. ÚS 349/03</w:t>
      </w:r>
    </w:p>
    <w:p w:rsidR="00F92A34" w:rsidRDefault="00F92A34" w:rsidP="00E661E5">
      <w:pPr>
        <w:ind w:left="567" w:firstLine="0"/>
      </w:pPr>
      <w:r>
        <w:t>Nález Ústavního Soudu ze dne 11. 5. 2011, sp. zn. II. ÚS 165/2011</w:t>
      </w:r>
    </w:p>
    <w:p w:rsidR="00F92A34" w:rsidRDefault="00F92A34" w:rsidP="00E661E5">
      <w:pPr>
        <w:ind w:left="567" w:firstLine="0"/>
      </w:pPr>
      <w:r>
        <w:t>Rozsudek Nejvyššího soudu ze dne 20. 1. 2004, sp. zn.: 26 Cdo 2195/2003</w:t>
      </w:r>
    </w:p>
    <w:p w:rsidR="00F92A34" w:rsidRDefault="00F92A34" w:rsidP="00F92A34">
      <w:pPr>
        <w:ind w:left="567" w:firstLine="0"/>
      </w:pPr>
      <w:r>
        <w:t>Rozsudek Nejvyššího soudu ze dne 14. 8. 2001, sp. zn.: 28 Cdo 133/2001</w:t>
      </w:r>
    </w:p>
    <w:p w:rsidR="00FD4610" w:rsidRDefault="00F92A34" w:rsidP="00EC4A97">
      <w:pPr>
        <w:spacing w:after="160" w:line="259" w:lineRule="auto"/>
        <w:jc w:val="left"/>
      </w:pPr>
      <w:r>
        <w:t>Rozsudek Nejvyššího správního soudu ze dne 21. 12. 2005, sp. zn.: 1 As 2/2004-21</w:t>
      </w:r>
      <w:r w:rsidR="00135FC1">
        <w:t>4</w:t>
      </w:r>
      <w:r w:rsidR="00FD4610">
        <w:br w:type="page"/>
      </w:r>
    </w:p>
    <w:p w:rsidR="00F92A34" w:rsidRDefault="00FD4610" w:rsidP="00FD4610">
      <w:pPr>
        <w:pStyle w:val="Nadpis1"/>
        <w:numPr>
          <w:ilvl w:val="0"/>
          <w:numId w:val="0"/>
        </w:numPr>
      </w:pPr>
      <w:bookmarkStart w:id="69" w:name="_Toc509413110"/>
      <w:r>
        <w:lastRenderedPageBreak/>
        <w:t>Shrnutí</w:t>
      </w:r>
      <w:bookmarkEnd w:id="69"/>
    </w:p>
    <w:p w:rsidR="00FD4610" w:rsidRPr="00FD4610" w:rsidRDefault="00FD4610" w:rsidP="00FD4610">
      <w:r>
        <w:t xml:space="preserve">Diplomová práce </w:t>
      </w:r>
      <w:r w:rsidR="0021510F">
        <w:t xml:space="preserve">na téma dvojkolejnost úpravy bytových jednotek zkoumá kompatibilitu </w:t>
      </w:r>
      <w:r w:rsidR="008A7E1A">
        <w:t>dvou úprav institutu vlastnictví bytů, které se aplikují souběžně.</w:t>
      </w:r>
      <w:r w:rsidR="005833AF">
        <w:t xml:space="preserve"> Základní otázkou, kterou si autor pokládá je, zda je dvojkolejnost problémem a případně, jak ji řešit.</w:t>
      </w:r>
      <w:r w:rsidR="008A7E1A">
        <w:t xml:space="preserve"> </w:t>
      </w:r>
      <w:r w:rsidR="0061021E">
        <w:t>Autor pracuje s různými metodami výkladu</w:t>
      </w:r>
      <w:r w:rsidR="00766BFB">
        <w:t xml:space="preserve"> a výzkumu</w:t>
      </w:r>
      <w:r w:rsidR="0061021E">
        <w:t xml:space="preserve"> a informace podkládá praktickými příklady a relevantními zdroji. </w:t>
      </w:r>
      <w:r w:rsidR="008A7E1A">
        <w:t xml:space="preserve">Práce počíná shrnutím teoretických východisek a koncepcí úpravy </w:t>
      </w:r>
      <w:r w:rsidR="005833AF">
        <w:t>běžně uz</w:t>
      </w:r>
      <w:r w:rsidR="001C776B">
        <w:t>návaných ve 20. a 21. století a</w:t>
      </w:r>
      <w:r w:rsidR="005833AF">
        <w:t xml:space="preserve"> stručným nástinem historického vývoje institutu v právních řádech na území dnešní ČR. Poté se práce zabývá samotnou dvojkolejností úprav zákona o vlastnictví bytů a nového občanského zákoníku, důvody dvojkolejnosti a různými názory a jejích vývojem na tento právní dualismus a</w:t>
      </w:r>
      <w:r w:rsidR="001C776B">
        <w:t xml:space="preserve"> možnými přístupy k němu. Třetí</w:t>
      </w:r>
      <w:r w:rsidR="005833AF">
        <w:t xml:space="preserve"> kapitola se zaměřuje na podrobnější specifika účinné úpravy a její případné výhody či nevýhody oproti úpravě předcházející. Ve čtvrté kapitole jsou shrnuty základní aspekty dopadu dvojkolejnosti pro adresáty práva, jakož i pro správní orgány, a to na základě poznatků zjištěných v předchozích částech práce a statistiky. V závěru autor shrnuje zjištěné a uzavírá, že dvojkolejnost není zásadním problémem, spíše řešitelnou nejasností.</w:t>
      </w:r>
    </w:p>
    <w:p w:rsidR="000133EB" w:rsidRDefault="0061021E" w:rsidP="0061021E">
      <w:pPr>
        <w:pStyle w:val="Nadpis1"/>
        <w:numPr>
          <w:ilvl w:val="0"/>
          <w:numId w:val="0"/>
        </w:numPr>
      </w:pPr>
      <w:bookmarkStart w:id="70" w:name="_Toc509413111"/>
      <w:r>
        <w:t>Abstract</w:t>
      </w:r>
      <w:bookmarkEnd w:id="70"/>
    </w:p>
    <w:p w:rsidR="007C6664" w:rsidRDefault="0061021E" w:rsidP="007C6664">
      <w:pPr>
        <w:spacing w:after="160"/>
        <w:ind w:firstLine="0"/>
        <w:jc w:val="left"/>
      </w:pPr>
      <w:r>
        <w:t xml:space="preserve">The </w:t>
      </w:r>
      <w:r w:rsidRPr="0061021E">
        <w:t xml:space="preserve">Master‘s Thesis deals with the topic of </w:t>
      </w:r>
      <w:r>
        <w:t xml:space="preserve">Dualility in </w:t>
      </w:r>
      <w:r w:rsidR="00766BFB">
        <w:t>Legislation</w:t>
      </w:r>
      <w:r>
        <w:t xml:space="preserve"> of </w:t>
      </w:r>
      <w:r w:rsidR="00766BFB" w:rsidRPr="00766BFB">
        <w:t>Housing Joint Ownership</w:t>
      </w:r>
      <w:r w:rsidR="00766BFB">
        <w:t xml:space="preserve"> and researches a compatibility of two legislative adjustements of the institut of h</w:t>
      </w:r>
      <w:r w:rsidR="00450ED1">
        <w:t>ousing joint o</w:t>
      </w:r>
      <w:r w:rsidR="00766BFB" w:rsidRPr="00766BFB">
        <w:t>wnership</w:t>
      </w:r>
      <w:r w:rsidR="00766BFB">
        <w:t>. The aut</w:t>
      </w:r>
      <w:r w:rsidR="00EC4A97">
        <w:t>h</w:t>
      </w:r>
      <w:r w:rsidR="00766BFB">
        <w:t xml:space="preserve">or asks the question whether the duality is a problem and eventually how to deal with it. The author uses </w:t>
      </w:r>
      <w:r w:rsidR="00766BFB" w:rsidRPr="00766BFB">
        <w:t>different methods of interpretation</w:t>
      </w:r>
      <w:r w:rsidR="00766BFB">
        <w:t xml:space="preserve"> and research and he </w:t>
      </w:r>
      <w:r w:rsidR="00766BFB" w:rsidRPr="00766BFB">
        <w:t>provides information</w:t>
      </w:r>
      <w:r w:rsidR="00766BFB">
        <w:t>s</w:t>
      </w:r>
      <w:r w:rsidR="00766BFB" w:rsidRPr="00766BFB">
        <w:t xml:space="preserve"> with practical examples</w:t>
      </w:r>
      <w:r w:rsidR="00766BFB">
        <w:t xml:space="preserve"> and sources. </w:t>
      </w:r>
      <w:r w:rsidR="00766BFB" w:rsidRPr="00766BFB">
        <w:t>The Master‘s Thesis</w:t>
      </w:r>
      <w:r w:rsidR="00450ED1">
        <w:t xml:space="preserve"> begins with a summary of </w:t>
      </w:r>
      <w:r w:rsidR="00450ED1" w:rsidRPr="00450ED1">
        <w:t>theoretical basis</w:t>
      </w:r>
      <w:r w:rsidR="00450ED1">
        <w:t xml:space="preserve"> and conceptions </w:t>
      </w:r>
      <w:r w:rsidR="00450ED1" w:rsidRPr="00450ED1">
        <w:t>commonly recognized</w:t>
      </w:r>
      <w:r w:rsidR="00450ED1">
        <w:t xml:space="preserve"> in the 20th and 21st century. </w:t>
      </w:r>
      <w:r w:rsidR="00450ED1" w:rsidRPr="00450ED1">
        <w:t>The Master‘s Thesis</w:t>
      </w:r>
      <w:r w:rsidR="00450ED1">
        <w:t xml:space="preserve"> continues with a brief outline of the </w:t>
      </w:r>
      <w:r w:rsidR="00450ED1" w:rsidRPr="00450ED1">
        <w:t>histiorical development</w:t>
      </w:r>
      <w:r w:rsidR="00450ED1">
        <w:t xml:space="preserve"> </w:t>
      </w:r>
      <w:r w:rsidR="00450ED1" w:rsidRPr="00450ED1">
        <w:t>in today's territory</w:t>
      </w:r>
      <w:r w:rsidR="00450ED1">
        <w:t xml:space="preserve"> of the Czech Republic. Then it continues with the theme of duality in legislations of the housing joint o</w:t>
      </w:r>
      <w:r w:rsidR="00450ED1" w:rsidRPr="00450ED1">
        <w:t>wnership</w:t>
      </w:r>
      <w:r w:rsidR="00450ED1">
        <w:t xml:space="preserve"> act and new civil code, reasons of duality and different opinions and their evolution, different possible solutions of </w:t>
      </w:r>
      <w:r w:rsidR="001C776B">
        <w:t xml:space="preserve">the duality. The third charter focuses on more precise </w:t>
      </w:r>
      <w:r w:rsidR="001C776B" w:rsidRPr="001C776B">
        <w:t>specifics</w:t>
      </w:r>
      <w:r w:rsidR="001C776B">
        <w:t xml:space="preserve"> of actual </w:t>
      </w:r>
      <w:r w:rsidR="00EC4A97">
        <w:t>legislation</w:t>
      </w:r>
      <w:r w:rsidR="001C776B">
        <w:t xml:space="preserve"> and its eventual </w:t>
      </w:r>
      <w:r w:rsidR="001C776B" w:rsidRPr="001C776B">
        <w:t>advantages and disadvantages</w:t>
      </w:r>
      <w:r w:rsidR="001C776B">
        <w:t xml:space="preserve"> </w:t>
      </w:r>
      <w:r w:rsidR="001C776B" w:rsidRPr="001C776B">
        <w:t xml:space="preserve">compared to the previous </w:t>
      </w:r>
      <w:r w:rsidR="001C776B">
        <w:t>legislation.</w:t>
      </w:r>
      <w:r w:rsidR="007C6664">
        <w:t xml:space="preserve"> In the fourth chapter the main focus is on basic aspects of impact on </w:t>
      </w:r>
      <w:r w:rsidR="007C6664" w:rsidRPr="007C6664">
        <w:t>the addressees of law</w:t>
      </w:r>
      <w:r w:rsidR="007C6664">
        <w:t xml:space="preserve">, </w:t>
      </w:r>
      <w:r w:rsidR="007C6664" w:rsidRPr="007C6664">
        <w:t>as well as for the administrative authorities</w:t>
      </w:r>
      <w:r w:rsidR="007C6664">
        <w:t xml:space="preserve">, </w:t>
      </w:r>
      <w:r w:rsidR="007C6664" w:rsidRPr="007C6664">
        <w:t>on the basis of knowledge</w:t>
      </w:r>
      <w:r w:rsidR="007C6664">
        <w:t xml:space="preserve"> </w:t>
      </w:r>
      <w:r w:rsidR="007C6664" w:rsidRPr="007C6664">
        <w:t>from the previous parts</w:t>
      </w:r>
      <w:r w:rsidR="007C6664">
        <w:t xml:space="preserve"> and statistics. In the conclusion the author </w:t>
      </w:r>
      <w:r w:rsidR="007C6664" w:rsidRPr="007C6664">
        <w:t>summarizes the information found</w:t>
      </w:r>
      <w:r w:rsidR="007C6664">
        <w:t xml:space="preserve"> and </w:t>
      </w:r>
      <w:r w:rsidR="007C6664" w:rsidRPr="007C6664">
        <w:t>concludes that duality is not a major problem</w:t>
      </w:r>
      <w:r w:rsidR="007C6664">
        <w:t xml:space="preserve">, </w:t>
      </w:r>
      <w:r w:rsidR="007C6664" w:rsidRPr="007C6664">
        <w:t>rather, a solvable ambiguity</w:t>
      </w:r>
      <w:r w:rsidR="007C6664">
        <w:t>.</w:t>
      </w:r>
      <w:r w:rsidR="007C6664">
        <w:br w:type="page"/>
      </w:r>
    </w:p>
    <w:p w:rsidR="0061021E" w:rsidRDefault="007C6664" w:rsidP="007C6664">
      <w:pPr>
        <w:pStyle w:val="Nadpis1"/>
        <w:numPr>
          <w:ilvl w:val="0"/>
          <w:numId w:val="0"/>
        </w:numPr>
      </w:pPr>
      <w:bookmarkStart w:id="71" w:name="_Toc509413112"/>
      <w:r w:rsidRPr="007C6664">
        <w:lastRenderedPageBreak/>
        <w:t>Seznam klíčových slov / Key Words</w:t>
      </w:r>
      <w:bookmarkEnd w:id="71"/>
    </w:p>
    <w:p w:rsidR="00B56644" w:rsidRPr="00B56644" w:rsidRDefault="00B56644" w:rsidP="00B56644"/>
    <w:p w:rsidR="007C6664" w:rsidRDefault="007C6664" w:rsidP="007C6664">
      <w:pPr>
        <w:ind w:left="567" w:firstLine="0"/>
      </w:pPr>
      <w:r w:rsidRPr="007C6664">
        <w:t>Bytové spoluvlastnictví – společenství vlastníků</w:t>
      </w:r>
      <w:r>
        <w:t xml:space="preserve"> </w:t>
      </w:r>
      <w:r w:rsidRPr="007C6664">
        <w:t>–</w:t>
      </w:r>
      <w:r>
        <w:t xml:space="preserve"> dvojkolejnost</w:t>
      </w:r>
      <w:r w:rsidR="00B56644">
        <w:t xml:space="preserve"> úpravy</w:t>
      </w:r>
      <w:r>
        <w:t xml:space="preserve"> </w:t>
      </w:r>
      <w:r w:rsidRPr="007C6664">
        <w:t>– jednotka</w:t>
      </w:r>
      <w:r>
        <w:t xml:space="preserve"> – </w:t>
      </w:r>
      <w:r w:rsidR="00B56644">
        <w:t xml:space="preserve">občanský zákoník – zákon o vlastnictví bytů </w:t>
      </w:r>
      <w:r w:rsidR="00B56644" w:rsidRPr="00B56644">
        <w:t>–</w:t>
      </w:r>
      <w:r w:rsidR="00B56644">
        <w:t xml:space="preserve"> </w:t>
      </w:r>
      <w:r>
        <w:t xml:space="preserve">prohlášení – společné části </w:t>
      </w:r>
      <w:r w:rsidRPr="007C6664">
        <w:t>– podíl</w:t>
      </w:r>
    </w:p>
    <w:p w:rsidR="00B56644" w:rsidRDefault="00B56644" w:rsidP="007C6664">
      <w:pPr>
        <w:ind w:left="567" w:firstLine="0"/>
      </w:pPr>
    </w:p>
    <w:p w:rsidR="00B56644" w:rsidRPr="007C6664" w:rsidRDefault="00B56644" w:rsidP="007C6664">
      <w:pPr>
        <w:ind w:left="567" w:firstLine="0"/>
      </w:pPr>
      <w:r w:rsidRPr="00B56644">
        <w:t>Housing joint ownership – owners association –</w:t>
      </w:r>
      <w:r>
        <w:t xml:space="preserve"> duality of legislation </w:t>
      </w:r>
      <w:r w:rsidRPr="00B56644">
        <w:t>– unit –</w:t>
      </w:r>
      <w:r>
        <w:t xml:space="preserve"> civil code </w:t>
      </w:r>
      <w:r w:rsidRPr="00B56644">
        <w:t>– housing joint ownership act</w:t>
      </w:r>
      <w:r>
        <w:t xml:space="preserve"> –</w:t>
      </w:r>
      <w:r w:rsidRPr="00B56644">
        <w:t xml:space="preserve"> declaration – common areas – interest</w:t>
      </w:r>
    </w:p>
    <w:sectPr w:rsidR="00B56644" w:rsidRPr="007C6664" w:rsidSect="006D4FF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0440" w:rsidRDefault="00DC0440" w:rsidP="00911FF5">
      <w:pPr>
        <w:spacing w:line="240" w:lineRule="auto"/>
      </w:pPr>
      <w:r>
        <w:separator/>
      </w:r>
    </w:p>
  </w:endnote>
  <w:endnote w:type="continuationSeparator" w:id="0">
    <w:p w:rsidR="00DC0440" w:rsidRDefault="00DC0440" w:rsidP="00911F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7475117"/>
      <w:docPartObj>
        <w:docPartGallery w:val="Page Numbers (Bottom of Page)"/>
        <w:docPartUnique/>
      </w:docPartObj>
    </w:sdtPr>
    <w:sdtContent>
      <w:p w:rsidR="00E05371" w:rsidRDefault="00E05371">
        <w:pPr>
          <w:pStyle w:val="Zpat"/>
          <w:jc w:val="center"/>
        </w:pPr>
        <w:r>
          <w:fldChar w:fldCharType="begin"/>
        </w:r>
        <w:r>
          <w:instrText>PAGE   \* MERGEFORMAT</w:instrText>
        </w:r>
        <w:r>
          <w:fldChar w:fldCharType="separate"/>
        </w:r>
        <w:r w:rsidR="004E3E43">
          <w:rPr>
            <w:noProof/>
          </w:rPr>
          <w:t>6</w:t>
        </w:r>
        <w:r>
          <w:rPr>
            <w:noProof/>
          </w:rPr>
          <w:fldChar w:fldCharType="end"/>
        </w:r>
      </w:p>
    </w:sdtContent>
  </w:sdt>
  <w:p w:rsidR="00E05371" w:rsidRDefault="00E053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0440" w:rsidRDefault="00DC0440" w:rsidP="00911FF5">
      <w:pPr>
        <w:spacing w:line="240" w:lineRule="auto"/>
      </w:pPr>
      <w:r>
        <w:separator/>
      </w:r>
    </w:p>
  </w:footnote>
  <w:footnote w:type="continuationSeparator" w:id="0">
    <w:p w:rsidR="00DC0440" w:rsidRDefault="00DC0440" w:rsidP="00911FF5">
      <w:pPr>
        <w:spacing w:line="240" w:lineRule="auto"/>
      </w:pPr>
      <w:r>
        <w:continuationSeparator/>
      </w:r>
    </w:p>
  </w:footnote>
  <w:footnote w:id="1">
    <w:p w:rsidR="00E05371" w:rsidRPr="0046268F" w:rsidRDefault="00E05371">
      <w:pPr>
        <w:pStyle w:val="Textpoznpodarou"/>
      </w:pPr>
      <w:r w:rsidRPr="0046268F">
        <w:rPr>
          <w:rStyle w:val="Znakapoznpodarou"/>
        </w:rPr>
        <w:footnoteRef/>
      </w:r>
      <w:r w:rsidRPr="0046268F">
        <w:t xml:space="preserve"> SPÁČIL, J</w:t>
      </w:r>
      <w:r w:rsidR="009825B2">
        <w:t>iří</w:t>
      </w:r>
      <w:r w:rsidRPr="0046268F">
        <w:t xml:space="preserve">. </w:t>
      </w:r>
      <w:r w:rsidRPr="0046268F">
        <w:rPr>
          <w:i/>
        </w:rPr>
        <w:t>Ochrana vlastnictví a držby v občanském zákoníku</w:t>
      </w:r>
      <w:r w:rsidRPr="0046268F">
        <w:t>. 2. vyd. Praha: C. H. Beck, 2005, s. 201.</w:t>
      </w:r>
    </w:p>
  </w:footnote>
  <w:footnote w:id="2">
    <w:p w:rsidR="00E05371" w:rsidRPr="0046268F" w:rsidRDefault="00E05371">
      <w:pPr>
        <w:pStyle w:val="Textpoznpodarou"/>
      </w:pPr>
      <w:r w:rsidRPr="0046268F">
        <w:rPr>
          <w:rStyle w:val="Znakapoznpodarou"/>
        </w:rPr>
        <w:footnoteRef/>
      </w:r>
      <w:r w:rsidRPr="0046268F">
        <w:t xml:space="preserve"> Nález Ústavního soudu ze dne 12. 9. 2001, sp. zn. II. ÚS 231/01.</w:t>
      </w:r>
    </w:p>
  </w:footnote>
  <w:footnote w:id="3">
    <w:p w:rsidR="00E05371" w:rsidRPr="0046268F" w:rsidRDefault="00E05371">
      <w:pPr>
        <w:pStyle w:val="Textpoznpodarou"/>
      </w:pPr>
      <w:r w:rsidRPr="0046268F">
        <w:rPr>
          <w:rStyle w:val="Znakapoznpodarou"/>
        </w:rPr>
        <w:footnoteRef/>
      </w:r>
      <w:r w:rsidRPr="0046268F">
        <w:t xml:space="preserve"> GARNETT, D. </w:t>
      </w:r>
      <w:r w:rsidRPr="009825B2">
        <w:rPr>
          <w:i/>
        </w:rPr>
        <w:t>Housing Finance. London: The Chartered Institute of Housing.</w:t>
      </w:r>
      <w:r w:rsidRPr="0046268F">
        <w:t xml:space="preserve"> 2001, s. 3. cit. dle PETR, P</w:t>
      </w:r>
      <w:r w:rsidR="009825B2">
        <w:t>avel</w:t>
      </w:r>
      <w:r w:rsidRPr="0046268F">
        <w:t xml:space="preserve">. </w:t>
      </w:r>
      <w:r w:rsidRPr="0046268F">
        <w:rPr>
          <w:i/>
        </w:rPr>
        <w:t>Vlastnictví bytů – kondominium</w:t>
      </w:r>
      <w:r w:rsidRPr="0046268F">
        <w:t>. 1. vydání. Praha: C. H. Beck, 2017, s. 7.</w:t>
      </w:r>
    </w:p>
  </w:footnote>
  <w:footnote w:id="4">
    <w:p w:rsidR="00E05371" w:rsidRPr="0046268F" w:rsidRDefault="00E05371">
      <w:pPr>
        <w:pStyle w:val="Textpoznpodarou"/>
      </w:pPr>
      <w:r w:rsidRPr="0046268F">
        <w:rPr>
          <w:rStyle w:val="Znakapoznpodarou"/>
        </w:rPr>
        <w:footnoteRef/>
      </w:r>
      <w:r w:rsidRPr="0046268F">
        <w:t xml:space="preserve"> PETR, P</w:t>
      </w:r>
      <w:r w:rsidR="009825B2">
        <w:t>avel</w:t>
      </w:r>
      <w:r w:rsidRPr="0046268F">
        <w:t xml:space="preserve">. </w:t>
      </w:r>
      <w:r w:rsidRPr="0046268F">
        <w:rPr>
          <w:i/>
        </w:rPr>
        <w:t>Vlastnictví bytů – kondominium.</w:t>
      </w:r>
      <w:r w:rsidRPr="0046268F">
        <w:t xml:space="preserve"> 1. vydání. Praha: C. H. Beck, 2017, s. 71.</w:t>
      </w:r>
    </w:p>
  </w:footnote>
  <w:footnote w:id="5">
    <w:p w:rsidR="00E05371" w:rsidRPr="0046268F" w:rsidRDefault="00E05371">
      <w:pPr>
        <w:pStyle w:val="Textpoznpodarou"/>
      </w:pPr>
      <w:r w:rsidRPr="0046268F">
        <w:rPr>
          <w:rStyle w:val="Znakapoznpodarou"/>
        </w:rPr>
        <w:footnoteRef/>
      </w:r>
      <w:r w:rsidRPr="0046268F">
        <w:t xml:space="preserve"> Inspirační linii zde lze sledovat k § 62 zákona č. 41/1964 Sb., o hospodaření s byty: „</w:t>
      </w:r>
      <w:r w:rsidRPr="0046268F">
        <w:rPr>
          <w:i/>
        </w:rPr>
        <w:t>Bytem se rozumí místnost nebo soubor místností, které jsou podle rozhodnutí stavebního úřadu určeny k bydlení a mohou tomuto svému účelu sloužit jako samostatné bytové jednotky.</w:t>
      </w:r>
      <w:r w:rsidRPr="0046268F">
        <w:t>“ (zákon byl zrušen k 1. 1. 1992). Obdobně postupoval při vymezení bytu i ZOVB, který v § 2 písm. b) stanovil, že bytem se pro účely tohoto zákona rozumí „</w:t>
      </w:r>
      <w:r w:rsidRPr="0046268F">
        <w:rPr>
          <w:i/>
        </w:rPr>
        <w:t>místnost nebo soubor místností, které jsou podle rozhodnutí stavebního úřadu určeny k bydlení</w:t>
      </w:r>
      <w:r w:rsidRPr="0046268F">
        <w:t>“.</w:t>
      </w:r>
    </w:p>
  </w:footnote>
  <w:footnote w:id="6">
    <w:p w:rsidR="00E05371" w:rsidRPr="0046268F" w:rsidRDefault="00E05371">
      <w:pPr>
        <w:pStyle w:val="Textpoznpodarou"/>
      </w:pPr>
      <w:r w:rsidRPr="0046268F">
        <w:rPr>
          <w:rStyle w:val="Znakapoznpodarou"/>
        </w:rPr>
        <w:footnoteRef/>
      </w:r>
      <w:r w:rsidRPr="0046268F">
        <w:t xml:space="preserve"> SPÁČIL, Jiří, a kol. </w:t>
      </w:r>
      <w:r w:rsidRPr="0046268F">
        <w:rPr>
          <w:i/>
        </w:rPr>
        <w:t>Občanský zákoník III. Věcná práva, komentář.</w:t>
      </w:r>
      <w:r w:rsidRPr="0046268F">
        <w:t xml:space="preserve"> (§ 976–1474). 1. vydání. Praha: Nakladatelství C. H. Beck, 2013, s. 673., k § 1158.</w:t>
      </w:r>
    </w:p>
  </w:footnote>
  <w:footnote w:id="7">
    <w:p w:rsidR="00E05371" w:rsidRPr="0046268F" w:rsidRDefault="00E05371" w:rsidP="004A747F">
      <w:pPr>
        <w:pStyle w:val="Textpoznpodarou"/>
      </w:pPr>
      <w:r w:rsidRPr="0046268F">
        <w:rPr>
          <w:rStyle w:val="Znakapoznpodarou"/>
        </w:rPr>
        <w:footnoteRef/>
      </w:r>
      <w:r w:rsidRPr="0046268F">
        <w:t xml:space="preserve"> BEZOUŠKA, Petr. Nájem bytu – výklad základních ustanovení (§ 2235, 2236 ObčZ). </w:t>
      </w:r>
      <w:r w:rsidRPr="0046268F">
        <w:rPr>
          <w:i/>
        </w:rPr>
        <w:t>Právní rozhledy</w:t>
      </w:r>
      <w:r w:rsidRPr="0046268F">
        <w:t xml:space="preserve">. 2015, č. 3, s. 77-86; shodně SÝKOROVÁ, Pavla. </w:t>
      </w:r>
      <w:r w:rsidRPr="0046268F">
        <w:rPr>
          <w:i/>
        </w:rPr>
        <w:t>Bytové spoluvlastnictví v teorii a praxi</w:t>
      </w:r>
      <w:r w:rsidRPr="0046268F">
        <w:t>. Praha: Leges, 2015, s. 63.</w:t>
      </w:r>
    </w:p>
  </w:footnote>
  <w:footnote w:id="8">
    <w:p w:rsidR="00E05371" w:rsidRPr="0046268F" w:rsidRDefault="00E05371">
      <w:pPr>
        <w:pStyle w:val="Textpoznpodarou"/>
      </w:pPr>
      <w:r w:rsidRPr="0046268F">
        <w:rPr>
          <w:rStyle w:val="Znakapoznpodarou"/>
        </w:rPr>
        <w:footnoteRef/>
      </w:r>
      <w:r w:rsidRPr="0046268F">
        <w:t xml:space="preserve"> VL</w:t>
      </w:r>
      <w:r>
        <w:t xml:space="preserve">ÁDA ČR: Důvodová zpráva k NOZ, </w:t>
      </w:r>
      <w:r w:rsidRPr="00EC4A97">
        <w:t>[online]. obcanskyzakonik.justice.cz, 3. února 2012.</w:t>
      </w:r>
      <w:r>
        <w:t xml:space="preserve"> Dostupné na &lt;</w:t>
      </w:r>
      <w:hyperlink r:id="rId1" w:history="1">
        <w:r w:rsidRPr="00231606">
          <w:rPr>
            <w:rStyle w:val="Hypertextovodkaz"/>
          </w:rPr>
          <w:t>http://obcanskyzakonik.justice.cz/images/pdf/Duvodova-zprava-NOZ-konsolidovana-verze.pdf</w:t>
        </w:r>
      </w:hyperlink>
      <w:r>
        <w:t>.&gt;</w:t>
      </w:r>
    </w:p>
  </w:footnote>
  <w:footnote w:id="9">
    <w:p w:rsidR="00E05371" w:rsidRPr="0046268F" w:rsidRDefault="00E05371">
      <w:pPr>
        <w:pStyle w:val="Textpoznpodarou"/>
      </w:pPr>
      <w:r w:rsidRPr="0046268F">
        <w:rPr>
          <w:rStyle w:val="Znakapoznpodarou"/>
        </w:rPr>
        <w:footnoteRef/>
      </w:r>
      <w:r w:rsidRPr="0046268F">
        <w:t xml:space="preserve"> ELIÁŠ, Karel. Některé otázky spojené s vlastnictvím bytů</w:t>
      </w:r>
      <w:r w:rsidRPr="0046268F">
        <w:rPr>
          <w:i/>
        </w:rPr>
        <w:t>. Právník</w:t>
      </w:r>
      <w:r w:rsidRPr="0046268F">
        <w:t>, 2012, č. 1, s. 40.</w:t>
      </w:r>
    </w:p>
  </w:footnote>
  <w:footnote w:id="10">
    <w:p w:rsidR="00E05371" w:rsidRPr="0046268F" w:rsidRDefault="00E05371" w:rsidP="00FD5458">
      <w:pPr>
        <w:pStyle w:val="Textpoznpodarou"/>
      </w:pPr>
      <w:r w:rsidRPr="0046268F">
        <w:rPr>
          <w:rStyle w:val="Znakapoznpodarou"/>
        </w:rPr>
        <w:footnoteRef/>
      </w:r>
      <w:r w:rsidRPr="0046268F">
        <w:t xml:space="preserve"> Pojem byt je vymezen i v jiných právních předpisech (např. ve vyhlášce MMR č. 268/2009 Sb., o technických požadavcích na stavby), a to pro účely toho kterého předpisu.</w:t>
      </w:r>
    </w:p>
  </w:footnote>
  <w:footnote w:id="11">
    <w:p w:rsidR="00E05371" w:rsidRPr="0046268F" w:rsidRDefault="00E05371">
      <w:pPr>
        <w:pStyle w:val="Textpoznpodarou"/>
      </w:pPr>
      <w:r w:rsidRPr="0046268F">
        <w:rPr>
          <w:rStyle w:val="Znakapoznpodarou"/>
        </w:rPr>
        <w:footnoteRef/>
      </w:r>
      <w:r w:rsidRPr="0046268F">
        <w:t xml:space="preserve"> SPÁČIL: </w:t>
      </w:r>
      <w:r w:rsidRPr="0046268F">
        <w:rPr>
          <w:i/>
        </w:rPr>
        <w:t xml:space="preserve">Občanský zákoník III. Věcná práva komentář. </w:t>
      </w:r>
      <w:r w:rsidRPr="0046268F">
        <w:t>s. 673.</w:t>
      </w:r>
    </w:p>
  </w:footnote>
  <w:footnote w:id="12">
    <w:p w:rsidR="00E05371" w:rsidRPr="0046268F" w:rsidRDefault="00E05371" w:rsidP="0068672F">
      <w:pPr>
        <w:pStyle w:val="Textpoznpodarou"/>
      </w:pPr>
      <w:r w:rsidRPr="0046268F">
        <w:rPr>
          <w:rStyle w:val="Znakapoznpodarou"/>
        </w:rPr>
        <w:footnoteRef/>
      </w:r>
      <w:r w:rsidRPr="0046268F">
        <w:t xml:space="preserve"> Tamtéž.</w:t>
      </w:r>
    </w:p>
  </w:footnote>
  <w:footnote w:id="13">
    <w:p w:rsidR="00E05371" w:rsidRPr="0046268F" w:rsidRDefault="00E05371" w:rsidP="00062790">
      <w:pPr>
        <w:pStyle w:val="Textpoznpodarou"/>
        <w:rPr>
          <w:color w:val="0563C1" w:themeColor="hyperlink"/>
        </w:rPr>
      </w:pPr>
      <w:r w:rsidRPr="0046268F">
        <w:rPr>
          <w:rStyle w:val="Znakapoznpodarou"/>
        </w:rPr>
        <w:footnoteRef/>
      </w:r>
      <w:r w:rsidRPr="0046268F">
        <w:t xml:space="preserve"> </w:t>
      </w:r>
      <w:r w:rsidR="009825B2">
        <w:rPr>
          <w:caps/>
        </w:rPr>
        <w:t xml:space="preserve">Fiala, </w:t>
      </w:r>
      <w:r w:rsidR="009825B2">
        <w:rPr>
          <w:rFonts w:cs="Times New Roman"/>
          <w:szCs w:val="24"/>
        </w:rPr>
        <w:t>Josef</w:t>
      </w:r>
      <w:r w:rsidRPr="0046268F">
        <w:t xml:space="preserve">. </w:t>
      </w:r>
      <w:r w:rsidRPr="0046268F">
        <w:rPr>
          <w:i/>
        </w:rPr>
        <w:t>Bytové vlastnictví v ČR</w:t>
      </w:r>
      <w:r w:rsidRPr="0046268F">
        <w:t>. Brno: Iuridica Brunensia, 1995, s. 15.</w:t>
      </w:r>
    </w:p>
  </w:footnote>
  <w:footnote w:id="14">
    <w:p w:rsidR="00E05371" w:rsidRPr="0046268F" w:rsidRDefault="00E05371" w:rsidP="00062790">
      <w:pPr>
        <w:pStyle w:val="Textpoznpodarou"/>
        <w:rPr>
          <w:sz w:val="18"/>
          <w:szCs w:val="18"/>
        </w:rPr>
      </w:pPr>
      <w:r w:rsidRPr="0046268F">
        <w:rPr>
          <w:rStyle w:val="Znakapoznpodarou"/>
        </w:rPr>
        <w:footnoteRef/>
      </w:r>
      <w:r w:rsidRPr="0046268F">
        <w:t xml:space="preserve"> LUBY, Š</w:t>
      </w:r>
      <w:r w:rsidR="009825B2">
        <w:t>tefan</w:t>
      </w:r>
      <w:r w:rsidRPr="0046268F">
        <w:t xml:space="preserve">. </w:t>
      </w:r>
      <w:r w:rsidRPr="0046268F">
        <w:rPr>
          <w:i/>
        </w:rPr>
        <w:t>Vlastnictvo bytov</w:t>
      </w:r>
      <w:r w:rsidRPr="0046268F">
        <w:t xml:space="preserve">. Bratislava: Vydavateľstvo Slovenskej akadémie vied,1971, s. 198 an. </w:t>
      </w:r>
    </w:p>
  </w:footnote>
  <w:footnote w:id="15">
    <w:p w:rsidR="00E05371" w:rsidRPr="0046268F" w:rsidRDefault="00E05371" w:rsidP="00911FF5">
      <w:pPr>
        <w:pStyle w:val="Textpoznpodarou"/>
      </w:pPr>
      <w:r w:rsidRPr="0046268F">
        <w:rPr>
          <w:rStyle w:val="Znakapoznpodarou"/>
        </w:rPr>
        <w:footnoteRef/>
      </w:r>
      <w:r w:rsidRPr="0046268F">
        <w:t xml:space="preserve"> </w:t>
      </w:r>
      <w:r w:rsidRPr="0046268F">
        <w:rPr>
          <w:caps/>
        </w:rPr>
        <w:t>Fiala</w:t>
      </w:r>
      <w:r w:rsidRPr="0046268F">
        <w:t xml:space="preserve">: </w:t>
      </w:r>
      <w:r w:rsidRPr="0046268F">
        <w:rPr>
          <w:i/>
        </w:rPr>
        <w:t xml:space="preserve">Bytové vlastnictví v ČR. </w:t>
      </w:r>
      <w:r w:rsidRPr="0046268F">
        <w:t>s. 17.</w:t>
      </w:r>
    </w:p>
  </w:footnote>
  <w:footnote w:id="16">
    <w:p w:rsidR="00E05371" w:rsidRPr="0046268F" w:rsidRDefault="00E05371" w:rsidP="00911FF5">
      <w:pPr>
        <w:pStyle w:val="Textpoznpodarou"/>
        <w:rPr>
          <w:noProof/>
        </w:rPr>
      </w:pPr>
      <w:r w:rsidRPr="0046268F">
        <w:rPr>
          <w:rStyle w:val="Znakapoznpodarou"/>
        </w:rPr>
        <w:footnoteRef/>
      </w:r>
      <w:r w:rsidRPr="0046268F">
        <w:t xml:space="preserve"> </w:t>
      </w:r>
      <w:bookmarkStart w:id="10" w:name="_Hlk509386356"/>
      <w:r w:rsidRPr="0046268F">
        <w:t>VLÁDA ČR: Důvodová zpráva k ZOVB (k § 1)</w:t>
      </w:r>
      <w:bookmarkEnd w:id="10"/>
      <w:r>
        <w:t>,</w:t>
      </w:r>
      <w:r w:rsidRPr="00EC4A97">
        <w:rPr>
          <w:sz w:val="24"/>
          <w:szCs w:val="22"/>
        </w:rPr>
        <w:t xml:space="preserve"> </w:t>
      </w:r>
      <w:r w:rsidRPr="00EC4A97">
        <w:t>[online]. beck-online.cz, 13. října 1993</w:t>
      </w:r>
      <w:r>
        <w:t>. Dostupné na</w:t>
      </w:r>
      <w:r>
        <w:rPr>
          <w:noProof/>
        </w:rPr>
        <w:t xml:space="preserve"> &lt;</w:t>
      </w:r>
      <w:hyperlink r:id="rId2" w:history="1">
        <w:r w:rsidRPr="00231606">
          <w:rPr>
            <w:rStyle w:val="Hypertextovodkaz"/>
          </w:rPr>
          <w:t>https://www.beck-online.cz/bo/document-view.seam?documentId=oz5f6mjzhe2f6nzsl5shu&amp;groupIndex=0&amp;rowIndex=0&amp;relationType=reference&amp;referenceType=active&amp;referenceName=dz&amp;originalDocumentId=onrf6mjzhe2f6nzsfuytg&amp;showLowerSectionsRelations=false&amp;activeFacets=11&amp;sortType=sorted-rank-rp&amp;firstPage=0&amp;currentPage=0</w:t>
        </w:r>
      </w:hyperlink>
      <w:r>
        <w:t>&gt;.</w:t>
      </w:r>
    </w:p>
  </w:footnote>
  <w:footnote w:id="17">
    <w:p w:rsidR="00E05371" w:rsidRPr="0046268F" w:rsidRDefault="00E05371" w:rsidP="00911FF5">
      <w:pPr>
        <w:pStyle w:val="Textpoznpodarou"/>
      </w:pPr>
      <w:r w:rsidRPr="0046268F">
        <w:rPr>
          <w:rStyle w:val="Znakapoznpodarou"/>
        </w:rPr>
        <w:footnoteRef/>
      </w:r>
      <w:r w:rsidRPr="0046268F">
        <w:t xml:space="preserve"> NOVOTNÝ, Marek. In: NOVOTNÝ, Marek, a kol. </w:t>
      </w:r>
      <w:r w:rsidRPr="0046268F">
        <w:rPr>
          <w:i/>
        </w:rPr>
        <w:t>Bytové spoluvlastnictví a bytová družstva</w:t>
      </w:r>
      <w:r w:rsidRPr="0046268F">
        <w:t xml:space="preserve">. 1. vydání. Praha: Nakladatelství C. H. Beck, 2016, s. </w:t>
      </w:r>
      <w:r>
        <w:t>5</w:t>
      </w:r>
      <w:r w:rsidRPr="0046268F">
        <w:t xml:space="preserve"> (k § 1158 NOZ).</w:t>
      </w:r>
    </w:p>
  </w:footnote>
  <w:footnote w:id="18">
    <w:p w:rsidR="00E05371" w:rsidRPr="0046268F" w:rsidRDefault="00E05371" w:rsidP="005D656F">
      <w:pPr>
        <w:pStyle w:val="Textpoznpodarou"/>
      </w:pPr>
      <w:r w:rsidRPr="0046268F">
        <w:rPr>
          <w:rStyle w:val="Znakapoznpodarou"/>
        </w:rPr>
        <w:footnoteRef/>
      </w:r>
      <w:r w:rsidRPr="0046268F">
        <w:t xml:space="preserve"> STIEBER, Miloslav. Reální dělení domů na vlastnické příbytky ve Francii a u nás. </w:t>
      </w:r>
      <w:r w:rsidRPr="0046268F">
        <w:rPr>
          <w:i/>
        </w:rPr>
        <w:t>Právník</w:t>
      </w:r>
      <w:r w:rsidRPr="0046268F">
        <w:t>, 1926, roč. LXV, č. 3, s. 81 an.</w:t>
      </w:r>
    </w:p>
  </w:footnote>
  <w:footnote w:id="19">
    <w:p w:rsidR="00E05371" w:rsidRPr="0046268F" w:rsidRDefault="00E05371" w:rsidP="005D656F">
      <w:pPr>
        <w:pStyle w:val="Textpoznpodarou"/>
      </w:pPr>
      <w:r w:rsidRPr="0046268F">
        <w:rPr>
          <w:rStyle w:val="Znakapoznpodarou"/>
        </w:rPr>
        <w:footnoteRef/>
      </w:r>
      <w:r w:rsidRPr="0046268F">
        <w:t xml:space="preserve"> LUBY, Štefan. Systém osobního vlastníctva bytov v európskych socialistických krajinách. </w:t>
      </w:r>
      <w:r w:rsidRPr="0046268F">
        <w:rPr>
          <w:i/>
        </w:rPr>
        <w:t>Právník</w:t>
      </w:r>
      <w:r w:rsidRPr="0046268F">
        <w:t>, 1964, roč. CIII, č. 6, s. 535 an.</w:t>
      </w:r>
    </w:p>
  </w:footnote>
  <w:footnote w:id="20">
    <w:p w:rsidR="00E05371" w:rsidRPr="0046268F" w:rsidRDefault="00E05371" w:rsidP="00911FF5">
      <w:pPr>
        <w:pStyle w:val="Textpoznpodarou"/>
      </w:pPr>
      <w:r w:rsidRPr="0046268F">
        <w:rPr>
          <w:rStyle w:val="Znakapoznpodarou"/>
        </w:rPr>
        <w:footnoteRef/>
      </w:r>
      <w:r w:rsidRPr="0046268F">
        <w:t xml:space="preserve"> FIALA, Josef In: NOVOTNÝ, Marek, a kol. </w:t>
      </w:r>
      <w:r w:rsidRPr="0046268F">
        <w:rPr>
          <w:i/>
        </w:rPr>
        <w:t xml:space="preserve">Zákon o vlastnictví bytů. Komentář, </w:t>
      </w:r>
      <w:r w:rsidRPr="0046268F">
        <w:t>4. vydání. Praha: Nakladatelství C. H. Beck, 2011, s. 3. (k § 1).</w:t>
      </w:r>
    </w:p>
  </w:footnote>
  <w:footnote w:id="21">
    <w:p w:rsidR="00E05371" w:rsidRPr="0046268F" w:rsidRDefault="00E05371">
      <w:pPr>
        <w:pStyle w:val="Textpoznpodarou"/>
      </w:pPr>
      <w:r w:rsidRPr="0046268F">
        <w:rPr>
          <w:rStyle w:val="Znakapoznpodarou"/>
        </w:rPr>
        <w:footnoteRef/>
      </w:r>
      <w:r w:rsidRPr="0046268F">
        <w:t xml:space="preserve"> K zákazu došlo nařízením ministerstev vnitra a spravedlnosti č. 1/1857 ř.z., o zákazu dělení domů v Království českém a zák. č. 50/1879 ř.z. o tom, pokud se mohou děliti stavení podle částí hmotných.</w:t>
      </w:r>
    </w:p>
  </w:footnote>
  <w:footnote w:id="22">
    <w:p w:rsidR="00E05371" w:rsidRPr="0046268F" w:rsidRDefault="00E05371">
      <w:pPr>
        <w:pStyle w:val="Textpoznpodarou"/>
      </w:pPr>
      <w:r w:rsidRPr="0046268F">
        <w:rPr>
          <w:rStyle w:val="Znakapoznpodarou"/>
        </w:rPr>
        <w:footnoteRef/>
      </w:r>
      <w:r w:rsidRPr="0046268F">
        <w:t xml:space="preserve"> ELIÁŠ: Některé otázky spojené s vlastnictvím bytů</w:t>
      </w:r>
      <w:r w:rsidRPr="0046268F">
        <w:rPr>
          <w:i/>
        </w:rPr>
        <w:t xml:space="preserve">. </w:t>
      </w:r>
      <w:r w:rsidRPr="0046268F">
        <w:t>s. 37.</w:t>
      </w:r>
    </w:p>
  </w:footnote>
  <w:footnote w:id="23">
    <w:p w:rsidR="00E05371" w:rsidRPr="0046268F" w:rsidRDefault="00E05371" w:rsidP="004F3F78">
      <w:pPr>
        <w:pStyle w:val="Textpoznpodarou"/>
      </w:pPr>
      <w:r w:rsidRPr="0046268F">
        <w:rPr>
          <w:rStyle w:val="Znakapoznpodarou"/>
        </w:rPr>
        <w:footnoteRef/>
      </w:r>
      <w:r w:rsidRPr="0046268F">
        <w:t xml:space="preserve"> Viz scholastika totalitního práva o druzích a formách vlastnictví, které rozlišovalo tři druhy vlastnictví (socialistické, osobní, soukromé) a kdy socialistické vlastnictví mělo tři formy (státní, družstevní a vlastnictví socialistických společenských organizací). V tomto systému náležela nejsilnější právní ochrana vlastnictví státnímu, nejslabší vlastnictví soukromému.</w:t>
      </w:r>
    </w:p>
  </w:footnote>
  <w:footnote w:id="24">
    <w:p w:rsidR="00E05371" w:rsidRPr="0046268F" w:rsidRDefault="00E05371" w:rsidP="00911FF5">
      <w:pPr>
        <w:pStyle w:val="Textpoznpodarou"/>
      </w:pPr>
      <w:r w:rsidRPr="0046268F">
        <w:rPr>
          <w:rStyle w:val="Znakapoznpodarou"/>
        </w:rPr>
        <w:footnoteRef/>
      </w:r>
      <w:r w:rsidRPr="0046268F">
        <w:t xml:space="preserve"> VLÁČIL, David. Společenství vlastníků jednotek podle novely zákona o vlastnictví bytů. </w:t>
      </w:r>
      <w:r w:rsidRPr="0046268F">
        <w:rPr>
          <w:i/>
        </w:rPr>
        <w:t>Právní rozhledy</w:t>
      </w:r>
      <w:r w:rsidRPr="0046268F">
        <w:t>. 2000, č. 10, s. 440–443.</w:t>
      </w:r>
    </w:p>
  </w:footnote>
  <w:footnote w:id="25">
    <w:p w:rsidR="00E05371" w:rsidRPr="0046268F" w:rsidRDefault="00E05371">
      <w:pPr>
        <w:pStyle w:val="Textpoznpodarou"/>
      </w:pPr>
      <w:r w:rsidRPr="0046268F">
        <w:rPr>
          <w:rStyle w:val="Znakapoznpodarou"/>
        </w:rPr>
        <w:footnoteRef/>
      </w:r>
      <w:r w:rsidRPr="0046268F">
        <w:t xml:space="preserve"> KRATOCHVÍL, Zdeněk. </w:t>
      </w:r>
      <w:r w:rsidRPr="0046268F">
        <w:rPr>
          <w:i/>
        </w:rPr>
        <w:t>Nové občanské právo</w:t>
      </w:r>
      <w:r w:rsidRPr="0046268F">
        <w:t>. Praha: Orbis, 1965, s. 200.</w:t>
      </w:r>
    </w:p>
  </w:footnote>
  <w:footnote w:id="26">
    <w:p w:rsidR="00E05371" w:rsidRPr="0046268F" w:rsidRDefault="00E05371">
      <w:pPr>
        <w:pStyle w:val="Textpoznpodarou"/>
      </w:pPr>
      <w:r w:rsidRPr="0046268F">
        <w:rPr>
          <w:rStyle w:val="Znakapoznpodarou"/>
        </w:rPr>
        <w:footnoteRef/>
      </w:r>
      <w:r w:rsidRPr="0046268F">
        <w:t xml:space="preserve"> ŠTĚPINA, Jaroslav. Byt jako předmět osobního vlastnictví. </w:t>
      </w:r>
      <w:r w:rsidRPr="0046268F">
        <w:rPr>
          <w:i/>
        </w:rPr>
        <w:t>Socialistická zákonnost</w:t>
      </w:r>
      <w:r w:rsidRPr="0046268F">
        <w:t>, 1966, roč. XIV, s. 17.</w:t>
      </w:r>
    </w:p>
  </w:footnote>
  <w:footnote w:id="27">
    <w:p w:rsidR="00E05371" w:rsidRPr="0046268F" w:rsidRDefault="00E05371">
      <w:pPr>
        <w:pStyle w:val="Textpoznpodarou"/>
      </w:pPr>
      <w:r w:rsidRPr="0046268F">
        <w:rPr>
          <w:rStyle w:val="Znakapoznpodarou"/>
        </w:rPr>
        <w:footnoteRef/>
      </w:r>
      <w:r w:rsidRPr="0046268F">
        <w:t xml:space="preserve"> FIALA, Josef In: NOVOTNÝ, Marek, a kol. </w:t>
      </w:r>
      <w:r w:rsidRPr="0046268F">
        <w:rPr>
          <w:i/>
        </w:rPr>
        <w:t xml:space="preserve">Zákon o vlastnictví bytů. Komentář, </w:t>
      </w:r>
      <w:r w:rsidRPr="0046268F">
        <w:t>3. vydání. Praha: Nakladatelství C. H. Beck, 2005, s. 7.</w:t>
      </w:r>
    </w:p>
  </w:footnote>
  <w:footnote w:id="28">
    <w:p w:rsidR="00E05371" w:rsidRPr="0046268F" w:rsidRDefault="00E05371">
      <w:pPr>
        <w:pStyle w:val="Textpoznpodarou"/>
      </w:pPr>
      <w:r w:rsidRPr="0046268F">
        <w:rPr>
          <w:rStyle w:val="Znakapoznpodarou"/>
        </w:rPr>
        <w:footnoteRef/>
      </w:r>
      <w:r w:rsidRPr="0046268F">
        <w:t xml:space="preserve"> Tamtéž, s. 9.</w:t>
      </w:r>
    </w:p>
  </w:footnote>
  <w:footnote w:id="29">
    <w:p w:rsidR="00E05371" w:rsidRPr="0046268F" w:rsidRDefault="00E05371" w:rsidP="00DA0A3F">
      <w:pPr>
        <w:pStyle w:val="Textpoznpodarou"/>
      </w:pPr>
      <w:r w:rsidRPr="0046268F">
        <w:rPr>
          <w:rStyle w:val="Znakapoznpodarou"/>
        </w:rPr>
        <w:footnoteRef/>
      </w:r>
      <w:r w:rsidRPr="0046268F">
        <w:t xml:space="preserve"> ELIÁŠ: Některé otázky spojené s vlastnictvím bytů</w:t>
      </w:r>
      <w:r w:rsidRPr="0046268F">
        <w:rPr>
          <w:i/>
        </w:rPr>
        <w:t>.</w:t>
      </w:r>
      <w:r w:rsidRPr="0046268F">
        <w:t>, s. 38.</w:t>
      </w:r>
    </w:p>
  </w:footnote>
  <w:footnote w:id="30">
    <w:p w:rsidR="00E05371" w:rsidRPr="0046268F" w:rsidRDefault="00E05371" w:rsidP="00911FF5">
      <w:pPr>
        <w:pStyle w:val="Textpoznpodarou"/>
      </w:pPr>
      <w:r w:rsidRPr="0046268F">
        <w:rPr>
          <w:rStyle w:val="Znakapoznpodarou"/>
        </w:rPr>
        <w:footnoteRef/>
      </w:r>
      <w:r w:rsidRPr="0046268F">
        <w:t xml:space="preserve"> NOVOTNÝ: </w:t>
      </w:r>
      <w:r w:rsidRPr="0046268F">
        <w:rPr>
          <w:i/>
        </w:rPr>
        <w:t xml:space="preserve">Zákon o vlastnictví bytů. Komentář, </w:t>
      </w:r>
      <w:r w:rsidRPr="0046268F">
        <w:t>3. vydání. s. 683 (k § 1158 NOZ).</w:t>
      </w:r>
    </w:p>
  </w:footnote>
  <w:footnote w:id="31">
    <w:p w:rsidR="00E05371" w:rsidRPr="0046268F" w:rsidRDefault="00E05371">
      <w:pPr>
        <w:pStyle w:val="Textpoznpodarou"/>
      </w:pPr>
      <w:r w:rsidRPr="0046268F">
        <w:rPr>
          <w:rStyle w:val="Znakapoznpodarou"/>
        </w:rPr>
        <w:footnoteRef/>
      </w:r>
      <w:r w:rsidRPr="0046268F">
        <w:t xml:space="preserve"> Nález Ústavního soudu ze dne 13. 3. 2001, sp. zn. Pl. ÚS 51/2000; Rozsudek Nejvyššího soudu ze dne 2. 6. 2008, sp. zn. 22 Cdo 1455/2008; Rozsudek Nejvyššího soudu ze dne 28. 4. 2008, sp. zn. 22 Cdo 4670/2008.</w:t>
      </w:r>
    </w:p>
  </w:footnote>
  <w:footnote w:id="32">
    <w:p w:rsidR="00E05371" w:rsidRPr="0046268F" w:rsidRDefault="00E05371" w:rsidP="00911FF5">
      <w:pPr>
        <w:pStyle w:val="Textpoznpodarou"/>
      </w:pPr>
      <w:r w:rsidRPr="0046268F">
        <w:rPr>
          <w:rStyle w:val="Znakapoznpodarou"/>
        </w:rPr>
        <w:footnoteRef/>
      </w:r>
      <w:r w:rsidRPr="0046268F">
        <w:t xml:space="preserve"> </w:t>
      </w:r>
      <w:bookmarkStart w:id="16" w:name="_Hlk509386439"/>
      <w:r w:rsidRPr="0046268F">
        <w:t xml:space="preserve">NOVOTNÝ: </w:t>
      </w:r>
      <w:r w:rsidRPr="0046268F">
        <w:rPr>
          <w:i/>
        </w:rPr>
        <w:t xml:space="preserve">Zákon o vlastnictví bytů. Komentář, </w:t>
      </w:r>
      <w:r w:rsidRPr="0046268F">
        <w:t>4. vydání. s 5-7 (k § 1)</w:t>
      </w:r>
      <w:bookmarkEnd w:id="16"/>
      <w:r w:rsidRPr="0046268F">
        <w:t>.</w:t>
      </w:r>
    </w:p>
  </w:footnote>
  <w:footnote w:id="33">
    <w:p w:rsidR="00E05371" w:rsidRPr="0046268F" w:rsidRDefault="00E05371" w:rsidP="00B03E26">
      <w:pPr>
        <w:pStyle w:val="Textpoznpodarou"/>
      </w:pPr>
      <w:r w:rsidRPr="0046268F">
        <w:rPr>
          <w:rStyle w:val="Znakapoznpodarou"/>
        </w:rPr>
        <w:footnoteRef/>
      </w:r>
      <w:r w:rsidRPr="0046268F">
        <w:t xml:space="preserve"> NOVOTNÝ: </w:t>
      </w:r>
      <w:r w:rsidRPr="0046268F">
        <w:rPr>
          <w:i/>
        </w:rPr>
        <w:t xml:space="preserve">Zákon o vlastnictví bytů. </w:t>
      </w:r>
      <w:r w:rsidRPr="0046268F">
        <w:t xml:space="preserve">4. vydání. s. 2. </w:t>
      </w:r>
    </w:p>
  </w:footnote>
  <w:footnote w:id="34">
    <w:p w:rsidR="00E05371" w:rsidRPr="0046268F" w:rsidRDefault="00E05371">
      <w:pPr>
        <w:pStyle w:val="Textpoznpodarou"/>
      </w:pPr>
      <w:r w:rsidRPr="0046268F">
        <w:rPr>
          <w:rStyle w:val="Znakapoznpodarou"/>
        </w:rPr>
        <w:footnoteRef/>
      </w:r>
      <w:r w:rsidRPr="0046268F">
        <w:t xml:space="preserve"> PETR: </w:t>
      </w:r>
      <w:r w:rsidRPr="0046268F">
        <w:rPr>
          <w:i/>
        </w:rPr>
        <w:t>Vlastnictví bytů – kondominium.</w:t>
      </w:r>
      <w:r w:rsidRPr="0046268F">
        <w:t xml:space="preserve"> s. 79.</w:t>
      </w:r>
    </w:p>
  </w:footnote>
  <w:footnote w:id="35">
    <w:p w:rsidR="00E05371" w:rsidRPr="0046268F" w:rsidRDefault="00E05371" w:rsidP="00E25FDC">
      <w:pPr>
        <w:pStyle w:val="Textpoznpodarou"/>
      </w:pPr>
      <w:r w:rsidRPr="0046268F">
        <w:rPr>
          <w:rStyle w:val="Znakapoznpodarou"/>
        </w:rPr>
        <w:footnoteRef/>
      </w:r>
      <w:r w:rsidRPr="0046268F">
        <w:t xml:space="preserve"> Tamtéž s. 78.</w:t>
      </w:r>
    </w:p>
  </w:footnote>
  <w:footnote w:id="36">
    <w:p w:rsidR="00E05371" w:rsidRPr="0046268F" w:rsidRDefault="00E05371">
      <w:pPr>
        <w:pStyle w:val="Textpoznpodarou"/>
      </w:pPr>
      <w:r w:rsidRPr="0046268F">
        <w:rPr>
          <w:rStyle w:val="Znakapoznpodarou"/>
        </w:rPr>
        <w:footnoteRef/>
      </w:r>
      <w:r w:rsidRPr="0046268F">
        <w:t xml:space="preserve"> Tamtéž s. 93-94.</w:t>
      </w:r>
    </w:p>
  </w:footnote>
  <w:footnote w:id="37">
    <w:p w:rsidR="00E05371" w:rsidRPr="0046268F" w:rsidRDefault="00E05371" w:rsidP="00E25FDC">
      <w:pPr>
        <w:pStyle w:val="Textpoznpodarou"/>
      </w:pPr>
      <w:r w:rsidRPr="0046268F">
        <w:rPr>
          <w:rStyle w:val="Znakapoznpodarou"/>
        </w:rPr>
        <w:footnoteRef/>
      </w:r>
      <w:r w:rsidRPr="0046268F">
        <w:t xml:space="preserve"> Tamtéž s. 79.</w:t>
      </w:r>
    </w:p>
  </w:footnote>
  <w:footnote w:id="38">
    <w:p w:rsidR="00E05371" w:rsidRPr="0046268F" w:rsidRDefault="00E05371" w:rsidP="00E25FDC">
      <w:pPr>
        <w:pStyle w:val="Textpoznpodarou"/>
      </w:pPr>
      <w:r w:rsidRPr="0046268F">
        <w:rPr>
          <w:rStyle w:val="Znakapoznpodarou"/>
        </w:rPr>
        <w:footnoteRef/>
      </w:r>
      <w:r w:rsidRPr="0046268F">
        <w:t xml:space="preserve"> DVOŘÁK, T</w:t>
      </w:r>
      <w:r w:rsidR="009825B2">
        <w:t>omáš</w:t>
      </w:r>
      <w:r w:rsidRPr="0046268F">
        <w:t xml:space="preserve">. K vymezení nemovitosti, ve které může vzniknout vlastnictví bytů, resp. bytové spoluvlastnictví. In VOJČÍK, P., HUSÁR, J. </w:t>
      </w:r>
      <w:r w:rsidRPr="0046268F">
        <w:rPr>
          <w:i/>
        </w:rPr>
        <w:t>Pôsobenie práva v 21. storočie. Súkromné právo v súčasnosti a perspektíve.</w:t>
      </w:r>
      <w:r w:rsidRPr="0046268F">
        <w:t xml:space="preserve"> Sborník prací z mezinárodní vědecké konference konané v Košicích dne 27. 9. 2013. Košice: Univerzita Pavla Josefa Šafaříka, 2013 s. 50.</w:t>
      </w:r>
    </w:p>
  </w:footnote>
  <w:footnote w:id="39">
    <w:p w:rsidR="00E05371" w:rsidRPr="0046268F" w:rsidRDefault="00E05371" w:rsidP="00E25FDC">
      <w:pPr>
        <w:pStyle w:val="Textpoznpodarou"/>
      </w:pPr>
      <w:r w:rsidRPr="0046268F">
        <w:rPr>
          <w:rStyle w:val="Znakapoznpodarou"/>
        </w:rPr>
        <w:footnoteRef/>
      </w:r>
      <w:r w:rsidRPr="0046268F">
        <w:t xml:space="preserve"> KABELKOVÁ, Eva, SHÖDELBAUEROVÁ, Pavla. </w:t>
      </w:r>
      <w:r w:rsidRPr="0046268F">
        <w:rPr>
          <w:i/>
        </w:rPr>
        <w:t xml:space="preserve">Bytové spoluvlastnictví v novém občanském zákoníku. </w:t>
      </w:r>
      <w:r w:rsidRPr="0046268F">
        <w:t>1.vydání. Praha: Nakladatelství C. H. Beck, 2013, s. 16.</w:t>
      </w:r>
    </w:p>
  </w:footnote>
  <w:footnote w:id="40">
    <w:p w:rsidR="00E05371" w:rsidRPr="0046268F" w:rsidRDefault="00E05371" w:rsidP="00E25FDC">
      <w:pPr>
        <w:pStyle w:val="Textpoznpodarou"/>
      </w:pPr>
      <w:r w:rsidRPr="0046268F">
        <w:rPr>
          <w:rStyle w:val="Znakapoznpodarou"/>
        </w:rPr>
        <w:footnoteRef/>
      </w:r>
      <w:r w:rsidRPr="0046268F">
        <w:t xml:space="preserve"> ČÁP. Z. In ŠVESTKA, J. a kol. </w:t>
      </w:r>
      <w:r w:rsidRPr="0046268F">
        <w:rPr>
          <w:i/>
        </w:rPr>
        <w:t>Občanský zákoník. Komentář. Svazek III.</w:t>
      </w:r>
      <w:r w:rsidRPr="0046268F">
        <w:t xml:space="preserve"> Praha: Wolters Kluwer, 2014, s. 441.</w:t>
      </w:r>
    </w:p>
  </w:footnote>
  <w:footnote w:id="41">
    <w:p w:rsidR="00E05371" w:rsidRPr="0046268F" w:rsidRDefault="00E05371" w:rsidP="00E25FDC">
      <w:pPr>
        <w:pStyle w:val="Textpoznpodarou"/>
      </w:pPr>
      <w:r w:rsidRPr="0046268F">
        <w:rPr>
          <w:rStyle w:val="Znakapoznpodarou"/>
        </w:rPr>
        <w:footnoteRef/>
      </w:r>
      <w:r w:rsidRPr="0046268F">
        <w:t xml:space="preserve"> SPÁČIL: </w:t>
      </w:r>
      <w:r w:rsidRPr="0046268F">
        <w:rPr>
          <w:i/>
        </w:rPr>
        <w:t>Občanský zákoník III. Věcná práva (§ 976–1474).</w:t>
      </w:r>
      <w:r w:rsidRPr="0046268F">
        <w:t xml:space="preserve"> s. 684-685.</w:t>
      </w:r>
    </w:p>
  </w:footnote>
  <w:footnote w:id="42">
    <w:p w:rsidR="00E05371" w:rsidRPr="0046268F" w:rsidRDefault="00E05371">
      <w:pPr>
        <w:pStyle w:val="Textpoznpodarou"/>
      </w:pPr>
      <w:r w:rsidRPr="0046268F">
        <w:rPr>
          <w:rStyle w:val="Znakapoznpodarou"/>
        </w:rPr>
        <w:footnoteRef/>
      </w:r>
      <w:r w:rsidRPr="0046268F">
        <w:t xml:space="preserve"> PETR: </w:t>
      </w:r>
      <w:r w:rsidRPr="0046268F">
        <w:rPr>
          <w:i/>
        </w:rPr>
        <w:t>Vlastnictví bytů – kondominium.</w:t>
      </w:r>
      <w:r w:rsidRPr="0046268F">
        <w:t xml:space="preserve"> s.  82.</w:t>
      </w:r>
    </w:p>
  </w:footnote>
  <w:footnote w:id="43">
    <w:p w:rsidR="00E05371" w:rsidRPr="0046268F" w:rsidRDefault="00E05371">
      <w:pPr>
        <w:pStyle w:val="Textpoznpodarou"/>
      </w:pPr>
      <w:r w:rsidRPr="0046268F">
        <w:rPr>
          <w:rStyle w:val="Znakapoznpodarou"/>
        </w:rPr>
        <w:footnoteRef/>
      </w:r>
      <w:r w:rsidRPr="0046268F">
        <w:t xml:space="preserve"> TÉGL, Petr. Vybrané otázky aplikace přechodných ustanovení [online]. pravniprostor.cz, </w:t>
      </w:r>
      <w:r w:rsidRPr="0046268F">
        <w:rPr>
          <w:rFonts w:cs="Times New Roman"/>
          <w:szCs w:val="18"/>
          <w:shd w:val="clear" w:color="auto" w:fill="FFFFFF"/>
        </w:rPr>
        <w:t>15. 7. 2014</w:t>
      </w:r>
      <w:r w:rsidRPr="0046268F">
        <w:t>. Dostupné na &lt;https://www.pravniprostor.cz/clanky/rekodifikace/vybrane-otazky-aplikace-prechodnych-ustanoveni&gt;.</w:t>
      </w:r>
    </w:p>
  </w:footnote>
  <w:footnote w:id="44">
    <w:p w:rsidR="00E05371" w:rsidRPr="0046268F" w:rsidRDefault="00E05371" w:rsidP="00E25FDC">
      <w:pPr>
        <w:pStyle w:val="Textpoznpodarou"/>
      </w:pPr>
      <w:r w:rsidRPr="0046268F">
        <w:rPr>
          <w:rStyle w:val="Znakapoznpodarou"/>
        </w:rPr>
        <w:footnoteRef/>
      </w:r>
      <w:r w:rsidRPr="0046268F">
        <w:t xml:space="preserve"> ELIÁŠ: Některé otázky spojené s vlastnictvím bytů</w:t>
      </w:r>
      <w:r w:rsidRPr="0046268F">
        <w:rPr>
          <w:i/>
        </w:rPr>
        <w:t xml:space="preserve">. </w:t>
      </w:r>
      <w:r w:rsidRPr="0046268F">
        <w:t>s. 42-43.</w:t>
      </w:r>
    </w:p>
    <w:p w:rsidR="00E05371" w:rsidRPr="0046268F" w:rsidRDefault="00E05371" w:rsidP="001001EC">
      <w:pPr>
        <w:pStyle w:val="Textpoznpodarou"/>
      </w:pPr>
      <w:r w:rsidRPr="0046268F">
        <w:rPr>
          <w:rStyle w:val="Znakapoznpodarou"/>
        </w:rPr>
        <w:footnoteRef/>
      </w:r>
      <w:r w:rsidRPr="0046268F">
        <w:t xml:space="preserve"> TÉGL: Vybrané otázky aplikace přechodných ustanovení.</w:t>
      </w:r>
    </w:p>
  </w:footnote>
  <w:footnote w:id="45">
    <w:p w:rsidR="00E05371" w:rsidRPr="0046268F" w:rsidRDefault="00E05371" w:rsidP="00956CA1">
      <w:pPr>
        <w:pStyle w:val="Textpoznpodarou"/>
      </w:pPr>
      <w:r w:rsidRPr="0046268F">
        <w:rPr>
          <w:rStyle w:val="Znakapoznpodarou"/>
        </w:rPr>
        <w:footnoteRef/>
      </w:r>
      <w:r w:rsidRPr="0046268F">
        <w:t xml:space="preserve"> LAVICKÝ, Petr a kol. </w:t>
      </w:r>
      <w:r w:rsidRPr="0046268F">
        <w:rPr>
          <w:i/>
        </w:rPr>
        <w:t>Občanský zákoník I. Obecná část (§ 1−654).</w:t>
      </w:r>
      <w:r w:rsidRPr="0046268F">
        <w:t xml:space="preserve"> 1. vydání. Praha: Nakladatelství C. H. Beck, 2014, s. 2316 (k § 3028 odst. 2).</w:t>
      </w:r>
    </w:p>
  </w:footnote>
  <w:footnote w:id="46">
    <w:p w:rsidR="00E05371" w:rsidRPr="0046268F" w:rsidRDefault="00E05371" w:rsidP="00956CA1">
      <w:pPr>
        <w:pStyle w:val="Textpoznpodarou"/>
      </w:pPr>
      <w:r w:rsidRPr="0046268F">
        <w:rPr>
          <w:rStyle w:val="Znakapoznpodarou"/>
        </w:rPr>
        <w:footnoteRef/>
      </w:r>
      <w:r w:rsidRPr="0046268F">
        <w:t xml:space="preserve"> ELIÁŠ: Některé otázky spojené s vlastnictvím bytů</w:t>
      </w:r>
      <w:r w:rsidRPr="0046268F">
        <w:rPr>
          <w:i/>
        </w:rPr>
        <w:t xml:space="preserve">. </w:t>
      </w:r>
      <w:r w:rsidRPr="0046268F">
        <w:t>s. 44.</w:t>
      </w:r>
    </w:p>
  </w:footnote>
  <w:footnote w:id="47">
    <w:p w:rsidR="00E05371" w:rsidRPr="0046268F" w:rsidRDefault="00E05371" w:rsidP="00956CA1">
      <w:pPr>
        <w:pStyle w:val="Textpoznpodarou"/>
      </w:pPr>
      <w:r w:rsidRPr="0046268F">
        <w:rPr>
          <w:rStyle w:val="Znakapoznpodarou"/>
        </w:rPr>
        <w:footnoteRef/>
      </w:r>
      <w:r w:rsidRPr="0046268F">
        <w:t xml:space="preserve"> Vláda: Důvodová zpráva k NOZ (k § 3063)</w:t>
      </w:r>
      <w:r>
        <w:t>.</w:t>
      </w:r>
    </w:p>
  </w:footnote>
  <w:footnote w:id="48">
    <w:p w:rsidR="00E05371" w:rsidRPr="0046268F" w:rsidRDefault="00E05371" w:rsidP="00956CA1">
      <w:pPr>
        <w:pStyle w:val="Textpoznpodarou"/>
      </w:pPr>
      <w:r w:rsidRPr="0046268F">
        <w:rPr>
          <w:rStyle w:val="Znakapoznpodarou"/>
        </w:rPr>
        <w:footnoteRef/>
      </w:r>
      <w:r w:rsidRPr="0046268F">
        <w:t xml:space="preserve"> Expertní skupina Komise pro aplikaci nové civilní legislativy při Ministerstvu spravedlnosti ČR Výkladové stanovisko č. 7 ze dne 19. 4. 2013 - k problematice bytového spoluvlastnictví v NOZ.</w:t>
      </w:r>
    </w:p>
  </w:footnote>
  <w:footnote w:id="49">
    <w:p w:rsidR="00E05371" w:rsidRPr="0046268F" w:rsidRDefault="00E05371">
      <w:pPr>
        <w:pStyle w:val="Textpoznpodarou"/>
      </w:pPr>
      <w:r w:rsidRPr="0046268F">
        <w:rPr>
          <w:rStyle w:val="Znakapoznpodarou"/>
        </w:rPr>
        <w:footnoteRef/>
      </w:r>
      <w:r w:rsidR="009825B2">
        <w:t xml:space="preserve"> K tomu také P. Tégl</w:t>
      </w:r>
      <w:r w:rsidRPr="0046268F">
        <w:t>: „</w:t>
      </w:r>
      <w:r w:rsidRPr="0046268F">
        <w:rPr>
          <w:i/>
        </w:rPr>
        <w:t>Pokud nejpozději tento den vlastník domu nebo spoluvlastníci domu dali na katastr návrh na vklad prohlášení vlastníka, potom – byť bylo prohlášení vloženo do katastru až po 1. lednu 2014, vzniknou jednotky v režimu zákona o vlastnictví bytů.</w:t>
      </w:r>
      <w:r w:rsidRPr="0046268F">
        <w:t>“ – TÉGL: Vybrané otázky aplikace přechodných ustanovení.</w:t>
      </w:r>
    </w:p>
  </w:footnote>
  <w:footnote w:id="50">
    <w:p w:rsidR="00E05371" w:rsidRPr="0046268F" w:rsidRDefault="00E05371" w:rsidP="00956CA1">
      <w:pPr>
        <w:pStyle w:val="Textpoznpodarou"/>
      </w:pPr>
      <w:r w:rsidRPr="0046268F">
        <w:rPr>
          <w:rStyle w:val="Znakapoznpodarou"/>
        </w:rPr>
        <w:footnoteRef/>
      </w:r>
      <w:r w:rsidRPr="0046268F">
        <w:t>Expertní skupina Komise pro aplikaci nové civilní legislativy při Ministerstvu spravedlnosti ČR: výkladové stanovisko č. 16 ze dne 16. 1. 2014 – k problematice bytového spoluvlastnictví v NOZ.</w:t>
      </w:r>
    </w:p>
  </w:footnote>
  <w:footnote w:id="51">
    <w:p w:rsidR="00E05371" w:rsidRPr="0046268F" w:rsidRDefault="00E05371" w:rsidP="00107328">
      <w:pPr>
        <w:pStyle w:val="Textpoznpodarou"/>
      </w:pPr>
      <w:r w:rsidRPr="0046268F">
        <w:rPr>
          <w:rStyle w:val="Znakapoznpodarou"/>
        </w:rPr>
        <w:footnoteRef/>
      </w:r>
      <w:r w:rsidRPr="0046268F">
        <w:t xml:space="preserve"> DVOŘÁK, Tomáš. Převod vlastnického práva k jednotce podle nového občanského zákoníku. </w:t>
      </w:r>
      <w:r w:rsidRPr="0046268F">
        <w:rPr>
          <w:i/>
        </w:rPr>
        <w:t>Právní rozhledy</w:t>
      </w:r>
      <w:r w:rsidRPr="0046268F">
        <w:t>. 2015, č. 2, s. 44-52.</w:t>
      </w:r>
    </w:p>
  </w:footnote>
  <w:footnote w:id="52">
    <w:p w:rsidR="00E05371" w:rsidRPr="0046268F" w:rsidRDefault="00E05371">
      <w:pPr>
        <w:pStyle w:val="Textpoznpodarou"/>
      </w:pPr>
      <w:r w:rsidRPr="0046268F">
        <w:rPr>
          <w:rStyle w:val="Znakapoznpodarou"/>
        </w:rPr>
        <w:footnoteRef/>
      </w:r>
      <w:r w:rsidRPr="0046268F">
        <w:t xml:space="preserve"> PETR: </w:t>
      </w:r>
      <w:r w:rsidRPr="0046268F">
        <w:rPr>
          <w:i/>
        </w:rPr>
        <w:t>Vlastnictví bytů – kondominium.</w:t>
      </w:r>
      <w:r w:rsidRPr="0046268F">
        <w:t xml:space="preserve"> s. 83.</w:t>
      </w:r>
    </w:p>
  </w:footnote>
  <w:footnote w:id="53">
    <w:p w:rsidR="00E05371" w:rsidRPr="0046268F" w:rsidRDefault="00E05371" w:rsidP="00956CA1">
      <w:pPr>
        <w:pStyle w:val="Textpoznpodarou"/>
      </w:pPr>
      <w:r w:rsidRPr="0046268F">
        <w:rPr>
          <w:rStyle w:val="Znakapoznpodarou"/>
        </w:rPr>
        <w:footnoteRef/>
      </w:r>
      <w:r w:rsidRPr="0046268F">
        <w:t xml:space="preserve"> Expertní skupina… č. 16</w:t>
      </w:r>
      <w:r>
        <w:t>.</w:t>
      </w:r>
    </w:p>
  </w:footnote>
  <w:footnote w:id="54">
    <w:p w:rsidR="00E05371" w:rsidRPr="0046268F" w:rsidRDefault="00E05371" w:rsidP="00956CA1">
      <w:pPr>
        <w:pStyle w:val="Textpoznpodarou"/>
      </w:pPr>
      <w:r w:rsidRPr="0046268F">
        <w:rPr>
          <w:rStyle w:val="Znakapoznpodarou"/>
        </w:rPr>
        <w:footnoteRef/>
      </w:r>
      <w:r w:rsidRPr="0046268F">
        <w:t xml:space="preserve"> ELIÁŠ: Některé otázky spojené s vlastnictvím bytů. s. 38.</w:t>
      </w:r>
    </w:p>
  </w:footnote>
  <w:footnote w:id="55">
    <w:p w:rsidR="00E05371" w:rsidRPr="0046268F" w:rsidRDefault="00E05371" w:rsidP="005F38BA">
      <w:pPr>
        <w:pStyle w:val="Textpoznpodarou"/>
      </w:pPr>
      <w:r w:rsidRPr="0046268F">
        <w:rPr>
          <w:rStyle w:val="Znakapoznpodarou"/>
        </w:rPr>
        <w:footnoteRef/>
      </w:r>
      <w:r w:rsidRPr="0046268F">
        <w:t xml:space="preserve"> Usnesení Nejvyššího soudu ze dne 9. 12. 2015, sp. zn. 22 Cdo 4000/2015; Usnesení Ústavního soudu ze dne 26. 5. 2016, sp. zn. II. ÚS 799/16.</w:t>
      </w:r>
    </w:p>
  </w:footnote>
  <w:footnote w:id="56">
    <w:p w:rsidR="00E05371" w:rsidRPr="0046268F" w:rsidRDefault="00E05371" w:rsidP="006226B5">
      <w:pPr>
        <w:pStyle w:val="Textpoznpodarou"/>
      </w:pPr>
      <w:r w:rsidRPr="0046268F">
        <w:rPr>
          <w:rStyle w:val="Znakapoznpodarou"/>
        </w:rPr>
        <w:footnoteRef/>
      </w:r>
      <w:r w:rsidRPr="0046268F">
        <w:t xml:space="preserve"> PETROV, J</w:t>
      </w:r>
      <w:r w:rsidR="009825B2">
        <w:t>an</w:t>
      </w:r>
      <w:r w:rsidRPr="0046268F">
        <w:t xml:space="preserve">. a kol. </w:t>
      </w:r>
      <w:r w:rsidRPr="0046268F">
        <w:rPr>
          <w:i/>
        </w:rPr>
        <w:t>Občanský zákoník. Komentář. 1. vydání</w:t>
      </w:r>
      <w:r w:rsidRPr="0046268F">
        <w:t>. Praha: C. H. Beck, 2017, s. 3040, k ust. § 3063.</w:t>
      </w:r>
    </w:p>
  </w:footnote>
  <w:footnote w:id="57">
    <w:p w:rsidR="00E05371" w:rsidRPr="0046268F" w:rsidRDefault="00E05371" w:rsidP="000B34D6">
      <w:pPr>
        <w:pStyle w:val="Textpoznpodarou"/>
        <w:rPr>
          <w:rFonts w:cs="Arial"/>
          <w:i/>
          <w:iCs/>
          <w:color w:val="000000"/>
          <w:sz w:val="19"/>
          <w:szCs w:val="19"/>
          <w:shd w:val="clear" w:color="auto" w:fill="FFFFFF"/>
        </w:rPr>
      </w:pPr>
      <w:r w:rsidRPr="0046268F">
        <w:rPr>
          <w:rStyle w:val="Znakapoznpodarou"/>
        </w:rPr>
        <w:footnoteRef/>
      </w:r>
      <w:r w:rsidRPr="0046268F">
        <w:t xml:space="preserve"> </w:t>
      </w:r>
      <w:r w:rsidRPr="0046268F">
        <w:rPr>
          <w:rFonts w:cs="Arial"/>
          <w:iCs/>
          <w:color w:val="000000"/>
          <w:szCs w:val="19"/>
          <w:shd w:val="clear" w:color="auto" w:fill="FFFFFF"/>
        </w:rPr>
        <w:t>Usnesení Vrchního soudu v Praze ze dne 23. 9. 2016, sp. zn. 7 Cmo 315/2016.</w:t>
      </w:r>
    </w:p>
  </w:footnote>
  <w:footnote w:id="58">
    <w:p w:rsidR="00E05371" w:rsidRPr="0046268F" w:rsidRDefault="00E05371" w:rsidP="006226B5">
      <w:pPr>
        <w:pStyle w:val="Textpoznpodarou"/>
        <w:rPr>
          <w:color w:val="FF0000"/>
        </w:rPr>
      </w:pPr>
      <w:r w:rsidRPr="0046268F">
        <w:rPr>
          <w:rStyle w:val="Znakapoznpodarou"/>
        </w:rPr>
        <w:footnoteRef/>
      </w:r>
      <w:r w:rsidRPr="0046268F">
        <w:t xml:space="preserve"> </w:t>
      </w:r>
      <w:r w:rsidRPr="0046268F">
        <w:rPr>
          <w:color w:val="000000" w:themeColor="text1"/>
        </w:rPr>
        <w:t>MELZER, F</w:t>
      </w:r>
      <w:r w:rsidR="009825B2">
        <w:rPr>
          <w:color w:val="000000" w:themeColor="text1"/>
        </w:rPr>
        <w:t>ilip</w:t>
      </w:r>
      <w:r w:rsidRPr="0046268F">
        <w:rPr>
          <w:color w:val="000000" w:themeColor="text1"/>
        </w:rPr>
        <w:t xml:space="preserve">. </w:t>
      </w:r>
      <w:r w:rsidRPr="0046268F">
        <w:rPr>
          <w:i/>
          <w:color w:val="000000" w:themeColor="text1"/>
        </w:rPr>
        <w:t>Metodologie nalézání práva. Úvod do právní argumentace, 2. vydání</w:t>
      </w:r>
      <w:r w:rsidRPr="0046268F">
        <w:rPr>
          <w:color w:val="000000" w:themeColor="text1"/>
        </w:rPr>
        <w:t>. Praha: C. H. Beck, 2011, s. 21.</w:t>
      </w:r>
    </w:p>
  </w:footnote>
  <w:footnote w:id="59">
    <w:p w:rsidR="00E05371" w:rsidRPr="0046268F" w:rsidRDefault="00E05371" w:rsidP="006226B5">
      <w:pPr>
        <w:pStyle w:val="Textpoznpodarou"/>
      </w:pPr>
      <w:r w:rsidRPr="0046268F">
        <w:rPr>
          <w:rStyle w:val="Znakapoznpodarou"/>
        </w:rPr>
        <w:footnoteRef/>
      </w:r>
      <w:r w:rsidRPr="0046268F">
        <w:t xml:space="preserve"> Nález Ústavního soudu ze dne 11. 5. 2005, sp. zn. II. ÚS 87/04.</w:t>
      </w:r>
    </w:p>
  </w:footnote>
  <w:footnote w:id="60">
    <w:p w:rsidR="00E05371" w:rsidRPr="0046268F" w:rsidRDefault="00E05371" w:rsidP="006226B5">
      <w:pPr>
        <w:pStyle w:val="Textpoznpodarou"/>
      </w:pPr>
      <w:r w:rsidRPr="0046268F">
        <w:rPr>
          <w:rStyle w:val="Znakapoznpodarou"/>
        </w:rPr>
        <w:footnoteRef/>
      </w:r>
      <w:r w:rsidRPr="0046268F">
        <w:t xml:space="preserve"> Rozsudek Nejvyššího soudu ze dne 27. 5. 2004, sp. zn. 32 Odo 314/2003; rozsudek Nejvyššího soudu ze dne 22. 12. 2005, sp. zn. 28 Cdo 1067/2004.</w:t>
      </w:r>
    </w:p>
  </w:footnote>
  <w:footnote w:id="61">
    <w:p w:rsidR="00E05371" w:rsidRPr="0046268F" w:rsidRDefault="00E05371" w:rsidP="006226B5">
      <w:pPr>
        <w:pStyle w:val="Textpoznpodarou"/>
      </w:pPr>
      <w:r w:rsidRPr="0046268F">
        <w:rPr>
          <w:rStyle w:val="Znakapoznpodarou"/>
        </w:rPr>
        <w:footnoteRef/>
      </w:r>
      <w:r w:rsidRPr="0046268F">
        <w:t xml:space="preserve"> Rozsudek Nejvyššího soudu ze dne 24. 2. 2005, sp. zn. 28 Cdo 2120/2004.</w:t>
      </w:r>
    </w:p>
  </w:footnote>
  <w:footnote w:id="62">
    <w:p w:rsidR="00E05371" w:rsidRPr="0046268F" w:rsidRDefault="00E05371" w:rsidP="006226B5">
      <w:pPr>
        <w:pStyle w:val="Textpoznpodarou"/>
      </w:pPr>
      <w:r w:rsidRPr="0046268F">
        <w:rPr>
          <w:rStyle w:val="Znakapoznpodarou"/>
        </w:rPr>
        <w:footnoteRef/>
      </w:r>
      <w:r w:rsidRPr="0046268F">
        <w:t xml:space="preserve"> Obdobně např. TELEC, I</w:t>
      </w:r>
      <w:r w:rsidR="009825B2">
        <w:t>vo</w:t>
      </w:r>
      <w:r w:rsidRPr="0046268F">
        <w:t xml:space="preserve">. Není rozpor se zákonem jako rozpor se zákonem. </w:t>
      </w:r>
      <w:r w:rsidRPr="0046268F">
        <w:rPr>
          <w:i/>
        </w:rPr>
        <w:t>Právní rozhledy</w:t>
      </w:r>
      <w:r w:rsidRPr="0046268F">
        <w:t>, ročník 2004, č. 5, s. 161.</w:t>
      </w:r>
    </w:p>
  </w:footnote>
  <w:footnote w:id="63">
    <w:p w:rsidR="00E05371" w:rsidRPr="0046268F" w:rsidRDefault="00E05371" w:rsidP="006226B5">
      <w:pPr>
        <w:pStyle w:val="Textpoznpodarou"/>
      </w:pPr>
      <w:r w:rsidRPr="0046268F">
        <w:rPr>
          <w:rStyle w:val="Znakapoznpodarou"/>
        </w:rPr>
        <w:footnoteRef/>
      </w:r>
      <w:r w:rsidRPr="0046268F">
        <w:t xml:space="preserve"> DVOŘÁK, Tomáš. Vady prohlášení vlastníka a jejich právní následky podle NObčZ. </w:t>
      </w:r>
      <w:r w:rsidRPr="0046268F">
        <w:rPr>
          <w:i/>
        </w:rPr>
        <w:t>Soudní rozhledy</w:t>
      </w:r>
      <w:r w:rsidRPr="0046268F">
        <w:t>, 2013, č. 11-12, s. 382-385.</w:t>
      </w:r>
    </w:p>
  </w:footnote>
  <w:footnote w:id="64">
    <w:p w:rsidR="00E05371" w:rsidRPr="0046268F" w:rsidRDefault="00E05371" w:rsidP="009E0EF4">
      <w:pPr>
        <w:pStyle w:val="Textpoznpodarou"/>
      </w:pPr>
      <w:r w:rsidRPr="0046268F">
        <w:rPr>
          <w:rStyle w:val="Znakapoznpodarou"/>
        </w:rPr>
        <w:footnoteRef/>
      </w:r>
      <w:r w:rsidRPr="0046268F">
        <w:t xml:space="preserve"> ZÍTEK, Adam. Vlastnictví bytů dle nového občanského zákoníku. </w:t>
      </w:r>
      <w:r w:rsidRPr="0046268F">
        <w:rPr>
          <w:i/>
        </w:rPr>
        <w:t>Právní rozhledy</w:t>
      </w:r>
      <w:r w:rsidRPr="0046268F">
        <w:t>. 2012, č. 8, s. 291-296.</w:t>
      </w:r>
    </w:p>
  </w:footnote>
  <w:footnote w:id="65">
    <w:p w:rsidR="00E05371" w:rsidRPr="0046268F" w:rsidRDefault="00E05371">
      <w:pPr>
        <w:pStyle w:val="Textpoznpodarou"/>
      </w:pPr>
      <w:r w:rsidRPr="0046268F">
        <w:rPr>
          <w:rStyle w:val="Znakapoznpodarou"/>
        </w:rPr>
        <w:footnoteRef/>
      </w:r>
      <w:r w:rsidRPr="0046268F">
        <w:t xml:space="preserve"> ELIÁŠ: Některé otázky spojené s vlastnictvím bytů</w:t>
      </w:r>
      <w:r w:rsidRPr="0046268F">
        <w:rPr>
          <w:i/>
        </w:rPr>
        <w:t xml:space="preserve">. </w:t>
      </w:r>
      <w:r w:rsidRPr="0046268F">
        <w:t>s. 41.</w:t>
      </w:r>
    </w:p>
  </w:footnote>
  <w:footnote w:id="66">
    <w:p w:rsidR="00E05371" w:rsidRPr="0046268F" w:rsidRDefault="00E05371">
      <w:pPr>
        <w:pStyle w:val="Textpoznpodarou"/>
      </w:pPr>
      <w:r w:rsidRPr="0046268F">
        <w:rPr>
          <w:rStyle w:val="Znakapoznpodarou"/>
        </w:rPr>
        <w:footnoteRef/>
      </w:r>
      <w:r w:rsidRPr="0046268F">
        <w:t xml:space="preserve"> ELIÁŠ, Karel, ZUKLÍNOVÁ, Michaela. </w:t>
      </w:r>
      <w:r w:rsidRPr="0046268F">
        <w:rPr>
          <w:i/>
        </w:rPr>
        <w:t>Principy a východiska nového kodexu soukromého práva</w:t>
      </w:r>
      <w:r w:rsidRPr="0046268F">
        <w:t>. Praha: Linde, 2001, s. 150.</w:t>
      </w:r>
    </w:p>
  </w:footnote>
  <w:footnote w:id="67">
    <w:p w:rsidR="00E05371" w:rsidRPr="0046268F" w:rsidRDefault="00E05371">
      <w:pPr>
        <w:pStyle w:val="Textpoznpodarou"/>
      </w:pPr>
      <w:r w:rsidRPr="0046268F">
        <w:rPr>
          <w:rStyle w:val="Znakapoznpodarou"/>
        </w:rPr>
        <w:footnoteRef/>
      </w:r>
      <w:r w:rsidRPr="0046268F">
        <w:t xml:space="preserve"> ELIÁŠ, Karel, HAVEL, Bohumil. </w:t>
      </w:r>
      <w:r w:rsidRPr="0046268F">
        <w:rPr>
          <w:i/>
        </w:rPr>
        <w:t xml:space="preserve">Osnova občanského zákoníku. Osnova zákona o obchodních korporacích. </w:t>
      </w:r>
      <w:r w:rsidRPr="0046268F">
        <w:t>Plzeň: Aleš Čeněk, 2009.</w:t>
      </w:r>
    </w:p>
  </w:footnote>
  <w:footnote w:id="68">
    <w:p w:rsidR="00E05371" w:rsidRPr="0046268F" w:rsidRDefault="00E05371" w:rsidP="00300088">
      <w:pPr>
        <w:pStyle w:val="Textpoznpodarou"/>
      </w:pPr>
      <w:r w:rsidRPr="0046268F">
        <w:rPr>
          <w:rStyle w:val="Znakapoznpodarou"/>
        </w:rPr>
        <w:footnoteRef/>
      </w:r>
      <w:r w:rsidRPr="0046268F">
        <w:t xml:space="preserve"> PETR: </w:t>
      </w:r>
      <w:r w:rsidRPr="0046268F">
        <w:rPr>
          <w:i/>
        </w:rPr>
        <w:t>Vlastnictví bytů – kondominium</w:t>
      </w:r>
      <w:r w:rsidRPr="0046268F">
        <w:t>. s. 28.</w:t>
      </w:r>
    </w:p>
  </w:footnote>
  <w:footnote w:id="69">
    <w:p w:rsidR="00E05371" w:rsidRPr="0046268F" w:rsidRDefault="00E05371">
      <w:pPr>
        <w:pStyle w:val="Textpoznpodarou"/>
      </w:pPr>
      <w:r w:rsidRPr="0046268F">
        <w:rPr>
          <w:rStyle w:val="Znakapoznpodarou"/>
        </w:rPr>
        <w:footnoteRef/>
      </w:r>
      <w:r w:rsidRPr="0046268F">
        <w:t xml:space="preserve"> Byť ani takový přístup není z různých důvodů v mezinárodním pojetí výjimkou: německý Gesetz über das Wohnungseigentum und das Dauernwohnrecht, rakouský Bundesgesetz über das Eigentum an Wohnungen und sonstigen Räumlichkeiten, francouzský Loi fixant le statut de copropriété des immeubles les batis, nebo chilský ley sobre copropriedad inmobiliara, popřípadě v respektu k tradici dosavadního právního vývoje – příkladem může být polská Ustava o własnośći lokali, která navazuje na úpravu přijatou poprvé již v r. 1934 a nakonec i slovenský zák. č. 182/1993 Z.z. nebo náš samotný zákon o vlastnictví bytů.</w:t>
      </w:r>
    </w:p>
  </w:footnote>
  <w:footnote w:id="70">
    <w:p w:rsidR="00E05371" w:rsidRPr="0046268F" w:rsidRDefault="00E05371" w:rsidP="008C51DB">
      <w:pPr>
        <w:pStyle w:val="Textpoznpodarou"/>
      </w:pPr>
      <w:r w:rsidRPr="0046268F">
        <w:rPr>
          <w:rStyle w:val="Znakapoznpodarou"/>
        </w:rPr>
        <w:footnoteRef/>
      </w:r>
      <w:r w:rsidRPr="0046268F">
        <w:t xml:space="preserve"> Např. Belgie, Bělorusko, Itálie, Nizozemí, Portugalsko, Rusko, Španělsko, Švýcarsko.</w:t>
      </w:r>
    </w:p>
  </w:footnote>
  <w:footnote w:id="71">
    <w:p w:rsidR="00E05371" w:rsidRPr="0046268F" w:rsidRDefault="00E05371">
      <w:pPr>
        <w:pStyle w:val="Textpoznpodarou"/>
      </w:pPr>
      <w:r w:rsidRPr="0046268F">
        <w:rPr>
          <w:rStyle w:val="Znakapoznpodarou"/>
        </w:rPr>
        <w:footnoteRef/>
      </w:r>
      <w:r w:rsidRPr="0046268F">
        <w:t xml:space="preserve"> Argentina, Bolívie, Québec.</w:t>
      </w:r>
    </w:p>
  </w:footnote>
  <w:footnote w:id="72">
    <w:p w:rsidR="00E05371" w:rsidRPr="0046268F" w:rsidRDefault="00E05371">
      <w:pPr>
        <w:pStyle w:val="Textpoznpodarou"/>
      </w:pPr>
      <w:r w:rsidRPr="0046268F">
        <w:rPr>
          <w:rStyle w:val="Znakapoznpodarou"/>
        </w:rPr>
        <w:footnoteRef/>
      </w:r>
      <w:r w:rsidRPr="0046268F">
        <w:t xml:space="preserve"> PETR: </w:t>
      </w:r>
      <w:r w:rsidRPr="0046268F">
        <w:rPr>
          <w:i/>
        </w:rPr>
        <w:t>Vlastnictví bytů – kondominium</w:t>
      </w:r>
      <w:r w:rsidRPr="0046268F">
        <w:t>. s. 29.</w:t>
      </w:r>
    </w:p>
  </w:footnote>
  <w:footnote w:id="73">
    <w:p w:rsidR="00E05371" w:rsidRPr="0046268F" w:rsidRDefault="00E05371" w:rsidP="0080190E">
      <w:pPr>
        <w:pStyle w:val="Textpoznpodarou"/>
      </w:pPr>
      <w:r w:rsidRPr="0046268F">
        <w:rPr>
          <w:rStyle w:val="Znakapoznpodarou"/>
        </w:rPr>
        <w:footnoteRef/>
      </w:r>
      <w:r w:rsidRPr="0046268F">
        <w:t xml:space="preserve"> § 1158–1222 NOZ.</w:t>
      </w:r>
    </w:p>
  </w:footnote>
  <w:footnote w:id="74">
    <w:p w:rsidR="00E05371" w:rsidRPr="0046268F" w:rsidRDefault="00E05371" w:rsidP="0080190E">
      <w:pPr>
        <w:pStyle w:val="Textpoznpodarou"/>
      </w:pPr>
      <w:r w:rsidRPr="0046268F">
        <w:rPr>
          <w:rStyle w:val="Znakapoznpodarou"/>
        </w:rPr>
        <w:footnoteRef/>
      </w:r>
      <w:r w:rsidRPr="0046268F">
        <w:t xml:space="preserve"> SÝKOROVÁ, Pavla. </w:t>
      </w:r>
      <w:r w:rsidRPr="0046268F">
        <w:rPr>
          <w:i/>
        </w:rPr>
        <w:t>Bytové spoluvlastnictví v teorii a praxi</w:t>
      </w:r>
      <w:r w:rsidRPr="0046268F">
        <w:t>. Praha: Leges, 2015, s. 13.</w:t>
      </w:r>
    </w:p>
  </w:footnote>
  <w:footnote w:id="75">
    <w:p w:rsidR="00E05371" w:rsidRPr="0046268F" w:rsidRDefault="00E05371" w:rsidP="0080190E">
      <w:pPr>
        <w:pStyle w:val="Textpoznpodarou"/>
      </w:pPr>
      <w:r w:rsidRPr="0046268F">
        <w:rPr>
          <w:rStyle w:val="Znakapoznpodarou"/>
        </w:rPr>
        <w:footnoteRef/>
      </w:r>
      <w:r w:rsidRPr="0046268F">
        <w:t xml:space="preserve"> SÝKOROVÁ: </w:t>
      </w:r>
      <w:r w:rsidRPr="0046268F">
        <w:rPr>
          <w:i/>
        </w:rPr>
        <w:t>Bytové spoluvlastnictví v teorii a praxi</w:t>
      </w:r>
      <w:r w:rsidRPr="0046268F">
        <w:t>. s. 29.</w:t>
      </w:r>
    </w:p>
  </w:footnote>
  <w:footnote w:id="76">
    <w:p w:rsidR="00E05371" w:rsidRPr="0046268F" w:rsidRDefault="00E05371" w:rsidP="0080190E">
      <w:pPr>
        <w:pStyle w:val="Textpoznpodarou"/>
      </w:pPr>
      <w:r w:rsidRPr="0046268F">
        <w:rPr>
          <w:rStyle w:val="Znakapoznpodarou"/>
        </w:rPr>
        <w:footnoteRef/>
      </w:r>
      <w:r w:rsidRPr="0046268F">
        <w:t xml:space="preserve"> Nařízení vlády č. 366/2013 Sb., o úpravě některých záležitostí souvisejících s bytovým spoluvlastnictvím</w:t>
      </w:r>
    </w:p>
  </w:footnote>
  <w:footnote w:id="77">
    <w:p w:rsidR="00E05371" w:rsidRPr="0046268F" w:rsidRDefault="00E05371" w:rsidP="0080190E">
      <w:pPr>
        <w:pStyle w:val="Textpoznpodarou"/>
      </w:pPr>
      <w:r w:rsidRPr="0046268F">
        <w:rPr>
          <w:rStyle w:val="Znakapoznpodarou"/>
        </w:rPr>
        <w:footnoteRef/>
      </w:r>
      <w:r w:rsidRPr="0046268F">
        <w:t xml:space="preserve"> Zákon č. 311/2013 Sb., o převodu vlastnického práva k jednotkám a skupinovým rodinným domům některých bytových družstev a o změně některých zákonů.</w:t>
      </w:r>
    </w:p>
  </w:footnote>
  <w:footnote w:id="78">
    <w:p w:rsidR="00E05371" w:rsidRPr="0046268F" w:rsidRDefault="00E05371" w:rsidP="0080190E">
      <w:pPr>
        <w:pStyle w:val="Textpoznpodarou"/>
      </w:pPr>
      <w:r w:rsidRPr="0046268F">
        <w:rPr>
          <w:rStyle w:val="Znakapoznpodarou"/>
        </w:rPr>
        <w:footnoteRef/>
      </w:r>
      <w:r w:rsidRPr="0046268F">
        <w:t xml:space="preserve"> NOVOTNÝ: </w:t>
      </w:r>
      <w:r w:rsidR="0047082A" w:rsidRPr="0047082A">
        <w:rPr>
          <w:i/>
        </w:rPr>
        <w:t>Bytové spoluvlastnictví a bytová družstva</w:t>
      </w:r>
      <w:r w:rsidRPr="0046268F">
        <w:rPr>
          <w:i/>
        </w:rPr>
        <w:t xml:space="preserve">. </w:t>
      </w:r>
      <w:r w:rsidR="0047082A">
        <w:t xml:space="preserve"> s. 6</w:t>
      </w:r>
      <w:r w:rsidRPr="0046268F">
        <w:t xml:space="preserve"> (k § 1158).</w:t>
      </w:r>
    </w:p>
  </w:footnote>
  <w:footnote w:id="79">
    <w:p w:rsidR="00E05371" w:rsidRPr="0046268F" w:rsidRDefault="00E05371" w:rsidP="0080190E">
      <w:pPr>
        <w:pStyle w:val="Textpoznpodarou"/>
      </w:pPr>
      <w:r w:rsidRPr="0046268F">
        <w:rPr>
          <w:rStyle w:val="Znakapoznpodarou"/>
        </w:rPr>
        <w:footnoteRef/>
      </w:r>
      <w:r w:rsidRPr="0046268F">
        <w:t xml:space="preserve"> Vláda: Důvodová zpráva k NOZ(k § 1158).</w:t>
      </w:r>
    </w:p>
  </w:footnote>
  <w:footnote w:id="80">
    <w:p w:rsidR="00E05371" w:rsidRPr="0046268F" w:rsidRDefault="00E05371" w:rsidP="0080190E">
      <w:pPr>
        <w:pStyle w:val="Textpoznpodarou"/>
      </w:pPr>
      <w:r w:rsidRPr="0046268F">
        <w:rPr>
          <w:rStyle w:val="Znakapoznpodarou"/>
        </w:rPr>
        <w:footnoteRef/>
      </w:r>
      <w:r w:rsidRPr="0046268F">
        <w:t xml:space="preserve"> Tamtéž.</w:t>
      </w:r>
    </w:p>
  </w:footnote>
  <w:footnote w:id="81">
    <w:p w:rsidR="00E05371" w:rsidRPr="0046268F" w:rsidRDefault="00E05371">
      <w:pPr>
        <w:pStyle w:val="Textpoznpodarou"/>
      </w:pPr>
      <w:r w:rsidRPr="0046268F">
        <w:rPr>
          <w:rStyle w:val="Znakapoznpodarou"/>
        </w:rPr>
        <w:footnoteRef/>
      </w:r>
      <w:r w:rsidRPr="0046268F">
        <w:t xml:space="preserve"> PETR: </w:t>
      </w:r>
      <w:r w:rsidRPr="0046268F">
        <w:rPr>
          <w:i/>
        </w:rPr>
        <w:t>Vlastnictví bytů – kondominium</w:t>
      </w:r>
      <w:r w:rsidRPr="0046268F">
        <w:t>. s. 61.</w:t>
      </w:r>
    </w:p>
  </w:footnote>
  <w:footnote w:id="82">
    <w:p w:rsidR="00E05371" w:rsidRPr="0046268F" w:rsidRDefault="00E05371">
      <w:pPr>
        <w:pStyle w:val="Textpoznpodarou"/>
      </w:pPr>
      <w:r w:rsidRPr="0046268F">
        <w:rPr>
          <w:rStyle w:val="Znakapoznpodarou"/>
        </w:rPr>
        <w:footnoteRef/>
      </w:r>
      <w:r w:rsidRPr="0046268F">
        <w:t xml:space="preserve"> Z ustanovení § 1158 až 1222 NOZ mají jen 4 (§ 1166, 1170, 1200 a 1217) tři odstavce; zbývající paragrafy se člení nanejvýš na dva odstavce. Naproti tomu ze čtyř desítek paragrafů ZOVB jich 17 obsahuje více než tři odstavce, a to i pět (§ 10), šest (§ 33a), sedm (§ 5, 13, 17 a 21), osm (§ 11, 18 a 22), deset (§ 24) nebo dokonce patnáct (§ 9).</w:t>
      </w:r>
    </w:p>
  </w:footnote>
  <w:footnote w:id="83">
    <w:p w:rsidR="00E05371" w:rsidRPr="0046268F" w:rsidRDefault="00E05371">
      <w:pPr>
        <w:pStyle w:val="Textpoznpodarou"/>
      </w:pPr>
      <w:r w:rsidRPr="0046268F">
        <w:rPr>
          <w:rStyle w:val="Znakapoznpodarou"/>
        </w:rPr>
        <w:footnoteRef/>
      </w:r>
      <w:r w:rsidRPr="0046268F">
        <w:t xml:space="preserve"> KINDL, M</w:t>
      </w:r>
      <w:r w:rsidR="009825B2">
        <w:t>ilan</w:t>
      </w:r>
      <w:r w:rsidRPr="0046268F">
        <w:t xml:space="preserve">. </w:t>
      </w:r>
      <w:r w:rsidRPr="0046268F">
        <w:rPr>
          <w:i/>
        </w:rPr>
        <w:t>Právo nemovitostí.</w:t>
      </w:r>
      <w:r w:rsidRPr="0046268F">
        <w:t xml:space="preserve"> 1. vydání. Praha: C. H. Beck, 2015, s.118.</w:t>
      </w:r>
    </w:p>
  </w:footnote>
  <w:footnote w:id="84">
    <w:p w:rsidR="00E05371" w:rsidRPr="0046268F" w:rsidRDefault="00E05371" w:rsidP="001D2C7A">
      <w:pPr>
        <w:pStyle w:val="Textpoznpodarou"/>
      </w:pPr>
      <w:r w:rsidRPr="0046268F">
        <w:rPr>
          <w:rStyle w:val="Znakapoznpodarou"/>
        </w:rPr>
        <w:footnoteRef/>
      </w:r>
      <w:r w:rsidRPr="0046268F">
        <w:t xml:space="preserve"> ELIÁŠ: Některé otázky spojené s vlastnictvím bytů</w:t>
      </w:r>
      <w:r w:rsidRPr="0046268F">
        <w:rPr>
          <w:i/>
        </w:rPr>
        <w:t xml:space="preserve">. </w:t>
      </w:r>
      <w:r w:rsidRPr="0046268F">
        <w:t>s. 40.</w:t>
      </w:r>
    </w:p>
  </w:footnote>
  <w:footnote w:id="85">
    <w:p w:rsidR="00E05371" w:rsidRPr="0046268F" w:rsidRDefault="00E05371">
      <w:pPr>
        <w:pStyle w:val="Textpoznpodarou"/>
      </w:pPr>
      <w:r w:rsidRPr="0046268F">
        <w:rPr>
          <w:rStyle w:val="Znakapoznpodarou"/>
        </w:rPr>
        <w:footnoteRef/>
      </w:r>
      <w:r w:rsidRPr="0046268F">
        <w:t xml:space="preserve"> PETR: </w:t>
      </w:r>
      <w:r w:rsidRPr="0046268F">
        <w:rPr>
          <w:i/>
        </w:rPr>
        <w:t>Vlastnictví bytů – kondominium</w:t>
      </w:r>
      <w:r w:rsidRPr="0046268F">
        <w:t>. s. 80.</w:t>
      </w:r>
    </w:p>
  </w:footnote>
  <w:footnote w:id="86">
    <w:p w:rsidR="00E05371" w:rsidRPr="0046268F" w:rsidRDefault="00E05371">
      <w:pPr>
        <w:pStyle w:val="Textpoznpodarou"/>
      </w:pPr>
      <w:r w:rsidRPr="0046268F">
        <w:rPr>
          <w:rStyle w:val="Znakapoznpodarou"/>
        </w:rPr>
        <w:footnoteRef/>
      </w:r>
      <w:r w:rsidRPr="0046268F">
        <w:t xml:space="preserve"> Tamtéž, s. 81.</w:t>
      </w:r>
    </w:p>
  </w:footnote>
  <w:footnote w:id="87">
    <w:p w:rsidR="00E05371" w:rsidRPr="0046268F" w:rsidRDefault="00E05371" w:rsidP="000301DD">
      <w:pPr>
        <w:pStyle w:val="Textpoznpodarou"/>
      </w:pPr>
      <w:r w:rsidRPr="0046268F">
        <w:rPr>
          <w:rStyle w:val="Znakapoznpodarou"/>
        </w:rPr>
        <w:footnoteRef/>
      </w:r>
      <w:r w:rsidRPr="0046268F">
        <w:t xml:space="preserve"> ELIÁŠ: Některé otázky spojené s vlastnictvím bytů.</w:t>
      </w:r>
      <w:r w:rsidRPr="0046268F">
        <w:rPr>
          <w:i/>
        </w:rPr>
        <w:t xml:space="preserve"> </w:t>
      </w:r>
      <w:r w:rsidRPr="0046268F">
        <w:t>s. 41-42.</w:t>
      </w:r>
    </w:p>
  </w:footnote>
  <w:footnote w:id="88">
    <w:p w:rsidR="00E05371" w:rsidRPr="0046268F" w:rsidRDefault="00E05371">
      <w:pPr>
        <w:pStyle w:val="Textpoznpodarou"/>
      </w:pPr>
      <w:r w:rsidRPr="0046268F">
        <w:rPr>
          <w:rStyle w:val="Znakapoznpodarou"/>
        </w:rPr>
        <w:footnoteRef/>
      </w:r>
      <w:r w:rsidRPr="0046268F">
        <w:t xml:space="preserve"> Již podle Randy „</w:t>
      </w:r>
      <w:r w:rsidRPr="0046268F">
        <w:rPr>
          <w:i/>
        </w:rPr>
        <w:t>pojmová právní možnost neomezeného nakládání s věcí</w:t>
      </w:r>
      <w:r w:rsidRPr="0046268F">
        <w:t>“; vlastnictví tedy není jen „</w:t>
      </w:r>
      <w:r w:rsidRPr="0046268F">
        <w:rPr>
          <w:i/>
        </w:rPr>
        <w:t>sumou neboli jednotou všech jednotlivých oprávnění, která k věci mysliti lze</w:t>
      </w:r>
      <w:r w:rsidRPr="0046268F">
        <w:t>“ - Randa, Kasanda, 1922, s. 1 a 3.</w:t>
      </w:r>
    </w:p>
  </w:footnote>
  <w:footnote w:id="89">
    <w:p w:rsidR="00E05371" w:rsidRPr="0046268F" w:rsidRDefault="00E05371" w:rsidP="005C576E">
      <w:pPr>
        <w:pStyle w:val="Textpoznpodarou"/>
      </w:pPr>
      <w:r w:rsidRPr="0046268F">
        <w:rPr>
          <w:rStyle w:val="Znakapoznpodarou"/>
        </w:rPr>
        <w:footnoteRef/>
      </w:r>
      <w:r w:rsidRPr="0046268F">
        <w:t xml:space="preserve"> SPÁČIL: </w:t>
      </w:r>
      <w:r w:rsidRPr="0046268F">
        <w:rPr>
          <w:i/>
        </w:rPr>
        <w:t xml:space="preserve">Občanský zákoník III. Věcná práva (§ 976–1474). </w:t>
      </w:r>
      <w:r w:rsidRPr="0046268F">
        <w:t>s. 139. k § 1012.</w:t>
      </w:r>
    </w:p>
  </w:footnote>
  <w:footnote w:id="90">
    <w:p w:rsidR="00E05371" w:rsidRPr="0046268F" w:rsidRDefault="00E05371">
      <w:pPr>
        <w:pStyle w:val="Textpoznpodarou"/>
      </w:pPr>
      <w:r w:rsidRPr="0046268F">
        <w:rPr>
          <w:rStyle w:val="Znakapoznpodarou"/>
        </w:rPr>
        <w:footnoteRef/>
      </w:r>
      <w:r w:rsidRPr="0046268F">
        <w:t xml:space="preserve"> Příkladem veřejnoprávních předpisů mohou být: Zákon č. 114/1992 Sb., o ochraně přírody a krajiny; zákon č. 127/2005 Sb., o elektronických komunikacích; zákon o vodovodech a kanalizacích č. 274/2001 Sb. a další.</w:t>
      </w:r>
    </w:p>
  </w:footnote>
  <w:footnote w:id="91">
    <w:p w:rsidR="00E05371" w:rsidRPr="0046268F" w:rsidRDefault="00E05371">
      <w:pPr>
        <w:pStyle w:val="Textpoznpodarou"/>
      </w:pPr>
      <w:r w:rsidRPr="0046268F">
        <w:rPr>
          <w:rStyle w:val="Znakapoznpodarou"/>
        </w:rPr>
        <w:footnoteRef/>
      </w:r>
      <w:r w:rsidRPr="0046268F">
        <w:t xml:space="preserve"> Usnesení Ústavního soudu ze dne 20. 10. 2011, sp. zn. I. ÚS 2910/11.</w:t>
      </w:r>
    </w:p>
  </w:footnote>
  <w:footnote w:id="92">
    <w:p w:rsidR="00E05371" w:rsidRPr="0046268F" w:rsidRDefault="00E05371">
      <w:pPr>
        <w:pStyle w:val="Textpoznpodarou"/>
      </w:pPr>
      <w:r w:rsidRPr="0046268F">
        <w:rPr>
          <w:rStyle w:val="Znakapoznpodarou"/>
        </w:rPr>
        <w:footnoteRef/>
      </w:r>
      <w:r w:rsidR="009825B2">
        <w:t xml:space="preserve"> WAGNEROVÁ, Eliška</w:t>
      </w:r>
      <w:r w:rsidRPr="0046268F">
        <w:t xml:space="preserve"> a kol. </w:t>
      </w:r>
      <w:r w:rsidRPr="0046268F">
        <w:rPr>
          <w:i/>
        </w:rPr>
        <w:t>Listina základních práv a svobod. Komentář.</w:t>
      </w:r>
      <w:r w:rsidRPr="0046268F">
        <w:t xml:space="preserve"> Praha: Wolters Kluwer ČR, a. s. 2012, s. 313, k čl. 11.</w:t>
      </w:r>
    </w:p>
  </w:footnote>
  <w:footnote w:id="93">
    <w:p w:rsidR="00E05371" w:rsidRPr="0046268F" w:rsidRDefault="00E05371">
      <w:pPr>
        <w:pStyle w:val="Textpoznpodarou"/>
      </w:pPr>
      <w:r w:rsidRPr="0046268F">
        <w:rPr>
          <w:rStyle w:val="Znakapoznpodarou"/>
        </w:rPr>
        <w:footnoteRef/>
      </w:r>
      <w:r w:rsidRPr="0046268F">
        <w:t xml:space="preserve"> ELIÁŠ: Některé otázky spojené s vlastnictvím bytů</w:t>
      </w:r>
      <w:r w:rsidRPr="0046268F">
        <w:rPr>
          <w:i/>
        </w:rPr>
        <w:t xml:space="preserve">. </w:t>
      </w:r>
      <w:r w:rsidRPr="0046268F">
        <w:t>s. 43-44.</w:t>
      </w:r>
    </w:p>
  </w:footnote>
  <w:footnote w:id="94">
    <w:p w:rsidR="00E05371" w:rsidRPr="0046268F" w:rsidRDefault="00E05371">
      <w:pPr>
        <w:pStyle w:val="Textpoznpodarou"/>
      </w:pPr>
      <w:r w:rsidRPr="0046268F">
        <w:rPr>
          <w:rStyle w:val="Znakapoznpodarou"/>
        </w:rPr>
        <w:footnoteRef/>
      </w:r>
      <w:r w:rsidRPr="0046268F">
        <w:t xml:space="preserve"> V průběhu příprav návrhu této problematiky bylo zvažováno, zda nezvolit jiné označení (např. byt, patro podle vzoru německé, rakouské, švýcarské, maďarské, polské nebo bulharské úpravy), a to vzhledem k míře dopadu komplikace plynoucí z faktu, že právní řád tím pádem zvolí totéž označení pro jednotku ve smyslu ZOVB i NOZ, jakkoli se tyto od sebe liší. Převážil však názor, že si s technickými záležitostmi tohoto druhu právní úprava poradí.</w:t>
      </w:r>
    </w:p>
  </w:footnote>
  <w:footnote w:id="95">
    <w:p w:rsidR="00E05371" w:rsidRPr="0046268F" w:rsidRDefault="00E05371">
      <w:pPr>
        <w:pStyle w:val="Textpoznpodarou"/>
      </w:pPr>
      <w:r w:rsidRPr="0046268F">
        <w:rPr>
          <w:rStyle w:val="Znakapoznpodarou"/>
        </w:rPr>
        <w:footnoteRef/>
      </w:r>
      <w:r w:rsidRPr="0046268F">
        <w:t xml:space="preserve"> PETROV: </w:t>
      </w:r>
      <w:r w:rsidRPr="0046268F">
        <w:rPr>
          <w:i/>
        </w:rPr>
        <w:t>Občanský zákoník. Komentář.</w:t>
      </w:r>
      <w:r w:rsidRPr="0046268F">
        <w:t xml:space="preserve"> s. 3039, k § 3063.</w:t>
      </w:r>
    </w:p>
  </w:footnote>
  <w:footnote w:id="96">
    <w:p w:rsidR="00E05371" w:rsidRPr="0046268F" w:rsidRDefault="00E05371">
      <w:pPr>
        <w:pStyle w:val="Textpoznpodarou"/>
      </w:pPr>
      <w:r w:rsidRPr="0046268F">
        <w:rPr>
          <w:rStyle w:val="Znakapoznpodarou"/>
        </w:rPr>
        <w:footnoteRef/>
      </w:r>
      <w:r w:rsidRPr="0046268F">
        <w:t xml:space="preserve"> KINDL: </w:t>
      </w:r>
      <w:r w:rsidRPr="0046268F">
        <w:rPr>
          <w:i/>
        </w:rPr>
        <w:t>Právo nemovitostí</w:t>
      </w:r>
      <w:r w:rsidRPr="0046268F">
        <w:t>… s. 413.</w:t>
      </w:r>
    </w:p>
  </w:footnote>
  <w:footnote w:id="97">
    <w:p w:rsidR="00E05371" w:rsidRPr="0046268F" w:rsidRDefault="00E05371" w:rsidP="001B7148">
      <w:pPr>
        <w:pStyle w:val="Textpoznpodarou"/>
      </w:pPr>
      <w:r w:rsidRPr="0046268F">
        <w:rPr>
          <w:rStyle w:val="Znakapoznpodarou"/>
        </w:rPr>
        <w:footnoteRef/>
      </w:r>
      <w:r w:rsidRPr="0046268F">
        <w:t xml:space="preserve"> ELIÁŠ: Některé otázky spojené s vlastnictvím bytů</w:t>
      </w:r>
      <w:r w:rsidRPr="0046268F">
        <w:rPr>
          <w:i/>
        </w:rPr>
        <w:t xml:space="preserve">. </w:t>
      </w:r>
      <w:r w:rsidRPr="0046268F">
        <w:t>s. 39-40.</w:t>
      </w:r>
    </w:p>
  </w:footnote>
  <w:footnote w:id="98">
    <w:p w:rsidR="00E05371" w:rsidRPr="0046268F" w:rsidRDefault="00E05371">
      <w:pPr>
        <w:pStyle w:val="Textpoznpodarou"/>
      </w:pPr>
      <w:r w:rsidRPr="0046268F">
        <w:rPr>
          <w:rStyle w:val="Znakapoznpodarou"/>
        </w:rPr>
        <w:footnoteRef/>
      </w:r>
      <w:r w:rsidR="009825B2">
        <w:t xml:space="preserve"> LUBY:</w:t>
      </w:r>
      <w:r w:rsidRPr="0046268F">
        <w:t xml:space="preserve"> </w:t>
      </w:r>
      <w:r w:rsidRPr="0046268F">
        <w:rPr>
          <w:i/>
        </w:rPr>
        <w:t xml:space="preserve">Vlastnictvo bytov… </w:t>
      </w:r>
      <w:r w:rsidRPr="0046268F">
        <w:t>s. 271.</w:t>
      </w:r>
    </w:p>
  </w:footnote>
  <w:footnote w:id="99">
    <w:p w:rsidR="00E05371" w:rsidRPr="0046268F" w:rsidRDefault="00E05371">
      <w:pPr>
        <w:pStyle w:val="Textpoznpodarou"/>
      </w:pPr>
      <w:r w:rsidRPr="0046268F">
        <w:rPr>
          <w:rStyle w:val="Znakapoznpodarou"/>
        </w:rPr>
        <w:footnoteRef/>
      </w:r>
      <w:r w:rsidRPr="0046268F">
        <w:t xml:space="preserve"> Obdobně jako analogická úprava německá, polská nebo švýcarská.</w:t>
      </w:r>
    </w:p>
  </w:footnote>
  <w:footnote w:id="100">
    <w:p w:rsidR="00E05371" w:rsidRPr="0046268F" w:rsidRDefault="00E05371">
      <w:pPr>
        <w:pStyle w:val="Textpoznpodarou"/>
      </w:pPr>
      <w:r w:rsidRPr="0046268F">
        <w:rPr>
          <w:rStyle w:val="Znakapoznpodarou"/>
        </w:rPr>
        <w:footnoteRef/>
      </w:r>
      <w:r w:rsidRPr="0046268F">
        <w:t xml:space="preserve"> Š</w:t>
      </w:r>
      <w:r w:rsidR="009825B2">
        <w:t>USTROVÁ, Daniela, BOROVIČKA, Petr</w:t>
      </w:r>
      <w:r w:rsidRPr="0046268F">
        <w:t>, HOLÝ, J</w:t>
      </w:r>
      <w:r w:rsidR="009825B2">
        <w:t>aroslav</w:t>
      </w:r>
      <w:r w:rsidRPr="0046268F">
        <w:t xml:space="preserve">. </w:t>
      </w:r>
      <w:r w:rsidRPr="0046268F">
        <w:rPr>
          <w:i/>
        </w:rPr>
        <w:t>Katastr nemovitostí.</w:t>
      </w:r>
      <w:r w:rsidRPr="0046268F">
        <w:t xml:space="preserve"> 2. vydání. Praha: Wolters Kluwer ČR, 2017, s. 3.</w:t>
      </w:r>
    </w:p>
  </w:footnote>
  <w:footnote w:id="101">
    <w:p w:rsidR="00E05371" w:rsidRPr="0046268F" w:rsidRDefault="00E05371">
      <w:pPr>
        <w:pStyle w:val="Textpoznpodarou"/>
      </w:pPr>
      <w:r w:rsidRPr="0046268F">
        <w:rPr>
          <w:rStyle w:val="Znakapoznpodarou"/>
        </w:rPr>
        <w:footnoteRef/>
      </w:r>
      <w:r w:rsidRPr="0046268F">
        <w:t xml:space="preserve"> ELIÁŠ: Některé otázky spojené s vlastnictvím bytů. s. 42.</w:t>
      </w:r>
    </w:p>
  </w:footnote>
  <w:footnote w:id="102">
    <w:p w:rsidR="00E05371" w:rsidRPr="0046268F" w:rsidRDefault="00E05371" w:rsidP="006B2128">
      <w:pPr>
        <w:pStyle w:val="Textpoznpodarou"/>
      </w:pPr>
      <w:r w:rsidRPr="0046268F">
        <w:rPr>
          <w:rStyle w:val="Znakapoznpodarou"/>
        </w:rPr>
        <w:footnoteRef/>
      </w:r>
      <w:r w:rsidRPr="0046268F">
        <w:t xml:space="preserve"> DVOŘÁK, Tomáš. Vady prohlášení vlastníka a jejich právní následky podle NObčZ. </w:t>
      </w:r>
      <w:r w:rsidRPr="0046268F">
        <w:rPr>
          <w:i/>
        </w:rPr>
        <w:t>Soudní rozhledy</w:t>
      </w:r>
      <w:r w:rsidRPr="0046268F">
        <w:t>, 2013, č. 11-12, s. 382-385.</w:t>
      </w:r>
    </w:p>
  </w:footnote>
  <w:footnote w:id="103">
    <w:p w:rsidR="00E05371" w:rsidRPr="0046268F" w:rsidRDefault="00E05371">
      <w:pPr>
        <w:pStyle w:val="Textpoznpodarou"/>
      </w:pPr>
      <w:r w:rsidRPr="0046268F">
        <w:rPr>
          <w:rStyle w:val="Znakapoznpodarou"/>
        </w:rPr>
        <w:footnoteRef/>
      </w:r>
      <w:r w:rsidRPr="0046268F">
        <w:t xml:space="preserve"> ELIÁŠ: Některé otázky spojené s vlastnictvím bytů. s. 42.</w:t>
      </w:r>
    </w:p>
  </w:footnote>
  <w:footnote w:id="104">
    <w:p w:rsidR="00E05371" w:rsidRPr="0046268F" w:rsidRDefault="00E05371" w:rsidP="004F5419">
      <w:pPr>
        <w:pStyle w:val="Textpoznpodarou"/>
      </w:pPr>
      <w:r w:rsidRPr="0046268F">
        <w:rPr>
          <w:rStyle w:val="Znakapoznpodarou"/>
        </w:rPr>
        <w:footnoteRef/>
      </w:r>
      <w:r w:rsidRPr="0046268F">
        <w:t xml:space="preserve"> ELIÁŠ: Některé otázky spojené s vlastnictvím bytů. s. 42-43.</w:t>
      </w:r>
    </w:p>
  </w:footnote>
  <w:footnote w:id="105">
    <w:p w:rsidR="00E05371" w:rsidRPr="0046268F" w:rsidRDefault="00E05371">
      <w:pPr>
        <w:pStyle w:val="Textpoznpodarou"/>
      </w:pPr>
      <w:r w:rsidRPr="0046268F">
        <w:rPr>
          <w:rStyle w:val="Znakapoznpodarou"/>
        </w:rPr>
        <w:footnoteRef/>
      </w:r>
      <w:r w:rsidRPr="0046268F">
        <w:t xml:space="preserve"> PETR: </w:t>
      </w:r>
      <w:r w:rsidRPr="00CF2202">
        <w:rPr>
          <w:i/>
        </w:rPr>
        <w:t>Vlastnictví bytů – kondominium</w:t>
      </w:r>
      <w:r w:rsidRPr="0046268F">
        <w:t>. s. 82.</w:t>
      </w:r>
    </w:p>
  </w:footnote>
  <w:footnote w:id="106">
    <w:p w:rsidR="00E05371" w:rsidRPr="0046268F" w:rsidRDefault="00E05371">
      <w:pPr>
        <w:pStyle w:val="Textpoznpodarou"/>
      </w:pPr>
      <w:r w:rsidRPr="0046268F">
        <w:rPr>
          <w:rStyle w:val="Znakapoznpodarou"/>
        </w:rPr>
        <w:footnoteRef/>
      </w:r>
      <w:r w:rsidRPr="0046268F">
        <w:t xml:space="preserve"> TÉGL, Petr. Vybrané otázky aplikace přechodných ustanovení [online]. pravniprostor.cz, </w:t>
      </w:r>
      <w:r w:rsidRPr="0046268F">
        <w:rPr>
          <w:rFonts w:cs="Times New Roman"/>
          <w:szCs w:val="18"/>
          <w:shd w:val="clear" w:color="auto" w:fill="FFFFFF"/>
        </w:rPr>
        <w:t>15. 7. 2014</w:t>
      </w:r>
      <w:r w:rsidRPr="0046268F">
        <w:t>. Dostupné na &lt;https://www.pravniprostor.cz/clanky/rekodifikace/vybrane-otazky-aplikace-prechodnych-ustanoveni&gt;.</w:t>
      </w:r>
    </w:p>
  </w:footnote>
  <w:footnote w:id="107">
    <w:p w:rsidR="00E05371" w:rsidRPr="0046268F" w:rsidRDefault="00E05371">
      <w:pPr>
        <w:pStyle w:val="Textpoznpodarou"/>
      </w:pPr>
      <w:r w:rsidRPr="0046268F">
        <w:rPr>
          <w:rStyle w:val="Znakapoznpodarou"/>
        </w:rPr>
        <w:footnoteRef/>
      </w:r>
      <w:r w:rsidRPr="0046268F">
        <w:t xml:space="preserve"> Tamtéž.</w:t>
      </w:r>
    </w:p>
  </w:footnote>
  <w:footnote w:id="108">
    <w:p w:rsidR="00E05371" w:rsidRPr="0046268F" w:rsidRDefault="00E05371">
      <w:pPr>
        <w:pStyle w:val="Textpoznpodarou"/>
      </w:pPr>
      <w:r w:rsidRPr="0046268F">
        <w:rPr>
          <w:rStyle w:val="Znakapoznpodarou"/>
        </w:rPr>
        <w:footnoteRef/>
      </w:r>
      <w:r w:rsidRPr="0046268F">
        <w:t xml:space="preserve"> KINDL: </w:t>
      </w:r>
      <w:r w:rsidRPr="0046268F">
        <w:rPr>
          <w:i/>
        </w:rPr>
        <w:t>Právo nemovitostí</w:t>
      </w:r>
      <w:r w:rsidRPr="0046268F">
        <w:t>. s. 74.</w:t>
      </w:r>
    </w:p>
  </w:footnote>
  <w:footnote w:id="109">
    <w:p w:rsidR="00E05371" w:rsidRPr="0046268F" w:rsidRDefault="00E05371">
      <w:pPr>
        <w:pStyle w:val="Textpoznpodarou"/>
      </w:pPr>
      <w:r w:rsidRPr="0046268F">
        <w:rPr>
          <w:rStyle w:val="Znakapoznpodarou"/>
        </w:rPr>
        <w:footnoteRef/>
      </w:r>
      <w:r w:rsidRPr="0046268F">
        <w:t xml:space="preserve"> Nález Ústavního soudu ze dne 22. 2. 2011, sp. zn. I. ÚS 2166/2010.</w:t>
      </w:r>
    </w:p>
  </w:footnote>
  <w:footnote w:id="110">
    <w:p w:rsidR="00E05371" w:rsidRPr="0046268F" w:rsidRDefault="00E05371">
      <w:pPr>
        <w:pStyle w:val="Textpoznpodarou"/>
      </w:pPr>
      <w:r w:rsidRPr="0046268F">
        <w:rPr>
          <w:rStyle w:val="Znakapoznpodarou"/>
        </w:rPr>
        <w:footnoteRef/>
      </w:r>
      <w:r w:rsidR="009825B2">
        <w:t xml:space="preserve"> MELZER, Filip</w:t>
      </w:r>
      <w:r w:rsidRPr="0046268F">
        <w:t>, TÉGL, P</w:t>
      </w:r>
      <w:r w:rsidR="009825B2">
        <w:t>etr</w:t>
      </w:r>
      <w:r w:rsidRPr="0046268F">
        <w:t xml:space="preserve"> a kolektiv: </w:t>
      </w:r>
      <w:r w:rsidRPr="0046268F">
        <w:rPr>
          <w:i/>
        </w:rPr>
        <w:t>Občanský zákoník – velký komentář. Svazek III.</w:t>
      </w:r>
      <w:r w:rsidRPr="0046268F">
        <w:t xml:space="preserve"> § 506. Praha: Leges, 2014, s. 309.</w:t>
      </w:r>
    </w:p>
  </w:footnote>
  <w:footnote w:id="111">
    <w:p w:rsidR="00E05371" w:rsidRPr="0046268F" w:rsidRDefault="00E05371" w:rsidP="00DF33D2">
      <w:pPr>
        <w:pStyle w:val="Textpoznpodarou"/>
      </w:pPr>
      <w:r w:rsidRPr="0046268F">
        <w:rPr>
          <w:rStyle w:val="Znakapoznpodarou"/>
        </w:rPr>
        <w:footnoteRef/>
      </w:r>
      <w:r w:rsidRPr="0046268F">
        <w:t xml:space="preserve"> TÉGL: Vybrané otázky aplikace přechodných ustanovení…</w:t>
      </w:r>
    </w:p>
  </w:footnote>
  <w:footnote w:id="112">
    <w:p w:rsidR="00E05371" w:rsidRPr="0046268F" w:rsidRDefault="00E05371">
      <w:pPr>
        <w:pStyle w:val="Textpoznpodarou"/>
      </w:pPr>
      <w:r w:rsidRPr="0046268F">
        <w:rPr>
          <w:rStyle w:val="Znakapoznpodarou"/>
        </w:rPr>
        <w:footnoteRef/>
      </w:r>
      <w:r w:rsidRPr="0046268F">
        <w:t xml:space="preserve"> Uplatňuje se dle § 2147 an. NOZ – Usnesení Nejvyššího soudu ze dne 27. 10. 2015, sp. zn. 22 Cdo 3407/2015.</w:t>
      </w:r>
    </w:p>
  </w:footnote>
  <w:footnote w:id="113">
    <w:p w:rsidR="00E05371" w:rsidRPr="0046268F" w:rsidRDefault="00E05371">
      <w:pPr>
        <w:pStyle w:val="Textpoznpodarou"/>
      </w:pPr>
      <w:r w:rsidRPr="0046268F">
        <w:rPr>
          <w:rStyle w:val="Znakapoznpodarou"/>
        </w:rPr>
        <w:footnoteRef/>
      </w:r>
      <w:r w:rsidRPr="0046268F">
        <w:t xml:space="preserve"> PETROV: </w:t>
      </w:r>
      <w:r w:rsidRPr="0046268F">
        <w:rPr>
          <w:i/>
        </w:rPr>
        <w:t>Občanský zákoník. Komentář.</w:t>
      </w:r>
      <w:r w:rsidRPr="0046268F">
        <w:t xml:space="preserve"> 1. vydání. s. 3032, k § 3056.</w:t>
      </w:r>
    </w:p>
  </w:footnote>
  <w:footnote w:id="114">
    <w:p w:rsidR="00E05371" w:rsidRPr="0046268F" w:rsidRDefault="00E05371">
      <w:pPr>
        <w:pStyle w:val="Textpoznpodarou"/>
      </w:pPr>
      <w:r w:rsidRPr="0046268F">
        <w:rPr>
          <w:rStyle w:val="Znakapoznpodarou"/>
        </w:rPr>
        <w:footnoteRef/>
      </w:r>
      <w:r w:rsidRPr="0046268F">
        <w:t xml:space="preserve"> NOZ používá záměrně termín »nezbytný«, nikoli »účelný« (§ 3056 odst. 2), z obav před otevřením příliš široké cesty k omezování vlastníka pozemku.</w:t>
      </w:r>
    </w:p>
  </w:footnote>
  <w:footnote w:id="115">
    <w:p w:rsidR="00E05371" w:rsidRPr="0046268F" w:rsidRDefault="00E05371">
      <w:pPr>
        <w:pStyle w:val="Textpoznpodarou"/>
      </w:pPr>
      <w:r w:rsidRPr="0046268F">
        <w:rPr>
          <w:rStyle w:val="Znakapoznpodarou"/>
        </w:rPr>
        <w:footnoteRef/>
      </w:r>
      <w:r w:rsidRPr="0046268F">
        <w:t xml:space="preserve"> KINDL: </w:t>
      </w:r>
      <w:r w:rsidRPr="0046268F">
        <w:rPr>
          <w:i/>
        </w:rPr>
        <w:t>Právo nemovitostí</w:t>
      </w:r>
      <w:r w:rsidRPr="0046268F">
        <w:t>… s. 75.</w:t>
      </w:r>
    </w:p>
  </w:footnote>
  <w:footnote w:id="116">
    <w:p w:rsidR="00E05371" w:rsidRPr="0046268F" w:rsidRDefault="00E05371">
      <w:pPr>
        <w:pStyle w:val="Textpoznpodarou"/>
      </w:pPr>
      <w:r w:rsidRPr="0046268F">
        <w:rPr>
          <w:rStyle w:val="Znakapoznpodarou"/>
        </w:rPr>
        <w:footnoteRef/>
      </w:r>
      <w:r w:rsidRPr="0046268F">
        <w:t xml:space="preserve"> Obdobně jako v Ivančicích přežily do dnešních dnů domy s patrovým vlastnictvím založeným před přijetím všeobecného zákoníku občanského – ELIÁŠ, K. Nový občanský zákoník ve Sbírce zákonů. </w:t>
      </w:r>
      <w:r w:rsidRPr="0046268F">
        <w:rPr>
          <w:i/>
        </w:rPr>
        <w:t>Právní rozhledy</w:t>
      </w:r>
      <w:r w:rsidRPr="0046268F">
        <w:t xml:space="preserve">, 2012, č. 7, s. 234. </w:t>
      </w:r>
    </w:p>
  </w:footnote>
  <w:footnote w:id="117">
    <w:p w:rsidR="00E05371" w:rsidRPr="0046268F" w:rsidRDefault="00E05371">
      <w:pPr>
        <w:pStyle w:val="Textpoznpodarou"/>
      </w:pPr>
      <w:r w:rsidRPr="0046268F">
        <w:rPr>
          <w:rStyle w:val="Znakapoznpodarou"/>
        </w:rPr>
        <w:footnoteRef/>
      </w:r>
      <w:r w:rsidRPr="0046268F">
        <w:t xml:space="preserve"> ELIÁŠ: Některé otázky spojené s vlastnictvím bytů</w:t>
      </w:r>
      <w:r w:rsidRPr="0046268F">
        <w:rPr>
          <w:i/>
        </w:rPr>
        <w:t xml:space="preserve">. </w:t>
      </w:r>
      <w:r w:rsidRPr="0046268F">
        <w:t>s. 46.</w:t>
      </w:r>
    </w:p>
  </w:footnote>
  <w:footnote w:id="118">
    <w:p w:rsidR="00E05371" w:rsidRPr="0046268F" w:rsidRDefault="00E05371">
      <w:pPr>
        <w:pStyle w:val="Textpoznpodarou"/>
      </w:pPr>
      <w:r w:rsidRPr="0046268F">
        <w:rPr>
          <w:rStyle w:val="Znakapoznpodarou"/>
        </w:rPr>
        <w:footnoteRef/>
      </w:r>
      <w:r w:rsidRPr="0046268F">
        <w:t xml:space="preserve"> KINDL: </w:t>
      </w:r>
      <w:r w:rsidRPr="0046268F">
        <w:rPr>
          <w:i/>
        </w:rPr>
        <w:t xml:space="preserve">Právo nemovitostí… </w:t>
      </w:r>
      <w:r w:rsidRPr="0046268F">
        <w:t>s. 409.</w:t>
      </w:r>
    </w:p>
  </w:footnote>
  <w:footnote w:id="119">
    <w:p w:rsidR="00E05371" w:rsidRPr="0046268F" w:rsidRDefault="00E05371" w:rsidP="005850F3">
      <w:pPr>
        <w:pStyle w:val="Textpoznpodarou"/>
      </w:pPr>
      <w:r w:rsidRPr="0046268F">
        <w:rPr>
          <w:rStyle w:val="Znakapoznpodarou"/>
        </w:rPr>
        <w:footnoteRef/>
      </w:r>
      <w:r w:rsidR="009825B2">
        <w:t xml:space="preserve"> NOVOTNÝ</w:t>
      </w:r>
      <w:r w:rsidRPr="0046268F">
        <w:t xml:space="preserve"> In SPÁČIL: </w:t>
      </w:r>
      <w:r w:rsidRPr="0046268F">
        <w:rPr>
          <w:i/>
        </w:rPr>
        <w:t>Občanský zákoník III. Věcná práva (§ 976–1474).</w:t>
      </w:r>
      <w:r w:rsidRPr="0046268F">
        <w:t xml:space="preserve"> s. 688.</w:t>
      </w:r>
    </w:p>
  </w:footnote>
  <w:footnote w:id="120">
    <w:p w:rsidR="00E05371" w:rsidRPr="0046268F" w:rsidRDefault="00E05371">
      <w:pPr>
        <w:pStyle w:val="Textpoznpodarou"/>
      </w:pPr>
      <w:r w:rsidRPr="0046268F">
        <w:rPr>
          <w:rStyle w:val="Znakapoznpodarou"/>
        </w:rPr>
        <w:footnoteRef/>
      </w:r>
      <w:r w:rsidRPr="0046268F">
        <w:t xml:space="preserve"> PETROV: </w:t>
      </w:r>
      <w:r w:rsidRPr="0046268F">
        <w:rPr>
          <w:i/>
        </w:rPr>
        <w:t xml:space="preserve">Občanský zákoník. Komentář. </w:t>
      </w:r>
      <w:r w:rsidRPr="0046268F">
        <w:t>1. vydání. s. 3033, k § 3056.</w:t>
      </w:r>
    </w:p>
  </w:footnote>
  <w:footnote w:id="121">
    <w:p w:rsidR="00E05371" w:rsidRPr="0046268F" w:rsidRDefault="00E05371">
      <w:pPr>
        <w:pStyle w:val="Textpoznpodarou"/>
        <w:rPr>
          <w:b/>
        </w:rPr>
      </w:pPr>
      <w:r w:rsidRPr="0046268F">
        <w:rPr>
          <w:rStyle w:val="Znakapoznpodarou"/>
        </w:rPr>
        <w:footnoteRef/>
      </w:r>
      <w:r w:rsidRPr="0046268F">
        <w:t xml:space="preserve"> Výkladové stanovisko č. 19 Expertní skupiny Komise pro aplikaci nové civilní legislativy při Ministerstvu spravedlnosti ze dne 3. března 2014 – k problematice předkupního práva u bytových jednotek v NOZ.</w:t>
      </w:r>
    </w:p>
  </w:footnote>
  <w:footnote w:id="122">
    <w:p w:rsidR="00E05371" w:rsidRPr="0046268F" w:rsidRDefault="00E05371">
      <w:pPr>
        <w:pStyle w:val="Textpoznpodarou"/>
      </w:pPr>
      <w:r w:rsidRPr="0046268F">
        <w:rPr>
          <w:rStyle w:val="Znakapoznpodarou"/>
        </w:rPr>
        <w:footnoteRef/>
      </w:r>
      <w:r w:rsidRPr="0046268F">
        <w:t xml:space="preserve"> SÝKOROVÁ: </w:t>
      </w:r>
      <w:r w:rsidRPr="0046268F">
        <w:rPr>
          <w:i/>
        </w:rPr>
        <w:t>Bytové spoluvlastnictví v teorii a praxi. Praha</w:t>
      </w:r>
      <w:r w:rsidRPr="0046268F">
        <w:t>: s. 105.</w:t>
      </w:r>
    </w:p>
  </w:footnote>
  <w:footnote w:id="123">
    <w:p w:rsidR="00E05371" w:rsidRPr="0046268F" w:rsidRDefault="00E05371">
      <w:pPr>
        <w:pStyle w:val="Textpoznpodarou"/>
      </w:pPr>
      <w:r w:rsidRPr="0046268F">
        <w:rPr>
          <w:rStyle w:val="Znakapoznpodarou"/>
        </w:rPr>
        <w:footnoteRef/>
      </w:r>
      <w:r w:rsidRPr="0046268F">
        <w:t xml:space="preserve"> DVOŘÁK, Tomáš. Malá úvaha o (ne)existenci předkupního práva vlastníka jednotky k pozemku. </w:t>
      </w:r>
      <w:r w:rsidRPr="0046268F">
        <w:rPr>
          <w:i/>
        </w:rPr>
        <w:t xml:space="preserve">Všehrd. Časopis českých právníků.  </w:t>
      </w:r>
      <w:r w:rsidRPr="0046268F">
        <w:t>22. 6. 2014, [online]. http://casopis.vsehrd.cz, dostupné na &lt;</w:t>
      </w:r>
      <w:hyperlink r:id="rId3" w:history="1">
        <w:r w:rsidRPr="0046268F">
          <w:rPr>
            <w:rStyle w:val="Hypertextovodkaz"/>
          </w:rPr>
          <w:t>http://casopis.vsehrd.cz/2014/06/mala-uvaha-o-neexistenci-predkupniho-prava-vlastnika-jednotky-k-pozemku/</w:t>
        </w:r>
      </w:hyperlink>
      <w:r w:rsidRPr="0046268F">
        <w:t xml:space="preserve">&gt;. </w:t>
      </w:r>
    </w:p>
  </w:footnote>
  <w:footnote w:id="124">
    <w:p w:rsidR="00E05371" w:rsidRPr="0046268F" w:rsidRDefault="00E05371" w:rsidP="00F30EDD">
      <w:pPr>
        <w:pStyle w:val="Textpoznpodarou"/>
      </w:pPr>
      <w:r w:rsidRPr="0046268F">
        <w:rPr>
          <w:rStyle w:val="Znakapoznpodarou"/>
        </w:rPr>
        <w:footnoteRef/>
      </w:r>
      <w:r w:rsidRPr="0046268F">
        <w:t xml:space="preserve"> DVOŘÁK: Malá úvaha o (ne)existenci předkupního práva vlastníka jednotky k pozemku.</w:t>
      </w:r>
    </w:p>
  </w:footnote>
  <w:footnote w:id="125">
    <w:p w:rsidR="00E05371" w:rsidRPr="0046268F" w:rsidRDefault="00E05371">
      <w:pPr>
        <w:pStyle w:val="Textpoznpodarou"/>
      </w:pPr>
      <w:r w:rsidRPr="0046268F">
        <w:rPr>
          <w:rStyle w:val="Znakapoznpodarou"/>
        </w:rPr>
        <w:footnoteRef/>
      </w:r>
      <w:r w:rsidR="009825B2">
        <w:t xml:space="preserve"> NOVOTNÝ </w:t>
      </w:r>
      <w:r w:rsidRPr="0046268F">
        <w:t xml:space="preserve">In SPÁČIL: </w:t>
      </w:r>
      <w:r w:rsidRPr="0046268F">
        <w:rPr>
          <w:i/>
        </w:rPr>
        <w:t>Občanský zákoník III. Věcná práva (§ 976–1474).</w:t>
      </w:r>
      <w:r w:rsidRPr="0046268F">
        <w:t xml:space="preserve"> s. 688.</w:t>
      </w:r>
    </w:p>
  </w:footnote>
  <w:footnote w:id="126">
    <w:p w:rsidR="00E05371" w:rsidRPr="0046268F" w:rsidRDefault="00E05371">
      <w:pPr>
        <w:pStyle w:val="Textpoznpodarou"/>
      </w:pPr>
      <w:r w:rsidRPr="0046268F">
        <w:rPr>
          <w:rStyle w:val="Znakapoznpodarou"/>
        </w:rPr>
        <w:footnoteRef/>
      </w:r>
      <w:r w:rsidRPr="0046268F">
        <w:t xml:space="preserve"> SÝKOROVÁ: </w:t>
      </w:r>
      <w:r w:rsidRPr="0046268F">
        <w:rPr>
          <w:i/>
        </w:rPr>
        <w:t>Bytové spoluvlastnictví v teorii a praxi. Praha</w:t>
      </w:r>
      <w:r w:rsidRPr="0046268F">
        <w:t>: s. 105.</w:t>
      </w:r>
    </w:p>
  </w:footnote>
  <w:footnote w:id="127">
    <w:p w:rsidR="00E05371" w:rsidRPr="0046268F" w:rsidRDefault="00E05371">
      <w:pPr>
        <w:pStyle w:val="Textpoznpodarou"/>
      </w:pPr>
      <w:r w:rsidRPr="0046268F">
        <w:rPr>
          <w:rStyle w:val="Znakapoznpodarou"/>
        </w:rPr>
        <w:footnoteRef/>
      </w:r>
      <w:r w:rsidRPr="0046268F">
        <w:t xml:space="preserve"> DVOŘÁK: Malá úvaha o (ne)existenci předkupního práva vlastníka jednotky k pozemku.</w:t>
      </w:r>
    </w:p>
  </w:footnote>
  <w:footnote w:id="128">
    <w:p w:rsidR="00E05371" w:rsidRPr="0046268F" w:rsidRDefault="00E05371">
      <w:pPr>
        <w:pStyle w:val="Textpoznpodarou"/>
      </w:pPr>
      <w:r w:rsidRPr="0046268F">
        <w:rPr>
          <w:rStyle w:val="Znakapoznpodarou"/>
        </w:rPr>
        <w:footnoteRef/>
      </w:r>
      <w:r w:rsidRPr="0046268F">
        <w:t xml:space="preserve"> § 1 odst. 1 Katastrálního zákona.</w:t>
      </w:r>
    </w:p>
  </w:footnote>
  <w:footnote w:id="129">
    <w:p w:rsidR="00E05371" w:rsidRPr="0046268F" w:rsidRDefault="00E05371">
      <w:pPr>
        <w:pStyle w:val="Textpoznpodarou"/>
      </w:pPr>
      <w:r w:rsidRPr="0046268F">
        <w:rPr>
          <w:rStyle w:val="Znakapoznpodarou"/>
        </w:rPr>
        <w:footnoteRef/>
      </w:r>
      <w:r w:rsidRPr="0046268F">
        <w:t xml:space="preserve"> TÉGL, Petr. Některé aspekty úpravy veřejných seznamů [online]. pravniprostor.cz, 26.08.2014. Dostupné na &lt;</w:t>
      </w:r>
      <w:hyperlink r:id="rId4" w:history="1">
        <w:r w:rsidRPr="0046268F">
          <w:rPr>
            <w:rStyle w:val="Hypertextovodkaz"/>
          </w:rPr>
          <w:t>https://www.pravniprostor.cz/clanky/rekodifikace/nektere-aspekty-upravy-verejnych-seznamu</w:t>
        </w:r>
      </w:hyperlink>
      <w:r w:rsidRPr="0046268F">
        <w:t>&gt;.</w:t>
      </w:r>
    </w:p>
  </w:footnote>
  <w:footnote w:id="130">
    <w:p w:rsidR="00E05371" w:rsidRPr="0046268F" w:rsidRDefault="00E05371">
      <w:pPr>
        <w:pStyle w:val="Textpoznpodarou"/>
      </w:pPr>
      <w:r w:rsidRPr="0046268F">
        <w:rPr>
          <w:rStyle w:val="Znakapoznpodarou"/>
        </w:rPr>
        <w:footnoteRef/>
      </w:r>
      <w:r w:rsidRPr="0046268F">
        <w:t xml:space="preserve"> Nález Ústavního Soudu ze dne 1. 8. 2006, sp. zn. II. ÚS 349/03; Nález Ústavního Soudu ze dne 11. 5. 2011, sp. zn. II. ÚS 165/2011.</w:t>
      </w:r>
    </w:p>
  </w:footnote>
  <w:footnote w:id="131">
    <w:p w:rsidR="00E05371" w:rsidRPr="0046268F" w:rsidRDefault="00E05371">
      <w:pPr>
        <w:pStyle w:val="Textpoznpodarou"/>
      </w:pPr>
      <w:r w:rsidRPr="0046268F">
        <w:rPr>
          <w:rStyle w:val="Znakapoznpodarou"/>
        </w:rPr>
        <w:footnoteRef/>
      </w:r>
      <w:r w:rsidRPr="0046268F">
        <w:t xml:space="preserve"> ELIÁŠ: Některé otázky spojené s vlastnictvím bytů</w:t>
      </w:r>
      <w:r w:rsidRPr="0046268F">
        <w:rPr>
          <w:i/>
        </w:rPr>
        <w:t xml:space="preserve">. </w:t>
      </w:r>
      <w:r w:rsidRPr="0046268F">
        <w:t>s. 48.</w:t>
      </w:r>
    </w:p>
  </w:footnote>
  <w:footnote w:id="132">
    <w:p w:rsidR="00E05371" w:rsidRPr="0046268F" w:rsidRDefault="00E05371" w:rsidP="00E23F19">
      <w:pPr>
        <w:pStyle w:val="Textpoznpodarou"/>
      </w:pPr>
      <w:r w:rsidRPr="0046268F">
        <w:rPr>
          <w:rStyle w:val="Znakapoznpodarou"/>
        </w:rPr>
        <w:footnoteRef/>
      </w:r>
      <w:r w:rsidRPr="0046268F">
        <w:t xml:space="preserve"> PETROV: </w:t>
      </w:r>
      <w:r w:rsidRPr="0046268F">
        <w:rPr>
          <w:i/>
        </w:rPr>
        <w:t>Občanský zákoník. Komentář.</w:t>
      </w:r>
      <w:r w:rsidRPr="0046268F">
        <w:t xml:space="preserve"> 1. vydání. s. 3040, k ust. § 3063.</w:t>
      </w:r>
    </w:p>
  </w:footnote>
  <w:footnote w:id="133">
    <w:p w:rsidR="00E05371" w:rsidRPr="0046268F" w:rsidRDefault="00E05371">
      <w:pPr>
        <w:pStyle w:val="Textpoznpodarou"/>
      </w:pPr>
      <w:r w:rsidRPr="0046268F">
        <w:rPr>
          <w:rStyle w:val="Znakapoznpodarou"/>
        </w:rPr>
        <w:footnoteRef/>
      </w:r>
      <w:r w:rsidRPr="0046268F">
        <w:t xml:space="preserve"> Tamtéž s. 1214.</w:t>
      </w:r>
    </w:p>
  </w:footnote>
  <w:footnote w:id="134">
    <w:p w:rsidR="00E05371" w:rsidRPr="0046268F" w:rsidRDefault="00E05371" w:rsidP="00755985">
      <w:pPr>
        <w:pStyle w:val="Textpoznpodarou"/>
      </w:pPr>
      <w:r w:rsidRPr="0046268F">
        <w:rPr>
          <w:rStyle w:val="Znakapoznpodarou"/>
        </w:rPr>
        <w:footnoteRef/>
      </w:r>
      <w:r w:rsidRPr="0046268F">
        <w:t xml:space="preserve"> ELIÁŠ: Některé otázky spojené s vlastnictvím bytů</w:t>
      </w:r>
      <w:r w:rsidRPr="0046268F">
        <w:rPr>
          <w:i/>
        </w:rPr>
        <w:t xml:space="preserve">. </w:t>
      </w:r>
      <w:r w:rsidRPr="0046268F">
        <w:t>s. 47-48.</w:t>
      </w:r>
    </w:p>
  </w:footnote>
  <w:footnote w:id="135">
    <w:p w:rsidR="00E05371" w:rsidRPr="0046268F" w:rsidRDefault="00E05371">
      <w:pPr>
        <w:pStyle w:val="Textpoznpodarou"/>
      </w:pPr>
      <w:r w:rsidRPr="0046268F">
        <w:rPr>
          <w:rStyle w:val="Znakapoznpodarou"/>
        </w:rPr>
        <w:footnoteRef/>
      </w:r>
      <w:r w:rsidRPr="0046268F">
        <w:t xml:space="preserve"> PETROV: </w:t>
      </w:r>
      <w:r w:rsidRPr="00CF2202">
        <w:rPr>
          <w:i/>
        </w:rPr>
        <w:t>Občanský zákoník. Komentář.</w:t>
      </w:r>
      <w:r w:rsidRPr="0046268F">
        <w:t xml:space="preserve"> 1. vydání. s. 1212, k ust. § 1198.</w:t>
      </w:r>
    </w:p>
  </w:footnote>
  <w:footnote w:id="136">
    <w:p w:rsidR="00E05371" w:rsidRPr="0046268F" w:rsidRDefault="00E05371">
      <w:pPr>
        <w:pStyle w:val="Textpoznpodarou"/>
      </w:pPr>
      <w:r w:rsidRPr="0046268F">
        <w:rPr>
          <w:rStyle w:val="Znakapoznpodarou"/>
        </w:rPr>
        <w:footnoteRef/>
      </w:r>
      <w:r w:rsidRPr="0046268F">
        <w:t xml:space="preserve"> VLÁDA ČR: Důvodová zpráva k NOZ.</w:t>
      </w:r>
    </w:p>
  </w:footnote>
  <w:footnote w:id="137">
    <w:p w:rsidR="00E05371" w:rsidRPr="0046268F" w:rsidRDefault="00E05371" w:rsidP="00FC235E">
      <w:pPr>
        <w:pStyle w:val="Textpoznpodarou"/>
      </w:pPr>
      <w:r w:rsidRPr="0046268F">
        <w:rPr>
          <w:rStyle w:val="Znakapoznpodarou"/>
        </w:rPr>
        <w:footnoteRef/>
      </w:r>
      <w:r w:rsidRPr="0046268F">
        <w:t xml:space="preserve"> ELIÁŠ: Některé otázky spojené s vlastnictvím bytů</w:t>
      </w:r>
      <w:r w:rsidRPr="0046268F">
        <w:rPr>
          <w:i/>
        </w:rPr>
        <w:t xml:space="preserve">. </w:t>
      </w:r>
      <w:r w:rsidRPr="0046268F">
        <w:t>s. 45-46.</w:t>
      </w:r>
    </w:p>
  </w:footnote>
  <w:footnote w:id="138">
    <w:p w:rsidR="00E05371" w:rsidRPr="0046268F" w:rsidRDefault="00E05371">
      <w:pPr>
        <w:pStyle w:val="Textpoznpodarou"/>
      </w:pPr>
      <w:r w:rsidRPr="0046268F">
        <w:rPr>
          <w:rStyle w:val="Znakapoznpodarou"/>
        </w:rPr>
        <w:footnoteRef/>
      </w:r>
      <w:r w:rsidRPr="0046268F">
        <w:t xml:space="preserve"> ELIÁŠ: Některé otázky spojené s vlastnictvím bytů</w:t>
      </w:r>
      <w:r w:rsidRPr="0046268F">
        <w:rPr>
          <w:i/>
        </w:rPr>
        <w:t xml:space="preserve">. </w:t>
      </w:r>
      <w:r w:rsidRPr="0046268F">
        <w:t>s. 48-49.</w:t>
      </w:r>
    </w:p>
  </w:footnote>
  <w:footnote w:id="139">
    <w:p w:rsidR="00E05371" w:rsidRPr="0046268F" w:rsidRDefault="00E05371">
      <w:pPr>
        <w:pStyle w:val="Textpoznpodarou"/>
      </w:pPr>
      <w:r w:rsidRPr="0046268F">
        <w:rPr>
          <w:rStyle w:val="Znakapoznpodarou"/>
        </w:rPr>
        <w:footnoteRef/>
      </w:r>
      <w:r w:rsidRPr="0046268F">
        <w:t xml:space="preserve"> Expertní skupina… č. 16.</w:t>
      </w:r>
    </w:p>
  </w:footnote>
  <w:footnote w:id="140">
    <w:p w:rsidR="00E05371" w:rsidRPr="0046268F" w:rsidRDefault="00E05371" w:rsidP="00BA18CC">
      <w:pPr>
        <w:pStyle w:val="Textpoznpodarou"/>
      </w:pPr>
      <w:r w:rsidRPr="0046268F">
        <w:rPr>
          <w:rStyle w:val="Znakapoznpodarou"/>
        </w:rPr>
        <w:footnoteRef/>
      </w:r>
      <w:r w:rsidR="009825B2">
        <w:t xml:space="preserve"> NOVOTNÝ</w:t>
      </w:r>
      <w:r w:rsidRPr="0046268F">
        <w:t xml:space="preserve"> In SPÁČIL: </w:t>
      </w:r>
      <w:r w:rsidRPr="0046268F">
        <w:rPr>
          <w:i/>
        </w:rPr>
        <w:t>Občanský zákoník III. Věcná práva (§ 976–1474).</w:t>
      </w:r>
      <w:r w:rsidRPr="0046268F">
        <w:t xml:space="preserve"> s. 684.</w:t>
      </w:r>
    </w:p>
  </w:footnote>
  <w:footnote w:id="141">
    <w:p w:rsidR="00E05371" w:rsidRPr="0046268F" w:rsidRDefault="00E05371">
      <w:pPr>
        <w:pStyle w:val="Textpoznpodarou"/>
      </w:pPr>
      <w:r w:rsidRPr="0046268F">
        <w:rPr>
          <w:rStyle w:val="Znakapoznpodarou"/>
        </w:rPr>
        <w:footnoteRef/>
      </w:r>
      <w:r w:rsidRPr="0046268F">
        <w:t xml:space="preserve"> MELZER, F</w:t>
      </w:r>
      <w:r w:rsidR="009825B2">
        <w:t>ilip</w:t>
      </w:r>
      <w:r w:rsidRPr="0046268F">
        <w:t>, TÉGL, P</w:t>
      </w:r>
      <w:r w:rsidR="009825B2">
        <w:t>etr</w:t>
      </w:r>
      <w:r w:rsidRPr="0046268F">
        <w:t xml:space="preserve"> a kolektiv: </w:t>
      </w:r>
      <w:r w:rsidRPr="0046268F">
        <w:rPr>
          <w:i/>
        </w:rPr>
        <w:t>Občanský zákoník – velký komentář. Svazek III.</w:t>
      </w:r>
      <w:r w:rsidRPr="0046268F">
        <w:t xml:space="preserve"> § 489. Praha: Leges, 2014, s. 197.</w:t>
      </w:r>
    </w:p>
  </w:footnote>
  <w:footnote w:id="142">
    <w:p w:rsidR="00E05371" w:rsidRPr="0046268F" w:rsidRDefault="00E05371">
      <w:pPr>
        <w:pStyle w:val="Textpoznpodarou"/>
      </w:pPr>
      <w:r w:rsidRPr="0046268F">
        <w:rPr>
          <w:rStyle w:val="Znakapoznpodarou"/>
        </w:rPr>
        <w:footnoteRef/>
      </w:r>
      <w:r w:rsidRPr="0046268F">
        <w:t xml:space="preserve"> Tamtéž… s. 205.</w:t>
      </w:r>
    </w:p>
  </w:footnote>
  <w:footnote w:id="143">
    <w:p w:rsidR="00E05371" w:rsidRPr="0046268F" w:rsidRDefault="00E05371" w:rsidP="00314FCD">
      <w:pPr>
        <w:pStyle w:val="Textpoznpodarou"/>
      </w:pPr>
      <w:r w:rsidRPr="0046268F">
        <w:rPr>
          <w:rStyle w:val="Znakapoznpodarou"/>
        </w:rPr>
        <w:footnoteRef/>
      </w:r>
      <w:r w:rsidRPr="0046268F">
        <w:t xml:space="preserve"> MINISTERSTVO PRO MÍSTNÍ ROZVOJ, </w:t>
      </w:r>
      <w:r w:rsidRPr="0046268F">
        <w:rPr>
          <w:i/>
        </w:rPr>
        <w:t xml:space="preserve">Bydlení v České republice v číslech (záři 2016), Internetová verze </w:t>
      </w:r>
      <w:r w:rsidRPr="0046268F">
        <w:t xml:space="preserve">[online]. mmr.cz, září 2016 Dostupné na &lt;https://www.mmr.cz/getmedia/c7b6b3b8-267c-4a90-bd3c-07187f5d77cd/Bydleni-v-Ceske-republice-v-cislech-(zari-2016),-web.pdf &gt;. </w:t>
      </w:r>
    </w:p>
  </w:footnote>
  <w:footnote w:id="144">
    <w:p w:rsidR="00E05371" w:rsidRPr="0046268F" w:rsidRDefault="00E05371" w:rsidP="00314FCD">
      <w:pPr>
        <w:pStyle w:val="Textpoznpodarou"/>
      </w:pPr>
      <w:r w:rsidRPr="0046268F">
        <w:rPr>
          <w:rStyle w:val="Znakapoznpodarou"/>
        </w:rPr>
        <w:footnoteRef/>
      </w:r>
      <w:r w:rsidRPr="0046268F">
        <w:t xml:space="preserve"> Údaje poskytnuté Českým úřadem zeměměřickým a katastrálním na žádost podle zákona č. 106/1999 Sb., o svobodném přístupu k informacím.</w:t>
      </w:r>
    </w:p>
  </w:footnote>
  <w:footnote w:id="145">
    <w:p w:rsidR="00E05371" w:rsidRPr="0046268F" w:rsidRDefault="00E05371" w:rsidP="00314FCD">
      <w:pPr>
        <w:pStyle w:val="Textpoznpodarou"/>
      </w:pPr>
      <w:r w:rsidRPr="0046268F">
        <w:rPr>
          <w:rStyle w:val="Znakapoznpodarou"/>
        </w:rPr>
        <w:footnoteRef/>
      </w:r>
      <w:r w:rsidRPr="0046268F">
        <w:t xml:space="preserve"> § 5 odst. 2 ZOVB.</w:t>
      </w:r>
    </w:p>
  </w:footnote>
  <w:footnote w:id="146">
    <w:p w:rsidR="00E05371" w:rsidRPr="0046268F" w:rsidRDefault="00E05371">
      <w:pPr>
        <w:pStyle w:val="Textpoznpodarou"/>
      </w:pPr>
      <w:r w:rsidRPr="0046268F">
        <w:rPr>
          <w:rStyle w:val="Znakapoznpodarou"/>
        </w:rPr>
        <w:footnoteRef/>
      </w:r>
      <w:r w:rsidRPr="0046268F">
        <w:t xml:space="preserve"> § 121 odst. 1 a 2 SOZ.</w:t>
      </w:r>
    </w:p>
  </w:footnote>
  <w:footnote w:id="147">
    <w:p w:rsidR="00E05371" w:rsidRPr="0046268F" w:rsidRDefault="00E05371">
      <w:pPr>
        <w:pStyle w:val="Textpoznpodarou"/>
      </w:pPr>
      <w:r w:rsidRPr="0046268F">
        <w:rPr>
          <w:rStyle w:val="Znakapoznpodarou"/>
        </w:rPr>
        <w:footnoteRef/>
      </w:r>
      <w:r w:rsidRPr="0046268F">
        <w:t xml:space="preserve"> SÝKOROVÁ: </w:t>
      </w:r>
      <w:r w:rsidRPr="0046268F">
        <w:rPr>
          <w:i/>
        </w:rPr>
        <w:t>Bytové spoluvlastnictví v teorii a praxi</w:t>
      </w:r>
      <w:r w:rsidRPr="0046268F">
        <w:t>. s. 64.</w:t>
      </w:r>
    </w:p>
  </w:footnote>
  <w:footnote w:id="148">
    <w:p w:rsidR="00E05371" w:rsidRPr="0046268F" w:rsidRDefault="00E05371">
      <w:pPr>
        <w:pStyle w:val="Textpoznpodarou"/>
      </w:pPr>
      <w:r w:rsidRPr="0046268F">
        <w:rPr>
          <w:rStyle w:val="Znakapoznpodarou"/>
        </w:rPr>
        <w:footnoteRef/>
      </w:r>
      <w:r w:rsidRPr="0046268F">
        <w:t xml:space="preserve"> Rozsudek Nejvyššího soudu ze dne 20. 1. 2004, sp. zn.: 26 Cdo 2195/2003.</w:t>
      </w:r>
    </w:p>
  </w:footnote>
  <w:footnote w:id="149">
    <w:p w:rsidR="00E05371" w:rsidRPr="0046268F" w:rsidRDefault="00E05371">
      <w:pPr>
        <w:pStyle w:val="Textpoznpodarou"/>
      </w:pPr>
      <w:r w:rsidRPr="0046268F">
        <w:rPr>
          <w:rStyle w:val="Znakapoznpodarou"/>
        </w:rPr>
        <w:footnoteRef/>
      </w:r>
      <w:r w:rsidRPr="0046268F">
        <w:t xml:space="preserve"> Rozsudek Nejvyššího soudu ze dne 2. 6. 2008, sp. zn.: 22 Cdo 1455/2008.</w:t>
      </w:r>
    </w:p>
  </w:footnote>
  <w:footnote w:id="150">
    <w:p w:rsidR="00E05371" w:rsidRPr="0046268F" w:rsidRDefault="00E05371">
      <w:pPr>
        <w:pStyle w:val="Textpoznpodarou"/>
      </w:pPr>
      <w:r w:rsidRPr="0046268F">
        <w:rPr>
          <w:rStyle w:val="Znakapoznpodarou"/>
        </w:rPr>
        <w:footnoteRef/>
      </w:r>
      <w:r w:rsidRPr="0046268F">
        <w:t xml:space="preserve"> Rozsudek Nejvyššího soudu ze dne 14. 8. 2001, sp. zn.: 28 Cdo 133/2001.</w:t>
      </w:r>
    </w:p>
  </w:footnote>
  <w:footnote w:id="151">
    <w:p w:rsidR="00E05371" w:rsidRPr="0046268F" w:rsidRDefault="00E05371">
      <w:pPr>
        <w:pStyle w:val="Textpoznpodarou"/>
      </w:pPr>
      <w:r w:rsidRPr="0046268F">
        <w:rPr>
          <w:rStyle w:val="Znakapoznpodarou"/>
        </w:rPr>
        <w:footnoteRef/>
      </w:r>
      <w:r w:rsidRPr="0046268F">
        <w:t xml:space="preserve"> SÝKOROVÁ: </w:t>
      </w:r>
      <w:r w:rsidRPr="0046268F">
        <w:rPr>
          <w:i/>
        </w:rPr>
        <w:t>Bytové spoluvlastnictví v teorii a praxi</w:t>
      </w:r>
      <w:r w:rsidRPr="0046268F">
        <w:t>. s. 65.</w:t>
      </w:r>
    </w:p>
  </w:footnote>
  <w:footnote w:id="152">
    <w:p w:rsidR="00E05371" w:rsidRPr="0046268F" w:rsidRDefault="00E05371">
      <w:pPr>
        <w:pStyle w:val="Textpoznpodarou"/>
      </w:pPr>
      <w:r w:rsidRPr="0046268F">
        <w:rPr>
          <w:rStyle w:val="Znakapoznpodarou"/>
        </w:rPr>
        <w:footnoteRef/>
      </w:r>
      <w:r w:rsidRPr="0046268F">
        <w:t xml:space="preserve"> ELIÁŠ, Karel a kol. </w:t>
      </w:r>
      <w:r w:rsidRPr="0046268F">
        <w:rPr>
          <w:i/>
        </w:rPr>
        <w:t xml:space="preserve">Občanský zákoník. Velký akademický komentář. </w:t>
      </w:r>
      <w:r w:rsidRPr="0046268F">
        <w:t>1. svazek. Praha: Linde Praha, a.s., 2008, str. 502.</w:t>
      </w:r>
    </w:p>
  </w:footnote>
  <w:footnote w:id="153">
    <w:p w:rsidR="00E05371" w:rsidRPr="0046268F" w:rsidRDefault="00E05371">
      <w:pPr>
        <w:pStyle w:val="Textpoznpodarou"/>
      </w:pPr>
      <w:r w:rsidRPr="0046268F">
        <w:rPr>
          <w:rStyle w:val="Znakapoznpodarou"/>
        </w:rPr>
        <w:footnoteRef/>
      </w:r>
      <w:r w:rsidRPr="0046268F">
        <w:t xml:space="preserve"> SÝKOROVÁ: </w:t>
      </w:r>
      <w:r w:rsidRPr="0046268F">
        <w:rPr>
          <w:i/>
        </w:rPr>
        <w:t>Bytové spoluvlastnictví v teorii a praxi</w:t>
      </w:r>
      <w:r w:rsidRPr="0046268F">
        <w:t>. s. 65.</w:t>
      </w:r>
    </w:p>
  </w:footnote>
  <w:footnote w:id="154">
    <w:p w:rsidR="00E05371" w:rsidRPr="0046268F" w:rsidRDefault="00E05371">
      <w:pPr>
        <w:pStyle w:val="Textpoznpodarou"/>
      </w:pPr>
      <w:r w:rsidRPr="0046268F">
        <w:rPr>
          <w:rStyle w:val="Znakapoznpodarou"/>
        </w:rPr>
        <w:footnoteRef/>
      </w:r>
      <w:r w:rsidRPr="0046268F">
        <w:t xml:space="preserve"> Rozsudek Nejvyššího soudu ze dne 20. ledna 2004, sp. zn. 26 Cdo 2195/2003.</w:t>
      </w:r>
    </w:p>
  </w:footnote>
  <w:footnote w:id="155">
    <w:p w:rsidR="00E05371" w:rsidRPr="0046268F" w:rsidRDefault="00E05371">
      <w:pPr>
        <w:pStyle w:val="Textpoznpodarou"/>
      </w:pPr>
      <w:r w:rsidRPr="0046268F">
        <w:rPr>
          <w:rStyle w:val="Znakapoznpodarou"/>
        </w:rPr>
        <w:footnoteRef/>
      </w:r>
      <w:r w:rsidRPr="0046268F">
        <w:t xml:space="preserve"> HORÁK, Ondřej. Sdílí příslušenství osud věci hlavní? Ke změnám v souvislosti s novým občanským zákoníkem. </w:t>
      </w:r>
      <w:r w:rsidRPr="0046268F">
        <w:rPr>
          <w:i/>
        </w:rPr>
        <w:t>Právní rozhledy</w:t>
      </w:r>
      <w:r w:rsidRPr="0046268F">
        <w:t>. 2014. č. 6, s. 194.</w:t>
      </w:r>
    </w:p>
  </w:footnote>
  <w:footnote w:id="156">
    <w:p w:rsidR="00E05371" w:rsidRPr="0046268F" w:rsidRDefault="00E05371">
      <w:pPr>
        <w:pStyle w:val="Textpoznpodarou"/>
      </w:pPr>
      <w:r w:rsidRPr="0046268F">
        <w:rPr>
          <w:rStyle w:val="Znakapoznpodarou"/>
        </w:rPr>
        <w:footnoteRef/>
      </w:r>
      <w:r w:rsidR="009825B2">
        <w:t xml:space="preserve"> MELZER, TÉGL</w:t>
      </w:r>
      <w:r w:rsidRPr="0046268F">
        <w:t xml:space="preserve">: </w:t>
      </w:r>
      <w:r w:rsidRPr="0046268F">
        <w:rPr>
          <w:i/>
        </w:rPr>
        <w:t>Občanský zákoník – velký komentář.</w:t>
      </w:r>
      <w:r w:rsidRPr="0046268F">
        <w:t xml:space="preserve"> s. 349 a násl.</w:t>
      </w:r>
    </w:p>
  </w:footnote>
  <w:footnote w:id="157">
    <w:p w:rsidR="00E05371" w:rsidRPr="0046268F" w:rsidRDefault="00E05371">
      <w:pPr>
        <w:pStyle w:val="Textpoznpodarou"/>
      </w:pPr>
      <w:r w:rsidRPr="0046268F">
        <w:rPr>
          <w:rStyle w:val="Znakapoznpodarou"/>
        </w:rPr>
        <w:footnoteRef/>
      </w:r>
      <w:r w:rsidR="009825B2">
        <w:t xml:space="preserve"> MELZER, TÉGL</w:t>
      </w:r>
      <w:r w:rsidRPr="0046268F">
        <w:t xml:space="preserve">: </w:t>
      </w:r>
      <w:r w:rsidRPr="0046268F">
        <w:rPr>
          <w:i/>
        </w:rPr>
        <w:t>Občanský zákoník – velký komentář.</w:t>
      </w:r>
      <w:r w:rsidRPr="0046268F">
        <w:t xml:space="preserve"> s. 353.</w:t>
      </w:r>
    </w:p>
  </w:footnote>
  <w:footnote w:id="158">
    <w:p w:rsidR="00E05371" w:rsidRPr="0046268F" w:rsidRDefault="00E05371" w:rsidP="00D801B3">
      <w:pPr>
        <w:pStyle w:val="Textpoznpodarou"/>
      </w:pPr>
      <w:r w:rsidRPr="0046268F">
        <w:rPr>
          <w:rStyle w:val="Znakapoznpodarou"/>
        </w:rPr>
        <w:footnoteRef/>
      </w:r>
      <w:r w:rsidRPr="0046268F">
        <w:t xml:space="preserve"> PETROV: </w:t>
      </w:r>
      <w:r w:rsidRPr="0046268F">
        <w:rPr>
          <w:i/>
        </w:rPr>
        <w:t xml:space="preserve">Občanský zákoník. Komentář. </w:t>
      </w:r>
      <w:r w:rsidRPr="0046268F">
        <w:t>1. vydání. s. 3040, k ust. § 3063.</w:t>
      </w:r>
    </w:p>
  </w:footnote>
  <w:footnote w:id="159">
    <w:p w:rsidR="00E05371" w:rsidRPr="0046268F" w:rsidRDefault="00E05371">
      <w:pPr>
        <w:pStyle w:val="Textpoznpodarou"/>
      </w:pPr>
      <w:r w:rsidRPr="0046268F">
        <w:rPr>
          <w:rStyle w:val="Znakapoznpodarou"/>
        </w:rPr>
        <w:footnoteRef/>
      </w:r>
      <w:r w:rsidRPr="0046268F">
        <w:t xml:space="preserve"> SÝKOROVÁ: </w:t>
      </w:r>
      <w:r w:rsidRPr="0046268F">
        <w:rPr>
          <w:i/>
        </w:rPr>
        <w:t>Bytové spoluvlastnictví v teorii a praxi</w:t>
      </w:r>
      <w:r w:rsidRPr="0046268F">
        <w:t>. s. 68.</w:t>
      </w:r>
    </w:p>
  </w:footnote>
  <w:footnote w:id="160">
    <w:p w:rsidR="00E05371" w:rsidRPr="0046268F" w:rsidRDefault="00E05371">
      <w:pPr>
        <w:pStyle w:val="Textpoznpodarou"/>
      </w:pPr>
      <w:r w:rsidRPr="0046268F">
        <w:rPr>
          <w:rStyle w:val="Znakapoznpodarou"/>
        </w:rPr>
        <w:footnoteRef/>
      </w:r>
      <w:r w:rsidRPr="0046268F">
        <w:t xml:space="preserve"> NOVOTNÝ: </w:t>
      </w:r>
      <w:r w:rsidRPr="0046268F">
        <w:rPr>
          <w:i/>
        </w:rPr>
        <w:t xml:space="preserve">Zákon o vlastnictví bytů. Komentář. </w:t>
      </w:r>
      <w:r w:rsidRPr="0046268F">
        <w:t>4. vydání. s. 53.</w:t>
      </w:r>
    </w:p>
  </w:footnote>
  <w:footnote w:id="161">
    <w:p w:rsidR="00E05371" w:rsidRPr="0046268F" w:rsidRDefault="00E05371" w:rsidP="006223F6">
      <w:pPr>
        <w:pStyle w:val="Textpoznpodarou"/>
      </w:pPr>
      <w:r w:rsidRPr="0046268F">
        <w:rPr>
          <w:rStyle w:val="Znakapoznpodarou"/>
        </w:rPr>
        <w:footnoteRef/>
      </w:r>
      <w:r w:rsidRPr="0046268F">
        <w:t xml:space="preserve"> SÝKOROVÁ: </w:t>
      </w:r>
      <w:r w:rsidRPr="0046268F">
        <w:rPr>
          <w:i/>
        </w:rPr>
        <w:t>Bytové spoluvlastnictví v teorii a praxi</w:t>
      </w:r>
      <w:r w:rsidRPr="0046268F">
        <w:t>. s. 68.</w:t>
      </w:r>
    </w:p>
  </w:footnote>
  <w:footnote w:id="162">
    <w:p w:rsidR="00E05371" w:rsidRPr="0046268F" w:rsidRDefault="00E05371">
      <w:pPr>
        <w:pStyle w:val="Textpoznpodarou"/>
      </w:pPr>
      <w:r w:rsidRPr="0046268F">
        <w:rPr>
          <w:rStyle w:val="Znakapoznpodarou"/>
        </w:rPr>
        <w:footnoteRef/>
      </w:r>
      <w:r w:rsidRPr="0046268F">
        <w:t xml:space="preserve"> NOVOTNÝ: </w:t>
      </w:r>
      <w:r w:rsidRPr="0046268F">
        <w:rPr>
          <w:i/>
        </w:rPr>
        <w:t xml:space="preserve">Zákon o vlastnictví bytů. Komentář. </w:t>
      </w:r>
      <w:r w:rsidRPr="0046268F">
        <w:t>4. vydání. s. 55.</w:t>
      </w:r>
    </w:p>
  </w:footnote>
  <w:footnote w:id="163">
    <w:p w:rsidR="00E05371" w:rsidRPr="0046268F" w:rsidRDefault="00E05371">
      <w:pPr>
        <w:pStyle w:val="Textpoznpodarou"/>
      </w:pPr>
      <w:r w:rsidRPr="0046268F">
        <w:rPr>
          <w:rStyle w:val="Znakapoznpodarou"/>
        </w:rPr>
        <w:footnoteRef/>
      </w:r>
      <w:r w:rsidRPr="0046268F">
        <w:t xml:space="preserve"> SÝKOROVÁ: </w:t>
      </w:r>
      <w:r w:rsidRPr="0046268F">
        <w:rPr>
          <w:i/>
        </w:rPr>
        <w:t>Bytové spoluvlastnictví v teorii a praxi</w:t>
      </w:r>
      <w:r w:rsidRPr="0046268F">
        <w:t>. s. 70.</w:t>
      </w:r>
    </w:p>
  </w:footnote>
  <w:footnote w:id="164">
    <w:p w:rsidR="00E05371" w:rsidRPr="0046268F" w:rsidRDefault="00E05371" w:rsidP="00B375D3">
      <w:pPr>
        <w:pStyle w:val="Textpoznpodarou"/>
      </w:pPr>
      <w:r w:rsidRPr="0046268F">
        <w:rPr>
          <w:rStyle w:val="Znakapoznpodarou"/>
        </w:rPr>
        <w:footnoteRef/>
      </w:r>
      <w:r w:rsidRPr="0046268F">
        <w:t xml:space="preserve"> Tamtéž.</w:t>
      </w:r>
    </w:p>
  </w:footnote>
  <w:footnote w:id="165">
    <w:p w:rsidR="00E05371" w:rsidRPr="0046268F" w:rsidRDefault="00E05371">
      <w:pPr>
        <w:pStyle w:val="Textpoznpodarou"/>
      </w:pPr>
      <w:r w:rsidRPr="0046268F">
        <w:rPr>
          <w:rStyle w:val="Znakapoznpodarou"/>
        </w:rPr>
        <w:footnoteRef/>
      </w:r>
      <w:r w:rsidR="009825B2">
        <w:t xml:space="preserve"> NOVOTNÝ</w:t>
      </w:r>
      <w:r w:rsidRPr="0046268F">
        <w:t xml:space="preserve"> In: SPÁČIL: </w:t>
      </w:r>
      <w:r w:rsidRPr="0046268F">
        <w:rPr>
          <w:i/>
        </w:rPr>
        <w:t xml:space="preserve">Občanský zákoník III. Věcná práva (§ 976-1474). Komentář. </w:t>
      </w:r>
      <w:r w:rsidRPr="0046268F">
        <w:t>s. 696.</w:t>
      </w:r>
    </w:p>
  </w:footnote>
  <w:footnote w:id="166">
    <w:p w:rsidR="00E05371" w:rsidRPr="0046268F" w:rsidRDefault="00E05371">
      <w:pPr>
        <w:pStyle w:val="Textpoznpodarou"/>
      </w:pPr>
      <w:r w:rsidRPr="0046268F">
        <w:rPr>
          <w:rStyle w:val="Znakapoznpodarou"/>
        </w:rPr>
        <w:footnoteRef/>
      </w:r>
      <w:r w:rsidRPr="0046268F">
        <w:t xml:space="preserve"> Tamtéž.</w:t>
      </w:r>
    </w:p>
  </w:footnote>
  <w:footnote w:id="167">
    <w:p w:rsidR="00E05371" w:rsidRPr="0046268F" w:rsidRDefault="00E05371">
      <w:pPr>
        <w:pStyle w:val="Textpoznpodarou"/>
      </w:pPr>
      <w:r w:rsidRPr="0046268F">
        <w:rPr>
          <w:rStyle w:val="Znakapoznpodarou"/>
        </w:rPr>
        <w:footnoteRef/>
      </w:r>
      <w:r w:rsidRPr="0046268F">
        <w:t xml:space="preserve"> ČÁP, Jiří. </w:t>
      </w:r>
      <w:r w:rsidRPr="0046268F">
        <w:rPr>
          <w:i/>
        </w:rPr>
        <w:t>Vlastnictví bytů, správa domu a rozhodování ve společenství vlastníků.</w:t>
      </w:r>
      <w:r w:rsidRPr="0046268F">
        <w:t xml:space="preserve"> 1. vydání. Praha</w:t>
      </w:r>
      <w:r>
        <w:t xml:space="preserve">: Wolters Kluwer ČR, 2011, s. </w:t>
      </w:r>
      <w:r w:rsidRPr="0046268F">
        <w:t>44-45.</w:t>
      </w:r>
    </w:p>
  </w:footnote>
  <w:footnote w:id="168">
    <w:p w:rsidR="00E05371" w:rsidRPr="0046268F" w:rsidRDefault="00E05371" w:rsidP="006373FD">
      <w:pPr>
        <w:pStyle w:val="Textpoznpodarou"/>
      </w:pPr>
      <w:r w:rsidRPr="0046268F">
        <w:rPr>
          <w:rStyle w:val="Znakapoznpodarou"/>
        </w:rPr>
        <w:footnoteRef/>
      </w:r>
      <w:r w:rsidRPr="0046268F">
        <w:t xml:space="preserve"> Rozsudek Nejvyššího správního soudu ze dne 21. 12. 2005, sp. zn.: 1 As 2/2004-214.</w:t>
      </w:r>
    </w:p>
  </w:footnote>
  <w:footnote w:id="169">
    <w:p w:rsidR="00E05371" w:rsidRPr="0046268F" w:rsidRDefault="00E05371">
      <w:pPr>
        <w:pStyle w:val="Textpoznpodarou"/>
      </w:pPr>
      <w:r w:rsidRPr="0046268F">
        <w:rPr>
          <w:rStyle w:val="Znakapoznpodarou"/>
        </w:rPr>
        <w:footnoteRef/>
      </w:r>
      <w:r w:rsidRPr="0046268F">
        <w:t xml:space="preserve"> Stanovisko Ministerstva pro místní rozvoj ze dne 28. 8. 2002, č.j. 16177/02-34.</w:t>
      </w:r>
    </w:p>
  </w:footnote>
  <w:footnote w:id="170">
    <w:p w:rsidR="00E05371" w:rsidRPr="0046268F" w:rsidRDefault="00E05371" w:rsidP="00520570">
      <w:pPr>
        <w:pStyle w:val="Textpoznpodarou"/>
      </w:pPr>
      <w:r w:rsidRPr="0046268F">
        <w:rPr>
          <w:rStyle w:val="Znakapoznpodarou"/>
        </w:rPr>
        <w:footnoteRef/>
      </w:r>
      <w:r w:rsidRPr="0046268F">
        <w:t xml:space="preserve"> </w:t>
      </w:r>
      <w:bookmarkStart w:id="42" w:name="_Hlk509386873"/>
      <w:r w:rsidRPr="0046268F">
        <w:t>Usnesení Vrchního soudu v Praze ze dne 23. 9. 2016, sp. zn. 7 Cmo 315/2016.</w:t>
      </w:r>
      <w:bookmarkEnd w:id="42"/>
    </w:p>
  </w:footnote>
  <w:footnote w:id="171">
    <w:p w:rsidR="00E05371" w:rsidRPr="0046268F" w:rsidRDefault="00E05371" w:rsidP="00463FEE">
      <w:pPr>
        <w:pStyle w:val="Textpoznpodarou"/>
      </w:pPr>
      <w:r w:rsidRPr="0046268F">
        <w:rPr>
          <w:rStyle w:val="Znakapoznpodarou"/>
        </w:rPr>
        <w:footnoteRef/>
      </w:r>
      <w:r w:rsidRPr="0046268F">
        <w:t xml:space="preserve"> PETR: </w:t>
      </w:r>
      <w:r w:rsidRPr="00CF2202">
        <w:rPr>
          <w:i/>
        </w:rPr>
        <w:t>Vlastnictví bytů – kondominium</w:t>
      </w:r>
      <w:r w:rsidRPr="0046268F">
        <w:t>. s. 84.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37ABE"/>
    <w:multiLevelType w:val="multilevel"/>
    <w:tmpl w:val="4456EE92"/>
    <w:lvl w:ilvl="0">
      <w:start w:val="1"/>
      <w:numFmt w:val="decimal"/>
      <w:lvlText w:val="%1."/>
      <w:lvlJc w:val="left"/>
      <w:pPr>
        <w:ind w:left="720" w:hanging="360"/>
      </w:pPr>
      <w:rPr>
        <w:rFonts w:ascii="Times New Roman" w:eastAsiaTheme="majorEastAsia" w:hAnsi="Times New Roman" w:cs="Times New Roman"/>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 w15:restartNumberingAfterBreak="0">
    <w:nsid w:val="1AF25CAB"/>
    <w:multiLevelType w:val="hybridMultilevel"/>
    <w:tmpl w:val="D020EBC6"/>
    <w:lvl w:ilvl="0" w:tplc="0405000F">
      <w:start w:val="1"/>
      <w:numFmt w:val="decimal"/>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2" w15:restartNumberingAfterBreak="0">
    <w:nsid w:val="663A0F40"/>
    <w:multiLevelType w:val="multilevel"/>
    <w:tmpl w:val="DC0C71C2"/>
    <w:lvl w:ilvl="0">
      <w:start w:val="1"/>
      <w:numFmt w:val="decimal"/>
      <w:pStyle w:val="Nadpis1"/>
      <w:lvlText w:val="%1"/>
      <w:lvlJc w:val="left"/>
      <w:pPr>
        <w:ind w:left="4543" w:hanging="432"/>
      </w:pPr>
      <w:rPr>
        <w:rFonts w:hint="default"/>
      </w:rPr>
    </w:lvl>
    <w:lvl w:ilvl="1">
      <w:start w:val="1"/>
      <w:numFmt w:val="decimal"/>
      <w:pStyle w:val="Nadpis2"/>
      <w:lvlText w:val="%1.%2"/>
      <w:lvlJc w:val="left"/>
      <w:pPr>
        <w:ind w:left="5254" w:hanging="576"/>
      </w:pPr>
      <w:rPr>
        <w:rFonts w:hint="default"/>
      </w:rPr>
    </w:lvl>
    <w:lvl w:ilvl="2">
      <w:start w:val="1"/>
      <w:numFmt w:val="decimal"/>
      <w:pStyle w:val="Nadpis3"/>
      <w:lvlText w:val="%1.%2.%3"/>
      <w:lvlJc w:val="left"/>
      <w:pPr>
        <w:ind w:left="720" w:hanging="720"/>
      </w:pPr>
      <w:rPr>
        <w:rFonts w:hint="default"/>
        <w:i w:val="0"/>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FF5"/>
    <w:rsid w:val="000063DF"/>
    <w:rsid w:val="00007F3C"/>
    <w:rsid w:val="0001233F"/>
    <w:rsid w:val="00012C1F"/>
    <w:rsid w:val="000133EB"/>
    <w:rsid w:val="00016941"/>
    <w:rsid w:val="00017A42"/>
    <w:rsid w:val="000246E7"/>
    <w:rsid w:val="00024819"/>
    <w:rsid w:val="00026FDC"/>
    <w:rsid w:val="000301DD"/>
    <w:rsid w:val="00030D9D"/>
    <w:rsid w:val="00036AFF"/>
    <w:rsid w:val="00043676"/>
    <w:rsid w:val="000442B0"/>
    <w:rsid w:val="000456B4"/>
    <w:rsid w:val="00047AF8"/>
    <w:rsid w:val="00054BC5"/>
    <w:rsid w:val="00055941"/>
    <w:rsid w:val="000562A8"/>
    <w:rsid w:val="00056A2D"/>
    <w:rsid w:val="000602C6"/>
    <w:rsid w:val="000618C9"/>
    <w:rsid w:val="00062790"/>
    <w:rsid w:val="0007472E"/>
    <w:rsid w:val="0008288F"/>
    <w:rsid w:val="00085902"/>
    <w:rsid w:val="00091C44"/>
    <w:rsid w:val="00093A18"/>
    <w:rsid w:val="000954C1"/>
    <w:rsid w:val="00096FF1"/>
    <w:rsid w:val="000A6BD5"/>
    <w:rsid w:val="000B20F4"/>
    <w:rsid w:val="000B34D6"/>
    <w:rsid w:val="000C2AD3"/>
    <w:rsid w:val="000C3518"/>
    <w:rsid w:val="000D0A4D"/>
    <w:rsid w:val="000D2CE6"/>
    <w:rsid w:val="000F0295"/>
    <w:rsid w:val="000F4F77"/>
    <w:rsid w:val="000F5F5F"/>
    <w:rsid w:val="000F6769"/>
    <w:rsid w:val="0010006F"/>
    <w:rsid w:val="001001EC"/>
    <w:rsid w:val="0010025C"/>
    <w:rsid w:val="00107328"/>
    <w:rsid w:val="00116122"/>
    <w:rsid w:val="00123378"/>
    <w:rsid w:val="00123BB2"/>
    <w:rsid w:val="001344E3"/>
    <w:rsid w:val="001353E1"/>
    <w:rsid w:val="00135FC1"/>
    <w:rsid w:val="00140D00"/>
    <w:rsid w:val="00142328"/>
    <w:rsid w:val="00146452"/>
    <w:rsid w:val="0014699D"/>
    <w:rsid w:val="001474DB"/>
    <w:rsid w:val="001475D9"/>
    <w:rsid w:val="001613FD"/>
    <w:rsid w:val="00171270"/>
    <w:rsid w:val="00175C5C"/>
    <w:rsid w:val="00180E28"/>
    <w:rsid w:val="00183479"/>
    <w:rsid w:val="0018645B"/>
    <w:rsid w:val="00186575"/>
    <w:rsid w:val="00186ED7"/>
    <w:rsid w:val="0019024D"/>
    <w:rsid w:val="001966C7"/>
    <w:rsid w:val="001972AD"/>
    <w:rsid w:val="0019731E"/>
    <w:rsid w:val="001A6616"/>
    <w:rsid w:val="001B12F8"/>
    <w:rsid w:val="001B3876"/>
    <w:rsid w:val="001B53D6"/>
    <w:rsid w:val="001B6D48"/>
    <w:rsid w:val="001B7148"/>
    <w:rsid w:val="001C14A8"/>
    <w:rsid w:val="001C2CF1"/>
    <w:rsid w:val="001C776B"/>
    <w:rsid w:val="001C77A9"/>
    <w:rsid w:val="001D1CFA"/>
    <w:rsid w:val="001D2C7A"/>
    <w:rsid w:val="001D3F40"/>
    <w:rsid w:val="001D5FBA"/>
    <w:rsid w:val="001E21E3"/>
    <w:rsid w:val="001E6C99"/>
    <w:rsid w:val="001F2242"/>
    <w:rsid w:val="001F6562"/>
    <w:rsid w:val="00203FCB"/>
    <w:rsid w:val="00205A7F"/>
    <w:rsid w:val="00207BAC"/>
    <w:rsid w:val="0021510F"/>
    <w:rsid w:val="0021552F"/>
    <w:rsid w:val="00216FC0"/>
    <w:rsid w:val="002172BE"/>
    <w:rsid w:val="0022239B"/>
    <w:rsid w:val="00227109"/>
    <w:rsid w:val="00231A4F"/>
    <w:rsid w:val="002334AE"/>
    <w:rsid w:val="002352AE"/>
    <w:rsid w:val="00241EB1"/>
    <w:rsid w:val="002447B6"/>
    <w:rsid w:val="00250D3C"/>
    <w:rsid w:val="00254E59"/>
    <w:rsid w:val="002558B4"/>
    <w:rsid w:val="00255E3D"/>
    <w:rsid w:val="002574C7"/>
    <w:rsid w:val="00257908"/>
    <w:rsid w:val="0026219F"/>
    <w:rsid w:val="002700D1"/>
    <w:rsid w:val="002763C8"/>
    <w:rsid w:val="00285083"/>
    <w:rsid w:val="00286BB4"/>
    <w:rsid w:val="00295BF5"/>
    <w:rsid w:val="002A1057"/>
    <w:rsid w:val="002A122D"/>
    <w:rsid w:val="002A7485"/>
    <w:rsid w:val="002B37A3"/>
    <w:rsid w:val="002B6211"/>
    <w:rsid w:val="002C1188"/>
    <w:rsid w:val="002C20B4"/>
    <w:rsid w:val="002C2C01"/>
    <w:rsid w:val="002C36B3"/>
    <w:rsid w:val="002C6ACD"/>
    <w:rsid w:val="002C7318"/>
    <w:rsid w:val="002D758A"/>
    <w:rsid w:val="002D7E47"/>
    <w:rsid w:val="002E4098"/>
    <w:rsid w:val="002F0AC8"/>
    <w:rsid w:val="002F118A"/>
    <w:rsid w:val="002F4F8A"/>
    <w:rsid w:val="002F60E0"/>
    <w:rsid w:val="00300088"/>
    <w:rsid w:val="003015BE"/>
    <w:rsid w:val="00301EAA"/>
    <w:rsid w:val="00305F0C"/>
    <w:rsid w:val="00306918"/>
    <w:rsid w:val="0031042F"/>
    <w:rsid w:val="00311A58"/>
    <w:rsid w:val="00314FCD"/>
    <w:rsid w:val="00316243"/>
    <w:rsid w:val="00317EAF"/>
    <w:rsid w:val="00322A16"/>
    <w:rsid w:val="003454F4"/>
    <w:rsid w:val="00352593"/>
    <w:rsid w:val="00362CF4"/>
    <w:rsid w:val="003633D6"/>
    <w:rsid w:val="00374A9A"/>
    <w:rsid w:val="00374D53"/>
    <w:rsid w:val="00383728"/>
    <w:rsid w:val="00383CE8"/>
    <w:rsid w:val="0039036A"/>
    <w:rsid w:val="00393743"/>
    <w:rsid w:val="003940B3"/>
    <w:rsid w:val="00395182"/>
    <w:rsid w:val="003A6F7C"/>
    <w:rsid w:val="003B676F"/>
    <w:rsid w:val="003D30A0"/>
    <w:rsid w:val="003E6AB8"/>
    <w:rsid w:val="003E74CA"/>
    <w:rsid w:val="003F0669"/>
    <w:rsid w:val="003F351F"/>
    <w:rsid w:val="003F6D43"/>
    <w:rsid w:val="004026E5"/>
    <w:rsid w:val="00403E7C"/>
    <w:rsid w:val="00405692"/>
    <w:rsid w:val="00421DB2"/>
    <w:rsid w:val="00441C1B"/>
    <w:rsid w:val="00442A18"/>
    <w:rsid w:val="004445D6"/>
    <w:rsid w:val="004456B0"/>
    <w:rsid w:val="00450ED1"/>
    <w:rsid w:val="00452ADC"/>
    <w:rsid w:val="00457C7D"/>
    <w:rsid w:val="0046268F"/>
    <w:rsid w:val="00462A4A"/>
    <w:rsid w:val="00463FEE"/>
    <w:rsid w:val="004706D0"/>
    <w:rsid w:val="0047082A"/>
    <w:rsid w:val="00475854"/>
    <w:rsid w:val="004762EE"/>
    <w:rsid w:val="00482DC9"/>
    <w:rsid w:val="00490F67"/>
    <w:rsid w:val="00496D10"/>
    <w:rsid w:val="004A0BAE"/>
    <w:rsid w:val="004A46A0"/>
    <w:rsid w:val="004A747F"/>
    <w:rsid w:val="004B21B5"/>
    <w:rsid w:val="004B6972"/>
    <w:rsid w:val="004D4D85"/>
    <w:rsid w:val="004E0DC7"/>
    <w:rsid w:val="004E2A15"/>
    <w:rsid w:val="004E314C"/>
    <w:rsid w:val="004E3E43"/>
    <w:rsid w:val="004E4D58"/>
    <w:rsid w:val="004E5E0B"/>
    <w:rsid w:val="004E5F5F"/>
    <w:rsid w:val="004F3F78"/>
    <w:rsid w:val="004F49D8"/>
    <w:rsid w:val="004F5419"/>
    <w:rsid w:val="004F5E0F"/>
    <w:rsid w:val="00501699"/>
    <w:rsid w:val="00503682"/>
    <w:rsid w:val="00506EC8"/>
    <w:rsid w:val="00520570"/>
    <w:rsid w:val="00522E9D"/>
    <w:rsid w:val="0052441A"/>
    <w:rsid w:val="00524D13"/>
    <w:rsid w:val="005322E3"/>
    <w:rsid w:val="005379AF"/>
    <w:rsid w:val="00537DEE"/>
    <w:rsid w:val="00541FD9"/>
    <w:rsid w:val="00542457"/>
    <w:rsid w:val="005434BD"/>
    <w:rsid w:val="00544249"/>
    <w:rsid w:val="00554745"/>
    <w:rsid w:val="00571DDA"/>
    <w:rsid w:val="00572890"/>
    <w:rsid w:val="00574877"/>
    <w:rsid w:val="00576629"/>
    <w:rsid w:val="005776CE"/>
    <w:rsid w:val="005833AF"/>
    <w:rsid w:val="005850F3"/>
    <w:rsid w:val="005959A4"/>
    <w:rsid w:val="005A16E3"/>
    <w:rsid w:val="005A4A43"/>
    <w:rsid w:val="005B0117"/>
    <w:rsid w:val="005B02DE"/>
    <w:rsid w:val="005B2467"/>
    <w:rsid w:val="005B5C30"/>
    <w:rsid w:val="005C28DF"/>
    <w:rsid w:val="005C576E"/>
    <w:rsid w:val="005D0955"/>
    <w:rsid w:val="005D656F"/>
    <w:rsid w:val="005D7B95"/>
    <w:rsid w:val="005E65D6"/>
    <w:rsid w:val="005F2A2E"/>
    <w:rsid w:val="005F38BA"/>
    <w:rsid w:val="005F519F"/>
    <w:rsid w:val="006001B6"/>
    <w:rsid w:val="00600B52"/>
    <w:rsid w:val="00605476"/>
    <w:rsid w:val="00606EE2"/>
    <w:rsid w:val="006072D2"/>
    <w:rsid w:val="0061021E"/>
    <w:rsid w:val="00610CA1"/>
    <w:rsid w:val="00616409"/>
    <w:rsid w:val="006223F6"/>
    <w:rsid w:val="006226B5"/>
    <w:rsid w:val="006372B6"/>
    <w:rsid w:val="006373FD"/>
    <w:rsid w:val="00640100"/>
    <w:rsid w:val="00640B42"/>
    <w:rsid w:val="006411C2"/>
    <w:rsid w:val="00641600"/>
    <w:rsid w:val="006473FA"/>
    <w:rsid w:val="006505E7"/>
    <w:rsid w:val="00660962"/>
    <w:rsid w:val="00662CE1"/>
    <w:rsid w:val="00666957"/>
    <w:rsid w:val="00671584"/>
    <w:rsid w:val="00673C6E"/>
    <w:rsid w:val="00682E15"/>
    <w:rsid w:val="006834A1"/>
    <w:rsid w:val="00683981"/>
    <w:rsid w:val="006841EE"/>
    <w:rsid w:val="0068672F"/>
    <w:rsid w:val="00693269"/>
    <w:rsid w:val="006972DF"/>
    <w:rsid w:val="006A200B"/>
    <w:rsid w:val="006A3BCD"/>
    <w:rsid w:val="006A6B53"/>
    <w:rsid w:val="006A7247"/>
    <w:rsid w:val="006B2128"/>
    <w:rsid w:val="006B6E85"/>
    <w:rsid w:val="006C378C"/>
    <w:rsid w:val="006C7289"/>
    <w:rsid w:val="006D00A8"/>
    <w:rsid w:val="006D2988"/>
    <w:rsid w:val="006D2AB4"/>
    <w:rsid w:val="006D4FF3"/>
    <w:rsid w:val="006D6E9E"/>
    <w:rsid w:val="006E5134"/>
    <w:rsid w:val="006E51B5"/>
    <w:rsid w:val="006F2DE7"/>
    <w:rsid w:val="006F5065"/>
    <w:rsid w:val="00707D4B"/>
    <w:rsid w:val="00716403"/>
    <w:rsid w:val="00717D46"/>
    <w:rsid w:val="0072018B"/>
    <w:rsid w:val="00722AD6"/>
    <w:rsid w:val="00722C12"/>
    <w:rsid w:val="00733E09"/>
    <w:rsid w:val="00737468"/>
    <w:rsid w:val="00741D54"/>
    <w:rsid w:val="00742652"/>
    <w:rsid w:val="007433F0"/>
    <w:rsid w:val="0074664F"/>
    <w:rsid w:val="00746E82"/>
    <w:rsid w:val="007479FD"/>
    <w:rsid w:val="0075003F"/>
    <w:rsid w:val="00752E23"/>
    <w:rsid w:val="00754B10"/>
    <w:rsid w:val="00755985"/>
    <w:rsid w:val="00766BFB"/>
    <w:rsid w:val="00770BB1"/>
    <w:rsid w:val="00777C9D"/>
    <w:rsid w:val="00785A52"/>
    <w:rsid w:val="0078673E"/>
    <w:rsid w:val="007913AE"/>
    <w:rsid w:val="007929AF"/>
    <w:rsid w:val="007958EC"/>
    <w:rsid w:val="007A1927"/>
    <w:rsid w:val="007A39FE"/>
    <w:rsid w:val="007A41D2"/>
    <w:rsid w:val="007A6663"/>
    <w:rsid w:val="007A73B3"/>
    <w:rsid w:val="007B0149"/>
    <w:rsid w:val="007B10BE"/>
    <w:rsid w:val="007B6D23"/>
    <w:rsid w:val="007B7785"/>
    <w:rsid w:val="007C02E7"/>
    <w:rsid w:val="007C4B62"/>
    <w:rsid w:val="007C6264"/>
    <w:rsid w:val="007C6664"/>
    <w:rsid w:val="007C670D"/>
    <w:rsid w:val="007D77A1"/>
    <w:rsid w:val="007D79A7"/>
    <w:rsid w:val="007D7A3A"/>
    <w:rsid w:val="007E616B"/>
    <w:rsid w:val="007F41D7"/>
    <w:rsid w:val="007F580A"/>
    <w:rsid w:val="0080190E"/>
    <w:rsid w:val="00803758"/>
    <w:rsid w:val="008116E9"/>
    <w:rsid w:val="00815255"/>
    <w:rsid w:val="008215DC"/>
    <w:rsid w:val="0082656A"/>
    <w:rsid w:val="0083208F"/>
    <w:rsid w:val="00840469"/>
    <w:rsid w:val="008439DA"/>
    <w:rsid w:val="00845440"/>
    <w:rsid w:val="00855986"/>
    <w:rsid w:val="00862F54"/>
    <w:rsid w:val="00863A72"/>
    <w:rsid w:val="00871604"/>
    <w:rsid w:val="00872680"/>
    <w:rsid w:val="008729F1"/>
    <w:rsid w:val="00881AC2"/>
    <w:rsid w:val="0089166A"/>
    <w:rsid w:val="008923B5"/>
    <w:rsid w:val="008A1037"/>
    <w:rsid w:val="008A1BCA"/>
    <w:rsid w:val="008A7E1A"/>
    <w:rsid w:val="008A7EA4"/>
    <w:rsid w:val="008B64B9"/>
    <w:rsid w:val="008C51DB"/>
    <w:rsid w:val="008D3965"/>
    <w:rsid w:val="008E0A85"/>
    <w:rsid w:val="008F32E6"/>
    <w:rsid w:val="00900CB0"/>
    <w:rsid w:val="009046C5"/>
    <w:rsid w:val="009052CD"/>
    <w:rsid w:val="009061B6"/>
    <w:rsid w:val="00907C78"/>
    <w:rsid w:val="00911F80"/>
    <w:rsid w:val="00911FF5"/>
    <w:rsid w:val="0091697A"/>
    <w:rsid w:val="00917537"/>
    <w:rsid w:val="00933370"/>
    <w:rsid w:val="0093584A"/>
    <w:rsid w:val="009377D5"/>
    <w:rsid w:val="009500E8"/>
    <w:rsid w:val="00951B33"/>
    <w:rsid w:val="009527D5"/>
    <w:rsid w:val="00952A48"/>
    <w:rsid w:val="00954A7F"/>
    <w:rsid w:val="00956221"/>
    <w:rsid w:val="00956CA1"/>
    <w:rsid w:val="00961152"/>
    <w:rsid w:val="00972325"/>
    <w:rsid w:val="00974FBD"/>
    <w:rsid w:val="009762B3"/>
    <w:rsid w:val="0097734E"/>
    <w:rsid w:val="009813EE"/>
    <w:rsid w:val="009825B2"/>
    <w:rsid w:val="0098263A"/>
    <w:rsid w:val="00983970"/>
    <w:rsid w:val="00984CF2"/>
    <w:rsid w:val="00986C53"/>
    <w:rsid w:val="00995B35"/>
    <w:rsid w:val="00996386"/>
    <w:rsid w:val="009964B4"/>
    <w:rsid w:val="009A24E5"/>
    <w:rsid w:val="009B3CF1"/>
    <w:rsid w:val="009C74EC"/>
    <w:rsid w:val="009D1727"/>
    <w:rsid w:val="009D193C"/>
    <w:rsid w:val="009E0EF4"/>
    <w:rsid w:val="009E59DA"/>
    <w:rsid w:val="009F7CEB"/>
    <w:rsid w:val="00A01D5C"/>
    <w:rsid w:val="00A058E8"/>
    <w:rsid w:val="00A13D67"/>
    <w:rsid w:val="00A13E89"/>
    <w:rsid w:val="00A1412F"/>
    <w:rsid w:val="00A26F63"/>
    <w:rsid w:val="00A369F6"/>
    <w:rsid w:val="00A373C6"/>
    <w:rsid w:val="00A375DE"/>
    <w:rsid w:val="00A47DE8"/>
    <w:rsid w:val="00A533CC"/>
    <w:rsid w:val="00A60C25"/>
    <w:rsid w:val="00A64678"/>
    <w:rsid w:val="00A64DEF"/>
    <w:rsid w:val="00A6737E"/>
    <w:rsid w:val="00A737F0"/>
    <w:rsid w:val="00A73974"/>
    <w:rsid w:val="00A74AAD"/>
    <w:rsid w:val="00A7593E"/>
    <w:rsid w:val="00A76238"/>
    <w:rsid w:val="00A8029E"/>
    <w:rsid w:val="00A81501"/>
    <w:rsid w:val="00A903B2"/>
    <w:rsid w:val="00AA3EFA"/>
    <w:rsid w:val="00AB08B6"/>
    <w:rsid w:val="00AC17F4"/>
    <w:rsid w:val="00AC1F31"/>
    <w:rsid w:val="00AC7986"/>
    <w:rsid w:val="00AD1D0B"/>
    <w:rsid w:val="00AD538E"/>
    <w:rsid w:val="00AE0F43"/>
    <w:rsid w:val="00AE5A6A"/>
    <w:rsid w:val="00AE6ED1"/>
    <w:rsid w:val="00AE7AF6"/>
    <w:rsid w:val="00AF003C"/>
    <w:rsid w:val="00AF09ED"/>
    <w:rsid w:val="00AF4D18"/>
    <w:rsid w:val="00B03E26"/>
    <w:rsid w:val="00B06C05"/>
    <w:rsid w:val="00B07D08"/>
    <w:rsid w:val="00B13097"/>
    <w:rsid w:val="00B13B3C"/>
    <w:rsid w:val="00B14EAB"/>
    <w:rsid w:val="00B15F81"/>
    <w:rsid w:val="00B16A37"/>
    <w:rsid w:val="00B2034B"/>
    <w:rsid w:val="00B23F9D"/>
    <w:rsid w:val="00B2653A"/>
    <w:rsid w:val="00B375D3"/>
    <w:rsid w:val="00B37803"/>
    <w:rsid w:val="00B40658"/>
    <w:rsid w:val="00B40B08"/>
    <w:rsid w:val="00B40F53"/>
    <w:rsid w:val="00B43428"/>
    <w:rsid w:val="00B43651"/>
    <w:rsid w:val="00B44363"/>
    <w:rsid w:val="00B44AB2"/>
    <w:rsid w:val="00B44CC3"/>
    <w:rsid w:val="00B46FBF"/>
    <w:rsid w:val="00B47220"/>
    <w:rsid w:val="00B479F1"/>
    <w:rsid w:val="00B50B06"/>
    <w:rsid w:val="00B51D8A"/>
    <w:rsid w:val="00B52AAE"/>
    <w:rsid w:val="00B5418B"/>
    <w:rsid w:val="00B54381"/>
    <w:rsid w:val="00B55DE8"/>
    <w:rsid w:val="00B56644"/>
    <w:rsid w:val="00B5760F"/>
    <w:rsid w:val="00B71885"/>
    <w:rsid w:val="00B731A8"/>
    <w:rsid w:val="00B76D14"/>
    <w:rsid w:val="00B801DE"/>
    <w:rsid w:val="00B82447"/>
    <w:rsid w:val="00B83843"/>
    <w:rsid w:val="00B91527"/>
    <w:rsid w:val="00B94DE4"/>
    <w:rsid w:val="00B9694C"/>
    <w:rsid w:val="00B96D57"/>
    <w:rsid w:val="00B974E5"/>
    <w:rsid w:val="00BA18CC"/>
    <w:rsid w:val="00BA5D58"/>
    <w:rsid w:val="00BA7530"/>
    <w:rsid w:val="00BB0DD6"/>
    <w:rsid w:val="00BB23C7"/>
    <w:rsid w:val="00BB6B15"/>
    <w:rsid w:val="00BB7580"/>
    <w:rsid w:val="00BC454C"/>
    <w:rsid w:val="00BE7076"/>
    <w:rsid w:val="00BF5C0C"/>
    <w:rsid w:val="00BF73DF"/>
    <w:rsid w:val="00C004C4"/>
    <w:rsid w:val="00C01054"/>
    <w:rsid w:val="00C03EB0"/>
    <w:rsid w:val="00C0425A"/>
    <w:rsid w:val="00C10239"/>
    <w:rsid w:val="00C11A3C"/>
    <w:rsid w:val="00C12A61"/>
    <w:rsid w:val="00C16D77"/>
    <w:rsid w:val="00C31BD9"/>
    <w:rsid w:val="00C37BD4"/>
    <w:rsid w:val="00C44834"/>
    <w:rsid w:val="00C452BF"/>
    <w:rsid w:val="00C4634B"/>
    <w:rsid w:val="00C57002"/>
    <w:rsid w:val="00C57400"/>
    <w:rsid w:val="00C57845"/>
    <w:rsid w:val="00C613CE"/>
    <w:rsid w:val="00C6330F"/>
    <w:rsid w:val="00C652C3"/>
    <w:rsid w:val="00C67697"/>
    <w:rsid w:val="00C708D7"/>
    <w:rsid w:val="00C76AE6"/>
    <w:rsid w:val="00C80D6C"/>
    <w:rsid w:val="00C80EF9"/>
    <w:rsid w:val="00C82D71"/>
    <w:rsid w:val="00C84873"/>
    <w:rsid w:val="00C9178A"/>
    <w:rsid w:val="00CA6517"/>
    <w:rsid w:val="00CB5C0B"/>
    <w:rsid w:val="00CB6909"/>
    <w:rsid w:val="00CC299A"/>
    <w:rsid w:val="00CD6207"/>
    <w:rsid w:val="00CE02E6"/>
    <w:rsid w:val="00CE0BEF"/>
    <w:rsid w:val="00CE602F"/>
    <w:rsid w:val="00CF2202"/>
    <w:rsid w:val="00CF655B"/>
    <w:rsid w:val="00D03333"/>
    <w:rsid w:val="00D0550E"/>
    <w:rsid w:val="00D14C00"/>
    <w:rsid w:val="00D26ED9"/>
    <w:rsid w:val="00D27CA5"/>
    <w:rsid w:val="00D3180F"/>
    <w:rsid w:val="00D318D9"/>
    <w:rsid w:val="00D3587E"/>
    <w:rsid w:val="00D363C1"/>
    <w:rsid w:val="00D36B96"/>
    <w:rsid w:val="00D43038"/>
    <w:rsid w:val="00D438F7"/>
    <w:rsid w:val="00D44DB4"/>
    <w:rsid w:val="00D60EF1"/>
    <w:rsid w:val="00D7649E"/>
    <w:rsid w:val="00D801B3"/>
    <w:rsid w:val="00D820E1"/>
    <w:rsid w:val="00D83FA4"/>
    <w:rsid w:val="00D85FAF"/>
    <w:rsid w:val="00D9493F"/>
    <w:rsid w:val="00DA08C9"/>
    <w:rsid w:val="00DA0A3F"/>
    <w:rsid w:val="00DA0E8A"/>
    <w:rsid w:val="00DA42D6"/>
    <w:rsid w:val="00DA4B1F"/>
    <w:rsid w:val="00DB1D3A"/>
    <w:rsid w:val="00DB3BE2"/>
    <w:rsid w:val="00DB500C"/>
    <w:rsid w:val="00DC0440"/>
    <w:rsid w:val="00DC39CD"/>
    <w:rsid w:val="00DC51B7"/>
    <w:rsid w:val="00DC5B6F"/>
    <w:rsid w:val="00DD07F5"/>
    <w:rsid w:val="00DE24C8"/>
    <w:rsid w:val="00DF33D2"/>
    <w:rsid w:val="00DF6A01"/>
    <w:rsid w:val="00E03FCF"/>
    <w:rsid w:val="00E04344"/>
    <w:rsid w:val="00E05371"/>
    <w:rsid w:val="00E23AE6"/>
    <w:rsid w:val="00E23F19"/>
    <w:rsid w:val="00E25FDC"/>
    <w:rsid w:val="00E2655A"/>
    <w:rsid w:val="00E27149"/>
    <w:rsid w:val="00E2783F"/>
    <w:rsid w:val="00E37E93"/>
    <w:rsid w:val="00E41452"/>
    <w:rsid w:val="00E461C5"/>
    <w:rsid w:val="00E518BB"/>
    <w:rsid w:val="00E56A3D"/>
    <w:rsid w:val="00E6145F"/>
    <w:rsid w:val="00E661E5"/>
    <w:rsid w:val="00E8101E"/>
    <w:rsid w:val="00E8589C"/>
    <w:rsid w:val="00E8624B"/>
    <w:rsid w:val="00E92C16"/>
    <w:rsid w:val="00EA29E9"/>
    <w:rsid w:val="00EB4855"/>
    <w:rsid w:val="00EB5D7A"/>
    <w:rsid w:val="00EC1FF1"/>
    <w:rsid w:val="00EC2D66"/>
    <w:rsid w:val="00EC4A97"/>
    <w:rsid w:val="00ED483F"/>
    <w:rsid w:val="00EF27D3"/>
    <w:rsid w:val="00EF41A3"/>
    <w:rsid w:val="00EF5C33"/>
    <w:rsid w:val="00F0340C"/>
    <w:rsid w:val="00F07060"/>
    <w:rsid w:val="00F117B6"/>
    <w:rsid w:val="00F13C9D"/>
    <w:rsid w:val="00F17986"/>
    <w:rsid w:val="00F216C6"/>
    <w:rsid w:val="00F302BB"/>
    <w:rsid w:val="00F30EDD"/>
    <w:rsid w:val="00F326B3"/>
    <w:rsid w:val="00F3729E"/>
    <w:rsid w:val="00F44673"/>
    <w:rsid w:val="00F4632B"/>
    <w:rsid w:val="00F57AF7"/>
    <w:rsid w:val="00F60425"/>
    <w:rsid w:val="00F631F3"/>
    <w:rsid w:val="00F6576D"/>
    <w:rsid w:val="00F66C01"/>
    <w:rsid w:val="00F70964"/>
    <w:rsid w:val="00F82B73"/>
    <w:rsid w:val="00F84755"/>
    <w:rsid w:val="00F85172"/>
    <w:rsid w:val="00F92A34"/>
    <w:rsid w:val="00F97BFF"/>
    <w:rsid w:val="00FA4B3B"/>
    <w:rsid w:val="00FB01BD"/>
    <w:rsid w:val="00FB07CB"/>
    <w:rsid w:val="00FB5C71"/>
    <w:rsid w:val="00FC235E"/>
    <w:rsid w:val="00FC2AA3"/>
    <w:rsid w:val="00FC4875"/>
    <w:rsid w:val="00FC7D3F"/>
    <w:rsid w:val="00FD4610"/>
    <w:rsid w:val="00FD5458"/>
    <w:rsid w:val="00FD671E"/>
    <w:rsid w:val="00FD74EE"/>
    <w:rsid w:val="00FE4798"/>
    <w:rsid w:val="00FE47C0"/>
    <w:rsid w:val="00FE4E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D123F"/>
  <w15:docId w15:val="{4901D514-60C5-4D3F-95A9-C8294D6F1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aliases w:val="Standardní odstavec"/>
    <w:qFormat/>
    <w:rsid w:val="00911FF5"/>
    <w:pPr>
      <w:spacing w:after="0" w:line="360" w:lineRule="auto"/>
      <w:ind w:firstLine="567"/>
      <w:jc w:val="both"/>
    </w:pPr>
    <w:rPr>
      <w:rFonts w:ascii="Garamond" w:hAnsi="Garamond"/>
      <w:sz w:val="24"/>
    </w:rPr>
  </w:style>
  <w:style w:type="paragraph" w:styleId="Nadpis1">
    <w:name w:val="heading 1"/>
    <w:basedOn w:val="Normln"/>
    <w:next w:val="Normln"/>
    <w:link w:val="Nadpis1Char"/>
    <w:uiPriority w:val="9"/>
    <w:qFormat/>
    <w:rsid w:val="00911FF5"/>
    <w:pPr>
      <w:keepNext/>
      <w:keepLines/>
      <w:numPr>
        <w:numId w:val="1"/>
      </w:numPr>
      <w:spacing w:before="240" w:after="120" w:line="240" w:lineRule="auto"/>
      <w:ind w:left="432"/>
      <w:outlineLvl w:val="0"/>
    </w:pPr>
    <w:rPr>
      <w:rFonts w:eastAsiaTheme="majorEastAsia" w:cstheme="majorBidi"/>
      <w:b/>
      <w:bCs/>
      <w:color w:val="000000" w:themeColor="text1"/>
      <w:sz w:val="32"/>
      <w:szCs w:val="28"/>
    </w:rPr>
  </w:style>
  <w:style w:type="paragraph" w:styleId="Nadpis2">
    <w:name w:val="heading 2"/>
    <w:basedOn w:val="Normln"/>
    <w:next w:val="Normln"/>
    <w:link w:val="Nadpis2Char"/>
    <w:uiPriority w:val="9"/>
    <w:qFormat/>
    <w:rsid w:val="00911FF5"/>
    <w:pPr>
      <w:keepNext/>
      <w:keepLines/>
      <w:numPr>
        <w:ilvl w:val="1"/>
        <w:numId w:val="1"/>
      </w:numPr>
      <w:spacing w:before="240" w:after="120" w:line="240" w:lineRule="auto"/>
      <w:ind w:left="576"/>
      <w:outlineLvl w:val="1"/>
    </w:pPr>
    <w:rPr>
      <w:rFonts w:eastAsiaTheme="majorEastAsia" w:cstheme="majorBidi"/>
      <w:b/>
      <w:bCs/>
      <w:color w:val="000000" w:themeColor="text1"/>
      <w:sz w:val="28"/>
      <w:szCs w:val="26"/>
    </w:rPr>
  </w:style>
  <w:style w:type="paragraph" w:styleId="Nadpis3">
    <w:name w:val="heading 3"/>
    <w:basedOn w:val="Normln"/>
    <w:next w:val="Normln"/>
    <w:link w:val="Nadpis3Char"/>
    <w:uiPriority w:val="9"/>
    <w:qFormat/>
    <w:rsid w:val="00911FF5"/>
    <w:pPr>
      <w:keepNext/>
      <w:keepLines/>
      <w:numPr>
        <w:ilvl w:val="2"/>
        <w:numId w:val="1"/>
      </w:numPr>
      <w:spacing w:before="240" w:after="120" w:line="240" w:lineRule="auto"/>
      <w:jc w:val="left"/>
      <w:outlineLvl w:val="2"/>
    </w:pPr>
    <w:rPr>
      <w:rFonts w:eastAsiaTheme="majorEastAsia" w:cstheme="majorBidi"/>
      <w:b/>
      <w:bCs/>
      <w:color w:val="000000" w:themeColor="text1"/>
    </w:rPr>
  </w:style>
  <w:style w:type="paragraph" w:styleId="Nadpis4">
    <w:name w:val="heading 4"/>
    <w:basedOn w:val="Normln"/>
    <w:next w:val="Normln"/>
    <w:link w:val="Nadpis4Char"/>
    <w:uiPriority w:val="9"/>
    <w:semiHidden/>
    <w:rsid w:val="00911FF5"/>
    <w:pPr>
      <w:keepNext/>
      <w:keepLines/>
      <w:numPr>
        <w:ilvl w:val="3"/>
        <w:numId w:val="1"/>
      </w:numPr>
      <w:spacing w:before="200"/>
      <w:outlineLvl w:val="3"/>
    </w:pPr>
    <w:rPr>
      <w:rFonts w:asciiTheme="majorHAnsi" w:eastAsiaTheme="majorEastAsia" w:hAnsiTheme="majorHAnsi" w:cstheme="majorBidi"/>
      <w:b/>
      <w:bCs/>
      <w:i/>
      <w:iCs/>
      <w:color w:val="5B9BD5" w:themeColor="accent1"/>
    </w:rPr>
  </w:style>
  <w:style w:type="paragraph" w:styleId="Nadpis5">
    <w:name w:val="heading 5"/>
    <w:basedOn w:val="Normln"/>
    <w:next w:val="Normln"/>
    <w:link w:val="Nadpis5Char"/>
    <w:uiPriority w:val="9"/>
    <w:semiHidden/>
    <w:rsid w:val="00911FF5"/>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
    <w:semiHidden/>
    <w:qFormat/>
    <w:rsid w:val="00911FF5"/>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9"/>
    <w:unhideWhenUsed/>
    <w:qFormat/>
    <w:rsid w:val="00911FF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911FF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qFormat/>
    <w:rsid w:val="00911FF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1FF5"/>
    <w:rPr>
      <w:rFonts w:ascii="Garamond" w:eastAsiaTheme="majorEastAsia" w:hAnsi="Garamond" w:cstheme="majorBidi"/>
      <w:b/>
      <w:bCs/>
      <w:color w:val="000000" w:themeColor="text1"/>
      <w:sz w:val="32"/>
      <w:szCs w:val="28"/>
    </w:rPr>
  </w:style>
  <w:style w:type="character" w:customStyle="1" w:styleId="Nadpis2Char">
    <w:name w:val="Nadpis 2 Char"/>
    <w:basedOn w:val="Standardnpsmoodstavce"/>
    <w:link w:val="Nadpis2"/>
    <w:uiPriority w:val="9"/>
    <w:rsid w:val="00911FF5"/>
    <w:rPr>
      <w:rFonts w:ascii="Garamond" w:eastAsiaTheme="majorEastAsia" w:hAnsi="Garamond" w:cstheme="majorBidi"/>
      <w:b/>
      <w:bCs/>
      <w:color w:val="000000" w:themeColor="text1"/>
      <w:sz w:val="28"/>
      <w:szCs w:val="26"/>
    </w:rPr>
  </w:style>
  <w:style w:type="character" w:customStyle="1" w:styleId="Nadpis3Char">
    <w:name w:val="Nadpis 3 Char"/>
    <w:basedOn w:val="Standardnpsmoodstavce"/>
    <w:link w:val="Nadpis3"/>
    <w:uiPriority w:val="9"/>
    <w:rsid w:val="00911FF5"/>
    <w:rPr>
      <w:rFonts w:ascii="Garamond" w:eastAsiaTheme="majorEastAsia" w:hAnsi="Garamond" w:cstheme="majorBidi"/>
      <w:b/>
      <w:bCs/>
      <w:color w:val="000000" w:themeColor="text1"/>
      <w:sz w:val="24"/>
    </w:rPr>
  </w:style>
  <w:style w:type="character" w:customStyle="1" w:styleId="Nadpis4Char">
    <w:name w:val="Nadpis 4 Char"/>
    <w:basedOn w:val="Standardnpsmoodstavce"/>
    <w:link w:val="Nadpis4"/>
    <w:uiPriority w:val="9"/>
    <w:semiHidden/>
    <w:rsid w:val="00911FF5"/>
    <w:rPr>
      <w:rFonts w:asciiTheme="majorHAnsi" w:eastAsiaTheme="majorEastAsia" w:hAnsiTheme="majorHAnsi" w:cstheme="majorBidi"/>
      <w:b/>
      <w:bCs/>
      <w:i/>
      <w:iCs/>
      <w:color w:val="5B9BD5" w:themeColor="accent1"/>
      <w:sz w:val="24"/>
    </w:rPr>
  </w:style>
  <w:style w:type="character" w:customStyle="1" w:styleId="Nadpis5Char">
    <w:name w:val="Nadpis 5 Char"/>
    <w:basedOn w:val="Standardnpsmoodstavce"/>
    <w:link w:val="Nadpis5"/>
    <w:uiPriority w:val="9"/>
    <w:semiHidden/>
    <w:rsid w:val="00911FF5"/>
    <w:rPr>
      <w:rFonts w:asciiTheme="majorHAnsi" w:eastAsiaTheme="majorEastAsia" w:hAnsiTheme="majorHAnsi" w:cstheme="majorBidi"/>
      <w:color w:val="1F4D78" w:themeColor="accent1" w:themeShade="7F"/>
      <w:sz w:val="24"/>
    </w:rPr>
  </w:style>
  <w:style w:type="character" w:customStyle="1" w:styleId="Nadpis6Char">
    <w:name w:val="Nadpis 6 Char"/>
    <w:basedOn w:val="Standardnpsmoodstavce"/>
    <w:link w:val="Nadpis6"/>
    <w:uiPriority w:val="9"/>
    <w:semiHidden/>
    <w:rsid w:val="00911FF5"/>
    <w:rPr>
      <w:rFonts w:asciiTheme="majorHAnsi" w:eastAsiaTheme="majorEastAsia" w:hAnsiTheme="majorHAnsi" w:cstheme="majorBidi"/>
      <w:i/>
      <w:iCs/>
      <w:color w:val="1F4D78" w:themeColor="accent1" w:themeShade="7F"/>
      <w:sz w:val="24"/>
    </w:rPr>
  </w:style>
  <w:style w:type="character" w:customStyle="1" w:styleId="Nadpis7Char">
    <w:name w:val="Nadpis 7 Char"/>
    <w:basedOn w:val="Standardnpsmoodstavce"/>
    <w:link w:val="Nadpis7"/>
    <w:uiPriority w:val="9"/>
    <w:rsid w:val="00911FF5"/>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rsid w:val="00911FF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rsid w:val="00911FF5"/>
    <w:rPr>
      <w:rFonts w:asciiTheme="majorHAnsi" w:eastAsiaTheme="majorEastAsia" w:hAnsiTheme="majorHAnsi" w:cstheme="majorBidi"/>
      <w:i/>
      <w:iCs/>
      <w:color w:val="404040" w:themeColor="text1" w:themeTint="BF"/>
      <w:sz w:val="20"/>
      <w:szCs w:val="20"/>
    </w:rPr>
  </w:style>
  <w:style w:type="paragraph" w:styleId="Textpoznpodarou">
    <w:name w:val="footnote text"/>
    <w:basedOn w:val="Normln"/>
    <w:link w:val="TextpoznpodarouChar"/>
    <w:uiPriority w:val="99"/>
    <w:unhideWhenUsed/>
    <w:rsid w:val="00911FF5"/>
    <w:pPr>
      <w:spacing w:line="240" w:lineRule="auto"/>
      <w:ind w:firstLine="0"/>
      <w:jc w:val="left"/>
    </w:pPr>
    <w:rPr>
      <w:sz w:val="20"/>
      <w:szCs w:val="20"/>
    </w:rPr>
  </w:style>
  <w:style w:type="character" w:customStyle="1" w:styleId="TextpoznpodarouChar">
    <w:name w:val="Text pozn. pod čarou Char"/>
    <w:basedOn w:val="Standardnpsmoodstavce"/>
    <w:link w:val="Textpoznpodarou"/>
    <w:uiPriority w:val="99"/>
    <w:rsid w:val="00911FF5"/>
    <w:rPr>
      <w:rFonts w:ascii="Garamond" w:hAnsi="Garamond"/>
      <w:sz w:val="20"/>
      <w:szCs w:val="20"/>
    </w:rPr>
  </w:style>
  <w:style w:type="character" w:styleId="Znakapoznpodarou">
    <w:name w:val="footnote reference"/>
    <w:basedOn w:val="Standardnpsmoodstavce"/>
    <w:uiPriority w:val="99"/>
    <w:semiHidden/>
    <w:unhideWhenUsed/>
    <w:rsid w:val="00911FF5"/>
    <w:rPr>
      <w:vertAlign w:val="superscript"/>
    </w:rPr>
  </w:style>
  <w:style w:type="paragraph" w:customStyle="1" w:styleId="Nadpismimoobsah">
    <w:name w:val="Nadpis mimo obsah"/>
    <w:basedOn w:val="Normln"/>
    <w:next w:val="Normln"/>
    <w:qFormat/>
    <w:rsid w:val="00911FF5"/>
    <w:pPr>
      <w:spacing w:line="240" w:lineRule="auto"/>
      <w:ind w:firstLine="0"/>
    </w:pPr>
    <w:rPr>
      <w:b/>
      <w:sz w:val="32"/>
    </w:rPr>
  </w:style>
  <w:style w:type="paragraph" w:styleId="Nadpisobsahu">
    <w:name w:val="TOC Heading"/>
    <w:basedOn w:val="Nadpis1"/>
    <w:next w:val="Normln"/>
    <w:uiPriority w:val="39"/>
    <w:unhideWhenUsed/>
    <w:qFormat/>
    <w:rsid w:val="00911FF5"/>
    <w:pPr>
      <w:numPr>
        <w:numId w:val="0"/>
      </w:numPr>
      <w:spacing w:before="480" w:after="0" w:line="276" w:lineRule="auto"/>
      <w:jc w:val="left"/>
      <w:outlineLvl w:val="9"/>
    </w:pPr>
    <w:rPr>
      <w:rFonts w:asciiTheme="majorHAnsi" w:hAnsiTheme="majorHAnsi"/>
      <w:color w:val="2E74B5" w:themeColor="accent1" w:themeShade="BF"/>
      <w:sz w:val="28"/>
    </w:rPr>
  </w:style>
  <w:style w:type="paragraph" w:styleId="Obsah1">
    <w:name w:val="toc 1"/>
    <w:basedOn w:val="Normln"/>
    <w:next w:val="Normln"/>
    <w:autoRedefine/>
    <w:uiPriority w:val="39"/>
    <w:unhideWhenUsed/>
    <w:qFormat/>
    <w:rsid w:val="00911FF5"/>
    <w:pPr>
      <w:tabs>
        <w:tab w:val="left" w:pos="567"/>
        <w:tab w:val="right" w:leader="dot" w:pos="9062"/>
      </w:tabs>
      <w:spacing w:line="240" w:lineRule="auto"/>
      <w:ind w:firstLine="0"/>
    </w:pPr>
    <w:rPr>
      <w:b/>
    </w:rPr>
  </w:style>
  <w:style w:type="paragraph" w:styleId="Obsah2">
    <w:name w:val="toc 2"/>
    <w:basedOn w:val="Normln"/>
    <w:next w:val="Normln"/>
    <w:autoRedefine/>
    <w:uiPriority w:val="39"/>
    <w:unhideWhenUsed/>
    <w:qFormat/>
    <w:rsid w:val="00911FF5"/>
    <w:pPr>
      <w:spacing w:line="240" w:lineRule="auto"/>
      <w:ind w:left="284" w:firstLine="0"/>
    </w:pPr>
  </w:style>
  <w:style w:type="paragraph" w:styleId="Obsah3">
    <w:name w:val="toc 3"/>
    <w:basedOn w:val="Normln"/>
    <w:next w:val="Normln"/>
    <w:uiPriority w:val="39"/>
    <w:unhideWhenUsed/>
    <w:qFormat/>
    <w:rsid w:val="00911FF5"/>
    <w:pPr>
      <w:spacing w:line="240" w:lineRule="auto"/>
      <w:ind w:left="567" w:firstLine="0"/>
    </w:pPr>
  </w:style>
  <w:style w:type="character" w:styleId="Hypertextovodkaz">
    <w:name w:val="Hyperlink"/>
    <w:basedOn w:val="Standardnpsmoodstavce"/>
    <w:uiPriority w:val="99"/>
    <w:unhideWhenUsed/>
    <w:rsid w:val="00911FF5"/>
    <w:rPr>
      <w:color w:val="0563C1" w:themeColor="hyperlink"/>
      <w:u w:val="single"/>
    </w:rPr>
  </w:style>
  <w:style w:type="paragraph" w:styleId="Zpat">
    <w:name w:val="footer"/>
    <w:basedOn w:val="Normln"/>
    <w:link w:val="ZpatChar"/>
    <w:uiPriority w:val="99"/>
    <w:unhideWhenUsed/>
    <w:rsid w:val="00911FF5"/>
    <w:pPr>
      <w:tabs>
        <w:tab w:val="center" w:pos="4536"/>
        <w:tab w:val="right" w:pos="9072"/>
      </w:tabs>
      <w:spacing w:line="240" w:lineRule="auto"/>
    </w:pPr>
  </w:style>
  <w:style w:type="character" w:customStyle="1" w:styleId="ZpatChar">
    <w:name w:val="Zápatí Char"/>
    <w:basedOn w:val="Standardnpsmoodstavce"/>
    <w:link w:val="Zpat"/>
    <w:uiPriority w:val="99"/>
    <w:rsid w:val="00911FF5"/>
    <w:rPr>
      <w:rFonts w:ascii="Garamond" w:hAnsi="Garamond"/>
      <w:sz w:val="24"/>
    </w:rPr>
  </w:style>
  <w:style w:type="character" w:styleId="Odkaznakoment">
    <w:name w:val="annotation reference"/>
    <w:basedOn w:val="Standardnpsmoodstavce"/>
    <w:uiPriority w:val="99"/>
    <w:semiHidden/>
    <w:unhideWhenUsed/>
    <w:rsid w:val="00A7593E"/>
    <w:rPr>
      <w:sz w:val="16"/>
      <w:szCs w:val="16"/>
    </w:rPr>
  </w:style>
  <w:style w:type="paragraph" w:styleId="Textkomente">
    <w:name w:val="annotation text"/>
    <w:basedOn w:val="Normln"/>
    <w:link w:val="TextkomenteChar"/>
    <w:uiPriority w:val="99"/>
    <w:semiHidden/>
    <w:unhideWhenUsed/>
    <w:rsid w:val="00A7593E"/>
    <w:pPr>
      <w:spacing w:line="240" w:lineRule="auto"/>
    </w:pPr>
    <w:rPr>
      <w:sz w:val="20"/>
      <w:szCs w:val="20"/>
    </w:rPr>
  </w:style>
  <w:style w:type="character" w:customStyle="1" w:styleId="TextkomenteChar">
    <w:name w:val="Text komentáře Char"/>
    <w:basedOn w:val="Standardnpsmoodstavce"/>
    <w:link w:val="Textkomente"/>
    <w:uiPriority w:val="99"/>
    <w:semiHidden/>
    <w:rsid w:val="00A7593E"/>
    <w:rPr>
      <w:rFonts w:ascii="Garamond" w:hAnsi="Garamond"/>
      <w:sz w:val="20"/>
      <w:szCs w:val="20"/>
    </w:rPr>
  </w:style>
  <w:style w:type="paragraph" w:styleId="Pedmtkomente">
    <w:name w:val="annotation subject"/>
    <w:basedOn w:val="Textkomente"/>
    <w:next w:val="Textkomente"/>
    <w:link w:val="PedmtkomenteChar"/>
    <w:uiPriority w:val="99"/>
    <w:semiHidden/>
    <w:unhideWhenUsed/>
    <w:rsid w:val="00A7593E"/>
    <w:rPr>
      <w:b/>
      <w:bCs/>
    </w:rPr>
  </w:style>
  <w:style w:type="character" w:customStyle="1" w:styleId="PedmtkomenteChar">
    <w:name w:val="Předmět komentáře Char"/>
    <w:basedOn w:val="TextkomenteChar"/>
    <w:link w:val="Pedmtkomente"/>
    <w:uiPriority w:val="99"/>
    <w:semiHidden/>
    <w:rsid w:val="00A7593E"/>
    <w:rPr>
      <w:rFonts w:ascii="Garamond" w:hAnsi="Garamond"/>
      <w:b/>
      <w:bCs/>
      <w:sz w:val="20"/>
      <w:szCs w:val="20"/>
    </w:rPr>
  </w:style>
  <w:style w:type="paragraph" w:styleId="Textbubliny">
    <w:name w:val="Balloon Text"/>
    <w:basedOn w:val="Normln"/>
    <w:link w:val="TextbublinyChar"/>
    <w:uiPriority w:val="99"/>
    <w:semiHidden/>
    <w:unhideWhenUsed/>
    <w:rsid w:val="00A7593E"/>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7593E"/>
    <w:rPr>
      <w:rFonts w:ascii="Segoe UI" w:hAnsi="Segoe UI" w:cs="Segoe UI"/>
      <w:sz w:val="18"/>
      <w:szCs w:val="18"/>
    </w:rPr>
  </w:style>
  <w:style w:type="character" w:customStyle="1" w:styleId="Nevyeenzmnka1">
    <w:name w:val="Nevyřešená zmínka1"/>
    <w:basedOn w:val="Standardnpsmoodstavce"/>
    <w:uiPriority w:val="99"/>
    <w:semiHidden/>
    <w:unhideWhenUsed/>
    <w:rsid w:val="00B5418B"/>
    <w:rPr>
      <w:color w:val="808080"/>
      <w:shd w:val="clear" w:color="auto" w:fill="E6E6E6"/>
    </w:rPr>
  </w:style>
  <w:style w:type="table" w:styleId="Mkatabulky">
    <w:name w:val="Table Grid"/>
    <w:basedOn w:val="Normlntabulka"/>
    <w:uiPriority w:val="59"/>
    <w:rsid w:val="00241EB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semiHidden/>
    <w:unhideWhenUsed/>
    <w:rsid w:val="00241EB1"/>
    <w:pPr>
      <w:overflowPunct w:val="0"/>
      <w:autoSpaceDE w:val="0"/>
      <w:autoSpaceDN w:val="0"/>
      <w:adjustRightInd w:val="0"/>
      <w:spacing w:line="240" w:lineRule="auto"/>
      <w:ind w:left="6096" w:firstLine="0"/>
    </w:pPr>
    <w:rPr>
      <w:rFonts w:ascii="Arial" w:eastAsia="Times New Roman" w:hAnsi="Arial" w:cs="Times New Roman"/>
      <w:szCs w:val="20"/>
      <w:lang w:eastAsia="cs-CZ"/>
    </w:rPr>
  </w:style>
  <w:style w:type="character" w:customStyle="1" w:styleId="ZkladntextodsazenChar">
    <w:name w:val="Základní text odsazený Char"/>
    <w:basedOn w:val="Standardnpsmoodstavce"/>
    <w:link w:val="Zkladntextodsazen"/>
    <w:semiHidden/>
    <w:rsid w:val="00241EB1"/>
    <w:rPr>
      <w:rFonts w:ascii="Arial" w:eastAsia="Times New Roman" w:hAnsi="Arial" w:cs="Times New Roman"/>
      <w:sz w:val="24"/>
      <w:szCs w:val="20"/>
      <w:lang w:eastAsia="cs-CZ"/>
    </w:rPr>
  </w:style>
  <w:style w:type="paragraph" w:styleId="Zhlav">
    <w:name w:val="header"/>
    <w:basedOn w:val="Normln"/>
    <w:link w:val="ZhlavChar"/>
    <w:uiPriority w:val="99"/>
    <w:semiHidden/>
    <w:unhideWhenUsed/>
    <w:rsid w:val="00FD4610"/>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FD4610"/>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52920">
      <w:bodyDiv w:val="1"/>
      <w:marLeft w:val="0"/>
      <w:marRight w:val="0"/>
      <w:marTop w:val="0"/>
      <w:marBottom w:val="0"/>
      <w:divBdr>
        <w:top w:val="none" w:sz="0" w:space="0" w:color="auto"/>
        <w:left w:val="none" w:sz="0" w:space="0" w:color="auto"/>
        <w:bottom w:val="none" w:sz="0" w:space="0" w:color="auto"/>
        <w:right w:val="none" w:sz="0" w:space="0" w:color="auto"/>
      </w:divBdr>
      <w:divsChild>
        <w:div w:id="1228034884">
          <w:marLeft w:val="375"/>
          <w:marRight w:val="375"/>
          <w:marTop w:val="105"/>
          <w:marBottom w:val="0"/>
          <w:divBdr>
            <w:top w:val="none" w:sz="0" w:space="0" w:color="auto"/>
            <w:left w:val="none" w:sz="0" w:space="0" w:color="auto"/>
            <w:bottom w:val="none" w:sz="0" w:space="0" w:color="auto"/>
            <w:right w:val="none" w:sz="0" w:space="0" w:color="auto"/>
          </w:divBdr>
        </w:div>
      </w:divsChild>
    </w:div>
    <w:div w:id="50006332">
      <w:bodyDiv w:val="1"/>
      <w:marLeft w:val="0"/>
      <w:marRight w:val="0"/>
      <w:marTop w:val="0"/>
      <w:marBottom w:val="0"/>
      <w:divBdr>
        <w:top w:val="none" w:sz="0" w:space="0" w:color="auto"/>
        <w:left w:val="none" w:sz="0" w:space="0" w:color="auto"/>
        <w:bottom w:val="none" w:sz="0" w:space="0" w:color="auto"/>
        <w:right w:val="none" w:sz="0" w:space="0" w:color="auto"/>
      </w:divBdr>
    </w:div>
    <w:div w:id="76903425">
      <w:bodyDiv w:val="1"/>
      <w:marLeft w:val="0"/>
      <w:marRight w:val="0"/>
      <w:marTop w:val="0"/>
      <w:marBottom w:val="0"/>
      <w:divBdr>
        <w:top w:val="none" w:sz="0" w:space="0" w:color="auto"/>
        <w:left w:val="none" w:sz="0" w:space="0" w:color="auto"/>
        <w:bottom w:val="none" w:sz="0" w:space="0" w:color="auto"/>
        <w:right w:val="none" w:sz="0" w:space="0" w:color="auto"/>
      </w:divBdr>
    </w:div>
    <w:div w:id="110638596">
      <w:bodyDiv w:val="1"/>
      <w:marLeft w:val="0"/>
      <w:marRight w:val="0"/>
      <w:marTop w:val="0"/>
      <w:marBottom w:val="0"/>
      <w:divBdr>
        <w:top w:val="none" w:sz="0" w:space="0" w:color="auto"/>
        <w:left w:val="none" w:sz="0" w:space="0" w:color="auto"/>
        <w:bottom w:val="none" w:sz="0" w:space="0" w:color="auto"/>
        <w:right w:val="none" w:sz="0" w:space="0" w:color="auto"/>
      </w:divBdr>
    </w:div>
    <w:div w:id="140536878">
      <w:bodyDiv w:val="1"/>
      <w:marLeft w:val="0"/>
      <w:marRight w:val="0"/>
      <w:marTop w:val="0"/>
      <w:marBottom w:val="0"/>
      <w:divBdr>
        <w:top w:val="none" w:sz="0" w:space="0" w:color="auto"/>
        <w:left w:val="none" w:sz="0" w:space="0" w:color="auto"/>
        <w:bottom w:val="none" w:sz="0" w:space="0" w:color="auto"/>
        <w:right w:val="none" w:sz="0" w:space="0" w:color="auto"/>
      </w:divBdr>
      <w:divsChild>
        <w:div w:id="1314918561">
          <w:marLeft w:val="375"/>
          <w:marRight w:val="375"/>
          <w:marTop w:val="105"/>
          <w:marBottom w:val="0"/>
          <w:divBdr>
            <w:top w:val="none" w:sz="0" w:space="0" w:color="auto"/>
            <w:left w:val="none" w:sz="0" w:space="0" w:color="auto"/>
            <w:bottom w:val="none" w:sz="0" w:space="0" w:color="auto"/>
            <w:right w:val="none" w:sz="0" w:space="0" w:color="auto"/>
          </w:divBdr>
        </w:div>
      </w:divsChild>
    </w:div>
    <w:div w:id="154952593">
      <w:bodyDiv w:val="1"/>
      <w:marLeft w:val="0"/>
      <w:marRight w:val="0"/>
      <w:marTop w:val="0"/>
      <w:marBottom w:val="0"/>
      <w:divBdr>
        <w:top w:val="none" w:sz="0" w:space="0" w:color="auto"/>
        <w:left w:val="none" w:sz="0" w:space="0" w:color="auto"/>
        <w:bottom w:val="none" w:sz="0" w:space="0" w:color="auto"/>
        <w:right w:val="none" w:sz="0" w:space="0" w:color="auto"/>
      </w:divBdr>
      <w:divsChild>
        <w:div w:id="886643314">
          <w:marLeft w:val="0"/>
          <w:marRight w:val="0"/>
          <w:marTop w:val="0"/>
          <w:marBottom w:val="100"/>
          <w:divBdr>
            <w:top w:val="none" w:sz="0" w:space="0" w:color="auto"/>
            <w:left w:val="none" w:sz="0" w:space="0" w:color="auto"/>
            <w:bottom w:val="none" w:sz="0" w:space="0" w:color="auto"/>
            <w:right w:val="none" w:sz="0" w:space="0" w:color="auto"/>
          </w:divBdr>
        </w:div>
      </w:divsChild>
    </w:div>
    <w:div w:id="165369279">
      <w:bodyDiv w:val="1"/>
      <w:marLeft w:val="0"/>
      <w:marRight w:val="0"/>
      <w:marTop w:val="0"/>
      <w:marBottom w:val="0"/>
      <w:divBdr>
        <w:top w:val="none" w:sz="0" w:space="0" w:color="auto"/>
        <w:left w:val="none" w:sz="0" w:space="0" w:color="auto"/>
        <w:bottom w:val="none" w:sz="0" w:space="0" w:color="auto"/>
        <w:right w:val="none" w:sz="0" w:space="0" w:color="auto"/>
      </w:divBdr>
    </w:div>
    <w:div w:id="276645600">
      <w:bodyDiv w:val="1"/>
      <w:marLeft w:val="0"/>
      <w:marRight w:val="0"/>
      <w:marTop w:val="0"/>
      <w:marBottom w:val="0"/>
      <w:divBdr>
        <w:top w:val="none" w:sz="0" w:space="0" w:color="auto"/>
        <w:left w:val="none" w:sz="0" w:space="0" w:color="auto"/>
        <w:bottom w:val="none" w:sz="0" w:space="0" w:color="auto"/>
        <w:right w:val="none" w:sz="0" w:space="0" w:color="auto"/>
      </w:divBdr>
      <w:divsChild>
        <w:div w:id="1329212266">
          <w:marLeft w:val="375"/>
          <w:marRight w:val="375"/>
          <w:marTop w:val="105"/>
          <w:marBottom w:val="0"/>
          <w:divBdr>
            <w:top w:val="none" w:sz="0" w:space="0" w:color="auto"/>
            <w:left w:val="none" w:sz="0" w:space="0" w:color="auto"/>
            <w:bottom w:val="none" w:sz="0" w:space="0" w:color="auto"/>
            <w:right w:val="none" w:sz="0" w:space="0" w:color="auto"/>
          </w:divBdr>
        </w:div>
      </w:divsChild>
    </w:div>
    <w:div w:id="425156534">
      <w:bodyDiv w:val="1"/>
      <w:marLeft w:val="0"/>
      <w:marRight w:val="0"/>
      <w:marTop w:val="0"/>
      <w:marBottom w:val="0"/>
      <w:divBdr>
        <w:top w:val="none" w:sz="0" w:space="0" w:color="auto"/>
        <w:left w:val="none" w:sz="0" w:space="0" w:color="auto"/>
        <w:bottom w:val="none" w:sz="0" w:space="0" w:color="auto"/>
        <w:right w:val="none" w:sz="0" w:space="0" w:color="auto"/>
      </w:divBdr>
      <w:divsChild>
        <w:div w:id="1620254893">
          <w:marLeft w:val="0"/>
          <w:marRight w:val="0"/>
          <w:marTop w:val="0"/>
          <w:marBottom w:val="100"/>
          <w:divBdr>
            <w:top w:val="none" w:sz="0" w:space="0" w:color="auto"/>
            <w:left w:val="none" w:sz="0" w:space="0" w:color="auto"/>
            <w:bottom w:val="none" w:sz="0" w:space="0" w:color="auto"/>
            <w:right w:val="none" w:sz="0" w:space="0" w:color="auto"/>
          </w:divBdr>
        </w:div>
      </w:divsChild>
    </w:div>
    <w:div w:id="459224279">
      <w:bodyDiv w:val="1"/>
      <w:marLeft w:val="0"/>
      <w:marRight w:val="0"/>
      <w:marTop w:val="0"/>
      <w:marBottom w:val="0"/>
      <w:divBdr>
        <w:top w:val="none" w:sz="0" w:space="0" w:color="auto"/>
        <w:left w:val="none" w:sz="0" w:space="0" w:color="auto"/>
        <w:bottom w:val="none" w:sz="0" w:space="0" w:color="auto"/>
        <w:right w:val="none" w:sz="0" w:space="0" w:color="auto"/>
      </w:divBdr>
    </w:div>
    <w:div w:id="491220016">
      <w:bodyDiv w:val="1"/>
      <w:marLeft w:val="0"/>
      <w:marRight w:val="0"/>
      <w:marTop w:val="0"/>
      <w:marBottom w:val="0"/>
      <w:divBdr>
        <w:top w:val="none" w:sz="0" w:space="0" w:color="auto"/>
        <w:left w:val="none" w:sz="0" w:space="0" w:color="auto"/>
        <w:bottom w:val="none" w:sz="0" w:space="0" w:color="auto"/>
        <w:right w:val="none" w:sz="0" w:space="0" w:color="auto"/>
      </w:divBdr>
    </w:div>
    <w:div w:id="552741146">
      <w:bodyDiv w:val="1"/>
      <w:marLeft w:val="0"/>
      <w:marRight w:val="0"/>
      <w:marTop w:val="0"/>
      <w:marBottom w:val="0"/>
      <w:divBdr>
        <w:top w:val="none" w:sz="0" w:space="0" w:color="auto"/>
        <w:left w:val="none" w:sz="0" w:space="0" w:color="auto"/>
        <w:bottom w:val="none" w:sz="0" w:space="0" w:color="auto"/>
        <w:right w:val="none" w:sz="0" w:space="0" w:color="auto"/>
      </w:divBdr>
    </w:div>
    <w:div w:id="583685522">
      <w:bodyDiv w:val="1"/>
      <w:marLeft w:val="0"/>
      <w:marRight w:val="0"/>
      <w:marTop w:val="0"/>
      <w:marBottom w:val="0"/>
      <w:divBdr>
        <w:top w:val="none" w:sz="0" w:space="0" w:color="auto"/>
        <w:left w:val="none" w:sz="0" w:space="0" w:color="auto"/>
        <w:bottom w:val="none" w:sz="0" w:space="0" w:color="auto"/>
        <w:right w:val="none" w:sz="0" w:space="0" w:color="auto"/>
      </w:divBdr>
      <w:divsChild>
        <w:div w:id="664892565">
          <w:marLeft w:val="375"/>
          <w:marRight w:val="375"/>
          <w:marTop w:val="105"/>
          <w:marBottom w:val="0"/>
          <w:divBdr>
            <w:top w:val="none" w:sz="0" w:space="0" w:color="auto"/>
            <w:left w:val="none" w:sz="0" w:space="0" w:color="auto"/>
            <w:bottom w:val="none" w:sz="0" w:space="0" w:color="auto"/>
            <w:right w:val="none" w:sz="0" w:space="0" w:color="auto"/>
          </w:divBdr>
        </w:div>
      </w:divsChild>
    </w:div>
    <w:div w:id="624121054">
      <w:bodyDiv w:val="1"/>
      <w:marLeft w:val="0"/>
      <w:marRight w:val="0"/>
      <w:marTop w:val="0"/>
      <w:marBottom w:val="0"/>
      <w:divBdr>
        <w:top w:val="none" w:sz="0" w:space="0" w:color="auto"/>
        <w:left w:val="none" w:sz="0" w:space="0" w:color="auto"/>
        <w:bottom w:val="none" w:sz="0" w:space="0" w:color="auto"/>
        <w:right w:val="none" w:sz="0" w:space="0" w:color="auto"/>
      </w:divBdr>
    </w:div>
    <w:div w:id="673647561">
      <w:bodyDiv w:val="1"/>
      <w:marLeft w:val="0"/>
      <w:marRight w:val="0"/>
      <w:marTop w:val="0"/>
      <w:marBottom w:val="0"/>
      <w:divBdr>
        <w:top w:val="none" w:sz="0" w:space="0" w:color="auto"/>
        <w:left w:val="none" w:sz="0" w:space="0" w:color="auto"/>
        <w:bottom w:val="none" w:sz="0" w:space="0" w:color="auto"/>
        <w:right w:val="none" w:sz="0" w:space="0" w:color="auto"/>
      </w:divBdr>
      <w:divsChild>
        <w:div w:id="1707873896">
          <w:marLeft w:val="0"/>
          <w:marRight w:val="0"/>
          <w:marTop w:val="0"/>
          <w:marBottom w:val="100"/>
          <w:divBdr>
            <w:top w:val="none" w:sz="0" w:space="0" w:color="auto"/>
            <w:left w:val="none" w:sz="0" w:space="0" w:color="auto"/>
            <w:bottom w:val="none" w:sz="0" w:space="0" w:color="auto"/>
            <w:right w:val="none" w:sz="0" w:space="0" w:color="auto"/>
          </w:divBdr>
        </w:div>
      </w:divsChild>
    </w:div>
    <w:div w:id="738527173">
      <w:bodyDiv w:val="1"/>
      <w:marLeft w:val="0"/>
      <w:marRight w:val="0"/>
      <w:marTop w:val="0"/>
      <w:marBottom w:val="0"/>
      <w:divBdr>
        <w:top w:val="none" w:sz="0" w:space="0" w:color="auto"/>
        <w:left w:val="none" w:sz="0" w:space="0" w:color="auto"/>
        <w:bottom w:val="none" w:sz="0" w:space="0" w:color="auto"/>
        <w:right w:val="none" w:sz="0" w:space="0" w:color="auto"/>
      </w:divBdr>
      <w:divsChild>
        <w:div w:id="1254053128">
          <w:marLeft w:val="0"/>
          <w:marRight w:val="0"/>
          <w:marTop w:val="0"/>
          <w:marBottom w:val="100"/>
          <w:divBdr>
            <w:top w:val="none" w:sz="0" w:space="0" w:color="auto"/>
            <w:left w:val="none" w:sz="0" w:space="0" w:color="auto"/>
            <w:bottom w:val="none" w:sz="0" w:space="0" w:color="auto"/>
            <w:right w:val="none" w:sz="0" w:space="0" w:color="auto"/>
          </w:divBdr>
        </w:div>
      </w:divsChild>
    </w:div>
    <w:div w:id="754208705">
      <w:bodyDiv w:val="1"/>
      <w:marLeft w:val="0"/>
      <w:marRight w:val="0"/>
      <w:marTop w:val="0"/>
      <w:marBottom w:val="0"/>
      <w:divBdr>
        <w:top w:val="none" w:sz="0" w:space="0" w:color="auto"/>
        <w:left w:val="none" w:sz="0" w:space="0" w:color="auto"/>
        <w:bottom w:val="none" w:sz="0" w:space="0" w:color="auto"/>
        <w:right w:val="none" w:sz="0" w:space="0" w:color="auto"/>
      </w:divBdr>
    </w:div>
    <w:div w:id="770511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4066">
          <w:marLeft w:val="0"/>
          <w:marRight w:val="0"/>
          <w:marTop w:val="200"/>
          <w:marBottom w:val="100"/>
          <w:divBdr>
            <w:top w:val="none" w:sz="0" w:space="0" w:color="auto"/>
            <w:left w:val="none" w:sz="0" w:space="0" w:color="auto"/>
            <w:bottom w:val="none" w:sz="0" w:space="0" w:color="auto"/>
            <w:right w:val="none" w:sz="0" w:space="0" w:color="auto"/>
          </w:divBdr>
        </w:div>
      </w:divsChild>
    </w:div>
    <w:div w:id="780295317">
      <w:bodyDiv w:val="1"/>
      <w:marLeft w:val="0"/>
      <w:marRight w:val="0"/>
      <w:marTop w:val="0"/>
      <w:marBottom w:val="0"/>
      <w:divBdr>
        <w:top w:val="none" w:sz="0" w:space="0" w:color="auto"/>
        <w:left w:val="none" w:sz="0" w:space="0" w:color="auto"/>
        <w:bottom w:val="none" w:sz="0" w:space="0" w:color="auto"/>
        <w:right w:val="none" w:sz="0" w:space="0" w:color="auto"/>
      </w:divBdr>
    </w:div>
    <w:div w:id="817500011">
      <w:bodyDiv w:val="1"/>
      <w:marLeft w:val="0"/>
      <w:marRight w:val="0"/>
      <w:marTop w:val="0"/>
      <w:marBottom w:val="0"/>
      <w:divBdr>
        <w:top w:val="none" w:sz="0" w:space="0" w:color="auto"/>
        <w:left w:val="none" w:sz="0" w:space="0" w:color="auto"/>
        <w:bottom w:val="none" w:sz="0" w:space="0" w:color="auto"/>
        <w:right w:val="none" w:sz="0" w:space="0" w:color="auto"/>
      </w:divBdr>
      <w:divsChild>
        <w:div w:id="524170008">
          <w:marLeft w:val="0"/>
          <w:marRight w:val="0"/>
          <w:marTop w:val="0"/>
          <w:marBottom w:val="100"/>
          <w:divBdr>
            <w:top w:val="none" w:sz="0" w:space="0" w:color="auto"/>
            <w:left w:val="none" w:sz="0" w:space="0" w:color="auto"/>
            <w:bottom w:val="none" w:sz="0" w:space="0" w:color="auto"/>
            <w:right w:val="none" w:sz="0" w:space="0" w:color="auto"/>
          </w:divBdr>
        </w:div>
      </w:divsChild>
    </w:div>
    <w:div w:id="858079299">
      <w:bodyDiv w:val="1"/>
      <w:marLeft w:val="0"/>
      <w:marRight w:val="0"/>
      <w:marTop w:val="0"/>
      <w:marBottom w:val="0"/>
      <w:divBdr>
        <w:top w:val="none" w:sz="0" w:space="0" w:color="auto"/>
        <w:left w:val="none" w:sz="0" w:space="0" w:color="auto"/>
        <w:bottom w:val="none" w:sz="0" w:space="0" w:color="auto"/>
        <w:right w:val="none" w:sz="0" w:space="0" w:color="auto"/>
      </w:divBdr>
    </w:div>
    <w:div w:id="884875118">
      <w:bodyDiv w:val="1"/>
      <w:marLeft w:val="0"/>
      <w:marRight w:val="0"/>
      <w:marTop w:val="0"/>
      <w:marBottom w:val="0"/>
      <w:divBdr>
        <w:top w:val="none" w:sz="0" w:space="0" w:color="auto"/>
        <w:left w:val="none" w:sz="0" w:space="0" w:color="auto"/>
        <w:bottom w:val="none" w:sz="0" w:space="0" w:color="auto"/>
        <w:right w:val="none" w:sz="0" w:space="0" w:color="auto"/>
      </w:divBdr>
      <w:divsChild>
        <w:div w:id="870654629">
          <w:marLeft w:val="0"/>
          <w:marRight w:val="0"/>
          <w:marTop w:val="200"/>
          <w:marBottom w:val="100"/>
          <w:divBdr>
            <w:top w:val="none" w:sz="0" w:space="0" w:color="auto"/>
            <w:left w:val="none" w:sz="0" w:space="0" w:color="auto"/>
            <w:bottom w:val="none" w:sz="0" w:space="0" w:color="auto"/>
            <w:right w:val="none" w:sz="0" w:space="0" w:color="auto"/>
          </w:divBdr>
        </w:div>
      </w:divsChild>
    </w:div>
    <w:div w:id="957301072">
      <w:bodyDiv w:val="1"/>
      <w:marLeft w:val="0"/>
      <w:marRight w:val="0"/>
      <w:marTop w:val="0"/>
      <w:marBottom w:val="0"/>
      <w:divBdr>
        <w:top w:val="none" w:sz="0" w:space="0" w:color="auto"/>
        <w:left w:val="none" w:sz="0" w:space="0" w:color="auto"/>
        <w:bottom w:val="none" w:sz="0" w:space="0" w:color="auto"/>
        <w:right w:val="none" w:sz="0" w:space="0" w:color="auto"/>
      </w:divBdr>
      <w:divsChild>
        <w:div w:id="575945166">
          <w:marLeft w:val="375"/>
          <w:marRight w:val="375"/>
          <w:marTop w:val="105"/>
          <w:marBottom w:val="0"/>
          <w:divBdr>
            <w:top w:val="none" w:sz="0" w:space="0" w:color="auto"/>
            <w:left w:val="none" w:sz="0" w:space="0" w:color="auto"/>
            <w:bottom w:val="none" w:sz="0" w:space="0" w:color="auto"/>
            <w:right w:val="none" w:sz="0" w:space="0" w:color="auto"/>
          </w:divBdr>
        </w:div>
      </w:divsChild>
    </w:div>
    <w:div w:id="976495833">
      <w:bodyDiv w:val="1"/>
      <w:marLeft w:val="0"/>
      <w:marRight w:val="0"/>
      <w:marTop w:val="0"/>
      <w:marBottom w:val="0"/>
      <w:divBdr>
        <w:top w:val="none" w:sz="0" w:space="0" w:color="auto"/>
        <w:left w:val="none" w:sz="0" w:space="0" w:color="auto"/>
        <w:bottom w:val="none" w:sz="0" w:space="0" w:color="auto"/>
        <w:right w:val="none" w:sz="0" w:space="0" w:color="auto"/>
      </w:divBdr>
    </w:div>
    <w:div w:id="1043560040">
      <w:bodyDiv w:val="1"/>
      <w:marLeft w:val="0"/>
      <w:marRight w:val="0"/>
      <w:marTop w:val="0"/>
      <w:marBottom w:val="0"/>
      <w:divBdr>
        <w:top w:val="none" w:sz="0" w:space="0" w:color="auto"/>
        <w:left w:val="none" w:sz="0" w:space="0" w:color="auto"/>
        <w:bottom w:val="none" w:sz="0" w:space="0" w:color="auto"/>
        <w:right w:val="none" w:sz="0" w:space="0" w:color="auto"/>
      </w:divBdr>
      <w:divsChild>
        <w:div w:id="683047709">
          <w:marLeft w:val="0"/>
          <w:marRight w:val="0"/>
          <w:marTop w:val="200"/>
          <w:marBottom w:val="100"/>
          <w:divBdr>
            <w:top w:val="none" w:sz="0" w:space="0" w:color="auto"/>
            <w:left w:val="none" w:sz="0" w:space="0" w:color="auto"/>
            <w:bottom w:val="none" w:sz="0" w:space="0" w:color="auto"/>
            <w:right w:val="none" w:sz="0" w:space="0" w:color="auto"/>
          </w:divBdr>
        </w:div>
      </w:divsChild>
    </w:div>
    <w:div w:id="1066301864">
      <w:bodyDiv w:val="1"/>
      <w:marLeft w:val="0"/>
      <w:marRight w:val="0"/>
      <w:marTop w:val="0"/>
      <w:marBottom w:val="0"/>
      <w:divBdr>
        <w:top w:val="none" w:sz="0" w:space="0" w:color="auto"/>
        <w:left w:val="none" w:sz="0" w:space="0" w:color="auto"/>
        <w:bottom w:val="none" w:sz="0" w:space="0" w:color="auto"/>
        <w:right w:val="none" w:sz="0" w:space="0" w:color="auto"/>
      </w:divBdr>
    </w:div>
    <w:div w:id="1119762731">
      <w:bodyDiv w:val="1"/>
      <w:marLeft w:val="0"/>
      <w:marRight w:val="0"/>
      <w:marTop w:val="0"/>
      <w:marBottom w:val="0"/>
      <w:divBdr>
        <w:top w:val="none" w:sz="0" w:space="0" w:color="auto"/>
        <w:left w:val="none" w:sz="0" w:space="0" w:color="auto"/>
        <w:bottom w:val="none" w:sz="0" w:space="0" w:color="auto"/>
        <w:right w:val="none" w:sz="0" w:space="0" w:color="auto"/>
      </w:divBdr>
    </w:div>
    <w:div w:id="1119911297">
      <w:bodyDiv w:val="1"/>
      <w:marLeft w:val="0"/>
      <w:marRight w:val="0"/>
      <w:marTop w:val="0"/>
      <w:marBottom w:val="0"/>
      <w:divBdr>
        <w:top w:val="none" w:sz="0" w:space="0" w:color="auto"/>
        <w:left w:val="none" w:sz="0" w:space="0" w:color="auto"/>
        <w:bottom w:val="none" w:sz="0" w:space="0" w:color="auto"/>
        <w:right w:val="none" w:sz="0" w:space="0" w:color="auto"/>
      </w:divBdr>
      <w:divsChild>
        <w:div w:id="418989503">
          <w:marLeft w:val="0"/>
          <w:marRight w:val="0"/>
          <w:marTop w:val="0"/>
          <w:marBottom w:val="100"/>
          <w:divBdr>
            <w:top w:val="none" w:sz="0" w:space="0" w:color="auto"/>
            <w:left w:val="none" w:sz="0" w:space="0" w:color="auto"/>
            <w:bottom w:val="none" w:sz="0" w:space="0" w:color="auto"/>
            <w:right w:val="none" w:sz="0" w:space="0" w:color="auto"/>
          </w:divBdr>
        </w:div>
      </w:divsChild>
    </w:div>
    <w:div w:id="1147941489">
      <w:bodyDiv w:val="1"/>
      <w:marLeft w:val="0"/>
      <w:marRight w:val="0"/>
      <w:marTop w:val="0"/>
      <w:marBottom w:val="0"/>
      <w:divBdr>
        <w:top w:val="none" w:sz="0" w:space="0" w:color="auto"/>
        <w:left w:val="none" w:sz="0" w:space="0" w:color="auto"/>
        <w:bottom w:val="none" w:sz="0" w:space="0" w:color="auto"/>
        <w:right w:val="none" w:sz="0" w:space="0" w:color="auto"/>
      </w:divBdr>
      <w:divsChild>
        <w:div w:id="1185628700">
          <w:marLeft w:val="0"/>
          <w:marRight w:val="0"/>
          <w:marTop w:val="200"/>
          <w:marBottom w:val="100"/>
          <w:divBdr>
            <w:top w:val="none" w:sz="0" w:space="0" w:color="auto"/>
            <w:left w:val="none" w:sz="0" w:space="0" w:color="auto"/>
            <w:bottom w:val="none" w:sz="0" w:space="0" w:color="auto"/>
            <w:right w:val="none" w:sz="0" w:space="0" w:color="auto"/>
          </w:divBdr>
        </w:div>
      </w:divsChild>
    </w:div>
    <w:div w:id="1149789794">
      <w:bodyDiv w:val="1"/>
      <w:marLeft w:val="0"/>
      <w:marRight w:val="0"/>
      <w:marTop w:val="0"/>
      <w:marBottom w:val="0"/>
      <w:divBdr>
        <w:top w:val="none" w:sz="0" w:space="0" w:color="auto"/>
        <w:left w:val="none" w:sz="0" w:space="0" w:color="auto"/>
        <w:bottom w:val="none" w:sz="0" w:space="0" w:color="auto"/>
        <w:right w:val="none" w:sz="0" w:space="0" w:color="auto"/>
      </w:divBdr>
    </w:div>
    <w:div w:id="1223249251">
      <w:bodyDiv w:val="1"/>
      <w:marLeft w:val="0"/>
      <w:marRight w:val="0"/>
      <w:marTop w:val="0"/>
      <w:marBottom w:val="0"/>
      <w:divBdr>
        <w:top w:val="none" w:sz="0" w:space="0" w:color="auto"/>
        <w:left w:val="none" w:sz="0" w:space="0" w:color="auto"/>
        <w:bottom w:val="none" w:sz="0" w:space="0" w:color="auto"/>
        <w:right w:val="none" w:sz="0" w:space="0" w:color="auto"/>
      </w:divBdr>
    </w:div>
    <w:div w:id="1231423793">
      <w:bodyDiv w:val="1"/>
      <w:marLeft w:val="0"/>
      <w:marRight w:val="0"/>
      <w:marTop w:val="0"/>
      <w:marBottom w:val="0"/>
      <w:divBdr>
        <w:top w:val="none" w:sz="0" w:space="0" w:color="auto"/>
        <w:left w:val="none" w:sz="0" w:space="0" w:color="auto"/>
        <w:bottom w:val="none" w:sz="0" w:space="0" w:color="auto"/>
        <w:right w:val="none" w:sz="0" w:space="0" w:color="auto"/>
      </w:divBdr>
    </w:div>
    <w:div w:id="1317300728">
      <w:bodyDiv w:val="1"/>
      <w:marLeft w:val="0"/>
      <w:marRight w:val="0"/>
      <w:marTop w:val="0"/>
      <w:marBottom w:val="0"/>
      <w:divBdr>
        <w:top w:val="none" w:sz="0" w:space="0" w:color="auto"/>
        <w:left w:val="none" w:sz="0" w:space="0" w:color="auto"/>
        <w:bottom w:val="none" w:sz="0" w:space="0" w:color="auto"/>
        <w:right w:val="none" w:sz="0" w:space="0" w:color="auto"/>
      </w:divBdr>
      <w:divsChild>
        <w:div w:id="37704939">
          <w:marLeft w:val="375"/>
          <w:marRight w:val="375"/>
          <w:marTop w:val="105"/>
          <w:marBottom w:val="0"/>
          <w:divBdr>
            <w:top w:val="none" w:sz="0" w:space="0" w:color="auto"/>
            <w:left w:val="none" w:sz="0" w:space="0" w:color="auto"/>
            <w:bottom w:val="none" w:sz="0" w:space="0" w:color="auto"/>
            <w:right w:val="none" w:sz="0" w:space="0" w:color="auto"/>
          </w:divBdr>
        </w:div>
      </w:divsChild>
    </w:div>
    <w:div w:id="1396244545">
      <w:bodyDiv w:val="1"/>
      <w:marLeft w:val="0"/>
      <w:marRight w:val="0"/>
      <w:marTop w:val="0"/>
      <w:marBottom w:val="0"/>
      <w:divBdr>
        <w:top w:val="none" w:sz="0" w:space="0" w:color="auto"/>
        <w:left w:val="none" w:sz="0" w:space="0" w:color="auto"/>
        <w:bottom w:val="none" w:sz="0" w:space="0" w:color="auto"/>
        <w:right w:val="none" w:sz="0" w:space="0" w:color="auto"/>
      </w:divBdr>
    </w:div>
    <w:div w:id="1404445679">
      <w:bodyDiv w:val="1"/>
      <w:marLeft w:val="0"/>
      <w:marRight w:val="0"/>
      <w:marTop w:val="0"/>
      <w:marBottom w:val="0"/>
      <w:divBdr>
        <w:top w:val="none" w:sz="0" w:space="0" w:color="auto"/>
        <w:left w:val="none" w:sz="0" w:space="0" w:color="auto"/>
        <w:bottom w:val="none" w:sz="0" w:space="0" w:color="auto"/>
        <w:right w:val="none" w:sz="0" w:space="0" w:color="auto"/>
      </w:divBdr>
    </w:div>
    <w:div w:id="1446540327">
      <w:bodyDiv w:val="1"/>
      <w:marLeft w:val="0"/>
      <w:marRight w:val="0"/>
      <w:marTop w:val="0"/>
      <w:marBottom w:val="0"/>
      <w:divBdr>
        <w:top w:val="none" w:sz="0" w:space="0" w:color="auto"/>
        <w:left w:val="none" w:sz="0" w:space="0" w:color="auto"/>
        <w:bottom w:val="none" w:sz="0" w:space="0" w:color="auto"/>
        <w:right w:val="none" w:sz="0" w:space="0" w:color="auto"/>
      </w:divBdr>
      <w:divsChild>
        <w:div w:id="622662496">
          <w:marLeft w:val="0"/>
          <w:marRight w:val="0"/>
          <w:marTop w:val="200"/>
          <w:marBottom w:val="100"/>
          <w:divBdr>
            <w:top w:val="none" w:sz="0" w:space="0" w:color="auto"/>
            <w:left w:val="none" w:sz="0" w:space="0" w:color="auto"/>
            <w:bottom w:val="none" w:sz="0" w:space="0" w:color="auto"/>
            <w:right w:val="none" w:sz="0" w:space="0" w:color="auto"/>
          </w:divBdr>
        </w:div>
      </w:divsChild>
    </w:div>
    <w:div w:id="1453356079">
      <w:bodyDiv w:val="1"/>
      <w:marLeft w:val="0"/>
      <w:marRight w:val="0"/>
      <w:marTop w:val="0"/>
      <w:marBottom w:val="0"/>
      <w:divBdr>
        <w:top w:val="none" w:sz="0" w:space="0" w:color="auto"/>
        <w:left w:val="none" w:sz="0" w:space="0" w:color="auto"/>
        <w:bottom w:val="none" w:sz="0" w:space="0" w:color="auto"/>
        <w:right w:val="none" w:sz="0" w:space="0" w:color="auto"/>
      </w:divBdr>
    </w:div>
    <w:div w:id="1528253874">
      <w:bodyDiv w:val="1"/>
      <w:marLeft w:val="0"/>
      <w:marRight w:val="0"/>
      <w:marTop w:val="0"/>
      <w:marBottom w:val="0"/>
      <w:divBdr>
        <w:top w:val="none" w:sz="0" w:space="0" w:color="auto"/>
        <w:left w:val="none" w:sz="0" w:space="0" w:color="auto"/>
        <w:bottom w:val="none" w:sz="0" w:space="0" w:color="auto"/>
        <w:right w:val="none" w:sz="0" w:space="0" w:color="auto"/>
      </w:divBdr>
    </w:div>
    <w:div w:id="1548494423">
      <w:bodyDiv w:val="1"/>
      <w:marLeft w:val="0"/>
      <w:marRight w:val="0"/>
      <w:marTop w:val="0"/>
      <w:marBottom w:val="0"/>
      <w:divBdr>
        <w:top w:val="none" w:sz="0" w:space="0" w:color="auto"/>
        <w:left w:val="none" w:sz="0" w:space="0" w:color="auto"/>
        <w:bottom w:val="none" w:sz="0" w:space="0" w:color="auto"/>
        <w:right w:val="none" w:sz="0" w:space="0" w:color="auto"/>
      </w:divBdr>
    </w:div>
    <w:div w:id="1565022937">
      <w:bodyDiv w:val="1"/>
      <w:marLeft w:val="0"/>
      <w:marRight w:val="0"/>
      <w:marTop w:val="0"/>
      <w:marBottom w:val="0"/>
      <w:divBdr>
        <w:top w:val="none" w:sz="0" w:space="0" w:color="auto"/>
        <w:left w:val="none" w:sz="0" w:space="0" w:color="auto"/>
        <w:bottom w:val="none" w:sz="0" w:space="0" w:color="auto"/>
        <w:right w:val="none" w:sz="0" w:space="0" w:color="auto"/>
      </w:divBdr>
    </w:div>
    <w:div w:id="1617133324">
      <w:bodyDiv w:val="1"/>
      <w:marLeft w:val="0"/>
      <w:marRight w:val="0"/>
      <w:marTop w:val="0"/>
      <w:marBottom w:val="0"/>
      <w:divBdr>
        <w:top w:val="none" w:sz="0" w:space="0" w:color="auto"/>
        <w:left w:val="none" w:sz="0" w:space="0" w:color="auto"/>
        <w:bottom w:val="none" w:sz="0" w:space="0" w:color="auto"/>
        <w:right w:val="none" w:sz="0" w:space="0" w:color="auto"/>
      </w:divBdr>
    </w:div>
    <w:div w:id="1643077635">
      <w:bodyDiv w:val="1"/>
      <w:marLeft w:val="0"/>
      <w:marRight w:val="0"/>
      <w:marTop w:val="0"/>
      <w:marBottom w:val="0"/>
      <w:divBdr>
        <w:top w:val="none" w:sz="0" w:space="0" w:color="auto"/>
        <w:left w:val="none" w:sz="0" w:space="0" w:color="auto"/>
        <w:bottom w:val="none" w:sz="0" w:space="0" w:color="auto"/>
        <w:right w:val="none" w:sz="0" w:space="0" w:color="auto"/>
      </w:divBdr>
      <w:divsChild>
        <w:div w:id="100925866">
          <w:marLeft w:val="375"/>
          <w:marRight w:val="375"/>
          <w:marTop w:val="105"/>
          <w:marBottom w:val="0"/>
          <w:divBdr>
            <w:top w:val="none" w:sz="0" w:space="0" w:color="auto"/>
            <w:left w:val="none" w:sz="0" w:space="0" w:color="auto"/>
            <w:bottom w:val="none" w:sz="0" w:space="0" w:color="auto"/>
            <w:right w:val="none" w:sz="0" w:space="0" w:color="auto"/>
          </w:divBdr>
        </w:div>
      </w:divsChild>
    </w:div>
    <w:div w:id="1663702722">
      <w:bodyDiv w:val="1"/>
      <w:marLeft w:val="0"/>
      <w:marRight w:val="0"/>
      <w:marTop w:val="0"/>
      <w:marBottom w:val="0"/>
      <w:divBdr>
        <w:top w:val="none" w:sz="0" w:space="0" w:color="auto"/>
        <w:left w:val="none" w:sz="0" w:space="0" w:color="auto"/>
        <w:bottom w:val="none" w:sz="0" w:space="0" w:color="auto"/>
        <w:right w:val="none" w:sz="0" w:space="0" w:color="auto"/>
      </w:divBdr>
    </w:div>
    <w:div w:id="1721398513">
      <w:bodyDiv w:val="1"/>
      <w:marLeft w:val="0"/>
      <w:marRight w:val="0"/>
      <w:marTop w:val="0"/>
      <w:marBottom w:val="0"/>
      <w:divBdr>
        <w:top w:val="none" w:sz="0" w:space="0" w:color="auto"/>
        <w:left w:val="none" w:sz="0" w:space="0" w:color="auto"/>
        <w:bottom w:val="none" w:sz="0" w:space="0" w:color="auto"/>
        <w:right w:val="none" w:sz="0" w:space="0" w:color="auto"/>
      </w:divBdr>
    </w:div>
    <w:div w:id="1806578394">
      <w:bodyDiv w:val="1"/>
      <w:marLeft w:val="0"/>
      <w:marRight w:val="0"/>
      <w:marTop w:val="0"/>
      <w:marBottom w:val="0"/>
      <w:divBdr>
        <w:top w:val="none" w:sz="0" w:space="0" w:color="auto"/>
        <w:left w:val="none" w:sz="0" w:space="0" w:color="auto"/>
        <w:bottom w:val="none" w:sz="0" w:space="0" w:color="auto"/>
        <w:right w:val="none" w:sz="0" w:space="0" w:color="auto"/>
      </w:divBdr>
    </w:div>
    <w:div w:id="2019458248">
      <w:bodyDiv w:val="1"/>
      <w:marLeft w:val="0"/>
      <w:marRight w:val="0"/>
      <w:marTop w:val="0"/>
      <w:marBottom w:val="0"/>
      <w:divBdr>
        <w:top w:val="none" w:sz="0" w:space="0" w:color="auto"/>
        <w:left w:val="none" w:sz="0" w:space="0" w:color="auto"/>
        <w:bottom w:val="none" w:sz="0" w:space="0" w:color="auto"/>
        <w:right w:val="none" w:sz="0" w:space="0" w:color="auto"/>
      </w:divBdr>
    </w:div>
    <w:div w:id="2097284775">
      <w:bodyDiv w:val="1"/>
      <w:marLeft w:val="0"/>
      <w:marRight w:val="0"/>
      <w:marTop w:val="0"/>
      <w:marBottom w:val="0"/>
      <w:divBdr>
        <w:top w:val="none" w:sz="0" w:space="0" w:color="auto"/>
        <w:left w:val="none" w:sz="0" w:space="0" w:color="auto"/>
        <w:bottom w:val="none" w:sz="0" w:space="0" w:color="auto"/>
        <w:right w:val="none" w:sz="0" w:space="0" w:color="auto"/>
      </w:divBdr>
    </w:div>
    <w:div w:id="2128354196">
      <w:bodyDiv w:val="1"/>
      <w:marLeft w:val="0"/>
      <w:marRight w:val="0"/>
      <w:marTop w:val="0"/>
      <w:marBottom w:val="0"/>
      <w:divBdr>
        <w:top w:val="none" w:sz="0" w:space="0" w:color="auto"/>
        <w:left w:val="none" w:sz="0" w:space="0" w:color="auto"/>
        <w:bottom w:val="none" w:sz="0" w:space="0" w:color="auto"/>
        <w:right w:val="none" w:sz="0" w:space="0" w:color="auto"/>
      </w:divBdr>
      <w:divsChild>
        <w:div w:id="83962623">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beck-online.cz/bo/document-view.seam?documentId=oz5f6mjzhe2f6nzsl5shu&amp;groupIndex=0&amp;rowIndex=0&amp;relationType=reference&amp;referenceType=active&amp;referenceName=dz&amp;originalDocumentId=onrf6mjzhe2f6nzsfuytg&amp;showLowerSectionsRelations=false&amp;activeFacets=11&amp;sortType=sorted-rank-rp&amp;firstPage=0&amp;currentPage=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bcanskyzakonik.justice.cz/images/pdf/Duvodova-zprava-NOZ-konsolidovana-verze.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ravniprostor.cz/clanky/rekodifikace/nektere-aspekty-upravy-verejnych-seznam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casopis.vsehrd.cz/2014/06/mala-uvaha-o-neexistenci-predkupniho-prava-vlastnika-jednotky-k-pozemku/"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pravniprostor.cz/clanky/rekodifikace/vybrane-otazky-aplikace-prechodnych-ustanoven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casopis.vsehrd.cz/2014/06/mala-uvaha-o-neexistenci-predkupniho-prava-vlastnika-jednotky-k-pozemku/" TargetMode="External"/><Relationship Id="rId2" Type="http://schemas.openxmlformats.org/officeDocument/2006/relationships/hyperlink" Target="https://www.beck-online.cz/bo/document-view.seam?documentId=oz5f6mjzhe2f6nzsl5shu&amp;groupIndex=0&amp;rowIndex=0&amp;relationType=reference&amp;referenceType=active&amp;referenceName=dz&amp;originalDocumentId=onrf6mjzhe2f6nzsfuytg&amp;showLowerSectionsRelations=false&amp;activeFacets=11&amp;sortType=sorted-rank-rp&amp;firstPage=0&amp;currentPage=0" TargetMode="External"/><Relationship Id="rId1" Type="http://schemas.openxmlformats.org/officeDocument/2006/relationships/hyperlink" Target="http://obcanskyzakonik.justice.cz/images/pdf/Duvodova-zprava-NOZ-konsolidovana-verze.pdf" TargetMode="External"/><Relationship Id="rId4" Type="http://schemas.openxmlformats.org/officeDocument/2006/relationships/hyperlink" Target="https://www.pravniprostor.cz/clanky/rekodifikace/nektere-aspekty-upravy-verejnych-seznam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F2331-A2C9-44E1-9B78-37CA7A483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16916</Words>
  <Characters>99809</Characters>
  <Application>Microsoft Office Word</Application>
  <DocSecurity>0</DocSecurity>
  <Lines>831</Lines>
  <Paragraphs>232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Vytřísal</dc:creator>
  <cp:lastModifiedBy>Jan Vytřísal</cp:lastModifiedBy>
  <cp:revision>2</cp:revision>
  <dcterms:created xsi:type="dcterms:W3CDTF">2018-03-22T08:17:00Z</dcterms:created>
  <dcterms:modified xsi:type="dcterms:W3CDTF">2018-03-22T08:17:00Z</dcterms:modified>
</cp:coreProperties>
</file>