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2EB24" w14:textId="77777777" w:rsidR="00841E55" w:rsidRDefault="00841E55" w:rsidP="00841E55">
      <w:pPr>
        <w:spacing w:line="360" w:lineRule="auto"/>
        <w:jc w:val="center"/>
        <w:rPr>
          <w:rFonts w:ascii="Arial" w:hAnsi="Arial" w:cs="Arial"/>
          <w:b/>
          <w:sz w:val="24"/>
          <w:szCs w:val="24"/>
        </w:rPr>
      </w:pPr>
    </w:p>
    <w:p w14:paraId="7DA39D50" w14:textId="77777777" w:rsidR="0064032D" w:rsidRPr="00841E55" w:rsidRDefault="00841E55" w:rsidP="00841E55">
      <w:pPr>
        <w:spacing w:line="360" w:lineRule="auto"/>
        <w:jc w:val="center"/>
        <w:rPr>
          <w:rFonts w:ascii="Arial" w:hAnsi="Arial" w:cs="Arial"/>
          <w:b/>
          <w:sz w:val="24"/>
          <w:szCs w:val="24"/>
        </w:rPr>
      </w:pPr>
      <w:r w:rsidRPr="00841E55">
        <w:rPr>
          <w:rFonts w:ascii="Arial" w:hAnsi="Arial" w:cs="Arial"/>
          <w:b/>
          <w:sz w:val="24"/>
          <w:szCs w:val="24"/>
        </w:rPr>
        <w:t>LÉKAŘSKÁ FAKULTA UNIVERZITY PALACKÉHO V OLOMOUCI</w:t>
      </w:r>
    </w:p>
    <w:p w14:paraId="08D71315" w14:textId="77777777" w:rsidR="0064032D" w:rsidRPr="008F13F9" w:rsidRDefault="0064032D" w:rsidP="008F13F9">
      <w:pPr>
        <w:spacing w:line="360" w:lineRule="auto"/>
        <w:jc w:val="both"/>
        <w:rPr>
          <w:rFonts w:ascii="Arial" w:hAnsi="Arial" w:cs="Arial"/>
          <w:sz w:val="24"/>
          <w:szCs w:val="24"/>
        </w:rPr>
      </w:pPr>
    </w:p>
    <w:p w14:paraId="3E03BA69" w14:textId="77777777" w:rsidR="0064032D" w:rsidRPr="008F13F9" w:rsidRDefault="0064032D" w:rsidP="008F13F9">
      <w:pPr>
        <w:spacing w:line="360" w:lineRule="auto"/>
        <w:jc w:val="both"/>
        <w:rPr>
          <w:rFonts w:ascii="Arial" w:hAnsi="Arial" w:cs="Arial"/>
          <w:sz w:val="24"/>
          <w:szCs w:val="24"/>
        </w:rPr>
      </w:pPr>
    </w:p>
    <w:p w14:paraId="3013274F" w14:textId="77777777" w:rsidR="0064032D" w:rsidRDefault="0064032D" w:rsidP="008F13F9">
      <w:pPr>
        <w:spacing w:line="360" w:lineRule="auto"/>
        <w:jc w:val="center"/>
        <w:rPr>
          <w:rFonts w:ascii="Arial" w:hAnsi="Arial" w:cs="Arial"/>
          <w:sz w:val="24"/>
          <w:szCs w:val="24"/>
        </w:rPr>
      </w:pPr>
    </w:p>
    <w:p w14:paraId="69D7E161" w14:textId="77777777" w:rsidR="00841E55" w:rsidRDefault="00841E55" w:rsidP="008F13F9">
      <w:pPr>
        <w:spacing w:line="360" w:lineRule="auto"/>
        <w:jc w:val="center"/>
        <w:rPr>
          <w:rFonts w:ascii="Arial" w:hAnsi="Arial" w:cs="Arial"/>
          <w:sz w:val="24"/>
          <w:szCs w:val="24"/>
        </w:rPr>
      </w:pPr>
    </w:p>
    <w:p w14:paraId="19EE44B8" w14:textId="77777777" w:rsidR="00841E55" w:rsidRDefault="00841E55" w:rsidP="008F13F9">
      <w:pPr>
        <w:spacing w:line="360" w:lineRule="auto"/>
        <w:jc w:val="center"/>
        <w:rPr>
          <w:rFonts w:ascii="Arial" w:hAnsi="Arial" w:cs="Arial"/>
          <w:sz w:val="24"/>
          <w:szCs w:val="24"/>
        </w:rPr>
      </w:pPr>
    </w:p>
    <w:p w14:paraId="64CF11B2" w14:textId="77777777" w:rsidR="00841E55" w:rsidRPr="008F13F9" w:rsidRDefault="00841E55" w:rsidP="008F13F9">
      <w:pPr>
        <w:spacing w:line="360" w:lineRule="auto"/>
        <w:jc w:val="center"/>
        <w:rPr>
          <w:rFonts w:ascii="Arial" w:hAnsi="Arial" w:cs="Arial"/>
          <w:sz w:val="24"/>
          <w:szCs w:val="24"/>
        </w:rPr>
      </w:pPr>
    </w:p>
    <w:p w14:paraId="76E6C51C" w14:textId="77777777" w:rsidR="0064032D" w:rsidRPr="00095542" w:rsidRDefault="00B1170D" w:rsidP="008F13F9">
      <w:pPr>
        <w:spacing w:line="360" w:lineRule="auto"/>
        <w:jc w:val="center"/>
        <w:outlineLvl w:val="0"/>
        <w:rPr>
          <w:rFonts w:ascii="Arial" w:hAnsi="Arial" w:cs="Arial"/>
          <w:b/>
          <w:sz w:val="30"/>
          <w:szCs w:val="30"/>
        </w:rPr>
      </w:pPr>
      <w:r>
        <w:rPr>
          <w:rFonts w:ascii="Arial" w:hAnsi="Arial" w:cs="Arial"/>
          <w:b/>
          <w:sz w:val="30"/>
          <w:szCs w:val="30"/>
        </w:rPr>
        <w:t>Infekce dutiny ústní lidským papilomavirem</w:t>
      </w:r>
      <w:r w:rsidR="00841E55">
        <w:rPr>
          <w:rFonts w:ascii="Arial" w:hAnsi="Arial" w:cs="Arial"/>
          <w:b/>
          <w:sz w:val="30"/>
          <w:szCs w:val="30"/>
        </w:rPr>
        <w:t xml:space="preserve"> </w:t>
      </w:r>
    </w:p>
    <w:p w14:paraId="0E24AF26" w14:textId="77777777" w:rsidR="0064032D" w:rsidRDefault="0064032D" w:rsidP="008F13F9">
      <w:pPr>
        <w:spacing w:line="360" w:lineRule="auto"/>
        <w:jc w:val="both"/>
        <w:rPr>
          <w:rFonts w:ascii="Arial" w:hAnsi="Arial" w:cs="Arial"/>
          <w:sz w:val="24"/>
          <w:szCs w:val="24"/>
        </w:rPr>
      </w:pPr>
    </w:p>
    <w:p w14:paraId="305FEE8B" w14:textId="77777777" w:rsidR="00841E55" w:rsidRDefault="00841E55" w:rsidP="008F13F9">
      <w:pPr>
        <w:spacing w:line="360" w:lineRule="auto"/>
        <w:jc w:val="both"/>
        <w:rPr>
          <w:rFonts w:ascii="Arial" w:hAnsi="Arial" w:cs="Arial"/>
          <w:sz w:val="24"/>
          <w:szCs w:val="24"/>
        </w:rPr>
      </w:pPr>
    </w:p>
    <w:p w14:paraId="6B4F04A3" w14:textId="77777777" w:rsidR="00841E55" w:rsidRPr="008F13F9" w:rsidRDefault="00841E55" w:rsidP="008F13F9">
      <w:pPr>
        <w:spacing w:line="360" w:lineRule="auto"/>
        <w:jc w:val="both"/>
        <w:rPr>
          <w:rFonts w:ascii="Arial" w:hAnsi="Arial" w:cs="Arial"/>
          <w:sz w:val="24"/>
          <w:szCs w:val="24"/>
        </w:rPr>
      </w:pPr>
    </w:p>
    <w:p w14:paraId="5171DF9E" w14:textId="77777777" w:rsidR="0064032D" w:rsidRPr="008F13F9" w:rsidRDefault="0064032D" w:rsidP="008F13F9">
      <w:pPr>
        <w:spacing w:line="360" w:lineRule="auto"/>
        <w:jc w:val="both"/>
        <w:rPr>
          <w:rFonts w:ascii="Arial" w:hAnsi="Arial" w:cs="Arial"/>
          <w:sz w:val="24"/>
          <w:szCs w:val="24"/>
        </w:rPr>
      </w:pPr>
    </w:p>
    <w:p w14:paraId="189C9AB9" w14:textId="77777777" w:rsidR="0064032D" w:rsidRPr="008F13F9" w:rsidRDefault="0064032D" w:rsidP="008F13F9">
      <w:pPr>
        <w:spacing w:line="360" w:lineRule="auto"/>
        <w:jc w:val="center"/>
        <w:outlineLvl w:val="0"/>
        <w:rPr>
          <w:rFonts w:ascii="Arial" w:hAnsi="Arial" w:cs="Arial"/>
          <w:sz w:val="24"/>
          <w:szCs w:val="24"/>
        </w:rPr>
      </w:pPr>
      <w:r w:rsidRPr="008F13F9">
        <w:rPr>
          <w:rFonts w:ascii="Arial" w:hAnsi="Arial" w:cs="Arial"/>
          <w:sz w:val="24"/>
          <w:szCs w:val="24"/>
        </w:rPr>
        <w:t xml:space="preserve">Doktorandská disertační práce </w:t>
      </w:r>
    </w:p>
    <w:p w14:paraId="4AE87B61" w14:textId="77777777" w:rsidR="0064032D" w:rsidRPr="008F13F9" w:rsidRDefault="0064032D" w:rsidP="008F13F9">
      <w:pPr>
        <w:spacing w:line="360" w:lineRule="auto"/>
        <w:jc w:val="both"/>
        <w:rPr>
          <w:rFonts w:ascii="Arial" w:hAnsi="Arial" w:cs="Arial"/>
          <w:sz w:val="24"/>
          <w:szCs w:val="24"/>
        </w:rPr>
      </w:pPr>
    </w:p>
    <w:p w14:paraId="53D21FB7" w14:textId="77777777" w:rsidR="0064032D" w:rsidRPr="008F13F9" w:rsidRDefault="0064032D" w:rsidP="00095542">
      <w:pPr>
        <w:spacing w:line="360" w:lineRule="auto"/>
        <w:jc w:val="center"/>
        <w:rPr>
          <w:rFonts w:ascii="Arial" w:hAnsi="Arial" w:cs="Arial"/>
          <w:sz w:val="24"/>
          <w:szCs w:val="24"/>
        </w:rPr>
      </w:pPr>
    </w:p>
    <w:p w14:paraId="3F178367" w14:textId="77777777" w:rsidR="00841E55" w:rsidRDefault="00841E55" w:rsidP="00095542">
      <w:pPr>
        <w:spacing w:line="360" w:lineRule="auto"/>
        <w:jc w:val="center"/>
        <w:rPr>
          <w:rFonts w:ascii="Arial" w:hAnsi="Arial" w:cs="Arial"/>
          <w:sz w:val="24"/>
          <w:szCs w:val="24"/>
        </w:rPr>
      </w:pPr>
    </w:p>
    <w:p w14:paraId="0418CAAE" w14:textId="77777777" w:rsidR="00841E55" w:rsidRDefault="00841E55" w:rsidP="00095542">
      <w:pPr>
        <w:spacing w:line="360" w:lineRule="auto"/>
        <w:jc w:val="center"/>
        <w:rPr>
          <w:rFonts w:ascii="Arial" w:hAnsi="Arial" w:cs="Arial"/>
          <w:sz w:val="24"/>
          <w:szCs w:val="24"/>
        </w:rPr>
      </w:pPr>
    </w:p>
    <w:p w14:paraId="46243AE5" w14:textId="77777777" w:rsidR="00841E55" w:rsidRDefault="00841E55" w:rsidP="00095542">
      <w:pPr>
        <w:spacing w:line="360" w:lineRule="auto"/>
        <w:jc w:val="center"/>
        <w:rPr>
          <w:rFonts w:ascii="Arial" w:hAnsi="Arial" w:cs="Arial"/>
          <w:sz w:val="24"/>
          <w:szCs w:val="24"/>
        </w:rPr>
      </w:pPr>
    </w:p>
    <w:p w14:paraId="76F43A2E" w14:textId="77777777" w:rsidR="00841E55" w:rsidRDefault="00841E55" w:rsidP="00095542">
      <w:pPr>
        <w:spacing w:line="360" w:lineRule="auto"/>
        <w:jc w:val="center"/>
        <w:rPr>
          <w:rFonts w:ascii="Arial" w:hAnsi="Arial" w:cs="Arial"/>
          <w:sz w:val="24"/>
          <w:szCs w:val="24"/>
        </w:rPr>
      </w:pPr>
    </w:p>
    <w:p w14:paraId="1268F27F" w14:textId="77777777" w:rsidR="00841E55" w:rsidRDefault="00841E55" w:rsidP="00095542">
      <w:pPr>
        <w:spacing w:line="360" w:lineRule="auto"/>
        <w:jc w:val="center"/>
        <w:rPr>
          <w:rFonts w:ascii="Arial" w:hAnsi="Arial" w:cs="Arial"/>
          <w:sz w:val="24"/>
          <w:szCs w:val="24"/>
        </w:rPr>
      </w:pPr>
    </w:p>
    <w:p w14:paraId="5F2BA84F" w14:textId="77777777" w:rsidR="00841E55" w:rsidRDefault="00841E55" w:rsidP="00095542">
      <w:pPr>
        <w:spacing w:line="360" w:lineRule="auto"/>
        <w:jc w:val="center"/>
        <w:rPr>
          <w:rFonts w:ascii="Arial" w:hAnsi="Arial" w:cs="Arial"/>
          <w:sz w:val="24"/>
          <w:szCs w:val="24"/>
        </w:rPr>
      </w:pPr>
    </w:p>
    <w:p w14:paraId="28E4C50E" w14:textId="77777777" w:rsidR="0064032D" w:rsidRPr="008F13F9" w:rsidRDefault="00841E55" w:rsidP="00841E55">
      <w:pPr>
        <w:spacing w:line="360" w:lineRule="auto"/>
        <w:jc w:val="both"/>
        <w:rPr>
          <w:rFonts w:ascii="Arial" w:hAnsi="Arial" w:cs="Arial"/>
          <w:sz w:val="24"/>
          <w:szCs w:val="24"/>
        </w:rPr>
      </w:pPr>
      <w:r>
        <w:rPr>
          <w:rFonts w:ascii="Arial" w:hAnsi="Arial" w:cs="Arial"/>
          <w:sz w:val="24"/>
          <w:szCs w:val="24"/>
        </w:rPr>
        <w:t xml:space="preserve"> </w:t>
      </w:r>
      <w:r w:rsidR="00095542">
        <w:rPr>
          <w:rFonts w:ascii="Arial" w:hAnsi="Arial" w:cs="Arial"/>
          <w:sz w:val="24"/>
          <w:szCs w:val="24"/>
        </w:rPr>
        <w:t>Olomouc 2015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MUDr. Petr Michl</w:t>
      </w:r>
    </w:p>
    <w:p w14:paraId="6B686234" w14:textId="77777777" w:rsidR="0064032D" w:rsidRPr="008F13F9" w:rsidRDefault="0064032D" w:rsidP="008F13F9">
      <w:pPr>
        <w:spacing w:line="360" w:lineRule="auto"/>
        <w:jc w:val="both"/>
        <w:rPr>
          <w:rFonts w:ascii="Arial" w:hAnsi="Arial" w:cs="Arial"/>
          <w:b/>
          <w:sz w:val="24"/>
          <w:szCs w:val="24"/>
        </w:rPr>
      </w:pPr>
      <w:r w:rsidRPr="008F13F9">
        <w:rPr>
          <w:rFonts w:ascii="Arial" w:hAnsi="Arial" w:cs="Arial"/>
          <w:b/>
          <w:sz w:val="24"/>
          <w:szCs w:val="24"/>
        </w:rPr>
        <w:lastRenderedPageBreak/>
        <w:t>Obsah:</w:t>
      </w:r>
    </w:p>
    <w:p w14:paraId="1E8C66F8" w14:textId="28BE4F8E" w:rsidR="0064032D" w:rsidRDefault="00CB49B3" w:rsidP="008F13F9">
      <w:pPr>
        <w:spacing w:line="360" w:lineRule="auto"/>
        <w:jc w:val="both"/>
        <w:rPr>
          <w:rFonts w:ascii="Arial" w:hAnsi="Arial" w:cs="Arial"/>
          <w:sz w:val="24"/>
          <w:szCs w:val="24"/>
        </w:rPr>
      </w:pPr>
      <w:r>
        <w:rPr>
          <w:rFonts w:ascii="Arial" w:hAnsi="Arial" w:cs="Arial"/>
          <w:b/>
          <w:sz w:val="24"/>
          <w:szCs w:val="24"/>
        </w:rPr>
        <w:t>Prohlášení</w:t>
      </w:r>
      <w:r w:rsidR="0064032D" w:rsidRPr="008F13F9">
        <w:rPr>
          <w:rFonts w:ascii="Arial" w:hAnsi="Arial" w:cs="Arial"/>
          <w:sz w:val="24"/>
          <w:szCs w:val="24"/>
        </w:rPr>
        <w:t>…</w:t>
      </w:r>
      <w:r>
        <w:rPr>
          <w:rFonts w:ascii="Arial" w:hAnsi="Arial" w:cs="Arial"/>
          <w:sz w:val="24"/>
          <w:szCs w:val="24"/>
        </w:rPr>
        <w:t>........</w:t>
      </w:r>
      <w:r w:rsidR="0064032D" w:rsidRPr="008F13F9">
        <w:rPr>
          <w:rFonts w:ascii="Arial" w:hAnsi="Arial" w:cs="Arial"/>
          <w:sz w:val="24"/>
          <w:szCs w:val="24"/>
        </w:rPr>
        <w:t>.....................................................</w:t>
      </w:r>
      <w:r w:rsidR="00813D74">
        <w:rPr>
          <w:rFonts w:ascii="Arial" w:hAnsi="Arial" w:cs="Arial"/>
          <w:sz w:val="24"/>
          <w:szCs w:val="24"/>
        </w:rPr>
        <w:t>.........</w:t>
      </w:r>
      <w:r w:rsidR="00095542">
        <w:rPr>
          <w:rFonts w:ascii="Arial" w:hAnsi="Arial" w:cs="Arial"/>
          <w:sz w:val="24"/>
          <w:szCs w:val="24"/>
        </w:rPr>
        <w:t>......................4</w:t>
      </w:r>
    </w:p>
    <w:p w14:paraId="0B56F829" w14:textId="7E2AF2BE" w:rsidR="00095542" w:rsidRDefault="00CB49B3" w:rsidP="008F13F9">
      <w:pPr>
        <w:spacing w:line="360" w:lineRule="auto"/>
        <w:jc w:val="both"/>
        <w:rPr>
          <w:rFonts w:ascii="Arial" w:hAnsi="Arial" w:cs="Arial"/>
          <w:sz w:val="24"/>
          <w:szCs w:val="24"/>
        </w:rPr>
      </w:pPr>
      <w:r w:rsidRPr="008F13F9">
        <w:rPr>
          <w:rFonts w:ascii="Arial" w:hAnsi="Arial" w:cs="Arial"/>
          <w:b/>
          <w:sz w:val="24"/>
          <w:szCs w:val="24"/>
        </w:rPr>
        <w:t>Seznam zkratek</w:t>
      </w:r>
      <w:r>
        <w:rPr>
          <w:rFonts w:ascii="Arial" w:hAnsi="Arial" w:cs="Arial"/>
          <w:sz w:val="24"/>
          <w:szCs w:val="24"/>
        </w:rPr>
        <w:t xml:space="preserve">  </w:t>
      </w:r>
      <w:r w:rsidR="00095542">
        <w:rPr>
          <w:rFonts w:ascii="Arial" w:hAnsi="Arial" w:cs="Arial"/>
          <w:sz w:val="24"/>
          <w:szCs w:val="24"/>
        </w:rPr>
        <w:t>……………………………………………………………..5</w:t>
      </w:r>
    </w:p>
    <w:p w14:paraId="227AFBFC"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b/>
          <w:sz w:val="24"/>
          <w:szCs w:val="24"/>
        </w:rPr>
        <w:t>Úvod</w:t>
      </w:r>
      <w:r w:rsidRPr="008F13F9">
        <w:rPr>
          <w:rFonts w:ascii="Arial" w:hAnsi="Arial" w:cs="Arial"/>
          <w:sz w:val="24"/>
          <w:szCs w:val="24"/>
        </w:rPr>
        <w:t>…</w:t>
      </w:r>
      <w:r w:rsidR="00095542">
        <w:rPr>
          <w:rFonts w:ascii="Arial" w:hAnsi="Arial" w:cs="Arial"/>
          <w:sz w:val="24"/>
          <w:szCs w:val="24"/>
        </w:rPr>
        <w:t>………………………………………………………………………....6</w:t>
      </w:r>
    </w:p>
    <w:p w14:paraId="6321CA23"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b/>
          <w:sz w:val="24"/>
          <w:szCs w:val="24"/>
        </w:rPr>
        <w:t>Obecná část</w:t>
      </w:r>
      <w:r w:rsidRPr="008F13F9">
        <w:rPr>
          <w:rFonts w:ascii="Arial" w:hAnsi="Arial" w:cs="Arial"/>
          <w:sz w:val="24"/>
          <w:szCs w:val="24"/>
        </w:rPr>
        <w:t>…………………………………………………………………..7</w:t>
      </w:r>
    </w:p>
    <w:p w14:paraId="22548785" w14:textId="77777777" w:rsidR="0064032D" w:rsidRPr="008F13F9" w:rsidRDefault="0064032D" w:rsidP="008F13F9">
      <w:pPr>
        <w:numPr>
          <w:ilvl w:val="0"/>
          <w:numId w:val="17"/>
        </w:numPr>
        <w:spacing w:line="360" w:lineRule="auto"/>
        <w:jc w:val="both"/>
        <w:rPr>
          <w:rFonts w:ascii="Arial" w:hAnsi="Arial" w:cs="Arial"/>
          <w:sz w:val="24"/>
          <w:szCs w:val="24"/>
        </w:rPr>
      </w:pPr>
      <w:r w:rsidRPr="008F13F9">
        <w:rPr>
          <w:rFonts w:ascii="Arial" w:hAnsi="Arial" w:cs="Arial"/>
          <w:sz w:val="24"/>
          <w:szCs w:val="24"/>
        </w:rPr>
        <w:t>Buněčný cyklus a jeho regulace………………………………………...7</w:t>
      </w:r>
    </w:p>
    <w:p w14:paraId="1FDFB4E3" w14:textId="77777777" w:rsidR="0064032D" w:rsidRPr="008F13F9" w:rsidRDefault="0064032D" w:rsidP="008F13F9">
      <w:pPr>
        <w:numPr>
          <w:ilvl w:val="1"/>
          <w:numId w:val="17"/>
        </w:numPr>
        <w:spacing w:line="360" w:lineRule="auto"/>
        <w:jc w:val="both"/>
        <w:rPr>
          <w:rFonts w:ascii="Arial" w:hAnsi="Arial" w:cs="Arial"/>
          <w:sz w:val="24"/>
          <w:szCs w:val="24"/>
        </w:rPr>
      </w:pPr>
      <w:r w:rsidRPr="008F13F9">
        <w:rPr>
          <w:rFonts w:ascii="Arial" w:hAnsi="Arial" w:cs="Arial"/>
          <w:sz w:val="24"/>
          <w:szCs w:val="24"/>
        </w:rPr>
        <w:t>Základní fáze buněčného cyklu……………………………..7</w:t>
      </w:r>
    </w:p>
    <w:p w14:paraId="642B2B73" w14:textId="77777777" w:rsidR="0064032D" w:rsidRPr="008F13F9" w:rsidRDefault="0064032D" w:rsidP="008F13F9">
      <w:pPr>
        <w:numPr>
          <w:ilvl w:val="1"/>
          <w:numId w:val="17"/>
        </w:numPr>
        <w:spacing w:line="360" w:lineRule="auto"/>
        <w:jc w:val="both"/>
        <w:rPr>
          <w:rFonts w:ascii="Arial" w:hAnsi="Arial" w:cs="Arial"/>
          <w:sz w:val="24"/>
          <w:szCs w:val="24"/>
        </w:rPr>
      </w:pPr>
      <w:r w:rsidRPr="008F13F9">
        <w:rPr>
          <w:rFonts w:ascii="Arial" w:hAnsi="Arial" w:cs="Arial"/>
          <w:sz w:val="24"/>
          <w:szCs w:val="24"/>
        </w:rPr>
        <w:t>Maligní transformace buněčného cyklu…………………….8</w:t>
      </w:r>
    </w:p>
    <w:p w14:paraId="672EC373" w14:textId="77777777" w:rsidR="0064032D" w:rsidRPr="008F13F9" w:rsidRDefault="0064032D" w:rsidP="008F13F9">
      <w:pPr>
        <w:numPr>
          <w:ilvl w:val="2"/>
          <w:numId w:val="17"/>
        </w:numPr>
        <w:spacing w:line="360" w:lineRule="auto"/>
        <w:jc w:val="both"/>
        <w:rPr>
          <w:rFonts w:ascii="Arial" w:hAnsi="Arial" w:cs="Arial"/>
          <w:sz w:val="24"/>
          <w:szCs w:val="24"/>
        </w:rPr>
      </w:pPr>
      <w:r w:rsidRPr="008F13F9">
        <w:rPr>
          <w:rFonts w:ascii="Arial" w:hAnsi="Arial" w:cs="Arial"/>
          <w:sz w:val="24"/>
          <w:szCs w:val="24"/>
        </w:rPr>
        <w:t>Protoonkogeny………………………………………...8</w:t>
      </w:r>
    </w:p>
    <w:p w14:paraId="080D0978" w14:textId="77777777" w:rsidR="0064032D" w:rsidRPr="008F13F9" w:rsidRDefault="00095542" w:rsidP="008F13F9">
      <w:pPr>
        <w:numPr>
          <w:ilvl w:val="2"/>
          <w:numId w:val="17"/>
        </w:numPr>
        <w:spacing w:line="360" w:lineRule="auto"/>
        <w:jc w:val="both"/>
        <w:rPr>
          <w:rFonts w:ascii="Arial" w:hAnsi="Arial" w:cs="Arial"/>
          <w:sz w:val="24"/>
          <w:szCs w:val="24"/>
        </w:rPr>
      </w:pPr>
      <w:r>
        <w:rPr>
          <w:rFonts w:ascii="Arial" w:hAnsi="Arial" w:cs="Arial"/>
          <w:sz w:val="24"/>
          <w:szCs w:val="24"/>
        </w:rPr>
        <w:t>Antionkogeny…………………………………………</w:t>
      </w:r>
      <w:r w:rsidR="0064032D" w:rsidRPr="008F13F9">
        <w:rPr>
          <w:rFonts w:ascii="Arial" w:hAnsi="Arial" w:cs="Arial"/>
          <w:sz w:val="24"/>
          <w:szCs w:val="24"/>
        </w:rPr>
        <w:t>10</w:t>
      </w:r>
    </w:p>
    <w:p w14:paraId="7730E947" w14:textId="7564B410"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2.Spinocelulární karci</w:t>
      </w:r>
      <w:r w:rsidR="00095542">
        <w:rPr>
          <w:rFonts w:ascii="Arial" w:hAnsi="Arial" w:cs="Arial"/>
          <w:sz w:val="24"/>
          <w:szCs w:val="24"/>
        </w:rPr>
        <w:t>nomy dutin ústní…………………………………….</w:t>
      </w:r>
      <w:r w:rsidR="00CB49B3">
        <w:rPr>
          <w:rFonts w:ascii="Arial" w:hAnsi="Arial" w:cs="Arial"/>
          <w:sz w:val="24"/>
          <w:szCs w:val="24"/>
        </w:rPr>
        <w:t>12</w:t>
      </w:r>
    </w:p>
    <w:p w14:paraId="2A723AD6"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2.1. Teorie</w:t>
      </w:r>
      <w:r w:rsidR="00095542">
        <w:rPr>
          <w:rFonts w:ascii="Arial" w:hAnsi="Arial" w:cs="Arial"/>
          <w:sz w:val="24"/>
          <w:szCs w:val="24"/>
        </w:rPr>
        <w:t xml:space="preserve"> kancerogeneze………………………………………….</w:t>
      </w:r>
      <w:r w:rsidRPr="008F13F9">
        <w:rPr>
          <w:rFonts w:ascii="Arial" w:hAnsi="Arial" w:cs="Arial"/>
          <w:sz w:val="24"/>
          <w:szCs w:val="24"/>
        </w:rPr>
        <w:t>12</w:t>
      </w:r>
    </w:p>
    <w:p w14:paraId="7B47E8E6" w14:textId="05AE3C05"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2.1.1. Mechanismus kan</w:t>
      </w:r>
      <w:r w:rsidR="0042146B">
        <w:rPr>
          <w:rFonts w:ascii="Arial" w:hAnsi="Arial" w:cs="Arial"/>
          <w:sz w:val="24"/>
          <w:szCs w:val="24"/>
        </w:rPr>
        <w:t>cerogenního účinku u k</w:t>
      </w:r>
      <w:r w:rsidR="00CB49B3">
        <w:rPr>
          <w:rFonts w:ascii="Arial" w:hAnsi="Arial" w:cs="Arial"/>
          <w:sz w:val="24"/>
          <w:szCs w:val="24"/>
        </w:rPr>
        <w:t>uřáků…..14</w:t>
      </w:r>
    </w:p>
    <w:p w14:paraId="10BEB27F" w14:textId="4A794E2B"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2.1.2. Kancerogenní efekt konzumace alkoh</w:t>
      </w:r>
      <w:r w:rsidR="0042146B">
        <w:rPr>
          <w:rFonts w:ascii="Arial" w:hAnsi="Arial" w:cs="Arial"/>
          <w:sz w:val="24"/>
          <w:szCs w:val="24"/>
        </w:rPr>
        <w:t>olu………….</w:t>
      </w:r>
      <w:r w:rsidR="00CB49B3">
        <w:rPr>
          <w:rFonts w:ascii="Arial" w:hAnsi="Arial" w:cs="Arial"/>
          <w:sz w:val="24"/>
          <w:szCs w:val="24"/>
        </w:rPr>
        <w:t>14</w:t>
      </w:r>
    </w:p>
    <w:p w14:paraId="7ED27E2F"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2.1.3. Mechanické dráždění a malhygiena jako etiologické</w:t>
      </w:r>
    </w:p>
    <w:p w14:paraId="6C3FDF49" w14:textId="075C25F3"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 xml:space="preserve">          fakt</w:t>
      </w:r>
      <w:r w:rsidR="00CB49B3">
        <w:rPr>
          <w:rFonts w:ascii="Arial" w:hAnsi="Arial" w:cs="Arial"/>
          <w:sz w:val="24"/>
          <w:szCs w:val="24"/>
        </w:rPr>
        <w:t>ory kancerogeneze……………………………….15</w:t>
      </w:r>
    </w:p>
    <w:p w14:paraId="6965EA6E" w14:textId="2FCE35BA"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2.1.4 Vliv lidského pap</w:t>
      </w:r>
      <w:r w:rsidR="00CB49B3">
        <w:rPr>
          <w:rFonts w:ascii="Arial" w:hAnsi="Arial" w:cs="Arial"/>
          <w:sz w:val="24"/>
          <w:szCs w:val="24"/>
        </w:rPr>
        <w:t>ilomaviru na vznik OFK…………....15</w:t>
      </w:r>
    </w:p>
    <w:p w14:paraId="05DF61FE" w14:textId="531BFA33"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2.2. Diagnostika karcinom</w:t>
      </w:r>
      <w:r w:rsidR="00CB49B3">
        <w:rPr>
          <w:rFonts w:ascii="Arial" w:hAnsi="Arial" w:cs="Arial"/>
          <w:sz w:val="24"/>
          <w:szCs w:val="24"/>
        </w:rPr>
        <w:t>u dutiny ústní…………………...……....16</w:t>
      </w:r>
    </w:p>
    <w:p w14:paraId="65BF138E" w14:textId="6A3A3E49"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2.2.1. Anamnéza………</w:t>
      </w:r>
      <w:r w:rsidR="00CB49B3">
        <w:rPr>
          <w:rFonts w:ascii="Arial" w:hAnsi="Arial" w:cs="Arial"/>
          <w:sz w:val="24"/>
          <w:szCs w:val="24"/>
        </w:rPr>
        <w:t>……………………………………...17</w:t>
      </w:r>
    </w:p>
    <w:p w14:paraId="6E5E16F5" w14:textId="264C934D"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2.2.2. Klini</w:t>
      </w:r>
      <w:r w:rsidR="00CB49B3">
        <w:rPr>
          <w:rFonts w:ascii="Arial" w:hAnsi="Arial" w:cs="Arial"/>
          <w:sz w:val="24"/>
          <w:szCs w:val="24"/>
        </w:rPr>
        <w:t>cké vyšetření………………………………….…..17</w:t>
      </w:r>
    </w:p>
    <w:p w14:paraId="2AA3B62F" w14:textId="54E852B5"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2.2.3. Histopa</w:t>
      </w:r>
      <w:r w:rsidR="00CB49B3">
        <w:rPr>
          <w:rFonts w:ascii="Arial" w:hAnsi="Arial" w:cs="Arial"/>
          <w:sz w:val="24"/>
          <w:szCs w:val="24"/>
        </w:rPr>
        <w:t>tologické vyšetření……………………………17</w:t>
      </w:r>
    </w:p>
    <w:p w14:paraId="6590E23E" w14:textId="4891328B"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2.2.4. M</w:t>
      </w:r>
      <w:r w:rsidR="00CB49B3">
        <w:rPr>
          <w:rFonts w:ascii="Arial" w:hAnsi="Arial" w:cs="Arial"/>
          <w:sz w:val="24"/>
          <w:szCs w:val="24"/>
        </w:rPr>
        <w:t>etastázy……………………………………………....18</w:t>
      </w:r>
    </w:p>
    <w:p w14:paraId="02445512" w14:textId="3D04E9E2"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2.2.5. Zobraz</w:t>
      </w:r>
      <w:r w:rsidR="007D4C85">
        <w:rPr>
          <w:rFonts w:ascii="Arial" w:hAnsi="Arial" w:cs="Arial"/>
          <w:sz w:val="24"/>
          <w:szCs w:val="24"/>
        </w:rPr>
        <w:t xml:space="preserve">ovací </w:t>
      </w:r>
      <w:r w:rsidR="00CB49B3">
        <w:rPr>
          <w:rFonts w:ascii="Arial" w:hAnsi="Arial" w:cs="Arial"/>
          <w:sz w:val="24"/>
          <w:szCs w:val="24"/>
        </w:rPr>
        <w:t>metody</w:t>
      </w:r>
      <w:r w:rsidR="007D4C85">
        <w:rPr>
          <w:rFonts w:ascii="Arial" w:hAnsi="Arial" w:cs="Arial"/>
          <w:sz w:val="24"/>
          <w:szCs w:val="24"/>
        </w:rPr>
        <w:t>…</w:t>
      </w:r>
      <w:r w:rsidR="00CB49B3">
        <w:rPr>
          <w:rFonts w:ascii="Arial" w:hAnsi="Arial" w:cs="Arial"/>
          <w:sz w:val="24"/>
          <w:szCs w:val="24"/>
        </w:rPr>
        <w:t>...</w:t>
      </w:r>
      <w:r w:rsidR="007D4C85">
        <w:rPr>
          <w:rFonts w:ascii="Arial" w:hAnsi="Arial" w:cs="Arial"/>
          <w:sz w:val="24"/>
          <w:szCs w:val="24"/>
        </w:rPr>
        <w:t>…………………………….</w:t>
      </w:r>
      <w:r w:rsidR="00CB49B3">
        <w:rPr>
          <w:rFonts w:ascii="Arial" w:hAnsi="Arial" w:cs="Arial"/>
          <w:sz w:val="24"/>
          <w:szCs w:val="24"/>
        </w:rPr>
        <w:t>..21</w:t>
      </w:r>
    </w:p>
    <w:p w14:paraId="12804046" w14:textId="77777777" w:rsidR="0064032D" w:rsidRPr="008F13F9" w:rsidRDefault="0064032D" w:rsidP="008F13F9">
      <w:pPr>
        <w:spacing w:line="360" w:lineRule="auto"/>
        <w:jc w:val="both"/>
        <w:rPr>
          <w:rFonts w:ascii="Arial" w:hAnsi="Arial" w:cs="Arial"/>
          <w:sz w:val="24"/>
          <w:szCs w:val="24"/>
        </w:rPr>
      </w:pPr>
    </w:p>
    <w:p w14:paraId="5D2E81C4" w14:textId="4C4A032B"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2.3. Biologické vlastnosti a prognóza karcinomů</w:t>
      </w:r>
      <w:r w:rsidR="00CB49B3">
        <w:rPr>
          <w:rFonts w:ascii="Arial" w:hAnsi="Arial" w:cs="Arial"/>
          <w:sz w:val="24"/>
          <w:szCs w:val="24"/>
        </w:rPr>
        <w:t>……………….....21</w:t>
      </w:r>
    </w:p>
    <w:p w14:paraId="5C351FDB" w14:textId="15A1A57D"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2.3.1. Staging n</w:t>
      </w:r>
      <w:r w:rsidR="00CB49B3">
        <w:rPr>
          <w:rFonts w:ascii="Arial" w:hAnsi="Arial" w:cs="Arial"/>
          <w:sz w:val="24"/>
          <w:szCs w:val="24"/>
        </w:rPr>
        <w:t>ádorového onemocnění…………………...21</w:t>
      </w:r>
    </w:p>
    <w:p w14:paraId="7D1404B9" w14:textId="5ED4869C"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t>2.3.1.1.</w:t>
      </w:r>
      <w:r w:rsidR="00550FAB">
        <w:rPr>
          <w:rFonts w:ascii="Arial" w:hAnsi="Arial" w:cs="Arial"/>
          <w:sz w:val="24"/>
          <w:szCs w:val="24"/>
        </w:rPr>
        <w:t xml:space="preserve"> TNM klasifikace………………………….......21</w:t>
      </w:r>
    </w:p>
    <w:p w14:paraId="04062A31" w14:textId="327F03E9"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t>2.3.1.2. Stádium</w:t>
      </w:r>
      <w:r w:rsidR="00550FAB">
        <w:rPr>
          <w:rFonts w:ascii="Arial" w:hAnsi="Arial" w:cs="Arial"/>
          <w:sz w:val="24"/>
          <w:szCs w:val="24"/>
        </w:rPr>
        <w:t xml:space="preserve"> onkologického onemocnění……...22</w:t>
      </w:r>
    </w:p>
    <w:p w14:paraId="7B8D4C60"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2.3.2. Grading n</w:t>
      </w:r>
      <w:r w:rsidR="007D4C85">
        <w:rPr>
          <w:rFonts w:ascii="Arial" w:hAnsi="Arial" w:cs="Arial"/>
          <w:sz w:val="24"/>
          <w:szCs w:val="24"/>
        </w:rPr>
        <w:t>ádorového onemocnění…………………...23</w:t>
      </w:r>
    </w:p>
    <w:p w14:paraId="76B7F004" w14:textId="3A9334F2"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3. Léčba tumorů d</w:t>
      </w:r>
      <w:r w:rsidR="00550FAB">
        <w:rPr>
          <w:rFonts w:ascii="Arial" w:hAnsi="Arial" w:cs="Arial"/>
          <w:sz w:val="24"/>
          <w:szCs w:val="24"/>
        </w:rPr>
        <w:t>utiny ústní…………………………………………………24</w:t>
      </w:r>
    </w:p>
    <w:p w14:paraId="097FAE16" w14:textId="3981463D"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3.1. Chirur</w:t>
      </w:r>
      <w:r w:rsidR="00550FAB">
        <w:rPr>
          <w:rFonts w:ascii="Arial" w:hAnsi="Arial" w:cs="Arial"/>
          <w:sz w:val="24"/>
          <w:szCs w:val="24"/>
        </w:rPr>
        <w:t>gická léčba…………………………………………………24</w:t>
      </w:r>
    </w:p>
    <w:p w14:paraId="02463360" w14:textId="2644801E"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3.1.1. Odstranění primá</w:t>
      </w:r>
      <w:r w:rsidR="00550FAB">
        <w:rPr>
          <w:rFonts w:ascii="Arial" w:hAnsi="Arial" w:cs="Arial"/>
          <w:sz w:val="24"/>
          <w:szCs w:val="24"/>
        </w:rPr>
        <w:t>rního ložiska tumoru……………....24</w:t>
      </w:r>
    </w:p>
    <w:p w14:paraId="5A2D91E3" w14:textId="400F682D"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3.1.2. Krční bl</w:t>
      </w:r>
      <w:r w:rsidR="00550FAB">
        <w:rPr>
          <w:rFonts w:ascii="Arial" w:hAnsi="Arial" w:cs="Arial"/>
          <w:sz w:val="24"/>
          <w:szCs w:val="24"/>
        </w:rPr>
        <w:t>oková disekce………………………………....25</w:t>
      </w:r>
    </w:p>
    <w:p w14:paraId="21428B29" w14:textId="1E385C63"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3.2. Radiot</w:t>
      </w:r>
      <w:r w:rsidR="007D4C85">
        <w:rPr>
          <w:rFonts w:ascii="Arial" w:hAnsi="Arial" w:cs="Arial"/>
          <w:sz w:val="24"/>
          <w:szCs w:val="24"/>
        </w:rPr>
        <w:t>erapie…………………………………………………</w:t>
      </w:r>
      <w:r w:rsidR="00550FAB">
        <w:rPr>
          <w:rFonts w:ascii="Arial" w:hAnsi="Arial" w:cs="Arial"/>
          <w:sz w:val="24"/>
          <w:szCs w:val="24"/>
        </w:rPr>
        <w:t>..…..26</w:t>
      </w:r>
    </w:p>
    <w:p w14:paraId="10E15846" w14:textId="06F0E716"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3.3. Chem</w:t>
      </w:r>
      <w:r w:rsidR="00550FAB">
        <w:rPr>
          <w:rFonts w:ascii="Arial" w:hAnsi="Arial" w:cs="Arial"/>
          <w:sz w:val="24"/>
          <w:szCs w:val="24"/>
        </w:rPr>
        <w:t>oterapie……………………………………………………..28</w:t>
      </w:r>
    </w:p>
    <w:p w14:paraId="300427A2"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3.4. Biologi</w:t>
      </w:r>
      <w:r w:rsidR="007D4C85">
        <w:rPr>
          <w:rFonts w:ascii="Arial" w:hAnsi="Arial" w:cs="Arial"/>
          <w:sz w:val="24"/>
          <w:szCs w:val="24"/>
        </w:rPr>
        <w:t>cká léčba…………………………………………………..29</w:t>
      </w:r>
    </w:p>
    <w:p w14:paraId="2A714027" w14:textId="75A9D893"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4. Lidské transformu</w:t>
      </w:r>
      <w:r w:rsidR="00550FAB">
        <w:rPr>
          <w:rFonts w:ascii="Arial" w:hAnsi="Arial" w:cs="Arial"/>
          <w:sz w:val="24"/>
          <w:szCs w:val="24"/>
        </w:rPr>
        <w:t>jící viry…………………………………………………..29</w:t>
      </w:r>
    </w:p>
    <w:p w14:paraId="55B6EAE3" w14:textId="1722016C"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5. Lidský papiloma</w:t>
      </w:r>
      <w:r w:rsidR="00550FAB">
        <w:rPr>
          <w:rFonts w:ascii="Arial" w:hAnsi="Arial" w:cs="Arial"/>
          <w:sz w:val="24"/>
          <w:szCs w:val="24"/>
        </w:rPr>
        <w:t>virus…………………………………………………….....31</w:t>
      </w:r>
    </w:p>
    <w:p w14:paraId="655DF4AF" w14:textId="4FB7A628"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5.1. Přeno</w:t>
      </w:r>
      <w:r w:rsidR="00550FAB">
        <w:rPr>
          <w:rFonts w:ascii="Arial" w:hAnsi="Arial" w:cs="Arial"/>
          <w:sz w:val="24"/>
          <w:szCs w:val="24"/>
        </w:rPr>
        <w:t>s infekce………………………………………………...….33</w:t>
      </w:r>
    </w:p>
    <w:p w14:paraId="6080BED4" w14:textId="381575DA"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5.2. Mechanismus infekc</w:t>
      </w:r>
      <w:r w:rsidR="00550FAB">
        <w:rPr>
          <w:rFonts w:ascii="Arial" w:hAnsi="Arial" w:cs="Arial"/>
          <w:sz w:val="24"/>
          <w:szCs w:val="24"/>
        </w:rPr>
        <w:t>e buňky virem HPV……………………....34</w:t>
      </w:r>
    </w:p>
    <w:p w14:paraId="4625C260" w14:textId="4760056D"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t>5.3. Charakteristika pacie</w:t>
      </w:r>
      <w:r w:rsidR="00550FAB">
        <w:rPr>
          <w:rFonts w:ascii="Arial" w:hAnsi="Arial" w:cs="Arial"/>
          <w:sz w:val="24"/>
          <w:szCs w:val="24"/>
        </w:rPr>
        <w:t>ntů s HPV+ karcinomem………………..35</w:t>
      </w:r>
    </w:p>
    <w:p w14:paraId="319EC447" w14:textId="0C964BBC" w:rsidR="0064032D" w:rsidRPr="008F13F9" w:rsidRDefault="007D4C85" w:rsidP="008F13F9">
      <w:pPr>
        <w:spacing w:line="360" w:lineRule="auto"/>
        <w:jc w:val="both"/>
        <w:rPr>
          <w:rFonts w:ascii="Arial" w:hAnsi="Arial" w:cs="Arial"/>
          <w:sz w:val="24"/>
          <w:szCs w:val="24"/>
        </w:rPr>
      </w:pPr>
      <w:r>
        <w:rPr>
          <w:rFonts w:ascii="Arial" w:hAnsi="Arial" w:cs="Arial"/>
          <w:sz w:val="24"/>
          <w:szCs w:val="24"/>
        </w:rPr>
        <w:tab/>
        <w:t>5.4. D</w:t>
      </w:r>
      <w:r w:rsidR="0064032D" w:rsidRPr="008F13F9">
        <w:rPr>
          <w:rFonts w:ascii="Arial" w:hAnsi="Arial" w:cs="Arial"/>
          <w:sz w:val="24"/>
          <w:szCs w:val="24"/>
        </w:rPr>
        <w:t>etekce lidsk</w:t>
      </w:r>
      <w:r w:rsidR="00550FAB">
        <w:rPr>
          <w:rFonts w:ascii="Arial" w:hAnsi="Arial" w:cs="Arial"/>
          <w:sz w:val="24"/>
          <w:szCs w:val="24"/>
        </w:rPr>
        <w:t>ého papilomaviru……………………………….…37</w:t>
      </w:r>
    </w:p>
    <w:p w14:paraId="32DCA4BF"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 xml:space="preserve">5.4.1. Histologická detekce infekce lidským </w:t>
      </w:r>
    </w:p>
    <w:p w14:paraId="55A8FBC4" w14:textId="44124964"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 xml:space="preserve">                                p</w:t>
      </w:r>
      <w:r w:rsidR="007D4C85">
        <w:rPr>
          <w:rFonts w:ascii="Arial" w:hAnsi="Arial" w:cs="Arial"/>
          <w:sz w:val="24"/>
          <w:szCs w:val="24"/>
        </w:rPr>
        <w:t>apilomavirem………………</w:t>
      </w:r>
      <w:r w:rsidR="00550FAB">
        <w:rPr>
          <w:rFonts w:ascii="Arial" w:hAnsi="Arial" w:cs="Arial"/>
          <w:sz w:val="24"/>
          <w:szCs w:val="24"/>
        </w:rPr>
        <w:t>…………………………..38</w:t>
      </w:r>
    </w:p>
    <w:p w14:paraId="4ECF79E0" w14:textId="589CAB28"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b/>
      </w:r>
      <w:r w:rsidRPr="008F13F9">
        <w:rPr>
          <w:rFonts w:ascii="Arial" w:hAnsi="Arial" w:cs="Arial"/>
          <w:sz w:val="24"/>
          <w:szCs w:val="24"/>
        </w:rPr>
        <w:tab/>
        <w:t>5.4.2. Laboratorní diagnostika HPV infekce…</w:t>
      </w:r>
      <w:r w:rsidR="00550FAB">
        <w:rPr>
          <w:rFonts w:ascii="Arial" w:hAnsi="Arial" w:cs="Arial"/>
          <w:sz w:val="24"/>
          <w:szCs w:val="24"/>
        </w:rPr>
        <w:t>………….......38</w:t>
      </w:r>
    </w:p>
    <w:p w14:paraId="088360E4" w14:textId="77777777" w:rsidR="0064032D" w:rsidRPr="008F13F9" w:rsidRDefault="0064032D" w:rsidP="008F13F9">
      <w:pPr>
        <w:spacing w:line="360" w:lineRule="auto"/>
        <w:jc w:val="both"/>
        <w:rPr>
          <w:rFonts w:ascii="Arial" w:hAnsi="Arial" w:cs="Arial"/>
          <w:sz w:val="24"/>
          <w:szCs w:val="24"/>
        </w:rPr>
      </w:pPr>
    </w:p>
    <w:p w14:paraId="3328CE7D" w14:textId="77777777" w:rsidR="0064032D" w:rsidRPr="008F13F9" w:rsidRDefault="0064032D" w:rsidP="008F13F9">
      <w:pPr>
        <w:spacing w:line="360" w:lineRule="auto"/>
        <w:jc w:val="both"/>
        <w:rPr>
          <w:rFonts w:ascii="Arial" w:hAnsi="Arial" w:cs="Arial"/>
          <w:sz w:val="24"/>
          <w:szCs w:val="24"/>
        </w:rPr>
      </w:pPr>
    </w:p>
    <w:p w14:paraId="15D64081" w14:textId="77777777" w:rsidR="00550FAB" w:rsidRDefault="0064032D" w:rsidP="00550FAB">
      <w:pPr>
        <w:spacing w:line="360" w:lineRule="auto"/>
        <w:jc w:val="both"/>
        <w:rPr>
          <w:rFonts w:ascii="Arial" w:hAnsi="Arial" w:cs="Arial"/>
          <w:sz w:val="24"/>
          <w:szCs w:val="24"/>
        </w:rPr>
      </w:pPr>
      <w:r w:rsidRPr="008F13F9">
        <w:rPr>
          <w:rFonts w:ascii="Arial" w:hAnsi="Arial" w:cs="Arial"/>
          <w:b/>
          <w:sz w:val="24"/>
          <w:szCs w:val="24"/>
        </w:rPr>
        <w:t>Speciální část</w:t>
      </w:r>
      <w:r w:rsidR="00550FAB">
        <w:rPr>
          <w:rFonts w:ascii="Arial" w:hAnsi="Arial" w:cs="Arial"/>
          <w:sz w:val="24"/>
          <w:szCs w:val="24"/>
        </w:rPr>
        <w:t>………………………………………………………………….42</w:t>
      </w:r>
    </w:p>
    <w:p w14:paraId="7F4016D8" w14:textId="325F7BBF" w:rsidR="00550FAB" w:rsidRDefault="00550FAB" w:rsidP="00550FAB">
      <w:pPr>
        <w:spacing w:line="360" w:lineRule="auto"/>
        <w:jc w:val="both"/>
        <w:rPr>
          <w:rFonts w:ascii="Arial" w:hAnsi="Arial" w:cs="Arial"/>
          <w:sz w:val="24"/>
          <w:szCs w:val="24"/>
        </w:rPr>
      </w:pPr>
      <w:r>
        <w:rPr>
          <w:rFonts w:ascii="Arial" w:hAnsi="Arial" w:cs="Arial"/>
          <w:sz w:val="24"/>
          <w:szCs w:val="24"/>
        </w:rPr>
        <w:tab/>
        <w:t xml:space="preserve">6. </w:t>
      </w:r>
      <w:r w:rsidR="0064032D" w:rsidRPr="008F13F9">
        <w:rPr>
          <w:rFonts w:ascii="Arial" w:hAnsi="Arial" w:cs="Arial"/>
          <w:sz w:val="24"/>
          <w:szCs w:val="24"/>
        </w:rPr>
        <w:t>Cíl prá</w:t>
      </w:r>
      <w:r>
        <w:rPr>
          <w:rFonts w:ascii="Arial" w:hAnsi="Arial" w:cs="Arial"/>
          <w:sz w:val="24"/>
          <w:szCs w:val="24"/>
        </w:rPr>
        <w:t>ce……...……………………………………………………....42</w:t>
      </w:r>
    </w:p>
    <w:p w14:paraId="2D33E356" w14:textId="77777777" w:rsidR="00550FAB" w:rsidRDefault="00550FAB" w:rsidP="00550FAB">
      <w:pPr>
        <w:spacing w:line="360" w:lineRule="auto"/>
        <w:jc w:val="both"/>
        <w:rPr>
          <w:rFonts w:ascii="Arial" w:hAnsi="Arial" w:cs="Arial"/>
          <w:sz w:val="24"/>
          <w:szCs w:val="24"/>
        </w:rPr>
      </w:pPr>
      <w:r>
        <w:rPr>
          <w:rFonts w:ascii="Arial" w:hAnsi="Arial" w:cs="Arial"/>
          <w:sz w:val="24"/>
          <w:szCs w:val="24"/>
        </w:rPr>
        <w:tab/>
        <w:t xml:space="preserve">7. </w:t>
      </w:r>
      <w:r w:rsidR="0064032D" w:rsidRPr="008F13F9">
        <w:rPr>
          <w:rFonts w:ascii="Arial" w:hAnsi="Arial" w:cs="Arial"/>
          <w:sz w:val="24"/>
          <w:szCs w:val="24"/>
        </w:rPr>
        <w:t>Materiál a</w:t>
      </w:r>
      <w:r>
        <w:rPr>
          <w:rFonts w:ascii="Arial" w:hAnsi="Arial" w:cs="Arial"/>
          <w:sz w:val="24"/>
          <w:szCs w:val="24"/>
        </w:rPr>
        <w:t xml:space="preserve"> metodika………………………………………………….42</w:t>
      </w:r>
    </w:p>
    <w:p w14:paraId="219EC615" w14:textId="4444664C" w:rsidR="0064032D" w:rsidRDefault="00550FAB" w:rsidP="00550FAB">
      <w:pPr>
        <w:spacing w:line="360" w:lineRule="auto"/>
        <w:jc w:val="both"/>
        <w:rPr>
          <w:rFonts w:ascii="Arial" w:hAnsi="Arial" w:cs="Arial"/>
          <w:sz w:val="24"/>
          <w:szCs w:val="24"/>
        </w:rPr>
      </w:pPr>
      <w:r>
        <w:rPr>
          <w:rFonts w:ascii="Arial" w:hAnsi="Arial" w:cs="Arial"/>
          <w:sz w:val="24"/>
          <w:szCs w:val="24"/>
        </w:rPr>
        <w:tab/>
        <w:t xml:space="preserve">8. </w:t>
      </w:r>
      <w:r w:rsidR="0064032D" w:rsidRPr="008F13F9">
        <w:rPr>
          <w:rFonts w:ascii="Arial" w:hAnsi="Arial" w:cs="Arial"/>
          <w:sz w:val="24"/>
          <w:szCs w:val="24"/>
        </w:rPr>
        <w:t>Výsledky…</w:t>
      </w:r>
      <w:r>
        <w:rPr>
          <w:rFonts w:ascii="Arial" w:hAnsi="Arial" w:cs="Arial"/>
          <w:sz w:val="24"/>
          <w:szCs w:val="24"/>
        </w:rPr>
        <w:t>……………………………………………………….......46</w:t>
      </w:r>
    </w:p>
    <w:p w14:paraId="50197EFD" w14:textId="7FEABD5D" w:rsidR="00550FAB" w:rsidRDefault="00550FAB" w:rsidP="00550FAB">
      <w:pPr>
        <w:spacing w:line="360" w:lineRule="auto"/>
        <w:jc w:val="both"/>
        <w:rPr>
          <w:rFonts w:ascii="Arial" w:hAnsi="Arial" w:cs="Arial"/>
          <w:sz w:val="24"/>
          <w:szCs w:val="24"/>
        </w:rPr>
      </w:pPr>
      <w:r>
        <w:rPr>
          <w:rFonts w:ascii="Arial" w:hAnsi="Arial" w:cs="Arial"/>
          <w:sz w:val="24"/>
          <w:szCs w:val="24"/>
        </w:rPr>
        <w:tab/>
        <w:t xml:space="preserve">        8.1. Výsledky statistického zpracování souboru pacientek......46</w:t>
      </w:r>
    </w:p>
    <w:p w14:paraId="7EA0F4CC" w14:textId="0AC1CFF2" w:rsidR="00550FAB" w:rsidRDefault="00550FAB" w:rsidP="00550FAB">
      <w:pPr>
        <w:spacing w:line="360" w:lineRule="auto"/>
        <w:jc w:val="both"/>
        <w:rPr>
          <w:rFonts w:ascii="Arial" w:hAnsi="Arial" w:cs="Arial"/>
          <w:sz w:val="24"/>
          <w:szCs w:val="24"/>
        </w:rPr>
      </w:pPr>
      <w:r>
        <w:rPr>
          <w:rFonts w:ascii="Arial" w:hAnsi="Arial" w:cs="Arial"/>
          <w:sz w:val="24"/>
          <w:szCs w:val="24"/>
        </w:rPr>
        <w:tab/>
        <w:t>9. Diskuze…….</w:t>
      </w:r>
      <w:r w:rsidR="0064032D" w:rsidRPr="008F13F9">
        <w:rPr>
          <w:rFonts w:ascii="Arial" w:hAnsi="Arial" w:cs="Arial"/>
          <w:sz w:val="24"/>
          <w:szCs w:val="24"/>
        </w:rPr>
        <w:t>……</w:t>
      </w:r>
      <w:r>
        <w:rPr>
          <w:rFonts w:ascii="Arial" w:hAnsi="Arial" w:cs="Arial"/>
          <w:sz w:val="24"/>
          <w:szCs w:val="24"/>
        </w:rPr>
        <w:t>..</w:t>
      </w:r>
      <w:r w:rsidR="0064032D" w:rsidRPr="008F13F9">
        <w:rPr>
          <w:rFonts w:ascii="Arial" w:hAnsi="Arial" w:cs="Arial"/>
          <w:sz w:val="24"/>
          <w:szCs w:val="24"/>
        </w:rPr>
        <w:t>………</w:t>
      </w:r>
      <w:r w:rsidR="007D4C85">
        <w:rPr>
          <w:rFonts w:ascii="Arial" w:hAnsi="Arial" w:cs="Arial"/>
          <w:sz w:val="24"/>
          <w:szCs w:val="24"/>
        </w:rPr>
        <w:t>………</w:t>
      </w:r>
      <w:r>
        <w:rPr>
          <w:rFonts w:ascii="Arial" w:hAnsi="Arial" w:cs="Arial"/>
          <w:sz w:val="24"/>
          <w:szCs w:val="24"/>
        </w:rPr>
        <w:t>.…………………………………..63</w:t>
      </w:r>
    </w:p>
    <w:p w14:paraId="07822D17" w14:textId="3A546714" w:rsidR="0064032D" w:rsidRPr="008F13F9" w:rsidRDefault="00550FAB" w:rsidP="00550FAB">
      <w:pPr>
        <w:spacing w:line="360" w:lineRule="auto"/>
        <w:jc w:val="both"/>
        <w:rPr>
          <w:rFonts w:ascii="Arial" w:hAnsi="Arial" w:cs="Arial"/>
          <w:sz w:val="24"/>
          <w:szCs w:val="24"/>
        </w:rPr>
      </w:pPr>
      <w:r>
        <w:rPr>
          <w:rFonts w:ascii="Arial" w:hAnsi="Arial" w:cs="Arial"/>
          <w:sz w:val="24"/>
          <w:szCs w:val="24"/>
        </w:rPr>
        <w:tab/>
        <w:t xml:space="preserve">10. </w:t>
      </w:r>
      <w:r w:rsidR="0064032D" w:rsidRPr="008F13F9">
        <w:rPr>
          <w:rFonts w:ascii="Arial" w:hAnsi="Arial" w:cs="Arial"/>
          <w:sz w:val="24"/>
          <w:szCs w:val="24"/>
        </w:rPr>
        <w:t>Záv</w:t>
      </w:r>
      <w:r>
        <w:rPr>
          <w:rFonts w:ascii="Arial" w:hAnsi="Arial" w:cs="Arial"/>
          <w:sz w:val="24"/>
          <w:szCs w:val="24"/>
        </w:rPr>
        <w:t>ěr…………..……………………………………………………..68</w:t>
      </w:r>
    </w:p>
    <w:p w14:paraId="28087804" w14:textId="3CE8CD8B" w:rsidR="00095542" w:rsidRPr="008F13F9" w:rsidRDefault="00095542" w:rsidP="00095542">
      <w:pPr>
        <w:spacing w:line="360" w:lineRule="auto"/>
        <w:jc w:val="both"/>
        <w:rPr>
          <w:rFonts w:ascii="Arial" w:hAnsi="Arial" w:cs="Arial"/>
          <w:sz w:val="24"/>
          <w:szCs w:val="24"/>
        </w:rPr>
      </w:pPr>
      <w:r w:rsidRPr="008F13F9">
        <w:rPr>
          <w:rFonts w:ascii="Arial" w:hAnsi="Arial" w:cs="Arial"/>
          <w:b/>
          <w:sz w:val="24"/>
          <w:szCs w:val="24"/>
        </w:rPr>
        <w:t>Poděkování</w:t>
      </w:r>
      <w:r w:rsidR="00550FAB">
        <w:rPr>
          <w:rFonts w:ascii="Arial" w:hAnsi="Arial" w:cs="Arial"/>
          <w:sz w:val="24"/>
          <w:szCs w:val="24"/>
        </w:rPr>
        <w:t>……………………………………………………………………..70</w:t>
      </w:r>
    </w:p>
    <w:p w14:paraId="67F0EED1" w14:textId="1D03AC21" w:rsidR="0064032D" w:rsidRPr="008F13F9" w:rsidRDefault="0064032D" w:rsidP="008F13F9">
      <w:pPr>
        <w:spacing w:line="360" w:lineRule="auto"/>
        <w:jc w:val="both"/>
        <w:rPr>
          <w:rFonts w:ascii="Arial" w:hAnsi="Arial" w:cs="Arial"/>
          <w:sz w:val="24"/>
          <w:szCs w:val="24"/>
        </w:rPr>
      </w:pPr>
      <w:r w:rsidRPr="008F13F9">
        <w:rPr>
          <w:rFonts w:ascii="Arial" w:hAnsi="Arial" w:cs="Arial"/>
          <w:b/>
          <w:sz w:val="24"/>
          <w:szCs w:val="24"/>
        </w:rPr>
        <w:t>Literatura</w:t>
      </w:r>
      <w:r w:rsidR="00095542">
        <w:rPr>
          <w:rFonts w:ascii="Arial" w:hAnsi="Arial" w:cs="Arial"/>
          <w:sz w:val="24"/>
          <w:szCs w:val="24"/>
        </w:rPr>
        <w:t>………………………………………………………………………..</w:t>
      </w:r>
      <w:r w:rsidR="007D4C85">
        <w:rPr>
          <w:rFonts w:ascii="Arial" w:hAnsi="Arial" w:cs="Arial"/>
          <w:sz w:val="24"/>
          <w:szCs w:val="24"/>
        </w:rPr>
        <w:t>.</w:t>
      </w:r>
      <w:r w:rsidR="00550FAB">
        <w:rPr>
          <w:rFonts w:ascii="Arial" w:hAnsi="Arial" w:cs="Arial"/>
          <w:sz w:val="24"/>
          <w:szCs w:val="24"/>
        </w:rPr>
        <w:t>71</w:t>
      </w:r>
    </w:p>
    <w:p w14:paraId="2106BF10" w14:textId="77777777" w:rsidR="0064032D" w:rsidRPr="008F13F9" w:rsidRDefault="0064032D" w:rsidP="008F13F9">
      <w:pPr>
        <w:spacing w:line="360" w:lineRule="auto"/>
        <w:jc w:val="both"/>
        <w:rPr>
          <w:rFonts w:ascii="Arial" w:hAnsi="Arial" w:cs="Arial"/>
          <w:sz w:val="24"/>
          <w:szCs w:val="24"/>
        </w:rPr>
      </w:pPr>
    </w:p>
    <w:p w14:paraId="1ADC9B50" w14:textId="77777777" w:rsidR="0064032D" w:rsidRPr="008F13F9" w:rsidRDefault="0064032D" w:rsidP="008F13F9">
      <w:pPr>
        <w:spacing w:line="360" w:lineRule="auto"/>
        <w:jc w:val="both"/>
        <w:rPr>
          <w:rFonts w:ascii="Arial" w:hAnsi="Arial" w:cs="Arial"/>
          <w:sz w:val="24"/>
          <w:szCs w:val="24"/>
        </w:rPr>
      </w:pPr>
    </w:p>
    <w:p w14:paraId="1C3EFF04" w14:textId="77777777" w:rsidR="0064032D" w:rsidRPr="008F13F9" w:rsidRDefault="0064032D" w:rsidP="008F13F9">
      <w:pPr>
        <w:spacing w:line="360" w:lineRule="auto"/>
        <w:jc w:val="both"/>
        <w:rPr>
          <w:rFonts w:ascii="Arial" w:hAnsi="Arial" w:cs="Arial"/>
          <w:sz w:val="24"/>
          <w:szCs w:val="24"/>
        </w:rPr>
      </w:pPr>
    </w:p>
    <w:p w14:paraId="37CA03B6" w14:textId="77777777" w:rsidR="0064032D" w:rsidRPr="008F13F9" w:rsidRDefault="0064032D" w:rsidP="008F13F9">
      <w:pPr>
        <w:spacing w:line="360" w:lineRule="auto"/>
        <w:jc w:val="both"/>
        <w:rPr>
          <w:rFonts w:ascii="Arial" w:hAnsi="Arial" w:cs="Arial"/>
          <w:sz w:val="24"/>
          <w:szCs w:val="24"/>
        </w:rPr>
      </w:pPr>
    </w:p>
    <w:p w14:paraId="5BFD2CFD" w14:textId="77777777" w:rsidR="0064032D" w:rsidRPr="008F13F9" w:rsidRDefault="0064032D" w:rsidP="008F13F9">
      <w:pPr>
        <w:spacing w:line="360" w:lineRule="auto"/>
        <w:jc w:val="both"/>
        <w:rPr>
          <w:rFonts w:ascii="Arial" w:hAnsi="Arial" w:cs="Arial"/>
          <w:sz w:val="24"/>
          <w:szCs w:val="24"/>
        </w:rPr>
      </w:pPr>
    </w:p>
    <w:p w14:paraId="1AB3D7E1" w14:textId="77777777" w:rsidR="0064032D" w:rsidRPr="008F13F9" w:rsidRDefault="0064032D" w:rsidP="008F13F9">
      <w:pPr>
        <w:spacing w:line="360" w:lineRule="auto"/>
        <w:jc w:val="both"/>
        <w:rPr>
          <w:rFonts w:ascii="Arial" w:hAnsi="Arial" w:cs="Arial"/>
          <w:sz w:val="24"/>
          <w:szCs w:val="24"/>
        </w:rPr>
      </w:pPr>
    </w:p>
    <w:p w14:paraId="006D90C8" w14:textId="77777777" w:rsidR="0064032D" w:rsidRPr="008F13F9" w:rsidRDefault="0064032D" w:rsidP="008F13F9">
      <w:pPr>
        <w:spacing w:line="360" w:lineRule="auto"/>
        <w:jc w:val="both"/>
        <w:rPr>
          <w:rFonts w:ascii="Arial" w:hAnsi="Arial" w:cs="Arial"/>
          <w:sz w:val="24"/>
          <w:szCs w:val="24"/>
        </w:rPr>
      </w:pPr>
    </w:p>
    <w:p w14:paraId="06580B6C" w14:textId="77777777" w:rsidR="0064032D" w:rsidRPr="008F13F9" w:rsidRDefault="0064032D" w:rsidP="008F13F9">
      <w:pPr>
        <w:spacing w:line="360" w:lineRule="auto"/>
        <w:jc w:val="both"/>
        <w:rPr>
          <w:rFonts w:ascii="Arial" w:hAnsi="Arial" w:cs="Arial"/>
          <w:sz w:val="24"/>
          <w:szCs w:val="24"/>
        </w:rPr>
      </w:pPr>
    </w:p>
    <w:p w14:paraId="7ABADBA4" w14:textId="77777777" w:rsidR="0064032D" w:rsidRPr="008F13F9" w:rsidRDefault="0064032D" w:rsidP="008F13F9">
      <w:pPr>
        <w:spacing w:line="360" w:lineRule="auto"/>
        <w:jc w:val="both"/>
        <w:rPr>
          <w:rFonts w:ascii="Arial" w:hAnsi="Arial" w:cs="Arial"/>
          <w:sz w:val="24"/>
          <w:szCs w:val="24"/>
        </w:rPr>
      </w:pPr>
    </w:p>
    <w:p w14:paraId="6D890AC2" w14:textId="77777777" w:rsidR="0064032D" w:rsidRPr="008F13F9" w:rsidRDefault="0064032D" w:rsidP="008F13F9">
      <w:pPr>
        <w:spacing w:line="360" w:lineRule="auto"/>
        <w:jc w:val="both"/>
        <w:rPr>
          <w:rFonts w:ascii="Arial" w:hAnsi="Arial" w:cs="Arial"/>
          <w:sz w:val="24"/>
          <w:szCs w:val="24"/>
        </w:rPr>
      </w:pPr>
    </w:p>
    <w:p w14:paraId="3D6EAFE2" w14:textId="77777777" w:rsidR="0064032D" w:rsidRPr="008F13F9" w:rsidRDefault="0064032D" w:rsidP="008F13F9">
      <w:pPr>
        <w:spacing w:line="360" w:lineRule="auto"/>
        <w:jc w:val="both"/>
        <w:rPr>
          <w:rFonts w:ascii="Arial" w:hAnsi="Arial" w:cs="Arial"/>
          <w:sz w:val="24"/>
          <w:szCs w:val="24"/>
        </w:rPr>
      </w:pPr>
    </w:p>
    <w:p w14:paraId="5A5E513C" w14:textId="77777777" w:rsidR="0064032D" w:rsidRPr="008F13F9" w:rsidRDefault="0064032D" w:rsidP="008F13F9">
      <w:pPr>
        <w:spacing w:line="360" w:lineRule="auto"/>
        <w:jc w:val="both"/>
        <w:rPr>
          <w:rFonts w:ascii="Arial" w:hAnsi="Arial" w:cs="Arial"/>
          <w:sz w:val="24"/>
          <w:szCs w:val="24"/>
        </w:rPr>
      </w:pPr>
    </w:p>
    <w:p w14:paraId="6F5F465B" w14:textId="77777777" w:rsidR="0064032D" w:rsidRPr="008F13F9" w:rsidRDefault="0064032D" w:rsidP="008F13F9">
      <w:pPr>
        <w:spacing w:line="360" w:lineRule="auto"/>
        <w:jc w:val="both"/>
        <w:rPr>
          <w:rFonts w:ascii="Arial" w:hAnsi="Arial" w:cs="Arial"/>
          <w:sz w:val="24"/>
          <w:szCs w:val="24"/>
        </w:rPr>
      </w:pPr>
    </w:p>
    <w:p w14:paraId="351B0FEA" w14:textId="77777777" w:rsidR="00791716" w:rsidRPr="008F13F9" w:rsidRDefault="00791716" w:rsidP="0051110B">
      <w:pPr>
        <w:spacing w:line="360" w:lineRule="auto"/>
        <w:jc w:val="center"/>
        <w:rPr>
          <w:rFonts w:ascii="Arial" w:hAnsi="Arial" w:cs="Arial"/>
          <w:b/>
          <w:sz w:val="24"/>
          <w:szCs w:val="24"/>
          <w:u w:val="single"/>
        </w:rPr>
      </w:pPr>
      <w:r w:rsidRPr="008F13F9">
        <w:rPr>
          <w:rFonts w:ascii="Arial" w:hAnsi="Arial" w:cs="Arial"/>
          <w:b/>
          <w:sz w:val="24"/>
          <w:szCs w:val="24"/>
          <w:u w:val="single"/>
        </w:rPr>
        <w:lastRenderedPageBreak/>
        <w:t>Prohlášení</w:t>
      </w:r>
    </w:p>
    <w:p w14:paraId="6A3E4B6A" w14:textId="5D1975FF" w:rsidR="00791716" w:rsidRPr="008F13F9" w:rsidRDefault="0051110B" w:rsidP="00791716">
      <w:pPr>
        <w:spacing w:line="360" w:lineRule="auto"/>
        <w:jc w:val="both"/>
        <w:rPr>
          <w:rFonts w:ascii="Arial" w:hAnsi="Arial" w:cs="Arial"/>
          <w:sz w:val="24"/>
          <w:szCs w:val="24"/>
        </w:rPr>
      </w:pPr>
      <w:r>
        <w:rPr>
          <w:rFonts w:ascii="Arial" w:hAnsi="Arial" w:cs="Arial"/>
          <w:sz w:val="24"/>
          <w:szCs w:val="24"/>
        </w:rPr>
        <w:tab/>
      </w:r>
      <w:r w:rsidR="00791716" w:rsidRPr="008F13F9">
        <w:rPr>
          <w:rFonts w:ascii="Arial" w:hAnsi="Arial" w:cs="Arial"/>
          <w:sz w:val="24"/>
          <w:szCs w:val="24"/>
        </w:rPr>
        <w:t>Prohlašuji, že práci na přípravě této disertační práce jsem vykonal samostatně a že uvádím všechnu použitou literaturu a prameny, které jsem použil.</w:t>
      </w:r>
    </w:p>
    <w:p w14:paraId="72DFFF51" w14:textId="77777777" w:rsidR="00791716" w:rsidRDefault="00791716" w:rsidP="00791716">
      <w:pPr>
        <w:spacing w:line="360" w:lineRule="auto"/>
        <w:jc w:val="both"/>
        <w:rPr>
          <w:rFonts w:ascii="Arial" w:hAnsi="Arial" w:cs="Arial"/>
          <w:sz w:val="24"/>
          <w:szCs w:val="24"/>
        </w:rPr>
      </w:pPr>
    </w:p>
    <w:p w14:paraId="6B6F844E" w14:textId="77777777" w:rsidR="00550FAB" w:rsidRPr="008F13F9" w:rsidRDefault="00550FAB" w:rsidP="00791716">
      <w:pPr>
        <w:spacing w:line="360" w:lineRule="auto"/>
        <w:jc w:val="both"/>
        <w:rPr>
          <w:rFonts w:ascii="Arial" w:hAnsi="Arial" w:cs="Arial"/>
          <w:sz w:val="24"/>
          <w:szCs w:val="24"/>
        </w:rPr>
      </w:pPr>
    </w:p>
    <w:p w14:paraId="1652B027" w14:textId="77777777" w:rsidR="00791716" w:rsidRPr="008F13F9" w:rsidRDefault="00791716" w:rsidP="00791716">
      <w:pPr>
        <w:spacing w:line="360" w:lineRule="auto"/>
        <w:jc w:val="both"/>
        <w:rPr>
          <w:rFonts w:ascii="Arial" w:hAnsi="Arial" w:cs="Arial"/>
          <w:sz w:val="24"/>
          <w:szCs w:val="24"/>
        </w:rPr>
      </w:pPr>
      <w:r w:rsidRPr="008F13F9">
        <w:rPr>
          <w:rFonts w:ascii="Arial" w:hAnsi="Arial" w:cs="Arial"/>
          <w:sz w:val="24"/>
          <w:szCs w:val="24"/>
        </w:rPr>
        <w:t xml:space="preserve">………………………………………………                </w:t>
      </w:r>
    </w:p>
    <w:p w14:paraId="7D3C8708" w14:textId="77777777" w:rsidR="00791716" w:rsidRPr="008F13F9" w:rsidRDefault="00791716" w:rsidP="00791716">
      <w:pPr>
        <w:spacing w:line="360" w:lineRule="auto"/>
        <w:jc w:val="both"/>
        <w:rPr>
          <w:rFonts w:ascii="Arial" w:hAnsi="Arial" w:cs="Arial"/>
          <w:sz w:val="24"/>
          <w:szCs w:val="24"/>
        </w:rPr>
      </w:pPr>
      <w:r w:rsidRPr="008F13F9">
        <w:rPr>
          <w:rFonts w:ascii="Arial" w:hAnsi="Arial" w:cs="Arial"/>
          <w:sz w:val="24"/>
          <w:szCs w:val="24"/>
        </w:rPr>
        <w:t xml:space="preserve">             MUDr. Petr Michl                                 </w:t>
      </w:r>
      <w:r w:rsidRPr="008F13F9">
        <w:rPr>
          <w:rFonts w:ascii="Arial" w:hAnsi="Arial" w:cs="Arial"/>
          <w:sz w:val="24"/>
          <w:szCs w:val="24"/>
        </w:rPr>
        <w:tab/>
        <w:t xml:space="preserve">  V Olomouci dne 13.4.2015</w:t>
      </w:r>
    </w:p>
    <w:p w14:paraId="161526F5" w14:textId="77777777" w:rsidR="0064032D" w:rsidRDefault="0064032D" w:rsidP="008F13F9">
      <w:pPr>
        <w:spacing w:line="360" w:lineRule="auto"/>
        <w:jc w:val="both"/>
        <w:outlineLvl w:val="0"/>
        <w:rPr>
          <w:rFonts w:ascii="Arial" w:hAnsi="Arial" w:cs="Arial"/>
          <w:b/>
          <w:sz w:val="24"/>
          <w:szCs w:val="24"/>
        </w:rPr>
      </w:pPr>
    </w:p>
    <w:p w14:paraId="448451F5" w14:textId="77777777" w:rsidR="00791716" w:rsidRDefault="00791716" w:rsidP="008F13F9">
      <w:pPr>
        <w:spacing w:line="360" w:lineRule="auto"/>
        <w:jc w:val="both"/>
        <w:outlineLvl w:val="0"/>
        <w:rPr>
          <w:rFonts w:ascii="Arial" w:hAnsi="Arial" w:cs="Arial"/>
          <w:b/>
          <w:sz w:val="24"/>
          <w:szCs w:val="24"/>
        </w:rPr>
      </w:pPr>
    </w:p>
    <w:p w14:paraId="2348EC63" w14:textId="77777777" w:rsidR="00791716" w:rsidRDefault="00791716" w:rsidP="008F13F9">
      <w:pPr>
        <w:spacing w:line="360" w:lineRule="auto"/>
        <w:jc w:val="both"/>
        <w:outlineLvl w:val="0"/>
        <w:rPr>
          <w:rFonts w:ascii="Arial" w:hAnsi="Arial" w:cs="Arial"/>
          <w:b/>
          <w:sz w:val="24"/>
          <w:szCs w:val="24"/>
        </w:rPr>
      </w:pPr>
    </w:p>
    <w:p w14:paraId="3FA15746" w14:textId="77777777" w:rsidR="00791716" w:rsidRDefault="00791716" w:rsidP="008F13F9">
      <w:pPr>
        <w:spacing w:line="360" w:lineRule="auto"/>
        <w:jc w:val="both"/>
        <w:outlineLvl w:val="0"/>
        <w:rPr>
          <w:rFonts w:ascii="Arial" w:hAnsi="Arial" w:cs="Arial"/>
          <w:b/>
          <w:sz w:val="24"/>
          <w:szCs w:val="24"/>
        </w:rPr>
      </w:pPr>
    </w:p>
    <w:p w14:paraId="2B9DF2F2" w14:textId="77777777" w:rsidR="00791716" w:rsidRDefault="00791716" w:rsidP="008F13F9">
      <w:pPr>
        <w:spacing w:line="360" w:lineRule="auto"/>
        <w:jc w:val="both"/>
        <w:outlineLvl w:val="0"/>
        <w:rPr>
          <w:rFonts w:ascii="Arial" w:hAnsi="Arial" w:cs="Arial"/>
          <w:b/>
          <w:sz w:val="24"/>
          <w:szCs w:val="24"/>
        </w:rPr>
      </w:pPr>
    </w:p>
    <w:p w14:paraId="657DF193" w14:textId="77777777" w:rsidR="00791716" w:rsidRDefault="00791716" w:rsidP="008F13F9">
      <w:pPr>
        <w:spacing w:line="360" w:lineRule="auto"/>
        <w:jc w:val="both"/>
        <w:outlineLvl w:val="0"/>
        <w:rPr>
          <w:rFonts w:ascii="Arial" w:hAnsi="Arial" w:cs="Arial"/>
          <w:b/>
          <w:sz w:val="24"/>
          <w:szCs w:val="24"/>
        </w:rPr>
      </w:pPr>
    </w:p>
    <w:p w14:paraId="2BA96F11" w14:textId="77777777" w:rsidR="00791716" w:rsidRDefault="00791716" w:rsidP="008F13F9">
      <w:pPr>
        <w:spacing w:line="360" w:lineRule="auto"/>
        <w:jc w:val="both"/>
        <w:outlineLvl w:val="0"/>
        <w:rPr>
          <w:rFonts w:ascii="Arial" w:hAnsi="Arial" w:cs="Arial"/>
          <w:b/>
          <w:sz w:val="24"/>
          <w:szCs w:val="24"/>
        </w:rPr>
      </w:pPr>
    </w:p>
    <w:p w14:paraId="1E16B0C6" w14:textId="77777777" w:rsidR="00791716" w:rsidRDefault="00791716" w:rsidP="008F13F9">
      <w:pPr>
        <w:spacing w:line="360" w:lineRule="auto"/>
        <w:jc w:val="both"/>
        <w:outlineLvl w:val="0"/>
        <w:rPr>
          <w:rFonts w:ascii="Arial" w:hAnsi="Arial" w:cs="Arial"/>
          <w:b/>
          <w:sz w:val="24"/>
          <w:szCs w:val="24"/>
        </w:rPr>
      </w:pPr>
    </w:p>
    <w:p w14:paraId="67886E59" w14:textId="77777777" w:rsidR="00791716" w:rsidRDefault="00791716" w:rsidP="008F13F9">
      <w:pPr>
        <w:spacing w:line="360" w:lineRule="auto"/>
        <w:jc w:val="both"/>
        <w:outlineLvl w:val="0"/>
        <w:rPr>
          <w:rFonts w:ascii="Arial" w:hAnsi="Arial" w:cs="Arial"/>
          <w:b/>
          <w:sz w:val="24"/>
          <w:szCs w:val="24"/>
        </w:rPr>
      </w:pPr>
    </w:p>
    <w:p w14:paraId="77FE450A" w14:textId="77777777" w:rsidR="00791716" w:rsidRDefault="00791716" w:rsidP="008F13F9">
      <w:pPr>
        <w:spacing w:line="360" w:lineRule="auto"/>
        <w:jc w:val="both"/>
        <w:outlineLvl w:val="0"/>
        <w:rPr>
          <w:rFonts w:ascii="Arial" w:hAnsi="Arial" w:cs="Arial"/>
          <w:b/>
          <w:sz w:val="24"/>
          <w:szCs w:val="24"/>
        </w:rPr>
      </w:pPr>
    </w:p>
    <w:p w14:paraId="70AB825F" w14:textId="77777777" w:rsidR="00791716" w:rsidRDefault="00791716" w:rsidP="008F13F9">
      <w:pPr>
        <w:spacing w:line="360" w:lineRule="auto"/>
        <w:jc w:val="both"/>
        <w:outlineLvl w:val="0"/>
        <w:rPr>
          <w:rFonts w:ascii="Arial" w:hAnsi="Arial" w:cs="Arial"/>
          <w:b/>
          <w:sz w:val="24"/>
          <w:szCs w:val="24"/>
        </w:rPr>
      </w:pPr>
    </w:p>
    <w:p w14:paraId="7EB56C85" w14:textId="77777777" w:rsidR="00791716" w:rsidRDefault="00791716" w:rsidP="008F13F9">
      <w:pPr>
        <w:spacing w:line="360" w:lineRule="auto"/>
        <w:jc w:val="both"/>
        <w:outlineLvl w:val="0"/>
        <w:rPr>
          <w:rFonts w:ascii="Arial" w:hAnsi="Arial" w:cs="Arial"/>
          <w:b/>
          <w:sz w:val="24"/>
          <w:szCs w:val="24"/>
        </w:rPr>
      </w:pPr>
    </w:p>
    <w:p w14:paraId="11112DD2" w14:textId="77777777" w:rsidR="00791716" w:rsidRDefault="00791716" w:rsidP="008F13F9">
      <w:pPr>
        <w:spacing w:line="360" w:lineRule="auto"/>
        <w:jc w:val="both"/>
        <w:outlineLvl w:val="0"/>
        <w:rPr>
          <w:rFonts w:ascii="Arial" w:hAnsi="Arial" w:cs="Arial"/>
          <w:b/>
          <w:sz w:val="24"/>
          <w:szCs w:val="24"/>
        </w:rPr>
      </w:pPr>
    </w:p>
    <w:p w14:paraId="5B177C5F" w14:textId="77777777" w:rsidR="00791716" w:rsidRDefault="00791716" w:rsidP="008F13F9">
      <w:pPr>
        <w:spacing w:line="360" w:lineRule="auto"/>
        <w:jc w:val="both"/>
        <w:outlineLvl w:val="0"/>
        <w:rPr>
          <w:rFonts w:ascii="Arial" w:hAnsi="Arial" w:cs="Arial"/>
          <w:b/>
          <w:sz w:val="24"/>
          <w:szCs w:val="24"/>
        </w:rPr>
      </w:pPr>
    </w:p>
    <w:p w14:paraId="5BBE2B02" w14:textId="77777777" w:rsidR="00791716" w:rsidRDefault="00791716" w:rsidP="008F13F9">
      <w:pPr>
        <w:spacing w:line="360" w:lineRule="auto"/>
        <w:jc w:val="both"/>
        <w:outlineLvl w:val="0"/>
        <w:rPr>
          <w:rFonts w:ascii="Arial" w:hAnsi="Arial" w:cs="Arial"/>
          <w:b/>
          <w:sz w:val="24"/>
          <w:szCs w:val="24"/>
        </w:rPr>
      </w:pPr>
    </w:p>
    <w:p w14:paraId="2984DCB8" w14:textId="77777777" w:rsidR="0064032D" w:rsidRPr="008F13F9" w:rsidRDefault="0064032D" w:rsidP="008F13F9">
      <w:pPr>
        <w:spacing w:line="360" w:lineRule="auto"/>
        <w:jc w:val="both"/>
        <w:outlineLvl w:val="0"/>
        <w:rPr>
          <w:rFonts w:ascii="Arial" w:hAnsi="Arial" w:cs="Arial"/>
          <w:b/>
          <w:sz w:val="24"/>
          <w:szCs w:val="24"/>
        </w:rPr>
      </w:pPr>
      <w:r w:rsidRPr="008F13F9">
        <w:rPr>
          <w:rFonts w:ascii="Arial" w:hAnsi="Arial" w:cs="Arial"/>
          <w:b/>
          <w:sz w:val="24"/>
          <w:szCs w:val="24"/>
        </w:rPr>
        <w:lastRenderedPageBreak/>
        <w:t>Seznam zkratek:</w:t>
      </w:r>
    </w:p>
    <w:p w14:paraId="69145562" w14:textId="77777777" w:rsidR="0064032D" w:rsidRPr="008F13F9" w:rsidRDefault="0064032D" w:rsidP="008F13F9">
      <w:pPr>
        <w:widowControl w:val="0"/>
        <w:autoSpaceDE w:val="0"/>
        <w:autoSpaceDN w:val="0"/>
        <w:adjustRightInd w:val="0"/>
        <w:spacing w:after="240" w:line="360" w:lineRule="auto"/>
        <w:jc w:val="both"/>
        <w:outlineLvl w:val="0"/>
        <w:rPr>
          <w:rFonts w:ascii="Arial" w:hAnsi="Arial" w:cs="Arial"/>
          <w:sz w:val="24"/>
          <w:szCs w:val="24"/>
          <w:lang w:val="en-US"/>
        </w:rPr>
      </w:pPr>
      <w:r w:rsidRPr="008F13F9">
        <w:rPr>
          <w:rFonts w:ascii="Arial" w:hAnsi="Arial" w:cs="Arial"/>
          <w:sz w:val="24"/>
          <w:szCs w:val="24"/>
        </w:rPr>
        <w:t>EBV virus Epstein-Baarové</w:t>
      </w:r>
      <w:r w:rsidRPr="008F13F9">
        <w:rPr>
          <w:rFonts w:ascii="Arial" w:hAnsi="Arial" w:cs="Arial"/>
          <w:sz w:val="24"/>
          <w:szCs w:val="24"/>
          <w:lang w:val="en-US"/>
        </w:rPr>
        <w:t xml:space="preserve"> </w:t>
      </w:r>
    </w:p>
    <w:p w14:paraId="4C1C88F0"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lang w:val="en-US"/>
        </w:rPr>
        <w:t xml:space="preserve">EV Epidermodysplasia verruciformis </w:t>
      </w:r>
    </w:p>
    <w:p w14:paraId="7DBE2E15"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rPr>
        <w:t xml:space="preserve">GTV gross tumor volume </w:t>
      </w:r>
    </w:p>
    <w:p w14:paraId="03FAE61A"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lang w:val="en-US"/>
        </w:rPr>
        <w:t>HIV virus lidské imunodeficience</w:t>
      </w:r>
      <w:r w:rsidRPr="008F13F9">
        <w:rPr>
          <w:rFonts w:ascii="Arial" w:hAnsi="Arial" w:cs="Arial"/>
          <w:sz w:val="24"/>
          <w:szCs w:val="24"/>
        </w:rPr>
        <w:t xml:space="preserve"> </w:t>
      </w:r>
    </w:p>
    <w:p w14:paraId="4B5A1A55"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HR HPV vysoce rizikový typ HPV</w:t>
      </w:r>
    </w:p>
    <w:p w14:paraId="5AB11322"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HPV lidský papilomavirus</w:t>
      </w:r>
    </w:p>
    <w:p w14:paraId="5637DA8A"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ISH in situ hybridizace</w:t>
      </w:r>
    </w:p>
    <w:p w14:paraId="37C7BC25" w14:textId="77777777" w:rsidR="0064032D" w:rsidRPr="008F13F9" w:rsidRDefault="000B09A7" w:rsidP="008F13F9">
      <w:pPr>
        <w:widowControl w:val="0"/>
        <w:autoSpaceDE w:val="0"/>
        <w:autoSpaceDN w:val="0"/>
        <w:adjustRightInd w:val="0"/>
        <w:spacing w:after="240" w:line="360" w:lineRule="auto"/>
        <w:jc w:val="both"/>
        <w:rPr>
          <w:rFonts w:ascii="Arial" w:hAnsi="Arial" w:cs="Arial"/>
          <w:sz w:val="24"/>
          <w:szCs w:val="24"/>
          <w:lang w:val="en-US"/>
        </w:rPr>
      </w:pPr>
      <w:r>
        <w:rPr>
          <w:rFonts w:ascii="Arial" w:hAnsi="Arial" w:cs="Arial"/>
          <w:sz w:val="24"/>
          <w:szCs w:val="24"/>
        </w:rPr>
        <w:t>LCR locus c</w:t>
      </w:r>
      <w:r w:rsidR="0064032D" w:rsidRPr="008F13F9">
        <w:rPr>
          <w:rFonts w:ascii="Arial" w:hAnsi="Arial" w:cs="Arial"/>
          <w:sz w:val="24"/>
          <w:szCs w:val="24"/>
        </w:rPr>
        <w:t xml:space="preserve">ontrol region </w:t>
      </w:r>
    </w:p>
    <w:p w14:paraId="0489B362" w14:textId="77777777" w:rsidR="0064032D" w:rsidRDefault="000B09A7" w:rsidP="008F13F9">
      <w:pPr>
        <w:spacing w:line="360" w:lineRule="auto"/>
        <w:jc w:val="both"/>
        <w:rPr>
          <w:rFonts w:ascii="Arial" w:hAnsi="Arial" w:cs="Arial"/>
          <w:sz w:val="24"/>
          <w:szCs w:val="24"/>
        </w:rPr>
      </w:pPr>
      <w:r>
        <w:rPr>
          <w:rFonts w:ascii="Arial" w:hAnsi="Arial" w:cs="Arial"/>
          <w:sz w:val="24"/>
          <w:szCs w:val="24"/>
        </w:rPr>
        <w:t>OFK orofaryngeální karcinomy</w:t>
      </w:r>
    </w:p>
    <w:p w14:paraId="31B36535" w14:textId="77777777" w:rsidR="00A562FB" w:rsidRPr="008F13F9" w:rsidRDefault="00A562FB" w:rsidP="008F13F9">
      <w:pPr>
        <w:spacing w:line="360" w:lineRule="auto"/>
        <w:jc w:val="both"/>
        <w:rPr>
          <w:rFonts w:ascii="Arial" w:hAnsi="Arial" w:cs="Arial"/>
          <w:sz w:val="24"/>
          <w:szCs w:val="24"/>
        </w:rPr>
      </w:pPr>
      <w:r w:rsidRPr="008F13F9">
        <w:rPr>
          <w:rFonts w:ascii="Arial" w:hAnsi="Arial" w:cs="Arial"/>
          <w:sz w:val="24"/>
          <w:szCs w:val="24"/>
        </w:rPr>
        <w:t>RLU</w:t>
      </w:r>
      <w:r>
        <w:rPr>
          <w:rFonts w:ascii="Arial" w:hAnsi="Arial" w:cs="Arial"/>
          <w:sz w:val="24"/>
          <w:szCs w:val="24"/>
        </w:rPr>
        <w:t xml:space="preserve"> relative light unit</w:t>
      </w:r>
    </w:p>
    <w:p w14:paraId="4A3E7B58"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STD sexuálně přenosná choroba</w:t>
      </w:r>
    </w:p>
    <w:p w14:paraId="5A0EB7AF" w14:textId="77777777" w:rsidR="0064032D" w:rsidRDefault="0064032D" w:rsidP="008F13F9">
      <w:pPr>
        <w:spacing w:line="360" w:lineRule="auto"/>
        <w:jc w:val="both"/>
        <w:rPr>
          <w:rFonts w:ascii="Arial" w:hAnsi="Arial" w:cs="Arial"/>
          <w:bCs/>
          <w:color w:val="1C1C1C"/>
          <w:sz w:val="24"/>
          <w:szCs w:val="24"/>
          <w:lang w:val="en-US"/>
        </w:rPr>
      </w:pPr>
      <w:r w:rsidRPr="008F13F9">
        <w:rPr>
          <w:rFonts w:ascii="Arial" w:hAnsi="Arial" w:cs="Arial"/>
          <w:sz w:val="24"/>
          <w:szCs w:val="24"/>
        </w:rPr>
        <w:t xml:space="preserve">UICC </w:t>
      </w:r>
      <w:r w:rsidRPr="008F13F9">
        <w:rPr>
          <w:rFonts w:ascii="Arial" w:hAnsi="Arial" w:cs="Arial"/>
          <w:bCs/>
          <w:color w:val="1C1C1C"/>
          <w:sz w:val="24"/>
          <w:szCs w:val="24"/>
          <w:lang w:val="en-US"/>
        </w:rPr>
        <w:t>Union for International Cancer Control</w:t>
      </w:r>
    </w:p>
    <w:p w14:paraId="01A990D1" w14:textId="77777777" w:rsidR="003A3C42" w:rsidRDefault="003A3C42" w:rsidP="008F13F9">
      <w:pPr>
        <w:spacing w:line="360" w:lineRule="auto"/>
        <w:jc w:val="both"/>
        <w:rPr>
          <w:rFonts w:ascii="Arial" w:hAnsi="Arial" w:cs="Arial"/>
          <w:bCs/>
          <w:color w:val="1C1C1C"/>
          <w:sz w:val="24"/>
          <w:szCs w:val="24"/>
          <w:lang w:val="en-US"/>
        </w:rPr>
      </w:pPr>
      <w:r>
        <w:rPr>
          <w:rFonts w:ascii="Arial" w:hAnsi="Arial" w:cs="Arial"/>
          <w:bCs/>
          <w:color w:val="1C1C1C"/>
          <w:sz w:val="24"/>
          <w:szCs w:val="24"/>
          <w:lang w:val="en-US"/>
        </w:rPr>
        <w:t>VAG+ pozitivní stěr na HR HPV na děložním čípku</w:t>
      </w:r>
    </w:p>
    <w:p w14:paraId="6125460A" w14:textId="77777777" w:rsidR="003A3C42" w:rsidRPr="008F13F9" w:rsidRDefault="003A3C42" w:rsidP="008F13F9">
      <w:pPr>
        <w:spacing w:line="360" w:lineRule="auto"/>
        <w:jc w:val="both"/>
        <w:rPr>
          <w:rFonts w:ascii="Arial" w:hAnsi="Arial" w:cs="Arial"/>
          <w:sz w:val="24"/>
          <w:szCs w:val="24"/>
        </w:rPr>
      </w:pPr>
      <w:r>
        <w:rPr>
          <w:rFonts w:ascii="Arial" w:hAnsi="Arial" w:cs="Arial"/>
          <w:bCs/>
          <w:color w:val="1C1C1C"/>
          <w:sz w:val="24"/>
          <w:szCs w:val="24"/>
          <w:lang w:val="en-US"/>
        </w:rPr>
        <w:t>VAG- negativní stěr na HR HPV na děložním čípku</w:t>
      </w:r>
    </w:p>
    <w:p w14:paraId="6DFCDC9A"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p>
    <w:p w14:paraId="18A7E5A0" w14:textId="77777777" w:rsidR="0064032D" w:rsidRPr="008F13F9" w:rsidRDefault="0064032D" w:rsidP="008F13F9">
      <w:pPr>
        <w:spacing w:line="360" w:lineRule="auto"/>
        <w:jc w:val="both"/>
        <w:rPr>
          <w:rFonts w:ascii="Arial" w:hAnsi="Arial" w:cs="Arial"/>
          <w:sz w:val="24"/>
          <w:szCs w:val="24"/>
        </w:rPr>
      </w:pPr>
    </w:p>
    <w:p w14:paraId="7C20F154" w14:textId="77777777" w:rsidR="0064032D" w:rsidRPr="008F13F9" w:rsidRDefault="0064032D" w:rsidP="008F13F9">
      <w:pPr>
        <w:spacing w:line="360" w:lineRule="auto"/>
        <w:jc w:val="both"/>
        <w:rPr>
          <w:rFonts w:ascii="Arial" w:hAnsi="Arial" w:cs="Arial"/>
          <w:sz w:val="24"/>
          <w:szCs w:val="24"/>
        </w:rPr>
      </w:pPr>
    </w:p>
    <w:p w14:paraId="16D72B4A" w14:textId="77777777" w:rsidR="0064032D" w:rsidRPr="008F13F9" w:rsidRDefault="0064032D" w:rsidP="008F13F9">
      <w:pPr>
        <w:spacing w:line="360" w:lineRule="auto"/>
        <w:jc w:val="both"/>
        <w:rPr>
          <w:rFonts w:ascii="Arial" w:hAnsi="Arial" w:cs="Arial"/>
          <w:sz w:val="24"/>
          <w:szCs w:val="24"/>
        </w:rPr>
      </w:pPr>
    </w:p>
    <w:p w14:paraId="57A46E74" w14:textId="77777777" w:rsidR="0064032D" w:rsidRPr="008F13F9" w:rsidRDefault="0064032D" w:rsidP="008F13F9">
      <w:pPr>
        <w:spacing w:line="360" w:lineRule="auto"/>
        <w:jc w:val="both"/>
        <w:rPr>
          <w:rFonts w:ascii="Arial" w:hAnsi="Arial" w:cs="Arial"/>
          <w:sz w:val="24"/>
          <w:szCs w:val="24"/>
        </w:rPr>
      </w:pPr>
    </w:p>
    <w:p w14:paraId="5A2E374C" w14:textId="77777777" w:rsidR="0064032D" w:rsidRPr="008F13F9" w:rsidRDefault="0064032D" w:rsidP="008F13F9">
      <w:pPr>
        <w:spacing w:line="360" w:lineRule="auto"/>
        <w:jc w:val="both"/>
        <w:rPr>
          <w:rFonts w:ascii="Arial" w:hAnsi="Arial" w:cs="Arial"/>
          <w:sz w:val="24"/>
          <w:szCs w:val="24"/>
        </w:rPr>
      </w:pPr>
    </w:p>
    <w:p w14:paraId="3A0C52AD" w14:textId="77777777" w:rsidR="0064032D" w:rsidRPr="008F13F9" w:rsidRDefault="0064032D" w:rsidP="008F13F9">
      <w:pPr>
        <w:spacing w:line="360" w:lineRule="auto"/>
        <w:jc w:val="both"/>
        <w:rPr>
          <w:rFonts w:ascii="Arial" w:hAnsi="Arial" w:cs="Arial"/>
          <w:sz w:val="24"/>
          <w:szCs w:val="24"/>
        </w:rPr>
      </w:pPr>
    </w:p>
    <w:p w14:paraId="05CC7830" w14:textId="77777777" w:rsidR="0064032D" w:rsidRPr="0051110B" w:rsidRDefault="0064032D" w:rsidP="0051110B">
      <w:pPr>
        <w:spacing w:line="360" w:lineRule="auto"/>
        <w:jc w:val="center"/>
        <w:outlineLvl w:val="0"/>
        <w:rPr>
          <w:rFonts w:ascii="Arial" w:hAnsi="Arial" w:cs="Arial"/>
          <w:b/>
          <w:sz w:val="24"/>
          <w:szCs w:val="24"/>
          <w:u w:val="single"/>
        </w:rPr>
      </w:pPr>
      <w:r w:rsidRPr="0051110B">
        <w:rPr>
          <w:rFonts w:ascii="Arial" w:hAnsi="Arial" w:cs="Arial"/>
          <w:b/>
          <w:sz w:val="24"/>
          <w:szCs w:val="24"/>
          <w:u w:val="single"/>
        </w:rPr>
        <w:lastRenderedPageBreak/>
        <w:t>Úvod:</w:t>
      </w:r>
    </w:p>
    <w:p w14:paraId="102B8BE7" w14:textId="77777777" w:rsidR="0064032D" w:rsidRPr="008F13F9" w:rsidRDefault="002836FB"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Spinocelulár</w:t>
      </w:r>
      <w:r w:rsidR="000B09A7">
        <w:rPr>
          <w:rFonts w:ascii="Arial" w:hAnsi="Arial" w:cs="Arial"/>
          <w:sz w:val="24"/>
          <w:szCs w:val="24"/>
        </w:rPr>
        <w:t>ní karcinomy dutiny ústní</w:t>
      </w:r>
      <w:r w:rsidR="0064032D" w:rsidRPr="008F13F9">
        <w:rPr>
          <w:rFonts w:ascii="Arial" w:hAnsi="Arial" w:cs="Arial"/>
          <w:sz w:val="24"/>
          <w:szCs w:val="24"/>
        </w:rPr>
        <w:t xml:space="preserve"> patří mezi nejčastější nádory horního aerodigestivního traktu. Jedná se o 6. nejčastější nádor na světě</w:t>
      </w:r>
      <w:r w:rsidR="0064032D" w:rsidRPr="008F13F9">
        <w:rPr>
          <w:rFonts w:ascii="Arial" w:hAnsi="Arial" w:cs="Arial"/>
          <w:sz w:val="24"/>
          <w:szCs w:val="24"/>
          <w:vertAlign w:val="superscript"/>
        </w:rPr>
        <w:t>2</w:t>
      </w:r>
      <w:r w:rsidR="0064032D" w:rsidRPr="008F13F9">
        <w:rPr>
          <w:rFonts w:ascii="Arial" w:hAnsi="Arial" w:cs="Arial"/>
          <w:sz w:val="24"/>
          <w:szCs w:val="24"/>
        </w:rPr>
        <w:t xml:space="preserve">. </w:t>
      </w:r>
      <w:r w:rsidR="00DE024E">
        <w:rPr>
          <w:rFonts w:ascii="Arial" w:hAnsi="Arial" w:cs="Arial"/>
          <w:sz w:val="24"/>
          <w:szCs w:val="24"/>
        </w:rPr>
        <w:t>I</w:t>
      </w:r>
      <w:r w:rsidR="0064032D" w:rsidRPr="008F13F9">
        <w:rPr>
          <w:rFonts w:ascii="Arial" w:hAnsi="Arial" w:cs="Arial"/>
          <w:sz w:val="24"/>
          <w:szCs w:val="24"/>
        </w:rPr>
        <w:t>ncidence je v globálním měřítku asi 500.000 hlášených případů. Tradičně nejčastěji se tyto karcinomy vyskytují v jihovýchodní Asii, kde jejich podíl na celkovém množství maligních onemocnění činí asi 35-45% s incidencí 15 případů</w:t>
      </w:r>
      <w:r w:rsidR="00DE024E">
        <w:rPr>
          <w:rFonts w:ascii="Arial" w:hAnsi="Arial" w:cs="Arial"/>
          <w:sz w:val="24"/>
          <w:szCs w:val="24"/>
        </w:rPr>
        <w:t xml:space="preserve"> na 100.000 obyvatel. V </w:t>
      </w:r>
      <w:r w:rsidR="0064032D" w:rsidRPr="008F13F9">
        <w:rPr>
          <w:rFonts w:ascii="Arial" w:hAnsi="Arial" w:cs="Arial"/>
          <w:sz w:val="24"/>
          <w:szCs w:val="24"/>
        </w:rPr>
        <w:t xml:space="preserve">České republice </w:t>
      </w:r>
      <w:r w:rsidR="00DE024E">
        <w:rPr>
          <w:rFonts w:ascii="Arial" w:hAnsi="Arial" w:cs="Arial"/>
          <w:sz w:val="24"/>
          <w:szCs w:val="24"/>
        </w:rPr>
        <w:t>se OFK  podílí na celkové onkologické problematice podílí asi</w:t>
      </w:r>
      <w:r w:rsidR="0064032D" w:rsidRPr="008F13F9">
        <w:rPr>
          <w:rFonts w:ascii="Arial" w:hAnsi="Arial" w:cs="Arial"/>
          <w:sz w:val="24"/>
          <w:szCs w:val="24"/>
        </w:rPr>
        <w:t xml:space="preserve"> 2</w:t>
      </w:r>
      <w:r w:rsidR="00DE024E">
        <w:rPr>
          <w:rFonts w:ascii="Arial" w:hAnsi="Arial" w:cs="Arial"/>
          <w:sz w:val="24"/>
          <w:szCs w:val="24"/>
        </w:rPr>
        <w:t xml:space="preserve"> </w:t>
      </w:r>
      <w:r w:rsidR="0064032D" w:rsidRPr="008F13F9">
        <w:rPr>
          <w:rFonts w:ascii="Arial" w:hAnsi="Arial" w:cs="Arial"/>
          <w:sz w:val="24"/>
          <w:szCs w:val="24"/>
        </w:rPr>
        <w:t xml:space="preserve">%. Jakkoliv se </w:t>
      </w:r>
      <w:r w:rsidR="00DE024E">
        <w:rPr>
          <w:rFonts w:ascii="Arial" w:hAnsi="Arial" w:cs="Arial"/>
          <w:sz w:val="24"/>
          <w:szCs w:val="24"/>
        </w:rPr>
        <w:t>toto číslo</w:t>
      </w:r>
      <w:r w:rsidR="0064032D" w:rsidRPr="008F13F9">
        <w:rPr>
          <w:rFonts w:ascii="Arial" w:hAnsi="Arial" w:cs="Arial"/>
          <w:sz w:val="24"/>
          <w:szCs w:val="24"/>
        </w:rPr>
        <w:t xml:space="preserve"> může zdát marginální, mortalita vyjádřená v pětiletém přežití od stanovení diagnózy se pohybuje (v závislosti na stádiu onemocnění) mezi 40</w:t>
      </w:r>
      <w:r w:rsidR="00DE024E">
        <w:rPr>
          <w:rFonts w:ascii="Arial" w:hAnsi="Arial" w:cs="Arial"/>
          <w:sz w:val="24"/>
          <w:szCs w:val="24"/>
        </w:rPr>
        <w:t xml:space="preserve"> </w:t>
      </w:r>
      <w:r w:rsidR="0064032D" w:rsidRPr="008F13F9">
        <w:rPr>
          <w:rFonts w:ascii="Arial" w:hAnsi="Arial" w:cs="Arial"/>
          <w:sz w:val="24"/>
          <w:szCs w:val="24"/>
        </w:rPr>
        <w:t>%-50</w:t>
      </w:r>
      <w:r w:rsidR="00DE024E">
        <w:rPr>
          <w:rFonts w:ascii="Arial" w:hAnsi="Arial" w:cs="Arial"/>
          <w:sz w:val="24"/>
          <w:szCs w:val="24"/>
        </w:rPr>
        <w:t xml:space="preserve"> </w:t>
      </w:r>
      <w:r w:rsidR="0064032D" w:rsidRPr="008F13F9">
        <w:rPr>
          <w:rFonts w:ascii="Arial" w:hAnsi="Arial" w:cs="Arial"/>
          <w:sz w:val="24"/>
          <w:szCs w:val="24"/>
        </w:rPr>
        <w:t>%</w:t>
      </w:r>
      <w:r w:rsidR="0064032D" w:rsidRPr="008F13F9">
        <w:rPr>
          <w:rFonts w:ascii="Arial" w:hAnsi="Arial" w:cs="Arial"/>
          <w:sz w:val="24"/>
          <w:szCs w:val="24"/>
          <w:vertAlign w:val="superscript"/>
        </w:rPr>
        <w:t>10, 11</w:t>
      </w:r>
      <w:r w:rsidR="0064032D" w:rsidRPr="008F13F9">
        <w:rPr>
          <w:rFonts w:ascii="Arial" w:hAnsi="Arial" w:cs="Arial"/>
          <w:sz w:val="24"/>
          <w:szCs w:val="24"/>
        </w:rPr>
        <w:t>. I přes intenzivní výzkum a pokrok v léčbě zůstává mortalita takřka nezměněna po řadu desetiletí.</w:t>
      </w:r>
    </w:p>
    <w:p w14:paraId="71A2D4D0" w14:textId="77777777" w:rsidR="0064032D" w:rsidRPr="008F13F9" w:rsidRDefault="0064032D" w:rsidP="008F13F9">
      <w:pPr>
        <w:spacing w:line="360" w:lineRule="auto"/>
        <w:jc w:val="both"/>
        <w:rPr>
          <w:rFonts w:ascii="Arial" w:hAnsi="Arial" w:cs="Arial"/>
          <w:sz w:val="24"/>
          <w:szCs w:val="24"/>
        </w:rPr>
      </w:pPr>
    </w:p>
    <w:p w14:paraId="0ECB1CBD" w14:textId="77777777" w:rsidR="0064032D" w:rsidRPr="008F13F9" w:rsidRDefault="002836FB" w:rsidP="008F13F9">
      <w:pPr>
        <w:spacing w:line="360" w:lineRule="auto"/>
        <w:jc w:val="both"/>
        <w:rPr>
          <w:rFonts w:ascii="Arial" w:hAnsi="Arial" w:cs="Arial"/>
          <w:sz w:val="24"/>
          <w:szCs w:val="24"/>
          <w:vertAlign w:val="superscript"/>
        </w:rPr>
      </w:pPr>
      <w:r>
        <w:rPr>
          <w:rFonts w:ascii="Arial" w:hAnsi="Arial" w:cs="Arial"/>
          <w:sz w:val="24"/>
          <w:szCs w:val="24"/>
        </w:rPr>
        <w:tab/>
      </w:r>
      <w:r w:rsidR="0064032D" w:rsidRPr="008F13F9">
        <w:rPr>
          <w:rFonts w:ascii="Arial" w:hAnsi="Arial" w:cs="Arial"/>
          <w:sz w:val="24"/>
          <w:szCs w:val="24"/>
        </w:rPr>
        <w:t xml:space="preserve">Vedle tradičních vyvolávajících nox, které jsou známy již po desetiletí, se od 80. let minulého století prosazuje názor, že určitá část </w:t>
      </w:r>
      <w:r w:rsidR="00C4123F">
        <w:rPr>
          <w:rFonts w:ascii="Arial" w:hAnsi="Arial" w:cs="Arial"/>
          <w:sz w:val="24"/>
          <w:szCs w:val="24"/>
        </w:rPr>
        <w:t>OFK</w:t>
      </w:r>
      <w:r w:rsidR="00DE024E">
        <w:rPr>
          <w:rFonts w:ascii="Arial" w:hAnsi="Arial" w:cs="Arial"/>
          <w:sz w:val="24"/>
          <w:szCs w:val="24"/>
        </w:rPr>
        <w:t>, respektive spincelulárního karcinomu dutiny ústní</w:t>
      </w:r>
      <w:r w:rsidR="0064032D" w:rsidRPr="008F13F9">
        <w:rPr>
          <w:rFonts w:ascii="Arial" w:hAnsi="Arial" w:cs="Arial"/>
          <w:sz w:val="24"/>
          <w:szCs w:val="24"/>
        </w:rPr>
        <w:t xml:space="preserve"> může být podmíněna infekcí lidským papilomavirem (HPV). Otevřenou otázkou zůstává, jaká je cesta této infekce do dutiny ústní. Obecně lze říci, že tento HPV patří do skupiny chorob sexuálně přenosných (Sexually Transmitted Diseases - STD). Jednou z možností vstupu infekce mohou proto být alternativní sexuální praktiky (nekoitální, orální sex) což ovšem někteří autoři považují za málo pravděpodobné.</w:t>
      </w:r>
      <w:r w:rsidR="0064032D" w:rsidRPr="008F13F9">
        <w:rPr>
          <w:rFonts w:ascii="Arial" w:hAnsi="Arial" w:cs="Arial"/>
          <w:sz w:val="24"/>
          <w:szCs w:val="24"/>
          <w:vertAlign w:val="superscript"/>
        </w:rPr>
        <w:t>87</w:t>
      </w:r>
    </w:p>
    <w:p w14:paraId="211A24CD" w14:textId="77777777" w:rsidR="0064032D" w:rsidRPr="008F13F9" w:rsidRDefault="0064032D" w:rsidP="008F13F9">
      <w:pPr>
        <w:spacing w:line="360" w:lineRule="auto"/>
        <w:jc w:val="both"/>
        <w:rPr>
          <w:rFonts w:ascii="Arial" w:hAnsi="Arial" w:cs="Arial"/>
          <w:sz w:val="24"/>
          <w:szCs w:val="24"/>
        </w:rPr>
      </w:pPr>
    </w:p>
    <w:p w14:paraId="03029169" w14:textId="5F4BD9A8" w:rsidR="0064032D" w:rsidRPr="002836FB" w:rsidRDefault="002836FB" w:rsidP="008F13F9">
      <w:pPr>
        <w:spacing w:line="360" w:lineRule="auto"/>
        <w:jc w:val="both"/>
        <w:rPr>
          <w:rFonts w:ascii="Arial" w:hAnsi="Arial" w:cs="Arial"/>
          <w:b/>
          <w:sz w:val="24"/>
          <w:szCs w:val="24"/>
        </w:rPr>
      </w:pPr>
      <w:r>
        <w:rPr>
          <w:rFonts w:ascii="Arial" w:hAnsi="Arial" w:cs="Arial"/>
          <w:sz w:val="24"/>
          <w:szCs w:val="24"/>
        </w:rPr>
        <w:tab/>
      </w:r>
      <w:r w:rsidR="0064032D" w:rsidRPr="002836FB">
        <w:rPr>
          <w:rFonts w:ascii="Arial" w:hAnsi="Arial" w:cs="Arial"/>
          <w:b/>
          <w:sz w:val="24"/>
          <w:szCs w:val="24"/>
        </w:rPr>
        <w:t xml:space="preserve">Cílem předkládané práce je </w:t>
      </w:r>
      <w:r w:rsidR="00EC535C">
        <w:rPr>
          <w:rFonts w:ascii="Arial" w:hAnsi="Arial" w:cs="Arial"/>
          <w:b/>
          <w:sz w:val="24"/>
          <w:szCs w:val="24"/>
        </w:rPr>
        <w:t>posoudit možnou</w:t>
      </w:r>
      <w:r w:rsidR="0064032D" w:rsidRPr="002836FB">
        <w:rPr>
          <w:rFonts w:ascii="Arial" w:hAnsi="Arial" w:cs="Arial"/>
          <w:b/>
          <w:sz w:val="24"/>
          <w:szCs w:val="24"/>
        </w:rPr>
        <w:t xml:space="preserve"> souvislost mezi </w:t>
      </w:r>
      <w:r w:rsidR="00254658" w:rsidRPr="002836FB">
        <w:rPr>
          <w:rFonts w:ascii="Arial" w:hAnsi="Arial" w:cs="Arial"/>
          <w:b/>
          <w:sz w:val="24"/>
          <w:szCs w:val="24"/>
        </w:rPr>
        <w:t>typy sexuálních praktik</w:t>
      </w:r>
      <w:r w:rsidR="0064032D" w:rsidRPr="002836FB">
        <w:rPr>
          <w:rFonts w:ascii="Arial" w:hAnsi="Arial" w:cs="Arial"/>
          <w:b/>
          <w:sz w:val="24"/>
          <w:szCs w:val="24"/>
        </w:rPr>
        <w:t xml:space="preserve"> (koit</w:t>
      </w:r>
      <w:r w:rsidR="00254658" w:rsidRPr="002836FB">
        <w:rPr>
          <w:rFonts w:ascii="Arial" w:hAnsi="Arial" w:cs="Arial"/>
          <w:b/>
          <w:sz w:val="24"/>
          <w:szCs w:val="24"/>
        </w:rPr>
        <w:t>álních vs.</w:t>
      </w:r>
      <w:r w:rsidR="00C4123F" w:rsidRPr="002836FB">
        <w:rPr>
          <w:rFonts w:ascii="Arial" w:hAnsi="Arial" w:cs="Arial"/>
          <w:b/>
          <w:sz w:val="24"/>
          <w:szCs w:val="24"/>
        </w:rPr>
        <w:t xml:space="preserve"> nekoitálních) a infekcí</w:t>
      </w:r>
      <w:r w:rsidR="0064032D" w:rsidRPr="002836FB">
        <w:rPr>
          <w:rFonts w:ascii="Arial" w:hAnsi="Arial" w:cs="Arial"/>
          <w:b/>
          <w:sz w:val="24"/>
          <w:szCs w:val="24"/>
        </w:rPr>
        <w:t xml:space="preserve"> lidským papilomavirem v ústech</w:t>
      </w:r>
      <w:r w:rsidR="0051110B">
        <w:rPr>
          <w:rFonts w:ascii="Arial" w:hAnsi="Arial" w:cs="Arial"/>
          <w:b/>
          <w:sz w:val="24"/>
          <w:szCs w:val="24"/>
        </w:rPr>
        <w:t xml:space="preserve"> a na děložním čípku</w:t>
      </w:r>
      <w:r w:rsidR="0064032D" w:rsidRPr="002836FB">
        <w:rPr>
          <w:rFonts w:ascii="Arial" w:hAnsi="Arial" w:cs="Arial"/>
          <w:b/>
          <w:sz w:val="24"/>
          <w:szCs w:val="24"/>
        </w:rPr>
        <w:t>.</w:t>
      </w:r>
    </w:p>
    <w:p w14:paraId="149120D2" w14:textId="77777777" w:rsidR="00791716" w:rsidRDefault="00791716" w:rsidP="008F13F9">
      <w:pPr>
        <w:spacing w:line="360" w:lineRule="auto"/>
        <w:jc w:val="both"/>
        <w:rPr>
          <w:rFonts w:ascii="Arial" w:hAnsi="Arial" w:cs="Arial"/>
          <w:sz w:val="24"/>
          <w:szCs w:val="24"/>
        </w:rPr>
      </w:pPr>
    </w:p>
    <w:p w14:paraId="1EA4CA32" w14:textId="77777777" w:rsidR="00791716" w:rsidRDefault="00791716" w:rsidP="008F13F9">
      <w:pPr>
        <w:spacing w:line="360" w:lineRule="auto"/>
        <w:jc w:val="both"/>
        <w:rPr>
          <w:rFonts w:ascii="Arial" w:hAnsi="Arial" w:cs="Arial"/>
          <w:sz w:val="24"/>
          <w:szCs w:val="24"/>
        </w:rPr>
      </w:pPr>
    </w:p>
    <w:p w14:paraId="32EDA998" w14:textId="77777777" w:rsidR="00791716" w:rsidRDefault="00791716" w:rsidP="008F13F9">
      <w:pPr>
        <w:spacing w:line="360" w:lineRule="auto"/>
        <w:jc w:val="both"/>
        <w:rPr>
          <w:rFonts w:ascii="Arial" w:hAnsi="Arial" w:cs="Arial"/>
          <w:sz w:val="24"/>
          <w:szCs w:val="24"/>
        </w:rPr>
      </w:pPr>
    </w:p>
    <w:p w14:paraId="6290065B" w14:textId="77777777" w:rsidR="00791716" w:rsidRDefault="00791716" w:rsidP="008F13F9">
      <w:pPr>
        <w:spacing w:line="360" w:lineRule="auto"/>
        <w:jc w:val="both"/>
        <w:rPr>
          <w:rFonts w:ascii="Arial" w:hAnsi="Arial" w:cs="Arial"/>
          <w:sz w:val="24"/>
          <w:szCs w:val="24"/>
        </w:rPr>
      </w:pPr>
    </w:p>
    <w:p w14:paraId="4A50BE9A" w14:textId="77777777" w:rsidR="0064032D" w:rsidRPr="003A3C42" w:rsidRDefault="0064032D" w:rsidP="003A3C42">
      <w:pPr>
        <w:spacing w:line="360" w:lineRule="auto"/>
        <w:jc w:val="center"/>
        <w:rPr>
          <w:rFonts w:ascii="Arial" w:hAnsi="Arial" w:cs="Arial"/>
          <w:b/>
          <w:sz w:val="30"/>
          <w:szCs w:val="30"/>
          <w:u w:val="single"/>
        </w:rPr>
      </w:pPr>
      <w:r w:rsidRPr="003A3C42">
        <w:rPr>
          <w:rFonts w:ascii="Arial" w:hAnsi="Arial" w:cs="Arial"/>
          <w:b/>
          <w:sz w:val="30"/>
          <w:szCs w:val="30"/>
          <w:u w:val="single"/>
        </w:rPr>
        <w:t>Obecná část</w:t>
      </w:r>
    </w:p>
    <w:p w14:paraId="16AD0937" w14:textId="77777777" w:rsidR="0064032D" w:rsidRPr="008F13F9" w:rsidRDefault="0064032D" w:rsidP="008F13F9">
      <w:pPr>
        <w:spacing w:line="360" w:lineRule="auto"/>
        <w:jc w:val="both"/>
        <w:rPr>
          <w:rFonts w:ascii="Arial" w:hAnsi="Arial" w:cs="Arial"/>
          <w:sz w:val="24"/>
          <w:szCs w:val="24"/>
        </w:rPr>
      </w:pPr>
    </w:p>
    <w:p w14:paraId="074752B5" w14:textId="77777777" w:rsidR="0064032D" w:rsidRPr="003A3C42" w:rsidRDefault="0064032D" w:rsidP="003A3C42">
      <w:pPr>
        <w:spacing w:before="100" w:beforeAutospacing="1" w:after="100" w:afterAutospacing="1" w:line="360" w:lineRule="auto"/>
        <w:jc w:val="center"/>
        <w:outlineLvl w:val="0"/>
        <w:rPr>
          <w:rFonts w:ascii="Arial" w:hAnsi="Arial" w:cs="Arial"/>
          <w:b/>
          <w:sz w:val="24"/>
          <w:szCs w:val="24"/>
          <w:u w:val="single"/>
        </w:rPr>
      </w:pPr>
      <w:r w:rsidRPr="003A3C42">
        <w:rPr>
          <w:rFonts w:ascii="Arial" w:hAnsi="Arial" w:cs="Arial"/>
          <w:b/>
          <w:sz w:val="24"/>
          <w:szCs w:val="24"/>
          <w:u w:val="single"/>
        </w:rPr>
        <w:t>1. Buněčný cyklus a jeho regulace</w:t>
      </w:r>
    </w:p>
    <w:p w14:paraId="563CA76B" w14:textId="77777777" w:rsidR="0064032D" w:rsidRPr="008F13F9" w:rsidRDefault="0064032D" w:rsidP="008F13F9">
      <w:pPr>
        <w:spacing w:before="100" w:beforeAutospacing="1" w:after="100" w:afterAutospacing="1" w:line="360" w:lineRule="auto"/>
        <w:jc w:val="both"/>
        <w:rPr>
          <w:rFonts w:ascii="Arial" w:hAnsi="Arial" w:cs="Arial"/>
          <w:b/>
          <w:i/>
          <w:sz w:val="24"/>
          <w:szCs w:val="24"/>
        </w:rPr>
      </w:pPr>
      <w:r w:rsidRPr="008F13F9">
        <w:rPr>
          <w:rFonts w:ascii="Arial" w:hAnsi="Arial" w:cs="Arial"/>
          <w:sz w:val="24"/>
          <w:szCs w:val="24"/>
        </w:rPr>
        <w:t xml:space="preserve">Vývoj každého organismu je závislý na buněčném dělení. </w:t>
      </w:r>
      <w:r w:rsidR="00C4123F">
        <w:rPr>
          <w:rFonts w:ascii="Arial" w:hAnsi="Arial" w:cs="Arial"/>
          <w:sz w:val="24"/>
          <w:szCs w:val="24"/>
        </w:rPr>
        <w:t>Charakeristika buněčného cyklu byla</w:t>
      </w:r>
      <w:r w:rsidR="00905F58">
        <w:rPr>
          <w:rFonts w:ascii="Arial" w:hAnsi="Arial" w:cs="Arial"/>
          <w:sz w:val="24"/>
          <w:szCs w:val="24"/>
        </w:rPr>
        <w:t xml:space="preserve"> v roce 1953 představena</w:t>
      </w:r>
      <w:r w:rsidRPr="008F13F9">
        <w:rPr>
          <w:rFonts w:ascii="Arial" w:hAnsi="Arial" w:cs="Arial"/>
          <w:sz w:val="24"/>
          <w:szCs w:val="24"/>
        </w:rPr>
        <w:t xml:space="preserve"> Pelcem a Howardem. Tento cyklus končí rozdělením původní buňky na buňky dceřinné, což </w:t>
      </w:r>
      <w:r w:rsidR="00C4123F">
        <w:rPr>
          <w:rFonts w:ascii="Arial" w:hAnsi="Arial" w:cs="Arial"/>
          <w:sz w:val="24"/>
          <w:szCs w:val="24"/>
        </w:rPr>
        <w:t>umožní</w:t>
      </w:r>
      <w:r w:rsidRPr="008F13F9">
        <w:rPr>
          <w:rFonts w:ascii="Arial" w:hAnsi="Arial" w:cs="Arial"/>
          <w:sz w:val="24"/>
          <w:szCs w:val="24"/>
        </w:rPr>
        <w:t xml:space="preserve"> jejich další růst a následně dochází k dalšímu dělení.</w:t>
      </w:r>
      <w:r w:rsidRPr="008F13F9">
        <w:rPr>
          <w:rFonts w:ascii="Arial" w:hAnsi="Arial" w:cs="Arial"/>
          <w:b/>
          <w:i/>
          <w:sz w:val="24"/>
          <w:szCs w:val="24"/>
        </w:rPr>
        <w:t xml:space="preserve"> </w:t>
      </w:r>
    </w:p>
    <w:p w14:paraId="6FEFA084" w14:textId="77777777" w:rsidR="0064032D" w:rsidRPr="00D04F54" w:rsidRDefault="0064032D" w:rsidP="008F13F9">
      <w:pPr>
        <w:spacing w:before="100" w:beforeAutospacing="1" w:after="100" w:afterAutospacing="1" w:line="360" w:lineRule="auto"/>
        <w:outlineLvl w:val="0"/>
        <w:rPr>
          <w:rFonts w:ascii="Arial" w:hAnsi="Arial" w:cs="Arial"/>
          <w:b/>
          <w:sz w:val="24"/>
          <w:szCs w:val="24"/>
          <w:u w:val="single"/>
        </w:rPr>
      </w:pPr>
      <w:r w:rsidRPr="00D04F54">
        <w:rPr>
          <w:rFonts w:ascii="Arial" w:hAnsi="Arial" w:cs="Arial"/>
          <w:b/>
          <w:sz w:val="24"/>
          <w:szCs w:val="24"/>
          <w:u w:val="single"/>
        </w:rPr>
        <w:t>1.1 Základní fáze buněčného cyklu:</w:t>
      </w:r>
    </w:p>
    <w:p w14:paraId="56EDD054"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br/>
      </w:r>
      <w:r w:rsidRPr="008F13F9">
        <w:rPr>
          <w:rFonts w:ascii="Arial" w:hAnsi="Arial" w:cs="Arial"/>
          <w:sz w:val="24"/>
          <w:szCs w:val="24"/>
          <w:u w:val="single"/>
        </w:rPr>
        <w:t>G0 -fáze:</w:t>
      </w:r>
      <w:r w:rsidRPr="008F13F9">
        <w:rPr>
          <w:rFonts w:ascii="Arial" w:hAnsi="Arial" w:cs="Arial"/>
          <w:sz w:val="24"/>
          <w:szCs w:val="24"/>
        </w:rPr>
        <w:t xml:space="preserve"> klidová fáze buněčného cyklu, buňka udržuje bazální metabolismus a plní své základní funkce.</w:t>
      </w:r>
    </w:p>
    <w:p w14:paraId="7C5E0166"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br/>
      </w:r>
      <w:r w:rsidRPr="008F13F9">
        <w:rPr>
          <w:rFonts w:ascii="Arial" w:hAnsi="Arial" w:cs="Arial"/>
          <w:sz w:val="24"/>
          <w:szCs w:val="24"/>
          <w:u w:val="single"/>
        </w:rPr>
        <w:t>G1 -fáze:</w:t>
      </w:r>
      <w:r w:rsidRPr="008F13F9">
        <w:rPr>
          <w:rFonts w:ascii="Arial" w:hAnsi="Arial" w:cs="Arial"/>
          <w:sz w:val="24"/>
          <w:szCs w:val="24"/>
        </w:rPr>
        <w:t xml:space="preserve"> probíhá syntéza všech typů RNA v jádře a proteosyntéza v cytoplazmě. Buňka roste. Je to interval mezi ukončením mitózy a začátkem syntézy DNA. Délku celého buněčného cyklu většinou určuje právě délka G1 -fáze.</w:t>
      </w:r>
    </w:p>
    <w:p w14:paraId="3D68B2EC" w14:textId="77777777" w:rsidR="00C4123F"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br/>
      </w:r>
      <w:r w:rsidRPr="008F13F9">
        <w:rPr>
          <w:rFonts w:ascii="Arial" w:hAnsi="Arial" w:cs="Arial"/>
          <w:sz w:val="24"/>
          <w:szCs w:val="24"/>
          <w:u w:val="single"/>
        </w:rPr>
        <w:t>S -fáze:</w:t>
      </w:r>
      <w:r w:rsidRPr="008F13F9">
        <w:rPr>
          <w:rFonts w:ascii="Arial" w:hAnsi="Arial" w:cs="Arial"/>
          <w:sz w:val="24"/>
          <w:szCs w:val="24"/>
        </w:rPr>
        <w:t xml:space="preserve"> v jádře se replikuje DNA a v cytoplazmě jsou syntetizovány histony. Po skončení S -fáze obsahuje buněčné jádro dvojnásobné množství DNA.</w:t>
      </w:r>
      <w:r w:rsidRPr="008F13F9">
        <w:rPr>
          <w:rFonts w:ascii="Arial" w:hAnsi="Arial" w:cs="Arial"/>
          <w:sz w:val="24"/>
          <w:szCs w:val="24"/>
        </w:rPr>
        <w:br/>
      </w:r>
    </w:p>
    <w:p w14:paraId="74A4CDCA" w14:textId="77777777" w:rsidR="0064032D" w:rsidRPr="008F13F9" w:rsidRDefault="0064032D" w:rsidP="008F13F9">
      <w:pPr>
        <w:spacing w:before="100" w:beforeAutospacing="1" w:after="100" w:afterAutospacing="1" w:line="360" w:lineRule="auto"/>
        <w:rPr>
          <w:rFonts w:ascii="Arial" w:hAnsi="Arial" w:cs="Arial"/>
          <w:sz w:val="24"/>
          <w:szCs w:val="24"/>
        </w:rPr>
      </w:pPr>
      <w:r w:rsidRPr="00C4123F">
        <w:rPr>
          <w:rFonts w:ascii="Arial" w:hAnsi="Arial" w:cs="Arial"/>
          <w:sz w:val="24"/>
          <w:szCs w:val="24"/>
          <w:u w:val="single"/>
        </w:rPr>
        <w:t>G2 -fáze</w:t>
      </w:r>
      <w:r w:rsidRPr="008F13F9">
        <w:rPr>
          <w:rFonts w:ascii="Arial" w:hAnsi="Arial" w:cs="Arial"/>
          <w:sz w:val="24"/>
          <w:szCs w:val="24"/>
        </w:rPr>
        <w:t>: probíhá další růst buňky, proteosyntéza, a ve zvýšené míře jsou syntetizovány proteiny pro výstavbu mitotického aparátu, zvláště tubulin. Je to interval mezi koncem syntézy DNA a začátkem mitózy. V G2 -fázi probíhá kontrola ukončení replikace DNA před vstupem do mitózy.</w:t>
      </w:r>
    </w:p>
    <w:p w14:paraId="7177B837"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br/>
      </w:r>
      <w:r w:rsidRPr="008F13F9">
        <w:rPr>
          <w:rFonts w:ascii="Arial" w:hAnsi="Arial" w:cs="Arial"/>
          <w:sz w:val="24"/>
          <w:szCs w:val="24"/>
          <w:u w:val="single"/>
        </w:rPr>
        <w:t>M -fáze:</w:t>
      </w:r>
      <w:r w:rsidRPr="008F13F9">
        <w:rPr>
          <w:rFonts w:ascii="Arial" w:hAnsi="Arial" w:cs="Arial"/>
          <w:sz w:val="24"/>
          <w:szCs w:val="24"/>
        </w:rPr>
        <w:t xml:space="preserve"> mitotická, sestává ze šesti na sebe navazujících fází. Prvních pět </w:t>
      </w:r>
      <w:r w:rsidRPr="008F13F9">
        <w:rPr>
          <w:rFonts w:ascii="Arial" w:hAnsi="Arial" w:cs="Arial"/>
          <w:sz w:val="24"/>
          <w:szCs w:val="24"/>
        </w:rPr>
        <w:lastRenderedPageBreak/>
        <w:t xml:space="preserve">(profáze, prometafáze, metafáze, anafáze, telofáze) představuje dělení jádra. Šestou fází je vlastní rozdělení buňky neboli cytokineze. Mitotickým dělením je zabezpečen vznik dvou geneticky identických buněk. </w:t>
      </w:r>
    </w:p>
    <w:p w14:paraId="18E2FD4F"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Kontrola buněčného cyklu je stěžejní záležitostí; její narušení může mít za následek přeměnu normální buňky v buňku nádorovou, která nepodléhá regulačním mechanismům a je schopna nekontrolovaného růstu. </w:t>
      </w:r>
    </w:p>
    <w:p w14:paraId="571C85C2"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Proliferační aktivita je kontrolována prostřednictvím inhibitorů, které mohou zastavit cyklus v kontrolních bodech. První kontrolní bod je v G1 fázi př</w:t>
      </w:r>
      <w:r w:rsidR="008F13F9">
        <w:rPr>
          <w:rFonts w:ascii="Arial" w:hAnsi="Arial" w:cs="Arial"/>
          <w:sz w:val="24"/>
          <w:szCs w:val="24"/>
        </w:rPr>
        <w:t xml:space="preserve">ed vstupem </w:t>
      </w:r>
      <w:r w:rsidR="0064032D" w:rsidRPr="008F13F9">
        <w:rPr>
          <w:rFonts w:ascii="Arial" w:hAnsi="Arial" w:cs="Arial"/>
          <w:sz w:val="24"/>
          <w:szCs w:val="24"/>
        </w:rPr>
        <w:t>buňky do</w:t>
      </w:r>
      <w:r w:rsidR="008F3DCD">
        <w:rPr>
          <w:rFonts w:ascii="Arial" w:hAnsi="Arial" w:cs="Arial"/>
          <w:sz w:val="24"/>
          <w:szCs w:val="24"/>
        </w:rPr>
        <w:t xml:space="preserve"> S </w:t>
      </w:r>
      <w:r w:rsidR="0064032D" w:rsidRPr="008F13F9">
        <w:rPr>
          <w:rFonts w:ascii="Arial" w:hAnsi="Arial" w:cs="Arial"/>
          <w:sz w:val="24"/>
          <w:szCs w:val="24"/>
        </w:rPr>
        <w:t xml:space="preserve">fáze, druhý kontrolní bod je v G2 fázi před zahájením mitózy. Vlastní regulace je řízena dvěma skupinami proteinů. Jedná se o cyklin-dependentní kinázy (cdk) a cykliny. </w:t>
      </w:r>
    </w:p>
    <w:p w14:paraId="7C4436F1" w14:textId="77777777" w:rsidR="0064032D" w:rsidRPr="00D04F54" w:rsidRDefault="0064032D" w:rsidP="008F13F9">
      <w:pPr>
        <w:spacing w:before="100" w:beforeAutospacing="1" w:after="100" w:afterAutospacing="1" w:line="360" w:lineRule="auto"/>
        <w:jc w:val="both"/>
        <w:outlineLvl w:val="0"/>
        <w:rPr>
          <w:rFonts w:ascii="Arial" w:hAnsi="Arial" w:cs="Arial"/>
          <w:b/>
          <w:sz w:val="24"/>
          <w:szCs w:val="24"/>
          <w:u w:val="single"/>
        </w:rPr>
      </w:pPr>
      <w:r w:rsidRPr="00D04F54">
        <w:rPr>
          <w:rFonts w:ascii="Arial" w:hAnsi="Arial" w:cs="Arial"/>
          <w:b/>
          <w:sz w:val="24"/>
          <w:szCs w:val="24"/>
          <w:u w:val="single"/>
        </w:rPr>
        <w:t>1.2 Maligní transformace buněčného cyklu</w:t>
      </w:r>
    </w:p>
    <w:p w14:paraId="5FFCC917"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V</w:t>
      </w:r>
      <w:r w:rsidR="008F3DCD">
        <w:rPr>
          <w:rFonts w:ascii="Arial" w:hAnsi="Arial" w:cs="Arial"/>
          <w:sz w:val="24"/>
          <w:szCs w:val="24"/>
        </w:rPr>
        <w:t xml:space="preserve"> rozvoji maligního onemocnění hr</w:t>
      </w:r>
      <w:r w:rsidR="0064032D" w:rsidRPr="008F13F9">
        <w:rPr>
          <w:rFonts w:ascii="Arial" w:hAnsi="Arial" w:cs="Arial"/>
          <w:sz w:val="24"/>
          <w:szCs w:val="24"/>
        </w:rPr>
        <w:t xml:space="preserve">ají hlavní roli 2 základní skupiny genů, jejichž poruchy vedou k neomezenému buněčnému dělení: </w:t>
      </w:r>
    </w:p>
    <w:p w14:paraId="7FBB55D6"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t xml:space="preserve">- protoonkogeny </w:t>
      </w:r>
    </w:p>
    <w:p w14:paraId="50D8F4D1"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t xml:space="preserve">- antionkogeny (tumor supresorové geny) </w:t>
      </w:r>
    </w:p>
    <w:p w14:paraId="2E34DC5B" w14:textId="77777777" w:rsidR="0064032D" w:rsidRPr="008F13F9" w:rsidRDefault="0064032D" w:rsidP="008F13F9">
      <w:pPr>
        <w:spacing w:before="100" w:beforeAutospacing="1" w:after="100" w:afterAutospacing="1" w:line="360" w:lineRule="auto"/>
        <w:jc w:val="both"/>
        <w:rPr>
          <w:rFonts w:ascii="Arial" w:hAnsi="Arial" w:cs="Arial"/>
          <w:sz w:val="24"/>
          <w:szCs w:val="24"/>
        </w:rPr>
      </w:pPr>
    </w:p>
    <w:p w14:paraId="3CF64E26" w14:textId="77777777" w:rsidR="0064032D" w:rsidRPr="00D04F54" w:rsidRDefault="0064032D" w:rsidP="008F13F9">
      <w:pPr>
        <w:spacing w:before="100" w:beforeAutospacing="1" w:after="100" w:afterAutospacing="1" w:line="360" w:lineRule="auto"/>
        <w:jc w:val="both"/>
        <w:outlineLvl w:val="0"/>
        <w:rPr>
          <w:rFonts w:ascii="Arial" w:hAnsi="Arial" w:cs="Arial"/>
          <w:b/>
          <w:i/>
          <w:sz w:val="24"/>
          <w:szCs w:val="24"/>
          <w:u w:val="single"/>
        </w:rPr>
      </w:pPr>
      <w:r w:rsidRPr="00D04F54">
        <w:rPr>
          <w:rFonts w:ascii="Arial" w:hAnsi="Arial" w:cs="Arial"/>
          <w:b/>
          <w:i/>
          <w:sz w:val="24"/>
          <w:szCs w:val="24"/>
        </w:rPr>
        <w:t xml:space="preserve">1.2.1 </w:t>
      </w:r>
      <w:r w:rsidRPr="00D04F54">
        <w:rPr>
          <w:rFonts w:ascii="Arial" w:hAnsi="Arial" w:cs="Arial"/>
          <w:b/>
          <w:i/>
          <w:sz w:val="24"/>
          <w:szCs w:val="24"/>
          <w:u w:val="single"/>
        </w:rPr>
        <w:t xml:space="preserve">Protoonkogeny </w:t>
      </w:r>
    </w:p>
    <w:p w14:paraId="5020DF65"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První poznatky o onkogenech jsou spojeny se studiem RNA nádorových retrovirů. Jejich onkogeny jsou segmenty virového genomu, které vyvolávají neoplastickou buněčnou transformaci a podporují patogenezi nádorů. Obdobné sekvence byly nalezeny v genomu většiny eukaryotických buněk. </w:t>
      </w:r>
    </w:p>
    <w:p w14:paraId="18270C7F"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Prokázalo se, že DNA extrahovaná z nádorových buněk a přenesená do buněk „normálních“, vyvolala neoplastickou transformaci. Varianty těchto virových a buněčných genů mající transformační účinky a vyskytující se v normálních buňkách se nazývají </w:t>
      </w:r>
      <w:r w:rsidR="0064032D" w:rsidRPr="002836FB">
        <w:rPr>
          <w:rFonts w:ascii="Arial" w:hAnsi="Arial" w:cs="Arial"/>
          <w:i/>
          <w:sz w:val="24"/>
          <w:szCs w:val="24"/>
        </w:rPr>
        <w:t>protoonkogeny</w:t>
      </w:r>
      <w:r w:rsidR="0064032D" w:rsidRPr="008F13F9">
        <w:rPr>
          <w:rFonts w:ascii="Arial" w:hAnsi="Arial" w:cs="Arial"/>
          <w:sz w:val="24"/>
          <w:szCs w:val="24"/>
        </w:rPr>
        <w:t xml:space="preserve">. </w:t>
      </w:r>
    </w:p>
    <w:p w14:paraId="2D171FB5"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ab/>
      </w:r>
      <w:r w:rsidR="0064032D" w:rsidRPr="008F13F9">
        <w:rPr>
          <w:rFonts w:ascii="Arial" w:hAnsi="Arial" w:cs="Arial"/>
          <w:sz w:val="24"/>
          <w:szCs w:val="24"/>
        </w:rPr>
        <w:t>Je popsána řada genů, které se pod vlivem různých mechanismů (bodové mutace, translokace, genová</w:t>
      </w:r>
      <w:r w:rsidR="00DE024E">
        <w:rPr>
          <w:rFonts w:ascii="Arial" w:hAnsi="Arial" w:cs="Arial"/>
          <w:sz w:val="24"/>
          <w:szCs w:val="24"/>
        </w:rPr>
        <w:t xml:space="preserve"> amplifikace, inzerce retrovirové DNA</w:t>
      </w:r>
      <w:r w:rsidR="0064032D" w:rsidRPr="008F13F9">
        <w:rPr>
          <w:rFonts w:ascii="Arial" w:hAnsi="Arial" w:cs="Arial"/>
          <w:sz w:val="24"/>
          <w:szCs w:val="24"/>
        </w:rPr>
        <w:t xml:space="preserve">) mohou chovat jako onkogeny. </w:t>
      </w:r>
    </w:p>
    <w:p w14:paraId="6B2825BD"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Mechanismus aktivace p</w:t>
      </w:r>
      <w:r w:rsidR="00415B18">
        <w:rPr>
          <w:rFonts w:ascii="Arial" w:hAnsi="Arial" w:cs="Arial"/>
          <w:sz w:val="24"/>
          <w:szCs w:val="24"/>
        </w:rPr>
        <w:t>ro</w:t>
      </w:r>
      <w:r w:rsidR="0064032D" w:rsidRPr="008F13F9">
        <w:rPr>
          <w:rFonts w:ascii="Arial" w:hAnsi="Arial" w:cs="Arial"/>
          <w:sz w:val="24"/>
          <w:szCs w:val="24"/>
        </w:rPr>
        <w:t xml:space="preserve">toonkogenů spočívá v narušení </w:t>
      </w:r>
      <w:r w:rsidR="00415B18">
        <w:rPr>
          <w:rFonts w:ascii="Arial" w:hAnsi="Arial" w:cs="Arial"/>
          <w:sz w:val="24"/>
          <w:szCs w:val="24"/>
        </w:rPr>
        <w:t>jejich struktury</w:t>
      </w:r>
      <w:r w:rsidR="0064032D" w:rsidRPr="008F13F9">
        <w:rPr>
          <w:rFonts w:ascii="Arial" w:hAnsi="Arial" w:cs="Arial"/>
          <w:sz w:val="24"/>
          <w:szCs w:val="24"/>
        </w:rPr>
        <w:t xml:space="preserve">, nebo ve zvýšení exprese, které jsou vyvolány prostřednictvím retrovirů, mutace, genové amplifikace nebo  chromozomální přestavby. </w:t>
      </w:r>
    </w:p>
    <w:p w14:paraId="7E3CAC55"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Mezi hlavní proonkogeny patří geny pro růstové faktory, geny pro receptory růstových faktorů, geny pro přenašeče signálů, jaderné transkripční faktory a také geny pro cykliny a cyklin dependentní kinázy (cdk). </w:t>
      </w:r>
    </w:p>
    <w:p w14:paraId="78AC2FA3"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Buněčný cyklus u savčích buněk je koordinován hlavně aktivitou cyklinů a cyklin- dependentních kináz. Mutace poškozující tuto regulační aktivitu podporují proces buněčné proliferace. </w:t>
      </w:r>
    </w:p>
    <w:p w14:paraId="00AC7CAD" w14:textId="77777777" w:rsidR="0064032D"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Cyklin D1 (CD1) a CDK4 byly objeveny jako první z potencionálních onkogenů</w:t>
      </w:r>
      <w:r w:rsidR="00415B18">
        <w:rPr>
          <w:rFonts w:ascii="Arial" w:hAnsi="Arial" w:cs="Arial"/>
          <w:sz w:val="24"/>
          <w:szCs w:val="24"/>
        </w:rPr>
        <w:t xml:space="preserve"> (Obr. 1)</w:t>
      </w:r>
      <w:r w:rsidR="0064032D" w:rsidRPr="008F13F9">
        <w:rPr>
          <w:rFonts w:ascii="Arial" w:hAnsi="Arial" w:cs="Arial"/>
          <w:sz w:val="24"/>
          <w:szCs w:val="24"/>
        </w:rPr>
        <w:t xml:space="preserve">. Změněná exprese obou proteinů je častým jevem, se kterým se můžeme setkat u celé řady nádorů (nádory prsu, jícnu, jater, lymfomy, melanomy, sarkomy, glioblastomy). </w:t>
      </w:r>
    </w:p>
    <w:p w14:paraId="7437A115" w14:textId="77777777" w:rsidR="00415B18" w:rsidRPr="008F13F9" w:rsidRDefault="00415B18" w:rsidP="008F13F9">
      <w:pPr>
        <w:spacing w:before="100" w:beforeAutospacing="1" w:after="100" w:afterAutospacing="1" w:line="360" w:lineRule="auto"/>
        <w:jc w:val="both"/>
        <w:rPr>
          <w:rFonts w:ascii="Arial" w:hAnsi="Arial" w:cs="Arial"/>
          <w:sz w:val="24"/>
          <w:szCs w:val="24"/>
        </w:rPr>
      </w:pPr>
    </w:p>
    <w:p w14:paraId="152B913A" w14:textId="77777777" w:rsidR="0064032D" w:rsidRPr="008F13F9" w:rsidRDefault="00905F58" w:rsidP="008F13F9">
      <w:pPr>
        <w:spacing w:before="100" w:beforeAutospacing="1" w:after="100" w:afterAutospacing="1" w:line="360" w:lineRule="auto"/>
        <w:jc w:val="center"/>
        <w:rPr>
          <w:rFonts w:ascii="Arial" w:hAnsi="Arial" w:cs="Arial"/>
          <w:sz w:val="24"/>
          <w:szCs w:val="24"/>
        </w:rPr>
      </w:pPr>
      <w:r>
        <w:rPr>
          <w:rFonts w:ascii="Arial" w:hAnsi="Arial" w:cs="Arial"/>
          <w:noProof/>
          <w:sz w:val="24"/>
          <w:szCs w:val="24"/>
          <w:lang w:val="en-US"/>
        </w:rPr>
        <w:lastRenderedPageBreak/>
        <w:drawing>
          <wp:inline distT="0" distB="0" distL="0" distR="0" wp14:anchorId="7DE739F9" wp14:editId="2AA7F121">
            <wp:extent cx="4129906" cy="3240532"/>
            <wp:effectExtent l="171450" t="133350" r="403994" b="340868"/>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extLst/>
                    </a:blip>
                    <a:srcRect/>
                    <a:stretch>
                      <a:fillRect/>
                    </a:stretch>
                  </pic:blipFill>
                  <pic:spPr bwMode="auto">
                    <a:xfrm>
                      <a:off x="0" y="0"/>
                      <a:ext cx="4129906" cy="3240532"/>
                    </a:xfrm>
                    <a:prstGeom prst="rect">
                      <a:avLst/>
                    </a:prstGeom>
                    <a:ln>
                      <a:solidFill>
                        <a:srgbClr val="4F81BD"/>
                      </a:solidFill>
                    </a:ln>
                    <a:effectLst>
                      <a:outerShdw blurRad="292100" dist="139700" dir="2700000" algn="tl" rotWithShape="0">
                        <a:srgbClr val="333333">
                          <a:alpha val="65000"/>
                        </a:srgbClr>
                      </a:outerShdw>
                    </a:effectLst>
                  </pic:spPr>
                </pic:pic>
              </a:graphicData>
            </a:graphic>
          </wp:inline>
        </w:drawing>
      </w:r>
      <w:r w:rsidR="0064032D" w:rsidRPr="008F13F9">
        <w:rPr>
          <w:rFonts w:ascii="Arial" w:hAnsi="Arial" w:cs="Arial"/>
          <w:i/>
          <w:sz w:val="24"/>
          <w:szCs w:val="24"/>
        </w:rPr>
        <w:t>Obr. 1</w:t>
      </w:r>
    </w:p>
    <w:p w14:paraId="436F20FB" w14:textId="77777777" w:rsidR="0064032D" w:rsidRPr="008F13F9" w:rsidRDefault="0064032D" w:rsidP="008F13F9">
      <w:pPr>
        <w:spacing w:before="100" w:beforeAutospacing="1" w:after="100" w:afterAutospacing="1" w:line="360" w:lineRule="auto"/>
        <w:rPr>
          <w:rFonts w:ascii="Arial" w:hAnsi="Arial" w:cs="Arial"/>
          <w:b/>
          <w:i/>
          <w:sz w:val="24"/>
          <w:szCs w:val="24"/>
        </w:rPr>
      </w:pPr>
      <w:r w:rsidRPr="008F13F9">
        <w:rPr>
          <w:rFonts w:ascii="Arial" w:hAnsi="Arial" w:cs="Arial"/>
          <w:b/>
          <w:i/>
          <w:sz w:val="24"/>
          <w:szCs w:val="24"/>
        </w:rPr>
        <w:t>Obr.</w:t>
      </w:r>
      <w:r w:rsidR="008F3DCD">
        <w:rPr>
          <w:rFonts w:ascii="Arial" w:hAnsi="Arial" w:cs="Arial"/>
          <w:b/>
          <w:i/>
          <w:sz w:val="24"/>
          <w:szCs w:val="24"/>
        </w:rPr>
        <w:t>1</w:t>
      </w:r>
      <w:r w:rsidRPr="008F13F9">
        <w:rPr>
          <w:rFonts w:ascii="Arial" w:hAnsi="Arial" w:cs="Arial"/>
          <w:b/>
          <w:i/>
          <w:sz w:val="24"/>
          <w:szCs w:val="24"/>
        </w:rPr>
        <w:t xml:space="preserve">: Úloha cyklinů a cdk v procesu regulace buněčného cyklu (převzato z www-bcf.usc.edu/~forsburg/cclecture.html) </w:t>
      </w:r>
    </w:p>
    <w:p w14:paraId="19511EE5" w14:textId="77777777" w:rsidR="0064032D" w:rsidRPr="008F13F9" w:rsidRDefault="0064032D" w:rsidP="008F13F9">
      <w:pPr>
        <w:spacing w:before="100" w:beforeAutospacing="1" w:after="100" w:afterAutospacing="1" w:line="360" w:lineRule="auto"/>
        <w:jc w:val="both"/>
        <w:outlineLvl w:val="0"/>
        <w:rPr>
          <w:rFonts w:ascii="Arial" w:hAnsi="Arial" w:cs="Arial"/>
          <w:i/>
          <w:sz w:val="24"/>
          <w:szCs w:val="24"/>
        </w:rPr>
      </w:pPr>
    </w:p>
    <w:p w14:paraId="581AE545" w14:textId="77777777" w:rsidR="0064032D" w:rsidRPr="00D04F54" w:rsidRDefault="0064032D" w:rsidP="008F13F9">
      <w:pPr>
        <w:spacing w:before="100" w:beforeAutospacing="1" w:after="100" w:afterAutospacing="1" w:line="360" w:lineRule="auto"/>
        <w:jc w:val="both"/>
        <w:outlineLvl w:val="0"/>
        <w:rPr>
          <w:rFonts w:ascii="Arial" w:hAnsi="Arial" w:cs="Arial"/>
          <w:b/>
          <w:i/>
          <w:sz w:val="24"/>
          <w:szCs w:val="24"/>
          <w:u w:val="single"/>
        </w:rPr>
      </w:pPr>
      <w:r w:rsidRPr="00D04F54">
        <w:rPr>
          <w:rFonts w:ascii="Arial" w:hAnsi="Arial" w:cs="Arial"/>
          <w:b/>
          <w:i/>
          <w:sz w:val="24"/>
          <w:szCs w:val="24"/>
        </w:rPr>
        <w:t xml:space="preserve">1.2.2. </w:t>
      </w:r>
      <w:r w:rsidRPr="00D04F54">
        <w:rPr>
          <w:rFonts w:ascii="Arial" w:hAnsi="Arial" w:cs="Arial"/>
          <w:b/>
          <w:i/>
          <w:sz w:val="24"/>
          <w:szCs w:val="24"/>
          <w:u w:val="single"/>
        </w:rPr>
        <w:t xml:space="preserve">Antionkogeny </w:t>
      </w:r>
    </w:p>
    <w:p w14:paraId="1ADA7D1B" w14:textId="77777777" w:rsidR="0064032D" w:rsidRPr="008F13F9" w:rsidRDefault="002836FB" w:rsidP="008F13F9">
      <w:pPr>
        <w:pStyle w:val="NormalWeb"/>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Antionkogeny (tumor supresorové geny) kódují proteiny, které se podílejí na kontrole buněčného růstu a procesu diferenciace. Tímto způsobem inhibují buněčné dělení, účastní se oprav DNA, podporují apotózu, účastní se buněčné diferenciace. </w:t>
      </w:r>
    </w:p>
    <w:p w14:paraId="4AFE4402" w14:textId="77777777" w:rsidR="0064032D" w:rsidRPr="002836FB" w:rsidRDefault="0064032D" w:rsidP="008F13F9">
      <w:pPr>
        <w:spacing w:before="100" w:beforeAutospacing="1" w:after="100" w:afterAutospacing="1" w:line="360" w:lineRule="auto"/>
        <w:jc w:val="both"/>
        <w:rPr>
          <w:rFonts w:ascii="Arial" w:hAnsi="Arial" w:cs="Arial"/>
          <w:sz w:val="24"/>
          <w:szCs w:val="24"/>
          <w:u w:val="single"/>
        </w:rPr>
      </w:pPr>
      <w:r w:rsidRPr="002836FB">
        <w:rPr>
          <w:rFonts w:ascii="Arial" w:hAnsi="Arial" w:cs="Arial"/>
          <w:sz w:val="24"/>
          <w:szCs w:val="24"/>
          <w:u w:val="single"/>
        </w:rPr>
        <w:t xml:space="preserve">Nejdůležitější antionkogeny: </w:t>
      </w:r>
    </w:p>
    <w:p w14:paraId="1783DA58" w14:textId="77777777" w:rsidR="0064032D" w:rsidRPr="008F13F9" w:rsidRDefault="002836FB" w:rsidP="008F13F9">
      <w:pPr>
        <w:spacing w:before="100" w:beforeAutospacing="1" w:after="100" w:afterAutospacing="1" w:line="360" w:lineRule="auto"/>
        <w:jc w:val="both"/>
        <w:rPr>
          <w:rFonts w:ascii="Arial" w:hAnsi="Arial" w:cs="Arial"/>
          <w:b/>
          <w:i/>
          <w:sz w:val="24"/>
          <w:szCs w:val="24"/>
        </w:rPr>
      </w:pPr>
      <w:r>
        <w:rPr>
          <w:rFonts w:ascii="Arial" w:hAnsi="Arial" w:cs="Arial"/>
          <w:sz w:val="24"/>
          <w:szCs w:val="24"/>
        </w:rPr>
        <w:tab/>
      </w:r>
      <w:r w:rsidR="0064032D" w:rsidRPr="008F13F9">
        <w:rPr>
          <w:rFonts w:ascii="Arial" w:hAnsi="Arial" w:cs="Arial"/>
          <w:sz w:val="24"/>
          <w:szCs w:val="24"/>
          <w:u w:val="single"/>
        </w:rPr>
        <w:t>Retinoblastomový gen (Rb)</w:t>
      </w:r>
      <w:r w:rsidR="0064032D" w:rsidRPr="008F13F9">
        <w:rPr>
          <w:rFonts w:ascii="Arial" w:hAnsi="Arial" w:cs="Arial"/>
          <w:sz w:val="24"/>
          <w:szCs w:val="24"/>
        </w:rPr>
        <w:t xml:space="preserve"> byl objeven jako první</w:t>
      </w:r>
      <w:r w:rsidR="00187964">
        <w:rPr>
          <w:rFonts w:ascii="Arial" w:hAnsi="Arial" w:cs="Arial"/>
          <w:sz w:val="24"/>
          <w:szCs w:val="24"/>
        </w:rPr>
        <w:t>,</w:t>
      </w:r>
      <w:r w:rsidR="0064032D" w:rsidRPr="008F13F9">
        <w:rPr>
          <w:rFonts w:ascii="Arial" w:hAnsi="Arial" w:cs="Arial"/>
          <w:sz w:val="24"/>
          <w:szCs w:val="24"/>
        </w:rPr>
        <w:t xml:space="preserve"> a to u pacientů s nádorem retiny, kde jsou obě jeho alely na chromozómu 13q14 inaktivovány delecí nebo bodovou mutací. Později byla abnormálni</w:t>
      </w:r>
      <w:r w:rsidR="00FF0A85">
        <w:rPr>
          <w:rFonts w:ascii="Arial" w:hAnsi="Arial" w:cs="Arial"/>
          <w:sz w:val="24"/>
          <w:szCs w:val="24"/>
        </w:rPr>
        <w:t xml:space="preserve">́ exprese produktu tohoto genu </w:t>
      </w:r>
      <w:r w:rsidR="0064032D" w:rsidRPr="008F13F9">
        <w:rPr>
          <w:rFonts w:ascii="Arial" w:hAnsi="Arial" w:cs="Arial"/>
          <w:sz w:val="24"/>
          <w:szCs w:val="24"/>
        </w:rPr>
        <w:t xml:space="preserve">prokázána i v jiných typech nádorů (např. v osteosarkomech). </w:t>
      </w:r>
      <w:r w:rsidR="00187964">
        <w:rPr>
          <w:rFonts w:ascii="Arial" w:hAnsi="Arial" w:cs="Arial"/>
          <w:sz w:val="24"/>
          <w:szCs w:val="24"/>
        </w:rPr>
        <w:t xml:space="preserve">Produktem tohoto genu </w:t>
      </w:r>
      <w:r w:rsidR="0064032D" w:rsidRPr="008F13F9">
        <w:rPr>
          <w:rFonts w:ascii="Arial" w:hAnsi="Arial" w:cs="Arial"/>
          <w:sz w:val="24"/>
          <w:szCs w:val="24"/>
        </w:rPr>
        <w:t xml:space="preserve">je jaderný fosfoprotein, jehož funkce je závislá na stupni fosforylace. V aktivní formě je hypofosforylován, tvoří komplex s </w:t>
      </w:r>
      <w:r w:rsidR="0064032D" w:rsidRPr="008F13F9">
        <w:rPr>
          <w:rFonts w:ascii="Arial" w:hAnsi="Arial" w:cs="Arial"/>
          <w:sz w:val="24"/>
          <w:szCs w:val="24"/>
        </w:rPr>
        <w:lastRenderedPageBreak/>
        <w:t xml:space="preserve">transkripčním faktorem E2F. Transkripční faktor E2F je nutný pro transkripci regulačních genů nezbytných pro průběh S-fáze. Čili hypofosforylovaný pRb působí jako </w:t>
      </w:r>
      <w:r w:rsidR="0064032D" w:rsidRPr="002836FB">
        <w:rPr>
          <w:rFonts w:ascii="Arial" w:hAnsi="Arial" w:cs="Arial"/>
          <w:i/>
          <w:sz w:val="24"/>
          <w:szCs w:val="24"/>
        </w:rPr>
        <w:t>supresor buněčného dělení</w:t>
      </w:r>
      <w:r w:rsidR="0064032D" w:rsidRPr="008F13F9">
        <w:rPr>
          <w:rFonts w:ascii="Arial" w:hAnsi="Arial" w:cs="Arial"/>
          <w:sz w:val="24"/>
          <w:szCs w:val="24"/>
        </w:rPr>
        <w:t xml:space="preserve"> a brání postupu buněk z G1 do S-fáze.</w:t>
      </w:r>
      <w:r w:rsidR="0064032D" w:rsidRPr="008F13F9">
        <w:rPr>
          <w:rFonts w:ascii="Arial" w:hAnsi="Arial" w:cs="Arial"/>
          <w:sz w:val="24"/>
          <w:szCs w:val="24"/>
          <w:vertAlign w:val="superscript"/>
        </w:rPr>
        <w:t xml:space="preserve"> 33,51,52</w:t>
      </w:r>
      <w:r w:rsidR="0064032D" w:rsidRPr="008F13F9">
        <w:rPr>
          <w:rFonts w:ascii="Arial" w:hAnsi="Arial" w:cs="Arial"/>
          <w:b/>
          <w:i/>
          <w:sz w:val="24"/>
          <w:szCs w:val="24"/>
        </w:rPr>
        <w:t xml:space="preserve"> </w:t>
      </w:r>
    </w:p>
    <w:p w14:paraId="385C1EBD" w14:textId="77777777" w:rsidR="0064032D" w:rsidRPr="008F13F9" w:rsidRDefault="002836FB" w:rsidP="008F13F9">
      <w:pPr>
        <w:spacing w:before="100" w:beforeAutospacing="1" w:after="100" w:afterAutospacing="1" w:line="360" w:lineRule="auto"/>
        <w:jc w:val="both"/>
        <w:rPr>
          <w:rFonts w:ascii="Arial" w:hAnsi="Arial" w:cs="Arial"/>
          <w:b/>
          <w:i/>
          <w:sz w:val="24"/>
          <w:szCs w:val="24"/>
        </w:rPr>
      </w:pPr>
      <w:r>
        <w:rPr>
          <w:rFonts w:ascii="Arial" w:hAnsi="Arial" w:cs="Arial"/>
          <w:sz w:val="24"/>
          <w:szCs w:val="24"/>
        </w:rPr>
        <w:tab/>
      </w:r>
      <w:r w:rsidR="0064032D" w:rsidRPr="008F13F9">
        <w:rPr>
          <w:rFonts w:ascii="Arial" w:hAnsi="Arial" w:cs="Arial"/>
          <w:sz w:val="24"/>
          <w:szCs w:val="24"/>
          <w:u w:val="single"/>
        </w:rPr>
        <w:t>Gen p16</w:t>
      </w:r>
      <w:r>
        <w:rPr>
          <w:rFonts w:ascii="Arial" w:hAnsi="Arial" w:cs="Arial"/>
          <w:sz w:val="24"/>
          <w:szCs w:val="24"/>
        </w:rPr>
        <w:t xml:space="preserve"> – inhibitor kinázy 4</w:t>
      </w:r>
      <w:r w:rsidR="0064032D" w:rsidRPr="008F13F9">
        <w:rPr>
          <w:rFonts w:ascii="Arial" w:hAnsi="Arial" w:cs="Arial"/>
          <w:sz w:val="24"/>
          <w:szCs w:val="24"/>
        </w:rPr>
        <w:t xml:space="preserve"> – klasický antionkogen, na chromozómu 9p21. Za fyziologických okolností protein p16 odbourává komplexy cyklinD/cyklin dependentní kináza 4, které inaktivují protein pRb fosforylací. Naopak aktivní forma proteinu pRb (tj. nefosforylovaná) inhibuje transkripci proteinu p16. Tedy, systém pRb/p16 reguluje buněčný cyklus na přechodu z G1 do S fáze. Je inaktivován delecemi nebo mutacemi u celé řad</w:t>
      </w:r>
      <w:r>
        <w:rPr>
          <w:rFonts w:ascii="Arial" w:hAnsi="Arial" w:cs="Arial"/>
          <w:sz w:val="24"/>
          <w:szCs w:val="24"/>
        </w:rPr>
        <w:t>y malignit. Ztráta heterozygotiky</w:t>
      </w:r>
      <w:r w:rsidR="0064032D" w:rsidRPr="008F13F9">
        <w:rPr>
          <w:rFonts w:ascii="Arial" w:hAnsi="Arial" w:cs="Arial"/>
          <w:sz w:val="24"/>
          <w:szCs w:val="24"/>
        </w:rPr>
        <w:t xml:space="preserve"> na 9p21 bývá u karcinomů v oblasti hlavy a krku častější, a tedy se nabízí jako časná genetická událost při vývoji karcinomu v dutině ústní.</w:t>
      </w:r>
      <w:r w:rsidR="0064032D" w:rsidRPr="008F13F9">
        <w:rPr>
          <w:rFonts w:ascii="Arial" w:hAnsi="Arial" w:cs="Arial"/>
          <w:sz w:val="24"/>
          <w:szCs w:val="24"/>
          <w:vertAlign w:val="superscript"/>
        </w:rPr>
        <w:t>53</w:t>
      </w:r>
      <w:r w:rsidR="0064032D" w:rsidRPr="008F13F9">
        <w:rPr>
          <w:rFonts w:ascii="Arial" w:hAnsi="Arial" w:cs="Arial"/>
          <w:b/>
          <w:i/>
          <w:sz w:val="24"/>
          <w:szCs w:val="24"/>
        </w:rPr>
        <w:t xml:space="preserve"> </w:t>
      </w:r>
    </w:p>
    <w:p w14:paraId="4113F80D"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K inaktivaci proteinu p16 dochází několika mechanismy: buď delecí homozygotního genu pro protein p16, transkripcí methylovaných promotorů nebo bodovou mutací. </w:t>
      </w:r>
    </w:p>
    <w:p w14:paraId="361FD7D3" w14:textId="77777777" w:rsidR="0064032D" w:rsidRPr="008F13F9" w:rsidRDefault="002836FB" w:rsidP="008F13F9">
      <w:pPr>
        <w:pStyle w:val="NormalWeb"/>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u w:val="single"/>
        </w:rPr>
        <w:t>p53 gen</w:t>
      </w:r>
      <w:r w:rsidR="0064032D" w:rsidRPr="008F13F9">
        <w:rPr>
          <w:rFonts w:ascii="Arial" w:hAnsi="Arial" w:cs="Arial"/>
          <w:sz w:val="24"/>
          <w:szCs w:val="24"/>
        </w:rPr>
        <w:t xml:space="preserve"> (strážce genomu) – kóduje jaderný fosfoprotein, který je negativním regulátorem přechodu G1/S-fáze a to regulací transkripce a DNA - replikace. </w:t>
      </w:r>
    </w:p>
    <w:p w14:paraId="7EA78FF7" w14:textId="77777777" w:rsidR="0064032D" w:rsidRPr="008F13F9" w:rsidRDefault="002836FB" w:rsidP="008F13F9">
      <w:pPr>
        <w:pStyle w:val="NormalWeb"/>
        <w:spacing w:line="360" w:lineRule="auto"/>
        <w:jc w:val="both"/>
        <w:rPr>
          <w:rFonts w:ascii="Arial" w:hAnsi="Arial" w:cs="Arial"/>
          <w:sz w:val="24"/>
          <w:szCs w:val="24"/>
        </w:rPr>
      </w:pPr>
      <w:r>
        <w:rPr>
          <w:rFonts w:ascii="Arial" w:hAnsi="Arial" w:cs="Arial"/>
          <w:sz w:val="24"/>
          <w:szCs w:val="24"/>
        </w:rPr>
        <w:t>Následky vzniku n</w:t>
      </w:r>
      <w:r w:rsidR="0064032D" w:rsidRPr="008F13F9">
        <w:rPr>
          <w:rFonts w:ascii="Arial" w:hAnsi="Arial" w:cs="Arial"/>
          <w:sz w:val="24"/>
          <w:szCs w:val="24"/>
        </w:rPr>
        <w:t>efunkční</w:t>
      </w:r>
      <w:r>
        <w:rPr>
          <w:rFonts w:ascii="Arial" w:hAnsi="Arial" w:cs="Arial"/>
          <w:sz w:val="24"/>
          <w:szCs w:val="24"/>
        </w:rPr>
        <w:t xml:space="preserve">ho genu </w:t>
      </w:r>
      <w:r w:rsidR="0064032D" w:rsidRPr="008F13F9">
        <w:rPr>
          <w:rFonts w:ascii="Arial" w:hAnsi="Arial" w:cs="Arial"/>
          <w:sz w:val="24"/>
          <w:szCs w:val="24"/>
        </w:rPr>
        <w:t>p53:</w:t>
      </w:r>
    </w:p>
    <w:p w14:paraId="7D4B0085"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hAnsi="Arial" w:cs="Arial"/>
          <w:sz w:val="24"/>
          <w:szCs w:val="24"/>
        </w:rPr>
        <w:t xml:space="preserve">- pokračování buněčného cyklu mutovaných buněk </w:t>
      </w:r>
    </w:p>
    <w:p w14:paraId="415FF004" w14:textId="77777777" w:rsidR="0064032D" w:rsidRPr="008F13F9" w:rsidRDefault="002836F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 umožní poškozeným buňkám</w:t>
      </w:r>
      <w:r w:rsidR="0064032D" w:rsidRPr="008F13F9">
        <w:rPr>
          <w:rFonts w:ascii="Arial" w:hAnsi="Arial" w:cs="Arial"/>
          <w:sz w:val="24"/>
          <w:szCs w:val="24"/>
        </w:rPr>
        <w:t xml:space="preserve"> vyhnout se apoptóze </w:t>
      </w:r>
    </w:p>
    <w:p w14:paraId="1887B37B"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t xml:space="preserve">- vznik genetické instability, umožňující akumulaci mutací </w:t>
      </w:r>
    </w:p>
    <w:p w14:paraId="28FD29FC" w14:textId="77777777" w:rsidR="0064032D" w:rsidRPr="008F13F9" w:rsidRDefault="00FB6CE0" w:rsidP="008F13F9">
      <w:pPr>
        <w:pStyle w:val="NormalWeb"/>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Mutace genu p53 byly prokázány u více než 50 % t</w:t>
      </w:r>
      <w:r>
        <w:rPr>
          <w:rFonts w:ascii="Arial" w:hAnsi="Arial" w:cs="Arial"/>
          <w:sz w:val="24"/>
          <w:szCs w:val="24"/>
        </w:rPr>
        <w:t>ypů lidských nádorů. Exprese</w:t>
      </w:r>
      <w:r w:rsidR="0064032D" w:rsidRPr="008F13F9">
        <w:rPr>
          <w:rFonts w:ascii="Arial" w:hAnsi="Arial" w:cs="Arial"/>
          <w:sz w:val="24"/>
          <w:szCs w:val="24"/>
        </w:rPr>
        <w:t xml:space="preserve"> normálního, nemutovaného proteinu p53 se zvyšuje jako fyziologická odezva na různé podněty indukující buněčný stres. Následuje zablokování buněčného cyklu a během této doby různé buněčné analyzátory vyhodnocují stupeň poškození DNA. Je-li defekt opravitelný, je pomocí </w:t>
      </w:r>
      <w:r w:rsidR="0064032D" w:rsidRPr="008F13F9">
        <w:rPr>
          <w:rFonts w:ascii="Arial" w:hAnsi="Arial" w:cs="Arial"/>
          <w:sz w:val="24"/>
          <w:szCs w:val="24"/>
        </w:rPr>
        <w:lastRenderedPageBreak/>
        <w:t xml:space="preserve">proteinu p53 zahájen opravný proces poškozených úseků DNA. Pokud se jedná o závažnější defekty, spouští protein p53 mechanismy apoptózy. Je to velmi důležitý kontrolní systém, který se snaží zabránit přenosu chybné genetické informace do dceřiných buněk. </w:t>
      </w:r>
    </w:p>
    <w:p w14:paraId="13407A26" w14:textId="77777777" w:rsidR="0064032D" w:rsidRPr="003A3C42" w:rsidRDefault="0064032D" w:rsidP="003A3C42">
      <w:pPr>
        <w:spacing w:line="360" w:lineRule="auto"/>
        <w:jc w:val="center"/>
        <w:outlineLvl w:val="0"/>
        <w:rPr>
          <w:rFonts w:ascii="Arial" w:hAnsi="Arial" w:cs="Arial"/>
          <w:b/>
          <w:sz w:val="24"/>
          <w:szCs w:val="24"/>
          <w:u w:val="single"/>
        </w:rPr>
      </w:pPr>
      <w:r w:rsidRPr="003A3C42">
        <w:rPr>
          <w:rFonts w:ascii="Arial" w:hAnsi="Arial" w:cs="Arial"/>
          <w:b/>
          <w:sz w:val="24"/>
          <w:szCs w:val="24"/>
          <w:u w:val="single"/>
        </w:rPr>
        <w:t>2. Spinocelulární karcinomy dutiny ústní</w:t>
      </w:r>
    </w:p>
    <w:p w14:paraId="2B9AAFDD" w14:textId="77777777" w:rsidR="0064032D" w:rsidRPr="008F13F9" w:rsidRDefault="00FB6CE0"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Z obecného hlediska lze zhoubný nádor definovat jako nově vzniklý tkáňový útvar nebo buněčnou populaci v organismu, které nevznikají jako fyziologická odezva na vnější i vnitřní podněty, jeví známky abnormality a více či méně  se vymyká genetické regulaci fyziologických procesů v organizmu</w:t>
      </w:r>
      <w:r w:rsidR="0064032D" w:rsidRPr="008F13F9">
        <w:rPr>
          <w:rFonts w:ascii="Arial" w:hAnsi="Arial" w:cs="Arial"/>
          <w:sz w:val="24"/>
          <w:szCs w:val="24"/>
          <w:vertAlign w:val="superscript"/>
        </w:rPr>
        <w:t>27</w:t>
      </w:r>
      <w:r w:rsidR="0064032D" w:rsidRPr="008F13F9">
        <w:rPr>
          <w:rFonts w:ascii="Arial" w:hAnsi="Arial" w:cs="Arial"/>
          <w:sz w:val="24"/>
          <w:szCs w:val="24"/>
        </w:rPr>
        <w:t xml:space="preserve"> Jedná se o nekontrolované dělení, vycházející z mutací na úrovni kmenových buněk.</w:t>
      </w:r>
    </w:p>
    <w:p w14:paraId="685983A1" w14:textId="77777777" w:rsidR="0064032D" w:rsidRPr="008F13F9" w:rsidRDefault="00FB6CE0"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Specifické zvláštnosti nádorových buněk charakterizovali  Hannahan a Weinberg</w:t>
      </w:r>
      <w:r w:rsidR="0064032D" w:rsidRPr="008F13F9">
        <w:rPr>
          <w:rFonts w:ascii="Arial" w:hAnsi="Arial" w:cs="Arial"/>
          <w:sz w:val="24"/>
          <w:szCs w:val="24"/>
          <w:vertAlign w:val="superscript"/>
        </w:rPr>
        <w:t>1</w:t>
      </w:r>
      <w:r w:rsidR="0064032D" w:rsidRPr="008F13F9">
        <w:rPr>
          <w:rFonts w:ascii="Arial" w:hAnsi="Arial" w:cs="Arial"/>
          <w:sz w:val="24"/>
          <w:szCs w:val="24"/>
        </w:rPr>
        <w:t xml:space="preserve"> na na základě poruch v šesti fyziologických procesech:</w:t>
      </w:r>
    </w:p>
    <w:p w14:paraId="4D1BA93B" w14:textId="77777777" w:rsidR="0064032D" w:rsidRPr="008F13F9" w:rsidRDefault="0064032D" w:rsidP="008F13F9">
      <w:pPr>
        <w:pStyle w:val="ListParagraph"/>
        <w:spacing w:line="360" w:lineRule="auto"/>
        <w:ind w:left="360"/>
        <w:jc w:val="both"/>
        <w:rPr>
          <w:rFonts w:ascii="Arial" w:hAnsi="Arial" w:cs="Arial"/>
          <w:sz w:val="24"/>
          <w:szCs w:val="24"/>
        </w:rPr>
      </w:pPr>
      <w:r w:rsidRPr="008F13F9">
        <w:rPr>
          <w:rFonts w:ascii="Arial" w:hAnsi="Arial" w:cs="Arial"/>
          <w:sz w:val="24"/>
          <w:szCs w:val="24"/>
        </w:rPr>
        <w:t>- autonomie v růstových signálech</w:t>
      </w:r>
    </w:p>
    <w:p w14:paraId="39380BEF" w14:textId="77777777" w:rsidR="0064032D" w:rsidRPr="008F13F9" w:rsidRDefault="0064032D" w:rsidP="008F13F9">
      <w:pPr>
        <w:pStyle w:val="ListParagraph"/>
        <w:spacing w:line="360" w:lineRule="auto"/>
        <w:ind w:left="360"/>
        <w:jc w:val="both"/>
        <w:rPr>
          <w:rFonts w:ascii="Arial" w:hAnsi="Arial" w:cs="Arial"/>
          <w:sz w:val="24"/>
          <w:szCs w:val="24"/>
        </w:rPr>
      </w:pPr>
      <w:r w:rsidRPr="008F13F9">
        <w:rPr>
          <w:rFonts w:ascii="Arial" w:hAnsi="Arial" w:cs="Arial"/>
          <w:sz w:val="24"/>
          <w:szCs w:val="24"/>
        </w:rPr>
        <w:t>- porušená apoptóza</w:t>
      </w:r>
    </w:p>
    <w:p w14:paraId="362E9EF3" w14:textId="77777777" w:rsidR="0064032D" w:rsidRPr="008F13F9" w:rsidRDefault="0064032D" w:rsidP="008F13F9">
      <w:pPr>
        <w:pStyle w:val="ListParagraph"/>
        <w:spacing w:line="360" w:lineRule="auto"/>
        <w:ind w:left="360"/>
        <w:jc w:val="both"/>
        <w:rPr>
          <w:rFonts w:ascii="Arial" w:hAnsi="Arial" w:cs="Arial"/>
          <w:sz w:val="24"/>
          <w:szCs w:val="24"/>
        </w:rPr>
      </w:pPr>
      <w:r w:rsidRPr="008F13F9">
        <w:rPr>
          <w:rFonts w:ascii="Arial" w:hAnsi="Arial" w:cs="Arial"/>
          <w:sz w:val="24"/>
          <w:szCs w:val="24"/>
        </w:rPr>
        <w:t>- nekonečná replikace</w:t>
      </w:r>
    </w:p>
    <w:p w14:paraId="3594A2ED" w14:textId="77777777" w:rsidR="0064032D" w:rsidRPr="008F13F9" w:rsidRDefault="0064032D" w:rsidP="008F13F9">
      <w:pPr>
        <w:pStyle w:val="ListParagraph"/>
        <w:spacing w:line="360" w:lineRule="auto"/>
        <w:ind w:left="360"/>
        <w:jc w:val="both"/>
        <w:rPr>
          <w:rFonts w:ascii="Arial" w:hAnsi="Arial" w:cs="Arial"/>
          <w:sz w:val="24"/>
          <w:szCs w:val="24"/>
        </w:rPr>
      </w:pPr>
      <w:r w:rsidRPr="008F13F9">
        <w:rPr>
          <w:rFonts w:ascii="Arial" w:hAnsi="Arial" w:cs="Arial"/>
          <w:sz w:val="24"/>
          <w:szCs w:val="24"/>
        </w:rPr>
        <w:t>- porušená citlivost na inhibiční růstové signály</w:t>
      </w:r>
    </w:p>
    <w:p w14:paraId="223B1EFD" w14:textId="77777777" w:rsidR="0064032D" w:rsidRPr="008F13F9" w:rsidRDefault="0064032D" w:rsidP="008F13F9">
      <w:pPr>
        <w:pStyle w:val="ListParagraph"/>
        <w:spacing w:line="360" w:lineRule="auto"/>
        <w:ind w:left="360"/>
        <w:jc w:val="both"/>
        <w:rPr>
          <w:rFonts w:ascii="Arial" w:hAnsi="Arial" w:cs="Arial"/>
          <w:sz w:val="24"/>
          <w:szCs w:val="24"/>
        </w:rPr>
      </w:pPr>
      <w:r w:rsidRPr="008F13F9">
        <w:rPr>
          <w:rFonts w:ascii="Arial" w:hAnsi="Arial" w:cs="Arial"/>
          <w:sz w:val="24"/>
          <w:szCs w:val="24"/>
        </w:rPr>
        <w:t>- angiogeneze</w:t>
      </w:r>
    </w:p>
    <w:p w14:paraId="51208EED" w14:textId="77777777" w:rsidR="0064032D" w:rsidRPr="008F13F9" w:rsidRDefault="0064032D" w:rsidP="008F13F9">
      <w:pPr>
        <w:pStyle w:val="ListParagraph"/>
        <w:spacing w:line="360" w:lineRule="auto"/>
        <w:ind w:left="360"/>
        <w:jc w:val="both"/>
        <w:rPr>
          <w:rFonts w:ascii="Arial" w:hAnsi="Arial" w:cs="Arial"/>
          <w:sz w:val="24"/>
          <w:szCs w:val="24"/>
        </w:rPr>
      </w:pPr>
      <w:r w:rsidRPr="008F13F9">
        <w:rPr>
          <w:rFonts w:ascii="Arial" w:hAnsi="Arial" w:cs="Arial"/>
          <w:sz w:val="24"/>
          <w:szCs w:val="24"/>
        </w:rPr>
        <w:t xml:space="preserve">- tendence k Invazivnímu růstu a metastazování </w:t>
      </w:r>
    </w:p>
    <w:p w14:paraId="6917EAB8" w14:textId="77777777" w:rsidR="0064032D" w:rsidRPr="00D04F54" w:rsidRDefault="0064032D" w:rsidP="00FB6CE0">
      <w:pPr>
        <w:spacing w:before="100" w:beforeAutospacing="1" w:after="100" w:afterAutospacing="1" w:line="360" w:lineRule="auto"/>
        <w:jc w:val="both"/>
        <w:rPr>
          <w:rFonts w:ascii="Arial" w:hAnsi="Arial" w:cs="Arial"/>
          <w:b/>
          <w:sz w:val="24"/>
          <w:szCs w:val="24"/>
        </w:rPr>
      </w:pPr>
      <w:r w:rsidRPr="008F13F9">
        <w:rPr>
          <w:rFonts w:ascii="Arial" w:hAnsi="Arial" w:cs="Arial"/>
          <w:sz w:val="24"/>
          <w:szCs w:val="24"/>
        </w:rPr>
        <w:br/>
      </w:r>
      <w:r w:rsidRPr="00D04F54">
        <w:rPr>
          <w:rFonts w:ascii="Arial" w:hAnsi="Arial" w:cs="Arial"/>
          <w:b/>
          <w:sz w:val="24"/>
          <w:szCs w:val="24"/>
          <w:u w:val="single"/>
        </w:rPr>
        <w:t>2.1. Teorie kancerogeneze</w:t>
      </w:r>
    </w:p>
    <w:p w14:paraId="55947FC4" w14:textId="77777777" w:rsidR="0064032D" w:rsidRPr="008F13F9" w:rsidRDefault="00FB6CE0"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Za obecně uznávanou teorii kancerogeneze je považována teorie </w:t>
      </w:r>
      <w:r w:rsidR="0064032D" w:rsidRPr="008F13F9">
        <w:rPr>
          <w:rFonts w:ascii="Arial" w:hAnsi="Arial" w:cs="Arial"/>
          <w:i/>
          <w:sz w:val="24"/>
          <w:szCs w:val="24"/>
        </w:rPr>
        <w:t>genetická:</w:t>
      </w:r>
      <w:r w:rsidR="0064032D" w:rsidRPr="008F13F9">
        <w:rPr>
          <w:rFonts w:ascii="Arial" w:hAnsi="Arial" w:cs="Arial"/>
          <w:sz w:val="24"/>
          <w:szCs w:val="24"/>
        </w:rPr>
        <w:t xml:space="preserve"> nádory vznikají na podkladě vrozeného nebo získaného genetického poškození. Názory na mechanizmus tohoto poškození nejsou zcela jednotné.</w:t>
      </w:r>
    </w:p>
    <w:p w14:paraId="3CF663C3" w14:textId="77777777" w:rsidR="0064032D" w:rsidRPr="008F13F9" w:rsidRDefault="00FB6CE0"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Somatická teorie vychází z předpokladu, že v buňce dochází ke kumulaci chyb genomu</w:t>
      </w:r>
      <w:r>
        <w:rPr>
          <w:rFonts w:ascii="Arial" w:hAnsi="Arial" w:cs="Arial"/>
          <w:sz w:val="24"/>
          <w:szCs w:val="24"/>
        </w:rPr>
        <w:t>,</w:t>
      </w:r>
      <w:r w:rsidR="0064032D" w:rsidRPr="008F13F9">
        <w:rPr>
          <w:rFonts w:ascii="Arial" w:hAnsi="Arial" w:cs="Arial"/>
          <w:sz w:val="24"/>
          <w:szCs w:val="24"/>
        </w:rPr>
        <w:t xml:space="preserve"> vedoucí k nekontrolované proliferaci. Všechny buňky nádoru jsou proto ireverzibilně poškozeny (</w:t>
      </w:r>
      <w:r w:rsidR="0064032D" w:rsidRPr="008F13F9">
        <w:rPr>
          <w:rFonts w:ascii="Arial" w:hAnsi="Arial" w:cs="Arial"/>
          <w:i/>
          <w:sz w:val="24"/>
          <w:szCs w:val="24"/>
        </w:rPr>
        <w:t>dysregulace</w:t>
      </w:r>
      <w:r w:rsidR="0064032D" w:rsidRPr="008F13F9">
        <w:rPr>
          <w:rFonts w:ascii="Arial" w:hAnsi="Arial" w:cs="Arial"/>
          <w:sz w:val="24"/>
          <w:szCs w:val="24"/>
        </w:rPr>
        <w:t>)</w:t>
      </w:r>
      <w:r w:rsidR="00187964">
        <w:rPr>
          <w:rFonts w:ascii="Arial" w:hAnsi="Arial" w:cs="Arial"/>
          <w:sz w:val="24"/>
          <w:szCs w:val="24"/>
        </w:rPr>
        <w:t>,</w:t>
      </w:r>
      <w:r w:rsidR="0064032D" w:rsidRPr="008F13F9">
        <w:rPr>
          <w:rFonts w:ascii="Arial" w:hAnsi="Arial" w:cs="Arial"/>
          <w:sz w:val="24"/>
          <w:szCs w:val="24"/>
        </w:rPr>
        <w:t xml:space="preserve"> a proto při léčbě musí být každá alterovaná buňka odstraněna.</w:t>
      </w:r>
    </w:p>
    <w:p w14:paraId="535DF659" w14:textId="77777777" w:rsidR="0064032D" w:rsidRPr="008F13F9" w:rsidRDefault="00FB6CE0"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lastRenderedPageBreak/>
        <w:tab/>
      </w:r>
      <w:r w:rsidR="0064032D" w:rsidRPr="008F13F9">
        <w:rPr>
          <w:rFonts w:ascii="Arial" w:hAnsi="Arial" w:cs="Arial"/>
          <w:sz w:val="24"/>
          <w:szCs w:val="24"/>
        </w:rPr>
        <w:t xml:space="preserve">Regulační teorie předpokládá, že nádor je výsledkem </w:t>
      </w:r>
      <w:r w:rsidR="0064032D" w:rsidRPr="008F13F9">
        <w:rPr>
          <w:rFonts w:ascii="Arial" w:hAnsi="Arial" w:cs="Arial"/>
          <w:i/>
          <w:sz w:val="24"/>
          <w:szCs w:val="24"/>
        </w:rPr>
        <w:t>genetické nestability</w:t>
      </w:r>
      <w:r w:rsidR="0064032D" w:rsidRPr="008F13F9">
        <w:rPr>
          <w:rFonts w:ascii="Arial" w:hAnsi="Arial" w:cs="Arial"/>
          <w:sz w:val="24"/>
          <w:szCs w:val="24"/>
        </w:rPr>
        <w:t>, která je považována za reverzibilní. Nádor je tedy dynamický proces: léčbou musíme znovu nastavit rovnováhu mezi počtem buněk vstupujících do buněčného cyklu a počtem buněk přirozeně zanikajících. Není nutné zničit každou buňku nádorové populace</w:t>
      </w:r>
      <w:r w:rsidR="0064032D" w:rsidRPr="008F13F9">
        <w:rPr>
          <w:rFonts w:ascii="Arial" w:hAnsi="Arial" w:cs="Arial"/>
          <w:sz w:val="24"/>
          <w:szCs w:val="24"/>
          <w:vertAlign w:val="superscript"/>
        </w:rPr>
        <w:t>28</w:t>
      </w:r>
      <w:r w:rsidR="0064032D" w:rsidRPr="008F13F9">
        <w:rPr>
          <w:rFonts w:ascii="Arial" w:hAnsi="Arial" w:cs="Arial"/>
          <w:sz w:val="24"/>
          <w:szCs w:val="24"/>
        </w:rPr>
        <w:t>.</w:t>
      </w:r>
    </w:p>
    <w:p w14:paraId="56C08B3F" w14:textId="77777777" w:rsidR="0064032D" w:rsidRPr="008F13F9" w:rsidRDefault="00FB6CE0"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Předpokládá se, že kancer</w:t>
      </w:r>
      <w:r w:rsidR="00187964">
        <w:rPr>
          <w:rFonts w:ascii="Arial" w:hAnsi="Arial" w:cs="Arial"/>
          <w:sz w:val="24"/>
          <w:szCs w:val="24"/>
        </w:rPr>
        <w:t>o</w:t>
      </w:r>
      <w:r w:rsidR="0064032D" w:rsidRPr="008F13F9">
        <w:rPr>
          <w:rFonts w:ascii="Arial" w:hAnsi="Arial" w:cs="Arial"/>
          <w:sz w:val="24"/>
          <w:szCs w:val="24"/>
        </w:rPr>
        <w:t xml:space="preserve">geneze může být ovlivněna třemi faktory: </w:t>
      </w:r>
      <w:r w:rsidR="0064032D" w:rsidRPr="00FB6CE0">
        <w:rPr>
          <w:rFonts w:ascii="Arial" w:hAnsi="Arial" w:cs="Arial"/>
          <w:i/>
          <w:sz w:val="24"/>
          <w:szCs w:val="24"/>
        </w:rPr>
        <w:t>endogenními, exogenními a faktory synonkogeneze</w:t>
      </w:r>
      <w:r w:rsidR="0064032D" w:rsidRPr="008F13F9">
        <w:rPr>
          <w:rFonts w:ascii="Arial" w:hAnsi="Arial" w:cs="Arial"/>
          <w:sz w:val="24"/>
          <w:szCs w:val="24"/>
        </w:rPr>
        <w:t xml:space="preserve">.  </w:t>
      </w:r>
    </w:p>
    <w:p w14:paraId="33AAE4B3" w14:textId="77777777" w:rsidR="00FB6CE0"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t xml:space="preserve">Mezi  </w:t>
      </w:r>
      <w:r w:rsidRPr="00FB6CE0">
        <w:rPr>
          <w:rFonts w:ascii="Arial" w:hAnsi="Arial" w:cs="Arial"/>
          <w:i/>
          <w:sz w:val="24"/>
          <w:szCs w:val="24"/>
        </w:rPr>
        <w:t>endogenní faktory</w:t>
      </w:r>
      <w:r w:rsidRPr="008F13F9">
        <w:rPr>
          <w:rFonts w:ascii="Arial" w:hAnsi="Arial" w:cs="Arial"/>
          <w:sz w:val="24"/>
          <w:szCs w:val="24"/>
        </w:rPr>
        <w:t xml:space="preserve"> patří dědičnost, rasové, věkové a sexuální vlivy, genetická dispozice a porucha imunity. </w:t>
      </w:r>
    </w:p>
    <w:p w14:paraId="3E1487AF" w14:textId="77777777" w:rsidR="00044428"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t>K </w:t>
      </w:r>
      <w:r w:rsidRPr="00FB6CE0">
        <w:rPr>
          <w:rFonts w:ascii="Arial" w:hAnsi="Arial" w:cs="Arial"/>
          <w:i/>
          <w:sz w:val="24"/>
          <w:szCs w:val="24"/>
        </w:rPr>
        <w:t>exogenním</w:t>
      </w:r>
      <w:r w:rsidRPr="008F13F9">
        <w:rPr>
          <w:rFonts w:ascii="Arial" w:hAnsi="Arial" w:cs="Arial"/>
          <w:sz w:val="24"/>
          <w:szCs w:val="24"/>
        </w:rPr>
        <w:t xml:space="preserve"> příčinám řadíme vlivy fyzikální, chemické a biologické. </w:t>
      </w:r>
    </w:p>
    <w:p w14:paraId="34A62A8D"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t xml:space="preserve">Za faktory </w:t>
      </w:r>
      <w:r w:rsidRPr="00044428">
        <w:rPr>
          <w:rFonts w:ascii="Arial" w:hAnsi="Arial" w:cs="Arial"/>
          <w:i/>
          <w:sz w:val="24"/>
          <w:szCs w:val="24"/>
        </w:rPr>
        <w:t>synonkogeneze</w:t>
      </w:r>
      <w:r w:rsidRPr="008F13F9">
        <w:rPr>
          <w:rFonts w:ascii="Arial" w:hAnsi="Arial" w:cs="Arial"/>
          <w:sz w:val="24"/>
          <w:szCs w:val="24"/>
        </w:rPr>
        <w:t xml:space="preserve"> jsou považovány disponující endogenní vlivy (imonudeficience), faktor determinující (chemické nebo biologické kancerogeny) a realizační faktor (vhodná tkáň).</w:t>
      </w:r>
    </w:p>
    <w:p w14:paraId="65BB453A" w14:textId="77777777" w:rsidR="00044428" w:rsidRDefault="00044428" w:rsidP="00044428">
      <w:pPr>
        <w:spacing w:before="100" w:beforeAutospacing="1" w:after="100" w:afterAutospacing="1" w:line="360" w:lineRule="auto"/>
        <w:rPr>
          <w:rFonts w:ascii="Arial" w:hAnsi="Arial" w:cs="Arial"/>
          <w:sz w:val="24"/>
          <w:szCs w:val="24"/>
        </w:rPr>
      </w:pPr>
      <w:r>
        <w:rPr>
          <w:rFonts w:ascii="Arial" w:hAnsi="Arial" w:cs="Arial"/>
          <w:sz w:val="24"/>
          <w:szCs w:val="24"/>
        </w:rPr>
        <w:tab/>
      </w:r>
      <w:r w:rsidR="0064032D" w:rsidRPr="008F13F9">
        <w:rPr>
          <w:rFonts w:ascii="Arial" w:hAnsi="Arial" w:cs="Arial"/>
          <w:sz w:val="24"/>
          <w:szCs w:val="24"/>
        </w:rPr>
        <w:t>U nádorových onemocnění existují dva základní typy genetického poš</w:t>
      </w:r>
      <w:r>
        <w:rPr>
          <w:rFonts w:ascii="Arial" w:hAnsi="Arial" w:cs="Arial"/>
          <w:sz w:val="24"/>
          <w:szCs w:val="24"/>
        </w:rPr>
        <w:t>-</w:t>
      </w:r>
      <w:r w:rsidR="0064032D" w:rsidRPr="008F13F9">
        <w:rPr>
          <w:rFonts w:ascii="Arial" w:hAnsi="Arial" w:cs="Arial"/>
          <w:sz w:val="24"/>
          <w:szCs w:val="24"/>
        </w:rPr>
        <w:t>kození. Prvním typem jsou dominantní</w:t>
      </w:r>
      <w:r>
        <w:rPr>
          <w:rFonts w:ascii="Arial" w:hAnsi="Arial" w:cs="Arial"/>
          <w:sz w:val="24"/>
          <w:szCs w:val="24"/>
        </w:rPr>
        <w:t xml:space="preserve"> poruchy, jejíchž cílem jsou </w:t>
      </w:r>
      <w:r w:rsidR="0064032D" w:rsidRPr="008F13F9">
        <w:rPr>
          <w:rFonts w:ascii="Arial" w:hAnsi="Arial" w:cs="Arial"/>
          <w:sz w:val="24"/>
          <w:szCs w:val="24"/>
        </w:rPr>
        <w:t>protoonko</w:t>
      </w:r>
      <w:r>
        <w:rPr>
          <w:rFonts w:ascii="Arial" w:hAnsi="Arial" w:cs="Arial"/>
          <w:sz w:val="24"/>
          <w:szCs w:val="24"/>
        </w:rPr>
        <w:t>-</w:t>
      </w:r>
      <w:r w:rsidR="0064032D" w:rsidRPr="008F13F9">
        <w:rPr>
          <w:rFonts w:ascii="Arial" w:hAnsi="Arial" w:cs="Arial"/>
          <w:sz w:val="24"/>
          <w:szCs w:val="24"/>
        </w:rPr>
        <w:t>geny, druhým typem jsou recesivní poruchy u antionkogenů. Dominantní po</w:t>
      </w:r>
      <w:r>
        <w:rPr>
          <w:rFonts w:ascii="Arial" w:hAnsi="Arial" w:cs="Arial"/>
          <w:sz w:val="24"/>
          <w:szCs w:val="24"/>
        </w:rPr>
        <w:t>-</w:t>
      </w:r>
      <w:r w:rsidR="0064032D" w:rsidRPr="008F13F9">
        <w:rPr>
          <w:rFonts w:ascii="Arial" w:hAnsi="Arial" w:cs="Arial"/>
          <w:sz w:val="24"/>
          <w:szCs w:val="24"/>
        </w:rPr>
        <w:t>ruchy vyvolávají stimulační účinek, recesiv</w:t>
      </w:r>
      <w:r>
        <w:rPr>
          <w:rFonts w:ascii="Arial" w:hAnsi="Arial" w:cs="Arial"/>
          <w:sz w:val="24"/>
          <w:szCs w:val="24"/>
        </w:rPr>
        <w:t>ní poruchy způsobují ztrátu i</w:t>
      </w:r>
      <w:r w:rsidR="0064032D" w:rsidRPr="008F13F9">
        <w:rPr>
          <w:rFonts w:ascii="Arial" w:hAnsi="Arial" w:cs="Arial"/>
          <w:sz w:val="24"/>
          <w:szCs w:val="24"/>
        </w:rPr>
        <w:t>nhibič</w:t>
      </w:r>
      <w:r>
        <w:rPr>
          <w:rFonts w:ascii="Arial" w:hAnsi="Arial" w:cs="Arial"/>
          <w:sz w:val="24"/>
          <w:szCs w:val="24"/>
        </w:rPr>
        <w:t>-</w:t>
      </w:r>
      <w:r w:rsidR="0064032D" w:rsidRPr="008F13F9">
        <w:rPr>
          <w:rFonts w:ascii="Arial" w:hAnsi="Arial" w:cs="Arial"/>
          <w:sz w:val="24"/>
          <w:szCs w:val="24"/>
        </w:rPr>
        <w:t>ní funkce antionkogenů.</w:t>
      </w:r>
      <w:r w:rsidR="0064032D" w:rsidRPr="008F13F9">
        <w:rPr>
          <w:rFonts w:ascii="Arial" w:hAnsi="Arial" w:cs="Arial"/>
          <w:sz w:val="24"/>
          <w:szCs w:val="24"/>
        </w:rPr>
        <w:br/>
      </w:r>
    </w:p>
    <w:p w14:paraId="5C5BB263" w14:textId="77777777" w:rsidR="0064032D" w:rsidRPr="008F13F9" w:rsidRDefault="00044428" w:rsidP="00044428">
      <w:pPr>
        <w:spacing w:before="100" w:beforeAutospacing="1" w:after="100" w:afterAutospacing="1" w:line="360" w:lineRule="auto"/>
        <w:jc w:val="both"/>
        <w:rPr>
          <w:rFonts w:ascii="Arial" w:hAnsi="Arial" w:cs="Arial"/>
          <w:sz w:val="24"/>
          <w:szCs w:val="24"/>
        </w:rPr>
      </w:pPr>
      <w:r>
        <w:rPr>
          <w:rFonts w:ascii="Arial" w:hAnsi="Arial" w:cs="Arial"/>
          <w:sz w:val="24"/>
          <w:szCs w:val="24"/>
        </w:rPr>
        <w:tab/>
        <w:t>Je známa silná</w:t>
      </w:r>
      <w:r w:rsidR="0064032D" w:rsidRPr="008F13F9">
        <w:rPr>
          <w:rFonts w:ascii="Arial" w:hAnsi="Arial" w:cs="Arial"/>
          <w:sz w:val="24"/>
          <w:szCs w:val="24"/>
        </w:rPr>
        <w:t xml:space="preserve"> vazb</w:t>
      </w:r>
      <w:r>
        <w:rPr>
          <w:rFonts w:ascii="Arial" w:hAnsi="Arial" w:cs="Arial"/>
          <w:sz w:val="24"/>
          <w:szCs w:val="24"/>
        </w:rPr>
        <w:t>a mezi kancerogenezí,</w:t>
      </w:r>
      <w:r w:rsidR="0064032D" w:rsidRPr="008F13F9">
        <w:rPr>
          <w:rFonts w:ascii="Arial" w:hAnsi="Arial" w:cs="Arial"/>
          <w:sz w:val="24"/>
          <w:szCs w:val="24"/>
        </w:rPr>
        <w:t xml:space="preserve"> životním prostředím a životním stylem. </w:t>
      </w:r>
      <w:r>
        <w:rPr>
          <w:rFonts w:ascii="Arial" w:hAnsi="Arial" w:cs="Arial"/>
          <w:sz w:val="24"/>
          <w:szCs w:val="24"/>
        </w:rPr>
        <w:t xml:space="preserve">Chronicky </w:t>
      </w:r>
      <w:r w:rsidR="0064032D" w:rsidRPr="008F13F9">
        <w:rPr>
          <w:rFonts w:ascii="Arial" w:hAnsi="Arial" w:cs="Arial"/>
          <w:sz w:val="24"/>
          <w:szCs w:val="24"/>
        </w:rPr>
        <w:t xml:space="preserve">známé </w:t>
      </w:r>
      <w:r>
        <w:rPr>
          <w:rFonts w:ascii="Arial" w:hAnsi="Arial" w:cs="Arial"/>
          <w:sz w:val="24"/>
          <w:szCs w:val="24"/>
        </w:rPr>
        <w:t>jsou</w:t>
      </w:r>
      <w:r w:rsidRPr="008F13F9">
        <w:rPr>
          <w:rFonts w:ascii="Arial" w:hAnsi="Arial" w:cs="Arial"/>
          <w:sz w:val="24"/>
          <w:szCs w:val="24"/>
        </w:rPr>
        <w:t xml:space="preserve"> </w:t>
      </w:r>
      <w:r w:rsidR="0064032D" w:rsidRPr="008F13F9">
        <w:rPr>
          <w:rFonts w:ascii="Arial" w:hAnsi="Arial" w:cs="Arial"/>
          <w:sz w:val="24"/>
          <w:szCs w:val="24"/>
        </w:rPr>
        <w:t xml:space="preserve">vlivy exogenní: kouření a konzumace alkoholu nebo expozice UV záření. V souvislosti s exogenními faktory je třeba zmínit vliv </w:t>
      </w:r>
      <w:r w:rsidR="0064032D" w:rsidRPr="00044428">
        <w:rPr>
          <w:rFonts w:ascii="Arial" w:hAnsi="Arial" w:cs="Arial"/>
          <w:i/>
          <w:sz w:val="24"/>
          <w:szCs w:val="24"/>
        </w:rPr>
        <w:t>virů - zejména HPV</w:t>
      </w:r>
      <w:r w:rsidR="0064032D" w:rsidRPr="008F13F9">
        <w:rPr>
          <w:rFonts w:ascii="Arial" w:hAnsi="Arial" w:cs="Arial"/>
          <w:sz w:val="24"/>
          <w:szCs w:val="24"/>
        </w:rPr>
        <w:t xml:space="preserve">. Z endogenních faktorů hrají důležitou roli </w:t>
      </w:r>
      <w:r w:rsidR="00187964">
        <w:rPr>
          <w:rFonts w:ascii="Arial" w:hAnsi="Arial" w:cs="Arial"/>
          <w:sz w:val="24"/>
          <w:szCs w:val="24"/>
        </w:rPr>
        <w:t>genové</w:t>
      </w:r>
      <w:r w:rsidR="0064032D" w:rsidRPr="008F13F9">
        <w:rPr>
          <w:rFonts w:ascii="Arial" w:hAnsi="Arial" w:cs="Arial"/>
          <w:sz w:val="24"/>
          <w:szCs w:val="24"/>
        </w:rPr>
        <w:t xml:space="preserve"> aberace, podmiňující klinickou manifestaci různých syndromů (například Gorlin Goltzův syndrom) a náhodné genetické mutace.</w:t>
      </w:r>
    </w:p>
    <w:p w14:paraId="44D76485" w14:textId="77777777" w:rsidR="0064032D" w:rsidRDefault="00044428"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U kouření a konzum</w:t>
      </w:r>
      <w:r w:rsidR="00187964">
        <w:rPr>
          <w:rFonts w:ascii="Arial" w:hAnsi="Arial" w:cs="Arial"/>
          <w:sz w:val="24"/>
          <w:szCs w:val="24"/>
        </w:rPr>
        <w:t xml:space="preserve">ace alkoholu působí benzopyren a benzantracen, které jsou </w:t>
      </w:r>
      <w:r w:rsidR="0064032D" w:rsidRPr="008F13F9">
        <w:rPr>
          <w:rFonts w:ascii="Arial" w:hAnsi="Arial" w:cs="Arial"/>
          <w:sz w:val="24"/>
          <w:szCs w:val="24"/>
        </w:rPr>
        <w:t xml:space="preserve">obsažené v cigaretách </w:t>
      </w:r>
      <w:r w:rsidR="00301E7D">
        <w:rPr>
          <w:rFonts w:ascii="Arial" w:hAnsi="Arial" w:cs="Arial"/>
          <w:sz w:val="24"/>
          <w:szCs w:val="24"/>
        </w:rPr>
        <w:t>, dále alkohol</w:t>
      </w:r>
      <w:r w:rsidR="0064032D" w:rsidRPr="008F13F9">
        <w:rPr>
          <w:rFonts w:ascii="Arial" w:hAnsi="Arial" w:cs="Arial"/>
          <w:sz w:val="24"/>
          <w:szCs w:val="24"/>
        </w:rPr>
        <w:t xml:space="preserve">, kde se </w:t>
      </w:r>
      <w:r w:rsidR="00301E7D">
        <w:rPr>
          <w:rFonts w:ascii="Arial" w:hAnsi="Arial" w:cs="Arial"/>
          <w:sz w:val="24"/>
          <w:szCs w:val="24"/>
        </w:rPr>
        <w:t>často vyskytují nitrosaminy, poškozuj</w:t>
      </w:r>
      <w:r w:rsidR="00187964">
        <w:rPr>
          <w:rFonts w:ascii="Arial" w:hAnsi="Arial" w:cs="Arial"/>
          <w:sz w:val="24"/>
          <w:szCs w:val="24"/>
        </w:rPr>
        <w:t>í</w:t>
      </w:r>
      <w:r w:rsidR="0064032D" w:rsidRPr="008F13F9">
        <w:rPr>
          <w:rFonts w:ascii="Arial" w:hAnsi="Arial" w:cs="Arial"/>
          <w:sz w:val="24"/>
          <w:szCs w:val="24"/>
        </w:rPr>
        <w:t xml:space="preserve"> DNA buněk vytvořením el</w:t>
      </w:r>
      <w:r w:rsidR="00187964">
        <w:rPr>
          <w:rFonts w:ascii="Arial" w:hAnsi="Arial" w:cs="Arial"/>
          <w:sz w:val="24"/>
          <w:szCs w:val="24"/>
        </w:rPr>
        <w:t xml:space="preserve">ektrofilních meziproduktů, </w:t>
      </w:r>
      <w:r w:rsidR="00301E7D">
        <w:rPr>
          <w:rFonts w:ascii="Arial" w:hAnsi="Arial" w:cs="Arial"/>
          <w:sz w:val="24"/>
          <w:szCs w:val="24"/>
        </w:rPr>
        <w:t xml:space="preserve">a </w:t>
      </w:r>
      <w:r w:rsidR="00187964">
        <w:rPr>
          <w:rFonts w:ascii="Arial" w:hAnsi="Arial" w:cs="Arial"/>
          <w:sz w:val="24"/>
          <w:szCs w:val="24"/>
        </w:rPr>
        <w:lastRenderedPageBreak/>
        <w:t xml:space="preserve">tím </w:t>
      </w:r>
      <w:r w:rsidR="00301E7D">
        <w:rPr>
          <w:rFonts w:ascii="Arial" w:hAnsi="Arial" w:cs="Arial"/>
          <w:sz w:val="24"/>
          <w:szCs w:val="24"/>
        </w:rPr>
        <w:t>buď vytlá</w:t>
      </w:r>
      <w:r w:rsidR="0064032D" w:rsidRPr="008F13F9">
        <w:rPr>
          <w:rFonts w:ascii="Arial" w:hAnsi="Arial" w:cs="Arial"/>
          <w:sz w:val="24"/>
          <w:szCs w:val="24"/>
        </w:rPr>
        <w:t xml:space="preserve">čí elektrony v nukleotidech uvnitř DNA, čímž poškodí párové vazby a sekvenci bází nebo se naváží </w:t>
      </w:r>
      <w:r w:rsidR="00301E7D">
        <w:rPr>
          <w:rFonts w:ascii="Arial" w:hAnsi="Arial" w:cs="Arial"/>
          <w:sz w:val="24"/>
          <w:szCs w:val="24"/>
        </w:rPr>
        <w:t xml:space="preserve">přímo </w:t>
      </w:r>
      <w:r w:rsidR="0064032D" w:rsidRPr="008F13F9">
        <w:rPr>
          <w:rFonts w:ascii="Arial" w:hAnsi="Arial" w:cs="Arial"/>
          <w:sz w:val="24"/>
          <w:szCs w:val="24"/>
        </w:rPr>
        <w:t>na DNA</w:t>
      </w:r>
      <w:r w:rsidR="0064032D" w:rsidRPr="008F13F9">
        <w:rPr>
          <w:rFonts w:ascii="Arial" w:hAnsi="Arial" w:cs="Arial"/>
          <w:sz w:val="24"/>
          <w:szCs w:val="24"/>
          <w:vertAlign w:val="superscript"/>
        </w:rPr>
        <w:t>3</w:t>
      </w:r>
      <w:r w:rsidR="0064032D" w:rsidRPr="008F13F9">
        <w:rPr>
          <w:rFonts w:ascii="Arial" w:hAnsi="Arial" w:cs="Arial"/>
          <w:sz w:val="24"/>
          <w:szCs w:val="24"/>
        </w:rPr>
        <w:t xml:space="preserve">. </w:t>
      </w:r>
    </w:p>
    <w:p w14:paraId="16381304" w14:textId="77777777" w:rsidR="00301E7D" w:rsidRPr="008F13F9" w:rsidRDefault="00301E7D" w:rsidP="008F13F9">
      <w:pPr>
        <w:spacing w:line="360" w:lineRule="auto"/>
        <w:jc w:val="both"/>
        <w:rPr>
          <w:rFonts w:ascii="Arial" w:hAnsi="Arial" w:cs="Arial"/>
          <w:sz w:val="24"/>
          <w:szCs w:val="24"/>
        </w:rPr>
      </w:pPr>
    </w:p>
    <w:p w14:paraId="003E4BFC" w14:textId="77777777" w:rsidR="0064032D" w:rsidRPr="00D04F54" w:rsidRDefault="0064032D" w:rsidP="008F13F9">
      <w:pPr>
        <w:spacing w:line="360" w:lineRule="auto"/>
        <w:jc w:val="both"/>
        <w:rPr>
          <w:rFonts w:ascii="Arial" w:hAnsi="Arial" w:cs="Arial"/>
          <w:b/>
          <w:bCs/>
          <w:sz w:val="24"/>
          <w:szCs w:val="24"/>
          <w:u w:val="single"/>
        </w:rPr>
      </w:pPr>
      <w:r w:rsidRPr="00D04F54">
        <w:rPr>
          <w:rFonts w:ascii="Arial" w:hAnsi="Arial" w:cs="Arial"/>
          <w:b/>
          <w:bCs/>
          <w:sz w:val="24"/>
          <w:szCs w:val="24"/>
          <w:u w:val="single"/>
        </w:rPr>
        <w:t>2.1.1. Mechanizmus kancerogenního účinku u kuřáků  :</w:t>
      </w:r>
    </w:p>
    <w:p w14:paraId="70F5B99E" w14:textId="77777777" w:rsidR="0064032D" w:rsidRPr="008F13F9" w:rsidRDefault="0064032D" w:rsidP="008F13F9">
      <w:pPr>
        <w:numPr>
          <w:ilvl w:val="0"/>
          <w:numId w:val="12"/>
        </w:numPr>
        <w:spacing w:line="360" w:lineRule="auto"/>
        <w:jc w:val="both"/>
        <w:rPr>
          <w:rFonts w:ascii="Arial" w:hAnsi="Arial" w:cs="Arial"/>
          <w:bCs/>
          <w:sz w:val="24"/>
          <w:szCs w:val="24"/>
        </w:rPr>
      </w:pPr>
      <w:r w:rsidRPr="008F13F9">
        <w:rPr>
          <w:rFonts w:ascii="Arial" w:hAnsi="Arial" w:cs="Arial"/>
          <w:bCs/>
          <w:sz w:val="24"/>
          <w:szCs w:val="24"/>
        </w:rPr>
        <w:t>lokální dráždění (termické, chemické -polonium, benzpyreny)</w:t>
      </w:r>
    </w:p>
    <w:p w14:paraId="1DDECFA6" w14:textId="77777777" w:rsidR="0064032D" w:rsidRPr="008F13F9" w:rsidRDefault="0064032D" w:rsidP="008F13F9">
      <w:pPr>
        <w:numPr>
          <w:ilvl w:val="0"/>
          <w:numId w:val="2"/>
        </w:numPr>
        <w:spacing w:line="360" w:lineRule="auto"/>
        <w:jc w:val="both"/>
        <w:rPr>
          <w:rFonts w:ascii="Arial" w:hAnsi="Arial" w:cs="Arial"/>
          <w:bCs/>
          <w:sz w:val="24"/>
          <w:szCs w:val="24"/>
        </w:rPr>
      </w:pPr>
      <w:r w:rsidRPr="008F13F9">
        <w:rPr>
          <w:rFonts w:ascii="Arial" w:hAnsi="Arial" w:cs="Arial"/>
          <w:bCs/>
          <w:sz w:val="24"/>
          <w:szCs w:val="24"/>
        </w:rPr>
        <w:t>zvýšené procento mutací genu p53 s poruchou regulace apoptózy</w:t>
      </w:r>
    </w:p>
    <w:p w14:paraId="07D0CEBA" w14:textId="77777777" w:rsidR="0064032D" w:rsidRPr="008F13F9" w:rsidRDefault="0064032D" w:rsidP="008F13F9">
      <w:pPr>
        <w:numPr>
          <w:ilvl w:val="0"/>
          <w:numId w:val="2"/>
        </w:numPr>
        <w:spacing w:line="360" w:lineRule="auto"/>
        <w:jc w:val="both"/>
        <w:rPr>
          <w:rFonts w:ascii="Arial" w:hAnsi="Arial" w:cs="Arial"/>
          <w:bCs/>
          <w:sz w:val="24"/>
          <w:szCs w:val="24"/>
        </w:rPr>
      </w:pPr>
      <w:r w:rsidRPr="008F13F9">
        <w:rPr>
          <w:rFonts w:ascii="Arial" w:hAnsi="Arial" w:cs="Arial"/>
          <w:bCs/>
          <w:sz w:val="24"/>
          <w:szCs w:val="24"/>
        </w:rPr>
        <w:t>zvýšení potřeby vit. C ve tkáních, částečná blokáda jeho rezorbce ze zažívacího traktu</w:t>
      </w:r>
    </w:p>
    <w:p w14:paraId="70976A9E" w14:textId="77777777" w:rsidR="0064032D" w:rsidRPr="008F13F9" w:rsidRDefault="0064032D" w:rsidP="008F13F9">
      <w:pPr>
        <w:numPr>
          <w:ilvl w:val="0"/>
          <w:numId w:val="2"/>
        </w:numPr>
        <w:spacing w:line="360" w:lineRule="auto"/>
        <w:jc w:val="both"/>
        <w:rPr>
          <w:rFonts w:ascii="Arial" w:hAnsi="Arial" w:cs="Arial"/>
          <w:bCs/>
          <w:sz w:val="24"/>
          <w:szCs w:val="24"/>
        </w:rPr>
      </w:pPr>
      <w:r w:rsidRPr="008F13F9">
        <w:rPr>
          <w:rFonts w:ascii="Arial" w:hAnsi="Arial" w:cs="Arial"/>
          <w:bCs/>
          <w:sz w:val="24"/>
          <w:szCs w:val="24"/>
        </w:rPr>
        <w:t>snížení hladiny beta-karotenu v plasmě</w:t>
      </w:r>
    </w:p>
    <w:p w14:paraId="7BE22050" w14:textId="77777777" w:rsidR="0064032D" w:rsidRPr="008F13F9" w:rsidRDefault="0064032D" w:rsidP="008F13F9">
      <w:pPr>
        <w:numPr>
          <w:ilvl w:val="0"/>
          <w:numId w:val="2"/>
        </w:numPr>
        <w:spacing w:line="360" w:lineRule="auto"/>
        <w:jc w:val="both"/>
        <w:rPr>
          <w:rFonts w:ascii="Arial" w:hAnsi="Arial" w:cs="Arial"/>
          <w:bCs/>
          <w:sz w:val="24"/>
          <w:szCs w:val="24"/>
        </w:rPr>
      </w:pPr>
      <w:r w:rsidRPr="008F13F9">
        <w:rPr>
          <w:rFonts w:ascii="Arial" w:hAnsi="Arial" w:cs="Arial"/>
          <w:bCs/>
          <w:sz w:val="24"/>
          <w:szCs w:val="24"/>
        </w:rPr>
        <w:t>zvýšení hladiny nitritů a volných kyslíkových radikálů</w:t>
      </w:r>
    </w:p>
    <w:p w14:paraId="2CFE9313" w14:textId="77777777" w:rsidR="0064032D" w:rsidRPr="00D04F54" w:rsidRDefault="0064032D" w:rsidP="008F13F9">
      <w:pPr>
        <w:spacing w:line="360" w:lineRule="auto"/>
        <w:jc w:val="both"/>
        <w:rPr>
          <w:rFonts w:ascii="Arial" w:hAnsi="Arial" w:cs="Arial"/>
          <w:b/>
          <w:bCs/>
          <w:sz w:val="24"/>
          <w:szCs w:val="24"/>
          <w:u w:val="single"/>
        </w:rPr>
      </w:pPr>
      <w:r w:rsidRPr="00D04F54">
        <w:rPr>
          <w:rFonts w:ascii="Arial" w:hAnsi="Arial" w:cs="Arial"/>
          <w:b/>
          <w:bCs/>
          <w:sz w:val="24"/>
          <w:szCs w:val="24"/>
          <w:u w:val="single"/>
        </w:rPr>
        <w:t>2.1.2. Kancerogenní efekt konzumace alkoholu :</w:t>
      </w:r>
    </w:p>
    <w:p w14:paraId="3D5D1D0A" w14:textId="77777777" w:rsidR="0064032D" w:rsidRPr="008F13F9" w:rsidRDefault="00187964" w:rsidP="008F13F9">
      <w:pPr>
        <w:numPr>
          <w:ilvl w:val="0"/>
          <w:numId w:val="3"/>
        </w:numPr>
        <w:spacing w:line="360" w:lineRule="auto"/>
        <w:jc w:val="both"/>
        <w:rPr>
          <w:rFonts w:ascii="Arial" w:hAnsi="Arial" w:cs="Arial"/>
          <w:bCs/>
          <w:sz w:val="24"/>
          <w:szCs w:val="24"/>
        </w:rPr>
      </w:pPr>
      <w:r>
        <w:rPr>
          <w:rFonts w:ascii="Arial" w:hAnsi="Arial" w:cs="Arial"/>
          <w:bCs/>
          <w:sz w:val="24"/>
          <w:szCs w:val="24"/>
        </w:rPr>
        <w:t xml:space="preserve">lokální dráždění </w:t>
      </w:r>
    </w:p>
    <w:p w14:paraId="382FDA01" w14:textId="77777777" w:rsidR="0064032D" w:rsidRPr="008F13F9" w:rsidRDefault="0064032D" w:rsidP="008F13F9">
      <w:pPr>
        <w:numPr>
          <w:ilvl w:val="0"/>
          <w:numId w:val="3"/>
        </w:numPr>
        <w:spacing w:line="360" w:lineRule="auto"/>
        <w:jc w:val="both"/>
        <w:rPr>
          <w:rFonts w:ascii="Arial" w:hAnsi="Arial" w:cs="Arial"/>
          <w:bCs/>
          <w:sz w:val="24"/>
          <w:szCs w:val="24"/>
        </w:rPr>
      </w:pPr>
      <w:r w:rsidRPr="008F13F9">
        <w:rPr>
          <w:rFonts w:ascii="Arial" w:hAnsi="Arial" w:cs="Arial"/>
          <w:bCs/>
          <w:sz w:val="24"/>
          <w:szCs w:val="24"/>
        </w:rPr>
        <w:t>zvýšená exprese  mutací genu p53 s  poruchou regulace apoptózy</w:t>
      </w:r>
    </w:p>
    <w:p w14:paraId="1ECB3C3F" w14:textId="77777777" w:rsidR="0064032D" w:rsidRPr="008F13F9" w:rsidRDefault="0064032D" w:rsidP="008F13F9">
      <w:pPr>
        <w:numPr>
          <w:ilvl w:val="0"/>
          <w:numId w:val="3"/>
        </w:numPr>
        <w:spacing w:line="360" w:lineRule="auto"/>
        <w:jc w:val="both"/>
        <w:rPr>
          <w:rFonts w:ascii="Arial" w:hAnsi="Arial" w:cs="Arial"/>
          <w:bCs/>
          <w:sz w:val="24"/>
          <w:szCs w:val="24"/>
        </w:rPr>
      </w:pPr>
      <w:r w:rsidRPr="008F13F9">
        <w:rPr>
          <w:rFonts w:ascii="Arial" w:hAnsi="Arial" w:cs="Arial"/>
          <w:bCs/>
          <w:sz w:val="24"/>
          <w:szCs w:val="24"/>
        </w:rPr>
        <w:t>snížení příjmu běžné stravy (až 45% denní energetické potřeby hrazeno alkoholem)</w:t>
      </w:r>
    </w:p>
    <w:p w14:paraId="75D2F53B" w14:textId="77777777" w:rsidR="0064032D" w:rsidRPr="008F13F9" w:rsidRDefault="0064032D" w:rsidP="008F13F9">
      <w:pPr>
        <w:numPr>
          <w:ilvl w:val="0"/>
          <w:numId w:val="3"/>
        </w:numPr>
        <w:spacing w:line="360" w:lineRule="auto"/>
        <w:jc w:val="both"/>
        <w:rPr>
          <w:rFonts w:ascii="Arial" w:hAnsi="Arial" w:cs="Arial"/>
          <w:bCs/>
          <w:sz w:val="24"/>
          <w:szCs w:val="24"/>
        </w:rPr>
      </w:pPr>
      <w:r w:rsidRPr="008F13F9">
        <w:rPr>
          <w:rFonts w:ascii="Arial" w:hAnsi="Arial" w:cs="Arial"/>
          <w:bCs/>
          <w:sz w:val="24"/>
          <w:szCs w:val="24"/>
        </w:rPr>
        <w:t xml:space="preserve">deficit vit. C (zvýšená exkrece), malabsorbce vit. E </w:t>
      </w:r>
    </w:p>
    <w:p w14:paraId="3916C90D" w14:textId="77777777" w:rsidR="0064032D" w:rsidRPr="008F13F9" w:rsidRDefault="0064032D" w:rsidP="008F13F9">
      <w:pPr>
        <w:numPr>
          <w:ilvl w:val="0"/>
          <w:numId w:val="3"/>
        </w:numPr>
        <w:spacing w:line="360" w:lineRule="auto"/>
        <w:jc w:val="both"/>
        <w:rPr>
          <w:rFonts w:ascii="Arial" w:hAnsi="Arial" w:cs="Arial"/>
          <w:bCs/>
          <w:sz w:val="24"/>
          <w:szCs w:val="24"/>
        </w:rPr>
      </w:pPr>
      <w:r w:rsidRPr="008F13F9">
        <w:rPr>
          <w:rFonts w:ascii="Arial" w:hAnsi="Arial" w:cs="Arial"/>
          <w:bCs/>
          <w:sz w:val="24"/>
          <w:szCs w:val="24"/>
        </w:rPr>
        <w:t>snížení migrace granulocytů,  snížení aktivity makrofágů</w:t>
      </w:r>
    </w:p>
    <w:p w14:paraId="3A2BD1DD" w14:textId="77777777" w:rsidR="0064032D" w:rsidRPr="008F13F9" w:rsidRDefault="0064032D" w:rsidP="008F13F9">
      <w:pPr>
        <w:numPr>
          <w:ilvl w:val="0"/>
          <w:numId w:val="3"/>
        </w:numPr>
        <w:spacing w:line="360" w:lineRule="auto"/>
        <w:jc w:val="both"/>
        <w:rPr>
          <w:rFonts w:ascii="Arial" w:hAnsi="Arial" w:cs="Arial"/>
          <w:bCs/>
          <w:sz w:val="24"/>
          <w:szCs w:val="24"/>
        </w:rPr>
      </w:pPr>
      <w:r w:rsidRPr="008F13F9">
        <w:rPr>
          <w:rFonts w:ascii="Arial" w:hAnsi="Arial" w:cs="Arial"/>
          <w:bCs/>
          <w:sz w:val="24"/>
          <w:szCs w:val="24"/>
        </w:rPr>
        <w:t>snížení produkce cytokinů</w:t>
      </w:r>
    </w:p>
    <w:p w14:paraId="3E1ED278" w14:textId="77777777" w:rsidR="0064032D" w:rsidRPr="008F13F9" w:rsidRDefault="0064032D" w:rsidP="008F13F9">
      <w:pPr>
        <w:numPr>
          <w:ilvl w:val="0"/>
          <w:numId w:val="3"/>
        </w:numPr>
        <w:spacing w:line="360" w:lineRule="auto"/>
        <w:jc w:val="both"/>
        <w:rPr>
          <w:rFonts w:ascii="Arial" w:hAnsi="Arial" w:cs="Arial"/>
          <w:bCs/>
          <w:sz w:val="24"/>
          <w:szCs w:val="24"/>
        </w:rPr>
      </w:pPr>
      <w:r w:rsidRPr="008F13F9">
        <w:rPr>
          <w:rFonts w:ascii="Arial" w:hAnsi="Arial" w:cs="Arial"/>
          <w:bCs/>
          <w:sz w:val="24"/>
          <w:szCs w:val="24"/>
        </w:rPr>
        <w:t>zvýšení hladiny acetaldehydu (produkt metabolismu etanolu považovaný za kancerogen)</w:t>
      </w:r>
    </w:p>
    <w:p w14:paraId="3F7D0E80" w14:textId="77777777" w:rsidR="00301E7D" w:rsidRPr="00301E7D" w:rsidRDefault="0064032D" w:rsidP="008F13F9">
      <w:pPr>
        <w:numPr>
          <w:ilvl w:val="0"/>
          <w:numId w:val="3"/>
        </w:numPr>
        <w:spacing w:line="360" w:lineRule="auto"/>
        <w:jc w:val="both"/>
        <w:rPr>
          <w:rFonts w:ascii="Arial" w:hAnsi="Arial" w:cs="Arial"/>
          <w:bCs/>
          <w:sz w:val="24"/>
          <w:szCs w:val="24"/>
        </w:rPr>
      </w:pPr>
      <w:r w:rsidRPr="008F13F9">
        <w:rPr>
          <w:rFonts w:ascii="Arial" w:hAnsi="Arial" w:cs="Arial"/>
          <w:bCs/>
          <w:sz w:val="24"/>
          <w:szCs w:val="24"/>
        </w:rPr>
        <w:t>potenciace kancerogenních účinků tabákových zplodin (alkohol jako rozpouštědlo usnadňuje jejich rezorbci)</w:t>
      </w:r>
    </w:p>
    <w:p w14:paraId="3BA21439" w14:textId="77777777" w:rsidR="0064032D" w:rsidRPr="008F13F9" w:rsidRDefault="0064032D" w:rsidP="008F13F9">
      <w:pPr>
        <w:spacing w:line="360" w:lineRule="auto"/>
        <w:jc w:val="both"/>
        <w:rPr>
          <w:rFonts w:ascii="Arial" w:hAnsi="Arial" w:cs="Arial"/>
          <w:b/>
          <w:bCs/>
          <w:sz w:val="24"/>
          <w:szCs w:val="24"/>
          <w:highlight w:val="yellow"/>
        </w:rPr>
      </w:pPr>
    </w:p>
    <w:p w14:paraId="53EEB2BC" w14:textId="77777777" w:rsidR="00301E7D" w:rsidRDefault="00301E7D" w:rsidP="008F13F9">
      <w:pPr>
        <w:spacing w:line="360" w:lineRule="auto"/>
        <w:jc w:val="both"/>
        <w:rPr>
          <w:rFonts w:ascii="Arial" w:hAnsi="Arial" w:cs="Arial"/>
          <w:sz w:val="24"/>
          <w:szCs w:val="24"/>
          <w:u w:val="single"/>
        </w:rPr>
      </w:pPr>
    </w:p>
    <w:p w14:paraId="074BC2F2" w14:textId="77777777" w:rsidR="0064032D" w:rsidRPr="00D04F54" w:rsidRDefault="0064032D" w:rsidP="008F13F9">
      <w:pPr>
        <w:spacing w:line="360" w:lineRule="auto"/>
        <w:jc w:val="both"/>
        <w:rPr>
          <w:rFonts w:ascii="Arial" w:hAnsi="Arial" w:cs="Arial"/>
          <w:b/>
          <w:sz w:val="24"/>
          <w:szCs w:val="24"/>
          <w:u w:val="single"/>
        </w:rPr>
      </w:pPr>
      <w:r w:rsidRPr="00D04F54">
        <w:rPr>
          <w:rFonts w:ascii="Arial" w:hAnsi="Arial" w:cs="Arial"/>
          <w:b/>
          <w:sz w:val="24"/>
          <w:szCs w:val="24"/>
          <w:u w:val="single"/>
        </w:rPr>
        <w:lastRenderedPageBreak/>
        <w:t>2.1.3. Mechanické dráždění a malhy</w:t>
      </w:r>
      <w:r w:rsidR="00301E7D" w:rsidRPr="00D04F54">
        <w:rPr>
          <w:rFonts w:ascii="Arial" w:hAnsi="Arial" w:cs="Arial"/>
          <w:b/>
          <w:sz w:val="24"/>
          <w:szCs w:val="24"/>
          <w:u w:val="single"/>
        </w:rPr>
        <w:t xml:space="preserve">giena jako etiologické faktory </w:t>
      </w:r>
      <w:r w:rsidRPr="00D04F54">
        <w:rPr>
          <w:rFonts w:ascii="Arial" w:hAnsi="Arial" w:cs="Arial"/>
          <w:b/>
          <w:sz w:val="24"/>
          <w:szCs w:val="24"/>
        </w:rPr>
        <w:t xml:space="preserve"> </w:t>
      </w:r>
      <w:r w:rsidRPr="00D04F54">
        <w:rPr>
          <w:rFonts w:ascii="Arial" w:hAnsi="Arial" w:cs="Arial"/>
          <w:b/>
          <w:sz w:val="24"/>
          <w:szCs w:val="24"/>
          <w:u w:val="single"/>
        </w:rPr>
        <w:t>kancerogeneze:</w:t>
      </w:r>
    </w:p>
    <w:p w14:paraId="00827FEE" w14:textId="77777777" w:rsidR="0064032D" w:rsidRPr="008F13F9" w:rsidRDefault="00301E7D"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Vliv chronického dráždění na potenciální vznik nádoru je známý. V ústech musíme zmínit chronické dráždění ostrými okraji zubů a zubních náhrad (fixních nebo snímatelných). Takové dráždění působí chronický zánět, který</w:t>
      </w:r>
      <w:r w:rsidR="00187964">
        <w:rPr>
          <w:rFonts w:ascii="Arial" w:hAnsi="Arial" w:cs="Arial"/>
          <w:sz w:val="24"/>
          <w:szCs w:val="24"/>
        </w:rPr>
        <w:t>,</w:t>
      </w:r>
      <w:r w:rsidR="0064032D" w:rsidRPr="008F13F9">
        <w:rPr>
          <w:rFonts w:ascii="Arial" w:hAnsi="Arial" w:cs="Arial"/>
          <w:sz w:val="24"/>
          <w:szCs w:val="24"/>
        </w:rPr>
        <w:t xml:space="preserve"> zejména potencovaný kouřem a/nebo alkoholem</w:t>
      </w:r>
      <w:r w:rsidR="00187964">
        <w:rPr>
          <w:rFonts w:ascii="Arial" w:hAnsi="Arial" w:cs="Arial"/>
          <w:sz w:val="24"/>
          <w:szCs w:val="24"/>
        </w:rPr>
        <w:t>,</w:t>
      </w:r>
      <w:r w:rsidR="0064032D" w:rsidRPr="008F13F9">
        <w:rPr>
          <w:rFonts w:ascii="Arial" w:hAnsi="Arial" w:cs="Arial"/>
          <w:sz w:val="24"/>
          <w:szCs w:val="24"/>
        </w:rPr>
        <w:t xml:space="preserve"> může vést k malignizaci epitelové buňky.</w:t>
      </w:r>
    </w:p>
    <w:p w14:paraId="297281EA" w14:textId="77777777" w:rsidR="0064032D" w:rsidRPr="008F13F9" w:rsidRDefault="00301E7D"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Vliv malhygieny na rozvoj onkologického onemocnění není zcela jasný. Důvodem k tomuto tvrzení je fakt, že většina pacientů s OFK holduje potátorství a tabakismu, kdy péče o hygienu nejen dutiny ústní nebývá primárním zájmem těchto pacientů.</w:t>
      </w:r>
    </w:p>
    <w:p w14:paraId="28EEA72E" w14:textId="77777777" w:rsidR="0064032D" w:rsidRPr="008F13F9" w:rsidRDefault="0064032D" w:rsidP="008F13F9">
      <w:pPr>
        <w:spacing w:line="360" w:lineRule="auto"/>
        <w:jc w:val="both"/>
        <w:rPr>
          <w:rFonts w:ascii="Arial" w:hAnsi="Arial" w:cs="Arial"/>
          <w:sz w:val="24"/>
          <w:szCs w:val="24"/>
          <w:u w:val="single"/>
        </w:rPr>
      </w:pPr>
    </w:p>
    <w:p w14:paraId="66906564" w14:textId="77777777" w:rsidR="0064032D" w:rsidRPr="00D04F54" w:rsidRDefault="0064032D" w:rsidP="008F13F9">
      <w:pPr>
        <w:spacing w:line="360" w:lineRule="auto"/>
        <w:jc w:val="both"/>
        <w:rPr>
          <w:rFonts w:ascii="Arial" w:hAnsi="Arial" w:cs="Arial"/>
          <w:b/>
          <w:sz w:val="24"/>
          <w:szCs w:val="24"/>
          <w:u w:val="single"/>
        </w:rPr>
      </w:pPr>
      <w:r w:rsidRPr="00D04F54">
        <w:rPr>
          <w:rFonts w:ascii="Arial" w:hAnsi="Arial" w:cs="Arial"/>
          <w:b/>
          <w:sz w:val="24"/>
          <w:szCs w:val="24"/>
          <w:u w:val="single"/>
        </w:rPr>
        <w:t>2.1.4. Vliv lidského papilomaviru na vznik OFK:</w:t>
      </w:r>
    </w:p>
    <w:p w14:paraId="4C8E8F12" w14:textId="77777777" w:rsidR="0064032D" w:rsidRPr="008F13F9" w:rsidRDefault="00301E7D"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U HPV tumorů se na deregulaci</w:t>
      </w:r>
      <w:r w:rsidR="00187964">
        <w:rPr>
          <w:rFonts w:ascii="Arial" w:hAnsi="Arial" w:cs="Arial"/>
          <w:sz w:val="24"/>
          <w:szCs w:val="24"/>
        </w:rPr>
        <w:t xml:space="preserve"> buněčného cyklu</w:t>
      </w:r>
      <w:r w:rsidR="0064032D" w:rsidRPr="008F13F9">
        <w:rPr>
          <w:rFonts w:ascii="Arial" w:hAnsi="Arial" w:cs="Arial"/>
          <w:sz w:val="24"/>
          <w:szCs w:val="24"/>
        </w:rPr>
        <w:t xml:space="preserve"> podílejí produkty virových onkogenů E6 a E7</w:t>
      </w:r>
      <w:r w:rsidR="0064032D" w:rsidRPr="008F13F9">
        <w:rPr>
          <w:rFonts w:ascii="Arial" w:hAnsi="Arial" w:cs="Arial"/>
          <w:sz w:val="24"/>
          <w:szCs w:val="24"/>
          <w:vertAlign w:val="superscript"/>
        </w:rPr>
        <w:t>11,12,13</w:t>
      </w:r>
      <w:r w:rsidR="0064032D" w:rsidRPr="008F13F9">
        <w:rPr>
          <w:rFonts w:ascii="Arial" w:hAnsi="Arial" w:cs="Arial"/>
          <w:sz w:val="24"/>
          <w:szCs w:val="24"/>
        </w:rPr>
        <w:t xml:space="preserve"> (Obr. 2). E6 se naváže na p53 (buňky bez funkčního p53 nepodléhají apoptóze) a inaktivuje telomerázu. Vazba onkogenu E7  na pRb uvolní transkripční faktor, který aktivuje geny regulující buněčnou proliferaci. HPV+ tumory jsou charakterizovány sníženou hladinou retinoblastomovéh</w:t>
      </w:r>
      <w:r w:rsidR="00FF0A85">
        <w:rPr>
          <w:rFonts w:ascii="Arial" w:hAnsi="Arial" w:cs="Arial"/>
          <w:sz w:val="24"/>
          <w:szCs w:val="24"/>
        </w:rPr>
        <w:t>o proteinu (pRb) a cyklinu D1, j</w:t>
      </w:r>
      <w:r w:rsidR="0064032D" w:rsidRPr="008F13F9">
        <w:rPr>
          <w:rFonts w:ascii="Arial" w:hAnsi="Arial" w:cs="Arial"/>
          <w:sz w:val="24"/>
          <w:szCs w:val="24"/>
        </w:rPr>
        <w:t>ejich další vlastností je obsah nemutovaného (divokého typu) genu p53</w:t>
      </w:r>
      <w:r w:rsidR="0064032D" w:rsidRPr="008F13F9">
        <w:rPr>
          <w:rFonts w:ascii="Arial" w:hAnsi="Arial" w:cs="Arial"/>
          <w:sz w:val="24"/>
          <w:szCs w:val="24"/>
          <w:vertAlign w:val="superscript"/>
        </w:rPr>
        <w:t>14</w:t>
      </w:r>
      <w:r w:rsidR="0064032D" w:rsidRPr="008F13F9">
        <w:rPr>
          <w:rFonts w:ascii="Arial" w:hAnsi="Arial" w:cs="Arial"/>
          <w:sz w:val="24"/>
          <w:szCs w:val="24"/>
        </w:rPr>
        <w:t xml:space="preserve">. </w:t>
      </w:r>
      <w:r w:rsidR="00FF0A85">
        <w:rPr>
          <w:rFonts w:ascii="Arial" w:hAnsi="Arial" w:cs="Arial"/>
          <w:sz w:val="24"/>
          <w:szCs w:val="24"/>
        </w:rPr>
        <w:t>Prevalence infekce orální HPV u asymptomatické populace se pohybuje v poměrně širokém rozmezí 0-10%</w:t>
      </w:r>
      <w:r w:rsidR="0064032D" w:rsidRPr="008F13F9">
        <w:rPr>
          <w:rFonts w:ascii="Arial" w:hAnsi="Arial" w:cs="Arial"/>
          <w:sz w:val="24"/>
          <w:szCs w:val="24"/>
        </w:rPr>
        <w:t>. Předpokládá se, že ke klinické manifestaci dlaždicobuněčného karcinomu dochází teprve za 10-35 let od infekce virem</w:t>
      </w:r>
      <w:r w:rsidR="0064032D" w:rsidRPr="008F13F9">
        <w:rPr>
          <w:rFonts w:ascii="Arial" w:hAnsi="Arial" w:cs="Arial"/>
          <w:sz w:val="24"/>
          <w:szCs w:val="24"/>
          <w:vertAlign w:val="superscript"/>
        </w:rPr>
        <w:t>15</w:t>
      </w:r>
      <w:r w:rsidR="0064032D" w:rsidRPr="008F13F9">
        <w:rPr>
          <w:rFonts w:ascii="Arial" w:hAnsi="Arial" w:cs="Arial"/>
          <w:sz w:val="24"/>
          <w:szCs w:val="24"/>
        </w:rPr>
        <w:t>.</w:t>
      </w:r>
    </w:p>
    <w:p w14:paraId="141390B1" w14:textId="77777777" w:rsidR="0064032D" w:rsidRPr="008F13F9" w:rsidRDefault="00905F58" w:rsidP="008F13F9">
      <w:pPr>
        <w:spacing w:line="360" w:lineRule="auto"/>
        <w:jc w:val="center"/>
        <w:rPr>
          <w:rFonts w:ascii="Arial" w:hAnsi="Arial" w:cs="Arial"/>
          <w:noProof/>
          <w:sz w:val="24"/>
          <w:szCs w:val="24"/>
          <w:lang w:val="en-US"/>
        </w:rPr>
      </w:pPr>
      <w:r>
        <w:rPr>
          <w:rFonts w:ascii="Arial" w:hAnsi="Arial" w:cs="Arial"/>
          <w:noProof/>
          <w:sz w:val="24"/>
          <w:szCs w:val="24"/>
          <w:lang w:val="en-US"/>
        </w:rPr>
        <w:lastRenderedPageBreak/>
        <w:drawing>
          <wp:inline distT="0" distB="0" distL="0" distR="0" wp14:anchorId="07DA5995" wp14:editId="0D696223">
            <wp:extent cx="2881563" cy="3639553"/>
            <wp:effectExtent l="177800" t="177800" r="344805" b="374015"/>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0">
                      <a:extLst/>
                    </a:blip>
                    <a:srcRect l="30786" t="430" r="-375"/>
                    <a:stretch/>
                  </pic:blipFill>
                  <pic:spPr bwMode="auto">
                    <a:xfrm>
                      <a:off x="0" y="0"/>
                      <a:ext cx="2881787" cy="3639836"/>
                    </a:xfrm>
                    <a:prstGeom prst="rect">
                      <a:avLst/>
                    </a:prstGeom>
                    <a:ln>
                      <a:noFill/>
                    </a:ln>
                    <a:effectLst>
                      <a:outerShdw blurRad="292100" dist="139700" dir="2700000" algn="tl" rotWithShape="0">
                        <a:srgbClr val="333333">
                          <a:alpha val="65000"/>
                        </a:srgbClr>
                      </a:outerShdw>
                    </a:effectLst>
                    <a:extLst/>
                  </pic:spPr>
                </pic:pic>
              </a:graphicData>
            </a:graphic>
          </wp:inline>
        </w:drawing>
      </w:r>
    </w:p>
    <w:p w14:paraId="4DA28009" w14:textId="77777777" w:rsidR="0064032D" w:rsidRPr="008F13F9" w:rsidRDefault="0064032D" w:rsidP="008F13F9">
      <w:pPr>
        <w:spacing w:line="360" w:lineRule="auto"/>
        <w:jc w:val="center"/>
        <w:rPr>
          <w:rFonts w:ascii="Arial" w:hAnsi="Arial" w:cs="Arial"/>
          <w:sz w:val="24"/>
          <w:szCs w:val="24"/>
        </w:rPr>
      </w:pPr>
      <w:r w:rsidRPr="008F13F9">
        <w:rPr>
          <w:rFonts w:ascii="Arial" w:hAnsi="Arial" w:cs="Arial"/>
          <w:i/>
          <w:sz w:val="24"/>
          <w:szCs w:val="24"/>
        </w:rPr>
        <w:t>Obr.2 Genom lidského papilomaviru s lokalizací hlavních onkogenů E6 a E7</w:t>
      </w:r>
      <w:r w:rsidRPr="008F13F9">
        <w:rPr>
          <w:rFonts w:ascii="Arial" w:hAnsi="Arial" w:cs="Arial"/>
          <w:i/>
          <w:sz w:val="24"/>
          <w:szCs w:val="24"/>
        </w:rPr>
        <w:tab/>
      </w:r>
    </w:p>
    <w:p w14:paraId="6E16B9C6" w14:textId="77777777" w:rsidR="0064032D" w:rsidRPr="008F13F9" w:rsidRDefault="0064032D" w:rsidP="008F13F9">
      <w:pPr>
        <w:spacing w:line="360" w:lineRule="auto"/>
        <w:jc w:val="both"/>
        <w:rPr>
          <w:rFonts w:ascii="Arial" w:hAnsi="Arial" w:cs="Arial"/>
          <w:i/>
          <w:sz w:val="24"/>
          <w:szCs w:val="24"/>
        </w:rPr>
      </w:pP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p>
    <w:p w14:paraId="78E1DF55" w14:textId="77777777" w:rsidR="0064032D" w:rsidRPr="00D04F54" w:rsidRDefault="0064032D" w:rsidP="008F13F9">
      <w:pPr>
        <w:spacing w:before="100" w:beforeAutospacing="1" w:after="100" w:afterAutospacing="1" w:line="360" w:lineRule="auto"/>
        <w:jc w:val="both"/>
        <w:outlineLvl w:val="0"/>
        <w:rPr>
          <w:rFonts w:ascii="Arial" w:hAnsi="Arial" w:cs="Arial"/>
          <w:b/>
          <w:sz w:val="24"/>
          <w:szCs w:val="24"/>
          <w:u w:val="single"/>
        </w:rPr>
      </w:pPr>
      <w:r w:rsidRPr="00D04F54">
        <w:rPr>
          <w:rFonts w:ascii="Arial" w:hAnsi="Arial" w:cs="Arial"/>
          <w:b/>
          <w:sz w:val="24"/>
          <w:szCs w:val="24"/>
          <w:u w:val="single"/>
        </w:rPr>
        <w:t xml:space="preserve">2.2. Diagnostika karcinomu dutiny ústní </w:t>
      </w:r>
    </w:p>
    <w:p w14:paraId="0C41AA35" w14:textId="77777777" w:rsidR="0064032D" w:rsidRPr="008F13F9" w:rsidRDefault="00301E7D"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Onkologická prohlídka úst stomatologem je v rámci preventivního pojišťovnou hrazeného vyšetření 1x za půl roku. Paradoxem zůstává, že i přes snadnou samovyšetřitelnost a výše zmíněné bezplatné prohlídky přicházejí pacienti velmi často v pokročilém stádiu nádorového onemocnění.</w:t>
      </w:r>
    </w:p>
    <w:p w14:paraId="4E2B5D23" w14:textId="77777777" w:rsidR="0064032D" w:rsidRPr="008F13F9" w:rsidRDefault="00301E7D"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Diagnostika nádoru vychází z anamnézy, klinického vyšetření včetně využití zobrazovacích metod a histopatologického vyšetření bioptického materiálu.</w:t>
      </w:r>
    </w:p>
    <w:p w14:paraId="70A0F628" w14:textId="77777777" w:rsidR="0064032D" w:rsidRDefault="0064032D" w:rsidP="008F13F9">
      <w:pPr>
        <w:spacing w:before="100" w:beforeAutospacing="1" w:after="100" w:afterAutospacing="1" w:line="360" w:lineRule="auto"/>
        <w:jc w:val="both"/>
        <w:rPr>
          <w:rFonts w:ascii="Arial" w:hAnsi="Arial" w:cs="Arial"/>
          <w:sz w:val="24"/>
          <w:szCs w:val="24"/>
        </w:rPr>
      </w:pPr>
    </w:p>
    <w:p w14:paraId="1EE67FE8" w14:textId="77777777" w:rsidR="0051110B" w:rsidRDefault="0051110B" w:rsidP="008F13F9">
      <w:pPr>
        <w:spacing w:before="100" w:beforeAutospacing="1" w:after="100" w:afterAutospacing="1" w:line="360" w:lineRule="auto"/>
        <w:jc w:val="both"/>
        <w:outlineLvl w:val="0"/>
        <w:rPr>
          <w:rFonts w:ascii="Arial" w:hAnsi="Arial" w:cs="Arial"/>
          <w:sz w:val="24"/>
          <w:szCs w:val="24"/>
        </w:rPr>
      </w:pPr>
    </w:p>
    <w:p w14:paraId="548F9B01" w14:textId="77777777" w:rsidR="0064032D" w:rsidRPr="00D04F54" w:rsidRDefault="0064032D" w:rsidP="008F13F9">
      <w:pPr>
        <w:spacing w:before="100" w:beforeAutospacing="1" w:after="100" w:afterAutospacing="1" w:line="360" w:lineRule="auto"/>
        <w:jc w:val="both"/>
        <w:outlineLvl w:val="0"/>
        <w:rPr>
          <w:rFonts w:ascii="Arial" w:hAnsi="Arial" w:cs="Arial"/>
          <w:b/>
          <w:sz w:val="24"/>
          <w:szCs w:val="24"/>
          <w:u w:val="single"/>
        </w:rPr>
      </w:pPr>
      <w:r w:rsidRPr="00D04F54">
        <w:rPr>
          <w:rFonts w:ascii="Arial" w:hAnsi="Arial" w:cs="Arial"/>
          <w:b/>
          <w:sz w:val="24"/>
          <w:szCs w:val="24"/>
          <w:u w:val="single"/>
        </w:rPr>
        <w:t>2.2.1. Anamnéza</w:t>
      </w:r>
    </w:p>
    <w:p w14:paraId="243A59FE" w14:textId="77777777" w:rsidR="0064032D" w:rsidRPr="008F13F9" w:rsidRDefault="00F442C3"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Velmi důležitým anamnestickým údajem je délka trvání</w:t>
      </w:r>
      <w:r w:rsidR="00FF0A85">
        <w:rPr>
          <w:rFonts w:ascii="Arial" w:hAnsi="Arial" w:cs="Arial"/>
          <w:sz w:val="24"/>
          <w:szCs w:val="24"/>
        </w:rPr>
        <w:t xml:space="preserve"> obtíží</w:t>
      </w:r>
      <w:r w:rsidR="0064032D" w:rsidRPr="008F13F9">
        <w:rPr>
          <w:rFonts w:ascii="Arial" w:hAnsi="Arial" w:cs="Arial"/>
          <w:sz w:val="24"/>
          <w:szCs w:val="24"/>
        </w:rPr>
        <w:t xml:space="preserve">. Dále nás zajímá celkový zdravotní stav v rámci osobní anamnézy anamnéza farmakologická, abuzus nikotinu a alkoholu a pracovní prostředí pacienta. </w:t>
      </w:r>
    </w:p>
    <w:p w14:paraId="6D9B3CF0" w14:textId="77777777" w:rsidR="0064032D" w:rsidRPr="00D04F54" w:rsidRDefault="0064032D" w:rsidP="008F13F9">
      <w:pPr>
        <w:spacing w:before="100" w:beforeAutospacing="1" w:after="100" w:afterAutospacing="1" w:line="360" w:lineRule="auto"/>
        <w:jc w:val="both"/>
        <w:outlineLvl w:val="0"/>
        <w:rPr>
          <w:rFonts w:ascii="Arial" w:hAnsi="Arial" w:cs="Arial"/>
          <w:b/>
          <w:sz w:val="24"/>
          <w:szCs w:val="24"/>
          <w:u w:val="single"/>
        </w:rPr>
      </w:pPr>
      <w:r w:rsidRPr="00D04F54">
        <w:rPr>
          <w:rFonts w:ascii="Arial" w:hAnsi="Arial" w:cs="Arial"/>
          <w:b/>
          <w:sz w:val="24"/>
          <w:szCs w:val="24"/>
          <w:u w:val="single"/>
        </w:rPr>
        <w:t>2.2.2. Klinické vyšetření</w:t>
      </w:r>
    </w:p>
    <w:p w14:paraId="777DB0F4" w14:textId="77777777" w:rsidR="00F442C3" w:rsidRDefault="00F442C3"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187964">
        <w:rPr>
          <w:rFonts w:ascii="Arial" w:hAnsi="Arial" w:cs="Arial"/>
          <w:sz w:val="24"/>
          <w:szCs w:val="24"/>
        </w:rPr>
        <w:t xml:space="preserve">Při klinickém vyšetření </w:t>
      </w:r>
      <w:r w:rsidR="0064032D" w:rsidRPr="008F13F9">
        <w:rPr>
          <w:rFonts w:ascii="Arial" w:hAnsi="Arial" w:cs="Arial"/>
          <w:sz w:val="24"/>
          <w:szCs w:val="24"/>
        </w:rPr>
        <w:t>se zaměřujeme na tvar, velikost, povrch, případnou infiltraci a poruch</w:t>
      </w:r>
      <w:r w:rsidR="00CD19D0">
        <w:rPr>
          <w:rFonts w:ascii="Arial" w:hAnsi="Arial" w:cs="Arial"/>
          <w:sz w:val="24"/>
          <w:szCs w:val="24"/>
        </w:rPr>
        <w:t>u</w:t>
      </w:r>
      <w:r w:rsidR="0064032D" w:rsidRPr="008F13F9">
        <w:rPr>
          <w:rFonts w:ascii="Arial" w:hAnsi="Arial" w:cs="Arial"/>
          <w:sz w:val="24"/>
          <w:szCs w:val="24"/>
        </w:rPr>
        <w:t xml:space="preserve"> funkce</w:t>
      </w:r>
      <w:r w:rsidR="00CD19D0">
        <w:rPr>
          <w:rFonts w:ascii="Arial" w:hAnsi="Arial" w:cs="Arial"/>
          <w:sz w:val="24"/>
          <w:szCs w:val="24"/>
        </w:rPr>
        <w:t xml:space="preserve"> nádorem postižené tkáně</w:t>
      </w:r>
      <w:r w:rsidR="0064032D" w:rsidRPr="008F13F9">
        <w:rPr>
          <w:rFonts w:ascii="Arial" w:hAnsi="Arial" w:cs="Arial"/>
          <w:sz w:val="24"/>
          <w:szCs w:val="24"/>
        </w:rPr>
        <w:t xml:space="preserve">. Jeho součástí je i vyšetření spádových lymfatických uzlin palpací - mnoha pacientů dochází k šíření nádorových buněk do regionálních lymfatických uzlin. </w:t>
      </w:r>
    </w:p>
    <w:p w14:paraId="2BFA84E4" w14:textId="77777777" w:rsidR="0064032D" w:rsidRPr="008F13F9" w:rsidRDefault="00F442C3"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U 13 % pacientů nacházíme krční rezistenci jako první a jediný klinický projev nádorového onemocnění. 3 - 9 % primárních tumorů unikne pozornosti dokonce i po klinickém, radiografickém a případně endoskopickém vyšetření. </w:t>
      </w:r>
    </w:p>
    <w:p w14:paraId="44C8E93B" w14:textId="77777777" w:rsidR="0064032D" w:rsidRPr="00D04F54" w:rsidRDefault="0064032D" w:rsidP="008F13F9">
      <w:pPr>
        <w:spacing w:before="100" w:beforeAutospacing="1" w:after="100" w:afterAutospacing="1" w:line="360" w:lineRule="auto"/>
        <w:jc w:val="both"/>
        <w:outlineLvl w:val="0"/>
        <w:rPr>
          <w:rFonts w:ascii="Arial" w:hAnsi="Arial" w:cs="Arial"/>
          <w:b/>
          <w:sz w:val="24"/>
          <w:szCs w:val="24"/>
          <w:u w:val="single"/>
        </w:rPr>
      </w:pPr>
      <w:r w:rsidRPr="00D04F54">
        <w:rPr>
          <w:rFonts w:ascii="Arial" w:hAnsi="Arial" w:cs="Arial"/>
          <w:b/>
          <w:sz w:val="24"/>
          <w:szCs w:val="24"/>
          <w:u w:val="single"/>
        </w:rPr>
        <w:t>2.2.3. Histopatologické vyšetření</w:t>
      </w:r>
    </w:p>
    <w:p w14:paraId="6AA8646F" w14:textId="77777777" w:rsidR="0064032D" w:rsidRPr="008F13F9" w:rsidRDefault="00F442C3" w:rsidP="00F442C3">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K určení přesné diagnózy a naplánování dalšího terapeutického postupu má toto vyšetření nezastupitelnou roli. Rozlišujeme biopsii části nebo odběr celé léze (v případě malých nálezů) - zde je nutno pečlivě zaznamenat přesnou polohu odběru pro případnou další chirurgickou terapii</w:t>
      </w:r>
      <w:r>
        <w:rPr>
          <w:rFonts w:ascii="Arial" w:hAnsi="Arial" w:cs="Arial"/>
          <w:sz w:val="24"/>
          <w:szCs w:val="24"/>
        </w:rPr>
        <w:t>.</w:t>
      </w:r>
    </w:p>
    <w:p w14:paraId="5921D4A8" w14:textId="77777777" w:rsidR="0064032D" w:rsidRPr="008F13F9" w:rsidRDefault="00F442C3"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Dlaždicobuněčný (spinocelulární) karcinom bývá označován jako epidermoidní. Jeho histologická struktura napo</w:t>
      </w:r>
      <w:r>
        <w:rPr>
          <w:rFonts w:ascii="Arial" w:hAnsi="Arial" w:cs="Arial"/>
          <w:sz w:val="24"/>
          <w:szCs w:val="24"/>
        </w:rPr>
        <w:t>dobuje epidermis ve všech jejích</w:t>
      </w:r>
      <w:r w:rsidR="0064032D" w:rsidRPr="008F13F9">
        <w:rPr>
          <w:rFonts w:ascii="Arial" w:hAnsi="Arial" w:cs="Arial"/>
          <w:sz w:val="24"/>
          <w:szCs w:val="24"/>
        </w:rPr>
        <w:t xml:space="preserve"> vrstvách. Mezi nádorovými buňkami bývají intercelulární můstky. Dochází k více nebo méně zřetelnému rohovění. Růst nádoru probíhá v nepravidelných masách, rohové hmoty se nahodile hromadí v rohové koule, tzv. kankroidové perly. Rohovění je často nedokonalé, může tvořit jemné keratinové hrudky v</w:t>
      </w:r>
      <w:r>
        <w:rPr>
          <w:rFonts w:ascii="Arial" w:hAnsi="Arial" w:cs="Arial"/>
          <w:sz w:val="24"/>
          <w:szCs w:val="24"/>
        </w:rPr>
        <w:t xml:space="preserve"> </w:t>
      </w:r>
      <w:r w:rsidR="0064032D" w:rsidRPr="008F13F9">
        <w:rPr>
          <w:rFonts w:ascii="Arial" w:hAnsi="Arial" w:cs="Arial"/>
          <w:sz w:val="24"/>
          <w:szCs w:val="24"/>
        </w:rPr>
        <w:t xml:space="preserve">jednotlivých buňkách – monocelulární keratinizace. Nezralé spinocelulární karcinomy nerohovějí vůbec. </w:t>
      </w:r>
      <w:r w:rsidR="0064032D" w:rsidRPr="008F13F9">
        <w:rPr>
          <w:rFonts w:ascii="Arial" w:hAnsi="Arial" w:cs="Arial"/>
          <w:sz w:val="24"/>
          <w:szCs w:val="24"/>
          <w:vertAlign w:val="superscript"/>
        </w:rPr>
        <w:t xml:space="preserve">33 </w:t>
      </w:r>
      <w:r w:rsidR="0064032D" w:rsidRPr="008F13F9">
        <w:rPr>
          <w:rFonts w:ascii="Arial" w:hAnsi="Arial" w:cs="Arial"/>
          <w:sz w:val="24"/>
          <w:szCs w:val="24"/>
        </w:rPr>
        <w:t xml:space="preserve">Histopatolog hodnotí především buněčnou a jadernou polymorfii, počet mitóz, přítomnost atypických mitóz, přítomnost obrovských, mnohojaderných buněk, tvorbu intercelulárních můstků, invazi do hlubších struktur, dále perineurální propagaci, šíření intravaskulárně </w:t>
      </w:r>
      <w:r>
        <w:rPr>
          <w:rFonts w:ascii="Arial" w:hAnsi="Arial" w:cs="Arial"/>
          <w:sz w:val="24"/>
          <w:szCs w:val="24"/>
        </w:rPr>
        <w:t xml:space="preserve">a </w:t>
      </w:r>
      <w:r w:rsidR="0064032D" w:rsidRPr="008F13F9">
        <w:rPr>
          <w:rFonts w:ascii="Arial" w:hAnsi="Arial" w:cs="Arial"/>
          <w:sz w:val="24"/>
          <w:szCs w:val="24"/>
        </w:rPr>
        <w:t xml:space="preserve">hodnotí okraje resekátu z hlediska </w:t>
      </w:r>
      <w:r w:rsidR="0064032D" w:rsidRPr="008F13F9">
        <w:rPr>
          <w:rFonts w:ascii="Arial" w:hAnsi="Arial" w:cs="Arial"/>
          <w:sz w:val="24"/>
          <w:szCs w:val="24"/>
        </w:rPr>
        <w:lastRenderedPageBreak/>
        <w:t xml:space="preserve">radikality provedené resekce. Součástí histopatologického vyšetření je také stanovení histopatologického gradingu, </w:t>
      </w:r>
      <w:r w:rsidR="00CD19D0">
        <w:rPr>
          <w:rFonts w:ascii="Arial" w:hAnsi="Arial" w:cs="Arial"/>
          <w:sz w:val="24"/>
          <w:szCs w:val="24"/>
        </w:rPr>
        <w:t>tj. stupně diferenciace nádoru.</w:t>
      </w:r>
    </w:p>
    <w:p w14:paraId="01E8252D" w14:textId="77777777" w:rsidR="0064032D" w:rsidRPr="008F13F9" w:rsidRDefault="00A25D4A" w:rsidP="008F13F9">
      <w:pPr>
        <w:pStyle w:val="NormalWeb"/>
        <w:spacing w:line="360" w:lineRule="auto"/>
        <w:jc w:val="both"/>
        <w:rPr>
          <w:rFonts w:ascii="Arial" w:hAnsi="Arial" w:cs="Arial"/>
          <w:sz w:val="24"/>
          <w:szCs w:val="24"/>
          <w:u w:val="single"/>
        </w:rPr>
      </w:pPr>
      <w:r>
        <w:rPr>
          <w:rFonts w:ascii="Arial" w:hAnsi="Arial" w:cs="Arial"/>
          <w:sz w:val="24"/>
          <w:szCs w:val="24"/>
        </w:rPr>
        <w:tab/>
      </w:r>
      <w:r w:rsidR="0064032D" w:rsidRPr="008F13F9">
        <w:rPr>
          <w:rFonts w:ascii="Arial" w:hAnsi="Arial" w:cs="Arial"/>
          <w:sz w:val="24"/>
          <w:szCs w:val="24"/>
        </w:rPr>
        <w:t xml:space="preserve">Specifika histopatologického nálezu u HPV+ tumorů viz kapitola </w:t>
      </w:r>
      <w:r w:rsidR="0064032D" w:rsidRPr="008F13F9">
        <w:rPr>
          <w:rFonts w:ascii="Arial" w:hAnsi="Arial" w:cs="Arial"/>
          <w:sz w:val="24"/>
          <w:szCs w:val="24"/>
          <w:u w:val="single"/>
        </w:rPr>
        <w:t xml:space="preserve">5.4. Detekce lidského papilomaviru. </w:t>
      </w:r>
    </w:p>
    <w:p w14:paraId="41E6D14A" w14:textId="77777777" w:rsidR="0064032D" w:rsidRPr="00D04F54" w:rsidRDefault="0064032D" w:rsidP="008F13F9">
      <w:pPr>
        <w:spacing w:before="100" w:beforeAutospacing="1" w:after="100" w:afterAutospacing="1" w:line="360" w:lineRule="auto"/>
        <w:jc w:val="both"/>
        <w:outlineLvl w:val="0"/>
        <w:rPr>
          <w:rFonts w:ascii="Arial" w:hAnsi="Arial" w:cs="Arial"/>
          <w:b/>
          <w:sz w:val="24"/>
          <w:szCs w:val="24"/>
          <w:u w:val="single"/>
        </w:rPr>
      </w:pPr>
      <w:r w:rsidRPr="00D04F54">
        <w:rPr>
          <w:rFonts w:ascii="Arial" w:hAnsi="Arial" w:cs="Arial"/>
          <w:b/>
          <w:sz w:val="24"/>
          <w:szCs w:val="24"/>
          <w:u w:val="single"/>
        </w:rPr>
        <w:t>2.2.4. Metastázy</w:t>
      </w:r>
    </w:p>
    <w:p w14:paraId="4EF7E897" w14:textId="77777777" w:rsidR="0064032D" w:rsidRPr="008F13F9" w:rsidRDefault="00A25D4A"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Jednou z vlastností zhoubných nádorů je nekontrolovaně se šířit. Vedle lokálního, inflitrativního růstu mohou zakládat vzdálená ložiska</w:t>
      </w:r>
      <w:r w:rsidR="00CD19D0">
        <w:rPr>
          <w:rFonts w:ascii="Arial" w:hAnsi="Arial" w:cs="Arial"/>
          <w:sz w:val="24"/>
          <w:szCs w:val="24"/>
        </w:rPr>
        <w:t>,</w:t>
      </w:r>
      <w:r w:rsidR="0064032D" w:rsidRPr="008F13F9">
        <w:rPr>
          <w:rFonts w:ascii="Arial" w:hAnsi="Arial" w:cs="Arial"/>
          <w:sz w:val="24"/>
          <w:szCs w:val="24"/>
        </w:rPr>
        <w:t xml:space="preserve"> a to buď hematogenně, lymfogenně nebo kombinací obou způsobů.</w:t>
      </w:r>
    </w:p>
    <w:p w14:paraId="17A2B822" w14:textId="77777777" w:rsidR="0064032D" w:rsidRPr="008F13F9" w:rsidRDefault="00A25D4A"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Schopnost nádoru zakládat metastázy je složitý biologický děj, který probíhá v několika etapách. Začíná invazí přes bazální membránu</w:t>
      </w:r>
      <w:r w:rsidR="00CD19D0">
        <w:rPr>
          <w:rFonts w:ascii="Arial" w:hAnsi="Arial" w:cs="Arial"/>
          <w:sz w:val="24"/>
          <w:szCs w:val="24"/>
        </w:rPr>
        <w:t xml:space="preserve"> epitelu</w:t>
      </w:r>
      <w:r w:rsidR="0064032D" w:rsidRPr="008F13F9">
        <w:rPr>
          <w:rFonts w:ascii="Arial" w:hAnsi="Arial" w:cs="Arial"/>
          <w:sz w:val="24"/>
          <w:szCs w:val="24"/>
        </w:rPr>
        <w:t xml:space="preserve"> a šířením mezi endoteliální buňky lymfatických nebo krevních cév za spolupůsobení některých enzymů (kolagenázy, heparinázy a stromelyzinu). Dalším krokem je vznik nádorových embolů uvnitř lymfatických nebo krevních cév, kde se nachází velmi silné ochranné prostředí zajišťované imunitním systémem. Při „nádorové kolonizaci“ regionálních lymfatických uzlin nebo jiných vzdálených tkání se znovu uplatňuje vliv výše zmíněných enzymů. Proces implantace nádorových buněk v nové tkáni s vytvořením samostatně fungujících buněčných klonů vyžaduje angiogenní a růstové faktory tak, aby bylo zajištěno krevní zásobení, stimulace k replikaci metastatických buněk a potlačení vlivu hostitelských buněk nebo jejich aktivace na straně druhé (např. osteoklastů k resorpci kosti).</w:t>
      </w:r>
      <w:r w:rsidR="00F442C3">
        <w:rPr>
          <w:rFonts w:ascii="Arial" w:hAnsi="Arial" w:cs="Arial"/>
          <w:sz w:val="24"/>
          <w:szCs w:val="24"/>
        </w:rPr>
        <w:t xml:space="preserve"> </w:t>
      </w:r>
      <w:r w:rsidR="0064032D" w:rsidRPr="008F13F9">
        <w:rPr>
          <w:rFonts w:ascii="Arial" w:hAnsi="Arial" w:cs="Arial"/>
          <w:sz w:val="24"/>
          <w:szCs w:val="24"/>
        </w:rPr>
        <w:t xml:space="preserve">Odhaduje se, že pouze </w:t>
      </w:r>
      <w:r w:rsidR="00F442C3">
        <w:rPr>
          <w:rFonts w:ascii="Arial" w:hAnsi="Arial" w:cs="Arial"/>
          <w:sz w:val="24"/>
          <w:szCs w:val="24"/>
        </w:rPr>
        <w:t>a</w:t>
      </w:r>
      <w:r w:rsidR="0064032D" w:rsidRPr="008F13F9">
        <w:rPr>
          <w:rFonts w:ascii="Arial" w:hAnsi="Arial" w:cs="Arial"/>
          <w:sz w:val="24"/>
          <w:szCs w:val="24"/>
        </w:rPr>
        <w:t>si 1% pokusů o metastazování je pro nádorové buňky plně úspěšné</w:t>
      </w:r>
      <w:r w:rsidR="0064032D" w:rsidRPr="008F13F9">
        <w:rPr>
          <w:rFonts w:ascii="Arial" w:hAnsi="Arial" w:cs="Arial"/>
          <w:sz w:val="24"/>
          <w:szCs w:val="24"/>
          <w:vertAlign w:val="superscript"/>
        </w:rPr>
        <w:t>3</w:t>
      </w:r>
      <w:r w:rsidR="0064032D" w:rsidRPr="008F13F9">
        <w:rPr>
          <w:rFonts w:ascii="Arial" w:hAnsi="Arial" w:cs="Arial"/>
          <w:sz w:val="24"/>
          <w:szCs w:val="24"/>
        </w:rPr>
        <w:t>.</w:t>
      </w:r>
    </w:p>
    <w:p w14:paraId="587EAA92" w14:textId="77777777" w:rsidR="0064032D" w:rsidRPr="008F13F9" w:rsidRDefault="00A25D4A" w:rsidP="008F13F9">
      <w:pPr>
        <w:spacing w:before="100" w:beforeAutospacing="1" w:after="100" w:afterAutospacing="1" w:line="360" w:lineRule="auto"/>
        <w:jc w:val="both"/>
        <w:rPr>
          <w:rFonts w:ascii="Arial" w:hAnsi="Arial" w:cs="Arial"/>
          <w:sz w:val="24"/>
          <w:szCs w:val="24"/>
          <w:highlight w:val="yellow"/>
        </w:rPr>
      </w:pPr>
      <w:r>
        <w:rPr>
          <w:rFonts w:ascii="Arial" w:hAnsi="Arial" w:cs="Arial"/>
          <w:sz w:val="24"/>
          <w:szCs w:val="24"/>
        </w:rPr>
        <w:tab/>
      </w:r>
      <w:r w:rsidR="0064032D" w:rsidRPr="008F13F9">
        <w:rPr>
          <w:rFonts w:ascii="Arial" w:hAnsi="Arial" w:cs="Arial"/>
          <w:sz w:val="24"/>
          <w:szCs w:val="24"/>
        </w:rPr>
        <w:t>Spinocelulární karcinomy nejčastěji metastazují do regionálních lymfatických uzlin</w:t>
      </w:r>
      <w:r w:rsidR="00F442C3">
        <w:rPr>
          <w:rFonts w:ascii="Arial" w:hAnsi="Arial" w:cs="Arial"/>
          <w:sz w:val="24"/>
          <w:szCs w:val="24"/>
        </w:rPr>
        <w:t>.</w:t>
      </w:r>
      <w:r w:rsidR="0064032D" w:rsidRPr="008F13F9">
        <w:rPr>
          <w:rFonts w:ascii="Arial" w:hAnsi="Arial" w:cs="Arial"/>
          <w:sz w:val="24"/>
          <w:szCs w:val="24"/>
        </w:rPr>
        <w:t xml:space="preserve"> V závislosti na lokalizaci nádoru existují určité predilekční lokality, ve kterých lze existen</w:t>
      </w:r>
      <w:r w:rsidR="00F442C3">
        <w:rPr>
          <w:rFonts w:ascii="Arial" w:hAnsi="Arial" w:cs="Arial"/>
          <w:sz w:val="24"/>
          <w:szCs w:val="24"/>
        </w:rPr>
        <w:t xml:space="preserve">ci metastáz předem předpokládat </w:t>
      </w:r>
      <w:r w:rsidR="0064032D" w:rsidRPr="008F13F9">
        <w:rPr>
          <w:rFonts w:ascii="Arial" w:hAnsi="Arial" w:cs="Arial"/>
          <w:sz w:val="24"/>
          <w:szCs w:val="24"/>
        </w:rPr>
        <w:t>(Obr. 3)</w:t>
      </w:r>
      <w:r w:rsidR="00F442C3">
        <w:rPr>
          <w:rFonts w:ascii="Arial" w:hAnsi="Arial" w:cs="Arial"/>
          <w:sz w:val="24"/>
          <w:szCs w:val="24"/>
        </w:rPr>
        <w:t>.</w:t>
      </w:r>
      <w:r w:rsidR="0064032D" w:rsidRPr="008F13F9">
        <w:rPr>
          <w:rFonts w:ascii="Arial" w:hAnsi="Arial" w:cs="Arial"/>
          <w:sz w:val="24"/>
          <w:szCs w:val="24"/>
        </w:rPr>
        <w:t xml:space="preserve"> </w:t>
      </w:r>
    </w:p>
    <w:p w14:paraId="0E62820D" w14:textId="77777777" w:rsidR="0064032D" w:rsidRPr="008F13F9" w:rsidRDefault="00905F58" w:rsidP="008F13F9">
      <w:pPr>
        <w:spacing w:before="100" w:beforeAutospacing="1" w:after="100" w:afterAutospacing="1" w:line="360" w:lineRule="auto"/>
        <w:jc w:val="center"/>
        <w:rPr>
          <w:rFonts w:ascii="Arial" w:hAnsi="Arial" w:cs="Arial"/>
          <w:sz w:val="24"/>
          <w:szCs w:val="24"/>
        </w:rPr>
      </w:pPr>
      <w:r>
        <w:rPr>
          <w:rFonts w:ascii="Arial" w:hAnsi="Arial" w:cs="Arial"/>
          <w:noProof/>
          <w:sz w:val="24"/>
          <w:szCs w:val="24"/>
          <w:lang w:val="en-US"/>
        </w:rPr>
        <w:lastRenderedPageBreak/>
        <w:drawing>
          <wp:inline distT="0" distB="0" distL="0" distR="0" wp14:anchorId="6CC4F23B" wp14:editId="5A8DB9C4">
            <wp:extent cx="3077986" cy="4362154"/>
            <wp:effectExtent l="171450" t="133350" r="408164" b="343196"/>
            <wp:docPr id="3"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brázek 4" descr="C:\Users\user\Desktop\Peťan\Lymph nodes.jpg"/>
                    <pic:cNvPicPr>
                      <a:picLocks noChangeAspect="1" noChangeArrowheads="1"/>
                    </pic:cNvPicPr>
                  </pic:nvPicPr>
                  <pic:blipFill>
                    <a:blip r:embed="rId11">
                      <a:extLst/>
                    </a:blip>
                    <a:srcRect/>
                    <a:stretch>
                      <a:fillRect/>
                    </a:stretch>
                  </pic:blipFill>
                  <pic:spPr bwMode="auto">
                    <a:xfrm>
                      <a:off x="0" y="0"/>
                      <a:ext cx="3077986" cy="4362154"/>
                    </a:xfrm>
                    <a:prstGeom prst="rect">
                      <a:avLst/>
                    </a:prstGeom>
                    <a:ln>
                      <a:solidFill>
                        <a:srgbClr val="4F81BD"/>
                      </a:solidFill>
                    </a:ln>
                    <a:effectLst>
                      <a:outerShdw blurRad="292100" dist="139700" dir="2700000" algn="tl" rotWithShape="0">
                        <a:srgbClr val="333333">
                          <a:alpha val="65000"/>
                        </a:srgbClr>
                      </a:outerShdw>
                    </a:effectLst>
                  </pic:spPr>
                </pic:pic>
              </a:graphicData>
            </a:graphic>
          </wp:inline>
        </w:drawing>
      </w:r>
    </w:p>
    <w:p w14:paraId="7423EC7C" w14:textId="77777777" w:rsidR="0064032D" w:rsidRPr="00F442C3" w:rsidRDefault="0064032D" w:rsidP="008F13F9">
      <w:pPr>
        <w:spacing w:before="100" w:beforeAutospacing="1" w:after="100" w:afterAutospacing="1" w:line="360" w:lineRule="auto"/>
        <w:jc w:val="both"/>
        <w:rPr>
          <w:rFonts w:ascii="Arial" w:hAnsi="Arial" w:cs="Arial"/>
          <w:b/>
          <w:sz w:val="24"/>
          <w:szCs w:val="24"/>
        </w:rPr>
      </w:pPr>
      <w:r w:rsidRPr="00F442C3">
        <w:rPr>
          <w:rFonts w:ascii="Arial" w:hAnsi="Arial" w:cs="Arial"/>
          <w:b/>
          <w:i/>
          <w:sz w:val="24"/>
          <w:szCs w:val="24"/>
        </w:rPr>
        <w:t>Obr. 3 Metastazování karcinomu dutiny ústní do jednotlivých skupin lymfatických uzlin</w:t>
      </w:r>
    </w:p>
    <w:p w14:paraId="213440FE" w14:textId="77777777" w:rsidR="00A25D4A" w:rsidRDefault="00A25D4A" w:rsidP="008F13F9">
      <w:pPr>
        <w:spacing w:before="100" w:beforeAutospacing="1" w:after="100" w:afterAutospacing="1" w:line="360" w:lineRule="auto"/>
        <w:jc w:val="both"/>
        <w:rPr>
          <w:rFonts w:ascii="Arial" w:hAnsi="Arial" w:cs="Arial"/>
          <w:sz w:val="24"/>
          <w:szCs w:val="24"/>
        </w:rPr>
      </w:pPr>
    </w:p>
    <w:p w14:paraId="6CAE1222" w14:textId="77777777" w:rsidR="00A25D4A" w:rsidRDefault="00A25D4A" w:rsidP="00A25D4A">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Z chirurgického hlediska jsou jednotlivé oblasti na krku rozděle</w:t>
      </w:r>
      <w:r>
        <w:rPr>
          <w:rFonts w:ascii="Arial" w:hAnsi="Arial" w:cs="Arial"/>
          <w:sz w:val="24"/>
          <w:szCs w:val="24"/>
        </w:rPr>
        <w:t>ny tzv. etážemi (I-VI) (Obr. 4).</w:t>
      </w:r>
      <w:r w:rsidRPr="00A25D4A">
        <w:rPr>
          <w:rFonts w:ascii="Arial" w:hAnsi="Arial" w:cs="Arial"/>
          <w:sz w:val="24"/>
          <w:szCs w:val="24"/>
        </w:rPr>
        <w:t xml:space="preserve"> </w:t>
      </w:r>
    </w:p>
    <w:p w14:paraId="6CFA9597" w14:textId="77777777" w:rsidR="00A25D4A" w:rsidRPr="008F13F9" w:rsidRDefault="00A25D4A" w:rsidP="00A25D4A">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Pr="008F13F9">
        <w:rPr>
          <w:rFonts w:ascii="Arial" w:hAnsi="Arial" w:cs="Arial"/>
          <w:sz w:val="24"/>
          <w:szCs w:val="24"/>
        </w:rPr>
        <w:t xml:space="preserve">Karcinom dutiny ústní převážně metastazuje do úrovně I - III, a to převážně ipsilaterálně, tj. do stejnostranných lymfatických uzlin jako je primární nádor. Karcinomy lokalizované při střední čáře jazyka nebo spodiny dutiny ústní mohou metastazovat i kontralaterálně nebo bilaterálně. </w:t>
      </w:r>
    </w:p>
    <w:p w14:paraId="6449A9C7" w14:textId="77777777" w:rsidR="00A25D4A" w:rsidRPr="008F13F9" w:rsidRDefault="00A25D4A" w:rsidP="00A25D4A">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Pr="008F13F9">
        <w:rPr>
          <w:rFonts w:ascii="Arial" w:hAnsi="Arial" w:cs="Arial"/>
          <w:sz w:val="24"/>
          <w:szCs w:val="24"/>
        </w:rPr>
        <w:t xml:space="preserve">Do úrovně II - IV pak metastazují především karcinomy orofaryngu, hypofaryngu a laryngu. </w:t>
      </w:r>
    </w:p>
    <w:p w14:paraId="79033518" w14:textId="77777777" w:rsidR="0064032D" w:rsidRPr="008F13F9" w:rsidRDefault="0064032D" w:rsidP="008F13F9">
      <w:pPr>
        <w:spacing w:before="100" w:beforeAutospacing="1" w:after="100" w:afterAutospacing="1" w:line="360" w:lineRule="auto"/>
        <w:jc w:val="both"/>
        <w:rPr>
          <w:rFonts w:ascii="Arial" w:hAnsi="Arial" w:cs="Arial"/>
          <w:sz w:val="24"/>
          <w:szCs w:val="24"/>
        </w:rPr>
      </w:pPr>
    </w:p>
    <w:p w14:paraId="0B18D8F3" w14:textId="77777777" w:rsidR="0064032D" w:rsidRPr="008F13F9" w:rsidRDefault="0064032D" w:rsidP="008F13F9">
      <w:pPr>
        <w:spacing w:before="100" w:beforeAutospacing="1" w:after="100" w:afterAutospacing="1" w:line="360" w:lineRule="auto"/>
        <w:jc w:val="both"/>
        <w:rPr>
          <w:rFonts w:ascii="Arial" w:hAnsi="Arial" w:cs="Arial"/>
          <w:sz w:val="24"/>
          <w:szCs w:val="24"/>
        </w:rPr>
      </w:pPr>
    </w:p>
    <w:p w14:paraId="5347A63D" w14:textId="77777777" w:rsidR="0064032D" w:rsidRPr="008F13F9" w:rsidRDefault="00905F58" w:rsidP="008F13F9">
      <w:pPr>
        <w:spacing w:before="100" w:beforeAutospacing="1" w:after="100" w:afterAutospacing="1" w:line="360" w:lineRule="auto"/>
        <w:jc w:val="center"/>
        <w:rPr>
          <w:rFonts w:ascii="Arial" w:hAnsi="Arial" w:cs="Arial"/>
          <w:sz w:val="24"/>
          <w:szCs w:val="24"/>
        </w:rPr>
      </w:pPr>
      <w:r>
        <w:rPr>
          <w:rFonts w:ascii="Arial" w:hAnsi="Arial" w:cs="Arial"/>
          <w:noProof/>
          <w:sz w:val="24"/>
          <w:szCs w:val="24"/>
          <w:lang w:val="en-US"/>
        </w:rPr>
        <w:drawing>
          <wp:inline distT="0" distB="0" distL="0" distR="0" wp14:anchorId="0A1C899F" wp14:editId="03D83E14">
            <wp:extent cx="4532396" cy="5267964"/>
            <wp:effectExtent l="203200" t="203200" r="395605" b="396240"/>
            <wp:docPr id="4" name="obrázek 4" descr="Neck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Neck regions"/>
                    <pic:cNvPicPr>
                      <a:picLocks noChangeAspect="1" noChangeArrowheads="1"/>
                    </pic:cNvPicPr>
                  </pic:nvPicPr>
                  <pic:blipFill>
                    <a:blip r:embed="rId12"/>
                    <a:srcRect/>
                    <a:stretch>
                      <a:fillRect/>
                    </a:stretch>
                  </pic:blipFill>
                  <pic:spPr bwMode="auto">
                    <a:xfrm>
                      <a:off x="0" y="0"/>
                      <a:ext cx="4532396" cy="5267964"/>
                    </a:xfrm>
                    <a:prstGeom prst="rect">
                      <a:avLst/>
                    </a:prstGeom>
                    <a:ln w="9525" cmpd="sng">
                      <a:solidFill>
                        <a:schemeClr val="accent1"/>
                      </a:solidFill>
                    </a:ln>
                    <a:effectLst>
                      <a:outerShdw blurRad="292100" dist="139700" dir="2700000" algn="tl" rotWithShape="0">
                        <a:srgbClr val="333333">
                          <a:alpha val="65000"/>
                        </a:srgbClr>
                      </a:outerShdw>
                    </a:effectLst>
                  </pic:spPr>
                </pic:pic>
              </a:graphicData>
            </a:graphic>
          </wp:inline>
        </w:drawing>
      </w:r>
    </w:p>
    <w:p w14:paraId="7EC14254" w14:textId="77777777" w:rsidR="0064032D" w:rsidRPr="008F13F9" w:rsidRDefault="0064032D" w:rsidP="008F13F9">
      <w:pPr>
        <w:widowControl w:val="0"/>
        <w:autoSpaceDE w:val="0"/>
        <w:autoSpaceDN w:val="0"/>
        <w:adjustRightInd w:val="0"/>
        <w:spacing w:after="240" w:line="360" w:lineRule="auto"/>
        <w:rPr>
          <w:rFonts w:ascii="Arial" w:hAnsi="Arial" w:cs="Arial"/>
          <w:i/>
          <w:sz w:val="24"/>
          <w:szCs w:val="24"/>
          <w:lang w:val="en-US"/>
        </w:rPr>
      </w:pPr>
      <w:r w:rsidRPr="00F442C3">
        <w:rPr>
          <w:rFonts w:ascii="Arial" w:hAnsi="Arial" w:cs="Arial"/>
          <w:b/>
          <w:i/>
          <w:sz w:val="24"/>
          <w:szCs w:val="24"/>
        </w:rPr>
        <w:t>Obr. 4</w:t>
      </w:r>
      <w:r w:rsidRPr="008F13F9">
        <w:rPr>
          <w:rFonts w:ascii="Arial" w:hAnsi="Arial" w:cs="Arial"/>
          <w:i/>
          <w:sz w:val="24"/>
          <w:szCs w:val="24"/>
        </w:rPr>
        <w:t xml:space="preserve"> </w:t>
      </w:r>
      <w:r w:rsidRPr="00F442C3">
        <w:rPr>
          <w:rFonts w:ascii="Arial" w:hAnsi="Arial" w:cs="Arial"/>
          <w:b/>
          <w:i/>
          <w:sz w:val="24"/>
          <w:szCs w:val="24"/>
        </w:rPr>
        <w:t>Etáže lymfatických uzlin na krku</w:t>
      </w:r>
      <w:r w:rsidR="00F442C3">
        <w:rPr>
          <w:rFonts w:ascii="Arial" w:hAnsi="Arial" w:cs="Arial"/>
          <w:b/>
          <w:i/>
          <w:sz w:val="24"/>
          <w:szCs w:val="24"/>
        </w:rPr>
        <w:t>:</w:t>
      </w:r>
      <w:r w:rsidRPr="008F13F9">
        <w:rPr>
          <w:rFonts w:ascii="Arial" w:hAnsi="Arial" w:cs="Arial"/>
          <w:i/>
          <w:sz w:val="24"/>
          <w:szCs w:val="24"/>
        </w:rPr>
        <w:t xml:space="preserve"> </w:t>
      </w:r>
      <w:r w:rsidRPr="008F13F9">
        <w:rPr>
          <w:rFonts w:ascii="Arial" w:hAnsi="Arial" w:cs="Arial"/>
          <w:b/>
          <w:i/>
          <w:sz w:val="24"/>
          <w:szCs w:val="24"/>
          <w:lang w:val="en-US"/>
        </w:rPr>
        <w:t>Ia</w:t>
      </w:r>
      <w:r w:rsidRPr="008F13F9">
        <w:rPr>
          <w:rFonts w:ascii="Arial" w:hAnsi="Arial" w:cs="Arial"/>
          <w:i/>
          <w:sz w:val="24"/>
          <w:szCs w:val="24"/>
          <w:lang w:val="en-US"/>
        </w:rPr>
        <w:t xml:space="preserve"> – submentální oblast, </w:t>
      </w:r>
      <w:r w:rsidRPr="008F13F9">
        <w:rPr>
          <w:rFonts w:ascii="Arial" w:hAnsi="Arial" w:cs="Arial"/>
          <w:b/>
          <w:i/>
          <w:sz w:val="24"/>
          <w:szCs w:val="24"/>
          <w:lang w:val="en-US"/>
        </w:rPr>
        <w:t>Ib</w:t>
      </w:r>
      <w:r w:rsidRPr="008F13F9">
        <w:rPr>
          <w:rFonts w:ascii="Arial" w:hAnsi="Arial" w:cs="Arial"/>
          <w:i/>
          <w:sz w:val="24"/>
          <w:szCs w:val="24"/>
          <w:lang w:val="en-US"/>
        </w:rPr>
        <w:t xml:space="preserve"> – submandibulární oblast, </w:t>
      </w:r>
      <w:r w:rsidRPr="008F13F9">
        <w:rPr>
          <w:rFonts w:ascii="Arial" w:hAnsi="Arial" w:cs="Arial"/>
          <w:b/>
          <w:i/>
          <w:sz w:val="24"/>
          <w:szCs w:val="24"/>
          <w:lang w:val="en-US"/>
        </w:rPr>
        <w:t>II</w:t>
      </w:r>
      <w:r w:rsidRPr="008F13F9">
        <w:rPr>
          <w:rFonts w:ascii="Arial" w:hAnsi="Arial" w:cs="Arial"/>
          <w:i/>
          <w:sz w:val="24"/>
          <w:szCs w:val="24"/>
          <w:lang w:val="en-US"/>
        </w:rPr>
        <w:t xml:space="preserve"> - horní jugulární oblast, </w:t>
      </w:r>
      <w:r w:rsidRPr="008F13F9">
        <w:rPr>
          <w:rFonts w:ascii="Arial" w:hAnsi="Arial" w:cs="Arial"/>
          <w:b/>
          <w:i/>
          <w:sz w:val="24"/>
          <w:szCs w:val="24"/>
          <w:lang w:val="en-US"/>
        </w:rPr>
        <w:t>III</w:t>
      </w:r>
      <w:r w:rsidRPr="008F13F9">
        <w:rPr>
          <w:rFonts w:ascii="Arial" w:hAnsi="Arial" w:cs="Arial"/>
          <w:i/>
          <w:sz w:val="24"/>
          <w:szCs w:val="24"/>
          <w:lang w:val="en-US"/>
        </w:rPr>
        <w:t xml:space="preserve"> – střední jugulární oblast, </w:t>
      </w:r>
      <w:r w:rsidRPr="008F13F9">
        <w:rPr>
          <w:rFonts w:ascii="Arial" w:hAnsi="Arial" w:cs="Arial"/>
          <w:b/>
          <w:i/>
          <w:sz w:val="24"/>
          <w:szCs w:val="24"/>
          <w:lang w:val="en-US"/>
        </w:rPr>
        <w:t>IV</w:t>
      </w:r>
      <w:r w:rsidRPr="008F13F9">
        <w:rPr>
          <w:rFonts w:ascii="Arial" w:hAnsi="Arial" w:cs="Arial"/>
          <w:i/>
          <w:sz w:val="24"/>
          <w:szCs w:val="24"/>
          <w:lang w:val="en-US"/>
        </w:rPr>
        <w:t xml:space="preserve"> – dolní jugulární oblast, </w:t>
      </w:r>
      <w:r w:rsidRPr="008F13F9">
        <w:rPr>
          <w:rFonts w:ascii="Arial" w:hAnsi="Arial" w:cs="Arial"/>
          <w:b/>
          <w:i/>
          <w:sz w:val="24"/>
          <w:szCs w:val="24"/>
          <w:lang w:val="en-US"/>
        </w:rPr>
        <w:t>V</w:t>
      </w:r>
      <w:r w:rsidRPr="008F13F9">
        <w:rPr>
          <w:rFonts w:ascii="Arial" w:hAnsi="Arial" w:cs="Arial"/>
          <w:i/>
          <w:sz w:val="24"/>
          <w:szCs w:val="24"/>
          <w:lang w:val="en-US"/>
        </w:rPr>
        <w:t xml:space="preserve"> - oblast zadního krčního trojúhelníku, </w:t>
      </w:r>
      <w:r w:rsidRPr="008F13F9">
        <w:rPr>
          <w:rFonts w:ascii="Arial" w:hAnsi="Arial" w:cs="Arial"/>
          <w:b/>
          <w:i/>
          <w:sz w:val="24"/>
          <w:szCs w:val="24"/>
          <w:lang w:val="en-US"/>
        </w:rPr>
        <w:t>VI</w:t>
      </w:r>
      <w:r w:rsidRPr="008F13F9">
        <w:rPr>
          <w:rFonts w:ascii="Arial" w:hAnsi="Arial" w:cs="Arial"/>
          <w:i/>
          <w:sz w:val="24"/>
          <w:szCs w:val="24"/>
          <w:lang w:val="en-US"/>
        </w:rPr>
        <w:t xml:space="preserve"> – přední krční oblast</w:t>
      </w:r>
      <w:r w:rsidRPr="008F13F9">
        <w:rPr>
          <w:rFonts w:ascii="Arial" w:hAnsi="Arial" w:cs="Arial"/>
          <w:sz w:val="24"/>
          <w:szCs w:val="24"/>
          <w:lang w:val="en-US"/>
        </w:rPr>
        <w:t xml:space="preserve">  </w:t>
      </w:r>
    </w:p>
    <w:p w14:paraId="571A9E5B" w14:textId="77777777" w:rsidR="00F442C3" w:rsidRDefault="00F442C3" w:rsidP="008F13F9">
      <w:pPr>
        <w:spacing w:before="100" w:beforeAutospacing="1" w:after="100" w:afterAutospacing="1" w:line="360" w:lineRule="auto"/>
        <w:jc w:val="both"/>
        <w:outlineLvl w:val="0"/>
        <w:rPr>
          <w:rFonts w:ascii="Arial" w:hAnsi="Arial" w:cs="Arial"/>
          <w:sz w:val="24"/>
          <w:szCs w:val="24"/>
        </w:rPr>
      </w:pPr>
    </w:p>
    <w:p w14:paraId="0BC59AB0" w14:textId="77777777" w:rsidR="0051110B" w:rsidRDefault="0051110B" w:rsidP="008F13F9">
      <w:pPr>
        <w:spacing w:before="100" w:beforeAutospacing="1" w:after="100" w:afterAutospacing="1" w:line="360" w:lineRule="auto"/>
        <w:jc w:val="both"/>
        <w:outlineLvl w:val="0"/>
        <w:rPr>
          <w:rFonts w:ascii="Arial" w:hAnsi="Arial" w:cs="Arial"/>
          <w:sz w:val="24"/>
          <w:szCs w:val="24"/>
          <w:u w:val="single"/>
        </w:rPr>
      </w:pPr>
    </w:p>
    <w:p w14:paraId="78F13DFC" w14:textId="77777777" w:rsidR="0064032D" w:rsidRPr="00D04F54" w:rsidRDefault="0064032D" w:rsidP="008F13F9">
      <w:pPr>
        <w:spacing w:before="100" w:beforeAutospacing="1" w:after="100" w:afterAutospacing="1" w:line="360" w:lineRule="auto"/>
        <w:jc w:val="both"/>
        <w:outlineLvl w:val="0"/>
        <w:rPr>
          <w:rFonts w:ascii="Arial" w:hAnsi="Arial" w:cs="Arial"/>
          <w:b/>
          <w:sz w:val="24"/>
          <w:szCs w:val="24"/>
          <w:u w:val="single"/>
        </w:rPr>
      </w:pPr>
      <w:r w:rsidRPr="00D04F54">
        <w:rPr>
          <w:rFonts w:ascii="Arial" w:hAnsi="Arial" w:cs="Arial"/>
          <w:b/>
          <w:sz w:val="24"/>
          <w:szCs w:val="24"/>
          <w:u w:val="single"/>
        </w:rPr>
        <w:t xml:space="preserve">2.2.5. Zobrazovací </w:t>
      </w:r>
      <w:r w:rsidR="00581281" w:rsidRPr="00D04F54">
        <w:rPr>
          <w:rFonts w:ascii="Arial" w:hAnsi="Arial" w:cs="Arial"/>
          <w:b/>
          <w:sz w:val="24"/>
          <w:szCs w:val="24"/>
          <w:u w:val="single"/>
        </w:rPr>
        <w:t>metody</w:t>
      </w:r>
    </w:p>
    <w:p w14:paraId="59E3EA46" w14:textId="77777777" w:rsidR="0064032D" w:rsidRPr="008F13F9" w:rsidRDefault="00A25D4A"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V rámci stagingu onemocnění</w:t>
      </w:r>
      <w:r w:rsidR="00581281">
        <w:rPr>
          <w:rFonts w:ascii="Arial" w:hAnsi="Arial" w:cs="Arial"/>
          <w:sz w:val="24"/>
          <w:szCs w:val="24"/>
        </w:rPr>
        <w:t xml:space="preserve"> nádorem</w:t>
      </w:r>
      <w:r w:rsidR="0064032D" w:rsidRPr="008F13F9">
        <w:rPr>
          <w:rFonts w:ascii="Arial" w:hAnsi="Arial" w:cs="Arial"/>
          <w:sz w:val="24"/>
          <w:szCs w:val="24"/>
        </w:rPr>
        <w:t xml:space="preserve"> musíme k výše uvedeným vyšetřením doplnit zobrazovací metody. K základním by mělo sloužit CT vyšetření hlavy </w:t>
      </w:r>
      <w:r w:rsidR="00F442C3">
        <w:rPr>
          <w:rFonts w:ascii="Arial" w:hAnsi="Arial" w:cs="Arial"/>
          <w:sz w:val="24"/>
          <w:szCs w:val="24"/>
        </w:rPr>
        <w:t xml:space="preserve">a krku </w:t>
      </w:r>
      <w:r w:rsidR="0064032D" w:rsidRPr="008F13F9">
        <w:rPr>
          <w:rFonts w:ascii="Arial" w:hAnsi="Arial" w:cs="Arial"/>
          <w:sz w:val="24"/>
          <w:szCs w:val="24"/>
        </w:rPr>
        <w:t xml:space="preserve">s intravenózně aplikovanou kontrastní látkou. Některé odborné společnosti raději než CT doporučují MR  pro jeho větší výpovědní hodnotu. Obligatorní součástí vyšetřovacího algoritmu je i  </w:t>
      </w:r>
      <w:r w:rsidR="00F442C3">
        <w:rPr>
          <w:rFonts w:ascii="Arial" w:hAnsi="Arial" w:cs="Arial"/>
          <w:sz w:val="24"/>
          <w:szCs w:val="24"/>
        </w:rPr>
        <w:t xml:space="preserve">zadopřední </w:t>
      </w:r>
      <w:r w:rsidR="0064032D" w:rsidRPr="008F13F9">
        <w:rPr>
          <w:rFonts w:ascii="Arial" w:hAnsi="Arial" w:cs="Arial"/>
          <w:sz w:val="24"/>
          <w:szCs w:val="24"/>
        </w:rPr>
        <w:t>rentg</w:t>
      </w:r>
      <w:r w:rsidR="00581281">
        <w:rPr>
          <w:rFonts w:ascii="Arial" w:hAnsi="Arial" w:cs="Arial"/>
          <w:sz w:val="24"/>
          <w:szCs w:val="24"/>
        </w:rPr>
        <w:t>e</w:t>
      </w:r>
      <w:r w:rsidR="0064032D" w:rsidRPr="008F13F9">
        <w:rPr>
          <w:rFonts w:ascii="Arial" w:hAnsi="Arial" w:cs="Arial"/>
          <w:sz w:val="24"/>
          <w:szCs w:val="24"/>
        </w:rPr>
        <w:t>nogram  srdce a plic.</w:t>
      </w:r>
    </w:p>
    <w:p w14:paraId="179F77D8" w14:textId="77777777" w:rsidR="0064032D" w:rsidRPr="008F13F9" w:rsidRDefault="00A25D4A"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Jinou možností, kterou nám současné zobrazovací metody nabízejí je cel</w:t>
      </w:r>
      <w:r w:rsidR="00F442C3">
        <w:rPr>
          <w:rFonts w:ascii="Arial" w:hAnsi="Arial" w:cs="Arial"/>
          <w:sz w:val="24"/>
          <w:szCs w:val="24"/>
        </w:rPr>
        <w:t xml:space="preserve">otělový sken s využitím PET CT. </w:t>
      </w:r>
      <w:r w:rsidR="0064032D" w:rsidRPr="008F13F9">
        <w:rPr>
          <w:rFonts w:ascii="Arial" w:hAnsi="Arial" w:cs="Arial"/>
          <w:sz w:val="24"/>
          <w:szCs w:val="24"/>
        </w:rPr>
        <w:t xml:space="preserve">Senzitivita PET CT vyšetření </w:t>
      </w:r>
      <w:r w:rsidR="00F442C3">
        <w:rPr>
          <w:rFonts w:ascii="Arial" w:hAnsi="Arial" w:cs="Arial"/>
          <w:sz w:val="24"/>
          <w:szCs w:val="24"/>
        </w:rPr>
        <w:t xml:space="preserve">je </w:t>
      </w:r>
      <w:r w:rsidR="0064032D" w:rsidRPr="008F13F9">
        <w:rPr>
          <w:rFonts w:ascii="Arial" w:hAnsi="Arial" w:cs="Arial"/>
          <w:sz w:val="24"/>
          <w:szCs w:val="24"/>
        </w:rPr>
        <w:t>odhadována na 93-100%, specificita na 90-100%. Dále je PET CT vyšetření možno zakomponovat do následného radioterapeutického plánu (Viz kapitola 3.2. Radioterapie).</w:t>
      </w:r>
    </w:p>
    <w:p w14:paraId="5BC548F9" w14:textId="77777777" w:rsidR="0064032D" w:rsidRPr="00D04F54" w:rsidRDefault="0064032D" w:rsidP="008F13F9">
      <w:pPr>
        <w:spacing w:before="100" w:beforeAutospacing="1" w:after="100" w:afterAutospacing="1" w:line="360" w:lineRule="auto"/>
        <w:jc w:val="both"/>
        <w:outlineLvl w:val="0"/>
        <w:rPr>
          <w:rFonts w:ascii="Arial" w:hAnsi="Arial" w:cs="Arial"/>
          <w:b/>
          <w:sz w:val="24"/>
          <w:szCs w:val="24"/>
          <w:u w:val="single"/>
        </w:rPr>
      </w:pPr>
      <w:r w:rsidRPr="00D04F54">
        <w:rPr>
          <w:rFonts w:ascii="Arial" w:hAnsi="Arial" w:cs="Arial"/>
          <w:b/>
          <w:sz w:val="24"/>
          <w:szCs w:val="24"/>
          <w:u w:val="single"/>
        </w:rPr>
        <w:t>2.3. Biologické vlastnosti a prognóza karcinomů</w:t>
      </w:r>
    </w:p>
    <w:p w14:paraId="3A8D5871" w14:textId="77777777" w:rsidR="0064032D" w:rsidRPr="008F13F9" w:rsidRDefault="00A25D4A"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Základními deskriptivními metodami nádorového onemocnění jsou jeho staging (rozsah) a grading  (stupeň diferenciace nádoru).</w:t>
      </w:r>
    </w:p>
    <w:p w14:paraId="5B86B4AD" w14:textId="77777777" w:rsidR="0064032D" w:rsidRDefault="00A25D4A"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Při stanovení  stadia (stag</w:t>
      </w:r>
      <w:r>
        <w:rPr>
          <w:rFonts w:ascii="Arial" w:hAnsi="Arial" w:cs="Arial"/>
          <w:sz w:val="24"/>
          <w:szCs w:val="24"/>
        </w:rPr>
        <w:t>ingu) nádorového onemocnění vyc</w:t>
      </w:r>
      <w:r w:rsidR="0064032D" w:rsidRPr="008F13F9">
        <w:rPr>
          <w:rFonts w:ascii="Arial" w:hAnsi="Arial" w:cs="Arial"/>
          <w:sz w:val="24"/>
          <w:szCs w:val="24"/>
        </w:rPr>
        <w:t xml:space="preserve">hází klinik z výsledků TNM klasifikace. </w:t>
      </w:r>
      <w:r w:rsidR="0064032D" w:rsidRPr="008F13F9">
        <w:rPr>
          <w:rFonts w:ascii="Arial" w:hAnsi="Arial" w:cs="Arial"/>
          <w:i/>
          <w:sz w:val="24"/>
          <w:szCs w:val="24"/>
        </w:rPr>
        <w:t>Grading</w:t>
      </w:r>
      <w:r w:rsidR="0064032D" w:rsidRPr="008F13F9">
        <w:rPr>
          <w:rFonts w:ascii="Arial" w:hAnsi="Arial" w:cs="Arial"/>
          <w:sz w:val="24"/>
          <w:szCs w:val="24"/>
        </w:rPr>
        <w:t xml:space="preserve"> určuje histopatolog na základě mikroskopického, resp. imunohistochemického vyšetření vzorku nádorové tkáně.</w:t>
      </w:r>
    </w:p>
    <w:p w14:paraId="59CE3194" w14:textId="77777777" w:rsidR="0064032D" w:rsidRPr="00D04F54" w:rsidRDefault="0064032D" w:rsidP="008F13F9">
      <w:pPr>
        <w:spacing w:before="100" w:beforeAutospacing="1" w:after="100" w:afterAutospacing="1" w:line="360" w:lineRule="auto"/>
        <w:jc w:val="both"/>
        <w:rPr>
          <w:rFonts w:ascii="Arial" w:hAnsi="Arial" w:cs="Arial"/>
          <w:b/>
          <w:sz w:val="24"/>
          <w:szCs w:val="24"/>
          <w:u w:val="single"/>
        </w:rPr>
      </w:pPr>
      <w:r w:rsidRPr="00D04F54">
        <w:rPr>
          <w:rFonts w:ascii="Arial" w:hAnsi="Arial" w:cs="Arial"/>
          <w:b/>
          <w:sz w:val="24"/>
          <w:szCs w:val="24"/>
          <w:u w:val="single"/>
        </w:rPr>
        <w:t>2.3.1. Staging nádorového onemocnění</w:t>
      </w:r>
    </w:p>
    <w:p w14:paraId="5650E7B6" w14:textId="77777777" w:rsidR="0064032D" w:rsidRPr="00D04F54" w:rsidRDefault="0064032D" w:rsidP="008F13F9">
      <w:pPr>
        <w:spacing w:before="100" w:beforeAutospacing="1" w:after="100" w:afterAutospacing="1" w:line="360" w:lineRule="auto"/>
        <w:jc w:val="both"/>
        <w:rPr>
          <w:rFonts w:ascii="Arial" w:hAnsi="Arial" w:cs="Arial"/>
          <w:b/>
          <w:sz w:val="24"/>
          <w:szCs w:val="24"/>
          <w:u w:val="single"/>
        </w:rPr>
      </w:pPr>
      <w:r w:rsidRPr="00D04F54">
        <w:rPr>
          <w:rFonts w:ascii="Arial" w:hAnsi="Arial" w:cs="Arial"/>
          <w:b/>
          <w:sz w:val="24"/>
          <w:szCs w:val="24"/>
          <w:u w:val="single"/>
        </w:rPr>
        <w:t>2.3.1.1. TNM klasifikace</w:t>
      </w:r>
    </w:p>
    <w:p w14:paraId="78D60F00" w14:textId="77777777" w:rsidR="0064032D" w:rsidRPr="008F13F9" w:rsidRDefault="00A25D4A" w:rsidP="008F13F9">
      <w:pPr>
        <w:shd w:val="clear" w:color="auto" w:fill="FFFFFF"/>
        <w:spacing w:before="100" w:beforeAutospacing="1" w:after="100" w:afterAutospacing="1" w:line="360" w:lineRule="auto"/>
        <w:jc w:val="both"/>
        <w:rPr>
          <w:rFonts w:ascii="Arial" w:hAnsi="Arial" w:cs="Arial"/>
          <w:color w:val="211E1E"/>
          <w:sz w:val="24"/>
          <w:szCs w:val="24"/>
        </w:rPr>
      </w:pPr>
      <w:r>
        <w:rPr>
          <w:rFonts w:ascii="Arial" w:hAnsi="Arial" w:cs="Arial"/>
          <w:color w:val="211E1E"/>
          <w:sz w:val="24"/>
          <w:szCs w:val="24"/>
        </w:rPr>
        <w:tab/>
      </w:r>
      <w:r w:rsidR="0064032D" w:rsidRPr="008F13F9">
        <w:rPr>
          <w:rFonts w:ascii="Arial" w:hAnsi="Arial" w:cs="Arial"/>
          <w:color w:val="211E1E"/>
          <w:sz w:val="24"/>
          <w:szCs w:val="24"/>
        </w:rPr>
        <w:t>TNM systém pro klasifikaci zhoubných nádorů vypracoval Pierre Denoix v letech 1943 až 1952.</w:t>
      </w:r>
      <w:r w:rsidR="0042146B">
        <w:rPr>
          <w:rFonts w:ascii="Arial" w:hAnsi="Arial" w:cs="Arial"/>
          <w:color w:val="211E1E"/>
          <w:sz w:val="24"/>
          <w:szCs w:val="24"/>
        </w:rPr>
        <w:t xml:space="preserve"> </w:t>
      </w:r>
      <w:r w:rsidR="0064032D" w:rsidRPr="008F13F9">
        <w:rPr>
          <w:rFonts w:ascii="Arial" w:hAnsi="Arial" w:cs="Arial"/>
          <w:color w:val="211E1E"/>
          <w:sz w:val="24"/>
          <w:szCs w:val="24"/>
        </w:rPr>
        <w:t>V roce 1950 ustavila UICC (</w:t>
      </w:r>
      <w:r w:rsidR="0064032D" w:rsidRPr="008F13F9">
        <w:rPr>
          <w:rFonts w:ascii="Arial" w:hAnsi="Arial" w:cs="Arial"/>
          <w:bCs/>
          <w:color w:val="1C1C1C"/>
          <w:sz w:val="24"/>
          <w:szCs w:val="24"/>
          <w:lang w:val="en-US"/>
        </w:rPr>
        <w:t>Union f</w:t>
      </w:r>
      <w:r w:rsidR="0042146B">
        <w:rPr>
          <w:rFonts w:ascii="Arial" w:hAnsi="Arial" w:cs="Arial"/>
          <w:bCs/>
          <w:color w:val="1C1C1C"/>
          <w:sz w:val="24"/>
          <w:szCs w:val="24"/>
          <w:lang w:val="en-US"/>
        </w:rPr>
        <w:t>or International Cancer Control -</w:t>
      </w:r>
      <w:r w:rsidR="0064032D" w:rsidRPr="008F13F9">
        <w:rPr>
          <w:rFonts w:ascii="Arial" w:hAnsi="Arial" w:cs="Arial"/>
          <w:color w:val="211E1E"/>
          <w:sz w:val="24"/>
          <w:szCs w:val="24"/>
        </w:rPr>
        <w:t xml:space="preserve"> </w:t>
      </w:r>
      <w:r w:rsidR="0064032D" w:rsidRPr="008F13F9">
        <w:rPr>
          <w:rFonts w:ascii="Arial" w:hAnsi="Arial" w:cs="Arial"/>
          <w:i/>
          <w:color w:val="211E1E"/>
          <w:sz w:val="24"/>
          <w:szCs w:val="24"/>
        </w:rPr>
        <w:t>Výbor pro nomenklaturu nádorů a statistiku</w:t>
      </w:r>
      <w:r w:rsidR="0042146B">
        <w:rPr>
          <w:rFonts w:ascii="Arial" w:hAnsi="Arial" w:cs="Arial"/>
          <w:color w:val="211E1E"/>
          <w:sz w:val="24"/>
          <w:szCs w:val="24"/>
        </w:rPr>
        <w:t>)</w:t>
      </w:r>
      <w:r w:rsidR="0064032D" w:rsidRPr="008F13F9">
        <w:rPr>
          <w:rFonts w:ascii="Arial" w:hAnsi="Arial" w:cs="Arial"/>
          <w:color w:val="211E1E"/>
          <w:sz w:val="24"/>
          <w:szCs w:val="24"/>
        </w:rPr>
        <w:t xml:space="preserve"> a přijala jako základ pro svou práci na klinické klasifikaci obecné definice lokálního nádorového postižení </w:t>
      </w:r>
      <w:r w:rsidR="0042146B">
        <w:rPr>
          <w:rFonts w:ascii="Arial" w:hAnsi="Arial" w:cs="Arial"/>
          <w:color w:val="211E1E"/>
          <w:sz w:val="24"/>
          <w:szCs w:val="24"/>
        </w:rPr>
        <w:t xml:space="preserve">navržené WHO </w:t>
      </w:r>
      <w:r w:rsidR="0064032D" w:rsidRPr="008F13F9">
        <w:rPr>
          <w:rFonts w:ascii="Arial" w:hAnsi="Arial" w:cs="Arial"/>
          <w:color w:val="211E1E"/>
          <w:sz w:val="24"/>
          <w:szCs w:val="24"/>
        </w:rPr>
        <w:t xml:space="preserve">Subkomisí pro registraci </w:t>
      </w:r>
      <w:r w:rsidR="0064032D" w:rsidRPr="008F13F9">
        <w:rPr>
          <w:rFonts w:ascii="Arial" w:hAnsi="Arial" w:cs="Arial"/>
          <w:color w:val="211E1E"/>
          <w:sz w:val="24"/>
          <w:szCs w:val="24"/>
        </w:rPr>
        <w:lastRenderedPageBreak/>
        <w:t>nádorový</w:t>
      </w:r>
      <w:r w:rsidR="0042146B">
        <w:rPr>
          <w:rFonts w:ascii="Arial" w:hAnsi="Arial" w:cs="Arial"/>
          <w:color w:val="211E1E"/>
          <w:sz w:val="24"/>
          <w:szCs w:val="24"/>
        </w:rPr>
        <w:t>ch onemocnění a jejich stati</w:t>
      </w:r>
      <w:r w:rsidR="0064032D" w:rsidRPr="008F13F9">
        <w:rPr>
          <w:rFonts w:ascii="Arial" w:hAnsi="Arial" w:cs="Arial"/>
          <w:color w:val="211E1E"/>
          <w:sz w:val="24"/>
          <w:szCs w:val="24"/>
        </w:rPr>
        <w:t xml:space="preserve">stické zpracování. V roce 1953 měl výbor společné setkání s Mezinárodní komisí pro dělení nádorů a prezentaci výsledků léčby nádorů při příležitosti Mezinárodního radiologického kongresu. Bylo dosaženo souhlasu v obecném postupu při klasifikaci, vycházejícím z anatomického rozsahu onemocnění a používající TNM systém. V roce 1954 Výzkumná komise UICC sestavila Výbor pro klinickou klasifikaci a aplikovanou statistiku s cílem podpořit studie v této oblasti a rozšířit obecné zásady klasifikace nádorů na všechny orgánové lokalizace. Výbor v roce 1958 uveřejnil první doporučení pro klinickou klasifikaci rozsahu nádorového onemocnění mammy a laryngu a pro prezentaci výsledků. Druhé vydání v roce 1959 obsahovalo revidované návrhy pro mammu s cílem klinického použití a hodnocení v pětiletém období (1960 - 1964). V letech 1960 a 1967 publikoval Výbor devět příruček popisujících návrhy pro klasifikaci 23 lokalizací. Bylo doporučeno, aby návrhy klasifikace byly předmětem retrospektivních i prospektivních studií </w:t>
      </w:r>
      <w:r w:rsidR="00581281">
        <w:rPr>
          <w:rFonts w:ascii="Arial" w:hAnsi="Arial" w:cs="Arial"/>
          <w:color w:val="211E1E"/>
          <w:sz w:val="24"/>
          <w:szCs w:val="24"/>
        </w:rPr>
        <w:t xml:space="preserve">vždy </w:t>
      </w:r>
      <w:r w:rsidR="0064032D" w:rsidRPr="008F13F9">
        <w:rPr>
          <w:rFonts w:ascii="Arial" w:hAnsi="Arial" w:cs="Arial"/>
          <w:color w:val="211E1E"/>
          <w:sz w:val="24"/>
          <w:szCs w:val="24"/>
        </w:rPr>
        <w:t xml:space="preserve">po </w:t>
      </w:r>
      <w:r w:rsidR="00581281">
        <w:rPr>
          <w:rFonts w:ascii="Arial" w:hAnsi="Arial" w:cs="Arial"/>
          <w:color w:val="211E1E"/>
          <w:sz w:val="24"/>
          <w:szCs w:val="24"/>
        </w:rPr>
        <w:t>uplynutí</w:t>
      </w:r>
      <w:r w:rsidR="0064032D" w:rsidRPr="008F13F9">
        <w:rPr>
          <w:rFonts w:ascii="Arial" w:hAnsi="Arial" w:cs="Arial"/>
          <w:color w:val="211E1E"/>
          <w:sz w:val="24"/>
          <w:szCs w:val="24"/>
        </w:rPr>
        <w:t xml:space="preserve"> pěti let. </w:t>
      </w:r>
    </w:p>
    <w:p w14:paraId="470A63B1" w14:textId="77777777" w:rsidR="0064032D" w:rsidRPr="00A25D4A" w:rsidRDefault="0064032D" w:rsidP="008F13F9">
      <w:pPr>
        <w:shd w:val="clear" w:color="auto" w:fill="FFFFFF"/>
        <w:spacing w:before="100" w:beforeAutospacing="1" w:after="100" w:afterAutospacing="1" w:line="360" w:lineRule="auto"/>
        <w:jc w:val="both"/>
        <w:rPr>
          <w:rFonts w:ascii="Arial" w:hAnsi="Arial" w:cs="Arial"/>
          <w:color w:val="211E1E"/>
          <w:sz w:val="24"/>
          <w:szCs w:val="24"/>
          <w:u w:val="single"/>
        </w:rPr>
      </w:pPr>
      <w:r w:rsidRPr="00A25D4A">
        <w:rPr>
          <w:rFonts w:ascii="Arial" w:hAnsi="Arial" w:cs="Arial"/>
          <w:color w:val="211E1E"/>
          <w:sz w:val="24"/>
          <w:szCs w:val="24"/>
          <w:u w:val="single"/>
        </w:rPr>
        <w:t xml:space="preserve">Cíle TNM klasifikace by se daly shrnout do následujících bodů: </w:t>
      </w:r>
    </w:p>
    <w:p w14:paraId="749F5E54" w14:textId="77777777" w:rsidR="0064032D" w:rsidRPr="008F13F9" w:rsidRDefault="0064032D" w:rsidP="008F13F9">
      <w:pPr>
        <w:shd w:val="clear" w:color="auto" w:fill="FFFFFF"/>
        <w:spacing w:before="100" w:beforeAutospacing="1" w:after="100" w:afterAutospacing="1" w:line="360" w:lineRule="auto"/>
        <w:rPr>
          <w:rFonts w:ascii="Arial" w:hAnsi="Arial" w:cs="Arial"/>
          <w:color w:val="211E1E"/>
          <w:sz w:val="24"/>
          <w:szCs w:val="24"/>
        </w:rPr>
      </w:pPr>
      <w:r w:rsidRPr="008F13F9">
        <w:rPr>
          <w:rFonts w:ascii="Arial" w:hAnsi="Arial" w:cs="Arial"/>
          <w:color w:val="211E1E"/>
          <w:sz w:val="24"/>
          <w:szCs w:val="24"/>
        </w:rPr>
        <w:t>- pomoci klinikovi v naplánování léčby</w:t>
      </w:r>
      <w:r w:rsidRPr="008F13F9">
        <w:rPr>
          <w:rFonts w:ascii="Arial" w:hAnsi="Arial" w:cs="Arial"/>
          <w:color w:val="211E1E"/>
          <w:sz w:val="24"/>
          <w:szCs w:val="24"/>
        </w:rPr>
        <w:br/>
        <w:t>- dát určité informace o prognóze</w:t>
      </w:r>
      <w:r w:rsidRPr="008F13F9">
        <w:rPr>
          <w:rFonts w:ascii="Arial" w:hAnsi="Arial" w:cs="Arial"/>
          <w:color w:val="211E1E"/>
          <w:sz w:val="24"/>
          <w:szCs w:val="24"/>
        </w:rPr>
        <w:br/>
        <w:t>- pomoci při hodnocení výsledků léčby</w:t>
      </w:r>
      <w:r w:rsidRPr="008F13F9">
        <w:rPr>
          <w:rFonts w:ascii="Arial" w:hAnsi="Arial" w:cs="Arial"/>
          <w:color w:val="211E1E"/>
          <w:sz w:val="24"/>
          <w:szCs w:val="24"/>
        </w:rPr>
        <w:br/>
        <w:t>- umožnit výměnu poznatků mezi léčebnými centry</w:t>
      </w:r>
      <w:r w:rsidRPr="008F13F9">
        <w:rPr>
          <w:rFonts w:ascii="Arial" w:hAnsi="Arial" w:cs="Arial"/>
          <w:color w:val="211E1E"/>
          <w:sz w:val="24"/>
          <w:szCs w:val="24"/>
        </w:rPr>
        <w:tab/>
      </w:r>
      <w:r w:rsidRPr="008F13F9">
        <w:rPr>
          <w:rFonts w:ascii="Arial" w:hAnsi="Arial" w:cs="Arial"/>
          <w:color w:val="211E1E"/>
          <w:sz w:val="24"/>
          <w:szCs w:val="24"/>
        </w:rPr>
        <w:tab/>
      </w:r>
      <w:r w:rsidRPr="008F13F9">
        <w:rPr>
          <w:rFonts w:ascii="Arial" w:hAnsi="Arial" w:cs="Arial"/>
          <w:color w:val="211E1E"/>
          <w:sz w:val="24"/>
          <w:szCs w:val="24"/>
        </w:rPr>
        <w:tab/>
      </w:r>
      <w:r w:rsidRPr="008F13F9">
        <w:rPr>
          <w:rFonts w:ascii="Arial" w:hAnsi="Arial" w:cs="Arial"/>
          <w:color w:val="211E1E"/>
          <w:sz w:val="24"/>
          <w:szCs w:val="24"/>
        </w:rPr>
        <w:tab/>
        <w:t xml:space="preserve">    --. přispět k pokračování onkologického výzkumu </w:t>
      </w:r>
    </w:p>
    <w:p w14:paraId="20F2C556" w14:textId="77777777" w:rsidR="0064032D"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 xml:space="preserve">Na základě TNM klasifikace je možno stanovit stádium onemocnění. </w:t>
      </w:r>
    </w:p>
    <w:p w14:paraId="1C8941CC" w14:textId="77777777" w:rsidR="0042146B" w:rsidRPr="008F13F9" w:rsidRDefault="0042146B" w:rsidP="008F13F9">
      <w:pPr>
        <w:spacing w:before="100" w:beforeAutospacing="1" w:after="100" w:afterAutospacing="1" w:line="360" w:lineRule="auto"/>
        <w:rPr>
          <w:rFonts w:ascii="Arial" w:hAnsi="Arial" w:cs="Arial"/>
          <w:sz w:val="24"/>
          <w:szCs w:val="24"/>
        </w:rPr>
      </w:pPr>
    </w:p>
    <w:p w14:paraId="58ADE282" w14:textId="77777777" w:rsidR="0064032D" w:rsidRPr="00D04F54" w:rsidRDefault="0064032D" w:rsidP="008F13F9">
      <w:pPr>
        <w:spacing w:before="100" w:beforeAutospacing="1" w:after="100" w:afterAutospacing="1" w:line="360" w:lineRule="auto"/>
        <w:rPr>
          <w:rFonts w:ascii="Arial" w:hAnsi="Arial" w:cs="Arial"/>
          <w:b/>
          <w:sz w:val="24"/>
          <w:szCs w:val="24"/>
          <w:u w:val="single"/>
        </w:rPr>
      </w:pPr>
      <w:r w:rsidRPr="00D04F54">
        <w:rPr>
          <w:rFonts w:ascii="Arial" w:hAnsi="Arial" w:cs="Arial"/>
          <w:b/>
          <w:sz w:val="24"/>
          <w:szCs w:val="24"/>
          <w:u w:val="single"/>
        </w:rPr>
        <w:t>2.3.1.2. Stádium onkologického onemocnění</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2320"/>
        <w:gridCol w:w="2321"/>
        <w:gridCol w:w="9"/>
        <w:gridCol w:w="2312"/>
        <w:gridCol w:w="8"/>
      </w:tblGrid>
      <w:tr w:rsidR="0064032D" w:rsidRPr="008F13F9" w14:paraId="784A9EF6" w14:textId="77777777" w:rsidTr="00C674FD">
        <w:trPr>
          <w:trHeight w:val="440"/>
        </w:trPr>
        <w:tc>
          <w:tcPr>
            <w:tcW w:w="2320" w:type="dxa"/>
            <w:tcBorders>
              <w:top w:val="single" w:sz="18" w:space="0" w:color="auto"/>
              <w:left w:val="single" w:sz="18" w:space="0" w:color="auto"/>
              <w:bottom w:val="single" w:sz="18" w:space="0" w:color="auto"/>
              <w:right w:val="single" w:sz="18" w:space="0" w:color="auto"/>
            </w:tcBorders>
          </w:tcPr>
          <w:p w14:paraId="21D7864C" w14:textId="77777777" w:rsidR="0064032D" w:rsidRPr="008F13F9" w:rsidRDefault="0064032D" w:rsidP="008F13F9">
            <w:pPr>
              <w:spacing w:before="100" w:beforeAutospacing="1" w:after="100" w:afterAutospacing="1" w:line="360" w:lineRule="auto"/>
              <w:jc w:val="center"/>
              <w:rPr>
                <w:rFonts w:ascii="Arial" w:hAnsi="Arial" w:cs="Arial"/>
                <w:b/>
                <w:sz w:val="24"/>
                <w:szCs w:val="24"/>
              </w:rPr>
            </w:pPr>
            <w:r w:rsidRPr="008F13F9">
              <w:rPr>
                <w:rFonts w:ascii="Arial" w:hAnsi="Arial" w:cs="Arial"/>
                <w:b/>
                <w:sz w:val="24"/>
                <w:szCs w:val="24"/>
              </w:rPr>
              <w:t>Stádium onemocnění</w:t>
            </w:r>
          </w:p>
        </w:tc>
        <w:tc>
          <w:tcPr>
            <w:tcW w:w="2320" w:type="dxa"/>
            <w:tcBorders>
              <w:top w:val="single" w:sz="18" w:space="0" w:color="auto"/>
              <w:left w:val="single" w:sz="18" w:space="0" w:color="auto"/>
              <w:bottom w:val="single" w:sz="18" w:space="0" w:color="auto"/>
              <w:right w:val="single" w:sz="18" w:space="0" w:color="auto"/>
            </w:tcBorders>
          </w:tcPr>
          <w:p w14:paraId="6447C8C1" w14:textId="77777777" w:rsidR="0064032D" w:rsidRPr="008F13F9" w:rsidRDefault="0064032D" w:rsidP="008F13F9">
            <w:pPr>
              <w:spacing w:after="0" w:line="360" w:lineRule="auto"/>
              <w:jc w:val="center"/>
              <w:rPr>
                <w:rFonts w:ascii="Arial" w:hAnsi="Arial" w:cs="Arial"/>
                <w:sz w:val="24"/>
                <w:szCs w:val="24"/>
              </w:rPr>
            </w:pPr>
            <w:r w:rsidRPr="008F13F9">
              <w:rPr>
                <w:rFonts w:ascii="Arial" w:hAnsi="Arial" w:cs="Arial"/>
                <w:sz w:val="24"/>
                <w:szCs w:val="24"/>
              </w:rPr>
              <w:t>T</w:t>
            </w:r>
          </w:p>
        </w:tc>
        <w:tc>
          <w:tcPr>
            <w:tcW w:w="2330" w:type="dxa"/>
            <w:gridSpan w:val="2"/>
            <w:tcBorders>
              <w:top w:val="single" w:sz="18" w:space="0" w:color="auto"/>
              <w:left w:val="single" w:sz="18" w:space="0" w:color="auto"/>
              <w:right w:val="single" w:sz="18" w:space="0" w:color="auto"/>
            </w:tcBorders>
          </w:tcPr>
          <w:p w14:paraId="30ED8854" w14:textId="77777777" w:rsidR="0064032D" w:rsidRPr="008F13F9" w:rsidRDefault="0064032D" w:rsidP="008F13F9">
            <w:pPr>
              <w:spacing w:after="0" w:line="360" w:lineRule="auto"/>
              <w:jc w:val="center"/>
              <w:rPr>
                <w:rFonts w:ascii="Arial" w:hAnsi="Arial" w:cs="Arial"/>
                <w:sz w:val="24"/>
                <w:szCs w:val="24"/>
              </w:rPr>
            </w:pPr>
            <w:r w:rsidRPr="008F13F9">
              <w:rPr>
                <w:rFonts w:ascii="Arial" w:hAnsi="Arial" w:cs="Arial"/>
                <w:sz w:val="24"/>
                <w:szCs w:val="24"/>
              </w:rPr>
              <w:t>N</w:t>
            </w:r>
          </w:p>
        </w:tc>
        <w:tc>
          <w:tcPr>
            <w:tcW w:w="2320" w:type="dxa"/>
            <w:gridSpan w:val="2"/>
            <w:tcBorders>
              <w:top w:val="single" w:sz="18" w:space="0" w:color="auto"/>
              <w:left w:val="single" w:sz="18" w:space="0" w:color="auto"/>
              <w:right w:val="single" w:sz="18" w:space="0" w:color="auto"/>
            </w:tcBorders>
          </w:tcPr>
          <w:p w14:paraId="2393CDCB" w14:textId="77777777" w:rsidR="0064032D" w:rsidRPr="008F13F9" w:rsidRDefault="0064032D" w:rsidP="008F13F9">
            <w:pPr>
              <w:spacing w:after="0" w:line="360" w:lineRule="auto"/>
              <w:jc w:val="center"/>
              <w:rPr>
                <w:rFonts w:ascii="Arial" w:hAnsi="Arial" w:cs="Arial"/>
                <w:sz w:val="24"/>
                <w:szCs w:val="24"/>
              </w:rPr>
            </w:pPr>
            <w:r w:rsidRPr="008F13F9">
              <w:rPr>
                <w:rFonts w:ascii="Arial" w:hAnsi="Arial" w:cs="Arial"/>
                <w:sz w:val="24"/>
                <w:szCs w:val="24"/>
              </w:rPr>
              <w:t>M</w:t>
            </w:r>
          </w:p>
        </w:tc>
      </w:tr>
      <w:tr w:rsidR="0064032D" w:rsidRPr="008F13F9" w14:paraId="65E6435A" w14:textId="77777777" w:rsidTr="00C674FD">
        <w:tblPrEx>
          <w:tblLook w:val="00A0" w:firstRow="1" w:lastRow="0" w:firstColumn="1" w:lastColumn="0" w:noHBand="0" w:noVBand="0"/>
        </w:tblPrEx>
        <w:trPr>
          <w:gridAfter w:val="1"/>
          <w:wAfter w:w="8" w:type="dxa"/>
        </w:trPr>
        <w:tc>
          <w:tcPr>
            <w:tcW w:w="2320" w:type="dxa"/>
            <w:tcBorders>
              <w:top w:val="single" w:sz="18" w:space="0" w:color="auto"/>
            </w:tcBorders>
          </w:tcPr>
          <w:p w14:paraId="61C148BD"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Stádium 0</w:t>
            </w:r>
          </w:p>
        </w:tc>
        <w:tc>
          <w:tcPr>
            <w:tcW w:w="2320" w:type="dxa"/>
            <w:tcBorders>
              <w:top w:val="single" w:sz="18" w:space="0" w:color="auto"/>
            </w:tcBorders>
          </w:tcPr>
          <w:p w14:paraId="4F1060C9"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TIS</w:t>
            </w:r>
          </w:p>
        </w:tc>
        <w:tc>
          <w:tcPr>
            <w:tcW w:w="2321" w:type="dxa"/>
            <w:tcBorders>
              <w:top w:val="single" w:sz="18" w:space="0" w:color="auto"/>
            </w:tcBorders>
          </w:tcPr>
          <w:p w14:paraId="425DEEF6"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N0</w:t>
            </w:r>
          </w:p>
        </w:tc>
        <w:tc>
          <w:tcPr>
            <w:tcW w:w="2321" w:type="dxa"/>
            <w:gridSpan w:val="2"/>
            <w:tcBorders>
              <w:top w:val="single" w:sz="18" w:space="0" w:color="auto"/>
            </w:tcBorders>
          </w:tcPr>
          <w:p w14:paraId="28A53B72"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M0</w:t>
            </w:r>
          </w:p>
        </w:tc>
      </w:tr>
      <w:tr w:rsidR="0064032D" w:rsidRPr="008F13F9" w14:paraId="6A9F1FC4" w14:textId="77777777" w:rsidTr="00C674FD">
        <w:tblPrEx>
          <w:tblLook w:val="00A0" w:firstRow="1" w:lastRow="0" w:firstColumn="1" w:lastColumn="0" w:noHBand="0" w:noVBand="0"/>
        </w:tblPrEx>
        <w:trPr>
          <w:gridAfter w:val="1"/>
          <w:wAfter w:w="8" w:type="dxa"/>
        </w:trPr>
        <w:tc>
          <w:tcPr>
            <w:tcW w:w="2320" w:type="dxa"/>
          </w:tcPr>
          <w:p w14:paraId="4DB2C3B6"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 xml:space="preserve">Stádium I     </w:t>
            </w:r>
          </w:p>
        </w:tc>
        <w:tc>
          <w:tcPr>
            <w:tcW w:w="2320" w:type="dxa"/>
          </w:tcPr>
          <w:p w14:paraId="5E0B0C29"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T1</w:t>
            </w:r>
          </w:p>
        </w:tc>
        <w:tc>
          <w:tcPr>
            <w:tcW w:w="2321" w:type="dxa"/>
          </w:tcPr>
          <w:p w14:paraId="68DE6213"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N0</w:t>
            </w:r>
          </w:p>
        </w:tc>
        <w:tc>
          <w:tcPr>
            <w:tcW w:w="2321" w:type="dxa"/>
            <w:gridSpan w:val="2"/>
          </w:tcPr>
          <w:p w14:paraId="3665634C"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M0</w:t>
            </w:r>
          </w:p>
        </w:tc>
      </w:tr>
      <w:tr w:rsidR="0064032D" w:rsidRPr="008F13F9" w14:paraId="36743F2F" w14:textId="77777777" w:rsidTr="00C674FD">
        <w:tblPrEx>
          <w:tblLook w:val="00A0" w:firstRow="1" w:lastRow="0" w:firstColumn="1" w:lastColumn="0" w:noHBand="0" w:noVBand="0"/>
        </w:tblPrEx>
        <w:trPr>
          <w:gridAfter w:val="1"/>
          <w:wAfter w:w="8" w:type="dxa"/>
        </w:trPr>
        <w:tc>
          <w:tcPr>
            <w:tcW w:w="2320" w:type="dxa"/>
          </w:tcPr>
          <w:p w14:paraId="75929524"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 xml:space="preserve">Stádium II    </w:t>
            </w:r>
          </w:p>
        </w:tc>
        <w:tc>
          <w:tcPr>
            <w:tcW w:w="2320" w:type="dxa"/>
          </w:tcPr>
          <w:p w14:paraId="13707859"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T2</w:t>
            </w:r>
          </w:p>
        </w:tc>
        <w:tc>
          <w:tcPr>
            <w:tcW w:w="2321" w:type="dxa"/>
          </w:tcPr>
          <w:p w14:paraId="5CC5A1F5"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N0</w:t>
            </w:r>
          </w:p>
        </w:tc>
        <w:tc>
          <w:tcPr>
            <w:tcW w:w="2321" w:type="dxa"/>
            <w:gridSpan w:val="2"/>
          </w:tcPr>
          <w:p w14:paraId="24E3139D"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 xml:space="preserve">M0 </w:t>
            </w:r>
          </w:p>
        </w:tc>
      </w:tr>
      <w:tr w:rsidR="0064032D" w:rsidRPr="008F13F9" w14:paraId="5FE527F4" w14:textId="77777777" w:rsidTr="00C674FD">
        <w:tblPrEx>
          <w:tblLook w:val="00A0" w:firstRow="1" w:lastRow="0" w:firstColumn="1" w:lastColumn="0" w:noHBand="0" w:noVBand="0"/>
        </w:tblPrEx>
        <w:trPr>
          <w:gridAfter w:val="1"/>
          <w:wAfter w:w="8" w:type="dxa"/>
        </w:trPr>
        <w:tc>
          <w:tcPr>
            <w:tcW w:w="2320" w:type="dxa"/>
          </w:tcPr>
          <w:p w14:paraId="24A8BD0D"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lastRenderedPageBreak/>
              <w:t>Stádium III</w:t>
            </w:r>
          </w:p>
        </w:tc>
        <w:tc>
          <w:tcPr>
            <w:tcW w:w="2320" w:type="dxa"/>
          </w:tcPr>
          <w:p w14:paraId="7869606E"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T1-2</w:t>
            </w:r>
          </w:p>
          <w:p w14:paraId="7DA54B73"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T3</w:t>
            </w:r>
          </w:p>
        </w:tc>
        <w:tc>
          <w:tcPr>
            <w:tcW w:w="2321" w:type="dxa"/>
          </w:tcPr>
          <w:p w14:paraId="494C85C5"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N1</w:t>
            </w:r>
          </w:p>
          <w:p w14:paraId="17B4AE4F"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N0,1</w:t>
            </w:r>
          </w:p>
        </w:tc>
        <w:tc>
          <w:tcPr>
            <w:tcW w:w="2321" w:type="dxa"/>
            <w:gridSpan w:val="2"/>
          </w:tcPr>
          <w:p w14:paraId="098FDB14"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M0</w:t>
            </w:r>
          </w:p>
          <w:p w14:paraId="6ED44197"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M0</w:t>
            </w:r>
          </w:p>
        </w:tc>
      </w:tr>
      <w:tr w:rsidR="0064032D" w:rsidRPr="008F13F9" w14:paraId="0B8A2B51" w14:textId="77777777" w:rsidTr="00C674FD">
        <w:tblPrEx>
          <w:tblLook w:val="00A0" w:firstRow="1" w:lastRow="0" w:firstColumn="1" w:lastColumn="0" w:noHBand="0" w:noVBand="0"/>
        </w:tblPrEx>
        <w:trPr>
          <w:gridAfter w:val="1"/>
          <w:wAfter w:w="8" w:type="dxa"/>
        </w:trPr>
        <w:tc>
          <w:tcPr>
            <w:tcW w:w="2320" w:type="dxa"/>
          </w:tcPr>
          <w:p w14:paraId="753A9D45"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 xml:space="preserve">Stádium IVA  </w:t>
            </w:r>
          </w:p>
        </w:tc>
        <w:tc>
          <w:tcPr>
            <w:tcW w:w="2320" w:type="dxa"/>
          </w:tcPr>
          <w:p w14:paraId="64B053E7"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T1-3</w:t>
            </w:r>
          </w:p>
          <w:p w14:paraId="5B8FBE3A"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T4a</w:t>
            </w:r>
          </w:p>
        </w:tc>
        <w:tc>
          <w:tcPr>
            <w:tcW w:w="2321" w:type="dxa"/>
          </w:tcPr>
          <w:p w14:paraId="348193D5"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N2</w:t>
            </w:r>
          </w:p>
          <w:p w14:paraId="6A112745"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N0 – N2</w:t>
            </w:r>
          </w:p>
        </w:tc>
        <w:tc>
          <w:tcPr>
            <w:tcW w:w="2321" w:type="dxa"/>
            <w:gridSpan w:val="2"/>
          </w:tcPr>
          <w:p w14:paraId="2F1C7A8D"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M0</w:t>
            </w:r>
          </w:p>
          <w:p w14:paraId="7296500E"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M0</w:t>
            </w:r>
          </w:p>
        </w:tc>
      </w:tr>
      <w:tr w:rsidR="0064032D" w:rsidRPr="008F13F9" w14:paraId="3B6AC25A" w14:textId="77777777" w:rsidTr="00C674FD">
        <w:tblPrEx>
          <w:tblLook w:val="00A0" w:firstRow="1" w:lastRow="0" w:firstColumn="1" w:lastColumn="0" w:noHBand="0" w:noVBand="0"/>
        </w:tblPrEx>
        <w:trPr>
          <w:gridAfter w:val="1"/>
          <w:wAfter w:w="8" w:type="dxa"/>
        </w:trPr>
        <w:tc>
          <w:tcPr>
            <w:tcW w:w="2320" w:type="dxa"/>
          </w:tcPr>
          <w:p w14:paraId="4EAC6A36"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 xml:space="preserve">Stádium IVB  </w:t>
            </w:r>
          </w:p>
        </w:tc>
        <w:tc>
          <w:tcPr>
            <w:tcW w:w="2320" w:type="dxa"/>
          </w:tcPr>
          <w:p w14:paraId="477384C4"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T(jakékoliv)</w:t>
            </w:r>
          </w:p>
          <w:p w14:paraId="35B9234D"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T4b</w:t>
            </w:r>
          </w:p>
        </w:tc>
        <w:tc>
          <w:tcPr>
            <w:tcW w:w="2321" w:type="dxa"/>
          </w:tcPr>
          <w:p w14:paraId="1A8C217C"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N3</w:t>
            </w:r>
          </w:p>
          <w:p w14:paraId="0CED43BA"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 (jakékoliv)</w:t>
            </w:r>
          </w:p>
        </w:tc>
        <w:tc>
          <w:tcPr>
            <w:tcW w:w="2321" w:type="dxa"/>
            <w:gridSpan w:val="2"/>
          </w:tcPr>
          <w:p w14:paraId="054BFA76" w14:textId="77777777" w:rsidR="0064032D" w:rsidRPr="008F13F9" w:rsidRDefault="0064032D" w:rsidP="008F13F9">
            <w:pPr>
              <w:pStyle w:val="NormalWeb"/>
              <w:spacing w:line="360" w:lineRule="auto"/>
              <w:rPr>
                <w:rFonts w:ascii="Arial" w:hAnsi="Arial" w:cs="Arial"/>
                <w:sz w:val="24"/>
                <w:szCs w:val="24"/>
              </w:rPr>
            </w:pPr>
            <w:r w:rsidRPr="008F13F9">
              <w:rPr>
                <w:rFonts w:ascii="Arial" w:hAnsi="Arial" w:cs="Arial"/>
                <w:sz w:val="24"/>
                <w:szCs w:val="24"/>
              </w:rPr>
              <w:t xml:space="preserve">M0 </w:t>
            </w:r>
          </w:p>
          <w:p w14:paraId="4ED423B5" w14:textId="77777777" w:rsidR="0064032D" w:rsidRPr="008F13F9" w:rsidRDefault="0064032D" w:rsidP="008F13F9">
            <w:pPr>
              <w:pStyle w:val="NormalWeb"/>
              <w:spacing w:line="360" w:lineRule="auto"/>
              <w:rPr>
                <w:rFonts w:ascii="Arial" w:hAnsi="Arial" w:cs="Arial"/>
                <w:sz w:val="24"/>
                <w:szCs w:val="24"/>
              </w:rPr>
            </w:pPr>
            <w:r w:rsidRPr="008F13F9">
              <w:rPr>
                <w:rFonts w:ascii="Arial" w:hAnsi="Arial" w:cs="Arial"/>
                <w:sz w:val="24"/>
                <w:szCs w:val="24"/>
              </w:rPr>
              <w:t>M0</w:t>
            </w:r>
          </w:p>
        </w:tc>
      </w:tr>
      <w:tr w:rsidR="0064032D" w:rsidRPr="008F13F9" w14:paraId="5ECD028C" w14:textId="77777777" w:rsidTr="00C674FD">
        <w:tblPrEx>
          <w:tblLook w:val="00A0" w:firstRow="1" w:lastRow="0" w:firstColumn="1" w:lastColumn="0" w:noHBand="0" w:noVBand="0"/>
        </w:tblPrEx>
        <w:trPr>
          <w:gridAfter w:val="1"/>
          <w:wAfter w:w="8" w:type="dxa"/>
        </w:trPr>
        <w:tc>
          <w:tcPr>
            <w:tcW w:w="2320" w:type="dxa"/>
          </w:tcPr>
          <w:p w14:paraId="09AECA3E"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Stádium IVC</w:t>
            </w:r>
          </w:p>
        </w:tc>
        <w:tc>
          <w:tcPr>
            <w:tcW w:w="2320" w:type="dxa"/>
          </w:tcPr>
          <w:p w14:paraId="1191744F"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T(jakékoliv)</w:t>
            </w:r>
          </w:p>
        </w:tc>
        <w:tc>
          <w:tcPr>
            <w:tcW w:w="2321" w:type="dxa"/>
          </w:tcPr>
          <w:p w14:paraId="1427AEA1"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N(jakékoliv)</w:t>
            </w:r>
          </w:p>
        </w:tc>
        <w:tc>
          <w:tcPr>
            <w:tcW w:w="2321" w:type="dxa"/>
            <w:gridSpan w:val="2"/>
          </w:tcPr>
          <w:p w14:paraId="5163053E"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rPr>
              <w:t>M1</w:t>
            </w:r>
          </w:p>
        </w:tc>
      </w:tr>
    </w:tbl>
    <w:p w14:paraId="79E7ABB1" w14:textId="77777777" w:rsidR="00D04F54" w:rsidRDefault="00D04F54" w:rsidP="008F13F9">
      <w:pPr>
        <w:spacing w:before="100" w:beforeAutospacing="1" w:after="100" w:afterAutospacing="1" w:line="360" w:lineRule="auto"/>
        <w:rPr>
          <w:rFonts w:ascii="Arial" w:hAnsi="Arial" w:cs="Arial"/>
          <w:b/>
          <w:sz w:val="24"/>
          <w:szCs w:val="24"/>
          <w:u w:val="single"/>
        </w:rPr>
      </w:pPr>
    </w:p>
    <w:p w14:paraId="2BFCD22E" w14:textId="77777777" w:rsidR="0064032D" w:rsidRPr="00D04F54" w:rsidRDefault="0064032D" w:rsidP="008F13F9">
      <w:pPr>
        <w:spacing w:before="100" w:beforeAutospacing="1" w:after="100" w:afterAutospacing="1" w:line="360" w:lineRule="auto"/>
        <w:rPr>
          <w:rFonts w:ascii="Arial" w:hAnsi="Arial" w:cs="Arial"/>
          <w:b/>
          <w:sz w:val="24"/>
          <w:szCs w:val="24"/>
          <w:u w:val="single"/>
        </w:rPr>
      </w:pPr>
      <w:r w:rsidRPr="00D04F54">
        <w:rPr>
          <w:rFonts w:ascii="Arial" w:hAnsi="Arial" w:cs="Arial"/>
          <w:b/>
          <w:sz w:val="24"/>
          <w:szCs w:val="24"/>
          <w:u w:val="single"/>
        </w:rPr>
        <w:t>2.3.2. Grading nádorového onemocnění</w:t>
      </w:r>
    </w:p>
    <w:p w14:paraId="1D17FB71" w14:textId="77777777" w:rsidR="0064032D" w:rsidRPr="008F13F9" w:rsidRDefault="00A25D4A" w:rsidP="007C393E">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Při stanovení gradingu vychází histopatolog z růstového a invazivního potenciálu příslušného nádoru a současně i potenciálu metastatického. </w:t>
      </w:r>
      <w:r w:rsidR="00581281">
        <w:rPr>
          <w:rFonts w:ascii="Arial" w:hAnsi="Arial" w:cs="Arial"/>
          <w:sz w:val="24"/>
          <w:szCs w:val="24"/>
        </w:rPr>
        <w:t>Prognóza maligního onemocnění spinocelulárních karcinomů orofaryngu</w:t>
      </w:r>
      <w:r w:rsidR="0064032D" w:rsidRPr="008F13F9">
        <w:rPr>
          <w:rFonts w:ascii="Arial" w:hAnsi="Arial" w:cs="Arial"/>
          <w:sz w:val="24"/>
          <w:szCs w:val="24"/>
        </w:rPr>
        <w:t xml:space="preserve"> závisí nejvíce n</w:t>
      </w:r>
      <w:r>
        <w:rPr>
          <w:rFonts w:ascii="Arial" w:hAnsi="Arial" w:cs="Arial"/>
          <w:sz w:val="24"/>
          <w:szCs w:val="24"/>
        </w:rPr>
        <w:t>a stupni diferenciace nádoru (</w:t>
      </w:r>
      <w:r w:rsidR="0064032D" w:rsidRPr="008F13F9">
        <w:rPr>
          <w:rFonts w:ascii="Arial" w:hAnsi="Arial" w:cs="Arial"/>
          <w:sz w:val="24"/>
          <w:szCs w:val="24"/>
        </w:rPr>
        <w:t>histologická odlišnost stavby od předp</w:t>
      </w:r>
      <w:r w:rsidR="007C393E">
        <w:rPr>
          <w:rFonts w:ascii="Arial" w:hAnsi="Arial" w:cs="Arial"/>
          <w:sz w:val="24"/>
          <w:szCs w:val="24"/>
        </w:rPr>
        <w:t>okládané mateřské tkáně ) a  na klinickém stádiu.</w:t>
      </w:r>
    </w:p>
    <w:p w14:paraId="3C15D187" w14:textId="77777777" w:rsidR="0064032D" w:rsidRPr="008F13F9" w:rsidRDefault="00A25D4A" w:rsidP="008F13F9">
      <w:pPr>
        <w:shd w:val="clear" w:color="auto" w:fill="FFFFFF"/>
        <w:spacing w:before="100" w:beforeAutospacing="1" w:after="100" w:afterAutospacing="1" w:line="360" w:lineRule="auto"/>
        <w:jc w:val="both"/>
        <w:rPr>
          <w:rFonts w:ascii="Arial" w:hAnsi="Arial" w:cs="Arial"/>
          <w:sz w:val="24"/>
          <w:szCs w:val="24"/>
        </w:rPr>
      </w:pPr>
      <w:r>
        <w:rPr>
          <w:rFonts w:ascii="Arial" w:hAnsi="Arial" w:cs="Arial"/>
          <w:color w:val="211E1E"/>
          <w:sz w:val="24"/>
          <w:szCs w:val="24"/>
        </w:rPr>
        <w:tab/>
      </w:r>
      <w:r w:rsidR="007C393E">
        <w:rPr>
          <w:rFonts w:ascii="Arial" w:hAnsi="Arial" w:cs="Arial"/>
          <w:color w:val="211E1E"/>
          <w:sz w:val="24"/>
          <w:szCs w:val="24"/>
        </w:rPr>
        <w:t xml:space="preserve">Velmi důležitým prognostickým faktorem u </w:t>
      </w:r>
      <w:r>
        <w:rPr>
          <w:rFonts w:ascii="Arial" w:hAnsi="Arial" w:cs="Arial"/>
          <w:color w:val="211E1E"/>
          <w:sz w:val="24"/>
          <w:szCs w:val="24"/>
        </w:rPr>
        <w:t>karcinomů hlavy a krku</w:t>
      </w:r>
      <w:r w:rsidR="007C393E">
        <w:rPr>
          <w:rFonts w:ascii="Arial" w:hAnsi="Arial" w:cs="Arial"/>
          <w:color w:val="211E1E"/>
          <w:sz w:val="24"/>
          <w:szCs w:val="24"/>
        </w:rPr>
        <w:t xml:space="preserve"> je hloubka invaze</w:t>
      </w:r>
      <w:r>
        <w:rPr>
          <w:rFonts w:ascii="Arial" w:hAnsi="Arial" w:cs="Arial"/>
          <w:color w:val="211E1E"/>
          <w:sz w:val="24"/>
          <w:szCs w:val="24"/>
        </w:rPr>
        <w:t xml:space="preserve"> </w:t>
      </w:r>
      <w:r w:rsidR="0064032D" w:rsidRPr="008F13F9">
        <w:rPr>
          <w:rFonts w:ascii="Arial" w:hAnsi="Arial" w:cs="Arial"/>
          <w:color w:val="211E1E"/>
          <w:sz w:val="24"/>
          <w:szCs w:val="24"/>
        </w:rPr>
        <w:t xml:space="preserve">(Obr 5.), perineurální nebo intravaskulární šíření. </w:t>
      </w:r>
    </w:p>
    <w:p w14:paraId="2C13F9B7" w14:textId="77777777" w:rsidR="0064032D" w:rsidRPr="008F13F9" w:rsidRDefault="00905F58" w:rsidP="008F13F9">
      <w:pPr>
        <w:spacing w:before="100" w:beforeAutospacing="1" w:after="100" w:afterAutospacing="1" w:line="360" w:lineRule="auto"/>
        <w:jc w:val="center"/>
        <w:rPr>
          <w:rFonts w:ascii="Arial" w:hAnsi="Arial" w:cs="Arial"/>
          <w:sz w:val="24"/>
          <w:szCs w:val="24"/>
        </w:rPr>
      </w:pPr>
      <w:r>
        <w:rPr>
          <w:rFonts w:ascii="Arial" w:hAnsi="Arial" w:cs="Arial"/>
          <w:noProof/>
          <w:sz w:val="24"/>
          <w:szCs w:val="24"/>
          <w:lang w:val="en-US"/>
        </w:rPr>
        <w:lastRenderedPageBreak/>
        <w:drawing>
          <wp:inline distT="0" distB="0" distL="0" distR="0" wp14:anchorId="19D24A47" wp14:editId="3378446F">
            <wp:extent cx="4715146" cy="3045271"/>
            <wp:effectExtent l="76200" t="38100" r="66404" b="40829"/>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extLst/>
                    </a:blip>
                    <a:srcRect/>
                    <a:stretch>
                      <a:fillRect/>
                    </a:stretch>
                  </pic:blipFill>
                  <pic:spPr bwMode="auto">
                    <a:xfrm>
                      <a:off x="0" y="0"/>
                      <a:ext cx="4715146" cy="3045271"/>
                    </a:xfrm>
                    <a:prstGeom prst="rect">
                      <a:avLst/>
                    </a:prstGeom>
                    <a:solidFill>
                      <a:srgbClr val="FFFFFF">
                        <a:shade val="85000"/>
                      </a:srgbClr>
                    </a:solidFill>
                    <a:ln w="6350" cap="sq" cmpd="sng">
                      <a:solidFill>
                        <a:srgbClr val="4F81B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8ADDB7" w14:textId="77777777" w:rsidR="00CB49B3" w:rsidRDefault="0064032D" w:rsidP="00CB49B3">
      <w:pPr>
        <w:spacing w:before="100" w:beforeAutospacing="1" w:after="100" w:afterAutospacing="1" w:line="360" w:lineRule="auto"/>
        <w:jc w:val="both"/>
        <w:outlineLvl w:val="0"/>
        <w:rPr>
          <w:rFonts w:ascii="Arial" w:hAnsi="Arial" w:cs="Arial"/>
          <w:i/>
          <w:sz w:val="24"/>
          <w:szCs w:val="24"/>
          <w:vertAlign w:val="superscript"/>
        </w:rPr>
      </w:pPr>
      <w:r w:rsidRPr="008F13F9">
        <w:rPr>
          <w:rFonts w:ascii="Arial" w:hAnsi="Arial" w:cs="Arial"/>
          <w:b/>
          <w:sz w:val="24"/>
          <w:szCs w:val="24"/>
        </w:rPr>
        <w:t>Obr.5</w:t>
      </w:r>
      <w:r w:rsidRPr="008F13F9">
        <w:rPr>
          <w:rFonts w:ascii="Arial" w:hAnsi="Arial" w:cs="Arial"/>
          <w:sz w:val="24"/>
          <w:szCs w:val="24"/>
        </w:rPr>
        <w:t xml:space="preserve"> </w:t>
      </w:r>
      <w:r w:rsidRPr="008F13F9">
        <w:rPr>
          <w:rFonts w:ascii="Arial" w:hAnsi="Arial" w:cs="Arial"/>
          <w:i/>
          <w:sz w:val="24"/>
          <w:szCs w:val="24"/>
        </w:rPr>
        <w:t xml:space="preserve">Souvislost mezi hloubkou invaze a pravděpodobností metastázování </w:t>
      </w:r>
      <w:r w:rsidRPr="008F13F9">
        <w:rPr>
          <w:rFonts w:ascii="Arial" w:hAnsi="Arial" w:cs="Arial"/>
          <w:i/>
          <w:sz w:val="24"/>
          <w:szCs w:val="24"/>
          <w:vertAlign w:val="superscript"/>
        </w:rPr>
        <w:t>80</w:t>
      </w:r>
    </w:p>
    <w:p w14:paraId="11D1AEEA" w14:textId="0A686FB4" w:rsidR="0064032D" w:rsidRPr="00CB49B3" w:rsidRDefault="0064032D" w:rsidP="00CB49B3">
      <w:pPr>
        <w:spacing w:before="100" w:beforeAutospacing="1" w:after="100" w:afterAutospacing="1" w:line="360" w:lineRule="auto"/>
        <w:jc w:val="both"/>
        <w:outlineLvl w:val="0"/>
        <w:rPr>
          <w:rFonts w:ascii="Arial" w:hAnsi="Arial" w:cs="Arial"/>
          <w:i/>
          <w:sz w:val="24"/>
          <w:szCs w:val="24"/>
          <w:vertAlign w:val="superscript"/>
        </w:rPr>
      </w:pPr>
      <w:r w:rsidRPr="00D04F54">
        <w:rPr>
          <w:rFonts w:ascii="Arial" w:hAnsi="Arial" w:cs="Arial"/>
          <w:b/>
          <w:sz w:val="24"/>
          <w:szCs w:val="24"/>
          <w:u w:val="single"/>
        </w:rPr>
        <w:t>3. Léčba tumorů dutiny ústní</w:t>
      </w:r>
    </w:p>
    <w:p w14:paraId="343012FC" w14:textId="77777777" w:rsidR="0064032D" w:rsidRPr="00A25D4A" w:rsidRDefault="0064032D" w:rsidP="008F13F9">
      <w:pPr>
        <w:spacing w:before="100" w:beforeAutospacing="1" w:after="100" w:afterAutospacing="1" w:line="360" w:lineRule="auto"/>
        <w:jc w:val="both"/>
        <w:rPr>
          <w:rFonts w:ascii="Arial" w:hAnsi="Arial" w:cs="Arial"/>
          <w:sz w:val="24"/>
          <w:szCs w:val="24"/>
          <w:u w:val="single"/>
        </w:rPr>
      </w:pPr>
      <w:r w:rsidRPr="00A25D4A">
        <w:rPr>
          <w:rFonts w:ascii="Arial" w:hAnsi="Arial" w:cs="Arial"/>
          <w:sz w:val="24"/>
          <w:szCs w:val="24"/>
          <w:u w:val="single"/>
        </w:rPr>
        <w:t>Léčba slizničních karcinomů dutiny ústní stojí na třech základních pilířích:</w:t>
      </w:r>
    </w:p>
    <w:p w14:paraId="33552E6E"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t>- radikální chirurgické odstranění nádoru</w:t>
      </w:r>
    </w:p>
    <w:p w14:paraId="65E3067A"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t>- radioterapie</w:t>
      </w:r>
    </w:p>
    <w:p w14:paraId="517C7253" w14:textId="77777777" w:rsidR="0064032D" w:rsidRDefault="0042146B"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 chemoterapie</w:t>
      </w:r>
    </w:p>
    <w:p w14:paraId="2E3ACB98" w14:textId="77777777" w:rsidR="00A25D4A" w:rsidRPr="008F13F9" w:rsidRDefault="00A25D4A" w:rsidP="008F13F9">
      <w:pPr>
        <w:spacing w:before="100" w:beforeAutospacing="1" w:after="100" w:afterAutospacing="1" w:line="360" w:lineRule="auto"/>
        <w:jc w:val="both"/>
        <w:rPr>
          <w:rFonts w:ascii="Arial" w:hAnsi="Arial" w:cs="Arial"/>
          <w:sz w:val="24"/>
          <w:szCs w:val="24"/>
        </w:rPr>
      </w:pPr>
    </w:p>
    <w:p w14:paraId="20A16036" w14:textId="77777777" w:rsidR="0064032D" w:rsidRPr="00D04F54" w:rsidRDefault="0064032D" w:rsidP="008F13F9">
      <w:pPr>
        <w:spacing w:before="100" w:beforeAutospacing="1" w:after="100" w:afterAutospacing="1" w:line="360" w:lineRule="auto"/>
        <w:jc w:val="both"/>
        <w:rPr>
          <w:rFonts w:ascii="Arial" w:hAnsi="Arial" w:cs="Arial"/>
          <w:b/>
          <w:sz w:val="24"/>
          <w:szCs w:val="24"/>
          <w:u w:val="single"/>
        </w:rPr>
      </w:pPr>
      <w:r w:rsidRPr="00D04F54">
        <w:rPr>
          <w:rFonts w:ascii="Arial" w:hAnsi="Arial" w:cs="Arial"/>
          <w:b/>
          <w:sz w:val="24"/>
          <w:szCs w:val="24"/>
          <w:u w:val="single"/>
        </w:rPr>
        <w:t>3.1. Chirurgická léčba</w:t>
      </w:r>
    </w:p>
    <w:p w14:paraId="69F4B0DC" w14:textId="77777777" w:rsidR="0064032D" w:rsidRDefault="00A25D4A" w:rsidP="008F13F9">
      <w:pPr>
        <w:spacing w:before="100" w:beforeAutospacing="1" w:after="100" w:afterAutospacing="1"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Chirurgická léčba </w:t>
      </w:r>
      <w:r>
        <w:rPr>
          <w:rFonts w:ascii="Arial" w:hAnsi="Arial" w:cs="Arial"/>
          <w:sz w:val="24"/>
          <w:szCs w:val="24"/>
        </w:rPr>
        <w:t>nádorů hlavy a krku</w:t>
      </w:r>
      <w:r w:rsidR="0064032D" w:rsidRPr="008F13F9">
        <w:rPr>
          <w:rFonts w:ascii="Arial" w:hAnsi="Arial" w:cs="Arial"/>
          <w:sz w:val="24"/>
          <w:szCs w:val="24"/>
        </w:rPr>
        <w:t xml:space="preserve"> spočívá v odstranění primárního ložiska tumoru pokud možno vcelku a s dostatečnou radikalitou a exenteraci spádových lymfatických uzlin.</w:t>
      </w:r>
    </w:p>
    <w:p w14:paraId="6B31DF6E" w14:textId="77777777" w:rsidR="00A25D4A" w:rsidRDefault="00A25D4A" w:rsidP="008F13F9">
      <w:pPr>
        <w:spacing w:before="100" w:beforeAutospacing="1" w:after="100" w:afterAutospacing="1" w:line="360" w:lineRule="auto"/>
        <w:jc w:val="both"/>
        <w:rPr>
          <w:rFonts w:ascii="Arial" w:hAnsi="Arial" w:cs="Arial"/>
          <w:sz w:val="24"/>
          <w:szCs w:val="24"/>
        </w:rPr>
      </w:pPr>
    </w:p>
    <w:p w14:paraId="7355744C" w14:textId="77777777" w:rsidR="00D04F54" w:rsidRPr="008F13F9" w:rsidRDefault="00D04F54" w:rsidP="008F13F9">
      <w:pPr>
        <w:spacing w:before="100" w:beforeAutospacing="1" w:after="100" w:afterAutospacing="1" w:line="360" w:lineRule="auto"/>
        <w:jc w:val="both"/>
        <w:rPr>
          <w:rFonts w:ascii="Arial" w:hAnsi="Arial" w:cs="Arial"/>
          <w:sz w:val="24"/>
          <w:szCs w:val="24"/>
        </w:rPr>
      </w:pPr>
    </w:p>
    <w:p w14:paraId="305B72D5" w14:textId="77777777" w:rsidR="0064032D" w:rsidRPr="00D04F54" w:rsidRDefault="0064032D" w:rsidP="008F13F9">
      <w:pPr>
        <w:spacing w:before="100" w:beforeAutospacing="1" w:after="100" w:afterAutospacing="1" w:line="360" w:lineRule="auto"/>
        <w:jc w:val="both"/>
        <w:rPr>
          <w:rFonts w:ascii="Arial" w:hAnsi="Arial" w:cs="Arial"/>
          <w:b/>
          <w:sz w:val="24"/>
          <w:szCs w:val="24"/>
          <w:u w:val="single"/>
        </w:rPr>
      </w:pPr>
      <w:r w:rsidRPr="00D04F54">
        <w:rPr>
          <w:rFonts w:ascii="Arial" w:hAnsi="Arial" w:cs="Arial"/>
          <w:b/>
          <w:sz w:val="24"/>
          <w:szCs w:val="24"/>
          <w:u w:val="single"/>
        </w:rPr>
        <w:t>3.1.1. Odstranění primárního ložiska tumoru</w:t>
      </w:r>
    </w:p>
    <w:p w14:paraId="3F512C85" w14:textId="77777777" w:rsidR="0064032D" w:rsidRPr="008F13F9" w:rsidRDefault="0064032D" w:rsidP="008F13F9">
      <w:pPr>
        <w:spacing w:before="100" w:beforeAutospacing="1" w:after="100" w:afterAutospacing="1" w:line="360" w:lineRule="auto"/>
        <w:ind w:firstLine="720"/>
        <w:jc w:val="both"/>
        <w:rPr>
          <w:rFonts w:ascii="Arial" w:hAnsi="Arial" w:cs="Arial"/>
          <w:sz w:val="24"/>
          <w:szCs w:val="24"/>
        </w:rPr>
      </w:pPr>
      <w:r w:rsidRPr="008F13F9">
        <w:rPr>
          <w:rFonts w:ascii="Arial" w:hAnsi="Arial" w:cs="Arial"/>
          <w:sz w:val="24"/>
          <w:szCs w:val="24"/>
        </w:rPr>
        <w:t xml:space="preserve">Chirurgický výkon stále zůstává nejefektivnějším typem léčby zhoubného onemocnění. Skládá se ze samotné excize nádoru spolu s okolní zdravou tkání tak, aby byl vlastní okraj extirpovaného zhoubného tumoru vzdálen minimálně 0,5 cm od resekční linie. Tento požadavek nelze vždy splnit, ale úkolem chirurga je pohybovat se co nejvíce ve zdravé, nádorem neinfiltrované krajině. </w:t>
      </w:r>
    </w:p>
    <w:p w14:paraId="2825CDAC" w14:textId="77777777" w:rsidR="0064032D" w:rsidRPr="008F13F9" w:rsidRDefault="0064032D" w:rsidP="008F13F9">
      <w:pPr>
        <w:spacing w:before="100" w:beforeAutospacing="1" w:after="100" w:afterAutospacing="1" w:line="360" w:lineRule="auto"/>
        <w:ind w:firstLine="720"/>
        <w:jc w:val="both"/>
        <w:rPr>
          <w:rFonts w:ascii="Arial" w:hAnsi="Arial" w:cs="Arial"/>
          <w:sz w:val="24"/>
          <w:szCs w:val="24"/>
        </w:rPr>
      </w:pPr>
      <w:r w:rsidRPr="008F13F9">
        <w:rPr>
          <w:rFonts w:ascii="Arial" w:hAnsi="Arial" w:cs="Arial"/>
          <w:sz w:val="24"/>
          <w:szCs w:val="24"/>
        </w:rPr>
        <w:t>Vzniklý defekt je poté možno uzavřít místními posuny tkání anebo, pokud to není možné, využívat k rekonstrukci defektu vzdálených anebo rotačních laloků. Je nutno pamatovat na to, že onkochirurgické výkony jsou nejen velmi zatěžující pro pacienta, ale také časově a finančně náročné.</w:t>
      </w:r>
    </w:p>
    <w:p w14:paraId="4D5013C7" w14:textId="77777777" w:rsidR="003D3503" w:rsidRDefault="0064032D" w:rsidP="003D3503">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t xml:space="preserve"> </w:t>
      </w:r>
      <w:r w:rsidRPr="008F13F9">
        <w:rPr>
          <w:rFonts w:ascii="Arial" w:hAnsi="Arial" w:cs="Arial"/>
          <w:sz w:val="24"/>
          <w:szCs w:val="24"/>
        </w:rPr>
        <w:tab/>
        <w:t>V rámci nutričního zajištění pacienta velmi často zavádíme perkutánní endoskopickou gastrostomii, jelikož prostá nazogastrická sonda nejenže paciety obtěžuje svou přítomností, ale po více jak 10 dnech může způsobit dekubity v místě kontaktu s trávicí trubicí, což vede k jizvení a strinkturám. Vzhledem k náročnosti výkonu a riziku pooperačních edémů v krajině ústní dutiny a horních dýchacích cest často volíme  tracheostomii k zajištění průchodnosti dýchacích cest.</w:t>
      </w:r>
    </w:p>
    <w:p w14:paraId="1413A066" w14:textId="77777777" w:rsidR="0064032D" w:rsidRPr="00D04F54" w:rsidRDefault="0064032D" w:rsidP="003D3503">
      <w:pPr>
        <w:spacing w:before="100" w:beforeAutospacing="1" w:after="100" w:afterAutospacing="1" w:line="360" w:lineRule="auto"/>
        <w:jc w:val="both"/>
        <w:rPr>
          <w:rFonts w:ascii="Arial" w:hAnsi="Arial" w:cs="Arial"/>
          <w:b/>
          <w:sz w:val="24"/>
          <w:szCs w:val="24"/>
        </w:rPr>
      </w:pPr>
      <w:r w:rsidRPr="00D04F54">
        <w:rPr>
          <w:rFonts w:ascii="Arial" w:hAnsi="Arial" w:cs="Arial"/>
          <w:b/>
          <w:sz w:val="24"/>
          <w:szCs w:val="24"/>
          <w:u w:val="single"/>
        </w:rPr>
        <w:t>3.1.2. Krční bloková disekce</w:t>
      </w:r>
    </w:p>
    <w:p w14:paraId="4FFD1A22"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Vedle eliminace vlastního nádorového ložiska musíme přistoupit i k eradikaci metastáz v oblasti krčních lymfatických uzlin na krku.</w:t>
      </w:r>
    </w:p>
    <w:p w14:paraId="3BE06338" w14:textId="77777777" w:rsidR="0064032D" w:rsidRPr="008F13F9" w:rsidRDefault="0064032D" w:rsidP="00A25D4A">
      <w:pPr>
        <w:widowControl w:val="0"/>
        <w:autoSpaceDE w:val="0"/>
        <w:autoSpaceDN w:val="0"/>
        <w:adjustRightInd w:val="0"/>
        <w:spacing w:after="240" w:line="360" w:lineRule="auto"/>
        <w:ind w:firstLine="720"/>
        <w:jc w:val="both"/>
        <w:rPr>
          <w:rFonts w:ascii="Arial" w:hAnsi="Arial" w:cs="Arial"/>
          <w:sz w:val="24"/>
          <w:szCs w:val="24"/>
          <w:lang w:val="en-US"/>
        </w:rPr>
      </w:pPr>
      <w:r w:rsidRPr="008F13F9">
        <w:rPr>
          <w:rFonts w:ascii="Arial" w:hAnsi="Arial" w:cs="Arial"/>
          <w:sz w:val="24"/>
          <w:szCs w:val="24"/>
        </w:rPr>
        <w:t xml:space="preserve">Crile v roce 1906 navrhl tzv. </w:t>
      </w:r>
      <w:r w:rsidRPr="00A25D4A">
        <w:rPr>
          <w:rFonts w:ascii="Arial" w:hAnsi="Arial" w:cs="Arial"/>
          <w:i/>
          <w:sz w:val="24"/>
          <w:szCs w:val="24"/>
        </w:rPr>
        <w:t>radikální krční blokovou disekci</w:t>
      </w:r>
      <w:r w:rsidRPr="008F13F9">
        <w:rPr>
          <w:rFonts w:ascii="Arial" w:hAnsi="Arial" w:cs="Arial"/>
          <w:sz w:val="24"/>
          <w:szCs w:val="24"/>
        </w:rPr>
        <w:t xml:space="preserve"> s odstraněním lymfatických uzlin  i přes klinicky negativní nález krčních metástaz. Tato operace ve své době znamenala průlom v léčbě nemocných nádory hlavy a krku</w:t>
      </w:r>
      <w:r w:rsidR="007C393E">
        <w:rPr>
          <w:rFonts w:ascii="Arial" w:hAnsi="Arial" w:cs="Arial"/>
          <w:sz w:val="24"/>
          <w:szCs w:val="24"/>
        </w:rPr>
        <w:t>,</w:t>
      </w:r>
      <w:r w:rsidRPr="008F13F9">
        <w:rPr>
          <w:rFonts w:ascii="Arial" w:hAnsi="Arial" w:cs="Arial"/>
          <w:sz w:val="24"/>
          <w:szCs w:val="24"/>
        </w:rPr>
        <w:t xml:space="preserve"> jimž umožnila výrazně delší přežití.</w:t>
      </w:r>
      <w:r w:rsidRPr="008F13F9">
        <w:rPr>
          <w:rFonts w:ascii="Arial" w:hAnsi="Arial" w:cs="Arial"/>
          <w:sz w:val="24"/>
          <w:szCs w:val="24"/>
          <w:lang w:val="en-US"/>
        </w:rPr>
        <w:t xml:space="preserve"> Je nutné podotknout, že i v dne</w:t>
      </w:r>
      <w:r w:rsidR="007C393E">
        <w:rPr>
          <w:rFonts w:ascii="Arial" w:hAnsi="Arial" w:cs="Arial"/>
          <w:sz w:val="24"/>
          <w:szCs w:val="24"/>
          <w:lang w:val="en-US"/>
        </w:rPr>
        <w:t xml:space="preserve">šní době má tato operace </w:t>
      </w:r>
      <w:r w:rsidRPr="008F13F9">
        <w:rPr>
          <w:rFonts w:ascii="Arial" w:hAnsi="Arial" w:cs="Arial"/>
          <w:sz w:val="24"/>
          <w:szCs w:val="24"/>
          <w:lang w:val="en-US"/>
        </w:rPr>
        <w:t>stále své místo v chi</w:t>
      </w:r>
      <w:r w:rsidR="00A25D4A">
        <w:rPr>
          <w:rFonts w:ascii="Arial" w:hAnsi="Arial" w:cs="Arial"/>
          <w:sz w:val="24"/>
          <w:szCs w:val="24"/>
          <w:lang w:val="en-US"/>
        </w:rPr>
        <w:t>rurgické léčbě krčních metastáz.</w:t>
      </w:r>
    </w:p>
    <w:p w14:paraId="2A4B1F28" w14:textId="77777777" w:rsidR="0064032D" w:rsidRPr="008F13F9" w:rsidRDefault="0064032D" w:rsidP="008F13F9">
      <w:pPr>
        <w:widowControl w:val="0"/>
        <w:autoSpaceDE w:val="0"/>
        <w:autoSpaceDN w:val="0"/>
        <w:adjustRightInd w:val="0"/>
        <w:spacing w:after="240" w:line="360" w:lineRule="auto"/>
        <w:ind w:firstLine="720"/>
        <w:jc w:val="both"/>
        <w:rPr>
          <w:rFonts w:ascii="Arial" w:hAnsi="Arial" w:cs="Arial"/>
          <w:sz w:val="24"/>
          <w:szCs w:val="24"/>
          <w:lang w:val="en-US"/>
        </w:rPr>
      </w:pPr>
      <w:r w:rsidRPr="008F13F9">
        <w:rPr>
          <w:rFonts w:ascii="Arial" w:hAnsi="Arial" w:cs="Arial"/>
          <w:sz w:val="24"/>
          <w:szCs w:val="24"/>
          <w:lang w:val="en-US"/>
        </w:rPr>
        <w:lastRenderedPageBreak/>
        <w:t>Podle současné klasifikace Výboru pro chirurgii hlavy a krku Ame</w:t>
      </w:r>
      <w:r w:rsidR="00DE0DA7">
        <w:rPr>
          <w:rFonts w:ascii="Arial" w:hAnsi="Arial" w:cs="Arial"/>
          <w:sz w:val="24"/>
          <w:szCs w:val="24"/>
          <w:lang w:val="en-US"/>
        </w:rPr>
        <w:t>rické akademie otolaryngologie -</w:t>
      </w:r>
      <w:r w:rsidRPr="008F13F9">
        <w:rPr>
          <w:rFonts w:ascii="Arial" w:hAnsi="Arial" w:cs="Arial"/>
          <w:sz w:val="24"/>
          <w:szCs w:val="24"/>
          <w:lang w:val="en-US"/>
        </w:rPr>
        <w:t xml:space="preserve"> chirurgie hlavy a krku (</w:t>
      </w:r>
      <w:r w:rsidRPr="008F13F9">
        <w:rPr>
          <w:rFonts w:ascii="Arial" w:hAnsi="Arial" w:cs="Arial"/>
          <w:i/>
          <w:sz w:val="24"/>
          <w:szCs w:val="24"/>
          <w:lang w:val="en-US"/>
        </w:rPr>
        <w:t>Committee for Head and Neck Surgery and Oncology of the American Academy of Otolaryngology-Head and Neck Surgery</w:t>
      </w:r>
      <w:r w:rsidRPr="008F13F9">
        <w:rPr>
          <w:rFonts w:ascii="Arial" w:hAnsi="Arial" w:cs="Arial"/>
          <w:sz w:val="24"/>
          <w:szCs w:val="24"/>
          <w:lang w:val="en-US"/>
        </w:rPr>
        <w:t>) rozlišujeme několik typů krčních blokových disekcí, které jsou založeny na následujcích principech:</w:t>
      </w:r>
    </w:p>
    <w:p w14:paraId="1EF703C5" w14:textId="77777777" w:rsidR="0064032D" w:rsidRPr="008F13F9" w:rsidRDefault="00DE0DA7" w:rsidP="008F13F9">
      <w:pPr>
        <w:widowControl w:val="0"/>
        <w:autoSpaceDE w:val="0"/>
        <w:autoSpaceDN w:val="0"/>
        <w:adjustRightInd w:val="0"/>
        <w:spacing w:after="240" w:line="360" w:lineRule="auto"/>
        <w:jc w:val="both"/>
        <w:rPr>
          <w:rFonts w:ascii="Arial" w:hAnsi="Arial" w:cs="Arial"/>
          <w:sz w:val="24"/>
          <w:szCs w:val="24"/>
          <w:lang w:val="en-US"/>
        </w:rPr>
      </w:pPr>
      <w:r w:rsidRPr="00DE0DA7">
        <w:rPr>
          <w:rFonts w:ascii="Arial" w:hAnsi="Arial" w:cs="Arial"/>
          <w:sz w:val="24"/>
          <w:szCs w:val="24"/>
          <w:lang w:val="en-US"/>
        </w:rPr>
        <w:tab/>
      </w:r>
      <w:r w:rsidR="0064032D" w:rsidRPr="008F13F9">
        <w:rPr>
          <w:rFonts w:ascii="Arial" w:hAnsi="Arial" w:cs="Arial"/>
          <w:sz w:val="24"/>
          <w:szCs w:val="24"/>
          <w:u w:val="single"/>
          <w:lang w:val="en-US"/>
        </w:rPr>
        <w:t>Radikální krční bloková disekce</w:t>
      </w:r>
      <w:r w:rsidR="0064032D" w:rsidRPr="008F13F9">
        <w:rPr>
          <w:rFonts w:ascii="Arial" w:hAnsi="Arial" w:cs="Arial"/>
          <w:sz w:val="24"/>
          <w:szCs w:val="24"/>
          <w:lang w:val="en-US"/>
        </w:rPr>
        <w:t xml:space="preserve"> - standardní zákrok k provedení krční lymfadenektomie, všechny ostatní operace reprezentují jednu nebo několik modifikací této operace.</w:t>
      </w:r>
    </w:p>
    <w:p w14:paraId="055865ED" w14:textId="77777777" w:rsidR="0064032D" w:rsidRPr="008F13F9" w:rsidRDefault="0064032D" w:rsidP="008F13F9">
      <w:pPr>
        <w:widowControl w:val="0"/>
        <w:autoSpaceDE w:val="0"/>
        <w:autoSpaceDN w:val="0"/>
        <w:adjustRightInd w:val="0"/>
        <w:spacing w:after="240" w:line="360" w:lineRule="auto"/>
        <w:ind w:firstLine="720"/>
        <w:jc w:val="both"/>
        <w:rPr>
          <w:rFonts w:ascii="Arial" w:hAnsi="Arial" w:cs="Arial"/>
          <w:sz w:val="24"/>
          <w:szCs w:val="24"/>
          <w:lang w:val="en-US"/>
        </w:rPr>
      </w:pPr>
      <w:r w:rsidRPr="008F13F9">
        <w:rPr>
          <w:rFonts w:ascii="Arial" w:hAnsi="Arial" w:cs="Arial"/>
          <w:sz w:val="24"/>
          <w:szCs w:val="24"/>
          <w:lang w:val="en-US"/>
        </w:rPr>
        <w:t xml:space="preserve">Zákrok spočívá v en bloc odstranění tukově-lymfatické tkáně, která obsahuje lymfatické uzliny z etáží I-V a z okolí cauda parotis. Dále jsou resekovány n. accesorius, v. jugularis interna a m. sternocleidomastoideus. </w:t>
      </w:r>
    </w:p>
    <w:p w14:paraId="2B4AE1E8" w14:textId="77777777" w:rsidR="0064032D" w:rsidRDefault="0064032D" w:rsidP="008F13F9">
      <w:pPr>
        <w:widowControl w:val="0"/>
        <w:autoSpaceDE w:val="0"/>
        <w:autoSpaceDN w:val="0"/>
        <w:adjustRightInd w:val="0"/>
        <w:spacing w:after="240" w:line="360" w:lineRule="auto"/>
        <w:ind w:firstLine="720"/>
        <w:jc w:val="both"/>
        <w:rPr>
          <w:rFonts w:ascii="Arial" w:hAnsi="Arial" w:cs="Arial"/>
          <w:sz w:val="24"/>
          <w:szCs w:val="24"/>
          <w:lang w:val="en-US"/>
        </w:rPr>
      </w:pPr>
      <w:r w:rsidRPr="008F13F9">
        <w:rPr>
          <w:rFonts w:ascii="Arial" w:hAnsi="Arial" w:cs="Arial"/>
          <w:sz w:val="24"/>
          <w:szCs w:val="24"/>
          <w:lang w:val="en-US"/>
        </w:rPr>
        <w:t xml:space="preserve">Dnes je tato operace doporučena pouze u pacientů s vysokým </w:t>
      </w:r>
      <w:r w:rsidR="00372322">
        <w:rPr>
          <w:rFonts w:ascii="Arial" w:hAnsi="Arial" w:cs="Arial"/>
          <w:sz w:val="24"/>
          <w:szCs w:val="24"/>
          <w:lang w:val="en-US"/>
        </w:rPr>
        <w:t xml:space="preserve">N+ </w:t>
      </w:r>
      <w:r w:rsidRPr="008F13F9">
        <w:rPr>
          <w:rFonts w:ascii="Arial" w:hAnsi="Arial" w:cs="Arial"/>
          <w:sz w:val="24"/>
          <w:szCs w:val="24"/>
          <w:lang w:val="en-US"/>
        </w:rPr>
        <w:t xml:space="preserve">stádiem, při </w:t>
      </w:r>
      <w:r w:rsidR="00372322">
        <w:rPr>
          <w:rFonts w:ascii="Arial" w:hAnsi="Arial" w:cs="Arial"/>
          <w:sz w:val="24"/>
          <w:szCs w:val="24"/>
          <w:lang w:val="en-US"/>
        </w:rPr>
        <w:t xml:space="preserve">uzlinových </w:t>
      </w:r>
      <w:r w:rsidRPr="008F13F9">
        <w:rPr>
          <w:rFonts w:ascii="Arial" w:hAnsi="Arial" w:cs="Arial"/>
          <w:sz w:val="24"/>
          <w:szCs w:val="24"/>
          <w:lang w:val="en-US"/>
        </w:rPr>
        <w:t xml:space="preserve">recidivách po chemoradioterpii nebo u pacientů s rozsáhlým extrakapsulárním šířením směrem k n. accesorius, m. sternocleidomastoideus a/nebo v. jugularis interna. </w:t>
      </w:r>
    </w:p>
    <w:p w14:paraId="72C94C95" w14:textId="77777777" w:rsidR="00DE0DA7" w:rsidRPr="008F13F9" w:rsidRDefault="00DE0DA7" w:rsidP="008F13F9">
      <w:pPr>
        <w:widowControl w:val="0"/>
        <w:autoSpaceDE w:val="0"/>
        <w:autoSpaceDN w:val="0"/>
        <w:adjustRightInd w:val="0"/>
        <w:spacing w:after="240" w:line="360" w:lineRule="auto"/>
        <w:ind w:firstLine="720"/>
        <w:jc w:val="both"/>
        <w:rPr>
          <w:rFonts w:ascii="Arial" w:hAnsi="Arial" w:cs="Arial"/>
          <w:sz w:val="24"/>
          <w:szCs w:val="24"/>
          <w:lang w:val="en-US"/>
        </w:rPr>
      </w:pPr>
    </w:p>
    <w:p w14:paraId="2F8BDF06" w14:textId="77777777" w:rsidR="0064032D" w:rsidRPr="008F13F9" w:rsidRDefault="00DE0DA7" w:rsidP="008F13F9">
      <w:pPr>
        <w:widowControl w:val="0"/>
        <w:autoSpaceDE w:val="0"/>
        <w:autoSpaceDN w:val="0"/>
        <w:adjustRightInd w:val="0"/>
        <w:spacing w:after="240" w:line="360" w:lineRule="auto"/>
        <w:jc w:val="both"/>
        <w:rPr>
          <w:rFonts w:ascii="Arial" w:hAnsi="Arial" w:cs="Arial"/>
          <w:sz w:val="24"/>
          <w:szCs w:val="24"/>
          <w:lang w:val="en-US"/>
        </w:rPr>
      </w:pPr>
      <w:r>
        <w:rPr>
          <w:rFonts w:ascii="Arial" w:hAnsi="Arial" w:cs="Arial"/>
          <w:sz w:val="24"/>
          <w:szCs w:val="24"/>
          <w:lang w:val="en-US"/>
        </w:rPr>
        <w:tab/>
      </w:r>
      <w:r w:rsidR="0064032D" w:rsidRPr="008F13F9">
        <w:rPr>
          <w:rFonts w:ascii="Arial" w:hAnsi="Arial" w:cs="Arial"/>
          <w:sz w:val="24"/>
          <w:szCs w:val="24"/>
          <w:u w:val="single"/>
          <w:lang w:val="en-US"/>
        </w:rPr>
        <w:t>Modifikovaná radikální krční bloková disekce</w:t>
      </w:r>
      <w:r w:rsidR="0064032D" w:rsidRPr="008F13F9">
        <w:rPr>
          <w:rFonts w:ascii="Arial" w:hAnsi="Arial" w:cs="Arial"/>
          <w:sz w:val="24"/>
          <w:szCs w:val="24"/>
          <w:lang w:val="en-US"/>
        </w:rPr>
        <w:t xml:space="preserve"> zachovává jednu nebo několik nelymfatických struktur. Rozsahem je tedy stejná jako radikální bloková disekce, ale šetrnější vůči jedné nebo několika důležitým strukturám, např. n. accesorius, v. jugularis interna, nebo m. st</w:t>
      </w:r>
      <w:r>
        <w:rPr>
          <w:rFonts w:ascii="Arial" w:hAnsi="Arial" w:cs="Arial"/>
          <w:sz w:val="24"/>
          <w:szCs w:val="24"/>
          <w:lang w:val="en-US"/>
        </w:rPr>
        <w:t>er</w:t>
      </w:r>
      <w:r w:rsidR="0064032D" w:rsidRPr="008F13F9">
        <w:rPr>
          <w:rFonts w:ascii="Arial" w:hAnsi="Arial" w:cs="Arial"/>
          <w:sz w:val="24"/>
          <w:szCs w:val="24"/>
          <w:lang w:val="en-US"/>
        </w:rPr>
        <w:t>nocleidomastoideus.</w:t>
      </w:r>
    </w:p>
    <w:p w14:paraId="23F7BC6D" w14:textId="77777777" w:rsidR="0064032D" w:rsidRPr="008F13F9" w:rsidRDefault="00DE0DA7" w:rsidP="003D3503">
      <w:pPr>
        <w:widowControl w:val="0"/>
        <w:autoSpaceDE w:val="0"/>
        <w:autoSpaceDN w:val="0"/>
        <w:adjustRightInd w:val="0"/>
        <w:spacing w:after="240" w:line="360" w:lineRule="auto"/>
        <w:jc w:val="both"/>
        <w:rPr>
          <w:rFonts w:ascii="Arial" w:hAnsi="Arial" w:cs="Arial"/>
          <w:sz w:val="24"/>
          <w:szCs w:val="24"/>
          <w:lang w:val="en-US"/>
        </w:rPr>
      </w:pPr>
      <w:r>
        <w:rPr>
          <w:rFonts w:ascii="Arial" w:hAnsi="Arial" w:cs="Arial"/>
          <w:sz w:val="24"/>
          <w:szCs w:val="24"/>
          <w:lang w:val="en-US"/>
        </w:rPr>
        <w:tab/>
      </w:r>
      <w:r w:rsidR="0064032D" w:rsidRPr="008F13F9">
        <w:rPr>
          <w:rFonts w:ascii="Arial" w:hAnsi="Arial" w:cs="Arial"/>
          <w:sz w:val="24"/>
          <w:szCs w:val="24"/>
          <w:u w:val="single"/>
          <w:lang w:val="en-US"/>
        </w:rPr>
        <w:t>Selektivní krční bloková disekce</w:t>
      </w:r>
      <w:r w:rsidR="0064032D" w:rsidRPr="008F13F9">
        <w:rPr>
          <w:rFonts w:ascii="Arial" w:hAnsi="Arial" w:cs="Arial"/>
          <w:sz w:val="24"/>
          <w:szCs w:val="24"/>
          <w:lang w:val="en-US"/>
        </w:rPr>
        <w:t xml:space="preserve"> </w:t>
      </w:r>
      <w:r w:rsidR="00372322">
        <w:rPr>
          <w:rFonts w:ascii="Arial" w:hAnsi="Arial" w:cs="Arial"/>
          <w:sz w:val="24"/>
          <w:szCs w:val="24"/>
          <w:lang w:val="en-US"/>
        </w:rPr>
        <w:t>se zaměřuje na skupinu uzlin, které jsou vzhl</w:t>
      </w:r>
      <w:r>
        <w:rPr>
          <w:rFonts w:ascii="Arial" w:hAnsi="Arial" w:cs="Arial"/>
          <w:sz w:val="24"/>
          <w:szCs w:val="24"/>
          <w:lang w:val="en-US"/>
        </w:rPr>
        <w:t>edem k lokalitě primárního tumo</w:t>
      </w:r>
      <w:r w:rsidR="00372322">
        <w:rPr>
          <w:rFonts w:ascii="Arial" w:hAnsi="Arial" w:cs="Arial"/>
          <w:sz w:val="24"/>
          <w:szCs w:val="24"/>
          <w:lang w:val="en-US"/>
        </w:rPr>
        <w:t>ru statistic</w:t>
      </w:r>
      <w:r>
        <w:rPr>
          <w:rFonts w:ascii="Arial" w:hAnsi="Arial" w:cs="Arial"/>
          <w:sz w:val="24"/>
          <w:szCs w:val="24"/>
          <w:lang w:val="en-US"/>
        </w:rPr>
        <w:t>k</w:t>
      </w:r>
      <w:r w:rsidR="00372322">
        <w:rPr>
          <w:rFonts w:ascii="Arial" w:hAnsi="Arial" w:cs="Arial"/>
          <w:sz w:val="24"/>
          <w:szCs w:val="24"/>
          <w:lang w:val="en-US"/>
        </w:rPr>
        <w:t>y nejčastěji postiženy.</w:t>
      </w:r>
    </w:p>
    <w:p w14:paraId="720473DE" w14:textId="77777777" w:rsidR="0064032D" w:rsidRPr="008F13F9" w:rsidRDefault="0064032D" w:rsidP="008F13F9">
      <w:pPr>
        <w:widowControl w:val="0"/>
        <w:autoSpaceDE w:val="0"/>
        <w:autoSpaceDN w:val="0"/>
        <w:adjustRightInd w:val="0"/>
        <w:spacing w:after="240" w:line="360" w:lineRule="auto"/>
        <w:ind w:firstLine="720"/>
        <w:jc w:val="both"/>
        <w:rPr>
          <w:rFonts w:ascii="Arial" w:hAnsi="Arial" w:cs="Arial"/>
          <w:sz w:val="24"/>
          <w:szCs w:val="24"/>
          <w:lang w:val="en-US"/>
        </w:rPr>
      </w:pPr>
      <w:r w:rsidRPr="008F13F9">
        <w:rPr>
          <w:rFonts w:ascii="Arial" w:hAnsi="Arial" w:cs="Arial"/>
          <w:sz w:val="24"/>
          <w:szCs w:val="24"/>
          <w:lang w:val="en-US"/>
        </w:rPr>
        <w:t xml:space="preserve">U této blokové disekce u karcinomů dutiny ústní exenterujeme úrovně I-III. Doporučována je u stádií N0 a N1, nicméně díky složité lymfatické drenáži jazyka někteří autoři doporučují rozsah etáží I-IV.  </w:t>
      </w:r>
    </w:p>
    <w:p w14:paraId="40EA602E" w14:textId="63920509" w:rsidR="00D04F54" w:rsidRDefault="00DE0DA7" w:rsidP="008F13F9">
      <w:pPr>
        <w:widowControl w:val="0"/>
        <w:autoSpaceDE w:val="0"/>
        <w:autoSpaceDN w:val="0"/>
        <w:adjustRightInd w:val="0"/>
        <w:spacing w:after="240" w:line="360" w:lineRule="auto"/>
        <w:jc w:val="both"/>
        <w:rPr>
          <w:rFonts w:ascii="Arial" w:hAnsi="Arial" w:cs="Arial"/>
          <w:sz w:val="24"/>
          <w:szCs w:val="24"/>
          <w:lang w:val="en-US"/>
        </w:rPr>
      </w:pPr>
      <w:r>
        <w:rPr>
          <w:rFonts w:ascii="Arial" w:hAnsi="Arial" w:cs="Arial"/>
          <w:sz w:val="24"/>
          <w:szCs w:val="24"/>
          <w:lang w:val="en-US"/>
        </w:rPr>
        <w:tab/>
      </w:r>
      <w:r w:rsidR="0064032D" w:rsidRPr="008F13F9">
        <w:rPr>
          <w:rFonts w:ascii="Arial" w:hAnsi="Arial" w:cs="Arial"/>
          <w:sz w:val="24"/>
          <w:szCs w:val="24"/>
          <w:u w:val="single"/>
          <w:lang w:val="en-US"/>
        </w:rPr>
        <w:t>Extendovaná krční bloková disekce</w:t>
      </w:r>
      <w:r w:rsidR="0064032D" w:rsidRPr="008F13F9">
        <w:rPr>
          <w:rFonts w:ascii="Arial" w:hAnsi="Arial" w:cs="Arial"/>
          <w:sz w:val="24"/>
          <w:szCs w:val="24"/>
          <w:lang w:val="en-US"/>
        </w:rPr>
        <w:t xml:space="preserve"> za</w:t>
      </w:r>
      <w:r w:rsidR="00372322">
        <w:rPr>
          <w:rFonts w:ascii="Arial" w:hAnsi="Arial" w:cs="Arial"/>
          <w:sz w:val="24"/>
          <w:szCs w:val="24"/>
          <w:lang w:val="en-US"/>
        </w:rPr>
        <w:t>hrnuje odstranění dalších tkání, postižených metastatickým šířením nádoru.</w:t>
      </w:r>
    </w:p>
    <w:p w14:paraId="73D81065" w14:textId="77777777" w:rsidR="00CB49B3" w:rsidRPr="008F13F9" w:rsidRDefault="00CB49B3" w:rsidP="008F13F9">
      <w:pPr>
        <w:widowControl w:val="0"/>
        <w:autoSpaceDE w:val="0"/>
        <w:autoSpaceDN w:val="0"/>
        <w:adjustRightInd w:val="0"/>
        <w:spacing w:after="240" w:line="360" w:lineRule="auto"/>
        <w:jc w:val="both"/>
        <w:rPr>
          <w:rFonts w:ascii="Arial" w:hAnsi="Arial" w:cs="Arial"/>
          <w:sz w:val="24"/>
          <w:szCs w:val="24"/>
          <w:lang w:val="en-US"/>
        </w:rPr>
      </w:pPr>
    </w:p>
    <w:p w14:paraId="7A7896C1" w14:textId="77777777" w:rsidR="0064032D" w:rsidRPr="00D04F54" w:rsidRDefault="0064032D" w:rsidP="008F13F9">
      <w:pPr>
        <w:widowControl w:val="0"/>
        <w:autoSpaceDE w:val="0"/>
        <w:autoSpaceDN w:val="0"/>
        <w:adjustRightInd w:val="0"/>
        <w:spacing w:after="240" w:line="360" w:lineRule="auto"/>
        <w:jc w:val="both"/>
        <w:outlineLvl w:val="0"/>
        <w:rPr>
          <w:rFonts w:ascii="Arial" w:hAnsi="Arial" w:cs="Arial"/>
          <w:b/>
          <w:sz w:val="24"/>
          <w:szCs w:val="24"/>
          <w:lang w:val="en-US"/>
        </w:rPr>
      </w:pPr>
      <w:r w:rsidRPr="00D04F54">
        <w:rPr>
          <w:rFonts w:ascii="Arial" w:hAnsi="Arial" w:cs="Arial"/>
          <w:b/>
          <w:sz w:val="24"/>
          <w:szCs w:val="24"/>
          <w:u w:val="single"/>
        </w:rPr>
        <w:t>3.2. Radioterapie</w:t>
      </w:r>
    </w:p>
    <w:p w14:paraId="7F3C6657"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Radioterapie u onkologicky nemocných může být využita v rámci primární terapie nádorů hlavy a krku, jako adjuvantní nebo neoadjuvatní součást</w:t>
      </w:r>
      <w:r w:rsidR="00372322">
        <w:rPr>
          <w:rFonts w:ascii="Arial" w:hAnsi="Arial" w:cs="Arial"/>
          <w:sz w:val="24"/>
          <w:szCs w:val="24"/>
        </w:rPr>
        <w:t xml:space="preserve"> chirur</w:t>
      </w:r>
      <w:r w:rsidR="009B1ED2">
        <w:rPr>
          <w:rFonts w:ascii="Arial" w:hAnsi="Arial" w:cs="Arial"/>
          <w:sz w:val="24"/>
          <w:szCs w:val="24"/>
        </w:rPr>
        <w:t>gické</w:t>
      </w:r>
      <w:r w:rsidRPr="008F13F9">
        <w:rPr>
          <w:rFonts w:ascii="Arial" w:hAnsi="Arial" w:cs="Arial"/>
          <w:sz w:val="24"/>
          <w:szCs w:val="24"/>
        </w:rPr>
        <w:t xml:space="preserve"> léčby anebo jako tzv. paliativní léčba.</w:t>
      </w:r>
    </w:p>
    <w:p w14:paraId="4B2F1E1A" w14:textId="77777777" w:rsidR="0064032D" w:rsidRPr="008F13F9" w:rsidRDefault="0064032D" w:rsidP="008F13F9">
      <w:pPr>
        <w:spacing w:before="100" w:beforeAutospacing="1" w:after="100" w:afterAutospacing="1" w:line="360" w:lineRule="auto"/>
        <w:ind w:firstLine="720"/>
        <w:jc w:val="both"/>
        <w:rPr>
          <w:rFonts w:ascii="Arial" w:hAnsi="Arial" w:cs="Arial"/>
          <w:sz w:val="24"/>
          <w:szCs w:val="24"/>
        </w:rPr>
      </w:pPr>
      <w:r w:rsidRPr="008F13F9">
        <w:rPr>
          <w:rFonts w:ascii="Arial" w:hAnsi="Arial" w:cs="Arial"/>
          <w:sz w:val="24"/>
          <w:szCs w:val="24"/>
        </w:rPr>
        <w:t xml:space="preserve">Biologický účinek samotné radioterapie lze navýšit úpravou frakcionace (hyperfrakcionace, akcelerovaná frakcionace, concomitant boost atd.), konkomitantní chemoterapií nebo biologickou léčbou (anti-EGFR terapie). Od ostatních nádorů hlavy a krku se odlišují jednak karcinom nosohltanu, kde je obvyklým léčebným postupem radikální radio-chemoterapie s adjuvantní chemoterapií a karcinom slinných žláz, kde je základem léčby chirurgický zákrok. </w:t>
      </w:r>
    </w:p>
    <w:p w14:paraId="69A2A715" w14:textId="77777777" w:rsidR="0064032D" w:rsidRPr="008F13F9" w:rsidRDefault="0064032D" w:rsidP="008F13F9">
      <w:pPr>
        <w:spacing w:before="100" w:beforeAutospacing="1" w:after="100" w:afterAutospacing="1" w:line="360" w:lineRule="auto"/>
        <w:ind w:firstLine="720"/>
        <w:jc w:val="both"/>
        <w:outlineLvl w:val="0"/>
        <w:rPr>
          <w:rFonts w:ascii="Arial" w:hAnsi="Arial" w:cs="Arial"/>
          <w:sz w:val="24"/>
          <w:szCs w:val="24"/>
        </w:rPr>
      </w:pPr>
      <w:r w:rsidRPr="008F13F9">
        <w:rPr>
          <w:rFonts w:ascii="Arial" w:hAnsi="Arial" w:cs="Arial"/>
          <w:sz w:val="24"/>
          <w:szCs w:val="24"/>
        </w:rPr>
        <w:t xml:space="preserve">Radioterapie se skládá ze 2 hlavních kroků, kterými jsou </w:t>
      </w:r>
      <w:r w:rsidRPr="00DE0DA7">
        <w:rPr>
          <w:rFonts w:ascii="Arial" w:hAnsi="Arial" w:cs="Arial"/>
          <w:i/>
          <w:sz w:val="24"/>
          <w:szCs w:val="24"/>
        </w:rPr>
        <w:t>plánování ozařovacího pole a  vlastní radioterapie</w:t>
      </w:r>
      <w:r w:rsidRPr="008F13F9">
        <w:rPr>
          <w:rFonts w:ascii="Arial" w:hAnsi="Arial" w:cs="Arial"/>
          <w:sz w:val="24"/>
          <w:szCs w:val="24"/>
        </w:rPr>
        <w:t>.</w:t>
      </w:r>
    </w:p>
    <w:p w14:paraId="1FF0B017" w14:textId="77777777" w:rsidR="0064032D" w:rsidRPr="008F13F9" w:rsidRDefault="0064032D" w:rsidP="008F13F9">
      <w:pPr>
        <w:pStyle w:val="NormalWeb"/>
        <w:spacing w:line="360" w:lineRule="auto"/>
        <w:ind w:firstLine="720"/>
        <w:jc w:val="both"/>
        <w:rPr>
          <w:rFonts w:ascii="Arial" w:hAnsi="Arial" w:cs="Arial"/>
          <w:sz w:val="24"/>
          <w:szCs w:val="24"/>
        </w:rPr>
      </w:pPr>
      <w:r w:rsidRPr="008F13F9">
        <w:rPr>
          <w:rFonts w:ascii="Arial" w:hAnsi="Arial" w:cs="Arial"/>
          <w:sz w:val="24"/>
          <w:szCs w:val="24"/>
        </w:rPr>
        <w:t>Cílem plánování ozařovacího pole je co nejpřesněji zaměřit vlastní ložisko nádoru a co nejvíce minimalizovat poškození okolních zdravých tkání. Je známo, že při použití dat ze standardní plánovací počítačové tomografie (CT) dochází k poměrně významným rozdílům při zakreslování gross tumor volume (GTV) mezi jednotlivými lékaři.</w:t>
      </w:r>
      <w:r w:rsidRPr="008F13F9">
        <w:rPr>
          <w:rFonts w:ascii="Arial" w:hAnsi="Arial" w:cs="Arial"/>
          <w:sz w:val="24"/>
          <w:szCs w:val="24"/>
          <w:vertAlign w:val="superscript"/>
        </w:rPr>
        <w:t>40,41</w:t>
      </w:r>
    </w:p>
    <w:p w14:paraId="6FA02590" w14:textId="77777777" w:rsidR="0064032D" w:rsidRPr="008F13F9" w:rsidRDefault="009B1ED2" w:rsidP="008F13F9">
      <w:pPr>
        <w:pStyle w:val="NormalWeb"/>
        <w:spacing w:line="360" w:lineRule="auto"/>
        <w:ind w:firstLine="720"/>
        <w:jc w:val="both"/>
        <w:rPr>
          <w:rFonts w:ascii="Arial" w:hAnsi="Arial" w:cs="Arial"/>
          <w:sz w:val="24"/>
          <w:szCs w:val="24"/>
        </w:rPr>
      </w:pPr>
      <w:r>
        <w:rPr>
          <w:rFonts w:ascii="Arial" w:hAnsi="Arial" w:cs="Arial"/>
          <w:sz w:val="24"/>
          <w:szCs w:val="24"/>
        </w:rPr>
        <w:t xml:space="preserve">Výsledky </w:t>
      </w:r>
      <w:r w:rsidR="0064032D" w:rsidRPr="008F13F9">
        <w:rPr>
          <w:rFonts w:ascii="Arial" w:hAnsi="Arial" w:cs="Arial"/>
          <w:sz w:val="24"/>
          <w:szCs w:val="24"/>
        </w:rPr>
        <w:t>moderních zobrazovacích metod (CT s kontrastní látkou</w:t>
      </w:r>
      <w:r>
        <w:rPr>
          <w:rFonts w:ascii="Arial" w:hAnsi="Arial" w:cs="Arial"/>
          <w:sz w:val="24"/>
          <w:szCs w:val="24"/>
        </w:rPr>
        <w:t>,</w:t>
      </w:r>
      <w:r w:rsidR="0064032D" w:rsidRPr="008F13F9">
        <w:rPr>
          <w:rFonts w:ascii="Arial" w:hAnsi="Arial" w:cs="Arial"/>
          <w:sz w:val="24"/>
          <w:szCs w:val="24"/>
        </w:rPr>
        <w:t xml:space="preserve"> PET CT, MR) </w:t>
      </w:r>
      <w:r>
        <w:rPr>
          <w:rFonts w:ascii="Arial" w:hAnsi="Arial" w:cs="Arial"/>
          <w:sz w:val="24"/>
          <w:szCs w:val="24"/>
        </w:rPr>
        <w:t xml:space="preserve"> je za účelem stanovení ozařovacího plánu možno fúzovat se samotným plánovacím CT.</w:t>
      </w:r>
      <w:r w:rsidR="0064032D" w:rsidRPr="008F13F9">
        <w:rPr>
          <w:rFonts w:ascii="Arial" w:hAnsi="Arial" w:cs="Arial"/>
          <w:sz w:val="24"/>
          <w:szCs w:val="24"/>
        </w:rPr>
        <w:t xml:space="preserve">  </w:t>
      </w:r>
      <w:r>
        <w:rPr>
          <w:rFonts w:ascii="Arial" w:hAnsi="Arial" w:cs="Arial"/>
          <w:sz w:val="24"/>
          <w:szCs w:val="24"/>
        </w:rPr>
        <w:t>S</w:t>
      </w:r>
      <w:r w:rsidR="0064032D" w:rsidRPr="008F13F9">
        <w:rPr>
          <w:rFonts w:ascii="Arial" w:hAnsi="Arial" w:cs="Arial"/>
          <w:sz w:val="24"/>
          <w:szCs w:val="24"/>
        </w:rPr>
        <w:t>tudie Daisneho a spol</w:t>
      </w:r>
      <w:r w:rsidR="0064032D" w:rsidRPr="008F13F9">
        <w:rPr>
          <w:rFonts w:ascii="Arial" w:hAnsi="Arial" w:cs="Arial"/>
          <w:sz w:val="24"/>
          <w:szCs w:val="24"/>
          <w:vertAlign w:val="superscript"/>
        </w:rPr>
        <w:t>42</w:t>
      </w:r>
      <w:r w:rsidR="0064032D" w:rsidRPr="008F13F9">
        <w:rPr>
          <w:rFonts w:ascii="Arial" w:hAnsi="Arial" w:cs="Arial"/>
          <w:sz w:val="24"/>
          <w:szCs w:val="24"/>
        </w:rPr>
        <w:t xml:space="preserve"> </w:t>
      </w:r>
      <w:r>
        <w:rPr>
          <w:rFonts w:ascii="Arial" w:hAnsi="Arial" w:cs="Arial"/>
          <w:sz w:val="24"/>
          <w:szCs w:val="24"/>
        </w:rPr>
        <w:t xml:space="preserve">uvádí, že v tomto smyslu </w:t>
      </w:r>
      <w:r w:rsidR="0064032D" w:rsidRPr="008F13F9">
        <w:rPr>
          <w:rFonts w:ascii="Arial" w:hAnsi="Arial" w:cs="Arial"/>
          <w:sz w:val="24"/>
          <w:szCs w:val="24"/>
        </w:rPr>
        <w:t>je PET CT nejpřesnější.</w:t>
      </w:r>
    </w:p>
    <w:p w14:paraId="6DCE02E4" w14:textId="77777777" w:rsidR="0064032D" w:rsidRPr="008F13F9" w:rsidRDefault="0064032D" w:rsidP="009B1ED2">
      <w:pPr>
        <w:pStyle w:val="NormalWeb"/>
        <w:spacing w:line="360" w:lineRule="auto"/>
        <w:ind w:firstLine="720"/>
        <w:jc w:val="both"/>
        <w:rPr>
          <w:rFonts w:ascii="Arial" w:hAnsi="Arial" w:cs="Arial"/>
          <w:sz w:val="24"/>
          <w:szCs w:val="24"/>
        </w:rPr>
      </w:pPr>
      <w:r w:rsidRPr="008F13F9">
        <w:rPr>
          <w:rFonts w:ascii="Arial" w:hAnsi="Arial" w:cs="Arial"/>
          <w:sz w:val="24"/>
          <w:szCs w:val="24"/>
        </w:rPr>
        <w:t xml:space="preserve">Při ozařování v oblasti hlavy a krku se nevyhneme zacílení na oblast primárního nádoru a jedno- nebo oboustranných lymfatických uzlin na krku, což dělá tento zákrok složitým díky přítomnosti četných životně důležitých orgánů. Donedávna byla nejčastěji používanou metodou </w:t>
      </w:r>
      <w:r w:rsidRPr="008F13F9">
        <w:rPr>
          <w:rFonts w:ascii="Arial" w:hAnsi="Arial" w:cs="Arial"/>
          <w:i/>
          <w:sz w:val="24"/>
          <w:szCs w:val="24"/>
        </w:rPr>
        <w:t>technika postupného zmenšování polí (shrinking field technique)</w:t>
      </w:r>
      <w:r w:rsidRPr="008F13F9">
        <w:rPr>
          <w:rFonts w:ascii="Arial" w:hAnsi="Arial" w:cs="Arial"/>
          <w:sz w:val="24"/>
          <w:szCs w:val="24"/>
        </w:rPr>
        <w:t>, kdy oblasti primárního tumoru</w:t>
      </w:r>
      <w:r w:rsidR="009B1ED2">
        <w:rPr>
          <w:rFonts w:ascii="Arial" w:hAnsi="Arial" w:cs="Arial"/>
          <w:sz w:val="24"/>
          <w:szCs w:val="24"/>
        </w:rPr>
        <w:t xml:space="preserve">    </w:t>
      </w:r>
      <w:r w:rsidRPr="008F13F9">
        <w:rPr>
          <w:rFonts w:ascii="Arial" w:hAnsi="Arial" w:cs="Arial"/>
          <w:sz w:val="24"/>
          <w:szCs w:val="24"/>
        </w:rPr>
        <w:t xml:space="preserve"> a oboustranných krčních uzlin byly ozařovány ze dvou protilehlých  bočních </w:t>
      </w:r>
      <w:r w:rsidRPr="008F13F9">
        <w:rPr>
          <w:rFonts w:ascii="Arial" w:hAnsi="Arial" w:cs="Arial"/>
          <w:sz w:val="24"/>
          <w:szCs w:val="24"/>
        </w:rPr>
        <w:lastRenderedPageBreak/>
        <w:t xml:space="preserve">polí dávkami 40-44Gy. Avšak homogenita dávky není u tohoto typu radioterapie zcela optimální, navíc plánování je velmi složité. </w:t>
      </w:r>
    </w:p>
    <w:p w14:paraId="1351CF28" w14:textId="77777777" w:rsidR="0064032D" w:rsidRPr="008F13F9" w:rsidRDefault="0064032D" w:rsidP="009B1ED2">
      <w:pPr>
        <w:pStyle w:val="NormalWeb"/>
        <w:spacing w:line="360" w:lineRule="auto"/>
        <w:ind w:firstLine="720"/>
        <w:jc w:val="both"/>
        <w:rPr>
          <w:rFonts w:ascii="Arial" w:hAnsi="Arial" w:cs="Arial"/>
          <w:sz w:val="24"/>
          <w:szCs w:val="24"/>
        </w:rPr>
      </w:pPr>
      <w:r w:rsidRPr="008F13F9">
        <w:rPr>
          <w:rFonts w:ascii="Arial" w:hAnsi="Arial" w:cs="Arial"/>
          <w:sz w:val="24"/>
          <w:szCs w:val="24"/>
        </w:rPr>
        <w:t xml:space="preserve">Naproti tomu </w:t>
      </w:r>
      <w:r w:rsidRPr="009B1ED2">
        <w:rPr>
          <w:rFonts w:ascii="Arial" w:hAnsi="Arial" w:cs="Arial"/>
          <w:i/>
          <w:sz w:val="24"/>
          <w:szCs w:val="24"/>
        </w:rPr>
        <w:t>r</w:t>
      </w:r>
      <w:r w:rsidRPr="008F13F9">
        <w:rPr>
          <w:rFonts w:ascii="Arial" w:hAnsi="Arial" w:cs="Arial"/>
          <w:i/>
          <w:sz w:val="24"/>
          <w:szCs w:val="24"/>
        </w:rPr>
        <w:t>adioterapie modulovanou intenzitou (IMRT)</w:t>
      </w:r>
      <w:r w:rsidRPr="008F13F9">
        <w:rPr>
          <w:rFonts w:ascii="Arial" w:hAnsi="Arial" w:cs="Arial"/>
          <w:sz w:val="24"/>
          <w:szCs w:val="24"/>
        </w:rPr>
        <w:t xml:space="preserve"> optimálně distribuuje dávky záření díky optimálnímu rozložení intenzity záření v jednotlivých polích. Celkově je tato metoda velmi výhodná, protože umožňuje homogenní ozáření cílového objemu za šetření rizikových struktur. Další</w:t>
      </w:r>
      <w:r w:rsidR="009B1ED2">
        <w:rPr>
          <w:rFonts w:ascii="Arial" w:hAnsi="Arial" w:cs="Arial"/>
          <w:sz w:val="24"/>
          <w:szCs w:val="24"/>
        </w:rPr>
        <w:t xml:space="preserve">,      </w:t>
      </w:r>
      <w:r w:rsidRPr="008F13F9">
        <w:rPr>
          <w:rFonts w:ascii="Arial" w:hAnsi="Arial" w:cs="Arial"/>
          <w:sz w:val="24"/>
          <w:szCs w:val="24"/>
        </w:rPr>
        <w:t xml:space="preserve"> a velmi podstatnou výhodou této léčebné modality je šetření oblastí velkých slinných žláz, čímž se pro pacienta minimalizuje jedna z velkých komplikací ozařování v oblasti hlavy a krku - xerostomie. Toto bylo potvrzeno i studií PARSPORT, která porovnávala výsledky konvenční/konformní radioterapie a IMRT u pacientů s nádory oro- a hypofaryngu a indikací krčních uzlin oboustranně. Výsledky ve smyslu lokální/regionální kontroly i celkového přežití byly srovnatelné, ale jednoznačně lepší byly výsledky IMRT ve smyslu snížení xerostomie za 1 rok po léčbě (p = 0,003)</w:t>
      </w:r>
      <w:r w:rsidRPr="008F13F9">
        <w:rPr>
          <w:rFonts w:ascii="Arial" w:hAnsi="Arial" w:cs="Arial"/>
          <w:sz w:val="24"/>
          <w:szCs w:val="24"/>
          <w:vertAlign w:val="superscript"/>
        </w:rPr>
        <w:t>43</w:t>
      </w:r>
      <w:r w:rsidRPr="008F13F9">
        <w:rPr>
          <w:rFonts w:ascii="Arial" w:hAnsi="Arial" w:cs="Arial"/>
          <w:sz w:val="24"/>
          <w:szCs w:val="24"/>
        </w:rPr>
        <w:t>. Podobný závěr přinesly i dvě randomizované studie s karcinomy nasofaryngu</w:t>
      </w:r>
      <w:r w:rsidRPr="008F13F9">
        <w:rPr>
          <w:rFonts w:ascii="Arial" w:hAnsi="Arial" w:cs="Arial"/>
          <w:sz w:val="24"/>
          <w:szCs w:val="24"/>
          <w:vertAlign w:val="superscript"/>
        </w:rPr>
        <w:t>44,45</w:t>
      </w:r>
      <w:r w:rsidRPr="008F13F9">
        <w:rPr>
          <w:rFonts w:ascii="Arial" w:hAnsi="Arial" w:cs="Arial"/>
          <w:sz w:val="24"/>
          <w:szCs w:val="24"/>
        </w:rPr>
        <w:t xml:space="preserve">. </w:t>
      </w:r>
    </w:p>
    <w:p w14:paraId="4484DB6B" w14:textId="77777777" w:rsidR="00DE0DA7" w:rsidRDefault="009B1ED2" w:rsidP="00DE0DA7">
      <w:pPr>
        <w:spacing w:before="100" w:beforeAutospacing="1" w:after="100" w:afterAutospacing="1" w:line="360" w:lineRule="auto"/>
        <w:ind w:firstLine="720"/>
        <w:jc w:val="both"/>
        <w:rPr>
          <w:rFonts w:ascii="Arial" w:hAnsi="Arial" w:cs="Arial"/>
          <w:sz w:val="24"/>
          <w:szCs w:val="24"/>
        </w:rPr>
      </w:pPr>
      <w:r>
        <w:rPr>
          <w:rFonts w:ascii="Arial" w:hAnsi="Arial" w:cs="Arial"/>
          <w:sz w:val="24"/>
          <w:szCs w:val="24"/>
        </w:rPr>
        <w:t>Výhodou</w:t>
      </w:r>
      <w:r w:rsidR="0064032D" w:rsidRPr="008F13F9">
        <w:rPr>
          <w:rFonts w:ascii="Arial" w:hAnsi="Arial" w:cs="Arial"/>
          <w:sz w:val="24"/>
          <w:szCs w:val="24"/>
        </w:rPr>
        <w:t xml:space="preserve"> IMRT technik</w:t>
      </w:r>
      <w:r>
        <w:rPr>
          <w:rFonts w:ascii="Arial" w:hAnsi="Arial" w:cs="Arial"/>
          <w:sz w:val="24"/>
          <w:szCs w:val="24"/>
        </w:rPr>
        <w:t>y</w:t>
      </w:r>
      <w:r w:rsidR="00B7085B">
        <w:rPr>
          <w:rFonts w:ascii="Arial" w:hAnsi="Arial" w:cs="Arial"/>
          <w:sz w:val="24"/>
          <w:szCs w:val="24"/>
        </w:rPr>
        <w:t xml:space="preserve"> je</w:t>
      </w:r>
      <w:r w:rsidR="0064032D" w:rsidRPr="008F13F9">
        <w:rPr>
          <w:rFonts w:ascii="Arial" w:hAnsi="Arial" w:cs="Arial"/>
          <w:sz w:val="24"/>
          <w:szCs w:val="24"/>
        </w:rPr>
        <w:t xml:space="preserve"> šetření struktur</w:t>
      </w:r>
      <w:r w:rsidR="00B7085B">
        <w:rPr>
          <w:rFonts w:ascii="Arial" w:hAnsi="Arial" w:cs="Arial"/>
          <w:sz w:val="24"/>
          <w:szCs w:val="24"/>
        </w:rPr>
        <w:t xml:space="preserve"> v okolí nádoru</w:t>
      </w:r>
      <w:r w:rsidR="0064032D" w:rsidRPr="008F13F9">
        <w:rPr>
          <w:rFonts w:ascii="Arial" w:hAnsi="Arial" w:cs="Arial"/>
          <w:sz w:val="24"/>
          <w:szCs w:val="24"/>
        </w:rPr>
        <w:t>, jako jsou faryngeální konstriktory, oblast glottis a supraglotického laryngu se snahou snížit dysfagické obtíže po prodělané radioterapii</w:t>
      </w:r>
      <w:r w:rsidR="0064032D" w:rsidRPr="008F13F9">
        <w:rPr>
          <w:rFonts w:ascii="Arial" w:hAnsi="Arial" w:cs="Arial"/>
          <w:sz w:val="24"/>
          <w:szCs w:val="24"/>
          <w:vertAlign w:val="superscript"/>
        </w:rPr>
        <w:t>47-48</w:t>
      </w:r>
      <w:r w:rsidR="0064032D" w:rsidRPr="008F13F9">
        <w:rPr>
          <w:rFonts w:ascii="Arial" w:hAnsi="Arial" w:cs="Arial"/>
          <w:sz w:val="24"/>
          <w:szCs w:val="24"/>
        </w:rPr>
        <w:t>.</w:t>
      </w:r>
    </w:p>
    <w:p w14:paraId="37E25FF4" w14:textId="77777777" w:rsidR="0064032D" w:rsidRPr="00DE0DA7" w:rsidRDefault="0064032D" w:rsidP="00DE0DA7">
      <w:pPr>
        <w:spacing w:before="100" w:beforeAutospacing="1" w:after="100" w:afterAutospacing="1" w:line="360" w:lineRule="auto"/>
        <w:ind w:firstLine="720"/>
        <w:jc w:val="both"/>
        <w:rPr>
          <w:rFonts w:ascii="Arial" w:hAnsi="Arial" w:cs="Arial"/>
          <w:sz w:val="24"/>
          <w:szCs w:val="24"/>
        </w:rPr>
      </w:pPr>
      <w:r w:rsidRPr="008F13F9">
        <w:rPr>
          <w:rFonts w:ascii="Arial" w:hAnsi="Arial" w:cs="Arial"/>
          <w:i/>
          <w:sz w:val="24"/>
          <w:szCs w:val="24"/>
        </w:rPr>
        <w:t>Protonová terapie</w:t>
      </w:r>
    </w:p>
    <w:p w14:paraId="0287E371" w14:textId="77777777" w:rsidR="0064032D" w:rsidRPr="008F13F9" w:rsidRDefault="0064032D" w:rsidP="008F13F9">
      <w:pPr>
        <w:pStyle w:val="NormalWeb"/>
        <w:spacing w:line="360" w:lineRule="auto"/>
        <w:ind w:firstLine="720"/>
        <w:jc w:val="both"/>
        <w:rPr>
          <w:rFonts w:ascii="Arial" w:hAnsi="Arial" w:cs="Arial"/>
          <w:sz w:val="24"/>
          <w:szCs w:val="24"/>
        </w:rPr>
      </w:pPr>
      <w:r w:rsidRPr="008F13F9">
        <w:rPr>
          <w:rFonts w:ascii="Arial" w:hAnsi="Arial" w:cs="Arial"/>
          <w:sz w:val="24"/>
          <w:szCs w:val="24"/>
        </w:rPr>
        <w:t>Jedná se aplikaci ozáření urychlenými protony. Výhoda této léčby spočívá v přesném ozáření cílového objemu za mnohem většího šetření okolních zdravých tkání ve srovnání s léčbou fotony. Nejčastější indikací této léčby jsou u sinonazální karcinomy, neboť protonová terapie nabízí snížení očních komplikací díky šetrnosti vůči očím a optickým nervům.</w:t>
      </w:r>
      <w:r w:rsidRPr="008F13F9">
        <w:rPr>
          <w:rFonts w:ascii="Arial" w:hAnsi="Arial" w:cs="Arial"/>
          <w:sz w:val="24"/>
          <w:szCs w:val="24"/>
          <w:vertAlign w:val="superscript"/>
        </w:rPr>
        <w:t>49</w:t>
      </w:r>
      <w:r w:rsidRPr="008F13F9">
        <w:rPr>
          <w:rFonts w:ascii="Arial" w:hAnsi="Arial" w:cs="Arial"/>
          <w:sz w:val="24"/>
          <w:szCs w:val="24"/>
        </w:rPr>
        <w:t xml:space="preserve">. </w:t>
      </w:r>
    </w:p>
    <w:p w14:paraId="322D2AB0" w14:textId="77777777" w:rsidR="0064032D" w:rsidRPr="00D04F54" w:rsidRDefault="0064032D" w:rsidP="008F13F9">
      <w:pPr>
        <w:pStyle w:val="NormalWeb"/>
        <w:spacing w:line="360" w:lineRule="auto"/>
        <w:outlineLvl w:val="0"/>
        <w:rPr>
          <w:rFonts w:ascii="Arial" w:hAnsi="Arial" w:cs="Arial"/>
          <w:b/>
          <w:sz w:val="24"/>
          <w:szCs w:val="24"/>
          <w:u w:val="single"/>
        </w:rPr>
      </w:pPr>
      <w:r w:rsidRPr="00D04F54">
        <w:rPr>
          <w:rFonts w:ascii="Arial" w:hAnsi="Arial" w:cs="Arial"/>
          <w:b/>
          <w:sz w:val="24"/>
          <w:szCs w:val="24"/>
          <w:u w:val="single"/>
        </w:rPr>
        <w:t>3.3. Chemoterapie</w:t>
      </w:r>
    </w:p>
    <w:p w14:paraId="09CB641B" w14:textId="77777777" w:rsidR="0064032D" w:rsidRPr="008F13F9" w:rsidRDefault="0064032D" w:rsidP="00DE0DA7">
      <w:pPr>
        <w:pStyle w:val="NormalWeb"/>
        <w:spacing w:line="360" w:lineRule="auto"/>
        <w:ind w:firstLine="720"/>
        <w:jc w:val="both"/>
        <w:rPr>
          <w:rFonts w:ascii="Arial" w:hAnsi="Arial" w:cs="Arial"/>
          <w:sz w:val="24"/>
          <w:szCs w:val="24"/>
        </w:rPr>
      </w:pPr>
      <w:r w:rsidRPr="008F13F9">
        <w:rPr>
          <w:rFonts w:ascii="Arial" w:hAnsi="Arial" w:cs="Arial"/>
          <w:sz w:val="24"/>
          <w:szCs w:val="24"/>
        </w:rPr>
        <w:t xml:space="preserve">Ve spektru metod využívaných pří léčbě </w:t>
      </w:r>
      <w:r w:rsidR="00DE0DA7">
        <w:rPr>
          <w:rFonts w:ascii="Arial" w:hAnsi="Arial" w:cs="Arial"/>
          <w:sz w:val="24"/>
          <w:szCs w:val="24"/>
        </w:rPr>
        <w:t>nádorů hlavy a krku</w:t>
      </w:r>
      <w:r w:rsidRPr="008F13F9">
        <w:rPr>
          <w:rFonts w:ascii="Arial" w:hAnsi="Arial" w:cs="Arial"/>
          <w:sz w:val="24"/>
          <w:szCs w:val="24"/>
        </w:rPr>
        <w:t xml:space="preserve"> má chemoterapie spíše pomocný, doplňující význam. V protokolech standardní léčby OFK rozlišujeme 3 druhy chemoterapie: neoadjuvantní, adjuvantní a konkomitantní radiochemoterapii.</w:t>
      </w:r>
    </w:p>
    <w:p w14:paraId="5ACC12D5" w14:textId="77777777" w:rsidR="0064032D" w:rsidRPr="008F13F9" w:rsidRDefault="0064032D" w:rsidP="008F13F9">
      <w:pPr>
        <w:pStyle w:val="NormalWeb"/>
        <w:spacing w:line="360" w:lineRule="auto"/>
        <w:ind w:firstLine="720"/>
        <w:jc w:val="both"/>
        <w:rPr>
          <w:rFonts w:ascii="Arial" w:hAnsi="Arial" w:cs="Arial"/>
          <w:sz w:val="24"/>
          <w:szCs w:val="24"/>
          <w:lang w:val="en-US"/>
        </w:rPr>
      </w:pPr>
      <w:r w:rsidRPr="008F13F9">
        <w:rPr>
          <w:rFonts w:ascii="Arial" w:hAnsi="Arial" w:cs="Arial"/>
          <w:sz w:val="24"/>
          <w:szCs w:val="24"/>
        </w:rPr>
        <w:lastRenderedPageBreak/>
        <w:t>Neoadjuvantní (i</w:t>
      </w:r>
      <w:r w:rsidRPr="008F13F9">
        <w:rPr>
          <w:rFonts w:ascii="Arial" w:hAnsi="Arial" w:cs="Arial"/>
          <w:sz w:val="24"/>
          <w:szCs w:val="24"/>
          <w:lang w:val="en-US"/>
        </w:rPr>
        <w:t>ndukční) chemoterapie může být podávána s cílem zlepšit výsledky léčby</w:t>
      </w:r>
      <w:r w:rsidR="00DE0DA7">
        <w:rPr>
          <w:rFonts w:ascii="Arial" w:hAnsi="Arial" w:cs="Arial"/>
          <w:sz w:val="24"/>
          <w:szCs w:val="24"/>
          <w:lang w:val="en-US"/>
        </w:rPr>
        <w:t>,</w:t>
      </w:r>
      <w:r w:rsidRPr="008F13F9">
        <w:rPr>
          <w:rFonts w:ascii="Arial" w:hAnsi="Arial" w:cs="Arial"/>
          <w:sz w:val="24"/>
          <w:szCs w:val="24"/>
          <w:lang w:val="en-US"/>
        </w:rPr>
        <w:t xml:space="preserve"> nebo je součástí takzvaných záchovných protokolů. Záchovný protokol představuje alternativu k radikální chirurgické léčbě</w:t>
      </w:r>
      <w:r w:rsidR="00B7085B">
        <w:rPr>
          <w:rFonts w:ascii="Arial" w:hAnsi="Arial" w:cs="Arial"/>
          <w:sz w:val="24"/>
          <w:szCs w:val="24"/>
          <w:lang w:val="en-US"/>
        </w:rPr>
        <w:t>. V</w:t>
      </w:r>
      <w:r w:rsidRPr="008F13F9">
        <w:rPr>
          <w:rFonts w:ascii="Arial" w:hAnsi="Arial" w:cs="Arial"/>
          <w:sz w:val="24"/>
          <w:szCs w:val="24"/>
          <w:lang w:val="en-US"/>
        </w:rPr>
        <w:t> úvodu podaná chemoterapie má za úkol selektovat nádory vhodné pro primární radioterapii. Vychází se z předpokladu, že chemosenzitivní nádor bude i radiosenzitivní.</w:t>
      </w:r>
      <w:r w:rsidRPr="008F13F9">
        <w:rPr>
          <w:rFonts w:ascii="Arial" w:hAnsi="Arial" w:cs="Arial"/>
          <w:sz w:val="24"/>
          <w:szCs w:val="24"/>
          <w:vertAlign w:val="superscript"/>
          <w:lang w:val="en-US"/>
        </w:rPr>
        <w:t>54</w:t>
      </w:r>
    </w:p>
    <w:p w14:paraId="61FB69F7" w14:textId="77777777" w:rsidR="0064032D" w:rsidRPr="008F13F9" w:rsidRDefault="0064032D" w:rsidP="008F13F9">
      <w:pPr>
        <w:pStyle w:val="NormalWeb"/>
        <w:spacing w:line="360" w:lineRule="auto"/>
        <w:ind w:firstLine="720"/>
        <w:jc w:val="both"/>
        <w:rPr>
          <w:rFonts w:ascii="Arial" w:hAnsi="Arial" w:cs="Arial"/>
          <w:sz w:val="24"/>
          <w:szCs w:val="24"/>
          <w:vertAlign w:val="superscript"/>
          <w:lang w:val="en-US"/>
        </w:rPr>
      </w:pPr>
      <w:r w:rsidRPr="008F13F9">
        <w:rPr>
          <w:rFonts w:ascii="Arial" w:hAnsi="Arial" w:cs="Arial"/>
          <w:sz w:val="24"/>
          <w:szCs w:val="24"/>
          <w:lang w:val="en-US"/>
        </w:rPr>
        <w:t>Příkladem této léčby může být lokoregionální neoadjuvatní chemoterapie kanylací arteria temporalis superficialis, jejíž dlouhodobý efekt a význam pro dobu přežití nemocného nebyl potvrzen.</w:t>
      </w:r>
      <w:r w:rsidRPr="008F13F9">
        <w:rPr>
          <w:rFonts w:ascii="Arial" w:hAnsi="Arial" w:cs="Arial"/>
          <w:sz w:val="24"/>
          <w:szCs w:val="24"/>
          <w:vertAlign w:val="superscript"/>
          <w:lang w:val="en-US"/>
        </w:rPr>
        <w:t xml:space="preserve">55,56 </w:t>
      </w:r>
    </w:p>
    <w:p w14:paraId="051D1ADA" w14:textId="77777777" w:rsidR="0064032D" w:rsidRPr="008F13F9" w:rsidRDefault="0064032D" w:rsidP="008F13F9">
      <w:pPr>
        <w:pStyle w:val="NormalWeb"/>
        <w:spacing w:line="360" w:lineRule="auto"/>
        <w:ind w:firstLine="720"/>
        <w:jc w:val="both"/>
        <w:rPr>
          <w:rFonts w:ascii="Arial" w:hAnsi="Arial" w:cs="Arial"/>
          <w:sz w:val="24"/>
          <w:szCs w:val="24"/>
          <w:lang w:val="en-US"/>
        </w:rPr>
      </w:pPr>
      <w:r w:rsidRPr="008F13F9">
        <w:rPr>
          <w:rFonts w:ascii="Arial" w:hAnsi="Arial" w:cs="Arial"/>
          <w:sz w:val="24"/>
          <w:szCs w:val="24"/>
          <w:lang w:val="en-US"/>
        </w:rPr>
        <w:t>Účelem adjuvantní chemoterapie je terapeuticky ovlivnit eventuální vzdálené mikrometastázy nádoru. V současné době se považuje za prokázané, že konkomitantní podání chemoterapie s radioterapií je účinnější než neoadjuvantní chemoterapie s následným zářením. Ukazují na to výsledky metaanalýz hodnotící velké množství pacientů, kterým byla chemoterapie podána</w:t>
      </w:r>
      <w:r w:rsidRPr="008F13F9">
        <w:rPr>
          <w:rFonts w:ascii="Arial" w:hAnsi="Arial" w:cs="Arial"/>
          <w:sz w:val="24"/>
          <w:szCs w:val="24"/>
          <w:vertAlign w:val="superscript"/>
          <w:lang w:val="en-US"/>
        </w:rPr>
        <w:t>55,56</w:t>
      </w:r>
      <w:r w:rsidRPr="008F13F9">
        <w:rPr>
          <w:rFonts w:ascii="Arial" w:hAnsi="Arial" w:cs="Arial"/>
          <w:sz w:val="24"/>
          <w:szCs w:val="24"/>
          <w:lang w:val="en-US"/>
        </w:rPr>
        <w:t>. Chemoterapie do jisté míry senzibilizuje nádorovou tkáň k účinku radiačního záření a tím zlepšuje výsledný efekt léčby.</w:t>
      </w:r>
      <w:r w:rsidR="00DE0DA7">
        <w:rPr>
          <w:rFonts w:ascii="Arial" w:hAnsi="Arial" w:cs="Arial"/>
          <w:sz w:val="24"/>
          <w:szCs w:val="24"/>
          <w:lang w:val="en-US"/>
        </w:rPr>
        <w:t xml:space="preserve"> </w:t>
      </w:r>
      <w:r w:rsidRPr="008F13F9">
        <w:rPr>
          <w:rFonts w:ascii="Arial" w:hAnsi="Arial" w:cs="Arial"/>
          <w:sz w:val="24"/>
          <w:szCs w:val="24"/>
          <w:lang w:val="en-US"/>
        </w:rPr>
        <w:t xml:space="preserve">Nevýhodou konkomitantní chemoterapie je její toxicita, kterou pacienti zejména s pokročilým onemocněním nádory hlavy a krku nemusejí vždy tolerovat. </w:t>
      </w:r>
    </w:p>
    <w:p w14:paraId="489BC2CF" w14:textId="77777777" w:rsidR="0064032D" w:rsidRPr="00D04F54" w:rsidRDefault="0064032D" w:rsidP="008F13F9">
      <w:pPr>
        <w:pStyle w:val="NormalWeb"/>
        <w:spacing w:line="360" w:lineRule="auto"/>
        <w:jc w:val="both"/>
        <w:outlineLvl w:val="0"/>
        <w:rPr>
          <w:rFonts w:ascii="Arial" w:hAnsi="Arial" w:cs="Arial"/>
          <w:b/>
          <w:sz w:val="24"/>
          <w:szCs w:val="24"/>
          <w:u w:val="single"/>
          <w:lang w:val="en-US"/>
        </w:rPr>
      </w:pPr>
      <w:r w:rsidRPr="00D04F54">
        <w:rPr>
          <w:rFonts w:ascii="Arial" w:hAnsi="Arial" w:cs="Arial"/>
          <w:b/>
          <w:sz w:val="24"/>
          <w:szCs w:val="24"/>
          <w:u w:val="single"/>
          <w:lang w:val="en-US"/>
        </w:rPr>
        <w:t>3.4.Biologická léčba</w:t>
      </w:r>
    </w:p>
    <w:p w14:paraId="1A8D6016" w14:textId="77777777" w:rsidR="0064032D" w:rsidRPr="008F13F9" w:rsidRDefault="0064032D" w:rsidP="008F13F9">
      <w:pPr>
        <w:pStyle w:val="NormalWeb"/>
        <w:spacing w:line="360" w:lineRule="auto"/>
        <w:ind w:firstLine="720"/>
        <w:jc w:val="both"/>
        <w:rPr>
          <w:rFonts w:ascii="Arial" w:hAnsi="Arial" w:cs="Arial"/>
          <w:sz w:val="24"/>
          <w:szCs w:val="24"/>
          <w:vertAlign w:val="superscript"/>
          <w:lang w:val="en-US"/>
        </w:rPr>
      </w:pPr>
      <w:r w:rsidRPr="008F13F9">
        <w:rPr>
          <w:rFonts w:ascii="Arial" w:hAnsi="Arial" w:cs="Arial"/>
          <w:sz w:val="24"/>
          <w:szCs w:val="24"/>
          <w:lang w:val="en-US"/>
        </w:rPr>
        <w:t>V posledních několika letech je věnována pozornost látkám, které zasahují pouze některé molekulární cíle. Tyto preparáty působí cíleně na receptor epidermálního růstového faktoru (EGFR - epidermal growth factor receptor). Jde o jeden z transmembránových signálních proteinů, který se podílí na kontrole normálního buněčného růstu a difer</w:t>
      </w:r>
      <w:r w:rsidR="00DE0DA7">
        <w:rPr>
          <w:rFonts w:ascii="Arial" w:hAnsi="Arial" w:cs="Arial"/>
          <w:sz w:val="24"/>
          <w:szCs w:val="24"/>
          <w:lang w:val="en-US"/>
        </w:rPr>
        <w:t xml:space="preserve">enciace, ale i na vzniku nádoru </w:t>
      </w:r>
      <w:r w:rsidRPr="008F13F9">
        <w:rPr>
          <w:rFonts w:ascii="Arial" w:hAnsi="Arial" w:cs="Arial"/>
          <w:sz w:val="24"/>
          <w:szCs w:val="24"/>
          <w:lang w:val="en-US"/>
        </w:rPr>
        <w:t>a jeho propagaci. EGFR je exprimován řadou nádorů, včetně karcinomů hlavy a krku, a jeho vysoká exprese koreluje s agresivitou nádoru, nižším přežitím a rezistencí vůči radioterapii</w:t>
      </w:r>
      <w:r w:rsidRPr="008F13F9">
        <w:rPr>
          <w:rFonts w:ascii="Arial" w:hAnsi="Arial" w:cs="Arial"/>
          <w:sz w:val="24"/>
          <w:szCs w:val="24"/>
          <w:vertAlign w:val="superscript"/>
          <w:lang w:val="en-US"/>
        </w:rPr>
        <w:t>57,58</w:t>
      </w:r>
      <w:r w:rsidRPr="008F13F9">
        <w:rPr>
          <w:rFonts w:ascii="Arial" w:hAnsi="Arial" w:cs="Arial"/>
          <w:sz w:val="24"/>
          <w:szCs w:val="24"/>
          <w:lang w:val="en-US"/>
        </w:rPr>
        <w:t xml:space="preserve">. Biologická léčba bývá zařazována zpravidla v kombinaci s radioterapií jako pooperační zajištění, nebo v případech pooperačních nádorových recidiv. Její nevýhodou zůstávají zatím zejména vysoké finanční náklady a časově omezené prodloužení doby </w:t>
      </w:r>
      <w:r w:rsidRPr="008F13F9">
        <w:rPr>
          <w:rFonts w:ascii="Arial" w:hAnsi="Arial" w:cs="Arial"/>
          <w:sz w:val="24"/>
          <w:szCs w:val="24"/>
          <w:lang w:val="en-US"/>
        </w:rPr>
        <w:lastRenderedPageBreak/>
        <w:t>přežití pacientů (v řádu měsíců). Lepších výsledků bylo dosaženo při léčbě u karcinomů orofaryngu a  lépe diferencovaných nádorů.</w:t>
      </w:r>
      <w:r w:rsidRPr="008F13F9">
        <w:rPr>
          <w:rFonts w:ascii="Arial" w:hAnsi="Arial" w:cs="Arial"/>
          <w:sz w:val="24"/>
          <w:szCs w:val="24"/>
          <w:vertAlign w:val="superscript"/>
          <w:lang w:val="en-US"/>
        </w:rPr>
        <w:t>59</w:t>
      </w:r>
    </w:p>
    <w:p w14:paraId="3CABDA26" w14:textId="77777777" w:rsidR="0064032D" w:rsidRPr="008F13F9" w:rsidRDefault="0064032D" w:rsidP="008F13F9">
      <w:pPr>
        <w:pStyle w:val="NormalWeb"/>
        <w:spacing w:line="360" w:lineRule="auto"/>
        <w:jc w:val="both"/>
        <w:rPr>
          <w:rFonts w:ascii="Arial" w:hAnsi="Arial" w:cs="Arial"/>
          <w:sz w:val="24"/>
          <w:szCs w:val="24"/>
        </w:rPr>
      </w:pPr>
    </w:p>
    <w:p w14:paraId="27DCB973" w14:textId="77777777" w:rsidR="0064032D" w:rsidRPr="00D04F54" w:rsidRDefault="0064032D" w:rsidP="008F13F9">
      <w:pPr>
        <w:spacing w:line="360" w:lineRule="auto"/>
        <w:jc w:val="both"/>
        <w:rPr>
          <w:rFonts w:ascii="Arial" w:hAnsi="Arial" w:cs="Arial"/>
          <w:b/>
          <w:sz w:val="24"/>
          <w:szCs w:val="24"/>
          <w:u w:val="single"/>
        </w:rPr>
      </w:pPr>
      <w:r w:rsidRPr="00D04F54">
        <w:rPr>
          <w:rFonts w:ascii="Arial" w:hAnsi="Arial" w:cs="Arial"/>
          <w:b/>
          <w:sz w:val="24"/>
          <w:szCs w:val="24"/>
          <w:u w:val="single"/>
        </w:rPr>
        <w:t xml:space="preserve">4. Lidské transformující </w:t>
      </w:r>
      <w:r w:rsidR="003D3503" w:rsidRPr="00D04F54">
        <w:rPr>
          <w:rFonts w:ascii="Arial" w:hAnsi="Arial" w:cs="Arial"/>
          <w:b/>
          <w:sz w:val="24"/>
          <w:szCs w:val="24"/>
          <w:u w:val="single"/>
        </w:rPr>
        <w:t>viry</w:t>
      </w:r>
    </w:p>
    <w:p w14:paraId="59C33BDB" w14:textId="77777777" w:rsidR="0064032D" w:rsidRPr="008F13F9" w:rsidRDefault="00271CF4"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Nejen HPV viry jsou zodpovědné za maligní transformaci buněk. Zvířecí viry bývají zodpovědné za akutní transformaci buněk, naproti tomu humanotropní viry k maligní transformaci potřebují delší dobu latence se spoluúčastí vnitřních a vnějších vlivů</w:t>
      </w:r>
      <w:r w:rsidR="0064032D" w:rsidRPr="008F13F9">
        <w:rPr>
          <w:rFonts w:ascii="Arial" w:hAnsi="Arial" w:cs="Arial"/>
          <w:sz w:val="24"/>
          <w:szCs w:val="24"/>
          <w:vertAlign w:val="superscript"/>
        </w:rPr>
        <w:t>29</w:t>
      </w:r>
      <w:r w:rsidR="0064032D" w:rsidRPr="008F13F9">
        <w:rPr>
          <w:rFonts w:ascii="Arial" w:hAnsi="Arial" w:cs="Arial"/>
          <w:sz w:val="24"/>
          <w:szCs w:val="24"/>
        </w:rPr>
        <w:t>.</w:t>
      </w:r>
    </w:p>
    <w:p w14:paraId="31DC1A8C" w14:textId="77777777" w:rsidR="0064032D" w:rsidRPr="00271CF4" w:rsidRDefault="00271CF4" w:rsidP="00271CF4">
      <w:pPr>
        <w:widowControl w:val="0"/>
        <w:autoSpaceDE w:val="0"/>
        <w:autoSpaceDN w:val="0"/>
        <w:adjustRightInd w:val="0"/>
        <w:spacing w:after="240" w:line="360" w:lineRule="auto"/>
        <w:jc w:val="both"/>
        <w:rPr>
          <w:rFonts w:ascii="Arial" w:hAnsi="Arial" w:cs="Arial"/>
          <w:sz w:val="24"/>
          <w:szCs w:val="24"/>
          <w:lang w:val="en-US"/>
        </w:rPr>
      </w:pPr>
      <w:r>
        <w:rPr>
          <w:rFonts w:ascii="Arial" w:hAnsi="Arial" w:cs="Arial"/>
          <w:sz w:val="24"/>
          <w:szCs w:val="24"/>
          <w:lang w:val="en-US"/>
        </w:rPr>
        <w:tab/>
      </w:r>
      <w:r w:rsidR="0064032D" w:rsidRPr="008F13F9">
        <w:rPr>
          <w:rFonts w:ascii="Arial" w:hAnsi="Arial" w:cs="Arial"/>
          <w:sz w:val="24"/>
          <w:szCs w:val="24"/>
          <w:lang w:val="en-US"/>
        </w:rPr>
        <w:t>V současné době (podle International</w:t>
      </w:r>
      <w:r>
        <w:rPr>
          <w:rFonts w:ascii="Arial" w:hAnsi="Arial" w:cs="Arial"/>
          <w:sz w:val="24"/>
          <w:szCs w:val="24"/>
          <w:lang w:val="en-US"/>
        </w:rPr>
        <w:t xml:space="preserve"> Agency for Research on Cancer - </w:t>
      </w:r>
      <w:r w:rsidR="0064032D" w:rsidRPr="008F13F9">
        <w:rPr>
          <w:rFonts w:ascii="Arial" w:hAnsi="Arial" w:cs="Arial"/>
          <w:sz w:val="24"/>
          <w:szCs w:val="24"/>
          <w:lang w:val="en-US"/>
        </w:rPr>
        <w:t>IARC) je 7 lidských virů považováno za potenciálně karcinogenní pro člověka. Jde o virus Ebstein-Barrové (EBV, HHV4), některé typy lidských papilomavirů (HPV), virus hepatitidy B (HBV), virus hepatitidy C (HCV), lidský T- lymfotropní virus 1 (HTLV-1), lidský herpesvirus 8 (HHV-8, KSHV) a virus lidské imunodeficience (HIV)</w:t>
      </w:r>
      <w:r w:rsidR="0064032D" w:rsidRPr="008F13F9">
        <w:rPr>
          <w:rFonts w:ascii="Arial" w:hAnsi="Arial" w:cs="Arial"/>
          <w:sz w:val="24"/>
          <w:szCs w:val="24"/>
        </w:rPr>
        <w:t xml:space="preserve"> (Tabulka 1)</w:t>
      </w:r>
      <w:r w:rsidR="0064032D" w:rsidRPr="008F13F9">
        <w:rPr>
          <w:rFonts w:ascii="Arial" w:hAnsi="Arial" w:cs="Arial"/>
          <w:sz w:val="24"/>
          <w:szCs w:val="24"/>
          <w:lang w:val="en-US"/>
        </w:rPr>
        <w:t>. Merkel cell polyomavirus (MCPyV) bude nejspíše do této skupiny v dohledné době rovněž zařazen</w:t>
      </w:r>
      <w:r w:rsidR="0064032D" w:rsidRPr="008F13F9">
        <w:rPr>
          <w:rFonts w:ascii="Arial" w:hAnsi="Arial" w:cs="Arial"/>
          <w:sz w:val="24"/>
          <w:szCs w:val="24"/>
          <w:vertAlign w:val="superscript"/>
          <w:lang w:val="en-US"/>
        </w:rPr>
        <w:t>30</w:t>
      </w:r>
      <w:r w:rsidR="0064032D" w:rsidRPr="008F13F9">
        <w:rPr>
          <w:rFonts w:ascii="Arial" w:hAnsi="Arial" w:cs="Arial"/>
          <w:sz w:val="24"/>
          <w:szCs w:val="24"/>
          <w:lang w:val="en-US"/>
        </w:rPr>
        <w:t>. Další skupiny virů jsou v podezření a to zejména polyomaviry (lidské i zvířecí) a adenoviry. Velká pozornost je také směřována k endogenním retrovirům, zejména roli evolučně poměrně mladého endogenního retroviru HERV v etiologii rakoviny prsu.</w:t>
      </w:r>
      <w:r w:rsidR="0064032D" w:rsidRPr="008F13F9">
        <w:rPr>
          <w:rFonts w:ascii="Arial" w:hAnsi="Arial" w:cs="Arial"/>
          <w:sz w:val="24"/>
          <w:szCs w:val="24"/>
          <w:vertAlign w:val="superscript"/>
          <w:lang w:val="en-US"/>
        </w:rPr>
        <w:t>31,19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7"/>
        <w:gridCol w:w="4309"/>
      </w:tblGrid>
      <w:tr w:rsidR="0064032D" w:rsidRPr="008F13F9" w14:paraId="54C40FFF" w14:textId="77777777" w:rsidTr="00C674FD">
        <w:tc>
          <w:tcPr>
            <w:tcW w:w="4641" w:type="dxa"/>
            <w:tcBorders>
              <w:top w:val="single" w:sz="18" w:space="0" w:color="auto"/>
              <w:left w:val="single" w:sz="18" w:space="0" w:color="auto"/>
              <w:bottom w:val="single" w:sz="18" w:space="0" w:color="auto"/>
              <w:right w:val="single" w:sz="18" w:space="0" w:color="auto"/>
            </w:tcBorders>
          </w:tcPr>
          <w:p w14:paraId="63F34C77" w14:textId="77777777" w:rsidR="0064032D" w:rsidRPr="008F13F9" w:rsidRDefault="0064032D" w:rsidP="008F13F9">
            <w:pPr>
              <w:spacing w:line="240" w:lineRule="auto"/>
              <w:jc w:val="both"/>
              <w:rPr>
                <w:rFonts w:ascii="Arial" w:hAnsi="Arial" w:cs="Arial"/>
                <w:b/>
                <w:sz w:val="24"/>
                <w:szCs w:val="24"/>
              </w:rPr>
            </w:pPr>
            <w:r w:rsidRPr="008F13F9">
              <w:rPr>
                <w:rFonts w:ascii="Arial" w:hAnsi="Arial" w:cs="Arial"/>
                <w:b/>
                <w:sz w:val="24"/>
                <w:szCs w:val="24"/>
              </w:rPr>
              <w:t>Název viru</w:t>
            </w:r>
          </w:p>
        </w:tc>
        <w:tc>
          <w:tcPr>
            <w:tcW w:w="4641" w:type="dxa"/>
            <w:tcBorders>
              <w:top w:val="single" w:sz="18" w:space="0" w:color="auto"/>
              <w:left w:val="single" w:sz="18" w:space="0" w:color="auto"/>
              <w:bottom w:val="single" w:sz="18" w:space="0" w:color="auto"/>
              <w:right w:val="single" w:sz="18" w:space="0" w:color="auto"/>
            </w:tcBorders>
          </w:tcPr>
          <w:p w14:paraId="07C968BF" w14:textId="77777777" w:rsidR="0064032D" w:rsidRPr="008F13F9" w:rsidRDefault="0064032D" w:rsidP="008F13F9">
            <w:pPr>
              <w:spacing w:line="240" w:lineRule="auto"/>
              <w:jc w:val="both"/>
              <w:rPr>
                <w:rFonts w:ascii="Arial" w:hAnsi="Arial" w:cs="Arial"/>
                <w:b/>
                <w:sz w:val="24"/>
                <w:szCs w:val="24"/>
              </w:rPr>
            </w:pPr>
            <w:r w:rsidRPr="008F13F9">
              <w:rPr>
                <w:rFonts w:ascii="Arial" w:hAnsi="Arial" w:cs="Arial"/>
                <w:b/>
                <w:sz w:val="24"/>
                <w:szCs w:val="24"/>
              </w:rPr>
              <w:t>Malignita</w:t>
            </w:r>
          </w:p>
        </w:tc>
      </w:tr>
      <w:tr w:rsidR="0064032D" w:rsidRPr="008F13F9" w14:paraId="250E84DE" w14:textId="77777777" w:rsidTr="00C674FD">
        <w:tc>
          <w:tcPr>
            <w:tcW w:w="4641" w:type="dxa"/>
            <w:tcBorders>
              <w:top w:val="single" w:sz="18" w:space="0" w:color="auto"/>
            </w:tcBorders>
          </w:tcPr>
          <w:p w14:paraId="00A694B7" w14:textId="77777777" w:rsidR="0064032D" w:rsidRPr="008F13F9" w:rsidRDefault="0064032D" w:rsidP="008F13F9">
            <w:pPr>
              <w:spacing w:line="240" w:lineRule="auto"/>
              <w:jc w:val="both"/>
              <w:rPr>
                <w:rFonts w:ascii="Arial" w:hAnsi="Arial" w:cs="Arial"/>
                <w:sz w:val="24"/>
                <w:szCs w:val="24"/>
              </w:rPr>
            </w:pPr>
            <w:r w:rsidRPr="008F13F9">
              <w:rPr>
                <w:rFonts w:ascii="Arial" w:hAnsi="Arial" w:cs="Arial"/>
                <w:sz w:val="24"/>
                <w:szCs w:val="24"/>
              </w:rPr>
              <w:t>EBV</w:t>
            </w:r>
          </w:p>
        </w:tc>
        <w:tc>
          <w:tcPr>
            <w:tcW w:w="4641" w:type="dxa"/>
            <w:tcBorders>
              <w:top w:val="single" w:sz="18" w:space="0" w:color="auto"/>
            </w:tcBorders>
          </w:tcPr>
          <w:p w14:paraId="11A3D340"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 xml:space="preserve">Burkitův lymfom </w:t>
            </w:r>
          </w:p>
          <w:p w14:paraId="54EBFC84"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 xml:space="preserve">Hodgkinův lymfom </w:t>
            </w:r>
          </w:p>
          <w:p w14:paraId="7C43371E"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 xml:space="preserve">Karcinom nosohltanu </w:t>
            </w:r>
          </w:p>
          <w:p w14:paraId="39A67648"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Posttransplantační lymfoproliferativní nemoc</w:t>
            </w:r>
          </w:p>
          <w:p w14:paraId="42146FB7" w14:textId="77777777" w:rsidR="0064032D" w:rsidRPr="008F13F9" w:rsidRDefault="0064032D" w:rsidP="008F13F9">
            <w:pPr>
              <w:spacing w:line="240" w:lineRule="auto"/>
              <w:jc w:val="both"/>
              <w:rPr>
                <w:rFonts w:ascii="Arial" w:hAnsi="Arial" w:cs="Arial"/>
                <w:sz w:val="24"/>
                <w:szCs w:val="24"/>
              </w:rPr>
            </w:pPr>
          </w:p>
        </w:tc>
      </w:tr>
      <w:tr w:rsidR="0064032D" w:rsidRPr="008F13F9" w14:paraId="32A9CCE9" w14:textId="77777777" w:rsidTr="003D3503">
        <w:trPr>
          <w:trHeight w:val="1158"/>
        </w:trPr>
        <w:tc>
          <w:tcPr>
            <w:tcW w:w="4641" w:type="dxa"/>
          </w:tcPr>
          <w:p w14:paraId="390BF3C5" w14:textId="77777777" w:rsidR="0064032D" w:rsidRPr="008F13F9" w:rsidRDefault="0064032D" w:rsidP="008F13F9">
            <w:pPr>
              <w:spacing w:line="240" w:lineRule="auto"/>
              <w:jc w:val="both"/>
              <w:rPr>
                <w:rFonts w:ascii="Arial" w:hAnsi="Arial" w:cs="Arial"/>
                <w:sz w:val="24"/>
                <w:szCs w:val="24"/>
              </w:rPr>
            </w:pPr>
            <w:r w:rsidRPr="008F13F9">
              <w:rPr>
                <w:rFonts w:ascii="Arial" w:hAnsi="Arial" w:cs="Arial"/>
                <w:sz w:val="24"/>
                <w:szCs w:val="24"/>
              </w:rPr>
              <w:t>HPV</w:t>
            </w:r>
          </w:p>
        </w:tc>
        <w:tc>
          <w:tcPr>
            <w:tcW w:w="4641" w:type="dxa"/>
          </w:tcPr>
          <w:p w14:paraId="1A938C1C"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Karcinomy anogenitální oblasti (děložní čípek, vulva, vagina, anus, penis) Karcinomy hlavy a krku</w:t>
            </w:r>
          </w:p>
          <w:p w14:paraId="2972C2D9" w14:textId="77777777" w:rsidR="0064032D" w:rsidRPr="008F13F9" w:rsidRDefault="0064032D" w:rsidP="008F13F9">
            <w:pPr>
              <w:spacing w:line="240" w:lineRule="auto"/>
              <w:jc w:val="both"/>
              <w:rPr>
                <w:rFonts w:ascii="Arial" w:hAnsi="Arial" w:cs="Arial"/>
                <w:sz w:val="24"/>
                <w:szCs w:val="24"/>
              </w:rPr>
            </w:pPr>
          </w:p>
        </w:tc>
      </w:tr>
      <w:tr w:rsidR="0064032D" w:rsidRPr="008F13F9" w14:paraId="451EFA97" w14:textId="77777777" w:rsidTr="00C674FD">
        <w:tc>
          <w:tcPr>
            <w:tcW w:w="4641" w:type="dxa"/>
          </w:tcPr>
          <w:p w14:paraId="3726C476" w14:textId="77777777" w:rsidR="0064032D" w:rsidRPr="008F13F9" w:rsidRDefault="0064032D" w:rsidP="008F13F9">
            <w:pPr>
              <w:spacing w:line="240" w:lineRule="auto"/>
              <w:jc w:val="both"/>
              <w:rPr>
                <w:rFonts w:ascii="Arial" w:hAnsi="Arial" w:cs="Arial"/>
                <w:sz w:val="24"/>
                <w:szCs w:val="24"/>
              </w:rPr>
            </w:pPr>
            <w:r w:rsidRPr="008F13F9">
              <w:rPr>
                <w:rFonts w:ascii="Arial" w:hAnsi="Arial" w:cs="Arial"/>
                <w:sz w:val="24"/>
                <w:szCs w:val="24"/>
              </w:rPr>
              <w:lastRenderedPageBreak/>
              <w:t>Lidský herpesvirus 8</w:t>
            </w:r>
          </w:p>
        </w:tc>
        <w:tc>
          <w:tcPr>
            <w:tcW w:w="4641" w:type="dxa"/>
          </w:tcPr>
          <w:p w14:paraId="654BB716"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Kaposiho sarkom</w:t>
            </w:r>
            <w:r w:rsidRPr="008F13F9">
              <w:rPr>
                <w:rFonts w:ascii="MS Gothic" w:eastAsia="MS Gothic" w:hAnsi="MS Gothic" w:cs="MS Gothic" w:hint="eastAsia"/>
                <w:sz w:val="24"/>
                <w:szCs w:val="24"/>
                <w:lang w:val="en-US"/>
              </w:rPr>
              <w:t> </w:t>
            </w:r>
          </w:p>
          <w:p w14:paraId="24BBA721"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Lymfom serózních blan</w:t>
            </w:r>
            <w:r w:rsidRPr="008F13F9">
              <w:rPr>
                <w:rFonts w:ascii="MS Gothic" w:eastAsia="MS Gothic" w:hAnsi="MS Gothic" w:cs="MS Gothic" w:hint="eastAsia"/>
                <w:sz w:val="24"/>
                <w:szCs w:val="24"/>
                <w:lang w:val="en-US"/>
              </w:rPr>
              <w:t> </w:t>
            </w:r>
          </w:p>
          <w:p w14:paraId="4E075230"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 xml:space="preserve">Primární efusní lymfom </w:t>
            </w:r>
          </w:p>
          <w:p w14:paraId="09E8D3EE"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Multicentrická Castlemanova choroba</w:t>
            </w:r>
          </w:p>
          <w:p w14:paraId="441718CB" w14:textId="77777777" w:rsidR="0064032D" w:rsidRPr="008F13F9" w:rsidRDefault="0064032D" w:rsidP="008F13F9">
            <w:pPr>
              <w:spacing w:line="240" w:lineRule="auto"/>
              <w:jc w:val="both"/>
              <w:rPr>
                <w:rFonts w:ascii="Arial" w:hAnsi="Arial" w:cs="Arial"/>
                <w:sz w:val="24"/>
                <w:szCs w:val="24"/>
              </w:rPr>
            </w:pPr>
          </w:p>
        </w:tc>
      </w:tr>
      <w:tr w:rsidR="0064032D" w:rsidRPr="008F13F9" w14:paraId="0B470967" w14:textId="77777777" w:rsidTr="00C674FD">
        <w:tc>
          <w:tcPr>
            <w:tcW w:w="4641" w:type="dxa"/>
          </w:tcPr>
          <w:p w14:paraId="50803A56" w14:textId="77777777" w:rsidR="0064032D" w:rsidRPr="008F13F9" w:rsidRDefault="0064032D" w:rsidP="008F13F9">
            <w:pPr>
              <w:spacing w:line="240" w:lineRule="auto"/>
              <w:jc w:val="both"/>
              <w:rPr>
                <w:rFonts w:ascii="Arial" w:hAnsi="Arial" w:cs="Arial"/>
                <w:sz w:val="24"/>
                <w:szCs w:val="24"/>
              </w:rPr>
            </w:pPr>
            <w:r w:rsidRPr="008F13F9">
              <w:rPr>
                <w:rFonts w:ascii="Arial" w:hAnsi="Arial" w:cs="Arial"/>
                <w:sz w:val="24"/>
                <w:szCs w:val="24"/>
              </w:rPr>
              <w:t>Virus hepatitidy B</w:t>
            </w:r>
          </w:p>
        </w:tc>
        <w:tc>
          <w:tcPr>
            <w:tcW w:w="4641" w:type="dxa"/>
          </w:tcPr>
          <w:p w14:paraId="624ADA05"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Hepatocelulární karcinom</w:t>
            </w:r>
          </w:p>
          <w:p w14:paraId="6C9AD76B" w14:textId="77777777" w:rsidR="0064032D" w:rsidRPr="008F13F9" w:rsidRDefault="0064032D" w:rsidP="008F13F9">
            <w:pPr>
              <w:spacing w:line="240" w:lineRule="auto"/>
              <w:jc w:val="both"/>
              <w:rPr>
                <w:rFonts w:ascii="Arial" w:hAnsi="Arial" w:cs="Arial"/>
                <w:sz w:val="24"/>
                <w:szCs w:val="24"/>
              </w:rPr>
            </w:pPr>
          </w:p>
        </w:tc>
      </w:tr>
      <w:tr w:rsidR="0064032D" w:rsidRPr="008F13F9" w14:paraId="146D380E" w14:textId="77777777" w:rsidTr="00C674FD">
        <w:tc>
          <w:tcPr>
            <w:tcW w:w="4641" w:type="dxa"/>
          </w:tcPr>
          <w:p w14:paraId="3F406CB1" w14:textId="77777777" w:rsidR="0064032D" w:rsidRPr="008F13F9" w:rsidRDefault="0064032D" w:rsidP="008F13F9">
            <w:pPr>
              <w:spacing w:line="240" w:lineRule="auto"/>
              <w:jc w:val="both"/>
              <w:rPr>
                <w:rFonts w:ascii="Arial" w:hAnsi="Arial" w:cs="Arial"/>
                <w:sz w:val="24"/>
                <w:szCs w:val="24"/>
              </w:rPr>
            </w:pPr>
            <w:r w:rsidRPr="008F13F9">
              <w:rPr>
                <w:rFonts w:ascii="Arial" w:hAnsi="Arial" w:cs="Arial"/>
                <w:sz w:val="24"/>
                <w:szCs w:val="24"/>
              </w:rPr>
              <w:t>Virus hepatitidy C</w:t>
            </w:r>
          </w:p>
        </w:tc>
        <w:tc>
          <w:tcPr>
            <w:tcW w:w="4641" w:type="dxa"/>
          </w:tcPr>
          <w:p w14:paraId="25968597"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Hepatocelulární karcinom</w:t>
            </w:r>
          </w:p>
          <w:p w14:paraId="1A8FA9AE" w14:textId="77777777" w:rsidR="0064032D" w:rsidRPr="008F13F9" w:rsidRDefault="0064032D" w:rsidP="008F13F9">
            <w:pPr>
              <w:spacing w:line="240" w:lineRule="auto"/>
              <w:jc w:val="both"/>
              <w:rPr>
                <w:rFonts w:ascii="Arial" w:hAnsi="Arial" w:cs="Arial"/>
                <w:sz w:val="24"/>
                <w:szCs w:val="24"/>
              </w:rPr>
            </w:pPr>
          </w:p>
        </w:tc>
      </w:tr>
      <w:tr w:rsidR="0064032D" w:rsidRPr="008F13F9" w14:paraId="4DB39945" w14:textId="77777777" w:rsidTr="00C674FD">
        <w:tc>
          <w:tcPr>
            <w:tcW w:w="4641" w:type="dxa"/>
          </w:tcPr>
          <w:p w14:paraId="3D0C1B45"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rPr>
            </w:pPr>
            <w:r w:rsidRPr="008F13F9">
              <w:rPr>
                <w:rFonts w:ascii="Arial" w:hAnsi="Arial" w:cs="Arial"/>
                <w:sz w:val="24"/>
                <w:szCs w:val="24"/>
                <w:lang w:val="en-US"/>
              </w:rPr>
              <w:t>Lidský T- lymfotropní virus -1</w:t>
            </w:r>
          </w:p>
        </w:tc>
        <w:tc>
          <w:tcPr>
            <w:tcW w:w="4641" w:type="dxa"/>
          </w:tcPr>
          <w:p w14:paraId="147F0A06"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T-buněčná leukemie/lymfom dospělých</w:t>
            </w:r>
          </w:p>
          <w:p w14:paraId="68B0477E" w14:textId="77777777" w:rsidR="0064032D" w:rsidRPr="008F13F9" w:rsidRDefault="0064032D" w:rsidP="008F13F9">
            <w:pPr>
              <w:spacing w:line="240" w:lineRule="auto"/>
              <w:jc w:val="both"/>
              <w:rPr>
                <w:rFonts w:ascii="Arial" w:hAnsi="Arial" w:cs="Arial"/>
                <w:sz w:val="24"/>
                <w:szCs w:val="24"/>
              </w:rPr>
            </w:pPr>
          </w:p>
        </w:tc>
      </w:tr>
      <w:tr w:rsidR="0064032D" w:rsidRPr="008F13F9" w14:paraId="207A874F" w14:textId="77777777" w:rsidTr="00C674FD">
        <w:tc>
          <w:tcPr>
            <w:tcW w:w="4641" w:type="dxa"/>
          </w:tcPr>
          <w:p w14:paraId="7E0BC680" w14:textId="77777777" w:rsidR="0064032D" w:rsidRPr="008F13F9" w:rsidRDefault="0064032D" w:rsidP="008F13F9">
            <w:pPr>
              <w:spacing w:line="240" w:lineRule="auto"/>
              <w:jc w:val="both"/>
              <w:rPr>
                <w:rFonts w:ascii="Arial" w:hAnsi="Arial" w:cs="Arial"/>
                <w:sz w:val="24"/>
                <w:szCs w:val="24"/>
              </w:rPr>
            </w:pPr>
            <w:r w:rsidRPr="008F13F9">
              <w:rPr>
                <w:rFonts w:ascii="Arial" w:hAnsi="Arial" w:cs="Arial"/>
                <w:sz w:val="24"/>
                <w:szCs w:val="24"/>
              </w:rPr>
              <w:t>HIV</w:t>
            </w:r>
          </w:p>
        </w:tc>
        <w:tc>
          <w:tcPr>
            <w:tcW w:w="4641" w:type="dxa"/>
          </w:tcPr>
          <w:p w14:paraId="24CB25EC" w14:textId="77777777" w:rsidR="0064032D" w:rsidRPr="008F13F9" w:rsidRDefault="0064032D" w:rsidP="008F13F9">
            <w:pPr>
              <w:widowControl w:val="0"/>
              <w:autoSpaceDE w:val="0"/>
              <w:autoSpaceDN w:val="0"/>
              <w:adjustRightInd w:val="0"/>
              <w:spacing w:after="240" w:line="240" w:lineRule="auto"/>
              <w:jc w:val="both"/>
              <w:rPr>
                <w:rFonts w:ascii="Arial" w:hAnsi="Arial" w:cs="Arial"/>
                <w:sz w:val="24"/>
                <w:szCs w:val="24"/>
                <w:lang w:val="en-US"/>
              </w:rPr>
            </w:pPr>
            <w:r w:rsidRPr="008F13F9">
              <w:rPr>
                <w:rFonts w:ascii="Arial" w:hAnsi="Arial" w:cs="Arial"/>
                <w:sz w:val="24"/>
                <w:szCs w:val="24"/>
                <w:lang w:val="en-US"/>
              </w:rPr>
              <w:t>Lymfomy</w:t>
            </w:r>
          </w:p>
        </w:tc>
      </w:tr>
    </w:tbl>
    <w:p w14:paraId="17A59A7F" w14:textId="77777777" w:rsidR="00271CF4" w:rsidRDefault="0064032D" w:rsidP="00271CF4">
      <w:pPr>
        <w:spacing w:line="360" w:lineRule="auto"/>
        <w:jc w:val="both"/>
        <w:rPr>
          <w:rFonts w:ascii="Arial" w:hAnsi="Arial" w:cs="Arial"/>
          <w:i/>
          <w:sz w:val="24"/>
          <w:szCs w:val="24"/>
          <w:vertAlign w:val="superscript"/>
        </w:rPr>
      </w:pP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r>
      <w:r w:rsidRPr="008F13F9">
        <w:rPr>
          <w:rFonts w:ascii="Arial" w:hAnsi="Arial" w:cs="Arial"/>
          <w:i/>
          <w:sz w:val="24"/>
          <w:szCs w:val="24"/>
        </w:rPr>
        <w:tab/>
        <w:t xml:space="preserve">         Tabulka . Přehled humanotropních kancerogenních virů </w:t>
      </w:r>
      <w:r w:rsidRPr="008F13F9">
        <w:rPr>
          <w:rFonts w:ascii="Arial" w:hAnsi="Arial" w:cs="Arial"/>
          <w:i/>
          <w:sz w:val="24"/>
          <w:szCs w:val="24"/>
          <w:vertAlign w:val="superscript"/>
        </w:rPr>
        <w:t>19</w:t>
      </w:r>
    </w:p>
    <w:p w14:paraId="4724C7D6" w14:textId="77777777" w:rsidR="0064032D" w:rsidRPr="00271CF4" w:rsidRDefault="00271CF4" w:rsidP="00271CF4">
      <w:pPr>
        <w:spacing w:line="360" w:lineRule="auto"/>
        <w:jc w:val="both"/>
        <w:rPr>
          <w:rFonts w:ascii="Arial" w:hAnsi="Arial" w:cs="Arial"/>
          <w:i/>
          <w:sz w:val="24"/>
          <w:szCs w:val="24"/>
          <w:vertAlign w:val="superscript"/>
        </w:rPr>
      </w:pPr>
      <w:r>
        <w:rPr>
          <w:rFonts w:ascii="Arial" w:hAnsi="Arial" w:cs="Arial"/>
          <w:sz w:val="24"/>
          <w:szCs w:val="24"/>
          <w:lang w:val="en-US"/>
        </w:rPr>
        <w:tab/>
      </w:r>
      <w:r w:rsidR="0064032D" w:rsidRPr="008F13F9">
        <w:rPr>
          <w:rFonts w:ascii="Arial" w:hAnsi="Arial" w:cs="Arial"/>
          <w:sz w:val="24"/>
          <w:szCs w:val="24"/>
          <w:lang w:val="en-US"/>
        </w:rPr>
        <w:t>Při hledání příčinné souvislosti mezi patogenem a onemocněním se vychází z upravené verze Kochových postulátů</w:t>
      </w:r>
      <w:r w:rsidR="0064032D" w:rsidRPr="008F13F9">
        <w:rPr>
          <w:rFonts w:ascii="Arial" w:hAnsi="Arial" w:cs="Arial"/>
          <w:sz w:val="24"/>
          <w:szCs w:val="24"/>
          <w:vertAlign w:val="superscript"/>
          <w:lang w:val="en-US"/>
        </w:rPr>
        <w:t>20</w:t>
      </w:r>
      <w:r w:rsidR="0064032D" w:rsidRPr="008F13F9">
        <w:rPr>
          <w:rFonts w:ascii="Arial" w:hAnsi="Arial" w:cs="Arial"/>
          <w:sz w:val="24"/>
          <w:szCs w:val="24"/>
          <w:lang w:val="en-US"/>
        </w:rPr>
        <w:t xml:space="preserve">, která zohledňuje molekulárně biologické techniky: </w:t>
      </w:r>
    </w:p>
    <w:p w14:paraId="69134471"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lang w:val="en-US"/>
        </w:rPr>
        <w:t xml:space="preserve">- Pouze nemocná tkáň by měla obsahovat genom podezřelého patogenu. </w:t>
      </w:r>
    </w:p>
    <w:p w14:paraId="23358BE1"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lang w:val="en-US"/>
        </w:rPr>
        <w:t xml:space="preserve">- Vyléčení nemoci je doprovázeno snížením počtu kopií genomu patogenu. </w:t>
      </w:r>
    </w:p>
    <w:p w14:paraId="5843EEA2"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lang w:val="en-US"/>
        </w:rPr>
        <w:t xml:space="preserve">- Mikrobiální genom je možné detekovat před propuknutím onemocnění a měl by korelovat se závažností onemocnění. </w:t>
      </w:r>
    </w:p>
    <w:p w14:paraId="4126AA06"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lang w:val="en-US"/>
        </w:rPr>
        <w:t xml:space="preserve">- Povaha mikroorganismu </w:t>
      </w:r>
      <w:r w:rsidR="00B7085B">
        <w:rPr>
          <w:rFonts w:ascii="Arial" w:hAnsi="Arial" w:cs="Arial"/>
          <w:sz w:val="24"/>
          <w:szCs w:val="24"/>
          <w:lang w:val="en-US"/>
        </w:rPr>
        <w:t>detekovaného pomocí</w:t>
      </w:r>
      <w:r w:rsidRPr="008F13F9">
        <w:rPr>
          <w:rFonts w:ascii="Arial" w:hAnsi="Arial" w:cs="Arial"/>
          <w:sz w:val="24"/>
          <w:szCs w:val="24"/>
          <w:lang w:val="en-US"/>
        </w:rPr>
        <w:t xml:space="preserve"> jeho nukleových kyselin by měla být ve shodě se známou biologickou charakteristikou </w:t>
      </w:r>
      <w:r w:rsidR="00B7085B">
        <w:rPr>
          <w:rFonts w:ascii="Arial" w:hAnsi="Arial" w:cs="Arial"/>
          <w:sz w:val="24"/>
          <w:szCs w:val="24"/>
          <w:lang w:val="en-US"/>
        </w:rPr>
        <w:t>onemocnění</w:t>
      </w:r>
      <w:r w:rsidRPr="008F13F9">
        <w:rPr>
          <w:rFonts w:ascii="Arial" w:hAnsi="Arial" w:cs="Arial"/>
          <w:sz w:val="24"/>
          <w:szCs w:val="24"/>
          <w:lang w:val="en-US"/>
        </w:rPr>
        <w:t xml:space="preserve">. </w:t>
      </w:r>
    </w:p>
    <w:p w14:paraId="0355749C"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lang w:val="en-US"/>
        </w:rPr>
        <w:t xml:space="preserve">- Molekulární průkaz je reproducibilní. </w:t>
      </w:r>
    </w:p>
    <w:p w14:paraId="14744960" w14:textId="77777777" w:rsidR="00D04F54" w:rsidRPr="008F13F9" w:rsidRDefault="00D04F54" w:rsidP="008F13F9">
      <w:pPr>
        <w:widowControl w:val="0"/>
        <w:autoSpaceDE w:val="0"/>
        <w:autoSpaceDN w:val="0"/>
        <w:adjustRightInd w:val="0"/>
        <w:spacing w:after="240" w:line="360" w:lineRule="auto"/>
        <w:jc w:val="both"/>
        <w:rPr>
          <w:rFonts w:ascii="Arial" w:hAnsi="Arial" w:cs="Arial"/>
          <w:sz w:val="24"/>
          <w:szCs w:val="24"/>
          <w:lang w:val="en-US"/>
        </w:rPr>
      </w:pPr>
    </w:p>
    <w:p w14:paraId="4C2F9967" w14:textId="77777777" w:rsidR="0064032D" w:rsidRPr="008F13F9" w:rsidRDefault="0064032D" w:rsidP="003A3C42">
      <w:pPr>
        <w:spacing w:line="360" w:lineRule="auto"/>
        <w:jc w:val="center"/>
        <w:rPr>
          <w:rFonts w:ascii="Arial" w:hAnsi="Arial" w:cs="Arial"/>
          <w:b/>
          <w:i/>
          <w:sz w:val="24"/>
          <w:szCs w:val="24"/>
          <w:u w:val="single"/>
        </w:rPr>
      </w:pPr>
      <w:r w:rsidRPr="008F13F9">
        <w:rPr>
          <w:rFonts w:ascii="Arial" w:hAnsi="Arial" w:cs="Arial"/>
          <w:b/>
          <w:sz w:val="24"/>
          <w:szCs w:val="24"/>
          <w:u w:val="single"/>
        </w:rPr>
        <w:t>5. Lidský papilomavirus</w:t>
      </w:r>
    </w:p>
    <w:p w14:paraId="591CEF19" w14:textId="77777777" w:rsidR="0064032D" w:rsidRPr="008F13F9" w:rsidRDefault="00271CF4"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Virus lidského papilomaviru náleží do skupiny </w:t>
      </w:r>
      <w:r w:rsidR="0064032D" w:rsidRPr="008F13F9">
        <w:rPr>
          <w:rFonts w:ascii="Arial" w:hAnsi="Arial" w:cs="Arial"/>
          <w:i/>
          <w:sz w:val="24"/>
          <w:szCs w:val="24"/>
        </w:rPr>
        <w:t xml:space="preserve">Papovaviridae, </w:t>
      </w:r>
      <w:r w:rsidR="0064032D" w:rsidRPr="008F13F9">
        <w:rPr>
          <w:rFonts w:ascii="Arial" w:hAnsi="Arial" w:cs="Arial"/>
          <w:sz w:val="24"/>
          <w:szCs w:val="24"/>
        </w:rPr>
        <w:t xml:space="preserve">která zahrnuje přibližně  100 různých sérotypových druhů, a dále dělí do dvou dílčích skupin - </w:t>
      </w:r>
      <w:r w:rsidR="0064032D" w:rsidRPr="008F13F9">
        <w:rPr>
          <w:rFonts w:ascii="Arial" w:hAnsi="Arial" w:cs="Arial"/>
          <w:i/>
          <w:sz w:val="24"/>
          <w:szCs w:val="24"/>
        </w:rPr>
        <w:t xml:space="preserve">alfa a beta. </w:t>
      </w:r>
      <w:r w:rsidR="0064032D" w:rsidRPr="008F13F9">
        <w:rPr>
          <w:rFonts w:ascii="Arial" w:hAnsi="Arial" w:cs="Arial"/>
          <w:sz w:val="24"/>
          <w:szCs w:val="24"/>
        </w:rPr>
        <w:t>Jedná se o malé neobalené dvouvláknové DNA viry, které jsou mutačně stabilní a druhově specifické. Virus lze nalézt na mnoha místech těla - na sliznicích (děložním čípku, v ústech, oro- hypofaryngu), kůži - v oblasti genitálu nebo konečníku. HPV nacházíme v mnoha lézích, které mají charakter benigních (veruky, condylomata accuminata), ale i maligních solidních nádorů (karcinomy děložního čípku, pyje, kůže, dutiny ústní, orofaryngu).</w:t>
      </w:r>
    </w:p>
    <w:p w14:paraId="460D669A" w14:textId="77777777" w:rsidR="0064032D" w:rsidRPr="00271CF4" w:rsidRDefault="0064032D" w:rsidP="008F13F9">
      <w:pPr>
        <w:spacing w:line="360" w:lineRule="auto"/>
        <w:jc w:val="both"/>
        <w:rPr>
          <w:rFonts w:ascii="Arial" w:hAnsi="Arial" w:cs="Arial"/>
          <w:sz w:val="24"/>
          <w:szCs w:val="24"/>
          <w:u w:val="single"/>
        </w:rPr>
      </w:pPr>
      <w:r w:rsidRPr="00271CF4">
        <w:rPr>
          <w:rFonts w:ascii="Arial" w:hAnsi="Arial" w:cs="Arial"/>
          <w:sz w:val="24"/>
          <w:szCs w:val="24"/>
          <w:u w:val="single"/>
        </w:rPr>
        <w:t xml:space="preserve">Genom HPV se skládá ze 3 oblastí: </w:t>
      </w:r>
    </w:p>
    <w:p w14:paraId="0B25F798"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 xml:space="preserve">- </w:t>
      </w:r>
      <w:r w:rsidRPr="008F13F9">
        <w:rPr>
          <w:rFonts w:ascii="Arial" w:hAnsi="Arial" w:cs="Arial"/>
          <w:sz w:val="24"/>
          <w:szCs w:val="24"/>
          <w:u w:val="single"/>
        </w:rPr>
        <w:t>regulační region</w:t>
      </w:r>
      <w:r w:rsidRPr="008F13F9">
        <w:rPr>
          <w:rFonts w:ascii="Arial" w:hAnsi="Arial" w:cs="Arial"/>
          <w:sz w:val="24"/>
          <w:szCs w:val="24"/>
        </w:rPr>
        <w:t xml:space="preserve"> (LCR) - obsahuje vazebná místa pro virové proteiny E1 a E2, zde začíná virová rep</w:t>
      </w:r>
      <w:r w:rsidR="00271CF4">
        <w:rPr>
          <w:rFonts w:ascii="Arial" w:hAnsi="Arial" w:cs="Arial"/>
          <w:sz w:val="24"/>
          <w:szCs w:val="24"/>
        </w:rPr>
        <w:t xml:space="preserve">likace, dále promotory (P1-P4) a </w:t>
      </w:r>
      <w:r w:rsidRPr="008F13F9">
        <w:rPr>
          <w:rFonts w:ascii="Arial" w:hAnsi="Arial" w:cs="Arial"/>
          <w:sz w:val="24"/>
          <w:szCs w:val="24"/>
        </w:rPr>
        <w:t>vazebná místa pro transkripční faktory</w:t>
      </w:r>
    </w:p>
    <w:p w14:paraId="4A9826EF"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 xml:space="preserve">- </w:t>
      </w:r>
      <w:r w:rsidRPr="008F13F9">
        <w:rPr>
          <w:rFonts w:ascii="Arial" w:hAnsi="Arial" w:cs="Arial"/>
          <w:sz w:val="24"/>
          <w:szCs w:val="24"/>
          <w:u w:val="single"/>
        </w:rPr>
        <w:t>časný region</w:t>
      </w:r>
      <w:r w:rsidRPr="008F13F9">
        <w:rPr>
          <w:rFonts w:ascii="Arial" w:hAnsi="Arial" w:cs="Arial"/>
          <w:sz w:val="24"/>
          <w:szCs w:val="24"/>
        </w:rPr>
        <w:t xml:space="preserve"> (early region) </w:t>
      </w:r>
    </w:p>
    <w:p w14:paraId="4A1A78D0"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 xml:space="preserve">- </w:t>
      </w:r>
      <w:r w:rsidRPr="008F13F9">
        <w:rPr>
          <w:rFonts w:ascii="Arial" w:hAnsi="Arial" w:cs="Arial"/>
          <w:sz w:val="24"/>
          <w:szCs w:val="24"/>
          <w:u w:val="single"/>
        </w:rPr>
        <w:t>pozdní region</w:t>
      </w:r>
      <w:r w:rsidRPr="008F13F9">
        <w:rPr>
          <w:rFonts w:ascii="Arial" w:hAnsi="Arial" w:cs="Arial"/>
          <w:sz w:val="24"/>
          <w:szCs w:val="24"/>
        </w:rPr>
        <w:t xml:space="preserve"> (late region).</w:t>
      </w:r>
    </w:p>
    <w:p w14:paraId="7499A32B" w14:textId="77777777" w:rsidR="0064032D" w:rsidRPr="008F13F9" w:rsidRDefault="00271CF4"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Na základě rizika malignizace hostitelské buňky byly vytvořeny 3 skupiny, do nichž jsou jednotl</w:t>
      </w:r>
      <w:r>
        <w:rPr>
          <w:rFonts w:ascii="Arial" w:hAnsi="Arial" w:cs="Arial"/>
          <w:sz w:val="24"/>
          <w:szCs w:val="24"/>
        </w:rPr>
        <w:t xml:space="preserve">ivé typy HPV řazeny: </w:t>
      </w:r>
      <w:r w:rsidRPr="00271CF4">
        <w:rPr>
          <w:rFonts w:ascii="Arial" w:hAnsi="Arial" w:cs="Arial"/>
          <w:sz w:val="24"/>
          <w:szCs w:val="24"/>
          <w:u w:val="single"/>
        </w:rPr>
        <w:t xml:space="preserve">low risk, </w:t>
      </w:r>
      <w:r w:rsidR="0064032D" w:rsidRPr="00271CF4">
        <w:rPr>
          <w:rFonts w:ascii="Arial" w:hAnsi="Arial" w:cs="Arial"/>
          <w:sz w:val="24"/>
          <w:szCs w:val="24"/>
          <w:u w:val="single"/>
        </w:rPr>
        <w:t>intermediate risk a high risk (HR</w:t>
      </w:r>
      <w:r w:rsidR="0064032D" w:rsidRPr="008F13F9">
        <w:rPr>
          <w:rFonts w:ascii="Arial" w:hAnsi="Arial" w:cs="Arial"/>
          <w:sz w:val="24"/>
          <w:szCs w:val="24"/>
        </w:rPr>
        <w:t>).</w:t>
      </w:r>
    </w:p>
    <w:p w14:paraId="4515A022" w14:textId="77777777" w:rsidR="0064032D" w:rsidRPr="008F13F9" w:rsidRDefault="00271CF4"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 xml:space="preserve">Skupina </w:t>
      </w:r>
      <w:r w:rsidR="0064032D" w:rsidRPr="008F13F9">
        <w:rPr>
          <w:rFonts w:ascii="Arial" w:hAnsi="Arial" w:cs="Arial"/>
          <w:i/>
          <w:sz w:val="24"/>
          <w:szCs w:val="24"/>
        </w:rPr>
        <w:t>alfa</w:t>
      </w:r>
      <w:r w:rsidR="0064032D" w:rsidRPr="008F13F9">
        <w:rPr>
          <w:rFonts w:ascii="Arial" w:hAnsi="Arial" w:cs="Arial"/>
          <w:sz w:val="24"/>
          <w:szCs w:val="24"/>
        </w:rPr>
        <w:t xml:space="preserve"> HPV je jedinou, která je obsaže</w:t>
      </w:r>
      <w:r>
        <w:rPr>
          <w:rFonts w:ascii="Arial" w:hAnsi="Arial" w:cs="Arial"/>
          <w:sz w:val="24"/>
          <w:szCs w:val="24"/>
        </w:rPr>
        <w:t xml:space="preserve">na v skupině HR HPV tumorů, </w:t>
      </w:r>
      <w:r w:rsidR="0064032D" w:rsidRPr="008F13F9">
        <w:rPr>
          <w:rFonts w:ascii="Arial" w:hAnsi="Arial" w:cs="Arial"/>
          <w:sz w:val="24"/>
          <w:szCs w:val="24"/>
        </w:rPr>
        <w:t xml:space="preserve">nejlépe probádanou a nejvíce diskutovanou s ohledem na riziko maligních transformací infikovaných buněčných struktur. </w:t>
      </w:r>
    </w:p>
    <w:p w14:paraId="69AD0766" w14:textId="77777777" w:rsidR="0064032D" w:rsidRPr="008F13F9" w:rsidRDefault="00271CF4"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Prevalenci přítomnosti lidského papilomaviru v neopláziích</w:t>
      </w:r>
      <w:r w:rsidR="0064032D" w:rsidRPr="008F13F9">
        <w:rPr>
          <w:rFonts w:ascii="Arial" w:hAnsi="Arial" w:cs="Arial"/>
          <w:sz w:val="24"/>
          <w:szCs w:val="24"/>
          <w:vertAlign w:val="superscript"/>
        </w:rPr>
        <w:t>16-19</w:t>
      </w:r>
      <w:r w:rsidR="0064032D" w:rsidRPr="008F13F9">
        <w:rPr>
          <w:rFonts w:ascii="Arial" w:hAnsi="Arial" w:cs="Arial"/>
          <w:sz w:val="24"/>
          <w:szCs w:val="24"/>
        </w:rPr>
        <w:t xml:space="preserve"> vyjadřuje Tabulka 2: </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1"/>
        <w:gridCol w:w="4641"/>
      </w:tblGrid>
      <w:tr w:rsidR="0064032D" w:rsidRPr="008F13F9" w14:paraId="0C3AC15D" w14:textId="77777777" w:rsidTr="00C674FD">
        <w:tc>
          <w:tcPr>
            <w:tcW w:w="4641" w:type="dxa"/>
            <w:tcBorders>
              <w:top w:val="single" w:sz="18" w:space="0" w:color="auto"/>
              <w:left w:val="single" w:sz="18" w:space="0" w:color="auto"/>
              <w:bottom w:val="single" w:sz="18" w:space="0" w:color="auto"/>
            </w:tcBorders>
          </w:tcPr>
          <w:p w14:paraId="2E01C619" w14:textId="77777777" w:rsidR="0064032D" w:rsidRPr="008F13F9" w:rsidRDefault="0064032D" w:rsidP="008F13F9">
            <w:pPr>
              <w:spacing w:line="360" w:lineRule="auto"/>
              <w:jc w:val="both"/>
              <w:rPr>
                <w:rFonts w:ascii="Arial" w:hAnsi="Arial" w:cs="Arial"/>
                <w:b/>
                <w:sz w:val="24"/>
                <w:szCs w:val="24"/>
              </w:rPr>
            </w:pPr>
            <w:r w:rsidRPr="008F13F9">
              <w:rPr>
                <w:rFonts w:ascii="Arial" w:hAnsi="Arial" w:cs="Arial"/>
                <w:b/>
                <w:sz w:val="24"/>
                <w:szCs w:val="24"/>
              </w:rPr>
              <w:t>Lokalizace</w:t>
            </w:r>
          </w:p>
        </w:tc>
        <w:tc>
          <w:tcPr>
            <w:tcW w:w="4641" w:type="dxa"/>
            <w:tcBorders>
              <w:top w:val="single" w:sz="18" w:space="0" w:color="auto"/>
              <w:bottom w:val="single" w:sz="18" w:space="0" w:color="auto"/>
              <w:right w:val="single" w:sz="18" w:space="0" w:color="auto"/>
            </w:tcBorders>
          </w:tcPr>
          <w:p w14:paraId="15197218" w14:textId="77777777" w:rsidR="0064032D" w:rsidRPr="008F13F9" w:rsidRDefault="0064032D" w:rsidP="008F13F9">
            <w:pPr>
              <w:spacing w:line="360" w:lineRule="auto"/>
              <w:jc w:val="both"/>
              <w:rPr>
                <w:rFonts w:ascii="Arial" w:hAnsi="Arial" w:cs="Arial"/>
                <w:b/>
                <w:sz w:val="24"/>
                <w:szCs w:val="24"/>
              </w:rPr>
            </w:pPr>
            <w:r w:rsidRPr="008F13F9">
              <w:rPr>
                <w:rFonts w:ascii="Arial" w:hAnsi="Arial" w:cs="Arial"/>
                <w:b/>
                <w:sz w:val="24"/>
                <w:szCs w:val="24"/>
              </w:rPr>
              <w:t>Prevalence</w:t>
            </w:r>
          </w:p>
        </w:tc>
      </w:tr>
      <w:tr w:rsidR="0064032D" w:rsidRPr="008F13F9" w14:paraId="604A88CA" w14:textId="77777777" w:rsidTr="00C674FD">
        <w:tc>
          <w:tcPr>
            <w:tcW w:w="4641" w:type="dxa"/>
          </w:tcPr>
          <w:p w14:paraId="4518BA91"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lastRenderedPageBreak/>
              <w:t>Karcinom děložního čípku</w:t>
            </w:r>
          </w:p>
        </w:tc>
        <w:tc>
          <w:tcPr>
            <w:tcW w:w="4641" w:type="dxa"/>
          </w:tcPr>
          <w:p w14:paraId="60BA25D7"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99.7 %</w:t>
            </w:r>
          </w:p>
        </w:tc>
      </w:tr>
      <w:tr w:rsidR="0064032D" w:rsidRPr="008F13F9" w14:paraId="34A54A25" w14:textId="77777777" w:rsidTr="00C674FD">
        <w:tc>
          <w:tcPr>
            <w:tcW w:w="4641" w:type="dxa"/>
          </w:tcPr>
          <w:p w14:paraId="266E8580"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Karcinom anu</w:t>
            </w:r>
          </w:p>
        </w:tc>
        <w:tc>
          <w:tcPr>
            <w:tcW w:w="4641" w:type="dxa"/>
          </w:tcPr>
          <w:p w14:paraId="79044A5A"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až 93 %</w:t>
            </w:r>
          </w:p>
        </w:tc>
      </w:tr>
      <w:tr w:rsidR="0064032D" w:rsidRPr="008F13F9" w14:paraId="5A17D1B5" w14:textId="77777777" w:rsidTr="00C674FD">
        <w:tc>
          <w:tcPr>
            <w:tcW w:w="4641" w:type="dxa"/>
          </w:tcPr>
          <w:p w14:paraId="441A3333" w14:textId="77777777" w:rsidR="0064032D" w:rsidRPr="008F13F9" w:rsidRDefault="0064032D" w:rsidP="008F13F9">
            <w:pPr>
              <w:tabs>
                <w:tab w:val="left" w:pos="460"/>
                <w:tab w:val="center" w:pos="2212"/>
              </w:tabs>
              <w:spacing w:line="360" w:lineRule="auto"/>
              <w:jc w:val="both"/>
              <w:rPr>
                <w:rFonts w:ascii="Arial" w:hAnsi="Arial" w:cs="Arial"/>
                <w:sz w:val="24"/>
                <w:szCs w:val="24"/>
              </w:rPr>
            </w:pPr>
            <w:r w:rsidRPr="008F13F9">
              <w:rPr>
                <w:rFonts w:ascii="Arial" w:hAnsi="Arial" w:cs="Arial"/>
                <w:sz w:val="24"/>
                <w:szCs w:val="24"/>
              </w:rPr>
              <w:t>Karcinom pochvy</w:t>
            </w:r>
          </w:p>
        </w:tc>
        <w:tc>
          <w:tcPr>
            <w:tcW w:w="4641" w:type="dxa"/>
          </w:tcPr>
          <w:p w14:paraId="3C2B097D"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až 91 %</w:t>
            </w:r>
          </w:p>
        </w:tc>
      </w:tr>
      <w:tr w:rsidR="0064032D" w:rsidRPr="008F13F9" w14:paraId="25EAC7BD" w14:textId="77777777" w:rsidTr="00C674FD">
        <w:tc>
          <w:tcPr>
            <w:tcW w:w="4641" w:type="dxa"/>
          </w:tcPr>
          <w:p w14:paraId="5ED4E9AA"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Adenokarcinom děložního čípku</w:t>
            </w:r>
          </w:p>
        </w:tc>
        <w:tc>
          <w:tcPr>
            <w:tcW w:w="4641" w:type="dxa"/>
          </w:tcPr>
          <w:p w14:paraId="29150197"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82 %</w:t>
            </w:r>
          </w:p>
        </w:tc>
      </w:tr>
      <w:tr w:rsidR="0064032D" w:rsidRPr="008F13F9" w14:paraId="6D7DC6E3" w14:textId="77777777" w:rsidTr="00C674FD">
        <w:tc>
          <w:tcPr>
            <w:tcW w:w="4641" w:type="dxa"/>
          </w:tcPr>
          <w:p w14:paraId="3AFD54E2"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Karcinom penisu</w:t>
            </w:r>
          </w:p>
        </w:tc>
        <w:tc>
          <w:tcPr>
            <w:tcW w:w="4641" w:type="dxa"/>
          </w:tcPr>
          <w:p w14:paraId="23AE36EC"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až 82 %</w:t>
            </w:r>
          </w:p>
        </w:tc>
      </w:tr>
      <w:tr w:rsidR="0064032D" w:rsidRPr="008F13F9" w14:paraId="2E3E9779" w14:textId="77777777" w:rsidTr="00C674FD">
        <w:tc>
          <w:tcPr>
            <w:tcW w:w="4641" w:type="dxa"/>
          </w:tcPr>
          <w:p w14:paraId="0D43D36D"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Karcinom vulvy</w:t>
            </w:r>
          </w:p>
        </w:tc>
        <w:tc>
          <w:tcPr>
            <w:tcW w:w="4641" w:type="dxa"/>
          </w:tcPr>
          <w:p w14:paraId="7E12B1DE"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40 %</w:t>
            </w:r>
          </w:p>
        </w:tc>
      </w:tr>
      <w:tr w:rsidR="0064032D" w:rsidRPr="008F13F9" w14:paraId="61EEB7D8" w14:textId="77777777" w:rsidTr="00C674FD">
        <w:tc>
          <w:tcPr>
            <w:tcW w:w="4641" w:type="dxa"/>
          </w:tcPr>
          <w:p w14:paraId="3245C052" w14:textId="77777777" w:rsidR="0064032D" w:rsidRPr="008F13F9" w:rsidRDefault="00B7085B" w:rsidP="008F13F9">
            <w:pPr>
              <w:spacing w:line="360" w:lineRule="auto"/>
              <w:jc w:val="both"/>
              <w:rPr>
                <w:rFonts w:ascii="Arial" w:hAnsi="Arial" w:cs="Arial"/>
                <w:sz w:val="24"/>
                <w:szCs w:val="24"/>
              </w:rPr>
            </w:pPr>
            <w:r>
              <w:rPr>
                <w:rFonts w:ascii="Arial" w:hAnsi="Arial" w:cs="Arial"/>
                <w:sz w:val="24"/>
                <w:szCs w:val="24"/>
              </w:rPr>
              <w:t>Dlaždicobuněčné k</w:t>
            </w:r>
            <w:r w:rsidR="0064032D" w:rsidRPr="008F13F9">
              <w:rPr>
                <w:rFonts w:ascii="Arial" w:hAnsi="Arial" w:cs="Arial"/>
                <w:sz w:val="24"/>
                <w:szCs w:val="24"/>
              </w:rPr>
              <w:t>arcinomy hlavy a krku</w:t>
            </w:r>
          </w:p>
        </w:tc>
        <w:tc>
          <w:tcPr>
            <w:tcW w:w="4641" w:type="dxa"/>
          </w:tcPr>
          <w:p w14:paraId="38EFC894"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rPr>
              <w:t>až 35 %</w:t>
            </w:r>
          </w:p>
        </w:tc>
      </w:tr>
    </w:tbl>
    <w:p w14:paraId="1E0FD0C2" w14:textId="77777777" w:rsidR="0064032D" w:rsidRPr="008F13F9" w:rsidRDefault="0064032D" w:rsidP="008F13F9">
      <w:pPr>
        <w:spacing w:line="360" w:lineRule="auto"/>
        <w:jc w:val="both"/>
        <w:rPr>
          <w:rFonts w:ascii="Arial" w:hAnsi="Arial" w:cs="Arial"/>
          <w:i/>
          <w:sz w:val="24"/>
          <w:szCs w:val="24"/>
        </w:rPr>
      </w:pP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r>
      <w:r w:rsidRPr="008F13F9">
        <w:rPr>
          <w:rFonts w:ascii="Arial" w:hAnsi="Arial" w:cs="Arial"/>
          <w:sz w:val="24"/>
          <w:szCs w:val="24"/>
        </w:rPr>
        <w:tab/>
        <w:t xml:space="preserve">            </w:t>
      </w:r>
      <w:r w:rsidRPr="008F13F9">
        <w:rPr>
          <w:rFonts w:ascii="Arial" w:hAnsi="Arial" w:cs="Arial"/>
          <w:b/>
          <w:sz w:val="24"/>
          <w:szCs w:val="24"/>
        </w:rPr>
        <w:t>Tab. 2</w:t>
      </w:r>
      <w:r w:rsidRPr="008F13F9">
        <w:rPr>
          <w:rFonts w:ascii="Arial" w:hAnsi="Arial" w:cs="Arial"/>
          <w:sz w:val="24"/>
          <w:szCs w:val="24"/>
        </w:rPr>
        <w:t xml:space="preserve"> </w:t>
      </w:r>
      <w:r w:rsidRPr="008F13F9">
        <w:rPr>
          <w:rFonts w:ascii="Arial" w:hAnsi="Arial" w:cs="Arial"/>
          <w:i/>
          <w:sz w:val="24"/>
          <w:szCs w:val="24"/>
        </w:rPr>
        <w:t>Prevalence přítomnosti lidského papilomaviru v různých neopláziích</w:t>
      </w:r>
      <w:r w:rsidR="00271CF4">
        <w:rPr>
          <w:rFonts w:ascii="Arial" w:hAnsi="Arial" w:cs="Arial"/>
          <w:i/>
          <w:sz w:val="24"/>
          <w:szCs w:val="24"/>
        </w:rPr>
        <w:t>.</w:t>
      </w:r>
    </w:p>
    <w:p w14:paraId="5FC85C8B" w14:textId="77777777" w:rsidR="003D3503" w:rsidRDefault="003D3503" w:rsidP="003D3503">
      <w:pPr>
        <w:spacing w:line="360" w:lineRule="auto"/>
        <w:ind w:firstLine="720"/>
        <w:jc w:val="both"/>
        <w:rPr>
          <w:rFonts w:ascii="Arial" w:hAnsi="Arial" w:cs="Arial"/>
          <w:i/>
          <w:sz w:val="24"/>
          <w:szCs w:val="24"/>
        </w:rPr>
      </w:pPr>
    </w:p>
    <w:p w14:paraId="249337EF" w14:textId="77777777" w:rsidR="0064032D" w:rsidRDefault="0064032D" w:rsidP="003D3503">
      <w:pPr>
        <w:spacing w:line="360" w:lineRule="auto"/>
        <w:ind w:firstLine="720"/>
        <w:jc w:val="both"/>
        <w:rPr>
          <w:rFonts w:ascii="Arial" w:hAnsi="Arial" w:cs="Arial"/>
          <w:sz w:val="24"/>
          <w:szCs w:val="24"/>
        </w:rPr>
      </w:pPr>
      <w:r w:rsidRPr="008F13F9">
        <w:rPr>
          <w:rFonts w:ascii="Arial" w:hAnsi="Arial" w:cs="Arial"/>
          <w:sz w:val="24"/>
          <w:szCs w:val="24"/>
        </w:rPr>
        <w:t xml:space="preserve">Z pohledu OFK řadíme k HR-HPV typy 16, 18, 31, 33, 35. Jedná se o viry s dvouvláknovou DNA s přibližně 8000 nukleotidy, které kódují </w:t>
      </w:r>
      <w:r w:rsidR="00B7085B">
        <w:rPr>
          <w:rFonts w:ascii="Arial" w:hAnsi="Arial" w:cs="Arial"/>
          <w:sz w:val="24"/>
          <w:szCs w:val="24"/>
        </w:rPr>
        <w:t>sedm časných</w:t>
      </w:r>
      <w:r w:rsidRPr="008F13F9">
        <w:rPr>
          <w:rFonts w:ascii="Arial" w:hAnsi="Arial" w:cs="Arial"/>
          <w:sz w:val="24"/>
          <w:szCs w:val="24"/>
        </w:rPr>
        <w:t xml:space="preserve"> </w:t>
      </w:r>
      <w:r w:rsidR="00B7085B">
        <w:rPr>
          <w:rFonts w:ascii="Arial" w:hAnsi="Arial" w:cs="Arial"/>
          <w:sz w:val="24"/>
          <w:szCs w:val="24"/>
        </w:rPr>
        <w:t>(</w:t>
      </w:r>
      <w:r w:rsidRPr="008F13F9">
        <w:rPr>
          <w:rFonts w:ascii="Arial" w:hAnsi="Arial" w:cs="Arial"/>
          <w:sz w:val="24"/>
          <w:szCs w:val="24"/>
        </w:rPr>
        <w:t>early</w:t>
      </w:r>
      <w:r w:rsidR="00B7085B">
        <w:rPr>
          <w:rFonts w:ascii="Arial" w:hAnsi="Arial" w:cs="Arial"/>
          <w:sz w:val="24"/>
          <w:szCs w:val="24"/>
        </w:rPr>
        <w:t>) genů (E1-7), dva pozdní (late) L1, L2</w:t>
      </w:r>
      <w:r w:rsidRPr="008F13F9">
        <w:rPr>
          <w:rFonts w:ascii="Arial" w:hAnsi="Arial" w:cs="Arial"/>
          <w:sz w:val="24"/>
          <w:szCs w:val="24"/>
        </w:rPr>
        <w:t xml:space="preserve"> a locus control region (LCR) (Obr. 1). Z výše uvedených je nejčastějším zástupcem typ 16, který se vyskytuje asi v 90-95% HPV+ nádorů, následovaný značně menší skupinou typů 18 a 33 </w:t>
      </w:r>
      <w:r w:rsidRPr="008F13F9">
        <w:rPr>
          <w:rFonts w:ascii="Arial" w:hAnsi="Arial" w:cs="Arial"/>
          <w:sz w:val="24"/>
          <w:szCs w:val="24"/>
          <w:vertAlign w:val="superscript"/>
        </w:rPr>
        <w:t>(4-8)</w:t>
      </w:r>
      <w:r w:rsidRPr="008F13F9">
        <w:rPr>
          <w:rFonts w:ascii="Arial" w:hAnsi="Arial" w:cs="Arial"/>
          <w:sz w:val="24"/>
          <w:szCs w:val="24"/>
        </w:rPr>
        <w:t xml:space="preserve">. </w:t>
      </w:r>
    </w:p>
    <w:p w14:paraId="3ED593D5" w14:textId="77777777" w:rsidR="00271CF4" w:rsidRPr="008F13F9" w:rsidRDefault="00271CF4" w:rsidP="003D3503">
      <w:pPr>
        <w:spacing w:line="360" w:lineRule="auto"/>
        <w:ind w:firstLine="720"/>
        <w:jc w:val="both"/>
        <w:rPr>
          <w:rFonts w:ascii="Arial" w:hAnsi="Arial" w:cs="Arial"/>
          <w:sz w:val="24"/>
          <w:szCs w:val="24"/>
        </w:rPr>
      </w:pPr>
    </w:p>
    <w:p w14:paraId="22951B36" w14:textId="77777777" w:rsidR="0064032D" w:rsidRPr="008F13F9" w:rsidRDefault="0064032D" w:rsidP="00B7085B">
      <w:pPr>
        <w:widowControl w:val="0"/>
        <w:autoSpaceDE w:val="0"/>
        <w:autoSpaceDN w:val="0"/>
        <w:adjustRightInd w:val="0"/>
        <w:spacing w:after="240" w:line="360" w:lineRule="auto"/>
        <w:ind w:firstLine="720"/>
        <w:jc w:val="both"/>
        <w:rPr>
          <w:rFonts w:ascii="Arial" w:hAnsi="Arial" w:cs="Arial"/>
          <w:sz w:val="24"/>
          <w:szCs w:val="24"/>
          <w:vertAlign w:val="superscript"/>
          <w:lang w:val="en-US"/>
        </w:rPr>
      </w:pPr>
      <w:r w:rsidRPr="008F13F9">
        <w:rPr>
          <w:rFonts w:ascii="Arial" w:hAnsi="Arial" w:cs="Arial"/>
          <w:sz w:val="24"/>
          <w:szCs w:val="24"/>
        </w:rPr>
        <w:t xml:space="preserve">Naproti tomu </w:t>
      </w:r>
      <w:r w:rsidR="006D7E8D">
        <w:rPr>
          <w:rFonts w:ascii="Arial" w:hAnsi="Arial" w:cs="Arial"/>
          <w:sz w:val="24"/>
          <w:szCs w:val="24"/>
          <w:lang w:val="en-US"/>
        </w:rPr>
        <w:t>pato</w:t>
      </w:r>
      <w:r w:rsidR="00B7085B">
        <w:rPr>
          <w:rFonts w:ascii="Arial" w:hAnsi="Arial" w:cs="Arial"/>
          <w:sz w:val="24"/>
          <w:szCs w:val="24"/>
          <w:lang w:val="en-US"/>
        </w:rPr>
        <w:t>genetický význam</w:t>
      </w:r>
      <w:r w:rsidRPr="008F13F9">
        <w:rPr>
          <w:rFonts w:ascii="Arial" w:hAnsi="Arial" w:cs="Arial"/>
          <w:sz w:val="24"/>
          <w:szCs w:val="24"/>
          <w:lang w:val="en-US"/>
        </w:rPr>
        <w:t xml:space="preserve"> HPV ze skupiny </w:t>
      </w:r>
      <w:r w:rsidRPr="008F13F9">
        <w:rPr>
          <w:rFonts w:ascii="Arial" w:hAnsi="Arial" w:cs="Arial"/>
          <w:i/>
          <w:sz w:val="24"/>
          <w:szCs w:val="24"/>
          <w:lang w:val="en-US"/>
        </w:rPr>
        <w:t>beta</w:t>
      </w:r>
      <w:r w:rsidRPr="008F13F9">
        <w:rPr>
          <w:rFonts w:ascii="Arial" w:hAnsi="Arial" w:cs="Arial"/>
          <w:sz w:val="24"/>
          <w:szCs w:val="24"/>
          <w:lang w:val="en-US"/>
        </w:rPr>
        <w:t xml:space="preserve"> je v tomto směru ještě diskutabilnější</w:t>
      </w:r>
      <w:r w:rsidRPr="008F13F9">
        <w:rPr>
          <w:rFonts w:ascii="Arial" w:hAnsi="Arial" w:cs="Arial"/>
          <w:sz w:val="24"/>
          <w:szCs w:val="24"/>
          <w:vertAlign w:val="superscript"/>
          <w:lang w:val="en-US"/>
        </w:rPr>
        <w:t>21,22</w:t>
      </w:r>
      <w:r w:rsidRPr="008F13F9">
        <w:rPr>
          <w:rFonts w:ascii="Arial" w:hAnsi="Arial" w:cs="Arial"/>
          <w:sz w:val="24"/>
          <w:szCs w:val="24"/>
          <w:lang w:val="en-US"/>
        </w:rPr>
        <w:t>, neboť biologické chování těchto virů není dostatečně známo. Je proto zapotřebí hlubšího objasnění jejich molekulárních charakteristik a znalost epidemiologie, aby bylo možné lépe porozumět jejich roli v karcinogenezi.</w:t>
      </w:r>
      <w:r w:rsidRPr="008F13F9">
        <w:rPr>
          <w:rFonts w:ascii="Arial" w:hAnsi="Arial" w:cs="Arial"/>
          <w:sz w:val="24"/>
          <w:szCs w:val="24"/>
          <w:vertAlign w:val="superscript"/>
          <w:lang w:val="en-US"/>
        </w:rPr>
        <w:t>19</w:t>
      </w:r>
    </w:p>
    <w:p w14:paraId="4D41AF5F" w14:textId="77777777" w:rsidR="0064032D" w:rsidRPr="008F13F9" w:rsidRDefault="0064032D" w:rsidP="008F13F9">
      <w:pPr>
        <w:widowControl w:val="0"/>
        <w:autoSpaceDE w:val="0"/>
        <w:autoSpaceDN w:val="0"/>
        <w:adjustRightInd w:val="0"/>
        <w:spacing w:after="240" w:line="360" w:lineRule="auto"/>
        <w:ind w:firstLine="720"/>
        <w:jc w:val="both"/>
        <w:rPr>
          <w:rFonts w:ascii="Arial" w:hAnsi="Arial" w:cs="Arial"/>
          <w:sz w:val="24"/>
          <w:szCs w:val="24"/>
          <w:lang w:val="en-US"/>
        </w:rPr>
      </w:pPr>
      <w:r w:rsidRPr="008F13F9">
        <w:rPr>
          <w:rFonts w:ascii="Arial" w:hAnsi="Arial" w:cs="Arial"/>
          <w:sz w:val="24"/>
          <w:szCs w:val="24"/>
          <w:lang w:val="en-US"/>
        </w:rPr>
        <w:t>Většina HPV typů ze skupiny beta vytváří benigní proliferace, které spontánně regredují v horizontu 5 let</w:t>
      </w:r>
      <w:r w:rsidRPr="008F13F9">
        <w:rPr>
          <w:rFonts w:ascii="Arial" w:hAnsi="Arial" w:cs="Arial"/>
          <w:sz w:val="24"/>
          <w:szCs w:val="24"/>
          <w:vertAlign w:val="superscript"/>
          <w:lang w:val="en-US"/>
        </w:rPr>
        <w:t>23</w:t>
      </w:r>
      <w:r w:rsidRPr="008F13F9">
        <w:rPr>
          <w:rFonts w:ascii="Arial" w:hAnsi="Arial" w:cs="Arial"/>
          <w:sz w:val="24"/>
          <w:szCs w:val="24"/>
          <w:lang w:val="en-US"/>
        </w:rPr>
        <w:t>. Maligní transformace těchto lézí je spolehlivě prokázána jen u pacientů trpících vzácnou genetic</w:t>
      </w:r>
      <w:r w:rsidR="00952DC0">
        <w:rPr>
          <w:rFonts w:ascii="Arial" w:hAnsi="Arial" w:cs="Arial"/>
          <w:sz w:val="24"/>
          <w:szCs w:val="24"/>
          <w:lang w:val="en-US"/>
        </w:rPr>
        <w:t>kou chorobou známou pod názvem e</w:t>
      </w:r>
      <w:r w:rsidRPr="008F13F9">
        <w:rPr>
          <w:rFonts w:ascii="Arial" w:hAnsi="Arial" w:cs="Arial"/>
          <w:sz w:val="24"/>
          <w:szCs w:val="24"/>
          <w:lang w:val="en-US"/>
        </w:rPr>
        <w:t>pidermodysplasia verruciformis (EV)</w:t>
      </w:r>
      <w:r w:rsidRPr="008F13F9">
        <w:rPr>
          <w:rFonts w:ascii="Arial" w:hAnsi="Arial" w:cs="Arial"/>
          <w:sz w:val="24"/>
          <w:szCs w:val="24"/>
          <w:vertAlign w:val="superscript"/>
          <w:lang w:val="en-US"/>
        </w:rPr>
        <w:t>24</w:t>
      </w:r>
      <w:r w:rsidRPr="008F13F9">
        <w:rPr>
          <w:rFonts w:ascii="Arial" w:hAnsi="Arial" w:cs="Arial"/>
          <w:sz w:val="24"/>
          <w:szCs w:val="24"/>
          <w:lang w:val="en-US"/>
        </w:rPr>
        <w:t>. Ve vztahu s EV jsou beta HPV typy 5 a 8 klasifikovány jako vysoce rizikové</w:t>
      </w:r>
      <w:r w:rsidRPr="008F13F9">
        <w:rPr>
          <w:rFonts w:ascii="Arial" w:hAnsi="Arial" w:cs="Arial"/>
          <w:sz w:val="24"/>
          <w:szCs w:val="24"/>
          <w:vertAlign w:val="superscript"/>
          <w:lang w:val="en-US"/>
        </w:rPr>
        <w:t>25</w:t>
      </w:r>
      <w:r w:rsidR="006D7E8D">
        <w:rPr>
          <w:rFonts w:ascii="Arial" w:hAnsi="Arial" w:cs="Arial"/>
          <w:sz w:val="24"/>
          <w:szCs w:val="24"/>
          <w:lang w:val="en-US"/>
        </w:rPr>
        <w:t>. B</w:t>
      </w:r>
      <w:r w:rsidRPr="008F13F9">
        <w:rPr>
          <w:rFonts w:ascii="Arial" w:hAnsi="Arial" w:cs="Arial"/>
          <w:sz w:val="24"/>
          <w:szCs w:val="24"/>
          <w:lang w:val="en-US"/>
        </w:rPr>
        <w:t xml:space="preserve">eta HPV byly </w:t>
      </w:r>
      <w:r w:rsidRPr="008F13F9">
        <w:rPr>
          <w:rFonts w:ascii="Arial" w:hAnsi="Arial" w:cs="Arial"/>
          <w:sz w:val="24"/>
          <w:szCs w:val="24"/>
          <w:lang w:val="en-US"/>
        </w:rPr>
        <w:lastRenderedPageBreak/>
        <w:t>detekovány ve velké části nemelanomových kožních malignit nejen u  imunokompromitovaných, ale také u imunokompetentních pacientů</w:t>
      </w:r>
      <w:r w:rsidRPr="008F13F9">
        <w:rPr>
          <w:rFonts w:ascii="Arial" w:hAnsi="Arial" w:cs="Arial"/>
          <w:sz w:val="24"/>
          <w:szCs w:val="24"/>
          <w:vertAlign w:val="superscript"/>
          <w:lang w:val="en-US"/>
        </w:rPr>
        <w:t>26</w:t>
      </w:r>
      <w:r w:rsidRPr="008F13F9">
        <w:rPr>
          <w:rFonts w:ascii="Arial" w:hAnsi="Arial" w:cs="Arial"/>
          <w:sz w:val="24"/>
          <w:szCs w:val="24"/>
          <w:lang w:val="en-US"/>
        </w:rPr>
        <w:t>. Proto případná role beta HPV v karcinogenezi je předmětem výzkumu</w:t>
      </w:r>
      <w:r w:rsidRPr="008F13F9">
        <w:rPr>
          <w:rFonts w:ascii="Arial" w:hAnsi="Arial" w:cs="Arial"/>
          <w:sz w:val="24"/>
          <w:szCs w:val="24"/>
          <w:vertAlign w:val="superscript"/>
          <w:lang w:val="en-US"/>
        </w:rPr>
        <w:t>19</w:t>
      </w:r>
      <w:r w:rsidRPr="008F13F9">
        <w:rPr>
          <w:rFonts w:ascii="Arial" w:hAnsi="Arial" w:cs="Arial"/>
          <w:sz w:val="24"/>
          <w:szCs w:val="24"/>
          <w:lang w:val="en-US"/>
        </w:rPr>
        <w:t>.</w:t>
      </w:r>
    </w:p>
    <w:p w14:paraId="6BF1B7A9" w14:textId="77777777" w:rsidR="0064032D" w:rsidRPr="00D04F54" w:rsidRDefault="0064032D" w:rsidP="008F13F9">
      <w:pPr>
        <w:spacing w:line="360" w:lineRule="auto"/>
        <w:jc w:val="both"/>
        <w:outlineLvl w:val="0"/>
        <w:rPr>
          <w:rFonts w:ascii="Arial" w:hAnsi="Arial" w:cs="Arial"/>
          <w:b/>
          <w:sz w:val="24"/>
          <w:szCs w:val="24"/>
          <w:u w:val="single"/>
        </w:rPr>
      </w:pPr>
      <w:r w:rsidRPr="00D04F54">
        <w:rPr>
          <w:rFonts w:ascii="Arial" w:hAnsi="Arial" w:cs="Arial"/>
          <w:b/>
          <w:sz w:val="24"/>
          <w:szCs w:val="24"/>
          <w:u w:val="single"/>
        </w:rPr>
        <w:t>5.1. Přenos infekce</w:t>
      </w:r>
    </w:p>
    <w:p w14:paraId="331FBAAB" w14:textId="77777777" w:rsidR="0064032D" w:rsidRPr="008F13F9" w:rsidRDefault="0064032D" w:rsidP="008F13F9">
      <w:pPr>
        <w:spacing w:line="360" w:lineRule="auto"/>
        <w:ind w:firstLine="720"/>
        <w:jc w:val="both"/>
        <w:rPr>
          <w:rFonts w:ascii="Arial" w:hAnsi="Arial" w:cs="Arial"/>
          <w:sz w:val="24"/>
          <w:szCs w:val="24"/>
          <w:vertAlign w:val="superscript"/>
        </w:rPr>
      </w:pPr>
      <w:r w:rsidRPr="008F13F9">
        <w:rPr>
          <w:rFonts w:ascii="Arial" w:hAnsi="Arial" w:cs="Arial"/>
          <w:sz w:val="24"/>
          <w:szCs w:val="24"/>
        </w:rPr>
        <w:t>Infekce lidským papilomavirem je považována za sexuálně přenosné onemocnění (STD). K přenosu infekce může dojít jakýmkol</w:t>
      </w:r>
      <w:r w:rsidR="006D7E8D">
        <w:rPr>
          <w:rFonts w:ascii="Arial" w:hAnsi="Arial" w:cs="Arial"/>
          <w:sz w:val="24"/>
          <w:szCs w:val="24"/>
        </w:rPr>
        <w:t xml:space="preserve">iv sexuálním stykem – koitálním, </w:t>
      </w:r>
      <w:r w:rsidRPr="008F13F9">
        <w:rPr>
          <w:rFonts w:ascii="Arial" w:hAnsi="Arial" w:cs="Arial"/>
          <w:sz w:val="24"/>
          <w:szCs w:val="24"/>
        </w:rPr>
        <w:t>nekoitálním, hetero- nebo homosexuálním</w:t>
      </w:r>
      <w:r w:rsidR="006D7E8D">
        <w:rPr>
          <w:rFonts w:ascii="Arial" w:hAnsi="Arial" w:cs="Arial"/>
          <w:sz w:val="24"/>
          <w:szCs w:val="24"/>
        </w:rPr>
        <w:t>,</w:t>
      </w:r>
      <w:r w:rsidRPr="008F13F9">
        <w:rPr>
          <w:rFonts w:ascii="Arial" w:hAnsi="Arial" w:cs="Arial"/>
          <w:sz w:val="24"/>
          <w:szCs w:val="24"/>
        </w:rPr>
        <w:t xml:space="preserve"> a to obousměrně. Přenos infekce může nastat i líbáním nebo autoinokulací. </w:t>
      </w:r>
      <w:r w:rsidR="006D7E8D">
        <w:rPr>
          <w:rFonts w:ascii="Arial" w:hAnsi="Arial" w:cs="Arial"/>
          <w:sz w:val="24"/>
          <w:szCs w:val="24"/>
        </w:rPr>
        <w:t>M</w:t>
      </w:r>
      <w:r w:rsidRPr="008F13F9">
        <w:rPr>
          <w:rFonts w:ascii="Arial" w:hAnsi="Arial" w:cs="Arial"/>
          <w:sz w:val="24"/>
          <w:szCs w:val="24"/>
        </w:rPr>
        <w:t xml:space="preserve">echanizmus osídlení dutiny ústní je objasněn nejméně. Obecně se za nejpravděpdobnější považují alternativní koitální praktiky (orogenitální přenos). Nicméně často typ HPV v ústech a na genitálu není totožný a to jak u sexuálního partnera tak </w:t>
      </w:r>
      <w:r w:rsidR="006D7E8D">
        <w:rPr>
          <w:rFonts w:ascii="Arial" w:hAnsi="Arial" w:cs="Arial"/>
          <w:sz w:val="24"/>
          <w:szCs w:val="24"/>
        </w:rPr>
        <w:t>u</w:t>
      </w:r>
      <w:r w:rsidRPr="008F13F9">
        <w:rPr>
          <w:rFonts w:ascii="Arial" w:hAnsi="Arial" w:cs="Arial"/>
          <w:sz w:val="24"/>
          <w:szCs w:val="24"/>
        </w:rPr>
        <w:t xml:space="preserve"> osoby samotné</w:t>
      </w:r>
      <w:r w:rsidRPr="008F13F9">
        <w:rPr>
          <w:rFonts w:ascii="Arial" w:hAnsi="Arial" w:cs="Arial"/>
          <w:sz w:val="24"/>
          <w:szCs w:val="24"/>
          <w:vertAlign w:val="superscript"/>
        </w:rPr>
        <w:t>62-65</w:t>
      </w:r>
      <w:r w:rsidRPr="008F13F9">
        <w:rPr>
          <w:rFonts w:ascii="Arial" w:hAnsi="Arial" w:cs="Arial"/>
          <w:sz w:val="24"/>
          <w:szCs w:val="24"/>
        </w:rPr>
        <w:t>. Podle některých autorů není možné vyloučit přenos nepohlavní cestou: bylo prokázáno, že viry v keratinocytech mohou za vhodných podmínek přežívat až jeden týden</w:t>
      </w:r>
      <w:r w:rsidRPr="008F13F9">
        <w:rPr>
          <w:rFonts w:ascii="Arial" w:hAnsi="Arial" w:cs="Arial"/>
          <w:sz w:val="24"/>
          <w:szCs w:val="24"/>
          <w:vertAlign w:val="superscript"/>
        </w:rPr>
        <w:t>61</w:t>
      </w:r>
      <w:r w:rsidRPr="008F13F9">
        <w:rPr>
          <w:rFonts w:ascii="Arial" w:hAnsi="Arial" w:cs="Arial"/>
          <w:sz w:val="24"/>
          <w:szCs w:val="24"/>
        </w:rPr>
        <w:t>. Vzhledem k tomu, že virémie vzniká až po infekci virem HPV, je kontaminace krevní cestou spíše nemožná.</w:t>
      </w:r>
      <w:r w:rsidRPr="008F13F9">
        <w:rPr>
          <w:rFonts w:ascii="Arial" w:hAnsi="Arial" w:cs="Arial"/>
          <w:sz w:val="24"/>
          <w:szCs w:val="24"/>
          <w:vertAlign w:val="superscript"/>
        </w:rPr>
        <w:t>66</w:t>
      </w:r>
    </w:p>
    <w:p w14:paraId="6348F7BA" w14:textId="77777777" w:rsidR="0064032D" w:rsidRPr="008F13F9" w:rsidRDefault="0064032D" w:rsidP="008F13F9">
      <w:pPr>
        <w:spacing w:line="360" w:lineRule="auto"/>
        <w:ind w:firstLine="720"/>
        <w:jc w:val="both"/>
        <w:rPr>
          <w:rFonts w:ascii="Arial" w:hAnsi="Arial" w:cs="Arial"/>
          <w:sz w:val="24"/>
          <w:szCs w:val="24"/>
          <w:vertAlign w:val="superscript"/>
        </w:rPr>
      </w:pPr>
      <w:r w:rsidRPr="008F13F9">
        <w:rPr>
          <w:rFonts w:ascii="Arial" w:hAnsi="Arial" w:cs="Arial"/>
          <w:sz w:val="24"/>
          <w:szCs w:val="24"/>
        </w:rPr>
        <w:t>Poslední možností přenosu infekce zůstává vertikální přenos z matky na dítě. Toto je teoreticky možné dvěma způsoby: v průběhu těhotenství nebo během porodu</w:t>
      </w:r>
      <w:r w:rsidRPr="008F13F9">
        <w:rPr>
          <w:rFonts w:ascii="Arial" w:hAnsi="Arial" w:cs="Arial"/>
          <w:sz w:val="24"/>
          <w:szCs w:val="24"/>
          <w:vertAlign w:val="superscript"/>
        </w:rPr>
        <w:t>72</w:t>
      </w:r>
      <w:r w:rsidRPr="008F13F9">
        <w:rPr>
          <w:rFonts w:ascii="Arial" w:hAnsi="Arial" w:cs="Arial"/>
          <w:sz w:val="24"/>
          <w:szCs w:val="24"/>
        </w:rPr>
        <w:t>. Tento přenos je sice možný, avšak dochází k němu relativně vzácně. Pokud dojde k infekci, většinou do několika měsíců vymizí</w:t>
      </w:r>
      <w:r w:rsidRPr="008F13F9">
        <w:rPr>
          <w:rFonts w:ascii="Arial" w:hAnsi="Arial" w:cs="Arial"/>
          <w:sz w:val="24"/>
          <w:szCs w:val="24"/>
          <w:vertAlign w:val="superscript"/>
        </w:rPr>
        <w:t>73</w:t>
      </w:r>
      <w:r w:rsidRPr="008F13F9">
        <w:rPr>
          <w:rFonts w:ascii="Arial" w:hAnsi="Arial" w:cs="Arial"/>
          <w:sz w:val="24"/>
          <w:szCs w:val="24"/>
        </w:rPr>
        <w:t>. K trvalé infekci dutiny ústní dochází u asi 10% infikovaných jedinců a ke genitální u méně než 2% takto infikovaných novorozenců.</w:t>
      </w:r>
      <w:r w:rsidRPr="008F13F9">
        <w:rPr>
          <w:rFonts w:ascii="Arial" w:hAnsi="Arial" w:cs="Arial"/>
          <w:sz w:val="24"/>
          <w:szCs w:val="24"/>
          <w:vertAlign w:val="superscript"/>
        </w:rPr>
        <w:t>74</w:t>
      </w:r>
    </w:p>
    <w:p w14:paraId="015490F6"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HPV jsou celosvětově nejčastěji přenášeným infekčním agens. Celoživotní riziko infekce u žen je až 80%</w:t>
      </w:r>
      <w:r w:rsidRPr="008F13F9">
        <w:rPr>
          <w:rFonts w:ascii="Arial" w:hAnsi="Arial" w:cs="Arial"/>
          <w:sz w:val="24"/>
          <w:szCs w:val="24"/>
          <w:vertAlign w:val="superscript"/>
        </w:rPr>
        <w:t>60</w:t>
      </w:r>
      <w:r w:rsidRPr="008F13F9">
        <w:rPr>
          <w:rFonts w:ascii="Arial" w:hAnsi="Arial" w:cs="Arial"/>
          <w:sz w:val="24"/>
          <w:szCs w:val="24"/>
        </w:rPr>
        <w:t>. Přenos pravděpodobně nastane kontaktem sliznic obou partnerů během sexuálního styku. Drobné ranky, které se na sliznici nebo kůži vyskytují pak slouží jako vstupní brána pro infekci virem, který se tak dostane ke slizniční bazální membráně.</w:t>
      </w:r>
    </w:p>
    <w:p w14:paraId="2449E08C" w14:textId="77777777" w:rsidR="0064032D" w:rsidRDefault="0064032D" w:rsidP="008F13F9">
      <w:pPr>
        <w:spacing w:line="360" w:lineRule="auto"/>
        <w:jc w:val="both"/>
        <w:rPr>
          <w:rFonts w:ascii="Arial" w:hAnsi="Arial" w:cs="Arial"/>
          <w:b/>
          <w:sz w:val="24"/>
          <w:szCs w:val="24"/>
        </w:rPr>
      </w:pPr>
    </w:p>
    <w:p w14:paraId="29D75B32" w14:textId="77777777" w:rsidR="0064032D" w:rsidRPr="00D04F54" w:rsidRDefault="0064032D" w:rsidP="008F13F9">
      <w:pPr>
        <w:spacing w:line="360" w:lineRule="auto"/>
        <w:jc w:val="both"/>
        <w:rPr>
          <w:rFonts w:ascii="Arial" w:hAnsi="Arial" w:cs="Arial"/>
          <w:b/>
          <w:sz w:val="24"/>
          <w:szCs w:val="24"/>
          <w:u w:val="single"/>
        </w:rPr>
      </w:pPr>
      <w:r w:rsidRPr="00D04F54">
        <w:rPr>
          <w:rFonts w:ascii="Arial" w:hAnsi="Arial" w:cs="Arial"/>
          <w:b/>
          <w:sz w:val="24"/>
          <w:szCs w:val="24"/>
          <w:u w:val="single"/>
        </w:rPr>
        <w:t>5.2. Mechanismus infekce buňky virem HPV</w:t>
      </w:r>
    </w:p>
    <w:p w14:paraId="45D257B8"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Dlaždicobuněčný epitel sliznic lidského těla v místech </w:t>
      </w:r>
      <w:r w:rsidRPr="008F13F9">
        <w:rPr>
          <w:rFonts w:ascii="Arial" w:hAnsi="Arial" w:cs="Arial"/>
          <w:i/>
          <w:sz w:val="24"/>
          <w:szCs w:val="24"/>
        </w:rPr>
        <w:t>skvamo-kolumnární junkce</w:t>
      </w:r>
      <w:r w:rsidRPr="008F13F9">
        <w:rPr>
          <w:rFonts w:ascii="Arial" w:hAnsi="Arial" w:cs="Arial"/>
          <w:sz w:val="24"/>
          <w:szCs w:val="24"/>
        </w:rPr>
        <w:t xml:space="preserve"> přechází v epitel cylindrický. V této lokalitě dochází k výrazné proliferační aktivitě; jedná se o oblast velmi náchylnou k infekci HPV. </w:t>
      </w:r>
    </w:p>
    <w:p w14:paraId="317BFD6B" w14:textId="77777777" w:rsidR="0064032D" w:rsidRPr="008F13F9" w:rsidRDefault="0064032D" w:rsidP="008F13F9">
      <w:pPr>
        <w:spacing w:line="360" w:lineRule="auto"/>
        <w:ind w:firstLine="720"/>
        <w:jc w:val="both"/>
        <w:rPr>
          <w:rFonts w:ascii="Arial" w:hAnsi="Arial" w:cs="Arial"/>
          <w:sz w:val="24"/>
          <w:szCs w:val="24"/>
          <w:vertAlign w:val="superscript"/>
        </w:rPr>
      </w:pPr>
      <w:r w:rsidRPr="008F13F9">
        <w:rPr>
          <w:rFonts w:ascii="Arial" w:hAnsi="Arial" w:cs="Arial"/>
          <w:sz w:val="24"/>
          <w:szCs w:val="24"/>
        </w:rPr>
        <w:t>Bazální nebo parabazální buňka skvamo-kolumnární junkce se může transformovat jak v</w:t>
      </w:r>
      <w:r w:rsidR="006D7E8D">
        <w:rPr>
          <w:rFonts w:ascii="Arial" w:hAnsi="Arial" w:cs="Arial"/>
          <w:sz w:val="24"/>
          <w:szCs w:val="24"/>
        </w:rPr>
        <w:t> </w:t>
      </w:r>
      <w:r w:rsidRPr="008F13F9">
        <w:rPr>
          <w:rFonts w:ascii="Arial" w:hAnsi="Arial" w:cs="Arial"/>
          <w:sz w:val="24"/>
          <w:szCs w:val="24"/>
        </w:rPr>
        <w:t>keratinocyt</w:t>
      </w:r>
      <w:r w:rsidR="006D7E8D">
        <w:rPr>
          <w:rFonts w:ascii="Arial" w:hAnsi="Arial" w:cs="Arial"/>
          <w:sz w:val="24"/>
          <w:szCs w:val="24"/>
        </w:rPr>
        <w:t>,</w:t>
      </w:r>
      <w:r w:rsidRPr="008F13F9">
        <w:rPr>
          <w:rFonts w:ascii="Arial" w:hAnsi="Arial" w:cs="Arial"/>
          <w:sz w:val="24"/>
          <w:szCs w:val="24"/>
        </w:rPr>
        <w:t xml:space="preserve"> tak v buňku cylindrického epitelu. Proto případné dysplastické změny mohou být v oblasti obou zmíněných typů epitelu.</w:t>
      </w:r>
      <w:r w:rsidRPr="008F13F9">
        <w:rPr>
          <w:rFonts w:ascii="Arial" w:hAnsi="Arial" w:cs="Arial"/>
          <w:sz w:val="24"/>
          <w:szCs w:val="24"/>
          <w:vertAlign w:val="superscript"/>
        </w:rPr>
        <w:t>67</w:t>
      </w:r>
      <w:r w:rsidRPr="008F13F9">
        <w:rPr>
          <w:rFonts w:ascii="Arial" w:hAnsi="Arial" w:cs="Arial"/>
          <w:sz w:val="24"/>
          <w:szCs w:val="24"/>
        </w:rPr>
        <w:t xml:space="preserve"> HPV však k dokončení svého životního cyklu potřebuje difere</w:t>
      </w:r>
      <w:r w:rsidR="006D7E8D">
        <w:rPr>
          <w:rFonts w:ascii="Arial" w:hAnsi="Arial" w:cs="Arial"/>
          <w:sz w:val="24"/>
          <w:szCs w:val="24"/>
        </w:rPr>
        <w:t>nciační gradient,</w:t>
      </w:r>
      <w:r w:rsidRPr="008F13F9">
        <w:rPr>
          <w:rFonts w:ascii="Arial" w:hAnsi="Arial" w:cs="Arial"/>
          <w:sz w:val="24"/>
          <w:szCs w:val="24"/>
        </w:rPr>
        <w:t xml:space="preserve"> který </w:t>
      </w:r>
      <w:r w:rsidR="006D7E8D">
        <w:rPr>
          <w:rFonts w:ascii="Arial" w:hAnsi="Arial" w:cs="Arial"/>
          <w:sz w:val="24"/>
          <w:szCs w:val="24"/>
        </w:rPr>
        <w:t>je přítomen pouze v mnohovrstevném dlaždicovém epitelu, nikoliv však v jednovrstevném cylindrickém</w:t>
      </w:r>
      <w:r w:rsidRPr="008F13F9">
        <w:rPr>
          <w:rFonts w:ascii="Arial" w:hAnsi="Arial" w:cs="Arial"/>
          <w:sz w:val="24"/>
          <w:szCs w:val="24"/>
        </w:rPr>
        <w:t xml:space="preserve"> epitel</w:t>
      </w:r>
      <w:r w:rsidR="006D7E8D">
        <w:rPr>
          <w:rFonts w:ascii="Arial" w:hAnsi="Arial" w:cs="Arial"/>
          <w:sz w:val="24"/>
          <w:szCs w:val="24"/>
        </w:rPr>
        <w:t>u</w:t>
      </w:r>
      <w:r w:rsidRPr="008F13F9">
        <w:rPr>
          <w:rFonts w:ascii="Arial" w:hAnsi="Arial" w:cs="Arial"/>
          <w:sz w:val="24"/>
          <w:szCs w:val="24"/>
        </w:rPr>
        <w:t xml:space="preserve">. To je důvod, proč </w:t>
      </w:r>
      <w:r w:rsidR="006D7E8D">
        <w:rPr>
          <w:rFonts w:ascii="Arial" w:hAnsi="Arial" w:cs="Arial"/>
          <w:sz w:val="24"/>
          <w:szCs w:val="24"/>
        </w:rPr>
        <w:t>v posledně uvedeném není primární sídlo HPV infekce</w:t>
      </w:r>
      <w:r w:rsidRPr="008F13F9">
        <w:rPr>
          <w:rFonts w:ascii="Arial" w:hAnsi="Arial" w:cs="Arial"/>
          <w:sz w:val="24"/>
          <w:szCs w:val="24"/>
        </w:rPr>
        <w:t>.</w:t>
      </w:r>
      <w:r w:rsidRPr="008F13F9">
        <w:rPr>
          <w:rFonts w:ascii="Arial" w:hAnsi="Arial" w:cs="Arial"/>
          <w:sz w:val="24"/>
          <w:szCs w:val="24"/>
          <w:vertAlign w:val="superscript"/>
        </w:rPr>
        <w:t>63</w:t>
      </w:r>
    </w:p>
    <w:p w14:paraId="7CB5C7F6"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Virus se po proniknutí defektem v epitelu váže na jeho bazální membránu a následně  na bazální keratinocyty</w:t>
      </w:r>
      <w:r w:rsidRPr="008F13F9">
        <w:rPr>
          <w:rFonts w:ascii="Arial" w:hAnsi="Arial" w:cs="Arial"/>
          <w:sz w:val="24"/>
          <w:szCs w:val="24"/>
          <w:vertAlign w:val="superscript"/>
        </w:rPr>
        <w:t>68</w:t>
      </w:r>
      <w:r w:rsidRPr="008F13F9">
        <w:rPr>
          <w:rFonts w:ascii="Arial" w:hAnsi="Arial" w:cs="Arial"/>
          <w:sz w:val="24"/>
          <w:szCs w:val="24"/>
        </w:rPr>
        <w:t xml:space="preserve"> (Obr. 6). Obě vazby jsou zprostředkovány virovým kapsidovým proteinem L1</w:t>
      </w:r>
      <w:r w:rsidRPr="008F13F9">
        <w:rPr>
          <w:rFonts w:ascii="Arial" w:hAnsi="Arial" w:cs="Arial"/>
          <w:sz w:val="24"/>
          <w:szCs w:val="24"/>
          <w:vertAlign w:val="superscript"/>
        </w:rPr>
        <w:t>70,71</w:t>
      </w:r>
      <w:r w:rsidR="006D7E8D">
        <w:rPr>
          <w:rFonts w:ascii="Arial" w:hAnsi="Arial" w:cs="Arial"/>
          <w:sz w:val="24"/>
          <w:szCs w:val="24"/>
        </w:rPr>
        <w:t>. Inko</w:t>
      </w:r>
      <w:r w:rsidRPr="008F13F9">
        <w:rPr>
          <w:rFonts w:ascii="Arial" w:hAnsi="Arial" w:cs="Arial"/>
          <w:sz w:val="24"/>
          <w:szCs w:val="24"/>
        </w:rPr>
        <w:t>rporace viru je však mnohem</w:t>
      </w:r>
      <w:r w:rsidR="006D7E8D">
        <w:rPr>
          <w:rFonts w:ascii="Arial" w:hAnsi="Arial" w:cs="Arial"/>
          <w:sz w:val="24"/>
          <w:szCs w:val="24"/>
        </w:rPr>
        <w:t xml:space="preserve"> složitější</w:t>
      </w:r>
      <w:r w:rsidRPr="008F13F9">
        <w:rPr>
          <w:rFonts w:ascii="Arial" w:hAnsi="Arial" w:cs="Arial"/>
          <w:sz w:val="24"/>
          <w:szCs w:val="24"/>
        </w:rPr>
        <w:t xml:space="preserve"> proces. Jedná buňka může být infikována několika typy HPV, do genomu hostitele se </w:t>
      </w:r>
      <w:r w:rsidR="00952DC0">
        <w:rPr>
          <w:rFonts w:ascii="Arial" w:hAnsi="Arial" w:cs="Arial"/>
          <w:sz w:val="24"/>
          <w:szCs w:val="24"/>
        </w:rPr>
        <w:t>ale</w:t>
      </w:r>
      <w:r w:rsidRPr="008F13F9">
        <w:rPr>
          <w:rFonts w:ascii="Arial" w:hAnsi="Arial" w:cs="Arial"/>
          <w:sz w:val="24"/>
          <w:szCs w:val="24"/>
        </w:rPr>
        <w:t xml:space="preserve"> zpravidla zapíše pouze jeden. </w:t>
      </w:r>
    </w:p>
    <w:p w14:paraId="64C51D41" w14:textId="77777777" w:rsidR="0064032D" w:rsidRPr="008F13F9" w:rsidRDefault="0064032D" w:rsidP="008F13F9">
      <w:pPr>
        <w:spacing w:line="360" w:lineRule="auto"/>
        <w:jc w:val="both"/>
        <w:rPr>
          <w:rFonts w:ascii="Arial" w:hAnsi="Arial" w:cs="Arial"/>
          <w:sz w:val="24"/>
          <w:szCs w:val="24"/>
        </w:rPr>
      </w:pPr>
    </w:p>
    <w:p w14:paraId="79002E3C" w14:textId="77777777" w:rsidR="0064032D" w:rsidRPr="008F13F9" w:rsidRDefault="00905F58" w:rsidP="008F13F9">
      <w:pPr>
        <w:spacing w:line="360" w:lineRule="auto"/>
        <w:rPr>
          <w:rFonts w:ascii="Arial" w:hAnsi="Arial" w:cs="Arial"/>
          <w:sz w:val="24"/>
          <w:szCs w:val="24"/>
          <w:lang w:val="en-US"/>
        </w:rPr>
      </w:pPr>
      <w:r>
        <w:rPr>
          <w:rFonts w:ascii="Arial" w:hAnsi="Arial" w:cs="Arial"/>
          <w:noProof/>
          <w:sz w:val="24"/>
          <w:szCs w:val="24"/>
          <w:lang w:val="en-US"/>
        </w:rPr>
        <w:lastRenderedPageBreak/>
        <w:drawing>
          <wp:inline distT="0" distB="0" distL="0" distR="0" wp14:anchorId="27E62A78" wp14:editId="43F816C2">
            <wp:extent cx="5065603" cy="3694834"/>
            <wp:effectExtent l="171450" t="133350" r="401747" b="343766"/>
            <wp:docPr id="6"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4">
                      <a:alphaModFix/>
                      <a:extLst/>
                    </a:blip>
                    <a:srcRect/>
                    <a:stretch>
                      <a:fillRect/>
                    </a:stretch>
                  </pic:blipFill>
                  <pic:spPr bwMode="auto">
                    <a:xfrm>
                      <a:off x="0" y="0"/>
                      <a:ext cx="5065603" cy="3694834"/>
                    </a:xfrm>
                    <a:prstGeom prst="rect">
                      <a:avLst/>
                    </a:prstGeom>
                    <a:ln>
                      <a:solidFill>
                        <a:srgbClr val="4F81BD"/>
                      </a:solidFill>
                    </a:ln>
                    <a:effectLst>
                      <a:outerShdw blurRad="292100" dist="139700" dir="2700000" algn="tl" rotWithShape="0">
                        <a:srgbClr val="333333">
                          <a:alpha val="65000"/>
                        </a:srgbClr>
                      </a:outerShdw>
                    </a:effectLst>
                  </pic:spPr>
                </pic:pic>
              </a:graphicData>
            </a:graphic>
          </wp:inline>
        </w:drawing>
      </w:r>
    </w:p>
    <w:p w14:paraId="16FABC05" w14:textId="77777777" w:rsidR="0064032D" w:rsidRPr="008F13F9" w:rsidRDefault="0064032D" w:rsidP="008F13F9">
      <w:pPr>
        <w:widowControl w:val="0"/>
        <w:autoSpaceDE w:val="0"/>
        <w:autoSpaceDN w:val="0"/>
        <w:adjustRightInd w:val="0"/>
        <w:spacing w:after="0" w:line="360" w:lineRule="auto"/>
        <w:jc w:val="both"/>
        <w:outlineLvl w:val="0"/>
        <w:rPr>
          <w:rFonts w:ascii="Arial" w:hAnsi="Arial" w:cs="Arial"/>
          <w:i/>
          <w:sz w:val="24"/>
          <w:szCs w:val="24"/>
          <w:lang w:val="en-US"/>
        </w:rPr>
      </w:pPr>
      <w:r w:rsidRPr="008F13F9">
        <w:rPr>
          <w:rFonts w:ascii="Arial" w:hAnsi="Arial" w:cs="Arial"/>
          <w:sz w:val="24"/>
          <w:szCs w:val="24"/>
          <w:lang w:val="en-US"/>
        </w:rPr>
        <w:tab/>
      </w:r>
      <w:r w:rsidRPr="008F13F9">
        <w:rPr>
          <w:rFonts w:ascii="Arial" w:hAnsi="Arial" w:cs="Arial"/>
          <w:sz w:val="24"/>
          <w:szCs w:val="24"/>
          <w:lang w:val="en-US"/>
        </w:rPr>
        <w:tab/>
      </w:r>
      <w:r w:rsidRPr="008F13F9">
        <w:rPr>
          <w:rFonts w:ascii="Arial" w:hAnsi="Arial" w:cs="Arial"/>
          <w:sz w:val="24"/>
          <w:szCs w:val="24"/>
          <w:lang w:val="en-US"/>
        </w:rPr>
        <w:tab/>
      </w:r>
      <w:r w:rsidRPr="008F13F9">
        <w:rPr>
          <w:rFonts w:ascii="Arial" w:hAnsi="Arial" w:cs="Arial"/>
          <w:b/>
          <w:i/>
          <w:sz w:val="24"/>
          <w:szCs w:val="24"/>
          <w:lang w:val="en-US"/>
        </w:rPr>
        <w:t>Obr. 6</w:t>
      </w:r>
      <w:r w:rsidRPr="008F13F9">
        <w:rPr>
          <w:rFonts w:ascii="Arial" w:hAnsi="Arial" w:cs="Arial"/>
          <w:i/>
          <w:sz w:val="24"/>
          <w:szCs w:val="24"/>
          <w:lang w:val="en-US"/>
        </w:rPr>
        <w:t xml:space="preserve"> Cesta infekce epitelu virem HPV </w:t>
      </w:r>
      <w:r w:rsidRPr="008F13F9">
        <w:rPr>
          <w:rFonts w:ascii="Arial" w:hAnsi="Arial" w:cs="Arial"/>
          <w:i/>
          <w:sz w:val="24"/>
          <w:szCs w:val="24"/>
          <w:vertAlign w:val="superscript"/>
          <w:lang w:val="en-US"/>
        </w:rPr>
        <w:t>69</w:t>
      </w:r>
    </w:p>
    <w:p w14:paraId="2C0BC7FC" w14:textId="77777777" w:rsidR="0064032D" w:rsidRPr="008F13F9" w:rsidRDefault="0064032D" w:rsidP="008F13F9">
      <w:pPr>
        <w:widowControl w:val="0"/>
        <w:autoSpaceDE w:val="0"/>
        <w:autoSpaceDN w:val="0"/>
        <w:adjustRightInd w:val="0"/>
        <w:spacing w:after="0" w:line="360" w:lineRule="auto"/>
        <w:jc w:val="both"/>
        <w:rPr>
          <w:rFonts w:ascii="Arial" w:hAnsi="Arial" w:cs="Arial"/>
          <w:i/>
          <w:sz w:val="24"/>
          <w:szCs w:val="24"/>
          <w:lang w:val="en-US"/>
        </w:rPr>
      </w:pPr>
    </w:p>
    <w:p w14:paraId="5B03E2EA" w14:textId="77777777" w:rsidR="0064032D" w:rsidRPr="008F13F9" w:rsidRDefault="0064032D" w:rsidP="008F13F9">
      <w:pPr>
        <w:widowControl w:val="0"/>
        <w:autoSpaceDE w:val="0"/>
        <w:autoSpaceDN w:val="0"/>
        <w:adjustRightInd w:val="0"/>
        <w:spacing w:after="0" w:line="360" w:lineRule="auto"/>
        <w:jc w:val="both"/>
        <w:rPr>
          <w:rFonts w:ascii="Arial" w:hAnsi="Arial" w:cs="Arial"/>
          <w:i/>
          <w:sz w:val="24"/>
          <w:szCs w:val="24"/>
          <w:lang w:val="en-US"/>
        </w:rPr>
      </w:pPr>
    </w:p>
    <w:p w14:paraId="3F251914" w14:textId="77777777" w:rsidR="0064032D" w:rsidRPr="008F13F9" w:rsidRDefault="0064032D" w:rsidP="008F13F9">
      <w:pPr>
        <w:widowControl w:val="0"/>
        <w:autoSpaceDE w:val="0"/>
        <w:autoSpaceDN w:val="0"/>
        <w:adjustRightInd w:val="0"/>
        <w:spacing w:after="0" w:line="360" w:lineRule="auto"/>
        <w:jc w:val="both"/>
        <w:rPr>
          <w:rFonts w:ascii="Arial" w:hAnsi="Arial" w:cs="Arial"/>
          <w:b/>
          <w:sz w:val="24"/>
          <w:szCs w:val="24"/>
          <w:lang w:val="en-US"/>
        </w:rPr>
      </w:pPr>
    </w:p>
    <w:p w14:paraId="0D3FE797" w14:textId="77777777" w:rsidR="0064032D" w:rsidRPr="00D04F54" w:rsidRDefault="0064032D" w:rsidP="008F13F9">
      <w:pPr>
        <w:widowControl w:val="0"/>
        <w:autoSpaceDE w:val="0"/>
        <w:autoSpaceDN w:val="0"/>
        <w:adjustRightInd w:val="0"/>
        <w:spacing w:after="0" w:line="360" w:lineRule="auto"/>
        <w:jc w:val="both"/>
        <w:rPr>
          <w:rFonts w:ascii="Arial" w:hAnsi="Arial" w:cs="Arial"/>
          <w:b/>
          <w:sz w:val="24"/>
          <w:szCs w:val="24"/>
          <w:u w:val="single"/>
          <w:lang w:val="en-US"/>
        </w:rPr>
      </w:pPr>
      <w:r w:rsidRPr="00D04F54">
        <w:rPr>
          <w:rFonts w:ascii="Arial" w:hAnsi="Arial" w:cs="Arial"/>
          <w:b/>
          <w:sz w:val="24"/>
          <w:szCs w:val="24"/>
          <w:u w:val="single"/>
          <w:lang w:val="en-US"/>
        </w:rPr>
        <w:t>5.3. Charakteristika pacientů s HPV+ karcinomem</w:t>
      </w:r>
    </w:p>
    <w:p w14:paraId="67A43EBB" w14:textId="77777777" w:rsidR="0064032D" w:rsidRPr="008F13F9" w:rsidRDefault="0064032D" w:rsidP="008F13F9">
      <w:pPr>
        <w:widowControl w:val="0"/>
        <w:autoSpaceDE w:val="0"/>
        <w:autoSpaceDN w:val="0"/>
        <w:adjustRightInd w:val="0"/>
        <w:spacing w:after="0" w:line="360" w:lineRule="auto"/>
        <w:jc w:val="both"/>
        <w:rPr>
          <w:rFonts w:ascii="Arial" w:hAnsi="Arial" w:cs="Arial"/>
          <w:i/>
          <w:sz w:val="24"/>
          <w:szCs w:val="24"/>
          <w:lang w:val="en-US"/>
        </w:rPr>
      </w:pPr>
    </w:p>
    <w:p w14:paraId="23077296"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HPV+ tumory byly v posledních 10 letech intenzivně  studovány. Dnes víme, že dutina ústní a orofarynx jsou k infekci lidským papilomavirem náchylné, přičemž typ HPV 16 je nejčastějším zástupcem high risk skupiny</w:t>
      </w:r>
      <w:r w:rsidRPr="008F13F9">
        <w:rPr>
          <w:rFonts w:ascii="Arial" w:hAnsi="Arial" w:cs="Arial"/>
          <w:sz w:val="24"/>
          <w:szCs w:val="24"/>
          <w:vertAlign w:val="superscript"/>
        </w:rPr>
        <w:t>78,79</w:t>
      </w:r>
      <w:r w:rsidRPr="008F13F9">
        <w:rPr>
          <w:rFonts w:ascii="Arial" w:hAnsi="Arial" w:cs="Arial"/>
          <w:sz w:val="24"/>
          <w:szCs w:val="24"/>
        </w:rPr>
        <w:t>.</w:t>
      </w:r>
    </w:p>
    <w:p w14:paraId="6FC3B87C"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Nemocní s HPV tumorem jsou většinou v mnoha aspektech odlišní od "klasických" HPV negativních. Jedná se většinou o mladší pacienty,  často s dobrým socioekonomickým zázemím a vyšším vzděláním (Tab. 3)</w:t>
      </w:r>
    </w:p>
    <w:p w14:paraId="42895EA3"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Srovnání skupin pacientů s HPV pozitivním a negativním spinaliomem dutiny ústní a orofaryngu:</w:t>
      </w:r>
    </w:p>
    <w:p w14:paraId="2B007B24" w14:textId="77777777" w:rsidR="0064032D" w:rsidRPr="008F13F9" w:rsidRDefault="0064032D" w:rsidP="008F13F9">
      <w:pPr>
        <w:spacing w:line="360" w:lineRule="auto"/>
        <w:jc w:val="both"/>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2138"/>
        <w:gridCol w:w="1904"/>
        <w:gridCol w:w="1854"/>
      </w:tblGrid>
      <w:tr w:rsidR="0064032D" w:rsidRPr="008F13F9" w14:paraId="3E6C2280" w14:textId="77777777" w:rsidTr="00C674FD">
        <w:trPr>
          <w:trHeight w:val="182"/>
        </w:trPr>
        <w:tc>
          <w:tcPr>
            <w:tcW w:w="2138" w:type="dxa"/>
            <w:tcBorders>
              <w:bottom w:val="single" w:sz="4" w:space="0" w:color="000000"/>
              <w:right w:val="single" w:sz="4" w:space="0" w:color="000000"/>
            </w:tcBorders>
          </w:tcPr>
          <w:p w14:paraId="4C80EB72" w14:textId="77777777" w:rsidR="0064032D" w:rsidRPr="008F13F9" w:rsidRDefault="0064032D" w:rsidP="008F13F9">
            <w:pPr>
              <w:spacing w:line="360" w:lineRule="auto"/>
              <w:rPr>
                <w:rFonts w:ascii="Arial" w:hAnsi="Arial" w:cs="Arial"/>
                <w:b/>
                <w:sz w:val="24"/>
                <w:szCs w:val="24"/>
              </w:rPr>
            </w:pPr>
          </w:p>
        </w:tc>
        <w:tc>
          <w:tcPr>
            <w:tcW w:w="1904" w:type="dxa"/>
            <w:tcBorders>
              <w:top w:val="single" w:sz="4" w:space="0" w:color="000000"/>
              <w:left w:val="single" w:sz="4" w:space="0" w:color="000000"/>
              <w:bottom w:val="single" w:sz="4" w:space="0" w:color="000000"/>
              <w:right w:val="single" w:sz="4" w:space="0" w:color="000000"/>
            </w:tcBorders>
          </w:tcPr>
          <w:p w14:paraId="08D54650" w14:textId="77777777" w:rsidR="0064032D" w:rsidRPr="008F13F9" w:rsidRDefault="0064032D" w:rsidP="008F13F9">
            <w:pPr>
              <w:spacing w:line="360" w:lineRule="auto"/>
              <w:rPr>
                <w:rFonts w:ascii="Arial" w:hAnsi="Arial" w:cs="Arial"/>
                <w:b/>
                <w:bCs/>
                <w:sz w:val="24"/>
                <w:szCs w:val="24"/>
              </w:rPr>
            </w:pPr>
            <w:r w:rsidRPr="008F13F9">
              <w:rPr>
                <w:rFonts w:ascii="Arial" w:hAnsi="Arial" w:cs="Arial"/>
                <w:b/>
                <w:bCs/>
                <w:sz w:val="24"/>
                <w:szCs w:val="24"/>
              </w:rPr>
              <w:t xml:space="preserve">HPV + </w:t>
            </w:r>
          </w:p>
        </w:tc>
        <w:tc>
          <w:tcPr>
            <w:tcW w:w="1854" w:type="dxa"/>
            <w:tcBorders>
              <w:top w:val="single" w:sz="4" w:space="0" w:color="000000"/>
              <w:left w:val="single" w:sz="4" w:space="0" w:color="000000"/>
              <w:bottom w:val="single" w:sz="4" w:space="0" w:color="000000"/>
              <w:right w:val="single" w:sz="4" w:space="0" w:color="000000"/>
            </w:tcBorders>
          </w:tcPr>
          <w:p w14:paraId="78F732FE" w14:textId="77777777" w:rsidR="0064032D" w:rsidRPr="008F13F9" w:rsidRDefault="0064032D" w:rsidP="008F13F9">
            <w:pPr>
              <w:spacing w:line="360" w:lineRule="auto"/>
              <w:rPr>
                <w:rFonts w:ascii="Arial" w:hAnsi="Arial" w:cs="Arial"/>
                <w:b/>
                <w:bCs/>
                <w:sz w:val="24"/>
                <w:szCs w:val="24"/>
              </w:rPr>
            </w:pPr>
            <w:r w:rsidRPr="008F13F9">
              <w:rPr>
                <w:rFonts w:ascii="Arial" w:hAnsi="Arial" w:cs="Arial"/>
                <w:b/>
                <w:bCs/>
                <w:sz w:val="24"/>
                <w:szCs w:val="24"/>
              </w:rPr>
              <w:t>HPV –</w:t>
            </w:r>
          </w:p>
        </w:tc>
      </w:tr>
      <w:tr w:rsidR="0064032D" w:rsidRPr="008F13F9" w14:paraId="58B63C7F" w14:textId="77777777" w:rsidTr="00C674FD">
        <w:trPr>
          <w:trHeight w:val="182"/>
        </w:trPr>
        <w:tc>
          <w:tcPr>
            <w:tcW w:w="2138" w:type="dxa"/>
            <w:tcBorders>
              <w:top w:val="single" w:sz="4" w:space="0" w:color="000000"/>
              <w:left w:val="single" w:sz="4" w:space="0" w:color="000000"/>
              <w:bottom w:val="single" w:sz="4" w:space="0" w:color="000000"/>
              <w:right w:val="single" w:sz="4" w:space="0" w:color="000000"/>
            </w:tcBorders>
          </w:tcPr>
          <w:p w14:paraId="55745573" w14:textId="77777777" w:rsidR="0064032D" w:rsidRPr="008F13F9" w:rsidRDefault="0064032D" w:rsidP="008F13F9">
            <w:pPr>
              <w:spacing w:line="360" w:lineRule="auto"/>
              <w:rPr>
                <w:rFonts w:ascii="Arial" w:hAnsi="Arial" w:cs="Arial"/>
                <w:b/>
                <w:bCs/>
                <w:sz w:val="24"/>
                <w:szCs w:val="24"/>
              </w:rPr>
            </w:pPr>
            <w:r w:rsidRPr="008F13F9">
              <w:rPr>
                <w:rFonts w:ascii="Arial" w:hAnsi="Arial" w:cs="Arial"/>
                <w:b/>
                <w:bCs/>
                <w:sz w:val="24"/>
                <w:szCs w:val="24"/>
              </w:rPr>
              <w:t>Lokalizace</w:t>
            </w:r>
          </w:p>
        </w:tc>
        <w:tc>
          <w:tcPr>
            <w:tcW w:w="1904" w:type="dxa"/>
            <w:tcBorders>
              <w:top w:val="single" w:sz="4" w:space="0" w:color="000000"/>
              <w:left w:val="single" w:sz="4" w:space="0" w:color="000000"/>
              <w:bottom w:val="single" w:sz="4" w:space="0" w:color="000000"/>
              <w:right w:val="single" w:sz="4" w:space="0" w:color="000000"/>
            </w:tcBorders>
          </w:tcPr>
          <w:p w14:paraId="6AFF0B85"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tonzily, baze, kořen jazyka</w:t>
            </w:r>
          </w:p>
        </w:tc>
        <w:tc>
          <w:tcPr>
            <w:tcW w:w="1854" w:type="dxa"/>
            <w:tcBorders>
              <w:top w:val="single" w:sz="4" w:space="0" w:color="000000"/>
              <w:left w:val="single" w:sz="4" w:space="0" w:color="000000"/>
              <w:bottom w:val="single" w:sz="4" w:space="0" w:color="000000"/>
              <w:right w:val="single" w:sz="4" w:space="0" w:color="000000"/>
            </w:tcBorders>
          </w:tcPr>
          <w:p w14:paraId="5569D8FD"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kdekoliv</w:t>
            </w:r>
          </w:p>
        </w:tc>
      </w:tr>
      <w:tr w:rsidR="0064032D" w:rsidRPr="008F13F9" w14:paraId="796DC022" w14:textId="77777777" w:rsidTr="00C674FD">
        <w:trPr>
          <w:trHeight w:val="182"/>
        </w:trPr>
        <w:tc>
          <w:tcPr>
            <w:tcW w:w="2138" w:type="dxa"/>
            <w:tcBorders>
              <w:top w:val="single" w:sz="4" w:space="0" w:color="000000"/>
              <w:left w:val="single" w:sz="4" w:space="0" w:color="000000"/>
              <w:bottom w:val="single" w:sz="4" w:space="0" w:color="000000"/>
              <w:right w:val="single" w:sz="4" w:space="0" w:color="000000"/>
            </w:tcBorders>
          </w:tcPr>
          <w:p w14:paraId="623BC520" w14:textId="77777777" w:rsidR="0064032D" w:rsidRPr="008F13F9" w:rsidRDefault="0064032D" w:rsidP="008F13F9">
            <w:pPr>
              <w:spacing w:line="360" w:lineRule="auto"/>
              <w:rPr>
                <w:rFonts w:ascii="Arial" w:hAnsi="Arial" w:cs="Arial"/>
                <w:b/>
                <w:bCs/>
                <w:sz w:val="24"/>
                <w:szCs w:val="24"/>
              </w:rPr>
            </w:pPr>
            <w:r w:rsidRPr="008F13F9">
              <w:rPr>
                <w:rFonts w:ascii="Arial" w:hAnsi="Arial" w:cs="Arial"/>
                <w:b/>
                <w:bCs/>
                <w:sz w:val="24"/>
                <w:szCs w:val="24"/>
              </w:rPr>
              <w:t>Incidence</w:t>
            </w:r>
          </w:p>
        </w:tc>
        <w:tc>
          <w:tcPr>
            <w:tcW w:w="1904" w:type="dxa"/>
            <w:tcBorders>
              <w:top w:val="single" w:sz="4" w:space="0" w:color="000000"/>
              <w:left w:val="single" w:sz="4" w:space="0" w:color="000000"/>
              <w:bottom w:val="single" w:sz="4" w:space="0" w:color="000000"/>
              <w:right w:val="single" w:sz="4" w:space="0" w:color="000000"/>
            </w:tcBorders>
          </w:tcPr>
          <w:p w14:paraId="2A065988"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vzestupná</w:t>
            </w:r>
          </w:p>
        </w:tc>
        <w:tc>
          <w:tcPr>
            <w:tcW w:w="1854" w:type="dxa"/>
            <w:tcBorders>
              <w:top w:val="single" w:sz="4" w:space="0" w:color="000000"/>
              <w:left w:val="single" w:sz="4" w:space="0" w:color="000000"/>
              <w:bottom w:val="single" w:sz="4" w:space="0" w:color="000000"/>
              <w:right w:val="single" w:sz="4" w:space="0" w:color="000000"/>
            </w:tcBorders>
          </w:tcPr>
          <w:p w14:paraId="50A58861"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stejná</w:t>
            </w:r>
          </w:p>
        </w:tc>
      </w:tr>
      <w:tr w:rsidR="0064032D" w:rsidRPr="008F13F9" w14:paraId="74716927" w14:textId="77777777" w:rsidTr="00C674FD">
        <w:trPr>
          <w:trHeight w:val="182"/>
        </w:trPr>
        <w:tc>
          <w:tcPr>
            <w:tcW w:w="2138" w:type="dxa"/>
            <w:tcBorders>
              <w:top w:val="single" w:sz="4" w:space="0" w:color="000000"/>
              <w:left w:val="single" w:sz="4" w:space="0" w:color="000000"/>
              <w:bottom w:val="single" w:sz="4" w:space="0" w:color="000000"/>
              <w:right w:val="single" w:sz="4" w:space="0" w:color="000000"/>
            </w:tcBorders>
          </w:tcPr>
          <w:p w14:paraId="0270E2D3" w14:textId="77777777" w:rsidR="0064032D" w:rsidRPr="008F13F9" w:rsidRDefault="0064032D" w:rsidP="008F13F9">
            <w:pPr>
              <w:spacing w:line="360" w:lineRule="auto"/>
              <w:rPr>
                <w:rFonts w:ascii="Arial" w:hAnsi="Arial" w:cs="Arial"/>
                <w:b/>
                <w:bCs/>
                <w:sz w:val="24"/>
                <w:szCs w:val="24"/>
              </w:rPr>
            </w:pPr>
            <w:r w:rsidRPr="008F13F9">
              <w:rPr>
                <w:rFonts w:ascii="Arial" w:hAnsi="Arial" w:cs="Arial"/>
                <w:b/>
                <w:bCs/>
                <w:sz w:val="24"/>
                <w:szCs w:val="24"/>
              </w:rPr>
              <w:t>Věk</w:t>
            </w:r>
          </w:p>
        </w:tc>
        <w:tc>
          <w:tcPr>
            <w:tcW w:w="1904" w:type="dxa"/>
            <w:tcBorders>
              <w:top w:val="single" w:sz="4" w:space="0" w:color="000000"/>
              <w:left w:val="single" w:sz="4" w:space="0" w:color="000000"/>
              <w:bottom w:val="single" w:sz="4" w:space="0" w:color="000000"/>
              <w:right w:val="single" w:sz="4" w:space="0" w:color="000000"/>
            </w:tcBorders>
          </w:tcPr>
          <w:p w14:paraId="3FBA5F8A"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mladší jedinci</w:t>
            </w:r>
          </w:p>
        </w:tc>
        <w:tc>
          <w:tcPr>
            <w:tcW w:w="1854" w:type="dxa"/>
            <w:tcBorders>
              <w:top w:val="single" w:sz="4" w:space="0" w:color="000000"/>
              <w:left w:val="single" w:sz="4" w:space="0" w:color="000000"/>
              <w:bottom w:val="single" w:sz="4" w:space="0" w:color="000000"/>
              <w:right w:val="single" w:sz="4" w:space="0" w:color="000000"/>
            </w:tcBorders>
          </w:tcPr>
          <w:p w14:paraId="6BF01563"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starší jedinci</w:t>
            </w:r>
          </w:p>
        </w:tc>
      </w:tr>
      <w:tr w:rsidR="0064032D" w:rsidRPr="008F13F9" w14:paraId="7191FDB0" w14:textId="77777777" w:rsidTr="00C674FD">
        <w:trPr>
          <w:trHeight w:val="182"/>
        </w:trPr>
        <w:tc>
          <w:tcPr>
            <w:tcW w:w="2138" w:type="dxa"/>
            <w:tcBorders>
              <w:top w:val="single" w:sz="4" w:space="0" w:color="000000"/>
              <w:left w:val="single" w:sz="4" w:space="0" w:color="000000"/>
              <w:bottom w:val="single" w:sz="4" w:space="0" w:color="000000"/>
              <w:right w:val="single" w:sz="4" w:space="0" w:color="000000"/>
            </w:tcBorders>
          </w:tcPr>
          <w:p w14:paraId="3DDBF67A" w14:textId="77777777" w:rsidR="0064032D" w:rsidRPr="008F13F9" w:rsidRDefault="0064032D" w:rsidP="008F13F9">
            <w:pPr>
              <w:spacing w:line="360" w:lineRule="auto"/>
              <w:rPr>
                <w:rFonts w:ascii="Arial" w:hAnsi="Arial" w:cs="Arial"/>
                <w:b/>
                <w:bCs/>
                <w:sz w:val="24"/>
                <w:szCs w:val="24"/>
              </w:rPr>
            </w:pPr>
            <w:r w:rsidRPr="008F13F9">
              <w:rPr>
                <w:rFonts w:ascii="Arial" w:hAnsi="Arial" w:cs="Arial"/>
                <w:b/>
                <w:bCs/>
                <w:sz w:val="24"/>
                <w:szCs w:val="24"/>
              </w:rPr>
              <w:t>Pohlaví</w:t>
            </w:r>
          </w:p>
        </w:tc>
        <w:tc>
          <w:tcPr>
            <w:tcW w:w="1904" w:type="dxa"/>
            <w:tcBorders>
              <w:top w:val="single" w:sz="4" w:space="0" w:color="000000"/>
              <w:left w:val="single" w:sz="4" w:space="0" w:color="000000"/>
              <w:bottom w:val="single" w:sz="4" w:space="0" w:color="000000"/>
              <w:right w:val="single" w:sz="4" w:space="0" w:color="000000"/>
            </w:tcBorders>
          </w:tcPr>
          <w:p w14:paraId="3A8B8328"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M:Ž 3:1</w:t>
            </w:r>
          </w:p>
        </w:tc>
        <w:tc>
          <w:tcPr>
            <w:tcW w:w="1854" w:type="dxa"/>
            <w:tcBorders>
              <w:top w:val="single" w:sz="4" w:space="0" w:color="000000"/>
              <w:left w:val="single" w:sz="4" w:space="0" w:color="000000"/>
              <w:bottom w:val="single" w:sz="4" w:space="0" w:color="000000"/>
              <w:right w:val="single" w:sz="4" w:space="0" w:color="000000"/>
            </w:tcBorders>
          </w:tcPr>
          <w:p w14:paraId="15337165"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M:Ž 3:1</w:t>
            </w:r>
          </w:p>
        </w:tc>
      </w:tr>
      <w:tr w:rsidR="0064032D" w:rsidRPr="008F13F9" w14:paraId="381EE26E" w14:textId="77777777" w:rsidTr="00C674FD">
        <w:trPr>
          <w:trHeight w:val="182"/>
        </w:trPr>
        <w:tc>
          <w:tcPr>
            <w:tcW w:w="2138" w:type="dxa"/>
            <w:tcBorders>
              <w:top w:val="single" w:sz="4" w:space="0" w:color="000000"/>
              <w:left w:val="single" w:sz="4" w:space="0" w:color="000000"/>
              <w:bottom w:val="single" w:sz="4" w:space="0" w:color="000000"/>
              <w:right w:val="single" w:sz="4" w:space="0" w:color="000000"/>
            </w:tcBorders>
          </w:tcPr>
          <w:p w14:paraId="08BE4C84" w14:textId="77777777" w:rsidR="0064032D" w:rsidRPr="008F13F9" w:rsidRDefault="0064032D" w:rsidP="008F13F9">
            <w:pPr>
              <w:spacing w:line="360" w:lineRule="auto"/>
              <w:rPr>
                <w:rFonts w:ascii="Arial" w:hAnsi="Arial" w:cs="Arial"/>
                <w:b/>
                <w:bCs/>
                <w:sz w:val="24"/>
                <w:szCs w:val="24"/>
              </w:rPr>
            </w:pPr>
            <w:r w:rsidRPr="008F13F9">
              <w:rPr>
                <w:rFonts w:ascii="Arial" w:hAnsi="Arial" w:cs="Arial"/>
                <w:b/>
                <w:bCs/>
                <w:sz w:val="24"/>
                <w:szCs w:val="24"/>
              </w:rPr>
              <w:t>Socioekonomický status</w:t>
            </w:r>
          </w:p>
        </w:tc>
        <w:tc>
          <w:tcPr>
            <w:tcW w:w="1904" w:type="dxa"/>
            <w:tcBorders>
              <w:top w:val="single" w:sz="4" w:space="0" w:color="000000"/>
              <w:left w:val="single" w:sz="4" w:space="0" w:color="000000"/>
              <w:bottom w:val="single" w:sz="4" w:space="0" w:color="000000"/>
              <w:right w:val="single" w:sz="4" w:space="0" w:color="000000"/>
            </w:tcBorders>
          </w:tcPr>
          <w:p w14:paraId="078A15EF"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střední až vysoký</w:t>
            </w:r>
          </w:p>
        </w:tc>
        <w:tc>
          <w:tcPr>
            <w:tcW w:w="1854" w:type="dxa"/>
            <w:tcBorders>
              <w:top w:val="single" w:sz="4" w:space="0" w:color="000000"/>
              <w:left w:val="single" w:sz="4" w:space="0" w:color="000000"/>
              <w:bottom w:val="single" w:sz="4" w:space="0" w:color="000000"/>
              <w:right w:val="single" w:sz="4" w:space="0" w:color="000000"/>
            </w:tcBorders>
          </w:tcPr>
          <w:p w14:paraId="57782B38"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nízký</w:t>
            </w:r>
          </w:p>
        </w:tc>
      </w:tr>
      <w:tr w:rsidR="0064032D" w:rsidRPr="008F13F9" w14:paraId="51DFAEE6" w14:textId="77777777" w:rsidTr="00C674FD">
        <w:trPr>
          <w:trHeight w:val="182"/>
        </w:trPr>
        <w:tc>
          <w:tcPr>
            <w:tcW w:w="2138" w:type="dxa"/>
            <w:tcBorders>
              <w:top w:val="single" w:sz="4" w:space="0" w:color="000000"/>
              <w:left w:val="single" w:sz="4" w:space="0" w:color="000000"/>
              <w:bottom w:val="single" w:sz="4" w:space="0" w:color="000000"/>
              <w:right w:val="single" w:sz="4" w:space="0" w:color="000000"/>
            </w:tcBorders>
          </w:tcPr>
          <w:p w14:paraId="13E15CB2" w14:textId="77777777" w:rsidR="0064032D" w:rsidRPr="008F13F9" w:rsidRDefault="0064032D" w:rsidP="008F13F9">
            <w:pPr>
              <w:spacing w:line="360" w:lineRule="auto"/>
              <w:rPr>
                <w:rFonts w:ascii="Arial" w:hAnsi="Arial" w:cs="Arial"/>
                <w:b/>
                <w:bCs/>
                <w:sz w:val="24"/>
                <w:szCs w:val="24"/>
              </w:rPr>
            </w:pPr>
            <w:r w:rsidRPr="008F13F9">
              <w:rPr>
                <w:rFonts w:ascii="Arial" w:hAnsi="Arial" w:cs="Arial"/>
                <w:b/>
                <w:bCs/>
                <w:sz w:val="24"/>
                <w:szCs w:val="24"/>
              </w:rPr>
              <w:t>Rizikové faktory</w:t>
            </w:r>
          </w:p>
        </w:tc>
        <w:tc>
          <w:tcPr>
            <w:tcW w:w="1904" w:type="dxa"/>
            <w:tcBorders>
              <w:top w:val="single" w:sz="4" w:space="0" w:color="000000"/>
              <w:left w:val="single" w:sz="4" w:space="0" w:color="000000"/>
              <w:bottom w:val="single" w:sz="4" w:space="0" w:color="000000"/>
              <w:right w:val="single" w:sz="4" w:space="0" w:color="000000"/>
            </w:tcBorders>
          </w:tcPr>
          <w:p w14:paraId="47ADDE1F"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sexuální promiskuita</w:t>
            </w:r>
          </w:p>
        </w:tc>
        <w:tc>
          <w:tcPr>
            <w:tcW w:w="1854" w:type="dxa"/>
            <w:tcBorders>
              <w:top w:val="single" w:sz="4" w:space="0" w:color="000000"/>
              <w:left w:val="single" w:sz="4" w:space="0" w:color="000000"/>
              <w:bottom w:val="single" w:sz="4" w:space="0" w:color="000000"/>
              <w:right w:val="single" w:sz="4" w:space="0" w:color="000000"/>
            </w:tcBorders>
          </w:tcPr>
          <w:p w14:paraId="742F33B5"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alkohol, tabák</w:t>
            </w:r>
          </w:p>
        </w:tc>
      </w:tr>
      <w:tr w:rsidR="0064032D" w:rsidRPr="008F13F9" w14:paraId="071DAD0A" w14:textId="77777777" w:rsidTr="00C674FD">
        <w:trPr>
          <w:trHeight w:val="182"/>
        </w:trPr>
        <w:tc>
          <w:tcPr>
            <w:tcW w:w="2138" w:type="dxa"/>
            <w:tcBorders>
              <w:top w:val="single" w:sz="4" w:space="0" w:color="000000"/>
              <w:left w:val="single" w:sz="4" w:space="0" w:color="000000"/>
              <w:bottom w:val="single" w:sz="4" w:space="0" w:color="000000"/>
              <w:right w:val="single" w:sz="4" w:space="0" w:color="000000"/>
            </w:tcBorders>
          </w:tcPr>
          <w:p w14:paraId="0D45890C" w14:textId="77777777" w:rsidR="0064032D" w:rsidRPr="008F13F9" w:rsidRDefault="0064032D" w:rsidP="008F13F9">
            <w:pPr>
              <w:spacing w:line="360" w:lineRule="auto"/>
              <w:rPr>
                <w:rFonts w:ascii="Arial" w:hAnsi="Arial" w:cs="Arial"/>
                <w:b/>
                <w:bCs/>
                <w:sz w:val="24"/>
                <w:szCs w:val="24"/>
              </w:rPr>
            </w:pPr>
            <w:r w:rsidRPr="008F13F9">
              <w:rPr>
                <w:rFonts w:ascii="Arial" w:hAnsi="Arial" w:cs="Arial"/>
                <w:b/>
                <w:bCs/>
                <w:sz w:val="24"/>
                <w:szCs w:val="24"/>
              </w:rPr>
              <w:t>Prognóza</w:t>
            </w:r>
          </w:p>
        </w:tc>
        <w:tc>
          <w:tcPr>
            <w:tcW w:w="1904" w:type="dxa"/>
            <w:tcBorders>
              <w:top w:val="single" w:sz="4" w:space="0" w:color="000000"/>
              <w:left w:val="single" w:sz="4" w:space="0" w:color="000000"/>
              <w:bottom w:val="single" w:sz="4" w:space="0" w:color="000000"/>
              <w:right w:val="single" w:sz="4" w:space="0" w:color="000000"/>
            </w:tcBorders>
          </w:tcPr>
          <w:p w14:paraId="3FA73C85"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lepší</w:t>
            </w:r>
          </w:p>
        </w:tc>
        <w:tc>
          <w:tcPr>
            <w:tcW w:w="1854" w:type="dxa"/>
            <w:tcBorders>
              <w:top w:val="single" w:sz="4" w:space="0" w:color="000000"/>
              <w:left w:val="single" w:sz="4" w:space="0" w:color="000000"/>
              <w:bottom w:val="single" w:sz="4" w:space="0" w:color="000000"/>
              <w:right w:val="single" w:sz="4" w:space="0" w:color="000000"/>
            </w:tcBorders>
          </w:tcPr>
          <w:p w14:paraId="0DC985C6" w14:textId="77777777" w:rsidR="0064032D" w:rsidRPr="008F13F9" w:rsidRDefault="0064032D" w:rsidP="008F13F9">
            <w:pPr>
              <w:spacing w:line="360" w:lineRule="auto"/>
              <w:rPr>
                <w:rFonts w:ascii="Arial" w:hAnsi="Arial" w:cs="Arial"/>
                <w:sz w:val="24"/>
                <w:szCs w:val="24"/>
              </w:rPr>
            </w:pPr>
            <w:r w:rsidRPr="008F13F9">
              <w:rPr>
                <w:rFonts w:ascii="Arial" w:hAnsi="Arial" w:cs="Arial"/>
                <w:sz w:val="24"/>
                <w:szCs w:val="24"/>
              </w:rPr>
              <w:t>horší</w:t>
            </w:r>
          </w:p>
        </w:tc>
      </w:tr>
    </w:tbl>
    <w:p w14:paraId="1883FD47" w14:textId="77777777" w:rsidR="0064032D" w:rsidRPr="008F13F9" w:rsidRDefault="0064032D" w:rsidP="008F13F9">
      <w:pPr>
        <w:spacing w:line="360" w:lineRule="auto"/>
        <w:jc w:val="both"/>
        <w:rPr>
          <w:rFonts w:ascii="Arial" w:hAnsi="Arial" w:cs="Arial"/>
          <w:i/>
          <w:sz w:val="24"/>
          <w:szCs w:val="24"/>
        </w:rPr>
      </w:pPr>
      <w:r w:rsidRPr="008F13F9">
        <w:rPr>
          <w:rFonts w:ascii="Arial" w:hAnsi="Arial" w:cs="Arial"/>
          <w:b/>
          <w:sz w:val="24"/>
          <w:szCs w:val="24"/>
        </w:rPr>
        <w:t>Tab. 3</w:t>
      </w:r>
      <w:r w:rsidRPr="008F13F9">
        <w:rPr>
          <w:rFonts w:ascii="Arial" w:hAnsi="Arial" w:cs="Arial"/>
          <w:i/>
          <w:sz w:val="24"/>
          <w:szCs w:val="24"/>
        </w:rPr>
        <w:t xml:space="preserve"> Srovnání skupin pacientů s HPV pozitivním a negativním spinaliomem dutiny ústní a orofaryngu</w:t>
      </w:r>
    </w:p>
    <w:p w14:paraId="1A983974" w14:textId="77777777" w:rsidR="0064032D" w:rsidRPr="008F13F9" w:rsidRDefault="0064032D" w:rsidP="008F13F9">
      <w:pPr>
        <w:spacing w:line="360" w:lineRule="auto"/>
        <w:jc w:val="both"/>
        <w:rPr>
          <w:rFonts w:ascii="Arial" w:hAnsi="Arial" w:cs="Arial"/>
          <w:i/>
          <w:sz w:val="24"/>
          <w:szCs w:val="24"/>
        </w:rPr>
      </w:pPr>
    </w:p>
    <w:p w14:paraId="5CE0D481" w14:textId="77777777" w:rsidR="0064032D" w:rsidRPr="008F13F9" w:rsidRDefault="0064032D" w:rsidP="008F13F9">
      <w:pPr>
        <w:spacing w:line="360" w:lineRule="auto"/>
        <w:ind w:firstLine="720"/>
        <w:jc w:val="both"/>
        <w:rPr>
          <w:rFonts w:ascii="Arial" w:hAnsi="Arial" w:cs="Arial"/>
          <w:b/>
          <w:sz w:val="24"/>
          <w:szCs w:val="24"/>
        </w:rPr>
      </w:pPr>
      <w:r w:rsidRPr="008F13F9">
        <w:rPr>
          <w:rFonts w:ascii="Arial" w:hAnsi="Arial" w:cs="Arial"/>
          <w:sz w:val="24"/>
          <w:szCs w:val="24"/>
        </w:rPr>
        <w:t xml:space="preserve">Pacienti, jejichž nádor je p16 pozitivní mají ve srovnání s pacienty p16 negativními signifikantně vyšší pravděpodobnost, že se u nich nerozvine recidiva tumoru po prodělané chemoradioterapii. Dále i přes progresi </w:t>
      </w:r>
      <w:r w:rsidR="00333D25">
        <w:rPr>
          <w:rFonts w:ascii="Arial" w:hAnsi="Arial" w:cs="Arial"/>
          <w:sz w:val="24"/>
          <w:szCs w:val="24"/>
        </w:rPr>
        <w:t>recidivy nádoru</w:t>
      </w:r>
      <w:r w:rsidRPr="008F13F9">
        <w:rPr>
          <w:rFonts w:ascii="Arial" w:hAnsi="Arial" w:cs="Arial"/>
          <w:sz w:val="24"/>
          <w:szCs w:val="24"/>
        </w:rPr>
        <w:t xml:space="preserve"> mají pacienti s p16 pozitivními karcinomy dutiny ústní signifikantně vyšší délku přežití než u skupiny p16 negativních, jak ukázal závěr studie Fakhryové z roku 2014.</w:t>
      </w:r>
      <w:r w:rsidRPr="008F13F9">
        <w:rPr>
          <w:rFonts w:ascii="Arial" w:hAnsi="Arial" w:cs="Arial"/>
          <w:sz w:val="24"/>
          <w:szCs w:val="24"/>
          <w:vertAlign w:val="superscript"/>
        </w:rPr>
        <w:t>81</w:t>
      </w:r>
      <w:r w:rsidRPr="008F13F9">
        <w:rPr>
          <w:rFonts w:ascii="Arial" w:hAnsi="Arial" w:cs="Arial"/>
          <w:sz w:val="24"/>
          <w:szCs w:val="24"/>
        </w:rPr>
        <w:t xml:space="preserve"> (Graf 1)</w:t>
      </w:r>
    </w:p>
    <w:p w14:paraId="38455000" w14:textId="77777777" w:rsidR="0064032D" w:rsidRPr="008F13F9" w:rsidRDefault="00905F58" w:rsidP="008F13F9">
      <w:pPr>
        <w:spacing w:line="360" w:lineRule="auto"/>
        <w:jc w:val="center"/>
        <w:rPr>
          <w:rFonts w:ascii="Arial" w:hAnsi="Arial" w:cs="Arial"/>
          <w:b/>
          <w:sz w:val="24"/>
          <w:szCs w:val="24"/>
        </w:rPr>
      </w:pPr>
      <w:r>
        <w:rPr>
          <w:rFonts w:ascii="Arial" w:hAnsi="Arial" w:cs="Arial"/>
          <w:b/>
          <w:noProof/>
          <w:sz w:val="24"/>
          <w:szCs w:val="24"/>
          <w:lang w:val="en-US"/>
        </w:rPr>
        <w:lastRenderedPageBreak/>
        <w:drawing>
          <wp:inline distT="0" distB="0" distL="0" distR="0" wp14:anchorId="1F8DF02A" wp14:editId="23432D03">
            <wp:extent cx="3905250" cy="2943225"/>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905250" cy="2943225"/>
                    </a:xfrm>
                    <a:prstGeom prst="rect">
                      <a:avLst/>
                    </a:prstGeom>
                    <a:noFill/>
                    <a:ln w="9525">
                      <a:noFill/>
                      <a:miter lim="800000"/>
                      <a:headEnd/>
                      <a:tailEnd/>
                    </a:ln>
                  </pic:spPr>
                </pic:pic>
              </a:graphicData>
            </a:graphic>
          </wp:inline>
        </w:drawing>
      </w:r>
    </w:p>
    <w:p w14:paraId="561AE27F" w14:textId="77777777" w:rsidR="0064032D" w:rsidRPr="008F13F9" w:rsidRDefault="0064032D" w:rsidP="008F13F9">
      <w:pPr>
        <w:spacing w:line="360" w:lineRule="auto"/>
        <w:jc w:val="both"/>
        <w:rPr>
          <w:rFonts w:ascii="Arial" w:hAnsi="Arial" w:cs="Arial"/>
          <w:i/>
          <w:sz w:val="24"/>
          <w:szCs w:val="24"/>
        </w:rPr>
      </w:pPr>
      <w:r w:rsidRPr="008F13F9">
        <w:rPr>
          <w:rFonts w:ascii="Arial" w:hAnsi="Arial" w:cs="Arial"/>
          <w:b/>
          <w:sz w:val="24"/>
          <w:szCs w:val="24"/>
        </w:rPr>
        <w:t>Graf 1</w:t>
      </w:r>
      <w:r w:rsidRPr="008F13F9">
        <w:rPr>
          <w:rFonts w:ascii="Arial" w:hAnsi="Arial" w:cs="Arial"/>
          <w:i/>
          <w:sz w:val="24"/>
          <w:szCs w:val="24"/>
        </w:rPr>
        <w:t xml:space="preserve"> Graf ukazující srovnání 2 letého přežití od vypuknutí recidivy u pacientů p16 pozitivním a negativním karcinomem orofaryngu</w:t>
      </w:r>
      <w:r w:rsidRPr="008F13F9">
        <w:rPr>
          <w:rFonts w:ascii="Arial" w:hAnsi="Arial" w:cs="Arial"/>
          <w:i/>
          <w:sz w:val="24"/>
          <w:szCs w:val="24"/>
          <w:vertAlign w:val="superscript"/>
        </w:rPr>
        <w:t>81</w:t>
      </w:r>
      <w:r w:rsidRPr="008F13F9">
        <w:rPr>
          <w:rFonts w:ascii="Arial" w:hAnsi="Arial" w:cs="Arial"/>
          <w:i/>
          <w:sz w:val="24"/>
          <w:szCs w:val="24"/>
        </w:rPr>
        <w:t>.</w:t>
      </w:r>
    </w:p>
    <w:p w14:paraId="606FFB73" w14:textId="77777777" w:rsidR="0064032D" w:rsidRPr="008F13F9" w:rsidRDefault="0064032D" w:rsidP="008F13F9">
      <w:pPr>
        <w:spacing w:line="360" w:lineRule="auto"/>
        <w:jc w:val="both"/>
        <w:rPr>
          <w:rFonts w:ascii="Arial" w:hAnsi="Arial" w:cs="Arial"/>
          <w:b/>
          <w:sz w:val="24"/>
          <w:szCs w:val="24"/>
        </w:rPr>
      </w:pPr>
    </w:p>
    <w:p w14:paraId="430E5866"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Chirurgická terapie u HPV+ tumorů má, stejně jako u HPV negativních</w:t>
      </w:r>
      <w:r w:rsidR="00952DC0">
        <w:rPr>
          <w:rFonts w:ascii="Arial" w:hAnsi="Arial" w:cs="Arial"/>
          <w:sz w:val="24"/>
          <w:szCs w:val="24"/>
        </w:rPr>
        <w:t xml:space="preserve">, </w:t>
      </w:r>
      <w:r w:rsidR="00333D25">
        <w:rPr>
          <w:rFonts w:ascii="Arial" w:hAnsi="Arial" w:cs="Arial"/>
          <w:sz w:val="24"/>
          <w:szCs w:val="24"/>
        </w:rPr>
        <w:t>ve srovnání s ostatními</w:t>
      </w:r>
      <w:r w:rsidR="00952DC0">
        <w:rPr>
          <w:rFonts w:ascii="Arial" w:hAnsi="Arial" w:cs="Arial"/>
          <w:sz w:val="24"/>
          <w:szCs w:val="24"/>
        </w:rPr>
        <w:t xml:space="preserve"> léčebnými modalitami, </w:t>
      </w:r>
      <w:r w:rsidRPr="008F13F9">
        <w:rPr>
          <w:rFonts w:ascii="Arial" w:hAnsi="Arial" w:cs="Arial"/>
          <w:sz w:val="24"/>
          <w:szCs w:val="24"/>
        </w:rPr>
        <w:t>nejlepší efekt. Fakhryová</w:t>
      </w:r>
      <w:r w:rsidRPr="008F13F9">
        <w:rPr>
          <w:rFonts w:ascii="Arial" w:hAnsi="Arial" w:cs="Arial"/>
          <w:sz w:val="24"/>
          <w:szCs w:val="24"/>
          <w:vertAlign w:val="superscript"/>
        </w:rPr>
        <w:t>81</w:t>
      </w:r>
      <w:r w:rsidRPr="008F13F9">
        <w:rPr>
          <w:rFonts w:ascii="Arial" w:hAnsi="Arial" w:cs="Arial"/>
          <w:sz w:val="24"/>
          <w:szCs w:val="24"/>
        </w:rPr>
        <w:t xml:space="preserve"> ve své studii hodnotí výsledky operací u lokoregionálních recidiv, ze kterých vyplývá, že operace i v případě recidivy</w:t>
      </w:r>
      <w:r w:rsidR="00A562FB">
        <w:rPr>
          <w:rFonts w:ascii="Arial" w:hAnsi="Arial" w:cs="Arial"/>
          <w:sz w:val="24"/>
          <w:szCs w:val="24"/>
        </w:rPr>
        <w:t xml:space="preserve"> HPV+ tumoru</w:t>
      </w:r>
      <w:r w:rsidRPr="008F13F9">
        <w:rPr>
          <w:rFonts w:ascii="Arial" w:hAnsi="Arial" w:cs="Arial"/>
          <w:sz w:val="24"/>
          <w:szCs w:val="24"/>
        </w:rPr>
        <w:t xml:space="preserve"> má prognosticky lepší výsledek než pouhá paliativní adjuvantní terapie.</w:t>
      </w:r>
      <w:r w:rsidRPr="008F13F9">
        <w:rPr>
          <w:rFonts w:ascii="Arial" w:hAnsi="Arial" w:cs="Arial"/>
          <w:color w:val="0000FF"/>
          <w:sz w:val="24"/>
          <w:szCs w:val="24"/>
        </w:rPr>
        <w:t xml:space="preserve"> </w:t>
      </w:r>
    </w:p>
    <w:p w14:paraId="186210EE" w14:textId="77777777" w:rsidR="0064032D" w:rsidRDefault="0064032D" w:rsidP="008F13F9">
      <w:pPr>
        <w:spacing w:line="360" w:lineRule="auto"/>
        <w:ind w:firstLine="720"/>
        <w:jc w:val="both"/>
        <w:rPr>
          <w:rFonts w:ascii="Arial" w:hAnsi="Arial" w:cs="Arial"/>
          <w:sz w:val="24"/>
          <w:szCs w:val="24"/>
          <w:vertAlign w:val="superscript"/>
        </w:rPr>
      </w:pPr>
      <w:r w:rsidRPr="008F13F9">
        <w:rPr>
          <w:rFonts w:ascii="Arial" w:hAnsi="Arial" w:cs="Arial"/>
          <w:sz w:val="24"/>
          <w:szCs w:val="24"/>
        </w:rPr>
        <w:t xml:space="preserve">Také paliativní chemoterapie HPV+  karcinomů vykazuje vyšší pravděpodobnost petiletého přežití než u HPV- </w:t>
      </w:r>
      <w:r w:rsidRPr="008F13F9">
        <w:rPr>
          <w:rFonts w:ascii="Arial" w:hAnsi="Arial" w:cs="Arial"/>
          <w:sz w:val="24"/>
          <w:szCs w:val="24"/>
          <w:vertAlign w:val="superscript"/>
        </w:rPr>
        <w:t>86</w:t>
      </w:r>
      <w:r w:rsidRPr="008F13F9">
        <w:rPr>
          <w:rFonts w:ascii="Arial" w:hAnsi="Arial" w:cs="Arial"/>
          <w:sz w:val="24"/>
          <w:szCs w:val="24"/>
        </w:rPr>
        <w:t>.  Důvodem proč HPV pozitivní karcinomy lépe reagují na léčbu, může být skutečnost, že ve sorvnání s HPV negativními  vykazují rozdíly v expresi p53</w:t>
      </w:r>
      <w:r w:rsidRPr="008F13F9">
        <w:rPr>
          <w:rFonts w:ascii="Arial" w:hAnsi="Arial" w:cs="Arial"/>
          <w:sz w:val="24"/>
          <w:szCs w:val="24"/>
          <w:vertAlign w:val="superscript"/>
        </w:rPr>
        <w:t>82</w:t>
      </w:r>
      <w:r w:rsidRPr="008F13F9">
        <w:rPr>
          <w:rFonts w:ascii="Arial" w:hAnsi="Arial" w:cs="Arial"/>
          <w:sz w:val="24"/>
          <w:szCs w:val="24"/>
        </w:rPr>
        <w:t>, p16</w:t>
      </w:r>
      <w:r w:rsidRPr="008F13F9">
        <w:rPr>
          <w:rFonts w:ascii="Arial" w:hAnsi="Arial" w:cs="Arial"/>
          <w:sz w:val="24"/>
          <w:szCs w:val="24"/>
          <w:vertAlign w:val="superscript"/>
        </w:rPr>
        <w:t>83</w:t>
      </w:r>
      <w:r w:rsidRPr="008F13F9">
        <w:rPr>
          <w:rFonts w:ascii="Arial" w:hAnsi="Arial" w:cs="Arial"/>
          <w:sz w:val="24"/>
          <w:szCs w:val="24"/>
        </w:rPr>
        <w:t>, p21</w:t>
      </w:r>
      <w:r w:rsidRPr="008F13F9">
        <w:rPr>
          <w:rFonts w:ascii="Arial" w:hAnsi="Arial" w:cs="Arial"/>
          <w:sz w:val="24"/>
          <w:szCs w:val="24"/>
          <w:vertAlign w:val="superscript"/>
        </w:rPr>
        <w:t>83</w:t>
      </w:r>
      <w:r w:rsidRPr="008F13F9">
        <w:rPr>
          <w:rFonts w:ascii="Arial" w:hAnsi="Arial" w:cs="Arial"/>
          <w:sz w:val="24"/>
          <w:szCs w:val="24"/>
        </w:rPr>
        <w:t xml:space="preserve"> a EGFR</w:t>
      </w:r>
      <w:r w:rsidRPr="008F13F9">
        <w:rPr>
          <w:rFonts w:ascii="Arial" w:hAnsi="Arial" w:cs="Arial"/>
          <w:sz w:val="24"/>
          <w:szCs w:val="24"/>
          <w:vertAlign w:val="superscript"/>
        </w:rPr>
        <w:t>84,85.</w:t>
      </w:r>
    </w:p>
    <w:p w14:paraId="05304611" w14:textId="77777777" w:rsidR="00A562FB" w:rsidRPr="008F13F9" w:rsidRDefault="00A562FB" w:rsidP="008F13F9">
      <w:pPr>
        <w:spacing w:line="360" w:lineRule="auto"/>
        <w:ind w:firstLine="720"/>
        <w:jc w:val="both"/>
        <w:rPr>
          <w:rFonts w:ascii="Arial" w:hAnsi="Arial" w:cs="Arial"/>
          <w:sz w:val="24"/>
          <w:szCs w:val="24"/>
        </w:rPr>
      </w:pPr>
    </w:p>
    <w:p w14:paraId="27FCB838" w14:textId="77777777" w:rsidR="0064032D" w:rsidRPr="00D04F54" w:rsidRDefault="0064032D" w:rsidP="008F13F9">
      <w:pPr>
        <w:spacing w:line="360" w:lineRule="auto"/>
        <w:jc w:val="both"/>
        <w:rPr>
          <w:rFonts w:ascii="Arial" w:hAnsi="Arial" w:cs="Arial"/>
          <w:b/>
          <w:sz w:val="24"/>
          <w:szCs w:val="24"/>
          <w:u w:val="single"/>
        </w:rPr>
      </w:pPr>
      <w:r w:rsidRPr="00D04F54">
        <w:rPr>
          <w:rFonts w:ascii="Arial" w:hAnsi="Arial" w:cs="Arial"/>
          <w:b/>
          <w:sz w:val="24"/>
          <w:szCs w:val="24"/>
          <w:u w:val="single"/>
        </w:rPr>
        <w:t>5.4. Detekce lidského papilomaviru</w:t>
      </w:r>
    </w:p>
    <w:p w14:paraId="2533FF1B"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V současné době existuje celá řada metod umožňujících stanovení přítomnosti HPV v biologickém materiálu. Mezi metody nepřímé patří zejména cytologie, histologie bioptického materiálu a imunohistochemické vyšetření. </w:t>
      </w:r>
    </w:p>
    <w:p w14:paraId="56CE8294" w14:textId="77777777" w:rsidR="0064032D" w:rsidRPr="008F13F9" w:rsidRDefault="0064032D" w:rsidP="008F13F9">
      <w:pPr>
        <w:spacing w:line="360" w:lineRule="auto"/>
        <w:jc w:val="both"/>
        <w:outlineLvl w:val="0"/>
        <w:rPr>
          <w:rFonts w:ascii="Arial" w:hAnsi="Arial" w:cs="Arial"/>
          <w:sz w:val="24"/>
          <w:szCs w:val="24"/>
          <w:u w:val="single"/>
        </w:rPr>
      </w:pPr>
    </w:p>
    <w:p w14:paraId="4B744474" w14:textId="77777777" w:rsidR="0064032D" w:rsidRPr="00D04F54" w:rsidRDefault="0064032D" w:rsidP="008F13F9">
      <w:pPr>
        <w:spacing w:line="360" w:lineRule="auto"/>
        <w:jc w:val="both"/>
        <w:outlineLvl w:val="0"/>
        <w:rPr>
          <w:rFonts w:ascii="Arial" w:hAnsi="Arial" w:cs="Arial"/>
          <w:b/>
          <w:sz w:val="24"/>
          <w:szCs w:val="24"/>
          <w:u w:val="single"/>
        </w:rPr>
      </w:pPr>
      <w:r w:rsidRPr="00D04F54">
        <w:rPr>
          <w:rFonts w:ascii="Arial" w:hAnsi="Arial" w:cs="Arial"/>
          <w:b/>
          <w:sz w:val="24"/>
          <w:szCs w:val="24"/>
          <w:u w:val="single"/>
        </w:rPr>
        <w:t>5.4.1 Histologická detekce infekce lidským papilomavirem</w:t>
      </w:r>
    </w:p>
    <w:p w14:paraId="4672E411" w14:textId="77777777" w:rsidR="0064032D" w:rsidRPr="008F13F9" w:rsidRDefault="0064032D" w:rsidP="008F13F9">
      <w:pPr>
        <w:pStyle w:val="Default"/>
        <w:spacing w:line="360" w:lineRule="auto"/>
        <w:ind w:firstLine="720"/>
        <w:jc w:val="both"/>
        <w:rPr>
          <w:rFonts w:ascii="Arial" w:hAnsi="Arial" w:cs="Arial"/>
        </w:rPr>
      </w:pPr>
      <w:r w:rsidRPr="008F13F9">
        <w:rPr>
          <w:rFonts w:ascii="Arial" w:hAnsi="Arial" w:cs="Arial"/>
        </w:rPr>
        <w:t>Histopatologický obraz HPV-pozitivního spinaliomu dutiny ústní nemá spe</w:t>
      </w:r>
      <w:r w:rsidR="00333D25">
        <w:rPr>
          <w:rFonts w:ascii="Arial" w:hAnsi="Arial" w:cs="Arial"/>
        </w:rPr>
        <w:t>cifické rysy. Ve většině případů jde o nekeratinizující, špatně diferen</w:t>
      </w:r>
      <w:r w:rsidR="00A562FB">
        <w:rPr>
          <w:rFonts w:ascii="Arial" w:hAnsi="Arial" w:cs="Arial"/>
        </w:rPr>
        <w:t>covanou lézi. Mohou být přítomny</w:t>
      </w:r>
      <w:r w:rsidRPr="008F13F9">
        <w:rPr>
          <w:rFonts w:ascii="Arial" w:hAnsi="Arial" w:cs="Arial"/>
        </w:rPr>
        <w:t xml:space="preserve"> některé histopatologické znaky</w:t>
      </w:r>
      <w:r w:rsidR="00333D25">
        <w:rPr>
          <w:rFonts w:ascii="Arial" w:hAnsi="Arial" w:cs="Arial"/>
        </w:rPr>
        <w:t xml:space="preserve"> jako koilocytóza, dyskeratóza</w:t>
      </w:r>
      <w:r w:rsidRPr="008F13F9">
        <w:rPr>
          <w:rFonts w:ascii="Arial" w:hAnsi="Arial" w:cs="Arial"/>
        </w:rPr>
        <w:t>, hyperkeratóza, akantóza a parakeratóza. Koilocytóza je nejčastější cytopatický efekt viru a je považována za hlavní histopatologický aspekt HPV infekce. Koilocytóza označuje přítomnost abnormálních koilocytů s pyknotickým jádrem a velkým perinukleárním projasněním. Nicméně studie</w:t>
      </w:r>
      <w:r w:rsidRPr="008F13F9">
        <w:rPr>
          <w:rFonts w:ascii="Arial" w:hAnsi="Arial" w:cs="Arial"/>
          <w:vertAlign w:val="superscript"/>
        </w:rPr>
        <w:t>34-38</w:t>
      </w:r>
      <w:r w:rsidRPr="008F13F9">
        <w:rPr>
          <w:rFonts w:ascii="Arial" w:hAnsi="Arial" w:cs="Arial"/>
        </w:rPr>
        <w:t xml:space="preserve"> zabývající se průkazem HPV suspektních karcinomů orofaryngu na základě histologického vyšetření ve srovnání s detekcí pomocí PCR prokázaly, že přítomnost koilocytů v biopsiích spinocelulárních karcinomů dutiny ústní nesvědčí vždy pro skutečnou virovou infekci.</w:t>
      </w:r>
    </w:p>
    <w:p w14:paraId="40A4366B" w14:textId="77777777" w:rsidR="0064032D" w:rsidRPr="008F13F9" w:rsidRDefault="0064032D" w:rsidP="008F13F9">
      <w:pPr>
        <w:pStyle w:val="Default"/>
        <w:spacing w:line="360" w:lineRule="auto"/>
        <w:jc w:val="both"/>
        <w:rPr>
          <w:rFonts w:ascii="Arial" w:hAnsi="Arial" w:cs="Arial"/>
        </w:rPr>
      </w:pPr>
    </w:p>
    <w:p w14:paraId="76C88354" w14:textId="77777777" w:rsidR="0064032D" w:rsidRPr="00D04F54" w:rsidRDefault="0064032D" w:rsidP="008F13F9">
      <w:pPr>
        <w:pStyle w:val="Default"/>
        <w:spacing w:line="360" w:lineRule="auto"/>
        <w:jc w:val="both"/>
        <w:rPr>
          <w:rFonts w:ascii="Arial" w:hAnsi="Arial" w:cs="Arial"/>
          <w:b/>
          <w:u w:val="single"/>
        </w:rPr>
      </w:pPr>
      <w:r w:rsidRPr="00D04F54">
        <w:rPr>
          <w:rFonts w:ascii="Arial" w:hAnsi="Arial" w:cs="Arial"/>
          <w:b/>
          <w:u w:val="single"/>
        </w:rPr>
        <w:t xml:space="preserve">5.4.2. Laboratorní diagnostika HPV infekce </w:t>
      </w:r>
    </w:p>
    <w:p w14:paraId="05633344" w14:textId="77777777" w:rsidR="0064032D" w:rsidRPr="008F13F9" w:rsidRDefault="0064032D" w:rsidP="008F13F9">
      <w:pPr>
        <w:pStyle w:val="Default"/>
        <w:spacing w:line="360" w:lineRule="auto"/>
        <w:jc w:val="both"/>
        <w:rPr>
          <w:rFonts w:ascii="Arial" w:hAnsi="Arial" w:cs="Arial"/>
        </w:rPr>
      </w:pPr>
    </w:p>
    <w:p w14:paraId="49B27405" w14:textId="77777777" w:rsidR="009405A6"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Existuje něko</w:t>
      </w:r>
      <w:r w:rsidR="009405A6">
        <w:rPr>
          <w:rFonts w:ascii="Arial" w:hAnsi="Arial" w:cs="Arial"/>
          <w:sz w:val="24"/>
          <w:szCs w:val="24"/>
        </w:rPr>
        <w:t xml:space="preserve">lik testů, </w:t>
      </w:r>
      <w:r w:rsidRPr="008F13F9">
        <w:rPr>
          <w:rFonts w:ascii="Arial" w:hAnsi="Arial" w:cs="Arial"/>
          <w:sz w:val="24"/>
          <w:szCs w:val="24"/>
        </w:rPr>
        <w:t xml:space="preserve">umožňujících </w:t>
      </w:r>
      <w:r w:rsidR="00333D25">
        <w:rPr>
          <w:rFonts w:ascii="Arial" w:hAnsi="Arial" w:cs="Arial"/>
          <w:sz w:val="24"/>
          <w:szCs w:val="24"/>
        </w:rPr>
        <w:t xml:space="preserve">určit </w:t>
      </w:r>
      <w:r w:rsidR="009405A6">
        <w:rPr>
          <w:rFonts w:ascii="Arial" w:hAnsi="Arial" w:cs="Arial"/>
          <w:sz w:val="24"/>
          <w:szCs w:val="24"/>
        </w:rPr>
        <w:t xml:space="preserve">HPV </w:t>
      </w:r>
      <w:r w:rsidR="00333D25">
        <w:rPr>
          <w:rFonts w:ascii="Arial" w:hAnsi="Arial" w:cs="Arial"/>
          <w:sz w:val="24"/>
          <w:szCs w:val="24"/>
        </w:rPr>
        <w:t>etiologii</w:t>
      </w:r>
      <w:r w:rsidRPr="008F13F9">
        <w:rPr>
          <w:rFonts w:ascii="Arial" w:hAnsi="Arial" w:cs="Arial"/>
          <w:sz w:val="24"/>
          <w:szCs w:val="24"/>
        </w:rPr>
        <w:t xml:space="preserve"> orofaryngeálních spinocelulárních karcinomů: HPV PCR</w:t>
      </w:r>
      <w:r w:rsidR="009405A6">
        <w:rPr>
          <w:rFonts w:ascii="Arial" w:hAnsi="Arial" w:cs="Arial"/>
          <w:sz w:val="24"/>
          <w:szCs w:val="24"/>
        </w:rPr>
        <w:t>, HPV in situ hybridizace (ISH) a</w:t>
      </w:r>
      <w:r w:rsidRPr="008F13F9">
        <w:rPr>
          <w:rFonts w:ascii="Arial" w:hAnsi="Arial" w:cs="Arial"/>
          <w:sz w:val="24"/>
          <w:szCs w:val="24"/>
        </w:rPr>
        <w:t xml:space="preserve"> imunohistochemický průkaz</w:t>
      </w:r>
      <w:r w:rsidR="009405A6">
        <w:rPr>
          <w:rFonts w:ascii="Arial" w:hAnsi="Arial" w:cs="Arial"/>
          <w:sz w:val="24"/>
          <w:szCs w:val="24"/>
        </w:rPr>
        <w:t xml:space="preserve"> exprese nádorově asociovaného supresorického proteinu</w:t>
      </w:r>
      <w:r w:rsidRPr="008F13F9">
        <w:rPr>
          <w:rFonts w:ascii="Arial" w:hAnsi="Arial" w:cs="Arial"/>
          <w:sz w:val="24"/>
          <w:szCs w:val="24"/>
        </w:rPr>
        <w:t xml:space="preserve"> p16</w:t>
      </w:r>
      <w:r w:rsidR="009405A6">
        <w:rPr>
          <w:rFonts w:ascii="Arial" w:hAnsi="Arial" w:cs="Arial"/>
          <w:sz w:val="24"/>
          <w:szCs w:val="24"/>
        </w:rPr>
        <w:t>.</w:t>
      </w:r>
      <w:r w:rsidR="00333D25">
        <w:rPr>
          <w:rFonts w:ascii="Arial" w:hAnsi="Arial" w:cs="Arial"/>
          <w:sz w:val="24"/>
          <w:szCs w:val="24"/>
        </w:rPr>
        <w:t xml:space="preserve"> V klinické prax</w:t>
      </w:r>
      <w:r w:rsidR="009405A6">
        <w:rPr>
          <w:rFonts w:ascii="Arial" w:hAnsi="Arial" w:cs="Arial"/>
          <w:sz w:val="24"/>
          <w:szCs w:val="24"/>
        </w:rPr>
        <w:t xml:space="preserve">i se posledně uvedená metoda používá nejvíce. </w:t>
      </w:r>
    </w:p>
    <w:p w14:paraId="5E19C61F" w14:textId="77777777" w:rsidR="009405A6" w:rsidRDefault="009405A6" w:rsidP="008F13F9">
      <w:pPr>
        <w:spacing w:line="360" w:lineRule="auto"/>
        <w:ind w:firstLine="720"/>
        <w:jc w:val="both"/>
        <w:rPr>
          <w:rFonts w:ascii="Arial" w:hAnsi="Arial" w:cs="Arial"/>
          <w:sz w:val="24"/>
          <w:szCs w:val="24"/>
        </w:rPr>
      </w:pPr>
      <w:r>
        <w:rPr>
          <w:rFonts w:ascii="Arial" w:hAnsi="Arial" w:cs="Arial"/>
          <w:sz w:val="24"/>
          <w:szCs w:val="24"/>
        </w:rPr>
        <w:t xml:space="preserve">P16 protein je </w:t>
      </w:r>
      <w:r w:rsidR="0064032D" w:rsidRPr="008F13F9">
        <w:rPr>
          <w:rFonts w:ascii="Arial" w:hAnsi="Arial" w:cs="Arial"/>
          <w:sz w:val="24"/>
          <w:szCs w:val="24"/>
        </w:rPr>
        <w:t>regulátor buněčného cyklu, jehož normální funkcí je potlačovat aktivitu cyklin dependentních kin</w:t>
      </w:r>
      <w:r w:rsidR="00A562FB">
        <w:rPr>
          <w:rFonts w:ascii="Arial" w:hAnsi="Arial" w:cs="Arial"/>
          <w:sz w:val="24"/>
          <w:szCs w:val="24"/>
        </w:rPr>
        <w:t>áz. B</w:t>
      </w:r>
      <w:r w:rsidR="0064032D" w:rsidRPr="008F13F9">
        <w:rPr>
          <w:rFonts w:ascii="Arial" w:hAnsi="Arial" w:cs="Arial"/>
          <w:sz w:val="24"/>
          <w:szCs w:val="24"/>
        </w:rPr>
        <w:t xml:space="preserve">yl dokumentován jako marker transkripčně aktivních HPV u orofaryngeálních karcinomů. </w:t>
      </w:r>
      <w:r w:rsidR="0064032D" w:rsidRPr="00A562FB">
        <w:rPr>
          <w:rFonts w:ascii="Arial" w:hAnsi="Arial" w:cs="Arial"/>
          <w:sz w:val="24"/>
          <w:szCs w:val="24"/>
        </w:rPr>
        <w:t>Overexprese p16 se dává do souvislosti s lepší odpovědí na terapii a lepší klinické výsledky u orofaryngeálních spinocelulárních karcinomů. Overexprese p16 proteinu</w:t>
      </w:r>
      <w:r w:rsidR="0064032D" w:rsidRPr="008F13F9">
        <w:rPr>
          <w:rFonts w:ascii="Arial" w:hAnsi="Arial" w:cs="Arial"/>
          <w:sz w:val="24"/>
          <w:szCs w:val="24"/>
        </w:rPr>
        <w:t xml:space="preserve"> se objevuje jako výsledek degradace Rb proteinu HPV E7 onkoproteinem. Protože p16 je tumor supresorový protein</w:t>
      </w:r>
      <w:r>
        <w:rPr>
          <w:rFonts w:ascii="Arial" w:hAnsi="Arial" w:cs="Arial"/>
          <w:sz w:val="24"/>
          <w:szCs w:val="24"/>
        </w:rPr>
        <w:t>,</w:t>
      </w:r>
      <w:r w:rsidR="0064032D" w:rsidRPr="008F13F9">
        <w:rPr>
          <w:rFonts w:ascii="Arial" w:hAnsi="Arial" w:cs="Arial"/>
          <w:sz w:val="24"/>
          <w:szCs w:val="24"/>
        </w:rPr>
        <w:t xml:space="preserve"> jehož normální funkcí je inhibice cyklin dependentních kináz, chybí jeho exprese u většiny HPV negativních spinocelulárních karcinomů hlavy a krku, protože gen je mutovaný, deletovaný nebo metylovaný. Limitací proteinu p16 jako optimálního </w:t>
      </w:r>
      <w:r w:rsidR="0064032D" w:rsidRPr="008F13F9">
        <w:rPr>
          <w:rFonts w:ascii="Arial" w:hAnsi="Arial" w:cs="Arial"/>
          <w:sz w:val="24"/>
          <w:szCs w:val="24"/>
        </w:rPr>
        <w:lastRenderedPageBreak/>
        <w:t>biomarkeru je, že není specifický jenom pro HPV infekci, protože může být overexprimovaný i jinými mechanizmy. Je prokázáno, že p16 pozitivní, HPV negativní spinocelulární karcinomy mají přežití srovnatelné s p16 pozitivními, HPV pozitivními tumory a statisticky signifikantně lepší než p16 negativní, HPV negat</w:t>
      </w:r>
      <w:r w:rsidR="00A562FB">
        <w:rPr>
          <w:rFonts w:ascii="Arial" w:hAnsi="Arial" w:cs="Arial"/>
          <w:sz w:val="24"/>
          <w:szCs w:val="24"/>
        </w:rPr>
        <w:t>ivní spinocelulární karcinomy. P</w:t>
      </w:r>
      <w:r w:rsidR="0064032D" w:rsidRPr="008F13F9">
        <w:rPr>
          <w:rFonts w:ascii="Arial" w:hAnsi="Arial" w:cs="Arial"/>
          <w:sz w:val="24"/>
          <w:szCs w:val="24"/>
        </w:rPr>
        <w:t xml:space="preserve">16 protein tak určuje největší kohortu orofaryngeálních spinocelulárních karcinomů s „dobrou prognózou“. </w:t>
      </w:r>
    </w:p>
    <w:p w14:paraId="1DD27917" w14:textId="77777777" w:rsidR="0064032D" w:rsidRPr="008F13F9" w:rsidRDefault="00A562FB" w:rsidP="008F13F9">
      <w:pPr>
        <w:spacing w:line="360" w:lineRule="auto"/>
        <w:ind w:firstLine="720"/>
        <w:jc w:val="both"/>
        <w:rPr>
          <w:rFonts w:ascii="Arial" w:hAnsi="Arial" w:cs="Arial"/>
          <w:sz w:val="24"/>
          <w:szCs w:val="24"/>
        </w:rPr>
      </w:pPr>
      <w:r>
        <w:rPr>
          <w:rFonts w:ascii="Arial" w:hAnsi="Arial" w:cs="Arial"/>
          <w:sz w:val="24"/>
          <w:szCs w:val="24"/>
        </w:rPr>
        <w:t>V</w:t>
      </w:r>
      <w:r w:rsidR="0064032D" w:rsidRPr="008F13F9">
        <w:rPr>
          <w:rFonts w:ascii="Arial" w:hAnsi="Arial" w:cs="Arial"/>
          <w:sz w:val="24"/>
          <w:szCs w:val="24"/>
        </w:rPr>
        <w:t xml:space="preserve">yužití serologických metod pro průkaz HPV infekce je </w:t>
      </w:r>
      <w:r w:rsidR="009405A6">
        <w:rPr>
          <w:rFonts w:ascii="Arial" w:hAnsi="Arial" w:cs="Arial"/>
          <w:sz w:val="24"/>
          <w:szCs w:val="24"/>
        </w:rPr>
        <w:t>sporné</w:t>
      </w:r>
      <w:r w:rsidR="00D04F54">
        <w:rPr>
          <w:rFonts w:ascii="Arial" w:hAnsi="Arial" w:cs="Arial"/>
          <w:sz w:val="24"/>
          <w:szCs w:val="24"/>
        </w:rPr>
        <w:t>. p</w:t>
      </w:r>
      <w:r w:rsidR="0064032D" w:rsidRPr="008F13F9">
        <w:rPr>
          <w:rFonts w:ascii="Arial" w:hAnsi="Arial" w:cs="Arial"/>
          <w:sz w:val="24"/>
          <w:szCs w:val="24"/>
        </w:rPr>
        <w:t xml:space="preserve">apilomaviry neprocházejí </w:t>
      </w:r>
      <w:r>
        <w:rPr>
          <w:rFonts w:ascii="Arial" w:hAnsi="Arial" w:cs="Arial"/>
          <w:sz w:val="24"/>
          <w:szCs w:val="24"/>
        </w:rPr>
        <w:t xml:space="preserve">totiž </w:t>
      </w:r>
      <w:r w:rsidR="00D04F54">
        <w:rPr>
          <w:rFonts w:ascii="Arial" w:hAnsi="Arial" w:cs="Arial"/>
          <w:sz w:val="24"/>
          <w:szCs w:val="24"/>
        </w:rPr>
        <w:t>viré</w:t>
      </w:r>
      <w:r w:rsidR="0064032D" w:rsidRPr="008F13F9">
        <w:rPr>
          <w:rFonts w:ascii="Arial" w:hAnsi="Arial" w:cs="Arial"/>
          <w:sz w:val="24"/>
          <w:szCs w:val="24"/>
        </w:rPr>
        <w:t>mickou fází</w:t>
      </w:r>
      <w:r w:rsidR="009405A6">
        <w:rPr>
          <w:rFonts w:ascii="Arial" w:hAnsi="Arial" w:cs="Arial"/>
          <w:sz w:val="24"/>
          <w:szCs w:val="24"/>
        </w:rPr>
        <w:t>,</w:t>
      </w:r>
      <w:r w:rsidR="0064032D" w:rsidRPr="008F13F9">
        <w:rPr>
          <w:rFonts w:ascii="Arial" w:hAnsi="Arial" w:cs="Arial"/>
          <w:sz w:val="24"/>
          <w:szCs w:val="24"/>
        </w:rPr>
        <w:t xml:space="preserve"> a jsou jen velmi obtížně kultivovatelné na tkáňových kulturách. Kazuistiky z posledních let naznačují, že vzorky získané v čase diagnózy u nádorů orofaryngu, penisu a děložního čípku jsou velmi silně asociovány s HPV 16 E6 a E7 séropozitivitou</w:t>
      </w:r>
      <w:r w:rsidR="0064032D" w:rsidRPr="008F13F9">
        <w:rPr>
          <w:rFonts w:ascii="Arial" w:hAnsi="Arial" w:cs="Arial"/>
          <w:sz w:val="24"/>
          <w:szCs w:val="24"/>
          <w:vertAlign w:val="superscript"/>
        </w:rPr>
        <w:t xml:space="preserve"> 9</w:t>
      </w:r>
      <w:r w:rsidR="0064032D" w:rsidRPr="008F13F9">
        <w:rPr>
          <w:rFonts w:ascii="Arial" w:hAnsi="Arial" w:cs="Arial"/>
          <w:sz w:val="24"/>
          <w:szCs w:val="24"/>
        </w:rPr>
        <w:t>.</w:t>
      </w:r>
    </w:p>
    <w:p w14:paraId="2E7C3B6D"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V laboratorní praxi se nejčastěji používají molekulárně genetické HPV testy, dnes již komerčně dostupné, které umožňují detekci virové nukleové kyseliny ve vzorku. Odlišují se mezi sebou především </w:t>
      </w:r>
      <w:r w:rsidR="00CE1DF7">
        <w:rPr>
          <w:rFonts w:ascii="Arial" w:hAnsi="Arial" w:cs="Arial"/>
          <w:sz w:val="24"/>
          <w:szCs w:val="24"/>
        </w:rPr>
        <w:t xml:space="preserve">senzitivitou </w:t>
      </w:r>
      <w:r w:rsidRPr="008F13F9">
        <w:rPr>
          <w:rFonts w:ascii="Arial" w:hAnsi="Arial" w:cs="Arial"/>
          <w:sz w:val="24"/>
          <w:szCs w:val="24"/>
        </w:rPr>
        <w:t>a specifitou</w:t>
      </w:r>
      <w:r w:rsidR="00CE1DF7">
        <w:rPr>
          <w:rFonts w:ascii="Arial" w:hAnsi="Arial" w:cs="Arial"/>
          <w:sz w:val="24"/>
          <w:szCs w:val="24"/>
        </w:rPr>
        <w:t>. Rozlišujeme</w:t>
      </w:r>
      <w:r w:rsidRPr="008F13F9">
        <w:rPr>
          <w:rFonts w:ascii="Arial" w:hAnsi="Arial" w:cs="Arial"/>
          <w:sz w:val="24"/>
          <w:szCs w:val="24"/>
        </w:rPr>
        <w:t xml:space="preserve"> zejména screeningové HPV testy, genotypizační HPV testy a HPV in situ hybridizační testy</w:t>
      </w:r>
      <w:r w:rsidRPr="008F13F9">
        <w:rPr>
          <w:rFonts w:ascii="Arial" w:hAnsi="Arial" w:cs="Arial"/>
          <w:sz w:val="24"/>
          <w:szCs w:val="24"/>
          <w:vertAlign w:val="superscript"/>
        </w:rPr>
        <w:t>75</w:t>
      </w:r>
      <w:r w:rsidRPr="008F13F9">
        <w:rPr>
          <w:rFonts w:ascii="Arial" w:hAnsi="Arial" w:cs="Arial"/>
          <w:b/>
          <w:sz w:val="24"/>
          <w:szCs w:val="24"/>
        </w:rPr>
        <w:t>.</w:t>
      </w:r>
      <w:r w:rsidRPr="008F13F9">
        <w:rPr>
          <w:rFonts w:ascii="Arial" w:hAnsi="Arial" w:cs="Arial"/>
          <w:sz w:val="24"/>
          <w:szCs w:val="24"/>
        </w:rPr>
        <w:t xml:space="preserve"> Volba metod detekce HPV závisí na požadovaném výsledku dané laboratoře. Pro rutinní preventivní a diagnostický screening cervikálních lézí obvykle plně postačuje určení HPV negativity nebo HPV pozitivity bez určení konkrétního HPV typu. V případě pozitivního výsledku lze některou z typizačních metod určit konkrétní genotyp ze skupiny HR (High risk – vysokého rizika) či LR (low risk – nízkého rizika) HPV. K tomuto účelu se využívá například PCR s typově specifickými pri</w:t>
      </w:r>
      <w:r w:rsidR="00A562FB">
        <w:rPr>
          <w:rFonts w:ascii="Arial" w:hAnsi="Arial" w:cs="Arial"/>
          <w:sz w:val="24"/>
          <w:szCs w:val="24"/>
        </w:rPr>
        <w:t>mery, metoda RFLP (Restriction Fragment L</w:t>
      </w:r>
      <w:r w:rsidRPr="008F13F9">
        <w:rPr>
          <w:rFonts w:ascii="Arial" w:hAnsi="Arial" w:cs="Arial"/>
          <w:sz w:val="24"/>
          <w:szCs w:val="24"/>
        </w:rPr>
        <w:t xml:space="preserve">enght </w:t>
      </w:r>
      <w:r w:rsidR="00A562FB">
        <w:rPr>
          <w:rFonts w:ascii="Arial" w:hAnsi="Arial" w:cs="Arial"/>
          <w:sz w:val="24"/>
          <w:szCs w:val="24"/>
          <w:lang w:val="en-US"/>
        </w:rPr>
        <w:t>P</w:t>
      </w:r>
      <w:r w:rsidRPr="008F13F9">
        <w:rPr>
          <w:rFonts w:ascii="Arial" w:hAnsi="Arial" w:cs="Arial"/>
          <w:sz w:val="24"/>
          <w:szCs w:val="24"/>
          <w:lang w:val="en-US"/>
        </w:rPr>
        <w:t>olymorphism</w:t>
      </w:r>
      <w:r w:rsidRPr="008F13F9">
        <w:rPr>
          <w:rFonts w:ascii="Arial" w:hAnsi="Arial" w:cs="Arial"/>
          <w:sz w:val="24"/>
          <w:szCs w:val="24"/>
        </w:rPr>
        <w:t>) založená na rozlišení specifické délky restrikčních fragmentů či metodu hybridizace dot-blotu s typově specifickými oligopróbami. Komerčně dostupná je také metoda reverzní hybridizace.</w:t>
      </w:r>
    </w:p>
    <w:p w14:paraId="6F0096CB"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Nejpoužívanější metodou stále je Hybrid </w:t>
      </w:r>
      <w:r w:rsidRPr="008F13F9">
        <w:rPr>
          <w:rFonts w:ascii="Arial" w:hAnsi="Arial" w:cs="Arial"/>
          <w:sz w:val="24"/>
          <w:szCs w:val="24"/>
          <w:lang w:val="en-US"/>
        </w:rPr>
        <w:t>Capture</w:t>
      </w:r>
      <w:r w:rsidRPr="008F13F9">
        <w:rPr>
          <w:rFonts w:ascii="Arial" w:hAnsi="Arial" w:cs="Arial"/>
          <w:sz w:val="24"/>
          <w:szCs w:val="24"/>
        </w:rPr>
        <w:t xml:space="preserve"> II systém (Digene), který používá pro hybridizaci RNA sondy jak pro skupinu HR HPV (typ 16,18,31,33,35,39,45,51,52,56,58,59,68), tak pro skupinu LR HPV typů (6,11,42,43,44). Metoda je založená na přímé hybridizaci HPV DNA. Hybridy DNA-RNA, které vzniknou navázáním specifické skupiny sond, jsou detekovány pomocí specifických sekundárních protilátek konjugovaných </w:t>
      </w:r>
      <w:r w:rsidRPr="008F13F9">
        <w:rPr>
          <w:rFonts w:ascii="Arial" w:hAnsi="Arial" w:cs="Arial"/>
          <w:sz w:val="24"/>
          <w:szCs w:val="24"/>
        </w:rPr>
        <w:lastRenderedPageBreak/>
        <w:t>s příslušným enzymem, který štěpí přidaný substrát za vyzáření chemilumin</w:t>
      </w:r>
      <w:r w:rsidR="00CE1DF7">
        <w:rPr>
          <w:rFonts w:ascii="Arial" w:hAnsi="Arial" w:cs="Arial"/>
          <w:sz w:val="24"/>
          <w:szCs w:val="24"/>
        </w:rPr>
        <w:t>iscence. Chemiluminiscenč</w:t>
      </w:r>
      <w:r w:rsidRPr="008F13F9">
        <w:rPr>
          <w:rFonts w:ascii="Arial" w:hAnsi="Arial" w:cs="Arial"/>
          <w:sz w:val="24"/>
          <w:szCs w:val="24"/>
        </w:rPr>
        <w:t>ní světlo je měřeno v luminometru a softwarem vyjádřeno jako relativní světelné jednotky (RLU - relative light unit) ve srovnání s kontrolami reakce. Pro zvýšení citlivosti detekce využívá metoda amplifikace signálu a stává se srovnatelně citlivou s detekcí založenou na bázi PCR. Některý</w:t>
      </w:r>
      <w:r w:rsidR="00A562FB">
        <w:rPr>
          <w:rFonts w:ascii="Arial" w:hAnsi="Arial" w:cs="Arial"/>
          <w:sz w:val="24"/>
          <w:szCs w:val="24"/>
        </w:rPr>
        <w:t>é</w:t>
      </w:r>
      <w:r w:rsidRPr="008F13F9">
        <w:rPr>
          <w:rFonts w:ascii="Arial" w:hAnsi="Arial" w:cs="Arial"/>
          <w:sz w:val="24"/>
          <w:szCs w:val="24"/>
        </w:rPr>
        <w:t xml:space="preserve"> publikace uvádějí, že je takto možné detekovat přítomnost papilomavirů s citlivostí již od 1pg HPV DNA/ml. Metoda  Hybrid Capture II je dobře reprodukovatelná. Vykazuje však určitou míru analytické nepřesnosti. Při analýze vzorků může docházet k tzv. křížové reaktivitě, která vzniká nežádoucí reakcí sondy s dalšími typy HPV a vede k falešně pozitivním výsledkům. Tento nedostatek je možné redukovat definováním šedé zóny testu a použitím vyšší cut-off hodnoty RLU pro stanovení jasně pozitivního nálezu. Výsledky ze šedé zóny jsou označeny za hraniční a je třeba je znovu testovat, aby bylo možno získat validní výsledek</w:t>
      </w:r>
      <w:r w:rsidRPr="008F13F9">
        <w:rPr>
          <w:rFonts w:ascii="Arial" w:hAnsi="Arial" w:cs="Arial"/>
          <w:sz w:val="24"/>
          <w:szCs w:val="24"/>
          <w:vertAlign w:val="superscript"/>
        </w:rPr>
        <w:t>76</w:t>
      </w:r>
      <w:r w:rsidRPr="008F13F9">
        <w:rPr>
          <w:rFonts w:ascii="Arial" w:hAnsi="Arial" w:cs="Arial"/>
          <w:sz w:val="24"/>
          <w:szCs w:val="24"/>
        </w:rPr>
        <w:t>.</w:t>
      </w:r>
    </w:p>
    <w:p w14:paraId="04A5CD8E"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Dalším možným způsobem detekce HPV s možností přesného určení genotypu je využití metod založených na polymerázové řetězové reakci – PCR (polymerase chain reaction). Metody PCR vykazují nejvyšší senzitivitu a jsou časově nenáročné. Při použití PCR je třeba vyloučit přítomnost inhibitorů DNA polymerázy a současně při každé reakci ověřit dostatečné množství DNA vstupující do reakce. Za tímto účelem se používá amplifikace kontrolního genu např. pro lidský beta-globin. </w:t>
      </w:r>
    </w:p>
    <w:p w14:paraId="67CB71F6"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Podle výchozího materiálu lze volit různé systémy primerů v PCR. Nabízí se provedení jednostupňové nebo nested. Nested PCR je modifikace polymerázové řetězové reakce, kdy jsou použity dva páry primerů. První pár primerů amplifikuje požadovaný úsek stejně jako jednostupňová PCR. Druhý pár primerů nasedá na místo v PCR produktu amplifikovaném v první PCR reakci. Produkt druhé PCR reakce je ve srovnání s prvním produktem kratší. Hlavní výhodou nested PCR je, že zvyšuje specifitu amplifikace požadovaného úseku DNA a také zvyšuje výtěžek amplifikace.</w:t>
      </w:r>
    </w:p>
    <w:p w14:paraId="02DFDF1C"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Pro určení několika základních typů v jedné reakci je možné zvolit multiplexní PCR.</w:t>
      </w:r>
    </w:p>
    <w:p w14:paraId="617EE87F"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lastRenderedPageBreak/>
        <w:t xml:space="preserve">Výsledek PCR je vizualizován například pomocí elektroforézy nebo přímo metodou hybridizace a imunochemické detekce na mikrotitračních destičkách. V případě real time PCR je produkt detekován stanovením změny intenzity fluorescenčního záření během amplifikace. </w:t>
      </w:r>
    </w:p>
    <w:p w14:paraId="5CAA3A3C"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Z dalších metod určení HPV typu je možné uvést kapilární sekvenaci, která může být i v provedení zahrnující předchozí klonováním amplikonů, nebo metodu SSCP (Single Strand Conformation Polymorphism). Zvláštní skupinu tvoří testy detekující HPV na principu in-situ hybridizace (ISH). Testy jsou však poměrně náročné na provedení a vykazují nižší citlivosti detekce. Jedná se o navázání specifické sondy na genom HPV v buňce. Vzniklý hybrid je vizualizován pomocí systému protilátek s enzymatickým značením. Barevně změněný substrát v místě přítomné HPV infekce je pak detekován v histologickém kontextu pod mikroskopem. Rozdíly v barvení pozitivního signálu přibližně odlišují episomální infekci HPV od pokročilé infekce, kdy je virus již integrován do lidského genomu.</w:t>
      </w:r>
    </w:p>
    <w:p w14:paraId="0989086F"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Nabídka molekulárně genetických testů pro detekci HPV je velmi široká. Při výběru správného testu může být nápomocná i Národní referenční laboratoř pro papilomaviry, která na svých stránkách uvádí přehledné hodnocení vybraných HPV testů. </w:t>
      </w:r>
    </w:p>
    <w:p w14:paraId="69154EBB"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Každá z metod má své výhody a svá rizika z hlediska citlivosti, specifity, rizika kontaminace, falešně pozitivních nebo negativních výsledků apod. Konečný výběr závisí vždy na účelu stanovení, přístrojových a prostorových možnostech laboratoře a zvážení rizik a výhod každé metody.</w:t>
      </w:r>
    </w:p>
    <w:p w14:paraId="717A55EA" w14:textId="77777777" w:rsidR="0064032D" w:rsidRPr="008F13F9" w:rsidRDefault="0064032D" w:rsidP="008F13F9">
      <w:pPr>
        <w:spacing w:line="360" w:lineRule="auto"/>
        <w:jc w:val="both"/>
        <w:rPr>
          <w:rFonts w:ascii="Arial" w:hAnsi="Arial" w:cs="Arial"/>
          <w:sz w:val="24"/>
          <w:szCs w:val="24"/>
        </w:rPr>
      </w:pPr>
    </w:p>
    <w:p w14:paraId="7D3EE71E" w14:textId="77777777" w:rsidR="0064032D" w:rsidRPr="008F13F9" w:rsidRDefault="0064032D" w:rsidP="008F13F9">
      <w:pPr>
        <w:spacing w:line="360" w:lineRule="auto"/>
        <w:rPr>
          <w:rFonts w:ascii="Arial" w:hAnsi="Arial" w:cs="Arial"/>
          <w:sz w:val="24"/>
          <w:szCs w:val="24"/>
        </w:rPr>
      </w:pPr>
    </w:p>
    <w:p w14:paraId="71356680" w14:textId="77777777" w:rsidR="0064032D" w:rsidRPr="008F13F9" w:rsidRDefault="0064032D" w:rsidP="008F13F9">
      <w:pPr>
        <w:spacing w:line="360" w:lineRule="auto"/>
        <w:rPr>
          <w:rFonts w:ascii="Arial" w:hAnsi="Arial" w:cs="Arial"/>
          <w:sz w:val="24"/>
          <w:szCs w:val="24"/>
        </w:rPr>
      </w:pPr>
    </w:p>
    <w:p w14:paraId="28AA3F67" w14:textId="77777777" w:rsidR="0064032D" w:rsidRPr="008F13F9" w:rsidRDefault="0064032D" w:rsidP="008F13F9">
      <w:pPr>
        <w:spacing w:line="360" w:lineRule="auto"/>
        <w:rPr>
          <w:rFonts w:ascii="Arial" w:hAnsi="Arial" w:cs="Arial"/>
          <w:sz w:val="24"/>
          <w:szCs w:val="24"/>
        </w:rPr>
      </w:pPr>
    </w:p>
    <w:p w14:paraId="264F127C" w14:textId="77777777" w:rsidR="0064032D" w:rsidRDefault="0064032D" w:rsidP="008F13F9">
      <w:pPr>
        <w:spacing w:line="360" w:lineRule="auto"/>
        <w:rPr>
          <w:rFonts w:ascii="Arial" w:hAnsi="Arial" w:cs="Arial"/>
          <w:sz w:val="24"/>
          <w:szCs w:val="24"/>
        </w:rPr>
      </w:pPr>
    </w:p>
    <w:p w14:paraId="4284DE23" w14:textId="77777777" w:rsidR="00D04F54" w:rsidRDefault="00D04F54" w:rsidP="008F13F9">
      <w:pPr>
        <w:spacing w:line="360" w:lineRule="auto"/>
        <w:rPr>
          <w:rFonts w:ascii="Arial" w:hAnsi="Arial" w:cs="Arial"/>
          <w:sz w:val="24"/>
          <w:szCs w:val="24"/>
        </w:rPr>
      </w:pPr>
    </w:p>
    <w:p w14:paraId="7E4ABC4D" w14:textId="77777777" w:rsidR="0064032D" w:rsidRPr="00D04F54" w:rsidRDefault="0064032D" w:rsidP="008F13F9">
      <w:pPr>
        <w:spacing w:line="360" w:lineRule="auto"/>
        <w:jc w:val="center"/>
        <w:rPr>
          <w:rFonts w:ascii="Arial" w:hAnsi="Arial" w:cs="Arial"/>
          <w:b/>
          <w:sz w:val="30"/>
          <w:szCs w:val="30"/>
          <w:u w:val="single"/>
        </w:rPr>
      </w:pPr>
      <w:r w:rsidRPr="00D04F54">
        <w:rPr>
          <w:rFonts w:ascii="Arial" w:hAnsi="Arial" w:cs="Arial"/>
          <w:b/>
          <w:sz w:val="30"/>
          <w:szCs w:val="30"/>
          <w:u w:val="single"/>
        </w:rPr>
        <w:lastRenderedPageBreak/>
        <w:t>Speciální část</w:t>
      </w:r>
    </w:p>
    <w:p w14:paraId="1426E324" w14:textId="77777777" w:rsidR="00D04F54" w:rsidRPr="008F13F9" w:rsidRDefault="00D04F54" w:rsidP="008F13F9">
      <w:pPr>
        <w:spacing w:line="360" w:lineRule="auto"/>
        <w:jc w:val="center"/>
        <w:rPr>
          <w:rFonts w:ascii="Arial" w:hAnsi="Arial" w:cs="Arial"/>
          <w:b/>
          <w:sz w:val="24"/>
          <w:szCs w:val="24"/>
          <w:u w:val="single"/>
        </w:rPr>
      </w:pPr>
    </w:p>
    <w:p w14:paraId="32E497A6" w14:textId="77777777" w:rsidR="003A3C42" w:rsidRDefault="003A3C42" w:rsidP="003A3C42">
      <w:pPr>
        <w:spacing w:line="360" w:lineRule="auto"/>
        <w:jc w:val="center"/>
        <w:rPr>
          <w:rFonts w:ascii="Arial" w:hAnsi="Arial" w:cs="Arial"/>
          <w:b/>
          <w:sz w:val="24"/>
          <w:szCs w:val="24"/>
          <w:u w:val="single"/>
        </w:rPr>
      </w:pPr>
      <w:r>
        <w:rPr>
          <w:rFonts w:ascii="Arial" w:hAnsi="Arial" w:cs="Arial"/>
          <w:b/>
          <w:sz w:val="24"/>
          <w:szCs w:val="24"/>
          <w:u w:val="single"/>
        </w:rPr>
        <w:t xml:space="preserve">6. </w:t>
      </w:r>
      <w:r w:rsidR="0064032D" w:rsidRPr="00D04F54">
        <w:rPr>
          <w:rFonts w:ascii="Arial" w:hAnsi="Arial" w:cs="Arial"/>
          <w:b/>
          <w:sz w:val="24"/>
          <w:szCs w:val="24"/>
          <w:u w:val="single"/>
        </w:rPr>
        <w:t>Cíl práce</w:t>
      </w:r>
    </w:p>
    <w:p w14:paraId="069A7E4B" w14:textId="79CA3328" w:rsidR="0064032D" w:rsidRPr="0051110B" w:rsidRDefault="003A3C42" w:rsidP="003A3C42">
      <w:pPr>
        <w:spacing w:line="360" w:lineRule="auto"/>
        <w:jc w:val="both"/>
        <w:rPr>
          <w:rFonts w:ascii="Arial" w:hAnsi="Arial" w:cs="Arial"/>
          <w:sz w:val="24"/>
          <w:szCs w:val="24"/>
          <w:u w:val="single"/>
        </w:rPr>
      </w:pPr>
      <w:r>
        <w:rPr>
          <w:rFonts w:ascii="Arial" w:hAnsi="Arial" w:cs="Arial"/>
          <w:sz w:val="24"/>
          <w:szCs w:val="24"/>
        </w:rPr>
        <w:tab/>
      </w:r>
      <w:r w:rsidR="0051110B" w:rsidRPr="0051110B">
        <w:rPr>
          <w:rFonts w:ascii="Arial" w:hAnsi="Arial" w:cs="Arial"/>
          <w:sz w:val="24"/>
          <w:szCs w:val="24"/>
        </w:rPr>
        <w:t>Cílem předkládané práce je posoudit možnou souvislost mezi typy sexuálních praktik (koitálních vs. nekoitálních) a infekcí lidským papilomavirem v ústech a na děložním čípku.</w:t>
      </w:r>
    </w:p>
    <w:p w14:paraId="6FEBC58E" w14:textId="77777777" w:rsidR="0064032D" w:rsidRPr="008F13F9" w:rsidRDefault="0064032D" w:rsidP="008F13F9">
      <w:pPr>
        <w:spacing w:line="360" w:lineRule="auto"/>
        <w:jc w:val="both"/>
        <w:rPr>
          <w:rFonts w:ascii="Arial" w:hAnsi="Arial" w:cs="Arial"/>
          <w:b/>
          <w:i/>
          <w:sz w:val="24"/>
          <w:szCs w:val="24"/>
        </w:rPr>
      </w:pPr>
    </w:p>
    <w:p w14:paraId="4306CF46" w14:textId="77777777" w:rsidR="0064032D" w:rsidRPr="00D04F54" w:rsidRDefault="003A3C42" w:rsidP="003A3C42">
      <w:pPr>
        <w:spacing w:line="360" w:lineRule="auto"/>
        <w:jc w:val="center"/>
        <w:rPr>
          <w:rFonts w:ascii="Arial" w:hAnsi="Arial" w:cs="Arial"/>
          <w:b/>
          <w:sz w:val="24"/>
          <w:szCs w:val="24"/>
          <w:u w:val="single"/>
        </w:rPr>
      </w:pPr>
      <w:r>
        <w:rPr>
          <w:rFonts w:ascii="Arial" w:hAnsi="Arial" w:cs="Arial"/>
          <w:b/>
          <w:sz w:val="24"/>
          <w:szCs w:val="24"/>
          <w:u w:val="single"/>
        </w:rPr>
        <w:t xml:space="preserve">7. </w:t>
      </w:r>
      <w:r w:rsidR="0064032D" w:rsidRPr="00D04F54">
        <w:rPr>
          <w:rFonts w:ascii="Arial" w:hAnsi="Arial" w:cs="Arial"/>
          <w:b/>
          <w:sz w:val="24"/>
          <w:szCs w:val="24"/>
          <w:u w:val="single"/>
        </w:rPr>
        <w:t>Materiál a metodika</w:t>
      </w:r>
    </w:p>
    <w:p w14:paraId="774A7F7A" w14:textId="77777777" w:rsidR="0064032D" w:rsidRDefault="0064032D" w:rsidP="008F13F9">
      <w:pPr>
        <w:spacing w:after="100" w:line="360" w:lineRule="auto"/>
        <w:ind w:firstLine="708"/>
        <w:jc w:val="both"/>
        <w:rPr>
          <w:rFonts w:ascii="Arial" w:hAnsi="Arial" w:cs="Arial"/>
          <w:sz w:val="24"/>
          <w:szCs w:val="24"/>
        </w:rPr>
      </w:pPr>
      <w:r w:rsidRPr="008F13F9">
        <w:rPr>
          <w:rFonts w:ascii="Arial" w:hAnsi="Arial" w:cs="Arial"/>
          <w:sz w:val="24"/>
          <w:szCs w:val="24"/>
        </w:rPr>
        <w:t>Ve spolupráci s Gynekologicko-porodnickou klinikou FN Olomouc</w:t>
      </w:r>
      <w:r w:rsidR="00EC535C">
        <w:rPr>
          <w:rFonts w:ascii="Arial" w:hAnsi="Arial" w:cs="Arial"/>
          <w:sz w:val="24"/>
          <w:szCs w:val="24"/>
        </w:rPr>
        <w:t xml:space="preserve">        </w:t>
      </w:r>
      <w:r w:rsidRPr="008F13F9">
        <w:rPr>
          <w:rFonts w:ascii="Arial" w:hAnsi="Arial" w:cs="Arial"/>
          <w:sz w:val="24"/>
          <w:szCs w:val="24"/>
        </w:rPr>
        <w:t xml:space="preserve"> a Katedrou mikrobiologie LF a FN Olomouc jsme </w:t>
      </w:r>
      <w:r w:rsidR="00EC535C">
        <w:rPr>
          <w:rFonts w:ascii="Arial" w:hAnsi="Arial" w:cs="Arial"/>
          <w:sz w:val="24"/>
          <w:szCs w:val="24"/>
        </w:rPr>
        <w:t>vyšetřili</w:t>
      </w:r>
      <w:r w:rsidR="003D0E0C">
        <w:rPr>
          <w:rFonts w:ascii="Arial" w:hAnsi="Arial" w:cs="Arial"/>
          <w:sz w:val="24"/>
          <w:szCs w:val="24"/>
        </w:rPr>
        <w:t xml:space="preserve"> 87 pacientek. Z</w:t>
      </w:r>
      <w:r w:rsidR="00A35F21">
        <w:rPr>
          <w:rFonts w:ascii="Arial" w:hAnsi="Arial" w:cs="Arial"/>
          <w:sz w:val="24"/>
          <w:szCs w:val="24"/>
        </w:rPr>
        <w:t> nich 6 neudělilo souhlas se zařazením výsl</w:t>
      </w:r>
      <w:r w:rsidR="003D0E0C">
        <w:rPr>
          <w:rFonts w:ascii="Arial" w:hAnsi="Arial" w:cs="Arial"/>
          <w:sz w:val="24"/>
          <w:szCs w:val="24"/>
        </w:rPr>
        <w:t>edků vaginálních</w:t>
      </w:r>
      <w:r w:rsidR="00A35F21">
        <w:rPr>
          <w:rFonts w:ascii="Arial" w:hAnsi="Arial" w:cs="Arial"/>
          <w:sz w:val="24"/>
          <w:szCs w:val="24"/>
        </w:rPr>
        <w:t>, ale jen orálních</w:t>
      </w:r>
      <w:r w:rsidR="003D0E0C">
        <w:rPr>
          <w:rFonts w:ascii="Arial" w:hAnsi="Arial" w:cs="Arial"/>
          <w:sz w:val="24"/>
          <w:szCs w:val="24"/>
        </w:rPr>
        <w:t xml:space="preserve"> stěrů do studie</w:t>
      </w:r>
      <w:r w:rsidRPr="008F13F9">
        <w:rPr>
          <w:rFonts w:ascii="Arial" w:hAnsi="Arial" w:cs="Arial"/>
          <w:sz w:val="24"/>
          <w:szCs w:val="24"/>
        </w:rPr>
        <w:t>.</w:t>
      </w:r>
      <w:r w:rsidR="00EC535C">
        <w:rPr>
          <w:rFonts w:ascii="Arial" w:hAnsi="Arial" w:cs="Arial"/>
          <w:sz w:val="24"/>
          <w:szCs w:val="24"/>
        </w:rPr>
        <w:t xml:space="preserve"> U 81 paciente</w:t>
      </w:r>
      <w:r w:rsidR="004E1B6C">
        <w:rPr>
          <w:rFonts w:ascii="Arial" w:hAnsi="Arial" w:cs="Arial"/>
          <w:sz w:val="24"/>
          <w:szCs w:val="24"/>
        </w:rPr>
        <w:t>k</w:t>
      </w:r>
      <w:r w:rsidR="00EC535C">
        <w:rPr>
          <w:rFonts w:ascii="Arial" w:hAnsi="Arial" w:cs="Arial"/>
          <w:sz w:val="24"/>
          <w:szCs w:val="24"/>
        </w:rPr>
        <w:t xml:space="preserve"> z 87 jsme provedli stěry z dutiny ústní, orofaryngu  a děložního čípku</w:t>
      </w:r>
      <w:r w:rsidR="004E1B6C">
        <w:rPr>
          <w:rFonts w:ascii="Arial" w:hAnsi="Arial" w:cs="Arial"/>
          <w:sz w:val="24"/>
          <w:szCs w:val="24"/>
        </w:rPr>
        <w:t>.</w:t>
      </w:r>
      <w:r w:rsidRPr="008F13F9">
        <w:rPr>
          <w:rFonts w:ascii="Arial" w:hAnsi="Arial" w:cs="Arial"/>
          <w:sz w:val="24"/>
          <w:szCs w:val="24"/>
        </w:rPr>
        <w:t xml:space="preserve"> Vyšetřované žen</w:t>
      </w:r>
      <w:r w:rsidR="00EC535C">
        <w:rPr>
          <w:rFonts w:ascii="Arial" w:hAnsi="Arial" w:cs="Arial"/>
          <w:sz w:val="24"/>
          <w:szCs w:val="24"/>
        </w:rPr>
        <w:t xml:space="preserve">y byly seznámeny s cílem studie, </w:t>
      </w:r>
      <w:r w:rsidR="004E1B6C">
        <w:rPr>
          <w:rFonts w:ascii="Arial" w:hAnsi="Arial" w:cs="Arial"/>
          <w:sz w:val="24"/>
          <w:szCs w:val="24"/>
        </w:rPr>
        <w:t xml:space="preserve">podepsaly informovaný souhlasa vyplnily dotazník (Obr. 6), </w:t>
      </w:r>
      <w:r w:rsidRPr="008F13F9">
        <w:rPr>
          <w:rFonts w:ascii="Arial" w:hAnsi="Arial" w:cs="Arial"/>
          <w:sz w:val="24"/>
          <w:szCs w:val="24"/>
        </w:rPr>
        <w:t>schválen</w:t>
      </w:r>
      <w:r w:rsidR="004E1B6C">
        <w:rPr>
          <w:rFonts w:ascii="Arial" w:hAnsi="Arial" w:cs="Arial"/>
          <w:sz w:val="24"/>
          <w:szCs w:val="24"/>
        </w:rPr>
        <w:t>é</w:t>
      </w:r>
      <w:r w:rsidRPr="008F13F9">
        <w:rPr>
          <w:rFonts w:ascii="Arial" w:hAnsi="Arial" w:cs="Arial"/>
          <w:sz w:val="24"/>
          <w:szCs w:val="24"/>
        </w:rPr>
        <w:t xml:space="preserve"> Etickou komisí LF UP a FN Olomouc. Poté byly provedeny gynekologem stěry z děložního čípku a maxilofac</w:t>
      </w:r>
      <w:r w:rsidR="004E1B6C">
        <w:rPr>
          <w:rFonts w:ascii="Arial" w:hAnsi="Arial" w:cs="Arial"/>
          <w:sz w:val="24"/>
          <w:szCs w:val="24"/>
        </w:rPr>
        <w:t xml:space="preserve">iálním chirurgem z dutiny ústní </w:t>
      </w:r>
      <w:r w:rsidRPr="008F13F9">
        <w:rPr>
          <w:rFonts w:ascii="Arial" w:hAnsi="Arial" w:cs="Arial"/>
          <w:sz w:val="24"/>
          <w:szCs w:val="24"/>
        </w:rPr>
        <w:t xml:space="preserve">z míst s nejpravděpodobnějším výskytem HPV infekce - tonzila, kořen jazyka </w:t>
      </w:r>
      <w:r w:rsidR="004E1B6C">
        <w:rPr>
          <w:rFonts w:ascii="Arial" w:hAnsi="Arial" w:cs="Arial"/>
          <w:sz w:val="24"/>
          <w:szCs w:val="24"/>
        </w:rPr>
        <w:t xml:space="preserve">           </w:t>
      </w:r>
      <w:r w:rsidRPr="008F13F9">
        <w:rPr>
          <w:rFonts w:ascii="Arial" w:hAnsi="Arial" w:cs="Arial"/>
          <w:sz w:val="24"/>
          <w:szCs w:val="24"/>
        </w:rPr>
        <w:t xml:space="preserve">a spodina dutiny ústní. Vzorky </w:t>
      </w:r>
      <w:r w:rsidR="004E1B6C">
        <w:rPr>
          <w:rFonts w:ascii="Arial" w:hAnsi="Arial" w:cs="Arial"/>
          <w:sz w:val="24"/>
          <w:szCs w:val="24"/>
        </w:rPr>
        <w:t>jsme poté odeslali</w:t>
      </w:r>
      <w:r w:rsidRPr="008F13F9">
        <w:rPr>
          <w:rFonts w:ascii="Arial" w:hAnsi="Arial" w:cs="Arial"/>
          <w:sz w:val="24"/>
          <w:szCs w:val="24"/>
        </w:rPr>
        <w:t xml:space="preserve"> do laboratoře ke zpracování metodou PCR.</w:t>
      </w:r>
    </w:p>
    <w:p w14:paraId="00095D5E" w14:textId="77777777" w:rsidR="0064032D" w:rsidRPr="008F13F9" w:rsidRDefault="0064032D" w:rsidP="008F13F9">
      <w:pPr>
        <w:spacing w:after="100" w:line="360" w:lineRule="auto"/>
        <w:ind w:firstLine="708"/>
        <w:jc w:val="both"/>
        <w:rPr>
          <w:rFonts w:ascii="Arial" w:hAnsi="Arial" w:cs="Arial"/>
          <w:sz w:val="24"/>
          <w:szCs w:val="24"/>
        </w:rPr>
      </w:pPr>
    </w:p>
    <w:p w14:paraId="024F7DF3" w14:textId="77777777" w:rsidR="0064032D" w:rsidRDefault="0064032D" w:rsidP="008F13F9">
      <w:pPr>
        <w:spacing w:after="0" w:line="360" w:lineRule="auto"/>
        <w:ind w:firstLine="708"/>
        <w:jc w:val="both"/>
        <w:rPr>
          <w:rFonts w:ascii="Arial" w:hAnsi="Arial" w:cs="Arial"/>
          <w:sz w:val="24"/>
          <w:szCs w:val="24"/>
        </w:rPr>
      </w:pPr>
      <w:r w:rsidRPr="008F13F9">
        <w:rPr>
          <w:rFonts w:ascii="Arial" w:hAnsi="Arial" w:cs="Arial"/>
          <w:sz w:val="24"/>
          <w:szCs w:val="24"/>
        </w:rPr>
        <w:t>Vzhledem k  možnosti přenosu infekce HPV</w:t>
      </w:r>
      <w:r w:rsidR="004C6CEF">
        <w:rPr>
          <w:rFonts w:ascii="Arial" w:hAnsi="Arial" w:cs="Arial"/>
          <w:sz w:val="24"/>
          <w:szCs w:val="24"/>
        </w:rPr>
        <w:t xml:space="preserve"> do dutiny ústní </w:t>
      </w:r>
      <w:r w:rsidR="004E1B6C">
        <w:rPr>
          <w:rFonts w:ascii="Arial" w:hAnsi="Arial" w:cs="Arial"/>
          <w:sz w:val="24"/>
          <w:szCs w:val="24"/>
        </w:rPr>
        <w:t xml:space="preserve">                  </w:t>
      </w:r>
      <w:r w:rsidR="004C6CEF">
        <w:rPr>
          <w:rFonts w:ascii="Arial" w:hAnsi="Arial" w:cs="Arial"/>
          <w:sz w:val="24"/>
          <w:szCs w:val="24"/>
        </w:rPr>
        <w:t>a orofaryngu</w:t>
      </w:r>
      <w:r w:rsidRPr="008F13F9">
        <w:rPr>
          <w:rFonts w:ascii="Arial" w:hAnsi="Arial" w:cs="Arial"/>
          <w:sz w:val="24"/>
          <w:szCs w:val="24"/>
        </w:rPr>
        <w:t xml:space="preserve"> jinými než nekoitálními sexuálními praktikami, byly otázky v dotazníku (Obr. 6) směřovány také k hygienickým návykům (používání cizích zubních kartáčků)</w:t>
      </w:r>
      <w:r w:rsidR="00D04F54">
        <w:rPr>
          <w:rFonts w:ascii="Arial" w:hAnsi="Arial" w:cs="Arial"/>
          <w:sz w:val="24"/>
          <w:szCs w:val="24"/>
        </w:rPr>
        <w:t xml:space="preserve">, a také ke zlozvykům, </w:t>
      </w:r>
      <w:r w:rsidRPr="008F13F9">
        <w:rPr>
          <w:rFonts w:ascii="Arial" w:hAnsi="Arial" w:cs="Arial"/>
          <w:sz w:val="24"/>
          <w:szCs w:val="24"/>
        </w:rPr>
        <w:t>kdy mohlo dojít k přenosu sliny do úst: při kouření m</w:t>
      </w:r>
      <w:r w:rsidR="004E1B6C">
        <w:rPr>
          <w:rFonts w:ascii="Arial" w:hAnsi="Arial" w:cs="Arial"/>
          <w:sz w:val="24"/>
          <w:szCs w:val="24"/>
        </w:rPr>
        <w:t>arihuany, vodní dýmky či fajfky -</w:t>
      </w:r>
      <w:r w:rsidRPr="008F13F9">
        <w:rPr>
          <w:rFonts w:ascii="Arial" w:hAnsi="Arial" w:cs="Arial"/>
          <w:sz w:val="24"/>
          <w:szCs w:val="24"/>
        </w:rPr>
        <w:t xml:space="preserve"> což jsou aktivity, </w:t>
      </w:r>
      <w:r w:rsidR="004E1B6C">
        <w:rPr>
          <w:rFonts w:ascii="Arial" w:hAnsi="Arial" w:cs="Arial"/>
          <w:sz w:val="24"/>
          <w:szCs w:val="24"/>
        </w:rPr>
        <w:t xml:space="preserve">            </w:t>
      </w:r>
      <w:r w:rsidR="00D04F54">
        <w:rPr>
          <w:rFonts w:ascii="Arial" w:hAnsi="Arial" w:cs="Arial"/>
          <w:sz w:val="24"/>
          <w:szCs w:val="24"/>
        </w:rPr>
        <w:t>u</w:t>
      </w:r>
      <w:r w:rsidRPr="008F13F9">
        <w:rPr>
          <w:rFonts w:ascii="Arial" w:hAnsi="Arial" w:cs="Arial"/>
          <w:sz w:val="24"/>
          <w:szCs w:val="24"/>
        </w:rPr>
        <w:t xml:space="preserve"> kterých může docházet ve skupině ke sdílení náustku, případně cigarety samotné.</w:t>
      </w:r>
    </w:p>
    <w:p w14:paraId="3E9F797E" w14:textId="77777777" w:rsidR="004C6CEF" w:rsidRDefault="004C6CEF" w:rsidP="008F13F9">
      <w:pPr>
        <w:spacing w:after="0" w:line="360" w:lineRule="auto"/>
        <w:ind w:firstLine="708"/>
        <w:jc w:val="both"/>
        <w:rPr>
          <w:rFonts w:ascii="Arial" w:hAnsi="Arial" w:cs="Arial"/>
          <w:sz w:val="24"/>
          <w:szCs w:val="24"/>
        </w:rPr>
      </w:pPr>
    </w:p>
    <w:p w14:paraId="0704B056" w14:textId="77777777" w:rsidR="004C6CEF" w:rsidRPr="008F13F9" w:rsidRDefault="004C6CEF" w:rsidP="008F13F9">
      <w:pPr>
        <w:spacing w:after="0" w:line="360" w:lineRule="auto"/>
        <w:ind w:firstLine="708"/>
        <w:jc w:val="both"/>
        <w:rPr>
          <w:rFonts w:ascii="Arial" w:hAnsi="Arial" w:cs="Arial"/>
          <w:sz w:val="24"/>
          <w:szCs w:val="24"/>
        </w:rPr>
      </w:pPr>
      <w:r>
        <w:rPr>
          <w:rFonts w:ascii="Arial" w:hAnsi="Arial" w:cs="Arial"/>
          <w:sz w:val="24"/>
          <w:szCs w:val="24"/>
        </w:rPr>
        <w:t>V </w:t>
      </w:r>
      <w:r w:rsidR="004E1B6C">
        <w:rPr>
          <w:rFonts w:ascii="Arial" w:hAnsi="Arial" w:cs="Arial"/>
          <w:sz w:val="24"/>
          <w:szCs w:val="24"/>
        </w:rPr>
        <w:t xml:space="preserve">naší </w:t>
      </w:r>
      <w:r>
        <w:rPr>
          <w:rFonts w:ascii="Arial" w:hAnsi="Arial" w:cs="Arial"/>
          <w:sz w:val="24"/>
          <w:szCs w:val="24"/>
        </w:rPr>
        <w:t xml:space="preserve">práci jsme sledovali možný vztah infekce děložního čípku HPV HR a věkem, počtem orálních, koitálních, análních partnerů, dále kouřením a </w:t>
      </w:r>
      <w:r>
        <w:rPr>
          <w:rFonts w:ascii="Arial" w:hAnsi="Arial" w:cs="Arial"/>
          <w:sz w:val="24"/>
          <w:szCs w:val="24"/>
        </w:rPr>
        <w:lastRenderedPageBreak/>
        <w:t>konzumací al</w:t>
      </w:r>
      <w:r w:rsidR="003A3C42">
        <w:rPr>
          <w:rFonts w:ascii="Arial" w:hAnsi="Arial" w:cs="Arial"/>
          <w:sz w:val="24"/>
          <w:szCs w:val="24"/>
        </w:rPr>
        <w:t>koholu. Za tímto</w:t>
      </w:r>
      <w:r>
        <w:rPr>
          <w:rFonts w:ascii="Arial" w:hAnsi="Arial" w:cs="Arial"/>
          <w:sz w:val="24"/>
          <w:szCs w:val="24"/>
        </w:rPr>
        <w:t xml:space="preserve"> účelem byla skupina probandek rozdělena na skupiny a to s HPV+ a HPV- nálezem na děložním čípku</w:t>
      </w:r>
      <w:r w:rsidR="003A3C42">
        <w:rPr>
          <w:rFonts w:ascii="Arial" w:hAnsi="Arial" w:cs="Arial"/>
          <w:sz w:val="24"/>
          <w:szCs w:val="24"/>
        </w:rPr>
        <w:t xml:space="preserve"> (VAG+ a VAG-)</w:t>
      </w:r>
      <w:r>
        <w:rPr>
          <w:rFonts w:ascii="Arial" w:hAnsi="Arial" w:cs="Arial"/>
          <w:sz w:val="24"/>
          <w:szCs w:val="24"/>
        </w:rPr>
        <w:t>.</w:t>
      </w:r>
    </w:p>
    <w:p w14:paraId="59ED812C" w14:textId="77777777" w:rsidR="0064032D" w:rsidRPr="008F13F9" w:rsidRDefault="0064032D" w:rsidP="008F13F9">
      <w:pPr>
        <w:spacing w:after="100" w:line="360" w:lineRule="auto"/>
        <w:ind w:firstLine="708"/>
        <w:jc w:val="both"/>
        <w:rPr>
          <w:rFonts w:ascii="Arial" w:hAnsi="Arial" w:cs="Arial"/>
          <w:sz w:val="24"/>
          <w:szCs w:val="24"/>
        </w:rPr>
      </w:pPr>
    </w:p>
    <w:p w14:paraId="07815C17" w14:textId="77777777" w:rsidR="0064032D" w:rsidRPr="008F13F9" w:rsidRDefault="00CE1DF7" w:rsidP="008F13F9">
      <w:pPr>
        <w:spacing w:after="0" w:line="360" w:lineRule="auto"/>
        <w:ind w:firstLine="708"/>
        <w:jc w:val="both"/>
        <w:rPr>
          <w:rFonts w:ascii="Arial" w:hAnsi="Arial" w:cs="Arial"/>
          <w:sz w:val="24"/>
          <w:szCs w:val="24"/>
        </w:rPr>
      </w:pPr>
      <w:r>
        <w:rPr>
          <w:rFonts w:ascii="Arial" w:hAnsi="Arial" w:cs="Arial"/>
          <w:sz w:val="24"/>
          <w:szCs w:val="24"/>
        </w:rPr>
        <w:t>Materiál, získaný stěry</w:t>
      </w:r>
      <w:r w:rsidR="0064032D" w:rsidRPr="008F13F9">
        <w:rPr>
          <w:rFonts w:ascii="Arial" w:hAnsi="Arial" w:cs="Arial"/>
          <w:sz w:val="24"/>
          <w:szCs w:val="24"/>
        </w:rPr>
        <w:t xml:space="preserve"> z oblasti děložního čípku </w:t>
      </w:r>
      <w:r>
        <w:rPr>
          <w:rFonts w:ascii="Arial" w:hAnsi="Arial" w:cs="Arial"/>
          <w:sz w:val="24"/>
          <w:szCs w:val="24"/>
        </w:rPr>
        <w:t>z tonsily</w:t>
      </w:r>
      <w:r w:rsidR="0064032D" w:rsidRPr="008F13F9">
        <w:rPr>
          <w:rFonts w:ascii="Arial" w:hAnsi="Arial" w:cs="Arial"/>
          <w:sz w:val="24"/>
          <w:szCs w:val="24"/>
        </w:rPr>
        <w:t>, kořen</w:t>
      </w:r>
      <w:r>
        <w:rPr>
          <w:rFonts w:ascii="Arial" w:hAnsi="Arial" w:cs="Arial"/>
          <w:sz w:val="24"/>
          <w:szCs w:val="24"/>
        </w:rPr>
        <w:t>e a spodiny jazyka</w:t>
      </w:r>
      <w:r w:rsidR="0064032D" w:rsidRPr="008F13F9">
        <w:rPr>
          <w:rFonts w:ascii="Arial" w:hAnsi="Arial" w:cs="Arial"/>
          <w:sz w:val="24"/>
          <w:szCs w:val="24"/>
        </w:rPr>
        <w:t xml:space="preserve"> byl</w:t>
      </w:r>
      <w:r>
        <w:rPr>
          <w:rFonts w:ascii="Arial" w:hAnsi="Arial" w:cs="Arial"/>
          <w:sz w:val="24"/>
          <w:szCs w:val="24"/>
        </w:rPr>
        <w:t>y</w:t>
      </w:r>
      <w:r w:rsidR="0064032D" w:rsidRPr="008F13F9">
        <w:rPr>
          <w:rFonts w:ascii="Arial" w:hAnsi="Arial" w:cs="Arial"/>
          <w:sz w:val="24"/>
          <w:szCs w:val="24"/>
        </w:rPr>
        <w:t xml:space="preserve"> zpracován</w:t>
      </w:r>
      <w:r>
        <w:rPr>
          <w:rFonts w:ascii="Arial" w:hAnsi="Arial" w:cs="Arial"/>
          <w:sz w:val="24"/>
          <w:szCs w:val="24"/>
        </w:rPr>
        <w:t>y</w:t>
      </w:r>
      <w:r w:rsidR="0064032D" w:rsidRPr="008F13F9">
        <w:rPr>
          <w:rFonts w:ascii="Arial" w:hAnsi="Arial" w:cs="Arial"/>
          <w:sz w:val="24"/>
          <w:szCs w:val="24"/>
        </w:rPr>
        <w:t xml:space="preserve"> v laboratořích Katedry mikrobiologie LF UP a FN Olomouc metodou Real time PCR (HPV High Risk Screen Real-TM RG) firmy Sacace. Metoda </w:t>
      </w:r>
      <w:r w:rsidR="004A5574">
        <w:rPr>
          <w:rFonts w:ascii="Arial" w:hAnsi="Arial" w:cs="Arial"/>
          <w:sz w:val="24"/>
          <w:szCs w:val="24"/>
        </w:rPr>
        <w:t xml:space="preserve">byla detekována přítomnost </w:t>
      </w:r>
      <w:r w:rsidR="0064032D" w:rsidRPr="008F13F9">
        <w:rPr>
          <w:rFonts w:ascii="Arial" w:hAnsi="Arial" w:cs="Arial"/>
          <w:sz w:val="24"/>
          <w:szCs w:val="24"/>
        </w:rPr>
        <w:t xml:space="preserve"> HPV </w:t>
      </w:r>
      <w:r w:rsidR="004A5574">
        <w:rPr>
          <w:rFonts w:ascii="Arial" w:hAnsi="Arial" w:cs="Arial"/>
          <w:sz w:val="24"/>
          <w:szCs w:val="24"/>
        </w:rPr>
        <w:t xml:space="preserve">viru </w:t>
      </w:r>
      <w:r w:rsidR="0064032D" w:rsidRPr="008F13F9">
        <w:rPr>
          <w:rFonts w:ascii="Arial" w:hAnsi="Arial" w:cs="Arial"/>
          <w:sz w:val="24"/>
          <w:szCs w:val="24"/>
        </w:rPr>
        <w:t>typů</w:t>
      </w:r>
      <w:r w:rsidR="0064032D" w:rsidRPr="008F13F9">
        <w:rPr>
          <w:rFonts w:ascii="Arial" w:hAnsi="Arial" w:cs="Arial"/>
          <w:iCs/>
          <w:sz w:val="24"/>
          <w:szCs w:val="24"/>
        </w:rPr>
        <w:t xml:space="preserve"> </w:t>
      </w:r>
      <w:r w:rsidR="0064032D" w:rsidRPr="008F13F9">
        <w:rPr>
          <w:rFonts w:ascii="Arial" w:hAnsi="Arial" w:cs="Arial"/>
          <w:sz w:val="24"/>
          <w:szCs w:val="24"/>
        </w:rPr>
        <w:t>(16, 18, 31, 33, 35, 39, 45, 51, 52, 56, 58, 59</w:t>
      </w:r>
      <w:r w:rsidR="0064032D" w:rsidRPr="008F13F9">
        <w:rPr>
          <w:rFonts w:ascii="Arial" w:hAnsi="Arial" w:cs="Arial"/>
          <w:iCs/>
          <w:sz w:val="24"/>
          <w:szCs w:val="24"/>
        </w:rPr>
        <w:t xml:space="preserve">) </w:t>
      </w:r>
      <w:r w:rsidR="0064032D" w:rsidRPr="008F13F9">
        <w:rPr>
          <w:rFonts w:ascii="Arial" w:hAnsi="Arial" w:cs="Arial"/>
          <w:sz w:val="24"/>
          <w:szCs w:val="24"/>
        </w:rPr>
        <w:t xml:space="preserve">a </w:t>
      </w:r>
      <w:r w:rsidR="004A5574">
        <w:rPr>
          <w:rFonts w:ascii="Arial" w:hAnsi="Arial" w:cs="Arial"/>
          <w:sz w:val="24"/>
          <w:szCs w:val="24"/>
        </w:rPr>
        <w:t>jako pozitivní kon</w:t>
      </w:r>
      <w:r w:rsidR="004E1B6C">
        <w:rPr>
          <w:rFonts w:ascii="Arial" w:hAnsi="Arial" w:cs="Arial"/>
          <w:sz w:val="24"/>
          <w:szCs w:val="24"/>
        </w:rPr>
        <w:t>t</w:t>
      </w:r>
      <w:r w:rsidR="004A5574">
        <w:rPr>
          <w:rFonts w:ascii="Arial" w:hAnsi="Arial" w:cs="Arial"/>
          <w:sz w:val="24"/>
          <w:szCs w:val="24"/>
        </w:rPr>
        <w:t xml:space="preserve">rola byl použit </w:t>
      </w:r>
      <w:r w:rsidR="0064032D" w:rsidRPr="008F13F9">
        <w:rPr>
          <w:rFonts w:ascii="Arial" w:hAnsi="Arial" w:cs="Arial"/>
          <w:sz w:val="24"/>
          <w:szCs w:val="24"/>
        </w:rPr>
        <w:t xml:space="preserve">β-globinový gen používaný jako vnitřní kontrolu. </w:t>
      </w:r>
    </w:p>
    <w:p w14:paraId="08B68F70" w14:textId="77777777" w:rsidR="0064032D" w:rsidRPr="008F13F9" w:rsidRDefault="0064032D" w:rsidP="008F13F9">
      <w:pPr>
        <w:spacing w:after="0" w:line="360" w:lineRule="auto"/>
        <w:jc w:val="both"/>
        <w:rPr>
          <w:rFonts w:ascii="Arial" w:hAnsi="Arial" w:cs="Arial"/>
          <w:sz w:val="24"/>
          <w:szCs w:val="24"/>
        </w:rPr>
      </w:pPr>
    </w:p>
    <w:p w14:paraId="5EA96E30" w14:textId="77777777" w:rsidR="0064032D" w:rsidRPr="008F13F9" w:rsidRDefault="0064032D" w:rsidP="008F13F9">
      <w:pPr>
        <w:spacing w:after="0" w:line="360" w:lineRule="auto"/>
        <w:ind w:firstLine="708"/>
        <w:jc w:val="both"/>
        <w:rPr>
          <w:rFonts w:ascii="Arial" w:hAnsi="Arial" w:cs="Arial"/>
          <w:sz w:val="24"/>
          <w:szCs w:val="24"/>
        </w:rPr>
      </w:pPr>
      <w:r w:rsidRPr="008F13F9">
        <w:rPr>
          <w:rFonts w:ascii="Arial" w:hAnsi="Arial" w:cs="Arial"/>
          <w:sz w:val="24"/>
          <w:szCs w:val="24"/>
        </w:rPr>
        <w:t>Pacientky byly rozděleny do skupin v závislosti na věkových  dekádách (od 20 do 71 let) - viz graf 2. Nejpočetnější skupinou byly věkové kategorie 31-40 a 41-50 (p</w:t>
      </w:r>
      <w:r w:rsidR="004A5574">
        <w:rPr>
          <w:rFonts w:ascii="Arial" w:hAnsi="Arial" w:cs="Arial"/>
          <w:sz w:val="24"/>
          <w:szCs w:val="24"/>
        </w:rPr>
        <w:t>o 14 respondentkách)</w:t>
      </w:r>
      <w:r w:rsidRPr="008F13F9">
        <w:rPr>
          <w:rFonts w:ascii="Arial" w:hAnsi="Arial" w:cs="Arial"/>
          <w:sz w:val="24"/>
          <w:szCs w:val="24"/>
        </w:rPr>
        <w:t>. Věkový průměr dotazovaných žen byl 43,2 let (min 22, max 83), medián 41 let.</w:t>
      </w:r>
      <w:r w:rsidRPr="008F13F9">
        <w:rPr>
          <w:rFonts w:ascii="Arial" w:hAnsi="Arial" w:cs="Arial"/>
          <w:sz w:val="24"/>
          <w:szCs w:val="24"/>
        </w:rPr>
        <w:tab/>
      </w:r>
      <w:r w:rsidR="004E1B6C">
        <w:rPr>
          <w:rFonts w:ascii="Arial" w:hAnsi="Arial" w:cs="Arial"/>
          <w:sz w:val="24"/>
          <w:szCs w:val="24"/>
        </w:rPr>
        <w:t xml:space="preserve"> </w:t>
      </w:r>
    </w:p>
    <w:p w14:paraId="24F5119D" w14:textId="77777777" w:rsidR="0064032D" w:rsidRPr="008F13F9" w:rsidRDefault="0064032D" w:rsidP="008F13F9">
      <w:pPr>
        <w:spacing w:after="0" w:line="360" w:lineRule="auto"/>
        <w:jc w:val="both"/>
        <w:rPr>
          <w:rFonts w:ascii="Arial" w:hAnsi="Arial" w:cs="Arial"/>
          <w:sz w:val="24"/>
          <w:szCs w:val="24"/>
        </w:rPr>
      </w:pPr>
    </w:p>
    <w:p w14:paraId="68B17645" w14:textId="77777777" w:rsidR="0064032D" w:rsidRPr="008F13F9" w:rsidRDefault="00905F58" w:rsidP="008F13F9">
      <w:pPr>
        <w:spacing w:after="0" w:line="360" w:lineRule="auto"/>
        <w:jc w:val="both"/>
        <w:rPr>
          <w:rFonts w:ascii="Arial" w:hAnsi="Arial" w:cs="Arial"/>
          <w:sz w:val="24"/>
          <w:szCs w:val="24"/>
        </w:rPr>
      </w:pPr>
      <w:r>
        <w:rPr>
          <w:rFonts w:ascii="Arial" w:hAnsi="Arial" w:cs="Arial"/>
          <w:noProof/>
          <w:sz w:val="24"/>
          <w:szCs w:val="24"/>
          <w:lang w:val="en-US"/>
        </w:rPr>
        <w:drawing>
          <wp:inline distT="0" distB="0" distL="0" distR="0" wp14:anchorId="632296F1" wp14:editId="41058700">
            <wp:extent cx="5248275" cy="341947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248275" cy="3419475"/>
                    </a:xfrm>
                    <a:prstGeom prst="rect">
                      <a:avLst/>
                    </a:prstGeom>
                    <a:noFill/>
                    <a:ln w="9525">
                      <a:noFill/>
                      <a:miter lim="800000"/>
                      <a:headEnd/>
                      <a:tailEnd/>
                    </a:ln>
                  </pic:spPr>
                </pic:pic>
              </a:graphicData>
            </a:graphic>
          </wp:inline>
        </w:drawing>
      </w:r>
      <w:r w:rsidR="0064032D" w:rsidRPr="008F13F9">
        <w:rPr>
          <w:rFonts w:ascii="Arial" w:hAnsi="Arial" w:cs="Arial"/>
          <w:b/>
          <w:sz w:val="24"/>
          <w:szCs w:val="24"/>
        </w:rPr>
        <w:t>Graf 2</w:t>
      </w:r>
      <w:r w:rsidR="0064032D" w:rsidRPr="008F13F9">
        <w:rPr>
          <w:rFonts w:ascii="Arial" w:hAnsi="Arial" w:cs="Arial"/>
          <w:sz w:val="24"/>
          <w:szCs w:val="24"/>
        </w:rPr>
        <w:t xml:space="preserve"> </w:t>
      </w:r>
      <w:r w:rsidR="0064032D" w:rsidRPr="008F13F9">
        <w:rPr>
          <w:rFonts w:ascii="Arial" w:hAnsi="Arial" w:cs="Arial"/>
          <w:i/>
          <w:sz w:val="24"/>
          <w:szCs w:val="24"/>
        </w:rPr>
        <w:t>Počet pacientek v decéniích</w:t>
      </w:r>
    </w:p>
    <w:p w14:paraId="7B1324C8" w14:textId="77777777" w:rsidR="0064032D" w:rsidRPr="008F13F9" w:rsidRDefault="0064032D" w:rsidP="008F13F9">
      <w:pPr>
        <w:keepNext/>
        <w:spacing w:after="100" w:line="360" w:lineRule="auto"/>
        <w:jc w:val="center"/>
        <w:rPr>
          <w:rFonts w:ascii="Arial" w:hAnsi="Arial" w:cs="Arial"/>
          <w:sz w:val="24"/>
          <w:szCs w:val="24"/>
        </w:rPr>
      </w:pPr>
    </w:p>
    <w:p w14:paraId="28770631" w14:textId="77777777" w:rsidR="0064032D" w:rsidRPr="008F13F9" w:rsidRDefault="0064032D" w:rsidP="008F13F9">
      <w:pPr>
        <w:spacing w:after="0" w:line="360" w:lineRule="auto"/>
        <w:jc w:val="both"/>
        <w:rPr>
          <w:rFonts w:ascii="Arial" w:hAnsi="Arial" w:cs="Arial"/>
          <w:sz w:val="24"/>
          <w:szCs w:val="24"/>
        </w:rPr>
      </w:pPr>
    </w:p>
    <w:p w14:paraId="79355140" w14:textId="77777777" w:rsidR="0064032D" w:rsidRPr="008F13F9" w:rsidRDefault="0064032D" w:rsidP="008F13F9">
      <w:pPr>
        <w:spacing w:after="0" w:line="360" w:lineRule="auto"/>
        <w:jc w:val="both"/>
        <w:rPr>
          <w:rFonts w:ascii="Arial" w:hAnsi="Arial" w:cs="Arial"/>
          <w:sz w:val="24"/>
          <w:szCs w:val="24"/>
        </w:rPr>
      </w:pPr>
      <w:r w:rsidRPr="008F13F9">
        <w:rPr>
          <w:rFonts w:ascii="Arial" w:hAnsi="Arial" w:cs="Arial"/>
          <w:sz w:val="24"/>
          <w:szCs w:val="24"/>
        </w:rPr>
        <w:tab/>
      </w:r>
    </w:p>
    <w:p w14:paraId="0D7B0115" w14:textId="77777777" w:rsidR="0064032D" w:rsidRPr="008F13F9" w:rsidRDefault="0064032D" w:rsidP="008F13F9">
      <w:pPr>
        <w:spacing w:after="0" w:line="360" w:lineRule="auto"/>
        <w:jc w:val="both"/>
        <w:rPr>
          <w:rFonts w:ascii="Arial" w:hAnsi="Arial" w:cs="Arial"/>
          <w:sz w:val="24"/>
          <w:szCs w:val="24"/>
        </w:rPr>
      </w:pPr>
      <w:r w:rsidRPr="008F13F9">
        <w:rPr>
          <w:rFonts w:ascii="Arial" w:hAnsi="Arial" w:cs="Arial"/>
          <w:sz w:val="24"/>
          <w:szCs w:val="24"/>
        </w:rPr>
        <w:t> </w:t>
      </w:r>
    </w:p>
    <w:p w14:paraId="42E54DC8"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Jméno a příjmení NEBO iniciály</w:t>
      </w:r>
      <w:r w:rsidRPr="008F13F9">
        <w:rPr>
          <w:rFonts w:ascii="Arial" w:hAnsi="Arial" w:cs="Arial"/>
          <w:sz w:val="24"/>
          <w:szCs w:val="24"/>
          <w:lang w:val="cs-CZ"/>
        </w:rPr>
        <w:t>:………………</w:t>
      </w:r>
    </w:p>
    <w:p w14:paraId="71E5D29C"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Datum narození NEBO rok narození</w:t>
      </w:r>
      <w:r w:rsidRPr="008F13F9">
        <w:rPr>
          <w:rFonts w:ascii="Arial" w:hAnsi="Arial" w:cs="Arial"/>
          <w:sz w:val="24"/>
          <w:szCs w:val="24"/>
          <w:lang w:val="cs-CZ"/>
        </w:rPr>
        <w:t>:………………..</w:t>
      </w:r>
    </w:p>
    <w:p w14:paraId="18CDAC86"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Povolání</w:t>
      </w:r>
      <w:r w:rsidRPr="008F13F9">
        <w:rPr>
          <w:rFonts w:ascii="Arial" w:hAnsi="Arial" w:cs="Arial"/>
          <w:sz w:val="24"/>
          <w:szCs w:val="24"/>
          <w:lang w:val="cs-CZ"/>
        </w:rPr>
        <w:t xml:space="preserve"> (v případě penze nebo více povolání, vyjmenujte prosím co nejvíce </w:t>
      </w:r>
    </w:p>
    <w:p w14:paraId="25606247"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povolání,které jste vykonával / vykonávala ) : ………………………….</w:t>
      </w:r>
    </w:p>
    <w:p w14:paraId="7DA71036"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u w:val="single"/>
          <w:lang w:val="cs-CZ"/>
        </w:rPr>
        <w:t>Onkologie</w:t>
      </w:r>
    </w:p>
    <w:p w14:paraId="0D25E055"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Vyskytla se rakovina ženských orgánů u Vašich nejbližších přímých příbuzných?</w:t>
      </w:r>
      <w:r w:rsidRPr="008F13F9">
        <w:rPr>
          <w:rFonts w:ascii="Arial" w:hAnsi="Arial" w:cs="Arial"/>
          <w:sz w:val="24"/>
          <w:szCs w:val="24"/>
          <w:lang w:val="cs-CZ"/>
        </w:rPr>
        <w:t xml:space="preserve"> </w:t>
      </w:r>
    </w:p>
    <w:p w14:paraId="011BC1F9"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Ano / Ne</w:t>
      </w:r>
    </w:p>
    <w:p w14:paraId="20ED1D90"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Vyskytla se rakovina dutiny ústní u Vašich nejbližších přímých příbuzných?</w:t>
      </w:r>
      <w:r w:rsidRPr="008F13F9">
        <w:rPr>
          <w:rFonts w:ascii="Arial" w:hAnsi="Arial" w:cs="Arial"/>
          <w:sz w:val="24"/>
          <w:szCs w:val="24"/>
          <w:lang w:val="cs-CZ"/>
        </w:rPr>
        <w:t xml:space="preserve"> </w:t>
      </w:r>
    </w:p>
    <w:p w14:paraId="4393E851"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Ano / Ne</w:t>
      </w:r>
    </w:p>
    <w:p w14:paraId="1C4449F3"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w:t>
      </w:r>
      <w:r w:rsidRPr="008F13F9">
        <w:rPr>
          <w:rFonts w:ascii="Arial" w:hAnsi="Arial" w:cs="Arial"/>
          <w:bCs/>
          <w:sz w:val="24"/>
          <w:szCs w:val="24"/>
          <w:u w:val="single"/>
          <w:lang w:val="cs-CZ"/>
        </w:rPr>
        <w:t>Kouření</w:t>
      </w:r>
      <w:r w:rsidRPr="008F13F9">
        <w:rPr>
          <w:rFonts w:ascii="Arial" w:hAnsi="Arial" w:cs="Arial"/>
          <w:bCs/>
          <w:sz w:val="24"/>
          <w:szCs w:val="24"/>
          <w:lang w:val="cs-CZ"/>
        </w:rPr>
        <w:t>:</w:t>
      </w:r>
      <w:r w:rsidRPr="008F13F9">
        <w:rPr>
          <w:rFonts w:ascii="Arial" w:hAnsi="Arial" w:cs="Arial"/>
          <w:sz w:val="24"/>
          <w:szCs w:val="24"/>
          <w:lang w:val="cs-CZ"/>
        </w:rPr>
        <w:t xml:space="preserve"> Ano</w:t>
      </w:r>
    </w:p>
    <w:p w14:paraId="02D5BB42"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w:t>
      </w:r>
      <w:r w:rsidRPr="008F13F9">
        <w:rPr>
          <w:rFonts w:ascii="Arial" w:hAnsi="Arial" w:cs="Arial"/>
          <w:sz w:val="24"/>
          <w:szCs w:val="24"/>
          <w:lang w:val="cs-CZ"/>
        </w:rPr>
        <w:tab/>
        <w:t xml:space="preserve">     Ne</w:t>
      </w:r>
    </w:p>
    <w:p w14:paraId="5C7D8D7F"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w:t>
      </w:r>
      <w:r w:rsidRPr="008F13F9">
        <w:rPr>
          <w:rFonts w:ascii="Arial" w:hAnsi="Arial" w:cs="Arial"/>
          <w:sz w:val="24"/>
          <w:szCs w:val="24"/>
          <w:lang w:val="cs-CZ"/>
        </w:rPr>
        <w:tab/>
        <w:t xml:space="preserve">     Příležitostně</w:t>
      </w:r>
    </w:p>
    <w:p w14:paraId="57AA15A8"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u w:val="single"/>
          <w:lang w:val="cs-CZ"/>
        </w:rPr>
        <w:t>Pokud „ANO“ nebo „PŘÍLEŽITOSTNĚ“</w:t>
      </w:r>
      <w:r w:rsidRPr="008F13F9">
        <w:rPr>
          <w:rFonts w:ascii="Arial" w:hAnsi="Arial" w:cs="Arial"/>
          <w:sz w:val="24"/>
          <w:szCs w:val="24"/>
          <w:lang w:val="cs-CZ"/>
        </w:rPr>
        <w:t>: Jak dlouho?.........</w:t>
      </w:r>
    </w:p>
    <w:p w14:paraId="330DBAAE"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u w:val="single"/>
          <w:lang w:val="cs-CZ"/>
        </w:rPr>
        <w:lastRenderedPageBreak/>
        <w:t>Zaškrtněte(možno i více)</w:t>
      </w:r>
      <w:r w:rsidRPr="008F13F9">
        <w:rPr>
          <w:rFonts w:ascii="Arial" w:hAnsi="Arial" w:cs="Arial"/>
          <w:sz w:val="24"/>
          <w:szCs w:val="24"/>
          <w:lang w:val="cs-CZ"/>
        </w:rPr>
        <w:t xml:space="preserve">: cigarety, doutník, fajka, joint, vodní dýmka </w:t>
      </w:r>
    </w:p>
    <w:p w14:paraId="30BF6739"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u w:val="single"/>
          <w:lang w:val="cs-CZ"/>
        </w:rPr>
        <w:t>Kolik nejvíce za den</w:t>
      </w:r>
      <w:r w:rsidRPr="008F13F9">
        <w:rPr>
          <w:rFonts w:ascii="Arial" w:hAnsi="Arial" w:cs="Arial"/>
          <w:sz w:val="24"/>
          <w:szCs w:val="24"/>
          <w:lang w:val="cs-CZ"/>
        </w:rPr>
        <w:t>:………</w:t>
      </w:r>
    </w:p>
    <w:p w14:paraId="39E7D085"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u w:val="single"/>
          <w:lang w:val="cs-CZ"/>
        </w:rPr>
        <w:t>Drogy</w:t>
      </w:r>
    </w:p>
    <w:p w14:paraId="0D375DDA"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Máte zkušenost s drogami:</w:t>
      </w:r>
      <w:r w:rsidRPr="008F13F9">
        <w:rPr>
          <w:rFonts w:ascii="Arial" w:hAnsi="Arial" w:cs="Arial"/>
          <w:sz w:val="24"/>
          <w:szCs w:val="24"/>
          <w:lang w:val="cs-CZ"/>
        </w:rPr>
        <w:t xml:space="preserve"> Ano / Ne</w:t>
      </w:r>
    </w:p>
    <w:p w14:paraId="20183E60"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u w:val="single"/>
          <w:lang w:val="cs-CZ"/>
        </w:rPr>
        <w:t>Pokud „ANO“, s jakými?</w:t>
      </w:r>
    </w:p>
    <w:p w14:paraId="5D1DBBF8"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u w:val="single"/>
          <w:lang w:val="cs-CZ"/>
        </w:rPr>
        <w:t>Užívala jste je pravidelně?</w:t>
      </w:r>
      <w:r w:rsidRPr="008F13F9">
        <w:rPr>
          <w:rFonts w:ascii="Arial" w:hAnsi="Arial" w:cs="Arial"/>
          <w:sz w:val="24"/>
          <w:szCs w:val="24"/>
          <w:lang w:val="cs-CZ"/>
        </w:rPr>
        <w:t xml:space="preserve">      Ano / Ne</w:t>
      </w:r>
    </w:p>
    <w:p w14:paraId="58C103CA"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u w:val="single"/>
          <w:lang w:val="cs-CZ"/>
        </w:rPr>
        <w:t>Jak jste je aplikovala</w:t>
      </w:r>
      <w:r w:rsidRPr="008F13F9">
        <w:rPr>
          <w:rFonts w:ascii="Arial" w:hAnsi="Arial" w:cs="Arial"/>
          <w:sz w:val="24"/>
          <w:szCs w:val="24"/>
          <w:lang w:val="cs-CZ"/>
        </w:rPr>
        <w:t>: Kouření: Ano/Ne</w:t>
      </w:r>
    </w:p>
    <w:p w14:paraId="7FBB4F65"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Do žíly: Ano / Ne</w:t>
      </w:r>
    </w:p>
    <w:p w14:paraId="4FE1CEED"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Tablety: Ano/ Ne</w:t>
      </w:r>
    </w:p>
    <w:p w14:paraId="24CC300B"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Dělila jste se někdy o pomůcky ke kouření nebo aplikaci drog</w:t>
      </w:r>
      <w:r w:rsidRPr="008F13F9">
        <w:rPr>
          <w:rFonts w:ascii="Arial" w:hAnsi="Arial" w:cs="Arial"/>
          <w:sz w:val="24"/>
          <w:szCs w:val="24"/>
          <w:lang w:val="cs-CZ"/>
        </w:rPr>
        <w:t xml:space="preserve"> (fajfka, viržínko, </w:t>
      </w:r>
    </w:p>
    <w:p w14:paraId="485BD696"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injekční jehla)</w:t>
      </w:r>
      <w:r w:rsidRPr="008F13F9">
        <w:rPr>
          <w:rFonts w:ascii="Arial" w:hAnsi="Arial" w:cs="Arial"/>
          <w:bCs/>
          <w:sz w:val="24"/>
          <w:szCs w:val="24"/>
          <w:lang w:val="cs-CZ"/>
        </w:rPr>
        <w:t>?</w:t>
      </w:r>
      <w:r w:rsidRPr="008F13F9">
        <w:rPr>
          <w:rFonts w:ascii="Arial" w:hAnsi="Arial" w:cs="Arial"/>
          <w:sz w:val="24"/>
          <w:szCs w:val="24"/>
          <w:lang w:val="cs-CZ"/>
        </w:rPr>
        <w:t>: Ano / Ne</w:t>
      </w:r>
    </w:p>
    <w:p w14:paraId="06440200"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u w:val="single"/>
          <w:lang w:val="cs-CZ"/>
        </w:rPr>
        <w:t>Péče o chrup</w:t>
      </w:r>
    </w:p>
    <w:p w14:paraId="7A0D74BE"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 xml:space="preserve">Dělila jste se někdy s někým o svůj zubní kartáček: </w:t>
      </w:r>
      <w:r w:rsidRPr="008F13F9">
        <w:rPr>
          <w:rFonts w:ascii="Arial" w:hAnsi="Arial" w:cs="Arial"/>
          <w:sz w:val="24"/>
          <w:szCs w:val="24"/>
          <w:lang w:val="cs-CZ"/>
        </w:rPr>
        <w:t>Ano/Ne</w:t>
      </w:r>
    </w:p>
    <w:p w14:paraId="71448672"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 xml:space="preserve">Máte svého ošetřujícího stomatologa? </w:t>
      </w:r>
      <w:r w:rsidRPr="008F13F9">
        <w:rPr>
          <w:rFonts w:ascii="Arial" w:hAnsi="Arial" w:cs="Arial"/>
          <w:sz w:val="24"/>
          <w:szCs w:val="24"/>
          <w:lang w:val="cs-CZ"/>
        </w:rPr>
        <w:t>Ano / Ne</w:t>
      </w:r>
    </w:p>
    <w:p w14:paraId="6CE6B321"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Pokud ne: Jak dlouho?</w:t>
      </w:r>
    </w:p>
    <w:p w14:paraId="6972F298"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Čistíte si zuby pravidelně?</w:t>
      </w:r>
      <w:r w:rsidRPr="008F13F9">
        <w:rPr>
          <w:rFonts w:ascii="Arial" w:hAnsi="Arial" w:cs="Arial"/>
          <w:sz w:val="24"/>
          <w:szCs w:val="24"/>
          <w:lang w:val="cs-CZ"/>
        </w:rPr>
        <w:t xml:space="preserve"> Ano/Ne</w:t>
      </w:r>
    </w:p>
    <w:p w14:paraId="79D1A9ED"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Pokud ano: kolikrát denně</w:t>
      </w:r>
    </w:p>
    <w:p w14:paraId="7B70DAD6"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Pijete alkohol?</w:t>
      </w:r>
      <w:r w:rsidRPr="008F13F9">
        <w:rPr>
          <w:rFonts w:ascii="Arial" w:hAnsi="Arial" w:cs="Arial"/>
          <w:sz w:val="24"/>
          <w:szCs w:val="24"/>
          <w:lang w:val="cs-CZ"/>
        </w:rPr>
        <w:t xml:space="preserve"> Ano / Ne</w:t>
      </w:r>
    </w:p>
    <w:p w14:paraId="338839C1"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u w:val="single"/>
          <w:lang w:val="cs-CZ"/>
        </w:rPr>
        <w:t>Pokud ano:</w:t>
      </w:r>
      <w:r w:rsidRPr="008F13F9">
        <w:rPr>
          <w:rFonts w:ascii="Arial" w:hAnsi="Arial" w:cs="Arial"/>
          <w:sz w:val="24"/>
          <w:szCs w:val="24"/>
          <w:lang w:val="cs-CZ"/>
        </w:rPr>
        <w:t xml:space="preserve"> Co (včetně piva)? ………………………………</w:t>
      </w:r>
    </w:p>
    <w:p w14:paraId="0C1C7E41"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Pravidelně?</w:t>
      </w:r>
    </w:p>
    <w:p w14:paraId="3C242E9F"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Kolikrát denně?...............................................</w:t>
      </w:r>
    </w:p>
    <w:p w14:paraId="531D6DA4"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Jak dlouho?.....................................................</w:t>
      </w:r>
    </w:p>
    <w:p w14:paraId="2B040B4A"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w:t>
      </w:r>
      <w:r w:rsidRPr="008F13F9">
        <w:rPr>
          <w:rFonts w:ascii="Arial" w:hAnsi="Arial" w:cs="Arial"/>
          <w:bCs/>
          <w:sz w:val="24"/>
          <w:szCs w:val="24"/>
          <w:u w:val="single"/>
          <w:lang w:val="cs-CZ"/>
        </w:rPr>
        <w:t>Sexuální partneři</w:t>
      </w:r>
      <w:r w:rsidRPr="008F13F9">
        <w:rPr>
          <w:rFonts w:ascii="Arial" w:hAnsi="Arial" w:cs="Arial"/>
          <w:bCs/>
          <w:sz w:val="24"/>
          <w:szCs w:val="24"/>
          <w:lang w:val="cs-CZ"/>
        </w:rPr>
        <w:t>:</w:t>
      </w:r>
    </w:p>
    <w:p w14:paraId="5531E023"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Jaká je Vaše sexuální orientace:</w:t>
      </w:r>
      <w:r w:rsidRPr="008F13F9">
        <w:rPr>
          <w:rFonts w:ascii="Arial" w:hAnsi="Arial" w:cs="Arial"/>
          <w:sz w:val="24"/>
          <w:szCs w:val="24"/>
          <w:lang w:val="cs-CZ"/>
        </w:rPr>
        <w:t xml:space="preserve"> Heterosexuální (osoby opačného pohlaví)</w:t>
      </w:r>
    </w:p>
    <w:p w14:paraId="757078C7"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Homosexuální  (osoby stejného pohlaví)</w:t>
      </w:r>
    </w:p>
    <w:p w14:paraId="76D650DE"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Bisexuální</w:t>
      </w:r>
    </w:p>
    <w:p w14:paraId="16E9481E"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lastRenderedPageBreak/>
        <w:t> </w:t>
      </w:r>
      <w:r w:rsidRPr="008F13F9">
        <w:rPr>
          <w:rFonts w:ascii="Arial" w:hAnsi="Arial" w:cs="Arial"/>
          <w:bCs/>
          <w:sz w:val="24"/>
          <w:szCs w:val="24"/>
          <w:lang w:val="cs-CZ"/>
        </w:rPr>
        <w:t>V jakém věku jste začala pohlavně žít?</w:t>
      </w:r>
      <w:r w:rsidRPr="008F13F9">
        <w:rPr>
          <w:rFonts w:ascii="Arial" w:hAnsi="Arial" w:cs="Arial"/>
          <w:sz w:val="24"/>
          <w:szCs w:val="24"/>
          <w:lang w:val="cs-CZ"/>
        </w:rPr>
        <w:t>..............................................</w:t>
      </w:r>
    </w:p>
    <w:p w14:paraId="0E8056EE"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Kolik sexuálních (i krátkodobých) partnerů jste doposud  za celý život měla?</w:t>
      </w:r>
      <w:r w:rsidRPr="008F13F9">
        <w:rPr>
          <w:rFonts w:ascii="Arial" w:hAnsi="Arial" w:cs="Arial"/>
          <w:sz w:val="24"/>
          <w:szCs w:val="24"/>
          <w:lang w:val="cs-CZ"/>
        </w:rPr>
        <w:t>...............</w:t>
      </w:r>
    </w:p>
    <w:p w14:paraId="6C93AC7E"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Prodělala jste nějakou sexuálně přenosnou chorobu?</w:t>
      </w:r>
      <w:r w:rsidRPr="008F13F9">
        <w:rPr>
          <w:rFonts w:ascii="Arial" w:hAnsi="Arial" w:cs="Arial"/>
          <w:sz w:val="24"/>
          <w:szCs w:val="24"/>
          <w:lang w:val="cs-CZ"/>
        </w:rPr>
        <w:t xml:space="preserve"> Ano / Ne</w:t>
      </w:r>
    </w:p>
    <w:p w14:paraId="784D5B46"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Pokud „ANO“, jakou?</w:t>
      </w:r>
    </w:p>
    <w:p w14:paraId="4AB39639"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w:t>
      </w:r>
      <w:r w:rsidRPr="008F13F9">
        <w:rPr>
          <w:rFonts w:ascii="Arial" w:hAnsi="Arial" w:cs="Arial"/>
          <w:bCs/>
          <w:sz w:val="24"/>
          <w:szCs w:val="24"/>
          <w:u w:val="single"/>
          <w:lang w:val="cs-CZ"/>
        </w:rPr>
        <w:t>Sexuální praktiky</w:t>
      </w:r>
      <w:r w:rsidRPr="008F13F9">
        <w:rPr>
          <w:rFonts w:ascii="Arial" w:hAnsi="Arial" w:cs="Arial"/>
          <w:bCs/>
          <w:sz w:val="24"/>
          <w:szCs w:val="24"/>
          <w:lang w:val="cs-CZ"/>
        </w:rPr>
        <w:t xml:space="preserve">: </w:t>
      </w:r>
    </w:p>
    <w:p w14:paraId="6696E40B"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bCs/>
          <w:sz w:val="24"/>
          <w:szCs w:val="24"/>
          <w:lang w:val="cs-CZ"/>
        </w:rPr>
        <w:t>Provozovala jste někdy:</w:t>
      </w:r>
    </w:p>
    <w:p w14:paraId="45B763F2"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A)    Orální sex: Ano (s kolika partnery) </w:t>
      </w:r>
    </w:p>
    <w:p w14:paraId="27820E9C"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Ne</w:t>
      </w:r>
    </w:p>
    <w:p w14:paraId="43774C64"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B)    Anální  sex: Ano (s kolika partnery) </w:t>
      </w:r>
    </w:p>
    <w:p w14:paraId="52BA6A60" w14:textId="77777777" w:rsidR="0064032D" w:rsidRPr="008F13F9" w:rsidRDefault="0064032D" w:rsidP="008F13F9">
      <w:pPr>
        <w:pStyle w:val="BodyText"/>
        <w:pBdr>
          <w:top w:val="single" w:sz="18" w:space="1" w:color="auto"/>
          <w:left w:val="single" w:sz="18" w:space="1" w:color="auto"/>
          <w:bottom w:val="single" w:sz="18" w:space="1" w:color="auto"/>
          <w:right w:val="single" w:sz="18" w:space="1" w:color="auto"/>
        </w:pBdr>
        <w:spacing w:line="360" w:lineRule="auto"/>
        <w:rPr>
          <w:rFonts w:ascii="Arial" w:hAnsi="Arial" w:cs="Arial"/>
          <w:sz w:val="24"/>
          <w:szCs w:val="24"/>
          <w:lang w:val="cs-CZ"/>
        </w:rPr>
      </w:pPr>
      <w:r w:rsidRPr="008F13F9">
        <w:rPr>
          <w:rFonts w:ascii="Arial" w:hAnsi="Arial" w:cs="Arial"/>
          <w:sz w:val="24"/>
          <w:szCs w:val="24"/>
          <w:lang w:val="cs-CZ"/>
        </w:rPr>
        <w:t xml:space="preserve">     </w:t>
      </w:r>
      <w:r w:rsidRPr="008F13F9">
        <w:rPr>
          <w:rFonts w:ascii="Arial" w:hAnsi="Arial" w:cs="Arial"/>
          <w:sz w:val="24"/>
          <w:szCs w:val="24"/>
          <w:lang w:val="cs-CZ"/>
        </w:rPr>
        <w:tab/>
      </w:r>
      <w:r w:rsidRPr="008F13F9">
        <w:rPr>
          <w:rFonts w:ascii="Arial" w:hAnsi="Arial" w:cs="Arial"/>
          <w:sz w:val="24"/>
          <w:szCs w:val="24"/>
          <w:lang w:val="cs-CZ"/>
        </w:rPr>
        <w:tab/>
        <w:t xml:space="preserve">      Ne</w:t>
      </w:r>
    </w:p>
    <w:p w14:paraId="548FBABE" w14:textId="77777777" w:rsidR="004E1B6C" w:rsidRDefault="0064032D" w:rsidP="004E1B6C">
      <w:pPr>
        <w:pStyle w:val="BodyText"/>
        <w:spacing w:line="360" w:lineRule="auto"/>
        <w:rPr>
          <w:rFonts w:ascii="Arial" w:hAnsi="Arial" w:cs="Arial"/>
          <w:i/>
          <w:sz w:val="24"/>
          <w:szCs w:val="24"/>
          <w:lang w:val="cs-CZ"/>
        </w:rPr>
      </w:pPr>
      <w:r w:rsidRPr="008F13F9">
        <w:rPr>
          <w:rFonts w:ascii="Arial" w:hAnsi="Arial" w:cs="Arial"/>
          <w:b/>
          <w:sz w:val="24"/>
          <w:szCs w:val="24"/>
          <w:lang w:val="cs-CZ"/>
        </w:rPr>
        <w:t>Obr. 6</w:t>
      </w:r>
      <w:r w:rsidRPr="008F13F9">
        <w:rPr>
          <w:rFonts w:ascii="Arial" w:hAnsi="Arial" w:cs="Arial"/>
          <w:sz w:val="24"/>
          <w:szCs w:val="24"/>
          <w:lang w:val="cs-CZ"/>
        </w:rPr>
        <w:t xml:space="preserve"> </w:t>
      </w:r>
      <w:r w:rsidRPr="008F13F9">
        <w:rPr>
          <w:rFonts w:ascii="Arial" w:hAnsi="Arial" w:cs="Arial"/>
          <w:i/>
          <w:sz w:val="24"/>
          <w:szCs w:val="24"/>
          <w:lang w:val="cs-CZ"/>
        </w:rPr>
        <w:t>Dotazník</w:t>
      </w:r>
    </w:p>
    <w:p w14:paraId="28FBEB02" w14:textId="77777777" w:rsidR="0064032D" w:rsidRDefault="003A3C42" w:rsidP="004E1B6C">
      <w:pPr>
        <w:pStyle w:val="BodyText"/>
        <w:spacing w:line="360" w:lineRule="auto"/>
        <w:jc w:val="center"/>
        <w:rPr>
          <w:rFonts w:ascii="Arial" w:hAnsi="Arial" w:cs="Arial"/>
          <w:b/>
          <w:sz w:val="24"/>
          <w:szCs w:val="24"/>
          <w:u w:val="single"/>
        </w:rPr>
      </w:pPr>
      <w:r>
        <w:rPr>
          <w:rFonts w:ascii="Arial" w:hAnsi="Arial" w:cs="Arial"/>
          <w:b/>
          <w:sz w:val="24"/>
          <w:szCs w:val="24"/>
          <w:u w:val="single"/>
        </w:rPr>
        <w:t xml:space="preserve">8. </w:t>
      </w:r>
      <w:r w:rsidR="0064032D" w:rsidRPr="008F13F9">
        <w:rPr>
          <w:rFonts w:ascii="Arial" w:hAnsi="Arial" w:cs="Arial"/>
          <w:b/>
          <w:sz w:val="24"/>
          <w:szCs w:val="24"/>
          <w:u w:val="single"/>
        </w:rPr>
        <w:t>Výsledky</w:t>
      </w:r>
    </w:p>
    <w:p w14:paraId="6373795A" w14:textId="77777777" w:rsidR="004E1B6C" w:rsidRDefault="004E1B6C" w:rsidP="004E1B6C">
      <w:pPr>
        <w:pStyle w:val="BodyText"/>
        <w:spacing w:line="360" w:lineRule="auto"/>
        <w:jc w:val="center"/>
        <w:rPr>
          <w:rFonts w:ascii="Arial" w:hAnsi="Arial" w:cs="Arial"/>
          <w:b/>
          <w:sz w:val="24"/>
          <w:szCs w:val="24"/>
          <w:u w:val="single"/>
        </w:rPr>
      </w:pPr>
    </w:p>
    <w:p w14:paraId="6003526D" w14:textId="77777777" w:rsidR="00743D2F" w:rsidRDefault="00743D2F" w:rsidP="004E1B6C">
      <w:pPr>
        <w:pStyle w:val="BodyText"/>
        <w:spacing w:line="360" w:lineRule="auto"/>
        <w:jc w:val="both"/>
        <w:rPr>
          <w:rFonts w:ascii="Arial" w:hAnsi="Arial" w:cs="Arial"/>
          <w:sz w:val="24"/>
          <w:szCs w:val="24"/>
        </w:rPr>
      </w:pPr>
      <w:r>
        <w:rPr>
          <w:rFonts w:ascii="Arial" w:hAnsi="Arial" w:cs="Arial"/>
          <w:sz w:val="24"/>
          <w:szCs w:val="24"/>
        </w:rPr>
        <w:tab/>
      </w:r>
      <w:r w:rsidR="004E1B6C" w:rsidRPr="00743D2F">
        <w:rPr>
          <w:rFonts w:ascii="Arial" w:hAnsi="Arial" w:cs="Arial"/>
          <w:sz w:val="24"/>
          <w:szCs w:val="24"/>
        </w:rPr>
        <w:t xml:space="preserve">Průměrné počty sexuálních partnerů uvádí Tab. 3, kde nám vychází, že nejvíce koitálních sexuálních partnerů se průměrně vyskytlo, podle předpokladů, </w:t>
      </w:r>
      <w:r>
        <w:rPr>
          <w:rFonts w:ascii="Arial" w:hAnsi="Arial" w:cs="Arial"/>
          <w:sz w:val="24"/>
          <w:szCs w:val="24"/>
        </w:rPr>
        <w:t>ve vyšších věkových skupinách. O</w:t>
      </w:r>
      <w:r w:rsidR="004E1B6C" w:rsidRPr="00743D2F">
        <w:rPr>
          <w:rFonts w:ascii="Arial" w:hAnsi="Arial" w:cs="Arial"/>
          <w:sz w:val="24"/>
          <w:szCs w:val="24"/>
        </w:rPr>
        <w:t>všem u probandek ve 3. deceniu bylo nevíce nekoitálních sexuálních partnerů ze všech věkových skupin.</w:t>
      </w:r>
    </w:p>
    <w:p w14:paraId="7A7E0C8A" w14:textId="77777777" w:rsidR="00D73611" w:rsidRPr="00743D2F" w:rsidRDefault="00D73611" w:rsidP="004E1B6C">
      <w:pPr>
        <w:pStyle w:val="BodyText"/>
        <w:spacing w:line="360" w:lineRule="auto"/>
        <w:jc w:val="both"/>
        <w:rPr>
          <w:rFonts w:ascii="Arial" w:hAnsi="Arial" w:cs="Arial"/>
          <w:sz w:val="24"/>
          <w:szCs w:val="24"/>
        </w:rPr>
      </w:pPr>
    </w:p>
    <w:p w14:paraId="50B40E61" w14:textId="77777777" w:rsidR="000E1224" w:rsidRDefault="003D0E0C" w:rsidP="00743D2F">
      <w:pPr>
        <w:spacing w:before="28" w:after="28" w:line="360" w:lineRule="auto"/>
        <w:ind w:firstLine="720"/>
        <w:jc w:val="both"/>
        <w:rPr>
          <w:rFonts w:ascii="Arial" w:hAnsi="Arial" w:cs="Arial"/>
          <w:sz w:val="24"/>
          <w:szCs w:val="24"/>
        </w:rPr>
      </w:pPr>
      <w:r>
        <w:rPr>
          <w:rFonts w:ascii="Arial" w:hAnsi="Arial" w:cs="Arial"/>
          <w:sz w:val="24"/>
          <w:szCs w:val="24"/>
        </w:rPr>
        <w:t xml:space="preserve">Pozitivní </w:t>
      </w:r>
      <w:r w:rsidRPr="008F13F9">
        <w:rPr>
          <w:rFonts w:ascii="Arial" w:hAnsi="Arial" w:cs="Arial"/>
          <w:sz w:val="24"/>
          <w:szCs w:val="24"/>
        </w:rPr>
        <w:t xml:space="preserve">high risk HPV </w:t>
      </w:r>
      <w:r>
        <w:rPr>
          <w:rFonts w:ascii="Arial" w:hAnsi="Arial" w:cs="Arial"/>
          <w:sz w:val="24"/>
          <w:szCs w:val="24"/>
        </w:rPr>
        <w:t>výsledek by získán z úst pouze u</w:t>
      </w:r>
      <w:r w:rsidR="0064032D" w:rsidRPr="008F13F9">
        <w:rPr>
          <w:rFonts w:ascii="Arial" w:hAnsi="Arial" w:cs="Arial"/>
          <w:sz w:val="24"/>
          <w:szCs w:val="24"/>
        </w:rPr>
        <w:t xml:space="preserve"> jedné</w:t>
      </w:r>
      <w:r>
        <w:rPr>
          <w:rFonts w:ascii="Arial" w:hAnsi="Arial" w:cs="Arial"/>
          <w:sz w:val="24"/>
          <w:szCs w:val="24"/>
        </w:rPr>
        <w:t xml:space="preserve"> z 87 pacientek, tj v 1,1 %</w:t>
      </w:r>
      <w:r w:rsidR="0064032D" w:rsidRPr="008F13F9">
        <w:rPr>
          <w:rFonts w:ascii="Arial" w:hAnsi="Arial" w:cs="Arial"/>
          <w:sz w:val="24"/>
          <w:szCs w:val="24"/>
        </w:rPr>
        <w:t xml:space="preserve"> </w:t>
      </w:r>
      <w:r>
        <w:rPr>
          <w:rFonts w:ascii="Arial" w:hAnsi="Arial" w:cs="Arial"/>
          <w:sz w:val="24"/>
          <w:szCs w:val="24"/>
        </w:rPr>
        <w:t xml:space="preserve">. Tato pacientka udávala </w:t>
      </w:r>
      <w:r w:rsidR="0064032D" w:rsidRPr="008F13F9">
        <w:rPr>
          <w:rFonts w:ascii="Arial" w:hAnsi="Arial" w:cs="Arial"/>
          <w:sz w:val="24"/>
          <w:szCs w:val="24"/>
        </w:rPr>
        <w:t>3 orální a 9</w:t>
      </w:r>
      <w:r>
        <w:rPr>
          <w:rFonts w:ascii="Arial" w:hAnsi="Arial" w:cs="Arial"/>
          <w:sz w:val="24"/>
          <w:szCs w:val="24"/>
        </w:rPr>
        <w:t xml:space="preserve"> koitálních sexuálních partnerů, </w:t>
      </w:r>
      <w:r w:rsidR="0064032D" w:rsidRPr="008F13F9">
        <w:rPr>
          <w:rFonts w:ascii="Arial" w:hAnsi="Arial" w:cs="Arial"/>
          <w:sz w:val="24"/>
          <w:szCs w:val="24"/>
        </w:rPr>
        <w:t xml:space="preserve"> </w:t>
      </w:r>
      <w:r w:rsidR="004E1B6C">
        <w:rPr>
          <w:rFonts w:ascii="Arial" w:hAnsi="Arial" w:cs="Arial"/>
          <w:sz w:val="24"/>
          <w:szCs w:val="24"/>
        </w:rPr>
        <w:t>v tomto případě</w:t>
      </w:r>
      <w:r w:rsidR="0064032D" w:rsidRPr="008F13F9">
        <w:rPr>
          <w:rFonts w:ascii="Arial" w:hAnsi="Arial" w:cs="Arial"/>
          <w:sz w:val="24"/>
          <w:szCs w:val="24"/>
        </w:rPr>
        <w:t xml:space="preserve"> byl stěr z vaginy negativní na přítomnost HPV infekce. </w:t>
      </w:r>
      <w:r>
        <w:rPr>
          <w:rFonts w:ascii="Arial" w:hAnsi="Arial" w:cs="Arial"/>
          <w:sz w:val="24"/>
          <w:szCs w:val="24"/>
        </w:rPr>
        <w:t xml:space="preserve"> U 86 z 87 hodnocených tj. 98,9 % nebyla HPV infekce HR skupinou HPV prokázána.</w:t>
      </w:r>
    </w:p>
    <w:p w14:paraId="26989002" w14:textId="77777777" w:rsidR="00743D2F" w:rsidRDefault="00743D2F" w:rsidP="00743D2F">
      <w:pPr>
        <w:spacing w:before="28" w:after="28" w:line="360" w:lineRule="auto"/>
        <w:ind w:firstLine="720"/>
        <w:jc w:val="both"/>
        <w:rPr>
          <w:rFonts w:ascii="Arial" w:hAnsi="Arial" w:cs="Arial"/>
          <w:sz w:val="24"/>
          <w:szCs w:val="24"/>
        </w:rPr>
      </w:pPr>
    </w:p>
    <w:p w14:paraId="45D95E5D" w14:textId="77777777" w:rsidR="000E1224" w:rsidRPr="008F13F9" w:rsidRDefault="00743D2F" w:rsidP="004E1B6C">
      <w:pPr>
        <w:spacing w:line="360" w:lineRule="auto"/>
        <w:ind w:firstLine="720"/>
        <w:jc w:val="both"/>
        <w:rPr>
          <w:rFonts w:ascii="Arial" w:hAnsi="Arial" w:cs="Arial"/>
          <w:sz w:val="24"/>
          <w:szCs w:val="24"/>
        </w:rPr>
      </w:pPr>
      <w:r>
        <w:rPr>
          <w:rFonts w:ascii="Arial" w:hAnsi="Arial" w:cs="Arial"/>
          <w:sz w:val="24"/>
          <w:szCs w:val="24"/>
        </w:rPr>
        <w:t>Z našeho</w:t>
      </w:r>
      <w:r w:rsidR="000E1224" w:rsidRPr="008F13F9">
        <w:rPr>
          <w:rFonts w:ascii="Arial" w:hAnsi="Arial" w:cs="Arial"/>
          <w:sz w:val="24"/>
          <w:szCs w:val="24"/>
        </w:rPr>
        <w:t> dotazníku vyplynulo, že 19 respondentek sdílelo cizí zubní kartáčky. 10 dotazovaných připustilo sdílení cigaretové špičky nebo fajfky s ostatními osobami. Mezi těmito ženami se nevyskytla ani jedna osoba drogově závislá, 11 z nich mělo</w:t>
      </w:r>
      <w:r w:rsidR="000E1224">
        <w:rPr>
          <w:rFonts w:ascii="Arial" w:hAnsi="Arial" w:cs="Arial"/>
          <w:sz w:val="24"/>
          <w:szCs w:val="24"/>
        </w:rPr>
        <w:t xml:space="preserve"> zkušenost s kouřením kanabis. U žádné z těchto probandek nebyla HPV infekce v ústech nalezena.</w:t>
      </w:r>
    </w:p>
    <w:p w14:paraId="3F05F41F" w14:textId="77777777" w:rsidR="000E1224" w:rsidRDefault="000E1224" w:rsidP="003D0E0C">
      <w:pPr>
        <w:spacing w:before="28" w:after="28" w:line="360" w:lineRule="auto"/>
        <w:ind w:firstLine="720"/>
        <w:rPr>
          <w:rFonts w:ascii="Arial" w:hAnsi="Arial" w:cs="Arial"/>
          <w:sz w:val="24"/>
          <w:szCs w:val="24"/>
        </w:rPr>
      </w:pPr>
      <w:r>
        <w:rPr>
          <w:rFonts w:ascii="Arial" w:hAnsi="Arial" w:cs="Arial"/>
          <w:sz w:val="24"/>
          <w:szCs w:val="24"/>
        </w:rPr>
        <w:t>U 10 z 81 (tj. 12,3 %) vyšetřovaných, byla zjištěna HPV HR infekce na děložním čípku, avšak v ústech se tato infekce neprokázala.</w:t>
      </w:r>
    </w:p>
    <w:p w14:paraId="62731709" w14:textId="77777777" w:rsidR="000E1224" w:rsidRDefault="000E1224" w:rsidP="003D0E0C">
      <w:pPr>
        <w:spacing w:before="28" w:after="28" w:line="360" w:lineRule="auto"/>
        <w:ind w:firstLine="720"/>
        <w:rPr>
          <w:rFonts w:ascii="Arial" w:hAnsi="Arial" w:cs="Arial"/>
          <w:sz w:val="24"/>
          <w:szCs w:val="24"/>
        </w:rPr>
      </w:pPr>
    </w:p>
    <w:p w14:paraId="7447A2F0" w14:textId="77777777" w:rsidR="004E1B6C" w:rsidRPr="00743D2F" w:rsidRDefault="004E1B6C" w:rsidP="003D0E0C">
      <w:pPr>
        <w:spacing w:before="28" w:after="28" w:line="360" w:lineRule="auto"/>
        <w:ind w:firstLine="720"/>
        <w:rPr>
          <w:rFonts w:ascii="Arial" w:hAnsi="Arial" w:cs="Arial"/>
          <w:sz w:val="24"/>
          <w:szCs w:val="24"/>
          <w:u w:val="single"/>
        </w:rPr>
      </w:pPr>
    </w:p>
    <w:p w14:paraId="7B42B5E3" w14:textId="77777777" w:rsidR="000E1224" w:rsidRPr="00743D2F" w:rsidRDefault="00743D2F" w:rsidP="000E1224">
      <w:pPr>
        <w:spacing w:before="28" w:after="28" w:line="360" w:lineRule="auto"/>
        <w:rPr>
          <w:rFonts w:ascii="Arial" w:hAnsi="Arial" w:cs="Arial"/>
          <w:b/>
          <w:sz w:val="24"/>
          <w:szCs w:val="24"/>
          <w:u w:val="single"/>
        </w:rPr>
      </w:pPr>
      <w:r w:rsidRPr="00743D2F">
        <w:rPr>
          <w:rFonts w:ascii="Arial" w:hAnsi="Arial" w:cs="Arial"/>
          <w:b/>
          <w:sz w:val="24"/>
          <w:szCs w:val="24"/>
          <w:u w:val="single"/>
        </w:rPr>
        <w:t xml:space="preserve">8.1. </w:t>
      </w:r>
      <w:r w:rsidR="000E1224" w:rsidRPr="00743D2F">
        <w:rPr>
          <w:rFonts w:ascii="Arial" w:hAnsi="Arial" w:cs="Arial"/>
          <w:b/>
          <w:sz w:val="24"/>
          <w:szCs w:val="24"/>
          <w:u w:val="single"/>
        </w:rPr>
        <w:t>Výsledky statistického zhodnocení souboru pacientek</w:t>
      </w:r>
    </w:p>
    <w:p w14:paraId="4948CA76" w14:textId="77777777" w:rsidR="000E1224" w:rsidRPr="008F13F9" w:rsidRDefault="00743D2F" w:rsidP="000E1224">
      <w:pPr>
        <w:spacing w:before="28" w:after="28" w:line="360" w:lineRule="auto"/>
        <w:jc w:val="both"/>
        <w:rPr>
          <w:rFonts w:ascii="Arial" w:hAnsi="Arial" w:cs="Arial"/>
          <w:color w:val="1A1A1A"/>
          <w:sz w:val="24"/>
          <w:szCs w:val="24"/>
          <w:lang w:val="en-US"/>
        </w:rPr>
      </w:pPr>
      <w:r>
        <w:rPr>
          <w:rFonts w:ascii="Arial" w:hAnsi="Arial" w:cs="Arial"/>
          <w:color w:val="1A1A1A"/>
          <w:sz w:val="24"/>
          <w:szCs w:val="24"/>
          <w:lang w:val="en-US"/>
        </w:rPr>
        <w:tab/>
      </w:r>
      <w:r w:rsidR="000E1224" w:rsidRPr="008F13F9">
        <w:rPr>
          <w:rFonts w:ascii="Arial" w:hAnsi="Arial" w:cs="Arial"/>
          <w:color w:val="1A1A1A"/>
          <w:sz w:val="24"/>
          <w:szCs w:val="24"/>
          <w:lang w:val="en-US"/>
        </w:rPr>
        <w:t>Z výsledků vyplývá, že pacientky ve skupině PCR VAG pozitivní byly signifikantně mladší a nacházelo se zde signifikantně více kuřaček, v jiných parametrech se vyšetřované skupiny významně statisticky nelišily. (Tab 5)</w:t>
      </w:r>
    </w:p>
    <w:p w14:paraId="088BFA98" w14:textId="77777777" w:rsidR="000E1224" w:rsidRPr="008F13F9" w:rsidRDefault="000E1224" w:rsidP="000E1224">
      <w:pPr>
        <w:spacing w:before="28" w:after="28" w:line="360" w:lineRule="auto"/>
        <w:jc w:val="both"/>
        <w:rPr>
          <w:rFonts w:ascii="Arial" w:hAnsi="Arial" w:cs="Arial"/>
          <w:color w:val="1A1A1A"/>
          <w:sz w:val="24"/>
          <w:szCs w:val="24"/>
          <w:lang w:val="en-US"/>
        </w:rPr>
      </w:pPr>
    </w:p>
    <w:p w14:paraId="7D195801" w14:textId="77777777" w:rsidR="000E1224" w:rsidRPr="008F13F9" w:rsidRDefault="000E1224" w:rsidP="000E1224">
      <w:pPr>
        <w:spacing w:before="28" w:after="28" w:line="360" w:lineRule="auto"/>
        <w:jc w:val="both"/>
        <w:rPr>
          <w:rFonts w:ascii="Arial" w:hAnsi="Arial" w:cs="Arial"/>
          <w:color w:val="1A1A1A"/>
          <w:sz w:val="24"/>
          <w:szCs w:val="24"/>
          <w:lang w:val="en-US"/>
        </w:rPr>
      </w:pPr>
    </w:p>
    <w:p w14:paraId="505226CF" w14:textId="77777777" w:rsidR="000E1224" w:rsidRPr="008F13F9" w:rsidRDefault="000E1224" w:rsidP="000E1224">
      <w:pPr>
        <w:spacing w:before="28" w:after="28" w:line="360" w:lineRule="auto"/>
        <w:jc w:val="both"/>
        <w:rPr>
          <w:rFonts w:ascii="Arial" w:hAnsi="Arial" w:cs="Arial"/>
          <w:color w:val="1A1A1A"/>
          <w:sz w:val="24"/>
          <w:szCs w:val="24"/>
          <w:lang w:val="en-US"/>
        </w:rPr>
      </w:pPr>
    </w:p>
    <w:p w14:paraId="7AA7A432" w14:textId="77777777" w:rsidR="004E1B6C" w:rsidRPr="008F13F9" w:rsidRDefault="004E1B6C" w:rsidP="000E1224">
      <w:pPr>
        <w:spacing w:before="28" w:after="28" w:line="360" w:lineRule="auto"/>
        <w:jc w:val="both"/>
        <w:rPr>
          <w:rFonts w:ascii="Arial" w:hAnsi="Arial" w:cs="Arial"/>
          <w:color w:val="1A1A1A"/>
          <w:sz w:val="24"/>
          <w:szCs w:val="24"/>
          <w:lang w:val="en-US"/>
        </w:rPr>
      </w:pPr>
      <w:r>
        <w:rPr>
          <w:rFonts w:ascii="Arial" w:hAnsi="Arial" w:cs="Arial"/>
          <w:noProof/>
          <w:sz w:val="24"/>
          <w:szCs w:val="24"/>
          <w:lang w:val="en-US"/>
        </w:rPr>
        <w:drawing>
          <wp:inline distT="0" distB="0" distL="0" distR="0" wp14:anchorId="0C18D09D" wp14:editId="2F07C0B2">
            <wp:extent cx="5270500" cy="2649495"/>
            <wp:effectExtent l="0" t="0" r="12700" b="17780"/>
            <wp:docPr id="9" name="obj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52F992" w14:textId="77777777" w:rsidR="00743D2F" w:rsidRPr="008F13F9" w:rsidRDefault="00743D2F" w:rsidP="00743D2F">
      <w:pPr>
        <w:keepNext/>
        <w:spacing w:line="360" w:lineRule="auto"/>
        <w:rPr>
          <w:rFonts w:ascii="Arial" w:hAnsi="Arial" w:cs="Arial"/>
          <w:sz w:val="24"/>
          <w:szCs w:val="24"/>
        </w:rPr>
      </w:pPr>
      <w:r w:rsidRPr="008F13F9">
        <w:rPr>
          <w:rFonts w:ascii="Arial" w:hAnsi="Arial" w:cs="Arial"/>
          <w:b/>
          <w:sz w:val="24"/>
          <w:szCs w:val="24"/>
        </w:rPr>
        <w:t xml:space="preserve">Graf 3 </w:t>
      </w:r>
      <w:r w:rsidRPr="004A5574">
        <w:rPr>
          <w:rFonts w:ascii="Arial" w:hAnsi="Arial" w:cs="Arial"/>
          <w:i/>
          <w:sz w:val="24"/>
          <w:szCs w:val="24"/>
        </w:rPr>
        <w:t>Průměrné počty sexuálních partnerů</w:t>
      </w:r>
    </w:p>
    <w:p w14:paraId="663CFCA0" w14:textId="77777777" w:rsidR="000E1224" w:rsidRPr="008F13F9" w:rsidRDefault="000E1224" w:rsidP="000E1224">
      <w:pPr>
        <w:spacing w:before="28" w:after="28" w:line="36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1612"/>
        <w:gridCol w:w="1873"/>
        <w:gridCol w:w="1896"/>
        <w:gridCol w:w="1038"/>
      </w:tblGrid>
      <w:tr w:rsidR="000E1224" w:rsidRPr="008F13F9" w14:paraId="2F271B92" w14:textId="77777777" w:rsidTr="004C6CEF">
        <w:tc>
          <w:tcPr>
            <w:tcW w:w="2097" w:type="dxa"/>
          </w:tcPr>
          <w:p w14:paraId="4CB474DE" w14:textId="77777777" w:rsidR="000E1224" w:rsidRPr="008F13F9" w:rsidRDefault="000E1224" w:rsidP="002836FB">
            <w:pPr>
              <w:spacing w:before="100" w:beforeAutospacing="1" w:after="100" w:afterAutospacing="1" w:line="360" w:lineRule="auto"/>
              <w:rPr>
                <w:rFonts w:ascii="Arial" w:hAnsi="Arial" w:cs="Arial"/>
                <w:sz w:val="24"/>
                <w:szCs w:val="24"/>
                <w:lang w:eastAsia="cs-CZ"/>
              </w:rPr>
            </w:pPr>
          </w:p>
        </w:tc>
        <w:tc>
          <w:tcPr>
            <w:tcW w:w="1612" w:type="dxa"/>
            <w:vAlign w:val="bottom"/>
          </w:tcPr>
          <w:p w14:paraId="41F45452" w14:textId="77777777" w:rsidR="000E1224" w:rsidRPr="008F13F9" w:rsidRDefault="000E1224" w:rsidP="002836FB">
            <w:pPr>
              <w:spacing w:before="100" w:beforeAutospacing="1" w:after="100" w:afterAutospacing="1" w:line="360" w:lineRule="auto"/>
              <w:jc w:val="center"/>
              <w:rPr>
                <w:rFonts w:ascii="Arial" w:hAnsi="Arial" w:cs="Arial"/>
                <w:b/>
                <w:sz w:val="24"/>
                <w:szCs w:val="24"/>
                <w:lang w:eastAsia="cs-CZ"/>
              </w:rPr>
            </w:pPr>
            <w:r w:rsidRPr="008F13F9">
              <w:rPr>
                <w:rFonts w:ascii="Arial" w:hAnsi="Arial" w:cs="Arial"/>
                <w:b/>
                <w:sz w:val="24"/>
                <w:szCs w:val="24"/>
                <w:lang w:eastAsia="cs-CZ"/>
              </w:rPr>
              <w:t>Celý soubor(n= 87)</w:t>
            </w:r>
          </w:p>
        </w:tc>
        <w:tc>
          <w:tcPr>
            <w:tcW w:w="1873" w:type="dxa"/>
          </w:tcPr>
          <w:p w14:paraId="5553A84D" w14:textId="77777777" w:rsidR="000E1224" w:rsidRPr="008F13F9" w:rsidRDefault="000E1224" w:rsidP="002836FB">
            <w:pPr>
              <w:spacing w:before="100" w:beforeAutospacing="1" w:after="100" w:afterAutospacing="1" w:line="360" w:lineRule="auto"/>
              <w:jc w:val="center"/>
              <w:rPr>
                <w:rFonts w:ascii="Arial" w:hAnsi="Arial" w:cs="Arial"/>
                <w:b/>
                <w:sz w:val="24"/>
                <w:szCs w:val="24"/>
                <w:lang w:eastAsia="cs-CZ"/>
              </w:rPr>
            </w:pPr>
            <w:r w:rsidRPr="008F13F9">
              <w:rPr>
                <w:rFonts w:ascii="Arial" w:hAnsi="Arial" w:cs="Arial"/>
                <w:b/>
                <w:sz w:val="24"/>
                <w:szCs w:val="24"/>
                <w:lang w:eastAsia="cs-CZ"/>
              </w:rPr>
              <w:t>Pacientky s pozitivním nálezem VAG (n=10)</w:t>
            </w:r>
          </w:p>
        </w:tc>
        <w:tc>
          <w:tcPr>
            <w:tcW w:w="1896" w:type="dxa"/>
          </w:tcPr>
          <w:p w14:paraId="056C7C00" w14:textId="77777777" w:rsidR="000E1224" w:rsidRPr="008F13F9" w:rsidRDefault="000E1224" w:rsidP="002836FB">
            <w:pPr>
              <w:spacing w:before="100" w:beforeAutospacing="1" w:after="100" w:afterAutospacing="1" w:line="360" w:lineRule="auto"/>
              <w:jc w:val="center"/>
              <w:rPr>
                <w:rFonts w:ascii="Arial" w:hAnsi="Arial" w:cs="Arial"/>
                <w:b/>
                <w:sz w:val="24"/>
                <w:szCs w:val="24"/>
                <w:lang w:eastAsia="cs-CZ"/>
              </w:rPr>
            </w:pPr>
            <w:r w:rsidRPr="008F13F9">
              <w:rPr>
                <w:rFonts w:ascii="Arial" w:hAnsi="Arial" w:cs="Arial"/>
                <w:b/>
                <w:sz w:val="24"/>
                <w:szCs w:val="24"/>
                <w:lang w:eastAsia="cs-CZ"/>
              </w:rPr>
              <w:t>Pacientky s negativním nálezem VAG (n=71)</w:t>
            </w:r>
          </w:p>
        </w:tc>
        <w:tc>
          <w:tcPr>
            <w:tcW w:w="1038" w:type="dxa"/>
            <w:vAlign w:val="bottom"/>
          </w:tcPr>
          <w:p w14:paraId="2DDDC04D" w14:textId="77777777" w:rsidR="000E1224" w:rsidRPr="008F13F9" w:rsidRDefault="000E1224" w:rsidP="002836FB">
            <w:pPr>
              <w:spacing w:before="100" w:beforeAutospacing="1" w:after="100" w:afterAutospacing="1" w:line="360" w:lineRule="auto"/>
              <w:jc w:val="center"/>
              <w:rPr>
                <w:rFonts w:ascii="Arial" w:hAnsi="Arial" w:cs="Arial"/>
                <w:b/>
                <w:sz w:val="24"/>
                <w:szCs w:val="24"/>
                <w:lang w:eastAsia="cs-CZ"/>
              </w:rPr>
            </w:pPr>
            <w:r w:rsidRPr="008F13F9">
              <w:rPr>
                <w:rFonts w:ascii="Arial" w:hAnsi="Arial" w:cs="Arial"/>
                <w:b/>
                <w:sz w:val="24"/>
                <w:szCs w:val="24"/>
                <w:lang w:eastAsia="cs-CZ"/>
              </w:rPr>
              <w:t>P</w:t>
            </w:r>
          </w:p>
        </w:tc>
      </w:tr>
      <w:tr w:rsidR="000E1224" w:rsidRPr="008F13F9" w14:paraId="0BE3F692" w14:textId="77777777" w:rsidTr="004C6CEF">
        <w:tc>
          <w:tcPr>
            <w:tcW w:w="2097" w:type="dxa"/>
          </w:tcPr>
          <w:p w14:paraId="0A598277" w14:textId="77777777" w:rsidR="000E1224" w:rsidRPr="008F13F9" w:rsidRDefault="000E1224" w:rsidP="002836FB">
            <w:pPr>
              <w:spacing w:before="100" w:beforeAutospacing="1" w:after="100" w:afterAutospacing="1" w:line="360" w:lineRule="auto"/>
              <w:rPr>
                <w:rFonts w:ascii="Arial" w:hAnsi="Arial" w:cs="Arial"/>
                <w:b/>
                <w:sz w:val="24"/>
                <w:szCs w:val="24"/>
                <w:lang w:eastAsia="cs-CZ"/>
              </w:rPr>
            </w:pPr>
            <w:r w:rsidRPr="008F13F9">
              <w:rPr>
                <w:rFonts w:ascii="Arial" w:hAnsi="Arial" w:cs="Arial"/>
                <w:b/>
                <w:sz w:val="24"/>
                <w:szCs w:val="24"/>
                <w:lang w:eastAsia="cs-CZ"/>
              </w:rPr>
              <w:t>Věk</w:t>
            </w:r>
          </w:p>
        </w:tc>
        <w:tc>
          <w:tcPr>
            <w:tcW w:w="1612" w:type="dxa"/>
            <w:vAlign w:val="center"/>
          </w:tcPr>
          <w:p w14:paraId="26EEBB37"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35,0 (20-83)</w:t>
            </w:r>
          </w:p>
        </w:tc>
        <w:tc>
          <w:tcPr>
            <w:tcW w:w="1873" w:type="dxa"/>
            <w:vAlign w:val="center"/>
          </w:tcPr>
          <w:p w14:paraId="2F90F85C"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29,5 (21-37)</w:t>
            </w:r>
          </w:p>
        </w:tc>
        <w:tc>
          <w:tcPr>
            <w:tcW w:w="1896" w:type="dxa"/>
            <w:vAlign w:val="center"/>
          </w:tcPr>
          <w:p w14:paraId="6794B0EB"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36,0 (20-83)</w:t>
            </w:r>
          </w:p>
        </w:tc>
        <w:tc>
          <w:tcPr>
            <w:tcW w:w="1038" w:type="dxa"/>
            <w:vAlign w:val="center"/>
          </w:tcPr>
          <w:p w14:paraId="4E541CDC" w14:textId="77777777" w:rsidR="000E1224" w:rsidRPr="008F13F9" w:rsidRDefault="000E1224" w:rsidP="002836FB">
            <w:pPr>
              <w:spacing w:before="100" w:beforeAutospacing="1" w:after="100" w:afterAutospacing="1" w:line="360" w:lineRule="auto"/>
              <w:jc w:val="center"/>
              <w:rPr>
                <w:rFonts w:ascii="Arial" w:hAnsi="Arial" w:cs="Arial"/>
                <w:b/>
                <w:sz w:val="24"/>
                <w:szCs w:val="24"/>
                <w:lang w:eastAsia="cs-CZ"/>
              </w:rPr>
            </w:pPr>
            <w:r w:rsidRPr="008F13F9">
              <w:rPr>
                <w:rFonts w:ascii="Arial" w:hAnsi="Arial" w:cs="Arial"/>
                <w:b/>
                <w:color w:val="FF0000"/>
                <w:sz w:val="24"/>
                <w:szCs w:val="24"/>
                <w:lang w:eastAsia="cs-CZ"/>
              </w:rPr>
              <w:t>0,017</w:t>
            </w:r>
          </w:p>
        </w:tc>
      </w:tr>
      <w:tr w:rsidR="000E1224" w:rsidRPr="008F13F9" w14:paraId="25CC319D" w14:textId="77777777" w:rsidTr="004C6CEF">
        <w:tc>
          <w:tcPr>
            <w:tcW w:w="2097" w:type="dxa"/>
          </w:tcPr>
          <w:p w14:paraId="4376FFED" w14:textId="77777777" w:rsidR="000E1224" w:rsidRPr="008F13F9" w:rsidRDefault="000E1224" w:rsidP="002836FB">
            <w:pPr>
              <w:spacing w:before="100" w:beforeAutospacing="1" w:after="100" w:afterAutospacing="1" w:line="360" w:lineRule="auto"/>
              <w:rPr>
                <w:rFonts w:ascii="Arial" w:hAnsi="Arial" w:cs="Arial"/>
                <w:b/>
                <w:sz w:val="24"/>
                <w:szCs w:val="24"/>
                <w:lang w:eastAsia="cs-CZ"/>
              </w:rPr>
            </w:pPr>
            <w:r w:rsidRPr="008F13F9">
              <w:rPr>
                <w:rFonts w:ascii="Arial" w:hAnsi="Arial" w:cs="Arial"/>
                <w:b/>
                <w:sz w:val="24"/>
                <w:szCs w:val="24"/>
                <w:lang w:eastAsia="cs-CZ"/>
              </w:rPr>
              <w:t>Pozitivita PCR DÚ</w:t>
            </w:r>
          </w:p>
        </w:tc>
        <w:tc>
          <w:tcPr>
            <w:tcW w:w="1612" w:type="dxa"/>
            <w:vAlign w:val="center"/>
          </w:tcPr>
          <w:p w14:paraId="47450C7A"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1 (1,1%)</w:t>
            </w:r>
          </w:p>
        </w:tc>
        <w:tc>
          <w:tcPr>
            <w:tcW w:w="1873" w:type="dxa"/>
            <w:vAlign w:val="center"/>
          </w:tcPr>
          <w:p w14:paraId="3EFC74F2"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0</w:t>
            </w:r>
          </w:p>
        </w:tc>
        <w:tc>
          <w:tcPr>
            <w:tcW w:w="1896" w:type="dxa"/>
            <w:vAlign w:val="center"/>
          </w:tcPr>
          <w:p w14:paraId="761F2C78"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1 (1,4%)</w:t>
            </w:r>
          </w:p>
        </w:tc>
        <w:tc>
          <w:tcPr>
            <w:tcW w:w="1038" w:type="dxa"/>
            <w:vAlign w:val="center"/>
          </w:tcPr>
          <w:p w14:paraId="24F9FF84"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1,000</w:t>
            </w:r>
          </w:p>
        </w:tc>
      </w:tr>
      <w:tr w:rsidR="000E1224" w:rsidRPr="008F13F9" w14:paraId="41618887" w14:textId="77777777" w:rsidTr="004C6CEF">
        <w:tc>
          <w:tcPr>
            <w:tcW w:w="2097" w:type="dxa"/>
          </w:tcPr>
          <w:p w14:paraId="25981287" w14:textId="77777777" w:rsidR="000E1224" w:rsidRPr="008F13F9" w:rsidRDefault="000E1224" w:rsidP="002836FB">
            <w:pPr>
              <w:spacing w:before="100" w:beforeAutospacing="1" w:after="100" w:afterAutospacing="1" w:line="360" w:lineRule="auto"/>
              <w:rPr>
                <w:rFonts w:ascii="Arial" w:hAnsi="Arial" w:cs="Arial"/>
                <w:b/>
                <w:sz w:val="24"/>
                <w:szCs w:val="24"/>
                <w:lang w:eastAsia="cs-CZ"/>
              </w:rPr>
            </w:pPr>
            <w:r w:rsidRPr="008F13F9">
              <w:rPr>
                <w:rFonts w:ascii="Arial" w:hAnsi="Arial" w:cs="Arial"/>
                <w:b/>
                <w:sz w:val="24"/>
                <w:szCs w:val="24"/>
                <w:lang w:eastAsia="cs-CZ"/>
              </w:rPr>
              <w:t>Počet orálních partnerů</w:t>
            </w:r>
          </w:p>
        </w:tc>
        <w:tc>
          <w:tcPr>
            <w:tcW w:w="1612" w:type="dxa"/>
            <w:vAlign w:val="center"/>
          </w:tcPr>
          <w:p w14:paraId="560B8B40"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5 (0-10)</w:t>
            </w:r>
          </w:p>
        </w:tc>
        <w:tc>
          <w:tcPr>
            <w:tcW w:w="1873" w:type="dxa"/>
            <w:vAlign w:val="center"/>
          </w:tcPr>
          <w:p w14:paraId="13E9F7A9"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5 (0-7)</w:t>
            </w:r>
          </w:p>
        </w:tc>
        <w:tc>
          <w:tcPr>
            <w:tcW w:w="1896" w:type="dxa"/>
            <w:vAlign w:val="center"/>
          </w:tcPr>
          <w:p w14:paraId="11CEC6F8"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4 (0-10)</w:t>
            </w:r>
          </w:p>
        </w:tc>
        <w:tc>
          <w:tcPr>
            <w:tcW w:w="1038" w:type="dxa"/>
            <w:vAlign w:val="center"/>
          </w:tcPr>
          <w:p w14:paraId="44B3D0E4"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0,965</w:t>
            </w:r>
          </w:p>
        </w:tc>
      </w:tr>
      <w:tr w:rsidR="000E1224" w:rsidRPr="008F13F9" w14:paraId="74DAE3EB" w14:textId="77777777" w:rsidTr="004C6CEF">
        <w:tc>
          <w:tcPr>
            <w:tcW w:w="2097" w:type="dxa"/>
          </w:tcPr>
          <w:p w14:paraId="55BF8ABE" w14:textId="77777777" w:rsidR="000E1224" w:rsidRPr="008F13F9" w:rsidRDefault="000E1224" w:rsidP="002836FB">
            <w:pPr>
              <w:spacing w:before="100" w:beforeAutospacing="1" w:after="100" w:afterAutospacing="1" w:line="360" w:lineRule="auto"/>
              <w:rPr>
                <w:rFonts w:ascii="Arial" w:hAnsi="Arial" w:cs="Arial"/>
                <w:b/>
                <w:sz w:val="24"/>
                <w:szCs w:val="24"/>
                <w:lang w:eastAsia="cs-CZ"/>
              </w:rPr>
            </w:pPr>
            <w:r w:rsidRPr="008F13F9">
              <w:rPr>
                <w:rFonts w:ascii="Arial" w:hAnsi="Arial" w:cs="Arial"/>
                <w:b/>
                <w:sz w:val="24"/>
                <w:szCs w:val="24"/>
                <w:lang w:eastAsia="cs-CZ"/>
              </w:rPr>
              <w:t>Počet koitálních partnerů</w:t>
            </w:r>
          </w:p>
        </w:tc>
        <w:tc>
          <w:tcPr>
            <w:tcW w:w="1612" w:type="dxa"/>
            <w:vAlign w:val="center"/>
          </w:tcPr>
          <w:p w14:paraId="303A83D9"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5 (0-13)</w:t>
            </w:r>
          </w:p>
        </w:tc>
        <w:tc>
          <w:tcPr>
            <w:tcW w:w="1873" w:type="dxa"/>
            <w:vAlign w:val="center"/>
          </w:tcPr>
          <w:p w14:paraId="4FE0FA17"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5 (1-7)</w:t>
            </w:r>
          </w:p>
        </w:tc>
        <w:tc>
          <w:tcPr>
            <w:tcW w:w="1896" w:type="dxa"/>
            <w:vAlign w:val="center"/>
          </w:tcPr>
          <w:p w14:paraId="04E73188"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5 (0-13)</w:t>
            </w:r>
          </w:p>
        </w:tc>
        <w:tc>
          <w:tcPr>
            <w:tcW w:w="1038" w:type="dxa"/>
            <w:vAlign w:val="center"/>
          </w:tcPr>
          <w:p w14:paraId="3463D479"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0,393</w:t>
            </w:r>
          </w:p>
        </w:tc>
      </w:tr>
      <w:tr w:rsidR="000E1224" w:rsidRPr="008F13F9" w14:paraId="2D223873" w14:textId="77777777" w:rsidTr="004C6CEF">
        <w:tc>
          <w:tcPr>
            <w:tcW w:w="2097" w:type="dxa"/>
          </w:tcPr>
          <w:p w14:paraId="0C66B6E5" w14:textId="77777777" w:rsidR="000E1224" w:rsidRPr="008F13F9" w:rsidRDefault="000E1224" w:rsidP="002836FB">
            <w:pPr>
              <w:spacing w:before="100" w:beforeAutospacing="1" w:after="100" w:afterAutospacing="1" w:line="360" w:lineRule="auto"/>
              <w:rPr>
                <w:rFonts w:ascii="Arial" w:hAnsi="Arial" w:cs="Arial"/>
                <w:b/>
                <w:sz w:val="24"/>
                <w:szCs w:val="24"/>
                <w:lang w:eastAsia="cs-CZ"/>
              </w:rPr>
            </w:pPr>
            <w:r w:rsidRPr="008F13F9">
              <w:rPr>
                <w:rFonts w:ascii="Arial" w:hAnsi="Arial" w:cs="Arial"/>
                <w:b/>
                <w:sz w:val="24"/>
                <w:szCs w:val="24"/>
                <w:lang w:eastAsia="cs-CZ"/>
              </w:rPr>
              <w:t>Kouření</w:t>
            </w:r>
          </w:p>
        </w:tc>
        <w:tc>
          <w:tcPr>
            <w:tcW w:w="1612" w:type="dxa"/>
            <w:vAlign w:val="center"/>
          </w:tcPr>
          <w:p w14:paraId="5B8320DE"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22 (25,3%)</w:t>
            </w:r>
          </w:p>
        </w:tc>
        <w:tc>
          <w:tcPr>
            <w:tcW w:w="1873" w:type="dxa"/>
            <w:vAlign w:val="center"/>
          </w:tcPr>
          <w:p w14:paraId="5090CEE5"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6 (60,0%)</w:t>
            </w:r>
          </w:p>
        </w:tc>
        <w:tc>
          <w:tcPr>
            <w:tcW w:w="1896" w:type="dxa"/>
            <w:vAlign w:val="center"/>
          </w:tcPr>
          <w:p w14:paraId="5E5E16C2" w14:textId="77777777" w:rsidR="000E1224" w:rsidRPr="008F13F9" w:rsidRDefault="000E1224" w:rsidP="002836FB">
            <w:pPr>
              <w:spacing w:before="100" w:beforeAutospacing="1" w:after="100" w:afterAutospacing="1" w:line="360" w:lineRule="auto"/>
              <w:jc w:val="center"/>
              <w:rPr>
                <w:rFonts w:ascii="Arial" w:hAnsi="Arial" w:cs="Arial"/>
                <w:sz w:val="24"/>
                <w:szCs w:val="24"/>
                <w:lang w:eastAsia="cs-CZ"/>
              </w:rPr>
            </w:pPr>
            <w:r w:rsidRPr="008F13F9">
              <w:rPr>
                <w:rFonts w:ascii="Arial" w:hAnsi="Arial" w:cs="Arial"/>
                <w:sz w:val="24"/>
                <w:szCs w:val="24"/>
                <w:lang w:eastAsia="cs-CZ"/>
              </w:rPr>
              <w:t>14 (19,7%)</w:t>
            </w:r>
          </w:p>
        </w:tc>
        <w:tc>
          <w:tcPr>
            <w:tcW w:w="1038" w:type="dxa"/>
            <w:vAlign w:val="center"/>
          </w:tcPr>
          <w:p w14:paraId="5A9BFC13" w14:textId="77777777" w:rsidR="000E1224" w:rsidRPr="008F13F9" w:rsidRDefault="000E1224" w:rsidP="002836FB">
            <w:pPr>
              <w:spacing w:before="100" w:beforeAutospacing="1" w:after="100" w:afterAutospacing="1" w:line="360" w:lineRule="auto"/>
              <w:jc w:val="center"/>
              <w:rPr>
                <w:rFonts w:ascii="Arial" w:hAnsi="Arial" w:cs="Arial"/>
                <w:b/>
                <w:sz w:val="24"/>
                <w:szCs w:val="24"/>
                <w:lang w:eastAsia="cs-CZ"/>
              </w:rPr>
            </w:pPr>
            <w:r w:rsidRPr="008F13F9">
              <w:rPr>
                <w:rFonts w:ascii="Arial" w:hAnsi="Arial" w:cs="Arial"/>
                <w:b/>
                <w:color w:val="FF0000"/>
                <w:sz w:val="24"/>
                <w:szCs w:val="24"/>
                <w:lang w:eastAsia="cs-CZ"/>
              </w:rPr>
              <w:t>0,012</w:t>
            </w:r>
          </w:p>
        </w:tc>
      </w:tr>
      <w:tr w:rsidR="000E1224" w:rsidRPr="008F13F9" w14:paraId="050C92D5" w14:textId="77777777" w:rsidTr="004C6CEF">
        <w:tc>
          <w:tcPr>
            <w:tcW w:w="2097" w:type="dxa"/>
          </w:tcPr>
          <w:p w14:paraId="14DC5B90" w14:textId="77777777" w:rsidR="000E1224" w:rsidRPr="008F13F9" w:rsidRDefault="000E1224" w:rsidP="002836FB">
            <w:pPr>
              <w:spacing w:line="360" w:lineRule="auto"/>
              <w:rPr>
                <w:rFonts w:ascii="Arial" w:hAnsi="Arial" w:cs="Arial"/>
                <w:b/>
                <w:sz w:val="24"/>
                <w:szCs w:val="24"/>
                <w:lang w:eastAsia="cs-CZ"/>
              </w:rPr>
            </w:pPr>
            <w:r w:rsidRPr="008F13F9">
              <w:rPr>
                <w:rFonts w:ascii="Arial" w:hAnsi="Arial" w:cs="Arial"/>
                <w:b/>
                <w:sz w:val="24"/>
                <w:szCs w:val="24"/>
                <w:lang w:eastAsia="cs-CZ"/>
              </w:rPr>
              <w:t>Alkohol</w:t>
            </w:r>
          </w:p>
        </w:tc>
        <w:tc>
          <w:tcPr>
            <w:tcW w:w="1612" w:type="dxa"/>
          </w:tcPr>
          <w:p w14:paraId="64B1573C" w14:textId="77777777" w:rsidR="000E1224" w:rsidRPr="008F13F9" w:rsidRDefault="000E1224" w:rsidP="002836FB">
            <w:pPr>
              <w:spacing w:line="360" w:lineRule="auto"/>
              <w:jc w:val="center"/>
              <w:rPr>
                <w:rFonts w:ascii="Arial" w:hAnsi="Arial" w:cs="Arial"/>
                <w:sz w:val="24"/>
                <w:szCs w:val="24"/>
                <w:lang w:eastAsia="cs-CZ"/>
              </w:rPr>
            </w:pPr>
            <w:r w:rsidRPr="008F13F9">
              <w:rPr>
                <w:rFonts w:ascii="Arial" w:hAnsi="Arial" w:cs="Arial"/>
                <w:sz w:val="24"/>
                <w:szCs w:val="24"/>
                <w:lang w:eastAsia="cs-CZ"/>
              </w:rPr>
              <w:t>54 (62,1%)</w:t>
            </w:r>
          </w:p>
        </w:tc>
        <w:tc>
          <w:tcPr>
            <w:tcW w:w="1873" w:type="dxa"/>
          </w:tcPr>
          <w:p w14:paraId="026C9448" w14:textId="77777777" w:rsidR="000E1224" w:rsidRPr="008F13F9" w:rsidRDefault="000E1224" w:rsidP="002836FB">
            <w:pPr>
              <w:spacing w:line="360" w:lineRule="auto"/>
              <w:jc w:val="center"/>
              <w:rPr>
                <w:rFonts w:ascii="Arial" w:hAnsi="Arial" w:cs="Arial"/>
                <w:sz w:val="24"/>
                <w:szCs w:val="24"/>
                <w:lang w:eastAsia="cs-CZ"/>
              </w:rPr>
            </w:pPr>
            <w:r w:rsidRPr="008F13F9">
              <w:rPr>
                <w:rFonts w:ascii="Arial" w:hAnsi="Arial" w:cs="Arial"/>
                <w:sz w:val="24"/>
                <w:szCs w:val="24"/>
                <w:lang w:eastAsia="cs-CZ"/>
              </w:rPr>
              <w:t>8 (80,0%)</w:t>
            </w:r>
          </w:p>
        </w:tc>
        <w:tc>
          <w:tcPr>
            <w:tcW w:w="1896" w:type="dxa"/>
          </w:tcPr>
          <w:p w14:paraId="1A814ED2" w14:textId="77777777" w:rsidR="000E1224" w:rsidRPr="008F13F9" w:rsidRDefault="000E1224" w:rsidP="002836FB">
            <w:pPr>
              <w:spacing w:line="360" w:lineRule="auto"/>
              <w:jc w:val="center"/>
              <w:rPr>
                <w:rFonts w:ascii="Arial" w:hAnsi="Arial" w:cs="Arial"/>
                <w:sz w:val="24"/>
                <w:szCs w:val="24"/>
                <w:lang w:eastAsia="cs-CZ"/>
              </w:rPr>
            </w:pPr>
            <w:r w:rsidRPr="008F13F9">
              <w:rPr>
                <w:rFonts w:ascii="Arial" w:hAnsi="Arial" w:cs="Arial"/>
                <w:sz w:val="24"/>
                <w:szCs w:val="24"/>
                <w:lang w:eastAsia="cs-CZ"/>
              </w:rPr>
              <w:t>42 (60,0%)</w:t>
            </w:r>
          </w:p>
        </w:tc>
        <w:tc>
          <w:tcPr>
            <w:tcW w:w="1038" w:type="dxa"/>
          </w:tcPr>
          <w:p w14:paraId="6DB99EC3" w14:textId="77777777" w:rsidR="000E1224" w:rsidRPr="008F13F9" w:rsidRDefault="000E1224" w:rsidP="002836FB">
            <w:pPr>
              <w:spacing w:line="360" w:lineRule="auto"/>
              <w:jc w:val="center"/>
              <w:rPr>
                <w:rFonts w:ascii="Arial" w:hAnsi="Arial" w:cs="Arial"/>
                <w:sz w:val="24"/>
                <w:szCs w:val="24"/>
                <w:lang w:eastAsia="cs-CZ"/>
              </w:rPr>
            </w:pPr>
            <w:r w:rsidRPr="008F13F9">
              <w:rPr>
                <w:rFonts w:ascii="Arial" w:hAnsi="Arial" w:cs="Arial"/>
                <w:sz w:val="24"/>
                <w:szCs w:val="24"/>
                <w:lang w:eastAsia="cs-CZ"/>
              </w:rPr>
              <w:t>0,306</w:t>
            </w:r>
          </w:p>
        </w:tc>
      </w:tr>
      <w:tr w:rsidR="000E1224" w:rsidRPr="008F13F9" w14:paraId="71C82724" w14:textId="77777777" w:rsidTr="004C6CEF">
        <w:tc>
          <w:tcPr>
            <w:tcW w:w="2097" w:type="dxa"/>
          </w:tcPr>
          <w:p w14:paraId="4E69AFBF" w14:textId="77777777" w:rsidR="000E1224" w:rsidRPr="008F13F9" w:rsidRDefault="000E1224" w:rsidP="002836FB">
            <w:pPr>
              <w:spacing w:line="360" w:lineRule="auto"/>
              <w:rPr>
                <w:rFonts w:ascii="Arial" w:hAnsi="Arial" w:cs="Arial"/>
                <w:b/>
                <w:sz w:val="24"/>
                <w:szCs w:val="24"/>
                <w:lang w:eastAsia="cs-CZ"/>
              </w:rPr>
            </w:pPr>
            <w:r w:rsidRPr="008F13F9">
              <w:rPr>
                <w:rFonts w:ascii="Arial" w:hAnsi="Arial" w:cs="Arial"/>
                <w:b/>
                <w:sz w:val="24"/>
                <w:szCs w:val="24"/>
                <w:lang w:eastAsia="cs-CZ"/>
              </w:rPr>
              <w:t>Anální sex</w:t>
            </w:r>
          </w:p>
        </w:tc>
        <w:tc>
          <w:tcPr>
            <w:tcW w:w="1612" w:type="dxa"/>
          </w:tcPr>
          <w:p w14:paraId="47881F55" w14:textId="77777777" w:rsidR="000E1224" w:rsidRPr="008F13F9" w:rsidRDefault="000E1224" w:rsidP="002836FB">
            <w:pPr>
              <w:spacing w:line="360" w:lineRule="auto"/>
              <w:jc w:val="center"/>
              <w:rPr>
                <w:rFonts w:ascii="Arial" w:hAnsi="Arial" w:cs="Arial"/>
                <w:sz w:val="24"/>
                <w:szCs w:val="24"/>
                <w:lang w:eastAsia="cs-CZ"/>
              </w:rPr>
            </w:pPr>
            <w:r w:rsidRPr="008F13F9">
              <w:rPr>
                <w:rFonts w:ascii="Arial" w:hAnsi="Arial" w:cs="Arial"/>
                <w:sz w:val="24"/>
                <w:szCs w:val="24"/>
                <w:lang w:eastAsia="cs-CZ"/>
              </w:rPr>
              <w:t>15 (17,2%)</w:t>
            </w:r>
          </w:p>
        </w:tc>
        <w:tc>
          <w:tcPr>
            <w:tcW w:w="1873" w:type="dxa"/>
          </w:tcPr>
          <w:p w14:paraId="4C26DDC3" w14:textId="77777777" w:rsidR="000E1224" w:rsidRPr="008F13F9" w:rsidRDefault="000E1224" w:rsidP="002836FB">
            <w:pPr>
              <w:spacing w:line="360" w:lineRule="auto"/>
              <w:jc w:val="center"/>
              <w:rPr>
                <w:rFonts w:ascii="Arial" w:hAnsi="Arial" w:cs="Arial"/>
                <w:sz w:val="24"/>
                <w:szCs w:val="24"/>
                <w:lang w:eastAsia="cs-CZ"/>
              </w:rPr>
            </w:pPr>
            <w:r w:rsidRPr="008F13F9">
              <w:rPr>
                <w:rFonts w:ascii="Arial" w:hAnsi="Arial" w:cs="Arial"/>
                <w:sz w:val="24"/>
                <w:szCs w:val="24"/>
                <w:lang w:eastAsia="cs-CZ"/>
              </w:rPr>
              <w:t>2 (20,0%)</w:t>
            </w:r>
          </w:p>
        </w:tc>
        <w:tc>
          <w:tcPr>
            <w:tcW w:w="1896" w:type="dxa"/>
          </w:tcPr>
          <w:p w14:paraId="0A167289" w14:textId="77777777" w:rsidR="000E1224" w:rsidRPr="008F13F9" w:rsidRDefault="000E1224" w:rsidP="002836FB">
            <w:pPr>
              <w:spacing w:line="360" w:lineRule="auto"/>
              <w:jc w:val="center"/>
              <w:rPr>
                <w:rFonts w:ascii="Arial" w:hAnsi="Arial" w:cs="Arial"/>
                <w:sz w:val="24"/>
                <w:szCs w:val="24"/>
                <w:lang w:eastAsia="cs-CZ"/>
              </w:rPr>
            </w:pPr>
            <w:r w:rsidRPr="008F13F9">
              <w:rPr>
                <w:rFonts w:ascii="Arial" w:hAnsi="Arial" w:cs="Arial"/>
                <w:sz w:val="24"/>
                <w:szCs w:val="24"/>
                <w:lang w:eastAsia="cs-CZ"/>
              </w:rPr>
              <w:t>12 (16,9%)</w:t>
            </w:r>
          </w:p>
        </w:tc>
        <w:tc>
          <w:tcPr>
            <w:tcW w:w="1038" w:type="dxa"/>
          </w:tcPr>
          <w:p w14:paraId="1A34AC71" w14:textId="77777777" w:rsidR="000E1224" w:rsidRPr="008F13F9" w:rsidRDefault="000E1224" w:rsidP="002836FB">
            <w:pPr>
              <w:spacing w:line="360" w:lineRule="auto"/>
              <w:jc w:val="center"/>
              <w:rPr>
                <w:rFonts w:ascii="Arial" w:hAnsi="Arial" w:cs="Arial"/>
                <w:sz w:val="24"/>
                <w:szCs w:val="24"/>
                <w:lang w:eastAsia="cs-CZ"/>
              </w:rPr>
            </w:pPr>
            <w:r w:rsidRPr="008F13F9">
              <w:rPr>
                <w:rFonts w:ascii="Arial" w:hAnsi="Arial" w:cs="Arial"/>
                <w:sz w:val="24"/>
                <w:szCs w:val="24"/>
                <w:lang w:eastAsia="cs-CZ"/>
              </w:rPr>
              <w:t>0,681</w:t>
            </w:r>
          </w:p>
        </w:tc>
      </w:tr>
    </w:tbl>
    <w:p w14:paraId="269283D8" w14:textId="77777777" w:rsidR="000E1224" w:rsidRPr="008F13F9" w:rsidRDefault="000E1224" w:rsidP="000E1224">
      <w:pPr>
        <w:spacing w:line="360" w:lineRule="auto"/>
        <w:jc w:val="both"/>
        <w:rPr>
          <w:rFonts w:ascii="Arial" w:hAnsi="Arial" w:cs="Arial"/>
          <w:i/>
          <w:sz w:val="24"/>
          <w:szCs w:val="24"/>
        </w:rPr>
      </w:pPr>
      <w:r w:rsidRPr="008F13F9">
        <w:rPr>
          <w:rFonts w:ascii="Arial" w:hAnsi="Arial" w:cs="Arial"/>
          <w:b/>
          <w:sz w:val="24"/>
          <w:szCs w:val="24"/>
        </w:rPr>
        <w:t>Tab 5.</w:t>
      </w:r>
      <w:r w:rsidRPr="008F13F9">
        <w:rPr>
          <w:rFonts w:ascii="Arial" w:hAnsi="Arial" w:cs="Arial"/>
          <w:b/>
          <w:i/>
          <w:sz w:val="24"/>
          <w:szCs w:val="24"/>
        </w:rPr>
        <w:t xml:space="preserve"> </w:t>
      </w:r>
      <w:r w:rsidRPr="008F13F9">
        <w:rPr>
          <w:rFonts w:ascii="Arial" w:hAnsi="Arial" w:cs="Arial"/>
          <w:i/>
          <w:sz w:val="24"/>
          <w:szCs w:val="24"/>
        </w:rPr>
        <w:t>Statistické zpracování jednotlivých skupin respondentek</w:t>
      </w:r>
    </w:p>
    <w:p w14:paraId="5DD8C15F" w14:textId="77777777" w:rsidR="000E1224" w:rsidRPr="008F13F9" w:rsidRDefault="000E1224" w:rsidP="000E1224">
      <w:pPr>
        <w:spacing w:line="360" w:lineRule="auto"/>
        <w:jc w:val="both"/>
        <w:rPr>
          <w:rFonts w:ascii="Arial" w:hAnsi="Arial" w:cs="Arial"/>
          <w:b/>
          <w:i/>
          <w:sz w:val="24"/>
          <w:szCs w:val="24"/>
        </w:rPr>
      </w:pPr>
    </w:p>
    <w:p w14:paraId="5F7F336D" w14:textId="77777777" w:rsidR="000E1224" w:rsidRPr="008F13F9" w:rsidRDefault="000E1224" w:rsidP="000E1224">
      <w:pPr>
        <w:spacing w:line="360" w:lineRule="auto"/>
        <w:ind w:firstLine="720"/>
        <w:jc w:val="both"/>
        <w:rPr>
          <w:rFonts w:ascii="Arial" w:hAnsi="Arial" w:cs="Arial"/>
          <w:sz w:val="24"/>
          <w:szCs w:val="24"/>
        </w:rPr>
      </w:pPr>
      <w:r w:rsidRPr="008F13F9">
        <w:rPr>
          <w:rFonts w:ascii="Arial" w:hAnsi="Arial" w:cs="Arial"/>
          <w:sz w:val="24"/>
          <w:szCs w:val="24"/>
        </w:rPr>
        <w:t>Dále jsme posuzovali míru shody mezi pozitivitou PCR a z vaginálních stěrů a pozitivitou stěrů z dutiny ústní (Tab 6), kdy shoda mezi oběma testy je 86,4% (95%CI: 77,0%-93,0%).</w:t>
      </w:r>
    </w:p>
    <w:p w14:paraId="2DE4B53D" w14:textId="77777777" w:rsidR="000E1224" w:rsidRPr="008F13F9" w:rsidRDefault="000E1224" w:rsidP="000E1224">
      <w:pPr>
        <w:spacing w:line="360" w:lineRule="auto"/>
        <w:ind w:firstLine="720"/>
        <w:rPr>
          <w:rFonts w:ascii="Arial" w:hAnsi="Arial" w:cs="Arial"/>
          <w:sz w:val="24"/>
          <w:szCs w:val="24"/>
        </w:rPr>
      </w:pPr>
      <w:r w:rsidRPr="008F13F9">
        <w:rPr>
          <w:rFonts w:ascii="Arial" w:hAnsi="Arial" w:cs="Arial"/>
          <w:sz w:val="24"/>
          <w:szCs w:val="24"/>
        </w:rPr>
        <w:lastRenderedPageBreak/>
        <w:t>95%CI je 95% interval spolehlivosti pro shodu metod.</w:t>
      </w:r>
    </w:p>
    <w:p w14:paraId="3A09BA6E" w14:textId="77777777" w:rsidR="000E1224" w:rsidRPr="008F13F9" w:rsidRDefault="000E1224" w:rsidP="000E1224">
      <w:pPr>
        <w:spacing w:line="360" w:lineRule="auto"/>
        <w:jc w:val="center"/>
        <w:rPr>
          <w:rFonts w:ascii="Arial" w:hAnsi="Arial" w:cs="Arial"/>
          <w:sz w:val="24"/>
          <w:szCs w:val="24"/>
        </w:rPr>
      </w:pPr>
      <w:r>
        <w:rPr>
          <w:rFonts w:ascii="Arial" w:hAnsi="Arial" w:cs="Arial"/>
          <w:noProof/>
          <w:sz w:val="24"/>
          <w:szCs w:val="24"/>
          <w:lang w:val="en-US"/>
        </w:rPr>
        <w:drawing>
          <wp:inline distT="0" distB="0" distL="0" distR="0" wp14:anchorId="57784634" wp14:editId="3C2A150E">
            <wp:extent cx="4000500" cy="16383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000500" cy="1638300"/>
                    </a:xfrm>
                    <a:prstGeom prst="rect">
                      <a:avLst/>
                    </a:prstGeom>
                    <a:noFill/>
                    <a:ln w="9525">
                      <a:noFill/>
                      <a:miter lim="800000"/>
                      <a:headEnd/>
                      <a:tailEnd/>
                    </a:ln>
                  </pic:spPr>
                </pic:pic>
              </a:graphicData>
            </a:graphic>
          </wp:inline>
        </w:drawing>
      </w:r>
    </w:p>
    <w:p w14:paraId="2241DC90" w14:textId="77777777" w:rsidR="000E1224" w:rsidRPr="008F13F9" w:rsidRDefault="000E1224" w:rsidP="000E1224">
      <w:pPr>
        <w:spacing w:line="360" w:lineRule="auto"/>
        <w:rPr>
          <w:rFonts w:ascii="Arial" w:hAnsi="Arial" w:cs="Arial"/>
          <w:i/>
          <w:sz w:val="24"/>
          <w:szCs w:val="24"/>
        </w:rPr>
      </w:pPr>
      <w:r w:rsidRPr="008F13F9">
        <w:rPr>
          <w:rFonts w:ascii="Arial" w:hAnsi="Arial" w:cs="Arial"/>
          <w:b/>
          <w:sz w:val="24"/>
          <w:szCs w:val="24"/>
        </w:rPr>
        <w:t xml:space="preserve">Tab 6 </w:t>
      </w:r>
      <w:r w:rsidRPr="008F13F9">
        <w:rPr>
          <w:rFonts w:ascii="Arial" w:hAnsi="Arial" w:cs="Arial"/>
          <w:i/>
          <w:sz w:val="24"/>
          <w:szCs w:val="24"/>
        </w:rPr>
        <w:t>Míra shody mezi pozitivitou PCR z vaginálních stěrů (PCR_VAG) a dutiny ústní (PCR_DU)</w:t>
      </w:r>
    </w:p>
    <w:p w14:paraId="53B7488B" w14:textId="77777777" w:rsidR="000E1224" w:rsidRPr="008F13F9" w:rsidRDefault="000E1224" w:rsidP="000E1224">
      <w:pPr>
        <w:spacing w:line="360" w:lineRule="auto"/>
        <w:rPr>
          <w:rFonts w:ascii="Arial" w:hAnsi="Arial" w:cs="Arial"/>
          <w:i/>
          <w:sz w:val="24"/>
          <w:szCs w:val="24"/>
        </w:rPr>
      </w:pPr>
    </w:p>
    <w:p w14:paraId="3966DA3B" w14:textId="77777777" w:rsidR="000E1224" w:rsidRPr="008F13F9" w:rsidRDefault="00AE360B" w:rsidP="000E1224">
      <w:pPr>
        <w:spacing w:line="360" w:lineRule="auto"/>
        <w:ind w:firstLine="720"/>
        <w:rPr>
          <w:rFonts w:ascii="Arial" w:hAnsi="Arial" w:cs="Arial"/>
          <w:sz w:val="24"/>
          <w:szCs w:val="24"/>
        </w:rPr>
      </w:pPr>
      <w:r>
        <w:rPr>
          <w:rFonts w:ascii="Arial" w:hAnsi="Arial" w:cs="Arial"/>
          <w:sz w:val="24"/>
          <w:szCs w:val="24"/>
        </w:rPr>
        <w:t>Vnitřní kontrola betaglobinov</w:t>
      </w:r>
      <w:r w:rsidR="000E1224" w:rsidRPr="000E1224">
        <w:rPr>
          <w:rFonts w:ascii="Arial" w:hAnsi="Arial" w:cs="Arial"/>
          <w:sz w:val="24"/>
          <w:szCs w:val="24"/>
        </w:rPr>
        <w:t>ým testem neodhalila chybnou metodiku odběru vzorku u žádného ze zpracovaných odběrů</w:t>
      </w:r>
    </w:p>
    <w:p w14:paraId="39CEEC31" w14:textId="77777777" w:rsidR="000E1224" w:rsidRDefault="000E1224" w:rsidP="003D0E0C">
      <w:pPr>
        <w:spacing w:before="28" w:after="28" w:line="360" w:lineRule="auto"/>
        <w:ind w:firstLine="720"/>
        <w:rPr>
          <w:rFonts w:ascii="Arial" w:hAnsi="Arial" w:cs="Arial"/>
          <w:sz w:val="24"/>
          <w:szCs w:val="24"/>
        </w:rPr>
      </w:pPr>
    </w:p>
    <w:p w14:paraId="5247D6B6" w14:textId="77777777" w:rsidR="0064032D" w:rsidRPr="008F13F9" w:rsidRDefault="0064032D" w:rsidP="008F13F9">
      <w:pPr>
        <w:spacing w:before="28" w:after="28" w:line="360" w:lineRule="auto"/>
        <w:rPr>
          <w:rFonts w:ascii="Arial" w:hAnsi="Arial" w:cs="Arial"/>
          <w:sz w:val="24"/>
          <w:szCs w:val="24"/>
        </w:rPr>
      </w:pPr>
    </w:p>
    <w:p w14:paraId="2904E5D3" w14:textId="77777777" w:rsidR="0064032D" w:rsidRDefault="0064032D" w:rsidP="008F13F9">
      <w:pPr>
        <w:spacing w:before="28" w:after="28" w:line="360" w:lineRule="auto"/>
        <w:rPr>
          <w:rFonts w:ascii="Arial" w:hAnsi="Arial" w:cs="Arial"/>
          <w:sz w:val="24"/>
          <w:szCs w:val="24"/>
        </w:rPr>
      </w:pPr>
    </w:p>
    <w:p w14:paraId="3BF1A419" w14:textId="77777777" w:rsidR="00AE360B" w:rsidRDefault="00AE360B" w:rsidP="008F13F9">
      <w:pPr>
        <w:spacing w:before="28" w:after="28" w:line="360" w:lineRule="auto"/>
        <w:rPr>
          <w:rFonts w:ascii="Arial" w:hAnsi="Arial" w:cs="Arial"/>
          <w:sz w:val="24"/>
          <w:szCs w:val="24"/>
        </w:rPr>
      </w:pPr>
    </w:p>
    <w:p w14:paraId="403121C2" w14:textId="77777777" w:rsidR="00AE360B" w:rsidRDefault="00AE360B" w:rsidP="008F13F9">
      <w:pPr>
        <w:spacing w:before="28" w:after="28" w:line="360" w:lineRule="auto"/>
        <w:rPr>
          <w:rFonts w:ascii="Arial" w:hAnsi="Arial" w:cs="Arial"/>
          <w:sz w:val="24"/>
          <w:szCs w:val="24"/>
        </w:rPr>
      </w:pPr>
    </w:p>
    <w:p w14:paraId="37E8DEAD" w14:textId="77777777" w:rsidR="00AE360B" w:rsidRDefault="00AE360B" w:rsidP="008F13F9">
      <w:pPr>
        <w:spacing w:before="28" w:after="28" w:line="360" w:lineRule="auto"/>
        <w:rPr>
          <w:rFonts w:ascii="Arial" w:hAnsi="Arial" w:cs="Arial"/>
          <w:sz w:val="24"/>
          <w:szCs w:val="24"/>
        </w:rPr>
      </w:pPr>
    </w:p>
    <w:p w14:paraId="7BB36C75" w14:textId="77777777" w:rsidR="00AE360B" w:rsidRDefault="00AE360B" w:rsidP="008F13F9">
      <w:pPr>
        <w:spacing w:before="28" w:after="28" w:line="360" w:lineRule="auto"/>
        <w:rPr>
          <w:rFonts w:ascii="Arial" w:hAnsi="Arial" w:cs="Arial"/>
          <w:sz w:val="24"/>
          <w:szCs w:val="24"/>
        </w:rPr>
      </w:pPr>
    </w:p>
    <w:p w14:paraId="2D54CE00" w14:textId="77777777" w:rsidR="00AE360B" w:rsidRDefault="00AE360B" w:rsidP="008F13F9">
      <w:pPr>
        <w:spacing w:before="28" w:after="28" w:line="360" w:lineRule="auto"/>
        <w:rPr>
          <w:rFonts w:ascii="Arial" w:hAnsi="Arial" w:cs="Arial"/>
          <w:sz w:val="24"/>
          <w:szCs w:val="24"/>
        </w:rPr>
      </w:pPr>
    </w:p>
    <w:p w14:paraId="296F9577" w14:textId="77777777" w:rsidR="00AE360B" w:rsidRDefault="00AE360B" w:rsidP="008F13F9">
      <w:pPr>
        <w:spacing w:before="28" w:after="28" w:line="360" w:lineRule="auto"/>
        <w:rPr>
          <w:rFonts w:ascii="Arial" w:hAnsi="Arial" w:cs="Arial"/>
          <w:sz w:val="24"/>
          <w:szCs w:val="24"/>
        </w:rPr>
      </w:pPr>
    </w:p>
    <w:p w14:paraId="38C5CA4D" w14:textId="77777777" w:rsidR="00AE360B" w:rsidRDefault="00AE360B" w:rsidP="008F13F9">
      <w:pPr>
        <w:spacing w:before="28" w:after="28" w:line="360" w:lineRule="auto"/>
        <w:rPr>
          <w:rFonts w:ascii="Arial" w:hAnsi="Arial" w:cs="Arial"/>
          <w:sz w:val="24"/>
          <w:szCs w:val="24"/>
        </w:rPr>
      </w:pPr>
    </w:p>
    <w:p w14:paraId="16EEBE2C" w14:textId="77777777" w:rsidR="00AE360B" w:rsidRDefault="00AE360B" w:rsidP="008F13F9">
      <w:pPr>
        <w:spacing w:before="28" w:after="28" w:line="360" w:lineRule="auto"/>
        <w:rPr>
          <w:rFonts w:ascii="Arial" w:hAnsi="Arial" w:cs="Arial"/>
          <w:sz w:val="24"/>
          <w:szCs w:val="24"/>
        </w:rPr>
      </w:pPr>
    </w:p>
    <w:p w14:paraId="60025B6D" w14:textId="77777777" w:rsidR="00AE360B" w:rsidRPr="008F13F9" w:rsidRDefault="00AE360B" w:rsidP="008F13F9">
      <w:pPr>
        <w:spacing w:before="28" w:after="28" w:line="360" w:lineRule="auto"/>
        <w:rPr>
          <w:rFonts w:ascii="Arial" w:hAnsi="Arial" w:cs="Arial"/>
          <w:sz w:val="24"/>
          <w:szCs w:val="24"/>
        </w:rPr>
      </w:pPr>
    </w:p>
    <w:p w14:paraId="557A3C56" w14:textId="77777777" w:rsidR="0064032D" w:rsidRPr="008F13F9" w:rsidRDefault="0064032D" w:rsidP="008F13F9">
      <w:pPr>
        <w:spacing w:before="28" w:after="28" w:line="360" w:lineRule="auto"/>
        <w:rPr>
          <w:rFonts w:ascii="Arial" w:hAnsi="Arial" w:cs="Arial"/>
          <w:sz w:val="24"/>
          <w:szCs w:val="24"/>
        </w:rPr>
      </w:pPr>
    </w:p>
    <w:p w14:paraId="4D69A3FB" w14:textId="77777777" w:rsidR="00D73611" w:rsidRDefault="00D73611" w:rsidP="008F13F9">
      <w:pPr>
        <w:spacing w:before="28" w:after="28" w:line="360" w:lineRule="auto"/>
        <w:rPr>
          <w:rFonts w:ascii="Arial" w:hAnsi="Arial" w:cs="Arial"/>
          <w:sz w:val="24"/>
          <w:szCs w:val="24"/>
        </w:rPr>
      </w:pPr>
    </w:p>
    <w:p w14:paraId="68C4ADDF" w14:textId="77777777" w:rsidR="0064032D" w:rsidRPr="008F13F9" w:rsidRDefault="00D73611" w:rsidP="008F13F9">
      <w:pPr>
        <w:spacing w:before="28" w:after="28" w:line="360" w:lineRule="auto"/>
        <w:rPr>
          <w:rFonts w:ascii="Arial" w:hAnsi="Arial" w:cs="Arial"/>
          <w:sz w:val="24"/>
          <w:szCs w:val="24"/>
        </w:rPr>
      </w:pPr>
      <w:r>
        <w:rPr>
          <w:rFonts w:ascii="Arial" w:hAnsi="Arial" w:cs="Arial"/>
          <w:sz w:val="24"/>
          <w:szCs w:val="24"/>
        </w:rPr>
        <w:t>V</w:t>
      </w:r>
      <w:r w:rsidR="0064032D" w:rsidRPr="008F13F9">
        <w:rPr>
          <w:rFonts w:ascii="Arial" w:hAnsi="Arial" w:cs="Arial"/>
          <w:sz w:val="24"/>
          <w:szCs w:val="24"/>
        </w:rPr>
        <w:t xml:space="preserve">yhodnocení </w:t>
      </w:r>
      <w:r>
        <w:rPr>
          <w:rFonts w:ascii="Arial" w:hAnsi="Arial" w:cs="Arial"/>
          <w:sz w:val="24"/>
          <w:szCs w:val="24"/>
        </w:rPr>
        <w:t>dotazníku</w:t>
      </w:r>
      <w:r w:rsidR="0064032D" w:rsidRPr="008F13F9">
        <w:rPr>
          <w:rFonts w:ascii="Arial" w:hAnsi="Arial" w:cs="Arial"/>
          <w:sz w:val="24"/>
          <w:szCs w:val="24"/>
        </w:rPr>
        <w:t xml:space="preserve"> u všech respondentek ukazuje Tab. 4</w:t>
      </w:r>
      <w:r>
        <w:rPr>
          <w:rFonts w:ascii="Arial" w:hAnsi="Arial" w:cs="Arial"/>
          <w:sz w:val="24"/>
          <w:szCs w:val="24"/>
        </w:rPr>
        <w:t xml:space="preserve"> :</w:t>
      </w:r>
    </w:p>
    <w:p w14:paraId="5C4F2E1C" w14:textId="77777777" w:rsidR="0064032D" w:rsidRPr="008F13F9" w:rsidRDefault="0064032D" w:rsidP="008F13F9">
      <w:pPr>
        <w:spacing w:before="28" w:after="28" w:line="360" w:lineRule="auto"/>
        <w:rPr>
          <w:rFonts w:ascii="Arial" w:hAnsi="Arial" w:cs="Arial"/>
          <w:sz w:val="24"/>
          <w:szCs w:val="2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E0" w:firstRow="1" w:lastRow="1" w:firstColumn="1" w:lastColumn="0" w:noHBand="0" w:noVBand="0"/>
      </w:tblPr>
      <w:tblGrid>
        <w:gridCol w:w="509"/>
        <w:gridCol w:w="363"/>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64032D" w:rsidRPr="008F13F9" w14:paraId="334D7660" w14:textId="77777777" w:rsidTr="00EE67BD">
        <w:trPr>
          <w:cantSplit/>
          <w:trHeight w:val="2835"/>
        </w:trPr>
        <w:tc>
          <w:tcPr>
            <w:tcW w:w="0" w:type="auto"/>
            <w:tcBorders>
              <w:bottom w:val="single" w:sz="18" w:space="0" w:color="4F81BD"/>
            </w:tcBorders>
            <w:noWrap/>
            <w:textDirection w:val="btLr"/>
          </w:tcPr>
          <w:p w14:paraId="64A8C9CD"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lastRenderedPageBreak/>
              <w:t>Pořadí pacientek</w:t>
            </w:r>
          </w:p>
        </w:tc>
        <w:tc>
          <w:tcPr>
            <w:tcW w:w="0" w:type="auto"/>
            <w:tcBorders>
              <w:bottom w:val="single" w:sz="18" w:space="0" w:color="4F81BD"/>
            </w:tcBorders>
            <w:textDirection w:val="btLr"/>
          </w:tcPr>
          <w:p w14:paraId="3A52B150" w14:textId="77777777" w:rsidR="0064032D" w:rsidRPr="00EE67BD" w:rsidRDefault="0064032D" w:rsidP="008F13F9">
            <w:pPr>
              <w:spacing w:line="360" w:lineRule="auto"/>
              <w:ind w:left="113" w:right="113"/>
              <w:rPr>
                <w:rFonts w:ascii="Arial" w:hAnsi="Arial" w:cs="Arial"/>
                <w:b/>
                <w:bCs/>
                <w:color w:val="000000"/>
                <w:sz w:val="18"/>
                <w:szCs w:val="18"/>
              </w:rPr>
            </w:pPr>
            <w:bookmarkStart w:id="0" w:name="RANGE!B1:F99"/>
            <w:bookmarkEnd w:id="0"/>
            <w:r w:rsidRPr="00EE67BD">
              <w:rPr>
                <w:rFonts w:ascii="Arial" w:hAnsi="Arial" w:cs="Arial"/>
                <w:b/>
                <w:bCs/>
                <w:color w:val="000000"/>
                <w:sz w:val="18"/>
                <w:szCs w:val="18"/>
              </w:rPr>
              <w:t>Věk</w:t>
            </w:r>
          </w:p>
        </w:tc>
        <w:tc>
          <w:tcPr>
            <w:tcW w:w="0" w:type="auto"/>
            <w:tcBorders>
              <w:bottom w:val="single" w:sz="18" w:space="0" w:color="4F81BD"/>
            </w:tcBorders>
            <w:textDirection w:val="btLr"/>
          </w:tcPr>
          <w:p w14:paraId="11691CDD" w14:textId="77777777" w:rsidR="0064032D" w:rsidRPr="00EE67BD" w:rsidRDefault="0064032D" w:rsidP="00743D2F">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 xml:space="preserve">Místo </w:t>
            </w:r>
            <w:r w:rsidR="00743D2F" w:rsidRPr="00EE67BD">
              <w:rPr>
                <w:rFonts w:ascii="Arial" w:hAnsi="Arial" w:cs="Arial"/>
                <w:b/>
                <w:bCs/>
                <w:color w:val="000000"/>
                <w:sz w:val="18"/>
                <w:szCs w:val="18"/>
              </w:rPr>
              <w:t>stěru</w:t>
            </w:r>
          </w:p>
        </w:tc>
        <w:tc>
          <w:tcPr>
            <w:tcW w:w="0" w:type="auto"/>
            <w:tcBorders>
              <w:bottom w:val="single" w:sz="18" w:space="0" w:color="4F81BD"/>
            </w:tcBorders>
            <w:textDirection w:val="btLr"/>
          </w:tcPr>
          <w:p w14:paraId="0884F2C0"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PCR</w:t>
            </w:r>
            <w:r w:rsidR="00F27AA7">
              <w:rPr>
                <w:rFonts w:ascii="Arial" w:hAnsi="Arial" w:cs="Arial"/>
                <w:b/>
                <w:bCs/>
                <w:color w:val="000000"/>
                <w:sz w:val="18"/>
                <w:szCs w:val="18"/>
              </w:rPr>
              <w:t xml:space="preserve"> ze stěru</w:t>
            </w:r>
          </w:p>
        </w:tc>
        <w:tc>
          <w:tcPr>
            <w:tcW w:w="0" w:type="auto"/>
            <w:tcBorders>
              <w:bottom w:val="single" w:sz="18" w:space="0" w:color="4F81BD"/>
            </w:tcBorders>
            <w:textDirection w:val="btLr"/>
          </w:tcPr>
          <w:p w14:paraId="6F616685" w14:textId="77777777" w:rsidR="0064032D" w:rsidRPr="00EE67BD" w:rsidRDefault="00743D2F" w:rsidP="00743D2F">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Poč. o</w:t>
            </w:r>
            <w:r w:rsidR="0064032D" w:rsidRPr="00EE67BD">
              <w:rPr>
                <w:rFonts w:ascii="Arial" w:hAnsi="Arial" w:cs="Arial"/>
                <w:b/>
                <w:bCs/>
                <w:color w:val="000000"/>
                <w:sz w:val="18"/>
                <w:szCs w:val="18"/>
              </w:rPr>
              <w:t xml:space="preserve">rálních </w:t>
            </w:r>
            <w:r w:rsidR="00EE67BD">
              <w:rPr>
                <w:rFonts w:ascii="Arial" w:hAnsi="Arial" w:cs="Arial"/>
                <w:b/>
                <w:bCs/>
                <w:color w:val="000000"/>
                <w:sz w:val="18"/>
                <w:szCs w:val="18"/>
              </w:rPr>
              <w:t xml:space="preserve">sex. </w:t>
            </w:r>
            <w:r w:rsidR="0064032D" w:rsidRPr="00EE67BD">
              <w:rPr>
                <w:rFonts w:ascii="Arial" w:hAnsi="Arial" w:cs="Arial"/>
                <w:b/>
                <w:bCs/>
                <w:color w:val="000000"/>
                <w:sz w:val="18"/>
                <w:szCs w:val="18"/>
              </w:rPr>
              <w:t>partnerů</w:t>
            </w:r>
          </w:p>
        </w:tc>
        <w:tc>
          <w:tcPr>
            <w:tcW w:w="0" w:type="auto"/>
            <w:tcBorders>
              <w:bottom w:val="single" w:sz="18" w:space="0" w:color="4F81BD"/>
            </w:tcBorders>
            <w:textDirection w:val="btLr"/>
          </w:tcPr>
          <w:p w14:paraId="06A6F40E" w14:textId="77777777" w:rsidR="0064032D" w:rsidRPr="00EE67BD" w:rsidRDefault="00743D2F"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Poč.koitál.</w:t>
            </w:r>
            <w:r w:rsidR="00EE67BD">
              <w:rPr>
                <w:rFonts w:ascii="Arial" w:hAnsi="Arial" w:cs="Arial"/>
                <w:b/>
                <w:bCs/>
                <w:color w:val="000000"/>
                <w:sz w:val="18"/>
                <w:szCs w:val="18"/>
              </w:rPr>
              <w:t xml:space="preserve"> sex. partnerů</w:t>
            </w:r>
          </w:p>
        </w:tc>
        <w:tc>
          <w:tcPr>
            <w:tcW w:w="0" w:type="auto"/>
            <w:tcBorders>
              <w:bottom w:val="single" w:sz="18" w:space="0" w:color="4F81BD"/>
            </w:tcBorders>
            <w:textDirection w:val="btLr"/>
          </w:tcPr>
          <w:p w14:paraId="4DED7AC0" w14:textId="77777777" w:rsidR="0064032D" w:rsidRPr="00EE67BD" w:rsidRDefault="00743D2F"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1. sex. styk</w:t>
            </w:r>
            <w:r w:rsidR="00EE67BD">
              <w:rPr>
                <w:rFonts w:ascii="Arial" w:hAnsi="Arial" w:cs="Arial"/>
                <w:b/>
                <w:bCs/>
                <w:color w:val="000000"/>
                <w:sz w:val="18"/>
                <w:szCs w:val="18"/>
              </w:rPr>
              <w:t xml:space="preserve"> (léta)</w:t>
            </w:r>
          </w:p>
        </w:tc>
        <w:tc>
          <w:tcPr>
            <w:tcW w:w="0" w:type="auto"/>
            <w:tcBorders>
              <w:bottom w:val="single" w:sz="18" w:space="0" w:color="4F81BD"/>
            </w:tcBorders>
            <w:textDirection w:val="btLr"/>
          </w:tcPr>
          <w:p w14:paraId="2A8B0466" w14:textId="77777777" w:rsidR="0064032D" w:rsidRPr="00EE67BD" w:rsidRDefault="00743D2F" w:rsidP="00743D2F">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Gyn</w:t>
            </w:r>
            <w:r w:rsidR="0064032D" w:rsidRPr="00EE67BD">
              <w:rPr>
                <w:rFonts w:ascii="Arial" w:hAnsi="Arial" w:cs="Arial"/>
                <w:b/>
                <w:bCs/>
                <w:color w:val="000000"/>
                <w:sz w:val="18"/>
                <w:szCs w:val="18"/>
              </w:rPr>
              <w:t xml:space="preserve"> </w:t>
            </w:r>
            <w:r w:rsidRPr="00EE67BD">
              <w:rPr>
                <w:rFonts w:ascii="Arial" w:hAnsi="Arial" w:cs="Arial"/>
                <w:b/>
                <w:bCs/>
                <w:color w:val="000000"/>
                <w:sz w:val="18"/>
                <w:szCs w:val="18"/>
              </w:rPr>
              <w:t>onkol v OA</w:t>
            </w:r>
          </w:p>
        </w:tc>
        <w:tc>
          <w:tcPr>
            <w:tcW w:w="0" w:type="auto"/>
            <w:tcBorders>
              <w:bottom w:val="single" w:sz="18" w:space="0" w:color="4F81BD"/>
            </w:tcBorders>
            <w:textDirection w:val="btLr"/>
          </w:tcPr>
          <w:p w14:paraId="32347F11" w14:textId="77777777" w:rsidR="0064032D" w:rsidRPr="00EE67BD" w:rsidRDefault="00743D2F"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 xml:space="preserve">Onkol DÚ v OA </w:t>
            </w:r>
          </w:p>
        </w:tc>
        <w:tc>
          <w:tcPr>
            <w:tcW w:w="0" w:type="auto"/>
            <w:tcBorders>
              <w:bottom w:val="single" w:sz="18" w:space="0" w:color="4F81BD"/>
            </w:tcBorders>
            <w:textDirection w:val="btLr"/>
          </w:tcPr>
          <w:p w14:paraId="22FB89FE"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Kouření</w:t>
            </w:r>
          </w:p>
        </w:tc>
        <w:tc>
          <w:tcPr>
            <w:tcW w:w="0" w:type="auto"/>
            <w:tcBorders>
              <w:bottom w:val="single" w:sz="18" w:space="0" w:color="4F81BD"/>
            </w:tcBorders>
            <w:textDirection w:val="btLr"/>
          </w:tcPr>
          <w:p w14:paraId="26E98E72"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kouření množství cigaret/den</w:t>
            </w:r>
          </w:p>
        </w:tc>
        <w:tc>
          <w:tcPr>
            <w:tcW w:w="0" w:type="auto"/>
            <w:tcBorders>
              <w:bottom w:val="single" w:sz="18" w:space="0" w:color="4F81BD"/>
            </w:tcBorders>
            <w:textDirection w:val="btLr"/>
          </w:tcPr>
          <w:p w14:paraId="690A7597"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Kouření jak dlouho (léta)</w:t>
            </w:r>
          </w:p>
        </w:tc>
        <w:tc>
          <w:tcPr>
            <w:tcW w:w="0" w:type="auto"/>
            <w:tcBorders>
              <w:bottom w:val="single" w:sz="18" w:space="0" w:color="4F81BD"/>
            </w:tcBorders>
            <w:textDirection w:val="btLr"/>
          </w:tcPr>
          <w:p w14:paraId="514E1B50"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Drogy</w:t>
            </w:r>
          </w:p>
        </w:tc>
        <w:tc>
          <w:tcPr>
            <w:tcW w:w="0" w:type="auto"/>
            <w:tcBorders>
              <w:bottom w:val="single" w:sz="18" w:space="0" w:color="4F81BD"/>
            </w:tcBorders>
            <w:textDirection w:val="btLr"/>
          </w:tcPr>
          <w:p w14:paraId="3C7AB6C3"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Druh drogy</w:t>
            </w:r>
          </w:p>
        </w:tc>
        <w:tc>
          <w:tcPr>
            <w:tcW w:w="0" w:type="auto"/>
            <w:tcBorders>
              <w:bottom w:val="single" w:sz="18" w:space="0" w:color="4F81BD"/>
            </w:tcBorders>
            <w:textDirection w:val="btLr"/>
          </w:tcPr>
          <w:p w14:paraId="4AC2237E" w14:textId="77777777" w:rsidR="0064032D" w:rsidRPr="00EE67BD" w:rsidRDefault="00EE67BD" w:rsidP="00EE67BD">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 xml:space="preserve">Sdíl. </w:t>
            </w:r>
            <w:r w:rsidR="0064032D" w:rsidRPr="00EE67BD">
              <w:rPr>
                <w:rFonts w:ascii="Arial" w:hAnsi="Arial" w:cs="Arial"/>
                <w:b/>
                <w:bCs/>
                <w:color w:val="000000"/>
                <w:sz w:val="18"/>
                <w:szCs w:val="18"/>
              </w:rPr>
              <w:t>pomůcek k aplik drog</w:t>
            </w:r>
          </w:p>
        </w:tc>
        <w:tc>
          <w:tcPr>
            <w:tcW w:w="0" w:type="auto"/>
            <w:tcBorders>
              <w:bottom w:val="single" w:sz="18" w:space="0" w:color="4F81BD"/>
            </w:tcBorders>
            <w:textDirection w:val="btLr"/>
          </w:tcPr>
          <w:p w14:paraId="14D86BA6"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Dělení se o kartáček</w:t>
            </w:r>
          </w:p>
        </w:tc>
        <w:tc>
          <w:tcPr>
            <w:tcW w:w="0" w:type="auto"/>
            <w:tcBorders>
              <w:bottom w:val="single" w:sz="18" w:space="0" w:color="4F81BD"/>
            </w:tcBorders>
            <w:textDirection w:val="btLr"/>
          </w:tcPr>
          <w:p w14:paraId="4DA66EBC"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Ošetřující stomatolog</w:t>
            </w:r>
          </w:p>
        </w:tc>
        <w:tc>
          <w:tcPr>
            <w:tcW w:w="0" w:type="auto"/>
            <w:tcBorders>
              <w:bottom w:val="single" w:sz="18" w:space="0" w:color="4F81BD"/>
            </w:tcBorders>
            <w:textDirection w:val="btLr"/>
          </w:tcPr>
          <w:p w14:paraId="04F2FB51"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Čištění chrupu(četnost/den)</w:t>
            </w:r>
          </w:p>
        </w:tc>
        <w:tc>
          <w:tcPr>
            <w:tcW w:w="0" w:type="auto"/>
            <w:tcBorders>
              <w:bottom w:val="single" w:sz="18" w:space="0" w:color="4F81BD"/>
            </w:tcBorders>
            <w:textDirection w:val="btLr"/>
          </w:tcPr>
          <w:p w14:paraId="789FFDCE"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 xml:space="preserve">Alkohol </w:t>
            </w:r>
          </w:p>
        </w:tc>
        <w:tc>
          <w:tcPr>
            <w:tcW w:w="0" w:type="auto"/>
            <w:tcBorders>
              <w:bottom w:val="single" w:sz="18" w:space="0" w:color="4F81BD"/>
            </w:tcBorders>
            <w:textDirection w:val="btLr"/>
          </w:tcPr>
          <w:p w14:paraId="2CD8CE8F" w14:textId="77777777" w:rsidR="0064032D" w:rsidRPr="00EE67BD" w:rsidRDefault="00F27AA7" w:rsidP="00EE67BD">
            <w:pPr>
              <w:spacing w:line="360" w:lineRule="auto"/>
              <w:ind w:left="113" w:right="113"/>
              <w:rPr>
                <w:rFonts w:ascii="Arial" w:hAnsi="Arial" w:cs="Arial"/>
                <w:b/>
                <w:bCs/>
                <w:color w:val="000000"/>
                <w:sz w:val="18"/>
                <w:szCs w:val="18"/>
              </w:rPr>
            </w:pPr>
            <w:r>
              <w:rPr>
                <w:rFonts w:ascii="Arial" w:hAnsi="Arial" w:cs="Arial"/>
                <w:b/>
                <w:bCs/>
                <w:color w:val="000000"/>
                <w:sz w:val="18"/>
                <w:szCs w:val="18"/>
              </w:rPr>
              <w:t>Frekv. konz. alkoh.</w:t>
            </w:r>
            <w:r w:rsidR="0064032D" w:rsidRPr="00EE67BD">
              <w:rPr>
                <w:rFonts w:ascii="Arial" w:hAnsi="Arial" w:cs="Arial"/>
                <w:b/>
                <w:bCs/>
                <w:color w:val="000000"/>
                <w:sz w:val="18"/>
                <w:szCs w:val="18"/>
              </w:rPr>
              <w:t xml:space="preserve"> (x/týden)</w:t>
            </w:r>
          </w:p>
        </w:tc>
        <w:tc>
          <w:tcPr>
            <w:tcW w:w="0" w:type="auto"/>
            <w:tcBorders>
              <w:bottom w:val="single" w:sz="18" w:space="0" w:color="4F81BD"/>
            </w:tcBorders>
            <w:textDirection w:val="btLr"/>
          </w:tcPr>
          <w:p w14:paraId="14790E35"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Sexuální orientace</w:t>
            </w:r>
          </w:p>
        </w:tc>
        <w:tc>
          <w:tcPr>
            <w:tcW w:w="0" w:type="auto"/>
            <w:tcBorders>
              <w:bottom w:val="single" w:sz="18" w:space="0" w:color="4F81BD"/>
            </w:tcBorders>
            <w:textDirection w:val="btLr"/>
          </w:tcPr>
          <w:p w14:paraId="0322BAF5"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STD v OA</w:t>
            </w:r>
          </w:p>
        </w:tc>
        <w:tc>
          <w:tcPr>
            <w:tcW w:w="0" w:type="auto"/>
            <w:tcBorders>
              <w:bottom w:val="single" w:sz="18" w:space="0" w:color="4F81BD"/>
            </w:tcBorders>
            <w:textDirection w:val="btLr"/>
          </w:tcPr>
          <w:p w14:paraId="666B0937" w14:textId="77777777" w:rsidR="0064032D" w:rsidRPr="00EE67BD" w:rsidRDefault="0064032D" w:rsidP="008F13F9">
            <w:pPr>
              <w:spacing w:line="360" w:lineRule="auto"/>
              <w:ind w:left="113" w:right="113"/>
              <w:rPr>
                <w:rFonts w:ascii="Arial" w:hAnsi="Arial" w:cs="Arial"/>
                <w:b/>
                <w:bCs/>
                <w:color w:val="000000"/>
                <w:sz w:val="18"/>
                <w:szCs w:val="18"/>
              </w:rPr>
            </w:pPr>
            <w:r w:rsidRPr="00EE67BD">
              <w:rPr>
                <w:rFonts w:ascii="Arial" w:hAnsi="Arial" w:cs="Arial"/>
                <w:b/>
                <w:bCs/>
                <w:color w:val="000000"/>
                <w:sz w:val="18"/>
                <w:szCs w:val="18"/>
              </w:rPr>
              <w:t>Anální sex(počet partnerů)</w:t>
            </w:r>
          </w:p>
        </w:tc>
      </w:tr>
      <w:tr w:rsidR="0064032D" w:rsidRPr="008F13F9" w14:paraId="07D94EFC" w14:textId="77777777" w:rsidTr="00C674FD">
        <w:trPr>
          <w:cantSplit/>
          <w:trHeight w:val="1134"/>
        </w:trPr>
        <w:tc>
          <w:tcPr>
            <w:tcW w:w="0" w:type="auto"/>
            <w:shd w:val="clear" w:color="auto" w:fill="D3DFEE"/>
            <w:noWrap/>
            <w:textDirection w:val="btLr"/>
          </w:tcPr>
          <w:p w14:paraId="3DC300D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w:t>
            </w:r>
          </w:p>
        </w:tc>
        <w:tc>
          <w:tcPr>
            <w:tcW w:w="0" w:type="auto"/>
            <w:shd w:val="clear" w:color="auto" w:fill="D3DFEE"/>
            <w:noWrap/>
            <w:textDirection w:val="btLr"/>
          </w:tcPr>
          <w:p w14:paraId="7D04FCC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39</w:t>
            </w:r>
          </w:p>
        </w:tc>
        <w:tc>
          <w:tcPr>
            <w:tcW w:w="0" w:type="auto"/>
            <w:shd w:val="clear" w:color="auto" w:fill="D3DFEE"/>
            <w:noWrap/>
            <w:textDirection w:val="btLr"/>
          </w:tcPr>
          <w:p w14:paraId="4361ED4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ED8A339" w14:textId="77777777" w:rsidR="0064032D" w:rsidRPr="00F27AA7" w:rsidRDefault="0064032D" w:rsidP="008F13F9">
            <w:pPr>
              <w:spacing w:line="360" w:lineRule="auto"/>
              <w:ind w:left="113" w:right="113"/>
              <w:rPr>
                <w:rFonts w:ascii="Arial" w:hAnsi="Arial" w:cs="Arial"/>
                <w:color w:val="000000"/>
                <w:sz w:val="20"/>
                <w:szCs w:val="20"/>
              </w:rPr>
            </w:pPr>
            <w:r w:rsidRPr="00F27AA7">
              <w:rPr>
                <w:rFonts w:ascii="Arial" w:hAnsi="Arial" w:cs="Arial"/>
                <w:color w:val="000000"/>
                <w:sz w:val="20"/>
                <w:szCs w:val="20"/>
              </w:rPr>
              <w:t>N</w:t>
            </w:r>
            <w:r w:rsidR="00F27AA7" w:rsidRPr="00F27AA7">
              <w:rPr>
                <w:rFonts w:ascii="Arial" w:hAnsi="Arial" w:cs="Arial"/>
                <w:color w:val="000000"/>
                <w:sz w:val="20"/>
                <w:szCs w:val="20"/>
              </w:rPr>
              <w:t>egativní</w:t>
            </w:r>
          </w:p>
        </w:tc>
        <w:tc>
          <w:tcPr>
            <w:tcW w:w="0" w:type="auto"/>
            <w:shd w:val="clear" w:color="auto" w:fill="D3DFEE"/>
            <w:noWrap/>
            <w:textDirection w:val="btLr"/>
          </w:tcPr>
          <w:p w14:paraId="77FA80C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602BE9B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0FB15EE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2292AC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FFCB32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C71C8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441AD94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50F00F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3BA5D59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3FF8F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E36709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98A9E9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5F398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D25617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4E19CAC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E843F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429563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78276C7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B78E44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D41C37B" w14:textId="77777777" w:rsidTr="00C674FD">
        <w:trPr>
          <w:cantSplit/>
          <w:trHeight w:val="1134"/>
        </w:trPr>
        <w:tc>
          <w:tcPr>
            <w:tcW w:w="0" w:type="auto"/>
            <w:noWrap/>
            <w:textDirection w:val="btLr"/>
          </w:tcPr>
          <w:p w14:paraId="36B7C3F5"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w:t>
            </w:r>
          </w:p>
        </w:tc>
        <w:tc>
          <w:tcPr>
            <w:tcW w:w="0" w:type="auto"/>
            <w:noWrap/>
            <w:textDirection w:val="btLr"/>
          </w:tcPr>
          <w:p w14:paraId="42E5608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34</w:t>
            </w:r>
          </w:p>
        </w:tc>
        <w:tc>
          <w:tcPr>
            <w:tcW w:w="0" w:type="auto"/>
            <w:noWrap/>
            <w:textDirection w:val="btLr"/>
          </w:tcPr>
          <w:p w14:paraId="74B3E7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noWrap/>
            <w:textDirection w:val="btLr"/>
          </w:tcPr>
          <w:p w14:paraId="34D1042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 Negativní</w:t>
            </w:r>
          </w:p>
        </w:tc>
        <w:tc>
          <w:tcPr>
            <w:tcW w:w="0" w:type="auto"/>
            <w:noWrap/>
            <w:textDirection w:val="btLr"/>
          </w:tcPr>
          <w:p w14:paraId="519A4F0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noWrap/>
            <w:textDirection w:val="btLr"/>
          </w:tcPr>
          <w:p w14:paraId="27D66BC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noWrap/>
            <w:textDirection w:val="btLr"/>
          </w:tcPr>
          <w:p w14:paraId="67F0850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noWrap/>
            <w:textDirection w:val="btLr"/>
          </w:tcPr>
          <w:p w14:paraId="112C6D6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706DFF0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46DD9D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3F02C2D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7FA447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722760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5017E09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F0FAAB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71603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noWrap/>
            <w:textDirection w:val="btLr"/>
          </w:tcPr>
          <w:p w14:paraId="0281F29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noWrap/>
            <w:textDirection w:val="btLr"/>
          </w:tcPr>
          <w:p w14:paraId="4E450F4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noWrap/>
            <w:textDirection w:val="btLr"/>
          </w:tcPr>
          <w:p w14:paraId="4A690BD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3AF8F6A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C1C19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noWrap/>
            <w:textDirection w:val="btLr"/>
          </w:tcPr>
          <w:p w14:paraId="5CFAB9A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noWrap/>
            <w:textDirection w:val="btLr"/>
          </w:tcPr>
          <w:p w14:paraId="19B12E1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6C97BDD9" w14:textId="77777777" w:rsidTr="00C674FD">
        <w:trPr>
          <w:cantSplit/>
          <w:trHeight w:val="1134"/>
        </w:trPr>
        <w:tc>
          <w:tcPr>
            <w:tcW w:w="0" w:type="auto"/>
            <w:shd w:val="clear" w:color="auto" w:fill="D3DFEE"/>
            <w:noWrap/>
            <w:textDirection w:val="btLr"/>
          </w:tcPr>
          <w:p w14:paraId="1EF5161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w:t>
            </w:r>
          </w:p>
        </w:tc>
        <w:tc>
          <w:tcPr>
            <w:tcW w:w="0" w:type="auto"/>
            <w:shd w:val="clear" w:color="auto" w:fill="D3DFEE"/>
            <w:noWrap/>
            <w:textDirection w:val="btLr"/>
          </w:tcPr>
          <w:p w14:paraId="3B5CF9A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42</w:t>
            </w:r>
          </w:p>
        </w:tc>
        <w:tc>
          <w:tcPr>
            <w:tcW w:w="0" w:type="auto"/>
            <w:shd w:val="clear" w:color="auto" w:fill="D3DFEE"/>
            <w:noWrap/>
            <w:textDirection w:val="btLr"/>
          </w:tcPr>
          <w:p w14:paraId="78E21CD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57A0FAC"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06B7F4C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5A355D9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4C543CA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56A7A17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7EB3BE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6662B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88D1C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88A87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57689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F94CAA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A2ED51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1B283C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876B6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D4219F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BEBF24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5BB435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3C1288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2E054C7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C54644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r>
      <w:tr w:rsidR="0064032D" w:rsidRPr="008F13F9" w14:paraId="37F2260C" w14:textId="77777777" w:rsidTr="00C674FD">
        <w:trPr>
          <w:cantSplit/>
          <w:trHeight w:val="1134"/>
        </w:trPr>
        <w:tc>
          <w:tcPr>
            <w:tcW w:w="0" w:type="auto"/>
            <w:noWrap/>
            <w:textDirection w:val="btLr"/>
          </w:tcPr>
          <w:p w14:paraId="145B27AB"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w:t>
            </w:r>
          </w:p>
        </w:tc>
        <w:tc>
          <w:tcPr>
            <w:tcW w:w="0" w:type="auto"/>
            <w:noWrap/>
            <w:textDirection w:val="btLr"/>
          </w:tcPr>
          <w:p w14:paraId="080D8C1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38</w:t>
            </w:r>
          </w:p>
        </w:tc>
        <w:tc>
          <w:tcPr>
            <w:tcW w:w="0" w:type="auto"/>
            <w:noWrap/>
            <w:textDirection w:val="btLr"/>
          </w:tcPr>
          <w:p w14:paraId="0AC3EDF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noWrap/>
            <w:textDirection w:val="btLr"/>
          </w:tcPr>
          <w:p w14:paraId="198D5C53"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5F1BA11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noWrap/>
            <w:textDirection w:val="btLr"/>
          </w:tcPr>
          <w:p w14:paraId="41FFA70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noWrap/>
            <w:textDirection w:val="btLr"/>
          </w:tcPr>
          <w:p w14:paraId="07B78FD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noWrap/>
            <w:textDirection w:val="btLr"/>
          </w:tcPr>
          <w:p w14:paraId="2814D0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noWrap/>
            <w:textDirection w:val="btLr"/>
          </w:tcPr>
          <w:p w14:paraId="41A25D1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0CDB0E4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4ABEC2F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34A07B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A1617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5C93290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49B094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AC0BB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noWrap/>
            <w:textDirection w:val="btLr"/>
          </w:tcPr>
          <w:p w14:paraId="6EE7A4E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noWrap/>
            <w:textDirection w:val="btLr"/>
          </w:tcPr>
          <w:p w14:paraId="47AE10D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noWrap/>
            <w:textDirection w:val="btLr"/>
          </w:tcPr>
          <w:p w14:paraId="7BC95A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noWrap/>
            <w:textDirection w:val="btLr"/>
          </w:tcPr>
          <w:p w14:paraId="769F02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noWrap/>
            <w:textDirection w:val="btLr"/>
          </w:tcPr>
          <w:p w14:paraId="4D34BE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noWrap/>
            <w:textDirection w:val="btLr"/>
          </w:tcPr>
          <w:p w14:paraId="7B723B3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noWrap/>
            <w:textDirection w:val="btLr"/>
          </w:tcPr>
          <w:p w14:paraId="6855A04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2EBAA11D" w14:textId="77777777" w:rsidTr="00C674FD">
        <w:trPr>
          <w:cantSplit/>
          <w:trHeight w:val="1134"/>
        </w:trPr>
        <w:tc>
          <w:tcPr>
            <w:tcW w:w="0" w:type="auto"/>
            <w:shd w:val="clear" w:color="auto" w:fill="D3DFEE"/>
            <w:noWrap/>
            <w:textDirection w:val="btLr"/>
          </w:tcPr>
          <w:p w14:paraId="5FAA6FE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w:t>
            </w:r>
          </w:p>
        </w:tc>
        <w:tc>
          <w:tcPr>
            <w:tcW w:w="0" w:type="auto"/>
            <w:shd w:val="clear" w:color="auto" w:fill="D3DFEE"/>
            <w:noWrap/>
            <w:textDirection w:val="btLr"/>
          </w:tcPr>
          <w:p w14:paraId="2894C19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47</w:t>
            </w:r>
          </w:p>
        </w:tc>
        <w:tc>
          <w:tcPr>
            <w:tcW w:w="0" w:type="auto"/>
            <w:shd w:val="clear" w:color="auto" w:fill="D3DFEE"/>
            <w:noWrap/>
            <w:textDirection w:val="btLr"/>
          </w:tcPr>
          <w:p w14:paraId="6DD2DC2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D547D0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D4DBD6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6A66F66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0B08725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20</w:t>
            </w:r>
          </w:p>
        </w:tc>
        <w:tc>
          <w:tcPr>
            <w:tcW w:w="0" w:type="auto"/>
            <w:shd w:val="clear" w:color="auto" w:fill="D3DFEE"/>
            <w:noWrap/>
            <w:textDirection w:val="btLr"/>
          </w:tcPr>
          <w:p w14:paraId="5E16422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6F58D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53E156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9C74B9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10</w:t>
            </w:r>
          </w:p>
        </w:tc>
        <w:tc>
          <w:tcPr>
            <w:tcW w:w="0" w:type="auto"/>
            <w:shd w:val="clear" w:color="auto" w:fill="D3DFEE"/>
            <w:noWrap/>
            <w:textDirection w:val="btLr"/>
          </w:tcPr>
          <w:p w14:paraId="0DAA899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30</w:t>
            </w:r>
          </w:p>
        </w:tc>
        <w:tc>
          <w:tcPr>
            <w:tcW w:w="0" w:type="auto"/>
            <w:shd w:val="clear" w:color="auto" w:fill="D3DFEE"/>
            <w:noWrap/>
            <w:textDirection w:val="btLr"/>
          </w:tcPr>
          <w:p w14:paraId="626C20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91ED1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E5545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846C0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D4AC1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7F017B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30C9902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FAB2FF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55CA2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6DE22EE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92EAD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5BBC460" w14:textId="77777777" w:rsidTr="00C674FD">
        <w:trPr>
          <w:cantSplit/>
          <w:trHeight w:val="1134"/>
        </w:trPr>
        <w:tc>
          <w:tcPr>
            <w:tcW w:w="0" w:type="auto"/>
            <w:noWrap/>
            <w:textDirection w:val="btLr"/>
          </w:tcPr>
          <w:p w14:paraId="48C395F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w:t>
            </w:r>
          </w:p>
        </w:tc>
        <w:tc>
          <w:tcPr>
            <w:tcW w:w="0" w:type="auto"/>
            <w:noWrap/>
            <w:textDirection w:val="btLr"/>
          </w:tcPr>
          <w:p w14:paraId="125D536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26</w:t>
            </w:r>
          </w:p>
        </w:tc>
        <w:tc>
          <w:tcPr>
            <w:tcW w:w="0" w:type="auto"/>
            <w:noWrap/>
            <w:textDirection w:val="btLr"/>
          </w:tcPr>
          <w:p w14:paraId="2154E6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noWrap/>
            <w:textDirection w:val="btLr"/>
          </w:tcPr>
          <w:p w14:paraId="511473B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8A8E9F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noWrap/>
            <w:textDirection w:val="btLr"/>
          </w:tcPr>
          <w:p w14:paraId="2325379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noWrap/>
            <w:textDirection w:val="btLr"/>
          </w:tcPr>
          <w:p w14:paraId="65D2B44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noWrap/>
            <w:textDirection w:val="btLr"/>
          </w:tcPr>
          <w:p w14:paraId="5F5A335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2270C2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5ADC316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4C5F7C2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629DDA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F29E79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noWrap/>
            <w:textDirection w:val="btLr"/>
          </w:tcPr>
          <w:p w14:paraId="55A6C9C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A98828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7D56D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noWrap/>
            <w:textDirection w:val="btLr"/>
          </w:tcPr>
          <w:p w14:paraId="61D8D7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noWrap/>
            <w:textDirection w:val="btLr"/>
          </w:tcPr>
          <w:p w14:paraId="56BEC7D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noWrap/>
            <w:textDirection w:val="btLr"/>
          </w:tcPr>
          <w:p w14:paraId="700667B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noWrap/>
            <w:textDirection w:val="btLr"/>
          </w:tcPr>
          <w:p w14:paraId="40C4B53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noWrap/>
            <w:textDirection w:val="btLr"/>
          </w:tcPr>
          <w:p w14:paraId="5567BB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noWrap/>
            <w:textDirection w:val="btLr"/>
          </w:tcPr>
          <w:p w14:paraId="079C2DE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noWrap/>
            <w:textDirection w:val="btLr"/>
          </w:tcPr>
          <w:p w14:paraId="0D9A5B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748DE7E" w14:textId="77777777" w:rsidTr="00C674FD">
        <w:trPr>
          <w:cantSplit/>
          <w:trHeight w:val="1134"/>
        </w:trPr>
        <w:tc>
          <w:tcPr>
            <w:tcW w:w="0" w:type="auto"/>
            <w:shd w:val="clear" w:color="auto" w:fill="D3DFEE"/>
            <w:noWrap/>
            <w:textDirection w:val="btLr"/>
          </w:tcPr>
          <w:p w14:paraId="3F69907C"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w:t>
            </w:r>
          </w:p>
        </w:tc>
        <w:tc>
          <w:tcPr>
            <w:tcW w:w="0" w:type="auto"/>
            <w:shd w:val="clear" w:color="auto" w:fill="D3DFEE"/>
            <w:noWrap/>
            <w:textDirection w:val="btLr"/>
          </w:tcPr>
          <w:p w14:paraId="4FD8B76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37</w:t>
            </w:r>
          </w:p>
        </w:tc>
        <w:tc>
          <w:tcPr>
            <w:tcW w:w="0" w:type="auto"/>
            <w:shd w:val="clear" w:color="auto" w:fill="D3DFEE"/>
            <w:noWrap/>
            <w:textDirection w:val="btLr"/>
          </w:tcPr>
          <w:p w14:paraId="480069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52CBA70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9D3F9C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04215A2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0E8B3E8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0EEA0CF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40056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C0B956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36F71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5744A5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9544F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27823C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60143A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98D97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7F3C27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D79261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BB794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CC7EEC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4D2015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62ED199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CFAA99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r>
      <w:tr w:rsidR="0064032D" w:rsidRPr="008F13F9" w14:paraId="3DBA2759" w14:textId="77777777" w:rsidTr="00C674FD">
        <w:trPr>
          <w:cantSplit/>
          <w:trHeight w:val="1134"/>
        </w:trPr>
        <w:tc>
          <w:tcPr>
            <w:tcW w:w="0" w:type="auto"/>
            <w:noWrap/>
            <w:textDirection w:val="btLr"/>
          </w:tcPr>
          <w:p w14:paraId="418C836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4699FB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C5366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692EAE5"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D4A36B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3212C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AC42C0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noWrap/>
            <w:textDirection w:val="btLr"/>
          </w:tcPr>
          <w:p w14:paraId="32DAC71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E1390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F9E102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DDD62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1328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714283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B569B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48D9A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7623F3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F2112C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2D938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264DD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289A7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5E19C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45CBE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AB67C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03DB6194" w14:textId="77777777" w:rsidTr="00C674FD">
        <w:trPr>
          <w:cantSplit/>
          <w:trHeight w:val="1134"/>
        </w:trPr>
        <w:tc>
          <w:tcPr>
            <w:tcW w:w="0" w:type="auto"/>
            <w:shd w:val="clear" w:color="auto" w:fill="D3DFEE"/>
            <w:noWrap/>
            <w:textDirection w:val="btLr"/>
          </w:tcPr>
          <w:p w14:paraId="29844F2F"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8.)</w:t>
            </w:r>
          </w:p>
        </w:tc>
        <w:tc>
          <w:tcPr>
            <w:tcW w:w="0" w:type="auto"/>
            <w:shd w:val="clear" w:color="auto" w:fill="D3DFEE"/>
            <w:noWrap/>
            <w:textDirection w:val="btLr"/>
          </w:tcPr>
          <w:p w14:paraId="53DE8D5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27</w:t>
            </w:r>
          </w:p>
        </w:tc>
        <w:tc>
          <w:tcPr>
            <w:tcW w:w="0" w:type="auto"/>
            <w:shd w:val="clear" w:color="auto" w:fill="D3DFEE"/>
            <w:noWrap/>
            <w:textDirection w:val="btLr"/>
          </w:tcPr>
          <w:p w14:paraId="1BE16F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28F4305"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D0AD69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63D6DBB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44B796D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522228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3719B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8652D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C7FD2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ECAB1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1197C6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9C7A1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A8559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8C9530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E84426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2F3A4F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80B3DE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25312B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080236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7EF9B3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E21703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r>
      <w:tr w:rsidR="0064032D" w:rsidRPr="008F13F9" w14:paraId="3FCCF80D" w14:textId="77777777" w:rsidTr="00C674FD">
        <w:trPr>
          <w:cantSplit/>
          <w:trHeight w:val="1134"/>
        </w:trPr>
        <w:tc>
          <w:tcPr>
            <w:tcW w:w="0" w:type="auto"/>
            <w:noWrap/>
            <w:textDirection w:val="btLr"/>
          </w:tcPr>
          <w:p w14:paraId="123B0B9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7E3842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F5812C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00D5405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01176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8F968B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33281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398D4C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92814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1948DA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B0A51D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5F1DA8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5A37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2095EC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85697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52B88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227CA6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B8C1AD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8EFADD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DEDAA6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1AE6D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9E85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B7558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7F7A838F" w14:textId="77777777" w:rsidTr="00C674FD">
        <w:trPr>
          <w:cantSplit/>
          <w:trHeight w:val="1134"/>
        </w:trPr>
        <w:tc>
          <w:tcPr>
            <w:tcW w:w="0" w:type="auto"/>
            <w:shd w:val="clear" w:color="auto" w:fill="D3DFEE"/>
            <w:noWrap/>
            <w:textDirection w:val="btLr"/>
          </w:tcPr>
          <w:p w14:paraId="3554F100"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9.)</w:t>
            </w:r>
          </w:p>
        </w:tc>
        <w:tc>
          <w:tcPr>
            <w:tcW w:w="0" w:type="auto"/>
            <w:shd w:val="clear" w:color="auto" w:fill="D3DFEE"/>
            <w:noWrap/>
            <w:textDirection w:val="btLr"/>
          </w:tcPr>
          <w:p w14:paraId="16AE648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35</w:t>
            </w:r>
          </w:p>
        </w:tc>
        <w:tc>
          <w:tcPr>
            <w:tcW w:w="0" w:type="auto"/>
            <w:shd w:val="clear" w:color="auto" w:fill="D3DFEE"/>
            <w:noWrap/>
            <w:textDirection w:val="btLr"/>
          </w:tcPr>
          <w:p w14:paraId="3B52FBC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7992341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78E47F8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70FCB0D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2919D3E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5EE2C8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D2A9F6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731975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488DB6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0155A14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4D184C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83E76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F661B8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B3AB5F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663160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251C45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65E632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B3493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AF8AF9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7174CAA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88E8B1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25060AFF" w14:textId="77777777" w:rsidTr="00C674FD">
        <w:trPr>
          <w:cantSplit/>
          <w:trHeight w:val="1134"/>
        </w:trPr>
        <w:tc>
          <w:tcPr>
            <w:tcW w:w="0" w:type="auto"/>
            <w:noWrap/>
            <w:textDirection w:val="btLr"/>
          </w:tcPr>
          <w:p w14:paraId="1A160A7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5A9C91C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392817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667DDF8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5F5902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8A79B3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0FA09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358187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5AEFF7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58A821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DACB5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5B106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35433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038251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4F2A36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B72FF3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5B654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ED192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8FB399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8DE315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18F4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B6BE7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5A1A3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0F6F5F75" w14:textId="77777777" w:rsidTr="00C674FD">
        <w:trPr>
          <w:cantSplit/>
          <w:trHeight w:val="1134"/>
        </w:trPr>
        <w:tc>
          <w:tcPr>
            <w:tcW w:w="0" w:type="auto"/>
            <w:shd w:val="clear" w:color="auto" w:fill="D3DFEE"/>
            <w:noWrap/>
            <w:textDirection w:val="btLr"/>
          </w:tcPr>
          <w:p w14:paraId="73E0A00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10.)</w:t>
            </w:r>
          </w:p>
        </w:tc>
        <w:tc>
          <w:tcPr>
            <w:tcW w:w="0" w:type="auto"/>
            <w:shd w:val="clear" w:color="auto" w:fill="D3DFEE"/>
            <w:noWrap/>
            <w:textDirection w:val="btLr"/>
          </w:tcPr>
          <w:p w14:paraId="0B68A3C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35</w:t>
            </w:r>
          </w:p>
        </w:tc>
        <w:tc>
          <w:tcPr>
            <w:tcW w:w="0" w:type="auto"/>
            <w:shd w:val="clear" w:color="auto" w:fill="D3DFEE"/>
            <w:noWrap/>
            <w:textDirection w:val="btLr"/>
          </w:tcPr>
          <w:p w14:paraId="4860FF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C38F61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4046258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5E1A7CF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3938F02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58624C5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E1720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8556D4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04EC55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8F668E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02485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412D59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199D77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5EB69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32E75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85DC80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0CF6D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0B96F4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64EE97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3029EBB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344BF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3FB9B75" w14:textId="77777777" w:rsidTr="00C674FD">
        <w:trPr>
          <w:cantSplit/>
          <w:trHeight w:val="1134"/>
        </w:trPr>
        <w:tc>
          <w:tcPr>
            <w:tcW w:w="0" w:type="auto"/>
            <w:noWrap/>
            <w:textDirection w:val="btLr"/>
          </w:tcPr>
          <w:p w14:paraId="3EADD635"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2DFF8CC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FC809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78102D5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FA9030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1E51C7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D812E8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FE21D0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0813DC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92D0FF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0CAEB9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3BD172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82D694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12D11F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917725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38A819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39A861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A16696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8D79BB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27CC38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765A69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1B4266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731FE75"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1EB3691A" w14:textId="77777777" w:rsidTr="00C674FD">
        <w:trPr>
          <w:cantSplit/>
          <w:trHeight w:val="1134"/>
        </w:trPr>
        <w:tc>
          <w:tcPr>
            <w:tcW w:w="0" w:type="auto"/>
            <w:shd w:val="clear" w:color="auto" w:fill="D3DFEE"/>
            <w:noWrap/>
            <w:textDirection w:val="btLr"/>
          </w:tcPr>
          <w:p w14:paraId="26879FE3"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11.)</w:t>
            </w:r>
          </w:p>
        </w:tc>
        <w:tc>
          <w:tcPr>
            <w:tcW w:w="0" w:type="auto"/>
            <w:shd w:val="clear" w:color="auto" w:fill="D3DFEE"/>
            <w:noWrap/>
            <w:textDirection w:val="btLr"/>
          </w:tcPr>
          <w:p w14:paraId="3C0D8CC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36</w:t>
            </w:r>
          </w:p>
        </w:tc>
        <w:tc>
          <w:tcPr>
            <w:tcW w:w="0" w:type="auto"/>
            <w:shd w:val="clear" w:color="auto" w:fill="D3DFEE"/>
            <w:noWrap/>
            <w:textDirection w:val="btLr"/>
          </w:tcPr>
          <w:p w14:paraId="6EDE627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64737313"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C127AA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9</w:t>
            </w:r>
          </w:p>
        </w:tc>
        <w:tc>
          <w:tcPr>
            <w:tcW w:w="0" w:type="auto"/>
            <w:shd w:val="clear" w:color="auto" w:fill="D3DFEE"/>
            <w:noWrap/>
            <w:textDirection w:val="btLr"/>
          </w:tcPr>
          <w:p w14:paraId="2BF7BE2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9</w:t>
            </w:r>
          </w:p>
        </w:tc>
        <w:tc>
          <w:tcPr>
            <w:tcW w:w="0" w:type="auto"/>
            <w:shd w:val="clear" w:color="auto" w:fill="D3DFEE"/>
            <w:noWrap/>
            <w:textDirection w:val="btLr"/>
          </w:tcPr>
          <w:p w14:paraId="5A465FB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58D3CEB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0AF3D3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DCD54C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93A4DA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CC1E72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5CD4A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FAD75E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C9179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3FF9D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04112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7B750EB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4C28D5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6B472F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3AAF7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20EA67B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B992F2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058E439D" w14:textId="77777777" w:rsidTr="00C674FD">
        <w:trPr>
          <w:cantSplit/>
          <w:trHeight w:val="1134"/>
        </w:trPr>
        <w:tc>
          <w:tcPr>
            <w:tcW w:w="0" w:type="auto"/>
            <w:noWrap/>
            <w:textDirection w:val="btLr"/>
          </w:tcPr>
          <w:p w14:paraId="63D3D42C"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507F91F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910C0B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22BD5D6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55B62C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8E7B7B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7F42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91A33E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D46EFE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56D49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CBBE1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EC0F1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0C9A8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D904F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447FA3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857A3F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5392D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D9BA5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21D41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7D345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F1E786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FEAC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1F94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28596DB3" w14:textId="77777777" w:rsidTr="00C674FD">
        <w:trPr>
          <w:cantSplit/>
          <w:trHeight w:val="1134"/>
        </w:trPr>
        <w:tc>
          <w:tcPr>
            <w:tcW w:w="0" w:type="auto"/>
            <w:shd w:val="clear" w:color="auto" w:fill="D3DFEE"/>
            <w:noWrap/>
            <w:textDirection w:val="btLr"/>
          </w:tcPr>
          <w:p w14:paraId="3DC4970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12.)</w:t>
            </w:r>
          </w:p>
        </w:tc>
        <w:tc>
          <w:tcPr>
            <w:tcW w:w="0" w:type="auto"/>
            <w:shd w:val="clear" w:color="auto" w:fill="D3DFEE"/>
            <w:noWrap/>
            <w:textDirection w:val="btLr"/>
          </w:tcPr>
          <w:p w14:paraId="39E3D6B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38</w:t>
            </w:r>
          </w:p>
        </w:tc>
        <w:tc>
          <w:tcPr>
            <w:tcW w:w="0" w:type="auto"/>
            <w:shd w:val="clear" w:color="auto" w:fill="D3DFEE"/>
            <w:noWrap/>
            <w:textDirection w:val="btLr"/>
          </w:tcPr>
          <w:p w14:paraId="74B01FA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3BA9A2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48B9111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7ED1F61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57DB0D4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099826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D1ACB7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7FC348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177DD8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E7A972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00495F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AFA21C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8EEFBE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343A01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46283C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265495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72BAB03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F064D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2FC897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3D61D32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CEF032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2698D80" w14:textId="77777777" w:rsidTr="00C674FD">
        <w:trPr>
          <w:cantSplit/>
          <w:trHeight w:val="1134"/>
        </w:trPr>
        <w:tc>
          <w:tcPr>
            <w:tcW w:w="0" w:type="auto"/>
            <w:noWrap/>
            <w:textDirection w:val="btLr"/>
          </w:tcPr>
          <w:p w14:paraId="09D24738"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6302E4F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117C03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0735AC9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312ACF9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26A6B5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7A4F9D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F12117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335B47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E58FAC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69A151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028CB6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811294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5688AD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6A326F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C1B52F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F4A70C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5D61C3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2068A8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FFC6D1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1F24A0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70F92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B7E2BF8"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3CBDF6C3" w14:textId="77777777" w:rsidTr="00C674FD">
        <w:trPr>
          <w:cantSplit/>
          <w:trHeight w:val="1134"/>
        </w:trPr>
        <w:tc>
          <w:tcPr>
            <w:tcW w:w="0" w:type="auto"/>
            <w:shd w:val="clear" w:color="auto" w:fill="D3DFEE"/>
            <w:noWrap/>
            <w:textDirection w:val="btLr"/>
          </w:tcPr>
          <w:p w14:paraId="5666617B"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13.)</w:t>
            </w:r>
          </w:p>
        </w:tc>
        <w:tc>
          <w:tcPr>
            <w:tcW w:w="0" w:type="auto"/>
            <w:shd w:val="clear" w:color="auto" w:fill="D3DFEE"/>
            <w:noWrap/>
            <w:textDirection w:val="btLr"/>
          </w:tcPr>
          <w:p w14:paraId="30B6A0C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60</w:t>
            </w:r>
          </w:p>
        </w:tc>
        <w:tc>
          <w:tcPr>
            <w:tcW w:w="0" w:type="auto"/>
            <w:shd w:val="clear" w:color="auto" w:fill="D3DFEE"/>
            <w:noWrap/>
            <w:textDirection w:val="btLr"/>
          </w:tcPr>
          <w:p w14:paraId="694388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5ECFE14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802910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4582756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38DF1C0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19</w:t>
            </w:r>
          </w:p>
        </w:tc>
        <w:tc>
          <w:tcPr>
            <w:tcW w:w="0" w:type="auto"/>
            <w:shd w:val="clear" w:color="auto" w:fill="D3DFEE"/>
            <w:noWrap/>
            <w:textDirection w:val="btLr"/>
          </w:tcPr>
          <w:p w14:paraId="62422A8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F675B6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B2A8C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A4DD4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6D0CF0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3A3513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B6F15E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FA8FD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10F91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D4BA17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97F723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794E2D4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72AFF1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787EAB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1445646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528793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FC73B00" w14:textId="77777777" w:rsidTr="00C674FD">
        <w:trPr>
          <w:cantSplit/>
          <w:trHeight w:val="1134"/>
        </w:trPr>
        <w:tc>
          <w:tcPr>
            <w:tcW w:w="0" w:type="auto"/>
            <w:noWrap/>
            <w:textDirection w:val="btLr"/>
          </w:tcPr>
          <w:p w14:paraId="5EB065E3"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3041A7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1C3EB3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42441C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6DFD299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4326B9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D55532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D63987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0DE02C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01C45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7A64A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73EE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7964D9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2A543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EECD5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EC9AF3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A54540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027A7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62B2D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1750B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248E1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0F974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CEA338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4D418CA8" w14:textId="77777777" w:rsidTr="00C674FD">
        <w:trPr>
          <w:cantSplit/>
          <w:trHeight w:val="1134"/>
        </w:trPr>
        <w:tc>
          <w:tcPr>
            <w:tcW w:w="0" w:type="auto"/>
            <w:shd w:val="clear" w:color="auto" w:fill="D3DFEE"/>
            <w:noWrap/>
            <w:textDirection w:val="btLr"/>
          </w:tcPr>
          <w:p w14:paraId="292F45F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14.)</w:t>
            </w:r>
          </w:p>
        </w:tc>
        <w:tc>
          <w:tcPr>
            <w:tcW w:w="0" w:type="auto"/>
            <w:shd w:val="clear" w:color="auto" w:fill="D3DFEE"/>
            <w:noWrap/>
            <w:textDirection w:val="btLr"/>
          </w:tcPr>
          <w:p w14:paraId="159CF6B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41</w:t>
            </w:r>
          </w:p>
        </w:tc>
        <w:tc>
          <w:tcPr>
            <w:tcW w:w="0" w:type="auto"/>
            <w:shd w:val="clear" w:color="auto" w:fill="D3DFEE"/>
            <w:noWrap/>
            <w:textDirection w:val="btLr"/>
          </w:tcPr>
          <w:p w14:paraId="41B0C0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4E2B818"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78BD4F3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1194599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9</w:t>
            </w:r>
          </w:p>
        </w:tc>
        <w:tc>
          <w:tcPr>
            <w:tcW w:w="0" w:type="auto"/>
            <w:shd w:val="clear" w:color="auto" w:fill="D3DFEE"/>
            <w:noWrap/>
            <w:textDirection w:val="btLr"/>
          </w:tcPr>
          <w:p w14:paraId="033E4F6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0877D4F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831DF5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C514A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5A7262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86F487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03C9E3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08F077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A1E256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18D39E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1F3452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CB1F5F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7236C3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9F8CD7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8F029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075CF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2B38D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5D87C1F7" w14:textId="77777777" w:rsidTr="00C674FD">
        <w:trPr>
          <w:cantSplit/>
          <w:trHeight w:val="1134"/>
        </w:trPr>
        <w:tc>
          <w:tcPr>
            <w:tcW w:w="0" w:type="auto"/>
            <w:noWrap/>
            <w:textDirection w:val="btLr"/>
          </w:tcPr>
          <w:p w14:paraId="66BDEB43"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1EF7483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F99A4B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450F8A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160791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D1206F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7A2715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DE24DB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DCBAFF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A2B15D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1F2856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FF5344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CE49D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984EAE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B34681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48977A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8C0C20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5DF3C8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02238F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BF177A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98967B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75D9E8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D980F17"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67D0385E" w14:textId="77777777" w:rsidTr="00C674FD">
        <w:trPr>
          <w:cantSplit/>
          <w:trHeight w:val="1134"/>
        </w:trPr>
        <w:tc>
          <w:tcPr>
            <w:tcW w:w="0" w:type="auto"/>
            <w:shd w:val="clear" w:color="auto" w:fill="D3DFEE"/>
            <w:noWrap/>
            <w:textDirection w:val="btLr"/>
          </w:tcPr>
          <w:p w14:paraId="3C290E0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15.)</w:t>
            </w:r>
          </w:p>
        </w:tc>
        <w:tc>
          <w:tcPr>
            <w:tcW w:w="0" w:type="auto"/>
            <w:shd w:val="clear" w:color="auto" w:fill="D3DFEE"/>
            <w:noWrap/>
            <w:textDirection w:val="btLr"/>
          </w:tcPr>
          <w:p w14:paraId="0E0CE31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60</w:t>
            </w:r>
          </w:p>
        </w:tc>
        <w:tc>
          <w:tcPr>
            <w:tcW w:w="0" w:type="auto"/>
            <w:shd w:val="clear" w:color="auto" w:fill="D3DFEE"/>
            <w:noWrap/>
            <w:textDirection w:val="btLr"/>
          </w:tcPr>
          <w:p w14:paraId="1F709F1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E93A52C"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413459D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06719D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5E5748A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558B696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056EDA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1E909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4210C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2E256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02E526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C1B7CF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595601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E93A5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12EB52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7E7F76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909FAC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EE6D3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85A1C1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23F3E2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E4A69F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9B3172B" w14:textId="77777777" w:rsidTr="00C674FD">
        <w:trPr>
          <w:cantSplit/>
          <w:trHeight w:val="1134"/>
        </w:trPr>
        <w:tc>
          <w:tcPr>
            <w:tcW w:w="0" w:type="auto"/>
            <w:noWrap/>
            <w:textDirection w:val="btLr"/>
          </w:tcPr>
          <w:p w14:paraId="3A0F4FDB"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7877590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59E4A0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748B30F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AE2F4B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D3AB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60D0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24979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5D8E9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D83C02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27059E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B36182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548BE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2AFC03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6D6FA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061D8B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4C416B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1A908D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CC5AA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2F99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B25D01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4ABEB7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2747B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08124AE9" w14:textId="77777777" w:rsidTr="00C674FD">
        <w:trPr>
          <w:cantSplit/>
          <w:trHeight w:val="1134"/>
        </w:trPr>
        <w:tc>
          <w:tcPr>
            <w:tcW w:w="0" w:type="auto"/>
            <w:shd w:val="clear" w:color="auto" w:fill="D3DFEE"/>
            <w:noWrap/>
            <w:textDirection w:val="btLr"/>
          </w:tcPr>
          <w:p w14:paraId="668CD104"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16.)</w:t>
            </w:r>
          </w:p>
        </w:tc>
        <w:tc>
          <w:tcPr>
            <w:tcW w:w="0" w:type="auto"/>
            <w:shd w:val="clear" w:color="auto" w:fill="D3DFEE"/>
            <w:noWrap/>
            <w:textDirection w:val="btLr"/>
          </w:tcPr>
          <w:p w14:paraId="433B852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65</w:t>
            </w:r>
          </w:p>
        </w:tc>
        <w:tc>
          <w:tcPr>
            <w:tcW w:w="0" w:type="auto"/>
            <w:shd w:val="clear" w:color="auto" w:fill="D3DFEE"/>
            <w:noWrap/>
            <w:textDirection w:val="btLr"/>
          </w:tcPr>
          <w:p w14:paraId="5D702F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3D308F8"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420BD8D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0</w:t>
            </w:r>
          </w:p>
        </w:tc>
        <w:tc>
          <w:tcPr>
            <w:tcW w:w="0" w:type="auto"/>
            <w:shd w:val="clear" w:color="auto" w:fill="D3DFEE"/>
            <w:noWrap/>
            <w:textDirection w:val="btLr"/>
          </w:tcPr>
          <w:p w14:paraId="5B8A027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588DC46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21</w:t>
            </w:r>
          </w:p>
        </w:tc>
        <w:tc>
          <w:tcPr>
            <w:tcW w:w="0" w:type="auto"/>
            <w:shd w:val="clear" w:color="auto" w:fill="D3DFEE"/>
            <w:noWrap/>
            <w:textDirection w:val="btLr"/>
          </w:tcPr>
          <w:p w14:paraId="51B4AB9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B268EB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13E402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C2EDB3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10</w:t>
            </w:r>
          </w:p>
        </w:tc>
        <w:tc>
          <w:tcPr>
            <w:tcW w:w="0" w:type="auto"/>
            <w:shd w:val="clear" w:color="auto" w:fill="D3DFEE"/>
            <w:noWrap/>
            <w:textDirection w:val="btLr"/>
          </w:tcPr>
          <w:p w14:paraId="6C9C099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30</w:t>
            </w:r>
          </w:p>
        </w:tc>
        <w:tc>
          <w:tcPr>
            <w:tcW w:w="0" w:type="auto"/>
            <w:shd w:val="clear" w:color="auto" w:fill="D3DFEE"/>
            <w:noWrap/>
            <w:textDirection w:val="btLr"/>
          </w:tcPr>
          <w:p w14:paraId="3929E7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79AC32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73D444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471F9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3904B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1B52EB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0 (zubní náhrady)</w:t>
            </w:r>
          </w:p>
        </w:tc>
        <w:tc>
          <w:tcPr>
            <w:tcW w:w="0" w:type="auto"/>
            <w:shd w:val="clear" w:color="auto" w:fill="D3DFEE"/>
            <w:noWrap/>
            <w:textDirection w:val="btLr"/>
          </w:tcPr>
          <w:p w14:paraId="7ECD81F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CFF9AA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4DCBBE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3207DF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08CE3F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618A1BB" w14:textId="77777777" w:rsidTr="00C674FD">
        <w:trPr>
          <w:cantSplit/>
          <w:trHeight w:val="1134"/>
        </w:trPr>
        <w:tc>
          <w:tcPr>
            <w:tcW w:w="0" w:type="auto"/>
            <w:noWrap/>
            <w:textDirection w:val="btLr"/>
          </w:tcPr>
          <w:p w14:paraId="40D07E66"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198DD9E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1ED84B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009BF8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5106079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F5E32B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CCE19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DF807F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F5791C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D8199A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FF155C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8742AD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B9BCCB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308C60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2A1833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934715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BECC73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5A3F03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D43C7D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C5797F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76CE1F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725FD1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76B9AA6"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642A5225" w14:textId="77777777" w:rsidTr="00C674FD">
        <w:trPr>
          <w:cantSplit/>
          <w:trHeight w:val="1134"/>
        </w:trPr>
        <w:tc>
          <w:tcPr>
            <w:tcW w:w="0" w:type="auto"/>
            <w:shd w:val="clear" w:color="auto" w:fill="D3DFEE"/>
            <w:noWrap/>
            <w:textDirection w:val="btLr"/>
          </w:tcPr>
          <w:p w14:paraId="6A014B1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17.)</w:t>
            </w:r>
          </w:p>
        </w:tc>
        <w:tc>
          <w:tcPr>
            <w:tcW w:w="0" w:type="auto"/>
            <w:shd w:val="clear" w:color="auto" w:fill="D3DFEE"/>
            <w:noWrap/>
            <w:textDirection w:val="btLr"/>
          </w:tcPr>
          <w:p w14:paraId="4EAA881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56</w:t>
            </w:r>
          </w:p>
        </w:tc>
        <w:tc>
          <w:tcPr>
            <w:tcW w:w="0" w:type="auto"/>
            <w:shd w:val="clear" w:color="auto" w:fill="D3DFEE"/>
            <w:noWrap/>
            <w:textDirection w:val="btLr"/>
          </w:tcPr>
          <w:p w14:paraId="7F34F42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D86CB9E"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73E2B4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170E926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2512D32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5E3A79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45F54A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83FB12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E7C3C9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F2D97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30A419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B824D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0DCD6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32356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DCB8E6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7522F56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92E925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AB201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9EFA3A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965FA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84B19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55CFCAD" w14:textId="77777777" w:rsidTr="00C674FD">
        <w:trPr>
          <w:cantSplit/>
          <w:trHeight w:val="1134"/>
        </w:trPr>
        <w:tc>
          <w:tcPr>
            <w:tcW w:w="0" w:type="auto"/>
            <w:noWrap/>
            <w:textDirection w:val="btLr"/>
          </w:tcPr>
          <w:p w14:paraId="469E52DF"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42DE116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4E4E7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325385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5EE7CC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934BF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798AF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79720C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BD1A2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45A90A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6C2D4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E12227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8C0D3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884459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56DC9B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DFEC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C73BE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F6AC8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EAD4C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95FAC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65ED41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EFC020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4E58C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3C4750B1" w14:textId="77777777" w:rsidTr="00C674FD">
        <w:trPr>
          <w:cantSplit/>
          <w:trHeight w:val="1134"/>
        </w:trPr>
        <w:tc>
          <w:tcPr>
            <w:tcW w:w="0" w:type="auto"/>
            <w:shd w:val="clear" w:color="auto" w:fill="D3DFEE"/>
            <w:noWrap/>
            <w:textDirection w:val="btLr"/>
          </w:tcPr>
          <w:p w14:paraId="4B564DB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18.)</w:t>
            </w:r>
          </w:p>
        </w:tc>
        <w:tc>
          <w:tcPr>
            <w:tcW w:w="0" w:type="auto"/>
            <w:shd w:val="clear" w:color="auto" w:fill="D3DFEE"/>
            <w:noWrap/>
            <w:textDirection w:val="btLr"/>
          </w:tcPr>
          <w:p w14:paraId="48F1442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25</w:t>
            </w:r>
          </w:p>
        </w:tc>
        <w:tc>
          <w:tcPr>
            <w:tcW w:w="0" w:type="auto"/>
            <w:shd w:val="clear" w:color="auto" w:fill="D3DFEE"/>
            <w:noWrap/>
            <w:textDirection w:val="btLr"/>
          </w:tcPr>
          <w:p w14:paraId="6AD01C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CD9ABA8"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59B1A2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3A4841D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0113650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601751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997B53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C0F0E8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8AC9F3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164E2D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65F0E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7B367C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8A1EB2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6C8170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528672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A09DD1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4773B5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D0EF8B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02681FA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6F942D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2A558A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r>
      <w:tr w:rsidR="0064032D" w:rsidRPr="008F13F9" w14:paraId="087A92C2" w14:textId="77777777" w:rsidTr="00C674FD">
        <w:trPr>
          <w:cantSplit/>
          <w:trHeight w:val="1134"/>
        </w:trPr>
        <w:tc>
          <w:tcPr>
            <w:tcW w:w="0" w:type="auto"/>
            <w:noWrap/>
            <w:textDirection w:val="btLr"/>
          </w:tcPr>
          <w:p w14:paraId="16EF7576"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7B79FD9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2018B6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604CCAB3"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D09134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35C4B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9C786C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68B51C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9CCD09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16B7C3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388FC6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948050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AF7042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1669DF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8C5D74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8DFB50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92F996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21D5E3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BB4FE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9E45F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7EE543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D21B31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E190BE"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26B85074" w14:textId="77777777" w:rsidTr="00C674FD">
        <w:trPr>
          <w:cantSplit/>
          <w:trHeight w:val="1134"/>
        </w:trPr>
        <w:tc>
          <w:tcPr>
            <w:tcW w:w="0" w:type="auto"/>
            <w:shd w:val="clear" w:color="auto" w:fill="D3DFEE"/>
            <w:noWrap/>
            <w:textDirection w:val="btLr"/>
          </w:tcPr>
          <w:p w14:paraId="615CC5C3"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19.)</w:t>
            </w:r>
          </w:p>
        </w:tc>
        <w:tc>
          <w:tcPr>
            <w:tcW w:w="0" w:type="auto"/>
            <w:shd w:val="clear" w:color="auto" w:fill="D3DFEE"/>
            <w:noWrap/>
            <w:textDirection w:val="btLr"/>
          </w:tcPr>
          <w:p w14:paraId="3F1BA6E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49</w:t>
            </w:r>
          </w:p>
        </w:tc>
        <w:tc>
          <w:tcPr>
            <w:tcW w:w="0" w:type="auto"/>
            <w:shd w:val="clear" w:color="auto" w:fill="D3DFEE"/>
            <w:noWrap/>
            <w:textDirection w:val="btLr"/>
          </w:tcPr>
          <w:p w14:paraId="22DEB6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55054FC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47D2D6B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7E841E9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10</w:t>
            </w:r>
          </w:p>
        </w:tc>
        <w:tc>
          <w:tcPr>
            <w:tcW w:w="0" w:type="auto"/>
            <w:shd w:val="clear" w:color="auto" w:fill="D3DFEE"/>
            <w:noWrap/>
            <w:textDirection w:val="btLr"/>
          </w:tcPr>
          <w:p w14:paraId="2D97821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2865AAF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F5C383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FE688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9FE394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8E861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603F0D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03C32D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07732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7EA94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D40A52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40C9EB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3327C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2EF2F6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CFAF2D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243DD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09D1E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1CDF6FB" w14:textId="77777777" w:rsidTr="00C674FD">
        <w:trPr>
          <w:cantSplit/>
          <w:trHeight w:val="1134"/>
        </w:trPr>
        <w:tc>
          <w:tcPr>
            <w:tcW w:w="0" w:type="auto"/>
            <w:noWrap/>
            <w:textDirection w:val="btLr"/>
          </w:tcPr>
          <w:p w14:paraId="07F34143"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1A1B66D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84530D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016F8B6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2F4492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4AA91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E8B82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9196BB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F4747A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C9537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3783A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66C07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978BF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85A584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CF84DA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CC8585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CF2A6F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3FB96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5D672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EF07B8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AC042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D5AB6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C1EB9E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5F8EF591" w14:textId="77777777" w:rsidTr="00C674FD">
        <w:trPr>
          <w:cantSplit/>
          <w:trHeight w:val="1134"/>
        </w:trPr>
        <w:tc>
          <w:tcPr>
            <w:tcW w:w="0" w:type="auto"/>
            <w:shd w:val="clear" w:color="auto" w:fill="D3DFEE"/>
            <w:noWrap/>
            <w:textDirection w:val="btLr"/>
          </w:tcPr>
          <w:p w14:paraId="4588D9E5"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20.)</w:t>
            </w:r>
          </w:p>
        </w:tc>
        <w:tc>
          <w:tcPr>
            <w:tcW w:w="0" w:type="auto"/>
            <w:shd w:val="clear" w:color="auto" w:fill="D3DFEE"/>
            <w:noWrap/>
            <w:textDirection w:val="btLr"/>
          </w:tcPr>
          <w:p w14:paraId="2E1BF07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22</w:t>
            </w:r>
          </w:p>
        </w:tc>
        <w:tc>
          <w:tcPr>
            <w:tcW w:w="0" w:type="auto"/>
            <w:shd w:val="clear" w:color="auto" w:fill="D3DFEE"/>
            <w:noWrap/>
            <w:textDirection w:val="btLr"/>
          </w:tcPr>
          <w:p w14:paraId="00E41F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A9871E6"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556519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6B849BF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595F4C1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37F6B23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E20F4F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161F4D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5FB429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33643D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3D576A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F35E5E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1C24EE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658AD6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3024E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A95A8E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A7E442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9092B2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7FCA55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104FF8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70FAD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85AA30C" w14:textId="77777777" w:rsidTr="00C674FD">
        <w:trPr>
          <w:cantSplit/>
          <w:trHeight w:val="1134"/>
        </w:trPr>
        <w:tc>
          <w:tcPr>
            <w:tcW w:w="0" w:type="auto"/>
            <w:noWrap/>
            <w:textDirection w:val="btLr"/>
          </w:tcPr>
          <w:p w14:paraId="0A6FB18B"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79FACA4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52E18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74737316" w14:textId="77777777" w:rsidR="0064032D" w:rsidRPr="0098650F" w:rsidRDefault="0064032D" w:rsidP="008F13F9">
            <w:pPr>
              <w:spacing w:line="360" w:lineRule="auto"/>
              <w:ind w:left="113" w:right="113"/>
              <w:rPr>
                <w:rFonts w:ascii="Arial" w:hAnsi="Arial" w:cs="Arial"/>
                <w:color w:val="FF0000"/>
                <w:sz w:val="20"/>
                <w:szCs w:val="20"/>
              </w:rPr>
            </w:pPr>
            <w:r w:rsidRPr="0098650F">
              <w:rPr>
                <w:rFonts w:ascii="Arial" w:hAnsi="Arial" w:cs="Arial"/>
                <w:color w:val="FF0000"/>
                <w:sz w:val="20"/>
                <w:szCs w:val="20"/>
              </w:rPr>
              <w:t>HR pozitivní</w:t>
            </w:r>
          </w:p>
        </w:tc>
        <w:tc>
          <w:tcPr>
            <w:tcW w:w="0" w:type="auto"/>
            <w:noWrap/>
            <w:textDirection w:val="btLr"/>
          </w:tcPr>
          <w:p w14:paraId="0C12FF5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FDA794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6AABD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64F79A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1F9C82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67FDED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294250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85CC53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A05F89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21E822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77344E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C27BAC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B35EC4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EB5C37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E18B99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595D93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0BBAFE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B593533"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0EF1F2A2" w14:textId="77777777" w:rsidTr="00C674FD">
        <w:trPr>
          <w:cantSplit/>
          <w:trHeight w:val="1134"/>
        </w:trPr>
        <w:tc>
          <w:tcPr>
            <w:tcW w:w="0" w:type="auto"/>
            <w:shd w:val="clear" w:color="auto" w:fill="D3DFEE"/>
            <w:noWrap/>
            <w:textDirection w:val="btLr"/>
          </w:tcPr>
          <w:p w14:paraId="682DBBB4"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21.)</w:t>
            </w:r>
          </w:p>
        </w:tc>
        <w:tc>
          <w:tcPr>
            <w:tcW w:w="0" w:type="auto"/>
            <w:shd w:val="clear" w:color="auto" w:fill="D3DFEE"/>
            <w:noWrap/>
            <w:textDirection w:val="btLr"/>
          </w:tcPr>
          <w:p w14:paraId="3D86D90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36</w:t>
            </w:r>
          </w:p>
        </w:tc>
        <w:tc>
          <w:tcPr>
            <w:tcW w:w="0" w:type="auto"/>
            <w:shd w:val="clear" w:color="auto" w:fill="D3DFEE"/>
            <w:noWrap/>
            <w:textDirection w:val="btLr"/>
          </w:tcPr>
          <w:p w14:paraId="793FFBC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6AB5AF6"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16CD5C7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5F613DE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3090F71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44636F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5AC81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5E6D8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41EC4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B5854D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6BB0D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0F922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0AC79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3B6C7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60F96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F02C8B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68DA332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5E9148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29C4F26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39358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6BE55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66D53636" w14:textId="77777777" w:rsidTr="00C674FD">
        <w:trPr>
          <w:cantSplit/>
          <w:trHeight w:val="1134"/>
        </w:trPr>
        <w:tc>
          <w:tcPr>
            <w:tcW w:w="0" w:type="auto"/>
            <w:noWrap/>
            <w:textDirection w:val="btLr"/>
          </w:tcPr>
          <w:p w14:paraId="72F5EC6B"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5F7BAE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6D7832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4CFE6E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26D932E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582E1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90153D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2FB4D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DE78F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77CB8C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C96CC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85E066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2757B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25BA10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03C61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76EB5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D3C5F6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023C22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6DD7C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0CD4F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95248D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4C2374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9CF75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01D6C6F7" w14:textId="77777777" w:rsidTr="00C674FD">
        <w:trPr>
          <w:cantSplit/>
          <w:trHeight w:val="1134"/>
        </w:trPr>
        <w:tc>
          <w:tcPr>
            <w:tcW w:w="0" w:type="auto"/>
            <w:shd w:val="clear" w:color="auto" w:fill="D3DFEE"/>
            <w:noWrap/>
            <w:textDirection w:val="btLr"/>
          </w:tcPr>
          <w:p w14:paraId="1C8DAAE2"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22.)</w:t>
            </w:r>
          </w:p>
        </w:tc>
        <w:tc>
          <w:tcPr>
            <w:tcW w:w="0" w:type="auto"/>
            <w:shd w:val="clear" w:color="auto" w:fill="D3DFEE"/>
            <w:noWrap/>
            <w:textDirection w:val="btLr"/>
          </w:tcPr>
          <w:p w14:paraId="01E15DD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36</w:t>
            </w:r>
          </w:p>
        </w:tc>
        <w:tc>
          <w:tcPr>
            <w:tcW w:w="0" w:type="auto"/>
            <w:shd w:val="clear" w:color="auto" w:fill="D3DFEE"/>
            <w:noWrap/>
            <w:textDirection w:val="btLr"/>
          </w:tcPr>
          <w:p w14:paraId="3DD9F4B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6D8E1B1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7FB2804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7DEFD05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7419CFB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19</w:t>
            </w:r>
          </w:p>
        </w:tc>
        <w:tc>
          <w:tcPr>
            <w:tcW w:w="0" w:type="auto"/>
            <w:shd w:val="clear" w:color="auto" w:fill="D3DFEE"/>
            <w:noWrap/>
            <w:textDirection w:val="btLr"/>
          </w:tcPr>
          <w:p w14:paraId="1D42550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4C5CF2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3A8050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FD671F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0DE7A4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204D69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EA8796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046408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22577D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273714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1CDD2D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01F3DD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994BEA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A63843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26D4AAA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7A436C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r>
      <w:tr w:rsidR="0064032D" w:rsidRPr="008F13F9" w14:paraId="40AB4840" w14:textId="77777777" w:rsidTr="00C674FD">
        <w:trPr>
          <w:cantSplit/>
          <w:trHeight w:val="1134"/>
        </w:trPr>
        <w:tc>
          <w:tcPr>
            <w:tcW w:w="0" w:type="auto"/>
            <w:noWrap/>
            <w:textDirection w:val="btLr"/>
          </w:tcPr>
          <w:p w14:paraId="279BB491"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1B6AF96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1EF471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03868F81" w14:textId="4EEC7BC4" w:rsidR="0064032D" w:rsidRPr="008F13F9" w:rsidRDefault="0098650F" w:rsidP="008F13F9">
            <w:pPr>
              <w:spacing w:line="360" w:lineRule="auto"/>
              <w:ind w:left="113" w:right="113"/>
              <w:rPr>
                <w:rFonts w:ascii="Arial" w:hAnsi="Arial" w:cs="Arial"/>
                <w:color w:val="FF0000"/>
                <w:sz w:val="24"/>
                <w:szCs w:val="24"/>
              </w:rPr>
            </w:pPr>
            <w:r w:rsidRPr="0098650F">
              <w:rPr>
                <w:rFonts w:ascii="Arial" w:hAnsi="Arial" w:cs="Arial"/>
                <w:color w:val="FF0000"/>
                <w:sz w:val="20"/>
                <w:szCs w:val="20"/>
              </w:rPr>
              <w:t>HR pozitivní</w:t>
            </w:r>
          </w:p>
        </w:tc>
        <w:tc>
          <w:tcPr>
            <w:tcW w:w="0" w:type="auto"/>
            <w:noWrap/>
            <w:textDirection w:val="btLr"/>
          </w:tcPr>
          <w:p w14:paraId="5C3BF50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334952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34A605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75FCB4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105EDB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B7E0CB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DBA333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B4B154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A7B1D6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023DA8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A82316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FAEDCA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2545D3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880F5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3C093A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DEC755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35E22A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D646CB5"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78F241EC" w14:textId="77777777" w:rsidTr="00C674FD">
        <w:trPr>
          <w:cantSplit/>
          <w:trHeight w:val="1134"/>
        </w:trPr>
        <w:tc>
          <w:tcPr>
            <w:tcW w:w="0" w:type="auto"/>
            <w:shd w:val="clear" w:color="auto" w:fill="D3DFEE"/>
            <w:noWrap/>
            <w:textDirection w:val="btLr"/>
          </w:tcPr>
          <w:p w14:paraId="05FF99B1"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23.)</w:t>
            </w:r>
          </w:p>
        </w:tc>
        <w:tc>
          <w:tcPr>
            <w:tcW w:w="0" w:type="auto"/>
            <w:shd w:val="clear" w:color="auto" w:fill="D3DFEE"/>
            <w:noWrap/>
            <w:textDirection w:val="btLr"/>
          </w:tcPr>
          <w:p w14:paraId="39B7D7F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30</w:t>
            </w:r>
          </w:p>
        </w:tc>
        <w:tc>
          <w:tcPr>
            <w:tcW w:w="0" w:type="auto"/>
            <w:shd w:val="clear" w:color="auto" w:fill="D3DFEE"/>
            <w:noWrap/>
            <w:textDirection w:val="btLr"/>
          </w:tcPr>
          <w:p w14:paraId="5CE60A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001CB2A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7FF466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473DAA8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23C4BB1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4D4B23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6AB0D4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B2947A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9AE392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BD3F1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7CDDDAB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61D59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0EFE8E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56BA88B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D1B168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33B977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402EEEC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38AF8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5682C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686F0E7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78AF55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5D67CC2" w14:textId="77777777" w:rsidTr="00C674FD">
        <w:trPr>
          <w:cantSplit/>
          <w:trHeight w:val="1134"/>
        </w:trPr>
        <w:tc>
          <w:tcPr>
            <w:tcW w:w="0" w:type="auto"/>
            <w:noWrap/>
            <w:textDirection w:val="btLr"/>
          </w:tcPr>
          <w:p w14:paraId="00D7F39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77A8E79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5CA19E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555063D8"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81346C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68E72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DA7CA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5EDEF9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40E09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996A9D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3FF3F9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237D94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396521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8D79D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2BBBE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78B723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BAA374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182DB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9F57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9FD9FE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EB40B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91EC5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C939C0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25050577" w14:textId="77777777" w:rsidTr="00C674FD">
        <w:trPr>
          <w:cantSplit/>
          <w:trHeight w:val="1134"/>
        </w:trPr>
        <w:tc>
          <w:tcPr>
            <w:tcW w:w="0" w:type="auto"/>
            <w:shd w:val="clear" w:color="auto" w:fill="D3DFEE"/>
            <w:noWrap/>
            <w:textDirection w:val="btLr"/>
          </w:tcPr>
          <w:p w14:paraId="007CF6BF"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24.)</w:t>
            </w:r>
          </w:p>
        </w:tc>
        <w:tc>
          <w:tcPr>
            <w:tcW w:w="0" w:type="auto"/>
            <w:shd w:val="clear" w:color="auto" w:fill="D3DFEE"/>
            <w:noWrap/>
            <w:textDirection w:val="btLr"/>
          </w:tcPr>
          <w:p w14:paraId="5512AFD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37</w:t>
            </w:r>
          </w:p>
        </w:tc>
        <w:tc>
          <w:tcPr>
            <w:tcW w:w="0" w:type="auto"/>
            <w:shd w:val="clear" w:color="auto" w:fill="D3DFEE"/>
            <w:noWrap/>
            <w:textDirection w:val="btLr"/>
          </w:tcPr>
          <w:p w14:paraId="48EFA1C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C1DD46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0F69C14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6729203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2FC643F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6429131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6CF6A4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E2DBDE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BDA132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681E157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652A3C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06335D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915297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BE3673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DFC2F7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EB559F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E4A51D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432ACE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71EEC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485C71D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D88D2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6A5FA7F5" w14:textId="77777777" w:rsidTr="00C674FD">
        <w:trPr>
          <w:cantSplit/>
          <w:trHeight w:val="1134"/>
        </w:trPr>
        <w:tc>
          <w:tcPr>
            <w:tcW w:w="0" w:type="auto"/>
            <w:noWrap/>
            <w:textDirection w:val="btLr"/>
          </w:tcPr>
          <w:p w14:paraId="4CAF68B1"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00502C9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ECA571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537D0CB0"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F5CAEA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1A51A0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5E464F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02638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4B1C97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38A279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61D3AB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A61A80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F7763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23B268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241D81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30BDC6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913111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82951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B9F4E8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99383F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B3A005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2C7F4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51C5117"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67377C03" w14:textId="77777777" w:rsidTr="00C674FD">
        <w:trPr>
          <w:cantSplit/>
          <w:trHeight w:val="1134"/>
        </w:trPr>
        <w:tc>
          <w:tcPr>
            <w:tcW w:w="0" w:type="auto"/>
            <w:shd w:val="clear" w:color="auto" w:fill="D3DFEE"/>
            <w:noWrap/>
            <w:textDirection w:val="btLr"/>
          </w:tcPr>
          <w:p w14:paraId="72BB6294"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25.)</w:t>
            </w:r>
          </w:p>
        </w:tc>
        <w:tc>
          <w:tcPr>
            <w:tcW w:w="0" w:type="auto"/>
            <w:shd w:val="clear" w:color="auto" w:fill="D3DFEE"/>
            <w:noWrap/>
            <w:textDirection w:val="btLr"/>
          </w:tcPr>
          <w:p w14:paraId="19C1BC4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44</w:t>
            </w:r>
          </w:p>
        </w:tc>
        <w:tc>
          <w:tcPr>
            <w:tcW w:w="0" w:type="auto"/>
            <w:shd w:val="clear" w:color="auto" w:fill="D3DFEE"/>
            <w:noWrap/>
            <w:textDirection w:val="btLr"/>
          </w:tcPr>
          <w:p w14:paraId="3860DB0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76BEFF8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185D6DB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53466AE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9</w:t>
            </w:r>
          </w:p>
        </w:tc>
        <w:tc>
          <w:tcPr>
            <w:tcW w:w="0" w:type="auto"/>
            <w:shd w:val="clear" w:color="auto" w:fill="D3DFEE"/>
            <w:noWrap/>
            <w:textDirection w:val="btLr"/>
          </w:tcPr>
          <w:p w14:paraId="4F7F276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5C18A4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85ECD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7EF43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0F2C7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CD5073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3831AA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7A1752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818D4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BAD6D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75EF12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056D0D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D95C5B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5CF6E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1D5B1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3DFCB16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22E59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840109B" w14:textId="77777777" w:rsidTr="00C674FD">
        <w:trPr>
          <w:cantSplit/>
          <w:trHeight w:val="1134"/>
        </w:trPr>
        <w:tc>
          <w:tcPr>
            <w:tcW w:w="0" w:type="auto"/>
            <w:noWrap/>
            <w:textDirection w:val="btLr"/>
          </w:tcPr>
          <w:p w14:paraId="569D72E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714EE74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0A9D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61549E9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655981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CB9A1C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87EF6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9D59F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352D5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BCE7CC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B9513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128DD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7C689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68BA7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6B137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AF819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30A510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DD21EC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0F29CF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7C9B2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559F9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7BE8ED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4799B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50721E6B" w14:textId="77777777" w:rsidTr="00C674FD">
        <w:trPr>
          <w:cantSplit/>
          <w:trHeight w:val="1134"/>
        </w:trPr>
        <w:tc>
          <w:tcPr>
            <w:tcW w:w="0" w:type="auto"/>
            <w:shd w:val="clear" w:color="auto" w:fill="D3DFEE"/>
            <w:noWrap/>
            <w:textDirection w:val="btLr"/>
          </w:tcPr>
          <w:p w14:paraId="5CC9F42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26.)</w:t>
            </w:r>
          </w:p>
        </w:tc>
        <w:tc>
          <w:tcPr>
            <w:tcW w:w="0" w:type="auto"/>
            <w:shd w:val="clear" w:color="auto" w:fill="D3DFEE"/>
            <w:noWrap/>
            <w:textDirection w:val="btLr"/>
          </w:tcPr>
          <w:p w14:paraId="4AA97BC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53</w:t>
            </w:r>
          </w:p>
        </w:tc>
        <w:tc>
          <w:tcPr>
            <w:tcW w:w="0" w:type="auto"/>
            <w:shd w:val="clear" w:color="auto" w:fill="D3DFEE"/>
            <w:noWrap/>
            <w:textDirection w:val="btLr"/>
          </w:tcPr>
          <w:p w14:paraId="62FF41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75796BB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4E26E4B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4520023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10</w:t>
            </w:r>
          </w:p>
        </w:tc>
        <w:tc>
          <w:tcPr>
            <w:tcW w:w="0" w:type="auto"/>
            <w:shd w:val="clear" w:color="auto" w:fill="D3DFEE"/>
            <w:noWrap/>
            <w:textDirection w:val="btLr"/>
          </w:tcPr>
          <w:p w14:paraId="7802B0E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1A4895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DADB9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CABF03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B2B04A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C5F88D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8115CB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D1EFD0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8DDA48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9FD7E5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CE401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2100E6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D0624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FC3237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6C35544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4EE971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026ED8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5C9DD63" w14:textId="77777777" w:rsidTr="00C674FD">
        <w:trPr>
          <w:cantSplit/>
          <w:trHeight w:val="1134"/>
        </w:trPr>
        <w:tc>
          <w:tcPr>
            <w:tcW w:w="0" w:type="auto"/>
            <w:noWrap/>
            <w:textDirection w:val="btLr"/>
          </w:tcPr>
          <w:p w14:paraId="4505BD52"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083CD37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88A2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4CAB856"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600E853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818B3B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6B36A8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C0B220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2251D9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4EDFD4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1A868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9A8AF6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75EF17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063433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B168A0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AB9B12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CE7FC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D0A031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425497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581533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D6178A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F5DC60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82D8F5"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0363A9F4" w14:textId="77777777" w:rsidTr="00C674FD">
        <w:trPr>
          <w:cantSplit/>
          <w:trHeight w:val="1134"/>
        </w:trPr>
        <w:tc>
          <w:tcPr>
            <w:tcW w:w="0" w:type="auto"/>
            <w:shd w:val="clear" w:color="auto" w:fill="D3DFEE"/>
            <w:noWrap/>
            <w:textDirection w:val="btLr"/>
          </w:tcPr>
          <w:p w14:paraId="1C3EE32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27.)</w:t>
            </w:r>
          </w:p>
        </w:tc>
        <w:tc>
          <w:tcPr>
            <w:tcW w:w="0" w:type="auto"/>
            <w:shd w:val="clear" w:color="auto" w:fill="D3DFEE"/>
            <w:noWrap/>
            <w:textDirection w:val="btLr"/>
          </w:tcPr>
          <w:p w14:paraId="339D0DE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35</w:t>
            </w:r>
          </w:p>
        </w:tc>
        <w:tc>
          <w:tcPr>
            <w:tcW w:w="0" w:type="auto"/>
            <w:shd w:val="clear" w:color="auto" w:fill="D3DFEE"/>
            <w:noWrap/>
            <w:textDirection w:val="btLr"/>
          </w:tcPr>
          <w:p w14:paraId="2B2A723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66C7D0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B052F3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70F20BC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10B9C7B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422FF1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451A26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AD04BD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3FB668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E9A26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AC149D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43B7F7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99522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9513DA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CB8436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3FDD42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BC0B5E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B105C8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4DBA84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77C097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C82DC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58A9BA86" w14:textId="77777777" w:rsidTr="00C674FD">
        <w:trPr>
          <w:cantSplit/>
          <w:trHeight w:val="1134"/>
        </w:trPr>
        <w:tc>
          <w:tcPr>
            <w:tcW w:w="0" w:type="auto"/>
            <w:noWrap/>
            <w:textDirection w:val="btLr"/>
          </w:tcPr>
          <w:p w14:paraId="217BAE4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20DA0CA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82405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902972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36E7EA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0FD96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B7CB6D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A7EEA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1F960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6F1D52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68A1F9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BE9C9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2E70CA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4DE47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E774B7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96E2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488CD9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F44B76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A3CFF0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10F42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2736DF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14F33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664EB7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699415D0" w14:textId="77777777" w:rsidTr="00C674FD">
        <w:trPr>
          <w:cantSplit/>
          <w:trHeight w:val="1134"/>
        </w:trPr>
        <w:tc>
          <w:tcPr>
            <w:tcW w:w="0" w:type="auto"/>
            <w:shd w:val="clear" w:color="auto" w:fill="D3DFEE"/>
            <w:noWrap/>
            <w:textDirection w:val="btLr"/>
          </w:tcPr>
          <w:p w14:paraId="02658A6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28.)</w:t>
            </w:r>
          </w:p>
        </w:tc>
        <w:tc>
          <w:tcPr>
            <w:tcW w:w="0" w:type="auto"/>
            <w:shd w:val="clear" w:color="auto" w:fill="D3DFEE"/>
            <w:noWrap/>
            <w:textDirection w:val="btLr"/>
          </w:tcPr>
          <w:p w14:paraId="0C7BAEE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60</w:t>
            </w:r>
          </w:p>
        </w:tc>
        <w:tc>
          <w:tcPr>
            <w:tcW w:w="0" w:type="auto"/>
            <w:shd w:val="clear" w:color="auto" w:fill="D3DFEE"/>
            <w:noWrap/>
            <w:textDirection w:val="btLr"/>
          </w:tcPr>
          <w:p w14:paraId="7FF23FD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0B8917F6"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568E75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448016E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00FB600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469FCAA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B2E47E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989490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2C4535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0BECFE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339D4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C92D84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880061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2777D2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D08E2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8F4EE4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47656B6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8D68AA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99173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C15FD2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29CEF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24FA6E2D" w14:textId="77777777" w:rsidTr="00C674FD">
        <w:trPr>
          <w:cantSplit/>
          <w:trHeight w:val="1134"/>
        </w:trPr>
        <w:tc>
          <w:tcPr>
            <w:tcW w:w="0" w:type="auto"/>
            <w:noWrap/>
            <w:textDirection w:val="btLr"/>
          </w:tcPr>
          <w:p w14:paraId="7115AE0B"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67C2C1E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5956F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0E6E84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56A696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E5B4ED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FEB880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9CF830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8E1E29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CBE357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815C6B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674FBA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E7E13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AB875E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19077E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E5500A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E0807A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51A4F7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D681C4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E113CD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657B94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E6CBDD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CBB3559"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6CD9D652" w14:textId="77777777" w:rsidTr="00C674FD">
        <w:trPr>
          <w:cantSplit/>
          <w:trHeight w:val="1134"/>
        </w:trPr>
        <w:tc>
          <w:tcPr>
            <w:tcW w:w="0" w:type="auto"/>
            <w:shd w:val="clear" w:color="auto" w:fill="D3DFEE"/>
            <w:noWrap/>
            <w:textDirection w:val="btLr"/>
          </w:tcPr>
          <w:p w14:paraId="36617BD5"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29.)</w:t>
            </w:r>
          </w:p>
        </w:tc>
        <w:tc>
          <w:tcPr>
            <w:tcW w:w="0" w:type="auto"/>
            <w:shd w:val="clear" w:color="auto" w:fill="D3DFEE"/>
            <w:noWrap/>
            <w:textDirection w:val="btLr"/>
          </w:tcPr>
          <w:p w14:paraId="54D858C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25</w:t>
            </w:r>
          </w:p>
        </w:tc>
        <w:tc>
          <w:tcPr>
            <w:tcW w:w="0" w:type="auto"/>
            <w:shd w:val="clear" w:color="auto" w:fill="D3DFEE"/>
            <w:noWrap/>
            <w:textDirection w:val="btLr"/>
          </w:tcPr>
          <w:p w14:paraId="0AD349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66B1C0DC"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4C40967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10</w:t>
            </w:r>
          </w:p>
        </w:tc>
        <w:tc>
          <w:tcPr>
            <w:tcW w:w="0" w:type="auto"/>
            <w:shd w:val="clear" w:color="auto" w:fill="D3DFEE"/>
            <w:noWrap/>
            <w:textDirection w:val="btLr"/>
          </w:tcPr>
          <w:p w14:paraId="64D9CF5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12F5051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5CD1292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F25C42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6E291A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CF9FE0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D92DD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64A856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3EC7A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22C7E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FEE40B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235E98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94C9E3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B5F347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E6DB7A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22BD23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262B8F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01B92C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0773F62" w14:textId="77777777" w:rsidTr="00C674FD">
        <w:trPr>
          <w:cantSplit/>
          <w:trHeight w:val="1134"/>
        </w:trPr>
        <w:tc>
          <w:tcPr>
            <w:tcW w:w="0" w:type="auto"/>
            <w:noWrap/>
            <w:textDirection w:val="btLr"/>
          </w:tcPr>
          <w:p w14:paraId="7BFFEA51"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23CD203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5A6C8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B030D08"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5F179B0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A38BC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8360D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A3BCC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08D10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EB752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9D7AFD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28250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C66A0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83303F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82B85A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B4161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C12F5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41665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5009D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3B1CAA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6B7B16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01C616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D188B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3F56D8FB" w14:textId="77777777" w:rsidTr="00C674FD">
        <w:trPr>
          <w:cantSplit/>
          <w:trHeight w:val="1134"/>
        </w:trPr>
        <w:tc>
          <w:tcPr>
            <w:tcW w:w="0" w:type="auto"/>
            <w:shd w:val="clear" w:color="auto" w:fill="D3DFEE"/>
            <w:noWrap/>
            <w:textDirection w:val="btLr"/>
          </w:tcPr>
          <w:p w14:paraId="69C7572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30.)</w:t>
            </w:r>
          </w:p>
        </w:tc>
        <w:tc>
          <w:tcPr>
            <w:tcW w:w="0" w:type="auto"/>
            <w:shd w:val="clear" w:color="auto" w:fill="D3DFEE"/>
            <w:noWrap/>
            <w:textDirection w:val="btLr"/>
          </w:tcPr>
          <w:p w14:paraId="1F67A17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45</w:t>
            </w:r>
          </w:p>
        </w:tc>
        <w:tc>
          <w:tcPr>
            <w:tcW w:w="0" w:type="auto"/>
            <w:shd w:val="clear" w:color="auto" w:fill="D3DFEE"/>
            <w:noWrap/>
            <w:textDirection w:val="btLr"/>
          </w:tcPr>
          <w:p w14:paraId="65A9A5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844A83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CF6612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52FA1C3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6018436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1DDF1B8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32F60E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BA588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87F4A7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6579C9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A1EB73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7670CC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761DB5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027DF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4B0AEF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9349B0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622B89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B522A6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A32973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61DF662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25FC6B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4227902" w14:textId="77777777" w:rsidTr="00C674FD">
        <w:trPr>
          <w:cantSplit/>
          <w:trHeight w:val="1134"/>
        </w:trPr>
        <w:tc>
          <w:tcPr>
            <w:tcW w:w="0" w:type="auto"/>
            <w:noWrap/>
            <w:textDirection w:val="btLr"/>
          </w:tcPr>
          <w:p w14:paraId="01CEFD1D"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7CD0F28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6F56A0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FF193D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31C17E5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718A44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762F50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A5E36E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B6DFCD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589765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58C830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A8A69B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B06A61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91D952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EEF846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5B76D1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8DFCC2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CA745E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832DF4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2AB9D2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CB8A12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20B5A0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8893E29"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11335553" w14:textId="77777777" w:rsidTr="00C674FD">
        <w:trPr>
          <w:cantSplit/>
          <w:trHeight w:val="1134"/>
        </w:trPr>
        <w:tc>
          <w:tcPr>
            <w:tcW w:w="0" w:type="auto"/>
            <w:shd w:val="clear" w:color="auto" w:fill="D3DFEE"/>
            <w:noWrap/>
            <w:textDirection w:val="btLr"/>
          </w:tcPr>
          <w:p w14:paraId="2989163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31.)</w:t>
            </w:r>
          </w:p>
        </w:tc>
        <w:tc>
          <w:tcPr>
            <w:tcW w:w="0" w:type="auto"/>
            <w:shd w:val="clear" w:color="auto" w:fill="D3DFEE"/>
            <w:noWrap/>
            <w:textDirection w:val="btLr"/>
          </w:tcPr>
          <w:p w14:paraId="0B25D49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35</w:t>
            </w:r>
          </w:p>
        </w:tc>
        <w:tc>
          <w:tcPr>
            <w:tcW w:w="0" w:type="auto"/>
            <w:shd w:val="clear" w:color="auto" w:fill="D3DFEE"/>
            <w:noWrap/>
            <w:textDirection w:val="btLr"/>
          </w:tcPr>
          <w:p w14:paraId="4559AB8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C16A6F0"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C0F003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5688B65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10</w:t>
            </w:r>
          </w:p>
        </w:tc>
        <w:tc>
          <w:tcPr>
            <w:tcW w:w="0" w:type="auto"/>
            <w:shd w:val="clear" w:color="auto" w:fill="D3DFEE"/>
            <w:noWrap/>
            <w:textDirection w:val="btLr"/>
          </w:tcPr>
          <w:p w14:paraId="55C9134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1DF68B6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64EAFC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3B967F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5AD5407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421642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6B0540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3985BB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702C44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02FF6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B1D47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D5D6DA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4443A4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87C2F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F25D2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8FEC00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018C46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2EF7E07" w14:textId="77777777" w:rsidTr="00C674FD">
        <w:trPr>
          <w:cantSplit/>
          <w:trHeight w:val="1134"/>
        </w:trPr>
        <w:tc>
          <w:tcPr>
            <w:tcW w:w="0" w:type="auto"/>
            <w:noWrap/>
            <w:textDirection w:val="btLr"/>
          </w:tcPr>
          <w:p w14:paraId="795D0393"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005F27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D8D41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0F22B7E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41F624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ADDB88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FD34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ADFEF9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F87B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A12EC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08B236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4D96A2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3CB18B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17EF7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EF146B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933FA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1D2C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C4139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D4093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74A0E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24CC8A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BAA49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49AF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3A56ADFF" w14:textId="77777777" w:rsidTr="00C674FD">
        <w:trPr>
          <w:cantSplit/>
          <w:trHeight w:val="1134"/>
        </w:trPr>
        <w:tc>
          <w:tcPr>
            <w:tcW w:w="0" w:type="auto"/>
            <w:shd w:val="clear" w:color="auto" w:fill="D3DFEE"/>
            <w:noWrap/>
            <w:textDirection w:val="btLr"/>
          </w:tcPr>
          <w:p w14:paraId="78C2A55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32.)</w:t>
            </w:r>
          </w:p>
        </w:tc>
        <w:tc>
          <w:tcPr>
            <w:tcW w:w="0" w:type="auto"/>
            <w:shd w:val="clear" w:color="auto" w:fill="D3DFEE"/>
            <w:noWrap/>
            <w:textDirection w:val="btLr"/>
          </w:tcPr>
          <w:p w14:paraId="5E4DC96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24</w:t>
            </w:r>
          </w:p>
        </w:tc>
        <w:tc>
          <w:tcPr>
            <w:tcW w:w="0" w:type="auto"/>
            <w:shd w:val="clear" w:color="auto" w:fill="D3DFEE"/>
            <w:noWrap/>
            <w:textDirection w:val="btLr"/>
          </w:tcPr>
          <w:p w14:paraId="69355E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F67B67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08CF640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173CF28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1830EF4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285910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BE17D0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4879B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172567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A6B87B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A416C3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AE053F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B010A9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200D62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5240A4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2AA3E0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81A40E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239884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42E173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73E33E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85A46A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8C09286" w14:textId="77777777" w:rsidTr="00C674FD">
        <w:trPr>
          <w:cantSplit/>
          <w:trHeight w:val="1134"/>
        </w:trPr>
        <w:tc>
          <w:tcPr>
            <w:tcW w:w="0" w:type="auto"/>
            <w:noWrap/>
            <w:textDirection w:val="btLr"/>
          </w:tcPr>
          <w:p w14:paraId="2A5DE462"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6F0F47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841CF1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FB2CD45"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979AC1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BCB573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2DD3AD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C27E32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14282A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F99E8B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E81EEA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AE4B2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E85C4A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CD5F7F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796622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F41089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CF3D4E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13AD33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8C6D62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F126DD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10C722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583F9B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30EC5A0"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57A76AF8" w14:textId="77777777" w:rsidTr="00C674FD">
        <w:trPr>
          <w:cantSplit/>
          <w:trHeight w:val="1134"/>
        </w:trPr>
        <w:tc>
          <w:tcPr>
            <w:tcW w:w="0" w:type="auto"/>
            <w:shd w:val="clear" w:color="auto" w:fill="D3DFEE"/>
            <w:noWrap/>
            <w:textDirection w:val="btLr"/>
          </w:tcPr>
          <w:p w14:paraId="2EC1DAD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33.)</w:t>
            </w:r>
          </w:p>
        </w:tc>
        <w:tc>
          <w:tcPr>
            <w:tcW w:w="0" w:type="auto"/>
            <w:shd w:val="clear" w:color="auto" w:fill="D3DFEE"/>
            <w:noWrap/>
            <w:textDirection w:val="btLr"/>
          </w:tcPr>
          <w:p w14:paraId="5DF58B3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51</w:t>
            </w:r>
          </w:p>
        </w:tc>
        <w:tc>
          <w:tcPr>
            <w:tcW w:w="0" w:type="auto"/>
            <w:shd w:val="clear" w:color="auto" w:fill="D3DFEE"/>
            <w:noWrap/>
            <w:textDirection w:val="btLr"/>
          </w:tcPr>
          <w:p w14:paraId="2FEA119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1B1EDE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200902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4AA7352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13</w:t>
            </w:r>
          </w:p>
        </w:tc>
        <w:tc>
          <w:tcPr>
            <w:tcW w:w="0" w:type="auto"/>
            <w:shd w:val="clear" w:color="auto" w:fill="D3DFEE"/>
            <w:noWrap/>
            <w:textDirection w:val="btLr"/>
          </w:tcPr>
          <w:p w14:paraId="0BB0201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7ECB1DC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141D02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4DA59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7A5A9D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970EDD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C60A04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1F0A6F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8424B4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24E3B0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E3A844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5F0AB3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CE57C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AD4F07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4619D4B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6802D9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04DE7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065CDDE7" w14:textId="77777777" w:rsidTr="00C674FD">
        <w:trPr>
          <w:cantSplit/>
          <w:trHeight w:val="1134"/>
        </w:trPr>
        <w:tc>
          <w:tcPr>
            <w:tcW w:w="0" w:type="auto"/>
            <w:noWrap/>
            <w:textDirection w:val="btLr"/>
          </w:tcPr>
          <w:p w14:paraId="4CBF917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6C3C9F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CC2DBB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0A72D093"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1B83E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44600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C929E9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FDBD87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00CD2A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6FA47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A84BD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6B7F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3FEFD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84BD86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0BA663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9F005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82211E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E167D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FCEE28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ED5215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16C1D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AE17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0D5D5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70CC1E31" w14:textId="77777777" w:rsidTr="00C674FD">
        <w:trPr>
          <w:cantSplit/>
          <w:trHeight w:val="1134"/>
        </w:trPr>
        <w:tc>
          <w:tcPr>
            <w:tcW w:w="0" w:type="auto"/>
            <w:shd w:val="clear" w:color="auto" w:fill="D3DFEE"/>
            <w:noWrap/>
            <w:textDirection w:val="btLr"/>
          </w:tcPr>
          <w:p w14:paraId="33B994C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34.)</w:t>
            </w:r>
          </w:p>
        </w:tc>
        <w:tc>
          <w:tcPr>
            <w:tcW w:w="0" w:type="auto"/>
            <w:shd w:val="clear" w:color="auto" w:fill="D3DFEE"/>
            <w:noWrap/>
            <w:textDirection w:val="btLr"/>
          </w:tcPr>
          <w:p w14:paraId="718D500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69</w:t>
            </w:r>
          </w:p>
        </w:tc>
        <w:tc>
          <w:tcPr>
            <w:tcW w:w="0" w:type="auto"/>
            <w:shd w:val="clear" w:color="auto" w:fill="D3DFEE"/>
            <w:noWrap/>
            <w:textDirection w:val="btLr"/>
          </w:tcPr>
          <w:p w14:paraId="5545516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5F4FA883"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0E00A53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0</w:t>
            </w:r>
          </w:p>
        </w:tc>
        <w:tc>
          <w:tcPr>
            <w:tcW w:w="0" w:type="auto"/>
            <w:shd w:val="clear" w:color="auto" w:fill="D3DFEE"/>
            <w:noWrap/>
            <w:textDirection w:val="btLr"/>
          </w:tcPr>
          <w:p w14:paraId="49CF4A4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306280E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4DF9083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5BC48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34648A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A5DC3A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A278BC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A292A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84D841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0D1672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C6F4C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4D9F5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8A3760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1F34D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DED02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088B3D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60C11F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BE5FA9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2BF1330" w14:textId="77777777" w:rsidTr="00C674FD">
        <w:trPr>
          <w:cantSplit/>
          <w:trHeight w:val="1134"/>
        </w:trPr>
        <w:tc>
          <w:tcPr>
            <w:tcW w:w="0" w:type="auto"/>
            <w:noWrap/>
            <w:textDirection w:val="btLr"/>
          </w:tcPr>
          <w:p w14:paraId="61AF30D0"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18F094E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8C0BC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77AC7FD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2FB093C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421EFC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4F80E1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B40702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21C4B8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28B854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D8547B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D1D1D8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102D38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479DC4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20366E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78F9C1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B63CE9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EFA0F9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A35C4D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BCC440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65B23B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176663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3C4F68"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57F1FAA6" w14:textId="77777777" w:rsidTr="00C674FD">
        <w:trPr>
          <w:cantSplit/>
          <w:trHeight w:val="1134"/>
        </w:trPr>
        <w:tc>
          <w:tcPr>
            <w:tcW w:w="0" w:type="auto"/>
            <w:shd w:val="clear" w:color="auto" w:fill="D3DFEE"/>
            <w:noWrap/>
            <w:textDirection w:val="btLr"/>
          </w:tcPr>
          <w:p w14:paraId="374FE58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35.)</w:t>
            </w:r>
          </w:p>
        </w:tc>
        <w:tc>
          <w:tcPr>
            <w:tcW w:w="0" w:type="auto"/>
            <w:shd w:val="clear" w:color="auto" w:fill="D3DFEE"/>
            <w:noWrap/>
            <w:textDirection w:val="btLr"/>
          </w:tcPr>
          <w:p w14:paraId="0F25B57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57</w:t>
            </w:r>
          </w:p>
        </w:tc>
        <w:tc>
          <w:tcPr>
            <w:tcW w:w="0" w:type="auto"/>
            <w:shd w:val="clear" w:color="auto" w:fill="D3DFEE"/>
            <w:noWrap/>
            <w:textDirection w:val="btLr"/>
          </w:tcPr>
          <w:p w14:paraId="34AEE03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3DC2C85"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0A4A6F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67A4F6A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3E96C6E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19</w:t>
            </w:r>
          </w:p>
        </w:tc>
        <w:tc>
          <w:tcPr>
            <w:tcW w:w="0" w:type="auto"/>
            <w:shd w:val="clear" w:color="auto" w:fill="D3DFEE"/>
            <w:noWrap/>
            <w:textDirection w:val="btLr"/>
          </w:tcPr>
          <w:p w14:paraId="395A214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1BC717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559008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275F3E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021B2CA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35</w:t>
            </w:r>
          </w:p>
        </w:tc>
        <w:tc>
          <w:tcPr>
            <w:tcW w:w="0" w:type="auto"/>
            <w:shd w:val="clear" w:color="auto" w:fill="D3DFEE"/>
            <w:noWrap/>
            <w:textDirection w:val="btLr"/>
          </w:tcPr>
          <w:p w14:paraId="678DCC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5E871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162692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7684F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7B4A3B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7FA610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4B691B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A4E85F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5176D66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70C47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D0D72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07C30F07" w14:textId="77777777" w:rsidTr="00C674FD">
        <w:trPr>
          <w:cantSplit/>
          <w:trHeight w:val="1134"/>
        </w:trPr>
        <w:tc>
          <w:tcPr>
            <w:tcW w:w="0" w:type="auto"/>
            <w:noWrap/>
            <w:textDirection w:val="btLr"/>
          </w:tcPr>
          <w:p w14:paraId="79298C71"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49FDB8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59F8E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752FE0D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48D2CD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A158B5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790571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769BA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E31876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D241DD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D9A578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51D22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9B0FDA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00E0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AB8B00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A45F2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8770E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79C0B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E2C7D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18F55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88147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D8522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79D3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1039BAD8" w14:textId="77777777" w:rsidTr="00C674FD">
        <w:trPr>
          <w:cantSplit/>
          <w:trHeight w:val="1134"/>
        </w:trPr>
        <w:tc>
          <w:tcPr>
            <w:tcW w:w="0" w:type="auto"/>
            <w:shd w:val="clear" w:color="auto" w:fill="D3DFEE"/>
            <w:noWrap/>
            <w:textDirection w:val="btLr"/>
          </w:tcPr>
          <w:p w14:paraId="6124254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36.)</w:t>
            </w:r>
          </w:p>
        </w:tc>
        <w:tc>
          <w:tcPr>
            <w:tcW w:w="0" w:type="auto"/>
            <w:shd w:val="clear" w:color="auto" w:fill="D3DFEE"/>
            <w:noWrap/>
            <w:textDirection w:val="btLr"/>
          </w:tcPr>
          <w:p w14:paraId="42B8102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45</w:t>
            </w:r>
          </w:p>
        </w:tc>
        <w:tc>
          <w:tcPr>
            <w:tcW w:w="0" w:type="auto"/>
            <w:shd w:val="clear" w:color="auto" w:fill="D3DFEE"/>
            <w:noWrap/>
            <w:textDirection w:val="btLr"/>
          </w:tcPr>
          <w:p w14:paraId="2A509AC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714FCD9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1D8F044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12A308C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1393B77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24F24A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E2FCD9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AEE0B1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92D56D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B6940E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FEB02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5CED7D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B3BE29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36FD8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4C2280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785579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717D787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5846EA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7496310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40E36EB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01C7EC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6F4A6DB" w14:textId="77777777" w:rsidTr="00C674FD">
        <w:trPr>
          <w:cantSplit/>
          <w:trHeight w:val="1134"/>
        </w:trPr>
        <w:tc>
          <w:tcPr>
            <w:tcW w:w="0" w:type="auto"/>
            <w:noWrap/>
            <w:textDirection w:val="btLr"/>
          </w:tcPr>
          <w:p w14:paraId="11C1BCD3"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5075A1A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BC7439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67882A5"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4838D3C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72138F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93DE2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3BE90B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C3147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F63FA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FF5AD2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EFFD0A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6F4BF0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651755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E105A5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46752A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ADA218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D457B4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D9846F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5E72D3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BEC63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1C7E68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CE3B71C"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3D40DA27" w14:textId="77777777" w:rsidTr="00C674FD">
        <w:trPr>
          <w:cantSplit/>
          <w:trHeight w:val="1134"/>
        </w:trPr>
        <w:tc>
          <w:tcPr>
            <w:tcW w:w="0" w:type="auto"/>
            <w:shd w:val="clear" w:color="auto" w:fill="D3DFEE"/>
            <w:noWrap/>
            <w:textDirection w:val="btLr"/>
          </w:tcPr>
          <w:p w14:paraId="32B1F8C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37.)</w:t>
            </w:r>
          </w:p>
        </w:tc>
        <w:tc>
          <w:tcPr>
            <w:tcW w:w="0" w:type="auto"/>
            <w:shd w:val="clear" w:color="auto" w:fill="D3DFEE"/>
            <w:noWrap/>
            <w:textDirection w:val="btLr"/>
          </w:tcPr>
          <w:p w14:paraId="70A290C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42</w:t>
            </w:r>
          </w:p>
        </w:tc>
        <w:tc>
          <w:tcPr>
            <w:tcW w:w="0" w:type="auto"/>
            <w:shd w:val="clear" w:color="auto" w:fill="D3DFEE"/>
            <w:noWrap/>
            <w:textDirection w:val="btLr"/>
          </w:tcPr>
          <w:p w14:paraId="27985C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B2E490C"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9B519E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13AF131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3E7B922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25A38CC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E5BC2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13207D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7634C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77C6C8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B5B5BF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AE3068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27EBBD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2F8190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2E585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A4CC14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1D9FAC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1B96AF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11497D6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r w:rsidR="00EE67BD" w:rsidRPr="008F13F9">
              <w:rPr>
                <w:rFonts w:ascii="Arial" w:hAnsi="Arial" w:cs="Arial"/>
                <w:color w:val="000000"/>
                <w:sz w:val="24"/>
                <w:szCs w:val="24"/>
              </w:rPr>
              <w:t>Hetero</w:t>
            </w:r>
          </w:p>
        </w:tc>
        <w:tc>
          <w:tcPr>
            <w:tcW w:w="0" w:type="auto"/>
            <w:shd w:val="clear" w:color="auto" w:fill="D3DFEE"/>
            <w:noWrap/>
            <w:textDirection w:val="btLr"/>
          </w:tcPr>
          <w:p w14:paraId="4B5C42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D6600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F4AA4A4" w14:textId="77777777" w:rsidTr="00F27AA7">
        <w:trPr>
          <w:cantSplit/>
          <w:trHeight w:val="1181"/>
        </w:trPr>
        <w:tc>
          <w:tcPr>
            <w:tcW w:w="0" w:type="auto"/>
            <w:noWrap/>
            <w:textDirection w:val="btLr"/>
          </w:tcPr>
          <w:p w14:paraId="7BFDE7C0"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56B0AB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2C0BA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6D1E9C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E0252C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A2E942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F774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B3045B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5EFBB9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8FBC96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6B17F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D832F8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CC23A5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245B4B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7337D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D72703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A48EC7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AA55B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4C023B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A25EA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BACDE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1D96CD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D32574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0ABC8D36" w14:textId="77777777" w:rsidTr="00C674FD">
        <w:trPr>
          <w:cantSplit/>
          <w:trHeight w:val="1134"/>
        </w:trPr>
        <w:tc>
          <w:tcPr>
            <w:tcW w:w="0" w:type="auto"/>
            <w:shd w:val="clear" w:color="auto" w:fill="D3DFEE"/>
            <w:noWrap/>
            <w:textDirection w:val="btLr"/>
          </w:tcPr>
          <w:p w14:paraId="6D9B18B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38.)</w:t>
            </w:r>
          </w:p>
        </w:tc>
        <w:tc>
          <w:tcPr>
            <w:tcW w:w="0" w:type="auto"/>
            <w:shd w:val="clear" w:color="auto" w:fill="D3DFEE"/>
            <w:noWrap/>
            <w:textDirection w:val="btLr"/>
          </w:tcPr>
          <w:p w14:paraId="72102F7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46</w:t>
            </w:r>
          </w:p>
        </w:tc>
        <w:tc>
          <w:tcPr>
            <w:tcW w:w="0" w:type="auto"/>
            <w:shd w:val="clear" w:color="auto" w:fill="D3DFEE"/>
            <w:noWrap/>
            <w:textDirection w:val="btLr"/>
          </w:tcPr>
          <w:p w14:paraId="71FA0C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0C5FD7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69A120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3FB369A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60E9A30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7E1F4E0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202501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DC871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DB45D5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B6D4DB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B4C06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EA4469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F34A98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25893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B19F8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E6D9C0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7E071BD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1C417F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0AD756BD" w14:textId="77777777" w:rsidR="0064032D" w:rsidRPr="008F13F9" w:rsidRDefault="00EE67B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22750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94AEE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9B493E9" w14:textId="77777777" w:rsidTr="00C674FD">
        <w:trPr>
          <w:cantSplit/>
          <w:trHeight w:val="1134"/>
        </w:trPr>
        <w:tc>
          <w:tcPr>
            <w:tcW w:w="0" w:type="auto"/>
            <w:vMerge w:val="restart"/>
            <w:noWrap/>
            <w:textDirection w:val="btLr"/>
          </w:tcPr>
          <w:p w14:paraId="7E8200F1"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39.)</w:t>
            </w:r>
          </w:p>
        </w:tc>
        <w:tc>
          <w:tcPr>
            <w:tcW w:w="0" w:type="auto"/>
            <w:noWrap/>
            <w:textDirection w:val="btLr"/>
          </w:tcPr>
          <w:p w14:paraId="5C6B23D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54A1C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572CE78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0BBF8C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644652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8E9681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D4B8CA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660C3E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947727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4FF365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DD586A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39B414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623483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296F5A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45B931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826976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B8AE6D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AC5B3B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D8B905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E2D9A9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919C0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1AAEE7"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62AA084A" w14:textId="77777777" w:rsidTr="00C674FD">
        <w:trPr>
          <w:cantSplit/>
          <w:trHeight w:val="1134"/>
        </w:trPr>
        <w:tc>
          <w:tcPr>
            <w:tcW w:w="0" w:type="auto"/>
            <w:vMerge/>
            <w:shd w:val="clear" w:color="auto" w:fill="D3DFEE"/>
            <w:noWrap/>
            <w:textDirection w:val="btLr"/>
          </w:tcPr>
          <w:p w14:paraId="3F9B09C4"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shd w:val="clear" w:color="auto" w:fill="D3DFEE"/>
            <w:noWrap/>
            <w:textDirection w:val="btLr"/>
          </w:tcPr>
          <w:p w14:paraId="39D27FE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41</w:t>
            </w:r>
          </w:p>
        </w:tc>
        <w:tc>
          <w:tcPr>
            <w:tcW w:w="0" w:type="auto"/>
            <w:shd w:val="clear" w:color="auto" w:fill="D3DFEE"/>
            <w:noWrap/>
            <w:textDirection w:val="btLr"/>
          </w:tcPr>
          <w:p w14:paraId="5B821A6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93CF9C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3471EE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7A78AAE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024141D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1C880B4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A24AC4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BF1432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1AB28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E3AF34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694CE0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5B0C27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920A2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41250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DB8D9F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78DAD9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1497F2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B9FDA5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6E87963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r w:rsidR="00EE67BD" w:rsidRPr="008F13F9">
              <w:rPr>
                <w:rFonts w:ascii="Arial" w:hAnsi="Arial" w:cs="Arial"/>
                <w:color w:val="000000"/>
                <w:sz w:val="24"/>
                <w:szCs w:val="24"/>
              </w:rPr>
              <w:t>Hetero</w:t>
            </w:r>
          </w:p>
        </w:tc>
        <w:tc>
          <w:tcPr>
            <w:tcW w:w="0" w:type="auto"/>
            <w:shd w:val="clear" w:color="auto" w:fill="D3DFEE"/>
            <w:noWrap/>
            <w:textDirection w:val="btLr"/>
          </w:tcPr>
          <w:p w14:paraId="629AA3C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18912F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518025FD" w14:textId="77777777" w:rsidTr="00C674FD">
        <w:trPr>
          <w:cantSplit/>
          <w:trHeight w:val="1134"/>
        </w:trPr>
        <w:tc>
          <w:tcPr>
            <w:tcW w:w="0" w:type="auto"/>
            <w:noWrap/>
            <w:textDirection w:val="btLr"/>
          </w:tcPr>
          <w:p w14:paraId="300CE84F"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7A38E7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428546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A3A297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345589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0861A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3B65C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08B3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6CDF8F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6D624F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05488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5F4F5C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1869C7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42CE5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97EBD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32D4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F1E66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3CF8A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A1BFD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E85BA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3114C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9C19E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3EF619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33CD452A" w14:textId="77777777" w:rsidTr="00C674FD">
        <w:trPr>
          <w:cantSplit/>
          <w:trHeight w:val="1134"/>
        </w:trPr>
        <w:tc>
          <w:tcPr>
            <w:tcW w:w="0" w:type="auto"/>
            <w:shd w:val="clear" w:color="auto" w:fill="D3DFEE"/>
            <w:noWrap/>
            <w:textDirection w:val="btLr"/>
          </w:tcPr>
          <w:p w14:paraId="3C3E3AF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40.)</w:t>
            </w:r>
          </w:p>
        </w:tc>
        <w:tc>
          <w:tcPr>
            <w:tcW w:w="0" w:type="auto"/>
            <w:shd w:val="clear" w:color="auto" w:fill="D3DFEE"/>
            <w:noWrap/>
            <w:textDirection w:val="btLr"/>
          </w:tcPr>
          <w:p w14:paraId="3A6910B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30</w:t>
            </w:r>
          </w:p>
        </w:tc>
        <w:tc>
          <w:tcPr>
            <w:tcW w:w="0" w:type="auto"/>
            <w:shd w:val="clear" w:color="auto" w:fill="D3DFEE"/>
            <w:noWrap/>
            <w:textDirection w:val="btLr"/>
          </w:tcPr>
          <w:p w14:paraId="6BB20C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898442E"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747C732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655A5BD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9</w:t>
            </w:r>
          </w:p>
        </w:tc>
        <w:tc>
          <w:tcPr>
            <w:tcW w:w="0" w:type="auto"/>
            <w:shd w:val="clear" w:color="auto" w:fill="D3DFEE"/>
            <w:noWrap/>
            <w:textDirection w:val="btLr"/>
          </w:tcPr>
          <w:p w14:paraId="5682E5D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76B8E1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DB81D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B5245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E3857D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28F6D1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357C6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956706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423751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F50B4D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637B8F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2BF891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8FA008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9F3337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0209D602" w14:textId="77777777" w:rsidR="0064032D" w:rsidRPr="008F13F9" w:rsidRDefault="00EE67B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4E63AC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0CD01D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F8E650D" w14:textId="77777777" w:rsidTr="00C674FD">
        <w:trPr>
          <w:cantSplit/>
          <w:trHeight w:val="1134"/>
        </w:trPr>
        <w:tc>
          <w:tcPr>
            <w:tcW w:w="0" w:type="auto"/>
            <w:noWrap/>
            <w:textDirection w:val="btLr"/>
          </w:tcPr>
          <w:p w14:paraId="64E339D7"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7C2EE84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E922A0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8637C4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5BA4786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FACE15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4E789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B75F1F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6D106F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C0446F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B23052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988EB4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4B6DB4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0746D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035F00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046771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A54785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5987AA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5A6B14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6EC1C1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AFE0DF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F69DF3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BA54D2C"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0170ACBC" w14:textId="77777777" w:rsidTr="00C674FD">
        <w:trPr>
          <w:cantSplit/>
          <w:trHeight w:val="1134"/>
        </w:trPr>
        <w:tc>
          <w:tcPr>
            <w:tcW w:w="0" w:type="auto"/>
            <w:shd w:val="clear" w:color="auto" w:fill="D3DFEE"/>
            <w:noWrap/>
            <w:textDirection w:val="btLr"/>
          </w:tcPr>
          <w:p w14:paraId="14C79C4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41.)</w:t>
            </w:r>
          </w:p>
        </w:tc>
        <w:tc>
          <w:tcPr>
            <w:tcW w:w="0" w:type="auto"/>
            <w:shd w:val="clear" w:color="auto" w:fill="D3DFEE"/>
            <w:noWrap/>
            <w:textDirection w:val="btLr"/>
          </w:tcPr>
          <w:p w14:paraId="48C35A0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40</w:t>
            </w:r>
          </w:p>
        </w:tc>
        <w:tc>
          <w:tcPr>
            <w:tcW w:w="0" w:type="auto"/>
            <w:shd w:val="clear" w:color="auto" w:fill="D3DFEE"/>
            <w:noWrap/>
            <w:textDirection w:val="btLr"/>
          </w:tcPr>
          <w:p w14:paraId="0961E9F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0C5A0C71"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759BFEC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7C88F25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9</w:t>
            </w:r>
          </w:p>
        </w:tc>
        <w:tc>
          <w:tcPr>
            <w:tcW w:w="0" w:type="auto"/>
            <w:shd w:val="clear" w:color="auto" w:fill="D3DFEE"/>
            <w:noWrap/>
            <w:textDirection w:val="btLr"/>
          </w:tcPr>
          <w:p w14:paraId="2CC54D9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283F7C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6A33B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F393E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22AFB7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10</w:t>
            </w:r>
          </w:p>
        </w:tc>
        <w:tc>
          <w:tcPr>
            <w:tcW w:w="0" w:type="auto"/>
            <w:shd w:val="clear" w:color="auto" w:fill="D3DFEE"/>
            <w:noWrap/>
            <w:textDirection w:val="btLr"/>
          </w:tcPr>
          <w:p w14:paraId="35FDD88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25</w:t>
            </w:r>
          </w:p>
        </w:tc>
        <w:tc>
          <w:tcPr>
            <w:tcW w:w="0" w:type="auto"/>
            <w:shd w:val="clear" w:color="auto" w:fill="D3DFEE"/>
            <w:noWrap/>
            <w:textDirection w:val="btLr"/>
          </w:tcPr>
          <w:p w14:paraId="666873C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02E971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66772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9B1981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D246C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966CC9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7C2F69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D7A30B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03AB58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r w:rsidR="00EE67BD" w:rsidRPr="008F13F9">
              <w:rPr>
                <w:rFonts w:ascii="Arial" w:hAnsi="Arial" w:cs="Arial"/>
                <w:color w:val="000000"/>
                <w:sz w:val="24"/>
                <w:szCs w:val="24"/>
              </w:rPr>
              <w:t>Hetero</w:t>
            </w:r>
          </w:p>
        </w:tc>
        <w:tc>
          <w:tcPr>
            <w:tcW w:w="0" w:type="auto"/>
            <w:shd w:val="clear" w:color="auto" w:fill="D3DFEE"/>
            <w:noWrap/>
            <w:textDirection w:val="btLr"/>
          </w:tcPr>
          <w:p w14:paraId="5F66BBC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33E20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895AF65" w14:textId="77777777" w:rsidTr="00C674FD">
        <w:trPr>
          <w:cantSplit/>
          <w:trHeight w:val="1134"/>
        </w:trPr>
        <w:tc>
          <w:tcPr>
            <w:tcW w:w="0" w:type="auto"/>
            <w:noWrap/>
            <w:textDirection w:val="btLr"/>
          </w:tcPr>
          <w:p w14:paraId="5A9F558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2DA20E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D0CB3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2B44F54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F81FDD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8F39C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4D48A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8BFB83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E0AB3A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B9AE4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048BC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17667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67C09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F92548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BC257B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9AC3E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FE7B7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7A903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3FC6E8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628AF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E34F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86AB99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5F1A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56A2F838" w14:textId="77777777" w:rsidTr="00C674FD">
        <w:trPr>
          <w:cantSplit/>
          <w:trHeight w:val="1134"/>
        </w:trPr>
        <w:tc>
          <w:tcPr>
            <w:tcW w:w="0" w:type="auto"/>
            <w:shd w:val="clear" w:color="auto" w:fill="D3DFEE"/>
            <w:noWrap/>
            <w:textDirection w:val="btLr"/>
          </w:tcPr>
          <w:p w14:paraId="6176859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42.)</w:t>
            </w:r>
          </w:p>
        </w:tc>
        <w:tc>
          <w:tcPr>
            <w:tcW w:w="0" w:type="auto"/>
            <w:shd w:val="clear" w:color="auto" w:fill="D3DFEE"/>
            <w:noWrap/>
            <w:textDirection w:val="btLr"/>
          </w:tcPr>
          <w:p w14:paraId="1AEFF6B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45</w:t>
            </w:r>
          </w:p>
        </w:tc>
        <w:tc>
          <w:tcPr>
            <w:tcW w:w="0" w:type="auto"/>
            <w:shd w:val="clear" w:color="auto" w:fill="D3DFEE"/>
            <w:noWrap/>
            <w:textDirection w:val="btLr"/>
          </w:tcPr>
          <w:p w14:paraId="02D833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B2D52D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4D11A7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74F135D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64AABD6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053061C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C2498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30DFF8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B0F7FF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CACA52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648D07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27326E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6A8171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98A25B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3D5DA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E24FA1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B9A313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555E2EE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1939D7F8" w14:textId="77777777" w:rsidR="0064032D" w:rsidRPr="008F13F9" w:rsidRDefault="00EE67B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B1EF1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D19176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5D6FFE5" w14:textId="77777777" w:rsidTr="00C674FD">
        <w:trPr>
          <w:cantSplit/>
          <w:trHeight w:val="1134"/>
        </w:trPr>
        <w:tc>
          <w:tcPr>
            <w:tcW w:w="0" w:type="auto"/>
            <w:noWrap/>
            <w:textDirection w:val="btLr"/>
          </w:tcPr>
          <w:p w14:paraId="45197295"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7C4D89B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5A9AF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9B85F5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512F6CE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372500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3761D5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551C21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C90D56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B58E9A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D09707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E2D085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0A5833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8A7A2D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21E94A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A39AB6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171550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3D6BF0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6B948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A2E248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73D652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95E75E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7DD74CF"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74A5CB5F" w14:textId="77777777" w:rsidTr="00C674FD">
        <w:trPr>
          <w:cantSplit/>
          <w:trHeight w:val="1134"/>
        </w:trPr>
        <w:tc>
          <w:tcPr>
            <w:tcW w:w="0" w:type="auto"/>
            <w:shd w:val="clear" w:color="auto" w:fill="D3DFEE"/>
            <w:noWrap/>
            <w:textDirection w:val="btLr"/>
          </w:tcPr>
          <w:p w14:paraId="7423ADBC"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43.)</w:t>
            </w:r>
          </w:p>
        </w:tc>
        <w:tc>
          <w:tcPr>
            <w:tcW w:w="0" w:type="auto"/>
            <w:shd w:val="clear" w:color="auto" w:fill="D3DFEE"/>
            <w:noWrap/>
            <w:textDirection w:val="btLr"/>
          </w:tcPr>
          <w:p w14:paraId="17CCF25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32</w:t>
            </w:r>
          </w:p>
        </w:tc>
        <w:tc>
          <w:tcPr>
            <w:tcW w:w="0" w:type="auto"/>
            <w:shd w:val="clear" w:color="auto" w:fill="D3DFEE"/>
            <w:noWrap/>
            <w:textDirection w:val="btLr"/>
          </w:tcPr>
          <w:p w14:paraId="2C78F25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6F65A3C"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3F08D1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9</w:t>
            </w:r>
          </w:p>
        </w:tc>
        <w:tc>
          <w:tcPr>
            <w:tcW w:w="0" w:type="auto"/>
            <w:shd w:val="clear" w:color="auto" w:fill="D3DFEE"/>
            <w:noWrap/>
            <w:textDirection w:val="btLr"/>
          </w:tcPr>
          <w:p w14:paraId="5E613DF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5391FBD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2276AD1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DDBF4B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A491A9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18E70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075D7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3CF26A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D0A0F3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35F655E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64B07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7656E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9593C7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F707F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9E504D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11F78C9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r w:rsidR="00EE67BD" w:rsidRPr="008F13F9">
              <w:rPr>
                <w:rFonts w:ascii="Arial" w:hAnsi="Arial" w:cs="Arial"/>
                <w:color w:val="000000"/>
                <w:sz w:val="24"/>
                <w:szCs w:val="24"/>
              </w:rPr>
              <w:t>Hetero</w:t>
            </w:r>
          </w:p>
        </w:tc>
        <w:tc>
          <w:tcPr>
            <w:tcW w:w="0" w:type="auto"/>
            <w:shd w:val="clear" w:color="auto" w:fill="D3DFEE"/>
            <w:noWrap/>
            <w:textDirection w:val="btLr"/>
          </w:tcPr>
          <w:p w14:paraId="60DA3B1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F19322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275F8944" w14:textId="77777777" w:rsidTr="00C674FD">
        <w:trPr>
          <w:cantSplit/>
          <w:trHeight w:val="1134"/>
        </w:trPr>
        <w:tc>
          <w:tcPr>
            <w:tcW w:w="0" w:type="auto"/>
            <w:noWrap/>
            <w:textDirection w:val="btLr"/>
          </w:tcPr>
          <w:p w14:paraId="1777E71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6DE9F0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2C48A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0906F691"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6B2DD55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5F55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70831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363192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BC98F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9F0EC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07D2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2260D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8EC0E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2E2B79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EAA43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4FF583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2E71F6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7AB7BF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8BFA7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8E400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B3B080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2B023A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A54842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1B4AF8C6" w14:textId="77777777" w:rsidTr="00C674FD">
        <w:trPr>
          <w:cantSplit/>
          <w:trHeight w:val="1134"/>
        </w:trPr>
        <w:tc>
          <w:tcPr>
            <w:tcW w:w="0" w:type="auto"/>
            <w:shd w:val="clear" w:color="auto" w:fill="D3DFEE"/>
            <w:noWrap/>
            <w:textDirection w:val="btLr"/>
          </w:tcPr>
          <w:p w14:paraId="1721C42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44.)</w:t>
            </w:r>
          </w:p>
        </w:tc>
        <w:tc>
          <w:tcPr>
            <w:tcW w:w="0" w:type="auto"/>
            <w:shd w:val="clear" w:color="auto" w:fill="D3DFEE"/>
            <w:noWrap/>
            <w:textDirection w:val="btLr"/>
          </w:tcPr>
          <w:p w14:paraId="056EECD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49</w:t>
            </w:r>
          </w:p>
        </w:tc>
        <w:tc>
          <w:tcPr>
            <w:tcW w:w="0" w:type="auto"/>
            <w:shd w:val="clear" w:color="auto" w:fill="D3DFEE"/>
            <w:noWrap/>
            <w:textDirection w:val="btLr"/>
          </w:tcPr>
          <w:p w14:paraId="0B8040A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523C427E"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 Negativní</w:t>
            </w:r>
          </w:p>
        </w:tc>
        <w:tc>
          <w:tcPr>
            <w:tcW w:w="0" w:type="auto"/>
            <w:shd w:val="clear" w:color="auto" w:fill="D3DFEE"/>
            <w:noWrap/>
            <w:textDirection w:val="btLr"/>
          </w:tcPr>
          <w:p w14:paraId="6CCFCC1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0</w:t>
            </w:r>
          </w:p>
        </w:tc>
        <w:tc>
          <w:tcPr>
            <w:tcW w:w="0" w:type="auto"/>
            <w:shd w:val="clear" w:color="auto" w:fill="D3DFEE"/>
            <w:noWrap/>
            <w:textDirection w:val="btLr"/>
          </w:tcPr>
          <w:p w14:paraId="7AD572E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69A6257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19</w:t>
            </w:r>
          </w:p>
        </w:tc>
        <w:tc>
          <w:tcPr>
            <w:tcW w:w="0" w:type="auto"/>
            <w:shd w:val="clear" w:color="auto" w:fill="D3DFEE"/>
            <w:noWrap/>
            <w:textDirection w:val="btLr"/>
          </w:tcPr>
          <w:p w14:paraId="25F92C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325D5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D71D59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31B81D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151886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FEA82B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2A5F2F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366959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185B3F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15623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09A3A3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7B7D7D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2E07C7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6912E85E" w14:textId="77777777" w:rsidR="0064032D" w:rsidRPr="008F13F9" w:rsidRDefault="00EE67B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15695E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669937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8D55B03" w14:textId="77777777" w:rsidTr="00C674FD">
        <w:trPr>
          <w:cantSplit/>
          <w:trHeight w:val="1134"/>
        </w:trPr>
        <w:tc>
          <w:tcPr>
            <w:tcW w:w="0" w:type="auto"/>
            <w:noWrap/>
            <w:textDirection w:val="btLr"/>
          </w:tcPr>
          <w:p w14:paraId="263694C7"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16F66F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72A3AA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7A19A01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44206B4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ABF53B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8FA4DD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58844B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7BFCDC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446542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91889C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D6B920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2CF045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AE674F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6220F2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3AB584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F6770B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E5C082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BB19AA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787EF3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4F1AB7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64B9F7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E316AA6"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76A465A6" w14:textId="77777777" w:rsidTr="00C674FD">
        <w:trPr>
          <w:cantSplit/>
          <w:trHeight w:val="1134"/>
        </w:trPr>
        <w:tc>
          <w:tcPr>
            <w:tcW w:w="0" w:type="auto"/>
            <w:shd w:val="clear" w:color="auto" w:fill="D3DFEE"/>
            <w:noWrap/>
            <w:textDirection w:val="btLr"/>
          </w:tcPr>
          <w:p w14:paraId="2C1173E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45.)</w:t>
            </w:r>
          </w:p>
        </w:tc>
        <w:tc>
          <w:tcPr>
            <w:tcW w:w="0" w:type="auto"/>
            <w:shd w:val="clear" w:color="auto" w:fill="D3DFEE"/>
            <w:noWrap/>
            <w:textDirection w:val="btLr"/>
          </w:tcPr>
          <w:p w14:paraId="349861D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75</w:t>
            </w:r>
          </w:p>
        </w:tc>
        <w:tc>
          <w:tcPr>
            <w:tcW w:w="0" w:type="auto"/>
            <w:shd w:val="clear" w:color="auto" w:fill="D3DFEE"/>
            <w:noWrap/>
            <w:textDirection w:val="btLr"/>
          </w:tcPr>
          <w:p w14:paraId="54EDAD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D2AA206"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796A44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0</w:t>
            </w:r>
          </w:p>
        </w:tc>
        <w:tc>
          <w:tcPr>
            <w:tcW w:w="0" w:type="auto"/>
            <w:shd w:val="clear" w:color="auto" w:fill="D3DFEE"/>
            <w:noWrap/>
            <w:textDirection w:val="btLr"/>
          </w:tcPr>
          <w:p w14:paraId="592951C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2132D6D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366811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17351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00405D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55FF7E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DB5E54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629D3E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DB1EE3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E0DD7B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419E98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1212D5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0D57D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0 (zubní náhrady)</w:t>
            </w:r>
          </w:p>
        </w:tc>
        <w:tc>
          <w:tcPr>
            <w:tcW w:w="0" w:type="auto"/>
            <w:shd w:val="clear" w:color="auto" w:fill="D3DFEE"/>
            <w:noWrap/>
            <w:textDirection w:val="btLr"/>
          </w:tcPr>
          <w:p w14:paraId="793BC2D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4AE357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2A4669E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r w:rsidR="00EE67BD" w:rsidRPr="008F13F9">
              <w:rPr>
                <w:rFonts w:ascii="Arial" w:hAnsi="Arial" w:cs="Arial"/>
                <w:color w:val="000000"/>
                <w:sz w:val="24"/>
                <w:szCs w:val="24"/>
              </w:rPr>
              <w:t>Hetero</w:t>
            </w:r>
          </w:p>
        </w:tc>
        <w:tc>
          <w:tcPr>
            <w:tcW w:w="0" w:type="auto"/>
            <w:shd w:val="clear" w:color="auto" w:fill="D3DFEE"/>
            <w:noWrap/>
            <w:textDirection w:val="btLr"/>
          </w:tcPr>
          <w:p w14:paraId="6A59A1E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BA5E7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7AD2336" w14:textId="77777777" w:rsidTr="00C674FD">
        <w:trPr>
          <w:cantSplit/>
          <w:trHeight w:val="1134"/>
        </w:trPr>
        <w:tc>
          <w:tcPr>
            <w:tcW w:w="0" w:type="auto"/>
            <w:noWrap/>
            <w:textDirection w:val="btLr"/>
          </w:tcPr>
          <w:p w14:paraId="1BDC7962"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7429639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2DF75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01992BBE"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6C2FD3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C9B1B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1B3E48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D5376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5ED3AB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F3404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F683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A0F0CC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E68F8F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C2406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D0917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0D1065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DEC6D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242EE4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BBE77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FACB47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F946E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C6ACCE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441A2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338DA133" w14:textId="77777777" w:rsidTr="00C674FD">
        <w:trPr>
          <w:cantSplit/>
          <w:trHeight w:val="1134"/>
        </w:trPr>
        <w:tc>
          <w:tcPr>
            <w:tcW w:w="0" w:type="auto"/>
            <w:shd w:val="clear" w:color="auto" w:fill="D3DFEE"/>
            <w:noWrap/>
            <w:textDirection w:val="btLr"/>
          </w:tcPr>
          <w:p w14:paraId="582CB9E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46.)</w:t>
            </w:r>
          </w:p>
        </w:tc>
        <w:tc>
          <w:tcPr>
            <w:tcW w:w="0" w:type="auto"/>
            <w:shd w:val="clear" w:color="auto" w:fill="D3DFEE"/>
            <w:noWrap/>
            <w:textDirection w:val="btLr"/>
          </w:tcPr>
          <w:p w14:paraId="46E5240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51</w:t>
            </w:r>
          </w:p>
        </w:tc>
        <w:tc>
          <w:tcPr>
            <w:tcW w:w="0" w:type="auto"/>
            <w:shd w:val="clear" w:color="auto" w:fill="D3DFEE"/>
            <w:noWrap/>
            <w:textDirection w:val="btLr"/>
          </w:tcPr>
          <w:p w14:paraId="5FA4924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78BED21"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E14EE3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6402BA8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57BA6FA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21</w:t>
            </w:r>
          </w:p>
        </w:tc>
        <w:tc>
          <w:tcPr>
            <w:tcW w:w="0" w:type="auto"/>
            <w:shd w:val="clear" w:color="auto" w:fill="D3DFEE"/>
            <w:noWrap/>
            <w:textDirection w:val="btLr"/>
          </w:tcPr>
          <w:p w14:paraId="265A7D1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87D94E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4C628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10F745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8EEAE0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7982C5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3EB17D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CFDAEE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B2C99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90BC6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3BDEA1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7CB1E8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65DBE5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255AC42D" w14:textId="77777777" w:rsidR="0064032D" w:rsidRPr="008F13F9" w:rsidRDefault="00EE67B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2624C6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BD709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6EBFF473" w14:textId="77777777" w:rsidTr="00C674FD">
        <w:trPr>
          <w:cantSplit/>
          <w:trHeight w:val="1134"/>
        </w:trPr>
        <w:tc>
          <w:tcPr>
            <w:tcW w:w="0" w:type="auto"/>
            <w:noWrap/>
            <w:textDirection w:val="btLr"/>
          </w:tcPr>
          <w:p w14:paraId="5B6DF8AB"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24E99B7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0FE6B9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2B734D23"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1630F2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0494A6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6B7EED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953885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4A2A60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EC869B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8D093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2A689F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A07E1E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B717F6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C32811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89033C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F1FA8B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C97861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C00CB1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57C394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9AE1F4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7F3A3E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8E33047"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1FFDA837" w14:textId="77777777" w:rsidTr="00C674FD">
        <w:trPr>
          <w:cantSplit/>
          <w:trHeight w:val="1134"/>
        </w:trPr>
        <w:tc>
          <w:tcPr>
            <w:tcW w:w="0" w:type="auto"/>
            <w:shd w:val="clear" w:color="auto" w:fill="D3DFEE"/>
            <w:noWrap/>
            <w:textDirection w:val="btLr"/>
          </w:tcPr>
          <w:p w14:paraId="5511C5C1"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47.)</w:t>
            </w:r>
          </w:p>
        </w:tc>
        <w:tc>
          <w:tcPr>
            <w:tcW w:w="0" w:type="auto"/>
            <w:shd w:val="clear" w:color="auto" w:fill="D3DFEE"/>
            <w:noWrap/>
            <w:textDirection w:val="btLr"/>
          </w:tcPr>
          <w:p w14:paraId="25DC5F3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41</w:t>
            </w:r>
          </w:p>
        </w:tc>
        <w:tc>
          <w:tcPr>
            <w:tcW w:w="0" w:type="auto"/>
            <w:shd w:val="clear" w:color="auto" w:fill="D3DFEE"/>
            <w:noWrap/>
            <w:textDirection w:val="btLr"/>
          </w:tcPr>
          <w:p w14:paraId="123CD21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254766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D5004A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41D0027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63FC649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19</w:t>
            </w:r>
          </w:p>
        </w:tc>
        <w:tc>
          <w:tcPr>
            <w:tcW w:w="0" w:type="auto"/>
            <w:shd w:val="clear" w:color="auto" w:fill="D3DFEE"/>
            <w:noWrap/>
            <w:textDirection w:val="btLr"/>
          </w:tcPr>
          <w:p w14:paraId="64AC571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294E8F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5BA11A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E43861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F7CCF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234B18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A8AF0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F482FC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F5E7E3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71C433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724C7DC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7B816C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F254E8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454312B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r w:rsidR="00EE67BD" w:rsidRPr="008F13F9">
              <w:rPr>
                <w:rFonts w:ascii="Arial" w:hAnsi="Arial" w:cs="Arial"/>
                <w:color w:val="000000"/>
                <w:sz w:val="24"/>
                <w:szCs w:val="24"/>
              </w:rPr>
              <w:t>Hetero</w:t>
            </w:r>
          </w:p>
        </w:tc>
        <w:tc>
          <w:tcPr>
            <w:tcW w:w="0" w:type="auto"/>
            <w:shd w:val="clear" w:color="auto" w:fill="D3DFEE"/>
            <w:noWrap/>
            <w:textDirection w:val="btLr"/>
          </w:tcPr>
          <w:p w14:paraId="3932101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09FDD6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B39A80B" w14:textId="77777777" w:rsidTr="00C674FD">
        <w:trPr>
          <w:cantSplit/>
          <w:trHeight w:val="1134"/>
        </w:trPr>
        <w:tc>
          <w:tcPr>
            <w:tcW w:w="0" w:type="auto"/>
            <w:noWrap/>
            <w:textDirection w:val="btLr"/>
          </w:tcPr>
          <w:p w14:paraId="612AF9C1"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48BC4EA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22724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7387C3B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3A6B67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575DE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5D355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76DC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5F9466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70EA41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B951C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8245B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FB82BF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77C1B1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F292D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9B2664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C0B675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C879C5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98590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40AD8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F0DF5A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5951C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462BE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5C05221B" w14:textId="77777777" w:rsidTr="00C674FD">
        <w:trPr>
          <w:cantSplit/>
          <w:trHeight w:val="1134"/>
        </w:trPr>
        <w:tc>
          <w:tcPr>
            <w:tcW w:w="0" w:type="auto"/>
            <w:shd w:val="clear" w:color="auto" w:fill="D3DFEE"/>
            <w:noWrap/>
            <w:textDirection w:val="btLr"/>
          </w:tcPr>
          <w:p w14:paraId="6DF0ACD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48.)</w:t>
            </w:r>
          </w:p>
        </w:tc>
        <w:tc>
          <w:tcPr>
            <w:tcW w:w="0" w:type="auto"/>
            <w:shd w:val="clear" w:color="auto" w:fill="D3DFEE"/>
            <w:noWrap/>
            <w:textDirection w:val="btLr"/>
          </w:tcPr>
          <w:p w14:paraId="4523EE9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46</w:t>
            </w:r>
          </w:p>
        </w:tc>
        <w:tc>
          <w:tcPr>
            <w:tcW w:w="0" w:type="auto"/>
            <w:shd w:val="clear" w:color="auto" w:fill="D3DFEE"/>
            <w:noWrap/>
            <w:textDirection w:val="btLr"/>
          </w:tcPr>
          <w:p w14:paraId="0E8567D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EED20B6"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A0CA0C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3181217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10</w:t>
            </w:r>
          </w:p>
        </w:tc>
        <w:tc>
          <w:tcPr>
            <w:tcW w:w="0" w:type="auto"/>
            <w:shd w:val="clear" w:color="auto" w:fill="D3DFEE"/>
            <w:noWrap/>
            <w:textDirection w:val="btLr"/>
          </w:tcPr>
          <w:p w14:paraId="41EE12B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65510F0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1BA9F3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F7ADDB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799971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A45473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ECA9D6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E04E1F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C5CA18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8ACD2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917C6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037EE7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6CC3CF5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EF689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42F8BF3D" w14:textId="77777777" w:rsidR="0064032D" w:rsidRPr="008F13F9" w:rsidRDefault="00EE67B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BCD5CB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06B360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5143950F" w14:textId="77777777" w:rsidTr="00C674FD">
        <w:trPr>
          <w:cantSplit/>
          <w:trHeight w:val="1134"/>
        </w:trPr>
        <w:tc>
          <w:tcPr>
            <w:tcW w:w="0" w:type="auto"/>
            <w:noWrap/>
            <w:textDirection w:val="btLr"/>
          </w:tcPr>
          <w:p w14:paraId="4BFA450B"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5B378BA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CF5DC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7F12B870"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C3AA1C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05D9B0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2110A7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2CAAC6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443CD7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82E525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419435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839773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F9F303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9090FB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AC844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45B2C0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8B4BDA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8DD1AB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556D74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F8D1E0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3C6A41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692491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50AFAC8"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3A227885" w14:textId="77777777" w:rsidTr="00C674FD">
        <w:trPr>
          <w:cantSplit/>
          <w:trHeight w:val="1134"/>
        </w:trPr>
        <w:tc>
          <w:tcPr>
            <w:tcW w:w="0" w:type="auto"/>
            <w:shd w:val="clear" w:color="auto" w:fill="D3DFEE"/>
            <w:noWrap/>
            <w:textDirection w:val="btLr"/>
          </w:tcPr>
          <w:p w14:paraId="28BA4874"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49.)</w:t>
            </w:r>
          </w:p>
        </w:tc>
        <w:tc>
          <w:tcPr>
            <w:tcW w:w="0" w:type="auto"/>
            <w:shd w:val="clear" w:color="auto" w:fill="D3DFEE"/>
            <w:noWrap/>
            <w:textDirection w:val="btLr"/>
          </w:tcPr>
          <w:p w14:paraId="0D7A421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83</w:t>
            </w:r>
          </w:p>
        </w:tc>
        <w:tc>
          <w:tcPr>
            <w:tcW w:w="0" w:type="auto"/>
            <w:shd w:val="clear" w:color="auto" w:fill="D3DFEE"/>
            <w:noWrap/>
            <w:textDirection w:val="btLr"/>
          </w:tcPr>
          <w:p w14:paraId="264720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1AF655F" w14:textId="4272EF5F" w:rsidR="0064032D" w:rsidRPr="008F13F9" w:rsidRDefault="0098650F" w:rsidP="0098650F">
            <w:pPr>
              <w:spacing w:line="360" w:lineRule="auto"/>
              <w:ind w:left="113" w:right="113"/>
              <w:rPr>
                <w:rFonts w:ascii="Arial" w:hAnsi="Arial" w:cs="Arial"/>
                <w:color w:val="FF0000"/>
                <w:sz w:val="24"/>
                <w:szCs w:val="24"/>
              </w:rPr>
            </w:pPr>
            <w:r w:rsidRPr="0098650F">
              <w:rPr>
                <w:rFonts w:ascii="Arial" w:hAnsi="Arial" w:cs="Arial"/>
                <w:color w:val="FF0000"/>
                <w:sz w:val="20"/>
                <w:szCs w:val="20"/>
              </w:rPr>
              <w:t>HR</w:t>
            </w:r>
            <w:r>
              <w:rPr>
                <w:rFonts w:ascii="Arial" w:hAnsi="Arial" w:cs="Arial"/>
                <w:color w:val="FF0000"/>
                <w:sz w:val="20"/>
                <w:szCs w:val="20"/>
              </w:rPr>
              <w:t xml:space="preserve"> pozit.</w:t>
            </w:r>
            <w:r w:rsidRPr="008F13F9">
              <w:rPr>
                <w:rFonts w:ascii="Arial" w:hAnsi="Arial" w:cs="Arial"/>
                <w:color w:val="FF0000"/>
                <w:sz w:val="24"/>
                <w:szCs w:val="24"/>
              </w:rPr>
              <w:t xml:space="preserve"> </w:t>
            </w:r>
            <w:r w:rsidR="0064032D" w:rsidRPr="008F13F9">
              <w:rPr>
                <w:rFonts w:ascii="Arial" w:hAnsi="Arial" w:cs="Arial"/>
                <w:color w:val="FF0000"/>
                <w:sz w:val="24"/>
                <w:szCs w:val="24"/>
              </w:rPr>
              <w:t>pozitivní</w:t>
            </w:r>
          </w:p>
        </w:tc>
        <w:tc>
          <w:tcPr>
            <w:tcW w:w="0" w:type="auto"/>
            <w:shd w:val="clear" w:color="auto" w:fill="D3DFEE"/>
            <w:noWrap/>
            <w:textDirection w:val="btLr"/>
          </w:tcPr>
          <w:p w14:paraId="10D0ABD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305DA8D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9</w:t>
            </w:r>
          </w:p>
        </w:tc>
        <w:tc>
          <w:tcPr>
            <w:tcW w:w="0" w:type="auto"/>
            <w:shd w:val="clear" w:color="auto" w:fill="D3DFEE"/>
            <w:noWrap/>
            <w:textDirection w:val="btLr"/>
          </w:tcPr>
          <w:p w14:paraId="1422B6A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12C675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2A784C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F9CB0A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932275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41C67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0A8A4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0B0F92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052E39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6F13D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FDC61F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4A857E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6940A1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F6DF27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67FB9B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r w:rsidR="00EE67BD" w:rsidRPr="008F13F9">
              <w:rPr>
                <w:rFonts w:ascii="Arial" w:hAnsi="Arial" w:cs="Arial"/>
                <w:color w:val="000000"/>
                <w:sz w:val="24"/>
                <w:szCs w:val="24"/>
              </w:rPr>
              <w:t>Hetero</w:t>
            </w:r>
          </w:p>
        </w:tc>
        <w:tc>
          <w:tcPr>
            <w:tcW w:w="0" w:type="auto"/>
            <w:shd w:val="clear" w:color="auto" w:fill="D3DFEE"/>
            <w:noWrap/>
            <w:textDirection w:val="btLr"/>
          </w:tcPr>
          <w:p w14:paraId="3A7C95A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8867AD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3DF5AF54" w14:textId="77777777" w:rsidTr="00C674FD">
        <w:trPr>
          <w:cantSplit/>
          <w:trHeight w:val="1134"/>
        </w:trPr>
        <w:tc>
          <w:tcPr>
            <w:tcW w:w="0" w:type="auto"/>
            <w:noWrap/>
            <w:textDirection w:val="btLr"/>
          </w:tcPr>
          <w:p w14:paraId="577662E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73BE0B6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C8E23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219BF40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6EDC7B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B14D9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9E352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0DAF5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B0723C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F5666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065A1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5F3AA6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DD789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E6797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3D9C2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9D1BB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33D7C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8EF299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A1BEE8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9B23C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B9A9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BB4AD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D63EFD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2F77DF6F" w14:textId="77777777" w:rsidTr="00C674FD">
        <w:trPr>
          <w:cantSplit/>
          <w:trHeight w:val="1134"/>
        </w:trPr>
        <w:tc>
          <w:tcPr>
            <w:tcW w:w="0" w:type="auto"/>
            <w:shd w:val="clear" w:color="auto" w:fill="D3DFEE"/>
            <w:noWrap/>
            <w:textDirection w:val="btLr"/>
          </w:tcPr>
          <w:p w14:paraId="1553EC4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50.)</w:t>
            </w:r>
          </w:p>
        </w:tc>
        <w:tc>
          <w:tcPr>
            <w:tcW w:w="0" w:type="auto"/>
            <w:shd w:val="clear" w:color="auto" w:fill="D3DFEE"/>
            <w:noWrap/>
            <w:textDirection w:val="btLr"/>
          </w:tcPr>
          <w:p w14:paraId="4F9C339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45</w:t>
            </w:r>
          </w:p>
        </w:tc>
        <w:tc>
          <w:tcPr>
            <w:tcW w:w="0" w:type="auto"/>
            <w:shd w:val="clear" w:color="auto" w:fill="D3DFEE"/>
            <w:noWrap/>
            <w:textDirection w:val="btLr"/>
          </w:tcPr>
          <w:p w14:paraId="3672F80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73A0E5EC"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7EA18B5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166B652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113FC8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19</w:t>
            </w:r>
          </w:p>
        </w:tc>
        <w:tc>
          <w:tcPr>
            <w:tcW w:w="0" w:type="auto"/>
            <w:shd w:val="clear" w:color="auto" w:fill="D3DFEE"/>
            <w:noWrap/>
            <w:textDirection w:val="btLr"/>
          </w:tcPr>
          <w:p w14:paraId="66CAC6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C26E9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BC6254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B90108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0D78DD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869802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265DB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8ACBD4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5E5324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4C72C6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7FF5E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0 (zubní náhrady)</w:t>
            </w:r>
          </w:p>
        </w:tc>
        <w:tc>
          <w:tcPr>
            <w:tcW w:w="0" w:type="auto"/>
            <w:shd w:val="clear" w:color="auto" w:fill="D3DFEE"/>
            <w:noWrap/>
            <w:textDirection w:val="btLr"/>
          </w:tcPr>
          <w:p w14:paraId="5AD3BB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7C6391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A8819D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32533C3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E3918C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5C2E9B35" w14:textId="77777777" w:rsidTr="00C674FD">
        <w:trPr>
          <w:cantSplit/>
          <w:trHeight w:val="1134"/>
        </w:trPr>
        <w:tc>
          <w:tcPr>
            <w:tcW w:w="0" w:type="auto"/>
            <w:noWrap/>
            <w:textDirection w:val="btLr"/>
          </w:tcPr>
          <w:p w14:paraId="24C38310"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7B87B93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D8E92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C75D20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F07A50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35387E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691EB9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707893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7281E3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1CA51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AF5124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CC1CB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F76854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0E3C4B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CFF7F9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0CECA8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83B79F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CC4223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62B95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56CC1D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854B49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4A0BEC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5C39B6E"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64F6616F" w14:textId="77777777" w:rsidTr="00C674FD">
        <w:trPr>
          <w:cantSplit/>
          <w:trHeight w:val="1134"/>
        </w:trPr>
        <w:tc>
          <w:tcPr>
            <w:tcW w:w="0" w:type="auto"/>
            <w:shd w:val="clear" w:color="auto" w:fill="D3DFEE"/>
            <w:noWrap/>
            <w:textDirection w:val="btLr"/>
          </w:tcPr>
          <w:p w14:paraId="03052EB4"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51.)</w:t>
            </w:r>
          </w:p>
        </w:tc>
        <w:tc>
          <w:tcPr>
            <w:tcW w:w="0" w:type="auto"/>
            <w:shd w:val="clear" w:color="auto" w:fill="D3DFEE"/>
            <w:noWrap/>
            <w:textDirection w:val="btLr"/>
          </w:tcPr>
          <w:p w14:paraId="78DD58D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30</w:t>
            </w:r>
          </w:p>
        </w:tc>
        <w:tc>
          <w:tcPr>
            <w:tcW w:w="0" w:type="auto"/>
            <w:shd w:val="clear" w:color="auto" w:fill="D3DFEE"/>
            <w:noWrap/>
            <w:textDirection w:val="btLr"/>
          </w:tcPr>
          <w:p w14:paraId="5EA581A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0E6BBCE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63AF6E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2F2002D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7A18FD8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2BC298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36FC72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23908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10AD9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849C50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11780B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DB1E60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7CD1F2C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D5AC50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E44B0F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C4612B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749545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33587A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7A25A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1A75CC5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42E080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r>
      <w:tr w:rsidR="0064032D" w:rsidRPr="008F13F9" w14:paraId="76103B2C" w14:textId="77777777" w:rsidTr="00C674FD">
        <w:trPr>
          <w:cantSplit/>
          <w:trHeight w:val="1134"/>
        </w:trPr>
        <w:tc>
          <w:tcPr>
            <w:tcW w:w="0" w:type="auto"/>
            <w:noWrap/>
            <w:textDirection w:val="btLr"/>
          </w:tcPr>
          <w:p w14:paraId="5B04D350"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632B84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7924C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6295002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934FBC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0AB6F3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BD7334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9D612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47DEF4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E51701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546723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A98304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B81B3A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9D67B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454F8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BE77A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802023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01BAD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0E3B54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AEF57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50B62F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0E0994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36573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68B7C743" w14:textId="77777777" w:rsidTr="00C674FD">
        <w:trPr>
          <w:cantSplit/>
          <w:trHeight w:val="1134"/>
        </w:trPr>
        <w:tc>
          <w:tcPr>
            <w:tcW w:w="0" w:type="auto"/>
            <w:shd w:val="clear" w:color="auto" w:fill="D3DFEE"/>
            <w:noWrap/>
            <w:textDirection w:val="btLr"/>
          </w:tcPr>
          <w:p w14:paraId="67BB069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52.)</w:t>
            </w:r>
          </w:p>
        </w:tc>
        <w:tc>
          <w:tcPr>
            <w:tcW w:w="0" w:type="auto"/>
            <w:shd w:val="clear" w:color="auto" w:fill="D3DFEE"/>
            <w:noWrap/>
            <w:textDirection w:val="btLr"/>
          </w:tcPr>
          <w:p w14:paraId="0CF88F3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28</w:t>
            </w:r>
          </w:p>
        </w:tc>
        <w:tc>
          <w:tcPr>
            <w:tcW w:w="0" w:type="auto"/>
            <w:shd w:val="clear" w:color="auto" w:fill="D3DFEE"/>
            <w:noWrap/>
            <w:textDirection w:val="btLr"/>
          </w:tcPr>
          <w:p w14:paraId="369B32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7AE5C7CE"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C2F122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14D79C9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2E9DFD9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7E16ED1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093482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D43D91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EECD1F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E3F3BC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AE44B4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328DFC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21D87D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1F240C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5AC69D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2660D0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00E22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93F1C8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53571A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2E55232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331633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20F5ECE0" w14:textId="77777777" w:rsidTr="00C674FD">
        <w:trPr>
          <w:cantSplit/>
          <w:trHeight w:val="1134"/>
        </w:trPr>
        <w:tc>
          <w:tcPr>
            <w:tcW w:w="0" w:type="auto"/>
            <w:noWrap/>
            <w:textDirection w:val="btLr"/>
          </w:tcPr>
          <w:p w14:paraId="6D643B77"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394A342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EC0643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65D1387E"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267121B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D26A76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EF09F9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272B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9C7A63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B418B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C9B9F9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94739D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C82542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EE349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929A4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334A1B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52D4EE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39218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8C80C9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D96C5F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C35131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B29E69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1811B03"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57BA57FC" w14:textId="77777777" w:rsidTr="00C674FD">
        <w:trPr>
          <w:cantSplit/>
          <w:trHeight w:val="1134"/>
        </w:trPr>
        <w:tc>
          <w:tcPr>
            <w:tcW w:w="0" w:type="auto"/>
            <w:shd w:val="clear" w:color="auto" w:fill="D3DFEE"/>
            <w:noWrap/>
            <w:textDirection w:val="btLr"/>
          </w:tcPr>
          <w:p w14:paraId="158D1C5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53.)</w:t>
            </w:r>
          </w:p>
        </w:tc>
        <w:tc>
          <w:tcPr>
            <w:tcW w:w="0" w:type="auto"/>
            <w:shd w:val="clear" w:color="auto" w:fill="D3DFEE"/>
            <w:noWrap/>
            <w:textDirection w:val="btLr"/>
          </w:tcPr>
          <w:p w14:paraId="61856D6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26</w:t>
            </w:r>
          </w:p>
        </w:tc>
        <w:tc>
          <w:tcPr>
            <w:tcW w:w="0" w:type="auto"/>
            <w:shd w:val="clear" w:color="auto" w:fill="D3DFEE"/>
            <w:noWrap/>
            <w:textDirection w:val="btLr"/>
          </w:tcPr>
          <w:p w14:paraId="56C2F7E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0AD8A4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C9E771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164BC17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734AB64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14404B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1AE17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EBDA1C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BF502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217C2E3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3405712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FD202F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46C7860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F6CC5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AF029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A7C6D4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27A026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DBC1F8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5512A1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46DD41D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134F57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r>
      <w:tr w:rsidR="0064032D" w:rsidRPr="008F13F9" w14:paraId="0BA41A19" w14:textId="77777777" w:rsidTr="00C674FD">
        <w:trPr>
          <w:cantSplit/>
          <w:trHeight w:val="1134"/>
        </w:trPr>
        <w:tc>
          <w:tcPr>
            <w:tcW w:w="0" w:type="auto"/>
            <w:noWrap/>
            <w:textDirection w:val="btLr"/>
          </w:tcPr>
          <w:p w14:paraId="22CE3265"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5B7009F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43BD25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6019D50"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6FCDF0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E03F42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B9ED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FE1106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83FC6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1B45F7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FBF22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29DA8F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56887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62B4B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609B1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CFABE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A61036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CC46B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5C161B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CFCD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D1DD7B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CEA91C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DE66B0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4B61236A" w14:textId="77777777" w:rsidTr="00C674FD">
        <w:trPr>
          <w:cantSplit/>
          <w:trHeight w:val="1134"/>
        </w:trPr>
        <w:tc>
          <w:tcPr>
            <w:tcW w:w="0" w:type="auto"/>
            <w:shd w:val="clear" w:color="auto" w:fill="D3DFEE"/>
            <w:noWrap/>
            <w:textDirection w:val="btLr"/>
          </w:tcPr>
          <w:p w14:paraId="3189F9F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54.)</w:t>
            </w:r>
          </w:p>
        </w:tc>
        <w:tc>
          <w:tcPr>
            <w:tcW w:w="0" w:type="auto"/>
            <w:shd w:val="clear" w:color="auto" w:fill="D3DFEE"/>
            <w:noWrap/>
            <w:textDirection w:val="btLr"/>
          </w:tcPr>
          <w:p w14:paraId="15482EA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36</w:t>
            </w:r>
          </w:p>
        </w:tc>
        <w:tc>
          <w:tcPr>
            <w:tcW w:w="0" w:type="auto"/>
            <w:shd w:val="clear" w:color="auto" w:fill="D3DFEE"/>
            <w:noWrap/>
            <w:textDirection w:val="btLr"/>
          </w:tcPr>
          <w:p w14:paraId="0D31E0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D8D046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5EE0BF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084E50A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3F78366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01CB3E2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D1BE48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21B467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B6B4D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6E8239E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14F50B9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7CA9F9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359F1E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CA1D0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6C132A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CC1F7B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849957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59F758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0115E2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3F8FB3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6D5992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r>
      <w:tr w:rsidR="0064032D" w:rsidRPr="008F13F9" w14:paraId="5515DC1E" w14:textId="77777777" w:rsidTr="00C674FD">
        <w:trPr>
          <w:cantSplit/>
          <w:trHeight w:val="1134"/>
        </w:trPr>
        <w:tc>
          <w:tcPr>
            <w:tcW w:w="0" w:type="auto"/>
            <w:noWrap/>
            <w:textDirection w:val="btLr"/>
          </w:tcPr>
          <w:p w14:paraId="689886D3"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3E794D6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E9A5E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3217910"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62E054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E8E0E1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ABEC41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375BAB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688CAD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8DA2AB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4A67B1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1CCE08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CE2CE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F9C700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F83AB6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953012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0602F9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50EF92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A78BDE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5195ED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95852D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C6F022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9B2A2A0"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72B9A5F8" w14:textId="77777777" w:rsidTr="00C674FD">
        <w:trPr>
          <w:cantSplit/>
          <w:trHeight w:val="1134"/>
        </w:trPr>
        <w:tc>
          <w:tcPr>
            <w:tcW w:w="0" w:type="auto"/>
            <w:shd w:val="clear" w:color="auto" w:fill="D3DFEE"/>
            <w:noWrap/>
            <w:textDirection w:val="btLr"/>
          </w:tcPr>
          <w:p w14:paraId="42AA5ED0"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55.)</w:t>
            </w:r>
          </w:p>
        </w:tc>
        <w:tc>
          <w:tcPr>
            <w:tcW w:w="0" w:type="auto"/>
            <w:shd w:val="clear" w:color="auto" w:fill="D3DFEE"/>
            <w:noWrap/>
            <w:textDirection w:val="btLr"/>
          </w:tcPr>
          <w:p w14:paraId="1D042B5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34</w:t>
            </w:r>
          </w:p>
        </w:tc>
        <w:tc>
          <w:tcPr>
            <w:tcW w:w="0" w:type="auto"/>
            <w:shd w:val="clear" w:color="auto" w:fill="D3DFEE"/>
            <w:noWrap/>
            <w:textDirection w:val="btLr"/>
          </w:tcPr>
          <w:p w14:paraId="43FF00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8B841D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FC33C6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3FF1576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28B3847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29</w:t>
            </w:r>
          </w:p>
        </w:tc>
        <w:tc>
          <w:tcPr>
            <w:tcW w:w="0" w:type="auto"/>
            <w:shd w:val="clear" w:color="auto" w:fill="D3DFEE"/>
            <w:noWrap/>
            <w:textDirection w:val="btLr"/>
          </w:tcPr>
          <w:p w14:paraId="09ED352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C1CD8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9BB126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8BDE1A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78643D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4E490B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F9012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531BC5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01478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C7201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CA9228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1F9E149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E88E19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44408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30F671A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974039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r>
      <w:tr w:rsidR="0064032D" w:rsidRPr="008F13F9" w14:paraId="70B082BD" w14:textId="77777777" w:rsidTr="00C674FD">
        <w:trPr>
          <w:cantSplit/>
          <w:trHeight w:val="1134"/>
        </w:trPr>
        <w:tc>
          <w:tcPr>
            <w:tcW w:w="0" w:type="auto"/>
            <w:noWrap/>
            <w:textDirection w:val="btLr"/>
          </w:tcPr>
          <w:p w14:paraId="57210245"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2860EF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9D2CFF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77FEA41"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214A7E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EB96F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0C01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5B502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2CEBA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259E7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E1E4D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B8D6A6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B36B0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C1FFC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22A38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8BBB6D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462A25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FB831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9E17AF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A3880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4B2DF9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D39766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07F5A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73B22A83" w14:textId="77777777" w:rsidTr="00C674FD">
        <w:trPr>
          <w:cantSplit/>
          <w:trHeight w:val="1134"/>
        </w:trPr>
        <w:tc>
          <w:tcPr>
            <w:tcW w:w="0" w:type="auto"/>
            <w:shd w:val="clear" w:color="auto" w:fill="D3DFEE"/>
            <w:noWrap/>
            <w:textDirection w:val="btLr"/>
          </w:tcPr>
          <w:p w14:paraId="3E94910F"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56.)</w:t>
            </w:r>
          </w:p>
        </w:tc>
        <w:tc>
          <w:tcPr>
            <w:tcW w:w="0" w:type="auto"/>
            <w:shd w:val="clear" w:color="auto" w:fill="D3DFEE"/>
            <w:noWrap/>
            <w:textDirection w:val="btLr"/>
          </w:tcPr>
          <w:p w14:paraId="648DC4C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31</w:t>
            </w:r>
          </w:p>
        </w:tc>
        <w:tc>
          <w:tcPr>
            <w:tcW w:w="0" w:type="auto"/>
            <w:shd w:val="clear" w:color="auto" w:fill="D3DFEE"/>
            <w:noWrap/>
            <w:textDirection w:val="btLr"/>
          </w:tcPr>
          <w:p w14:paraId="2DC3592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A3F992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4E3A6F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1C8A23B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7A89A56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0D9A826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B88C51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8FDD4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gridSpan w:val="2"/>
            <w:shd w:val="clear" w:color="auto" w:fill="D3DFEE"/>
            <w:noWrap/>
            <w:textDirection w:val="btLr"/>
          </w:tcPr>
          <w:p w14:paraId="4CDC873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433B39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210D71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B17A08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47771A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7550F1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D3CA5E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AB5D7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D136D4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3D538D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497442A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C2E9FB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0A7EBF03" w14:textId="77777777" w:rsidTr="00C674FD">
        <w:trPr>
          <w:cantSplit/>
          <w:trHeight w:val="1134"/>
        </w:trPr>
        <w:tc>
          <w:tcPr>
            <w:tcW w:w="0" w:type="auto"/>
            <w:noWrap/>
            <w:textDirection w:val="btLr"/>
          </w:tcPr>
          <w:p w14:paraId="1515C72C"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7F86A5E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B9723E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20490300" w14:textId="4FFFFDB6" w:rsidR="0064032D" w:rsidRPr="008F13F9" w:rsidRDefault="0098650F" w:rsidP="008F13F9">
            <w:pPr>
              <w:spacing w:line="360" w:lineRule="auto"/>
              <w:ind w:left="113" w:right="113"/>
              <w:rPr>
                <w:rFonts w:ascii="Arial" w:hAnsi="Arial" w:cs="Arial"/>
                <w:color w:val="FF0000"/>
                <w:sz w:val="24"/>
                <w:szCs w:val="24"/>
              </w:rPr>
            </w:pPr>
            <w:r w:rsidRPr="0098650F">
              <w:rPr>
                <w:rFonts w:ascii="Arial" w:hAnsi="Arial" w:cs="Arial"/>
                <w:color w:val="FF0000"/>
                <w:sz w:val="20"/>
                <w:szCs w:val="20"/>
              </w:rPr>
              <w:t>HR pozitivní</w:t>
            </w:r>
          </w:p>
        </w:tc>
        <w:tc>
          <w:tcPr>
            <w:tcW w:w="0" w:type="auto"/>
            <w:noWrap/>
            <w:textDirection w:val="btLr"/>
          </w:tcPr>
          <w:p w14:paraId="2C04E5C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2EECCE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E3828D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B8489C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6A6EC9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CD021E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7B1266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21A4F6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665C98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9F25F5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241930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8B36E3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698A7B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967395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80F0C2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453113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1C7150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D7FCA3F"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31752292" w14:textId="77777777" w:rsidTr="00C674FD">
        <w:trPr>
          <w:cantSplit/>
          <w:trHeight w:val="1134"/>
        </w:trPr>
        <w:tc>
          <w:tcPr>
            <w:tcW w:w="0" w:type="auto"/>
            <w:shd w:val="clear" w:color="auto" w:fill="D3DFEE"/>
            <w:noWrap/>
            <w:textDirection w:val="btLr"/>
          </w:tcPr>
          <w:p w14:paraId="3B728DB0"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57.)</w:t>
            </w:r>
          </w:p>
        </w:tc>
        <w:tc>
          <w:tcPr>
            <w:tcW w:w="0" w:type="auto"/>
            <w:shd w:val="clear" w:color="auto" w:fill="D3DFEE"/>
            <w:noWrap/>
            <w:textDirection w:val="btLr"/>
          </w:tcPr>
          <w:p w14:paraId="34B26A3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34</w:t>
            </w:r>
          </w:p>
        </w:tc>
        <w:tc>
          <w:tcPr>
            <w:tcW w:w="0" w:type="auto"/>
            <w:shd w:val="clear" w:color="auto" w:fill="D3DFEE"/>
            <w:noWrap/>
            <w:textDirection w:val="btLr"/>
          </w:tcPr>
          <w:p w14:paraId="3BA25C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5ECB6E95"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D5E3A5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62F22C1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7F928FE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34A75C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383FF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9F0667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698E38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25DF0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8F1E0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23739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BB228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CD014C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5BAB1A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63EEBF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6EF9D2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16CB8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62DC129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2FC14F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61FEA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3335B82" w14:textId="77777777" w:rsidTr="00C674FD">
        <w:trPr>
          <w:cantSplit/>
          <w:trHeight w:val="1134"/>
        </w:trPr>
        <w:tc>
          <w:tcPr>
            <w:tcW w:w="0" w:type="auto"/>
            <w:noWrap/>
            <w:textDirection w:val="btLr"/>
          </w:tcPr>
          <w:p w14:paraId="75BC199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4C2EE54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E1E1DB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246708A4" w14:textId="017E0A24" w:rsidR="0064032D" w:rsidRPr="008F13F9" w:rsidRDefault="0098650F" w:rsidP="008F13F9">
            <w:pPr>
              <w:spacing w:line="360" w:lineRule="auto"/>
              <w:ind w:left="113" w:right="113"/>
              <w:rPr>
                <w:rFonts w:ascii="Arial" w:hAnsi="Arial" w:cs="Arial"/>
                <w:color w:val="FF0000"/>
                <w:sz w:val="24"/>
                <w:szCs w:val="24"/>
              </w:rPr>
            </w:pPr>
            <w:r w:rsidRPr="0098650F">
              <w:rPr>
                <w:rFonts w:ascii="Arial" w:hAnsi="Arial" w:cs="Arial"/>
                <w:color w:val="FF0000"/>
                <w:sz w:val="20"/>
                <w:szCs w:val="20"/>
              </w:rPr>
              <w:t>HR pozitivní</w:t>
            </w:r>
          </w:p>
        </w:tc>
        <w:tc>
          <w:tcPr>
            <w:tcW w:w="0" w:type="auto"/>
            <w:noWrap/>
            <w:textDirection w:val="btLr"/>
          </w:tcPr>
          <w:p w14:paraId="1FC34B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2354C9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1C903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79123E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61C0B5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CEC1D6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9313B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0BD0A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F42476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CBA232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BE3FFE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4DD7E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05B89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2ACD10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DB307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5E001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DA3A08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951D3B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2F4B16C8" w14:textId="77777777" w:rsidTr="00C674FD">
        <w:trPr>
          <w:cantSplit/>
          <w:trHeight w:val="1134"/>
        </w:trPr>
        <w:tc>
          <w:tcPr>
            <w:tcW w:w="0" w:type="auto"/>
            <w:shd w:val="clear" w:color="auto" w:fill="D3DFEE"/>
            <w:noWrap/>
            <w:textDirection w:val="btLr"/>
          </w:tcPr>
          <w:p w14:paraId="144A7022"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58.)</w:t>
            </w:r>
          </w:p>
        </w:tc>
        <w:tc>
          <w:tcPr>
            <w:tcW w:w="0" w:type="auto"/>
            <w:shd w:val="clear" w:color="auto" w:fill="D3DFEE"/>
            <w:noWrap/>
            <w:textDirection w:val="btLr"/>
          </w:tcPr>
          <w:p w14:paraId="06BC7D0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37</w:t>
            </w:r>
          </w:p>
        </w:tc>
        <w:tc>
          <w:tcPr>
            <w:tcW w:w="0" w:type="auto"/>
            <w:shd w:val="clear" w:color="auto" w:fill="D3DFEE"/>
            <w:noWrap/>
            <w:textDirection w:val="btLr"/>
          </w:tcPr>
          <w:p w14:paraId="081543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2CFE89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D1A49F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249528A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094676D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20</w:t>
            </w:r>
          </w:p>
        </w:tc>
        <w:tc>
          <w:tcPr>
            <w:tcW w:w="0" w:type="auto"/>
            <w:shd w:val="clear" w:color="auto" w:fill="D3DFEE"/>
            <w:noWrap/>
            <w:textDirection w:val="btLr"/>
          </w:tcPr>
          <w:p w14:paraId="6F4A42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EDDFA7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4DE31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B292A0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53E8DA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BCE5A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66FD80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BBE27A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9041F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E3CA9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8356AA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448FB7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EE478B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1DF81F4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2D4F17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E41043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282D7D69" w14:textId="77777777" w:rsidTr="00C674FD">
        <w:trPr>
          <w:cantSplit/>
          <w:trHeight w:val="1134"/>
        </w:trPr>
        <w:tc>
          <w:tcPr>
            <w:tcW w:w="0" w:type="auto"/>
            <w:noWrap/>
            <w:textDirection w:val="btLr"/>
          </w:tcPr>
          <w:p w14:paraId="6EB5D2F7"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506B458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E57AA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4423BCA5" w14:textId="4F7A2CCF" w:rsidR="0064032D" w:rsidRPr="008F13F9" w:rsidRDefault="0098650F" w:rsidP="008F13F9">
            <w:pPr>
              <w:spacing w:line="360" w:lineRule="auto"/>
              <w:ind w:left="113" w:right="113"/>
              <w:rPr>
                <w:rFonts w:ascii="Arial" w:hAnsi="Arial" w:cs="Arial"/>
                <w:color w:val="FF0000"/>
                <w:sz w:val="24"/>
                <w:szCs w:val="24"/>
              </w:rPr>
            </w:pPr>
            <w:r w:rsidRPr="0098650F">
              <w:rPr>
                <w:rFonts w:ascii="Arial" w:hAnsi="Arial" w:cs="Arial"/>
                <w:color w:val="FF0000"/>
                <w:sz w:val="20"/>
                <w:szCs w:val="20"/>
              </w:rPr>
              <w:t>HR pozitivní</w:t>
            </w:r>
          </w:p>
        </w:tc>
        <w:tc>
          <w:tcPr>
            <w:tcW w:w="0" w:type="auto"/>
            <w:noWrap/>
            <w:textDirection w:val="btLr"/>
          </w:tcPr>
          <w:p w14:paraId="2A08CC7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E982EB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F44311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61D063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2836BC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CA934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481BAE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FECFAA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158A95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16646A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BB2384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F260F6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229B5D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530CCC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C2C841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2D4877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E5D34D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8C13C26"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0BBD8BF9" w14:textId="77777777" w:rsidTr="00C674FD">
        <w:trPr>
          <w:cantSplit/>
          <w:trHeight w:val="1134"/>
        </w:trPr>
        <w:tc>
          <w:tcPr>
            <w:tcW w:w="0" w:type="auto"/>
            <w:shd w:val="clear" w:color="auto" w:fill="D3DFEE"/>
            <w:noWrap/>
            <w:textDirection w:val="btLr"/>
          </w:tcPr>
          <w:p w14:paraId="7430E581"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59.)</w:t>
            </w:r>
          </w:p>
        </w:tc>
        <w:tc>
          <w:tcPr>
            <w:tcW w:w="0" w:type="auto"/>
            <w:shd w:val="clear" w:color="auto" w:fill="D3DFEE"/>
            <w:noWrap/>
            <w:textDirection w:val="btLr"/>
          </w:tcPr>
          <w:p w14:paraId="12E1873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34</w:t>
            </w:r>
          </w:p>
        </w:tc>
        <w:tc>
          <w:tcPr>
            <w:tcW w:w="0" w:type="auto"/>
            <w:shd w:val="clear" w:color="auto" w:fill="D3DFEE"/>
            <w:noWrap/>
            <w:textDirection w:val="btLr"/>
          </w:tcPr>
          <w:p w14:paraId="710C2A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7AB6515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F5AA8E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140E985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EF6DCB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2F7EC2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CF20CE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CE59B1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F7C6C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36B54D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7A3152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6701A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5C84C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02131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47997F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7C804E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F71A6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61DC0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0E5F251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731E00E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1155DD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548AB7AD" w14:textId="77777777" w:rsidTr="00C674FD">
        <w:trPr>
          <w:cantSplit/>
          <w:trHeight w:val="1134"/>
        </w:trPr>
        <w:tc>
          <w:tcPr>
            <w:tcW w:w="0" w:type="auto"/>
            <w:noWrap/>
            <w:textDirection w:val="btLr"/>
          </w:tcPr>
          <w:p w14:paraId="01AF8FE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4730261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D335C9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5674CC5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59D05F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9FDE38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C0E0A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1B7CD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3664C0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67FC90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F50615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9B254B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968C6B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39C83A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7416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90357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D6017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A82EF6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C2762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E0D679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34AEF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CD2186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2FDFAC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450E27BA" w14:textId="77777777" w:rsidTr="00C674FD">
        <w:trPr>
          <w:cantSplit/>
          <w:trHeight w:val="1134"/>
        </w:trPr>
        <w:tc>
          <w:tcPr>
            <w:tcW w:w="0" w:type="auto"/>
            <w:shd w:val="clear" w:color="auto" w:fill="D3DFEE"/>
            <w:noWrap/>
            <w:textDirection w:val="btLr"/>
          </w:tcPr>
          <w:p w14:paraId="68B54CB3"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60.)</w:t>
            </w:r>
          </w:p>
        </w:tc>
        <w:tc>
          <w:tcPr>
            <w:tcW w:w="0" w:type="auto"/>
            <w:shd w:val="clear" w:color="auto" w:fill="D3DFEE"/>
            <w:noWrap/>
            <w:textDirection w:val="btLr"/>
          </w:tcPr>
          <w:p w14:paraId="0E4C5B9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34</w:t>
            </w:r>
          </w:p>
        </w:tc>
        <w:tc>
          <w:tcPr>
            <w:tcW w:w="0" w:type="auto"/>
            <w:shd w:val="clear" w:color="auto" w:fill="D3DFEE"/>
            <w:noWrap/>
            <w:textDirection w:val="btLr"/>
          </w:tcPr>
          <w:p w14:paraId="2262DD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5EB11D8"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6186AA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51BF703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383FC92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29</w:t>
            </w:r>
          </w:p>
        </w:tc>
        <w:tc>
          <w:tcPr>
            <w:tcW w:w="0" w:type="auto"/>
            <w:shd w:val="clear" w:color="auto" w:fill="D3DFEE"/>
            <w:noWrap/>
            <w:textDirection w:val="btLr"/>
          </w:tcPr>
          <w:p w14:paraId="02142C8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5AFD886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B66518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F517EE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47F4BB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288DB3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74D984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6D6CAF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93505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223B9C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F9C192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627D0C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255CB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6064BD9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13C9E5F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3879F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5AD4A76C" w14:textId="77777777" w:rsidTr="00C674FD">
        <w:trPr>
          <w:cantSplit/>
          <w:trHeight w:val="1134"/>
        </w:trPr>
        <w:tc>
          <w:tcPr>
            <w:tcW w:w="0" w:type="auto"/>
            <w:noWrap/>
            <w:textDirection w:val="btLr"/>
          </w:tcPr>
          <w:p w14:paraId="4B16D6FF"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4642D8F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D8A5D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040A55C"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B14705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A27BDF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1AF4AD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CD767F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EBB146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A0A0EA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EE0093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3CE247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65A173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93969F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AA3834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DF0CE9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A32DB8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C1CFEB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F63CA1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24D46A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9D1EA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ADFBA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C9B3F35"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7FE9AC9D" w14:textId="77777777" w:rsidTr="00C674FD">
        <w:trPr>
          <w:cantSplit/>
          <w:trHeight w:val="1134"/>
        </w:trPr>
        <w:tc>
          <w:tcPr>
            <w:tcW w:w="0" w:type="auto"/>
            <w:shd w:val="clear" w:color="auto" w:fill="D3DFEE"/>
            <w:noWrap/>
            <w:textDirection w:val="btLr"/>
          </w:tcPr>
          <w:p w14:paraId="2B27CBE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61.)</w:t>
            </w:r>
          </w:p>
        </w:tc>
        <w:tc>
          <w:tcPr>
            <w:tcW w:w="0" w:type="auto"/>
            <w:shd w:val="clear" w:color="auto" w:fill="D3DFEE"/>
            <w:noWrap/>
            <w:textDirection w:val="btLr"/>
          </w:tcPr>
          <w:p w14:paraId="30C6257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39</w:t>
            </w:r>
          </w:p>
        </w:tc>
        <w:tc>
          <w:tcPr>
            <w:tcW w:w="0" w:type="auto"/>
            <w:shd w:val="clear" w:color="auto" w:fill="D3DFEE"/>
            <w:noWrap/>
            <w:textDirection w:val="btLr"/>
          </w:tcPr>
          <w:p w14:paraId="3C9780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B17387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4DD7E8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204CBAD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3AA8BF3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76BC9D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CF3801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485893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1ED9F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40AFF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507336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04AE5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4537AF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1A19E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05D256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070C3E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11916F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A92E0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FBED9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1799732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4E4930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CE33608" w14:textId="77777777" w:rsidTr="00C674FD">
        <w:trPr>
          <w:cantSplit/>
          <w:trHeight w:val="1134"/>
        </w:trPr>
        <w:tc>
          <w:tcPr>
            <w:tcW w:w="0" w:type="auto"/>
            <w:noWrap/>
            <w:textDirection w:val="btLr"/>
          </w:tcPr>
          <w:p w14:paraId="428FF60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27DF23A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66833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569B39F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C0CBDC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FD898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35810E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48E22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BBEF64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7FB73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48E214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B9E73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8BB70F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9E9EC4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1A485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55342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BF79A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AA538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9526E4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5D81A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04367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4E04A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B9BA3A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0D6E00A1" w14:textId="77777777" w:rsidTr="00C674FD">
        <w:trPr>
          <w:cantSplit/>
          <w:trHeight w:val="1134"/>
        </w:trPr>
        <w:tc>
          <w:tcPr>
            <w:tcW w:w="0" w:type="auto"/>
            <w:shd w:val="clear" w:color="auto" w:fill="D3DFEE"/>
            <w:noWrap/>
            <w:textDirection w:val="btLr"/>
          </w:tcPr>
          <w:p w14:paraId="339CB95B"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62.)</w:t>
            </w:r>
          </w:p>
        </w:tc>
        <w:tc>
          <w:tcPr>
            <w:tcW w:w="0" w:type="auto"/>
            <w:shd w:val="clear" w:color="auto" w:fill="D3DFEE"/>
            <w:noWrap/>
            <w:textDirection w:val="btLr"/>
          </w:tcPr>
          <w:p w14:paraId="1E7FB9F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23</w:t>
            </w:r>
          </w:p>
        </w:tc>
        <w:tc>
          <w:tcPr>
            <w:tcW w:w="0" w:type="auto"/>
            <w:shd w:val="clear" w:color="auto" w:fill="D3DFEE"/>
            <w:noWrap/>
            <w:textDirection w:val="btLr"/>
          </w:tcPr>
          <w:p w14:paraId="250F084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CBCB4A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7E6B3AF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72C2F15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3BB0C8E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081838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435FCB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62D62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6222CE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8213B1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DE58CE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A5BF50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4D2F4D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C07AEE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DCDA2B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4E9302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60E9664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505229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610C8C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3983DE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2F6497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r>
      <w:tr w:rsidR="0064032D" w:rsidRPr="008F13F9" w14:paraId="7AA6B72E" w14:textId="77777777" w:rsidTr="00C674FD">
        <w:trPr>
          <w:cantSplit/>
          <w:trHeight w:val="1134"/>
        </w:trPr>
        <w:tc>
          <w:tcPr>
            <w:tcW w:w="0" w:type="auto"/>
            <w:noWrap/>
            <w:textDirection w:val="btLr"/>
          </w:tcPr>
          <w:p w14:paraId="501AC727"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2E56F28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8A2998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70E7C4C0"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673E04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66EE3A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72110F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A9447D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593FB5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91DE6F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B333C1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79549C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53CF24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E28299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5D194B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4426BF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335EEB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7142E4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C4082C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1E516F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CAE7D9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D15A3E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23D099F"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102D8E31" w14:textId="77777777" w:rsidTr="00C674FD">
        <w:trPr>
          <w:cantSplit/>
          <w:trHeight w:val="1134"/>
        </w:trPr>
        <w:tc>
          <w:tcPr>
            <w:tcW w:w="0" w:type="auto"/>
            <w:shd w:val="clear" w:color="auto" w:fill="D3DFEE"/>
            <w:noWrap/>
            <w:textDirection w:val="btLr"/>
          </w:tcPr>
          <w:p w14:paraId="68CE562C"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63.)</w:t>
            </w:r>
          </w:p>
        </w:tc>
        <w:tc>
          <w:tcPr>
            <w:tcW w:w="0" w:type="auto"/>
            <w:shd w:val="clear" w:color="auto" w:fill="D3DFEE"/>
            <w:noWrap/>
            <w:textDirection w:val="btLr"/>
          </w:tcPr>
          <w:p w14:paraId="4ECCCD7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35</w:t>
            </w:r>
          </w:p>
        </w:tc>
        <w:tc>
          <w:tcPr>
            <w:tcW w:w="0" w:type="auto"/>
            <w:shd w:val="clear" w:color="auto" w:fill="D3DFEE"/>
            <w:noWrap/>
            <w:textDirection w:val="btLr"/>
          </w:tcPr>
          <w:p w14:paraId="21F4501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4B22D3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27E930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CDAE51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34932E4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0D63E1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BBC344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E2DD81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FC6C2F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7325FC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2927F7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931987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EB377C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60615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272FE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0A8C67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75D3B7E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643C50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0E9A3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1E2BEA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5C70C3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r>
      <w:tr w:rsidR="0064032D" w:rsidRPr="008F13F9" w14:paraId="2170C078" w14:textId="77777777" w:rsidTr="00C674FD">
        <w:trPr>
          <w:cantSplit/>
          <w:trHeight w:val="1134"/>
        </w:trPr>
        <w:tc>
          <w:tcPr>
            <w:tcW w:w="0" w:type="auto"/>
            <w:noWrap/>
            <w:textDirection w:val="btLr"/>
          </w:tcPr>
          <w:p w14:paraId="3EB4999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31754FB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8032C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5D294D4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4861A7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7B255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8A86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058C3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84E6EF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403B3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D1B50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BE6C6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F5D81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1437B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4DCE8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9C5AA9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F2E8BE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7B9A1A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77AD51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4CA18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CDE76C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D7FF1B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067994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10EB48BF" w14:textId="77777777" w:rsidTr="00C674FD">
        <w:trPr>
          <w:cantSplit/>
          <w:trHeight w:val="1134"/>
        </w:trPr>
        <w:tc>
          <w:tcPr>
            <w:tcW w:w="0" w:type="auto"/>
            <w:shd w:val="clear" w:color="auto" w:fill="D3DFEE"/>
            <w:noWrap/>
            <w:textDirection w:val="btLr"/>
          </w:tcPr>
          <w:p w14:paraId="7D94767C"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64.)</w:t>
            </w:r>
          </w:p>
        </w:tc>
        <w:tc>
          <w:tcPr>
            <w:tcW w:w="0" w:type="auto"/>
            <w:shd w:val="clear" w:color="auto" w:fill="D3DFEE"/>
            <w:noWrap/>
            <w:textDirection w:val="btLr"/>
          </w:tcPr>
          <w:p w14:paraId="439278C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32</w:t>
            </w:r>
          </w:p>
        </w:tc>
        <w:tc>
          <w:tcPr>
            <w:tcW w:w="0" w:type="auto"/>
            <w:shd w:val="clear" w:color="auto" w:fill="D3DFEE"/>
            <w:noWrap/>
            <w:textDirection w:val="btLr"/>
          </w:tcPr>
          <w:p w14:paraId="6530E6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004C5E8"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722914B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2D0DB77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243D5D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7F6FD79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0ADF1E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C2611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B68C2F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D0B64C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92580D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ECC25B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8D0FD5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49383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A3880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4A0B61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4766F7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E9E08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FC3CC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25884CC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8F6035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3E67AF4" w14:textId="77777777" w:rsidTr="00C674FD">
        <w:trPr>
          <w:cantSplit/>
          <w:trHeight w:val="1134"/>
        </w:trPr>
        <w:tc>
          <w:tcPr>
            <w:tcW w:w="0" w:type="auto"/>
            <w:noWrap/>
            <w:textDirection w:val="btLr"/>
          </w:tcPr>
          <w:p w14:paraId="2D5291F1"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53B59A2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8E693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0BDC85E"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4BBCA5C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F307EC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27CC76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7FA80D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02DFB2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F088D0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6168C5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A14020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C9DFD5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40CBAB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762C1B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2AF344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67609C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61B35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42901D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4397A8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C1DDDC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D16A7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CED3A67"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0003867A" w14:textId="77777777" w:rsidTr="00C674FD">
        <w:trPr>
          <w:cantSplit/>
          <w:trHeight w:val="1134"/>
        </w:trPr>
        <w:tc>
          <w:tcPr>
            <w:tcW w:w="0" w:type="auto"/>
            <w:shd w:val="clear" w:color="auto" w:fill="D3DFEE"/>
            <w:noWrap/>
            <w:textDirection w:val="btLr"/>
          </w:tcPr>
          <w:p w14:paraId="0C07ADF2"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65.)</w:t>
            </w:r>
          </w:p>
        </w:tc>
        <w:tc>
          <w:tcPr>
            <w:tcW w:w="0" w:type="auto"/>
            <w:shd w:val="clear" w:color="auto" w:fill="D3DFEE"/>
            <w:noWrap/>
            <w:textDirection w:val="btLr"/>
          </w:tcPr>
          <w:p w14:paraId="1DA8E57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21</w:t>
            </w:r>
          </w:p>
        </w:tc>
        <w:tc>
          <w:tcPr>
            <w:tcW w:w="0" w:type="auto"/>
            <w:shd w:val="clear" w:color="auto" w:fill="D3DFEE"/>
            <w:noWrap/>
            <w:textDirection w:val="btLr"/>
          </w:tcPr>
          <w:p w14:paraId="737719A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B203AA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E7776A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0</w:t>
            </w:r>
          </w:p>
        </w:tc>
        <w:tc>
          <w:tcPr>
            <w:tcW w:w="0" w:type="auto"/>
            <w:shd w:val="clear" w:color="auto" w:fill="D3DFEE"/>
            <w:noWrap/>
            <w:textDirection w:val="btLr"/>
          </w:tcPr>
          <w:p w14:paraId="2810D2C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2872961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4EF42D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88E9FB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292F6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gridSpan w:val="2"/>
            <w:shd w:val="clear" w:color="auto" w:fill="D3DFEE"/>
            <w:noWrap/>
            <w:textDirection w:val="btLr"/>
          </w:tcPr>
          <w:p w14:paraId="3B00676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198BBC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0C86B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3D2E4C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C9F76F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CA4B9C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678CAE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530D13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7B2F5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677EA9E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14898B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917C5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0B456124" w14:textId="77777777" w:rsidTr="00C674FD">
        <w:trPr>
          <w:cantSplit/>
          <w:trHeight w:val="1134"/>
        </w:trPr>
        <w:tc>
          <w:tcPr>
            <w:tcW w:w="0" w:type="auto"/>
            <w:noWrap/>
            <w:textDirection w:val="btLr"/>
          </w:tcPr>
          <w:p w14:paraId="224AAEB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261E804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2AD4A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352CF21C" w14:textId="6DD0DA27" w:rsidR="0064032D" w:rsidRPr="008F13F9" w:rsidRDefault="0098650F" w:rsidP="008F13F9">
            <w:pPr>
              <w:spacing w:line="360" w:lineRule="auto"/>
              <w:ind w:left="113" w:right="113"/>
              <w:rPr>
                <w:rFonts w:ascii="Arial" w:hAnsi="Arial" w:cs="Arial"/>
                <w:color w:val="FF0000"/>
                <w:sz w:val="24"/>
                <w:szCs w:val="24"/>
              </w:rPr>
            </w:pPr>
            <w:r w:rsidRPr="0098650F">
              <w:rPr>
                <w:rFonts w:ascii="Arial" w:hAnsi="Arial" w:cs="Arial"/>
                <w:color w:val="FF0000"/>
                <w:sz w:val="20"/>
                <w:szCs w:val="20"/>
              </w:rPr>
              <w:t>HR pozitivní</w:t>
            </w:r>
          </w:p>
        </w:tc>
        <w:tc>
          <w:tcPr>
            <w:tcW w:w="0" w:type="auto"/>
            <w:noWrap/>
            <w:textDirection w:val="btLr"/>
          </w:tcPr>
          <w:p w14:paraId="1850D98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0B653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DBDBD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32654A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08B8BC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47F03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7AB94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C5B713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142C0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FEA77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0FC99A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59F9C0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7314B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92771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931CB7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656AAA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5DDCB7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8D4802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71F7BBC4" w14:textId="77777777" w:rsidTr="00C674FD">
        <w:trPr>
          <w:cantSplit/>
          <w:trHeight w:val="1134"/>
        </w:trPr>
        <w:tc>
          <w:tcPr>
            <w:tcW w:w="0" w:type="auto"/>
            <w:shd w:val="clear" w:color="auto" w:fill="D3DFEE"/>
            <w:noWrap/>
            <w:textDirection w:val="btLr"/>
          </w:tcPr>
          <w:p w14:paraId="7FAC570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66.)</w:t>
            </w:r>
          </w:p>
        </w:tc>
        <w:tc>
          <w:tcPr>
            <w:tcW w:w="0" w:type="auto"/>
            <w:shd w:val="clear" w:color="auto" w:fill="D3DFEE"/>
            <w:noWrap/>
            <w:textDirection w:val="btLr"/>
          </w:tcPr>
          <w:p w14:paraId="119477A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34</w:t>
            </w:r>
          </w:p>
        </w:tc>
        <w:tc>
          <w:tcPr>
            <w:tcW w:w="0" w:type="auto"/>
            <w:shd w:val="clear" w:color="auto" w:fill="D3DFEE"/>
            <w:noWrap/>
            <w:textDirection w:val="btLr"/>
          </w:tcPr>
          <w:p w14:paraId="07BFD5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6567DB2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C4FF0C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01D54C0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6ED174F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74800C5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F65EE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46B169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B4F321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840966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0D6102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F35BCC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B98AC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B296A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EDCBF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5BCFD2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7E47E7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779C3E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055D980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729E7BA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4FB264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r>
      <w:tr w:rsidR="0064032D" w:rsidRPr="008F13F9" w14:paraId="5F02332A" w14:textId="77777777" w:rsidTr="00C674FD">
        <w:trPr>
          <w:cantSplit/>
          <w:trHeight w:val="1134"/>
        </w:trPr>
        <w:tc>
          <w:tcPr>
            <w:tcW w:w="0" w:type="auto"/>
            <w:noWrap/>
            <w:textDirection w:val="btLr"/>
          </w:tcPr>
          <w:p w14:paraId="47EB4FD4"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29625B2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D4F803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2DF5CB4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4983C60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F50913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0E0F92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1C309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25B3BD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113561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DDA5FA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D93BB4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785063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54D0B6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7BB65E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B422A6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462CF8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DC1050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0E9B45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0B8DB5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EC3F2C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E46538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B002116"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2C262678" w14:textId="77777777" w:rsidTr="00C674FD">
        <w:trPr>
          <w:cantSplit/>
          <w:trHeight w:val="1134"/>
        </w:trPr>
        <w:tc>
          <w:tcPr>
            <w:tcW w:w="0" w:type="auto"/>
            <w:shd w:val="clear" w:color="auto" w:fill="D3DFEE"/>
            <w:noWrap/>
            <w:textDirection w:val="btLr"/>
          </w:tcPr>
          <w:p w14:paraId="7271BADB"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67.)</w:t>
            </w:r>
          </w:p>
        </w:tc>
        <w:tc>
          <w:tcPr>
            <w:tcW w:w="0" w:type="auto"/>
            <w:shd w:val="clear" w:color="auto" w:fill="D3DFEE"/>
            <w:noWrap/>
            <w:textDirection w:val="btLr"/>
          </w:tcPr>
          <w:p w14:paraId="101A534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20</w:t>
            </w:r>
          </w:p>
        </w:tc>
        <w:tc>
          <w:tcPr>
            <w:tcW w:w="0" w:type="auto"/>
            <w:shd w:val="clear" w:color="auto" w:fill="D3DFEE"/>
            <w:noWrap/>
            <w:textDirection w:val="btLr"/>
          </w:tcPr>
          <w:p w14:paraId="5CF99E0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6F30B7E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B0C03B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56F670F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4759BC5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589BC1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A4BFE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07612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CBD430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3C05E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5E6B72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F0C42D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46DAB8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E5AC11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AAFA2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F0CD73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4AA95D3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5E6A6AC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338E9BE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0FE9C7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2C574F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327384A" w14:textId="77777777" w:rsidTr="00C674FD">
        <w:trPr>
          <w:cantSplit/>
          <w:trHeight w:val="1134"/>
        </w:trPr>
        <w:tc>
          <w:tcPr>
            <w:tcW w:w="0" w:type="auto"/>
            <w:noWrap/>
            <w:textDirection w:val="btLr"/>
          </w:tcPr>
          <w:p w14:paraId="4E9E81A4"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31E045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3D0455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6800D951"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39DF9E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E88E7F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537A8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345323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0A35E6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669CF7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448F99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E9C359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9C138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4A815B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55272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0CAF22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4B9BC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48938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3A412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8E2F4E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5D9F3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54ED95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CF5F79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515C0798" w14:textId="77777777" w:rsidTr="00C674FD">
        <w:trPr>
          <w:cantSplit/>
          <w:trHeight w:val="1134"/>
        </w:trPr>
        <w:tc>
          <w:tcPr>
            <w:tcW w:w="0" w:type="auto"/>
            <w:shd w:val="clear" w:color="auto" w:fill="D3DFEE"/>
            <w:noWrap/>
            <w:textDirection w:val="btLr"/>
          </w:tcPr>
          <w:p w14:paraId="62A734B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68.)</w:t>
            </w:r>
          </w:p>
        </w:tc>
        <w:tc>
          <w:tcPr>
            <w:tcW w:w="0" w:type="auto"/>
            <w:shd w:val="clear" w:color="auto" w:fill="D3DFEE"/>
            <w:noWrap/>
            <w:textDirection w:val="btLr"/>
          </w:tcPr>
          <w:p w14:paraId="439E356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34</w:t>
            </w:r>
          </w:p>
        </w:tc>
        <w:tc>
          <w:tcPr>
            <w:tcW w:w="0" w:type="auto"/>
            <w:shd w:val="clear" w:color="auto" w:fill="D3DFEE"/>
            <w:noWrap/>
            <w:textDirection w:val="btLr"/>
          </w:tcPr>
          <w:p w14:paraId="2773CA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025891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5B087D3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6FB85C4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0EB8091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4540E14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50EAC7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EFC3FD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E2A857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04FA01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9BE6FF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9DA6B7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B597D2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32277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C4CE7B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D62442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6DDC67F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B8EA2E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6A0BC50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609304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30E29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38FAFF7" w14:textId="77777777" w:rsidTr="00C674FD">
        <w:trPr>
          <w:cantSplit/>
          <w:trHeight w:val="1134"/>
        </w:trPr>
        <w:tc>
          <w:tcPr>
            <w:tcW w:w="0" w:type="auto"/>
            <w:noWrap/>
            <w:textDirection w:val="btLr"/>
          </w:tcPr>
          <w:p w14:paraId="529C2D1C"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4C7B625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4777A6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66A02F2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2A3E455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1F7B1D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66F442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5964FF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287126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2DA829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3D0AE0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7B10DD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E6D065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799F10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7C0922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1B4B32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C487FE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45ECFD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458CB5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D7E459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3F878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03FBE6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879611E"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6C111D50" w14:textId="77777777" w:rsidTr="00C674FD">
        <w:trPr>
          <w:cantSplit/>
          <w:trHeight w:val="1134"/>
        </w:trPr>
        <w:tc>
          <w:tcPr>
            <w:tcW w:w="0" w:type="auto"/>
            <w:shd w:val="clear" w:color="auto" w:fill="D3DFEE"/>
            <w:noWrap/>
            <w:textDirection w:val="btLr"/>
          </w:tcPr>
          <w:p w14:paraId="0A5E5812"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69.)</w:t>
            </w:r>
          </w:p>
        </w:tc>
        <w:tc>
          <w:tcPr>
            <w:tcW w:w="0" w:type="auto"/>
            <w:shd w:val="clear" w:color="auto" w:fill="D3DFEE"/>
            <w:noWrap/>
            <w:textDirection w:val="btLr"/>
          </w:tcPr>
          <w:p w14:paraId="60656D0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26</w:t>
            </w:r>
          </w:p>
        </w:tc>
        <w:tc>
          <w:tcPr>
            <w:tcW w:w="0" w:type="auto"/>
            <w:shd w:val="clear" w:color="auto" w:fill="D3DFEE"/>
            <w:noWrap/>
            <w:textDirection w:val="btLr"/>
          </w:tcPr>
          <w:p w14:paraId="2E13774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BD30C26"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A85DA3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6C11EDC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06DB340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226695A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488F81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5A2A0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AEBFC1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A33DE7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2E983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35DCF6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0EA54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8A6271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936B76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327077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B5655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A2066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80DA6C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7EC3B89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58C8D2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2E65A713" w14:textId="77777777" w:rsidTr="00C674FD">
        <w:trPr>
          <w:cantSplit/>
          <w:trHeight w:val="1134"/>
        </w:trPr>
        <w:tc>
          <w:tcPr>
            <w:tcW w:w="0" w:type="auto"/>
            <w:noWrap/>
            <w:textDirection w:val="btLr"/>
          </w:tcPr>
          <w:p w14:paraId="679E6CB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43BD7C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762DF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071CF99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D9F07C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FAC19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6E1F6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5AB366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4523FD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26901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6DC9F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BE96AF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4BA1B1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2AF120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152B4D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CF054F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AF8CF9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63FB1D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4972A2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638DCD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E7D8A5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131CC4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E77A0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777013FD" w14:textId="77777777" w:rsidTr="00C674FD">
        <w:trPr>
          <w:cantSplit/>
          <w:trHeight w:val="1134"/>
        </w:trPr>
        <w:tc>
          <w:tcPr>
            <w:tcW w:w="0" w:type="auto"/>
            <w:shd w:val="clear" w:color="auto" w:fill="D3DFEE"/>
            <w:noWrap/>
            <w:textDirection w:val="btLr"/>
          </w:tcPr>
          <w:p w14:paraId="0CC74AD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70.)</w:t>
            </w:r>
          </w:p>
        </w:tc>
        <w:tc>
          <w:tcPr>
            <w:tcW w:w="0" w:type="auto"/>
            <w:shd w:val="clear" w:color="auto" w:fill="D3DFEE"/>
            <w:noWrap/>
            <w:textDirection w:val="btLr"/>
          </w:tcPr>
          <w:p w14:paraId="548FB44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38</w:t>
            </w:r>
          </w:p>
        </w:tc>
        <w:tc>
          <w:tcPr>
            <w:tcW w:w="0" w:type="auto"/>
            <w:shd w:val="clear" w:color="auto" w:fill="D3DFEE"/>
            <w:noWrap/>
            <w:textDirection w:val="btLr"/>
          </w:tcPr>
          <w:p w14:paraId="2804309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3C98D3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63B47D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4B3F697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5ABE68E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55CA475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C20D3D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26CA2A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CA87A3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6658DD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10010C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A8FA22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34D0E3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E27D9A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9D4DA6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5CC080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5F5D91A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3A9464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FF8E0E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79D843E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8B29E4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2593FD2D" w14:textId="77777777" w:rsidTr="00C674FD">
        <w:trPr>
          <w:cantSplit/>
          <w:trHeight w:val="1134"/>
        </w:trPr>
        <w:tc>
          <w:tcPr>
            <w:tcW w:w="0" w:type="auto"/>
            <w:noWrap/>
            <w:textDirection w:val="btLr"/>
          </w:tcPr>
          <w:p w14:paraId="21BBC247"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3B18F0E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6DE1F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525E5AE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8D26F8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C0CF0C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77CA86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455492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6E4B09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E58678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0878BF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B1257B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9BC6D3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CB6870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166422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B039CC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4A1EE8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349C3B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FE5D5D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F495FD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CEE809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4C6FC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DBA6A0"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2966F44F" w14:textId="77777777" w:rsidTr="00C674FD">
        <w:trPr>
          <w:cantSplit/>
          <w:trHeight w:val="1134"/>
        </w:trPr>
        <w:tc>
          <w:tcPr>
            <w:tcW w:w="0" w:type="auto"/>
            <w:shd w:val="clear" w:color="auto" w:fill="D3DFEE"/>
            <w:noWrap/>
            <w:textDirection w:val="btLr"/>
          </w:tcPr>
          <w:p w14:paraId="396471E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71.)</w:t>
            </w:r>
          </w:p>
        </w:tc>
        <w:tc>
          <w:tcPr>
            <w:tcW w:w="0" w:type="auto"/>
            <w:shd w:val="clear" w:color="auto" w:fill="D3DFEE"/>
            <w:noWrap/>
            <w:textDirection w:val="btLr"/>
          </w:tcPr>
          <w:p w14:paraId="5D727A7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37</w:t>
            </w:r>
          </w:p>
        </w:tc>
        <w:tc>
          <w:tcPr>
            <w:tcW w:w="0" w:type="auto"/>
            <w:shd w:val="clear" w:color="auto" w:fill="D3DFEE"/>
            <w:noWrap/>
            <w:textDirection w:val="btLr"/>
          </w:tcPr>
          <w:p w14:paraId="0BD209D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3D1582D"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130779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1B697D8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3901866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0A8ECA0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2E964D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ECEF82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511EA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6B5542A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0EA64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B29AA1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86E44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94EE1B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23717E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69BF51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8176C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5B1B89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E04319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71EFE7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B94755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7E969AE8" w14:textId="77777777" w:rsidTr="00C674FD">
        <w:trPr>
          <w:cantSplit/>
          <w:trHeight w:val="1134"/>
        </w:trPr>
        <w:tc>
          <w:tcPr>
            <w:tcW w:w="0" w:type="auto"/>
            <w:noWrap/>
            <w:textDirection w:val="btLr"/>
          </w:tcPr>
          <w:p w14:paraId="6DB742C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2A89C27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1F5C7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4CE8521C"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7A2E0C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E97072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2F9D4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564DB4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93D8F8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9B8329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A79B1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98A5D0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C1E86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A1E34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3D231E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D1455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45E971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D812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43A50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D1E3A0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BA52BE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A93405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E19607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52977579" w14:textId="77777777" w:rsidTr="00C674FD">
        <w:trPr>
          <w:cantSplit/>
          <w:trHeight w:val="1134"/>
        </w:trPr>
        <w:tc>
          <w:tcPr>
            <w:tcW w:w="0" w:type="auto"/>
            <w:shd w:val="clear" w:color="auto" w:fill="D3DFEE"/>
            <w:noWrap/>
            <w:textDirection w:val="btLr"/>
          </w:tcPr>
          <w:p w14:paraId="72C1A2C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72.)</w:t>
            </w:r>
          </w:p>
        </w:tc>
        <w:tc>
          <w:tcPr>
            <w:tcW w:w="0" w:type="auto"/>
            <w:shd w:val="clear" w:color="auto" w:fill="D3DFEE"/>
            <w:noWrap/>
            <w:textDirection w:val="btLr"/>
          </w:tcPr>
          <w:p w14:paraId="098E86B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34</w:t>
            </w:r>
          </w:p>
        </w:tc>
        <w:tc>
          <w:tcPr>
            <w:tcW w:w="0" w:type="auto"/>
            <w:shd w:val="clear" w:color="auto" w:fill="D3DFEE"/>
            <w:noWrap/>
            <w:textDirection w:val="btLr"/>
          </w:tcPr>
          <w:p w14:paraId="3BD3971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F572691"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0D6F55C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033A899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77BE091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507005B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497EAC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318034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B42B33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58E1A7C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12</w:t>
            </w:r>
          </w:p>
        </w:tc>
        <w:tc>
          <w:tcPr>
            <w:tcW w:w="0" w:type="auto"/>
            <w:shd w:val="clear" w:color="auto" w:fill="D3DFEE"/>
            <w:noWrap/>
            <w:textDirection w:val="btLr"/>
          </w:tcPr>
          <w:p w14:paraId="63EDB47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130FDC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3F850FF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EC1570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A35B15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8E2319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8959B3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E71592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D7575B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E3204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FD67D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5625075" w14:textId="77777777" w:rsidTr="00C674FD">
        <w:trPr>
          <w:cantSplit/>
          <w:trHeight w:val="1134"/>
        </w:trPr>
        <w:tc>
          <w:tcPr>
            <w:tcW w:w="0" w:type="auto"/>
            <w:noWrap/>
            <w:textDirection w:val="btLr"/>
          </w:tcPr>
          <w:p w14:paraId="178294DA"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0795264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FE9EB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4C0D9CAC" w14:textId="48E8BE9C" w:rsidR="0064032D" w:rsidRPr="008F13F9" w:rsidRDefault="0098650F" w:rsidP="008F13F9">
            <w:pPr>
              <w:spacing w:line="360" w:lineRule="auto"/>
              <w:ind w:left="113" w:right="113"/>
              <w:rPr>
                <w:rFonts w:ascii="Arial" w:hAnsi="Arial" w:cs="Arial"/>
                <w:color w:val="FF0000"/>
                <w:sz w:val="24"/>
                <w:szCs w:val="24"/>
              </w:rPr>
            </w:pPr>
            <w:r w:rsidRPr="0098650F">
              <w:rPr>
                <w:rFonts w:ascii="Arial" w:hAnsi="Arial" w:cs="Arial"/>
                <w:color w:val="FF0000"/>
                <w:sz w:val="20"/>
                <w:szCs w:val="20"/>
              </w:rPr>
              <w:t>HR pozitivní</w:t>
            </w:r>
          </w:p>
        </w:tc>
        <w:tc>
          <w:tcPr>
            <w:tcW w:w="0" w:type="auto"/>
            <w:noWrap/>
            <w:textDirection w:val="btLr"/>
          </w:tcPr>
          <w:p w14:paraId="414052C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BB412B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63E53A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01B82A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A705D3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3B40BC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D3579A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788249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CF0FF6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48251D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68A1C5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6E05C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6E08AC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F387B7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4E62EA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D99422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B8C42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EEA1633"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27C97C22" w14:textId="77777777" w:rsidTr="00C674FD">
        <w:trPr>
          <w:cantSplit/>
          <w:trHeight w:val="1134"/>
        </w:trPr>
        <w:tc>
          <w:tcPr>
            <w:tcW w:w="0" w:type="auto"/>
            <w:shd w:val="clear" w:color="auto" w:fill="D3DFEE"/>
            <w:noWrap/>
            <w:textDirection w:val="btLr"/>
          </w:tcPr>
          <w:p w14:paraId="67B57F9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73.)</w:t>
            </w:r>
          </w:p>
        </w:tc>
        <w:tc>
          <w:tcPr>
            <w:tcW w:w="0" w:type="auto"/>
            <w:shd w:val="clear" w:color="auto" w:fill="D3DFEE"/>
            <w:noWrap/>
            <w:textDirection w:val="btLr"/>
          </w:tcPr>
          <w:p w14:paraId="38ED34C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28</w:t>
            </w:r>
          </w:p>
        </w:tc>
        <w:tc>
          <w:tcPr>
            <w:tcW w:w="0" w:type="auto"/>
            <w:shd w:val="clear" w:color="auto" w:fill="D3DFEE"/>
            <w:noWrap/>
            <w:textDirection w:val="btLr"/>
          </w:tcPr>
          <w:p w14:paraId="7F0D829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458AB35"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18ACF8E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3ED692C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48C9F81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073E96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715A75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4C20C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36E032D"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2E7C882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neví</w:t>
            </w:r>
          </w:p>
        </w:tc>
        <w:tc>
          <w:tcPr>
            <w:tcW w:w="0" w:type="auto"/>
            <w:shd w:val="clear" w:color="auto" w:fill="D3DFEE"/>
            <w:noWrap/>
            <w:textDirection w:val="btLr"/>
          </w:tcPr>
          <w:p w14:paraId="7A7FF97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A9308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15BAEDE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F4555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1F33A2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B0C137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29536F6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0E5C4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09C13B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51191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E01027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DD056D4" w14:textId="77777777" w:rsidTr="00C674FD">
        <w:trPr>
          <w:cantSplit/>
          <w:trHeight w:val="1134"/>
        </w:trPr>
        <w:tc>
          <w:tcPr>
            <w:tcW w:w="0" w:type="auto"/>
            <w:noWrap/>
            <w:textDirection w:val="btLr"/>
          </w:tcPr>
          <w:p w14:paraId="77ABEE74"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19E7CAA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C55714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24E8AFFA" w14:textId="30163D0D" w:rsidR="0064032D" w:rsidRPr="008F13F9" w:rsidRDefault="0098650F" w:rsidP="008F13F9">
            <w:pPr>
              <w:spacing w:line="360" w:lineRule="auto"/>
              <w:ind w:left="113" w:right="113"/>
              <w:rPr>
                <w:rFonts w:ascii="Arial" w:hAnsi="Arial" w:cs="Arial"/>
                <w:color w:val="FF0000"/>
                <w:sz w:val="24"/>
                <w:szCs w:val="24"/>
              </w:rPr>
            </w:pPr>
            <w:r w:rsidRPr="0098650F">
              <w:rPr>
                <w:rFonts w:ascii="Arial" w:hAnsi="Arial" w:cs="Arial"/>
                <w:color w:val="FF0000"/>
                <w:sz w:val="20"/>
                <w:szCs w:val="20"/>
              </w:rPr>
              <w:t>HR pozitivní</w:t>
            </w:r>
          </w:p>
        </w:tc>
        <w:tc>
          <w:tcPr>
            <w:tcW w:w="0" w:type="auto"/>
            <w:noWrap/>
            <w:textDirection w:val="btLr"/>
          </w:tcPr>
          <w:p w14:paraId="0DB3E05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8B321C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B22DE6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3B9ECF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C526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6054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6998C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C148A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10D0A9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C5CB15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0CA9C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FD925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8886D7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4DB55F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D7E2E1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CB9F84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57674D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C6C323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1EE2C7DA" w14:textId="77777777" w:rsidTr="00C674FD">
        <w:trPr>
          <w:cantSplit/>
          <w:trHeight w:val="1134"/>
        </w:trPr>
        <w:tc>
          <w:tcPr>
            <w:tcW w:w="0" w:type="auto"/>
            <w:shd w:val="clear" w:color="auto" w:fill="D3DFEE"/>
            <w:noWrap/>
            <w:textDirection w:val="btLr"/>
          </w:tcPr>
          <w:p w14:paraId="4C9FE8D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74.)</w:t>
            </w:r>
          </w:p>
        </w:tc>
        <w:tc>
          <w:tcPr>
            <w:tcW w:w="0" w:type="auto"/>
            <w:shd w:val="clear" w:color="auto" w:fill="D3DFEE"/>
            <w:noWrap/>
            <w:textDirection w:val="btLr"/>
          </w:tcPr>
          <w:p w14:paraId="2DB47A8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24</w:t>
            </w:r>
          </w:p>
        </w:tc>
        <w:tc>
          <w:tcPr>
            <w:tcW w:w="0" w:type="auto"/>
            <w:shd w:val="clear" w:color="auto" w:fill="D3DFEE"/>
            <w:noWrap/>
            <w:textDirection w:val="btLr"/>
          </w:tcPr>
          <w:p w14:paraId="7FCDD2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160AC453"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61A558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2B5010C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39A0A25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6280F41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82011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157FF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7F862A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4EED22C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A5B96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6A358F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39952D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C0C3B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C529FB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8C54A7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63C709D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5D1E0B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3FA785C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18C327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1DB23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B895306" w14:textId="77777777" w:rsidTr="00C674FD">
        <w:trPr>
          <w:cantSplit/>
          <w:trHeight w:val="1134"/>
        </w:trPr>
        <w:tc>
          <w:tcPr>
            <w:tcW w:w="0" w:type="auto"/>
            <w:noWrap/>
            <w:textDirection w:val="btLr"/>
          </w:tcPr>
          <w:p w14:paraId="7D19CBFC"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61B381E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E8C32D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238768D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CCD571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C940C6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6AC20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4728B4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56B90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F041F6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C35633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72B589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4F29A7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A1D43A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FB9A89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084E4B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54848F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123A31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F356DB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FBF121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2706D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43EC00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6587B91"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1E03CEF4" w14:textId="77777777" w:rsidTr="00C674FD">
        <w:trPr>
          <w:cantSplit/>
          <w:trHeight w:val="1134"/>
        </w:trPr>
        <w:tc>
          <w:tcPr>
            <w:tcW w:w="0" w:type="auto"/>
            <w:shd w:val="clear" w:color="auto" w:fill="D3DFEE"/>
            <w:noWrap/>
            <w:textDirection w:val="btLr"/>
          </w:tcPr>
          <w:p w14:paraId="6E42F5D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75.)</w:t>
            </w:r>
          </w:p>
        </w:tc>
        <w:tc>
          <w:tcPr>
            <w:tcW w:w="0" w:type="auto"/>
            <w:shd w:val="clear" w:color="auto" w:fill="D3DFEE"/>
            <w:noWrap/>
            <w:textDirection w:val="btLr"/>
          </w:tcPr>
          <w:p w14:paraId="19DEA2E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29</w:t>
            </w:r>
          </w:p>
        </w:tc>
        <w:tc>
          <w:tcPr>
            <w:tcW w:w="0" w:type="auto"/>
            <w:shd w:val="clear" w:color="auto" w:fill="D3DFEE"/>
            <w:noWrap/>
            <w:textDirection w:val="btLr"/>
          </w:tcPr>
          <w:p w14:paraId="0D1B872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741CAED8"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0B6C7FD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5C71402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7FB8262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20</w:t>
            </w:r>
          </w:p>
        </w:tc>
        <w:tc>
          <w:tcPr>
            <w:tcW w:w="0" w:type="auto"/>
            <w:shd w:val="clear" w:color="auto" w:fill="D3DFEE"/>
            <w:noWrap/>
            <w:textDirection w:val="btLr"/>
          </w:tcPr>
          <w:p w14:paraId="569DD47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FED52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E8EF77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DB94F0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91A7A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7ED30D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178C99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1DB1D0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DF611C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413DC2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8F273B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84D939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322C69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382A63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4D4874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6FB216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316B144" w14:textId="77777777" w:rsidTr="00C674FD">
        <w:trPr>
          <w:cantSplit/>
          <w:trHeight w:val="1134"/>
        </w:trPr>
        <w:tc>
          <w:tcPr>
            <w:tcW w:w="0" w:type="auto"/>
            <w:noWrap/>
            <w:textDirection w:val="btLr"/>
          </w:tcPr>
          <w:p w14:paraId="13273A5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62F5CAF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A78116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B40E560"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43AC73D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9E58C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64DB79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E8908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A237E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EB359D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189DBA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0BC740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8BB182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99E56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701C5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9FB1FF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20656B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83A953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A7AF8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A9D50F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0392D8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C93E37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08B17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09ED00A3" w14:textId="77777777" w:rsidTr="00C674FD">
        <w:trPr>
          <w:cantSplit/>
          <w:trHeight w:val="1134"/>
        </w:trPr>
        <w:tc>
          <w:tcPr>
            <w:tcW w:w="0" w:type="auto"/>
            <w:shd w:val="clear" w:color="auto" w:fill="D3DFEE"/>
            <w:noWrap/>
            <w:textDirection w:val="btLr"/>
          </w:tcPr>
          <w:p w14:paraId="689B4A81"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76.)</w:t>
            </w:r>
          </w:p>
        </w:tc>
        <w:tc>
          <w:tcPr>
            <w:tcW w:w="0" w:type="auto"/>
            <w:shd w:val="clear" w:color="auto" w:fill="D3DFEE"/>
            <w:noWrap/>
            <w:textDirection w:val="btLr"/>
          </w:tcPr>
          <w:p w14:paraId="288617A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23</w:t>
            </w:r>
          </w:p>
        </w:tc>
        <w:tc>
          <w:tcPr>
            <w:tcW w:w="0" w:type="auto"/>
            <w:shd w:val="clear" w:color="auto" w:fill="D3DFEE"/>
            <w:noWrap/>
            <w:textDirection w:val="btLr"/>
          </w:tcPr>
          <w:p w14:paraId="3B46EF0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B4D060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44ED51F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5F6E9AF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313BE9F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628AB83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EC8EA0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CC6A0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B14A4C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202565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EB603D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7BD511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24DC32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E836D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31153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ACDFC9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B604E5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8A9C7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w:t>
            </w:r>
          </w:p>
        </w:tc>
        <w:tc>
          <w:tcPr>
            <w:tcW w:w="0" w:type="auto"/>
            <w:shd w:val="clear" w:color="auto" w:fill="D3DFEE"/>
            <w:noWrap/>
            <w:textDirection w:val="btLr"/>
          </w:tcPr>
          <w:p w14:paraId="445F206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106AEB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0D3D7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575F8A9C" w14:textId="77777777" w:rsidTr="00C674FD">
        <w:trPr>
          <w:cantSplit/>
          <w:trHeight w:val="1134"/>
        </w:trPr>
        <w:tc>
          <w:tcPr>
            <w:tcW w:w="0" w:type="auto"/>
            <w:noWrap/>
            <w:textDirection w:val="btLr"/>
          </w:tcPr>
          <w:p w14:paraId="643E1FA4"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3E50B9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9F41A6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64A4C437"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20086F0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E988C2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D46875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5C4061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C29FA7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1799E5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1BC288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A6C84D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31CB6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15431C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607CFC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4BAEF9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287509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C2AD88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2C113E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42453A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0A9773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04E90F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11CC287"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2A1B9B33" w14:textId="77777777" w:rsidTr="00C674FD">
        <w:trPr>
          <w:cantSplit/>
          <w:trHeight w:val="1134"/>
        </w:trPr>
        <w:tc>
          <w:tcPr>
            <w:tcW w:w="0" w:type="auto"/>
            <w:shd w:val="clear" w:color="auto" w:fill="D3DFEE"/>
            <w:noWrap/>
            <w:textDirection w:val="btLr"/>
          </w:tcPr>
          <w:p w14:paraId="07556D2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77.)</w:t>
            </w:r>
          </w:p>
        </w:tc>
        <w:tc>
          <w:tcPr>
            <w:tcW w:w="0" w:type="auto"/>
            <w:shd w:val="clear" w:color="auto" w:fill="D3DFEE"/>
            <w:noWrap/>
            <w:textDirection w:val="btLr"/>
          </w:tcPr>
          <w:p w14:paraId="7349028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36</w:t>
            </w:r>
          </w:p>
        </w:tc>
        <w:tc>
          <w:tcPr>
            <w:tcW w:w="0" w:type="auto"/>
            <w:shd w:val="clear" w:color="auto" w:fill="D3DFEE"/>
            <w:noWrap/>
            <w:textDirection w:val="btLr"/>
          </w:tcPr>
          <w:p w14:paraId="52F3BA7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6B44EF3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4E9B2E6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0</w:t>
            </w:r>
          </w:p>
        </w:tc>
        <w:tc>
          <w:tcPr>
            <w:tcW w:w="0" w:type="auto"/>
            <w:shd w:val="clear" w:color="auto" w:fill="D3DFEE"/>
            <w:noWrap/>
            <w:textDirection w:val="btLr"/>
          </w:tcPr>
          <w:p w14:paraId="32513D8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71B3334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17</w:t>
            </w:r>
          </w:p>
        </w:tc>
        <w:tc>
          <w:tcPr>
            <w:tcW w:w="0" w:type="auto"/>
            <w:shd w:val="clear" w:color="auto" w:fill="D3DFEE"/>
            <w:noWrap/>
            <w:textDirection w:val="btLr"/>
          </w:tcPr>
          <w:p w14:paraId="02C2D13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6E1A55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98FE8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0E8788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16592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0AC4F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D79768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7C56C0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BCEA8A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228F3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781321E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107E2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6977B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2C57723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31C67F1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705F1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2657F029" w14:textId="77777777" w:rsidTr="00C674FD">
        <w:trPr>
          <w:cantSplit/>
          <w:trHeight w:val="1134"/>
        </w:trPr>
        <w:tc>
          <w:tcPr>
            <w:tcW w:w="0" w:type="auto"/>
            <w:noWrap/>
            <w:textDirection w:val="btLr"/>
          </w:tcPr>
          <w:p w14:paraId="001DC20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10AA54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172BC3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59AA6E2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7A51F0F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4952EA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A2BCC7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D4F6DC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B33843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2644E2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D1636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835EF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44CA2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20BFCB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0EA6A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C0918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3FBC09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C17DA0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A14772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E2C75A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AAB4B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7C962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E999E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35A6BDBC" w14:textId="77777777" w:rsidTr="00C674FD">
        <w:trPr>
          <w:cantSplit/>
          <w:trHeight w:val="1134"/>
        </w:trPr>
        <w:tc>
          <w:tcPr>
            <w:tcW w:w="0" w:type="auto"/>
            <w:shd w:val="clear" w:color="auto" w:fill="D3DFEE"/>
            <w:noWrap/>
            <w:textDirection w:val="btLr"/>
          </w:tcPr>
          <w:p w14:paraId="16A52D9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78.)</w:t>
            </w:r>
          </w:p>
        </w:tc>
        <w:tc>
          <w:tcPr>
            <w:tcW w:w="0" w:type="auto"/>
            <w:shd w:val="clear" w:color="auto" w:fill="D3DFEE"/>
            <w:noWrap/>
            <w:textDirection w:val="btLr"/>
          </w:tcPr>
          <w:p w14:paraId="59D395E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29</w:t>
            </w:r>
          </w:p>
        </w:tc>
        <w:tc>
          <w:tcPr>
            <w:tcW w:w="0" w:type="auto"/>
            <w:shd w:val="clear" w:color="auto" w:fill="D3DFEE"/>
            <w:noWrap/>
            <w:textDirection w:val="btLr"/>
          </w:tcPr>
          <w:p w14:paraId="252AD62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7765523A"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05107BA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64645D7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0</w:t>
            </w:r>
          </w:p>
        </w:tc>
        <w:tc>
          <w:tcPr>
            <w:tcW w:w="0" w:type="auto"/>
            <w:shd w:val="clear" w:color="auto" w:fill="D3DFEE"/>
            <w:noWrap/>
            <w:textDirection w:val="btLr"/>
          </w:tcPr>
          <w:p w14:paraId="7962164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22</w:t>
            </w:r>
          </w:p>
        </w:tc>
        <w:tc>
          <w:tcPr>
            <w:tcW w:w="0" w:type="auto"/>
            <w:shd w:val="clear" w:color="auto" w:fill="D3DFEE"/>
            <w:noWrap/>
            <w:textDirection w:val="btLr"/>
          </w:tcPr>
          <w:p w14:paraId="42FDE4F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14651C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1BBAB3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7A41CB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DEF94F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5B32AFC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28F572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100EC9B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225DF9F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A4BCD0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904696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94C0C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595D3C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FEA1ED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3ADAB4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89134E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0666997A" w14:textId="77777777" w:rsidTr="00C674FD">
        <w:trPr>
          <w:cantSplit/>
          <w:trHeight w:val="1134"/>
        </w:trPr>
        <w:tc>
          <w:tcPr>
            <w:tcW w:w="0" w:type="auto"/>
            <w:noWrap/>
            <w:textDirection w:val="btLr"/>
          </w:tcPr>
          <w:p w14:paraId="58C9A3E5"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4AA176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F56DAC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21300DF"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E152DE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D8F987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8D7FB7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0D805D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A63CBE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192913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ED9060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6CA074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F86E20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498E95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93CE2E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FD8D2F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C231A6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9B91A9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D3D003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83E527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9EF5FD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F3CEAE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F0BE53F"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2169FA97" w14:textId="77777777" w:rsidTr="00C674FD">
        <w:trPr>
          <w:cantSplit/>
          <w:trHeight w:val="1134"/>
        </w:trPr>
        <w:tc>
          <w:tcPr>
            <w:tcW w:w="0" w:type="auto"/>
            <w:shd w:val="clear" w:color="auto" w:fill="D3DFEE"/>
            <w:noWrap/>
            <w:textDirection w:val="btLr"/>
          </w:tcPr>
          <w:p w14:paraId="291A8CE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79.)</w:t>
            </w:r>
          </w:p>
        </w:tc>
        <w:tc>
          <w:tcPr>
            <w:tcW w:w="0" w:type="auto"/>
            <w:shd w:val="clear" w:color="auto" w:fill="D3DFEE"/>
            <w:noWrap/>
            <w:textDirection w:val="btLr"/>
          </w:tcPr>
          <w:p w14:paraId="7A9C3A8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20</w:t>
            </w:r>
          </w:p>
        </w:tc>
        <w:tc>
          <w:tcPr>
            <w:tcW w:w="0" w:type="auto"/>
            <w:shd w:val="clear" w:color="auto" w:fill="D3DFEE"/>
            <w:noWrap/>
            <w:textDirection w:val="btLr"/>
          </w:tcPr>
          <w:p w14:paraId="567D56B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2175251E"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61DB9E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5D72A49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1222345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15</w:t>
            </w:r>
          </w:p>
        </w:tc>
        <w:tc>
          <w:tcPr>
            <w:tcW w:w="0" w:type="auto"/>
            <w:shd w:val="clear" w:color="auto" w:fill="D3DFEE"/>
            <w:noWrap/>
            <w:textDirection w:val="btLr"/>
          </w:tcPr>
          <w:p w14:paraId="453EB9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25F8A2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6435FB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11BBEB1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7137864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7A2774A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56B459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5FDD744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DC2CF1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59067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FCD22B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BB91ED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57E11AE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71D3343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4E860ED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7F372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4E4F07AE" w14:textId="77777777" w:rsidTr="00C674FD">
        <w:trPr>
          <w:cantSplit/>
          <w:trHeight w:val="1134"/>
        </w:trPr>
        <w:tc>
          <w:tcPr>
            <w:tcW w:w="0" w:type="auto"/>
            <w:noWrap/>
            <w:textDirection w:val="btLr"/>
          </w:tcPr>
          <w:p w14:paraId="79BF455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39D467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480A55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7654173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130B17D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B9F110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05D765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C929D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FAE886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5B3088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05AA5E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09AF21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345791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B42B44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90A001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FB29A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1E9442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CE9317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91A6D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5E4E35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8F233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EBF1B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4911E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34C3BB67" w14:textId="77777777" w:rsidTr="00C674FD">
        <w:trPr>
          <w:cantSplit/>
          <w:trHeight w:val="1134"/>
        </w:trPr>
        <w:tc>
          <w:tcPr>
            <w:tcW w:w="0" w:type="auto"/>
            <w:shd w:val="clear" w:color="auto" w:fill="D3DFEE"/>
            <w:noWrap/>
            <w:textDirection w:val="btLr"/>
          </w:tcPr>
          <w:p w14:paraId="48E677F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80.)</w:t>
            </w:r>
          </w:p>
        </w:tc>
        <w:tc>
          <w:tcPr>
            <w:tcW w:w="0" w:type="auto"/>
            <w:shd w:val="clear" w:color="auto" w:fill="D3DFEE"/>
            <w:noWrap/>
            <w:textDirection w:val="btLr"/>
          </w:tcPr>
          <w:p w14:paraId="4C957C8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33</w:t>
            </w:r>
          </w:p>
        </w:tc>
        <w:tc>
          <w:tcPr>
            <w:tcW w:w="0" w:type="auto"/>
            <w:shd w:val="clear" w:color="auto" w:fill="D3DFEE"/>
            <w:noWrap/>
            <w:textDirection w:val="btLr"/>
          </w:tcPr>
          <w:p w14:paraId="1DD6FE3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5BE26BA6"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1848B4F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3852622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4B8B915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21</w:t>
            </w:r>
          </w:p>
        </w:tc>
        <w:tc>
          <w:tcPr>
            <w:tcW w:w="0" w:type="auto"/>
            <w:shd w:val="clear" w:color="auto" w:fill="D3DFEE"/>
            <w:noWrap/>
            <w:textDirection w:val="btLr"/>
          </w:tcPr>
          <w:p w14:paraId="44545C8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36F56C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161DE8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2A3863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0661A2C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6AAEBD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CABB85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2CB0EA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2FE404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1EF60B8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024815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738213B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03BF12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shd w:val="clear" w:color="auto" w:fill="D3DFEE"/>
            <w:noWrap/>
            <w:textDirection w:val="btLr"/>
          </w:tcPr>
          <w:p w14:paraId="76A0627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1EECA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0D48A2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r>
      <w:tr w:rsidR="0064032D" w:rsidRPr="008F13F9" w14:paraId="1B102E3E" w14:textId="77777777" w:rsidTr="00C674FD">
        <w:trPr>
          <w:cantSplit/>
          <w:trHeight w:val="1134"/>
        </w:trPr>
        <w:tc>
          <w:tcPr>
            <w:tcW w:w="0" w:type="auto"/>
            <w:noWrap/>
            <w:textDirection w:val="btLr"/>
          </w:tcPr>
          <w:p w14:paraId="53F93DBA"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1BC1E43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85CA4B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527C3B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318B349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46D762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65A5BD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382C86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4F348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89F8E8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C2B258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E4AD80C"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84F2CC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076E2F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BEE929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A7AC22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276884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85754F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963C95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4301C9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4C5D51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48C1C6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E2BA2C4"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419A0433" w14:textId="77777777" w:rsidTr="00C674FD">
        <w:trPr>
          <w:cantSplit/>
          <w:trHeight w:val="1134"/>
        </w:trPr>
        <w:tc>
          <w:tcPr>
            <w:tcW w:w="0" w:type="auto"/>
            <w:shd w:val="clear" w:color="auto" w:fill="D3DFEE"/>
            <w:noWrap/>
            <w:textDirection w:val="btLr"/>
          </w:tcPr>
          <w:p w14:paraId="56CACFDF"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81.)</w:t>
            </w:r>
          </w:p>
        </w:tc>
        <w:tc>
          <w:tcPr>
            <w:tcW w:w="0" w:type="auto"/>
            <w:shd w:val="clear" w:color="auto" w:fill="D3DFEE"/>
            <w:noWrap/>
            <w:textDirection w:val="btLr"/>
          </w:tcPr>
          <w:p w14:paraId="3D95859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31</w:t>
            </w:r>
          </w:p>
        </w:tc>
        <w:tc>
          <w:tcPr>
            <w:tcW w:w="0" w:type="auto"/>
            <w:shd w:val="clear" w:color="auto" w:fill="D3DFEE"/>
            <w:noWrap/>
            <w:textDirection w:val="btLr"/>
          </w:tcPr>
          <w:p w14:paraId="2C31C03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0BA74B08"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BF637F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1FCDD23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605D5B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20</w:t>
            </w:r>
          </w:p>
        </w:tc>
        <w:tc>
          <w:tcPr>
            <w:tcW w:w="0" w:type="auto"/>
            <w:shd w:val="clear" w:color="auto" w:fill="D3DFEE"/>
            <w:noWrap/>
            <w:textDirection w:val="btLr"/>
          </w:tcPr>
          <w:p w14:paraId="18E438C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663E53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15D598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540751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04DA016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A7394E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F24DB6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4402DF8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3D4727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DBA765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55B574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3C3101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F13BE9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shd w:val="clear" w:color="auto" w:fill="D3DFEE"/>
            <w:noWrap/>
            <w:textDirection w:val="btLr"/>
          </w:tcPr>
          <w:p w14:paraId="7383123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65FFCF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2B784F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C07D589" w14:textId="77777777" w:rsidTr="00C674FD">
        <w:trPr>
          <w:cantSplit/>
          <w:trHeight w:val="1134"/>
        </w:trPr>
        <w:tc>
          <w:tcPr>
            <w:tcW w:w="0" w:type="auto"/>
            <w:noWrap/>
            <w:textDirection w:val="btLr"/>
          </w:tcPr>
          <w:p w14:paraId="4C9FF01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2ECB95B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33AD5F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32F015B"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0D53C26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15486D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2C58EC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003CD6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CEC939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AE79D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28AF7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845EA0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D2EEF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CA896C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AACACE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D72E42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BA68C5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F62FB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35002C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F86860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6D05A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239A89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905BBF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1E36DFCD" w14:textId="77777777" w:rsidTr="00C674FD">
        <w:trPr>
          <w:cantSplit/>
          <w:trHeight w:val="1134"/>
        </w:trPr>
        <w:tc>
          <w:tcPr>
            <w:tcW w:w="0" w:type="auto"/>
            <w:shd w:val="clear" w:color="auto" w:fill="D3DFEE"/>
            <w:noWrap/>
            <w:textDirection w:val="btLr"/>
          </w:tcPr>
          <w:p w14:paraId="7397991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82.)</w:t>
            </w:r>
          </w:p>
        </w:tc>
        <w:tc>
          <w:tcPr>
            <w:tcW w:w="0" w:type="auto"/>
            <w:shd w:val="clear" w:color="auto" w:fill="D3DFEE"/>
            <w:noWrap/>
            <w:textDirection w:val="btLr"/>
          </w:tcPr>
          <w:p w14:paraId="19D933F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24</w:t>
            </w:r>
          </w:p>
        </w:tc>
        <w:tc>
          <w:tcPr>
            <w:tcW w:w="0" w:type="auto"/>
            <w:shd w:val="clear" w:color="auto" w:fill="D3DFEE"/>
            <w:noWrap/>
            <w:textDirection w:val="btLr"/>
          </w:tcPr>
          <w:p w14:paraId="3CAC5DE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3B9C5851"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77F4E1A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0880E54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53E7F3E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19</w:t>
            </w:r>
          </w:p>
        </w:tc>
        <w:tc>
          <w:tcPr>
            <w:tcW w:w="0" w:type="auto"/>
            <w:shd w:val="clear" w:color="auto" w:fill="D3DFEE"/>
            <w:noWrap/>
            <w:textDirection w:val="btLr"/>
          </w:tcPr>
          <w:p w14:paraId="048510C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FE27C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ED07B7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F1D936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7CAD4E2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8</w:t>
            </w:r>
          </w:p>
        </w:tc>
        <w:tc>
          <w:tcPr>
            <w:tcW w:w="0" w:type="auto"/>
            <w:shd w:val="clear" w:color="auto" w:fill="D3DFEE"/>
            <w:noWrap/>
            <w:textDirection w:val="btLr"/>
          </w:tcPr>
          <w:p w14:paraId="1F9B35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053326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32C137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98DC2F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0E7C962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C9A3B80"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3E980B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FFB661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7A892F8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7BF0B1A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5BDBE6E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5ABF45F6" w14:textId="77777777" w:rsidTr="00C674FD">
        <w:trPr>
          <w:cantSplit/>
          <w:trHeight w:val="1134"/>
        </w:trPr>
        <w:tc>
          <w:tcPr>
            <w:tcW w:w="0" w:type="auto"/>
            <w:noWrap/>
            <w:textDirection w:val="btLr"/>
          </w:tcPr>
          <w:p w14:paraId="3A347CD0"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0AA4FA0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618967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285033DC" w14:textId="4E32EA8C" w:rsidR="0064032D" w:rsidRPr="008F13F9" w:rsidRDefault="0098650F" w:rsidP="008F13F9">
            <w:pPr>
              <w:spacing w:line="360" w:lineRule="auto"/>
              <w:ind w:left="113" w:right="113"/>
              <w:rPr>
                <w:rFonts w:ascii="Arial" w:hAnsi="Arial" w:cs="Arial"/>
                <w:color w:val="FF0000"/>
                <w:sz w:val="24"/>
                <w:szCs w:val="24"/>
              </w:rPr>
            </w:pPr>
            <w:r w:rsidRPr="0098650F">
              <w:rPr>
                <w:rFonts w:ascii="Arial" w:hAnsi="Arial" w:cs="Arial"/>
                <w:color w:val="FF0000"/>
                <w:sz w:val="20"/>
                <w:szCs w:val="20"/>
              </w:rPr>
              <w:t>HR pozitivní</w:t>
            </w:r>
          </w:p>
        </w:tc>
        <w:tc>
          <w:tcPr>
            <w:tcW w:w="0" w:type="auto"/>
            <w:noWrap/>
            <w:textDirection w:val="btLr"/>
          </w:tcPr>
          <w:p w14:paraId="27E24B6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F74598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D9B947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49A8B5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7DF7B3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386D04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5F067A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2C5CFF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9C8A74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1C51EA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2352BA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CD7A63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81066F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84A190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DAEBD1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399FBB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55B8BC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40D3BE4"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53FD78C2" w14:textId="77777777" w:rsidTr="00C674FD">
        <w:trPr>
          <w:cantSplit/>
          <w:trHeight w:val="1134"/>
        </w:trPr>
        <w:tc>
          <w:tcPr>
            <w:tcW w:w="0" w:type="auto"/>
            <w:shd w:val="clear" w:color="auto" w:fill="D3DFEE"/>
            <w:noWrap/>
            <w:textDirection w:val="btLr"/>
          </w:tcPr>
          <w:p w14:paraId="76EBC7A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83.)</w:t>
            </w:r>
          </w:p>
        </w:tc>
        <w:tc>
          <w:tcPr>
            <w:tcW w:w="0" w:type="auto"/>
            <w:shd w:val="clear" w:color="auto" w:fill="D3DFEE"/>
            <w:noWrap/>
            <w:textDirection w:val="btLr"/>
          </w:tcPr>
          <w:p w14:paraId="4E584BD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24</w:t>
            </w:r>
          </w:p>
        </w:tc>
        <w:tc>
          <w:tcPr>
            <w:tcW w:w="0" w:type="auto"/>
            <w:shd w:val="clear" w:color="auto" w:fill="D3DFEE"/>
            <w:noWrap/>
            <w:textDirection w:val="btLr"/>
          </w:tcPr>
          <w:p w14:paraId="2C61FA5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5CD3B16"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D609B4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2E31B5E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441D3BB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30887D3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7F37DD5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D32A42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AD02E5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5F8E354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6D9E48F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6C63299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333E6BB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7CB7A67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C7B2D8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0C8D7FE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B70E38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4D4F89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1950ED0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0A2064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72D7985F"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r>
      <w:tr w:rsidR="0064032D" w:rsidRPr="008F13F9" w14:paraId="1FE77FF8" w14:textId="77777777" w:rsidTr="00C674FD">
        <w:trPr>
          <w:cantSplit/>
          <w:trHeight w:val="1134"/>
        </w:trPr>
        <w:tc>
          <w:tcPr>
            <w:tcW w:w="0" w:type="auto"/>
            <w:noWrap/>
            <w:textDirection w:val="btLr"/>
          </w:tcPr>
          <w:p w14:paraId="3E0E9B3E"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5166818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483D0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gridSpan w:val="2"/>
            <w:noWrap/>
            <w:textDirection w:val="btLr"/>
          </w:tcPr>
          <w:p w14:paraId="2FCFF73B" w14:textId="11B05FA8" w:rsidR="0064032D" w:rsidRPr="008F13F9" w:rsidRDefault="0098650F" w:rsidP="008F13F9">
            <w:pPr>
              <w:spacing w:line="360" w:lineRule="auto"/>
              <w:ind w:left="113" w:right="113"/>
              <w:rPr>
                <w:rFonts w:ascii="Arial" w:hAnsi="Arial" w:cs="Arial"/>
                <w:color w:val="FF0000"/>
                <w:sz w:val="24"/>
                <w:szCs w:val="24"/>
              </w:rPr>
            </w:pPr>
            <w:r w:rsidRPr="0098650F">
              <w:rPr>
                <w:rFonts w:ascii="Arial" w:hAnsi="Arial" w:cs="Arial"/>
                <w:color w:val="FF0000"/>
                <w:sz w:val="20"/>
                <w:szCs w:val="20"/>
              </w:rPr>
              <w:t>HR pozitivní</w:t>
            </w:r>
          </w:p>
        </w:tc>
        <w:tc>
          <w:tcPr>
            <w:tcW w:w="0" w:type="auto"/>
            <w:noWrap/>
            <w:textDirection w:val="btLr"/>
          </w:tcPr>
          <w:p w14:paraId="584C5AB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441E95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FA2736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632B98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30401A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BC0317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735AAB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0E339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8266E5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564CB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6D89AA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EB0A87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A3AD95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EB15DE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56BA1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D20D6F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FE3A58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B52508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22862317" w14:textId="77777777" w:rsidTr="00C674FD">
        <w:trPr>
          <w:cantSplit/>
          <w:trHeight w:val="1134"/>
        </w:trPr>
        <w:tc>
          <w:tcPr>
            <w:tcW w:w="0" w:type="auto"/>
            <w:shd w:val="clear" w:color="auto" w:fill="D3DFEE"/>
            <w:noWrap/>
            <w:textDirection w:val="btLr"/>
          </w:tcPr>
          <w:p w14:paraId="0F250093"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84.)</w:t>
            </w:r>
          </w:p>
        </w:tc>
        <w:tc>
          <w:tcPr>
            <w:tcW w:w="0" w:type="auto"/>
            <w:shd w:val="clear" w:color="auto" w:fill="D3DFEE"/>
            <w:noWrap/>
            <w:textDirection w:val="btLr"/>
          </w:tcPr>
          <w:p w14:paraId="1993B2B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23</w:t>
            </w:r>
          </w:p>
        </w:tc>
        <w:tc>
          <w:tcPr>
            <w:tcW w:w="0" w:type="auto"/>
            <w:shd w:val="clear" w:color="auto" w:fill="D3DFEE"/>
            <w:noWrap/>
            <w:textDirection w:val="btLr"/>
          </w:tcPr>
          <w:p w14:paraId="523BC98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5AAE4E73"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C0483E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0444B42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5AC0B6A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2E2C072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6A1A240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7E4EC6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44CCB7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4126244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6F4A19B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8CA947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5EADAE2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7FF1F1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2158275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4DEA361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D2998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FD2DE8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47B04F1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51D701F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0734E0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0991B0F" w14:textId="77777777" w:rsidTr="00C674FD">
        <w:trPr>
          <w:cantSplit/>
          <w:trHeight w:val="1134"/>
        </w:trPr>
        <w:tc>
          <w:tcPr>
            <w:tcW w:w="0" w:type="auto"/>
            <w:noWrap/>
            <w:textDirection w:val="btLr"/>
          </w:tcPr>
          <w:p w14:paraId="0EFCDF15"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1606E52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19299D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02459D9"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5D9788A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962A96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9092DA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02A499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1554C7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06356C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E042F09"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18D4EF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51AA29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9DC13F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AF6721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B83151A"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ECD43E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3B2333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166346A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999685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D44303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BF97AFB"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CEFA4FB"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7C887F47" w14:textId="77777777" w:rsidTr="00C674FD">
        <w:trPr>
          <w:cantSplit/>
          <w:trHeight w:val="1134"/>
        </w:trPr>
        <w:tc>
          <w:tcPr>
            <w:tcW w:w="0" w:type="auto"/>
            <w:shd w:val="clear" w:color="auto" w:fill="D3DFEE"/>
            <w:noWrap/>
            <w:textDirection w:val="btLr"/>
          </w:tcPr>
          <w:p w14:paraId="5CAFDB40"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85.)</w:t>
            </w:r>
          </w:p>
        </w:tc>
        <w:tc>
          <w:tcPr>
            <w:tcW w:w="0" w:type="auto"/>
            <w:shd w:val="clear" w:color="auto" w:fill="D3DFEE"/>
            <w:noWrap/>
            <w:textDirection w:val="btLr"/>
          </w:tcPr>
          <w:p w14:paraId="617B070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24</w:t>
            </w:r>
          </w:p>
        </w:tc>
        <w:tc>
          <w:tcPr>
            <w:tcW w:w="0" w:type="auto"/>
            <w:shd w:val="clear" w:color="auto" w:fill="D3DFEE"/>
            <w:noWrap/>
            <w:textDirection w:val="btLr"/>
          </w:tcPr>
          <w:p w14:paraId="47CA980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23611C4"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2F5456E8"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5196DFCA"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24143C9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18</w:t>
            </w:r>
          </w:p>
        </w:tc>
        <w:tc>
          <w:tcPr>
            <w:tcW w:w="0" w:type="auto"/>
            <w:shd w:val="clear" w:color="auto" w:fill="D3DFEE"/>
            <w:noWrap/>
            <w:textDirection w:val="btLr"/>
          </w:tcPr>
          <w:p w14:paraId="376588D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D401A2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2F37B61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751502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557B7ED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c>
          <w:tcPr>
            <w:tcW w:w="0" w:type="auto"/>
            <w:shd w:val="clear" w:color="auto" w:fill="D3DFEE"/>
            <w:noWrap/>
            <w:textDirection w:val="btLr"/>
          </w:tcPr>
          <w:p w14:paraId="7DBDE62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793458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68215B1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2B109E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3CD6B14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35AAA29"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183EAC6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769C10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6F1E941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0324F85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C574F4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1FCDD41A" w14:textId="77777777" w:rsidTr="00C674FD">
        <w:trPr>
          <w:cantSplit/>
          <w:trHeight w:val="1134"/>
        </w:trPr>
        <w:tc>
          <w:tcPr>
            <w:tcW w:w="0" w:type="auto"/>
            <w:noWrap/>
            <w:textDirection w:val="btLr"/>
          </w:tcPr>
          <w:p w14:paraId="1B87B1A5"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noWrap/>
            <w:textDirection w:val="btLr"/>
          </w:tcPr>
          <w:p w14:paraId="3FB6BB5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603CEAF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1C0FE093"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28273A2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3EDA57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EF240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EB22E8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4B09842"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5CE0F4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D2D78A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4797DC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73DBD59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39F1EC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A6CDFC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5DD0EE0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348EA4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F51385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39EADCBC"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0222F98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12CC8D9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4C60748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c>
          <w:tcPr>
            <w:tcW w:w="0" w:type="auto"/>
            <w:noWrap/>
            <w:textDirection w:val="btLr"/>
          </w:tcPr>
          <w:p w14:paraId="2B63695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 </w:t>
            </w:r>
          </w:p>
        </w:tc>
      </w:tr>
      <w:tr w:rsidR="0064032D" w:rsidRPr="008F13F9" w14:paraId="614BD3BD" w14:textId="77777777" w:rsidTr="00C674FD">
        <w:trPr>
          <w:cantSplit/>
          <w:trHeight w:val="1134"/>
        </w:trPr>
        <w:tc>
          <w:tcPr>
            <w:tcW w:w="0" w:type="auto"/>
            <w:shd w:val="clear" w:color="auto" w:fill="D3DFEE"/>
            <w:noWrap/>
            <w:textDirection w:val="btLr"/>
          </w:tcPr>
          <w:p w14:paraId="364EAF94"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86.)</w:t>
            </w:r>
          </w:p>
        </w:tc>
        <w:tc>
          <w:tcPr>
            <w:tcW w:w="0" w:type="auto"/>
            <w:shd w:val="clear" w:color="auto" w:fill="D3DFEE"/>
            <w:noWrap/>
            <w:textDirection w:val="btLr"/>
          </w:tcPr>
          <w:p w14:paraId="03B29B35"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24</w:t>
            </w:r>
          </w:p>
        </w:tc>
        <w:tc>
          <w:tcPr>
            <w:tcW w:w="0" w:type="auto"/>
            <w:shd w:val="clear" w:color="auto" w:fill="D3DFEE"/>
            <w:noWrap/>
            <w:textDirection w:val="btLr"/>
          </w:tcPr>
          <w:p w14:paraId="75F8FCF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6C0CAEB2" w14:textId="77777777" w:rsidR="0064032D" w:rsidRPr="008F13F9" w:rsidRDefault="00F27AA7"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3D96DA5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5F427F23"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4</w:t>
            </w:r>
          </w:p>
        </w:tc>
        <w:tc>
          <w:tcPr>
            <w:tcW w:w="0" w:type="auto"/>
            <w:shd w:val="clear" w:color="auto" w:fill="D3DFEE"/>
            <w:noWrap/>
            <w:textDirection w:val="btLr"/>
          </w:tcPr>
          <w:p w14:paraId="15144B84"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19</w:t>
            </w:r>
          </w:p>
        </w:tc>
        <w:tc>
          <w:tcPr>
            <w:tcW w:w="0" w:type="auto"/>
            <w:shd w:val="clear" w:color="auto" w:fill="D3DFEE"/>
            <w:noWrap/>
            <w:textDirection w:val="btLr"/>
          </w:tcPr>
          <w:p w14:paraId="46A1CCB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4837401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0AA2109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662413A"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026D0A8B"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5</w:t>
            </w:r>
          </w:p>
        </w:tc>
        <w:tc>
          <w:tcPr>
            <w:tcW w:w="0" w:type="auto"/>
            <w:shd w:val="clear" w:color="auto" w:fill="D3DFEE"/>
            <w:noWrap/>
            <w:textDirection w:val="btLr"/>
          </w:tcPr>
          <w:p w14:paraId="2C3A1A0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C04C2A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6DAD52A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D49529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70F18CF8"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7DB9EF71"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6123AAE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305F31B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4F02E0E4"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3C7A797F"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4193E1D7"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r>
      <w:tr w:rsidR="0064032D" w:rsidRPr="008F13F9" w14:paraId="05014E54" w14:textId="77777777" w:rsidTr="00C674FD">
        <w:trPr>
          <w:cantSplit/>
          <w:trHeight w:val="1134"/>
        </w:trPr>
        <w:tc>
          <w:tcPr>
            <w:tcW w:w="0" w:type="auto"/>
            <w:noWrap/>
            <w:textDirection w:val="btLr"/>
          </w:tcPr>
          <w:p w14:paraId="3506E34F"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noWrap/>
            <w:textDirection w:val="btLr"/>
          </w:tcPr>
          <w:p w14:paraId="644B2BE2"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2DF634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VAG</w:t>
            </w:r>
          </w:p>
        </w:tc>
        <w:tc>
          <w:tcPr>
            <w:tcW w:w="0" w:type="auto"/>
            <w:noWrap/>
            <w:textDirection w:val="btLr"/>
          </w:tcPr>
          <w:p w14:paraId="3EF177E2" w14:textId="77777777" w:rsidR="0064032D" w:rsidRPr="008F13F9" w:rsidRDefault="00D73611"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noWrap/>
            <w:textDirection w:val="btLr"/>
          </w:tcPr>
          <w:p w14:paraId="5090FD0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548E7C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8F01056"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CAF8DAE"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5DB2F45"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4B122A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7A8AA65F"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41D7E9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A8DB52D"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96C6F24"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FF09238"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3B26358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3E044F3"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0DC1EE01"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3D45A07"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648EAB3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504A38D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4A725E60" w14:textId="77777777" w:rsidR="0064032D" w:rsidRPr="008F13F9" w:rsidRDefault="0064032D" w:rsidP="008F13F9">
            <w:pPr>
              <w:spacing w:line="360" w:lineRule="auto"/>
              <w:ind w:left="113" w:right="113"/>
              <w:rPr>
                <w:rFonts w:ascii="Arial" w:hAnsi="Arial" w:cs="Arial"/>
                <w:color w:val="000000"/>
                <w:sz w:val="24"/>
                <w:szCs w:val="24"/>
              </w:rPr>
            </w:pPr>
          </w:p>
        </w:tc>
        <w:tc>
          <w:tcPr>
            <w:tcW w:w="0" w:type="auto"/>
            <w:noWrap/>
            <w:textDirection w:val="btLr"/>
          </w:tcPr>
          <w:p w14:paraId="209B6869" w14:textId="77777777" w:rsidR="0064032D" w:rsidRPr="008F13F9" w:rsidRDefault="0064032D" w:rsidP="008F13F9">
            <w:pPr>
              <w:spacing w:line="360" w:lineRule="auto"/>
              <w:ind w:left="113" w:right="113"/>
              <w:rPr>
                <w:rFonts w:ascii="Arial" w:hAnsi="Arial" w:cs="Arial"/>
                <w:color w:val="000000"/>
                <w:sz w:val="24"/>
                <w:szCs w:val="24"/>
              </w:rPr>
            </w:pPr>
          </w:p>
        </w:tc>
      </w:tr>
      <w:tr w:rsidR="0064032D" w:rsidRPr="008F13F9" w14:paraId="23E6915B" w14:textId="77777777" w:rsidTr="00C674FD">
        <w:trPr>
          <w:cantSplit/>
          <w:trHeight w:val="1134"/>
        </w:trPr>
        <w:tc>
          <w:tcPr>
            <w:tcW w:w="0" w:type="auto"/>
            <w:vMerge w:val="restart"/>
            <w:shd w:val="clear" w:color="auto" w:fill="D3DFEE"/>
            <w:noWrap/>
            <w:textDirection w:val="btLr"/>
          </w:tcPr>
          <w:p w14:paraId="1E269940" w14:textId="77777777" w:rsidR="0064032D" w:rsidRPr="008F13F9" w:rsidRDefault="00D73611" w:rsidP="008F13F9">
            <w:pPr>
              <w:spacing w:line="360" w:lineRule="auto"/>
              <w:ind w:left="113" w:right="113"/>
              <w:rPr>
                <w:rFonts w:ascii="Arial" w:hAnsi="Arial" w:cs="Arial"/>
                <w:b/>
                <w:bCs/>
                <w:color w:val="000000"/>
                <w:sz w:val="24"/>
                <w:szCs w:val="24"/>
              </w:rPr>
            </w:pPr>
            <w:r>
              <w:rPr>
                <w:rFonts w:ascii="Arial" w:hAnsi="Arial" w:cs="Arial"/>
                <w:b/>
                <w:bCs/>
                <w:color w:val="000000"/>
                <w:sz w:val="24"/>
                <w:szCs w:val="24"/>
              </w:rPr>
              <w:t>87.)</w:t>
            </w:r>
          </w:p>
          <w:p w14:paraId="49D1F09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shd w:val="clear" w:color="auto" w:fill="D3DFEE"/>
            <w:noWrap/>
            <w:textDirection w:val="btLr"/>
          </w:tcPr>
          <w:p w14:paraId="1607772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23</w:t>
            </w:r>
          </w:p>
        </w:tc>
        <w:tc>
          <w:tcPr>
            <w:tcW w:w="0" w:type="auto"/>
            <w:shd w:val="clear" w:color="auto" w:fill="D3DFEE"/>
            <w:noWrap/>
            <w:textDirection w:val="btLr"/>
          </w:tcPr>
          <w:p w14:paraId="37729950"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DU</w:t>
            </w:r>
          </w:p>
        </w:tc>
        <w:tc>
          <w:tcPr>
            <w:tcW w:w="0" w:type="auto"/>
            <w:shd w:val="clear" w:color="auto" w:fill="D3DFEE"/>
            <w:noWrap/>
            <w:textDirection w:val="btLr"/>
          </w:tcPr>
          <w:p w14:paraId="427067DB" w14:textId="77777777" w:rsidR="0064032D" w:rsidRPr="008F13F9" w:rsidRDefault="00D73611" w:rsidP="008F13F9">
            <w:pPr>
              <w:spacing w:line="360" w:lineRule="auto"/>
              <w:ind w:left="113" w:right="113"/>
              <w:rPr>
                <w:rFonts w:ascii="Arial" w:hAnsi="Arial" w:cs="Arial"/>
                <w:color w:val="000000"/>
                <w:sz w:val="24"/>
                <w:szCs w:val="24"/>
              </w:rPr>
            </w:pPr>
            <w:r w:rsidRPr="00F27AA7">
              <w:rPr>
                <w:rFonts w:ascii="Arial" w:hAnsi="Arial" w:cs="Arial"/>
                <w:color w:val="000000"/>
                <w:sz w:val="20"/>
                <w:szCs w:val="20"/>
              </w:rPr>
              <w:t>Negativní</w:t>
            </w:r>
          </w:p>
        </w:tc>
        <w:tc>
          <w:tcPr>
            <w:tcW w:w="0" w:type="auto"/>
            <w:shd w:val="clear" w:color="auto" w:fill="D3DFEE"/>
            <w:noWrap/>
            <w:textDirection w:val="btLr"/>
          </w:tcPr>
          <w:p w14:paraId="6D4D159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41417A26"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7</w:t>
            </w:r>
          </w:p>
        </w:tc>
        <w:tc>
          <w:tcPr>
            <w:tcW w:w="0" w:type="auto"/>
            <w:shd w:val="clear" w:color="auto" w:fill="D3DFEE"/>
            <w:noWrap/>
            <w:textDirection w:val="btLr"/>
          </w:tcPr>
          <w:p w14:paraId="07F7E43E"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16</w:t>
            </w:r>
          </w:p>
        </w:tc>
        <w:tc>
          <w:tcPr>
            <w:tcW w:w="0" w:type="auto"/>
            <w:shd w:val="clear" w:color="auto" w:fill="D3DFEE"/>
            <w:noWrap/>
            <w:textDirection w:val="btLr"/>
          </w:tcPr>
          <w:p w14:paraId="4BFBC93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1563CACE"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w:t>
            </w:r>
          </w:p>
        </w:tc>
        <w:tc>
          <w:tcPr>
            <w:tcW w:w="0" w:type="auto"/>
            <w:shd w:val="clear" w:color="auto" w:fill="D3DFEE"/>
            <w:noWrap/>
            <w:textDirection w:val="btLr"/>
          </w:tcPr>
          <w:p w14:paraId="306809A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2247ADE1"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Příležitostně</w:t>
            </w:r>
          </w:p>
        </w:tc>
        <w:tc>
          <w:tcPr>
            <w:tcW w:w="0" w:type="auto"/>
            <w:shd w:val="clear" w:color="auto" w:fill="D3DFEE"/>
            <w:noWrap/>
            <w:textDirection w:val="btLr"/>
          </w:tcPr>
          <w:p w14:paraId="32E65287"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6</w:t>
            </w:r>
          </w:p>
        </w:tc>
        <w:tc>
          <w:tcPr>
            <w:tcW w:w="0" w:type="auto"/>
            <w:shd w:val="clear" w:color="auto" w:fill="D3DFEE"/>
            <w:noWrap/>
            <w:textDirection w:val="btLr"/>
          </w:tcPr>
          <w:p w14:paraId="48F8CAF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0B8EB82D"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Marihuana</w:t>
            </w:r>
          </w:p>
        </w:tc>
        <w:tc>
          <w:tcPr>
            <w:tcW w:w="0" w:type="auto"/>
            <w:shd w:val="clear" w:color="auto" w:fill="D3DFEE"/>
            <w:noWrap/>
            <w:textDirection w:val="btLr"/>
          </w:tcPr>
          <w:p w14:paraId="7D3C5F66"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1024D015"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6F4F6B33"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Ano</w:t>
            </w:r>
          </w:p>
        </w:tc>
        <w:tc>
          <w:tcPr>
            <w:tcW w:w="0" w:type="auto"/>
            <w:shd w:val="clear" w:color="auto" w:fill="D3DFEE"/>
            <w:noWrap/>
            <w:textDirection w:val="btLr"/>
          </w:tcPr>
          <w:p w14:paraId="54D07ED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2</w:t>
            </w:r>
          </w:p>
        </w:tc>
        <w:tc>
          <w:tcPr>
            <w:tcW w:w="0" w:type="auto"/>
            <w:shd w:val="clear" w:color="auto" w:fill="D3DFEE"/>
            <w:noWrap/>
            <w:textDirection w:val="btLr"/>
          </w:tcPr>
          <w:p w14:paraId="5D9F972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A</w:t>
            </w:r>
          </w:p>
        </w:tc>
        <w:tc>
          <w:tcPr>
            <w:tcW w:w="0" w:type="auto"/>
            <w:shd w:val="clear" w:color="auto" w:fill="D3DFEE"/>
            <w:noWrap/>
            <w:textDirection w:val="btLr"/>
          </w:tcPr>
          <w:p w14:paraId="4E76E68C"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1</w:t>
            </w:r>
          </w:p>
        </w:tc>
        <w:tc>
          <w:tcPr>
            <w:tcW w:w="0" w:type="auto"/>
            <w:shd w:val="clear" w:color="auto" w:fill="D3DFEE"/>
            <w:noWrap/>
            <w:textDirection w:val="btLr"/>
          </w:tcPr>
          <w:p w14:paraId="42775CDB"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Hetero</w:t>
            </w:r>
          </w:p>
        </w:tc>
        <w:tc>
          <w:tcPr>
            <w:tcW w:w="0" w:type="auto"/>
            <w:shd w:val="clear" w:color="auto" w:fill="D3DFEE"/>
            <w:noWrap/>
            <w:textDirection w:val="btLr"/>
          </w:tcPr>
          <w:p w14:paraId="783208C9" w14:textId="77777777" w:rsidR="0064032D" w:rsidRPr="008F13F9" w:rsidRDefault="0064032D" w:rsidP="008F13F9">
            <w:pPr>
              <w:spacing w:line="360" w:lineRule="auto"/>
              <w:ind w:left="113" w:right="113"/>
              <w:rPr>
                <w:rFonts w:ascii="Arial" w:hAnsi="Arial" w:cs="Arial"/>
                <w:color w:val="000000"/>
                <w:sz w:val="24"/>
                <w:szCs w:val="24"/>
              </w:rPr>
            </w:pPr>
            <w:r w:rsidRPr="008F13F9">
              <w:rPr>
                <w:rFonts w:ascii="Arial" w:hAnsi="Arial" w:cs="Arial"/>
                <w:color w:val="000000"/>
                <w:sz w:val="24"/>
                <w:szCs w:val="24"/>
              </w:rPr>
              <w:t>ne</w:t>
            </w:r>
          </w:p>
        </w:tc>
        <w:tc>
          <w:tcPr>
            <w:tcW w:w="0" w:type="auto"/>
            <w:shd w:val="clear" w:color="auto" w:fill="D3DFEE"/>
            <w:noWrap/>
            <w:textDirection w:val="btLr"/>
          </w:tcPr>
          <w:p w14:paraId="3287EEF2" w14:textId="77777777" w:rsidR="0064032D" w:rsidRPr="008F13F9" w:rsidRDefault="0064032D" w:rsidP="008F13F9">
            <w:pPr>
              <w:spacing w:line="360" w:lineRule="auto"/>
              <w:ind w:left="113" w:right="113"/>
              <w:jc w:val="right"/>
              <w:rPr>
                <w:rFonts w:ascii="Arial" w:hAnsi="Arial" w:cs="Arial"/>
                <w:color w:val="000000"/>
                <w:sz w:val="24"/>
                <w:szCs w:val="24"/>
              </w:rPr>
            </w:pPr>
            <w:r w:rsidRPr="008F13F9">
              <w:rPr>
                <w:rFonts w:ascii="Arial" w:hAnsi="Arial" w:cs="Arial"/>
                <w:color w:val="000000"/>
                <w:sz w:val="24"/>
                <w:szCs w:val="24"/>
              </w:rPr>
              <w:t>3</w:t>
            </w:r>
          </w:p>
        </w:tc>
      </w:tr>
      <w:tr w:rsidR="0064032D" w:rsidRPr="008F13F9" w14:paraId="1BED088A" w14:textId="77777777" w:rsidTr="00C674FD">
        <w:trPr>
          <w:cantSplit/>
          <w:trHeight w:val="1134"/>
        </w:trPr>
        <w:tc>
          <w:tcPr>
            <w:tcW w:w="0" w:type="auto"/>
            <w:vMerge/>
            <w:tcBorders>
              <w:top w:val="double" w:sz="6" w:space="0" w:color="4F81BD"/>
            </w:tcBorders>
            <w:noWrap/>
            <w:textDirection w:val="btLr"/>
          </w:tcPr>
          <w:p w14:paraId="5F6328EC" w14:textId="77777777" w:rsidR="0064032D" w:rsidRPr="008F13F9" w:rsidRDefault="0064032D" w:rsidP="008F13F9">
            <w:pPr>
              <w:spacing w:line="360" w:lineRule="auto"/>
              <w:ind w:left="113" w:right="113"/>
              <w:rPr>
                <w:rFonts w:ascii="Arial" w:hAnsi="Arial" w:cs="Arial"/>
                <w:b/>
                <w:bCs/>
                <w:color w:val="000000"/>
                <w:sz w:val="24"/>
                <w:szCs w:val="24"/>
              </w:rPr>
            </w:pPr>
          </w:p>
        </w:tc>
        <w:tc>
          <w:tcPr>
            <w:tcW w:w="0" w:type="auto"/>
            <w:tcBorders>
              <w:top w:val="double" w:sz="6" w:space="0" w:color="4F81BD"/>
            </w:tcBorders>
            <w:noWrap/>
            <w:textDirection w:val="btLr"/>
          </w:tcPr>
          <w:p w14:paraId="7A25CFE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17A5DFE2" w14:textId="77777777" w:rsidR="0064032D" w:rsidRPr="00D73611" w:rsidRDefault="0064032D" w:rsidP="008F13F9">
            <w:pPr>
              <w:spacing w:line="360" w:lineRule="auto"/>
              <w:ind w:left="113" w:right="113"/>
              <w:rPr>
                <w:rFonts w:ascii="Arial" w:hAnsi="Arial" w:cs="Arial"/>
                <w:bCs/>
                <w:color w:val="000000"/>
                <w:sz w:val="24"/>
                <w:szCs w:val="24"/>
              </w:rPr>
            </w:pPr>
            <w:r w:rsidRPr="00D73611">
              <w:rPr>
                <w:rFonts w:ascii="Arial" w:hAnsi="Arial" w:cs="Arial"/>
                <w:bCs/>
                <w:color w:val="000000"/>
                <w:sz w:val="24"/>
                <w:szCs w:val="24"/>
              </w:rPr>
              <w:t>VAG</w:t>
            </w:r>
          </w:p>
        </w:tc>
        <w:tc>
          <w:tcPr>
            <w:tcW w:w="0" w:type="auto"/>
            <w:tcBorders>
              <w:top w:val="double" w:sz="6" w:space="0" w:color="4F81BD"/>
            </w:tcBorders>
            <w:noWrap/>
            <w:textDirection w:val="btLr"/>
          </w:tcPr>
          <w:p w14:paraId="518AAA75" w14:textId="77777777" w:rsidR="0064032D" w:rsidRPr="008F13F9" w:rsidRDefault="00D73611" w:rsidP="008F13F9">
            <w:pPr>
              <w:spacing w:line="360" w:lineRule="auto"/>
              <w:ind w:left="113" w:right="113"/>
              <w:rPr>
                <w:rFonts w:ascii="Arial" w:hAnsi="Arial" w:cs="Arial"/>
                <w:b/>
                <w:bCs/>
                <w:color w:val="000000"/>
                <w:sz w:val="24"/>
                <w:szCs w:val="24"/>
              </w:rPr>
            </w:pPr>
            <w:r w:rsidRPr="00F27AA7">
              <w:rPr>
                <w:rFonts w:ascii="Arial" w:hAnsi="Arial" w:cs="Arial"/>
                <w:color w:val="000000"/>
                <w:sz w:val="20"/>
                <w:szCs w:val="20"/>
              </w:rPr>
              <w:t>Negativní</w:t>
            </w:r>
          </w:p>
        </w:tc>
        <w:tc>
          <w:tcPr>
            <w:tcW w:w="0" w:type="auto"/>
            <w:tcBorders>
              <w:top w:val="double" w:sz="6" w:space="0" w:color="4F81BD"/>
            </w:tcBorders>
            <w:noWrap/>
            <w:textDirection w:val="btLr"/>
          </w:tcPr>
          <w:p w14:paraId="4FBA1DAC"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3211412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5AFD3DB2"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4034CF4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450082B3"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3FA2F7CD"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6A09471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00F9327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7311FBC2"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13F43D56"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1BE1D500"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41B522C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5D04654A"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0CAEB3C8"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2533C8B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4EA7CBC7"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16416D15"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670285A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c>
          <w:tcPr>
            <w:tcW w:w="0" w:type="auto"/>
            <w:tcBorders>
              <w:top w:val="double" w:sz="6" w:space="0" w:color="4F81BD"/>
            </w:tcBorders>
            <w:noWrap/>
            <w:textDirection w:val="btLr"/>
          </w:tcPr>
          <w:p w14:paraId="66CE85B9" w14:textId="77777777" w:rsidR="0064032D" w:rsidRPr="008F13F9" w:rsidRDefault="0064032D" w:rsidP="008F13F9">
            <w:pPr>
              <w:spacing w:line="360" w:lineRule="auto"/>
              <w:ind w:left="113" w:right="113"/>
              <w:rPr>
                <w:rFonts w:ascii="Arial" w:hAnsi="Arial" w:cs="Arial"/>
                <w:b/>
                <w:bCs/>
                <w:color w:val="000000"/>
                <w:sz w:val="24"/>
                <w:szCs w:val="24"/>
              </w:rPr>
            </w:pPr>
            <w:r w:rsidRPr="008F13F9">
              <w:rPr>
                <w:rFonts w:ascii="Arial" w:hAnsi="Arial" w:cs="Arial"/>
                <w:b/>
                <w:bCs/>
                <w:color w:val="000000"/>
                <w:sz w:val="24"/>
                <w:szCs w:val="24"/>
              </w:rPr>
              <w:t> </w:t>
            </w:r>
          </w:p>
        </w:tc>
      </w:tr>
    </w:tbl>
    <w:p w14:paraId="6F6D530C" w14:textId="77777777" w:rsidR="0064032D" w:rsidRPr="008F13F9" w:rsidRDefault="0064032D" w:rsidP="008F13F9">
      <w:pPr>
        <w:spacing w:before="28" w:after="28" w:line="360" w:lineRule="auto"/>
        <w:rPr>
          <w:rFonts w:ascii="Arial" w:hAnsi="Arial" w:cs="Arial"/>
          <w:sz w:val="24"/>
          <w:szCs w:val="24"/>
        </w:rPr>
      </w:pPr>
    </w:p>
    <w:p w14:paraId="5017E70C" w14:textId="77777777" w:rsidR="0064032D" w:rsidRPr="008F13F9" w:rsidRDefault="0064032D" w:rsidP="008F13F9">
      <w:pPr>
        <w:spacing w:before="28" w:after="28" w:line="360" w:lineRule="auto"/>
        <w:rPr>
          <w:rFonts w:ascii="Arial" w:hAnsi="Arial" w:cs="Arial"/>
          <w:i/>
          <w:sz w:val="24"/>
          <w:szCs w:val="24"/>
        </w:rPr>
      </w:pPr>
      <w:r w:rsidRPr="008F13F9">
        <w:rPr>
          <w:rFonts w:ascii="Arial" w:hAnsi="Arial" w:cs="Arial"/>
          <w:b/>
          <w:sz w:val="24"/>
          <w:szCs w:val="24"/>
        </w:rPr>
        <w:t xml:space="preserve">Tab 4. </w:t>
      </w:r>
      <w:r w:rsidRPr="008F13F9">
        <w:rPr>
          <w:rFonts w:ascii="Arial" w:hAnsi="Arial" w:cs="Arial"/>
          <w:i/>
          <w:sz w:val="24"/>
          <w:szCs w:val="24"/>
        </w:rPr>
        <w:t>Výsledek zpracování jednotlivých dotazníků</w:t>
      </w:r>
    </w:p>
    <w:p w14:paraId="4007A295" w14:textId="77777777" w:rsidR="0064032D" w:rsidRPr="008F13F9" w:rsidRDefault="0064032D" w:rsidP="008F13F9">
      <w:pPr>
        <w:spacing w:before="28" w:after="28" w:line="360" w:lineRule="auto"/>
        <w:rPr>
          <w:rFonts w:ascii="Arial" w:hAnsi="Arial" w:cs="Arial"/>
          <w:sz w:val="24"/>
          <w:szCs w:val="24"/>
        </w:rPr>
      </w:pPr>
    </w:p>
    <w:p w14:paraId="7FF50531" w14:textId="77777777" w:rsidR="0064032D" w:rsidRPr="008F13F9" w:rsidRDefault="0064032D" w:rsidP="008F13F9">
      <w:pPr>
        <w:spacing w:line="360" w:lineRule="auto"/>
        <w:jc w:val="both"/>
        <w:rPr>
          <w:rFonts w:ascii="Arial" w:hAnsi="Arial" w:cs="Arial"/>
          <w:sz w:val="24"/>
          <w:szCs w:val="24"/>
        </w:rPr>
      </w:pPr>
    </w:p>
    <w:p w14:paraId="75D52B8C" w14:textId="77777777" w:rsidR="0064032D" w:rsidRPr="008F13F9" w:rsidRDefault="00D73611" w:rsidP="00D73611">
      <w:pPr>
        <w:spacing w:line="360" w:lineRule="auto"/>
        <w:jc w:val="center"/>
        <w:rPr>
          <w:rFonts w:ascii="Arial" w:hAnsi="Arial" w:cs="Arial"/>
          <w:b/>
          <w:sz w:val="24"/>
          <w:szCs w:val="24"/>
          <w:u w:val="single"/>
        </w:rPr>
      </w:pPr>
      <w:r>
        <w:rPr>
          <w:rFonts w:ascii="Arial" w:hAnsi="Arial" w:cs="Arial"/>
          <w:b/>
          <w:sz w:val="24"/>
          <w:szCs w:val="24"/>
          <w:u w:val="single"/>
        </w:rPr>
        <w:t xml:space="preserve">9. </w:t>
      </w:r>
      <w:r w:rsidR="0064032D" w:rsidRPr="008F13F9">
        <w:rPr>
          <w:rFonts w:ascii="Arial" w:hAnsi="Arial" w:cs="Arial"/>
          <w:b/>
          <w:sz w:val="24"/>
          <w:szCs w:val="24"/>
          <w:u w:val="single"/>
        </w:rPr>
        <w:t>Diskuze</w:t>
      </w:r>
    </w:p>
    <w:p w14:paraId="0DF498B7"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Role tradičních kancerogenů u nádorů hlavy a krku </w:t>
      </w:r>
      <w:r w:rsidR="00D73611" w:rsidRPr="008F13F9">
        <w:rPr>
          <w:rFonts w:ascii="Arial" w:hAnsi="Arial" w:cs="Arial"/>
          <w:sz w:val="24"/>
          <w:szCs w:val="24"/>
        </w:rPr>
        <w:t xml:space="preserve">spočívá </w:t>
      </w:r>
      <w:r w:rsidRPr="008F13F9">
        <w:rPr>
          <w:rFonts w:ascii="Arial" w:hAnsi="Arial" w:cs="Arial"/>
          <w:sz w:val="24"/>
          <w:szCs w:val="24"/>
        </w:rPr>
        <w:t>především v indukci mutace genetických regulátorů buněčného cyklu. U HPV pozitivních tumorů se na deregulaci podílejí produkty virových onkogenů E6 a E7</w:t>
      </w:r>
      <w:r w:rsidRPr="008F13F9">
        <w:rPr>
          <w:rFonts w:ascii="Arial" w:hAnsi="Arial" w:cs="Arial"/>
          <w:sz w:val="24"/>
          <w:szCs w:val="24"/>
          <w:vertAlign w:val="superscript"/>
        </w:rPr>
        <w:t>11-13</w:t>
      </w:r>
      <w:r w:rsidRPr="008F13F9">
        <w:rPr>
          <w:rFonts w:ascii="Arial" w:hAnsi="Arial" w:cs="Arial"/>
          <w:b/>
          <w:sz w:val="24"/>
          <w:szCs w:val="24"/>
        </w:rPr>
        <w:t xml:space="preserve">. </w:t>
      </w:r>
      <w:r w:rsidRPr="008F13F9">
        <w:rPr>
          <w:rFonts w:ascii="Arial" w:hAnsi="Arial" w:cs="Arial"/>
          <w:sz w:val="24"/>
          <w:szCs w:val="24"/>
        </w:rPr>
        <w:t>E6 se naváže na p53 (buňky bez funkčního p53 nepodléhají apoptóze) a inaktivuje telomerázu. Vazba onkogenu E7  na pRb uvolní transkripční faktor, který aktivuje geny regulující buněčnou proliferaci. HPV+ tumory jsou charakterizovány sníženou hladinou retinoblastomového proteinu (pRb) a cyklinu D1. Jejich další vlastností je obsah nemutovaného (divokého typu) genu p53</w:t>
      </w:r>
      <w:r w:rsidRPr="008F13F9">
        <w:rPr>
          <w:rFonts w:ascii="Arial" w:hAnsi="Arial" w:cs="Arial"/>
          <w:sz w:val="24"/>
          <w:szCs w:val="24"/>
          <w:vertAlign w:val="superscript"/>
        </w:rPr>
        <w:t>14</w:t>
      </w:r>
      <w:r w:rsidRPr="008F13F9">
        <w:rPr>
          <w:rFonts w:ascii="Arial" w:hAnsi="Arial" w:cs="Arial"/>
          <w:sz w:val="24"/>
          <w:szCs w:val="24"/>
        </w:rPr>
        <w:t xml:space="preserve">. </w:t>
      </w:r>
      <w:r w:rsidR="00AE360B">
        <w:rPr>
          <w:rFonts w:ascii="Arial" w:hAnsi="Arial" w:cs="Arial"/>
          <w:sz w:val="24"/>
          <w:szCs w:val="24"/>
        </w:rPr>
        <w:t xml:space="preserve">Problematickou </w:t>
      </w:r>
      <w:r w:rsidRPr="008F13F9">
        <w:rPr>
          <w:rFonts w:ascii="Arial" w:hAnsi="Arial" w:cs="Arial"/>
          <w:sz w:val="24"/>
          <w:szCs w:val="24"/>
        </w:rPr>
        <w:t xml:space="preserve">zůstává </w:t>
      </w:r>
      <w:r w:rsidR="00AE360B">
        <w:rPr>
          <w:rFonts w:ascii="Arial" w:hAnsi="Arial" w:cs="Arial"/>
          <w:sz w:val="24"/>
          <w:szCs w:val="24"/>
        </w:rPr>
        <w:t xml:space="preserve">otázka skutečné </w:t>
      </w:r>
      <w:r w:rsidRPr="008F13F9">
        <w:rPr>
          <w:rFonts w:ascii="Arial" w:hAnsi="Arial" w:cs="Arial"/>
          <w:sz w:val="24"/>
          <w:szCs w:val="24"/>
        </w:rPr>
        <w:t>prevalence orální HPV infekce v asymptomatické populaci, jejíž podíl kolísá mezi 0-10%. Předpokládá se, že ke klinické manifestaci dlaždicobuněčného karcinomu dochází teprve s odstupem 10-35 let od infekce virem</w:t>
      </w:r>
      <w:r w:rsidRPr="008F13F9">
        <w:rPr>
          <w:rFonts w:ascii="Arial" w:hAnsi="Arial" w:cs="Arial"/>
          <w:sz w:val="24"/>
          <w:szCs w:val="24"/>
          <w:vertAlign w:val="superscript"/>
        </w:rPr>
        <w:t>14</w:t>
      </w:r>
      <w:r w:rsidRPr="008F13F9">
        <w:rPr>
          <w:rFonts w:ascii="Arial" w:hAnsi="Arial" w:cs="Arial"/>
          <w:sz w:val="24"/>
          <w:szCs w:val="24"/>
        </w:rPr>
        <w:t>.</w:t>
      </w:r>
    </w:p>
    <w:p w14:paraId="74A598D4" w14:textId="77777777" w:rsidR="0051110B" w:rsidRDefault="0051110B" w:rsidP="008F13F9">
      <w:pPr>
        <w:spacing w:line="360" w:lineRule="auto"/>
        <w:ind w:firstLine="720"/>
        <w:rPr>
          <w:rFonts w:ascii="Arial" w:hAnsi="Arial" w:cs="Arial"/>
          <w:sz w:val="24"/>
          <w:szCs w:val="24"/>
        </w:rPr>
      </w:pPr>
    </w:p>
    <w:p w14:paraId="0FE5005E" w14:textId="77777777" w:rsidR="0051110B" w:rsidRDefault="0051110B" w:rsidP="008F13F9">
      <w:pPr>
        <w:spacing w:line="360" w:lineRule="auto"/>
        <w:ind w:firstLine="720"/>
        <w:rPr>
          <w:rFonts w:ascii="Arial" w:hAnsi="Arial" w:cs="Arial"/>
          <w:sz w:val="24"/>
          <w:szCs w:val="24"/>
        </w:rPr>
      </w:pPr>
    </w:p>
    <w:p w14:paraId="7B936BE2" w14:textId="77777777" w:rsidR="0064032D" w:rsidRPr="008F13F9" w:rsidRDefault="0064032D" w:rsidP="008F13F9">
      <w:pPr>
        <w:spacing w:line="360" w:lineRule="auto"/>
        <w:ind w:firstLine="720"/>
        <w:rPr>
          <w:rFonts w:ascii="Arial" w:hAnsi="Arial" w:cs="Arial"/>
          <w:sz w:val="24"/>
          <w:szCs w:val="24"/>
        </w:rPr>
      </w:pPr>
      <w:r w:rsidRPr="008F13F9">
        <w:rPr>
          <w:rFonts w:ascii="Arial" w:hAnsi="Arial" w:cs="Arial"/>
          <w:sz w:val="24"/>
          <w:szCs w:val="24"/>
        </w:rPr>
        <w:t>V současné době existuje celá řada metod umožňující</w:t>
      </w:r>
      <w:r w:rsidR="00273178">
        <w:rPr>
          <w:rFonts w:ascii="Arial" w:hAnsi="Arial" w:cs="Arial"/>
          <w:sz w:val="24"/>
          <w:szCs w:val="24"/>
        </w:rPr>
        <w:t>ch</w:t>
      </w:r>
      <w:r w:rsidRPr="008F13F9">
        <w:rPr>
          <w:rFonts w:ascii="Arial" w:hAnsi="Arial" w:cs="Arial"/>
          <w:sz w:val="24"/>
          <w:szCs w:val="24"/>
        </w:rPr>
        <w:t xml:space="preserve"> stanovení přítomnosti HPV </w:t>
      </w:r>
      <w:r w:rsidR="00273178">
        <w:rPr>
          <w:rFonts w:ascii="Arial" w:hAnsi="Arial" w:cs="Arial"/>
          <w:sz w:val="24"/>
          <w:szCs w:val="24"/>
        </w:rPr>
        <w:t>ve tkáních</w:t>
      </w:r>
      <w:r w:rsidRPr="008F13F9">
        <w:rPr>
          <w:rFonts w:ascii="Arial" w:hAnsi="Arial" w:cs="Arial"/>
          <w:sz w:val="24"/>
          <w:szCs w:val="24"/>
        </w:rPr>
        <w:t>. Mezi metody nepřímé patří zejména cytologie a histologie bioptického matriálu. Využití serologických metod pro průkaz HPV infekce je omezené. Papilomaviry neprocházejí viremickou fází a jsou jen velmi obtížně kultivovatelné ve tkáňových kulturách. Samotný průkaz HPV protilátek se pro běžné klinické účely nepoužívá.</w:t>
      </w:r>
    </w:p>
    <w:p w14:paraId="619EC146" w14:textId="77777777" w:rsidR="00D73611" w:rsidRDefault="00273178" w:rsidP="008F13F9">
      <w:pPr>
        <w:spacing w:line="360" w:lineRule="auto"/>
        <w:ind w:firstLine="720"/>
        <w:jc w:val="both"/>
        <w:rPr>
          <w:rFonts w:ascii="Arial" w:hAnsi="Arial" w:cs="Arial"/>
          <w:sz w:val="24"/>
          <w:szCs w:val="24"/>
        </w:rPr>
      </w:pPr>
      <w:r>
        <w:rPr>
          <w:rFonts w:ascii="Arial" w:hAnsi="Arial" w:cs="Arial"/>
          <w:sz w:val="24"/>
          <w:szCs w:val="24"/>
        </w:rPr>
        <w:t>Incidence HPV asociovaných nádorů v dutině ústní, orofaryngu a hrtanu se značně liší. To je možné vysvětlit mimo jiné rozdílnými metodami detekce virů.</w:t>
      </w:r>
      <w:r w:rsidR="0064032D" w:rsidRPr="008F13F9">
        <w:rPr>
          <w:rFonts w:ascii="Arial" w:hAnsi="Arial" w:cs="Arial"/>
          <w:sz w:val="24"/>
          <w:szCs w:val="24"/>
        </w:rPr>
        <w:t xml:space="preserve"> Tak široké rozpětí je možné vysvětlit rozdílnými metodami detekce viru, kdy in situ hybridizace má nižší senzitivitu než poly</w:t>
      </w:r>
      <w:r>
        <w:rPr>
          <w:rFonts w:ascii="Arial" w:hAnsi="Arial" w:cs="Arial"/>
          <w:sz w:val="24"/>
          <w:szCs w:val="24"/>
        </w:rPr>
        <w:t xml:space="preserve">merázová </w:t>
      </w:r>
      <w:r>
        <w:rPr>
          <w:rFonts w:ascii="Arial" w:hAnsi="Arial" w:cs="Arial"/>
          <w:sz w:val="24"/>
          <w:szCs w:val="24"/>
        </w:rPr>
        <w:lastRenderedPageBreak/>
        <w:t xml:space="preserve">řetězová reakce (PCR), kde také </w:t>
      </w:r>
      <w:r w:rsidR="0064032D" w:rsidRPr="008F13F9">
        <w:rPr>
          <w:rFonts w:ascii="Arial" w:hAnsi="Arial" w:cs="Arial"/>
          <w:sz w:val="24"/>
          <w:szCs w:val="24"/>
        </w:rPr>
        <w:t xml:space="preserve">záleží na zvolených primerech pro identifikaci viru. </w:t>
      </w:r>
    </w:p>
    <w:p w14:paraId="22698428"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Převažující výskyt HPV+ tumorů v orofaryngu je možné vysvětlit histologickým uspořádáním epitelu</w:t>
      </w:r>
      <w:r w:rsidR="00273178">
        <w:rPr>
          <w:rFonts w:ascii="Arial" w:hAnsi="Arial" w:cs="Arial"/>
          <w:sz w:val="24"/>
          <w:szCs w:val="24"/>
        </w:rPr>
        <w:t xml:space="preserve"> (viz dříve)</w:t>
      </w:r>
      <w:r w:rsidRPr="008F13F9">
        <w:rPr>
          <w:rFonts w:ascii="Arial" w:hAnsi="Arial" w:cs="Arial"/>
          <w:sz w:val="24"/>
          <w:szCs w:val="24"/>
        </w:rPr>
        <w:t xml:space="preserve"> </w:t>
      </w:r>
      <w:r w:rsidR="00273178">
        <w:rPr>
          <w:rFonts w:ascii="Arial" w:hAnsi="Arial" w:cs="Arial"/>
          <w:sz w:val="24"/>
          <w:szCs w:val="24"/>
        </w:rPr>
        <w:t xml:space="preserve">v této lokalizaci, </w:t>
      </w:r>
      <w:r w:rsidRPr="008F13F9">
        <w:rPr>
          <w:rFonts w:ascii="Arial" w:hAnsi="Arial" w:cs="Arial"/>
          <w:sz w:val="24"/>
          <w:szCs w:val="24"/>
        </w:rPr>
        <w:t>které je podobné architektonice povrchových vrstev epitelu děložního hrdla. Také krypty tonzil s velkým povrchem mohou mít vliv na zvýšený výskyt HPV infekce v této lokalizaci</w:t>
      </w:r>
      <w:r w:rsidRPr="008F13F9">
        <w:rPr>
          <w:rFonts w:ascii="Arial" w:hAnsi="Arial" w:cs="Arial"/>
          <w:b/>
          <w:sz w:val="24"/>
          <w:szCs w:val="24"/>
          <w:vertAlign w:val="superscript"/>
        </w:rPr>
        <w:t>13,88</w:t>
      </w:r>
      <w:r w:rsidRPr="008F13F9">
        <w:rPr>
          <w:rFonts w:ascii="Arial" w:hAnsi="Arial" w:cs="Arial"/>
          <w:sz w:val="24"/>
          <w:szCs w:val="24"/>
        </w:rPr>
        <w:t>.</w:t>
      </w:r>
    </w:p>
    <w:p w14:paraId="44FFB152" w14:textId="77777777" w:rsidR="00AE1A9B"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Nezodpovězenou otázkou zůstává mechanizmus přenosu HPV do ústní dutiny. Papilomaviry jsou obecně pokládány za sexuálně přenosné; proto (i když s určitými </w:t>
      </w:r>
      <w:r w:rsidRPr="00273178">
        <w:rPr>
          <w:rFonts w:ascii="Arial" w:hAnsi="Arial" w:cs="Arial"/>
          <w:sz w:val="24"/>
          <w:szCs w:val="24"/>
        </w:rPr>
        <w:t>výhradami</w:t>
      </w:r>
      <w:r w:rsidRPr="00273178">
        <w:rPr>
          <w:rFonts w:ascii="Arial" w:hAnsi="Arial" w:cs="Arial"/>
          <w:sz w:val="24"/>
          <w:szCs w:val="24"/>
          <w:vertAlign w:val="superscript"/>
        </w:rPr>
        <w:t>13,87</w:t>
      </w:r>
      <w:r w:rsidRPr="008F13F9">
        <w:rPr>
          <w:rFonts w:ascii="Arial" w:hAnsi="Arial" w:cs="Arial"/>
          <w:sz w:val="24"/>
          <w:szCs w:val="24"/>
        </w:rPr>
        <w:t>) převládá domněnka, že k přenosu infekce do úst dochází při nekoitálních sexuálních praktikách</w:t>
      </w:r>
      <w:r w:rsidRPr="008F13F9">
        <w:rPr>
          <w:rFonts w:ascii="Arial" w:hAnsi="Arial" w:cs="Arial"/>
          <w:sz w:val="24"/>
          <w:szCs w:val="24"/>
          <w:vertAlign w:val="superscript"/>
        </w:rPr>
        <w:t>89</w:t>
      </w:r>
      <w:r w:rsidRPr="008F13F9">
        <w:rPr>
          <w:rFonts w:ascii="Arial" w:hAnsi="Arial" w:cs="Arial"/>
          <w:sz w:val="24"/>
          <w:szCs w:val="24"/>
        </w:rPr>
        <w:t>. Riziko orálního přenosu infekce je pak úměrné počtu sexuálních partnerů. D´Souza</w:t>
      </w:r>
      <w:r w:rsidRPr="008F13F9">
        <w:rPr>
          <w:rFonts w:ascii="Arial" w:hAnsi="Arial" w:cs="Arial"/>
          <w:sz w:val="24"/>
          <w:szCs w:val="24"/>
          <w:vertAlign w:val="superscript"/>
        </w:rPr>
        <w:t>89</w:t>
      </w:r>
      <w:r w:rsidRPr="008F13F9">
        <w:rPr>
          <w:rFonts w:ascii="Arial" w:hAnsi="Arial" w:cs="Arial"/>
          <w:sz w:val="24"/>
          <w:szCs w:val="24"/>
        </w:rPr>
        <w:t xml:space="preserve"> považuje za vysoce rizikový počet 6 takových partnerů. Smith</w:t>
      </w:r>
      <w:r w:rsidRPr="008F13F9">
        <w:rPr>
          <w:rFonts w:ascii="Arial" w:hAnsi="Arial" w:cs="Arial"/>
          <w:sz w:val="24"/>
          <w:szCs w:val="24"/>
          <w:vertAlign w:val="superscript"/>
        </w:rPr>
        <w:t>90</w:t>
      </w:r>
      <w:r w:rsidRPr="008F13F9">
        <w:rPr>
          <w:rFonts w:ascii="Arial" w:hAnsi="Arial" w:cs="Arial"/>
          <w:sz w:val="24"/>
          <w:szCs w:val="24"/>
        </w:rPr>
        <w:t xml:space="preserve"> uvádí, že více než sexuální 4 partneři v období před klinickou manifestací nádoru indikují vyšší riziko vzniku nádoru v dutině ústní než</w:t>
      </w:r>
      <w:r w:rsidR="00D73611">
        <w:rPr>
          <w:rFonts w:ascii="Arial" w:hAnsi="Arial" w:cs="Arial"/>
          <w:sz w:val="24"/>
          <w:szCs w:val="24"/>
        </w:rPr>
        <w:t>li</w:t>
      </w:r>
      <w:r w:rsidRPr="008F13F9">
        <w:rPr>
          <w:rFonts w:ascii="Arial" w:hAnsi="Arial" w:cs="Arial"/>
          <w:sz w:val="24"/>
          <w:szCs w:val="24"/>
        </w:rPr>
        <w:t xml:space="preserve"> v orofaryngu (85% vs. 50%, p = 0,07). Přítomnost high risk HPV bývá nižší u kuřáků než u nekuřáků</w:t>
      </w:r>
      <w:r w:rsidR="00C17575">
        <w:rPr>
          <w:rFonts w:ascii="Arial" w:hAnsi="Arial" w:cs="Arial"/>
          <w:sz w:val="24"/>
          <w:szCs w:val="24"/>
        </w:rPr>
        <w:t>,</w:t>
      </w:r>
      <w:r w:rsidRPr="008F13F9">
        <w:rPr>
          <w:rFonts w:ascii="Arial" w:hAnsi="Arial" w:cs="Arial"/>
          <w:sz w:val="24"/>
          <w:szCs w:val="24"/>
        </w:rPr>
        <w:t xml:space="preserve"> a to pravděpodobně </w:t>
      </w:r>
      <w:r w:rsidR="00C17575">
        <w:rPr>
          <w:rFonts w:ascii="Arial" w:hAnsi="Arial" w:cs="Arial"/>
          <w:sz w:val="24"/>
          <w:szCs w:val="24"/>
        </w:rPr>
        <w:t>pro vyšší promiskuitu u posledně jmenované skupiny</w:t>
      </w:r>
      <w:r w:rsidRPr="008F13F9">
        <w:rPr>
          <w:rFonts w:ascii="Arial" w:hAnsi="Arial" w:cs="Arial"/>
          <w:color w:val="0000FF"/>
          <w:sz w:val="24"/>
          <w:szCs w:val="24"/>
        </w:rPr>
        <w:t xml:space="preserve">. </w:t>
      </w:r>
      <w:r w:rsidR="00D73611">
        <w:rPr>
          <w:rFonts w:ascii="Arial" w:hAnsi="Arial" w:cs="Arial"/>
          <w:sz w:val="24"/>
          <w:szCs w:val="24"/>
        </w:rPr>
        <w:t>Smith</w:t>
      </w:r>
      <w:r w:rsidR="00C17575">
        <w:rPr>
          <w:rFonts w:ascii="Arial" w:hAnsi="Arial" w:cs="Arial"/>
          <w:sz w:val="24"/>
          <w:szCs w:val="24"/>
        </w:rPr>
        <w:t xml:space="preserve"> dále uvádí, že d</w:t>
      </w:r>
      <w:r w:rsidRPr="008F13F9">
        <w:rPr>
          <w:rFonts w:ascii="Arial" w:hAnsi="Arial" w:cs="Arial"/>
          <w:sz w:val="24"/>
          <w:szCs w:val="24"/>
        </w:rPr>
        <w:t xml:space="preserve">alším rizikovým faktorem je high risk HPV pozitivita u mužů jejichž partnerky měly abnormální Pap stěr nebo dysplazii čípku. Neshledal však jiné demografické riziko, rizikové sexuální praktiky ani léze na genitálu či ústní sliznici, které by byly charakteristické pro HPV+ pacienty. </w:t>
      </w:r>
      <w:r w:rsidR="00D73611">
        <w:rPr>
          <w:rFonts w:ascii="Arial" w:hAnsi="Arial" w:cs="Arial"/>
          <w:sz w:val="24"/>
          <w:szCs w:val="24"/>
        </w:rPr>
        <w:t>Smith uv</w:t>
      </w:r>
      <w:r w:rsidR="00C17575">
        <w:rPr>
          <w:rFonts w:ascii="Arial" w:hAnsi="Arial" w:cs="Arial"/>
          <w:sz w:val="24"/>
          <w:szCs w:val="24"/>
        </w:rPr>
        <w:t xml:space="preserve">ádí, </w:t>
      </w:r>
      <w:r w:rsidRPr="008F13F9">
        <w:rPr>
          <w:rFonts w:ascii="Arial" w:hAnsi="Arial" w:cs="Arial"/>
          <w:sz w:val="24"/>
          <w:szCs w:val="24"/>
        </w:rPr>
        <w:t>že</w:t>
      </w:r>
      <w:r w:rsidR="00C17575">
        <w:rPr>
          <w:rFonts w:ascii="Arial" w:hAnsi="Arial" w:cs="Arial"/>
          <w:sz w:val="24"/>
          <w:szCs w:val="24"/>
        </w:rPr>
        <w:t xml:space="preserve"> pro vznik HPV asociovaného tumoru</w:t>
      </w:r>
      <w:r w:rsidRPr="008F13F9">
        <w:rPr>
          <w:rFonts w:ascii="Arial" w:hAnsi="Arial" w:cs="Arial"/>
          <w:sz w:val="24"/>
          <w:szCs w:val="24"/>
        </w:rPr>
        <w:t xml:space="preserve">, je rizikovější mladší skupina pacientů, která v dotaznících uvedla větší množství sexuálních partnerů a rizikovější alternativní sexuální praktiky. HPV + tumory nalezl převážně u mladších pacientů (≤55 let). </w:t>
      </w:r>
    </w:p>
    <w:p w14:paraId="204278DF" w14:textId="77777777" w:rsidR="0064032D" w:rsidRPr="00D73611"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Stran možné infekce novorozence při porodu porodními cestami panuje spíše skepse. Pokud taková situace nastane, jedná se o latentní infekci</w:t>
      </w:r>
      <w:r w:rsidRPr="008F13F9">
        <w:rPr>
          <w:rFonts w:ascii="Arial" w:hAnsi="Arial" w:cs="Arial"/>
          <w:b/>
          <w:sz w:val="24"/>
          <w:szCs w:val="24"/>
          <w:vertAlign w:val="superscript"/>
        </w:rPr>
        <w:t>90,91</w:t>
      </w:r>
      <w:r w:rsidRPr="008F13F9">
        <w:rPr>
          <w:rFonts w:ascii="Arial" w:hAnsi="Arial" w:cs="Arial"/>
          <w:sz w:val="24"/>
          <w:szCs w:val="24"/>
        </w:rPr>
        <w:t>, která se klinicky manifestuje zpravidla až po zahájení sexuálního života jedince</w:t>
      </w:r>
      <w:r w:rsidRPr="008F13F9">
        <w:rPr>
          <w:rFonts w:ascii="Arial" w:hAnsi="Arial" w:cs="Arial"/>
          <w:sz w:val="24"/>
          <w:szCs w:val="24"/>
          <w:vertAlign w:val="superscript"/>
        </w:rPr>
        <w:t>92,61</w:t>
      </w:r>
      <w:r w:rsidR="00AE1A9B">
        <w:rPr>
          <w:rFonts w:ascii="Arial" w:hAnsi="Arial" w:cs="Arial"/>
          <w:sz w:val="24"/>
          <w:szCs w:val="24"/>
        </w:rPr>
        <w:t xml:space="preserve">. </w:t>
      </w:r>
      <w:r w:rsidR="00D73611">
        <w:rPr>
          <w:rFonts w:ascii="Arial" w:hAnsi="Arial" w:cs="Arial"/>
          <w:sz w:val="24"/>
          <w:szCs w:val="24"/>
        </w:rPr>
        <w:t>Navíc t</w:t>
      </w:r>
      <w:r w:rsidRPr="008F13F9">
        <w:rPr>
          <w:rFonts w:ascii="Arial" w:hAnsi="Arial" w:cs="Arial"/>
          <w:sz w:val="24"/>
          <w:szCs w:val="24"/>
        </w:rPr>
        <w:t>ypy orálních HPV infekcí jsou odlišné od typu infekce v oblasti anogenitální u sexuálního partnera</w:t>
      </w:r>
      <w:r w:rsidRPr="008F13F9">
        <w:rPr>
          <w:rFonts w:ascii="Arial" w:hAnsi="Arial" w:cs="Arial"/>
          <w:sz w:val="24"/>
          <w:szCs w:val="24"/>
          <w:vertAlign w:val="superscript"/>
        </w:rPr>
        <w:t>93</w:t>
      </w:r>
      <w:r w:rsidRPr="008F13F9">
        <w:rPr>
          <w:rFonts w:ascii="Arial" w:hAnsi="Arial" w:cs="Arial"/>
          <w:sz w:val="24"/>
          <w:szCs w:val="24"/>
        </w:rPr>
        <w:t xml:space="preserve">. </w:t>
      </w:r>
      <w:r w:rsidRPr="008F13F9">
        <w:rPr>
          <w:rFonts w:ascii="Arial" w:hAnsi="Arial" w:cs="Arial"/>
          <w:sz w:val="24"/>
          <w:szCs w:val="24"/>
        </w:rPr>
        <w:lastRenderedPageBreak/>
        <w:t>Naopak u jedné osoby se mohou nacházet stejné typy v obou oblastech, což je možné vysvětlit autoinokulací</w:t>
      </w:r>
      <w:r w:rsidRPr="008F13F9">
        <w:rPr>
          <w:rFonts w:ascii="Arial" w:hAnsi="Arial" w:cs="Arial"/>
          <w:sz w:val="24"/>
          <w:szCs w:val="24"/>
          <w:vertAlign w:val="superscript"/>
        </w:rPr>
        <w:t>61,15</w:t>
      </w:r>
      <w:r w:rsidR="00D73611">
        <w:rPr>
          <w:rFonts w:ascii="Arial" w:hAnsi="Arial" w:cs="Arial"/>
          <w:sz w:val="24"/>
          <w:szCs w:val="24"/>
        </w:rPr>
        <w:t>.</w:t>
      </w:r>
    </w:p>
    <w:p w14:paraId="3123D3EF"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Mezi HPV + karcinomy převládají nízce diferencované nádory s lokoregionálními metastázami do lymfatických uzlin</w:t>
      </w:r>
      <w:r w:rsidRPr="008F13F9">
        <w:rPr>
          <w:rFonts w:ascii="Arial" w:hAnsi="Arial" w:cs="Arial"/>
          <w:sz w:val="24"/>
          <w:szCs w:val="24"/>
          <w:vertAlign w:val="superscript"/>
        </w:rPr>
        <w:t>94-97</w:t>
      </w:r>
      <w:r w:rsidRPr="008F13F9">
        <w:rPr>
          <w:rFonts w:ascii="Arial" w:hAnsi="Arial" w:cs="Arial"/>
          <w:sz w:val="24"/>
          <w:szCs w:val="24"/>
        </w:rPr>
        <w:t>. HPV v ústní dutině</w:t>
      </w:r>
      <w:r w:rsidR="00AE1A9B">
        <w:rPr>
          <w:rFonts w:ascii="Arial" w:hAnsi="Arial" w:cs="Arial"/>
          <w:sz w:val="24"/>
          <w:szCs w:val="24"/>
        </w:rPr>
        <w:t xml:space="preserve"> a orofaryngu</w:t>
      </w:r>
      <w:r w:rsidRPr="008F13F9">
        <w:rPr>
          <w:rFonts w:ascii="Arial" w:hAnsi="Arial" w:cs="Arial"/>
          <w:sz w:val="24"/>
          <w:szCs w:val="24"/>
        </w:rPr>
        <w:t xml:space="preserve"> vyvolává téměř výhradně spinocelulární karcinomy, zatímco v anogenitální oblasti může iniciovat i adenokarcinomy nebo malobuněčné karcinomy čípku. </w:t>
      </w:r>
    </w:p>
    <w:p w14:paraId="46865842"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Zdá se, že podíl HPV pozitivních tumorů hlavy a krku postupně narůstá. Podle retrospektivní studie Chaturvediho et al. byl v letech 1984-1989 podíl HPV – pozitivních OKC 16,3% v porovnání s lety 2000-2004, kdy to již bylo 72,7%</w:t>
      </w:r>
      <w:r w:rsidRPr="008F13F9">
        <w:rPr>
          <w:rFonts w:ascii="Arial" w:hAnsi="Arial" w:cs="Arial"/>
          <w:sz w:val="24"/>
          <w:szCs w:val="24"/>
          <w:vertAlign w:val="superscript"/>
        </w:rPr>
        <w:t>97</w:t>
      </w:r>
      <w:r w:rsidRPr="008F13F9">
        <w:rPr>
          <w:rFonts w:ascii="Arial" w:hAnsi="Arial" w:cs="Arial"/>
          <w:sz w:val="24"/>
          <w:szCs w:val="24"/>
        </w:rPr>
        <w:t xml:space="preserve">. </w:t>
      </w:r>
    </w:p>
    <w:p w14:paraId="2AF4AD0D"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Celosvětově je incidence </w:t>
      </w:r>
      <w:r w:rsidR="00AE1A9B">
        <w:rPr>
          <w:rFonts w:ascii="Arial" w:hAnsi="Arial" w:cs="Arial"/>
          <w:sz w:val="24"/>
          <w:szCs w:val="24"/>
        </w:rPr>
        <w:t>OFK</w:t>
      </w:r>
      <w:r w:rsidRPr="008F13F9">
        <w:rPr>
          <w:rFonts w:ascii="Arial" w:hAnsi="Arial" w:cs="Arial"/>
          <w:sz w:val="24"/>
          <w:szCs w:val="24"/>
        </w:rPr>
        <w:t xml:space="preserve"> disproporcionální. Vzhledem k nejednotnému přístupu detekce viru HPV v tumorech není možno přesně určit incidenci HPV pozitivních </w:t>
      </w:r>
      <w:r w:rsidR="00AE1A9B">
        <w:rPr>
          <w:rFonts w:ascii="Arial" w:hAnsi="Arial" w:cs="Arial"/>
          <w:sz w:val="24"/>
          <w:szCs w:val="24"/>
        </w:rPr>
        <w:t>OFK</w:t>
      </w:r>
      <w:r w:rsidR="00D73611">
        <w:rPr>
          <w:rFonts w:ascii="Arial" w:hAnsi="Arial" w:cs="Arial"/>
          <w:sz w:val="24"/>
          <w:szCs w:val="24"/>
        </w:rPr>
        <w:t xml:space="preserve"> a nádorů dutiny ústní</w:t>
      </w:r>
      <w:r w:rsidRPr="008F13F9">
        <w:rPr>
          <w:rFonts w:ascii="Arial" w:hAnsi="Arial" w:cs="Arial"/>
          <w:sz w:val="24"/>
          <w:szCs w:val="24"/>
        </w:rPr>
        <w:t xml:space="preserve"> ve světě. O srovnávací studii na podkladě nepřímých důkazů se pokusil </w:t>
      </w:r>
      <w:r w:rsidR="000A6DD9" w:rsidRPr="008F13F9">
        <w:rPr>
          <w:rFonts w:ascii="Arial" w:hAnsi="Arial" w:cs="Arial"/>
          <w:sz w:val="24"/>
          <w:szCs w:val="24"/>
        </w:rPr>
        <w:t xml:space="preserve">Chatuverdiho </w:t>
      </w:r>
      <w:r w:rsidRPr="008F13F9">
        <w:rPr>
          <w:rFonts w:ascii="Arial" w:hAnsi="Arial" w:cs="Arial"/>
          <w:sz w:val="24"/>
          <w:szCs w:val="24"/>
        </w:rPr>
        <w:t>tým</w:t>
      </w:r>
      <w:r w:rsidRPr="008F13F9">
        <w:rPr>
          <w:rFonts w:ascii="Arial" w:hAnsi="Arial" w:cs="Arial"/>
          <w:sz w:val="24"/>
          <w:szCs w:val="24"/>
          <w:vertAlign w:val="superscript"/>
        </w:rPr>
        <w:t>107</w:t>
      </w:r>
      <w:r w:rsidR="00AE1A9B">
        <w:rPr>
          <w:rFonts w:ascii="Arial" w:hAnsi="Arial" w:cs="Arial"/>
          <w:sz w:val="24"/>
          <w:szCs w:val="24"/>
        </w:rPr>
        <w:t xml:space="preserve">. Náplní studie bylo </w:t>
      </w:r>
      <w:r w:rsidRPr="008F13F9">
        <w:rPr>
          <w:rFonts w:ascii="Arial" w:hAnsi="Arial" w:cs="Arial"/>
          <w:sz w:val="24"/>
          <w:szCs w:val="24"/>
        </w:rPr>
        <w:t xml:space="preserve">porovnání  četnosti výskytu </w:t>
      </w:r>
      <w:r w:rsidR="00AE1A9B">
        <w:rPr>
          <w:rFonts w:ascii="Arial" w:hAnsi="Arial" w:cs="Arial"/>
          <w:sz w:val="24"/>
          <w:szCs w:val="24"/>
        </w:rPr>
        <w:t>OFK</w:t>
      </w:r>
      <w:r w:rsidRPr="008F13F9">
        <w:rPr>
          <w:rFonts w:ascii="Arial" w:hAnsi="Arial" w:cs="Arial"/>
          <w:sz w:val="24"/>
          <w:szCs w:val="24"/>
        </w:rPr>
        <w:t xml:space="preserve"> a maligních nádorů plic, které jsou spojeny s kouřením. V zemích, kde došlo k poklesu incidence novotvarů plic, usoudili, že za etiologií </w:t>
      </w:r>
      <w:r w:rsidR="00AE1A9B">
        <w:rPr>
          <w:rFonts w:ascii="Arial" w:hAnsi="Arial" w:cs="Arial"/>
          <w:sz w:val="24"/>
          <w:szCs w:val="24"/>
        </w:rPr>
        <w:t>OFK</w:t>
      </w:r>
      <w:r w:rsidRPr="008F13F9">
        <w:rPr>
          <w:rFonts w:ascii="Arial" w:hAnsi="Arial" w:cs="Arial"/>
          <w:sz w:val="24"/>
          <w:szCs w:val="24"/>
        </w:rPr>
        <w:t xml:space="preserve"> je s nejvyšší pravděpodobností infekce HPV. Ze závěrů tohoto výzkumu, který zahrnoval </w:t>
      </w:r>
      <w:r w:rsidR="000A6DD9">
        <w:rPr>
          <w:rFonts w:ascii="Arial" w:hAnsi="Arial" w:cs="Arial"/>
          <w:sz w:val="24"/>
          <w:szCs w:val="24"/>
        </w:rPr>
        <w:t>183.000 pacientů ze</w:t>
      </w:r>
      <w:r w:rsidR="00AE1A9B">
        <w:rPr>
          <w:rFonts w:ascii="Arial" w:hAnsi="Arial" w:cs="Arial"/>
          <w:sz w:val="24"/>
          <w:szCs w:val="24"/>
        </w:rPr>
        <w:t xml:space="preserve"> </w:t>
      </w:r>
      <w:r w:rsidRPr="008F13F9">
        <w:rPr>
          <w:rFonts w:ascii="Arial" w:hAnsi="Arial" w:cs="Arial"/>
          <w:sz w:val="24"/>
          <w:szCs w:val="24"/>
        </w:rPr>
        <w:t xml:space="preserve">23 zemí </w:t>
      </w:r>
      <w:r w:rsidR="00AE1A9B">
        <w:rPr>
          <w:rFonts w:ascii="Arial" w:hAnsi="Arial" w:cs="Arial"/>
          <w:sz w:val="24"/>
          <w:szCs w:val="24"/>
        </w:rPr>
        <w:t>4 kontinentů</w:t>
      </w:r>
      <w:r w:rsidR="000A6DD9">
        <w:rPr>
          <w:rFonts w:ascii="Arial" w:hAnsi="Arial" w:cs="Arial"/>
          <w:sz w:val="24"/>
          <w:szCs w:val="24"/>
        </w:rPr>
        <w:t>,</w:t>
      </w:r>
      <w:r w:rsidR="00AE1A9B">
        <w:rPr>
          <w:rFonts w:ascii="Arial" w:hAnsi="Arial" w:cs="Arial"/>
          <w:sz w:val="24"/>
          <w:szCs w:val="24"/>
        </w:rPr>
        <w:t xml:space="preserve"> sledovaných v období 1983-2002 </w:t>
      </w:r>
      <w:r w:rsidRPr="008F13F9">
        <w:rPr>
          <w:rFonts w:ascii="Arial" w:hAnsi="Arial" w:cs="Arial"/>
          <w:sz w:val="24"/>
          <w:szCs w:val="24"/>
        </w:rPr>
        <w:t xml:space="preserve">vyplynulo, že nejčastěji se orofaryngeální HPV karcinomy vyskytují </w:t>
      </w:r>
      <w:r w:rsidR="00AE1A9B">
        <w:rPr>
          <w:rFonts w:ascii="Arial" w:hAnsi="Arial" w:cs="Arial"/>
          <w:sz w:val="24"/>
          <w:szCs w:val="24"/>
        </w:rPr>
        <w:t>paradoxně v rozvinutých zemích, tedy t</w:t>
      </w:r>
      <w:r w:rsidRPr="008F13F9">
        <w:rPr>
          <w:rFonts w:ascii="Arial" w:hAnsi="Arial" w:cs="Arial"/>
          <w:sz w:val="24"/>
          <w:szCs w:val="24"/>
        </w:rPr>
        <w:t xml:space="preserve">am, kde protikuřácké kampaně snižují počty kuřáků, ale sexuální promiskuita a rizikové sexuální chování u mladších kohohort jsou na vzestupu. Ve stejné studii autoři odhadují, že v USA je </w:t>
      </w:r>
      <w:r w:rsidR="000A6DD9">
        <w:rPr>
          <w:rFonts w:ascii="Arial" w:hAnsi="Arial" w:cs="Arial"/>
          <w:sz w:val="24"/>
          <w:szCs w:val="24"/>
        </w:rPr>
        <w:t xml:space="preserve"> </w:t>
      </w:r>
      <w:r w:rsidRPr="008F13F9">
        <w:rPr>
          <w:rFonts w:ascii="Arial" w:hAnsi="Arial" w:cs="Arial"/>
          <w:sz w:val="24"/>
          <w:szCs w:val="24"/>
        </w:rPr>
        <w:t>60-70</w:t>
      </w:r>
      <w:r w:rsidR="00AE1A9B">
        <w:rPr>
          <w:rFonts w:ascii="Arial" w:hAnsi="Arial" w:cs="Arial"/>
          <w:sz w:val="24"/>
          <w:szCs w:val="24"/>
        </w:rPr>
        <w:t xml:space="preserve"> </w:t>
      </w:r>
      <w:r w:rsidRPr="008F13F9">
        <w:rPr>
          <w:rFonts w:ascii="Arial" w:hAnsi="Arial" w:cs="Arial"/>
          <w:sz w:val="24"/>
          <w:szCs w:val="24"/>
        </w:rPr>
        <w:t>% or</w:t>
      </w:r>
      <w:r w:rsidR="00AE1A9B">
        <w:rPr>
          <w:rFonts w:ascii="Arial" w:hAnsi="Arial" w:cs="Arial"/>
          <w:sz w:val="24"/>
          <w:szCs w:val="24"/>
        </w:rPr>
        <w:t>o</w:t>
      </w:r>
      <w:r w:rsidRPr="008F13F9">
        <w:rPr>
          <w:rFonts w:ascii="Arial" w:hAnsi="Arial" w:cs="Arial"/>
          <w:sz w:val="24"/>
          <w:szCs w:val="24"/>
        </w:rPr>
        <w:t>faryngeálních karcinomů způsobeno virem HPV</w:t>
      </w:r>
      <w:r w:rsidRPr="008F13F9">
        <w:rPr>
          <w:rFonts w:ascii="Arial" w:hAnsi="Arial" w:cs="Arial"/>
          <w:sz w:val="24"/>
          <w:szCs w:val="24"/>
          <w:vertAlign w:val="superscript"/>
        </w:rPr>
        <w:t>89,107</w:t>
      </w:r>
      <w:r w:rsidRPr="008F13F9">
        <w:rPr>
          <w:rFonts w:ascii="Arial" w:hAnsi="Arial" w:cs="Arial"/>
          <w:sz w:val="24"/>
          <w:szCs w:val="24"/>
        </w:rPr>
        <w:t xml:space="preserve">, naproti tomu v ekonomicky méně vyvinutých zemích jsou tyto typy nádorů zastoupeny pouze </w:t>
      </w:r>
      <w:r w:rsidR="000A6DD9">
        <w:rPr>
          <w:rFonts w:ascii="Arial" w:hAnsi="Arial" w:cs="Arial"/>
          <w:sz w:val="24"/>
          <w:szCs w:val="24"/>
        </w:rPr>
        <w:t xml:space="preserve">v </w:t>
      </w:r>
      <w:r w:rsidRPr="008F13F9">
        <w:rPr>
          <w:rFonts w:ascii="Arial" w:hAnsi="Arial" w:cs="Arial"/>
          <w:sz w:val="24"/>
          <w:szCs w:val="24"/>
        </w:rPr>
        <w:t>10</w:t>
      </w:r>
      <w:r w:rsidR="000A6DD9">
        <w:rPr>
          <w:rFonts w:ascii="Arial" w:hAnsi="Arial" w:cs="Arial"/>
          <w:sz w:val="24"/>
          <w:szCs w:val="24"/>
        </w:rPr>
        <w:t xml:space="preserve"> </w:t>
      </w:r>
      <w:r w:rsidRPr="008F13F9">
        <w:rPr>
          <w:rFonts w:ascii="Arial" w:hAnsi="Arial" w:cs="Arial"/>
          <w:sz w:val="24"/>
          <w:szCs w:val="24"/>
        </w:rPr>
        <w:t>%</w:t>
      </w:r>
      <w:r w:rsidRPr="008F13F9">
        <w:rPr>
          <w:rFonts w:ascii="Arial" w:hAnsi="Arial" w:cs="Arial"/>
          <w:sz w:val="24"/>
          <w:szCs w:val="24"/>
          <w:vertAlign w:val="superscript"/>
        </w:rPr>
        <w:t>107-109</w:t>
      </w:r>
      <w:r w:rsidRPr="008F13F9">
        <w:rPr>
          <w:rFonts w:ascii="Arial" w:hAnsi="Arial" w:cs="Arial"/>
          <w:sz w:val="24"/>
          <w:szCs w:val="24"/>
        </w:rPr>
        <w:t>.</w:t>
      </w:r>
    </w:p>
    <w:p w14:paraId="079F93BC" w14:textId="77777777" w:rsidR="0064032D" w:rsidRPr="008F13F9" w:rsidRDefault="0064032D" w:rsidP="003D3503">
      <w:pPr>
        <w:spacing w:line="360" w:lineRule="auto"/>
        <w:ind w:firstLine="720"/>
        <w:jc w:val="both"/>
        <w:rPr>
          <w:rFonts w:ascii="Arial" w:hAnsi="Arial" w:cs="Arial"/>
          <w:sz w:val="24"/>
          <w:szCs w:val="24"/>
          <w:lang w:val="en-US"/>
        </w:rPr>
      </w:pPr>
      <w:r w:rsidRPr="008F13F9">
        <w:rPr>
          <w:rFonts w:ascii="Arial" w:hAnsi="Arial" w:cs="Arial"/>
          <w:sz w:val="24"/>
          <w:szCs w:val="24"/>
        </w:rPr>
        <w:t>Na prognózu HPV pozitivních tumorů není v současné době jednoznačný názor. Většina autorů až na malé výjimky (např. Dahlgren</w:t>
      </w:r>
      <w:r w:rsidRPr="008F13F9">
        <w:rPr>
          <w:rFonts w:ascii="Arial" w:hAnsi="Arial" w:cs="Arial"/>
          <w:sz w:val="24"/>
          <w:szCs w:val="24"/>
          <w:vertAlign w:val="superscript"/>
        </w:rPr>
        <w:t>88</w:t>
      </w:r>
      <w:r w:rsidRPr="008F13F9">
        <w:rPr>
          <w:rFonts w:ascii="Arial" w:hAnsi="Arial" w:cs="Arial"/>
          <w:sz w:val="24"/>
          <w:szCs w:val="24"/>
        </w:rPr>
        <w:t xml:space="preserve"> a Dahlstrand</w:t>
      </w:r>
      <w:r w:rsidRPr="008F13F9">
        <w:rPr>
          <w:rFonts w:ascii="Arial" w:hAnsi="Arial" w:cs="Arial"/>
          <w:sz w:val="24"/>
          <w:szCs w:val="24"/>
          <w:vertAlign w:val="superscript"/>
        </w:rPr>
        <w:t>98</w:t>
      </w:r>
      <w:r w:rsidRPr="008F13F9">
        <w:rPr>
          <w:rFonts w:ascii="Arial" w:hAnsi="Arial" w:cs="Arial"/>
          <w:sz w:val="24"/>
          <w:szCs w:val="24"/>
        </w:rPr>
        <w:t>)</w:t>
      </w:r>
      <w:r w:rsidRPr="008F13F9">
        <w:rPr>
          <w:rFonts w:ascii="Arial" w:hAnsi="Arial" w:cs="Arial"/>
          <w:sz w:val="24"/>
          <w:szCs w:val="24"/>
          <w:vertAlign w:val="superscript"/>
        </w:rPr>
        <w:t xml:space="preserve"> </w:t>
      </w:r>
      <w:r w:rsidRPr="008F13F9">
        <w:rPr>
          <w:rFonts w:ascii="Arial" w:hAnsi="Arial" w:cs="Arial"/>
          <w:sz w:val="24"/>
          <w:szCs w:val="24"/>
        </w:rPr>
        <w:t xml:space="preserve">vyjadřuje přesvědčení, že HPV pozitivní  OFK  jsou prognosticky příznivější. Analýzou klinických dat bylo zjištěno, že  HPV pozitivní </w:t>
      </w:r>
      <w:r w:rsidR="000A6DD9">
        <w:rPr>
          <w:rFonts w:ascii="Arial" w:hAnsi="Arial" w:cs="Arial"/>
          <w:sz w:val="24"/>
          <w:szCs w:val="24"/>
        </w:rPr>
        <w:t>nádory hlavy a krku</w:t>
      </w:r>
      <w:r w:rsidRPr="008F13F9">
        <w:rPr>
          <w:rFonts w:ascii="Arial" w:hAnsi="Arial" w:cs="Arial"/>
          <w:sz w:val="24"/>
          <w:szCs w:val="24"/>
        </w:rPr>
        <w:t xml:space="preserve"> mají lepší odpověď na léčbu a také delší dobu přežití nemocných</w:t>
      </w:r>
      <w:r w:rsidRPr="008F13F9">
        <w:rPr>
          <w:rFonts w:ascii="Arial" w:hAnsi="Arial" w:cs="Arial"/>
          <w:sz w:val="24"/>
          <w:szCs w:val="24"/>
          <w:vertAlign w:val="superscript"/>
        </w:rPr>
        <w:t xml:space="preserve"> 99-101</w:t>
      </w:r>
      <w:r w:rsidRPr="008F13F9">
        <w:rPr>
          <w:rFonts w:ascii="Arial" w:hAnsi="Arial" w:cs="Arial"/>
          <w:sz w:val="24"/>
          <w:szCs w:val="24"/>
        </w:rPr>
        <w:t>. Fischer</w:t>
      </w:r>
      <w:r w:rsidRPr="008F13F9">
        <w:rPr>
          <w:rFonts w:ascii="Arial" w:hAnsi="Arial" w:cs="Arial"/>
          <w:sz w:val="24"/>
          <w:szCs w:val="24"/>
          <w:vertAlign w:val="superscript"/>
        </w:rPr>
        <w:t>102</w:t>
      </w:r>
      <w:r w:rsidRPr="008F13F9">
        <w:rPr>
          <w:rFonts w:ascii="Arial" w:hAnsi="Arial" w:cs="Arial"/>
          <w:sz w:val="24"/>
          <w:szCs w:val="24"/>
        </w:rPr>
        <w:t xml:space="preserve"> považuje přítomnost p16-poz</w:t>
      </w:r>
      <w:r w:rsidR="00AE1A9B">
        <w:rPr>
          <w:rFonts w:ascii="Arial" w:hAnsi="Arial" w:cs="Arial"/>
          <w:sz w:val="24"/>
          <w:szCs w:val="24"/>
        </w:rPr>
        <w:t xml:space="preserve">itivního </w:t>
      </w:r>
      <w:r w:rsidR="00AE1A9B">
        <w:rPr>
          <w:rFonts w:ascii="Arial" w:hAnsi="Arial" w:cs="Arial"/>
          <w:sz w:val="24"/>
          <w:szCs w:val="24"/>
        </w:rPr>
        <w:lastRenderedPageBreak/>
        <w:t xml:space="preserve">proteinu za nezávislý </w:t>
      </w:r>
      <w:r w:rsidRPr="008F13F9">
        <w:rPr>
          <w:rFonts w:ascii="Arial" w:hAnsi="Arial" w:cs="Arial"/>
          <w:sz w:val="24"/>
          <w:szCs w:val="24"/>
        </w:rPr>
        <w:t>pozitivní p</w:t>
      </w:r>
      <w:r w:rsidR="000A6DD9">
        <w:rPr>
          <w:rFonts w:ascii="Arial" w:hAnsi="Arial" w:cs="Arial"/>
          <w:sz w:val="24"/>
          <w:szCs w:val="24"/>
        </w:rPr>
        <w:t>rognostický faktor u pacientů s</w:t>
      </w:r>
      <w:r w:rsidRPr="008F13F9">
        <w:rPr>
          <w:rFonts w:ascii="Arial" w:hAnsi="Arial" w:cs="Arial"/>
          <w:sz w:val="24"/>
          <w:szCs w:val="24"/>
        </w:rPr>
        <w:t xml:space="preserve"> karcinomy</w:t>
      </w:r>
      <w:r w:rsidR="000A6DD9">
        <w:rPr>
          <w:rFonts w:ascii="Arial" w:hAnsi="Arial" w:cs="Arial"/>
          <w:sz w:val="24"/>
          <w:szCs w:val="24"/>
        </w:rPr>
        <w:t xml:space="preserve"> hlavy a krku a to</w:t>
      </w:r>
      <w:r w:rsidRPr="008F13F9">
        <w:rPr>
          <w:rFonts w:ascii="Arial" w:hAnsi="Arial" w:cs="Arial"/>
          <w:sz w:val="24"/>
          <w:szCs w:val="24"/>
        </w:rPr>
        <w:t xml:space="preserve"> nejen s ohledem na radioterapii nebo radiochemoterapii, ale i extirpaci tumoru s nebo bez adjuvantní terapie.</w:t>
      </w:r>
      <w:r w:rsidRPr="008F13F9">
        <w:rPr>
          <w:rFonts w:ascii="Arial" w:hAnsi="Arial" w:cs="Arial"/>
          <w:sz w:val="24"/>
          <w:szCs w:val="24"/>
          <w:lang w:val="en-US"/>
        </w:rPr>
        <w:t xml:space="preserve"> </w:t>
      </w:r>
    </w:p>
    <w:p w14:paraId="0FF335C4" w14:textId="77777777" w:rsidR="0064032D" w:rsidRPr="008F13F9" w:rsidRDefault="0064032D" w:rsidP="008F13F9">
      <w:pPr>
        <w:spacing w:line="360" w:lineRule="auto"/>
        <w:ind w:firstLine="720"/>
        <w:jc w:val="both"/>
        <w:rPr>
          <w:rFonts w:ascii="Arial" w:hAnsi="Arial" w:cs="Arial"/>
          <w:sz w:val="24"/>
          <w:szCs w:val="24"/>
          <w:vertAlign w:val="superscript"/>
        </w:rPr>
      </w:pPr>
      <w:r w:rsidRPr="008F13F9">
        <w:rPr>
          <w:rFonts w:ascii="Arial" w:hAnsi="Arial" w:cs="Arial"/>
          <w:sz w:val="24"/>
          <w:szCs w:val="24"/>
          <w:lang w:val="en-US"/>
        </w:rPr>
        <w:t xml:space="preserve">Nedávno </w:t>
      </w:r>
      <w:r w:rsidR="00AE1A9B">
        <w:rPr>
          <w:rFonts w:ascii="Arial" w:hAnsi="Arial" w:cs="Arial"/>
          <w:sz w:val="24"/>
          <w:szCs w:val="24"/>
          <w:lang w:val="en-US"/>
        </w:rPr>
        <w:t>byly zveřejněné</w:t>
      </w:r>
      <w:r w:rsidRPr="008F13F9">
        <w:rPr>
          <w:rFonts w:ascii="Arial" w:hAnsi="Arial" w:cs="Arial"/>
          <w:sz w:val="24"/>
          <w:szCs w:val="24"/>
          <w:lang w:val="en-US"/>
        </w:rPr>
        <w:t xml:space="preserve"> dvě mezinárodní studie, které porovnávaly</w:t>
      </w:r>
      <w:r w:rsidR="00AE1A9B">
        <w:rPr>
          <w:rFonts w:ascii="Arial" w:hAnsi="Arial" w:cs="Arial"/>
          <w:sz w:val="24"/>
          <w:szCs w:val="24"/>
          <w:lang w:val="en-US"/>
        </w:rPr>
        <w:t xml:space="preserve">  </w:t>
      </w:r>
      <w:r w:rsidRPr="008F13F9">
        <w:rPr>
          <w:rFonts w:ascii="Arial" w:hAnsi="Arial" w:cs="Arial"/>
          <w:sz w:val="24"/>
          <w:szCs w:val="24"/>
          <w:lang w:val="en-US"/>
        </w:rPr>
        <w:t xml:space="preserve"> v retrospektivní studii chemoradioterapii u místně pokročilých tumorů hlavy</w:t>
      </w:r>
      <w:r w:rsidR="00AE1A9B">
        <w:rPr>
          <w:rFonts w:ascii="Arial" w:hAnsi="Arial" w:cs="Arial"/>
          <w:sz w:val="24"/>
          <w:szCs w:val="24"/>
          <w:lang w:val="en-US"/>
        </w:rPr>
        <w:t xml:space="preserve">   </w:t>
      </w:r>
      <w:r w:rsidRPr="008F13F9">
        <w:rPr>
          <w:rFonts w:ascii="Arial" w:hAnsi="Arial" w:cs="Arial"/>
          <w:sz w:val="24"/>
          <w:szCs w:val="24"/>
          <w:lang w:val="en-US"/>
        </w:rPr>
        <w:t xml:space="preserve"> a krku ve stádiu III ve vztahu přežití a k pozitivitě tumorů na HPV</w:t>
      </w:r>
      <w:r w:rsidRPr="008F13F9">
        <w:rPr>
          <w:rFonts w:ascii="Arial" w:hAnsi="Arial" w:cs="Arial"/>
          <w:sz w:val="24"/>
          <w:szCs w:val="24"/>
          <w:vertAlign w:val="superscript"/>
          <w:lang w:val="en-US"/>
        </w:rPr>
        <w:t>99,103</w:t>
      </w:r>
      <w:r w:rsidRPr="008F13F9">
        <w:rPr>
          <w:rFonts w:ascii="Arial" w:hAnsi="Arial" w:cs="Arial"/>
          <w:sz w:val="24"/>
          <w:szCs w:val="24"/>
          <w:lang w:val="en-US"/>
        </w:rPr>
        <w:t>. Ang et al.</w:t>
      </w:r>
      <w:r w:rsidRPr="008F13F9">
        <w:rPr>
          <w:rFonts w:ascii="Arial" w:hAnsi="Arial" w:cs="Arial"/>
          <w:sz w:val="24"/>
          <w:szCs w:val="24"/>
          <w:vertAlign w:val="superscript"/>
          <w:lang w:val="en-US"/>
        </w:rPr>
        <w:t>99</w:t>
      </w:r>
      <w:r w:rsidRPr="008F13F9">
        <w:rPr>
          <w:rFonts w:ascii="Arial" w:hAnsi="Arial" w:cs="Arial"/>
          <w:sz w:val="24"/>
          <w:szCs w:val="24"/>
          <w:lang w:val="en-US"/>
        </w:rPr>
        <w:t xml:space="preserve"> zjistili, že 63.8% z 323 pacientů s </w:t>
      </w:r>
      <w:r w:rsidR="000A6DD9">
        <w:rPr>
          <w:rFonts w:ascii="Arial" w:hAnsi="Arial" w:cs="Arial"/>
          <w:sz w:val="24"/>
          <w:szCs w:val="24"/>
          <w:lang w:val="en-US"/>
        </w:rPr>
        <w:t>nádory hlavy a krku</w:t>
      </w:r>
      <w:r w:rsidRPr="008F13F9">
        <w:rPr>
          <w:rFonts w:ascii="Arial" w:hAnsi="Arial" w:cs="Arial"/>
          <w:sz w:val="24"/>
          <w:szCs w:val="24"/>
          <w:lang w:val="en-US"/>
        </w:rPr>
        <w:t xml:space="preserve"> mělo HPV 16 pozitivní karcinomy (potvrzené in situ hybridizací). Tito nemocní měli lepší 3-leté přežití (82.4% vs 57.1% ve srovnání s pacienty s HPV-negativními tumory; P &lt;0.001) a po započítání faktorů, jako byly věk, rasa, TNM staging, tabakismus, měli pacienti s HPV pozitivními nádory o 58% lepší výsledky přežití. </w:t>
      </w:r>
      <w:r w:rsidR="00124ED9">
        <w:rPr>
          <w:rFonts w:ascii="Arial" w:hAnsi="Arial" w:cs="Arial"/>
          <w:sz w:val="24"/>
          <w:szCs w:val="24"/>
          <w:lang w:val="en-US"/>
        </w:rPr>
        <w:t>P</w:t>
      </w:r>
      <w:r w:rsidRPr="008F13F9">
        <w:rPr>
          <w:rFonts w:ascii="Arial" w:hAnsi="Arial" w:cs="Arial"/>
          <w:sz w:val="24"/>
          <w:szCs w:val="24"/>
          <w:lang w:val="en-US"/>
        </w:rPr>
        <w:t xml:space="preserve">16 pozitivita </w:t>
      </w:r>
      <w:r w:rsidR="00124ED9">
        <w:rPr>
          <w:rFonts w:ascii="Arial" w:hAnsi="Arial" w:cs="Arial"/>
          <w:sz w:val="24"/>
          <w:szCs w:val="24"/>
          <w:lang w:val="en-US"/>
        </w:rPr>
        <w:t>se jevila</w:t>
      </w:r>
      <w:r w:rsidRPr="008F13F9">
        <w:rPr>
          <w:rFonts w:ascii="Arial" w:hAnsi="Arial" w:cs="Arial"/>
          <w:sz w:val="24"/>
          <w:szCs w:val="24"/>
          <w:lang w:val="en-US"/>
        </w:rPr>
        <w:t xml:space="preserve"> jako silný prognostický indikátor, kdy p16 pozitivní pacienti měli 3 leté přežití v 83.6</w:t>
      </w:r>
      <w:r w:rsidR="00124ED9">
        <w:rPr>
          <w:rFonts w:ascii="Arial" w:hAnsi="Arial" w:cs="Arial"/>
          <w:sz w:val="24"/>
          <w:szCs w:val="24"/>
          <w:lang w:val="en-US"/>
        </w:rPr>
        <w:t xml:space="preserve"> </w:t>
      </w:r>
      <w:r w:rsidRPr="008F13F9">
        <w:rPr>
          <w:rFonts w:ascii="Arial" w:hAnsi="Arial" w:cs="Arial"/>
          <w:sz w:val="24"/>
          <w:szCs w:val="24"/>
          <w:lang w:val="en-US"/>
        </w:rPr>
        <w:t>% ve srovnání s 51.3% u p16-negativních pacientů. Po započítání všech ostatních faktorů měli p16 pozit</w:t>
      </w:r>
      <w:r w:rsidR="00124ED9">
        <w:rPr>
          <w:rFonts w:ascii="Arial" w:hAnsi="Arial" w:cs="Arial"/>
          <w:sz w:val="24"/>
          <w:szCs w:val="24"/>
          <w:lang w:val="en-US"/>
        </w:rPr>
        <w:t>i</w:t>
      </w:r>
      <w:r w:rsidRPr="008F13F9">
        <w:rPr>
          <w:rFonts w:ascii="Arial" w:hAnsi="Arial" w:cs="Arial"/>
          <w:sz w:val="24"/>
          <w:szCs w:val="24"/>
          <w:lang w:val="en-US"/>
        </w:rPr>
        <w:t>vní pacienti o 67% nižší riziko úmrtí.</w:t>
      </w:r>
      <w:r w:rsidRPr="008F13F9">
        <w:rPr>
          <w:rFonts w:ascii="Arial" w:hAnsi="Arial" w:cs="Arial"/>
          <w:sz w:val="24"/>
          <w:szCs w:val="24"/>
          <w:vertAlign w:val="superscript"/>
          <w:lang w:val="en-US"/>
        </w:rPr>
        <w:t>104</w:t>
      </w:r>
    </w:p>
    <w:p w14:paraId="006268F6" w14:textId="77777777" w:rsidR="0064032D" w:rsidRPr="00124ED9" w:rsidRDefault="0064032D" w:rsidP="008F13F9">
      <w:pPr>
        <w:widowControl w:val="0"/>
        <w:autoSpaceDE w:val="0"/>
        <w:autoSpaceDN w:val="0"/>
        <w:adjustRightInd w:val="0"/>
        <w:spacing w:after="0" w:line="360" w:lineRule="auto"/>
        <w:ind w:firstLine="720"/>
        <w:jc w:val="both"/>
        <w:rPr>
          <w:rFonts w:ascii="Arial" w:hAnsi="Arial" w:cs="Arial"/>
          <w:sz w:val="24"/>
          <w:szCs w:val="24"/>
        </w:rPr>
      </w:pPr>
      <w:r w:rsidRPr="008F13F9">
        <w:rPr>
          <w:rFonts w:ascii="Arial" w:hAnsi="Arial" w:cs="Arial"/>
          <w:sz w:val="24"/>
          <w:szCs w:val="24"/>
        </w:rPr>
        <w:t xml:space="preserve">Příznivější prognózu HPV pozitivních spinalomů lze z části </w:t>
      </w:r>
      <w:r w:rsidR="00124ED9">
        <w:rPr>
          <w:rFonts w:ascii="Arial" w:hAnsi="Arial" w:cs="Arial"/>
          <w:sz w:val="24"/>
          <w:szCs w:val="24"/>
        </w:rPr>
        <w:t>vysvětlit dosud ne zcela objasněnou silnou imunitní reakcí,</w:t>
      </w:r>
      <w:r w:rsidRPr="008F13F9">
        <w:rPr>
          <w:rFonts w:ascii="Arial" w:hAnsi="Arial" w:cs="Arial"/>
          <w:sz w:val="24"/>
          <w:szCs w:val="24"/>
        </w:rPr>
        <w:t xml:space="preserve"> indukovanou radio- nebo chemoterapií. </w:t>
      </w:r>
      <w:r w:rsidR="00124ED9">
        <w:rPr>
          <w:rFonts w:ascii="Arial" w:hAnsi="Arial" w:cs="Arial"/>
          <w:sz w:val="24"/>
          <w:szCs w:val="24"/>
        </w:rPr>
        <w:t xml:space="preserve">Dalším vysvětlením je dle </w:t>
      </w:r>
      <w:r w:rsidRPr="008F13F9">
        <w:rPr>
          <w:rFonts w:ascii="Arial" w:hAnsi="Arial" w:cs="Arial"/>
          <w:sz w:val="24"/>
          <w:szCs w:val="24"/>
        </w:rPr>
        <w:t>Vermeer</w:t>
      </w:r>
      <w:r w:rsidR="00124ED9">
        <w:rPr>
          <w:rFonts w:ascii="Arial" w:hAnsi="Arial" w:cs="Arial"/>
          <w:sz w:val="24"/>
          <w:szCs w:val="24"/>
        </w:rPr>
        <w:t>a</w:t>
      </w:r>
      <w:r w:rsidRPr="008F13F9">
        <w:rPr>
          <w:rFonts w:ascii="Arial" w:hAnsi="Arial" w:cs="Arial"/>
          <w:sz w:val="24"/>
          <w:szCs w:val="24"/>
          <w:vertAlign w:val="superscript"/>
        </w:rPr>
        <w:t>50</w:t>
      </w:r>
      <w:r w:rsidRPr="008F13F9">
        <w:rPr>
          <w:rFonts w:ascii="Arial" w:hAnsi="Arial" w:cs="Arial"/>
          <w:sz w:val="24"/>
          <w:szCs w:val="24"/>
        </w:rPr>
        <w:t xml:space="preserve"> </w:t>
      </w:r>
      <w:r w:rsidR="00124ED9">
        <w:rPr>
          <w:rFonts w:ascii="Arial" w:hAnsi="Arial" w:cs="Arial"/>
          <w:sz w:val="24"/>
          <w:szCs w:val="24"/>
        </w:rPr>
        <w:t>postiradiační snížení</w:t>
      </w:r>
      <w:r w:rsidRPr="008F13F9">
        <w:rPr>
          <w:rFonts w:ascii="Arial" w:hAnsi="Arial" w:cs="Arial"/>
          <w:sz w:val="24"/>
          <w:szCs w:val="24"/>
        </w:rPr>
        <w:t xml:space="preserve"> povrchových CD47</w:t>
      </w:r>
      <w:r w:rsidR="00124ED9">
        <w:rPr>
          <w:rFonts w:ascii="Arial" w:hAnsi="Arial" w:cs="Arial"/>
          <w:sz w:val="24"/>
          <w:szCs w:val="24"/>
        </w:rPr>
        <w:t xml:space="preserve"> receptorů u HPV pozitivních tumor, což vede i k redukci objemu tumoru</w:t>
      </w:r>
      <w:r w:rsidRPr="008F13F9">
        <w:rPr>
          <w:rFonts w:ascii="Arial" w:hAnsi="Arial" w:cs="Arial"/>
          <w:sz w:val="24"/>
          <w:szCs w:val="24"/>
          <w:vertAlign w:val="superscript"/>
        </w:rPr>
        <w:t>50</w:t>
      </w:r>
      <w:r w:rsidR="00124ED9">
        <w:rPr>
          <w:rFonts w:ascii="Arial" w:hAnsi="Arial" w:cs="Arial"/>
          <w:sz w:val="24"/>
          <w:szCs w:val="24"/>
        </w:rPr>
        <w:t>.</w:t>
      </w:r>
    </w:p>
    <w:p w14:paraId="5A616727" w14:textId="77777777" w:rsidR="0064032D" w:rsidRPr="008F13F9" w:rsidRDefault="0064032D" w:rsidP="008F13F9">
      <w:pPr>
        <w:widowControl w:val="0"/>
        <w:autoSpaceDE w:val="0"/>
        <w:autoSpaceDN w:val="0"/>
        <w:adjustRightInd w:val="0"/>
        <w:spacing w:after="0" w:line="360" w:lineRule="auto"/>
        <w:rPr>
          <w:rFonts w:ascii="Arial" w:hAnsi="Arial" w:cs="Arial"/>
          <w:sz w:val="24"/>
          <w:szCs w:val="24"/>
        </w:rPr>
      </w:pPr>
    </w:p>
    <w:p w14:paraId="65BF2F70" w14:textId="77777777" w:rsidR="0064032D" w:rsidRPr="008F13F9" w:rsidRDefault="00124ED9" w:rsidP="008F13F9">
      <w:pPr>
        <w:spacing w:line="360" w:lineRule="auto"/>
        <w:ind w:firstLine="720"/>
        <w:jc w:val="both"/>
        <w:rPr>
          <w:rFonts w:ascii="Arial" w:hAnsi="Arial" w:cs="Arial"/>
          <w:sz w:val="24"/>
          <w:szCs w:val="24"/>
        </w:rPr>
      </w:pPr>
      <w:r>
        <w:rPr>
          <w:rFonts w:ascii="Arial" w:hAnsi="Arial" w:cs="Arial"/>
          <w:sz w:val="24"/>
          <w:szCs w:val="24"/>
        </w:rPr>
        <w:t>Jednoznačný průkaz lepší prognózy HPV pozitivních nádorů doposud chybí. Nejsou k dispozici prospektivní studie, zabývající se prognózou HPV+ vs. HP</w:t>
      </w:r>
      <w:r w:rsidR="006B53D6">
        <w:rPr>
          <w:rFonts w:ascii="Arial" w:hAnsi="Arial" w:cs="Arial"/>
          <w:sz w:val="24"/>
          <w:szCs w:val="24"/>
        </w:rPr>
        <w:t>V</w:t>
      </w:r>
      <w:r>
        <w:rPr>
          <w:rFonts w:ascii="Arial" w:hAnsi="Arial" w:cs="Arial"/>
          <w:sz w:val="24"/>
          <w:szCs w:val="24"/>
        </w:rPr>
        <w:t>- nádorů. Z </w:t>
      </w:r>
      <w:r w:rsidR="006B53D6">
        <w:rPr>
          <w:rFonts w:ascii="Arial" w:hAnsi="Arial" w:cs="Arial"/>
          <w:sz w:val="24"/>
          <w:szCs w:val="24"/>
        </w:rPr>
        <w:t>těchto</w:t>
      </w:r>
      <w:r>
        <w:rPr>
          <w:rFonts w:ascii="Arial" w:hAnsi="Arial" w:cs="Arial"/>
          <w:sz w:val="24"/>
          <w:szCs w:val="24"/>
        </w:rPr>
        <w:t xml:space="preserve"> </w:t>
      </w:r>
      <w:r w:rsidR="006B53D6">
        <w:rPr>
          <w:rFonts w:ascii="Arial" w:hAnsi="Arial" w:cs="Arial"/>
          <w:sz w:val="24"/>
          <w:szCs w:val="24"/>
        </w:rPr>
        <w:t>důvodů</w:t>
      </w:r>
      <w:r>
        <w:rPr>
          <w:rFonts w:ascii="Arial" w:hAnsi="Arial" w:cs="Arial"/>
          <w:sz w:val="24"/>
          <w:szCs w:val="24"/>
        </w:rPr>
        <w:t xml:space="preserve"> doposud nebyl standardizová</w:t>
      </w:r>
      <w:r w:rsidR="006B53D6">
        <w:rPr>
          <w:rFonts w:ascii="Arial" w:hAnsi="Arial" w:cs="Arial"/>
          <w:sz w:val="24"/>
          <w:szCs w:val="24"/>
        </w:rPr>
        <w:t>n</w:t>
      </w:r>
      <w:r>
        <w:rPr>
          <w:rFonts w:ascii="Arial" w:hAnsi="Arial" w:cs="Arial"/>
          <w:sz w:val="24"/>
          <w:szCs w:val="24"/>
        </w:rPr>
        <w:t xml:space="preserve"> léčebný protokol pro HPV+ tumory</w:t>
      </w:r>
      <w:r w:rsidR="006B53D6">
        <w:rPr>
          <w:rFonts w:ascii="Arial" w:hAnsi="Arial" w:cs="Arial"/>
          <w:sz w:val="24"/>
          <w:szCs w:val="24"/>
        </w:rPr>
        <w:t xml:space="preserve"> v</w:t>
      </w:r>
      <w:r w:rsidR="0064032D" w:rsidRPr="008F13F9">
        <w:rPr>
          <w:rFonts w:ascii="Arial" w:hAnsi="Arial" w:cs="Arial"/>
          <w:sz w:val="24"/>
          <w:szCs w:val="24"/>
        </w:rPr>
        <w:t xml:space="preserve"> National Comperhensive Cancer Network Guidelines (NCCN)</w:t>
      </w:r>
      <w:r w:rsidR="0064032D" w:rsidRPr="008F13F9">
        <w:rPr>
          <w:rFonts w:ascii="Arial" w:hAnsi="Arial" w:cs="Arial"/>
          <w:sz w:val="24"/>
          <w:szCs w:val="24"/>
          <w:vertAlign w:val="superscript"/>
        </w:rPr>
        <w:t xml:space="preserve"> 105</w:t>
      </w:r>
      <w:r w:rsidR="0064032D" w:rsidRPr="008F13F9">
        <w:rPr>
          <w:rFonts w:ascii="Arial" w:hAnsi="Arial" w:cs="Arial"/>
          <w:sz w:val="24"/>
          <w:szCs w:val="24"/>
        </w:rPr>
        <w:t>.</w:t>
      </w:r>
    </w:p>
    <w:p w14:paraId="728BD5F8" w14:textId="77777777" w:rsidR="0064032D" w:rsidRPr="008F13F9" w:rsidRDefault="000A6DD9" w:rsidP="008F13F9">
      <w:pPr>
        <w:spacing w:line="360" w:lineRule="auto"/>
        <w:ind w:firstLine="720"/>
        <w:jc w:val="both"/>
        <w:rPr>
          <w:rFonts w:ascii="Arial" w:hAnsi="Arial" w:cs="Arial"/>
          <w:sz w:val="24"/>
          <w:szCs w:val="24"/>
        </w:rPr>
      </w:pPr>
      <w:r>
        <w:rPr>
          <w:rFonts w:ascii="Arial" w:hAnsi="Arial" w:cs="Arial"/>
          <w:sz w:val="24"/>
          <w:szCs w:val="24"/>
        </w:rPr>
        <w:t>Samotná p</w:t>
      </w:r>
      <w:r w:rsidR="0064032D" w:rsidRPr="008F13F9">
        <w:rPr>
          <w:rFonts w:ascii="Arial" w:hAnsi="Arial" w:cs="Arial"/>
          <w:sz w:val="24"/>
          <w:szCs w:val="24"/>
        </w:rPr>
        <w:t xml:space="preserve">řítomnost HPV viru není nezbytným předpokladem budoucí klinické manifestace onkologického onemocnění. Proces kancerogeneze je velmi komplikovaný </w:t>
      </w:r>
      <w:r w:rsidR="006B53D6">
        <w:rPr>
          <w:rFonts w:ascii="Arial" w:hAnsi="Arial" w:cs="Arial"/>
          <w:sz w:val="24"/>
          <w:szCs w:val="24"/>
        </w:rPr>
        <w:t xml:space="preserve">a </w:t>
      </w:r>
      <w:r w:rsidR="0064032D" w:rsidRPr="008F13F9">
        <w:rPr>
          <w:rFonts w:ascii="Arial" w:hAnsi="Arial" w:cs="Arial"/>
          <w:sz w:val="24"/>
          <w:szCs w:val="24"/>
        </w:rPr>
        <w:t xml:space="preserve">není ještě plně objasněn. Nicméně průkaz HPV pozitivity by s ohledem na zvýšené riziko manifestace nádorové choroby patrně měl být důvodem k onkologické dispenzarizaci pacienta. Kolonizaci epitelu </w:t>
      </w:r>
      <w:r w:rsidR="0064032D" w:rsidRPr="008F13F9">
        <w:rPr>
          <w:rFonts w:ascii="Arial" w:hAnsi="Arial" w:cs="Arial"/>
          <w:sz w:val="24"/>
          <w:szCs w:val="24"/>
        </w:rPr>
        <w:lastRenderedPageBreak/>
        <w:t>onkogenními HPV lze předejít vakcinací nejen žens</w:t>
      </w:r>
      <w:r>
        <w:rPr>
          <w:rFonts w:ascii="Arial" w:hAnsi="Arial" w:cs="Arial"/>
          <w:sz w:val="24"/>
          <w:szCs w:val="24"/>
        </w:rPr>
        <w:t>ké, ale i mužské části populace a to ještě ve věku, kdy lze předpokládat, že jedinci jsou virga - tedy že nedošlo k infekci HPV.</w:t>
      </w:r>
      <w:r w:rsidR="0064032D" w:rsidRPr="008F13F9">
        <w:rPr>
          <w:rFonts w:ascii="Arial" w:hAnsi="Arial" w:cs="Arial"/>
          <w:sz w:val="24"/>
          <w:szCs w:val="24"/>
        </w:rPr>
        <w:t xml:space="preserve"> </w:t>
      </w:r>
    </w:p>
    <w:p w14:paraId="799C75B7" w14:textId="77777777" w:rsidR="0064032D" w:rsidRPr="008F13F9" w:rsidRDefault="0064032D" w:rsidP="003D3503">
      <w:pPr>
        <w:spacing w:line="360" w:lineRule="auto"/>
        <w:ind w:firstLine="360"/>
        <w:jc w:val="both"/>
        <w:rPr>
          <w:rFonts w:ascii="Arial" w:hAnsi="Arial" w:cs="Arial"/>
          <w:sz w:val="24"/>
          <w:szCs w:val="24"/>
        </w:rPr>
      </w:pPr>
      <w:r w:rsidRPr="008F13F9">
        <w:rPr>
          <w:rFonts w:ascii="Arial" w:hAnsi="Arial" w:cs="Arial"/>
          <w:sz w:val="24"/>
          <w:szCs w:val="24"/>
        </w:rPr>
        <w:t>V zásadě existují dva typy vakcín proti HPV infenkci:</w:t>
      </w:r>
    </w:p>
    <w:p w14:paraId="025CD99B" w14:textId="77777777" w:rsidR="0064032D" w:rsidRPr="008F13F9" w:rsidRDefault="0064032D" w:rsidP="008F13F9">
      <w:pPr>
        <w:numPr>
          <w:ilvl w:val="0"/>
          <w:numId w:val="16"/>
        </w:numPr>
        <w:spacing w:line="360" w:lineRule="auto"/>
        <w:jc w:val="both"/>
        <w:rPr>
          <w:rFonts w:ascii="Arial" w:hAnsi="Arial" w:cs="Arial"/>
          <w:sz w:val="24"/>
          <w:szCs w:val="24"/>
        </w:rPr>
      </w:pPr>
      <w:r w:rsidRPr="008F13F9">
        <w:rPr>
          <w:rFonts w:ascii="Arial" w:hAnsi="Arial" w:cs="Arial"/>
          <w:sz w:val="24"/>
          <w:szCs w:val="24"/>
        </w:rPr>
        <w:t xml:space="preserve">profylaktické </w:t>
      </w:r>
    </w:p>
    <w:p w14:paraId="3F14C6FB" w14:textId="77777777" w:rsidR="0064032D" w:rsidRPr="008F13F9" w:rsidRDefault="0064032D" w:rsidP="008F13F9">
      <w:pPr>
        <w:numPr>
          <w:ilvl w:val="0"/>
          <w:numId w:val="16"/>
        </w:numPr>
        <w:spacing w:line="360" w:lineRule="auto"/>
        <w:jc w:val="both"/>
        <w:rPr>
          <w:rFonts w:ascii="Arial" w:hAnsi="Arial" w:cs="Arial"/>
          <w:sz w:val="24"/>
          <w:szCs w:val="24"/>
        </w:rPr>
      </w:pPr>
      <w:r w:rsidRPr="008F13F9">
        <w:rPr>
          <w:rFonts w:ascii="Arial" w:hAnsi="Arial" w:cs="Arial"/>
          <w:sz w:val="24"/>
          <w:szCs w:val="24"/>
        </w:rPr>
        <w:t>terapeutické</w:t>
      </w:r>
    </w:p>
    <w:p w14:paraId="1B226374" w14:textId="77777777" w:rsidR="0064032D" w:rsidRPr="008F13F9" w:rsidRDefault="0064032D" w:rsidP="008F13F9">
      <w:pPr>
        <w:spacing w:line="360" w:lineRule="auto"/>
        <w:ind w:firstLine="360"/>
        <w:jc w:val="both"/>
        <w:rPr>
          <w:rFonts w:ascii="Arial" w:hAnsi="Arial" w:cs="Arial"/>
          <w:sz w:val="24"/>
          <w:szCs w:val="24"/>
        </w:rPr>
      </w:pPr>
      <w:r w:rsidRPr="008F13F9">
        <w:rPr>
          <w:rFonts w:ascii="Arial" w:hAnsi="Arial" w:cs="Arial"/>
          <w:sz w:val="24"/>
          <w:szCs w:val="24"/>
        </w:rPr>
        <w:t>Od roku 2006 byly na trh uvedeny 2</w:t>
      </w:r>
      <w:r w:rsidR="003D3503">
        <w:rPr>
          <w:rFonts w:ascii="Arial" w:hAnsi="Arial" w:cs="Arial"/>
          <w:sz w:val="24"/>
          <w:szCs w:val="24"/>
        </w:rPr>
        <w:t xml:space="preserve"> </w:t>
      </w:r>
      <w:r w:rsidRPr="008F13F9">
        <w:rPr>
          <w:rFonts w:ascii="Arial" w:hAnsi="Arial" w:cs="Arial"/>
          <w:sz w:val="24"/>
          <w:szCs w:val="24"/>
        </w:rPr>
        <w:t xml:space="preserve"> profylaktické vakcíny, sloužící k vakcinaci jedinců, kteří doposud s infekcí do styku nepřišli (tzv. </w:t>
      </w:r>
      <w:r w:rsidRPr="003D3503">
        <w:rPr>
          <w:rFonts w:ascii="Arial" w:hAnsi="Arial" w:cs="Arial"/>
          <w:i/>
          <w:sz w:val="24"/>
          <w:szCs w:val="24"/>
        </w:rPr>
        <w:t>naivní jedinci</w:t>
      </w:r>
      <w:r w:rsidRPr="008F13F9">
        <w:rPr>
          <w:rFonts w:ascii="Arial" w:hAnsi="Arial" w:cs="Arial"/>
          <w:sz w:val="24"/>
          <w:szCs w:val="24"/>
        </w:rPr>
        <w:t>).</w:t>
      </w:r>
    </w:p>
    <w:p w14:paraId="114E2293" w14:textId="77777777" w:rsidR="0064032D" w:rsidRPr="008F13F9" w:rsidRDefault="0064032D" w:rsidP="008F13F9">
      <w:pPr>
        <w:spacing w:line="360" w:lineRule="auto"/>
        <w:ind w:firstLine="360"/>
        <w:jc w:val="both"/>
        <w:rPr>
          <w:rFonts w:ascii="Arial" w:hAnsi="Arial" w:cs="Arial"/>
          <w:sz w:val="24"/>
          <w:szCs w:val="24"/>
        </w:rPr>
      </w:pPr>
      <w:r w:rsidRPr="008F13F9">
        <w:rPr>
          <w:rFonts w:ascii="Arial" w:hAnsi="Arial" w:cs="Arial"/>
          <w:sz w:val="24"/>
          <w:szCs w:val="24"/>
        </w:rPr>
        <w:t>Vývoj vakcíny, která by potlačila eventuálně plně eradikovala HPV infekci je v současné době předmětem výzkumu.</w:t>
      </w:r>
    </w:p>
    <w:p w14:paraId="7D91152D" w14:textId="77777777" w:rsidR="0064032D" w:rsidRPr="008F13F9" w:rsidRDefault="0064032D" w:rsidP="003D3503">
      <w:pPr>
        <w:spacing w:line="360" w:lineRule="auto"/>
        <w:ind w:firstLine="360"/>
        <w:jc w:val="both"/>
        <w:rPr>
          <w:rFonts w:ascii="Arial" w:hAnsi="Arial" w:cs="Arial"/>
          <w:sz w:val="24"/>
          <w:szCs w:val="24"/>
        </w:rPr>
      </w:pPr>
      <w:r w:rsidRPr="008F13F9">
        <w:rPr>
          <w:rFonts w:ascii="Arial" w:hAnsi="Arial" w:cs="Arial"/>
          <w:sz w:val="24"/>
          <w:szCs w:val="24"/>
        </w:rPr>
        <w:t xml:space="preserve">Výsledky námi předložené studie ukazují na nízkou prevalenci viru v dutině ústní a to i navzdory </w:t>
      </w:r>
      <w:r w:rsidR="006B53D6">
        <w:rPr>
          <w:rFonts w:ascii="Arial" w:hAnsi="Arial" w:cs="Arial"/>
          <w:sz w:val="24"/>
          <w:szCs w:val="24"/>
        </w:rPr>
        <w:t xml:space="preserve">vysokému </w:t>
      </w:r>
      <w:r w:rsidRPr="008F13F9">
        <w:rPr>
          <w:rFonts w:ascii="Arial" w:hAnsi="Arial" w:cs="Arial"/>
          <w:sz w:val="24"/>
          <w:szCs w:val="24"/>
        </w:rPr>
        <w:t xml:space="preserve">počtu sexuálních partnerů, které </w:t>
      </w:r>
      <w:r w:rsidR="000A6DD9">
        <w:rPr>
          <w:rFonts w:ascii="Arial" w:hAnsi="Arial" w:cs="Arial"/>
          <w:sz w:val="24"/>
          <w:szCs w:val="24"/>
        </w:rPr>
        <w:t>mnohé</w:t>
      </w:r>
      <w:r w:rsidR="006B53D6">
        <w:rPr>
          <w:rFonts w:ascii="Arial" w:hAnsi="Arial" w:cs="Arial"/>
          <w:sz w:val="24"/>
          <w:szCs w:val="24"/>
        </w:rPr>
        <w:t xml:space="preserve"> </w:t>
      </w:r>
      <w:r w:rsidRPr="008F13F9">
        <w:rPr>
          <w:rFonts w:ascii="Arial" w:hAnsi="Arial" w:cs="Arial"/>
          <w:sz w:val="24"/>
          <w:szCs w:val="24"/>
        </w:rPr>
        <w:t xml:space="preserve">naše pacientky měly. Názor, že kolonizace dutiny ústní a orofaryngu HPV je přímo úměrná počtu sexuálních koitálních anebo nekoitálních partnerů se v našem souboru nepodařilo potvrdit. </w:t>
      </w:r>
      <w:r w:rsidR="006B53D6">
        <w:rPr>
          <w:rFonts w:ascii="Arial" w:hAnsi="Arial" w:cs="Arial"/>
          <w:sz w:val="24"/>
          <w:szCs w:val="24"/>
        </w:rPr>
        <w:t>Můžeme však vyloučit, že nízký počet pacientek s HPV+ nálezem v dutině ústní byl způsoben metodickou chybou.</w:t>
      </w:r>
    </w:p>
    <w:p w14:paraId="41E64CE5" w14:textId="77777777" w:rsidR="0026071E" w:rsidRDefault="006B53D6" w:rsidP="006B53D6">
      <w:pPr>
        <w:spacing w:line="360" w:lineRule="auto"/>
        <w:ind w:firstLine="360"/>
        <w:jc w:val="both"/>
        <w:rPr>
          <w:rFonts w:ascii="Arial" w:hAnsi="Arial" w:cs="Arial"/>
          <w:iCs/>
          <w:sz w:val="24"/>
          <w:szCs w:val="24"/>
        </w:rPr>
      </w:pPr>
      <w:r>
        <w:rPr>
          <w:rFonts w:ascii="Arial" w:hAnsi="Arial" w:cs="Arial"/>
          <w:sz w:val="24"/>
          <w:szCs w:val="24"/>
        </w:rPr>
        <w:t>V naší studii jsme prokázali HPV HR pozitivní nález na děložním čípku u 10 probandek z 81, tj.</w:t>
      </w:r>
      <w:bookmarkStart w:id="1" w:name="_GoBack"/>
      <w:bookmarkEnd w:id="1"/>
      <w:r>
        <w:rPr>
          <w:rFonts w:ascii="Arial" w:hAnsi="Arial" w:cs="Arial"/>
          <w:sz w:val="24"/>
          <w:szCs w:val="24"/>
        </w:rPr>
        <w:t xml:space="preserve">u 12,83 %. </w:t>
      </w:r>
      <w:r w:rsidR="0064032D" w:rsidRPr="008F13F9">
        <w:rPr>
          <w:rFonts w:ascii="Arial" w:hAnsi="Arial" w:cs="Arial"/>
          <w:sz w:val="24"/>
          <w:szCs w:val="24"/>
        </w:rPr>
        <w:t xml:space="preserve">Caňadase </w:t>
      </w:r>
      <w:r w:rsidR="0064032D" w:rsidRPr="008F13F9">
        <w:rPr>
          <w:rFonts w:ascii="Arial" w:hAnsi="Arial" w:cs="Arial"/>
          <w:iCs/>
          <w:sz w:val="24"/>
          <w:szCs w:val="24"/>
        </w:rPr>
        <w:t>et al.</w:t>
      </w:r>
      <w:r w:rsidR="0064032D" w:rsidRPr="008F13F9">
        <w:rPr>
          <w:rFonts w:ascii="Arial" w:hAnsi="Arial" w:cs="Arial"/>
          <w:iCs/>
          <w:sz w:val="24"/>
          <w:szCs w:val="24"/>
          <w:vertAlign w:val="superscript"/>
        </w:rPr>
        <w:t>87</w:t>
      </w:r>
      <w:r>
        <w:rPr>
          <w:rFonts w:ascii="Arial" w:hAnsi="Arial" w:cs="Arial"/>
          <w:iCs/>
          <w:sz w:val="24"/>
          <w:szCs w:val="24"/>
          <w:vertAlign w:val="superscript"/>
        </w:rPr>
        <w:t xml:space="preserve"> </w:t>
      </w:r>
      <w:r>
        <w:rPr>
          <w:rFonts w:ascii="Arial" w:hAnsi="Arial" w:cs="Arial"/>
          <w:iCs/>
          <w:sz w:val="24"/>
          <w:szCs w:val="24"/>
        </w:rPr>
        <w:t>udává</w:t>
      </w:r>
      <w:r w:rsidR="0064032D" w:rsidRPr="008F13F9">
        <w:rPr>
          <w:rFonts w:ascii="Arial" w:hAnsi="Arial" w:cs="Arial"/>
          <w:iCs/>
          <w:sz w:val="24"/>
          <w:szCs w:val="24"/>
        </w:rPr>
        <w:t xml:space="preserve"> na vzorku 188 prostitutek HPV high risk </w:t>
      </w:r>
      <w:r w:rsidR="0026071E">
        <w:rPr>
          <w:rFonts w:ascii="Arial" w:hAnsi="Arial" w:cs="Arial"/>
          <w:iCs/>
          <w:sz w:val="24"/>
          <w:szCs w:val="24"/>
        </w:rPr>
        <w:t>děložního čípku až</w:t>
      </w:r>
      <w:r w:rsidR="0064032D" w:rsidRPr="008F13F9">
        <w:rPr>
          <w:rFonts w:ascii="Arial" w:hAnsi="Arial" w:cs="Arial"/>
          <w:iCs/>
          <w:sz w:val="24"/>
          <w:szCs w:val="24"/>
        </w:rPr>
        <w:t xml:space="preserve"> v</w:t>
      </w:r>
      <w:r w:rsidR="0026071E">
        <w:rPr>
          <w:rFonts w:ascii="Arial" w:hAnsi="Arial" w:cs="Arial"/>
          <w:iCs/>
          <w:sz w:val="24"/>
          <w:szCs w:val="24"/>
        </w:rPr>
        <w:t> </w:t>
      </w:r>
      <w:r w:rsidR="0064032D" w:rsidRPr="008F13F9">
        <w:rPr>
          <w:rFonts w:ascii="Arial" w:hAnsi="Arial" w:cs="Arial"/>
          <w:iCs/>
          <w:sz w:val="24"/>
          <w:szCs w:val="24"/>
        </w:rPr>
        <w:t>80</w:t>
      </w:r>
      <w:r w:rsidR="0026071E">
        <w:rPr>
          <w:rFonts w:ascii="Arial" w:hAnsi="Arial" w:cs="Arial"/>
          <w:iCs/>
          <w:sz w:val="24"/>
          <w:szCs w:val="24"/>
        </w:rPr>
        <w:t xml:space="preserve"> %. Takto vysoké číslo je vysvětlitelné promiskuitou jeho probandek</w:t>
      </w:r>
      <w:r w:rsidR="0064032D" w:rsidRPr="008F13F9">
        <w:rPr>
          <w:rFonts w:ascii="Arial" w:hAnsi="Arial" w:cs="Arial"/>
          <w:iCs/>
          <w:sz w:val="24"/>
          <w:szCs w:val="24"/>
        </w:rPr>
        <w:t xml:space="preserve">. </w:t>
      </w:r>
    </w:p>
    <w:p w14:paraId="3B20B63F" w14:textId="77777777" w:rsidR="0026071E" w:rsidRDefault="0026071E" w:rsidP="006B53D6">
      <w:pPr>
        <w:spacing w:line="360" w:lineRule="auto"/>
        <w:ind w:firstLine="360"/>
        <w:jc w:val="both"/>
        <w:rPr>
          <w:rFonts w:ascii="Arial" w:hAnsi="Arial" w:cs="Arial"/>
          <w:iCs/>
          <w:sz w:val="24"/>
          <w:szCs w:val="24"/>
        </w:rPr>
      </w:pPr>
    </w:p>
    <w:p w14:paraId="70FC6C8B" w14:textId="7CA968B1" w:rsidR="0064032D" w:rsidRDefault="0026071E" w:rsidP="006B53D6">
      <w:pPr>
        <w:spacing w:line="360" w:lineRule="auto"/>
        <w:ind w:firstLine="360"/>
        <w:jc w:val="both"/>
        <w:rPr>
          <w:rFonts w:ascii="Arial" w:hAnsi="Arial" w:cs="Arial"/>
          <w:iCs/>
          <w:sz w:val="24"/>
          <w:szCs w:val="24"/>
        </w:rPr>
      </w:pPr>
      <w:r>
        <w:rPr>
          <w:rFonts w:ascii="Arial" w:hAnsi="Arial" w:cs="Arial"/>
          <w:iCs/>
          <w:sz w:val="24"/>
          <w:szCs w:val="24"/>
        </w:rPr>
        <w:t>HPV pozitivita</w:t>
      </w:r>
      <w:r w:rsidR="00695F47">
        <w:rPr>
          <w:rFonts w:ascii="Arial" w:hAnsi="Arial" w:cs="Arial"/>
          <w:iCs/>
          <w:sz w:val="24"/>
          <w:szCs w:val="24"/>
        </w:rPr>
        <w:t xml:space="preserve"> v dutině ústní</w:t>
      </w:r>
      <w:r>
        <w:rPr>
          <w:rFonts w:ascii="Arial" w:hAnsi="Arial" w:cs="Arial"/>
          <w:iCs/>
          <w:sz w:val="24"/>
          <w:szCs w:val="24"/>
        </w:rPr>
        <w:t xml:space="preserve"> byla v naší studii prokázána jen u jediné pacientky z 87, tj, u 1,1 %. Tato čísla jsou porovnatelná s výsledky </w:t>
      </w:r>
      <w:r w:rsidR="0064032D" w:rsidRPr="008F13F9">
        <w:rPr>
          <w:rFonts w:ascii="Arial" w:hAnsi="Arial" w:cs="Arial"/>
          <w:iCs/>
          <w:sz w:val="24"/>
          <w:szCs w:val="24"/>
        </w:rPr>
        <w:t>Kurose et al.</w:t>
      </w:r>
      <w:r w:rsidR="0064032D" w:rsidRPr="008F13F9">
        <w:rPr>
          <w:rFonts w:ascii="Arial" w:hAnsi="Arial" w:cs="Arial"/>
          <w:iCs/>
          <w:sz w:val="24"/>
          <w:szCs w:val="24"/>
          <w:vertAlign w:val="superscript"/>
        </w:rPr>
        <w:t>106</w:t>
      </w:r>
      <w:r>
        <w:rPr>
          <w:rFonts w:ascii="Arial" w:hAnsi="Arial" w:cs="Arial"/>
          <w:iCs/>
          <w:sz w:val="24"/>
          <w:szCs w:val="24"/>
        </w:rPr>
        <w:t xml:space="preserve">, který </w:t>
      </w:r>
      <w:r w:rsidR="0064032D" w:rsidRPr="008F13F9">
        <w:rPr>
          <w:rFonts w:ascii="Arial" w:hAnsi="Arial" w:cs="Arial"/>
          <w:iCs/>
          <w:sz w:val="24"/>
          <w:szCs w:val="24"/>
        </w:rPr>
        <w:t>provedl kontrolní stěry na 662 zdravých dobrovolnících, kdy HPV infekci prokázal u 0,6</w:t>
      </w:r>
      <w:r>
        <w:rPr>
          <w:rFonts w:ascii="Arial" w:hAnsi="Arial" w:cs="Arial"/>
          <w:iCs/>
          <w:sz w:val="24"/>
          <w:szCs w:val="24"/>
        </w:rPr>
        <w:t xml:space="preserve"> </w:t>
      </w:r>
      <w:r w:rsidR="0064032D" w:rsidRPr="008F13F9">
        <w:rPr>
          <w:rFonts w:ascii="Arial" w:hAnsi="Arial" w:cs="Arial"/>
          <w:iCs/>
          <w:sz w:val="24"/>
          <w:szCs w:val="24"/>
        </w:rPr>
        <w:t>%.</w:t>
      </w:r>
    </w:p>
    <w:p w14:paraId="1EDD12A6" w14:textId="4952CD3E" w:rsidR="0026071E" w:rsidRPr="0026071E" w:rsidRDefault="0026071E" w:rsidP="0026071E">
      <w:pPr>
        <w:spacing w:line="360" w:lineRule="auto"/>
        <w:ind w:firstLine="720"/>
        <w:jc w:val="both"/>
        <w:rPr>
          <w:rFonts w:ascii="Arial" w:hAnsi="Arial" w:cs="Arial"/>
          <w:iCs/>
          <w:sz w:val="24"/>
          <w:szCs w:val="24"/>
        </w:rPr>
      </w:pPr>
      <w:r>
        <w:rPr>
          <w:rFonts w:ascii="Arial" w:hAnsi="Arial" w:cs="Arial"/>
          <w:iCs/>
          <w:sz w:val="24"/>
          <w:szCs w:val="24"/>
        </w:rPr>
        <w:t>Prokázali jsme, že p</w:t>
      </w:r>
      <w:r w:rsidRPr="0026071E">
        <w:rPr>
          <w:rFonts w:ascii="Arial" w:hAnsi="Arial" w:cs="Arial"/>
          <w:iCs/>
          <w:sz w:val="24"/>
          <w:szCs w:val="24"/>
        </w:rPr>
        <w:t xml:space="preserve">acientky VAG + byly </w:t>
      </w:r>
      <w:r>
        <w:rPr>
          <w:rFonts w:ascii="Arial" w:hAnsi="Arial" w:cs="Arial"/>
          <w:iCs/>
          <w:sz w:val="24"/>
          <w:szCs w:val="24"/>
        </w:rPr>
        <w:t>signifikatně mladší než VAG-</w:t>
      </w:r>
      <w:r w:rsidRPr="0026071E">
        <w:rPr>
          <w:rFonts w:ascii="Arial" w:hAnsi="Arial" w:cs="Arial"/>
          <w:iCs/>
          <w:sz w:val="24"/>
          <w:szCs w:val="24"/>
        </w:rPr>
        <w:t xml:space="preserve">. Tento rozdíl je vysvětlitelný tím, že </w:t>
      </w:r>
      <w:r>
        <w:rPr>
          <w:rFonts w:ascii="Arial" w:hAnsi="Arial" w:cs="Arial"/>
          <w:iCs/>
          <w:sz w:val="24"/>
          <w:szCs w:val="24"/>
        </w:rPr>
        <w:t xml:space="preserve">jak </w:t>
      </w:r>
      <w:r w:rsidRPr="0026071E">
        <w:rPr>
          <w:rFonts w:ascii="Arial" w:hAnsi="Arial" w:cs="Arial"/>
          <w:iCs/>
          <w:sz w:val="24"/>
          <w:szCs w:val="24"/>
        </w:rPr>
        <w:t xml:space="preserve">ženy, </w:t>
      </w:r>
      <w:r>
        <w:rPr>
          <w:rFonts w:ascii="Arial" w:hAnsi="Arial" w:cs="Arial"/>
          <w:iCs/>
          <w:sz w:val="24"/>
          <w:szCs w:val="24"/>
        </w:rPr>
        <w:t>tak</w:t>
      </w:r>
      <w:r w:rsidRPr="0026071E">
        <w:rPr>
          <w:rFonts w:ascii="Arial" w:hAnsi="Arial" w:cs="Arial"/>
          <w:iCs/>
          <w:sz w:val="24"/>
          <w:szCs w:val="24"/>
        </w:rPr>
        <w:t xml:space="preserve"> i jejich partneři v mladších </w:t>
      </w:r>
      <w:r w:rsidRPr="0026071E">
        <w:rPr>
          <w:rFonts w:ascii="Arial" w:hAnsi="Arial" w:cs="Arial"/>
          <w:iCs/>
          <w:sz w:val="24"/>
          <w:szCs w:val="24"/>
        </w:rPr>
        <w:lastRenderedPageBreak/>
        <w:t>věkových kategoriích měli větší počet sexuálních</w:t>
      </w:r>
      <w:r w:rsidR="000A6DD9">
        <w:rPr>
          <w:rFonts w:ascii="Arial" w:hAnsi="Arial" w:cs="Arial"/>
          <w:iCs/>
          <w:sz w:val="24"/>
          <w:szCs w:val="24"/>
        </w:rPr>
        <w:t xml:space="preserve"> (koitálních</w:t>
      </w:r>
      <w:r w:rsidR="00F9190D">
        <w:rPr>
          <w:rFonts w:ascii="Arial" w:hAnsi="Arial" w:cs="Arial"/>
          <w:iCs/>
          <w:sz w:val="24"/>
          <w:szCs w:val="24"/>
        </w:rPr>
        <w:t xml:space="preserve"> </w:t>
      </w:r>
      <w:r w:rsidR="000A6DD9">
        <w:rPr>
          <w:rFonts w:ascii="Arial" w:hAnsi="Arial" w:cs="Arial"/>
          <w:iCs/>
          <w:sz w:val="24"/>
          <w:szCs w:val="24"/>
        </w:rPr>
        <w:t>/</w:t>
      </w:r>
      <w:r w:rsidR="00F9190D">
        <w:rPr>
          <w:rFonts w:ascii="Arial" w:hAnsi="Arial" w:cs="Arial"/>
          <w:iCs/>
          <w:sz w:val="24"/>
          <w:szCs w:val="24"/>
        </w:rPr>
        <w:t xml:space="preserve"> </w:t>
      </w:r>
      <w:r w:rsidR="000A6DD9">
        <w:rPr>
          <w:rFonts w:ascii="Arial" w:hAnsi="Arial" w:cs="Arial"/>
          <w:iCs/>
          <w:sz w:val="24"/>
          <w:szCs w:val="24"/>
        </w:rPr>
        <w:t>nekoitálních)</w:t>
      </w:r>
      <w:r w:rsidRPr="0026071E">
        <w:rPr>
          <w:rFonts w:ascii="Arial" w:hAnsi="Arial" w:cs="Arial"/>
          <w:iCs/>
          <w:sz w:val="24"/>
          <w:szCs w:val="24"/>
        </w:rPr>
        <w:t xml:space="preserve"> partnerů, tedy že pravděpodonost nákazy HPV HR infekcí byla vyšší </w:t>
      </w:r>
      <w:r>
        <w:rPr>
          <w:rFonts w:ascii="Arial" w:hAnsi="Arial" w:cs="Arial"/>
          <w:iCs/>
          <w:sz w:val="24"/>
          <w:szCs w:val="24"/>
        </w:rPr>
        <w:t>nežli u starších pacientek</w:t>
      </w:r>
      <w:r w:rsidRPr="0026071E">
        <w:rPr>
          <w:rFonts w:ascii="Arial" w:hAnsi="Arial" w:cs="Arial"/>
          <w:iCs/>
          <w:sz w:val="24"/>
          <w:szCs w:val="24"/>
        </w:rPr>
        <w:t>.</w:t>
      </w:r>
    </w:p>
    <w:p w14:paraId="2221316A" w14:textId="77777777" w:rsidR="0026071E" w:rsidRDefault="0026071E" w:rsidP="0026071E">
      <w:pPr>
        <w:spacing w:line="360" w:lineRule="auto"/>
        <w:ind w:firstLine="720"/>
        <w:jc w:val="both"/>
        <w:rPr>
          <w:rFonts w:ascii="Arial" w:hAnsi="Arial" w:cs="Arial"/>
          <w:iCs/>
          <w:sz w:val="24"/>
          <w:szCs w:val="24"/>
        </w:rPr>
      </w:pPr>
      <w:r w:rsidRPr="0026071E">
        <w:rPr>
          <w:rFonts w:ascii="Arial" w:hAnsi="Arial" w:cs="Arial"/>
          <w:iCs/>
          <w:sz w:val="24"/>
          <w:szCs w:val="24"/>
        </w:rPr>
        <w:t xml:space="preserve">Vyšší promiskuitou u mladších </w:t>
      </w:r>
      <w:r w:rsidRPr="0098650F">
        <w:rPr>
          <w:rFonts w:ascii="Arial" w:hAnsi="Arial" w:cs="Arial"/>
          <w:i/>
          <w:iCs/>
          <w:sz w:val="24"/>
          <w:szCs w:val="24"/>
        </w:rPr>
        <w:t>partnerů</w:t>
      </w:r>
      <w:r w:rsidRPr="0026071E">
        <w:rPr>
          <w:rFonts w:ascii="Arial" w:hAnsi="Arial" w:cs="Arial"/>
          <w:iCs/>
          <w:sz w:val="24"/>
          <w:szCs w:val="24"/>
        </w:rPr>
        <w:t xml:space="preserve"> si vysvětlujeme skutečnost, že jsme </w:t>
      </w:r>
      <w:r>
        <w:rPr>
          <w:rFonts w:ascii="Arial" w:hAnsi="Arial" w:cs="Arial"/>
          <w:iCs/>
          <w:sz w:val="24"/>
          <w:szCs w:val="24"/>
        </w:rPr>
        <w:t>nezjistili</w:t>
      </w:r>
      <w:r w:rsidRPr="0026071E">
        <w:rPr>
          <w:rFonts w:ascii="Arial" w:hAnsi="Arial" w:cs="Arial"/>
          <w:iCs/>
          <w:sz w:val="24"/>
          <w:szCs w:val="24"/>
        </w:rPr>
        <w:t xml:space="preserve"> signifikatntně vyšší počet všech sexuálních partnerů u VAG+ žen.  Rovněž jsme prokázali statisticky vyšší počet kuřaček ve skupině VAG+ žen. To si vysvětlujeme tím, že tyto probandky se pravděpodobně rekrutovaly ze sociálně slabších skupin. Nemůžeme prokázat přímou etiologickou  souvislost mezi kouřením a kolonizací děložního čípku tímto virem, ale tato etiologická souvislost nebyla v žádné dostupné práci </w:t>
      </w:r>
      <w:r>
        <w:rPr>
          <w:rFonts w:ascii="Arial" w:hAnsi="Arial" w:cs="Arial"/>
          <w:iCs/>
          <w:sz w:val="24"/>
          <w:szCs w:val="24"/>
        </w:rPr>
        <w:t>zkoumána</w:t>
      </w:r>
      <w:r w:rsidRPr="0026071E">
        <w:rPr>
          <w:rFonts w:ascii="Arial" w:hAnsi="Arial" w:cs="Arial"/>
          <w:iCs/>
          <w:sz w:val="24"/>
          <w:szCs w:val="24"/>
        </w:rPr>
        <w:t>.</w:t>
      </w:r>
    </w:p>
    <w:p w14:paraId="6E717171" w14:textId="77777777" w:rsidR="00A35F21" w:rsidRPr="008F13F9" w:rsidRDefault="00A35F21" w:rsidP="00A35F21">
      <w:pPr>
        <w:spacing w:line="360" w:lineRule="auto"/>
        <w:jc w:val="both"/>
        <w:rPr>
          <w:rFonts w:ascii="Arial" w:hAnsi="Arial" w:cs="Arial"/>
          <w:iCs/>
          <w:sz w:val="24"/>
          <w:szCs w:val="24"/>
        </w:rPr>
      </w:pPr>
    </w:p>
    <w:p w14:paraId="2C0925B5" w14:textId="77777777" w:rsidR="0064032D" w:rsidRDefault="00D73611" w:rsidP="00D73611">
      <w:pPr>
        <w:spacing w:line="360" w:lineRule="auto"/>
        <w:jc w:val="center"/>
        <w:rPr>
          <w:rFonts w:ascii="Arial" w:hAnsi="Arial" w:cs="Arial"/>
          <w:b/>
          <w:sz w:val="24"/>
          <w:szCs w:val="24"/>
          <w:u w:val="single"/>
        </w:rPr>
      </w:pPr>
      <w:r>
        <w:rPr>
          <w:rFonts w:ascii="Arial" w:hAnsi="Arial" w:cs="Arial"/>
          <w:b/>
          <w:sz w:val="24"/>
          <w:szCs w:val="24"/>
          <w:u w:val="single"/>
        </w:rPr>
        <w:t xml:space="preserve">10. </w:t>
      </w:r>
      <w:r w:rsidR="0064032D" w:rsidRPr="008F13F9">
        <w:rPr>
          <w:rFonts w:ascii="Arial" w:hAnsi="Arial" w:cs="Arial"/>
          <w:b/>
          <w:sz w:val="24"/>
          <w:szCs w:val="24"/>
          <w:u w:val="single"/>
        </w:rPr>
        <w:t>Závěr</w:t>
      </w:r>
    </w:p>
    <w:p w14:paraId="75F86186" w14:textId="4E363E4B" w:rsidR="0026071E" w:rsidRPr="0026071E" w:rsidRDefault="0026071E" w:rsidP="0027201D">
      <w:pPr>
        <w:spacing w:line="360" w:lineRule="auto"/>
        <w:ind w:firstLine="720"/>
        <w:jc w:val="both"/>
        <w:rPr>
          <w:rFonts w:ascii="Arial" w:hAnsi="Arial" w:cs="Arial"/>
          <w:sz w:val="24"/>
          <w:szCs w:val="24"/>
        </w:rPr>
      </w:pPr>
      <w:r>
        <w:rPr>
          <w:rFonts w:ascii="Arial" w:hAnsi="Arial" w:cs="Arial"/>
          <w:sz w:val="24"/>
          <w:szCs w:val="24"/>
        </w:rPr>
        <w:t xml:space="preserve">V naší studii studii jsme nenalezi korelaci mezi sexuálním chováním a HPV pozitivitou v dutině ústní a orofaryngu. </w:t>
      </w:r>
      <w:r w:rsidR="0027201D">
        <w:rPr>
          <w:rFonts w:ascii="Arial" w:hAnsi="Arial" w:cs="Arial"/>
          <w:sz w:val="24"/>
          <w:szCs w:val="24"/>
        </w:rPr>
        <w:t>Řadíme se tak k těm několika autorům</w:t>
      </w:r>
      <w:r w:rsidR="0049651E" w:rsidRPr="008F13F9">
        <w:rPr>
          <w:rFonts w:ascii="Arial" w:hAnsi="Arial" w:cs="Arial"/>
          <w:sz w:val="24"/>
          <w:szCs w:val="24"/>
          <w:vertAlign w:val="superscript"/>
        </w:rPr>
        <w:t>87,106</w:t>
      </w:r>
      <w:r w:rsidR="0027201D">
        <w:rPr>
          <w:rFonts w:ascii="Arial" w:hAnsi="Arial" w:cs="Arial"/>
          <w:sz w:val="24"/>
          <w:szCs w:val="24"/>
        </w:rPr>
        <w:t xml:space="preserve">, kteří popírají přímou korelaci mezi sexualitou a HPV nákazou dutiny ústní. </w:t>
      </w:r>
      <w:r w:rsidR="0049651E">
        <w:rPr>
          <w:rFonts w:ascii="Arial" w:hAnsi="Arial" w:cs="Arial"/>
          <w:sz w:val="24"/>
          <w:szCs w:val="24"/>
        </w:rPr>
        <w:t>Většina prací však tuto souvislost potvrzuje, tyto diskrepance mohou být vysvětlitelné rozdílnou</w:t>
      </w:r>
      <w:r w:rsidR="0098650F">
        <w:rPr>
          <w:rFonts w:ascii="Arial" w:hAnsi="Arial" w:cs="Arial"/>
          <w:sz w:val="24"/>
          <w:szCs w:val="24"/>
        </w:rPr>
        <w:t xml:space="preserve"> prevalencí HPV infekce v jedno</w:t>
      </w:r>
      <w:r w:rsidR="0049651E">
        <w:rPr>
          <w:rFonts w:ascii="Arial" w:hAnsi="Arial" w:cs="Arial"/>
          <w:sz w:val="24"/>
          <w:szCs w:val="24"/>
        </w:rPr>
        <w:t>tlivých zemích, způsoben</w:t>
      </w:r>
      <w:r w:rsidR="0098650F">
        <w:rPr>
          <w:rFonts w:ascii="Arial" w:hAnsi="Arial" w:cs="Arial"/>
          <w:sz w:val="24"/>
          <w:szCs w:val="24"/>
        </w:rPr>
        <w:t>é rozdílným sexuálním chováním a</w:t>
      </w:r>
      <w:r w:rsidR="0049651E">
        <w:rPr>
          <w:rFonts w:ascii="Arial" w:hAnsi="Arial" w:cs="Arial"/>
          <w:sz w:val="24"/>
          <w:szCs w:val="24"/>
        </w:rPr>
        <w:t xml:space="preserve"> promiskuitou v těchto zemích. </w:t>
      </w:r>
      <w:r>
        <w:rPr>
          <w:rFonts w:ascii="Arial" w:hAnsi="Arial" w:cs="Arial"/>
          <w:sz w:val="24"/>
          <w:szCs w:val="24"/>
        </w:rPr>
        <w:t>Můžeme se však domnívat, že při vyšším počtu HPV+ probandek v dutině ústní</w:t>
      </w:r>
      <w:r w:rsidR="0027201D">
        <w:rPr>
          <w:rFonts w:ascii="Arial" w:hAnsi="Arial" w:cs="Arial"/>
          <w:sz w:val="24"/>
          <w:szCs w:val="24"/>
        </w:rPr>
        <w:t xml:space="preserve"> by tato souvislost mohla být prokázána. </w:t>
      </w:r>
    </w:p>
    <w:p w14:paraId="54C24A8A" w14:textId="77777777" w:rsidR="0064032D" w:rsidRDefault="0049651E" w:rsidP="0027201D">
      <w:pPr>
        <w:spacing w:line="360" w:lineRule="auto"/>
        <w:ind w:firstLine="360"/>
        <w:jc w:val="both"/>
        <w:rPr>
          <w:rFonts w:ascii="Arial" w:hAnsi="Arial" w:cs="Arial"/>
          <w:color w:val="1A1A1A"/>
          <w:sz w:val="24"/>
          <w:szCs w:val="24"/>
          <w:lang w:val="en-US"/>
        </w:rPr>
      </w:pPr>
      <w:r>
        <w:rPr>
          <w:rFonts w:ascii="Arial" w:hAnsi="Arial" w:cs="Arial"/>
          <w:color w:val="1A1A1A"/>
          <w:sz w:val="24"/>
          <w:szCs w:val="24"/>
          <w:lang w:val="en-US"/>
        </w:rPr>
        <w:t xml:space="preserve">Z </w:t>
      </w:r>
      <w:r w:rsidR="0064032D" w:rsidRPr="008F13F9">
        <w:rPr>
          <w:rFonts w:ascii="Arial" w:hAnsi="Arial" w:cs="Arial"/>
          <w:color w:val="1A1A1A"/>
          <w:sz w:val="24"/>
          <w:szCs w:val="24"/>
          <w:lang w:val="en-US"/>
        </w:rPr>
        <w:t xml:space="preserve">výsledků </w:t>
      </w:r>
      <w:r>
        <w:rPr>
          <w:rFonts w:ascii="Arial" w:hAnsi="Arial" w:cs="Arial"/>
          <w:color w:val="1A1A1A"/>
          <w:sz w:val="24"/>
          <w:szCs w:val="24"/>
          <w:lang w:val="en-US"/>
        </w:rPr>
        <w:t xml:space="preserve">dizertace dále </w:t>
      </w:r>
      <w:r w:rsidR="0064032D" w:rsidRPr="008F13F9">
        <w:rPr>
          <w:rFonts w:ascii="Arial" w:hAnsi="Arial" w:cs="Arial"/>
          <w:color w:val="1A1A1A"/>
          <w:sz w:val="24"/>
          <w:szCs w:val="24"/>
          <w:lang w:val="en-US"/>
        </w:rPr>
        <w:t xml:space="preserve">vyplývá, že pacientky s nálezem pozitivních stěrů  z oblasti děložního čípku byly signifikantně mladší a nacházelo se zde </w:t>
      </w:r>
      <w:r w:rsidR="0027201D">
        <w:rPr>
          <w:rFonts w:ascii="Arial" w:hAnsi="Arial" w:cs="Arial"/>
          <w:color w:val="1A1A1A"/>
          <w:sz w:val="24"/>
          <w:szCs w:val="24"/>
          <w:lang w:val="en-US"/>
        </w:rPr>
        <w:t>významně vyšší počet</w:t>
      </w:r>
      <w:r w:rsidR="0064032D" w:rsidRPr="008F13F9">
        <w:rPr>
          <w:rFonts w:ascii="Arial" w:hAnsi="Arial" w:cs="Arial"/>
          <w:color w:val="1A1A1A"/>
          <w:sz w:val="24"/>
          <w:szCs w:val="24"/>
          <w:lang w:val="en-US"/>
        </w:rPr>
        <w:t xml:space="preserve"> kuřaček</w:t>
      </w:r>
      <w:r w:rsidR="0027201D">
        <w:rPr>
          <w:rFonts w:ascii="Arial" w:hAnsi="Arial" w:cs="Arial"/>
          <w:color w:val="1A1A1A"/>
          <w:sz w:val="24"/>
          <w:szCs w:val="24"/>
          <w:lang w:val="en-US"/>
        </w:rPr>
        <w:t>. Domníváme se, že oba tyto faktory nejsou nezávislými prediktory, ale mají vztah k sexuálním praktikám, životnímu stylu a HPV statusu v orální a genitální oblasti u partnerů, které jsme netestovali</w:t>
      </w:r>
      <w:r w:rsidR="0064032D" w:rsidRPr="008F13F9">
        <w:rPr>
          <w:rFonts w:ascii="Arial" w:hAnsi="Arial" w:cs="Arial"/>
          <w:color w:val="1A1A1A"/>
          <w:sz w:val="24"/>
          <w:szCs w:val="24"/>
          <w:lang w:val="en-US"/>
        </w:rPr>
        <w:t>.</w:t>
      </w:r>
    </w:p>
    <w:p w14:paraId="3CB26986" w14:textId="77777777" w:rsidR="0049651E" w:rsidRDefault="0049651E" w:rsidP="0027201D">
      <w:pPr>
        <w:spacing w:line="360" w:lineRule="auto"/>
        <w:ind w:firstLine="360"/>
        <w:jc w:val="both"/>
        <w:rPr>
          <w:rFonts w:ascii="Arial" w:hAnsi="Arial" w:cs="Arial"/>
          <w:color w:val="1A1A1A"/>
          <w:sz w:val="24"/>
          <w:szCs w:val="24"/>
          <w:lang w:val="en-US"/>
        </w:rPr>
      </w:pPr>
    </w:p>
    <w:p w14:paraId="238707E8" w14:textId="77777777" w:rsidR="008F13F9" w:rsidRDefault="0049651E" w:rsidP="0049651E">
      <w:pPr>
        <w:spacing w:line="360" w:lineRule="auto"/>
        <w:ind w:firstLine="360"/>
        <w:jc w:val="both"/>
        <w:rPr>
          <w:rFonts w:ascii="Arial" w:hAnsi="Arial" w:cs="Arial"/>
          <w:color w:val="FF0000"/>
          <w:sz w:val="24"/>
          <w:szCs w:val="24"/>
        </w:rPr>
      </w:pPr>
      <w:r>
        <w:rPr>
          <w:rFonts w:ascii="Arial" w:hAnsi="Arial" w:cs="Arial"/>
          <w:color w:val="1A1A1A"/>
          <w:sz w:val="24"/>
          <w:szCs w:val="24"/>
          <w:lang w:val="en-US"/>
        </w:rPr>
        <w:t>Vzhledem k neustále narůstající HPV asociovaných nádorů hlavy a krku bude této infekci nutno věnovat I do budoucna pozornost a v případě epidemiologicky závažné situace zvážit i preventivní vakcinaci dětí.</w:t>
      </w:r>
    </w:p>
    <w:p w14:paraId="0E471B0A" w14:textId="77777777" w:rsidR="008F13F9" w:rsidRDefault="008F13F9" w:rsidP="008F13F9">
      <w:pPr>
        <w:spacing w:line="360" w:lineRule="auto"/>
        <w:jc w:val="both"/>
        <w:rPr>
          <w:rFonts w:ascii="Arial" w:hAnsi="Arial" w:cs="Arial"/>
          <w:color w:val="FF0000"/>
          <w:sz w:val="24"/>
          <w:szCs w:val="24"/>
        </w:rPr>
      </w:pPr>
    </w:p>
    <w:p w14:paraId="58E4F43F" w14:textId="77777777" w:rsidR="008F13F9" w:rsidRDefault="008F13F9" w:rsidP="008F13F9">
      <w:pPr>
        <w:spacing w:line="360" w:lineRule="auto"/>
        <w:jc w:val="both"/>
        <w:rPr>
          <w:rFonts w:ascii="Arial" w:hAnsi="Arial" w:cs="Arial"/>
          <w:color w:val="FF0000"/>
          <w:sz w:val="24"/>
          <w:szCs w:val="24"/>
        </w:rPr>
      </w:pPr>
    </w:p>
    <w:p w14:paraId="627AF5C4" w14:textId="77777777" w:rsidR="008F13F9" w:rsidRDefault="008F13F9" w:rsidP="008F13F9">
      <w:pPr>
        <w:spacing w:line="360" w:lineRule="auto"/>
        <w:jc w:val="both"/>
        <w:rPr>
          <w:rFonts w:ascii="Arial" w:hAnsi="Arial" w:cs="Arial"/>
          <w:color w:val="FF0000"/>
          <w:sz w:val="24"/>
          <w:szCs w:val="24"/>
        </w:rPr>
      </w:pPr>
    </w:p>
    <w:p w14:paraId="22335B16" w14:textId="77777777" w:rsidR="008F13F9" w:rsidRDefault="008F13F9" w:rsidP="008F13F9">
      <w:pPr>
        <w:spacing w:line="360" w:lineRule="auto"/>
        <w:jc w:val="both"/>
        <w:rPr>
          <w:rFonts w:ascii="Arial" w:hAnsi="Arial" w:cs="Arial"/>
          <w:color w:val="FF0000"/>
          <w:sz w:val="24"/>
          <w:szCs w:val="24"/>
        </w:rPr>
      </w:pPr>
    </w:p>
    <w:p w14:paraId="273A30A3" w14:textId="77777777" w:rsidR="008F13F9" w:rsidRDefault="008F13F9" w:rsidP="008F13F9">
      <w:pPr>
        <w:spacing w:line="360" w:lineRule="auto"/>
        <w:jc w:val="both"/>
        <w:rPr>
          <w:rFonts w:ascii="Arial" w:hAnsi="Arial" w:cs="Arial"/>
          <w:color w:val="FF0000"/>
          <w:sz w:val="24"/>
          <w:szCs w:val="24"/>
        </w:rPr>
      </w:pPr>
    </w:p>
    <w:p w14:paraId="7E68A84A" w14:textId="77777777" w:rsidR="008F13F9" w:rsidRDefault="008F13F9" w:rsidP="008F13F9">
      <w:pPr>
        <w:spacing w:line="360" w:lineRule="auto"/>
        <w:jc w:val="both"/>
        <w:rPr>
          <w:rFonts w:ascii="Arial" w:hAnsi="Arial" w:cs="Arial"/>
          <w:color w:val="FF0000"/>
          <w:sz w:val="24"/>
          <w:szCs w:val="24"/>
        </w:rPr>
      </w:pPr>
    </w:p>
    <w:p w14:paraId="100D1F3D" w14:textId="77777777" w:rsidR="008F13F9" w:rsidRDefault="008F13F9" w:rsidP="008F13F9">
      <w:pPr>
        <w:spacing w:line="360" w:lineRule="auto"/>
        <w:jc w:val="both"/>
        <w:rPr>
          <w:rFonts w:ascii="Arial" w:hAnsi="Arial" w:cs="Arial"/>
          <w:color w:val="FF0000"/>
          <w:sz w:val="24"/>
          <w:szCs w:val="24"/>
        </w:rPr>
      </w:pPr>
    </w:p>
    <w:p w14:paraId="6274207B" w14:textId="77777777" w:rsidR="003D3503" w:rsidRDefault="003D3503" w:rsidP="008F13F9">
      <w:pPr>
        <w:spacing w:line="360" w:lineRule="auto"/>
        <w:jc w:val="both"/>
        <w:rPr>
          <w:rFonts w:ascii="Arial" w:hAnsi="Arial" w:cs="Arial"/>
          <w:color w:val="FF0000"/>
          <w:sz w:val="24"/>
          <w:szCs w:val="24"/>
        </w:rPr>
      </w:pPr>
    </w:p>
    <w:p w14:paraId="1C0EE6CD" w14:textId="77777777" w:rsidR="003D3503" w:rsidRDefault="003D3503" w:rsidP="008F13F9">
      <w:pPr>
        <w:spacing w:line="360" w:lineRule="auto"/>
        <w:jc w:val="both"/>
        <w:rPr>
          <w:rFonts w:ascii="Arial" w:hAnsi="Arial" w:cs="Arial"/>
          <w:color w:val="FF0000"/>
          <w:sz w:val="24"/>
          <w:szCs w:val="24"/>
        </w:rPr>
      </w:pPr>
    </w:p>
    <w:p w14:paraId="02B91155" w14:textId="77777777" w:rsidR="003D3503" w:rsidRDefault="003D3503" w:rsidP="008F13F9">
      <w:pPr>
        <w:spacing w:line="360" w:lineRule="auto"/>
        <w:jc w:val="both"/>
        <w:rPr>
          <w:rFonts w:ascii="Arial" w:hAnsi="Arial" w:cs="Arial"/>
          <w:color w:val="FF0000"/>
          <w:sz w:val="24"/>
          <w:szCs w:val="24"/>
        </w:rPr>
      </w:pPr>
    </w:p>
    <w:p w14:paraId="10DA889A" w14:textId="77777777" w:rsidR="003D3503" w:rsidRDefault="003D3503" w:rsidP="008F13F9">
      <w:pPr>
        <w:spacing w:line="360" w:lineRule="auto"/>
        <w:jc w:val="both"/>
        <w:rPr>
          <w:rFonts w:ascii="Arial" w:hAnsi="Arial" w:cs="Arial"/>
          <w:color w:val="FF0000"/>
          <w:sz w:val="24"/>
          <w:szCs w:val="24"/>
        </w:rPr>
      </w:pPr>
    </w:p>
    <w:p w14:paraId="2AB7418F" w14:textId="77777777" w:rsidR="003D3503" w:rsidRDefault="003D3503" w:rsidP="008F13F9">
      <w:pPr>
        <w:spacing w:line="360" w:lineRule="auto"/>
        <w:jc w:val="both"/>
        <w:rPr>
          <w:rFonts w:ascii="Arial" w:hAnsi="Arial" w:cs="Arial"/>
          <w:color w:val="FF0000"/>
          <w:sz w:val="24"/>
          <w:szCs w:val="24"/>
        </w:rPr>
      </w:pPr>
    </w:p>
    <w:p w14:paraId="535ACB9D" w14:textId="77777777" w:rsidR="008F13F9" w:rsidRDefault="008F13F9" w:rsidP="008F13F9">
      <w:pPr>
        <w:spacing w:line="360" w:lineRule="auto"/>
        <w:jc w:val="both"/>
        <w:rPr>
          <w:rFonts w:ascii="Arial" w:hAnsi="Arial" w:cs="Arial"/>
          <w:color w:val="FF0000"/>
          <w:sz w:val="24"/>
          <w:szCs w:val="24"/>
        </w:rPr>
      </w:pPr>
    </w:p>
    <w:p w14:paraId="5D421682" w14:textId="77777777" w:rsidR="008F13F9" w:rsidRDefault="008F13F9" w:rsidP="008F13F9">
      <w:pPr>
        <w:spacing w:line="360" w:lineRule="auto"/>
        <w:jc w:val="both"/>
        <w:rPr>
          <w:rFonts w:ascii="Arial" w:hAnsi="Arial" w:cs="Arial"/>
          <w:color w:val="FF0000"/>
          <w:sz w:val="24"/>
          <w:szCs w:val="24"/>
        </w:rPr>
      </w:pPr>
    </w:p>
    <w:p w14:paraId="4B665636" w14:textId="77777777" w:rsidR="0049651E" w:rsidRDefault="0049651E" w:rsidP="008F13F9">
      <w:pPr>
        <w:spacing w:line="360" w:lineRule="auto"/>
        <w:jc w:val="both"/>
        <w:rPr>
          <w:rFonts w:ascii="Arial" w:hAnsi="Arial" w:cs="Arial"/>
          <w:color w:val="FF0000"/>
          <w:sz w:val="24"/>
          <w:szCs w:val="24"/>
        </w:rPr>
      </w:pPr>
    </w:p>
    <w:p w14:paraId="42F9E2A2" w14:textId="77777777" w:rsidR="00CB49B3" w:rsidRDefault="00CB49B3" w:rsidP="008F13F9">
      <w:pPr>
        <w:spacing w:line="360" w:lineRule="auto"/>
        <w:jc w:val="both"/>
        <w:rPr>
          <w:rFonts w:ascii="Arial" w:hAnsi="Arial" w:cs="Arial"/>
          <w:color w:val="FF0000"/>
          <w:sz w:val="24"/>
          <w:szCs w:val="24"/>
        </w:rPr>
      </w:pPr>
    </w:p>
    <w:p w14:paraId="30063F6B" w14:textId="77777777" w:rsidR="0049651E" w:rsidRDefault="0049651E" w:rsidP="008F13F9">
      <w:pPr>
        <w:spacing w:line="360" w:lineRule="auto"/>
        <w:jc w:val="both"/>
        <w:rPr>
          <w:rFonts w:ascii="Arial" w:hAnsi="Arial" w:cs="Arial"/>
          <w:color w:val="FF0000"/>
          <w:sz w:val="24"/>
          <w:szCs w:val="24"/>
        </w:rPr>
      </w:pPr>
    </w:p>
    <w:p w14:paraId="7ABBB1A0" w14:textId="77777777" w:rsidR="0049651E" w:rsidRDefault="0049651E" w:rsidP="008F13F9">
      <w:pPr>
        <w:spacing w:line="360" w:lineRule="auto"/>
        <w:jc w:val="both"/>
        <w:rPr>
          <w:rFonts w:ascii="Arial" w:hAnsi="Arial" w:cs="Arial"/>
          <w:color w:val="FF0000"/>
          <w:sz w:val="24"/>
          <w:szCs w:val="24"/>
        </w:rPr>
      </w:pPr>
    </w:p>
    <w:p w14:paraId="734D4C39" w14:textId="77777777" w:rsidR="0064032D" w:rsidRPr="008F13F9" w:rsidRDefault="0064032D" w:rsidP="008F13F9">
      <w:pPr>
        <w:spacing w:line="360" w:lineRule="auto"/>
        <w:jc w:val="both"/>
        <w:rPr>
          <w:rFonts w:ascii="Arial" w:hAnsi="Arial" w:cs="Arial"/>
          <w:b/>
          <w:sz w:val="24"/>
          <w:szCs w:val="24"/>
          <w:u w:val="single"/>
        </w:rPr>
      </w:pPr>
      <w:r w:rsidRPr="008F13F9">
        <w:rPr>
          <w:rFonts w:ascii="Arial" w:hAnsi="Arial" w:cs="Arial"/>
          <w:b/>
          <w:sz w:val="24"/>
          <w:szCs w:val="24"/>
          <w:u w:val="single"/>
        </w:rPr>
        <w:t>Poděkování</w:t>
      </w:r>
    </w:p>
    <w:p w14:paraId="7772118D" w14:textId="77777777"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Chtěl bych touto cestou poděkovat svému školiteli panu prof. MUDr. Jindřichu Pazderovi, CSc.</w:t>
      </w:r>
      <w:r w:rsidR="00813D74">
        <w:rPr>
          <w:rFonts w:ascii="Arial" w:hAnsi="Arial" w:cs="Arial"/>
          <w:sz w:val="24"/>
          <w:szCs w:val="24"/>
        </w:rPr>
        <w:t>, emeritnímu přednostovi KÚČOCH,</w:t>
      </w:r>
      <w:r w:rsidRPr="008F13F9">
        <w:rPr>
          <w:rFonts w:ascii="Arial" w:hAnsi="Arial" w:cs="Arial"/>
          <w:sz w:val="24"/>
          <w:szCs w:val="24"/>
        </w:rPr>
        <w:t xml:space="preserve"> za vlídné vedení a cenné rady po celou dobu mého studia.</w:t>
      </w:r>
    </w:p>
    <w:p w14:paraId="6E184F52" w14:textId="34A66049" w:rsidR="0064032D" w:rsidRPr="008F13F9" w:rsidRDefault="0064032D" w:rsidP="008F13F9">
      <w:pPr>
        <w:spacing w:line="360" w:lineRule="auto"/>
        <w:ind w:firstLine="720"/>
        <w:jc w:val="both"/>
        <w:rPr>
          <w:rFonts w:ascii="Arial" w:hAnsi="Arial" w:cs="Arial"/>
          <w:sz w:val="24"/>
          <w:szCs w:val="24"/>
        </w:rPr>
      </w:pPr>
      <w:r w:rsidRPr="008F13F9">
        <w:rPr>
          <w:rFonts w:ascii="Arial" w:hAnsi="Arial" w:cs="Arial"/>
          <w:sz w:val="24"/>
          <w:szCs w:val="24"/>
        </w:rPr>
        <w:t xml:space="preserve">V neposlední řadě chci vyjádřit své poděkování panu doc. MUDr. Martinovi Procházkovi, PhD., přednostovi Ústavu lékařské genetiky </w:t>
      </w:r>
      <w:r w:rsidR="00813D74">
        <w:rPr>
          <w:rFonts w:ascii="Arial" w:hAnsi="Arial" w:cs="Arial"/>
          <w:sz w:val="24"/>
          <w:szCs w:val="24"/>
        </w:rPr>
        <w:t xml:space="preserve">LF UP a </w:t>
      </w:r>
      <w:r w:rsidRPr="008F13F9">
        <w:rPr>
          <w:rFonts w:ascii="Arial" w:hAnsi="Arial" w:cs="Arial"/>
          <w:sz w:val="24"/>
          <w:szCs w:val="24"/>
        </w:rPr>
        <w:lastRenderedPageBreak/>
        <w:t>FN Olomouc za umožnění spolupuráce při odběrech vzorků</w:t>
      </w:r>
      <w:r w:rsidR="00813D74">
        <w:rPr>
          <w:rFonts w:ascii="Arial" w:hAnsi="Arial" w:cs="Arial"/>
          <w:sz w:val="24"/>
          <w:szCs w:val="24"/>
        </w:rPr>
        <w:t xml:space="preserve"> v rámci našeho výzkumu</w:t>
      </w:r>
      <w:r w:rsidRPr="008F13F9">
        <w:rPr>
          <w:rFonts w:ascii="Arial" w:hAnsi="Arial" w:cs="Arial"/>
          <w:sz w:val="24"/>
          <w:szCs w:val="24"/>
        </w:rPr>
        <w:t xml:space="preserve"> a </w:t>
      </w:r>
      <w:r w:rsidR="00BD2E30">
        <w:rPr>
          <w:rFonts w:ascii="Arial" w:hAnsi="Arial" w:cs="Arial"/>
          <w:sz w:val="24"/>
          <w:szCs w:val="24"/>
        </w:rPr>
        <w:t xml:space="preserve">také RNDr. Taťáně Štosové, PhD. </w:t>
      </w:r>
      <w:r w:rsidR="00813D74">
        <w:rPr>
          <w:rFonts w:ascii="Arial" w:hAnsi="Arial" w:cs="Arial"/>
          <w:sz w:val="24"/>
          <w:szCs w:val="24"/>
        </w:rPr>
        <w:t xml:space="preserve">z Katedry mikrobiologie LF UP a </w:t>
      </w:r>
      <w:r w:rsidR="0098650F">
        <w:rPr>
          <w:rFonts w:ascii="Arial" w:hAnsi="Arial" w:cs="Arial"/>
          <w:sz w:val="24"/>
          <w:szCs w:val="24"/>
        </w:rPr>
        <w:t>FN Olomouc</w:t>
      </w:r>
      <w:r w:rsidR="00813D74">
        <w:rPr>
          <w:rFonts w:ascii="Arial" w:hAnsi="Arial" w:cs="Arial"/>
          <w:sz w:val="24"/>
          <w:szCs w:val="24"/>
        </w:rPr>
        <w:t xml:space="preserve"> </w:t>
      </w:r>
      <w:r w:rsidR="0098650F">
        <w:rPr>
          <w:rFonts w:ascii="Arial" w:hAnsi="Arial" w:cs="Arial"/>
          <w:sz w:val="24"/>
          <w:szCs w:val="24"/>
        </w:rPr>
        <w:t>za pomoc při zpracování vzorků stěrů.</w:t>
      </w:r>
    </w:p>
    <w:p w14:paraId="35A7FBCB" w14:textId="44E36C9D" w:rsidR="0064032D" w:rsidRPr="008F13F9" w:rsidRDefault="0098650F" w:rsidP="008F13F9">
      <w:pPr>
        <w:spacing w:line="360" w:lineRule="auto"/>
        <w:jc w:val="both"/>
        <w:rPr>
          <w:rFonts w:ascii="Arial" w:hAnsi="Arial" w:cs="Arial"/>
          <w:sz w:val="24"/>
          <w:szCs w:val="24"/>
        </w:rPr>
      </w:pPr>
      <w:r>
        <w:rPr>
          <w:rFonts w:ascii="Arial" w:hAnsi="Arial" w:cs="Arial"/>
          <w:sz w:val="24"/>
          <w:szCs w:val="24"/>
        </w:rPr>
        <w:tab/>
      </w:r>
      <w:r w:rsidR="0064032D" w:rsidRPr="008F13F9">
        <w:rPr>
          <w:rFonts w:ascii="Arial" w:hAnsi="Arial" w:cs="Arial"/>
          <w:sz w:val="24"/>
          <w:szCs w:val="24"/>
        </w:rPr>
        <w:t>Velké díky patří mé rodině, která mi umožnila</w:t>
      </w:r>
      <w:r>
        <w:rPr>
          <w:rFonts w:ascii="Arial" w:hAnsi="Arial" w:cs="Arial"/>
          <w:sz w:val="24"/>
          <w:szCs w:val="24"/>
        </w:rPr>
        <w:t xml:space="preserve"> svou tolerancí</w:t>
      </w:r>
      <w:r w:rsidR="0064032D" w:rsidRPr="008F13F9">
        <w:rPr>
          <w:rFonts w:ascii="Arial" w:hAnsi="Arial" w:cs="Arial"/>
          <w:sz w:val="24"/>
          <w:szCs w:val="24"/>
        </w:rPr>
        <w:t xml:space="preserve"> strávit čas psaním této práce.</w:t>
      </w:r>
    </w:p>
    <w:p w14:paraId="08737018" w14:textId="77777777" w:rsidR="0064032D" w:rsidRPr="008F13F9" w:rsidRDefault="0064032D" w:rsidP="008F13F9">
      <w:pPr>
        <w:spacing w:line="360" w:lineRule="auto"/>
        <w:jc w:val="both"/>
        <w:rPr>
          <w:rFonts w:ascii="Arial" w:hAnsi="Arial" w:cs="Arial"/>
          <w:color w:val="FF0000"/>
          <w:sz w:val="24"/>
          <w:szCs w:val="24"/>
        </w:rPr>
      </w:pPr>
    </w:p>
    <w:p w14:paraId="4F9FF7EC" w14:textId="77777777" w:rsidR="0064032D" w:rsidRPr="008F13F9" w:rsidRDefault="0064032D" w:rsidP="008F13F9">
      <w:pPr>
        <w:spacing w:line="360" w:lineRule="auto"/>
        <w:jc w:val="both"/>
        <w:rPr>
          <w:rFonts w:ascii="Arial" w:hAnsi="Arial" w:cs="Arial"/>
          <w:color w:val="FF0000"/>
          <w:sz w:val="24"/>
          <w:szCs w:val="24"/>
        </w:rPr>
      </w:pPr>
    </w:p>
    <w:p w14:paraId="46F70335" w14:textId="77777777" w:rsidR="0064032D" w:rsidRPr="008F13F9" w:rsidRDefault="0064032D" w:rsidP="008F13F9">
      <w:pPr>
        <w:spacing w:line="360" w:lineRule="auto"/>
        <w:jc w:val="both"/>
        <w:rPr>
          <w:rFonts w:ascii="Arial" w:hAnsi="Arial" w:cs="Arial"/>
          <w:color w:val="FF0000"/>
          <w:sz w:val="24"/>
          <w:szCs w:val="24"/>
        </w:rPr>
      </w:pPr>
    </w:p>
    <w:p w14:paraId="0D42E65E" w14:textId="77777777" w:rsidR="0064032D" w:rsidRPr="008F13F9" w:rsidRDefault="0064032D" w:rsidP="008F13F9">
      <w:pPr>
        <w:spacing w:line="360" w:lineRule="auto"/>
        <w:jc w:val="both"/>
        <w:rPr>
          <w:rFonts w:ascii="Arial" w:hAnsi="Arial" w:cs="Arial"/>
          <w:color w:val="FF0000"/>
          <w:sz w:val="24"/>
          <w:szCs w:val="24"/>
        </w:rPr>
      </w:pPr>
    </w:p>
    <w:p w14:paraId="5A8C5D05" w14:textId="77777777" w:rsidR="0064032D" w:rsidRPr="008F13F9" w:rsidRDefault="0064032D" w:rsidP="008F13F9">
      <w:pPr>
        <w:spacing w:line="360" w:lineRule="auto"/>
        <w:jc w:val="both"/>
        <w:rPr>
          <w:rFonts w:ascii="Arial" w:hAnsi="Arial" w:cs="Arial"/>
          <w:color w:val="FF0000"/>
          <w:sz w:val="24"/>
          <w:szCs w:val="24"/>
        </w:rPr>
      </w:pPr>
    </w:p>
    <w:p w14:paraId="55D95D7C" w14:textId="77777777" w:rsidR="0064032D" w:rsidRPr="008F13F9" w:rsidRDefault="0064032D" w:rsidP="008F13F9">
      <w:pPr>
        <w:spacing w:line="360" w:lineRule="auto"/>
        <w:jc w:val="both"/>
        <w:rPr>
          <w:rFonts w:ascii="Arial" w:hAnsi="Arial" w:cs="Arial"/>
          <w:color w:val="FF0000"/>
          <w:sz w:val="24"/>
          <w:szCs w:val="24"/>
        </w:rPr>
      </w:pPr>
    </w:p>
    <w:p w14:paraId="0EE441A1" w14:textId="77777777" w:rsidR="0064032D" w:rsidRPr="008F13F9" w:rsidRDefault="0064032D" w:rsidP="008F13F9">
      <w:pPr>
        <w:spacing w:line="360" w:lineRule="auto"/>
        <w:jc w:val="both"/>
        <w:rPr>
          <w:rFonts w:ascii="Arial" w:hAnsi="Arial" w:cs="Arial"/>
          <w:color w:val="FF0000"/>
          <w:sz w:val="24"/>
          <w:szCs w:val="24"/>
        </w:rPr>
      </w:pPr>
    </w:p>
    <w:p w14:paraId="65B68053" w14:textId="77777777" w:rsidR="0064032D" w:rsidRPr="008F13F9" w:rsidRDefault="0064032D" w:rsidP="008F13F9">
      <w:pPr>
        <w:spacing w:line="360" w:lineRule="auto"/>
        <w:jc w:val="both"/>
        <w:rPr>
          <w:rFonts w:ascii="Arial" w:hAnsi="Arial" w:cs="Arial"/>
          <w:color w:val="FF0000"/>
          <w:sz w:val="24"/>
          <w:szCs w:val="24"/>
        </w:rPr>
      </w:pPr>
    </w:p>
    <w:p w14:paraId="2565CAE4" w14:textId="77777777" w:rsidR="0064032D" w:rsidRPr="008F13F9" w:rsidRDefault="0064032D" w:rsidP="008F13F9">
      <w:pPr>
        <w:spacing w:line="360" w:lineRule="auto"/>
        <w:jc w:val="both"/>
        <w:rPr>
          <w:rFonts w:ascii="Arial" w:hAnsi="Arial" w:cs="Arial"/>
          <w:color w:val="FF0000"/>
          <w:sz w:val="24"/>
          <w:szCs w:val="24"/>
        </w:rPr>
      </w:pPr>
    </w:p>
    <w:p w14:paraId="4D256565" w14:textId="77777777" w:rsidR="0064032D" w:rsidRPr="008F13F9" w:rsidRDefault="0064032D" w:rsidP="008F13F9">
      <w:pPr>
        <w:spacing w:line="360" w:lineRule="auto"/>
        <w:jc w:val="both"/>
        <w:rPr>
          <w:rFonts w:ascii="Arial" w:hAnsi="Arial" w:cs="Arial"/>
          <w:color w:val="FF0000"/>
          <w:sz w:val="24"/>
          <w:szCs w:val="24"/>
        </w:rPr>
      </w:pPr>
    </w:p>
    <w:p w14:paraId="2EAFA1FE" w14:textId="77777777" w:rsidR="0064032D" w:rsidRPr="008F13F9" w:rsidRDefault="0064032D" w:rsidP="008F13F9">
      <w:pPr>
        <w:spacing w:line="360" w:lineRule="auto"/>
        <w:jc w:val="both"/>
        <w:rPr>
          <w:rFonts w:ascii="Arial" w:hAnsi="Arial" w:cs="Arial"/>
          <w:color w:val="FF0000"/>
          <w:sz w:val="24"/>
          <w:szCs w:val="24"/>
        </w:rPr>
      </w:pPr>
    </w:p>
    <w:p w14:paraId="22E65FFF" w14:textId="77777777" w:rsidR="0064032D" w:rsidRPr="008F13F9" w:rsidRDefault="0064032D" w:rsidP="008F13F9">
      <w:pPr>
        <w:spacing w:line="360" w:lineRule="auto"/>
        <w:jc w:val="both"/>
        <w:rPr>
          <w:rFonts w:ascii="Arial" w:hAnsi="Arial" w:cs="Arial"/>
          <w:color w:val="FF0000"/>
          <w:sz w:val="24"/>
          <w:szCs w:val="24"/>
        </w:rPr>
      </w:pPr>
    </w:p>
    <w:p w14:paraId="7AFD817D" w14:textId="77777777" w:rsidR="0064032D" w:rsidRPr="008F13F9" w:rsidRDefault="0064032D" w:rsidP="008F13F9">
      <w:pPr>
        <w:spacing w:line="360" w:lineRule="auto"/>
        <w:jc w:val="both"/>
        <w:rPr>
          <w:rFonts w:ascii="Arial" w:hAnsi="Arial" w:cs="Arial"/>
          <w:color w:val="FF0000"/>
          <w:sz w:val="24"/>
          <w:szCs w:val="24"/>
        </w:rPr>
      </w:pPr>
    </w:p>
    <w:p w14:paraId="63CA9860" w14:textId="77777777" w:rsidR="0098650F" w:rsidRDefault="0098650F" w:rsidP="008F13F9">
      <w:pPr>
        <w:spacing w:line="360" w:lineRule="auto"/>
        <w:jc w:val="both"/>
        <w:rPr>
          <w:rFonts w:ascii="Arial" w:hAnsi="Arial" w:cs="Arial"/>
          <w:color w:val="FF0000"/>
          <w:sz w:val="24"/>
          <w:szCs w:val="24"/>
        </w:rPr>
      </w:pPr>
    </w:p>
    <w:p w14:paraId="0660FC10" w14:textId="1A6E7FE3" w:rsidR="0064032D" w:rsidRPr="008F13F9" w:rsidRDefault="0098650F" w:rsidP="0098650F">
      <w:pPr>
        <w:spacing w:line="360" w:lineRule="auto"/>
        <w:jc w:val="center"/>
        <w:rPr>
          <w:rFonts w:ascii="Arial" w:hAnsi="Arial" w:cs="Arial"/>
          <w:sz w:val="24"/>
          <w:szCs w:val="24"/>
        </w:rPr>
      </w:pPr>
      <w:r>
        <w:rPr>
          <w:rFonts w:ascii="Arial" w:hAnsi="Arial" w:cs="Arial"/>
          <w:b/>
          <w:sz w:val="24"/>
          <w:szCs w:val="24"/>
          <w:u w:val="single"/>
        </w:rPr>
        <w:t>11. Použitá l</w:t>
      </w:r>
      <w:r w:rsidR="0064032D" w:rsidRPr="0098650F">
        <w:rPr>
          <w:rFonts w:ascii="Arial" w:hAnsi="Arial" w:cs="Arial"/>
          <w:b/>
          <w:sz w:val="24"/>
          <w:szCs w:val="24"/>
          <w:u w:val="single"/>
        </w:rPr>
        <w:t>iteratura</w:t>
      </w:r>
      <w:r w:rsidR="0064032D" w:rsidRPr="008F13F9">
        <w:rPr>
          <w:rFonts w:ascii="Arial" w:hAnsi="Arial" w:cs="Arial"/>
          <w:sz w:val="24"/>
          <w:szCs w:val="24"/>
        </w:rPr>
        <w:t>:</w:t>
      </w:r>
    </w:p>
    <w:p w14:paraId="51B2B685" w14:textId="77777777" w:rsidR="0064032D" w:rsidRPr="008F13F9" w:rsidRDefault="0064032D" w:rsidP="008F13F9">
      <w:pPr>
        <w:autoSpaceDE w:val="0"/>
        <w:autoSpaceDN w:val="0"/>
        <w:adjustRightInd w:val="0"/>
        <w:spacing w:after="0" w:line="360" w:lineRule="auto"/>
        <w:jc w:val="both"/>
        <w:rPr>
          <w:rFonts w:ascii="Arial" w:eastAsia="NimbusRomanDOT-Regular" w:hAnsi="Arial" w:cs="Arial"/>
          <w:sz w:val="24"/>
          <w:szCs w:val="24"/>
        </w:rPr>
      </w:pPr>
      <w:r w:rsidRPr="008F13F9">
        <w:rPr>
          <w:rFonts w:ascii="Arial" w:eastAsia="NimbusRomanDOT-Regular" w:hAnsi="Arial" w:cs="Arial"/>
          <w:sz w:val="24"/>
          <w:szCs w:val="24"/>
          <w:vertAlign w:val="superscript"/>
        </w:rPr>
        <w:t>1.)</w:t>
      </w:r>
      <w:r w:rsidRPr="008F13F9">
        <w:rPr>
          <w:rFonts w:ascii="Arial" w:eastAsia="NimbusRomanDOT-Regular" w:hAnsi="Arial" w:cs="Arial"/>
          <w:sz w:val="24"/>
          <w:szCs w:val="24"/>
        </w:rPr>
        <w:t xml:space="preserve"> Hannahan D, Weinberg RA. The hallmarks of cancer. Cell 2000; 100(1):57–70.</w:t>
      </w:r>
    </w:p>
    <w:p w14:paraId="5010FBCF"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eastAsia="NimbusRomanDOT-Regular" w:hAnsi="Arial" w:cs="Arial"/>
          <w:sz w:val="24"/>
          <w:szCs w:val="24"/>
          <w:vertAlign w:val="superscript"/>
        </w:rPr>
        <w:t>2.)</w:t>
      </w:r>
      <w:r w:rsidRPr="008F13F9">
        <w:rPr>
          <w:rFonts w:ascii="Arial" w:hAnsi="Arial" w:cs="Arial"/>
          <w:sz w:val="24"/>
          <w:szCs w:val="24"/>
        </w:rPr>
        <w:t xml:space="preserve">Kamangar F, Dores GM, Anderson WF: Patterns of cancer incidence, mortality, and prevalence across five continents: defining priorities to reduce </w:t>
      </w:r>
      <w:r w:rsidRPr="008F13F9">
        <w:rPr>
          <w:rFonts w:ascii="Arial" w:hAnsi="Arial" w:cs="Arial"/>
          <w:sz w:val="24"/>
          <w:szCs w:val="24"/>
        </w:rPr>
        <w:lastRenderedPageBreak/>
        <w:t xml:space="preserve">cancer disparities in different geographic regions of the world. J Clin Oncol 24: 2137-2150, 2006 </w:t>
      </w:r>
    </w:p>
    <w:p w14:paraId="369918D4"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hAnsi="Arial" w:cs="Arial"/>
          <w:sz w:val="24"/>
          <w:szCs w:val="24"/>
          <w:vertAlign w:val="superscript"/>
        </w:rPr>
        <w:t xml:space="preserve">3.) </w:t>
      </w:r>
      <w:r w:rsidRPr="008F13F9">
        <w:rPr>
          <w:rFonts w:ascii="Arial" w:hAnsi="Arial" w:cs="Arial"/>
          <w:sz w:val="24"/>
          <w:szCs w:val="24"/>
        </w:rPr>
        <w:t>Marx ER, Stern D: Oral and Maxillofacial Pathology a Rationale for Diagnostic and Treatment, Quintessence Publishing Co, Inc, 2003.</w:t>
      </w:r>
    </w:p>
    <w:p w14:paraId="2A5A54AF"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vertAlign w:val="superscript"/>
        </w:rPr>
        <w:t xml:space="preserve">4.) </w:t>
      </w:r>
      <w:r w:rsidRPr="008F13F9">
        <w:rPr>
          <w:rFonts w:ascii="Arial" w:hAnsi="Arial" w:cs="Arial"/>
          <w:sz w:val="24"/>
          <w:szCs w:val="24"/>
        </w:rPr>
        <w:t>Gillison ML, Koch WM, Capone RB. Evidence for a casual association between human papillomavirus and a subset of head and neck cancers. J Natl Cancer Inst 2000; 92:709–720.</w:t>
      </w:r>
    </w:p>
    <w:p w14:paraId="666F84FB"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br/>
      </w:r>
      <w:r w:rsidRPr="008F13F9">
        <w:rPr>
          <w:rFonts w:ascii="Arial" w:hAnsi="Arial" w:cs="Arial"/>
          <w:sz w:val="24"/>
          <w:szCs w:val="24"/>
          <w:vertAlign w:val="superscript"/>
        </w:rPr>
        <w:t xml:space="preserve">5.) </w:t>
      </w:r>
      <w:r w:rsidRPr="008F13F9">
        <w:rPr>
          <w:rFonts w:ascii="Arial" w:hAnsi="Arial" w:cs="Arial"/>
          <w:sz w:val="24"/>
          <w:szCs w:val="24"/>
        </w:rPr>
        <w:t>Mork L, Lie AK, Glattre E, et al. Human papillomavirus infec- tion as a risk factor for squamous-cell carcinoma of the head and neck. N Engl J Med 2001; 344:1125–1131.</w:t>
      </w:r>
    </w:p>
    <w:p w14:paraId="5F4D6EFE"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vertAlign w:val="superscript"/>
        </w:rPr>
        <w:t>6.)</w:t>
      </w:r>
      <w:r w:rsidRPr="008F13F9">
        <w:rPr>
          <w:rFonts w:ascii="Arial" w:hAnsi="Arial" w:cs="Arial"/>
          <w:sz w:val="24"/>
          <w:szCs w:val="24"/>
        </w:rPr>
        <w:t xml:space="preserve"> Niedobitek G, Pitteroff S, Herbst S, et al. Detection of type 16 DNA in carcinomas of the palatine tonsil. J Clin Pathol 1990; 43:918–921. </w:t>
      </w:r>
    </w:p>
    <w:p w14:paraId="38A7EFFF"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rPr>
        <w:br/>
      </w:r>
      <w:r w:rsidRPr="008F13F9">
        <w:rPr>
          <w:rFonts w:ascii="Arial" w:hAnsi="Arial" w:cs="Arial"/>
          <w:sz w:val="24"/>
          <w:szCs w:val="24"/>
          <w:vertAlign w:val="superscript"/>
        </w:rPr>
        <w:t>7.)</w:t>
      </w:r>
      <w:r w:rsidRPr="008F13F9">
        <w:rPr>
          <w:rFonts w:ascii="Arial" w:hAnsi="Arial" w:cs="Arial"/>
          <w:sz w:val="24"/>
          <w:szCs w:val="24"/>
        </w:rPr>
        <w:t xml:space="preserve"> Adams V, Schmid S, Zariwala M, et al. Prevalence of human papillomavirus DNA in head and neck cancer carrying wild type or mutant p53 tumor suppressor genes. Anticancer Res 1999; 19:1–6.</w:t>
      </w:r>
      <w:r w:rsidRPr="008F13F9">
        <w:rPr>
          <w:rFonts w:ascii="Arial" w:hAnsi="Arial" w:cs="Arial"/>
          <w:sz w:val="24"/>
          <w:szCs w:val="24"/>
        </w:rPr>
        <w:br/>
      </w:r>
    </w:p>
    <w:p w14:paraId="1DAEEECB"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vertAlign w:val="superscript"/>
        </w:rPr>
        <w:t>8.)</w:t>
      </w:r>
      <w:r w:rsidRPr="008F13F9">
        <w:rPr>
          <w:rFonts w:ascii="Arial" w:hAnsi="Arial" w:cs="Arial"/>
          <w:sz w:val="24"/>
          <w:szCs w:val="24"/>
        </w:rPr>
        <w:t xml:space="preserve"> Zang ZY, Sdek P, Cao J, et al. Human papillomavirus type 16 and 18 DNA in oral squamous cell carcinoma and normal mucosa. Int J Oral Maxillofac Surg 2004; 33:71–74. </w:t>
      </w:r>
    </w:p>
    <w:p w14:paraId="5B0B9D76"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vertAlign w:val="superscript"/>
        </w:rPr>
        <w:t>9.)</w:t>
      </w:r>
      <w:r w:rsidRPr="008F13F9">
        <w:rPr>
          <w:rFonts w:ascii="Arial" w:hAnsi="Arial" w:cs="Arial"/>
          <w:sz w:val="24"/>
          <w:szCs w:val="24"/>
        </w:rPr>
        <w:t>Pfister DP, Fury MG. New Chapter in Understanding of Human Papillomavirus-Related Head and Neck Cancer</w:t>
      </w:r>
      <w:r w:rsidRPr="008F13F9">
        <w:rPr>
          <w:rFonts w:ascii="Arial" w:hAnsi="Arial" w:cs="Arial"/>
          <w:sz w:val="24"/>
          <w:szCs w:val="24"/>
          <w:lang w:val="en-US"/>
        </w:rPr>
        <w:t xml:space="preserve"> JCO</w:t>
      </w:r>
      <w:r w:rsidRPr="008F13F9">
        <w:rPr>
          <w:rFonts w:ascii="Arial" w:hAnsi="Arial" w:cs="Arial"/>
          <w:bCs/>
          <w:sz w:val="24"/>
          <w:szCs w:val="24"/>
          <w:lang w:val="en-US"/>
        </w:rPr>
        <w:t xml:space="preserve"> October 20, 2014;</w:t>
      </w:r>
      <w:r w:rsidRPr="008F13F9">
        <w:rPr>
          <w:rFonts w:ascii="Arial" w:hAnsi="Arial" w:cs="Arial"/>
          <w:sz w:val="24"/>
          <w:szCs w:val="24"/>
          <w:lang w:val="en-US"/>
        </w:rPr>
        <w:t xml:space="preserve">32: </w:t>
      </w:r>
      <w:r w:rsidRPr="008F13F9">
        <w:rPr>
          <w:rFonts w:ascii="Arial" w:hAnsi="Arial" w:cs="Arial"/>
          <w:bCs/>
          <w:sz w:val="24"/>
          <w:szCs w:val="24"/>
          <w:lang w:val="en-US"/>
        </w:rPr>
        <w:t>3349-3352.</w:t>
      </w:r>
    </w:p>
    <w:p w14:paraId="67A4AF27" w14:textId="77777777" w:rsidR="0064032D" w:rsidRPr="008F13F9" w:rsidRDefault="0064032D" w:rsidP="008F13F9">
      <w:pPr>
        <w:pStyle w:val="NormalWeb"/>
        <w:spacing w:line="360" w:lineRule="auto"/>
        <w:jc w:val="both"/>
        <w:rPr>
          <w:rFonts w:ascii="Arial" w:hAnsi="Arial" w:cs="Arial"/>
          <w:color w:val="2196D1"/>
          <w:sz w:val="24"/>
          <w:szCs w:val="24"/>
        </w:rPr>
      </w:pPr>
      <w:r w:rsidRPr="008F13F9">
        <w:rPr>
          <w:rFonts w:ascii="Arial" w:hAnsi="Arial" w:cs="Arial"/>
          <w:sz w:val="24"/>
          <w:szCs w:val="24"/>
          <w:vertAlign w:val="superscript"/>
        </w:rPr>
        <w:t>10.)</w:t>
      </w:r>
      <w:r w:rsidRPr="008F13F9">
        <w:rPr>
          <w:rFonts w:ascii="Arial" w:hAnsi="Arial" w:cs="Arial"/>
          <w:sz w:val="24"/>
          <w:szCs w:val="24"/>
        </w:rPr>
        <w:t xml:space="preserve"> Krüger M, Pabst AM et al.The prevalence of human papilloma virus (HPV) infections in oral squamous cell carcinomas: A retrospective analysis of 88 patients and literature overview. Journal of Cranio-Maxillo-Facial Surgery, 2014; 42:1506-1514</w:t>
      </w:r>
      <w:r w:rsidRPr="008F13F9">
        <w:rPr>
          <w:rFonts w:ascii="Arial" w:hAnsi="Arial" w:cs="Arial"/>
          <w:color w:val="2196D1"/>
          <w:sz w:val="24"/>
          <w:szCs w:val="24"/>
        </w:rPr>
        <w:t>.</w:t>
      </w:r>
    </w:p>
    <w:p w14:paraId="33E04B9A" w14:textId="77777777" w:rsidR="0064032D" w:rsidRPr="008F13F9" w:rsidRDefault="0064032D" w:rsidP="008F13F9">
      <w:pPr>
        <w:spacing w:after="0" w:line="360" w:lineRule="auto"/>
        <w:ind w:right="68"/>
        <w:jc w:val="both"/>
        <w:rPr>
          <w:rStyle w:val="slug-pages3"/>
          <w:rFonts w:ascii="Arial" w:hAnsi="Arial" w:cs="Arial"/>
          <w:b w:val="0"/>
          <w:bCs/>
          <w:sz w:val="24"/>
          <w:szCs w:val="24"/>
        </w:rPr>
      </w:pPr>
      <w:r w:rsidRPr="008F13F9">
        <w:rPr>
          <w:rStyle w:val="slug-pages3"/>
          <w:rFonts w:ascii="Arial" w:hAnsi="Arial" w:cs="Arial"/>
          <w:b w:val="0"/>
          <w:bCs/>
          <w:sz w:val="24"/>
          <w:szCs w:val="24"/>
          <w:vertAlign w:val="superscript"/>
        </w:rPr>
        <w:lastRenderedPageBreak/>
        <w:t xml:space="preserve">11 </w:t>
      </w:r>
      <w:r w:rsidRPr="008F13F9">
        <w:rPr>
          <w:rStyle w:val="slug-pages3"/>
          <w:rFonts w:ascii="Arial" w:hAnsi="Arial" w:cs="Arial"/>
          <w:b w:val="0"/>
          <w:bCs/>
          <w:sz w:val="24"/>
          <w:szCs w:val="24"/>
        </w:rPr>
        <w:t>Chen, R., Aaltonen, L.M., Vaheri, A. Human paillomavirus type 16 in head and neck carcinogenesis. Rev. Med. Virol., 2005; 15: 351-363.</w:t>
      </w:r>
    </w:p>
    <w:p w14:paraId="3EC12405" w14:textId="77777777" w:rsidR="0064032D" w:rsidRPr="008F13F9" w:rsidRDefault="0064032D" w:rsidP="008F13F9">
      <w:pPr>
        <w:spacing w:after="0" w:line="360" w:lineRule="auto"/>
        <w:ind w:right="68"/>
        <w:jc w:val="both"/>
        <w:rPr>
          <w:rStyle w:val="slug-pages3"/>
          <w:rFonts w:ascii="Arial" w:hAnsi="Arial" w:cs="Arial"/>
          <w:b w:val="0"/>
          <w:bCs/>
          <w:sz w:val="24"/>
          <w:szCs w:val="24"/>
        </w:rPr>
      </w:pPr>
    </w:p>
    <w:p w14:paraId="128F9BD3" w14:textId="77777777" w:rsidR="0064032D" w:rsidRPr="008F13F9" w:rsidRDefault="0064032D" w:rsidP="008F13F9">
      <w:pPr>
        <w:spacing w:after="0" w:line="360" w:lineRule="auto"/>
        <w:ind w:right="68"/>
        <w:jc w:val="both"/>
        <w:rPr>
          <w:rFonts w:ascii="Arial" w:hAnsi="Arial" w:cs="Arial"/>
          <w:color w:val="00000A"/>
          <w:sz w:val="24"/>
          <w:szCs w:val="24"/>
        </w:rPr>
      </w:pPr>
      <w:r w:rsidRPr="008F13F9">
        <w:rPr>
          <w:rFonts w:ascii="Arial" w:hAnsi="Arial" w:cs="Arial"/>
          <w:color w:val="00000A"/>
          <w:sz w:val="24"/>
          <w:szCs w:val="24"/>
          <w:vertAlign w:val="superscript"/>
        </w:rPr>
        <w:t xml:space="preserve">12 </w:t>
      </w:r>
      <w:r w:rsidRPr="008F13F9">
        <w:rPr>
          <w:rFonts w:ascii="Arial" w:hAnsi="Arial" w:cs="Arial"/>
          <w:color w:val="00000A"/>
          <w:sz w:val="24"/>
          <w:szCs w:val="24"/>
        </w:rPr>
        <w:t>Schlecht, N.F. Prognostic value of human papillomavirus in the survival of head and neck cancer patients: an overview of the evidence. Oncol. Rep. 2005; 14: 1239-1247.</w:t>
      </w:r>
    </w:p>
    <w:p w14:paraId="2A59B67C" w14:textId="77777777" w:rsidR="0064032D" w:rsidRPr="008F13F9" w:rsidRDefault="0064032D" w:rsidP="008F13F9">
      <w:pPr>
        <w:spacing w:after="0" w:line="360" w:lineRule="auto"/>
        <w:ind w:right="68"/>
        <w:jc w:val="both"/>
        <w:rPr>
          <w:rFonts w:ascii="Arial" w:hAnsi="Arial" w:cs="Arial"/>
          <w:color w:val="00000A"/>
          <w:sz w:val="24"/>
          <w:szCs w:val="24"/>
        </w:rPr>
      </w:pPr>
    </w:p>
    <w:p w14:paraId="4EBA7BCD" w14:textId="77777777" w:rsidR="0064032D" w:rsidRPr="008F13F9" w:rsidRDefault="0064032D" w:rsidP="008F13F9">
      <w:pPr>
        <w:shd w:val="clear" w:color="auto" w:fill="FFFFFF"/>
        <w:spacing w:before="28" w:after="28" w:line="360" w:lineRule="auto"/>
        <w:jc w:val="both"/>
        <w:rPr>
          <w:rStyle w:val="slug-pages3"/>
          <w:rFonts w:ascii="Arial" w:eastAsia="NimbusRomanDOT-Regular" w:hAnsi="Arial" w:cs="Arial"/>
          <w:b w:val="0"/>
          <w:bCs/>
          <w:sz w:val="24"/>
          <w:szCs w:val="24"/>
        </w:rPr>
      </w:pPr>
      <w:r w:rsidRPr="008F13F9">
        <w:rPr>
          <w:rStyle w:val="slug-pages3"/>
          <w:rFonts w:ascii="Arial" w:eastAsia="NimbusRomanDOT-Regular" w:hAnsi="Arial" w:cs="Arial"/>
          <w:b w:val="0"/>
          <w:bCs/>
          <w:sz w:val="24"/>
          <w:szCs w:val="24"/>
          <w:vertAlign w:val="superscript"/>
        </w:rPr>
        <w:t xml:space="preserve">13 </w:t>
      </w:r>
      <w:r w:rsidRPr="008F13F9">
        <w:rPr>
          <w:rStyle w:val="slug-pages3"/>
          <w:rFonts w:ascii="Arial" w:eastAsia="NimbusRomanDOT-Regular" w:hAnsi="Arial" w:cs="Arial"/>
          <w:b w:val="0"/>
          <w:bCs/>
          <w:sz w:val="24"/>
          <w:szCs w:val="24"/>
        </w:rPr>
        <w:t>Klozar, J., Zabrodsky, M., Kodet, R., et al. Human papillomaviruses in etiology of carcinoma in oral cavity  and oropharynx, Otorinolaryng. a Foniat (Prague), 2007; 56 No.2:73-81.</w:t>
      </w:r>
    </w:p>
    <w:p w14:paraId="632C4F9F" w14:textId="77777777" w:rsidR="0064032D" w:rsidRPr="008F13F9" w:rsidRDefault="0064032D" w:rsidP="008F13F9">
      <w:pPr>
        <w:shd w:val="clear" w:color="auto" w:fill="FFFFFF"/>
        <w:spacing w:before="28" w:after="28" w:line="360" w:lineRule="auto"/>
        <w:jc w:val="both"/>
        <w:rPr>
          <w:rStyle w:val="slug-pages3"/>
          <w:rFonts w:ascii="Arial" w:eastAsia="NimbusRomanDOT-Regular" w:hAnsi="Arial" w:cs="Arial"/>
          <w:b w:val="0"/>
          <w:bCs/>
          <w:sz w:val="24"/>
          <w:szCs w:val="24"/>
        </w:rPr>
      </w:pPr>
    </w:p>
    <w:p w14:paraId="35F77309" w14:textId="77777777" w:rsidR="0064032D" w:rsidRPr="008F13F9" w:rsidRDefault="0064032D" w:rsidP="008F13F9">
      <w:pPr>
        <w:spacing w:after="0" w:line="360" w:lineRule="auto"/>
        <w:ind w:right="68"/>
        <w:rPr>
          <w:rFonts w:ascii="Arial" w:hAnsi="Arial" w:cs="Arial"/>
          <w:sz w:val="24"/>
          <w:szCs w:val="24"/>
        </w:rPr>
      </w:pPr>
      <w:r w:rsidRPr="008F13F9">
        <w:rPr>
          <w:rFonts w:ascii="Arial" w:hAnsi="Arial" w:cs="Arial"/>
          <w:sz w:val="24"/>
          <w:szCs w:val="24"/>
          <w:vertAlign w:val="superscript"/>
        </w:rPr>
        <w:t>14</w:t>
      </w:r>
      <w:r w:rsidRPr="008F13F9">
        <w:rPr>
          <w:rFonts w:ascii="Arial" w:hAnsi="Arial" w:cs="Arial"/>
          <w:sz w:val="24"/>
          <w:szCs w:val="24"/>
        </w:rPr>
        <w:t xml:space="preserve"> Andl, T., Kahn, T., Pfuhl, A., et al. Etiological involvment of oncogenic human papillomavirus in tonsillar squamous cell carcinomsas lacking retinoblastoma cell cycle control. Cancer Res 1998; 58: 5-13. </w:t>
      </w:r>
    </w:p>
    <w:p w14:paraId="7104E5CD" w14:textId="77777777" w:rsidR="0064032D" w:rsidRPr="008F13F9" w:rsidRDefault="0064032D" w:rsidP="008F13F9">
      <w:pPr>
        <w:spacing w:after="0" w:line="360" w:lineRule="auto"/>
        <w:ind w:right="68"/>
        <w:rPr>
          <w:rFonts w:ascii="Arial" w:hAnsi="Arial" w:cs="Arial"/>
          <w:sz w:val="24"/>
          <w:szCs w:val="24"/>
        </w:rPr>
      </w:pPr>
    </w:p>
    <w:p w14:paraId="63F0D8E4" w14:textId="77777777" w:rsidR="0064032D" w:rsidRPr="008F13F9" w:rsidRDefault="0064032D" w:rsidP="008F13F9">
      <w:pPr>
        <w:spacing w:after="0" w:line="360" w:lineRule="auto"/>
        <w:ind w:right="68"/>
        <w:rPr>
          <w:rStyle w:val="slug-pages3"/>
          <w:rFonts w:ascii="Arial" w:eastAsia="NimbusRomanDOT-Regular" w:hAnsi="Arial" w:cs="Arial"/>
          <w:b w:val="0"/>
          <w:bCs/>
          <w:sz w:val="24"/>
          <w:szCs w:val="24"/>
        </w:rPr>
      </w:pPr>
      <w:r w:rsidRPr="008F13F9">
        <w:rPr>
          <w:rStyle w:val="slug-pages3"/>
          <w:rFonts w:ascii="Arial" w:eastAsia="NimbusRomanDOT-Regular" w:hAnsi="Arial" w:cs="Arial"/>
          <w:b w:val="0"/>
          <w:bCs/>
          <w:sz w:val="24"/>
          <w:szCs w:val="24"/>
          <w:vertAlign w:val="superscript"/>
        </w:rPr>
        <w:t xml:space="preserve">15 </w:t>
      </w:r>
      <w:r w:rsidRPr="008F13F9">
        <w:rPr>
          <w:rStyle w:val="slug-pages3"/>
          <w:rFonts w:ascii="Arial" w:eastAsia="NimbusRomanDOT-Regular" w:hAnsi="Arial" w:cs="Arial"/>
          <w:b w:val="0"/>
          <w:bCs/>
          <w:sz w:val="24"/>
          <w:szCs w:val="24"/>
        </w:rPr>
        <w:t>Novakova, V., Laco, J. Úloha lidského papilomaviru v karcinogenezi nádorů hlavy a krku. Klin Onkol 2008; 21:141 – 148.</w:t>
      </w:r>
    </w:p>
    <w:p w14:paraId="29BD8091" w14:textId="77777777" w:rsidR="0064032D" w:rsidRPr="008F13F9" w:rsidRDefault="0064032D" w:rsidP="008F13F9">
      <w:pPr>
        <w:spacing w:after="0" w:line="360" w:lineRule="auto"/>
        <w:ind w:right="68"/>
        <w:rPr>
          <w:rStyle w:val="slug-pages3"/>
          <w:rFonts w:ascii="Arial" w:eastAsia="NimbusRomanDOT-Regular" w:hAnsi="Arial" w:cs="Arial"/>
          <w:b w:val="0"/>
          <w:bCs/>
          <w:sz w:val="24"/>
          <w:szCs w:val="24"/>
        </w:rPr>
      </w:pPr>
    </w:p>
    <w:p w14:paraId="65F9F711" w14:textId="77777777" w:rsidR="0064032D" w:rsidRPr="008F13F9" w:rsidRDefault="0064032D" w:rsidP="008F13F9">
      <w:pPr>
        <w:widowControl w:val="0"/>
        <w:autoSpaceDE w:val="0"/>
        <w:autoSpaceDN w:val="0"/>
        <w:adjustRightInd w:val="0"/>
        <w:spacing w:after="240" w:line="360" w:lineRule="auto"/>
        <w:rPr>
          <w:rFonts w:ascii="Arial" w:hAnsi="Arial" w:cs="Arial"/>
          <w:sz w:val="24"/>
          <w:szCs w:val="24"/>
          <w:lang w:val="en-US"/>
        </w:rPr>
      </w:pPr>
      <w:r w:rsidRPr="008F13F9">
        <w:rPr>
          <w:rFonts w:ascii="Arial" w:hAnsi="Arial" w:cs="Arial"/>
          <w:sz w:val="24"/>
          <w:szCs w:val="24"/>
          <w:vertAlign w:val="superscript"/>
          <w:lang w:val="en-US"/>
        </w:rPr>
        <w:t xml:space="preserve">16 </w:t>
      </w:r>
      <w:r w:rsidRPr="008F13F9">
        <w:rPr>
          <w:rFonts w:ascii="Arial" w:hAnsi="Arial" w:cs="Arial"/>
          <w:sz w:val="24"/>
          <w:szCs w:val="24"/>
          <w:lang w:val="en-US"/>
        </w:rPr>
        <w:t xml:space="preserve">Muñoz N, Castellsagué X, de González AB, et al.: Chapter 1: HPV in the etiology of human cancer. </w:t>
      </w:r>
      <w:r w:rsidRPr="008F13F9">
        <w:rPr>
          <w:rFonts w:ascii="Arial" w:hAnsi="Arial" w:cs="Arial"/>
          <w:iCs/>
          <w:sz w:val="24"/>
          <w:szCs w:val="24"/>
          <w:lang w:val="en-US"/>
        </w:rPr>
        <w:t xml:space="preserve">Vaccine, </w:t>
      </w:r>
      <w:r w:rsidRPr="008F13F9">
        <w:rPr>
          <w:rFonts w:ascii="Arial" w:hAnsi="Arial" w:cs="Arial"/>
          <w:sz w:val="24"/>
          <w:szCs w:val="24"/>
          <w:lang w:val="en-US"/>
        </w:rPr>
        <w:t>2006;31,24: Suppl 3:S3/1-10.</w:t>
      </w:r>
    </w:p>
    <w:p w14:paraId="41883073"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17 </w:t>
      </w:r>
      <w:r w:rsidRPr="008F13F9">
        <w:rPr>
          <w:rFonts w:ascii="Arial" w:hAnsi="Arial" w:cs="Arial"/>
          <w:sz w:val="24"/>
          <w:szCs w:val="24"/>
          <w:lang w:val="en-US"/>
        </w:rPr>
        <w:t xml:space="preserve">Walboomers JM, Jacobs MV, Manos MM, et al.: Human papillomavirus is a necessary cause of invasive cervical cancer worldwide. </w:t>
      </w:r>
      <w:r w:rsidRPr="008F13F9">
        <w:rPr>
          <w:rFonts w:ascii="Arial" w:hAnsi="Arial" w:cs="Arial"/>
          <w:iCs/>
          <w:sz w:val="24"/>
          <w:szCs w:val="24"/>
          <w:lang w:val="en-US"/>
        </w:rPr>
        <w:t xml:space="preserve">J Pathol., </w:t>
      </w:r>
      <w:r w:rsidRPr="008F13F9">
        <w:rPr>
          <w:rFonts w:ascii="Arial" w:hAnsi="Arial" w:cs="Arial"/>
          <w:sz w:val="24"/>
          <w:szCs w:val="24"/>
          <w:lang w:val="en-US"/>
        </w:rPr>
        <w:t>1999; 189:12-9.</w:t>
      </w:r>
    </w:p>
    <w:p w14:paraId="20B78D7C"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18 </w:t>
      </w:r>
      <w:r w:rsidRPr="008F13F9">
        <w:rPr>
          <w:rFonts w:ascii="Arial" w:hAnsi="Arial" w:cs="Arial"/>
          <w:sz w:val="24"/>
          <w:szCs w:val="24"/>
          <w:lang w:val="en-US"/>
        </w:rPr>
        <w:t xml:space="preserve">Katzenellenbogen RA, Galloway DA: Human papillomavirus-associated cancers. </w:t>
      </w:r>
      <w:r w:rsidRPr="008F13F9">
        <w:rPr>
          <w:rFonts w:ascii="Arial" w:hAnsi="Arial" w:cs="Arial"/>
          <w:iCs/>
          <w:sz w:val="24"/>
          <w:szCs w:val="24"/>
          <w:lang w:val="en-US"/>
        </w:rPr>
        <w:t>In:Viral Oncology-Basic Science and Clinical Applications</w:t>
      </w:r>
      <w:r w:rsidRPr="008F13F9">
        <w:rPr>
          <w:rFonts w:ascii="Arial" w:hAnsi="Arial" w:cs="Arial"/>
          <w:sz w:val="24"/>
          <w:szCs w:val="24"/>
          <w:lang w:val="en-US"/>
        </w:rPr>
        <w:t>, 2009;1:1-23.</w:t>
      </w:r>
    </w:p>
    <w:p w14:paraId="3CBBA27E"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19 </w:t>
      </w:r>
      <w:r w:rsidRPr="008F13F9">
        <w:rPr>
          <w:rFonts w:ascii="Arial" w:hAnsi="Arial" w:cs="Arial"/>
          <w:sz w:val="24"/>
          <w:szCs w:val="24"/>
          <w:lang w:val="en-US"/>
        </w:rPr>
        <w:t>Kašpírková J: Molekulárně biologická detekce virových a bakteriálních patogenů a jejich vztah k nádorovým a pseudonádorovým jednotkám, Doktorská dizertační práce, Plzeň 2012.</w:t>
      </w:r>
    </w:p>
    <w:p w14:paraId="05558A74"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20</w:t>
      </w:r>
      <w:r w:rsidRPr="008F13F9">
        <w:rPr>
          <w:rFonts w:ascii="Arial" w:hAnsi="Arial" w:cs="Arial"/>
          <w:sz w:val="24"/>
          <w:szCs w:val="24"/>
          <w:lang w:val="en-US"/>
        </w:rPr>
        <w:t xml:space="preserve"> Fredericks DN, Relman DA. Sequence-based identification of microbial pathogens: a reconsideration of Koch's postulates. </w:t>
      </w:r>
      <w:r w:rsidRPr="008F13F9">
        <w:rPr>
          <w:rFonts w:ascii="Arial" w:hAnsi="Arial" w:cs="Arial"/>
          <w:iCs/>
          <w:sz w:val="24"/>
          <w:szCs w:val="24"/>
          <w:lang w:val="en-US"/>
        </w:rPr>
        <w:t>Clin Microbiol</w:t>
      </w:r>
      <w:r w:rsidRPr="008F13F9">
        <w:rPr>
          <w:rFonts w:ascii="Arial" w:hAnsi="Arial" w:cs="Arial"/>
          <w:sz w:val="24"/>
          <w:szCs w:val="24"/>
          <w:lang w:val="en-US"/>
        </w:rPr>
        <w:t xml:space="preserve">., </w:t>
      </w:r>
      <w:r w:rsidRPr="008F13F9">
        <w:rPr>
          <w:rFonts w:ascii="Arial" w:hAnsi="Arial" w:cs="Arial"/>
          <w:sz w:val="24"/>
          <w:szCs w:val="24"/>
          <w:lang w:val="en-US"/>
        </w:rPr>
        <w:lastRenderedPageBreak/>
        <w:t>1996;9(1):18-33.</w:t>
      </w:r>
    </w:p>
    <w:p w14:paraId="3DAD2CFA"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21</w:t>
      </w:r>
      <w:r w:rsidRPr="008F13F9">
        <w:rPr>
          <w:rFonts w:ascii="Arial" w:hAnsi="Arial" w:cs="Arial"/>
          <w:sz w:val="24"/>
          <w:szCs w:val="24"/>
          <w:lang w:val="en-US"/>
        </w:rPr>
        <w:t xml:space="preserve"> Forslund O, Antonsson A, Nordin P et al.: A broad range of human papillomavirus types detected with a general PCR method suitable for analysis of cutaneous tumours and normal skin. </w:t>
      </w:r>
      <w:r w:rsidRPr="008F13F9">
        <w:rPr>
          <w:rFonts w:ascii="Arial" w:hAnsi="Arial" w:cs="Arial"/>
          <w:iCs/>
          <w:sz w:val="24"/>
          <w:szCs w:val="24"/>
          <w:lang w:val="en-US"/>
        </w:rPr>
        <w:t>J Gen Virol</w:t>
      </w:r>
      <w:r w:rsidRPr="008F13F9">
        <w:rPr>
          <w:rFonts w:ascii="Arial" w:hAnsi="Arial" w:cs="Arial"/>
          <w:sz w:val="24"/>
          <w:szCs w:val="24"/>
          <w:lang w:val="en-US"/>
        </w:rPr>
        <w:t>., 1999;80:2437-43.</w:t>
      </w:r>
    </w:p>
    <w:p w14:paraId="37A34C6F"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22</w:t>
      </w:r>
      <w:r w:rsidRPr="008F13F9">
        <w:rPr>
          <w:rFonts w:ascii="Arial" w:hAnsi="Arial" w:cs="Arial"/>
          <w:sz w:val="24"/>
          <w:szCs w:val="24"/>
          <w:lang w:val="en-US"/>
        </w:rPr>
        <w:t xml:space="preserve"> zur Hausen H: The search for infectious causes of human cancers: where and why. </w:t>
      </w:r>
      <w:r w:rsidRPr="008F13F9">
        <w:rPr>
          <w:rFonts w:ascii="Arial" w:hAnsi="Arial" w:cs="Arial"/>
          <w:iCs/>
          <w:sz w:val="24"/>
          <w:szCs w:val="24"/>
          <w:lang w:val="en-US"/>
        </w:rPr>
        <w:t xml:space="preserve">Virology. </w:t>
      </w:r>
      <w:r w:rsidRPr="008F13F9">
        <w:rPr>
          <w:rFonts w:ascii="Arial" w:hAnsi="Arial" w:cs="Arial"/>
          <w:sz w:val="24"/>
          <w:szCs w:val="24"/>
          <w:lang w:val="en-US"/>
        </w:rPr>
        <w:t>2009;15(392):1-10.</w:t>
      </w:r>
    </w:p>
    <w:p w14:paraId="0EB82175"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23 </w:t>
      </w:r>
      <w:r w:rsidRPr="008F13F9">
        <w:rPr>
          <w:rFonts w:ascii="Arial" w:hAnsi="Arial" w:cs="Arial"/>
          <w:sz w:val="24"/>
          <w:szCs w:val="24"/>
          <w:lang w:val="en-US"/>
        </w:rPr>
        <w:t xml:space="preserve">Lazarczyk M, Cassonnet P, Pons C et al.: The EVER proteins as a natural barrier against papillomaviruses: a new insight into the pathogenesis of human papillomavirus infections. </w:t>
      </w:r>
      <w:r w:rsidRPr="008F13F9">
        <w:rPr>
          <w:rFonts w:ascii="Arial" w:hAnsi="Arial" w:cs="Arial"/>
          <w:iCs/>
          <w:sz w:val="24"/>
          <w:szCs w:val="24"/>
          <w:lang w:val="en-US"/>
        </w:rPr>
        <w:t>Microbiol Mol Biol</w:t>
      </w:r>
      <w:r w:rsidRPr="008F13F9">
        <w:rPr>
          <w:rFonts w:ascii="Arial" w:hAnsi="Arial" w:cs="Arial"/>
          <w:sz w:val="24"/>
          <w:szCs w:val="24"/>
          <w:lang w:val="en-US"/>
        </w:rPr>
        <w:t>., 2009;73:348-70.</w:t>
      </w:r>
    </w:p>
    <w:p w14:paraId="48E844E5"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24</w:t>
      </w:r>
      <w:r w:rsidRPr="008F13F9">
        <w:rPr>
          <w:rFonts w:ascii="Arial" w:hAnsi="Arial" w:cs="Arial"/>
          <w:sz w:val="24"/>
          <w:szCs w:val="24"/>
          <w:lang w:val="en-US"/>
        </w:rPr>
        <w:t xml:space="preserve"> Majewski S, Jablonska S: Human papillomavirus-associated tumors of the skin and mucosa. </w:t>
      </w:r>
      <w:r w:rsidRPr="008F13F9">
        <w:rPr>
          <w:rFonts w:ascii="Arial" w:hAnsi="Arial" w:cs="Arial"/>
          <w:iCs/>
          <w:sz w:val="24"/>
          <w:szCs w:val="24"/>
          <w:lang w:val="en-US"/>
        </w:rPr>
        <w:t xml:space="preserve">J Am Acad Dermatol, </w:t>
      </w:r>
      <w:r w:rsidRPr="008F13F9">
        <w:rPr>
          <w:rFonts w:ascii="Arial" w:hAnsi="Arial" w:cs="Arial"/>
          <w:sz w:val="24"/>
          <w:szCs w:val="24"/>
          <w:lang w:val="en-US"/>
        </w:rPr>
        <w:t>1997;36:659-85.</w:t>
      </w:r>
    </w:p>
    <w:p w14:paraId="11A7D24C"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25</w:t>
      </w:r>
      <w:r w:rsidRPr="008F13F9">
        <w:rPr>
          <w:rFonts w:ascii="Arial" w:hAnsi="Arial" w:cs="Arial"/>
          <w:sz w:val="24"/>
          <w:szCs w:val="24"/>
          <w:lang w:val="en-US"/>
        </w:rPr>
        <w:t xml:space="preserve"> Orth G: Genetics of epidermodysplasia verruciformis: Insights into host defense against papillomaviruses. </w:t>
      </w:r>
      <w:r w:rsidRPr="008F13F9">
        <w:rPr>
          <w:rFonts w:ascii="Arial" w:hAnsi="Arial" w:cs="Arial"/>
          <w:iCs/>
          <w:sz w:val="24"/>
          <w:szCs w:val="24"/>
          <w:lang w:val="en-US"/>
        </w:rPr>
        <w:t>Semin Immunol</w:t>
      </w:r>
      <w:r w:rsidRPr="008F13F9">
        <w:rPr>
          <w:rFonts w:ascii="Arial" w:hAnsi="Arial" w:cs="Arial"/>
          <w:sz w:val="24"/>
          <w:szCs w:val="24"/>
          <w:lang w:val="en-US"/>
        </w:rPr>
        <w:t>, 2006;18:362-74.</w:t>
      </w:r>
    </w:p>
    <w:p w14:paraId="6E3B5D90"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26 </w:t>
      </w:r>
      <w:r w:rsidRPr="008F13F9">
        <w:rPr>
          <w:rFonts w:ascii="Arial" w:hAnsi="Arial" w:cs="Arial"/>
          <w:sz w:val="24"/>
          <w:szCs w:val="24"/>
          <w:lang w:val="en-US"/>
        </w:rPr>
        <w:t xml:space="preserve">Harwood CA, Surentheran T, Sasieni P et al.: Increased risk of skin cancer associated with the presence of epidermodysplasia verruciformis human papillomavirus types in normal skin. </w:t>
      </w:r>
      <w:r w:rsidRPr="008F13F9">
        <w:rPr>
          <w:rFonts w:ascii="Arial" w:hAnsi="Arial" w:cs="Arial"/>
          <w:iCs/>
          <w:sz w:val="24"/>
          <w:szCs w:val="24"/>
          <w:lang w:val="en-US"/>
        </w:rPr>
        <w:t xml:space="preserve">Br J Dermatol, </w:t>
      </w:r>
      <w:r w:rsidRPr="008F13F9">
        <w:rPr>
          <w:rFonts w:ascii="Arial" w:hAnsi="Arial" w:cs="Arial"/>
          <w:sz w:val="24"/>
          <w:szCs w:val="24"/>
          <w:lang w:val="en-US"/>
        </w:rPr>
        <w:t>2004;150:949-57.</w:t>
      </w:r>
    </w:p>
    <w:p w14:paraId="768140BD"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rPr>
      </w:pPr>
      <w:r w:rsidRPr="008F13F9">
        <w:rPr>
          <w:rFonts w:ascii="Arial" w:hAnsi="Arial" w:cs="Arial"/>
          <w:sz w:val="24"/>
          <w:szCs w:val="24"/>
          <w:vertAlign w:val="superscript"/>
          <w:lang w:val="en-US"/>
        </w:rPr>
        <w:t xml:space="preserve">27 </w:t>
      </w:r>
      <w:r w:rsidRPr="008F13F9">
        <w:rPr>
          <w:rFonts w:ascii="Arial" w:hAnsi="Arial" w:cs="Arial"/>
          <w:sz w:val="24"/>
          <w:szCs w:val="24"/>
        </w:rPr>
        <w:t xml:space="preserve">Kolář Z, et al. Molekulární patologie nádorů. 1. vydání Olomouc. Epava 2003; 15 – 96. </w:t>
      </w:r>
    </w:p>
    <w:p w14:paraId="579D945C"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rPr>
      </w:pPr>
      <w:r w:rsidRPr="008F13F9">
        <w:rPr>
          <w:rFonts w:ascii="Arial" w:hAnsi="Arial" w:cs="Arial"/>
          <w:sz w:val="24"/>
          <w:szCs w:val="24"/>
          <w:vertAlign w:val="superscript"/>
        </w:rPr>
        <w:t xml:space="preserve">28 </w:t>
      </w:r>
      <w:r w:rsidRPr="008F13F9">
        <w:rPr>
          <w:rFonts w:ascii="Arial" w:hAnsi="Arial" w:cs="Arial"/>
          <w:sz w:val="24"/>
          <w:szCs w:val="24"/>
        </w:rPr>
        <w:t xml:space="preserve">Sathyan KM, Nalinakumari KR, Abraham T, Kajman S. Influence of single nukleotide polymorphism in H – Ras and cyclin D1 genes on oral cancer susceptibility. </w:t>
      </w:r>
      <w:r w:rsidRPr="008F13F9">
        <w:rPr>
          <w:rFonts w:ascii="Arial" w:hAnsi="Arial" w:cs="Arial"/>
          <w:sz w:val="24"/>
          <w:szCs w:val="24"/>
          <w:lang w:eastAsia="cs-CZ"/>
        </w:rPr>
        <w:t>Oral Oncology 2006; 42:607– 613.</w:t>
      </w:r>
    </w:p>
    <w:p w14:paraId="53517772"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29 </w:t>
      </w:r>
      <w:r w:rsidRPr="008F13F9">
        <w:rPr>
          <w:rFonts w:ascii="Arial" w:hAnsi="Arial" w:cs="Arial"/>
          <w:sz w:val="24"/>
          <w:szCs w:val="24"/>
          <w:lang w:val="en-US"/>
        </w:rPr>
        <w:t xml:space="preserve">Martin D, Gutkind JS: Human tumor-associated viruses and new insights into the molecular mechanisms of cancer. </w:t>
      </w:r>
      <w:r w:rsidRPr="008F13F9">
        <w:rPr>
          <w:rFonts w:ascii="Arial" w:hAnsi="Arial" w:cs="Arial"/>
          <w:iCs/>
          <w:sz w:val="24"/>
          <w:szCs w:val="24"/>
          <w:lang w:val="en-US"/>
        </w:rPr>
        <w:t xml:space="preserve">Oncogene. </w:t>
      </w:r>
      <w:r w:rsidRPr="008F13F9">
        <w:rPr>
          <w:rFonts w:ascii="Arial" w:hAnsi="Arial" w:cs="Arial"/>
          <w:sz w:val="24"/>
          <w:szCs w:val="24"/>
          <w:lang w:val="en-US"/>
        </w:rPr>
        <w:t>2008;27(2): 31-42.</w:t>
      </w:r>
    </w:p>
    <w:p w14:paraId="77602B13"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30 </w:t>
      </w:r>
      <w:r w:rsidRPr="008F13F9">
        <w:rPr>
          <w:rFonts w:ascii="Arial" w:hAnsi="Arial" w:cs="Arial"/>
          <w:sz w:val="24"/>
          <w:szCs w:val="24"/>
          <w:lang w:val="en-US"/>
        </w:rPr>
        <w:t xml:space="preserve">Sihto H, Kukko H, Koljonen V et al.: Merkel cell polyomavirus infection, large T antigen, retinoblastoma protein and outcome in Merkel cell carcinoma. </w:t>
      </w:r>
      <w:r w:rsidRPr="008F13F9">
        <w:rPr>
          <w:rFonts w:ascii="Arial" w:hAnsi="Arial" w:cs="Arial"/>
          <w:iCs/>
          <w:sz w:val="24"/>
          <w:szCs w:val="24"/>
          <w:lang w:val="en-US"/>
        </w:rPr>
        <w:t>Clin Cancer Res</w:t>
      </w:r>
      <w:r w:rsidRPr="008F13F9">
        <w:rPr>
          <w:rFonts w:ascii="Arial" w:hAnsi="Arial" w:cs="Arial"/>
          <w:sz w:val="24"/>
          <w:szCs w:val="24"/>
          <w:lang w:val="en-US"/>
        </w:rPr>
        <w:t>, 2011; 15(17):4806-13.</w:t>
      </w:r>
    </w:p>
    <w:p w14:paraId="3F616FDD"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lang w:val="en-US"/>
        </w:rPr>
      </w:pPr>
      <w:r w:rsidRPr="008F13F9">
        <w:rPr>
          <w:rFonts w:ascii="Arial" w:hAnsi="Arial" w:cs="Arial"/>
          <w:sz w:val="24"/>
          <w:szCs w:val="24"/>
          <w:vertAlign w:val="superscript"/>
          <w:lang w:val="en-US"/>
        </w:rPr>
        <w:lastRenderedPageBreak/>
        <w:t>31</w:t>
      </w:r>
      <w:r w:rsidRPr="008F13F9">
        <w:rPr>
          <w:rFonts w:ascii="Arial" w:hAnsi="Arial" w:cs="Arial"/>
          <w:sz w:val="24"/>
          <w:szCs w:val="24"/>
          <w:lang w:val="en-US"/>
        </w:rPr>
        <w:t xml:space="preserve"> Wang-Johanning F, Frost AR, Johanning GL et al.: Expression of human endogenous retrovirus k envelope transcripts in human breast cancer. </w:t>
      </w:r>
      <w:r w:rsidRPr="008F13F9">
        <w:rPr>
          <w:rFonts w:ascii="Arial" w:hAnsi="Arial" w:cs="Arial"/>
          <w:iCs/>
          <w:sz w:val="24"/>
          <w:szCs w:val="24"/>
          <w:lang w:val="en-US"/>
        </w:rPr>
        <w:t xml:space="preserve">Clin Cancer Res, </w:t>
      </w:r>
      <w:r w:rsidRPr="008F13F9">
        <w:rPr>
          <w:rFonts w:ascii="Arial" w:hAnsi="Arial" w:cs="Arial"/>
          <w:sz w:val="24"/>
          <w:szCs w:val="24"/>
          <w:lang w:val="en-US"/>
        </w:rPr>
        <w:t>2001;7:1553-60.</w:t>
      </w:r>
    </w:p>
    <w:p w14:paraId="180D43C9" w14:textId="77777777" w:rsidR="0064032D" w:rsidRPr="008F13F9" w:rsidRDefault="0064032D" w:rsidP="008F13F9">
      <w:pPr>
        <w:widowControl w:val="0"/>
        <w:autoSpaceDE w:val="0"/>
        <w:autoSpaceDN w:val="0"/>
        <w:adjustRightInd w:val="0"/>
        <w:spacing w:after="240" w:line="360" w:lineRule="auto"/>
        <w:jc w:val="both"/>
        <w:rPr>
          <w:rFonts w:ascii="Arial" w:hAnsi="Arial" w:cs="Arial"/>
          <w:sz w:val="24"/>
          <w:szCs w:val="24"/>
        </w:rPr>
      </w:pPr>
      <w:r w:rsidRPr="008F13F9">
        <w:rPr>
          <w:rFonts w:ascii="Arial" w:hAnsi="Arial" w:cs="Arial"/>
          <w:sz w:val="24"/>
          <w:szCs w:val="24"/>
          <w:vertAlign w:val="superscript"/>
          <w:lang w:val="en-US"/>
        </w:rPr>
        <w:t xml:space="preserve">32 </w:t>
      </w:r>
      <w:r w:rsidRPr="008F13F9">
        <w:rPr>
          <w:rFonts w:ascii="Arial" w:hAnsi="Arial" w:cs="Arial"/>
          <w:sz w:val="24"/>
          <w:szCs w:val="24"/>
        </w:rPr>
        <w:t xml:space="preserve">Rejthar A, Vojtěšek B.: Obecná patologie nádorového růstu. 1. vydání, Grada Publishing, spol. s.r.o., Praha, 2002 </w:t>
      </w:r>
    </w:p>
    <w:p w14:paraId="4FEE28F8"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hAnsi="Arial" w:cs="Arial"/>
          <w:sz w:val="24"/>
          <w:szCs w:val="24"/>
          <w:vertAlign w:val="superscript"/>
        </w:rPr>
        <w:t>33</w:t>
      </w:r>
      <w:r w:rsidRPr="008F13F9">
        <w:rPr>
          <w:rFonts w:ascii="Arial" w:hAnsi="Arial" w:cs="Arial"/>
          <w:sz w:val="24"/>
          <w:szCs w:val="24"/>
        </w:rPr>
        <w:t xml:space="preserve"> Čáslava T.: Abnormální exprese regulátorů buněčného cyklu jako prediktivní faktor u spinocelulárního karcinomu jazyka a spodiny dutiny ústní. Disertační práce, Brno.</w:t>
      </w:r>
    </w:p>
    <w:p w14:paraId="7EA69FB6" w14:textId="77777777" w:rsidR="0064032D" w:rsidRPr="008F13F9" w:rsidRDefault="0064032D" w:rsidP="008F13F9">
      <w:pPr>
        <w:pStyle w:val="NormalWeb"/>
        <w:spacing w:line="360" w:lineRule="auto"/>
        <w:jc w:val="both"/>
        <w:rPr>
          <w:rFonts w:ascii="Arial" w:hAnsi="Arial" w:cs="Arial"/>
          <w:color w:val="000000"/>
          <w:sz w:val="24"/>
          <w:szCs w:val="24"/>
        </w:rPr>
      </w:pPr>
      <w:r w:rsidRPr="008F13F9">
        <w:rPr>
          <w:rFonts w:ascii="Arial" w:hAnsi="Arial" w:cs="Arial"/>
          <w:sz w:val="24"/>
          <w:szCs w:val="24"/>
          <w:vertAlign w:val="superscript"/>
        </w:rPr>
        <w:t>34</w:t>
      </w:r>
      <w:r w:rsidRPr="008F13F9">
        <w:rPr>
          <w:rFonts w:ascii="Arial" w:hAnsi="Arial" w:cs="Arial"/>
          <w:color w:val="000000"/>
          <w:sz w:val="24"/>
          <w:szCs w:val="24"/>
        </w:rPr>
        <w:t xml:space="preserve"> Al-Qahtani K, Brousseau V, Paczesny D, et al.. Koilocytosis in oral squamous cell carcinoma: what does it mean? </w:t>
      </w:r>
      <w:r w:rsidRPr="008F13F9">
        <w:rPr>
          <w:rFonts w:ascii="Arial" w:hAnsi="Arial" w:cs="Arial"/>
          <w:iCs/>
          <w:color w:val="000000"/>
          <w:sz w:val="24"/>
          <w:szCs w:val="24"/>
        </w:rPr>
        <w:t xml:space="preserve">J Otolaryngol </w:t>
      </w:r>
      <w:r w:rsidRPr="008F13F9">
        <w:rPr>
          <w:rFonts w:ascii="Arial" w:hAnsi="Arial" w:cs="Arial"/>
          <w:color w:val="000000"/>
          <w:sz w:val="24"/>
          <w:szCs w:val="24"/>
        </w:rPr>
        <w:t>2007;</w:t>
      </w:r>
      <w:r w:rsidRPr="008F13F9">
        <w:rPr>
          <w:rFonts w:ascii="Arial" w:hAnsi="Arial" w:cs="Arial"/>
          <w:iCs/>
          <w:color w:val="000000"/>
          <w:sz w:val="24"/>
          <w:szCs w:val="24"/>
        </w:rPr>
        <w:t>36</w:t>
      </w:r>
      <w:r w:rsidRPr="008F13F9">
        <w:rPr>
          <w:rFonts w:ascii="Arial" w:hAnsi="Arial" w:cs="Arial"/>
          <w:color w:val="000000"/>
          <w:sz w:val="24"/>
          <w:szCs w:val="24"/>
        </w:rPr>
        <w:t>: 26-31.</w:t>
      </w:r>
    </w:p>
    <w:p w14:paraId="5949FF5A" w14:textId="77777777" w:rsidR="0064032D" w:rsidRPr="008F13F9" w:rsidRDefault="0064032D" w:rsidP="008F13F9">
      <w:pPr>
        <w:pStyle w:val="Pa15"/>
        <w:spacing w:after="120" w:line="360" w:lineRule="auto"/>
        <w:ind w:left="280" w:hanging="280"/>
        <w:jc w:val="both"/>
        <w:rPr>
          <w:rFonts w:ascii="Arial" w:hAnsi="Arial" w:cs="Arial"/>
          <w:color w:val="000000"/>
        </w:rPr>
      </w:pPr>
      <w:r w:rsidRPr="008F13F9">
        <w:rPr>
          <w:rFonts w:ascii="Arial" w:hAnsi="Arial" w:cs="Arial"/>
          <w:color w:val="000000"/>
          <w:vertAlign w:val="superscript"/>
        </w:rPr>
        <w:t>35</w:t>
      </w:r>
      <w:r w:rsidRPr="008F13F9">
        <w:rPr>
          <w:rFonts w:ascii="Arial" w:hAnsi="Arial" w:cs="Arial"/>
          <w:color w:val="000000"/>
        </w:rPr>
        <w:t xml:space="preserve"> Löning T, Meichsner M, Milde-Langosch K, et al.. HPV DNA detection in </w:t>
      </w:r>
    </w:p>
    <w:p w14:paraId="06D611D1" w14:textId="77777777" w:rsidR="0064032D" w:rsidRPr="008F13F9" w:rsidRDefault="0064032D" w:rsidP="008F13F9">
      <w:pPr>
        <w:pStyle w:val="Pa15"/>
        <w:spacing w:after="120" w:line="360" w:lineRule="auto"/>
        <w:ind w:left="280" w:hanging="280"/>
        <w:jc w:val="both"/>
        <w:rPr>
          <w:rFonts w:ascii="Arial" w:hAnsi="Arial" w:cs="Arial"/>
          <w:color w:val="000000"/>
        </w:rPr>
      </w:pPr>
      <w:r w:rsidRPr="008F13F9">
        <w:rPr>
          <w:rFonts w:ascii="Arial" w:hAnsi="Arial" w:cs="Arial"/>
          <w:color w:val="000000"/>
        </w:rPr>
        <w:t>tumours of the head and neck: a comparative light microscopy and DNA</w:t>
      </w:r>
    </w:p>
    <w:p w14:paraId="5D76248A" w14:textId="77777777" w:rsidR="0064032D" w:rsidRPr="008F13F9" w:rsidRDefault="0064032D" w:rsidP="008F13F9">
      <w:pPr>
        <w:pStyle w:val="Pa15"/>
        <w:spacing w:after="120" w:line="360" w:lineRule="auto"/>
        <w:ind w:left="280" w:hanging="280"/>
        <w:jc w:val="both"/>
        <w:rPr>
          <w:rFonts w:ascii="Arial" w:hAnsi="Arial" w:cs="Arial"/>
          <w:color w:val="000000"/>
        </w:rPr>
      </w:pPr>
      <w:r w:rsidRPr="008F13F9">
        <w:rPr>
          <w:rFonts w:ascii="Arial" w:hAnsi="Arial" w:cs="Arial"/>
          <w:color w:val="000000"/>
        </w:rPr>
        <w:t xml:space="preserve">hybridization study. </w:t>
      </w:r>
      <w:r w:rsidRPr="008F13F9">
        <w:rPr>
          <w:rFonts w:ascii="Arial" w:hAnsi="Arial" w:cs="Arial"/>
          <w:iCs/>
          <w:color w:val="000000"/>
        </w:rPr>
        <w:t>ORL J Otorhinolaryn</w:t>
      </w:r>
      <w:r w:rsidRPr="008F13F9">
        <w:rPr>
          <w:rFonts w:ascii="Arial" w:hAnsi="Arial" w:cs="Arial"/>
          <w:iCs/>
          <w:color w:val="000000"/>
        </w:rPr>
        <w:softHyphen/>
        <w:t>gol Relat Spec 1987; 49</w:t>
      </w:r>
      <w:r w:rsidRPr="008F13F9">
        <w:rPr>
          <w:rFonts w:ascii="Arial" w:hAnsi="Arial" w:cs="Arial"/>
          <w:color w:val="000000"/>
        </w:rPr>
        <w:t xml:space="preserve">: 259-269. </w:t>
      </w:r>
    </w:p>
    <w:p w14:paraId="1864A305" w14:textId="77777777" w:rsidR="0064032D" w:rsidRPr="008F13F9" w:rsidRDefault="0064032D" w:rsidP="008F13F9">
      <w:pPr>
        <w:pStyle w:val="NormalWeb"/>
        <w:spacing w:line="360" w:lineRule="auto"/>
        <w:jc w:val="both"/>
        <w:rPr>
          <w:rFonts w:ascii="Arial" w:hAnsi="Arial" w:cs="Arial"/>
          <w:color w:val="000000"/>
          <w:sz w:val="24"/>
          <w:szCs w:val="24"/>
        </w:rPr>
      </w:pPr>
      <w:r w:rsidRPr="008F13F9">
        <w:rPr>
          <w:rFonts w:ascii="Arial" w:hAnsi="Arial" w:cs="Arial"/>
          <w:color w:val="000000"/>
          <w:sz w:val="24"/>
          <w:szCs w:val="24"/>
          <w:vertAlign w:val="superscript"/>
        </w:rPr>
        <w:t xml:space="preserve">36 </w:t>
      </w:r>
      <w:r w:rsidRPr="008F13F9">
        <w:rPr>
          <w:rFonts w:ascii="Arial" w:hAnsi="Arial" w:cs="Arial"/>
          <w:color w:val="000000"/>
          <w:sz w:val="24"/>
          <w:szCs w:val="24"/>
        </w:rPr>
        <w:t xml:space="preserve">Salvia PN, Bergo SM, Bonesso-Sabadini PI, Tagliarini EB, et al. Correlation between histological criteria and human papillomavirus presence based on PCR assay in cervical biopsies. </w:t>
      </w:r>
      <w:r w:rsidRPr="008F13F9">
        <w:rPr>
          <w:rFonts w:ascii="Arial" w:hAnsi="Arial" w:cs="Arial"/>
          <w:iCs/>
          <w:color w:val="000000"/>
          <w:sz w:val="24"/>
          <w:szCs w:val="24"/>
        </w:rPr>
        <w:t>Int J Gynecol Cancer,2004; 14</w:t>
      </w:r>
      <w:r w:rsidRPr="008F13F9">
        <w:rPr>
          <w:rFonts w:ascii="Arial" w:hAnsi="Arial" w:cs="Arial"/>
          <w:color w:val="000000"/>
          <w:sz w:val="24"/>
          <w:szCs w:val="24"/>
        </w:rPr>
        <w:t>: 126-132.</w:t>
      </w:r>
    </w:p>
    <w:p w14:paraId="67CEA4F8" w14:textId="77777777" w:rsidR="0064032D" w:rsidRPr="008F13F9" w:rsidRDefault="0064032D" w:rsidP="008F13F9">
      <w:pPr>
        <w:pStyle w:val="NormalWeb"/>
        <w:spacing w:line="360" w:lineRule="auto"/>
        <w:jc w:val="both"/>
        <w:rPr>
          <w:rFonts w:ascii="Arial" w:hAnsi="Arial" w:cs="Arial"/>
          <w:color w:val="000000"/>
          <w:sz w:val="24"/>
          <w:szCs w:val="24"/>
        </w:rPr>
      </w:pPr>
      <w:r w:rsidRPr="008F13F9">
        <w:rPr>
          <w:rFonts w:ascii="Arial" w:hAnsi="Arial" w:cs="Arial"/>
          <w:color w:val="000000"/>
          <w:sz w:val="24"/>
          <w:szCs w:val="24"/>
          <w:vertAlign w:val="superscript"/>
        </w:rPr>
        <w:t xml:space="preserve">37 </w:t>
      </w:r>
      <w:r w:rsidRPr="008F13F9">
        <w:rPr>
          <w:rFonts w:ascii="Arial" w:hAnsi="Arial" w:cs="Arial"/>
          <w:color w:val="000000"/>
          <w:sz w:val="24"/>
          <w:szCs w:val="24"/>
        </w:rPr>
        <w:t xml:space="preserve">Zuna RE, Wang SS, Schiffman M, Solomon D. Comparison of human papillomavirus distribution in cytologic subgroups of low-grade squamous intraepithelial lesion. </w:t>
      </w:r>
      <w:r w:rsidRPr="008F13F9">
        <w:rPr>
          <w:rFonts w:ascii="Arial" w:hAnsi="Arial" w:cs="Arial"/>
          <w:iCs/>
          <w:color w:val="000000"/>
          <w:sz w:val="24"/>
          <w:szCs w:val="24"/>
        </w:rPr>
        <w:t>Cancer,</w:t>
      </w:r>
      <w:r w:rsidRPr="008F13F9">
        <w:rPr>
          <w:rFonts w:ascii="Arial" w:hAnsi="Arial" w:cs="Arial"/>
          <w:color w:val="000000"/>
          <w:sz w:val="24"/>
          <w:szCs w:val="24"/>
        </w:rPr>
        <w:t xml:space="preserve"> 2006;</w:t>
      </w:r>
      <w:r w:rsidRPr="008F13F9">
        <w:rPr>
          <w:rFonts w:ascii="Arial" w:hAnsi="Arial" w:cs="Arial"/>
          <w:iCs/>
          <w:color w:val="000000"/>
          <w:sz w:val="24"/>
          <w:szCs w:val="24"/>
        </w:rPr>
        <w:t>108</w:t>
      </w:r>
      <w:r w:rsidRPr="008F13F9">
        <w:rPr>
          <w:rFonts w:ascii="Arial" w:hAnsi="Arial" w:cs="Arial"/>
          <w:color w:val="000000"/>
          <w:sz w:val="24"/>
          <w:szCs w:val="24"/>
        </w:rPr>
        <w:t>:288-297.</w:t>
      </w:r>
    </w:p>
    <w:p w14:paraId="7D9BBA19" w14:textId="77777777" w:rsidR="0064032D" w:rsidRPr="008F13F9" w:rsidRDefault="0064032D" w:rsidP="008F13F9">
      <w:pPr>
        <w:autoSpaceDE w:val="0"/>
        <w:autoSpaceDN w:val="0"/>
        <w:adjustRightInd w:val="0"/>
        <w:spacing w:after="0" w:line="360" w:lineRule="auto"/>
        <w:jc w:val="both"/>
        <w:rPr>
          <w:rFonts w:ascii="Arial" w:hAnsi="Arial" w:cs="Arial"/>
          <w:color w:val="000000"/>
          <w:sz w:val="24"/>
          <w:szCs w:val="24"/>
        </w:rPr>
      </w:pPr>
      <w:r w:rsidRPr="008F13F9">
        <w:rPr>
          <w:rFonts w:ascii="Arial" w:hAnsi="Arial" w:cs="Arial"/>
          <w:color w:val="000000"/>
          <w:sz w:val="24"/>
          <w:szCs w:val="24"/>
          <w:vertAlign w:val="superscript"/>
        </w:rPr>
        <w:t xml:space="preserve">38 </w:t>
      </w:r>
      <w:r w:rsidRPr="008F13F9">
        <w:rPr>
          <w:rFonts w:ascii="Arial" w:hAnsi="Arial" w:cs="Arial"/>
          <w:bCs/>
          <w:color w:val="000000"/>
          <w:sz w:val="24"/>
          <w:szCs w:val="24"/>
        </w:rPr>
        <w:t xml:space="preserve">Miyahara GI et al. Correlation between koilocytes and human papillomavirus detection by PCR in oral and oropharynx squamous cell carcinoma biopsies, </w:t>
      </w:r>
      <w:r w:rsidRPr="008F13F9">
        <w:rPr>
          <w:rFonts w:ascii="Arial" w:hAnsi="Arial" w:cs="Arial"/>
          <w:iCs/>
          <w:color w:val="000000"/>
          <w:sz w:val="24"/>
          <w:szCs w:val="24"/>
        </w:rPr>
        <w:t xml:space="preserve"> Mem Inst Oswaldo Cruz</w:t>
      </w:r>
      <w:r w:rsidRPr="008F13F9">
        <w:rPr>
          <w:rFonts w:ascii="Arial" w:hAnsi="Arial" w:cs="Arial"/>
          <w:color w:val="000000"/>
          <w:sz w:val="24"/>
          <w:szCs w:val="24"/>
        </w:rPr>
        <w:t>, Rio de Janeiro, March 2011;</w:t>
      </w:r>
      <w:r w:rsidRPr="008F13F9">
        <w:rPr>
          <w:rFonts w:ascii="Arial" w:hAnsi="Arial" w:cs="Arial"/>
          <w:iCs/>
          <w:color w:val="000000"/>
          <w:sz w:val="24"/>
          <w:szCs w:val="24"/>
        </w:rPr>
        <w:t>106</w:t>
      </w:r>
      <w:r w:rsidRPr="008F13F9">
        <w:rPr>
          <w:rFonts w:ascii="Arial" w:hAnsi="Arial" w:cs="Arial"/>
          <w:color w:val="000000"/>
          <w:sz w:val="24"/>
          <w:szCs w:val="24"/>
        </w:rPr>
        <w:t>(2):166-169.</w:t>
      </w:r>
    </w:p>
    <w:p w14:paraId="5A3F4286" w14:textId="77777777" w:rsidR="0064032D" w:rsidRPr="008F13F9" w:rsidRDefault="0064032D" w:rsidP="008F13F9">
      <w:pPr>
        <w:pStyle w:val="NormalWeb"/>
        <w:shd w:val="clear" w:color="auto" w:fill="FFFFFF"/>
        <w:spacing w:line="360" w:lineRule="auto"/>
        <w:jc w:val="both"/>
        <w:rPr>
          <w:rFonts w:ascii="Arial" w:hAnsi="Arial" w:cs="Arial"/>
          <w:bCs/>
          <w:color w:val="211E1E"/>
          <w:sz w:val="24"/>
          <w:szCs w:val="24"/>
        </w:rPr>
      </w:pPr>
      <w:r w:rsidRPr="008F13F9">
        <w:rPr>
          <w:rFonts w:ascii="Arial" w:hAnsi="Arial" w:cs="Arial"/>
          <w:color w:val="000000"/>
          <w:sz w:val="24"/>
          <w:szCs w:val="24"/>
          <w:vertAlign w:val="superscript"/>
        </w:rPr>
        <w:t xml:space="preserve">39 </w:t>
      </w:r>
      <w:r w:rsidRPr="008F13F9">
        <w:rPr>
          <w:rFonts w:ascii="Arial" w:hAnsi="Arial" w:cs="Arial"/>
          <w:color w:val="211E1E"/>
          <w:sz w:val="24"/>
          <w:szCs w:val="24"/>
        </w:rPr>
        <w:t xml:space="preserve">Hanuš, M., Matoušková, M. </w:t>
      </w:r>
      <w:r w:rsidRPr="008F13F9">
        <w:rPr>
          <w:rFonts w:ascii="Arial" w:hAnsi="Arial" w:cs="Arial"/>
          <w:bCs/>
          <w:color w:val="211E1E"/>
          <w:sz w:val="24"/>
          <w:szCs w:val="24"/>
        </w:rPr>
        <w:t xml:space="preserve">TNM klasifikace zhoubných nádorů, obecná část, 5. revize, 1997. </w:t>
      </w:r>
    </w:p>
    <w:p w14:paraId="47E7E8D1" w14:textId="77777777" w:rsidR="0064032D" w:rsidRPr="008F13F9" w:rsidRDefault="0064032D" w:rsidP="008F13F9">
      <w:pPr>
        <w:pStyle w:val="NormalWeb"/>
        <w:spacing w:line="360" w:lineRule="auto"/>
        <w:rPr>
          <w:rFonts w:ascii="Arial" w:hAnsi="Arial" w:cs="Arial"/>
          <w:sz w:val="24"/>
          <w:szCs w:val="24"/>
        </w:rPr>
      </w:pPr>
      <w:r w:rsidRPr="008F13F9">
        <w:rPr>
          <w:rFonts w:ascii="Arial" w:hAnsi="Arial" w:cs="Arial"/>
          <w:bCs/>
          <w:color w:val="211E1E"/>
          <w:sz w:val="24"/>
          <w:szCs w:val="24"/>
          <w:vertAlign w:val="superscript"/>
        </w:rPr>
        <w:t>40</w:t>
      </w:r>
      <w:r w:rsidRPr="008F13F9">
        <w:rPr>
          <w:rFonts w:ascii="Arial" w:hAnsi="Arial" w:cs="Arial"/>
          <w:bCs/>
          <w:color w:val="211E1E"/>
          <w:sz w:val="24"/>
          <w:szCs w:val="24"/>
        </w:rPr>
        <w:t xml:space="preserve"> Vošmik M. et al. Moderní technologie </w:t>
      </w:r>
      <w:r w:rsidRPr="008F13F9">
        <w:rPr>
          <w:rFonts w:ascii="Arial" w:hAnsi="Arial" w:cs="Arial"/>
          <w:bCs/>
          <w:iCs/>
          <w:sz w:val="24"/>
          <w:szCs w:val="24"/>
        </w:rPr>
        <w:t xml:space="preserve">v radioterapii nádorů hlavy a krku, </w:t>
      </w:r>
      <w:r w:rsidRPr="008F13F9">
        <w:rPr>
          <w:rFonts w:ascii="Arial" w:hAnsi="Arial" w:cs="Arial"/>
          <w:sz w:val="24"/>
          <w:szCs w:val="24"/>
        </w:rPr>
        <w:t xml:space="preserve">Onkologie 2012; 6(5): 247–251. </w:t>
      </w:r>
    </w:p>
    <w:p w14:paraId="26DB8779" w14:textId="77777777" w:rsidR="0064032D" w:rsidRPr="008F13F9" w:rsidRDefault="0064032D" w:rsidP="008F13F9">
      <w:pPr>
        <w:pStyle w:val="NormalWeb"/>
        <w:spacing w:line="360" w:lineRule="auto"/>
        <w:rPr>
          <w:rFonts w:ascii="Arial" w:hAnsi="Arial" w:cs="Arial"/>
          <w:sz w:val="24"/>
          <w:szCs w:val="24"/>
        </w:rPr>
      </w:pPr>
      <w:r w:rsidRPr="008F13F9">
        <w:rPr>
          <w:rFonts w:ascii="Arial" w:hAnsi="Arial" w:cs="Arial"/>
          <w:sz w:val="24"/>
          <w:szCs w:val="24"/>
          <w:vertAlign w:val="superscript"/>
        </w:rPr>
        <w:lastRenderedPageBreak/>
        <w:t>41</w:t>
      </w:r>
      <w:r w:rsidRPr="008F13F9">
        <w:rPr>
          <w:rFonts w:ascii="Arial" w:hAnsi="Arial" w:cs="Arial"/>
          <w:sz w:val="24"/>
          <w:szCs w:val="24"/>
        </w:rPr>
        <w:t xml:space="preserve"> Hermans R, Feron M, Bellon E, et al. Laryngeal tumor volume measurements determined with CT: a study on intra- and interobserver variability. Int J Radiat Oncol Biol Phys 1998; 40: 553–557. </w:t>
      </w:r>
    </w:p>
    <w:p w14:paraId="4EE8F5DD" w14:textId="77777777" w:rsidR="0064032D" w:rsidRPr="008F13F9" w:rsidRDefault="0064032D" w:rsidP="008F13F9">
      <w:pPr>
        <w:pStyle w:val="NormalWeb"/>
        <w:spacing w:line="360" w:lineRule="auto"/>
        <w:rPr>
          <w:rFonts w:ascii="Arial" w:hAnsi="Arial" w:cs="Arial"/>
          <w:sz w:val="24"/>
          <w:szCs w:val="24"/>
        </w:rPr>
      </w:pPr>
      <w:r w:rsidRPr="008F13F9">
        <w:rPr>
          <w:rFonts w:ascii="Arial" w:hAnsi="Arial" w:cs="Arial"/>
          <w:sz w:val="24"/>
          <w:szCs w:val="24"/>
          <w:vertAlign w:val="superscript"/>
        </w:rPr>
        <w:t>42</w:t>
      </w:r>
      <w:r w:rsidRPr="008F13F9">
        <w:rPr>
          <w:rFonts w:ascii="Arial" w:hAnsi="Arial" w:cs="Arial"/>
          <w:sz w:val="24"/>
          <w:szCs w:val="24"/>
        </w:rPr>
        <w:t xml:space="preserve"> Daisne JF, Duprez T, Weynand B, et al. Tumor volume in pharyngolaryngeal squamous cell carcinoma: comparison at CT, MR imaging, and FDG PET and validation with surgi- cal specimen. Radiology 2004; 233: 93–100. </w:t>
      </w:r>
    </w:p>
    <w:p w14:paraId="5A2CEF02" w14:textId="77777777" w:rsidR="0064032D" w:rsidRPr="008F13F9" w:rsidRDefault="0064032D" w:rsidP="008F13F9">
      <w:pPr>
        <w:pStyle w:val="NormalWeb"/>
        <w:spacing w:line="360" w:lineRule="auto"/>
        <w:jc w:val="both"/>
        <w:rPr>
          <w:rFonts w:ascii="Arial" w:hAnsi="Arial" w:cs="Arial"/>
          <w:sz w:val="24"/>
          <w:szCs w:val="24"/>
          <w:vertAlign w:val="superscript"/>
        </w:rPr>
      </w:pPr>
      <w:r w:rsidRPr="008F13F9">
        <w:rPr>
          <w:rFonts w:ascii="Arial" w:hAnsi="Arial" w:cs="Arial"/>
          <w:sz w:val="24"/>
          <w:szCs w:val="24"/>
          <w:vertAlign w:val="superscript"/>
        </w:rPr>
        <w:t xml:space="preserve">43 </w:t>
      </w:r>
      <w:r w:rsidRPr="008F13F9">
        <w:rPr>
          <w:rFonts w:ascii="Arial" w:hAnsi="Arial" w:cs="Arial"/>
          <w:sz w:val="24"/>
          <w:szCs w:val="24"/>
        </w:rPr>
        <w:t>Nutting CM, Morden JP, Harrington KJ, et al. Parotid spa- ring intensity modulated versus conventional radiotherapy in head and neckcancer (PARSPORT): a phase 3 multicentre randomised controlled trial, Lancet Oncol 2011; 12: 127–136.</w:t>
      </w:r>
    </w:p>
    <w:p w14:paraId="08DA03C2" w14:textId="77777777" w:rsidR="0064032D" w:rsidRPr="008F13F9" w:rsidRDefault="0064032D" w:rsidP="008F13F9">
      <w:pPr>
        <w:pStyle w:val="NormalWeb"/>
        <w:spacing w:line="360" w:lineRule="auto"/>
        <w:jc w:val="both"/>
        <w:rPr>
          <w:rFonts w:ascii="Arial" w:hAnsi="Arial" w:cs="Arial"/>
          <w:sz w:val="24"/>
          <w:szCs w:val="24"/>
          <w:vertAlign w:val="superscript"/>
        </w:rPr>
      </w:pPr>
      <w:r w:rsidRPr="008F13F9">
        <w:rPr>
          <w:rFonts w:ascii="Arial" w:hAnsi="Arial" w:cs="Arial"/>
          <w:sz w:val="24"/>
          <w:szCs w:val="24"/>
          <w:vertAlign w:val="superscript"/>
        </w:rPr>
        <w:t>44</w:t>
      </w:r>
      <w:r w:rsidRPr="008F13F9">
        <w:rPr>
          <w:rFonts w:ascii="Arial" w:hAnsi="Arial" w:cs="Arial"/>
          <w:sz w:val="24"/>
          <w:szCs w:val="24"/>
        </w:rPr>
        <w:t xml:space="preserve"> Kam MK, Leung SF, Zee B, et al. Prospective randomized study of intensity-modulated radiotherapy on salivary gland function in early-stage nasopharyngeal carcinoma patients. J Clin Oncol 2007; 25: 4873–4879.</w:t>
      </w:r>
    </w:p>
    <w:p w14:paraId="2ECEEFC3" w14:textId="77777777" w:rsidR="0064032D" w:rsidRPr="008F13F9" w:rsidRDefault="0064032D" w:rsidP="008F13F9">
      <w:pPr>
        <w:spacing w:before="100" w:beforeAutospacing="1" w:after="100" w:afterAutospacing="1" w:line="360" w:lineRule="auto"/>
        <w:jc w:val="both"/>
        <w:rPr>
          <w:rFonts w:ascii="Arial" w:hAnsi="Arial" w:cs="Arial"/>
          <w:sz w:val="24"/>
          <w:szCs w:val="24"/>
          <w:vertAlign w:val="superscript"/>
        </w:rPr>
      </w:pPr>
      <w:r w:rsidRPr="008F13F9">
        <w:rPr>
          <w:rFonts w:ascii="Arial" w:hAnsi="Arial" w:cs="Arial"/>
          <w:sz w:val="24"/>
          <w:szCs w:val="24"/>
          <w:vertAlign w:val="superscript"/>
        </w:rPr>
        <w:t>45</w:t>
      </w:r>
      <w:r w:rsidRPr="008F13F9">
        <w:rPr>
          <w:rFonts w:ascii="Arial" w:hAnsi="Arial" w:cs="Arial"/>
          <w:sz w:val="24"/>
          <w:szCs w:val="24"/>
        </w:rPr>
        <w:t xml:space="preserve"> Pow EH, Kwong DL, McMillan AS, et al. Xerostomia and quality of life after intensity-modulated radiotherapy vs. conventional radiotherapy for early-stage nasopharyngeal carcinoma: Initial report on a randomized controlled clinical trial. Int J Radiat Oncol Biol Phys 2006; 66: 981–991.</w:t>
      </w:r>
      <w:r w:rsidRPr="008F13F9">
        <w:rPr>
          <w:rFonts w:ascii="Arial" w:hAnsi="Arial" w:cs="Arial"/>
          <w:sz w:val="24"/>
          <w:szCs w:val="24"/>
        </w:rPr>
        <w:br/>
      </w:r>
    </w:p>
    <w:p w14:paraId="53D0CDDA" w14:textId="77777777" w:rsidR="0064032D" w:rsidRPr="008F13F9" w:rsidRDefault="0064032D" w:rsidP="008F13F9">
      <w:pPr>
        <w:pStyle w:val="NormalWeb"/>
        <w:spacing w:line="360" w:lineRule="auto"/>
        <w:jc w:val="both"/>
        <w:rPr>
          <w:rFonts w:ascii="Arial" w:hAnsi="Arial" w:cs="Arial"/>
          <w:sz w:val="24"/>
          <w:szCs w:val="24"/>
          <w:vertAlign w:val="superscript"/>
        </w:rPr>
      </w:pPr>
      <w:r w:rsidRPr="008F13F9">
        <w:rPr>
          <w:rFonts w:ascii="Arial" w:hAnsi="Arial" w:cs="Arial"/>
          <w:sz w:val="24"/>
          <w:szCs w:val="24"/>
          <w:vertAlign w:val="superscript"/>
        </w:rPr>
        <w:t>46</w:t>
      </w:r>
      <w:r w:rsidRPr="008F13F9">
        <w:rPr>
          <w:rFonts w:ascii="Arial" w:hAnsi="Arial" w:cs="Arial"/>
          <w:sz w:val="24"/>
          <w:szCs w:val="24"/>
        </w:rPr>
        <w:t xml:space="preserve"> Eisbruch A, Schwartz M, Rasch C, et al. Dysphagia and aspiration after chemoradiotherapy for head-and-neck cancer: which anatomic structures are affected and can they be spa- red by IMRT? Int J Radiat Oncol Biol Phys 2004; 60: 1425–1439.</w:t>
      </w:r>
    </w:p>
    <w:p w14:paraId="0C75FF03" w14:textId="77777777" w:rsidR="0064032D" w:rsidRPr="008F13F9" w:rsidRDefault="0064032D" w:rsidP="008F13F9">
      <w:pPr>
        <w:pStyle w:val="NormalWeb"/>
        <w:spacing w:line="360" w:lineRule="auto"/>
        <w:jc w:val="both"/>
        <w:rPr>
          <w:rFonts w:ascii="Arial" w:hAnsi="Arial" w:cs="Arial"/>
          <w:sz w:val="24"/>
          <w:szCs w:val="24"/>
          <w:vertAlign w:val="superscript"/>
        </w:rPr>
      </w:pPr>
      <w:r w:rsidRPr="008F13F9">
        <w:rPr>
          <w:rFonts w:ascii="Arial" w:hAnsi="Arial" w:cs="Arial"/>
          <w:sz w:val="24"/>
          <w:szCs w:val="24"/>
          <w:vertAlign w:val="superscript"/>
        </w:rPr>
        <w:t>47</w:t>
      </w:r>
      <w:r w:rsidRPr="008F13F9">
        <w:rPr>
          <w:rFonts w:ascii="Arial" w:hAnsi="Arial" w:cs="Arial"/>
          <w:sz w:val="24"/>
          <w:szCs w:val="24"/>
        </w:rPr>
        <w:t xml:space="preserve"> Feng FY, Kim HM, Lyden TH, et al. Intensity-modulated radiotherapy of head and neck cancer aiming to reduce dys- phagia: Early dose-effect relationships for the swallowing structures. Int J Radiat Oncol Biol Phys 2007; 68: 1289–1298</w:t>
      </w:r>
    </w:p>
    <w:p w14:paraId="25C4CF43"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hAnsi="Arial" w:cs="Arial"/>
          <w:sz w:val="24"/>
          <w:szCs w:val="24"/>
          <w:vertAlign w:val="superscript"/>
        </w:rPr>
        <w:lastRenderedPageBreak/>
        <w:t>48</w:t>
      </w:r>
      <w:r w:rsidRPr="008F13F9">
        <w:rPr>
          <w:rFonts w:ascii="Arial" w:hAnsi="Arial" w:cs="Arial"/>
          <w:sz w:val="24"/>
          <w:szCs w:val="24"/>
        </w:rPr>
        <w:t xml:space="preserve"> Roe JW, Carding PN, Dwivedi RC, et al. Swallowing out- comes following intensity modulated radiation therapy (IMRT) for head&amp;neck cancer – a systematic review. Oral Oncol 2010; 46: 727–733.</w:t>
      </w:r>
    </w:p>
    <w:p w14:paraId="0A500786" w14:textId="77777777" w:rsidR="0064032D" w:rsidRPr="008F13F9" w:rsidRDefault="0064032D" w:rsidP="008F13F9">
      <w:pPr>
        <w:pStyle w:val="NormalWeb"/>
        <w:spacing w:line="360" w:lineRule="auto"/>
        <w:rPr>
          <w:rFonts w:ascii="Arial" w:hAnsi="Arial" w:cs="Arial"/>
          <w:sz w:val="24"/>
          <w:szCs w:val="24"/>
        </w:rPr>
      </w:pPr>
      <w:r w:rsidRPr="008F13F9">
        <w:rPr>
          <w:rFonts w:ascii="Arial" w:hAnsi="Arial" w:cs="Arial"/>
          <w:sz w:val="24"/>
          <w:szCs w:val="24"/>
          <w:vertAlign w:val="superscript"/>
        </w:rPr>
        <w:t>49</w:t>
      </w:r>
      <w:r w:rsidRPr="008F13F9">
        <w:rPr>
          <w:rFonts w:ascii="Arial" w:hAnsi="Arial" w:cs="Arial"/>
          <w:sz w:val="24"/>
          <w:szCs w:val="24"/>
        </w:rPr>
        <w:t xml:space="preserve"> Weber DC, Chan AW, Lessell S, et al. Visual outcome of accelerated fractionated radiation for advanced sinonasal malignancies employing photons/protons. Radiother Oncol 2006; 81: 243–249. </w:t>
      </w:r>
    </w:p>
    <w:p w14:paraId="3B3D4C6A" w14:textId="77777777" w:rsidR="0064032D" w:rsidRPr="008F13F9" w:rsidRDefault="0064032D" w:rsidP="008F13F9">
      <w:pPr>
        <w:widowControl w:val="0"/>
        <w:autoSpaceDE w:val="0"/>
        <w:autoSpaceDN w:val="0"/>
        <w:adjustRightInd w:val="0"/>
        <w:spacing w:after="0" w:line="360" w:lineRule="auto"/>
        <w:jc w:val="both"/>
        <w:rPr>
          <w:rFonts w:ascii="Arial" w:hAnsi="Arial" w:cs="Arial"/>
          <w:color w:val="1A1718"/>
          <w:sz w:val="24"/>
          <w:szCs w:val="24"/>
          <w:lang w:val="en-US"/>
        </w:rPr>
      </w:pPr>
      <w:r w:rsidRPr="008F13F9">
        <w:rPr>
          <w:rFonts w:ascii="Arial" w:hAnsi="Arial" w:cs="Arial"/>
          <w:sz w:val="24"/>
          <w:szCs w:val="24"/>
          <w:vertAlign w:val="superscript"/>
        </w:rPr>
        <w:t xml:space="preserve">50 </w:t>
      </w:r>
      <w:r w:rsidRPr="008F13F9">
        <w:rPr>
          <w:rFonts w:ascii="Arial" w:hAnsi="Arial" w:cs="Arial"/>
          <w:color w:val="1A1718"/>
          <w:sz w:val="24"/>
          <w:szCs w:val="24"/>
          <w:lang w:val="en-US"/>
        </w:rPr>
        <w:t xml:space="preserve">Vermeer DW,Spanos WC,Vermeer PD et al: Radiation-induced loss of cell surface CD47 enhances immune-mediated clearance of human papillomavirus-positive cancer, </w:t>
      </w:r>
      <w:r w:rsidRPr="008F13F9">
        <w:rPr>
          <w:rFonts w:ascii="Arial" w:hAnsi="Arial" w:cs="Arial"/>
          <w:sz w:val="24"/>
          <w:szCs w:val="24"/>
        </w:rPr>
        <w:t>I</w:t>
      </w:r>
      <w:r w:rsidRPr="008F13F9">
        <w:rPr>
          <w:rFonts w:ascii="Arial" w:hAnsi="Arial" w:cs="Arial"/>
          <w:color w:val="1A1718"/>
          <w:sz w:val="24"/>
          <w:szCs w:val="24"/>
          <w:lang w:val="en-US"/>
        </w:rPr>
        <w:t>nt. J. Cancer, 2013; 133: 120–130.</w:t>
      </w:r>
    </w:p>
    <w:p w14:paraId="39A942D8"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hAnsi="Arial" w:cs="Arial"/>
          <w:color w:val="1A1718"/>
          <w:sz w:val="24"/>
          <w:szCs w:val="24"/>
          <w:vertAlign w:val="superscript"/>
          <w:lang w:val="en-US"/>
        </w:rPr>
        <w:t>51</w:t>
      </w:r>
      <w:r w:rsidRPr="008F13F9">
        <w:rPr>
          <w:rFonts w:ascii="Arial" w:hAnsi="Arial" w:cs="Arial"/>
          <w:color w:val="1A1718"/>
          <w:sz w:val="24"/>
          <w:szCs w:val="24"/>
          <w:lang w:val="en-US"/>
        </w:rPr>
        <w:t xml:space="preserve"> </w:t>
      </w:r>
      <w:r w:rsidRPr="008F13F9">
        <w:rPr>
          <w:rFonts w:ascii="Arial" w:hAnsi="Arial" w:cs="Arial"/>
          <w:sz w:val="24"/>
          <w:szCs w:val="24"/>
        </w:rPr>
        <w:t xml:space="preserve">Bova RJ, Quinn DI, Nankervis JS, et al: Cyclin D1 and p16 (INK4A) expression predict reduced survival in carcinoma of the anterior tongue. Clin.Cancer Res. 1999; 5: 2810- 2819. </w:t>
      </w:r>
    </w:p>
    <w:p w14:paraId="2D76251F"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hAnsi="Arial" w:cs="Arial"/>
          <w:sz w:val="24"/>
          <w:szCs w:val="24"/>
          <w:vertAlign w:val="superscript"/>
        </w:rPr>
        <w:t>52</w:t>
      </w:r>
      <w:r w:rsidRPr="008F13F9">
        <w:rPr>
          <w:rFonts w:ascii="Arial" w:hAnsi="Arial" w:cs="Arial"/>
          <w:sz w:val="24"/>
          <w:szCs w:val="24"/>
        </w:rPr>
        <w:t xml:space="preserve"> Rotterova P, Nenutil R, Rotter L et al. The detection of p16 protein in uterine cervix lesions. Ceska Gynekol 2005; 70: 295-298. </w:t>
      </w:r>
    </w:p>
    <w:p w14:paraId="287AE922"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hAnsi="Arial" w:cs="Arial"/>
          <w:sz w:val="24"/>
          <w:szCs w:val="24"/>
          <w:vertAlign w:val="superscript"/>
        </w:rPr>
        <w:t xml:space="preserve">53 </w:t>
      </w:r>
      <w:r w:rsidRPr="008F13F9">
        <w:rPr>
          <w:rFonts w:ascii="Arial" w:hAnsi="Arial" w:cs="Arial"/>
          <w:sz w:val="24"/>
          <w:szCs w:val="24"/>
        </w:rPr>
        <w:t xml:space="preserve">Lin SC, Chang KW, Chang CS, et al. Alterations of p16/MTS1 gene in oral squamous cell carcinomas from Taiwanese. J Oral Pathol Med. 2000; 29: 159- 166. </w:t>
      </w:r>
    </w:p>
    <w:p w14:paraId="0E4E9326"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rPr>
        <w:t>54</w:t>
      </w:r>
      <w:r w:rsidRPr="008F13F9">
        <w:rPr>
          <w:rFonts w:ascii="Arial" w:hAnsi="Arial" w:cs="Arial"/>
          <w:sz w:val="24"/>
          <w:szCs w:val="24"/>
          <w:lang w:val="en-US"/>
        </w:rPr>
        <w:t xml:space="preserve"> Klozar J.: Role chemoterapie v léčbě karcinomů hlavy a krku. Otorinolaryng. a Foniat. /Prague/, 2008, 57(3):159-164.</w:t>
      </w:r>
    </w:p>
    <w:p w14:paraId="776FCB74"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55 </w:t>
      </w:r>
      <w:r w:rsidRPr="008F13F9">
        <w:rPr>
          <w:rFonts w:ascii="Arial" w:hAnsi="Arial" w:cs="Arial"/>
          <w:sz w:val="24"/>
          <w:szCs w:val="24"/>
          <w:lang w:val="en-US"/>
        </w:rPr>
        <w:t>Lignin, J. P., Bourhis, J., Domenge, C., Designe, L.: Chemotherapy added to locoregional treatment for head and neck squamous-cell carcinoma: three meta-analyses of updated individual data. MACH-NC Collaborative Group. Meta-Analysis of Chemotherapy on Head and Neck Cancer. Lancet, 2000;355:949-955.</w:t>
      </w:r>
    </w:p>
    <w:p w14:paraId="16DD1941"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56</w:t>
      </w:r>
      <w:r w:rsidRPr="008F13F9">
        <w:rPr>
          <w:rFonts w:ascii="Arial" w:hAnsi="Arial" w:cs="Arial"/>
          <w:sz w:val="24"/>
          <w:szCs w:val="24"/>
          <w:lang w:val="en-US"/>
        </w:rPr>
        <w:t xml:space="preserve"> Lignin, J. P., le Maitre, A., Bourhis, J.: Meta-analyses of chemotherapy in head and neck cancer (MACH-NC): an update. Int. J. Radiat. Oncol. Biol. Phys , 2007;69: 112-114.</w:t>
      </w:r>
    </w:p>
    <w:p w14:paraId="3B1E8CAF" w14:textId="77777777" w:rsidR="0064032D" w:rsidRPr="008F13F9" w:rsidRDefault="0064032D" w:rsidP="008F13F9">
      <w:pPr>
        <w:widowControl w:val="0"/>
        <w:autoSpaceDE w:val="0"/>
        <w:autoSpaceDN w:val="0"/>
        <w:adjustRightInd w:val="0"/>
        <w:spacing w:after="0" w:line="360" w:lineRule="auto"/>
        <w:rPr>
          <w:rFonts w:ascii="Arial" w:hAnsi="Arial" w:cs="Arial"/>
          <w:sz w:val="24"/>
          <w:szCs w:val="24"/>
          <w:lang w:val="en-US"/>
        </w:rPr>
      </w:pPr>
      <w:r w:rsidRPr="008F13F9">
        <w:rPr>
          <w:rFonts w:ascii="Arial" w:hAnsi="Arial" w:cs="Arial"/>
          <w:sz w:val="24"/>
          <w:szCs w:val="24"/>
          <w:vertAlign w:val="superscript"/>
          <w:lang w:val="en-US"/>
        </w:rPr>
        <w:lastRenderedPageBreak/>
        <w:t xml:space="preserve">57 </w:t>
      </w:r>
      <w:r w:rsidRPr="008F13F9">
        <w:rPr>
          <w:rFonts w:ascii="Arial" w:hAnsi="Arial" w:cs="Arial"/>
          <w:sz w:val="24"/>
          <w:szCs w:val="24"/>
          <w:lang w:val="en-US"/>
        </w:rPr>
        <w:t>Liang, K., Ang, K. K., Milas, L., Hunter, N., Fan, Z.: The epidermal growth factor receptor mediates radioresistance. Int. J. Radiat. Oncol. Biol. Phys, 2003; 57: 246-254.</w:t>
      </w:r>
    </w:p>
    <w:p w14:paraId="1E07E6A6"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58</w:t>
      </w:r>
      <w:r w:rsidRPr="008F13F9">
        <w:rPr>
          <w:rFonts w:ascii="Arial" w:hAnsi="Arial" w:cs="Arial"/>
          <w:sz w:val="24"/>
          <w:szCs w:val="24"/>
          <w:lang w:val="en-US"/>
        </w:rPr>
        <w:t xml:space="preserve"> Magne N,Pivot X,Bensadoun RJ,et al.: The relationship of epidermal growth factor receptor levels to the prognosis of unresectable pharyngeal cancer patients treated by chemo-radiotherapy. Eur. J. Cancor,2001;37: 2169-2177.</w:t>
      </w:r>
    </w:p>
    <w:p w14:paraId="30283650"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59 </w:t>
      </w:r>
      <w:r w:rsidRPr="008F13F9">
        <w:rPr>
          <w:rFonts w:ascii="Arial" w:hAnsi="Arial" w:cs="Arial"/>
          <w:sz w:val="24"/>
          <w:szCs w:val="24"/>
          <w:lang w:val="en-US"/>
        </w:rPr>
        <w:t>Vermorken, J., Mesia, R., Vega, V., et al. Cetuximab extends survival of patients with recurrent or metastatic SCCHN when added to first line platinum based therapy: Results of a randomized phase III (Extreme) study. In ASCO 2007 (Abstract No 6091; updated information presented).</w:t>
      </w:r>
    </w:p>
    <w:p w14:paraId="11B863E5"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60 </w:t>
      </w:r>
      <w:r w:rsidRPr="008F13F9">
        <w:rPr>
          <w:rFonts w:ascii="Arial" w:hAnsi="Arial" w:cs="Arial"/>
          <w:sz w:val="24"/>
          <w:szCs w:val="24"/>
          <w:lang w:val="en-US"/>
        </w:rPr>
        <w:t>Bekkers RL, Massuger LF, Bulten J, et al Epidemiological and clinical aspekts of human papillomavirus detection in the prevention of cervical cancer. Rev Med Virol 2004;14:95-105.</w:t>
      </w:r>
    </w:p>
    <w:p w14:paraId="69DD10F2"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61</w:t>
      </w:r>
      <w:r w:rsidRPr="008F13F9">
        <w:rPr>
          <w:rFonts w:ascii="Arial" w:hAnsi="Arial" w:cs="Arial"/>
          <w:sz w:val="24"/>
          <w:szCs w:val="24"/>
          <w:lang w:val="en-US"/>
        </w:rPr>
        <w:t xml:space="preserve"> Laco J. Lidské papilomaviry a jejich úloha v etiopatogenezi dlaždicobuněčného karcinomu dutiny ústní a orofaryngu, Galen, 2012, ISBN 978-80-7262-874-2</w:t>
      </w:r>
    </w:p>
    <w:p w14:paraId="60DFFC10"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62 </w:t>
      </w:r>
      <w:r w:rsidRPr="008F13F9">
        <w:rPr>
          <w:rFonts w:ascii="Arial" w:hAnsi="Arial" w:cs="Arial"/>
          <w:sz w:val="24"/>
          <w:szCs w:val="24"/>
          <w:lang w:val="en-US"/>
        </w:rPr>
        <w:t>Haddad R, Crum C, Chen Z, et al HPV 16 transmission between a couple with HPV related head and neck cancer. Oral Oncol 2008;44:812-815.</w:t>
      </w:r>
    </w:p>
    <w:p w14:paraId="0BD5DE16"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63</w:t>
      </w:r>
      <w:r w:rsidRPr="008F13F9">
        <w:rPr>
          <w:rFonts w:ascii="Arial" w:hAnsi="Arial" w:cs="Arial"/>
          <w:sz w:val="24"/>
          <w:szCs w:val="24"/>
          <w:lang w:val="en-US"/>
        </w:rPr>
        <w:t xml:space="preserve"> Manden BS, van den Brule AJ, Jensen HL, et al. Risk faktors for squamous cell carcinoma of the penis: population-based case-control study in Denmark. Cancer Epidemiol Biomarkers Prev 2008; 17:2683-2691.</w:t>
      </w:r>
    </w:p>
    <w:p w14:paraId="26B5B787"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63</w:t>
      </w:r>
      <w:r w:rsidRPr="008F13F9">
        <w:rPr>
          <w:rFonts w:ascii="Arial" w:hAnsi="Arial" w:cs="Arial"/>
          <w:sz w:val="24"/>
          <w:szCs w:val="24"/>
          <w:lang w:val="en-US"/>
        </w:rPr>
        <w:t xml:space="preserve"> Rintala MA, Grenman SE, Puranen MH, et al Natural history of oral papillomavirus infection in spouses: a prospective Finnish HPV family study. J Clin Virol 2006;35:89-94.</w:t>
      </w:r>
    </w:p>
    <w:p w14:paraId="244E7F1A"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65</w:t>
      </w:r>
      <w:r w:rsidRPr="008F13F9">
        <w:rPr>
          <w:rFonts w:ascii="Arial" w:hAnsi="Arial" w:cs="Arial"/>
          <w:sz w:val="24"/>
          <w:szCs w:val="24"/>
          <w:lang w:val="en-US"/>
        </w:rPr>
        <w:t xml:space="preserve"> Scully C. Oral Cancer: the evidence for sexual transmission. Br Dent J 2005;199:203-207.</w:t>
      </w:r>
    </w:p>
    <w:p w14:paraId="726EBFBD"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lastRenderedPageBreak/>
        <w:t xml:space="preserve">66 </w:t>
      </w:r>
      <w:r w:rsidRPr="008F13F9">
        <w:rPr>
          <w:rFonts w:ascii="Arial" w:hAnsi="Arial" w:cs="Arial"/>
          <w:sz w:val="24"/>
          <w:szCs w:val="24"/>
          <w:lang w:val="en-US"/>
        </w:rPr>
        <w:t xml:space="preserve">Bodaghi S, Wood LV, Roby G, et al. Could human papillomaviruses be spread through blood? J Clin Microbiol 2005; 43: 5428-5434. </w:t>
      </w:r>
    </w:p>
    <w:p w14:paraId="1DBEB7D0"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67</w:t>
      </w:r>
      <w:r w:rsidRPr="008F13F9">
        <w:rPr>
          <w:rFonts w:ascii="Arial" w:hAnsi="Arial" w:cs="Arial"/>
          <w:sz w:val="24"/>
          <w:szCs w:val="24"/>
          <w:lang w:val="en-US"/>
        </w:rPr>
        <w:t xml:space="preserve"> Chow LT, Broker TR, Steinberg BM. The natural history of human papillomavirus infections of the mucosa epithelia. APMIS 2010; 118: 422-449.</w:t>
      </w:r>
    </w:p>
    <w:p w14:paraId="389E6DAC"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68</w:t>
      </w:r>
      <w:r w:rsidRPr="008F13F9">
        <w:rPr>
          <w:rFonts w:ascii="Arial" w:hAnsi="Arial" w:cs="Arial"/>
          <w:sz w:val="24"/>
          <w:szCs w:val="24"/>
          <w:lang w:val="en-US"/>
        </w:rPr>
        <w:t xml:space="preserve"> Culp TD, Budgeon LR, Marinkowich P, et al. Human papillomavirus bind a basal extracellular matrix component sected by keratinocytes which is distinct from a membrane-associated receptor. Virology 2006;347: 147-159.</w:t>
      </w:r>
    </w:p>
    <w:p w14:paraId="30E2216C" w14:textId="77777777" w:rsidR="0064032D" w:rsidRPr="008F13F9" w:rsidRDefault="0064032D" w:rsidP="008F13F9">
      <w:pPr>
        <w:pStyle w:val="NormalWeb"/>
        <w:spacing w:line="360" w:lineRule="auto"/>
        <w:jc w:val="both"/>
        <w:rPr>
          <w:rFonts w:ascii="Arial" w:hAnsi="Arial" w:cs="Arial"/>
          <w:sz w:val="24"/>
          <w:szCs w:val="24"/>
          <w:lang w:val="en-US"/>
        </w:rPr>
      </w:pPr>
      <w:r w:rsidRPr="008F13F9">
        <w:rPr>
          <w:rFonts w:ascii="Arial" w:hAnsi="Arial" w:cs="Arial"/>
          <w:sz w:val="24"/>
          <w:szCs w:val="24"/>
          <w:vertAlign w:val="superscript"/>
          <w:lang w:val="en-US"/>
        </w:rPr>
        <w:t>69</w:t>
      </w:r>
      <w:r w:rsidRPr="008F13F9">
        <w:rPr>
          <w:rFonts w:ascii="Arial" w:hAnsi="Arial" w:cs="Arial"/>
          <w:sz w:val="24"/>
          <w:szCs w:val="24"/>
          <w:lang w:val="en-US"/>
        </w:rPr>
        <w:t xml:space="preserve"> Frazer IH. Prevention of cervical cancer through papillomavirus vaccination, Nat Rev Immunol 2004; 4: 46-55.</w:t>
      </w:r>
    </w:p>
    <w:p w14:paraId="6E290014"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r w:rsidRPr="008F13F9">
        <w:rPr>
          <w:rFonts w:ascii="Arial" w:hAnsi="Arial" w:cs="Arial"/>
          <w:sz w:val="24"/>
          <w:szCs w:val="24"/>
          <w:vertAlign w:val="superscript"/>
          <w:lang w:val="en-US"/>
        </w:rPr>
        <w:t>70</w:t>
      </w:r>
      <w:r w:rsidRPr="008F13F9">
        <w:rPr>
          <w:rFonts w:ascii="Arial" w:hAnsi="Arial" w:cs="Arial"/>
          <w:sz w:val="24"/>
          <w:szCs w:val="24"/>
          <w:lang w:val="en-US"/>
        </w:rPr>
        <w:t xml:space="preserve"> Mueller M, Gissmann L, Cristiano RJ, et al. Papillomavirus capsid binding and uptake by cells from different tissues and species. J Virol 1995;69: 948-954.</w:t>
      </w:r>
    </w:p>
    <w:p w14:paraId="35F4E2EC"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p>
    <w:p w14:paraId="0EB241B1"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r w:rsidRPr="008F13F9">
        <w:rPr>
          <w:rFonts w:ascii="Arial" w:hAnsi="Arial" w:cs="Arial"/>
          <w:sz w:val="24"/>
          <w:szCs w:val="24"/>
          <w:vertAlign w:val="superscript"/>
          <w:lang w:val="en-US"/>
        </w:rPr>
        <w:t>71</w:t>
      </w:r>
      <w:r w:rsidRPr="008F13F9">
        <w:rPr>
          <w:rFonts w:ascii="Arial" w:hAnsi="Arial" w:cs="Arial"/>
          <w:sz w:val="24"/>
          <w:szCs w:val="24"/>
          <w:lang w:val="en-US"/>
        </w:rPr>
        <w:t xml:space="preserve"> Roden RB, Kirnbauer R, Jenson AB, et al. Interaction of papillomaviruses with the cell surface. J Virol 1995;69: 948-954.</w:t>
      </w:r>
    </w:p>
    <w:p w14:paraId="678EE17D"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p>
    <w:p w14:paraId="6F6D6F78"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72 </w:t>
      </w:r>
      <w:r w:rsidRPr="008F13F9">
        <w:rPr>
          <w:rFonts w:ascii="Arial" w:hAnsi="Arial" w:cs="Arial"/>
          <w:sz w:val="24"/>
          <w:szCs w:val="24"/>
          <w:lang w:val="en-US"/>
        </w:rPr>
        <w:t>Bruck LR, ZEE S, Poulos B, et al. Detection of cervical human papillomavirus infection by in situ hybridization in fetuses from women with squamous intraepitelial lesions. J Low Genit Tract Dis 2005; 9: 114-117.</w:t>
      </w:r>
    </w:p>
    <w:p w14:paraId="545A407C"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p>
    <w:p w14:paraId="2568B27C"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r w:rsidRPr="008F13F9">
        <w:rPr>
          <w:rFonts w:ascii="Arial" w:hAnsi="Arial" w:cs="Arial"/>
          <w:sz w:val="24"/>
          <w:szCs w:val="24"/>
          <w:vertAlign w:val="superscript"/>
          <w:lang w:val="en-US"/>
        </w:rPr>
        <w:t>73</w:t>
      </w:r>
      <w:r w:rsidRPr="008F13F9">
        <w:rPr>
          <w:rFonts w:ascii="Arial" w:hAnsi="Arial" w:cs="Arial"/>
          <w:sz w:val="24"/>
          <w:szCs w:val="24"/>
          <w:lang w:val="en-US"/>
        </w:rPr>
        <w:t xml:space="preserve"> Arena S, Marconi M, Ubertosi M, et al.: HPV and pregnacy: diagnostic methods, transmission and evolution. Minerva Ginecol 2002;54: 225-237.</w:t>
      </w:r>
    </w:p>
    <w:p w14:paraId="3C9405EE"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p>
    <w:p w14:paraId="15B44EDC"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r w:rsidRPr="008F13F9">
        <w:rPr>
          <w:rFonts w:ascii="Arial" w:hAnsi="Arial" w:cs="Arial"/>
          <w:sz w:val="24"/>
          <w:szCs w:val="24"/>
          <w:vertAlign w:val="superscript"/>
          <w:lang w:val="en-US"/>
        </w:rPr>
        <w:t xml:space="preserve">74 </w:t>
      </w:r>
      <w:r w:rsidRPr="008F13F9">
        <w:rPr>
          <w:rFonts w:ascii="Arial" w:hAnsi="Arial" w:cs="Arial"/>
          <w:sz w:val="24"/>
          <w:szCs w:val="24"/>
          <w:lang w:val="en-US"/>
        </w:rPr>
        <w:t>Syrjänen S. Current concepts on human papillomavirus infection in children. APMIS 2010; 118: 494-509.</w:t>
      </w:r>
    </w:p>
    <w:p w14:paraId="414207C4" w14:textId="77777777" w:rsidR="0064032D" w:rsidRPr="008F13F9" w:rsidRDefault="0064032D" w:rsidP="008F13F9">
      <w:pPr>
        <w:widowControl w:val="0"/>
        <w:autoSpaceDE w:val="0"/>
        <w:autoSpaceDN w:val="0"/>
        <w:adjustRightInd w:val="0"/>
        <w:spacing w:after="0" w:line="360" w:lineRule="auto"/>
        <w:jc w:val="both"/>
        <w:rPr>
          <w:rFonts w:ascii="Arial" w:hAnsi="Arial" w:cs="Arial"/>
          <w:sz w:val="24"/>
          <w:szCs w:val="24"/>
          <w:lang w:val="en-US"/>
        </w:rPr>
      </w:pPr>
    </w:p>
    <w:p w14:paraId="1D30CCBC"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vertAlign w:val="superscript"/>
        </w:rPr>
        <w:t xml:space="preserve">75 </w:t>
      </w:r>
      <w:r w:rsidRPr="008F13F9">
        <w:rPr>
          <w:rFonts w:ascii="Arial" w:hAnsi="Arial" w:cs="Arial"/>
          <w:sz w:val="24"/>
          <w:szCs w:val="24"/>
        </w:rPr>
        <w:t>Poljak, M., Cuzik, J., Kocjan., BJ., et al. Nucleic acid tests for the detection of alpha human papillomaviruses. Vaccine, 2012; 30(Suppl. 5):100–106.</w:t>
      </w:r>
    </w:p>
    <w:p w14:paraId="742B1CAA"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vertAlign w:val="superscript"/>
        </w:rPr>
        <w:lastRenderedPageBreak/>
        <w:t xml:space="preserve">76 </w:t>
      </w:r>
      <w:r w:rsidRPr="008F13F9">
        <w:rPr>
          <w:rFonts w:ascii="Arial" w:hAnsi="Arial" w:cs="Arial"/>
          <w:sz w:val="24"/>
          <w:szCs w:val="24"/>
        </w:rPr>
        <w:t>Szarewski A., Ambroisine L., Cadman L., et al. Comparison of predictors for high-grade cervical intraepithelial neoplasia in women with abnormal smears. Cancer Epidemiol Biomarkers Prev, 2008; 17: 3033–3042.</w:t>
      </w:r>
    </w:p>
    <w:p w14:paraId="34F793D4" w14:textId="77777777" w:rsidR="0064032D" w:rsidRPr="008F13F9" w:rsidRDefault="0064032D" w:rsidP="008F13F9">
      <w:pPr>
        <w:spacing w:line="360" w:lineRule="auto"/>
        <w:jc w:val="both"/>
        <w:rPr>
          <w:rFonts w:ascii="Arial" w:hAnsi="Arial" w:cs="Arial"/>
          <w:sz w:val="24"/>
          <w:szCs w:val="24"/>
        </w:rPr>
      </w:pPr>
      <w:r w:rsidRPr="008F13F9">
        <w:rPr>
          <w:rFonts w:ascii="Arial" w:hAnsi="Arial" w:cs="Arial"/>
          <w:sz w:val="24"/>
          <w:szCs w:val="24"/>
          <w:vertAlign w:val="superscript"/>
        </w:rPr>
        <w:t>77</w:t>
      </w:r>
      <w:r w:rsidRPr="008F13F9">
        <w:rPr>
          <w:rFonts w:ascii="Arial" w:hAnsi="Arial" w:cs="Arial"/>
          <w:sz w:val="24"/>
          <w:szCs w:val="24"/>
        </w:rPr>
        <w:t xml:space="preserve"> Flanagan, JJ., Ma, XJ., et al. Highrisk human papillomavirus E6/E7 mRNA detection by a novel in situ hybridization assay strongly correlates with p16 expression and patient outcomes in oropharyngealsquamous cell carcinoma. Am J Surg Pathol, 2011;35:1343–1350.</w:t>
      </w:r>
    </w:p>
    <w:p w14:paraId="18EEFF6A"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sz w:val="24"/>
          <w:szCs w:val="24"/>
          <w:vertAlign w:val="superscript"/>
        </w:rPr>
        <w:t xml:space="preserve">78 </w:t>
      </w:r>
      <w:r w:rsidRPr="008F13F9">
        <w:rPr>
          <w:rFonts w:ascii="Arial" w:hAnsi="Arial" w:cs="Arial"/>
          <w:sz w:val="24"/>
          <w:szCs w:val="24"/>
        </w:rPr>
        <w:t>Fakhry C, Gillison ML: Clinical implications of human papillomavirus in head and neck cancers. J Clin Oncol 2006;24:2606-2611.</w:t>
      </w:r>
    </w:p>
    <w:p w14:paraId="23C93F5B" w14:textId="77777777" w:rsidR="0064032D" w:rsidRPr="008F13F9" w:rsidRDefault="0064032D" w:rsidP="008F13F9">
      <w:pPr>
        <w:spacing w:before="100" w:beforeAutospacing="1" w:after="100" w:afterAutospacing="1" w:line="360" w:lineRule="auto"/>
        <w:rPr>
          <w:rFonts w:ascii="Arial" w:hAnsi="Arial" w:cs="Arial"/>
          <w:sz w:val="24"/>
          <w:szCs w:val="24"/>
        </w:rPr>
      </w:pPr>
      <w:r w:rsidRPr="008F13F9">
        <w:rPr>
          <w:rFonts w:ascii="Arial" w:hAnsi="Arial" w:cs="Arial"/>
          <w:bCs/>
          <w:sz w:val="24"/>
          <w:szCs w:val="24"/>
          <w:vertAlign w:val="superscript"/>
        </w:rPr>
        <w:t xml:space="preserve">79 </w:t>
      </w:r>
      <w:r w:rsidRPr="008F13F9">
        <w:rPr>
          <w:rFonts w:ascii="Arial" w:hAnsi="Arial" w:cs="Arial"/>
          <w:sz w:val="24"/>
          <w:szCs w:val="24"/>
        </w:rPr>
        <w:t>Mork J, Lie AK, Glattre E, et al: Human papillomavirus infection as a risk factor for squamous-cell carcinoma of the head and neck. N Engl J Med, 2001;344:1125-1131.</w:t>
      </w:r>
    </w:p>
    <w:p w14:paraId="7A904239" w14:textId="77777777" w:rsidR="0064032D" w:rsidRPr="008F13F9" w:rsidRDefault="0064032D" w:rsidP="008F13F9">
      <w:pPr>
        <w:widowControl w:val="0"/>
        <w:autoSpaceDE w:val="0"/>
        <w:autoSpaceDN w:val="0"/>
        <w:adjustRightInd w:val="0"/>
        <w:spacing w:after="0" w:line="360" w:lineRule="auto"/>
        <w:rPr>
          <w:rFonts w:ascii="Arial" w:hAnsi="Arial" w:cs="Arial"/>
          <w:sz w:val="24"/>
          <w:szCs w:val="24"/>
          <w:lang w:val="en-US"/>
        </w:rPr>
      </w:pPr>
      <w:r w:rsidRPr="008F13F9">
        <w:rPr>
          <w:rFonts w:ascii="Arial" w:hAnsi="Arial" w:cs="Arial"/>
          <w:sz w:val="24"/>
          <w:szCs w:val="24"/>
          <w:vertAlign w:val="superscript"/>
        </w:rPr>
        <w:t>80</w:t>
      </w:r>
      <w:r w:rsidRPr="008F13F9">
        <w:rPr>
          <w:rFonts w:ascii="Arial" w:hAnsi="Arial" w:cs="Arial"/>
          <w:sz w:val="24"/>
          <w:szCs w:val="24"/>
        </w:rPr>
        <w:t xml:space="preserve">  Shah JP, Gil Z. </w:t>
      </w:r>
      <w:r w:rsidRPr="008F13F9">
        <w:rPr>
          <w:rFonts w:ascii="Arial" w:hAnsi="Arial" w:cs="Arial"/>
          <w:bCs/>
          <w:sz w:val="24"/>
          <w:szCs w:val="24"/>
          <w:lang w:val="en-US"/>
        </w:rPr>
        <w:t xml:space="preserve">Current concepts in management of oral cancer – surgery, </w:t>
      </w:r>
      <w:r w:rsidRPr="008F13F9">
        <w:rPr>
          <w:rFonts w:ascii="Arial" w:hAnsi="Arial" w:cs="Arial"/>
          <w:sz w:val="24"/>
          <w:szCs w:val="24"/>
          <w:lang w:val="en-US"/>
        </w:rPr>
        <w:t>Oral Oncol. 2009 Apr-May; 45(0): 394–401.</w:t>
      </w:r>
    </w:p>
    <w:p w14:paraId="0B497F71"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hAnsi="Arial" w:cs="Arial"/>
          <w:sz w:val="24"/>
          <w:szCs w:val="24"/>
          <w:vertAlign w:val="superscript"/>
          <w:lang w:val="en-US"/>
        </w:rPr>
        <w:t>81</w:t>
      </w:r>
      <w:r w:rsidRPr="008F13F9">
        <w:rPr>
          <w:rFonts w:ascii="Arial" w:hAnsi="Arial" w:cs="Arial"/>
          <w:sz w:val="24"/>
          <w:szCs w:val="24"/>
          <w:lang w:val="en-US"/>
        </w:rPr>
        <w:t xml:space="preserve"> </w:t>
      </w:r>
      <w:r w:rsidRPr="008F13F9">
        <w:rPr>
          <w:rFonts w:ascii="Arial" w:hAnsi="Arial" w:cs="Arial"/>
          <w:sz w:val="24"/>
          <w:szCs w:val="24"/>
        </w:rPr>
        <w:t>Fakhry C, Zhang Q, Nguyen-Tan PF, et al. Human papillomavirus and overall survival after progression of oropharyngeal squamous cell carcinoma. J Clin Oncol,2014; 32:3365-3373.</w:t>
      </w:r>
    </w:p>
    <w:p w14:paraId="1DAAD9E9"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bCs/>
          <w:sz w:val="24"/>
          <w:szCs w:val="24"/>
          <w:vertAlign w:val="superscript"/>
        </w:rPr>
        <w:t>82</w:t>
      </w:r>
      <w:r w:rsidRPr="008F13F9">
        <w:rPr>
          <w:rFonts w:ascii="Arial" w:hAnsi="Arial" w:cs="Arial"/>
          <w:bCs/>
          <w:sz w:val="24"/>
          <w:szCs w:val="24"/>
        </w:rPr>
        <w:t xml:space="preserve"> </w:t>
      </w:r>
      <w:r w:rsidRPr="008F13F9">
        <w:rPr>
          <w:rFonts w:ascii="Arial" w:hAnsi="Arial" w:cs="Arial"/>
          <w:sz w:val="24"/>
          <w:szCs w:val="24"/>
        </w:rPr>
        <w:t xml:space="preserve">Kimple RJ, Smith MA, Blitzer GC, et al: Enhanced radiation sensitivity in HPV-positive head and neck cancer. Cancer Res, 2013;73:4791-4800, </w:t>
      </w:r>
    </w:p>
    <w:p w14:paraId="3E767A8A"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bCs/>
          <w:sz w:val="24"/>
          <w:szCs w:val="24"/>
          <w:vertAlign w:val="superscript"/>
        </w:rPr>
        <w:t>83</w:t>
      </w:r>
      <w:r w:rsidRPr="008F13F9">
        <w:rPr>
          <w:rFonts w:ascii="Arial" w:hAnsi="Arial" w:cs="Arial"/>
          <w:b/>
          <w:bCs/>
          <w:sz w:val="24"/>
          <w:szCs w:val="24"/>
        </w:rPr>
        <w:t xml:space="preserve"> </w:t>
      </w:r>
      <w:r w:rsidRPr="008F13F9">
        <w:rPr>
          <w:rFonts w:ascii="Arial" w:hAnsi="Arial" w:cs="Arial"/>
          <w:sz w:val="24"/>
          <w:szCs w:val="24"/>
        </w:rPr>
        <w:t>Hafkamp HC, Mooren JJ, Claessen SM, et al: P21 Cip1/WAF1 expression is strongly associated with HPV-positive tonsillar carcinoma and a favorable prognosis. Mod Pathol,2009; 22:686-698.</w:t>
      </w:r>
    </w:p>
    <w:p w14:paraId="6247D121"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bCs/>
          <w:sz w:val="24"/>
          <w:szCs w:val="24"/>
          <w:vertAlign w:val="superscript"/>
        </w:rPr>
        <w:t xml:space="preserve">84 </w:t>
      </w:r>
      <w:r w:rsidRPr="008F13F9">
        <w:rPr>
          <w:rFonts w:ascii="Arial" w:hAnsi="Arial" w:cs="Arial"/>
          <w:sz w:val="24"/>
          <w:szCs w:val="24"/>
        </w:rPr>
        <w:t>Kong CS, Narasimhan B, Cao H, et al: The relationship between human papillomavirus status and other molecular prognostic markers in head and neck squamous cell carcinomas. Int J Radiat Oncol Biol Phys,2009; 74:553-561.</w:t>
      </w:r>
    </w:p>
    <w:p w14:paraId="782EC663" w14:textId="77777777" w:rsidR="0064032D" w:rsidRPr="008F13F9" w:rsidRDefault="0064032D" w:rsidP="008F13F9">
      <w:pPr>
        <w:spacing w:before="100" w:beforeAutospacing="1" w:after="100" w:afterAutospacing="1" w:line="360" w:lineRule="auto"/>
        <w:jc w:val="both"/>
        <w:rPr>
          <w:rFonts w:ascii="Arial" w:hAnsi="Arial" w:cs="Arial"/>
          <w:sz w:val="24"/>
          <w:szCs w:val="24"/>
        </w:rPr>
      </w:pPr>
      <w:r w:rsidRPr="008F13F9">
        <w:rPr>
          <w:rFonts w:ascii="Arial" w:hAnsi="Arial" w:cs="Arial"/>
          <w:sz w:val="24"/>
          <w:szCs w:val="24"/>
          <w:vertAlign w:val="superscript"/>
        </w:rPr>
        <w:t xml:space="preserve">85 </w:t>
      </w:r>
      <w:r w:rsidRPr="008F13F9">
        <w:rPr>
          <w:rFonts w:ascii="Arial" w:hAnsi="Arial" w:cs="Arial"/>
          <w:sz w:val="24"/>
          <w:szCs w:val="24"/>
        </w:rPr>
        <w:t xml:space="preserve">Young RJ, Rischin D, Fisher R, et al: Relation- ship between epidermal growth factor receptor status, p16(INK4A), and outcome in head and neck </w:t>
      </w:r>
      <w:r w:rsidRPr="008F13F9">
        <w:rPr>
          <w:rFonts w:ascii="Arial" w:hAnsi="Arial" w:cs="Arial"/>
          <w:sz w:val="24"/>
          <w:szCs w:val="24"/>
        </w:rPr>
        <w:lastRenderedPageBreak/>
        <w:t xml:space="preserve">squamous cell carcinoma. Cancer Epidemiol Bio- markers Prev,2011; 20:1230-1237. </w:t>
      </w:r>
    </w:p>
    <w:p w14:paraId="357DB748" w14:textId="77777777" w:rsidR="0064032D" w:rsidRPr="008F13F9" w:rsidRDefault="0064032D" w:rsidP="008F13F9">
      <w:pPr>
        <w:pStyle w:val="NormalWeb"/>
        <w:spacing w:line="360" w:lineRule="auto"/>
        <w:jc w:val="both"/>
        <w:rPr>
          <w:rFonts w:ascii="Arial" w:hAnsi="Arial" w:cs="Arial"/>
          <w:sz w:val="24"/>
          <w:szCs w:val="24"/>
        </w:rPr>
      </w:pPr>
      <w:r w:rsidRPr="008F13F9">
        <w:rPr>
          <w:rFonts w:ascii="Arial" w:hAnsi="Arial" w:cs="Arial"/>
          <w:sz w:val="24"/>
          <w:szCs w:val="24"/>
          <w:vertAlign w:val="superscript"/>
        </w:rPr>
        <w:t>86</w:t>
      </w:r>
      <w:r w:rsidRPr="008F13F9">
        <w:rPr>
          <w:rFonts w:ascii="Arial" w:hAnsi="Arial" w:cs="Arial"/>
          <w:sz w:val="24"/>
          <w:szCs w:val="24"/>
        </w:rPr>
        <w:t xml:space="preserve">Argiris A, Li S, Ghebremichael M, et al. Prognostic signficance of human papillomavirus in recurrent or metastatic head and neck squamous cell cancer: An analysis of Eastern Cooperative Group trials. Ann Oncol [epub ahead of print on May 5, 2014] </w:t>
      </w:r>
    </w:p>
    <w:p w14:paraId="32ED0D9D" w14:textId="77777777" w:rsidR="0064032D" w:rsidRPr="008F13F9" w:rsidRDefault="0064032D" w:rsidP="008F13F9">
      <w:pPr>
        <w:pStyle w:val="NormalWeb"/>
        <w:spacing w:line="360" w:lineRule="auto"/>
        <w:jc w:val="both"/>
        <w:rPr>
          <w:rFonts w:ascii="Arial" w:hAnsi="Arial" w:cs="Arial"/>
          <w:iCs/>
          <w:sz w:val="24"/>
          <w:szCs w:val="24"/>
        </w:rPr>
      </w:pPr>
      <w:r w:rsidRPr="008F13F9">
        <w:rPr>
          <w:rFonts w:ascii="Arial" w:hAnsi="Arial" w:cs="Arial"/>
          <w:sz w:val="24"/>
          <w:szCs w:val="24"/>
          <w:vertAlign w:val="superscript"/>
        </w:rPr>
        <w:t xml:space="preserve">87 </w:t>
      </w:r>
      <w:r w:rsidRPr="008F13F9">
        <w:rPr>
          <w:rFonts w:ascii="Arial" w:hAnsi="Arial" w:cs="Arial"/>
          <w:sz w:val="24"/>
          <w:szCs w:val="24"/>
        </w:rPr>
        <w:t xml:space="preserve">Caňadas, M.P., Bosch, F.X., Junquera, M.L,  </w:t>
      </w:r>
      <w:r w:rsidRPr="008F13F9">
        <w:rPr>
          <w:rFonts w:ascii="Arial" w:hAnsi="Arial" w:cs="Arial"/>
          <w:iCs/>
          <w:sz w:val="24"/>
          <w:szCs w:val="24"/>
        </w:rPr>
        <w:t>et al.</w:t>
      </w:r>
      <w:r w:rsidRPr="008F13F9">
        <w:rPr>
          <w:rFonts w:ascii="Arial" w:hAnsi="Arial" w:cs="Arial"/>
          <w:sz w:val="24"/>
          <w:szCs w:val="24"/>
        </w:rPr>
        <w:t xml:space="preserve"> </w:t>
      </w:r>
      <w:r w:rsidRPr="008F13F9">
        <w:rPr>
          <w:rFonts w:ascii="Arial" w:hAnsi="Arial" w:cs="Arial"/>
          <w:iCs/>
          <w:sz w:val="24"/>
          <w:szCs w:val="24"/>
        </w:rPr>
        <w:t>Concordance of Prevalence of Human Papillomavirus DNA in Anogenital and Oral Infections in a High-Risk Population. J Clin Microbiol, Mar 2004; 42(3): 1330-1332.</w:t>
      </w:r>
    </w:p>
    <w:p w14:paraId="4B300C50" w14:textId="77777777" w:rsidR="0064032D" w:rsidRPr="008F13F9" w:rsidRDefault="0064032D" w:rsidP="008F13F9">
      <w:pPr>
        <w:pStyle w:val="NormalWeb"/>
        <w:spacing w:line="360" w:lineRule="auto"/>
        <w:jc w:val="both"/>
        <w:rPr>
          <w:rStyle w:val="slug-pages3"/>
          <w:rFonts w:ascii="Arial" w:hAnsi="Arial" w:cs="Arial"/>
          <w:b w:val="0"/>
          <w:bCs/>
          <w:sz w:val="24"/>
          <w:szCs w:val="24"/>
        </w:rPr>
      </w:pPr>
      <w:r w:rsidRPr="008F13F9">
        <w:rPr>
          <w:rFonts w:ascii="Arial" w:hAnsi="Arial" w:cs="Arial"/>
          <w:iCs/>
          <w:sz w:val="24"/>
          <w:szCs w:val="24"/>
          <w:vertAlign w:val="superscript"/>
        </w:rPr>
        <w:t>88</w:t>
      </w:r>
      <w:r w:rsidRPr="008F13F9">
        <w:rPr>
          <w:rStyle w:val="slug-pages3"/>
          <w:rFonts w:ascii="Arial" w:hAnsi="Arial" w:cs="Arial"/>
          <w:b w:val="0"/>
          <w:bCs/>
          <w:sz w:val="24"/>
          <w:szCs w:val="24"/>
        </w:rPr>
        <w:t xml:space="preserve"> Dahlgren, L., Dahlstrand, H.M., Lindquist, D., et al. Human papillomavirus is more common in base of tongue than in mobile tongue cancer and is a favorable prognostic factor in base of tongue cancer patients, Int J Cancer, 2004;112(6):1015-1019.</w:t>
      </w:r>
    </w:p>
    <w:p w14:paraId="0D552F75" w14:textId="77777777" w:rsidR="0064032D" w:rsidRPr="008F13F9" w:rsidRDefault="0064032D" w:rsidP="008F13F9">
      <w:pPr>
        <w:pStyle w:val="NormalWeb"/>
        <w:spacing w:line="360" w:lineRule="auto"/>
        <w:jc w:val="both"/>
        <w:rPr>
          <w:rStyle w:val="slug-pages3"/>
          <w:rFonts w:ascii="Arial" w:eastAsia="NimbusRomanDOT-Regular" w:hAnsi="Arial" w:cs="Arial"/>
          <w:b w:val="0"/>
          <w:sz w:val="24"/>
          <w:szCs w:val="24"/>
        </w:rPr>
      </w:pPr>
      <w:r w:rsidRPr="008F13F9">
        <w:rPr>
          <w:rFonts w:ascii="Arial" w:eastAsia="NimbusRomanDOT-Regular" w:hAnsi="Arial" w:cs="Arial"/>
          <w:sz w:val="24"/>
          <w:szCs w:val="24"/>
          <w:vertAlign w:val="superscript"/>
        </w:rPr>
        <w:t xml:space="preserve">89 </w:t>
      </w:r>
      <w:r w:rsidRPr="008F13F9">
        <w:rPr>
          <w:rFonts w:ascii="Arial" w:eastAsia="NimbusRomanDOT-Regular" w:hAnsi="Arial" w:cs="Arial"/>
          <w:sz w:val="24"/>
          <w:szCs w:val="24"/>
        </w:rPr>
        <w:t>D'Souza, G., Kreimer, A.R., Viscidi, R., et al. Case-control study of human papillomavirus and</w:t>
      </w:r>
      <w:r w:rsidRPr="008F13F9">
        <w:rPr>
          <w:rStyle w:val="slug-pages3"/>
          <w:rFonts w:ascii="Arial" w:eastAsia="NimbusRomanDOT-Regular" w:hAnsi="Arial" w:cs="Arial"/>
          <w:b w:val="0"/>
          <w:sz w:val="24"/>
          <w:szCs w:val="24"/>
        </w:rPr>
        <w:t xml:space="preserve"> oropharyngeal cancer. N Engl J Med 2007; 356:1944–1956.</w:t>
      </w:r>
    </w:p>
    <w:p w14:paraId="180A5F8B" w14:textId="77777777" w:rsidR="0064032D" w:rsidRPr="008F13F9" w:rsidRDefault="0064032D" w:rsidP="008F13F9">
      <w:pPr>
        <w:pStyle w:val="NormalWeb"/>
        <w:spacing w:line="360" w:lineRule="auto"/>
        <w:jc w:val="both"/>
        <w:rPr>
          <w:rFonts w:ascii="Arial" w:hAnsi="Arial" w:cs="Arial"/>
          <w:sz w:val="24"/>
          <w:szCs w:val="24"/>
          <w:vertAlign w:val="superscript"/>
        </w:rPr>
      </w:pPr>
      <w:r w:rsidRPr="008F13F9">
        <w:rPr>
          <w:rStyle w:val="slug-pages3"/>
          <w:rFonts w:ascii="Arial" w:eastAsia="NimbusRomanDOT-Regular" w:hAnsi="Arial" w:cs="Arial"/>
          <w:b w:val="0"/>
          <w:sz w:val="24"/>
          <w:szCs w:val="24"/>
          <w:vertAlign w:val="superscript"/>
        </w:rPr>
        <w:t>90</w:t>
      </w:r>
      <w:r w:rsidRPr="008F13F9">
        <w:rPr>
          <w:rFonts w:ascii="Arial" w:hAnsi="Arial" w:cs="Arial"/>
          <w:color w:val="00000A"/>
          <w:sz w:val="24"/>
          <w:szCs w:val="24"/>
        </w:rPr>
        <w:t xml:space="preserve"> Smith, E.M., Ritchie, J.M., Summersgill, K.F., et al.:  Age, sexual behavior and human papillomavirus infection in oral cavity and oropharyngeal cancers.  </w:t>
      </w:r>
      <w:r w:rsidRPr="008F13F9">
        <w:rPr>
          <w:rFonts w:ascii="Arial" w:hAnsi="Arial" w:cs="Arial"/>
          <w:iCs/>
          <w:color w:val="00000A"/>
          <w:sz w:val="24"/>
          <w:szCs w:val="24"/>
        </w:rPr>
        <w:t xml:space="preserve">Int J Cancer, </w:t>
      </w:r>
      <w:r w:rsidRPr="008F13F9">
        <w:rPr>
          <w:rFonts w:ascii="Arial" w:hAnsi="Arial" w:cs="Arial"/>
          <w:color w:val="00000A"/>
          <w:sz w:val="24"/>
          <w:szCs w:val="24"/>
        </w:rPr>
        <w:t>2004; 108:766-772.</w:t>
      </w:r>
    </w:p>
    <w:p w14:paraId="61000846" w14:textId="77777777" w:rsidR="0064032D" w:rsidRPr="008F13F9" w:rsidRDefault="0064032D" w:rsidP="008F13F9">
      <w:pPr>
        <w:pStyle w:val="NormalWeb"/>
        <w:spacing w:line="360" w:lineRule="auto"/>
        <w:rPr>
          <w:rStyle w:val="slug-pages3"/>
          <w:rFonts w:ascii="Arial" w:eastAsia="NimbusRomanDOT-Regular" w:hAnsi="Arial" w:cs="Arial"/>
          <w:b w:val="0"/>
          <w:bCs/>
          <w:sz w:val="24"/>
          <w:szCs w:val="24"/>
        </w:rPr>
      </w:pPr>
      <w:r w:rsidRPr="008F13F9">
        <w:rPr>
          <w:rFonts w:ascii="Arial" w:hAnsi="Arial" w:cs="Arial"/>
          <w:sz w:val="24"/>
          <w:szCs w:val="24"/>
          <w:vertAlign w:val="superscript"/>
        </w:rPr>
        <w:t>91</w:t>
      </w:r>
      <w:r w:rsidRPr="008F13F9">
        <w:rPr>
          <w:rStyle w:val="slug-pages3"/>
          <w:rFonts w:ascii="Arial" w:eastAsia="NimbusRomanDOT-Regular" w:hAnsi="Arial" w:cs="Arial"/>
          <w:b w:val="0"/>
          <w:bCs/>
          <w:sz w:val="24"/>
          <w:szCs w:val="24"/>
        </w:rPr>
        <w:t xml:space="preserve"> Koch,  A., Hansen, S.V., Nielsen, N.M., et al. HPV detection in children prior to sexual debut. Int J Cancer 1997; 73: 621-624.</w:t>
      </w:r>
    </w:p>
    <w:p w14:paraId="594A48C9" w14:textId="77777777" w:rsidR="0064032D" w:rsidRPr="008F13F9" w:rsidRDefault="0064032D" w:rsidP="008F13F9">
      <w:pPr>
        <w:pStyle w:val="NormalWeb"/>
        <w:spacing w:line="360" w:lineRule="auto"/>
        <w:rPr>
          <w:rFonts w:ascii="Arial" w:hAnsi="Arial" w:cs="Arial"/>
          <w:bCs/>
          <w:color w:val="00000A"/>
          <w:sz w:val="24"/>
          <w:szCs w:val="24"/>
        </w:rPr>
      </w:pPr>
      <w:r w:rsidRPr="008F13F9">
        <w:rPr>
          <w:rStyle w:val="slug-pages3"/>
          <w:rFonts w:ascii="Arial" w:eastAsia="NimbusRomanDOT-Regular" w:hAnsi="Arial" w:cs="Arial"/>
          <w:b w:val="0"/>
          <w:bCs/>
          <w:sz w:val="24"/>
          <w:szCs w:val="24"/>
          <w:vertAlign w:val="superscript"/>
        </w:rPr>
        <w:t xml:space="preserve">92 </w:t>
      </w:r>
      <w:r w:rsidRPr="008F13F9">
        <w:rPr>
          <w:rFonts w:ascii="Arial" w:hAnsi="Arial" w:cs="Arial"/>
          <w:bCs/>
          <w:color w:val="00000A"/>
          <w:sz w:val="24"/>
          <w:szCs w:val="24"/>
        </w:rPr>
        <w:t>Sinal, S.H., Woods, C.R. Human papilomavirus infections of the genital and respirátory tracts in young chidern. Sem Pediatr Infect Dis 2005; 16:306-316.</w:t>
      </w:r>
    </w:p>
    <w:p w14:paraId="11D71B51" w14:textId="77777777" w:rsidR="0064032D" w:rsidRPr="008F13F9" w:rsidRDefault="0064032D" w:rsidP="008F13F9">
      <w:pPr>
        <w:pStyle w:val="NormalWeb"/>
        <w:spacing w:line="360" w:lineRule="auto"/>
        <w:rPr>
          <w:rFonts w:ascii="Arial" w:hAnsi="Arial" w:cs="Arial"/>
          <w:color w:val="00000A"/>
          <w:sz w:val="24"/>
          <w:szCs w:val="24"/>
        </w:rPr>
      </w:pPr>
      <w:r w:rsidRPr="008F13F9">
        <w:rPr>
          <w:rFonts w:ascii="Arial" w:hAnsi="Arial" w:cs="Arial"/>
          <w:color w:val="00000A"/>
          <w:sz w:val="24"/>
          <w:szCs w:val="24"/>
          <w:vertAlign w:val="superscript"/>
        </w:rPr>
        <w:t xml:space="preserve">93 </w:t>
      </w:r>
      <w:r w:rsidRPr="008F13F9">
        <w:rPr>
          <w:rFonts w:ascii="Arial" w:hAnsi="Arial" w:cs="Arial"/>
          <w:color w:val="00000A"/>
          <w:sz w:val="24"/>
          <w:szCs w:val="24"/>
        </w:rPr>
        <w:t>Shah, J. Head and neck surgery and oncology. Mosby 2004</w:t>
      </w:r>
    </w:p>
    <w:p w14:paraId="043FB32B" w14:textId="77777777" w:rsidR="0064032D" w:rsidRPr="008F13F9" w:rsidRDefault="0064032D" w:rsidP="008F13F9">
      <w:pPr>
        <w:shd w:val="clear" w:color="auto" w:fill="FFFFFF"/>
        <w:spacing w:after="96" w:line="360" w:lineRule="auto"/>
        <w:rPr>
          <w:rFonts w:ascii="Arial" w:hAnsi="Arial" w:cs="Arial"/>
          <w:color w:val="00000A"/>
          <w:sz w:val="24"/>
          <w:szCs w:val="24"/>
        </w:rPr>
      </w:pPr>
      <w:r w:rsidRPr="008F13F9">
        <w:rPr>
          <w:rFonts w:ascii="Arial" w:hAnsi="Arial" w:cs="Arial"/>
          <w:color w:val="00000A"/>
          <w:sz w:val="24"/>
          <w:szCs w:val="24"/>
          <w:vertAlign w:val="superscript"/>
        </w:rPr>
        <w:t xml:space="preserve">94 </w:t>
      </w:r>
      <w:r w:rsidRPr="008F13F9">
        <w:rPr>
          <w:rFonts w:ascii="Arial" w:hAnsi="Arial" w:cs="Arial"/>
          <w:color w:val="00000A"/>
          <w:sz w:val="24"/>
          <w:szCs w:val="24"/>
        </w:rPr>
        <w:t xml:space="preserve">Schwartz, S.M., Daling, J.R., Doody, D.R., et al. Oral cancer risk in relation to sexual history and evidence of human papillomavirus infection. </w:t>
      </w:r>
      <w:r w:rsidRPr="008F13F9">
        <w:rPr>
          <w:rFonts w:ascii="Arial" w:hAnsi="Arial" w:cs="Arial"/>
          <w:iCs/>
          <w:color w:val="00000A"/>
          <w:sz w:val="24"/>
          <w:szCs w:val="24"/>
        </w:rPr>
        <w:t>J Natl Cancer Inst</w:t>
      </w:r>
      <w:r w:rsidRPr="008F13F9">
        <w:rPr>
          <w:rFonts w:ascii="Arial" w:hAnsi="Arial" w:cs="Arial"/>
          <w:color w:val="00000A"/>
          <w:sz w:val="24"/>
          <w:szCs w:val="24"/>
        </w:rPr>
        <w:t xml:space="preserve">, 1998; </w:t>
      </w:r>
      <w:r w:rsidRPr="008F13F9">
        <w:rPr>
          <w:rFonts w:ascii="Arial" w:hAnsi="Arial" w:cs="Arial"/>
          <w:bCs/>
          <w:color w:val="00000A"/>
          <w:sz w:val="24"/>
          <w:szCs w:val="24"/>
        </w:rPr>
        <w:t>90</w:t>
      </w:r>
      <w:r w:rsidRPr="008F13F9">
        <w:rPr>
          <w:rFonts w:ascii="Arial" w:hAnsi="Arial" w:cs="Arial"/>
          <w:color w:val="00000A"/>
          <w:sz w:val="24"/>
          <w:szCs w:val="24"/>
        </w:rPr>
        <w:t>:1626-36.</w:t>
      </w:r>
    </w:p>
    <w:p w14:paraId="1AC929B4" w14:textId="77777777" w:rsidR="0064032D" w:rsidRPr="008F13F9" w:rsidRDefault="0064032D" w:rsidP="008F13F9">
      <w:pPr>
        <w:shd w:val="clear" w:color="auto" w:fill="FFFFFF"/>
        <w:spacing w:after="96" w:line="360" w:lineRule="auto"/>
        <w:rPr>
          <w:rStyle w:val="slug-pages3"/>
          <w:rFonts w:ascii="Arial" w:eastAsia="NimbusRomanDOT-Regular" w:hAnsi="Arial" w:cs="Arial"/>
          <w:b w:val="0"/>
          <w:bCs/>
          <w:sz w:val="24"/>
          <w:szCs w:val="24"/>
        </w:rPr>
      </w:pPr>
      <w:r w:rsidRPr="008F13F9">
        <w:rPr>
          <w:rFonts w:ascii="Arial" w:hAnsi="Arial" w:cs="Arial"/>
          <w:color w:val="00000A"/>
          <w:sz w:val="24"/>
          <w:szCs w:val="24"/>
          <w:vertAlign w:val="superscript"/>
        </w:rPr>
        <w:lastRenderedPageBreak/>
        <w:t>95</w:t>
      </w:r>
      <w:r w:rsidRPr="008F13F9">
        <w:rPr>
          <w:rStyle w:val="slug-pages3"/>
          <w:rFonts w:ascii="Arial" w:eastAsia="NimbusRomanDOT-Regular" w:hAnsi="Arial" w:cs="Arial"/>
          <w:b w:val="0"/>
          <w:bCs/>
          <w:sz w:val="24"/>
          <w:szCs w:val="24"/>
          <w:lang w:val="de-DE"/>
        </w:rPr>
        <w:t xml:space="preserve"> Klussmann, J.P., Weissenborn, S.J., Wieland, U. </w:t>
      </w:r>
      <w:r w:rsidRPr="008F13F9">
        <w:rPr>
          <w:rStyle w:val="slug-pages3"/>
          <w:rFonts w:ascii="Arial" w:eastAsia="NimbusRomanDOT-Regular" w:hAnsi="Arial" w:cs="Arial"/>
          <w:b w:val="0"/>
          <w:bCs/>
          <w:sz w:val="24"/>
          <w:szCs w:val="24"/>
        </w:rPr>
        <w:t xml:space="preserve">Prevalence, distribution, and viral load of human papillomavirus 16 DNA in tonsillar carcinomas. </w:t>
      </w:r>
      <w:r w:rsidRPr="008F13F9">
        <w:rPr>
          <w:rStyle w:val="slug-pages3"/>
          <w:rFonts w:ascii="Arial" w:eastAsia="NimbusRomanDOT-Regular" w:hAnsi="Arial" w:cs="Arial"/>
          <w:b w:val="0"/>
          <w:bCs/>
          <w:iCs/>
          <w:sz w:val="24"/>
          <w:szCs w:val="24"/>
        </w:rPr>
        <w:t>Cancer</w:t>
      </w:r>
      <w:r w:rsidRPr="008F13F9">
        <w:rPr>
          <w:rStyle w:val="slug-pages3"/>
          <w:rFonts w:ascii="Arial" w:eastAsia="NimbusRomanDOT-Regular" w:hAnsi="Arial" w:cs="Arial"/>
          <w:b w:val="0"/>
          <w:bCs/>
          <w:sz w:val="24"/>
          <w:szCs w:val="24"/>
        </w:rPr>
        <w:t>, 2001;92:2875-84.</w:t>
      </w:r>
    </w:p>
    <w:p w14:paraId="325190E5" w14:textId="77777777" w:rsidR="0064032D" w:rsidRPr="008F13F9" w:rsidRDefault="0064032D" w:rsidP="008F13F9">
      <w:pPr>
        <w:shd w:val="clear" w:color="auto" w:fill="FFFFFF"/>
        <w:spacing w:after="96" w:line="360" w:lineRule="auto"/>
        <w:rPr>
          <w:rFonts w:ascii="Arial" w:hAnsi="Arial" w:cs="Arial"/>
          <w:color w:val="00000A"/>
          <w:sz w:val="24"/>
          <w:szCs w:val="24"/>
        </w:rPr>
      </w:pPr>
      <w:r w:rsidRPr="008F13F9">
        <w:rPr>
          <w:rStyle w:val="slug-pages3"/>
          <w:rFonts w:ascii="Arial" w:eastAsia="NimbusRomanDOT-Regular" w:hAnsi="Arial" w:cs="Arial"/>
          <w:b w:val="0"/>
          <w:bCs/>
          <w:sz w:val="24"/>
          <w:szCs w:val="24"/>
          <w:vertAlign w:val="superscript"/>
        </w:rPr>
        <w:t>96</w:t>
      </w:r>
      <w:r w:rsidRPr="008F13F9">
        <w:rPr>
          <w:rFonts w:ascii="Arial" w:hAnsi="Arial" w:cs="Arial"/>
          <w:color w:val="00000A"/>
          <w:sz w:val="24"/>
          <w:szCs w:val="24"/>
        </w:rPr>
        <w:t xml:space="preserve"> Wilczynski, S., Lin, B., Xie, Y., Paz B. Detection of human papillomavirus DNA and oncoprotein overexpression are associated with distinct morphological patterns of tonsillar squamous cell carcinoma. </w:t>
      </w:r>
      <w:r w:rsidRPr="008F13F9">
        <w:rPr>
          <w:rFonts w:ascii="Arial" w:hAnsi="Arial" w:cs="Arial"/>
          <w:iCs/>
          <w:color w:val="00000A"/>
          <w:sz w:val="24"/>
          <w:szCs w:val="24"/>
        </w:rPr>
        <w:t xml:space="preserve">Am J Pathol </w:t>
      </w:r>
      <w:r w:rsidRPr="008F13F9">
        <w:rPr>
          <w:rFonts w:ascii="Arial" w:hAnsi="Arial" w:cs="Arial"/>
          <w:color w:val="00000A"/>
          <w:sz w:val="24"/>
          <w:szCs w:val="24"/>
        </w:rPr>
        <w:t xml:space="preserve"> 1998;</w:t>
      </w:r>
      <w:r w:rsidRPr="008F13F9">
        <w:rPr>
          <w:rFonts w:ascii="Arial" w:hAnsi="Arial" w:cs="Arial"/>
          <w:bCs/>
          <w:color w:val="00000A"/>
          <w:sz w:val="24"/>
          <w:szCs w:val="24"/>
        </w:rPr>
        <w:t>152</w:t>
      </w:r>
      <w:r w:rsidRPr="008F13F9">
        <w:rPr>
          <w:rFonts w:ascii="Arial" w:hAnsi="Arial" w:cs="Arial"/>
          <w:color w:val="00000A"/>
          <w:sz w:val="24"/>
          <w:szCs w:val="24"/>
        </w:rPr>
        <w:t>:145-156.</w:t>
      </w:r>
    </w:p>
    <w:p w14:paraId="7E3064FF" w14:textId="77777777" w:rsidR="0064032D" w:rsidRPr="008F13F9" w:rsidRDefault="0064032D" w:rsidP="008F13F9">
      <w:pPr>
        <w:shd w:val="clear" w:color="auto" w:fill="FFFFFF"/>
        <w:spacing w:after="96" w:line="360" w:lineRule="auto"/>
        <w:rPr>
          <w:rFonts w:ascii="Arial" w:hAnsi="Arial" w:cs="Arial"/>
          <w:color w:val="00000A"/>
          <w:sz w:val="24"/>
          <w:szCs w:val="24"/>
        </w:rPr>
      </w:pPr>
      <w:r w:rsidRPr="008F13F9">
        <w:rPr>
          <w:rFonts w:ascii="Arial" w:hAnsi="Arial" w:cs="Arial"/>
          <w:color w:val="00000A"/>
          <w:sz w:val="24"/>
          <w:szCs w:val="24"/>
          <w:vertAlign w:val="superscript"/>
        </w:rPr>
        <w:t>97</w:t>
      </w:r>
      <w:r w:rsidRPr="008F13F9">
        <w:rPr>
          <w:rFonts w:ascii="Arial" w:hAnsi="Arial" w:cs="Arial"/>
          <w:color w:val="00000A"/>
          <w:sz w:val="24"/>
          <w:szCs w:val="24"/>
        </w:rPr>
        <w:t xml:space="preserve"> Wilczynski, S., Lin, B., Xie, Y., Paz B. Detection of human papillomavirus DNA and oncoprotein overexpression are associated with distinct morphological patterns of tonsillar squamous cell carcinoma. </w:t>
      </w:r>
      <w:r w:rsidRPr="008F13F9">
        <w:rPr>
          <w:rFonts w:ascii="Arial" w:hAnsi="Arial" w:cs="Arial"/>
          <w:iCs/>
          <w:color w:val="00000A"/>
          <w:sz w:val="24"/>
          <w:szCs w:val="24"/>
        </w:rPr>
        <w:t xml:space="preserve">Am J Pathol </w:t>
      </w:r>
      <w:r w:rsidRPr="008F13F9">
        <w:rPr>
          <w:rFonts w:ascii="Arial" w:hAnsi="Arial" w:cs="Arial"/>
          <w:color w:val="00000A"/>
          <w:sz w:val="24"/>
          <w:szCs w:val="24"/>
        </w:rPr>
        <w:t xml:space="preserve"> 1998;</w:t>
      </w:r>
      <w:r w:rsidRPr="008F13F9">
        <w:rPr>
          <w:rFonts w:ascii="Arial" w:hAnsi="Arial" w:cs="Arial"/>
          <w:bCs/>
          <w:color w:val="00000A"/>
          <w:sz w:val="24"/>
          <w:szCs w:val="24"/>
        </w:rPr>
        <w:t>152</w:t>
      </w:r>
      <w:r w:rsidRPr="008F13F9">
        <w:rPr>
          <w:rFonts w:ascii="Arial" w:hAnsi="Arial" w:cs="Arial"/>
          <w:color w:val="00000A"/>
          <w:sz w:val="24"/>
          <w:szCs w:val="24"/>
        </w:rPr>
        <w:t>:145-156.</w:t>
      </w:r>
    </w:p>
    <w:p w14:paraId="219F999A" w14:textId="77777777" w:rsidR="0064032D" w:rsidRPr="008F13F9" w:rsidRDefault="0064032D" w:rsidP="008F13F9">
      <w:pPr>
        <w:shd w:val="clear" w:color="auto" w:fill="FFFFFF"/>
        <w:spacing w:after="96" w:line="360" w:lineRule="auto"/>
        <w:rPr>
          <w:rStyle w:val="slug-pages3"/>
          <w:rFonts w:ascii="Arial" w:hAnsi="Arial" w:cs="Arial"/>
          <w:b w:val="0"/>
          <w:bCs/>
          <w:sz w:val="24"/>
          <w:szCs w:val="24"/>
        </w:rPr>
      </w:pPr>
      <w:r w:rsidRPr="008F13F9">
        <w:rPr>
          <w:rFonts w:ascii="Arial" w:hAnsi="Arial" w:cs="Arial"/>
          <w:color w:val="00000A"/>
          <w:sz w:val="24"/>
          <w:szCs w:val="24"/>
          <w:vertAlign w:val="superscript"/>
        </w:rPr>
        <w:t xml:space="preserve">98 </w:t>
      </w:r>
      <w:r w:rsidRPr="008F13F9">
        <w:rPr>
          <w:rStyle w:val="slug-pages3"/>
          <w:rFonts w:ascii="Arial" w:hAnsi="Arial" w:cs="Arial"/>
          <w:b w:val="0"/>
          <w:bCs/>
          <w:sz w:val="24"/>
          <w:szCs w:val="24"/>
        </w:rPr>
        <w:t>Dahlstrand, H.M., Dalianis, T. Presence and influence of human papillomaviruses (HPV) in tonsillar cancer. Adv Cancer Res, 2005;93:59-89.</w:t>
      </w:r>
    </w:p>
    <w:p w14:paraId="02D4724E" w14:textId="77777777" w:rsidR="0064032D" w:rsidRPr="008F13F9" w:rsidRDefault="0064032D" w:rsidP="008F13F9">
      <w:pPr>
        <w:shd w:val="clear" w:color="auto" w:fill="FFFFFF"/>
        <w:spacing w:after="96" w:line="360" w:lineRule="auto"/>
        <w:rPr>
          <w:rFonts w:ascii="Arial" w:hAnsi="Arial" w:cs="Arial"/>
          <w:sz w:val="24"/>
          <w:szCs w:val="24"/>
        </w:rPr>
      </w:pPr>
      <w:r w:rsidRPr="008F13F9">
        <w:rPr>
          <w:rStyle w:val="slug-pages3"/>
          <w:rFonts w:ascii="Arial" w:hAnsi="Arial" w:cs="Arial"/>
          <w:b w:val="0"/>
          <w:bCs/>
          <w:sz w:val="24"/>
          <w:szCs w:val="24"/>
          <w:vertAlign w:val="superscript"/>
        </w:rPr>
        <w:t>99</w:t>
      </w:r>
      <w:r w:rsidRPr="008F13F9">
        <w:rPr>
          <w:rFonts w:ascii="Arial" w:hAnsi="Arial" w:cs="Arial"/>
          <w:sz w:val="24"/>
          <w:szCs w:val="24"/>
        </w:rPr>
        <w:t xml:space="preserve"> Ang, K.K.,</w:t>
      </w:r>
      <w:r w:rsidRPr="008F13F9">
        <w:rPr>
          <w:rStyle w:val="apple-converted-space"/>
          <w:rFonts w:ascii="Arial" w:hAnsi="Arial" w:cs="Arial"/>
          <w:sz w:val="24"/>
          <w:szCs w:val="24"/>
        </w:rPr>
        <w:t> </w:t>
      </w:r>
      <w:r w:rsidRPr="008F13F9">
        <w:rPr>
          <w:rFonts w:ascii="Arial" w:hAnsi="Arial" w:cs="Arial"/>
          <w:sz w:val="24"/>
          <w:szCs w:val="24"/>
        </w:rPr>
        <w:t>Harris, J.,</w:t>
      </w:r>
      <w:r w:rsidRPr="008F13F9">
        <w:rPr>
          <w:rStyle w:val="apple-converted-space"/>
          <w:rFonts w:ascii="Arial" w:hAnsi="Arial" w:cs="Arial"/>
          <w:sz w:val="24"/>
          <w:szCs w:val="24"/>
        </w:rPr>
        <w:t> </w:t>
      </w:r>
      <w:r w:rsidRPr="008F13F9">
        <w:rPr>
          <w:rFonts w:ascii="Arial" w:hAnsi="Arial" w:cs="Arial"/>
          <w:sz w:val="24"/>
          <w:szCs w:val="24"/>
        </w:rPr>
        <w:t>Wheeler, R., et al. Human papillomavirus and survival of patients with oropharyngeal cancer. N Engl J Med, 2010 Jul 1; 363(1):24-35.</w:t>
      </w:r>
    </w:p>
    <w:p w14:paraId="2B31C725" w14:textId="77777777" w:rsidR="0064032D" w:rsidRPr="008F13F9" w:rsidRDefault="0064032D" w:rsidP="008F13F9">
      <w:pPr>
        <w:shd w:val="clear" w:color="auto" w:fill="FFFFFF"/>
        <w:spacing w:after="96" w:line="360" w:lineRule="auto"/>
        <w:rPr>
          <w:rStyle w:val="slug-pages3"/>
          <w:rFonts w:ascii="Arial" w:hAnsi="Arial" w:cs="Arial"/>
          <w:b w:val="0"/>
          <w:sz w:val="24"/>
          <w:szCs w:val="24"/>
        </w:rPr>
      </w:pPr>
      <w:r w:rsidRPr="008F13F9">
        <w:rPr>
          <w:rFonts w:ascii="Arial" w:hAnsi="Arial" w:cs="Arial"/>
          <w:sz w:val="24"/>
          <w:szCs w:val="24"/>
          <w:vertAlign w:val="superscript"/>
        </w:rPr>
        <w:t>100</w:t>
      </w:r>
      <w:r w:rsidRPr="008F13F9">
        <w:rPr>
          <w:rStyle w:val="slug-pages3"/>
          <w:rFonts w:ascii="Arial" w:hAnsi="Arial" w:cs="Arial"/>
          <w:b w:val="0"/>
          <w:sz w:val="24"/>
          <w:szCs w:val="24"/>
        </w:rPr>
        <w:t xml:space="preserve"> Fakhry, C., Westra, W.H., Li, S., et al. Improved survival of patients with human papillomavirus-positive head and neck squamous cell carcinoma in a prospective clinical trial. J Natl Cancer Inst.,</w:t>
      </w:r>
      <w:r w:rsidRPr="008F13F9">
        <w:rPr>
          <w:rStyle w:val="apple-converted-space"/>
          <w:rFonts w:ascii="Arial" w:hAnsi="Arial" w:cs="Arial"/>
          <w:bCs/>
          <w:color w:val="00000A"/>
          <w:sz w:val="24"/>
          <w:szCs w:val="24"/>
        </w:rPr>
        <w:t xml:space="preserve"> </w:t>
      </w:r>
      <w:r w:rsidRPr="008F13F9">
        <w:rPr>
          <w:rStyle w:val="slug-pages3"/>
          <w:rFonts w:ascii="Arial" w:hAnsi="Arial" w:cs="Arial"/>
          <w:b w:val="0"/>
          <w:sz w:val="24"/>
          <w:szCs w:val="24"/>
        </w:rPr>
        <w:t>2008 Feb 20;100(4):261-269.</w:t>
      </w:r>
    </w:p>
    <w:p w14:paraId="2FB1A1BF" w14:textId="77777777" w:rsidR="0064032D" w:rsidRPr="008F13F9" w:rsidRDefault="0064032D" w:rsidP="008F13F9">
      <w:pPr>
        <w:shd w:val="clear" w:color="auto" w:fill="FFFFFF"/>
        <w:spacing w:after="96" w:line="360" w:lineRule="auto"/>
        <w:rPr>
          <w:rStyle w:val="slug-pages3"/>
          <w:rFonts w:ascii="Arial" w:eastAsia="NimbusRomanDOT-Regular" w:hAnsi="Arial" w:cs="Arial"/>
          <w:b w:val="0"/>
          <w:bCs/>
          <w:sz w:val="24"/>
          <w:szCs w:val="24"/>
        </w:rPr>
      </w:pPr>
      <w:r w:rsidRPr="008F13F9">
        <w:rPr>
          <w:rStyle w:val="slug-pages3"/>
          <w:rFonts w:ascii="Arial" w:hAnsi="Arial" w:cs="Arial"/>
          <w:b w:val="0"/>
          <w:sz w:val="24"/>
          <w:szCs w:val="24"/>
          <w:vertAlign w:val="superscript"/>
        </w:rPr>
        <w:t xml:space="preserve">101 </w:t>
      </w:r>
      <w:r w:rsidRPr="008F13F9">
        <w:rPr>
          <w:rStyle w:val="slug-pages3"/>
          <w:rFonts w:ascii="Arial" w:eastAsia="NimbusRomanDOT-Regular" w:hAnsi="Arial" w:cs="Arial"/>
          <w:b w:val="0"/>
          <w:bCs/>
          <w:sz w:val="24"/>
          <w:szCs w:val="24"/>
        </w:rPr>
        <w:t>Gillison, M. L.,Harris, J.,Westra,W. et al. Survival outcomes by tumor human papillomavirus (HPV) status in stage III-IV oropharyngeal cancer (OPC) in RTOG 0129 (Abstract). J Clin Oncol 2009;27(Suppl 15), Abstrakt 6003.</w:t>
      </w:r>
    </w:p>
    <w:p w14:paraId="4C96FBEB" w14:textId="77777777" w:rsidR="0064032D" w:rsidRPr="008F13F9" w:rsidRDefault="0064032D" w:rsidP="008F13F9">
      <w:pPr>
        <w:shd w:val="clear" w:color="auto" w:fill="FFFFFF"/>
        <w:spacing w:after="96" w:line="360" w:lineRule="auto"/>
        <w:rPr>
          <w:rStyle w:val="slug-pages3"/>
          <w:rFonts w:ascii="Arial" w:eastAsia="NimbusRomanDOT-Regular" w:hAnsi="Arial" w:cs="Arial"/>
          <w:b w:val="0"/>
          <w:bCs/>
          <w:sz w:val="24"/>
          <w:szCs w:val="24"/>
        </w:rPr>
      </w:pPr>
      <w:r w:rsidRPr="008F13F9">
        <w:rPr>
          <w:rStyle w:val="slug-pages3"/>
          <w:rFonts w:ascii="Arial" w:eastAsia="NimbusRomanDOT-Regular" w:hAnsi="Arial" w:cs="Arial"/>
          <w:b w:val="0"/>
          <w:sz w:val="24"/>
          <w:szCs w:val="24"/>
          <w:vertAlign w:val="superscript"/>
        </w:rPr>
        <w:t xml:space="preserve">102 </w:t>
      </w:r>
      <w:r w:rsidRPr="008F13F9">
        <w:rPr>
          <w:rStyle w:val="slug-pages3"/>
          <w:rFonts w:ascii="Arial" w:eastAsia="NimbusRomanDOT-Regular" w:hAnsi="Arial" w:cs="Arial"/>
          <w:b w:val="0"/>
          <w:sz w:val="24"/>
          <w:szCs w:val="24"/>
        </w:rPr>
        <w:t xml:space="preserve">Fischer, C.A., Zlobec I., Green E., et al. </w:t>
      </w:r>
      <w:r w:rsidRPr="008F13F9">
        <w:rPr>
          <w:rStyle w:val="slug-pages3"/>
          <w:rFonts w:ascii="Arial" w:eastAsia="NimbusRomanDOT-Regular" w:hAnsi="Arial" w:cs="Arial"/>
          <w:b w:val="0"/>
          <w:bCs/>
          <w:sz w:val="24"/>
          <w:szCs w:val="24"/>
        </w:rPr>
        <w:t>Is the improved prognosis of p16 positive oropharyngeal squamous cell carcinoma dependent of the treatment modality? Int. J. Cancer 2010;126:1256–1262.</w:t>
      </w:r>
    </w:p>
    <w:p w14:paraId="574B56EA" w14:textId="77777777" w:rsidR="0064032D" w:rsidRPr="008F13F9" w:rsidRDefault="0064032D" w:rsidP="008F13F9">
      <w:pPr>
        <w:pStyle w:val="NormalWeb"/>
        <w:spacing w:line="360" w:lineRule="auto"/>
        <w:rPr>
          <w:rFonts w:ascii="Arial" w:hAnsi="Arial" w:cs="Arial"/>
          <w:sz w:val="24"/>
          <w:szCs w:val="24"/>
        </w:rPr>
      </w:pPr>
      <w:r w:rsidRPr="008F13F9">
        <w:rPr>
          <w:rFonts w:ascii="Arial" w:hAnsi="Arial" w:cs="Arial"/>
          <w:sz w:val="24"/>
          <w:szCs w:val="24"/>
          <w:vertAlign w:val="superscript"/>
        </w:rPr>
        <w:t>103</w:t>
      </w:r>
      <w:r w:rsidRPr="008F13F9">
        <w:rPr>
          <w:rFonts w:ascii="Arial" w:hAnsi="Arial" w:cs="Arial"/>
          <w:sz w:val="24"/>
          <w:szCs w:val="24"/>
        </w:rPr>
        <w:t xml:space="preserve"> Rischin D, Young RJ, Fisher R et al. Prognostic significance of p16INK4A and human papillomavirus in patients with oropharyngeal cancer treated on TROG 02.02 phase III trial. J Clin Oncol 2010; 28(27): 4142–4148. </w:t>
      </w:r>
    </w:p>
    <w:p w14:paraId="0052221C" w14:textId="77777777" w:rsidR="0064032D" w:rsidRPr="008F13F9" w:rsidRDefault="0064032D" w:rsidP="008F13F9">
      <w:pPr>
        <w:pStyle w:val="NormalWeb"/>
        <w:spacing w:line="360" w:lineRule="auto"/>
        <w:rPr>
          <w:rFonts w:ascii="Arial" w:hAnsi="Arial" w:cs="Arial"/>
          <w:sz w:val="24"/>
          <w:szCs w:val="24"/>
        </w:rPr>
      </w:pPr>
      <w:r w:rsidRPr="008F13F9">
        <w:rPr>
          <w:rFonts w:ascii="Arial" w:hAnsi="Arial" w:cs="Arial"/>
          <w:sz w:val="24"/>
          <w:szCs w:val="24"/>
          <w:vertAlign w:val="superscript"/>
        </w:rPr>
        <w:t>104</w:t>
      </w:r>
      <w:r w:rsidRPr="008F13F9">
        <w:rPr>
          <w:rFonts w:ascii="Arial" w:hAnsi="Arial" w:cs="Arial"/>
          <w:sz w:val="24"/>
          <w:szCs w:val="24"/>
        </w:rPr>
        <w:t xml:space="preserve"> Psyrri A, Cohen E. Oropharyngeal cancer: clinical implications of the HPV connection. Annals of Oncology 2011; 22: 997–999.  </w:t>
      </w:r>
    </w:p>
    <w:p w14:paraId="69F32A24" w14:textId="77777777" w:rsidR="0064032D" w:rsidRPr="008F13F9" w:rsidRDefault="0064032D" w:rsidP="008F13F9">
      <w:pPr>
        <w:pStyle w:val="NormalWeb"/>
        <w:spacing w:line="360" w:lineRule="auto"/>
        <w:rPr>
          <w:rStyle w:val="slug-pages3"/>
          <w:rFonts w:ascii="Arial" w:hAnsi="Arial" w:cs="Arial"/>
          <w:b w:val="0"/>
          <w:sz w:val="24"/>
          <w:szCs w:val="24"/>
        </w:rPr>
      </w:pPr>
      <w:r w:rsidRPr="008F13F9">
        <w:rPr>
          <w:rFonts w:ascii="Arial" w:hAnsi="Arial" w:cs="Arial"/>
          <w:sz w:val="24"/>
          <w:szCs w:val="24"/>
          <w:vertAlign w:val="superscript"/>
        </w:rPr>
        <w:lastRenderedPageBreak/>
        <w:t>105</w:t>
      </w:r>
      <w:r w:rsidRPr="008F13F9">
        <w:rPr>
          <w:rStyle w:val="slug-pages3"/>
          <w:rFonts w:ascii="Arial" w:eastAsia="NimbusRomanDOT-Regular" w:hAnsi="Arial" w:cs="Arial"/>
          <w:b w:val="0"/>
          <w:bCs/>
          <w:sz w:val="24"/>
          <w:szCs w:val="24"/>
        </w:rPr>
        <w:t xml:space="preserve"> NCCN Guidelines Version 2.2013. National Comperhensive Cancer Network, Inc. 2013. </w:t>
      </w:r>
    </w:p>
    <w:p w14:paraId="30A49A19" w14:textId="77777777" w:rsidR="0064032D" w:rsidRPr="008F13F9" w:rsidRDefault="0064032D" w:rsidP="008F13F9">
      <w:pPr>
        <w:autoSpaceDE w:val="0"/>
        <w:autoSpaceDN w:val="0"/>
        <w:adjustRightInd w:val="0"/>
        <w:spacing w:after="0" w:line="360" w:lineRule="auto"/>
        <w:rPr>
          <w:rFonts w:ascii="Arial" w:hAnsi="Arial" w:cs="Arial"/>
          <w:sz w:val="24"/>
          <w:szCs w:val="24"/>
          <w:lang w:eastAsia="cs-CZ"/>
        </w:rPr>
      </w:pPr>
      <w:r w:rsidRPr="008F13F9">
        <w:rPr>
          <w:rFonts w:ascii="Arial" w:hAnsi="Arial" w:cs="Arial"/>
          <w:color w:val="2E2E2E"/>
          <w:sz w:val="24"/>
          <w:szCs w:val="24"/>
          <w:vertAlign w:val="superscript"/>
          <w:lang w:eastAsia="cs-CZ"/>
        </w:rPr>
        <w:t xml:space="preserve">106 </w:t>
      </w:r>
      <w:r w:rsidRPr="008F13F9">
        <w:rPr>
          <w:rFonts w:ascii="Arial" w:hAnsi="Arial" w:cs="Arial"/>
          <w:color w:val="2E2E2E"/>
          <w:sz w:val="24"/>
          <w:szCs w:val="24"/>
          <w:lang w:eastAsia="cs-CZ"/>
        </w:rPr>
        <w:t xml:space="preserve">Kurose K, Terai M, Soedarsono N, et al.: </w:t>
      </w:r>
      <w:r w:rsidRPr="008F13F9">
        <w:rPr>
          <w:rFonts w:ascii="Arial" w:hAnsi="Arial" w:cs="Arial"/>
          <w:sz w:val="24"/>
          <w:szCs w:val="24"/>
          <w:lang w:eastAsia="cs-CZ"/>
        </w:rPr>
        <w:t>Low prevalence of HPV infection and its natural history in normal oral mucosa among volunteers on Miyako Island, Japan. Oral Surg Oral Med Oral Pathol Oral Radiol Endod 2004; 98:91-6.</w:t>
      </w:r>
    </w:p>
    <w:p w14:paraId="35B86BFA" w14:textId="77777777" w:rsidR="0064032D" w:rsidRPr="008F13F9" w:rsidRDefault="0064032D" w:rsidP="008F13F9">
      <w:pPr>
        <w:autoSpaceDE w:val="0"/>
        <w:autoSpaceDN w:val="0"/>
        <w:adjustRightInd w:val="0"/>
        <w:spacing w:after="0" w:line="360" w:lineRule="auto"/>
        <w:rPr>
          <w:rFonts w:ascii="Arial" w:hAnsi="Arial" w:cs="Arial"/>
          <w:iCs/>
          <w:sz w:val="24"/>
          <w:szCs w:val="24"/>
          <w:lang w:eastAsia="cs-CZ"/>
        </w:rPr>
      </w:pPr>
      <w:r w:rsidRPr="008F13F9">
        <w:rPr>
          <w:rFonts w:ascii="Arial" w:hAnsi="Arial" w:cs="Arial"/>
          <w:sz w:val="24"/>
          <w:szCs w:val="24"/>
          <w:vertAlign w:val="superscript"/>
          <w:lang w:eastAsia="cs-CZ"/>
        </w:rPr>
        <w:t>107</w:t>
      </w:r>
      <w:r w:rsidRPr="008F13F9">
        <w:rPr>
          <w:rFonts w:ascii="Arial" w:hAnsi="Arial" w:cs="Arial"/>
          <w:i/>
          <w:iCs/>
          <w:sz w:val="24"/>
          <w:szCs w:val="24"/>
          <w:lang w:eastAsia="cs-CZ"/>
        </w:rPr>
        <w:t xml:space="preserve">  </w:t>
      </w:r>
      <w:r w:rsidRPr="008F13F9">
        <w:rPr>
          <w:rFonts w:ascii="Arial" w:hAnsi="Arial" w:cs="Arial"/>
          <w:iCs/>
          <w:sz w:val="24"/>
          <w:szCs w:val="24"/>
          <w:lang w:eastAsia="cs-CZ"/>
        </w:rPr>
        <w:t>Chaturvedi AK, Anderson WF,Lortet-Tieulent J, et al.</w:t>
      </w:r>
      <w:r w:rsidRPr="008F13F9">
        <w:rPr>
          <w:rFonts w:ascii="Arial" w:hAnsi="Arial" w:cs="Arial"/>
          <w:sz w:val="24"/>
          <w:szCs w:val="24"/>
          <w:lang w:eastAsia="cs-CZ"/>
        </w:rPr>
        <w:t xml:space="preserve"> Worldwide Trends in Incidence Rates for Oral Cavity and Oropharyngeal Cancers, </w:t>
      </w:r>
      <w:r w:rsidRPr="008F13F9">
        <w:rPr>
          <w:rFonts w:ascii="Arial" w:hAnsi="Arial" w:cs="Arial"/>
          <w:iCs/>
          <w:sz w:val="24"/>
          <w:szCs w:val="24"/>
          <w:lang w:eastAsia="cs-CZ"/>
        </w:rPr>
        <w:t xml:space="preserve">J Clin Oncol 2013; 31:4550-4559. </w:t>
      </w:r>
    </w:p>
    <w:p w14:paraId="7F1326D0" w14:textId="77777777" w:rsidR="0064032D" w:rsidRPr="008F13F9" w:rsidRDefault="0064032D" w:rsidP="008F13F9">
      <w:pPr>
        <w:autoSpaceDE w:val="0"/>
        <w:autoSpaceDN w:val="0"/>
        <w:adjustRightInd w:val="0"/>
        <w:spacing w:after="0" w:line="360" w:lineRule="auto"/>
        <w:rPr>
          <w:rFonts w:ascii="Arial" w:hAnsi="Arial" w:cs="Arial"/>
          <w:sz w:val="24"/>
          <w:szCs w:val="24"/>
          <w:lang w:eastAsia="cs-CZ"/>
        </w:rPr>
      </w:pPr>
      <w:r w:rsidRPr="008F13F9">
        <w:rPr>
          <w:rFonts w:ascii="Arial" w:hAnsi="Arial" w:cs="Arial"/>
          <w:sz w:val="24"/>
          <w:szCs w:val="24"/>
          <w:vertAlign w:val="superscript"/>
          <w:lang w:eastAsia="cs-CZ"/>
        </w:rPr>
        <w:t xml:space="preserve">108 </w:t>
      </w:r>
      <w:r w:rsidRPr="008F13F9">
        <w:rPr>
          <w:rFonts w:ascii="Arial" w:hAnsi="Arial" w:cs="Arial"/>
          <w:sz w:val="24"/>
          <w:szCs w:val="24"/>
          <w:lang w:eastAsia="cs-CZ"/>
        </w:rPr>
        <w:t>Herrero R, Castellsague´ X, Pawlita M, et al: Human papillomavirus and oral cancer: The International Agency for Research on Cancer multicenter study. J Natl Cancer Inst 2003; 95:1772-1783.</w:t>
      </w:r>
    </w:p>
    <w:p w14:paraId="1CC50754" w14:textId="77777777" w:rsidR="0064032D" w:rsidRPr="008F13F9" w:rsidRDefault="0064032D" w:rsidP="008F13F9">
      <w:pPr>
        <w:autoSpaceDE w:val="0"/>
        <w:autoSpaceDN w:val="0"/>
        <w:adjustRightInd w:val="0"/>
        <w:spacing w:after="0" w:line="360" w:lineRule="auto"/>
        <w:rPr>
          <w:rFonts w:ascii="Arial" w:hAnsi="Arial" w:cs="Arial"/>
          <w:sz w:val="24"/>
          <w:szCs w:val="24"/>
          <w:lang w:eastAsia="cs-CZ"/>
        </w:rPr>
      </w:pPr>
      <w:r w:rsidRPr="008F13F9">
        <w:rPr>
          <w:rFonts w:ascii="Arial" w:hAnsi="Arial" w:cs="Arial"/>
          <w:bCs/>
          <w:sz w:val="24"/>
          <w:szCs w:val="24"/>
          <w:vertAlign w:val="superscript"/>
          <w:lang w:eastAsia="cs-CZ"/>
        </w:rPr>
        <w:t>109</w:t>
      </w:r>
      <w:r w:rsidRPr="008F13F9">
        <w:rPr>
          <w:rFonts w:ascii="Arial" w:hAnsi="Arial" w:cs="Arial"/>
          <w:b/>
          <w:bCs/>
          <w:sz w:val="24"/>
          <w:szCs w:val="24"/>
          <w:lang w:eastAsia="cs-CZ"/>
        </w:rPr>
        <w:t xml:space="preserve"> </w:t>
      </w:r>
      <w:r w:rsidRPr="008F13F9">
        <w:rPr>
          <w:rFonts w:ascii="Arial" w:hAnsi="Arial" w:cs="Arial"/>
          <w:sz w:val="24"/>
          <w:szCs w:val="24"/>
          <w:lang w:eastAsia="cs-CZ"/>
        </w:rPr>
        <w:t>Ribeiro KB, Levi JE, Pawlita M, et al: Low human papillomavirus prevalence in head and neck cancer: Results from two large case-control studies in highincidence regions. Int J Epidemiol 2011;40:489-502.</w:t>
      </w:r>
    </w:p>
    <w:p w14:paraId="4DB6EE77" w14:textId="77777777" w:rsidR="0064032D" w:rsidRPr="008F13F9" w:rsidRDefault="0064032D" w:rsidP="008F13F9">
      <w:pPr>
        <w:autoSpaceDE w:val="0"/>
        <w:autoSpaceDN w:val="0"/>
        <w:adjustRightInd w:val="0"/>
        <w:spacing w:after="0" w:line="360" w:lineRule="auto"/>
        <w:rPr>
          <w:rStyle w:val="slug-pages3"/>
          <w:rFonts w:ascii="Arial" w:eastAsia="NimbusRomanDOT-Regular" w:hAnsi="Arial" w:cs="Arial"/>
          <w:b w:val="0"/>
          <w:bCs/>
          <w:sz w:val="24"/>
          <w:szCs w:val="24"/>
        </w:rPr>
      </w:pPr>
      <w:r w:rsidRPr="008F13F9">
        <w:rPr>
          <w:rFonts w:ascii="Arial" w:hAnsi="Arial" w:cs="Arial"/>
          <w:sz w:val="24"/>
          <w:szCs w:val="24"/>
          <w:vertAlign w:val="superscript"/>
          <w:lang w:eastAsia="cs-CZ"/>
        </w:rPr>
        <w:t xml:space="preserve">110 </w:t>
      </w:r>
      <w:r w:rsidRPr="008F13F9">
        <w:rPr>
          <w:rFonts w:ascii="Arial" w:hAnsi="Arial" w:cs="Arial"/>
          <w:sz w:val="24"/>
          <w:szCs w:val="24"/>
          <w:lang w:eastAsia="cs-CZ"/>
        </w:rPr>
        <w:t>Klozar J, Tachezy R, Rotnáglová E, et al. Human papillomavirus in head and neck tumors: epidemiological, molecular and clinical aspects. Wien Med Wochenschr 2010;160/11:305-309.</w:t>
      </w:r>
    </w:p>
    <w:sectPr w:rsidR="0064032D" w:rsidRPr="008F13F9" w:rsidSect="00C47DD0">
      <w:footerReference w:type="default" r:id="rId19"/>
      <w:pgSz w:w="11900" w:h="16840"/>
      <w:pgMar w:top="1440" w:right="1800" w:bottom="1440" w:left="1800" w:header="708" w:footer="708" w:gutter="0"/>
      <w:pgNumType w:start="0"/>
      <w:cols w:space="708"/>
      <w:titlePg/>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CBA5F" w14:textId="77777777" w:rsidR="00CB49B3" w:rsidRDefault="00CB49B3" w:rsidP="0099430C">
      <w:pPr>
        <w:spacing w:after="0" w:line="240" w:lineRule="auto"/>
      </w:pPr>
      <w:r>
        <w:separator/>
      </w:r>
    </w:p>
  </w:endnote>
  <w:endnote w:type="continuationSeparator" w:id="0">
    <w:p w14:paraId="091E304C" w14:textId="77777777" w:rsidR="00CB49B3" w:rsidRDefault="00CB49B3" w:rsidP="00994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ZapfHumnst BT">
    <w:altName w:val="Arial"/>
    <w:panose1 w:val="00000000000000000000"/>
    <w:charset w:val="00"/>
    <w:family w:val="swiss"/>
    <w:notTrueType/>
    <w:pitch w:val="default"/>
    <w:sig w:usb0="00000003" w:usb1="00000000" w:usb2="00000000" w:usb3="00000000" w:csb0="00000001" w:csb1="00000000"/>
  </w:font>
  <w:font w:name="Lucida Grande CE">
    <w:panose1 w:val="020B0600040502020204"/>
    <w:charset w:val="58"/>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ZapfHumnst Dm BT">
    <w:altName w:val="Times New Roman"/>
    <w:panose1 w:val="00000000000000000000"/>
    <w:charset w:val="00"/>
    <w:family w:val="roman"/>
    <w:notTrueType/>
    <w:pitch w:val="default"/>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NimbusRomanDOT-Regular">
    <w:altName w:val="?l?r ??fc"/>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DC73E" w14:textId="77777777" w:rsidR="00CB49B3" w:rsidRDefault="00CB49B3">
    <w:pPr>
      <w:pStyle w:val="Footer"/>
      <w:jc w:val="center"/>
    </w:pPr>
    <w:r>
      <w:fldChar w:fldCharType="begin"/>
    </w:r>
    <w:r>
      <w:instrText>PAGE   \* MERGEFORMAT</w:instrText>
    </w:r>
    <w:r>
      <w:fldChar w:fldCharType="separate"/>
    </w:r>
    <w:r w:rsidR="00695F47">
      <w:rPr>
        <w:noProof/>
      </w:rPr>
      <w:t>68</w:t>
    </w:r>
    <w:r>
      <w:rPr>
        <w:noProof/>
      </w:rPr>
      <w:fldChar w:fldCharType="end"/>
    </w:r>
  </w:p>
  <w:p w14:paraId="1C5167F2" w14:textId="77777777" w:rsidR="00CB49B3" w:rsidRDefault="00CB49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67D99" w14:textId="77777777" w:rsidR="00CB49B3" w:rsidRDefault="00CB49B3" w:rsidP="0099430C">
      <w:pPr>
        <w:spacing w:after="0" w:line="240" w:lineRule="auto"/>
      </w:pPr>
      <w:r>
        <w:separator/>
      </w:r>
    </w:p>
  </w:footnote>
  <w:footnote w:type="continuationSeparator" w:id="0">
    <w:p w14:paraId="7C006789" w14:textId="77777777" w:rsidR="00CB49B3" w:rsidRDefault="00CB49B3" w:rsidP="0099430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1DF0827"/>
    <w:multiLevelType w:val="multilevel"/>
    <w:tmpl w:val="F094E896"/>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200638F"/>
    <w:multiLevelType w:val="hybridMultilevel"/>
    <w:tmpl w:val="4FC6E50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03CF392B"/>
    <w:multiLevelType w:val="hybridMultilevel"/>
    <w:tmpl w:val="D0DE928A"/>
    <w:lvl w:ilvl="0" w:tplc="47B09B1A">
      <w:numFmt w:val="bullet"/>
      <w:lvlText w:val="-"/>
      <w:lvlJc w:val="left"/>
      <w:pPr>
        <w:ind w:left="720" w:hanging="360"/>
      </w:pPr>
      <w:rPr>
        <w:rFonts w:ascii="Arial" w:eastAsia="MS ??" w:hAnsi="Arial" w:hint="default"/>
        <w:color w:val="auto"/>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C4604A"/>
    <w:multiLevelType w:val="multilevel"/>
    <w:tmpl w:val="78FA73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12F7459"/>
    <w:multiLevelType w:val="hybridMultilevel"/>
    <w:tmpl w:val="8C60A13A"/>
    <w:lvl w:ilvl="0" w:tplc="D018DD36">
      <w:start w:val="1"/>
      <w:numFmt w:val="bullet"/>
      <w:lvlText w:val=""/>
      <w:lvlJc w:val="left"/>
      <w:pPr>
        <w:tabs>
          <w:tab w:val="num" w:pos="720"/>
        </w:tabs>
        <w:ind w:left="720" w:hanging="360"/>
      </w:pPr>
      <w:rPr>
        <w:rFonts w:ascii="Wingdings" w:hAnsi="Wingdings" w:hint="default"/>
      </w:rPr>
    </w:lvl>
    <w:lvl w:ilvl="1" w:tplc="E312ABD0" w:tentative="1">
      <w:start w:val="1"/>
      <w:numFmt w:val="bullet"/>
      <w:lvlText w:val=""/>
      <w:lvlJc w:val="left"/>
      <w:pPr>
        <w:tabs>
          <w:tab w:val="num" w:pos="1440"/>
        </w:tabs>
        <w:ind w:left="1440" w:hanging="360"/>
      </w:pPr>
      <w:rPr>
        <w:rFonts w:ascii="Wingdings" w:hAnsi="Wingdings" w:hint="default"/>
      </w:rPr>
    </w:lvl>
    <w:lvl w:ilvl="2" w:tplc="FD182020" w:tentative="1">
      <w:start w:val="1"/>
      <w:numFmt w:val="bullet"/>
      <w:lvlText w:val=""/>
      <w:lvlJc w:val="left"/>
      <w:pPr>
        <w:tabs>
          <w:tab w:val="num" w:pos="2160"/>
        </w:tabs>
        <w:ind w:left="2160" w:hanging="360"/>
      </w:pPr>
      <w:rPr>
        <w:rFonts w:ascii="Wingdings" w:hAnsi="Wingdings" w:hint="default"/>
      </w:rPr>
    </w:lvl>
    <w:lvl w:ilvl="3" w:tplc="E2161140" w:tentative="1">
      <w:start w:val="1"/>
      <w:numFmt w:val="bullet"/>
      <w:lvlText w:val=""/>
      <w:lvlJc w:val="left"/>
      <w:pPr>
        <w:tabs>
          <w:tab w:val="num" w:pos="2880"/>
        </w:tabs>
        <w:ind w:left="2880" w:hanging="360"/>
      </w:pPr>
      <w:rPr>
        <w:rFonts w:ascii="Wingdings" w:hAnsi="Wingdings" w:hint="default"/>
      </w:rPr>
    </w:lvl>
    <w:lvl w:ilvl="4" w:tplc="0BD685B2" w:tentative="1">
      <w:start w:val="1"/>
      <w:numFmt w:val="bullet"/>
      <w:lvlText w:val=""/>
      <w:lvlJc w:val="left"/>
      <w:pPr>
        <w:tabs>
          <w:tab w:val="num" w:pos="3600"/>
        </w:tabs>
        <w:ind w:left="3600" w:hanging="360"/>
      </w:pPr>
      <w:rPr>
        <w:rFonts w:ascii="Wingdings" w:hAnsi="Wingdings" w:hint="default"/>
      </w:rPr>
    </w:lvl>
    <w:lvl w:ilvl="5" w:tplc="7A7411C8" w:tentative="1">
      <w:start w:val="1"/>
      <w:numFmt w:val="bullet"/>
      <w:lvlText w:val=""/>
      <w:lvlJc w:val="left"/>
      <w:pPr>
        <w:tabs>
          <w:tab w:val="num" w:pos="4320"/>
        </w:tabs>
        <w:ind w:left="4320" w:hanging="360"/>
      </w:pPr>
      <w:rPr>
        <w:rFonts w:ascii="Wingdings" w:hAnsi="Wingdings" w:hint="default"/>
      </w:rPr>
    </w:lvl>
    <w:lvl w:ilvl="6" w:tplc="68A0400A" w:tentative="1">
      <w:start w:val="1"/>
      <w:numFmt w:val="bullet"/>
      <w:lvlText w:val=""/>
      <w:lvlJc w:val="left"/>
      <w:pPr>
        <w:tabs>
          <w:tab w:val="num" w:pos="5040"/>
        </w:tabs>
        <w:ind w:left="5040" w:hanging="360"/>
      </w:pPr>
      <w:rPr>
        <w:rFonts w:ascii="Wingdings" w:hAnsi="Wingdings" w:hint="default"/>
      </w:rPr>
    </w:lvl>
    <w:lvl w:ilvl="7" w:tplc="0B74B5F2" w:tentative="1">
      <w:start w:val="1"/>
      <w:numFmt w:val="bullet"/>
      <w:lvlText w:val=""/>
      <w:lvlJc w:val="left"/>
      <w:pPr>
        <w:tabs>
          <w:tab w:val="num" w:pos="5760"/>
        </w:tabs>
        <w:ind w:left="5760" w:hanging="360"/>
      </w:pPr>
      <w:rPr>
        <w:rFonts w:ascii="Wingdings" w:hAnsi="Wingdings" w:hint="default"/>
      </w:rPr>
    </w:lvl>
    <w:lvl w:ilvl="8" w:tplc="A6CECE72" w:tentative="1">
      <w:start w:val="1"/>
      <w:numFmt w:val="bullet"/>
      <w:lvlText w:val=""/>
      <w:lvlJc w:val="left"/>
      <w:pPr>
        <w:tabs>
          <w:tab w:val="num" w:pos="6480"/>
        </w:tabs>
        <w:ind w:left="6480" w:hanging="360"/>
      </w:pPr>
      <w:rPr>
        <w:rFonts w:ascii="Wingdings" w:hAnsi="Wingdings" w:hint="default"/>
      </w:rPr>
    </w:lvl>
  </w:abstractNum>
  <w:abstractNum w:abstractNumId="6">
    <w:nsid w:val="1E887536"/>
    <w:multiLevelType w:val="multilevel"/>
    <w:tmpl w:val="EC6A3D60"/>
    <w:lvl w:ilvl="0">
      <w:start w:val="1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67A61A4"/>
    <w:multiLevelType w:val="multilevel"/>
    <w:tmpl w:val="5C220100"/>
    <w:lvl w:ilvl="0">
      <w:start w:val="1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8F278F9"/>
    <w:multiLevelType w:val="multilevel"/>
    <w:tmpl w:val="51A81A92"/>
    <w:lvl w:ilvl="0">
      <w:start w:val="1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9956DB9"/>
    <w:multiLevelType w:val="hybridMultilevel"/>
    <w:tmpl w:val="07C69B0A"/>
    <w:lvl w:ilvl="0" w:tplc="4BFA0528">
      <w:start w:val="2"/>
      <w:numFmt w:val="bullet"/>
      <w:lvlText w:val="-"/>
      <w:lvlJc w:val="left"/>
      <w:pPr>
        <w:ind w:left="720" w:hanging="360"/>
      </w:pPr>
      <w:rPr>
        <w:rFonts w:ascii="Arial" w:eastAsia="MS ??"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A0F3F73"/>
    <w:multiLevelType w:val="hybridMultilevel"/>
    <w:tmpl w:val="D2B642EA"/>
    <w:lvl w:ilvl="0" w:tplc="F4A4F3F6">
      <w:start w:val="1"/>
      <w:numFmt w:val="decimal"/>
      <w:lvlText w:val="%1.)"/>
      <w:lvlJc w:val="left"/>
      <w:pPr>
        <w:ind w:left="720" w:hanging="360"/>
      </w:pPr>
      <w:rPr>
        <w:rFonts w:cs="Times New Roman" w:hint="default"/>
      </w:rPr>
    </w:lvl>
    <w:lvl w:ilvl="1" w:tplc="04050019" w:tentative="1">
      <w:start w:val="1"/>
      <w:numFmt w:val="lowerLetter"/>
      <w:pStyle w:val="Heading2"/>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34054F5D"/>
    <w:multiLevelType w:val="multilevel"/>
    <w:tmpl w:val="DFF0B4EE"/>
    <w:lvl w:ilvl="0">
      <w:start w:val="1"/>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2">
    <w:nsid w:val="4C0C2574"/>
    <w:multiLevelType w:val="multilevel"/>
    <w:tmpl w:val="3CFAC6D6"/>
    <w:lvl w:ilvl="0">
      <w:start w:val="1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50A21AC2"/>
    <w:multiLevelType w:val="hybridMultilevel"/>
    <w:tmpl w:val="790A0FF6"/>
    <w:lvl w:ilvl="0" w:tplc="61AC8ED2">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6065EC6"/>
    <w:multiLevelType w:val="hybridMultilevel"/>
    <w:tmpl w:val="54BE97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0D57F4"/>
    <w:multiLevelType w:val="hybridMultilevel"/>
    <w:tmpl w:val="77CEACA8"/>
    <w:lvl w:ilvl="0" w:tplc="55D430E6">
      <w:numFmt w:val="bullet"/>
      <w:lvlText w:val="-"/>
      <w:lvlJc w:val="left"/>
      <w:pPr>
        <w:ind w:left="720" w:hanging="360"/>
      </w:pPr>
      <w:rPr>
        <w:rFonts w:ascii="Arial" w:eastAsia="MS ??"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AC240A9"/>
    <w:multiLevelType w:val="multilevel"/>
    <w:tmpl w:val="B0F8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1E039F"/>
    <w:multiLevelType w:val="hybridMultilevel"/>
    <w:tmpl w:val="1D189BE8"/>
    <w:lvl w:ilvl="0" w:tplc="A9B4093E">
      <w:start w:val="1"/>
      <w:numFmt w:val="bullet"/>
      <w:lvlText w:val=""/>
      <w:lvlJc w:val="left"/>
      <w:pPr>
        <w:tabs>
          <w:tab w:val="num" w:pos="720"/>
        </w:tabs>
        <w:ind w:left="720" w:hanging="360"/>
      </w:pPr>
      <w:rPr>
        <w:rFonts w:ascii="Wingdings" w:hAnsi="Wingdings" w:hint="default"/>
      </w:rPr>
    </w:lvl>
    <w:lvl w:ilvl="1" w:tplc="E7648CFC" w:tentative="1">
      <w:start w:val="1"/>
      <w:numFmt w:val="bullet"/>
      <w:lvlText w:val=""/>
      <w:lvlJc w:val="left"/>
      <w:pPr>
        <w:tabs>
          <w:tab w:val="num" w:pos="1440"/>
        </w:tabs>
        <w:ind w:left="1440" w:hanging="360"/>
      </w:pPr>
      <w:rPr>
        <w:rFonts w:ascii="Wingdings" w:hAnsi="Wingdings" w:hint="default"/>
      </w:rPr>
    </w:lvl>
    <w:lvl w:ilvl="2" w:tplc="3D566278" w:tentative="1">
      <w:start w:val="1"/>
      <w:numFmt w:val="bullet"/>
      <w:lvlText w:val=""/>
      <w:lvlJc w:val="left"/>
      <w:pPr>
        <w:tabs>
          <w:tab w:val="num" w:pos="2160"/>
        </w:tabs>
        <w:ind w:left="2160" w:hanging="360"/>
      </w:pPr>
      <w:rPr>
        <w:rFonts w:ascii="Wingdings" w:hAnsi="Wingdings" w:hint="default"/>
      </w:rPr>
    </w:lvl>
    <w:lvl w:ilvl="3" w:tplc="16E6E572" w:tentative="1">
      <w:start w:val="1"/>
      <w:numFmt w:val="bullet"/>
      <w:lvlText w:val=""/>
      <w:lvlJc w:val="left"/>
      <w:pPr>
        <w:tabs>
          <w:tab w:val="num" w:pos="2880"/>
        </w:tabs>
        <w:ind w:left="2880" w:hanging="360"/>
      </w:pPr>
      <w:rPr>
        <w:rFonts w:ascii="Wingdings" w:hAnsi="Wingdings" w:hint="default"/>
      </w:rPr>
    </w:lvl>
    <w:lvl w:ilvl="4" w:tplc="D358746C" w:tentative="1">
      <w:start w:val="1"/>
      <w:numFmt w:val="bullet"/>
      <w:lvlText w:val=""/>
      <w:lvlJc w:val="left"/>
      <w:pPr>
        <w:tabs>
          <w:tab w:val="num" w:pos="3600"/>
        </w:tabs>
        <w:ind w:left="3600" w:hanging="360"/>
      </w:pPr>
      <w:rPr>
        <w:rFonts w:ascii="Wingdings" w:hAnsi="Wingdings" w:hint="default"/>
      </w:rPr>
    </w:lvl>
    <w:lvl w:ilvl="5" w:tplc="B58AEC4C" w:tentative="1">
      <w:start w:val="1"/>
      <w:numFmt w:val="bullet"/>
      <w:lvlText w:val=""/>
      <w:lvlJc w:val="left"/>
      <w:pPr>
        <w:tabs>
          <w:tab w:val="num" w:pos="4320"/>
        </w:tabs>
        <w:ind w:left="4320" w:hanging="360"/>
      </w:pPr>
      <w:rPr>
        <w:rFonts w:ascii="Wingdings" w:hAnsi="Wingdings" w:hint="default"/>
      </w:rPr>
    </w:lvl>
    <w:lvl w:ilvl="6" w:tplc="C588AA74" w:tentative="1">
      <w:start w:val="1"/>
      <w:numFmt w:val="bullet"/>
      <w:lvlText w:val=""/>
      <w:lvlJc w:val="left"/>
      <w:pPr>
        <w:tabs>
          <w:tab w:val="num" w:pos="5040"/>
        </w:tabs>
        <w:ind w:left="5040" w:hanging="360"/>
      </w:pPr>
      <w:rPr>
        <w:rFonts w:ascii="Wingdings" w:hAnsi="Wingdings" w:hint="default"/>
      </w:rPr>
    </w:lvl>
    <w:lvl w:ilvl="7" w:tplc="C526FD72" w:tentative="1">
      <w:start w:val="1"/>
      <w:numFmt w:val="bullet"/>
      <w:lvlText w:val=""/>
      <w:lvlJc w:val="left"/>
      <w:pPr>
        <w:tabs>
          <w:tab w:val="num" w:pos="5760"/>
        </w:tabs>
        <w:ind w:left="5760" w:hanging="360"/>
      </w:pPr>
      <w:rPr>
        <w:rFonts w:ascii="Wingdings" w:hAnsi="Wingdings" w:hint="default"/>
      </w:rPr>
    </w:lvl>
    <w:lvl w:ilvl="8" w:tplc="B9B83F9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7"/>
  </w:num>
  <w:num w:numId="4">
    <w:abstractNumId w:val="13"/>
  </w:num>
  <w:num w:numId="5">
    <w:abstractNumId w:val="4"/>
  </w:num>
  <w:num w:numId="6">
    <w:abstractNumId w:val="0"/>
  </w:num>
  <w:num w:numId="7">
    <w:abstractNumId w:val="1"/>
  </w:num>
  <w:num w:numId="8">
    <w:abstractNumId w:val="7"/>
  </w:num>
  <w:num w:numId="9">
    <w:abstractNumId w:val="6"/>
  </w:num>
  <w:num w:numId="10">
    <w:abstractNumId w:val="8"/>
  </w:num>
  <w:num w:numId="11">
    <w:abstractNumId w:val="12"/>
  </w:num>
  <w:num w:numId="12">
    <w:abstractNumId w:val="14"/>
  </w:num>
  <w:num w:numId="13">
    <w:abstractNumId w:val="16"/>
  </w:num>
  <w:num w:numId="14">
    <w:abstractNumId w:val="15"/>
  </w:num>
  <w:num w:numId="15">
    <w:abstractNumId w:val="3"/>
  </w:num>
  <w:num w:numId="16">
    <w:abstractNumId w:val="9"/>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C12"/>
    <w:rsid w:val="0000476D"/>
    <w:rsid w:val="00044428"/>
    <w:rsid w:val="00072B79"/>
    <w:rsid w:val="000740C6"/>
    <w:rsid w:val="00082714"/>
    <w:rsid w:val="00095542"/>
    <w:rsid w:val="0009793A"/>
    <w:rsid w:val="000A6DD9"/>
    <w:rsid w:val="000B09A7"/>
    <w:rsid w:val="000C788A"/>
    <w:rsid w:val="000D5125"/>
    <w:rsid w:val="000E1224"/>
    <w:rsid w:val="000E35F0"/>
    <w:rsid w:val="00101573"/>
    <w:rsid w:val="001133F2"/>
    <w:rsid w:val="00124ED9"/>
    <w:rsid w:val="00127A98"/>
    <w:rsid w:val="00145E7A"/>
    <w:rsid w:val="00147253"/>
    <w:rsid w:val="00164F9D"/>
    <w:rsid w:val="00185A15"/>
    <w:rsid w:val="00187964"/>
    <w:rsid w:val="001A3F73"/>
    <w:rsid w:val="001B041A"/>
    <w:rsid w:val="001B100F"/>
    <w:rsid w:val="001D43F2"/>
    <w:rsid w:val="001E5DBF"/>
    <w:rsid w:val="001F64B4"/>
    <w:rsid w:val="002123AF"/>
    <w:rsid w:val="00224D15"/>
    <w:rsid w:val="00240242"/>
    <w:rsid w:val="00242BDD"/>
    <w:rsid w:val="00254658"/>
    <w:rsid w:val="0026071E"/>
    <w:rsid w:val="00267DA1"/>
    <w:rsid w:val="00271CF4"/>
    <w:rsid w:val="0027201D"/>
    <w:rsid w:val="00273178"/>
    <w:rsid w:val="002836FB"/>
    <w:rsid w:val="002C3758"/>
    <w:rsid w:val="002E21A9"/>
    <w:rsid w:val="002F4C69"/>
    <w:rsid w:val="00301E7D"/>
    <w:rsid w:val="00333D25"/>
    <w:rsid w:val="003511C0"/>
    <w:rsid w:val="003635E3"/>
    <w:rsid w:val="00372322"/>
    <w:rsid w:val="003A2A6B"/>
    <w:rsid w:val="003A3C42"/>
    <w:rsid w:val="003D0E0C"/>
    <w:rsid w:val="003D3503"/>
    <w:rsid w:val="003E0F4F"/>
    <w:rsid w:val="00415B18"/>
    <w:rsid w:val="0041642F"/>
    <w:rsid w:val="0042146B"/>
    <w:rsid w:val="0043783E"/>
    <w:rsid w:val="004444AB"/>
    <w:rsid w:val="004466B6"/>
    <w:rsid w:val="00483C82"/>
    <w:rsid w:val="00484474"/>
    <w:rsid w:val="00485241"/>
    <w:rsid w:val="0049651E"/>
    <w:rsid w:val="004A5574"/>
    <w:rsid w:val="004C6CEF"/>
    <w:rsid w:val="004D73A8"/>
    <w:rsid w:val="004E1B6C"/>
    <w:rsid w:val="004F06B5"/>
    <w:rsid w:val="00503A81"/>
    <w:rsid w:val="0051110B"/>
    <w:rsid w:val="00531549"/>
    <w:rsid w:val="00534D71"/>
    <w:rsid w:val="00550FAB"/>
    <w:rsid w:val="00573950"/>
    <w:rsid w:val="00581281"/>
    <w:rsid w:val="005A5EED"/>
    <w:rsid w:val="005C363F"/>
    <w:rsid w:val="005D7A25"/>
    <w:rsid w:val="005E0827"/>
    <w:rsid w:val="005E4072"/>
    <w:rsid w:val="0064032D"/>
    <w:rsid w:val="006450BD"/>
    <w:rsid w:val="0064566E"/>
    <w:rsid w:val="006819B3"/>
    <w:rsid w:val="00695F47"/>
    <w:rsid w:val="006A4B4B"/>
    <w:rsid w:val="006B53D6"/>
    <w:rsid w:val="006C552C"/>
    <w:rsid w:val="006D621C"/>
    <w:rsid w:val="006D7E8D"/>
    <w:rsid w:val="006F02CC"/>
    <w:rsid w:val="00700011"/>
    <w:rsid w:val="00700607"/>
    <w:rsid w:val="007035FE"/>
    <w:rsid w:val="00731773"/>
    <w:rsid w:val="00743D2F"/>
    <w:rsid w:val="00782E6B"/>
    <w:rsid w:val="00791716"/>
    <w:rsid w:val="00793833"/>
    <w:rsid w:val="007A06EC"/>
    <w:rsid w:val="007C393E"/>
    <w:rsid w:val="007C3F62"/>
    <w:rsid w:val="007D4C85"/>
    <w:rsid w:val="007F6DCE"/>
    <w:rsid w:val="00813D74"/>
    <w:rsid w:val="00841E55"/>
    <w:rsid w:val="00843167"/>
    <w:rsid w:val="00876D15"/>
    <w:rsid w:val="0088746C"/>
    <w:rsid w:val="008A640D"/>
    <w:rsid w:val="008B0952"/>
    <w:rsid w:val="008C04B2"/>
    <w:rsid w:val="008C2698"/>
    <w:rsid w:val="008D5C19"/>
    <w:rsid w:val="008D7FF2"/>
    <w:rsid w:val="008E1C56"/>
    <w:rsid w:val="008F13F9"/>
    <w:rsid w:val="008F3DCD"/>
    <w:rsid w:val="00905F58"/>
    <w:rsid w:val="00923A63"/>
    <w:rsid w:val="009405A6"/>
    <w:rsid w:val="00952DC0"/>
    <w:rsid w:val="0098650F"/>
    <w:rsid w:val="00990461"/>
    <w:rsid w:val="0099430C"/>
    <w:rsid w:val="009B1ED2"/>
    <w:rsid w:val="009B4395"/>
    <w:rsid w:val="009F1ED7"/>
    <w:rsid w:val="009F4002"/>
    <w:rsid w:val="00A25D4A"/>
    <w:rsid w:val="00A35F21"/>
    <w:rsid w:val="00A36DB1"/>
    <w:rsid w:val="00A562FB"/>
    <w:rsid w:val="00AB31CF"/>
    <w:rsid w:val="00AE1A9B"/>
    <w:rsid w:val="00AE360B"/>
    <w:rsid w:val="00AE6F79"/>
    <w:rsid w:val="00B1170D"/>
    <w:rsid w:val="00B253E3"/>
    <w:rsid w:val="00B25D6B"/>
    <w:rsid w:val="00B3664C"/>
    <w:rsid w:val="00B44CC5"/>
    <w:rsid w:val="00B51B81"/>
    <w:rsid w:val="00B67697"/>
    <w:rsid w:val="00B7085B"/>
    <w:rsid w:val="00B95F68"/>
    <w:rsid w:val="00BD2E30"/>
    <w:rsid w:val="00BD4A3D"/>
    <w:rsid w:val="00BE68ED"/>
    <w:rsid w:val="00C10644"/>
    <w:rsid w:val="00C17575"/>
    <w:rsid w:val="00C177CB"/>
    <w:rsid w:val="00C345B1"/>
    <w:rsid w:val="00C4123F"/>
    <w:rsid w:val="00C47DD0"/>
    <w:rsid w:val="00C674FD"/>
    <w:rsid w:val="00C770C4"/>
    <w:rsid w:val="00C852A9"/>
    <w:rsid w:val="00C87C12"/>
    <w:rsid w:val="00C97B85"/>
    <w:rsid w:val="00CA5732"/>
    <w:rsid w:val="00CA7203"/>
    <w:rsid w:val="00CB2F29"/>
    <w:rsid w:val="00CB49B3"/>
    <w:rsid w:val="00CC1132"/>
    <w:rsid w:val="00CD19D0"/>
    <w:rsid w:val="00CE1DF7"/>
    <w:rsid w:val="00D04F54"/>
    <w:rsid w:val="00D14841"/>
    <w:rsid w:val="00D231AC"/>
    <w:rsid w:val="00D268C2"/>
    <w:rsid w:val="00D70884"/>
    <w:rsid w:val="00D73611"/>
    <w:rsid w:val="00DD4321"/>
    <w:rsid w:val="00DD4C5E"/>
    <w:rsid w:val="00DE024E"/>
    <w:rsid w:val="00DE0B72"/>
    <w:rsid w:val="00DE0DA7"/>
    <w:rsid w:val="00E13CD0"/>
    <w:rsid w:val="00E143DE"/>
    <w:rsid w:val="00E2739F"/>
    <w:rsid w:val="00E44C6F"/>
    <w:rsid w:val="00E81937"/>
    <w:rsid w:val="00EC535C"/>
    <w:rsid w:val="00EE67BD"/>
    <w:rsid w:val="00F22400"/>
    <w:rsid w:val="00F27AA7"/>
    <w:rsid w:val="00F442C3"/>
    <w:rsid w:val="00F47EED"/>
    <w:rsid w:val="00F82A28"/>
    <w:rsid w:val="00F9190D"/>
    <w:rsid w:val="00FB6CE0"/>
    <w:rsid w:val="00FD4315"/>
    <w:rsid w:val="00FF0A8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491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cs-CZ" w:eastAsia="cs-CZ"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C12"/>
    <w:pPr>
      <w:spacing w:after="200" w:line="276" w:lineRule="auto"/>
    </w:pPr>
    <w:rPr>
      <w:sz w:val="22"/>
      <w:szCs w:val="22"/>
      <w:lang w:eastAsia="en-US"/>
    </w:rPr>
  </w:style>
  <w:style w:type="paragraph" w:styleId="Heading2">
    <w:name w:val="heading 2"/>
    <w:basedOn w:val="Normal"/>
    <w:next w:val="BodyText"/>
    <w:link w:val="Heading2Char"/>
    <w:uiPriority w:val="99"/>
    <w:qFormat/>
    <w:rsid w:val="00C87C12"/>
    <w:pPr>
      <w:keepNext/>
      <w:keepLines/>
      <w:numPr>
        <w:ilvl w:val="1"/>
        <w:numId w:val="1"/>
      </w:numPr>
      <w:suppressAutoHyphens/>
      <w:spacing w:before="200" w:after="0"/>
      <w:outlineLvl w:val="1"/>
    </w:pPr>
    <w:rPr>
      <w:rFonts w:cs="Arial Unicode MS"/>
      <w:b/>
      <w:bCs/>
      <w:color w:val="4F81BD"/>
      <w:kern w:val="1"/>
      <w:sz w:val="26"/>
      <w:szCs w:val="26"/>
      <w:lang w:val="en-US"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87C12"/>
    <w:rPr>
      <w:rFonts w:ascii="Cambria" w:hAnsi="Cambria"/>
      <w:b/>
      <w:color w:val="4F81BD"/>
      <w:kern w:val="1"/>
      <w:sz w:val="26"/>
      <w:lang w:val="en-US" w:eastAsia="hi-IN" w:bidi="hi-IN"/>
    </w:rPr>
  </w:style>
  <w:style w:type="paragraph" w:styleId="ListParagraph">
    <w:name w:val="List Paragraph"/>
    <w:basedOn w:val="Normal"/>
    <w:uiPriority w:val="99"/>
    <w:qFormat/>
    <w:rsid w:val="00C87C12"/>
    <w:pPr>
      <w:ind w:left="720"/>
      <w:contextualSpacing/>
    </w:pPr>
  </w:style>
  <w:style w:type="paragraph" w:styleId="NormalWeb">
    <w:name w:val="Normal (Web)"/>
    <w:basedOn w:val="Normal"/>
    <w:uiPriority w:val="99"/>
    <w:rsid w:val="00C87C12"/>
    <w:pPr>
      <w:spacing w:before="100" w:beforeAutospacing="1" w:after="100" w:afterAutospacing="1" w:line="240" w:lineRule="auto"/>
    </w:pPr>
    <w:rPr>
      <w:rFonts w:ascii="Times" w:hAnsi="Times"/>
      <w:sz w:val="20"/>
      <w:szCs w:val="20"/>
    </w:rPr>
  </w:style>
  <w:style w:type="table" w:styleId="TableGrid">
    <w:name w:val="Table Grid"/>
    <w:basedOn w:val="TableNormal"/>
    <w:uiPriority w:val="99"/>
    <w:rsid w:val="00C87C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87C12"/>
    <w:pPr>
      <w:autoSpaceDE w:val="0"/>
      <w:autoSpaceDN w:val="0"/>
      <w:adjustRightInd w:val="0"/>
    </w:pPr>
    <w:rPr>
      <w:rFonts w:ascii="ZapfHumnst BT" w:hAnsi="ZapfHumnst BT" w:cs="ZapfHumnst BT"/>
      <w:color w:val="000000"/>
      <w:sz w:val="24"/>
      <w:szCs w:val="24"/>
      <w:lang w:eastAsia="en-US"/>
    </w:rPr>
  </w:style>
  <w:style w:type="paragraph" w:styleId="BalloonText">
    <w:name w:val="Balloon Text"/>
    <w:basedOn w:val="Normal"/>
    <w:link w:val="BalloonTextChar"/>
    <w:uiPriority w:val="99"/>
    <w:semiHidden/>
    <w:rsid w:val="00C87C12"/>
    <w:pPr>
      <w:spacing w:after="0" w:line="240" w:lineRule="auto"/>
    </w:pPr>
    <w:rPr>
      <w:rFonts w:ascii="Lucida Grande CE" w:hAnsi="Lucida Grande CE"/>
      <w:sz w:val="18"/>
      <w:szCs w:val="18"/>
      <w:lang w:eastAsia="cs-CZ"/>
    </w:rPr>
  </w:style>
  <w:style w:type="character" w:customStyle="1" w:styleId="BalloonTextChar">
    <w:name w:val="Balloon Text Char"/>
    <w:link w:val="BalloonText"/>
    <w:uiPriority w:val="99"/>
    <w:semiHidden/>
    <w:locked/>
    <w:rsid w:val="00C87C12"/>
    <w:rPr>
      <w:rFonts w:ascii="Lucida Grande CE" w:eastAsia="MS ??" w:hAnsi="Lucida Grande CE"/>
      <w:sz w:val="18"/>
    </w:rPr>
  </w:style>
  <w:style w:type="paragraph" w:styleId="DocumentMap">
    <w:name w:val="Document Map"/>
    <w:basedOn w:val="Normal"/>
    <w:link w:val="DocumentMapChar"/>
    <w:uiPriority w:val="99"/>
    <w:semiHidden/>
    <w:rsid w:val="00C87C12"/>
    <w:pPr>
      <w:shd w:val="clear" w:color="auto" w:fill="000080"/>
    </w:pPr>
    <w:rPr>
      <w:rFonts w:ascii="Tahoma" w:hAnsi="Tahoma"/>
      <w:sz w:val="20"/>
      <w:szCs w:val="20"/>
      <w:lang w:eastAsia="cs-CZ"/>
    </w:rPr>
  </w:style>
  <w:style w:type="character" w:customStyle="1" w:styleId="DocumentMapChar">
    <w:name w:val="Document Map Char"/>
    <w:link w:val="DocumentMap"/>
    <w:uiPriority w:val="99"/>
    <w:semiHidden/>
    <w:locked/>
    <w:rsid w:val="00C87C12"/>
    <w:rPr>
      <w:rFonts w:ascii="Tahoma" w:eastAsia="MS ??" w:hAnsi="Tahoma"/>
      <w:sz w:val="20"/>
      <w:shd w:val="clear" w:color="auto" w:fill="000080"/>
    </w:rPr>
  </w:style>
  <w:style w:type="character" w:customStyle="1" w:styleId="slug-pages3">
    <w:name w:val="slug-pages3"/>
    <w:uiPriority w:val="99"/>
    <w:rsid w:val="00C87C12"/>
    <w:rPr>
      <w:b/>
    </w:rPr>
  </w:style>
  <w:style w:type="paragraph" w:customStyle="1" w:styleId="Pa15">
    <w:name w:val="Pa15"/>
    <w:basedOn w:val="Default"/>
    <w:next w:val="Default"/>
    <w:uiPriority w:val="99"/>
    <w:rsid w:val="00C87C12"/>
    <w:pPr>
      <w:spacing w:line="161" w:lineRule="atLeast"/>
    </w:pPr>
    <w:rPr>
      <w:rFonts w:ascii="Times New Roman" w:hAnsi="Times New Roman" w:cs="Times New Roman"/>
      <w:color w:val="auto"/>
    </w:rPr>
  </w:style>
  <w:style w:type="paragraph" w:customStyle="1" w:styleId="Pa0">
    <w:name w:val="Pa0"/>
    <w:basedOn w:val="Default"/>
    <w:next w:val="Default"/>
    <w:uiPriority w:val="99"/>
    <w:rsid w:val="00C87C12"/>
    <w:pPr>
      <w:spacing w:line="241" w:lineRule="atLeast"/>
    </w:pPr>
    <w:rPr>
      <w:rFonts w:ascii="ZapfHumnst Dm BT" w:hAnsi="ZapfHumnst Dm BT" w:cs="Times New Roman"/>
      <w:color w:val="auto"/>
    </w:rPr>
  </w:style>
  <w:style w:type="character" w:customStyle="1" w:styleId="A0">
    <w:name w:val="A0"/>
    <w:uiPriority w:val="99"/>
    <w:rsid w:val="00C87C12"/>
    <w:rPr>
      <w:color w:val="000000"/>
      <w:sz w:val="16"/>
    </w:rPr>
  </w:style>
  <w:style w:type="paragraph" w:customStyle="1" w:styleId="Pa4">
    <w:name w:val="Pa4"/>
    <w:basedOn w:val="Default"/>
    <w:next w:val="Default"/>
    <w:uiPriority w:val="99"/>
    <w:rsid w:val="00C87C12"/>
    <w:pPr>
      <w:spacing w:line="221" w:lineRule="atLeast"/>
    </w:pPr>
    <w:rPr>
      <w:rFonts w:ascii="ZapfHumnst Dm BT" w:hAnsi="ZapfHumnst Dm BT" w:cs="Times New Roman"/>
      <w:color w:val="auto"/>
    </w:rPr>
  </w:style>
  <w:style w:type="paragraph" w:styleId="Caption">
    <w:name w:val="caption"/>
    <w:basedOn w:val="Normal"/>
    <w:next w:val="Normal"/>
    <w:uiPriority w:val="99"/>
    <w:qFormat/>
    <w:rsid w:val="00C87C12"/>
    <w:pPr>
      <w:suppressAutoHyphens/>
    </w:pPr>
    <w:rPr>
      <w:rFonts w:ascii="Times New Roman" w:eastAsia="Arial Unicode MS" w:hAnsi="Times New Roman" w:cs="Mangal"/>
      <w:b/>
      <w:bCs/>
      <w:kern w:val="1"/>
      <w:sz w:val="20"/>
      <w:szCs w:val="18"/>
      <w:lang w:val="en-US" w:eastAsia="hi-IN" w:bidi="hi-IN"/>
    </w:rPr>
  </w:style>
  <w:style w:type="paragraph" w:styleId="BodyText">
    <w:name w:val="Body Text"/>
    <w:basedOn w:val="Normal"/>
    <w:link w:val="BodyTextChar"/>
    <w:uiPriority w:val="99"/>
    <w:rsid w:val="00C87C12"/>
    <w:pPr>
      <w:suppressAutoHyphens/>
      <w:spacing w:after="120"/>
    </w:pPr>
    <w:rPr>
      <w:rFonts w:ascii="Times New Roman" w:eastAsia="Arial Unicode MS" w:hAnsi="Times New Roman" w:cs="Arial Unicode MS"/>
      <w:kern w:val="1"/>
      <w:lang w:val="en-US" w:eastAsia="hi-IN" w:bidi="hi-IN"/>
    </w:rPr>
  </w:style>
  <w:style w:type="character" w:customStyle="1" w:styleId="BodyTextChar">
    <w:name w:val="Body Text Char"/>
    <w:link w:val="BodyText"/>
    <w:uiPriority w:val="99"/>
    <w:locked/>
    <w:rsid w:val="00C87C12"/>
    <w:rPr>
      <w:rFonts w:ascii="Times New Roman" w:eastAsia="Arial Unicode MS" w:hAnsi="Times New Roman"/>
      <w:kern w:val="1"/>
      <w:sz w:val="22"/>
      <w:lang w:val="en-US" w:eastAsia="hi-IN" w:bidi="hi-IN"/>
    </w:rPr>
  </w:style>
  <w:style w:type="paragraph" w:styleId="Footer">
    <w:name w:val="footer"/>
    <w:basedOn w:val="Normal"/>
    <w:link w:val="FooterChar"/>
    <w:uiPriority w:val="99"/>
    <w:rsid w:val="00C87C12"/>
    <w:pPr>
      <w:tabs>
        <w:tab w:val="center" w:pos="4153"/>
        <w:tab w:val="right" w:pos="8306"/>
      </w:tabs>
      <w:spacing w:after="0" w:line="240" w:lineRule="auto"/>
    </w:pPr>
    <w:rPr>
      <w:rFonts w:ascii="Calibri" w:hAnsi="Calibri"/>
      <w:lang w:eastAsia="cs-CZ"/>
    </w:rPr>
  </w:style>
  <w:style w:type="character" w:customStyle="1" w:styleId="FooterChar">
    <w:name w:val="Footer Char"/>
    <w:link w:val="Footer"/>
    <w:uiPriority w:val="99"/>
    <w:locked/>
    <w:rsid w:val="00C87C12"/>
    <w:rPr>
      <w:rFonts w:ascii="Calibri" w:hAnsi="Calibri"/>
      <w:sz w:val="22"/>
    </w:rPr>
  </w:style>
  <w:style w:type="character" w:styleId="PlaceholderText">
    <w:name w:val="Placeholder Text"/>
    <w:uiPriority w:val="99"/>
    <w:semiHidden/>
    <w:rsid w:val="00C87C12"/>
    <w:rPr>
      <w:color w:val="808080"/>
    </w:rPr>
  </w:style>
  <w:style w:type="paragraph" w:styleId="Header">
    <w:name w:val="header"/>
    <w:basedOn w:val="Normal"/>
    <w:link w:val="HeaderChar"/>
    <w:uiPriority w:val="99"/>
    <w:rsid w:val="00C87C12"/>
    <w:pPr>
      <w:tabs>
        <w:tab w:val="center" w:pos="4153"/>
        <w:tab w:val="right" w:pos="8306"/>
      </w:tabs>
      <w:spacing w:after="0" w:line="240" w:lineRule="auto"/>
    </w:pPr>
    <w:rPr>
      <w:rFonts w:ascii="Calibri" w:hAnsi="Calibri"/>
      <w:lang w:eastAsia="cs-CZ"/>
    </w:rPr>
  </w:style>
  <w:style w:type="character" w:customStyle="1" w:styleId="HeaderChar">
    <w:name w:val="Header Char"/>
    <w:link w:val="Header"/>
    <w:uiPriority w:val="99"/>
    <w:locked/>
    <w:rsid w:val="00C87C12"/>
    <w:rPr>
      <w:rFonts w:ascii="Calibri" w:hAnsi="Calibri"/>
      <w:sz w:val="22"/>
    </w:rPr>
  </w:style>
  <w:style w:type="table" w:styleId="LightGrid">
    <w:name w:val="Light Grid"/>
    <w:basedOn w:val="TableNormal"/>
    <w:uiPriority w:val="99"/>
    <w:rsid w:val="00C87C12"/>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MS ????"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MS ????"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rsid w:val="00C87C1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converted-space">
    <w:name w:val="apple-converted-space"/>
    <w:uiPriority w:val="99"/>
    <w:rsid w:val="00C87C12"/>
  </w:style>
  <w:style w:type="character" w:styleId="Hyperlink">
    <w:name w:val="Hyperlink"/>
    <w:uiPriority w:val="99"/>
    <w:semiHidden/>
    <w:rsid w:val="00782E6B"/>
    <w:rPr>
      <w:rFonts w:cs="Times New Roman"/>
      <w:color w:val="316C9D"/>
      <w:u w:val="none"/>
      <w:effect w:val="none"/>
    </w:rPr>
  </w:style>
  <w:style w:type="character" w:customStyle="1" w:styleId="authordegrees">
    <w:name w:val="authordegrees"/>
    <w:uiPriority w:val="99"/>
    <w:rsid w:val="00782E6B"/>
    <w:rPr>
      <w:sz w:val="24"/>
      <w:bdr w:val="none" w:sz="0" w:space="0" w:color="auto" w:frame="1"/>
      <w:vertAlign w:val="baseli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cs-CZ" w:eastAsia="cs-CZ"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C12"/>
    <w:pPr>
      <w:spacing w:after="200" w:line="276" w:lineRule="auto"/>
    </w:pPr>
    <w:rPr>
      <w:sz w:val="22"/>
      <w:szCs w:val="22"/>
      <w:lang w:eastAsia="en-US"/>
    </w:rPr>
  </w:style>
  <w:style w:type="paragraph" w:styleId="Heading2">
    <w:name w:val="heading 2"/>
    <w:basedOn w:val="Normal"/>
    <w:next w:val="BodyText"/>
    <w:link w:val="Heading2Char"/>
    <w:uiPriority w:val="99"/>
    <w:qFormat/>
    <w:rsid w:val="00C87C12"/>
    <w:pPr>
      <w:keepNext/>
      <w:keepLines/>
      <w:numPr>
        <w:ilvl w:val="1"/>
        <w:numId w:val="1"/>
      </w:numPr>
      <w:suppressAutoHyphens/>
      <w:spacing w:before="200" w:after="0"/>
      <w:outlineLvl w:val="1"/>
    </w:pPr>
    <w:rPr>
      <w:rFonts w:cs="Arial Unicode MS"/>
      <w:b/>
      <w:bCs/>
      <w:color w:val="4F81BD"/>
      <w:kern w:val="1"/>
      <w:sz w:val="26"/>
      <w:szCs w:val="26"/>
      <w:lang w:val="en-US"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87C12"/>
    <w:rPr>
      <w:rFonts w:ascii="Cambria" w:hAnsi="Cambria"/>
      <w:b/>
      <w:color w:val="4F81BD"/>
      <w:kern w:val="1"/>
      <w:sz w:val="26"/>
      <w:lang w:val="en-US" w:eastAsia="hi-IN" w:bidi="hi-IN"/>
    </w:rPr>
  </w:style>
  <w:style w:type="paragraph" w:styleId="ListParagraph">
    <w:name w:val="List Paragraph"/>
    <w:basedOn w:val="Normal"/>
    <w:uiPriority w:val="99"/>
    <w:qFormat/>
    <w:rsid w:val="00C87C12"/>
    <w:pPr>
      <w:ind w:left="720"/>
      <w:contextualSpacing/>
    </w:pPr>
  </w:style>
  <w:style w:type="paragraph" w:styleId="NormalWeb">
    <w:name w:val="Normal (Web)"/>
    <w:basedOn w:val="Normal"/>
    <w:uiPriority w:val="99"/>
    <w:rsid w:val="00C87C12"/>
    <w:pPr>
      <w:spacing w:before="100" w:beforeAutospacing="1" w:after="100" w:afterAutospacing="1" w:line="240" w:lineRule="auto"/>
    </w:pPr>
    <w:rPr>
      <w:rFonts w:ascii="Times" w:hAnsi="Times"/>
      <w:sz w:val="20"/>
      <w:szCs w:val="20"/>
    </w:rPr>
  </w:style>
  <w:style w:type="table" w:styleId="TableGrid">
    <w:name w:val="Table Grid"/>
    <w:basedOn w:val="TableNormal"/>
    <w:uiPriority w:val="99"/>
    <w:rsid w:val="00C87C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87C12"/>
    <w:pPr>
      <w:autoSpaceDE w:val="0"/>
      <w:autoSpaceDN w:val="0"/>
      <w:adjustRightInd w:val="0"/>
    </w:pPr>
    <w:rPr>
      <w:rFonts w:ascii="ZapfHumnst BT" w:hAnsi="ZapfHumnst BT" w:cs="ZapfHumnst BT"/>
      <w:color w:val="000000"/>
      <w:sz w:val="24"/>
      <w:szCs w:val="24"/>
      <w:lang w:eastAsia="en-US"/>
    </w:rPr>
  </w:style>
  <w:style w:type="paragraph" w:styleId="BalloonText">
    <w:name w:val="Balloon Text"/>
    <w:basedOn w:val="Normal"/>
    <w:link w:val="BalloonTextChar"/>
    <w:uiPriority w:val="99"/>
    <w:semiHidden/>
    <w:rsid w:val="00C87C12"/>
    <w:pPr>
      <w:spacing w:after="0" w:line="240" w:lineRule="auto"/>
    </w:pPr>
    <w:rPr>
      <w:rFonts w:ascii="Lucida Grande CE" w:hAnsi="Lucida Grande CE"/>
      <w:sz w:val="18"/>
      <w:szCs w:val="18"/>
      <w:lang w:eastAsia="cs-CZ"/>
    </w:rPr>
  </w:style>
  <w:style w:type="character" w:customStyle="1" w:styleId="BalloonTextChar">
    <w:name w:val="Balloon Text Char"/>
    <w:link w:val="BalloonText"/>
    <w:uiPriority w:val="99"/>
    <w:semiHidden/>
    <w:locked/>
    <w:rsid w:val="00C87C12"/>
    <w:rPr>
      <w:rFonts w:ascii="Lucida Grande CE" w:eastAsia="MS ??" w:hAnsi="Lucida Grande CE"/>
      <w:sz w:val="18"/>
    </w:rPr>
  </w:style>
  <w:style w:type="paragraph" w:styleId="DocumentMap">
    <w:name w:val="Document Map"/>
    <w:basedOn w:val="Normal"/>
    <w:link w:val="DocumentMapChar"/>
    <w:uiPriority w:val="99"/>
    <w:semiHidden/>
    <w:rsid w:val="00C87C12"/>
    <w:pPr>
      <w:shd w:val="clear" w:color="auto" w:fill="000080"/>
    </w:pPr>
    <w:rPr>
      <w:rFonts w:ascii="Tahoma" w:hAnsi="Tahoma"/>
      <w:sz w:val="20"/>
      <w:szCs w:val="20"/>
      <w:lang w:eastAsia="cs-CZ"/>
    </w:rPr>
  </w:style>
  <w:style w:type="character" w:customStyle="1" w:styleId="DocumentMapChar">
    <w:name w:val="Document Map Char"/>
    <w:link w:val="DocumentMap"/>
    <w:uiPriority w:val="99"/>
    <w:semiHidden/>
    <w:locked/>
    <w:rsid w:val="00C87C12"/>
    <w:rPr>
      <w:rFonts w:ascii="Tahoma" w:eastAsia="MS ??" w:hAnsi="Tahoma"/>
      <w:sz w:val="20"/>
      <w:shd w:val="clear" w:color="auto" w:fill="000080"/>
    </w:rPr>
  </w:style>
  <w:style w:type="character" w:customStyle="1" w:styleId="slug-pages3">
    <w:name w:val="slug-pages3"/>
    <w:uiPriority w:val="99"/>
    <w:rsid w:val="00C87C12"/>
    <w:rPr>
      <w:b/>
    </w:rPr>
  </w:style>
  <w:style w:type="paragraph" w:customStyle="1" w:styleId="Pa15">
    <w:name w:val="Pa15"/>
    <w:basedOn w:val="Default"/>
    <w:next w:val="Default"/>
    <w:uiPriority w:val="99"/>
    <w:rsid w:val="00C87C12"/>
    <w:pPr>
      <w:spacing w:line="161" w:lineRule="atLeast"/>
    </w:pPr>
    <w:rPr>
      <w:rFonts w:ascii="Times New Roman" w:hAnsi="Times New Roman" w:cs="Times New Roman"/>
      <w:color w:val="auto"/>
    </w:rPr>
  </w:style>
  <w:style w:type="paragraph" w:customStyle="1" w:styleId="Pa0">
    <w:name w:val="Pa0"/>
    <w:basedOn w:val="Default"/>
    <w:next w:val="Default"/>
    <w:uiPriority w:val="99"/>
    <w:rsid w:val="00C87C12"/>
    <w:pPr>
      <w:spacing w:line="241" w:lineRule="atLeast"/>
    </w:pPr>
    <w:rPr>
      <w:rFonts w:ascii="ZapfHumnst Dm BT" w:hAnsi="ZapfHumnst Dm BT" w:cs="Times New Roman"/>
      <w:color w:val="auto"/>
    </w:rPr>
  </w:style>
  <w:style w:type="character" w:customStyle="1" w:styleId="A0">
    <w:name w:val="A0"/>
    <w:uiPriority w:val="99"/>
    <w:rsid w:val="00C87C12"/>
    <w:rPr>
      <w:color w:val="000000"/>
      <w:sz w:val="16"/>
    </w:rPr>
  </w:style>
  <w:style w:type="paragraph" w:customStyle="1" w:styleId="Pa4">
    <w:name w:val="Pa4"/>
    <w:basedOn w:val="Default"/>
    <w:next w:val="Default"/>
    <w:uiPriority w:val="99"/>
    <w:rsid w:val="00C87C12"/>
    <w:pPr>
      <w:spacing w:line="221" w:lineRule="atLeast"/>
    </w:pPr>
    <w:rPr>
      <w:rFonts w:ascii="ZapfHumnst Dm BT" w:hAnsi="ZapfHumnst Dm BT" w:cs="Times New Roman"/>
      <w:color w:val="auto"/>
    </w:rPr>
  </w:style>
  <w:style w:type="paragraph" w:styleId="Caption">
    <w:name w:val="caption"/>
    <w:basedOn w:val="Normal"/>
    <w:next w:val="Normal"/>
    <w:uiPriority w:val="99"/>
    <w:qFormat/>
    <w:rsid w:val="00C87C12"/>
    <w:pPr>
      <w:suppressAutoHyphens/>
    </w:pPr>
    <w:rPr>
      <w:rFonts w:ascii="Times New Roman" w:eastAsia="Arial Unicode MS" w:hAnsi="Times New Roman" w:cs="Mangal"/>
      <w:b/>
      <w:bCs/>
      <w:kern w:val="1"/>
      <w:sz w:val="20"/>
      <w:szCs w:val="18"/>
      <w:lang w:val="en-US" w:eastAsia="hi-IN" w:bidi="hi-IN"/>
    </w:rPr>
  </w:style>
  <w:style w:type="paragraph" w:styleId="BodyText">
    <w:name w:val="Body Text"/>
    <w:basedOn w:val="Normal"/>
    <w:link w:val="BodyTextChar"/>
    <w:uiPriority w:val="99"/>
    <w:rsid w:val="00C87C12"/>
    <w:pPr>
      <w:suppressAutoHyphens/>
      <w:spacing w:after="120"/>
    </w:pPr>
    <w:rPr>
      <w:rFonts w:ascii="Times New Roman" w:eastAsia="Arial Unicode MS" w:hAnsi="Times New Roman" w:cs="Arial Unicode MS"/>
      <w:kern w:val="1"/>
      <w:lang w:val="en-US" w:eastAsia="hi-IN" w:bidi="hi-IN"/>
    </w:rPr>
  </w:style>
  <w:style w:type="character" w:customStyle="1" w:styleId="BodyTextChar">
    <w:name w:val="Body Text Char"/>
    <w:link w:val="BodyText"/>
    <w:uiPriority w:val="99"/>
    <w:locked/>
    <w:rsid w:val="00C87C12"/>
    <w:rPr>
      <w:rFonts w:ascii="Times New Roman" w:eastAsia="Arial Unicode MS" w:hAnsi="Times New Roman"/>
      <w:kern w:val="1"/>
      <w:sz w:val="22"/>
      <w:lang w:val="en-US" w:eastAsia="hi-IN" w:bidi="hi-IN"/>
    </w:rPr>
  </w:style>
  <w:style w:type="paragraph" w:styleId="Footer">
    <w:name w:val="footer"/>
    <w:basedOn w:val="Normal"/>
    <w:link w:val="FooterChar"/>
    <w:uiPriority w:val="99"/>
    <w:rsid w:val="00C87C12"/>
    <w:pPr>
      <w:tabs>
        <w:tab w:val="center" w:pos="4153"/>
        <w:tab w:val="right" w:pos="8306"/>
      </w:tabs>
      <w:spacing w:after="0" w:line="240" w:lineRule="auto"/>
    </w:pPr>
    <w:rPr>
      <w:rFonts w:ascii="Calibri" w:hAnsi="Calibri"/>
      <w:lang w:eastAsia="cs-CZ"/>
    </w:rPr>
  </w:style>
  <w:style w:type="character" w:customStyle="1" w:styleId="FooterChar">
    <w:name w:val="Footer Char"/>
    <w:link w:val="Footer"/>
    <w:uiPriority w:val="99"/>
    <w:locked/>
    <w:rsid w:val="00C87C12"/>
    <w:rPr>
      <w:rFonts w:ascii="Calibri" w:hAnsi="Calibri"/>
      <w:sz w:val="22"/>
    </w:rPr>
  </w:style>
  <w:style w:type="character" w:styleId="PlaceholderText">
    <w:name w:val="Placeholder Text"/>
    <w:uiPriority w:val="99"/>
    <w:semiHidden/>
    <w:rsid w:val="00C87C12"/>
    <w:rPr>
      <w:color w:val="808080"/>
    </w:rPr>
  </w:style>
  <w:style w:type="paragraph" w:styleId="Header">
    <w:name w:val="header"/>
    <w:basedOn w:val="Normal"/>
    <w:link w:val="HeaderChar"/>
    <w:uiPriority w:val="99"/>
    <w:rsid w:val="00C87C12"/>
    <w:pPr>
      <w:tabs>
        <w:tab w:val="center" w:pos="4153"/>
        <w:tab w:val="right" w:pos="8306"/>
      </w:tabs>
      <w:spacing w:after="0" w:line="240" w:lineRule="auto"/>
    </w:pPr>
    <w:rPr>
      <w:rFonts w:ascii="Calibri" w:hAnsi="Calibri"/>
      <w:lang w:eastAsia="cs-CZ"/>
    </w:rPr>
  </w:style>
  <w:style w:type="character" w:customStyle="1" w:styleId="HeaderChar">
    <w:name w:val="Header Char"/>
    <w:link w:val="Header"/>
    <w:uiPriority w:val="99"/>
    <w:locked/>
    <w:rsid w:val="00C87C12"/>
    <w:rPr>
      <w:rFonts w:ascii="Calibri" w:hAnsi="Calibri"/>
      <w:sz w:val="22"/>
    </w:rPr>
  </w:style>
  <w:style w:type="table" w:styleId="LightGrid">
    <w:name w:val="Light Grid"/>
    <w:basedOn w:val="TableNormal"/>
    <w:uiPriority w:val="99"/>
    <w:rsid w:val="00C87C12"/>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MS ????"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MS ????"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rsid w:val="00C87C12"/>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converted-space">
    <w:name w:val="apple-converted-space"/>
    <w:uiPriority w:val="99"/>
    <w:rsid w:val="00C87C12"/>
  </w:style>
  <w:style w:type="character" w:styleId="Hyperlink">
    <w:name w:val="Hyperlink"/>
    <w:uiPriority w:val="99"/>
    <w:semiHidden/>
    <w:rsid w:val="00782E6B"/>
    <w:rPr>
      <w:rFonts w:cs="Times New Roman"/>
      <w:color w:val="316C9D"/>
      <w:u w:val="none"/>
      <w:effect w:val="none"/>
    </w:rPr>
  </w:style>
  <w:style w:type="character" w:customStyle="1" w:styleId="authordegrees">
    <w:name w:val="authordegrees"/>
    <w:uiPriority w:val="99"/>
    <w:rsid w:val="00782E6B"/>
    <w:rPr>
      <w:sz w:val="24"/>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589682">
      <w:marLeft w:val="0"/>
      <w:marRight w:val="0"/>
      <w:marTop w:val="0"/>
      <w:marBottom w:val="0"/>
      <w:divBdr>
        <w:top w:val="none" w:sz="0" w:space="0" w:color="auto"/>
        <w:left w:val="none" w:sz="0" w:space="0" w:color="auto"/>
        <w:bottom w:val="none" w:sz="0" w:space="0" w:color="auto"/>
        <w:right w:val="none" w:sz="0" w:space="0" w:color="auto"/>
      </w:divBdr>
      <w:divsChild>
        <w:div w:id="696589683">
          <w:marLeft w:val="0"/>
          <w:marRight w:val="0"/>
          <w:marTop w:val="0"/>
          <w:marBottom w:val="0"/>
          <w:divBdr>
            <w:top w:val="single" w:sz="2" w:space="0" w:color="2E2E2E"/>
            <w:left w:val="single" w:sz="2" w:space="0" w:color="2E2E2E"/>
            <w:bottom w:val="single" w:sz="2" w:space="0" w:color="2E2E2E"/>
            <w:right w:val="single" w:sz="2" w:space="0" w:color="2E2E2E"/>
          </w:divBdr>
          <w:divsChild>
            <w:div w:id="696589700">
              <w:marLeft w:val="0"/>
              <w:marRight w:val="0"/>
              <w:marTop w:val="0"/>
              <w:marBottom w:val="0"/>
              <w:divBdr>
                <w:top w:val="single" w:sz="6" w:space="0" w:color="C9C9C9"/>
                <w:left w:val="none" w:sz="0" w:space="0" w:color="auto"/>
                <w:bottom w:val="none" w:sz="0" w:space="0" w:color="auto"/>
                <w:right w:val="none" w:sz="0" w:space="0" w:color="auto"/>
              </w:divBdr>
              <w:divsChild>
                <w:div w:id="696589701">
                  <w:marLeft w:val="0"/>
                  <w:marRight w:val="0"/>
                  <w:marTop w:val="0"/>
                  <w:marBottom w:val="0"/>
                  <w:divBdr>
                    <w:top w:val="none" w:sz="0" w:space="0" w:color="auto"/>
                    <w:left w:val="none" w:sz="0" w:space="0" w:color="auto"/>
                    <w:bottom w:val="none" w:sz="0" w:space="0" w:color="auto"/>
                    <w:right w:val="none" w:sz="0" w:space="0" w:color="auto"/>
                  </w:divBdr>
                  <w:divsChild>
                    <w:div w:id="696589684">
                      <w:marLeft w:val="0"/>
                      <w:marRight w:val="0"/>
                      <w:marTop w:val="0"/>
                      <w:marBottom w:val="0"/>
                      <w:divBdr>
                        <w:top w:val="none" w:sz="0" w:space="0" w:color="auto"/>
                        <w:left w:val="none" w:sz="0" w:space="0" w:color="auto"/>
                        <w:bottom w:val="none" w:sz="0" w:space="0" w:color="auto"/>
                        <w:right w:val="none" w:sz="0" w:space="0" w:color="auto"/>
                      </w:divBdr>
                      <w:divsChild>
                        <w:div w:id="69658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589691">
      <w:marLeft w:val="0"/>
      <w:marRight w:val="0"/>
      <w:marTop w:val="0"/>
      <w:marBottom w:val="0"/>
      <w:divBdr>
        <w:top w:val="none" w:sz="0" w:space="0" w:color="auto"/>
        <w:left w:val="none" w:sz="0" w:space="0" w:color="auto"/>
        <w:bottom w:val="none" w:sz="0" w:space="0" w:color="auto"/>
        <w:right w:val="none" w:sz="0" w:space="0" w:color="auto"/>
      </w:divBdr>
      <w:divsChild>
        <w:div w:id="696589688">
          <w:marLeft w:val="0"/>
          <w:marRight w:val="0"/>
          <w:marTop w:val="0"/>
          <w:marBottom w:val="0"/>
          <w:divBdr>
            <w:top w:val="none" w:sz="0" w:space="0" w:color="auto"/>
            <w:left w:val="none" w:sz="0" w:space="0" w:color="auto"/>
            <w:bottom w:val="none" w:sz="0" w:space="0" w:color="auto"/>
            <w:right w:val="none" w:sz="0" w:space="0" w:color="auto"/>
          </w:divBdr>
          <w:divsChild>
            <w:div w:id="696589690">
              <w:marLeft w:val="0"/>
              <w:marRight w:val="0"/>
              <w:marTop w:val="0"/>
              <w:marBottom w:val="0"/>
              <w:divBdr>
                <w:top w:val="none" w:sz="0" w:space="0" w:color="auto"/>
                <w:left w:val="none" w:sz="0" w:space="0" w:color="auto"/>
                <w:bottom w:val="none" w:sz="0" w:space="0" w:color="auto"/>
                <w:right w:val="none" w:sz="0" w:space="0" w:color="auto"/>
              </w:divBdr>
              <w:divsChild>
                <w:div w:id="696589686">
                  <w:marLeft w:val="0"/>
                  <w:marRight w:val="0"/>
                  <w:marTop w:val="0"/>
                  <w:marBottom w:val="0"/>
                  <w:divBdr>
                    <w:top w:val="none" w:sz="0" w:space="0" w:color="auto"/>
                    <w:left w:val="none" w:sz="0" w:space="0" w:color="auto"/>
                    <w:bottom w:val="none" w:sz="0" w:space="0" w:color="auto"/>
                    <w:right w:val="none" w:sz="0" w:space="0" w:color="auto"/>
                  </w:divBdr>
                  <w:divsChild>
                    <w:div w:id="6965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9696">
      <w:marLeft w:val="0"/>
      <w:marRight w:val="0"/>
      <w:marTop w:val="0"/>
      <w:marBottom w:val="0"/>
      <w:divBdr>
        <w:top w:val="none" w:sz="0" w:space="0" w:color="auto"/>
        <w:left w:val="none" w:sz="0" w:space="0" w:color="auto"/>
        <w:bottom w:val="none" w:sz="0" w:space="0" w:color="auto"/>
        <w:right w:val="none" w:sz="0" w:space="0" w:color="auto"/>
      </w:divBdr>
      <w:divsChild>
        <w:div w:id="696589689">
          <w:marLeft w:val="0"/>
          <w:marRight w:val="0"/>
          <w:marTop w:val="0"/>
          <w:marBottom w:val="0"/>
          <w:divBdr>
            <w:top w:val="none" w:sz="0" w:space="0" w:color="auto"/>
            <w:left w:val="none" w:sz="0" w:space="0" w:color="auto"/>
            <w:bottom w:val="none" w:sz="0" w:space="0" w:color="auto"/>
            <w:right w:val="none" w:sz="0" w:space="0" w:color="auto"/>
          </w:divBdr>
          <w:divsChild>
            <w:div w:id="696589695">
              <w:marLeft w:val="0"/>
              <w:marRight w:val="0"/>
              <w:marTop w:val="0"/>
              <w:marBottom w:val="0"/>
              <w:divBdr>
                <w:top w:val="none" w:sz="0" w:space="0" w:color="auto"/>
                <w:left w:val="none" w:sz="0" w:space="0" w:color="auto"/>
                <w:bottom w:val="none" w:sz="0" w:space="0" w:color="auto"/>
                <w:right w:val="none" w:sz="0" w:space="0" w:color="auto"/>
              </w:divBdr>
              <w:divsChild>
                <w:div w:id="696589687">
                  <w:marLeft w:val="0"/>
                  <w:marRight w:val="0"/>
                  <w:marTop w:val="0"/>
                  <w:marBottom w:val="0"/>
                  <w:divBdr>
                    <w:top w:val="none" w:sz="0" w:space="0" w:color="auto"/>
                    <w:left w:val="none" w:sz="0" w:space="0" w:color="auto"/>
                    <w:bottom w:val="none" w:sz="0" w:space="0" w:color="auto"/>
                    <w:right w:val="none" w:sz="0" w:space="0" w:color="auto"/>
                  </w:divBdr>
                  <w:divsChild>
                    <w:div w:id="6965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9699">
      <w:marLeft w:val="0"/>
      <w:marRight w:val="0"/>
      <w:marTop w:val="0"/>
      <w:marBottom w:val="0"/>
      <w:divBdr>
        <w:top w:val="none" w:sz="0" w:space="0" w:color="auto"/>
        <w:left w:val="none" w:sz="0" w:space="0" w:color="auto"/>
        <w:bottom w:val="none" w:sz="0" w:space="0" w:color="auto"/>
        <w:right w:val="none" w:sz="0" w:space="0" w:color="auto"/>
      </w:divBdr>
      <w:divsChild>
        <w:div w:id="696589692">
          <w:marLeft w:val="0"/>
          <w:marRight w:val="0"/>
          <w:marTop w:val="0"/>
          <w:marBottom w:val="0"/>
          <w:divBdr>
            <w:top w:val="none" w:sz="0" w:space="0" w:color="auto"/>
            <w:left w:val="none" w:sz="0" w:space="0" w:color="auto"/>
            <w:bottom w:val="none" w:sz="0" w:space="0" w:color="auto"/>
            <w:right w:val="none" w:sz="0" w:space="0" w:color="auto"/>
          </w:divBdr>
          <w:divsChild>
            <w:div w:id="696589698">
              <w:marLeft w:val="0"/>
              <w:marRight w:val="0"/>
              <w:marTop w:val="0"/>
              <w:marBottom w:val="0"/>
              <w:divBdr>
                <w:top w:val="none" w:sz="0" w:space="0" w:color="auto"/>
                <w:left w:val="none" w:sz="0" w:space="0" w:color="auto"/>
                <w:bottom w:val="none" w:sz="0" w:space="0" w:color="auto"/>
                <w:right w:val="none" w:sz="0" w:space="0" w:color="auto"/>
              </w:divBdr>
              <w:divsChild>
                <w:div w:id="6965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chart" Target="charts/chart1.xml"/><Relationship Id="rId18" Type="http://schemas.openxmlformats.org/officeDocument/2006/relationships/image" Target="media/image9.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0452380952380952"/>
          <c:y val="0.0884353741496601"/>
          <c:w val="0.661904761904762"/>
          <c:h val="0.727891156462587"/>
        </c:manualLayout>
      </c:layout>
      <c:bar3DChart>
        <c:barDir val="col"/>
        <c:grouping val="clustered"/>
        <c:varyColors val="0"/>
        <c:ser>
          <c:idx val="0"/>
          <c:order val="0"/>
          <c:tx>
            <c:strRef>
              <c:f>Sheet1!$A$2</c:f>
              <c:strCache>
                <c:ptCount val="1"/>
                <c:pt idx="0">
                  <c:v>Orální sexuální partneři</c:v>
                </c:pt>
              </c:strCache>
            </c:strRef>
          </c:tx>
          <c:spPr>
            <a:solidFill>
              <a:srgbClr val="63AAFE"/>
            </a:solidFill>
            <a:ln w="3170">
              <a:solidFill>
                <a:srgbClr val="000000"/>
              </a:solidFill>
              <a:prstDash val="solid"/>
            </a:ln>
          </c:spPr>
          <c:invertIfNegative val="0"/>
          <c:cat>
            <c:strRef>
              <c:f>Sheet1!$B$1:$H$1</c:f>
              <c:strCache>
                <c:ptCount val="5"/>
                <c:pt idx="0">
                  <c:v>20-30</c:v>
                </c:pt>
                <c:pt idx="1">
                  <c:v>31-40</c:v>
                </c:pt>
                <c:pt idx="2">
                  <c:v>41-50</c:v>
                </c:pt>
                <c:pt idx="3">
                  <c:v>51-60</c:v>
                </c:pt>
                <c:pt idx="4">
                  <c:v>61-</c:v>
                </c:pt>
              </c:strCache>
            </c:strRef>
          </c:cat>
          <c:val>
            <c:numRef>
              <c:f>Sheet1!$B$2:$H$2</c:f>
              <c:numCache>
                <c:formatCode>General</c:formatCode>
                <c:ptCount val="7"/>
                <c:pt idx="0">
                  <c:v>4.1</c:v>
                </c:pt>
                <c:pt idx="1">
                  <c:v>4.7</c:v>
                </c:pt>
                <c:pt idx="2">
                  <c:v>4.6</c:v>
                </c:pt>
                <c:pt idx="3">
                  <c:v>3.8</c:v>
                </c:pt>
                <c:pt idx="4">
                  <c:v>1.0</c:v>
                </c:pt>
              </c:numCache>
            </c:numRef>
          </c:val>
        </c:ser>
        <c:ser>
          <c:idx val="1"/>
          <c:order val="1"/>
          <c:tx>
            <c:strRef>
              <c:f>Sheet1!$A$3</c:f>
              <c:strCache>
                <c:ptCount val="1"/>
                <c:pt idx="0">
                  <c:v>Vaginál ní sexuální partneři</c:v>
                </c:pt>
              </c:strCache>
            </c:strRef>
          </c:tx>
          <c:spPr>
            <a:solidFill>
              <a:srgbClr val="DD2D32"/>
            </a:solidFill>
            <a:ln w="3170">
              <a:solidFill>
                <a:srgbClr val="000000"/>
              </a:solidFill>
              <a:prstDash val="solid"/>
            </a:ln>
          </c:spPr>
          <c:invertIfNegative val="0"/>
          <c:cat>
            <c:strRef>
              <c:f>Sheet1!$B$1:$H$1</c:f>
              <c:strCache>
                <c:ptCount val="5"/>
                <c:pt idx="0">
                  <c:v>20-30</c:v>
                </c:pt>
                <c:pt idx="1">
                  <c:v>31-40</c:v>
                </c:pt>
                <c:pt idx="2">
                  <c:v>41-50</c:v>
                </c:pt>
                <c:pt idx="3">
                  <c:v>51-60</c:v>
                </c:pt>
                <c:pt idx="4">
                  <c:v>61-</c:v>
                </c:pt>
              </c:strCache>
            </c:strRef>
          </c:cat>
          <c:val>
            <c:numRef>
              <c:f>Sheet1!$B$3:$H$3</c:f>
              <c:numCache>
                <c:formatCode>General</c:formatCode>
                <c:ptCount val="7"/>
                <c:pt idx="0">
                  <c:v>4.4</c:v>
                </c:pt>
                <c:pt idx="1">
                  <c:v>4.9</c:v>
                </c:pt>
                <c:pt idx="2">
                  <c:v>6.8</c:v>
                </c:pt>
                <c:pt idx="3">
                  <c:v>6.3</c:v>
                </c:pt>
                <c:pt idx="4">
                  <c:v>6.7</c:v>
                </c:pt>
              </c:numCache>
            </c:numRef>
          </c:val>
        </c:ser>
        <c:dLbls>
          <c:showLegendKey val="0"/>
          <c:showVal val="0"/>
          <c:showCatName val="0"/>
          <c:showSerName val="0"/>
          <c:showPercent val="0"/>
          <c:showBubbleSize val="0"/>
        </c:dLbls>
        <c:gapWidth val="150"/>
        <c:gapDepth val="0"/>
        <c:shape val="box"/>
        <c:axId val="2144841672"/>
        <c:axId val="2144797464"/>
        <c:axId val="0"/>
      </c:bar3DChart>
      <c:catAx>
        <c:axId val="214484167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2144797464"/>
        <c:crosses val="autoZero"/>
        <c:auto val="1"/>
        <c:lblAlgn val="ctr"/>
        <c:lblOffset val="100"/>
        <c:tickLblSkip val="1"/>
        <c:tickMarkSkip val="1"/>
        <c:noMultiLvlLbl val="0"/>
      </c:catAx>
      <c:valAx>
        <c:axId val="214479746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2144841672"/>
        <c:crosses val="autoZero"/>
        <c:crossBetween val="between"/>
      </c:valAx>
      <c:spPr>
        <a:noFill/>
        <a:ln w="25399">
          <a:noFill/>
        </a:ln>
      </c:spPr>
    </c:plotArea>
    <c:legend>
      <c:legendPos val="r"/>
      <c:layout>
        <c:manualLayout>
          <c:xMode val="edge"/>
          <c:yMode val="edge"/>
          <c:x val="0.727710938706191"/>
          <c:y val="0.4"/>
          <c:w val="0.257831364829396"/>
          <c:h val="0.189743679809541"/>
        </c:manualLayout>
      </c:layout>
      <c:overlay val="0"/>
      <c:spPr>
        <a:noFill/>
        <a:ln w="3170">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3170">
      <a:solidFill>
        <a:srgbClr val="666699"/>
      </a:solidFill>
      <a:prstDash val="solid"/>
    </a:ln>
  </c:spPr>
  <c:txPr>
    <a:bodyPr/>
    <a:lstStyle/>
    <a:p>
      <a:pPr>
        <a:defRPr sz="850" b="1"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50AA5-A5FC-B64D-AB6B-FE9A11F24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83</Pages>
  <Words>15531</Words>
  <Characters>88528</Characters>
  <Application>Microsoft Macintosh Word</Application>
  <DocSecurity>0</DocSecurity>
  <Lines>737</Lines>
  <Paragraphs>207</Paragraphs>
  <ScaleCrop>false</ScaleCrop>
  <HeadingPairs>
    <vt:vector size="2" baseType="variant">
      <vt:variant>
        <vt:lpstr>Název</vt:lpstr>
      </vt:variant>
      <vt:variant>
        <vt:i4>1</vt:i4>
      </vt:variant>
    </vt:vector>
  </HeadingPairs>
  <TitlesOfParts>
    <vt:vector size="1" baseType="lpstr">
      <vt:lpstr>Infekce dutiny ústní virem lidského papilomaviru</vt:lpstr>
    </vt:vector>
  </TitlesOfParts>
  <Company>Dr. Petr Michl</Company>
  <LinksUpToDate>false</LinksUpToDate>
  <CharactersWithSpaces>103852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Infekce dutiny ústní virem lidského papilomaviru</dc:title>
  <dc:creator>Petr Michl</dc:creator>
  <cp:lastModifiedBy>Petr Michl</cp:lastModifiedBy>
  <cp:revision>5</cp:revision>
  <cp:lastPrinted>2015-04-26T15:15:00Z</cp:lastPrinted>
  <dcterms:created xsi:type="dcterms:W3CDTF">2015-04-26T07:24:00Z</dcterms:created>
  <dcterms:modified xsi:type="dcterms:W3CDTF">2015-04-26T15:58:00Z</dcterms:modified>
</cp:coreProperties>
</file>