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82" w:rsidRDefault="00655E82" w:rsidP="00655E82">
      <w:pPr>
        <w:spacing w:line="360" w:lineRule="auto"/>
        <w:jc w:val="center"/>
        <w:rPr>
          <w:rFonts w:cs="Times New Roman"/>
          <w:sz w:val="32"/>
          <w:szCs w:val="32"/>
        </w:rPr>
      </w:pPr>
      <w:r w:rsidRPr="00E82A08">
        <w:rPr>
          <w:rFonts w:cs="Times New Roman"/>
          <w:sz w:val="32"/>
          <w:szCs w:val="32"/>
        </w:rPr>
        <w:t>UNIVERZITA PALACKÉHO V</w:t>
      </w:r>
      <w:r>
        <w:rPr>
          <w:rFonts w:cs="Times New Roman"/>
          <w:sz w:val="32"/>
          <w:szCs w:val="32"/>
        </w:rPr>
        <w:t> </w:t>
      </w:r>
      <w:r w:rsidRPr="00E82A08">
        <w:rPr>
          <w:rFonts w:cs="Times New Roman"/>
          <w:sz w:val="32"/>
          <w:szCs w:val="32"/>
        </w:rPr>
        <w:t>OLOMOUCI</w:t>
      </w:r>
    </w:p>
    <w:p w:rsidR="00655E82" w:rsidRPr="00E82A08" w:rsidRDefault="00655E82" w:rsidP="00655E82">
      <w:pPr>
        <w:pStyle w:val="Bezmezer"/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  <w:r w:rsidRPr="00E82A08">
        <w:rPr>
          <w:rFonts w:cs="Times New Roman"/>
          <w:szCs w:val="24"/>
        </w:rPr>
        <w:t>FAKULTA ZDRAVOTNICKÝCH VĚD</w:t>
      </w:r>
    </w:p>
    <w:p w:rsidR="00655E82" w:rsidRPr="00E82A08" w:rsidRDefault="00655E82" w:rsidP="00655E82">
      <w:pPr>
        <w:pStyle w:val="Bezmezer"/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  <w:r w:rsidRPr="00E82A08">
        <w:rPr>
          <w:rFonts w:cs="Times New Roman"/>
          <w:szCs w:val="24"/>
        </w:rPr>
        <w:t>Ústav ošetřovatelství</w:t>
      </w:r>
      <w:r>
        <w:rPr>
          <w:rFonts w:cs="Times New Roman"/>
          <w:szCs w:val="24"/>
        </w:rPr>
        <w:t xml:space="preserve"> </w:t>
      </w: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Pr="00E82A08" w:rsidRDefault="00655E82" w:rsidP="00655E82">
      <w:pPr>
        <w:pStyle w:val="Bezmezer"/>
      </w:pPr>
    </w:p>
    <w:p w:rsidR="00655E82" w:rsidRDefault="00655E82" w:rsidP="00655E82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Tauerová Irena</w:t>
      </w:r>
    </w:p>
    <w:p w:rsidR="00655E82" w:rsidRDefault="00655E82" w:rsidP="00655E8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655E82" w:rsidRDefault="00655E82" w:rsidP="00655E82">
      <w:pPr>
        <w:pStyle w:val="Bezmezer"/>
      </w:pPr>
    </w:p>
    <w:p w:rsidR="00655E82" w:rsidRPr="00E82A08" w:rsidRDefault="00655E82" w:rsidP="00655E82">
      <w:pPr>
        <w:pStyle w:val="Bezmezer"/>
      </w:pPr>
    </w:p>
    <w:p w:rsidR="00655E82" w:rsidRPr="00E82A08" w:rsidRDefault="00655E82" w:rsidP="00655E82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E82A08">
        <w:rPr>
          <w:rFonts w:cs="Times New Roman"/>
          <w:b/>
          <w:bCs/>
          <w:sz w:val="32"/>
          <w:szCs w:val="32"/>
        </w:rPr>
        <w:t>Zdravotní gramotnost dospělé populace a její subvence všeobecnou sestrou</w:t>
      </w:r>
    </w:p>
    <w:p w:rsidR="00655E82" w:rsidRPr="00E82A08" w:rsidRDefault="00655E82" w:rsidP="00655E82">
      <w:pPr>
        <w:pStyle w:val="Bezmezer"/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Bakalářská práce</w:t>
      </w: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Pr="00E82A08" w:rsidRDefault="00655E82" w:rsidP="00655E82">
      <w:pPr>
        <w:pStyle w:val="Bezmezer"/>
      </w:pPr>
    </w:p>
    <w:p w:rsidR="00655E82" w:rsidRPr="00E82A08" w:rsidRDefault="00655E82" w:rsidP="00655E82">
      <w:pPr>
        <w:pStyle w:val="Bezmezer"/>
      </w:pPr>
    </w:p>
    <w:p w:rsidR="00655E82" w:rsidRPr="00E82A08" w:rsidRDefault="00655E82" w:rsidP="00655E82">
      <w:pPr>
        <w:pStyle w:val="Bezmezer"/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Vedoucí práce: Mgr. Zdeňka Mikšová, Ph.D.</w:t>
      </w: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Cs w:val="24"/>
        </w:rPr>
      </w:pPr>
    </w:p>
    <w:p w:rsidR="00655E82" w:rsidRDefault="00655E82" w:rsidP="00655E82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Olomouc 2020</w:t>
      </w: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3F218C" w:rsidRDefault="003F218C" w:rsidP="00853B12">
      <w:pPr>
        <w:spacing w:line="360" w:lineRule="auto"/>
      </w:pPr>
    </w:p>
    <w:p w:rsidR="00655E82" w:rsidRDefault="00655E82" w:rsidP="00655E82">
      <w:pPr>
        <w:pStyle w:val="Bezmezer"/>
      </w:pPr>
    </w:p>
    <w:p w:rsidR="00655E82" w:rsidRPr="00655E82" w:rsidRDefault="00655E82" w:rsidP="00655E82">
      <w:pPr>
        <w:pStyle w:val="Bezmezer"/>
      </w:pPr>
    </w:p>
    <w:p w:rsidR="003F218C" w:rsidRDefault="003F218C" w:rsidP="00853B12">
      <w:pPr>
        <w:spacing w:line="360" w:lineRule="auto"/>
      </w:pPr>
    </w:p>
    <w:p w:rsidR="00655E82" w:rsidRDefault="00655E82" w:rsidP="008E44BD">
      <w:pPr>
        <w:spacing w:line="360" w:lineRule="auto"/>
        <w:jc w:val="both"/>
      </w:pPr>
      <w:r>
        <w:t>Prohlašuji, že jsem bakalářskou práci vypracovala samostatně a použila jen uvedené bibliografické a elektronické zdroje.</w:t>
      </w:r>
    </w:p>
    <w:p w:rsidR="00655E82" w:rsidRDefault="00655E82" w:rsidP="00655E82">
      <w:pPr>
        <w:spacing w:line="360" w:lineRule="auto"/>
        <w:jc w:val="both"/>
      </w:pPr>
    </w:p>
    <w:p w:rsidR="00655E82" w:rsidRDefault="00655E82" w:rsidP="00655E82">
      <w:pPr>
        <w:spacing w:line="360" w:lineRule="auto"/>
        <w:jc w:val="both"/>
      </w:pPr>
    </w:p>
    <w:p w:rsidR="00655E82" w:rsidRDefault="00655E82" w:rsidP="00655E82">
      <w:pPr>
        <w:spacing w:line="360" w:lineRule="auto"/>
        <w:jc w:val="both"/>
      </w:pPr>
      <w:r w:rsidRPr="00E82A08">
        <w:t>Olomouc 30.6.2020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</w:t>
      </w:r>
    </w:p>
    <w:p w:rsidR="00655E82" w:rsidRPr="00E82A08" w:rsidRDefault="00655E82" w:rsidP="00655E82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F218C" w:rsidRDefault="00655E82" w:rsidP="00655E82">
      <w:pPr>
        <w:spacing w:line="360" w:lineRule="auto"/>
      </w:pPr>
      <w:r>
        <w:br w:type="page"/>
      </w: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E34CCB" w:rsidRDefault="00E34CCB" w:rsidP="00853B12">
      <w:pPr>
        <w:pStyle w:val="Bezmezer"/>
        <w:spacing w:line="360" w:lineRule="auto"/>
      </w:pPr>
    </w:p>
    <w:p w:rsidR="00655E82" w:rsidRDefault="00655E82" w:rsidP="00655E82">
      <w:pPr>
        <w:pStyle w:val="Bezmezer"/>
        <w:spacing w:line="360" w:lineRule="auto"/>
      </w:pPr>
    </w:p>
    <w:p w:rsidR="003F218C" w:rsidRDefault="00655E82" w:rsidP="00686F9E">
      <w:pPr>
        <w:spacing w:line="360" w:lineRule="auto"/>
        <w:jc w:val="both"/>
      </w:pPr>
      <w:r>
        <w:t>Děkuji Mgr. Zdeňce Mikšové, Ph. D. za odborné vedení bakalářské práce, za její cenné rady</w:t>
      </w:r>
      <w:r w:rsidR="00494174">
        <w:t xml:space="preserve">   </w:t>
      </w:r>
      <w:r>
        <w:t xml:space="preserve"> a vstřícnost při konzultacích. </w:t>
      </w:r>
      <w:r w:rsidR="003F218C">
        <w:br w:type="page"/>
      </w:r>
    </w:p>
    <w:p w:rsidR="00655E82" w:rsidRPr="003F218C" w:rsidRDefault="00655E82" w:rsidP="00655E82">
      <w:pPr>
        <w:spacing w:line="360" w:lineRule="auto"/>
        <w:jc w:val="both"/>
        <w:rPr>
          <w:b/>
          <w:bCs/>
          <w:sz w:val="32"/>
          <w:szCs w:val="32"/>
        </w:rPr>
      </w:pPr>
      <w:r w:rsidRPr="003F218C">
        <w:rPr>
          <w:b/>
          <w:bCs/>
          <w:sz w:val="32"/>
          <w:szCs w:val="32"/>
        </w:rPr>
        <w:lastRenderedPageBreak/>
        <w:t>ANOTACE</w:t>
      </w:r>
    </w:p>
    <w:p w:rsidR="00655E82" w:rsidRPr="00EE39D3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Typ závěrečné práce:</w:t>
      </w:r>
      <w:r>
        <w:t xml:space="preserve"> </w:t>
      </w:r>
      <w:r>
        <w:tab/>
      </w:r>
      <w:r>
        <w:tab/>
      </w:r>
      <w:r>
        <w:rPr>
          <w:bCs/>
        </w:rPr>
        <w:t>Bakalářská práce</w:t>
      </w:r>
    </w:p>
    <w:p w:rsidR="00655E82" w:rsidRPr="00EE39D3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Téma práce:</w:t>
      </w:r>
      <w:r>
        <w:tab/>
      </w:r>
      <w:r>
        <w:tab/>
      </w:r>
      <w:r>
        <w:tab/>
      </w:r>
      <w:r>
        <w:tab/>
      </w:r>
      <w:r>
        <w:rPr>
          <w:bCs/>
        </w:rPr>
        <w:t>Zdravotní gramotnost</w:t>
      </w:r>
    </w:p>
    <w:p w:rsidR="00655E82" w:rsidRPr="00EE39D3" w:rsidRDefault="00655E82" w:rsidP="00655E82">
      <w:pPr>
        <w:spacing w:line="360" w:lineRule="auto"/>
        <w:ind w:left="3540" w:hanging="3540"/>
        <w:jc w:val="both"/>
        <w:rPr>
          <w:b/>
          <w:bCs/>
        </w:rPr>
      </w:pPr>
      <w:r w:rsidRPr="003F218C">
        <w:rPr>
          <w:b/>
          <w:bCs/>
        </w:rPr>
        <w:t>Název práce:</w:t>
      </w:r>
      <w:r>
        <w:tab/>
      </w:r>
      <w:r w:rsidRPr="00E0662A">
        <w:rPr>
          <w:bCs/>
        </w:rPr>
        <w:t>Zdravotní gramotnost dospělé populace a její subvence všeobecnou sestrou.</w:t>
      </w:r>
    </w:p>
    <w:p w:rsidR="00655E82" w:rsidRPr="00EE39D3" w:rsidRDefault="00655E82" w:rsidP="00655E82">
      <w:pPr>
        <w:spacing w:line="360" w:lineRule="auto"/>
        <w:ind w:left="3540" w:hanging="3540"/>
        <w:jc w:val="both"/>
        <w:rPr>
          <w:b/>
          <w:bCs/>
        </w:rPr>
      </w:pPr>
      <w:r w:rsidRPr="003F218C">
        <w:rPr>
          <w:b/>
          <w:bCs/>
        </w:rPr>
        <w:t>Název práce v AJ:</w:t>
      </w:r>
      <w:r w:rsidRPr="003F218C">
        <w:tab/>
      </w:r>
      <w:r>
        <w:t xml:space="preserve">Health literacy of the adult population and its subsidies by the nurse. </w:t>
      </w:r>
    </w:p>
    <w:p w:rsidR="00655E82" w:rsidRPr="00EE39D3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Datum zadání:</w:t>
      </w:r>
      <w:r w:rsidRPr="003F218C">
        <w:rPr>
          <w:b/>
          <w:bCs/>
        </w:rPr>
        <w:tab/>
      </w:r>
      <w:r>
        <w:tab/>
      </w:r>
      <w:r>
        <w:tab/>
      </w:r>
      <w:r w:rsidR="005316CD">
        <w:t>2018-01-21</w:t>
      </w:r>
    </w:p>
    <w:p w:rsidR="00655E82" w:rsidRPr="00EE39D3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Datum odevzdání:</w:t>
      </w:r>
      <w:r>
        <w:tab/>
      </w:r>
      <w:r>
        <w:tab/>
      </w:r>
      <w:r>
        <w:tab/>
        <w:t>2020-06-30</w:t>
      </w:r>
    </w:p>
    <w:p w:rsidR="00655E82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Název škola, fakulta, ústav:</w:t>
      </w:r>
      <w:r>
        <w:tab/>
      </w:r>
      <w:r>
        <w:tab/>
      </w:r>
      <w:r>
        <w:rPr>
          <w:bCs/>
        </w:rPr>
        <w:t>Univerzita Palackého v Olomouci</w:t>
      </w:r>
    </w:p>
    <w:p w:rsidR="00655E82" w:rsidRDefault="00655E82" w:rsidP="00655E8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Fakulta zdravotnických věd</w:t>
      </w:r>
    </w:p>
    <w:p w:rsidR="00655E82" w:rsidRPr="00424FC7" w:rsidRDefault="00655E82" w:rsidP="00655E82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Ústav ošetřovatelství</w:t>
      </w:r>
    </w:p>
    <w:p w:rsidR="00655E82" w:rsidRPr="00424FC7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Autor práce:</w:t>
      </w:r>
      <w:r>
        <w:tab/>
      </w:r>
      <w:r>
        <w:tab/>
      </w:r>
      <w:r>
        <w:tab/>
      </w:r>
      <w:r>
        <w:tab/>
      </w:r>
      <w:r>
        <w:rPr>
          <w:bCs/>
        </w:rPr>
        <w:t>Tauerová Irena</w:t>
      </w:r>
    </w:p>
    <w:p w:rsidR="00655E82" w:rsidRPr="00424FC7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>Vedoucí práce:</w:t>
      </w:r>
      <w:r>
        <w:t xml:space="preserve"> </w:t>
      </w:r>
      <w:r>
        <w:tab/>
      </w:r>
      <w:r>
        <w:tab/>
      </w:r>
      <w:r>
        <w:tab/>
      </w:r>
      <w:r>
        <w:rPr>
          <w:bCs/>
        </w:rPr>
        <w:t>Mgr. Zdeňka Mikšová, Ph.D.</w:t>
      </w:r>
    </w:p>
    <w:p w:rsidR="00655E82" w:rsidRPr="003F218C" w:rsidRDefault="00655E82" w:rsidP="00655E82">
      <w:pPr>
        <w:spacing w:line="360" w:lineRule="auto"/>
        <w:jc w:val="both"/>
        <w:rPr>
          <w:b/>
          <w:bCs/>
        </w:rPr>
      </w:pPr>
      <w:r w:rsidRPr="003F218C">
        <w:rPr>
          <w:b/>
          <w:bCs/>
        </w:rPr>
        <w:t xml:space="preserve">Oponent práce: </w:t>
      </w:r>
      <w:r w:rsidR="005316CD">
        <w:rPr>
          <w:b/>
          <w:bCs/>
        </w:rPr>
        <w:tab/>
      </w:r>
      <w:r w:rsidR="005316CD">
        <w:rPr>
          <w:b/>
          <w:bCs/>
        </w:rPr>
        <w:tab/>
      </w:r>
      <w:r w:rsidR="005316CD">
        <w:rPr>
          <w:b/>
          <w:bCs/>
        </w:rPr>
        <w:tab/>
      </w:r>
      <w:r w:rsidR="005316CD" w:rsidRPr="005316CD">
        <w:t>Mgr.</w:t>
      </w:r>
      <w:r w:rsidR="005316CD">
        <w:rPr>
          <w:b/>
          <w:bCs/>
        </w:rPr>
        <w:t xml:space="preserve"> </w:t>
      </w:r>
      <w:r w:rsidR="005316CD" w:rsidRPr="005316CD">
        <w:rPr>
          <w:rFonts w:cs="Times New Roman"/>
          <w:color w:val="000000"/>
          <w:szCs w:val="24"/>
          <w:shd w:val="clear" w:color="auto" w:fill="FFFFFF"/>
        </w:rPr>
        <w:t>Tomanová Jitka, PhDr. Ph.D.</w:t>
      </w:r>
    </w:p>
    <w:p w:rsidR="00655E82" w:rsidRDefault="00655E82" w:rsidP="00655E82">
      <w:pPr>
        <w:spacing w:line="360" w:lineRule="auto"/>
        <w:ind w:left="3540" w:hanging="3540"/>
        <w:jc w:val="both"/>
      </w:pPr>
      <w:r w:rsidRPr="003F218C">
        <w:rPr>
          <w:b/>
          <w:bCs/>
        </w:rPr>
        <w:t>Abstrakt v </w:t>
      </w:r>
      <w:r>
        <w:rPr>
          <w:b/>
          <w:bCs/>
        </w:rPr>
        <w:t>ČJ</w:t>
      </w:r>
      <w:r w:rsidRPr="003F218C">
        <w:rPr>
          <w:b/>
          <w:bCs/>
        </w:rPr>
        <w:t>:</w:t>
      </w:r>
      <w:r>
        <w:t xml:space="preserve"> </w:t>
      </w:r>
    </w:p>
    <w:p w:rsidR="00655E82" w:rsidRDefault="00655E82" w:rsidP="00655E82">
      <w:pPr>
        <w:pStyle w:val="Bezmezer"/>
        <w:spacing w:line="360" w:lineRule="auto"/>
        <w:ind w:firstLine="708"/>
        <w:jc w:val="both"/>
      </w:pPr>
      <w:r>
        <w:t xml:space="preserve">Tato bakalářská práce prezentuje aktuální dohledatelné poznatky o zdravotní gramotnosti dospělé populace. Nízká úroveň zdravotní gramotnosti ovlivňuje zdravotní stav obyvatelstva, proto je zapotřebí vzdělávat občany v podpoře svého zdraví. Je důležité, aby všeobecné sestry dokázaly za pomoci screeningových nástrojů identifikovat pacienty s nízkou zdravotní gramotností a poté je edukovaly tak, aby tomu daný člověk dostatečně porozuměl. Dohledatelné poznatky byly čerpány z databází EBSCO, GOOGLE Scholar, Medvik, PubMed.  </w:t>
      </w:r>
    </w:p>
    <w:p w:rsidR="00655E82" w:rsidRPr="001A4C8B" w:rsidRDefault="00655E82" w:rsidP="00655E82">
      <w:pPr>
        <w:spacing w:line="360" w:lineRule="auto"/>
        <w:ind w:left="3540" w:hanging="3540"/>
        <w:jc w:val="both"/>
      </w:pPr>
      <w:r w:rsidRPr="003F218C">
        <w:rPr>
          <w:b/>
          <w:bCs/>
        </w:rPr>
        <w:t>Abstrakt v </w:t>
      </w:r>
      <w:r>
        <w:rPr>
          <w:b/>
          <w:bCs/>
        </w:rPr>
        <w:t>ČJ</w:t>
      </w:r>
      <w:r w:rsidRPr="003F218C">
        <w:rPr>
          <w:b/>
          <w:bCs/>
        </w:rPr>
        <w:t>:</w:t>
      </w:r>
      <w:r>
        <w:t xml:space="preserve"> </w:t>
      </w:r>
    </w:p>
    <w:p w:rsidR="00655E82" w:rsidRPr="00F06130" w:rsidRDefault="00655E82" w:rsidP="00655E82">
      <w:pPr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F06130">
        <w:rPr>
          <w:rFonts w:cs="Times New Roman"/>
          <w:szCs w:val="24"/>
        </w:rPr>
        <w:t>This bachelor thesis presents current traceable knowledge about the health literacy of the adult population.</w:t>
      </w:r>
      <w:r w:rsidRPr="00F06130">
        <w:rPr>
          <w:rFonts w:cs="Times New Roman"/>
          <w:szCs w:val="24"/>
          <w:shd w:val="clear" w:color="auto" w:fill="F5F5F5"/>
        </w:rPr>
        <w:t xml:space="preserve"> </w:t>
      </w:r>
      <w:r w:rsidRPr="00F06130">
        <w:rPr>
          <w:rFonts w:cs="Times New Roman"/>
          <w:szCs w:val="24"/>
        </w:rPr>
        <w:t>Low levels of health literacy affect the health of the population, so it is necessary to educate citizens about promoting their health.</w:t>
      </w:r>
      <w:r w:rsidRPr="00F06130">
        <w:rPr>
          <w:rFonts w:cs="Times New Roman"/>
          <w:szCs w:val="24"/>
          <w:shd w:val="clear" w:color="auto" w:fill="F5F5F5"/>
        </w:rPr>
        <w:t xml:space="preserve"> </w:t>
      </w:r>
      <w:r w:rsidRPr="00F06130">
        <w:rPr>
          <w:rFonts w:cs="Times New Roman"/>
          <w:szCs w:val="24"/>
        </w:rPr>
        <w:t>It is important that nurses are able to use screening tools to identify patients with low health literacy and then educate them so that the person has a sufficient understanding.</w:t>
      </w:r>
      <w:r w:rsidRPr="00F06130">
        <w:rPr>
          <w:rFonts w:cs="Times New Roman"/>
          <w:szCs w:val="24"/>
          <w:shd w:val="clear" w:color="auto" w:fill="F5F5F5"/>
        </w:rPr>
        <w:t xml:space="preserve"> </w:t>
      </w:r>
      <w:r w:rsidRPr="00F06130">
        <w:rPr>
          <w:rFonts w:cs="Times New Roman"/>
          <w:szCs w:val="24"/>
        </w:rPr>
        <w:t>Traceable findings were drawn from the databases EBSCO, GOOGLE Scholar, Medvik, PubMed.</w:t>
      </w:r>
      <w:r w:rsidRPr="00F06130">
        <w:rPr>
          <w:rFonts w:cs="Times New Roman"/>
          <w:szCs w:val="24"/>
        </w:rPr>
        <w:tab/>
      </w:r>
    </w:p>
    <w:p w:rsidR="00693692" w:rsidRDefault="00655E82" w:rsidP="00A65F2E">
      <w:pPr>
        <w:spacing w:line="360" w:lineRule="auto"/>
        <w:ind w:left="3540" w:hanging="3540"/>
        <w:jc w:val="both"/>
      </w:pPr>
      <w:r w:rsidRPr="003F218C">
        <w:rPr>
          <w:b/>
          <w:bCs/>
        </w:rPr>
        <w:t xml:space="preserve">Klíčová slova v ČJ: </w:t>
      </w:r>
      <w:r>
        <w:rPr>
          <w:b/>
          <w:bCs/>
        </w:rPr>
        <w:tab/>
      </w:r>
      <w:r w:rsidR="00693692">
        <w:t>zdravotní gramotnost, dospělá populace, podpora zdraví, zdraví, faktory ZG, nástroje ZG,</w:t>
      </w:r>
      <w:r w:rsidR="00406C8B">
        <w:t xml:space="preserve"> subvence </w:t>
      </w:r>
      <w:r w:rsidR="00693692">
        <w:t>ZG</w:t>
      </w:r>
      <w:r w:rsidR="00406C8B">
        <w:t xml:space="preserve"> všeobecnou</w:t>
      </w:r>
      <w:r w:rsidR="00693692">
        <w:t xml:space="preserve"> sester</w:t>
      </w:r>
      <w:r w:rsidR="00406C8B">
        <w:t>ou</w:t>
      </w:r>
      <w:bookmarkStart w:id="0" w:name="_GoBack"/>
      <w:bookmarkEnd w:id="0"/>
      <w:r w:rsidR="00693692">
        <w:t xml:space="preserve"> </w:t>
      </w:r>
    </w:p>
    <w:p w:rsidR="00A65F2E" w:rsidRDefault="00655E82" w:rsidP="00A65F2E">
      <w:pPr>
        <w:spacing w:line="360" w:lineRule="auto"/>
        <w:ind w:left="3540" w:hanging="3540"/>
        <w:jc w:val="both"/>
      </w:pPr>
      <w:r w:rsidRPr="003F218C">
        <w:rPr>
          <w:b/>
          <w:bCs/>
        </w:rPr>
        <w:lastRenderedPageBreak/>
        <w:t>Klíčová slova v AJ:</w:t>
      </w:r>
      <w:r>
        <w:rPr>
          <w:b/>
          <w:bCs/>
        </w:rPr>
        <w:tab/>
      </w:r>
      <w:r w:rsidR="00693692">
        <w:t>health literacy,</w:t>
      </w:r>
      <w:r w:rsidR="00406C8B">
        <w:t xml:space="preserve"> health,</w:t>
      </w:r>
      <w:r w:rsidR="00693692">
        <w:t xml:space="preserve"> adult population, promoting HL, factors of HL, tools of HL, HL and nurse,</w:t>
      </w:r>
      <w:r w:rsidR="00406C8B">
        <w:t xml:space="preserve"> HL and support nurse</w:t>
      </w:r>
    </w:p>
    <w:p w:rsidR="00655E82" w:rsidRPr="00494174" w:rsidRDefault="00655E82" w:rsidP="00A65F2E">
      <w:pPr>
        <w:spacing w:line="360" w:lineRule="auto"/>
        <w:ind w:left="3540" w:hanging="3540"/>
        <w:jc w:val="both"/>
      </w:pPr>
      <w:r w:rsidRPr="003F218C">
        <w:rPr>
          <w:b/>
          <w:bCs/>
        </w:rPr>
        <w:t>Rozsah:</w:t>
      </w:r>
      <w:r w:rsidR="00494174">
        <w:rPr>
          <w:b/>
          <w:bCs/>
        </w:rPr>
        <w:t xml:space="preserve"> </w:t>
      </w:r>
      <w:r w:rsidR="00494174">
        <w:rPr>
          <w:b/>
          <w:bCs/>
        </w:rPr>
        <w:tab/>
      </w:r>
      <w:r w:rsidR="00494174">
        <w:t>4</w:t>
      </w:r>
      <w:r w:rsidR="00A81754">
        <w:t>3</w:t>
      </w:r>
      <w:r w:rsidR="00494174">
        <w:t xml:space="preserve"> stran</w:t>
      </w:r>
    </w:p>
    <w:p w:rsidR="00655E82" w:rsidRDefault="00655E82" w:rsidP="00655E82">
      <w:pPr>
        <w:spacing w:line="360" w:lineRule="auto"/>
        <w:jc w:val="both"/>
      </w:pPr>
    </w:p>
    <w:p w:rsidR="00655E82" w:rsidRDefault="00655E82" w:rsidP="00655E82">
      <w:pPr>
        <w:spacing w:line="360" w:lineRule="auto"/>
      </w:pPr>
    </w:p>
    <w:p w:rsidR="009A3F4E" w:rsidRDefault="009A3F4E" w:rsidP="00853B12">
      <w:pPr>
        <w:pStyle w:val="Bezmezer"/>
        <w:spacing w:line="360" w:lineRule="auto"/>
        <w:sectPr w:rsidR="009A3F4E" w:rsidSect="003F218C">
          <w:footerReference w:type="default" r:id="rId8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3F218C" w:rsidRDefault="003F218C" w:rsidP="00853B12">
      <w:pPr>
        <w:pStyle w:val="Bezmezer"/>
        <w:spacing w:line="360" w:lineRule="auto"/>
      </w:pPr>
    </w:p>
    <w:p w:rsidR="003F218C" w:rsidRDefault="003F218C" w:rsidP="00853B12">
      <w:pPr>
        <w:spacing w:line="360" w:lineRule="auto"/>
        <w:rPr>
          <w:b/>
          <w:bCs/>
          <w:sz w:val="32"/>
          <w:szCs w:val="32"/>
        </w:rPr>
      </w:pPr>
      <w:r w:rsidRPr="003F218C">
        <w:rPr>
          <w:b/>
          <w:bCs/>
          <w:sz w:val="32"/>
          <w:szCs w:val="32"/>
        </w:rPr>
        <w:t>Obsah:</w:t>
      </w:r>
    </w:p>
    <w:sdt>
      <w:sdtPr>
        <w:id w:val="1691640110"/>
        <w:docPartObj>
          <w:docPartGallery w:val="Table of Contents"/>
          <w:docPartUnique/>
        </w:docPartObj>
      </w:sdtPr>
      <w:sdtContent>
        <w:p w:rsidR="003D3A00" w:rsidRPr="003D3A00" w:rsidRDefault="00E34CCB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r w:rsidRPr="00D23FE8">
            <w:fldChar w:fldCharType="begin"/>
          </w:r>
          <w:r w:rsidRPr="00D23FE8">
            <w:instrText xml:space="preserve"> TOC \o "1-3" \h \z \u </w:instrText>
          </w:r>
          <w:r w:rsidRPr="00D23FE8">
            <w:fldChar w:fldCharType="separate"/>
          </w:r>
          <w:hyperlink w:anchor="_Toc44437057" w:history="1">
            <w:r w:rsidR="003D3A00" w:rsidRPr="003D3A00">
              <w:rPr>
                <w:rStyle w:val="Hypertextovodkaz"/>
                <w:rFonts w:cs="Times New Roman"/>
                <w:noProof/>
              </w:rPr>
              <w:t>Úvod</w:t>
            </w:r>
            <w:r w:rsidR="003D3A00" w:rsidRPr="003D3A00">
              <w:rPr>
                <w:noProof/>
                <w:webHidden/>
              </w:rPr>
              <w:tab/>
            </w:r>
            <w:r w:rsidR="003D3A00" w:rsidRPr="003D3A00">
              <w:rPr>
                <w:noProof/>
                <w:webHidden/>
              </w:rPr>
              <w:fldChar w:fldCharType="begin"/>
            </w:r>
            <w:r w:rsidR="003D3A00" w:rsidRPr="003D3A00">
              <w:rPr>
                <w:noProof/>
                <w:webHidden/>
              </w:rPr>
              <w:instrText xml:space="preserve"> PAGEREF _Toc44437057 \h </w:instrText>
            </w:r>
            <w:r w:rsidR="003D3A00" w:rsidRPr="003D3A00">
              <w:rPr>
                <w:noProof/>
                <w:webHidden/>
              </w:rPr>
            </w:r>
            <w:r w:rsidR="003D3A00" w:rsidRPr="003D3A00">
              <w:rPr>
                <w:noProof/>
                <w:webHidden/>
              </w:rPr>
              <w:fldChar w:fldCharType="separate"/>
            </w:r>
            <w:r w:rsidR="003D3A00" w:rsidRPr="003D3A00">
              <w:rPr>
                <w:noProof/>
                <w:webHidden/>
              </w:rPr>
              <w:t>7</w:t>
            </w:r>
            <w:r w:rsidR="003D3A00"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58" w:history="1">
            <w:r w:rsidRPr="003D3A00">
              <w:rPr>
                <w:rStyle w:val="Hypertextovodkaz"/>
                <w:rFonts w:cs="Times New Roman"/>
                <w:noProof/>
              </w:rPr>
              <w:t>1 Popis rešeršní činnosti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_Toc44437058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9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59" w:history="1">
            <w:r w:rsidRPr="003D3A00">
              <w:rPr>
                <w:rStyle w:val="Hypertextovodkaz"/>
                <w:rFonts w:cs="Times New Roman"/>
                <w:noProof/>
              </w:rPr>
              <w:t>2 Zdravotní gramotnost dospělé populace a její podpora všeobecnou sestrou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_Toc44437059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11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3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60" w:history="1">
            <w:r w:rsidRPr="003D3A00">
              <w:rPr>
                <w:rStyle w:val="Hypertextovodkaz"/>
                <w:rFonts w:cs="Times New Roman"/>
                <w:noProof/>
              </w:rPr>
              <w:t>2.1 Zdravotní gramotnost dospělé populace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_Toc44437060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20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3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61" w:history="1">
            <w:r w:rsidRPr="003D3A00">
              <w:rPr>
                <w:rStyle w:val="Hypertextovodkaz"/>
                <w:rFonts w:cs="Times New Roman"/>
                <w:noProof/>
              </w:rPr>
              <w:t>2.2 Pracovní kompetence všeobecných sester v subvenci zdravotní gramotnosti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_Toc44437061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25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3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62" w:history="1">
            <w:r w:rsidRPr="003D3A00">
              <w:rPr>
                <w:rStyle w:val="Hypertextovodkaz"/>
                <w:rFonts w:cs="Times New Roman"/>
                <w:noProof/>
              </w:rPr>
              <w:t>2.3 Význam a limitace dohledaných poznatků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_Toc44437062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32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63" w:history="1">
            <w:r w:rsidRPr="003D3A00">
              <w:rPr>
                <w:rStyle w:val="Hypertextovodkaz"/>
                <w:rFonts w:cs="Times New Roman"/>
                <w:noProof/>
              </w:rPr>
              <w:t>Závěr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_Toc44437063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34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Pr="003D3A00" w:rsidRDefault="003D3A00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64" w:history="1">
            <w:r w:rsidRPr="003D3A00">
              <w:rPr>
                <w:rStyle w:val="Hypertextovodkaz"/>
                <w:rFonts w:cs="Times New Roman"/>
                <w:noProof/>
              </w:rPr>
              <w:t>Referenční seznam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_Toc44437064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35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3D3A00" w:rsidRDefault="003D3A00" w:rsidP="003D3A00">
          <w:pPr>
            <w:pStyle w:val="Obsah3"/>
            <w:tabs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44437065" w:history="1">
            <w:r w:rsidRPr="003D3A00">
              <w:rPr>
                <w:rStyle w:val="Hypertextovodkaz"/>
                <w:rFonts w:cs="Times New Roman"/>
                <w:noProof/>
              </w:rPr>
              <w:t>Seznam zkratek</w:t>
            </w:r>
            <w:r w:rsidRPr="003D3A00">
              <w:rPr>
                <w:noProof/>
                <w:webHidden/>
              </w:rPr>
              <w:tab/>
            </w:r>
            <w:r w:rsidRPr="003D3A00">
              <w:rPr>
                <w:noProof/>
                <w:webHidden/>
              </w:rPr>
              <w:fldChar w:fldCharType="begin"/>
            </w:r>
            <w:r w:rsidRPr="003D3A00">
              <w:rPr>
                <w:noProof/>
                <w:webHidden/>
              </w:rPr>
              <w:instrText xml:space="preserve"> PAGEREF _Toc44437065 \h </w:instrText>
            </w:r>
            <w:r w:rsidRPr="003D3A00">
              <w:rPr>
                <w:noProof/>
                <w:webHidden/>
              </w:rPr>
            </w:r>
            <w:r w:rsidRPr="003D3A00">
              <w:rPr>
                <w:noProof/>
                <w:webHidden/>
              </w:rPr>
              <w:fldChar w:fldCharType="separate"/>
            </w:r>
            <w:r w:rsidRPr="003D3A00">
              <w:rPr>
                <w:noProof/>
                <w:webHidden/>
              </w:rPr>
              <w:t>43</w:t>
            </w:r>
            <w:r w:rsidRPr="003D3A00">
              <w:rPr>
                <w:noProof/>
                <w:webHidden/>
              </w:rPr>
              <w:fldChar w:fldCharType="end"/>
            </w:r>
          </w:hyperlink>
        </w:p>
        <w:p w:rsidR="00E34CCB" w:rsidRPr="009A3F4E" w:rsidRDefault="00E34CCB" w:rsidP="00853B12">
          <w:pPr>
            <w:spacing w:line="360" w:lineRule="auto"/>
          </w:pPr>
          <w:r w:rsidRPr="00D23FE8">
            <w:fldChar w:fldCharType="end"/>
          </w:r>
        </w:p>
      </w:sdtContent>
    </w:sdt>
    <w:p w:rsidR="003F218C" w:rsidRDefault="003F218C" w:rsidP="00853B12">
      <w:pPr>
        <w:pStyle w:val="Bezmezer"/>
        <w:spacing w:line="360" w:lineRule="auto"/>
      </w:pPr>
      <w:r>
        <w:br w:type="page"/>
      </w:r>
    </w:p>
    <w:p w:rsidR="00655E82" w:rsidRDefault="00655E82" w:rsidP="00655E82">
      <w:pPr>
        <w:pStyle w:val="Nadpis1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_Toc44437057"/>
      <w:r w:rsidRPr="00E11937">
        <w:rPr>
          <w:rFonts w:ascii="Times New Roman" w:hAnsi="Times New Roman" w:cs="Times New Roman"/>
          <w:b/>
          <w:bCs/>
          <w:color w:val="auto"/>
        </w:rPr>
        <w:lastRenderedPageBreak/>
        <w:t>Úvod</w:t>
      </w:r>
      <w:bookmarkEnd w:id="1"/>
      <w:r w:rsidRPr="00E1193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55E82" w:rsidRDefault="00655E82" w:rsidP="00655E82">
      <w:pPr>
        <w:spacing w:line="360" w:lineRule="auto"/>
        <w:jc w:val="both"/>
      </w:pPr>
      <w:r>
        <w:tab/>
        <w:t xml:space="preserve">V posledních 25 letech došlo k velkému zájmu o zdravotní gramotnost. Lze ji popsat jako dovednosti, které jednotlivcům umožňují získávat, porozumět a používat informace k přijímání rozhodnutí a opatření, která budou mít dopad na jejich zdravotní stav. Důležité jsou však i měřící nástroje, díky kterým se zjišťuje úroveň zdravotní gramotnosti nejen jednotlivců, ale také populace (Uiteris et al., 2017 s. 902). Lidé s nízkou úrovní zdravotní gramotnosti </w:t>
      </w:r>
      <w:r w:rsidRPr="00110701">
        <w:t>mají</w:t>
      </w:r>
      <w:r>
        <w:t xml:space="preserve"> méně informací o zdraví, špatně chápou své zdravotní problémy, nedodržují léčbu, nedbají na preventivní opatření, jsou častěji </w:t>
      </w:r>
      <w:r w:rsidRPr="00110701">
        <w:t>hospitalizován</w:t>
      </w:r>
      <w:r>
        <w:t>i a tím dochází k finančním ztrátám ve zdravotnictví (Ivanová et al., 2018, s. 362). Hodnotit úroveň zdravotní gramotnosti je</w:t>
      </w:r>
      <w:r w:rsidR="00494174">
        <w:t xml:space="preserve"> </w:t>
      </w:r>
      <w:r>
        <w:t xml:space="preserve">v kompetencích všeobecných sester, které by u pacientů na základě </w:t>
      </w:r>
      <w:r w:rsidRPr="00110701">
        <w:t>výsledků</w:t>
      </w:r>
      <w:r>
        <w:t xml:space="preserve"> screeningových testů měly z</w:t>
      </w:r>
      <w:r w:rsidRPr="00110701">
        <w:t>volit</w:t>
      </w:r>
      <w:r>
        <w:t xml:space="preserve"> správné komunikační metody tak, aby pacient porozuměl</w:t>
      </w:r>
      <w:r w:rsidR="00D23FE8">
        <w:t xml:space="preserve"> sděleným</w:t>
      </w:r>
      <w:r>
        <w:t xml:space="preserve"> informacím a následně je i zpětnou vazbou zopakoval</w:t>
      </w:r>
      <w:r w:rsidRPr="00110701">
        <w:t>, jak</w:t>
      </w:r>
      <w:r>
        <w:t xml:space="preserve"> informace pochopil (Wittenberk et al., 2018, s. 2-3).</w:t>
      </w:r>
    </w:p>
    <w:p w:rsidR="00655E82" w:rsidRPr="00190A4C" w:rsidRDefault="00655E82" w:rsidP="00655E82">
      <w:pPr>
        <w:jc w:val="both"/>
      </w:pPr>
    </w:p>
    <w:p w:rsidR="00655E82" w:rsidRDefault="00655E82" w:rsidP="00655E82">
      <w:pPr>
        <w:spacing w:line="360" w:lineRule="auto"/>
        <w:ind w:firstLine="708"/>
        <w:jc w:val="both"/>
      </w:pPr>
      <w:r w:rsidRPr="005B060D">
        <w:t>V souvislosti s</w:t>
      </w:r>
      <w:r>
        <w:t xml:space="preserve"> touto problematikou je možné položit si otázku: Jaké jsou aktuální dohledatelné poznatky </w:t>
      </w:r>
      <w:r w:rsidRPr="003F00DD">
        <w:t>o zdravotní gramotnosti dospělé populace</w:t>
      </w:r>
      <w:r>
        <w:t xml:space="preserve"> v souvislosti s kompetencemi všeobecných sester v její podpoře?</w:t>
      </w:r>
    </w:p>
    <w:p w:rsidR="00655E82" w:rsidRPr="00D57F11" w:rsidRDefault="00655E82" w:rsidP="00655E82">
      <w:pPr>
        <w:spacing w:line="360" w:lineRule="auto"/>
        <w:ind w:firstLine="708"/>
        <w:jc w:val="both"/>
        <w:rPr>
          <w:color w:val="FF0000"/>
        </w:rPr>
      </w:pPr>
      <w:r>
        <w:t xml:space="preserve">Cílem bakalářské práce je sumarizovat aktuální dohledatelné poznatky o zdravotní gramotnosti dospělé populace </w:t>
      </w:r>
      <w:r w:rsidRPr="005158A1">
        <w:t xml:space="preserve">a </w:t>
      </w:r>
      <w:r w:rsidRPr="003F218C">
        <w:t xml:space="preserve">pracovní </w:t>
      </w:r>
      <w:r w:rsidRPr="005158A1">
        <w:t>kompetenc</w:t>
      </w:r>
      <w:r>
        <w:t>e</w:t>
      </w:r>
      <w:r w:rsidRPr="005158A1">
        <w:t xml:space="preserve"> v</w:t>
      </w:r>
      <w:r>
        <w:t xml:space="preserve">šeobecných sester v její podpoře. </w:t>
      </w:r>
    </w:p>
    <w:p w:rsidR="00655E82" w:rsidRDefault="00655E82" w:rsidP="00655E82">
      <w:pPr>
        <w:spacing w:line="360" w:lineRule="auto"/>
        <w:jc w:val="both"/>
      </w:pPr>
      <w:r>
        <w:t>Dílčí cíle:</w:t>
      </w:r>
    </w:p>
    <w:p w:rsidR="00655E82" w:rsidRPr="00D57F11" w:rsidRDefault="00655E82" w:rsidP="00655E82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3F00DD">
        <w:t>Sumarizovat aktuální dohledatelné poznatky o zdravotní gramotnosti</w:t>
      </w:r>
      <w:r>
        <w:t xml:space="preserve"> dospělé populace. </w:t>
      </w:r>
    </w:p>
    <w:p w:rsidR="00655E82" w:rsidRPr="00190A4C" w:rsidRDefault="00655E82" w:rsidP="00655E82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t xml:space="preserve">Sumarizovat aktuální dohledané poznatky </w:t>
      </w:r>
      <w:r w:rsidRPr="003F218C">
        <w:t>o pracovních kompetencích všeobecných sester v subvenci</w:t>
      </w:r>
      <w:r>
        <w:t xml:space="preserve"> zdravotní gramotnosti u dospělých.</w:t>
      </w:r>
    </w:p>
    <w:p w:rsidR="00655E82" w:rsidRDefault="00655E82" w:rsidP="00655E82">
      <w:pPr>
        <w:spacing w:line="360" w:lineRule="auto"/>
        <w:jc w:val="both"/>
        <w:rPr>
          <w:color w:val="FF0000"/>
        </w:rPr>
      </w:pPr>
    </w:p>
    <w:p w:rsidR="00655E82" w:rsidRDefault="00655E82" w:rsidP="00655E82">
      <w:pPr>
        <w:pStyle w:val="Bezmezer"/>
        <w:spacing w:line="360" w:lineRule="auto"/>
        <w:jc w:val="both"/>
      </w:pPr>
      <w:r>
        <w:t>Vstupní studijní literatura:</w:t>
      </w:r>
    </w:p>
    <w:p w:rsidR="00655E82" w:rsidRDefault="00655E82" w:rsidP="00655E82">
      <w:pPr>
        <w:pStyle w:val="Bezmezer"/>
        <w:spacing w:line="360" w:lineRule="auto"/>
        <w:jc w:val="both"/>
      </w:pPr>
    </w:p>
    <w:p w:rsidR="00655E82" w:rsidRDefault="00655E82" w:rsidP="00655E82">
      <w:pPr>
        <w:pStyle w:val="Bezmezer"/>
        <w:spacing w:line="360" w:lineRule="auto"/>
        <w:jc w:val="both"/>
        <w:rPr>
          <w:rFonts w:cs="Times New Roman"/>
          <w:color w:val="auto"/>
          <w:szCs w:val="24"/>
          <w:shd w:val="clear" w:color="auto" w:fill="FFFFFF"/>
        </w:rPr>
      </w:pPr>
      <w:r w:rsidRPr="00431F20">
        <w:rPr>
          <w:rFonts w:cs="Times New Roman"/>
          <w:color w:val="auto"/>
          <w:szCs w:val="24"/>
          <w:shd w:val="clear" w:color="auto" w:fill="FFFFFF"/>
        </w:rPr>
        <w:t xml:space="preserve">DINGOVÁ, </w:t>
      </w:r>
      <w:r>
        <w:rPr>
          <w:rFonts w:cs="Times New Roman"/>
          <w:color w:val="auto"/>
          <w:szCs w:val="24"/>
          <w:shd w:val="clear" w:color="auto" w:fill="FFFFFF"/>
        </w:rPr>
        <w:t>M.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a T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JAKUBCOVÁ. 2011. Zdravotná gramotnosť -nový pojem pre ošetrovateľskú prax.Ošetrovateľstvo: teória, výskum, vzdelávanie[online]. Clinical Journal of Oncology Nursing Volume 2011, ISSN 1338-6263.</w:t>
      </w:r>
    </w:p>
    <w:p w:rsidR="00655E82" w:rsidRDefault="00655E82" w:rsidP="00655E82">
      <w:pPr>
        <w:pStyle w:val="Bezmezer"/>
        <w:spacing w:line="360" w:lineRule="auto"/>
        <w:jc w:val="both"/>
      </w:pPr>
    </w:p>
    <w:p w:rsidR="00655E82" w:rsidRDefault="00655E82" w:rsidP="00655E82">
      <w:pPr>
        <w:pStyle w:val="Bezmezer"/>
        <w:spacing w:line="360" w:lineRule="auto"/>
        <w:jc w:val="both"/>
        <w:rPr>
          <w:rFonts w:cs="Times New Roman"/>
          <w:color w:val="auto"/>
          <w:szCs w:val="24"/>
          <w:shd w:val="clear" w:color="auto" w:fill="FFFFFF"/>
        </w:rPr>
      </w:pPr>
      <w:r w:rsidRPr="00431F20">
        <w:rPr>
          <w:rFonts w:cs="Times New Roman"/>
          <w:color w:val="auto"/>
          <w:szCs w:val="24"/>
          <w:shd w:val="clear" w:color="auto" w:fill="FFFFFF"/>
        </w:rPr>
        <w:t xml:space="preserve">HOLČÍK, J. Zdravotní gramotnost je prioritou péče o zdraví-teze. In: Zdravotní gramotnost a zdravotní politika: sborník textů pro kolokvium. Praha: Ústav pro zdravotní gramotnost, 2017. </w:t>
      </w:r>
    </w:p>
    <w:p w:rsidR="00655E82" w:rsidRPr="00431F20" w:rsidRDefault="00655E82" w:rsidP="00655E82">
      <w:pPr>
        <w:pStyle w:val="Bezmezer"/>
        <w:spacing w:line="360" w:lineRule="auto"/>
        <w:jc w:val="both"/>
      </w:pPr>
    </w:p>
    <w:p w:rsidR="00655E82" w:rsidRDefault="00655E82" w:rsidP="00655E82">
      <w:pPr>
        <w:pStyle w:val="Bezmezer"/>
        <w:spacing w:line="360" w:lineRule="auto"/>
        <w:jc w:val="both"/>
        <w:rPr>
          <w:rStyle w:val="Hypertextovodkaz"/>
          <w:rFonts w:cs="Times New Roman"/>
          <w:color w:val="auto"/>
          <w:szCs w:val="24"/>
          <w:shd w:val="clear" w:color="auto" w:fill="FFFFFF"/>
        </w:rPr>
      </w:pPr>
      <w:r w:rsidRPr="00431F20">
        <w:rPr>
          <w:rFonts w:cs="Times New Roman"/>
          <w:color w:val="auto"/>
          <w:szCs w:val="24"/>
          <w:shd w:val="clear" w:color="auto" w:fill="FFFFFF"/>
        </w:rPr>
        <w:lastRenderedPageBreak/>
        <w:t>IVANOVÁ, K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>, I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OLECKÁ, B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VENCOVÁ a L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JURÍČKOVÁ. Zdravotní gramotnost matek v prvním roce mateřství-interpretativní mapa expertů. </w:t>
      </w:r>
      <w:r w:rsidRPr="005B060D">
        <w:rPr>
          <w:rFonts w:cs="Times New Roman"/>
          <w:color w:val="auto"/>
          <w:szCs w:val="24"/>
        </w:rPr>
        <w:t>Kontakt</w:t>
      </w:r>
      <w:r w:rsidRPr="005B060D"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2018, ISSN 1212-4117. Dostupné z: </w:t>
      </w:r>
      <w:hyperlink r:id="rId9" w:history="1">
        <w:r w:rsidRPr="00D23FE8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http://casopis-zsfju.zsf.jcu.cz/kontakt/</w:t>
        </w:r>
      </w:hyperlink>
    </w:p>
    <w:p w:rsidR="00655E82" w:rsidRPr="00431F20" w:rsidRDefault="00655E82" w:rsidP="00655E82">
      <w:pPr>
        <w:pStyle w:val="Bezmezer"/>
        <w:spacing w:line="360" w:lineRule="auto"/>
        <w:jc w:val="both"/>
      </w:pPr>
    </w:p>
    <w:p w:rsidR="00655E82" w:rsidRDefault="00655E82" w:rsidP="00655E82">
      <w:pPr>
        <w:pStyle w:val="Bezmezer"/>
        <w:spacing w:line="360" w:lineRule="auto"/>
        <w:jc w:val="both"/>
        <w:rPr>
          <w:rFonts w:cs="Times New Roman"/>
          <w:color w:val="auto"/>
          <w:szCs w:val="24"/>
          <w:shd w:val="clear" w:color="auto" w:fill="FFFFFF"/>
        </w:rPr>
      </w:pPr>
      <w:r w:rsidRPr="00431F20">
        <w:rPr>
          <w:rFonts w:cs="Times New Roman"/>
          <w:color w:val="auto"/>
          <w:szCs w:val="24"/>
          <w:shd w:val="clear" w:color="auto" w:fill="FFFFFF"/>
        </w:rPr>
        <w:t>KAAS, J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STASKOVÁ, V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ŠULISTOVÁ, R</w:t>
      </w:r>
      <w:r>
        <w:rPr>
          <w:rFonts w:cs="Times New Roman"/>
          <w:color w:val="auto"/>
          <w:szCs w:val="24"/>
          <w:shd w:val="clear" w:color="auto" w:fill="FFFFFF"/>
        </w:rPr>
        <w:t>.</w:t>
      </w:r>
      <w:r w:rsidRPr="00431F20">
        <w:rPr>
          <w:rFonts w:cs="Times New Roman"/>
          <w:color w:val="auto"/>
          <w:szCs w:val="24"/>
          <w:shd w:val="clear" w:color="auto" w:fill="FFFFFF"/>
        </w:rPr>
        <w:t xml:space="preserve"> Koncept zdravotní gramotnosti v současném ošetřovatelství. Kontakt (České Budějovice), 2016, ISSN: 1212-4117. </w:t>
      </w:r>
    </w:p>
    <w:p w:rsidR="00655E82" w:rsidRPr="00431F20" w:rsidRDefault="00655E82" w:rsidP="00655E82">
      <w:pPr>
        <w:pStyle w:val="Bezmezer"/>
        <w:spacing w:line="360" w:lineRule="auto"/>
        <w:jc w:val="both"/>
      </w:pPr>
    </w:p>
    <w:p w:rsidR="00655E82" w:rsidRDefault="00655E82" w:rsidP="00655E82">
      <w:pPr>
        <w:pStyle w:val="Bezmezer"/>
        <w:spacing w:line="360" w:lineRule="auto"/>
        <w:jc w:val="both"/>
        <w:rPr>
          <w:rFonts w:cs="Times New Roman"/>
          <w:color w:val="auto"/>
          <w:szCs w:val="24"/>
          <w:shd w:val="clear" w:color="auto" w:fill="FFFFFF"/>
        </w:rPr>
      </w:pPr>
      <w:r w:rsidRPr="00431F20">
        <w:rPr>
          <w:rFonts w:cs="Times New Roman"/>
          <w:color w:val="auto"/>
          <w:szCs w:val="24"/>
          <w:shd w:val="clear" w:color="auto" w:fill="FFFFFF"/>
        </w:rPr>
        <w:t>OSBORNE, H. Health literacy from A to Z: practical ways to communicate your health message. Second edition. Burlington: Jones &amp; Bartlett Learning, 2013 ISBN: 978-1-4496-0053-2</w:t>
      </w:r>
    </w:p>
    <w:p w:rsidR="00655E82" w:rsidRPr="00431F20" w:rsidRDefault="00655E82" w:rsidP="00655E82">
      <w:pPr>
        <w:pStyle w:val="Bezmezer"/>
        <w:spacing w:line="360" w:lineRule="auto"/>
        <w:jc w:val="both"/>
      </w:pPr>
    </w:p>
    <w:p w:rsidR="00190A4C" w:rsidRPr="00892319" w:rsidRDefault="00190A4C" w:rsidP="00655E82">
      <w:pPr>
        <w:pStyle w:val="Bezmezer"/>
        <w:spacing w:line="360" w:lineRule="auto"/>
        <w:ind w:left="720"/>
        <w:jc w:val="both"/>
        <w:rPr>
          <w:highlight w:val="yellow"/>
        </w:rPr>
      </w:pPr>
    </w:p>
    <w:p w:rsidR="00190A4C" w:rsidRPr="00190A4C" w:rsidRDefault="00190A4C" w:rsidP="009A3F4E">
      <w:pPr>
        <w:spacing w:line="360" w:lineRule="auto"/>
        <w:rPr>
          <w:rFonts w:cs="Times New Roman"/>
          <w:szCs w:val="24"/>
        </w:rPr>
      </w:pPr>
    </w:p>
    <w:p w:rsidR="003F218C" w:rsidRDefault="003F218C" w:rsidP="00853B12">
      <w:pPr>
        <w:spacing w:line="360" w:lineRule="auto"/>
        <w:rPr>
          <w:b/>
          <w:bCs/>
          <w:sz w:val="32"/>
          <w:szCs w:val="32"/>
        </w:rPr>
      </w:pPr>
    </w:p>
    <w:p w:rsidR="003F218C" w:rsidRDefault="003F218C" w:rsidP="00853B12">
      <w:pPr>
        <w:pStyle w:val="Bezmezer"/>
        <w:spacing w:line="360" w:lineRule="auto"/>
      </w:pPr>
      <w:r>
        <w:br w:type="page"/>
      </w:r>
    </w:p>
    <w:p w:rsidR="00655E82" w:rsidRPr="008D2D39" w:rsidRDefault="00655E82" w:rsidP="00655E82">
      <w:pPr>
        <w:pStyle w:val="Nadpis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" w:name="_Toc44437058"/>
      <w:r w:rsidRPr="008D2D39">
        <w:rPr>
          <w:rFonts w:ascii="Times New Roman" w:hAnsi="Times New Roman" w:cs="Times New Roman"/>
          <w:b/>
          <w:bCs/>
          <w:color w:val="auto"/>
        </w:rPr>
        <w:lastRenderedPageBreak/>
        <w:t>1 Popis rešeršní činnosti</w:t>
      </w:r>
      <w:bookmarkEnd w:id="2"/>
    </w:p>
    <w:p w:rsidR="00655E82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655E82" w:rsidRPr="00A32F61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2F61">
        <w:rPr>
          <w:b/>
          <w:sz w:val="28"/>
          <w:szCs w:val="28"/>
        </w:rPr>
        <w:t>Vyhledávací kritéria</w:t>
      </w:r>
    </w:p>
    <w:p w:rsidR="00655E82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  <w:r w:rsidRPr="00A32F61">
        <w:t xml:space="preserve">klíčová slova v češtině: </w:t>
      </w:r>
      <w:r>
        <w:t>zdravotní gramotnost, dospělá populace, podpora zdraví, zdraví,</w:t>
      </w:r>
      <w:r w:rsidR="0022725B">
        <w:t xml:space="preserve"> faktory ZG, nástroje ZG</w:t>
      </w:r>
      <w:r>
        <w:t>,</w:t>
      </w:r>
      <w:r w:rsidR="00406C8B">
        <w:t xml:space="preserve"> subvence ZG všeobecnou sestrou</w:t>
      </w:r>
      <w:r>
        <w:t xml:space="preserve"> </w:t>
      </w:r>
    </w:p>
    <w:p w:rsidR="00655E82" w:rsidRPr="00A32F61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  <w:r>
        <w:t>v angličtině: health literacy,</w:t>
      </w:r>
      <w:r w:rsidR="00406C8B">
        <w:t xml:space="preserve"> health,</w:t>
      </w:r>
      <w:r w:rsidR="0022725B">
        <w:t xml:space="preserve"> adult population, </w:t>
      </w:r>
      <w:r>
        <w:t>promoti</w:t>
      </w:r>
      <w:r w:rsidR="0022725B">
        <w:t>ng HL</w:t>
      </w:r>
      <w:r>
        <w:t>,</w:t>
      </w:r>
      <w:r w:rsidR="0022725B">
        <w:t xml:space="preserve"> factors of HL, tools of HL, HL and</w:t>
      </w:r>
      <w:r>
        <w:t xml:space="preserve"> nurse, </w:t>
      </w:r>
      <w:r w:rsidR="00693692">
        <w:t>HL and</w:t>
      </w:r>
      <w:r w:rsidR="00406C8B">
        <w:t xml:space="preserve"> support nurse</w:t>
      </w:r>
      <w:r w:rsidR="00693692">
        <w:t xml:space="preserve"> </w:t>
      </w:r>
    </w:p>
    <w:p w:rsidR="00E46D1D" w:rsidRPr="00B56001" w:rsidRDefault="00655E82" w:rsidP="00B560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  <w:r>
        <w:t>vyhledávací období: 20</w:t>
      </w:r>
      <w:r w:rsidR="00B518C1">
        <w:t>09</w:t>
      </w:r>
      <w:r>
        <w:t>-2020</w:t>
      </w:r>
    </w:p>
    <w:p w:rsidR="00655E82" w:rsidRPr="00A32F61" w:rsidRDefault="00655E82" w:rsidP="00655E82">
      <w:pPr>
        <w:spacing w:line="360" w:lineRule="auto"/>
        <w:jc w:val="center"/>
        <w:rPr>
          <w:b/>
          <w:sz w:val="40"/>
          <w:szCs w:val="40"/>
        </w:rPr>
      </w:pPr>
      <w:r w:rsidRPr="00A32F61">
        <w:rPr>
          <w:b/>
          <w:sz w:val="40"/>
          <w:szCs w:val="40"/>
        </w:rPr>
        <w:t>↓</w:t>
      </w:r>
    </w:p>
    <w:p w:rsidR="00655E82" w:rsidRPr="00952E4B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2F61">
        <w:rPr>
          <w:b/>
          <w:sz w:val="28"/>
          <w:szCs w:val="28"/>
        </w:rPr>
        <w:t>Databáze</w:t>
      </w:r>
    </w:p>
    <w:p w:rsidR="00E46D1D" w:rsidRPr="00B56001" w:rsidRDefault="00655E82" w:rsidP="00B560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EBSCO, GOOGLE Scholar, MEDVIK, Pub Med</w:t>
      </w:r>
    </w:p>
    <w:p w:rsidR="00655E82" w:rsidRPr="00A32F61" w:rsidRDefault="00655E82" w:rsidP="00655E82">
      <w:pPr>
        <w:spacing w:line="360" w:lineRule="auto"/>
        <w:jc w:val="center"/>
        <w:rPr>
          <w:b/>
          <w:sz w:val="40"/>
          <w:szCs w:val="40"/>
        </w:rPr>
      </w:pPr>
      <w:r w:rsidRPr="00A32F61">
        <w:rPr>
          <w:b/>
          <w:sz w:val="40"/>
          <w:szCs w:val="40"/>
        </w:rPr>
        <w:t>↓</w:t>
      </w:r>
    </w:p>
    <w:p w:rsidR="00E46D1D" w:rsidRPr="00B56001" w:rsidRDefault="00D36A47" w:rsidP="00B560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>Nalezeno 293 dokumentů</w:t>
      </w:r>
    </w:p>
    <w:p w:rsidR="001C0A63" w:rsidRDefault="001C0A63" w:rsidP="00655E82">
      <w:pPr>
        <w:spacing w:line="360" w:lineRule="auto"/>
        <w:jc w:val="center"/>
        <w:rPr>
          <w:b/>
          <w:sz w:val="40"/>
          <w:szCs w:val="40"/>
        </w:rPr>
      </w:pPr>
    </w:p>
    <w:p w:rsidR="00655E82" w:rsidRPr="00A32F61" w:rsidRDefault="00655E82" w:rsidP="00655E82">
      <w:pPr>
        <w:spacing w:line="360" w:lineRule="auto"/>
        <w:jc w:val="center"/>
        <w:rPr>
          <w:b/>
          <w:sz w:val="40"/>
          <w:szCs w:val="40"/>
        </w:rPr>
      </w:pPr>
      <w:r w:rsidRPr="00A32F61">
        <w:rPr>
          <w:b/>
          <w:sz w:val="40"/>
          <w:szCs w:val="40"/>
        </w:rPr>
        <w:t>↓</w:t>
      </w:r>
    </w:p>
    <w:p w:rsidR="00655E82" w:rsidRPr="00182499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2F61">
        <w:rPr>
          <w:b/>
          <w:sz w:val="28"/>
          <w:szCs w:val="28"/>
        </w:rPr>
        <w:t>Vyřazující kritéria</w:t>
      </w:r>
    </w:p>
    <w:p w:rsidR="00655E82" w:rsidRDefault="00655E82" w:rsidP="00D36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Články vyřazeny již podle nadpisu, které neodpovídali cílům práce</w:t>
      </w:r>
    </w:p>
    <w:p w:rsidR="00E46D1D" w:rsidRPr="00B56001" w:rsidRDefault="00655E82" w:rsidP="00B560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Duplicitní články</w:t>
      </w:r>
    </w:p>
    <w:p w:rsidR="001C0A63" w:rsidRDefault="001C0A63" w:rsidP="00655E82">
      <w:pPr>
        <w:spacing w:line="360" w:lineRule="auto"/>
        <w:jc w:val="center"/>
        <w:rPr>
          <w:b/>
          <w:sz w:val="40"/>
          <w:szCs w:val="40"/>
        </w:rPr>
      </w:pPr>
    </w:p>
    <w:p w:rsidR="00655E82" w:rsidRPr="00A32F61" w:rsidRDefault="00655E82" w:rsidP="00655E82">
      <w:pPr>
        <w:spacing w:line="360" w:lineRule="auto"/>
        <w:jc w:val="center"/>
        <w:rPr>
          <w:b/>
          <w:sz w:val="40"/>
          <w:szCs w:val="40"/>
        </w:rPr>
      </w:pPr>
      <w:r w:rsidRPr="00A32F61">
        <w:rPr>
          <w:b/>
          <w:sz w:val="40"/>
          <w:szCs w:val="40"/>
        </w:rPr>
        <w:t>↓</w:t>
      </w:r>
    </w:p>
    <w:p w:rsidR="00655E82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2F61">
        <w:rPr>
          <w:b/>
          <w:sz w:val="28"/>
          <w:szCs w:val="28"/>
        </w:rPr>
        <w:t>Počet využitých zdrojů</w:t>
      </w:r>
    </w:p>
    <w:p w:rsidR="00655E82" w:rsidRDefault="00655E82" w:rsidP="00D36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MEDVIK</w:t>
      </w:r>
      <w:r w:rsidR="00D36A47">
        <w:t xml:space="preserve"> - 9</w:t>
      </w:r>
    </w:p>
    <w:p w:rsidR="00655E82" w:rsidRDefault="00655E82" w:rsidP="00D36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GOODLE Scholar</w:t>
      </w:r>
      <w:r w:rsidR="00D36A47">
        <w:t xml:space="preserve"> - 8</w:t>
      </w:r>
    </w:p>
    <w:p w:rsidR="00655E82" w:rsidRDefault="00655E82" w:rsidP="00D36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EBSCO</w:t>
      </w:r>
      <w:r w:rsidR="00D36A47">
        <w:t xml:space="preserve"> - 21</w:t>
      </w:r>
    </w:p>
    <w:p w:rsidR="00B56001" w:rsidRPr="001C0A63" w:rsidRDefault="00655E82" w:rsidP="001C0A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PuB MED</w:t>
      </w:r>
      <w:r w:rsidR="00D36A47">
        <w:t xml:space="preserve"> - 14</w:t>
      </w:r>
    </w:p>
    <w:p w:rsidR="00655E82" w:rsidRPr="00B84B6E" w:rsidRDefault="00655E82" w:rsidP="00655E82">
      <w:pPr>
        <w:spacing w:line="360" w:lineRule="auto"/>
        <w:jc w:val="center"/>
        <w:rPr>
          <w:b/>
          <w:sz w:val="40"/>
          <w:szCs w:val="40"/>
        </w:rPr>
      </w:pPr>
      <w:r w:rsidRPr="00A32F61">
        <w:rPr>
          <w:b/>
          <w:sz w:val="40"/>
          <w:szCs w:val="40"/>
        </w:rPr>
        <w:t>↓</w:t>
      </w:r>
    </w:p>
    <w:p w:rsidR="00655E82" w:rsidRPr="00B84B6E" w:rsidRDefault="00655E82" w:rsidP="00655E82">
      <w:pPr>
        <w:pStyle w:val="Bezmezer"/>
        <w:spacing w:line="360" w:lineRule="auto"/>
      </w:pPr>
    </w:p>
    <w:p w:rsidR="004D1AED" w:rsidRDefault="00655E82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center"/>
      </w:pPr>
      <w:r>
        <w:lastRenderedPageBreak/>
        <w:t xml:space="preserve">SUMARIZACE DOHLEDANÝCH PERIODIK A DOKUMENTŮ: </w:t>
      </w:r>
    </w:p>
    <w:p w:rsidR="00520A4F" w:rsidRDefault="004D1AED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</w:pPr>
      <w:r>
        <w:t>Knižní publikace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periodik</w:t>
      </w:r>
    </w:p>
    <w:p w:rsidR="00520A4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American Journal of Preventive Medicine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904986">
        <w:rPr>
          <w:rFonts w:cs="Times New Roman"/>
          <w:szCs w:val="24"/>
        </w:rPr>
        <w:t>1</w:t>
      </w:r>
      <w:r w:rsidR="00A407BF">
        <w:rPr>
          <w:rFonts w:cs="Times New Roman"/>
          <w:szCs w:val="24"/>
        </w:rPr>
        <w:t xml:space="preserve">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BMC Public Health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5 článků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Clinical journal of oncology nursing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2 články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Eastern Mediterranean Health Journal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Gulhane Medical Journal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</w:rPr>
      </w:pPr>
      <w:r w:rsidRPr="00A407BF">
        <w:rPr>
          <w:rFonts w:cs="Times New Roman"/>
        </w:rPr>
        <w:t>Health literacy research and practice</w:t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  <w:t>1 článek</w:t>
      </w:r>
    </w:p>
    <w:p w:rsidR="00A407BF" w:rsidRPr="00D36A47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hd w:val="clear" w:color="auto" w:fill="FFFFFF"/>
        </w:rPr>
      </w:pPr>
      <w:r w:rsidRPr="00417772">
        <w:rPr>
          <w:rFonts w:cs="Times New Roman"/>
          <w:shd w:val="clear" w:color="auto" w:fill="FFFFFF"/>
        </w:rPr>
        <w:t>Health Promotion International</w:t>
      </w:r>
      <w:r w:rsidR="00A407BF">
        <w:rPr>
          <w:rFonts w:cs="Times New Roman"/>
          <w:color w:val="2A2A2A"/>
          <w:shd w:val="clear" w:color="auto" w:fill="FFFFFF"/>
        </w:rPr>
        <w:tab/>
      </w:r>
      <w:r w:rsidR="00A407BF">
        <w:rPr>
          <w:rFonts w:cs="Times New Roman"/>
          <w:color w:val="2A2A2A"/>
          <w:shd w:val="clear" w:color="auto" w:fill="FFFFFF"/>
        </w:rPr>
        <w:tab/>
      </w:r>
      <w:r w:rsidR="00A407BF">
        <w:rPr>
          <w:rFonts w:cs="Times New Roman"/>
          <w:color w:val="2A2A2A"/>
          <w:shd w:val="clear" w:color="auto" w:fill="FFFFFF"/>
        </w:rPr>
        <w:tab/>
      </w:r>
      <w:r w:rsidR="00A407BF">
        <w:rPr>
          <w:rFonts w:cs="Times New Roman"/>
          <w:color w:val="2A2A2A"/>
          <w:shd w:val="clear" w:color="auto" w:fill="FFFFFF"/>
        </w:rPr>
        <w:tab/>
      </w:r>
      <w:r w:rsidR="00A407BF">
        <w:rPr>
          <w:rFonts w:cs="Times New Roman"/>
          <w:color w:val="2A2A2A"/>
          <w:shd w:val="clear" w:color="auto" w:fill="FFFFFF"/>
        </w:rPr>
        <w:tab/>
      </w:r>
      <w:r w:rsidR="00A407BF">
        <w:rPr>
          <w:rFonts w:cs="Times New Roman"/>
          <w:color w:val="2A2A2A"/>
          <w:shd w:val="clear" w:color="auto" w:fill="FFFFFF"/>
        </w:rPr>
        <w:tab/>
      </w:r>
      <w:r w:rsidR="00A407BF">
        <w:rPr>
          <w:rFonts w:cs="Times New Roman"/>
          <w:color w:val="2A2A2A"/>
          <w:shd w:val="clear" w:color="auto" w:fill="FFFFFF"/>
        </w:rPr>
        <w:tab/>
      </w:r>
      <w:r w:rsidR="00667DAA" w:rsidRPr="00D36A47">
        <w:rPr>
          <w:rFonts w:cs="Times New Roman"/>
          <w:shd w:val="clear" w:color="auto" w:fill="FFFFFF"/>
        </w:rPr>
        <w:t xml:space="preserve">4 </w:t>
      </w:r>
      <w:r w:rsidR="00A407BF" w:rsidRPr="00D36A47">
        <w:rPr>
          <w:rFonts w:cs="Times New Roman"/>
          <w:shd w:val="clear" w:color="auto" w:fill="FFFFFF"/>
        </w:rPr>
        <w:t>články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Hygiena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2 články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International Journal Of Environmental Research And Public Health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5 článků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Journal of Biomedical Informatics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4D1AED">
        <w:rPr>
          <w:rFonts w:cs="Times New Roman"/>
          <w:szCs w:val="24"/>
        </w:rPr>
        <w:t>2</w:t>
      </w:r>
      <w:r w:rsidR="00A407BF">
        <w:rPr>
          <w:rFonts w:cs="Times New Roman"/>
          <w:szCs w:val="24"/>
        </w:rPr>
        <w:t xml:space="preserve">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color w:val="000000"/>
          <w:szCs w:val="24"/>
        </w:rPr>
      </w:pPr>
      <w:r w:rsidRPr="00A407BF">
        <w:rPr>
          <w:rFonts w:cs="Times New Roman"/>
          <w:color w:val="000000"/>
          <w:szCs w:val="24"/>
        </w:rPr>
        <w:t>Journal of health communication</w:t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  <w:t>4 články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Kontakt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3 články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Medicine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Nigerian quarterly journal of hospital medicine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Nursing Education</w:t>
      </w:r>
      <w:r w:rsidR="00A407BF" w:rsidRPr="00A407BF">
        <w:rPr>
          <w:rFonts w:cs="Times New Roman"/>
          <w:szCs w:val="24"/>
        </w:rPr>
        <w:t xml:space="preserve"> </w:t>
      </w:r>
      <w:r w:rsidRPr="00A407BF">
        <w:rPr>
          <w:rFonts w:cs="Times New Roman"/>
          <w:szCs w:val="24"/>
        </w:rPr>
        <w:t>Perspectives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Oman Medical Journal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Oncology Nursing Forum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color w:val="000000"/>
          <w:szCs w:val="24"/>
        </w:rPr>
      </w:pPr>
      <w:r w:rsidRPr="00A407BF">
        <w:rPr>
          <w:rFonts w:cs="Times New Roman"/>
          <w:color w:val="000000"/>
          <w:szCs w:val="24"/>
        </w:rPr>
        <w:t>Ošetrovaeľstvo</w:t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</w:r>
      <w:r w:rsidR="00A407BF">
        <w:rPr>
          <w:rFonts w:cs="Times New Roman"/>
          <w:color w:val="000000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</w:rPr>
      </w:pPr>
      <w:r w:rsidRPr="00A407BF">
        <w:rPr>
          <w:rFonts w:cs="Times New Roman"/>
        </w:rPr>
        <w:t>PloS one</w:t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A407BF">
        <w:rPr>
          <w:rFonts w:cs="Times New Roman"/>
        </w:rPr>
        <w:tab/>
      </w:r>
      <w:r w:rsidR="00824ED7">
        <w:rPr>
          <w:rFonts w:cs="Times New Roman"/>
        </w:rPr>
        <w:t>4</w:t>
      </w:r>
      <w:r w:rsidR="00A407BF">
        <w:rPr>
          <w:rFonts w:cs="Times New Roman"/>
        </w:rPr>
        <w:t xml:space="preserve"> články</w:t>
      </w:r>
    </w:p>
    <w:p w:rsid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szCs w:val="24"/>
        </w:rPr>
        <w:t>Practicus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color w:val="0D0D0D" w:themeColor="text1" w:themeTint="F2"/>
          <w:szCs w:val="24"/>
        </w:rPr>
        <w:t>Stud</w:t>
      </w:r>
      <w:r w:rsidRPr="00A407BF">
        <w:rPr>
          <w:rFonts w:cs="Times New Roman"/>
          <w:szCs w:val="24"/>
        </w:rPr>
        <w:t>ies in Health Technology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A407B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A407BF">
        <w:rPr>
          <w:rFonts w:cs="Times New Roman"/>
          <w:szCs w:val="24"/>
          <w:shd w:val="clear" w:color="auto" w:fill="FFFFFF"/>
        </w:rPr>
        <w:t>The Nursing clinics of North America</w:t>
      </w:r>
      <w:r w:rsidR="00A407BF">
        <w:rPr>
          <w:rFonts w:cs="Times New Roman"/>
          <w:szCs w:val="24"/>
          <w:shd w:val="clear" w:color="auto" w:fill="FFFFFF"/>
        </w:rPr>
        <w:tab/>
      </w:r>
      <w:r w:rsidR="00A407BF">
        <w:rPr>
          <w:rFonts w:cs="Times New Roman"/>
          <w:szCs w:val="24"/>
          <w:shd w:val="clear" w:color="auto" w:fill="FFFFFF"/>
        </w:rPr>
        <w:tab/>
      </w:r>
      <w:r w:rsidR="00A407BF">
        <w:rPr>
          <w:rFonts w:cs="Times New Roman"/>
          <w:szCs w:val="24"/>
          <w:shd w:val="clear" w:color="auto" w:fill="FFFFFF"/>
        </w:rPr>
        <w:tab/>
      </w:r>
      <w:r w:rsidR="00A407BF">
        <w:rPr>
          <w:rFonts w:cs="Times New Roman"/>
          <w:szCs w:val="24"/>
          <w:shd w:val="clear" w:color="auto" w:fill="FFFFFF"/>
        </w:rPr>
        <w:tab/>
      </w:r>
      <w:r w:rsidR="00A407BF">
        <w:rPr>
          <w:rFonts w:cs="Times New Roman"/>
          <w:szCs w:val="24"/>
          <w:shd w:val="clear" w:color="auto" w:fill="FFFFFF"/>
        </w:rPr>
        <w:tab/>
      </w:r>
      <w:r w:rsidR="00A407BF">
        <w:rPr>
          <w:rFonts w:cs="Times New Roman"/>
          <w:szCs w:val="24"/>
          <w:shd w:val="clear" w:color="auto" w:fill="FFFFFF"/>
        </w:rPr>
        <w:tab/>
        <w:t>1 článek</w:t>
      </w:r>
    </w:p>
    <w:p w:rsidR="00417772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i/>
          <w:iCs/>
        </w:rPr>
      </w:pPr>
      <w:r w:rsidRPr="00A407BF">
        <w:rPr>
          <w:rFonts w:cs="Times New Roman"/>
          <w:szCs w:val="24"/>
        </w:rPr>
        <w:t>The European Journal of Public Health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  <w:r w:rsidR="00417772" w:rsidRPr="00417772">
        <w:rPr>
          <w:rFonts w:cs="Times New Roman"/>
          <w:i/>
          <w:iCs/>
        </w:rPr>
        <w:t xml:space="preserve"> </w:t>
      </w:r>
    </w:p>
    <w:p w:rsidR="00A407BF" w:rsidRPr="00417772" w:rsidRDefault="00417772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417772">
        <w:rPr>
          <w:rFonts w:cs="Times New Roman"/>
        </w:rPr>
        <w:t>Scandinavian Journal of Caring Sciences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článek</w:t>
      </w:r>
    </w:p>
    <w:p w:rsidR="00520A4F" w:rsidRPr="00A407BF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both"/>
        <w:rPr>
          <w:rFonts w:cs="Times New Roman"/>
          <w:szCs w:val="24"/>
        </w:rPr>
      </w:pPr>
      <w:r w:rsidRPr="00A407BF">
        <w:rPr>
          <w:rFonts w:cs="Times New Roman"/>
          <w:color w:val="0D0D0D" w:themeColor="text1" w:themeTint="F2"/>
          <w:szCs w:val="24"/>
        </w:rPr>
        <w:t>Stud</w:t>
      </w:r>
      <w:r w:rsidRPr="00A407BF">
        <w:rPr>
          <w:rFonts w:cs="Times New Roman"/>
          <w:szCs w:val="24"/>
        </w:rPr>
        <w:t>ies in Health Technology</w:t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</w:r>
      <w:r w:rsidR="00A407BF">
        <w:rPr>
          <w:rFonts w:cs="Times New Roman"/>
          <w:szCs w:val="24"/>
        </w:rPr>
        <w:tab/>
        <w:t>1 článek</w:t>
      </w:r>
    </w:p>
    <w:p w:rsidR="00655E82" w:rsidRDefault="00520A4F" w:rsidP="00B560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jc w:val="center"/>
      </w:pPr>
      <w:r>
        <w:t xml:space="preserve"> </w:t>
      </w:r>
    </w:p>
    <w:p w:rsidR="00B56001" w:rsidRDefault="00B56001" w:rsidP="00E46D1D">
      <w:pPr>
        <w:spacing w:line="360" w:lineRule="auto"/>
        <w:jc w:val="center"/>
        <w:rPr>
          <w:b/>
          <w:sz w:val="40"/>
          <w:szCs w:val="40"/>
        </w:rPr>
      </w:pPr>
    </w:p>
    <w:p w:rsidR="00655E82" w:rsidRPr="00E46D1D" w:rsidRDefault="00655E82" w:rsidP="00E46D1D">
      <w:pPr>
        <w:spacing w:line="360" w:lineRule="auto"/>
        <w:jc w:val="center"/>
        <w:rPr>
          <w:b/>
          <w:sz w:val="40"/>
          <w:szCs w:val="40"/>
        </w:rPr>
      </w:pPr>
      <w:r w:rsidRPr="00A32F61">
        <w:rPr>
          <w:b/>
          <w:sz w:val="40"/>
          <w:szCs w:val="40"/>
        </w:rPr>
        <w:t>↓</w:t>
      </w:r>
    </w:p>
    <w:p w:rsidR="00655E82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</w:p>
    <w:p w:rsidR="00655E82" w:rsidRDefault="00655E82" w:rsidP="00655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  <w:r>
        <w:t xml:space="preserve">Pro tvorbu teoretických východisek bylo použito </w:t>
      </w:r>
      <w:r w:rsidR="00D36A47">
        <w:t xml:space="preserve">52 </w:t>
      </w:r>
      <w:r>
        <w:t>dohledaných dokumentů.</w:t>
      </w:r>
    </w:p>
    <w:p w:rsidR="003F218C" w:rsidRDefault="003F218C" w:rsidP="00853B12">
      <w:pPr>
        <w:pStyle w:val="Bezmezer"/>
        <w:spacing w:line="360" w:lineRule="auto"/>
      </w:pPr>
    </w:p>
    <w:p w:rsidR="00655E82" w:rsidRPr="00E56290" w:rsidRDefault="00655E82" w:rsidP="00C800E7">
      <w:pPr>
        <w:pStyle w:val="Nadpis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44437059"/>
      <w:r w:rsidRPr="00E11937">
        <w:rPr>
          <w:rFonts w:ascii="Times New Roman" w:hAnsi="Times New Roman" w:cs="Times New Roman"/>
          <w:b/>
          <w:bCs/>
          <w:color w:val="000000" w:themeColor="text1"/>
        </w:rPr>
        <w:t>2 Zdravotní gramotnost dospělé populace a její podpora všeobecnou sestrou</w:t>
      </w:r>
      <w:bookmarkEnd w:id="3"/>
      <w:r w:rsidRPr="00E1193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655E82" w:rsidRDefault="00655E82" w:rsidP="00C800E7">
      <w:pPr>
        <w:spacing w:line="360" w:lineRule="auto"/>
        <w:ind w:firstLine="708"/>
        <w:jc w:val="both"/>
      </w:pPr>
      <w:r w:rsidRPr="00F25D4C">
        <w:t>K</w:t>
      </w:r>
      <w:r>
        <w:t>apitola se zabývá vysvětlením pojmů souvisejících se zdravotní gramotností (zdraví, nemoc, podpora zdraví, zdravotní gramotnost), zdravotní gramotností u dospělé populace</w:t>
      </w:r>
      <w:r w:rsidR="00B32B34">
        <w:t xml:space="preserve"> </w:t>
      </w:r>
      <w:r>
        <w:t>a pracovními kompetencemi všeobecných sester v subvenci zdravotní gramotnosti</w:t>
      </w:r>
    </w:p>
    <w:p w:rsidR="008318B8" w:rsidRPr="008318B8" w:rsidRDefault="008318B8" w:rsidP="008318B8">
      <w:pPr>
        <w:pStyle w:val="Bezmezer"/>
      </w:pPr>
    </w:p>
    <w:p w:rsidR="00655E82" w:rsidRPr="00E56290" w:rsidRDefault="00655E82" w:rsidP="00C800E7">
      <w:pPr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E11937">
        <w:rPr>
          <w:rStyle w:val="authorname"/>
          <w:rFonts w:cs="Times New Roman"/>
          <w:b/>
          <w:bCs/>
          <w:szCs w:val="24"/>
        </w:rPr>
        <w:t xml:space="preserve">Zdraví </w:t>
      </w:r>
    </w:p>
    <w:p w:rsidR="00655E82" w:rsidRPr="00883103" w:rsidRDefault="00655E82" w:rsidP="00C800E7">
      <w:pPr>
        <w:spacing w:line="360" w:lineRule="auto"/>
        <w:ind w:firstLine="708"/>
        <w:jc w:val="both"/>
      </w:pPr>
      <w:r w:rsidRPr="005B060D">
        <w:rPr>
          <w:szCs w:val="24"/>
        </w:rPr>
        <w:t>Z</w:t>
      </w:r>
      <w:r w:rsidRPr="005B060D">
        <w:t>draví</w:t>
      </w:r>
      <w:r>
        <w:t xml:space="preserve"> ovlivňuje kvalitu života, jelikož patří k prioritám každého člověka, rodiny i celé společnosti. I když je zdraví obtížně definovatelné a měřitelné, v Ústavě České republiky je stanoveno, že jde o jedno z lidských práv (Hamplová, 2019, s. 14). Pochopení termínu zdraví je důležitým předpokladem pro přípravu a uskutečnění opatření, které vedou ke zlepšení zdraví. Pro většinu lidí je termín </w:t>
      </w:r>
      <w:r w:rsidRPr="00481A51">
        <w:t>zdraví chápán</w:t>
      </w:r>
      <w:r>
        <w:t xml:space="preserve"> jako nepřítomnost </w:t>
      </w:r>
      <w:r w:rsidRPr="00481A51">
        <w:t>bolest</w:t>
      </w:r>
      <w:r>
        <w:t xml:space="preserve">i, tím jsou ale opomíjeny duševní stavy a tělesné funkce a s tím spojené nerozpoznání stádia začínající nemoci, nebo psychické problémy. Je důležité, aby lidé směřovali ke zdraví, rozvíjeli svou zdravotní gramotnost a rozhodovali se tak, aby zvolené jednání bylo přijatelné pro jejich zdraví. (Holčík, 2010, s.13). Kickbusch udává, že </w:t>
      </w:r>
      <w:r w:rsidRPr="00917E1C">
        <w:t>zdraví</w:t>
      </w:r>
      <w:r>
        <w:t xml:space="preserve"> je považováno za každodenní potřebu v životě, ale </w:t>
      </w:r>
      <w:r w:rsidRPr="00917E1C">
        <w:t>neměl</w:t>
      </w:r>
      <w:r>
        <w:t xml:space="preserve">o by plnit funkci životního cíle. </w:t>
      </w:r>
      <w:r w:rsidRPr="00895F59">
        <w:t>Zdraví je pozitivní koncept s důrazem na sociální a osobní zdroje, stejně jako fyzické schopnosti</w:t>
      </w:r>
      <w:r>
        <w:t xml:space="preserve"> (Kickbusch et al., 2013, s.4). Dle Plevové a kol. má zdraví pro každého člověka vysokou hodnotu</w:t>
      </w:r>
      <w:r w:rsidRPr="00112587">
        <w:rPr>
          <w:color w:val="auto"/>
        </w:rPr>
        <w:t>.</w:t>
      </w:r>
      <w:r w:rsidRPr="00112587">
        <w:rPr>
          <w:color w:val="FFFFFF" w:themeColor="background1"/>
        </w:rPr>
        <w:t xml:space="preserve"> </w:t>
      </w:r>
      <w:r w:rsidRPr="00112587">
        <w:rPr>
          <w:color w:val="auto"/>
        </w:rPr>
        <w:t>Bohužel svou péči o zdraví člověk často zanedbává z důvodu jiných</w:t>
      </w:r>
      <w:r w:rsidR="00E04524">
        <w:rPr>
          <w:color w:val="auto"/>
        </w:rPr>
        <w:t>,</w:t>
      </w:r>
      <w:r w:rsidRPr="00112587">
        <w:rPr>
          <w:color w:val="auto"/>
        </w:rPr>
        <w:t xml:space="preserve"> pro něj </w:t>
      </w:r>
      <w:r w:rsidRPr="00DD51DA">
        <w:rPr>
          <w:color w:val="auto"/>
        </w:rPr>
        <w:t>důležitých věcí</w:t>
      </w:r>
      <w:r w:rsidR="00E04524">
        <w:rPr>
          <w:color w:val="auto"/>
        </w:rPr>
        <w:t>. H</w:t>
      </w:r>
      <w:r w:rsidRPr="00DD51DA">
        <w:rPr>
          <w:color w:val="auto"/>
        </w:rPr>
        <w:t>odnotu zdraví si pak</w:t>
      </w:r>
      <w:r>
        <w:rPr>
          <w:color w:val="auto"/>
        </w:rPr>
        <w:t xml:space="preserve"> člověk nejspíše</w:t>
      </w:r>
      <w:r w:rsidRPr="00112587">
        <w:rPr>
          <w:color w:val="auto"/>
        </w:rPr>
        <w:t xml:space="preserve"> uvědomí, až když sám nebo někdo z rodiny onemocní. (Plevová et al., 2011, s. 167).</w:t>
      </w:r>
      <w:r>
        <w:rPr>
          <w:color w:val="auto"/>
        </w:rPr>
        <w:t xml:space="preserve"> </w:t>
      </w:r>
      <w:r w:rsidRPr="00D425D4">
        <w:rPr>
          <w:color w:val="auto"/>
        </w:rPr>
        <w:t>Podle toho, jak člověk považuje hodnotu zdraví za významnou, dochází</w:t>
      </w:r>
      <w:r w:rsidRPr="00D425D4">
        <w:t xml:space="preserve"> k odlišným důsledkům a to sociálním, zdravotním a ekonomickým</w:t>
      </w:r>
      <w:r>
        <w:t xml:space="preserve"> (Holčík, 2010, s.13). Jako nejčastější </w:t>
      </w:r>
      <w:r w:rsidR="00E04524">
        <w:t>formulaci</w:t>
      </w:r>
      <w:r>
        <w:t xml:space="preserve"> zdraví lze uvést tu od Světové zdravotnické organizace (WHO - World Health Organization) a </w:t>
      </w:r>
      <w:r w:rsidR="00E04524">
        <w:t>sice</w:t>
      </w:r>
      <w:r>
        <w:t xml:space="preserve">, že zdraví </w:t>
      </w:r>
      <w:r w:rsidRPr="00EA0AEF">
        <w:t xml:space="preserve">je stav úplné fyzické, duševní a sociální pohody a nejenom nepřítomnost nemoci nebo </w:t>
      </w:r>
      <w:r>
        <w:t>slabosti</w:t>
      </w:r>
      <w:r w:rsidRPr="00EA0AEF">
        <w:t>.</w:t>
      </w:r>
      <w:r w:rsidRPr="004F55BF">
        <w:rPr>
          <w:color w:val="FF0000"/>
        </w:rPr>
        <w:t xml:space="preserve"> </w:t>
      </w:r>
      <w:r w:rsidRPr="00DD51DA">
        <w:t>Nevýhodou této definice</w:t>
      </w:r>
      <w:r w:rsidRPr="00DD51DA">
        <w:rPr>
          <w:color w:val="FF0000"/>
        </w:rPr>
        <w:t xml:space="preserve"> </w:t>
      </w:r>
      <w:r w:rsidRPr="00DD51DA">
        <w:t>je,</w:t>
      </w:r>
      <w:r>
        <w:t xml:space="preserve"> že zdraví je formulováno široce a obecně a často by nebylo možné </w:t>
      </w:r>
      <w:r w:rsidR="00E04524">
        <w:t xml:space="preserve">jej </w:t>
      </w:r>
      <w:r>
        <w:t>objektiv</w:t>
      </w:r>
      <w:r w:rsidR="00E04524">
        <w:t>ně</w:t>
      </w:r>
      <w:r>
        <w:t xml:space="preserve"> měř</w:t>
      </w:r>
      <w:r w:rsidR="00E04524">
        <w:t>it</w:t>
      </w:r>
      <w:r>
        <w:t>. Definice WHO, která je v platnosti od roku 1946, je typická svou jednoduchostí, stručností, srozumitelností a je přijatelná jak pro odbornou, tak i pro laickou veřejnost. Zahrnuje aspekty fyzické (tělesné), psychické (duševní) a sociální, které jsou ovlivňovány průběhem lidského života, kulturou, ekonomikou, vývojem medicíny, a dalšími vlivy (Hamplová, 2019, s. 14). Dle Holčíka</w:t>
      </w:r>
      <w:r w:rsidR="00E045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je </w:t>
      </w:r>
      <w:r w:rsidRPr="00E041F6">
        <w:rPr>
          <w:rFonts w:cs="Times New Roman"/>
          <w:szCs w:val="24"/>
        </w:rPr>
        <w:t>zapotřebí</w:t>
      </w:r>
      <w:r w:rsidR="00E0452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se na tyto tři základní </w:t>
      </w:r>
      <w:r w:rsidRPr="009F0C53">
        <w:rPr>
          <w:rFonts w:cs="Times New Roman"/>
          <w:szCs w:val="24"/>
        </w:rPr>
        <w:t xml:space="preserve">složky </w:t>
      </w:r>
      <w:r>
        <w:rPr>
          <w:rFonts w:cs="Times New Roman"/>
          <w:szCs w:val="24"/>
        </w:rPr>
        <w:t xml:space="preserve">zaměřit. </w:t>
      </w:r>
    </w:p>
    <w:p w:rsidR="00655E82" w:rsidRDefault="00655E82" w:rsidP="00C800E7">
      <w:pPr>
        <w:spacing w:line="360" w:lineRule="auto"/>
        <w:jc w:val="both"/>
        <w:rPr>
          <w:rFonts w:cs="Times New Roman"/>
          <w:szCs w:val="24"/>
        </w:rPr>
      </w:pPr>
      <w:r w:rsidRPr="009F0C53">
        <w:rPr>
          <w:rFonts w:cs="Times New Roman"/>
          <w:szCs w:val="24"/>
        </w:rPr>
        <w:t>Aspekty zdraví:</w:t>
      </w:r>
      <w:r>
        <w:rPr>
          <w:rFonts w:cs="Times New Roman"/>
          <w:szCs w:val="24"/>
        </w:rPr>
        <w:t xml:space="preserve"> </w:t>
      </w:r>
    </w:p>
    <w:p w:rsidR="00655E82" w:rsidRPr="00B0698F" w:rsidRDefault="00655E82" w:rsidP="00C800E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0698F">
        <w:rPr>
          <w:rFonts w:cs="Times New Roman"/>
          <w:szCs w:val="24"/>
        </w:rPr>
        <w:lastRenderedPageBreak/>
        <w:t>Fyzické (tělesné) zdraví</w:t>
      </w:r>
      <w:r w:rsidR="00E04524">
        <w:rPr>
          <w:rFonts w:cs="Times New Roman"/>
          <w:szCs w:val="24"/>
        </w:rPr>
        <w:t>-</w:t>
      </w:r>
      <w:r w:rsidRPr="00B0698F">
        <w:rPr>
          <w:rFonts w:cs="Times New Roman"/>
          <w:szCs w:val="24"/>
        </w:rPr>
        <w:t xml:space="preserve"> souvisí s nepřítomností nemocí, nebo vady. Je kladen důraz na normální funkci orgánů a nenarušenost tělesných funkcí při úkonech souvisejících se soběstačností.</w:t>
      </w:r>
    </w:p>
    <w:p w:rsidR="00655E82" w:rsidRPr="00B0698F" w:rsidRDefault="00655E82" w:rsidP="00C800E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0698F">
        <w:rPr>
          <w:rFonts w:cs="Times New Roman"/>
          <w:szCs w:val="24"/>
        </w:rPr>
        <w:t>Psychické (duševní) zdraví</w:t>
      </w:r>
      <w:r w:rsidR="00E04524">
        <w:rPr>
          <w:rFonts w:cs="Times New Roman"/>
          <w:szCs w:val="24"/>
        </w:rPr>
        <w:t>-</w:t>
      </w:r>
      <w:r w:rsidRPr="00B0698F">
        <w:rPr>
          <w:rFonts w:cs="Times New Roman"/>
          <w:szCs w:val="24"/>
        </w:rPr>
        <w:t xml:space="preserve"> klade se důraz na kvalitu života</w:t>
      </w:r>
      <w:r>
        <w:rPr>
          <w:rFonts w:cs="Times New Roman"/>
          <w:szCs w:val="24"/>
        </w:rPr>
        <w:t xml:space="preserve">, </w:t>
      </w:r>
      <w:r w:rsidRPr="00B0698F">
        <w:rPr>
          <w:rFonts w:cs="Times New Roman"/>
          <w:szCs w:val="24"/>
        </w:rPr>
        <w:t xml:space="preserve">zahrnuje emocionální zdraví a sebehodnocení vlastního zdravotního stavu. </w:t>
      </w:r>
    </w:p>
    <w:p w:rsidR="00655E82" w:rsidRPr="00B0698F" w:rsidRDefault="00655E82" w:rsidP="00C800E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0698F">
        <w:rPr>
          <w:rFonts w:cs="Times New Roman"/>
          <w:szCs w:val="24"/>
        </w:rPr>
        <w:t>Sociální zdraví</w:t>
      </w:r>
      <w:r w:rsidR="00E04524">
        <w:rPr>
          <w:rFonts w:cs="Times New Roman"/>
          <w:szCs w:val="24"/>
        </w:rPr>
        <w:t>-</w:t>
      </w:r>
      <w:r w:rsidRPr="00B0698F">
        <w:rPr>
          <w:rFonts w:cs="Times New Roman"/>
          <w:szCs w:val="24"/>
        </w:rPr>
        <w:t xml:space="preserve"> navazování sociálních kontaktů</w:t>
      </w:r>
      <w:r>
        <w:rPr>
          <w:rFonts w:cs="Times New Roman"/>
          <w:szCs w:val="24"/>
        </w:rPr>
        <w:t>, podporování rozvoje mezilidských vztahů</w:t>
      </w:r>
      <w:r w:rsidRPr="00B0698F">
        <w:rPr>
          <w:rFonts w:cs="Times New Roman"/>
          <w:szCs w:val="24"/>
        </w:rPr>
        <w:t xml:space="preserve"> a zvládání sociální role</w:t>
      </w:r>
      <w:r>
        <w:rPr>
          <w:rFonts w:cs="Times New Roman"/>
          <w:szCs w:val="24"/>
        </w:rPr>
        <w:t>. Sociální odlišnosti přispívají k zdravotním rozdílům</w:t>
      </w:r>
      <w:r w:rsidR="00B518C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 to může mít za následek, že špatný </w:t>
      </w:r>
      <w:r w:rsidRPr="009F7B7F">
        <w:rPr>
          <w:rFonts w:cs="Times New Roman"/>
          <w:szCs w:val="24"/>
        </w:rPr>
        <w:t>zdravotní stav nižších sociálních vrstev může ohrozit zdraví majetnějších lidí</w:t>
      </w:r>
      <w:r w:rsidRPr="00B0698F">
        <w:rPr>
          <w:rFonts w:cs="Times New Roman"/>
          <w:szCs w:val="24"/>
        </w:rPr>
        <w:t xml:space="preserve"> (Holčík, 2010, s.14).</w:t>
      </w:r>
    </w:p>
    <w:p w:rsidR="00655E82" w:rsidRPr="0035125F" w:rsidRDefault="00655E82" w:rsidP="00C800E7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35125F">
        <w:rPr>
          <w:rFonts w:cs="Times New Roman"/>
          <w:szCs w:val="24"/>
        </w:rPr>
        <w:t>Podle Card (2017,</w:t>
      </w:r>
      <w:r>
        <w:rPr>
          <w:rFonts w:cs="Times New Roman"/>
          <w:szCs w:val="24"/>
        </w:rPr>
        <w:t xml:space="preserve"> </w:t>
      </w:r>
      <w:r w:rsidRPr="0035125F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127-128</w:t>
      </w:r>
      <w:r w:rsidRPr="0035125F">
        <w:rPr>
          <w:rFonts w:cs="Times New Roman"/>
          <w:szCs w:val="24"/>
        </w:rPr>
        <w:t>) je definice WHO nevhodná ve spojitosti s</w:t>
      </w:r>
      <w:r w:rsidR="00E04524">
        <w:rPr>
          <w:rFonts w:cs="Times New Roman"/>
          <w:szCs w:val="24"/>
        </w:rPr>
        <w:t> </w:t>
      </w:r>
      <w:r w:rsidRPr="0035125F">
        <w:rPr>
          <w:rFonts w:cs="Times New Roman"/>
          <w:szCs w:val="24"/>
        </w:rPr>
        <w:t>hodnotami</w:t>
      </w:r>
      <w:r w:rsidR="00E04524">
        <w:rPr>
          <w:rFonts w:cs="Times New Roman"/>
          <w:szCs w:val="24"/>
        </w:rPr>
        <w:t>. Je zde</w:t>
      </w:r>
      <w:r w:rsidRPr="0035125F">
        <w:rPr>
          <w:rFonts w:cs="Times New Roman"/>
          <w:szCs w:val="24"/>
        </w:rPr>
        <w:t xml:space="preserve"> potřeba vyvinout praktičtější definici zdraví a </w:t>
      </w:r>
      <w:r w:rsidR="00E04524">
        <w:rPr>
          <w:rFonts w:cs="Times New Roman"/>
          <w:szCs w:val="24"/>
        </w:rPr>
        <w:t>sice,</w:t>
      </w:r>
      <w:r w:rsidRPr="0035125F">
        <w:rPr>
          <w:rFonts w:cs="Times New Roman"/>
          <w:szCs w:val="24"/>
        </w:rPr>
        <w:t xml:space="preserve"> že zdra</w:t>
      </w:r>
      <w:r>
        <w:rPr>
          <w:rFonts w:cs="Times New Roman"/>
          <w:szCs w:val="24"/>
        </w:rPr>
        <w:t>v</w:t>
      </w:r>
      <w:r w:rsidRPr="0035125F">
        <w:rPr>
          <w:rFonts w:cs="Times New Roman"/>
          <w:szCs w:val="24"/>
        </w:rPr>
        <w:t xml:space="preserve">í je zážitek z fyzické </w:t>
      </w:r>
      <w:r w:rsidR="00E04524">
        <w:rPr>
          <w:rFonts w:cs="Times New Roman"/>
          <w:szCs w:val="24"/>
        </w:rPr>
        <w:t>i</w:t>
      </w:r>
      <w:r w:rsidRPr="0035125F">
        <w:rPr>
          <w:rFonts w:cs="Times New Roman"/>
          <w:szCs w:val="24"/>
        </w:rPr>
        <w:t xml:space="preserve"> psychické pohody, </w:t>
      </w:r>
      <w:r w:rsidR="00E04524">
        <w:rPr>
          <w:rFonts w:cs="Times New Roman"/>
          <w:szCs w:val="24"/>
        </w:rPr>
        <w:t xml:space="preserve">a </w:t>
      </w:r>
      <w:r w:rsidRPr="0035125F">
        <w:rPr>
          <w:rFonts w:cs="Times New Roman"/>
          <w:szCs w:val="24"/>
        </w:rPr>
        <w:t>nevyznačuje</w:t>
      </w:r>
      <w:r w:rsidR="00E04524">
        <w:rPr>
          <w:rFonts w:cs="Times New Roman"/>
          <w:szCs w:val="24"/>
        </w:rPr>
        <w:t xml:space="preserve"> se</w:t>
      </w:r>
      <w:r w:rsidRPr="0035125F">
        <w:rPr>
          <w:rFonts w:cs="Times New Roman"/>
          <w:szCs w:val="24"/>
        </w:rPr>
        <w:t xml:space="preserve"> jako dichotomie, ale jako kontinuum. Absence nemoci nebo postižení není dostatečn</w:t>
      </w:r>
      <w:r>
        <w:rPr>
          <w:rFonts w:cs="Times New Roman"/>
          <w:szCs w:val="24"/>
        </w:rPr>
        <w:t>á</w:t>
      </w:r>
      <w:r w:rsidRPr="0035125F">
        <w:rPr>
          <w:rFonts w:cs="Times New Roman"/>
          <w:szCs w:val="24"/>
        </w:rPr>
        <w:t>, a</w:t>
      </w:r>
      <w:r w:rsidR="00E04524">
        <w:rPr>
          <w:rFonts w:cs="Times New Roman"/>
          <w:szCs w:val="24"/>
        </w:rPr>
        <w:t>však a</w:t>
      </w:r>
      <w:r w:rsidRPr="0035125F">
        <w:rPr>
          <w:rFonts w:cs="Times New Roman"/>
          <w:szCs w:val="24"/>
        </w:rPr>
        <w:t>ni nevytváří do</w:t>
      </w:r>
      <w:r>
        <w:rPr>
          <w:rFonts w:cs="Times New Roman"/>
          <w:szCs w:val="24"/>
        </w:rPr>
        <w:t>br</w:t>
      </w:r>
      <w:r w:rsidRPr="0035125F">
        <w:rPr>
          <w:rFonts w:cs="Times New Roman"/>
          <w:szCs w:val="24"/>
        </w:rPr>
        <w:t xml:space="preserve">ý zdravotní stav. </w:t>
      </w:r>
      <w:r>
        <w:rPr>
          <w:rFonts w:cs="Times New Roman"/>
          <w:szCs w:val="24"/>
        </w:rPr>
        <w:t>Navrhuje tedy definici</w:t>
      </w:r>
      <w:r w:rsidRPr="0035125F">
        <w:rPr>
          <w:rFonts w:cs="Times New Roman"/>
          <w:szCs w:val="24"/>
        </w:rPr>
        <w:t xml:space="preserve"> zaměřující se na člověka, která je vedena ke splnění cílů a opatření pro zlepšení a zachování</w:t>
      </w:r>
      <w:r>
        <w:rPr>
          <w:rFonts w:cs="Times New Roman"/>
          <w:szCs w:val="24"/>
        </w:rPr>
        <w:t xml:space="preserve"> zdraví</w:t>
      </w:r>
      <w:r w:rsidRPr="0035125F">
        <w:rPr>
          <w:rFonts w:cs="Times New Roman"/>
          <w:szCs w:val="24"/>
        </w:rPr>
        <w:t xml:space="preserve"> než od nemožného cíle úplné pohody, </w:t>
      </w:r>
      <w:r w:rsidRPr="002A702D">
        <w:rPr>
          <w:rFonts w:cs="Times New Roman"/>
          <w:szCs w:val="24"/>
        </w:rPr>
        <w:t>jak se uvádí</w:t>
      </w:r>
      <w:r w:rsidRPr="0035125F">
        <w:rPr>
          <w:rFonts w:cs="Times New Roman"/>
          <w:szCs w:val="24"/>
        </w:rPr>
        <w:t xml:space="preserve"> u definice WHO.</w:t>
      </w:r>
    </w:p>
    <w:p w:rsidR="00655E82" w:rsidRDefault="00655E82" w:rsidP="00C800E7">
      <w:pPr>
        <w:spacing w:line="360" w:lineRule="auto"/>
        <w:jc w:val="both"/>
      </w:pPr>
      <w:r>
        <w:rPr>
          <w:rFonts w:cs="Times New Roman"/>
          <w:color w:val="auto"/>
          <w:szCs w:val="24"/>
        </w:rPr>
        <w:t>S pojmem zdraví jsou také spojeny determinanty</w:t>
      </w:r>
      <w:r w:rsidRPr="004A7F9B">
        <w:t>,</w:t>
      </w:r>
      <w:r>
        <w:t xml:space="preserve"> </w:t>
      </w:r>
      <w:r w:rsidRPr="004A7F9B">
        <w:t>zahrnují</w:t>
      </w:r>
      <w:r w:rsidR="00E04524">
        <w:t>cí</w:t>
      </w:r>
      <w:r w:rsidRPr="004A7F9B">
        <w:t xml:space="preserve"> </w:t>
      </w:r>
      <w:r w:rsidRPr="002A702D">
        <w:t>souhrn jevů</w:t>
      </w:r>
      <w:r w:rsidRPr="004A7F9B">
        <w:t xml:space="preserve"> a podmí</w:t>
      </w:r>
      <w:r>
        <w:t>nek, které ovlivňují zdraví, buď negativně, nebo pozitivně. Determinanty jsou spojeny s charakteristikou životního prostředí, s</w:t>
      </w:r>
      <w:r w:rsidR="00E04524">
        <w:t> </w:t>
      </w:r>
      <w:r>
        <w:t>osobními</w:t>
      </w:r>
      <w:r w:rsidR="00E04524">
        <w:t xml:space="preserve"> nebo</w:t>
      </w:r>
      <w:r>
        <w:t xml:space="preserve"> sociálními a ekonomickými faktory. Mezi základní determinanty lze zařadit životní styl, postoj k vlastnímu zdraví, zdravotnické služby a jejich kvalitu, faktory životního prostředí a genetické faktory (Hamplová, 2019, s.14-15).</w:t>
      </w:r>
    </w:p>
    <w:p w:rsidR="008318B8" w:rsidRPr="008318B8" w:rsidRDefault="008318B8" w:rsidP="008318B8">
      <w:pPr>
        <w:pStyle w:val="Bezmezer"/>
      </w:pPr>
    </w:p>
    <w:p w:rsidR="00655E82" w:rsidRPr="00E56290" w:rsidRDefault="00655E82" w:rsidP="00C800E7">
      <w:pPr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E11937">
        <w:rPr>
          <w:rStyle w:val="authorname"/>
          <w:rFonts w:cs="Times New Roman"/>
          <w:b/>
          <w:bCs/>
          <w:szCs w:val="24"/>
        </w:rPr>
        <w:t>Nemoc</w:t>
      </w:r>
    </w:p>
    <w:p w:rsidR="00655E82" w:rsidRDefault="00E04524" w:rsidP="00C800E7">
      <w:pPr>
        <w:spacing w:line="360" w:lineRule="auto"/>
        <w:ind w:firstLine="708"/>
        <w:jc w:val="both"/>
        <w:rPr>
          <w:rStyle w:val="authorname"/>
          <w:color w:val="auto"/>
        </w:rPr>
      </w:pPr>
      <w:r>
        <w:rPr>
          <w:rStyle w:val="authorname"/>
          <w:color w:val="auto"/>
        </w:rPr>
        <w:t>L</w:t>
      </w:r>
      <w:r w:rsidR="00655E82" w:rsidRPr="00504267">
        <w:rPr>
          <w:rStyle w:val="authorname"/>
          <w:color w:val="auto"/>
        </w:rPr>
        <w:t xml:space="preserve">ze definovat mnohem snadněji než zdraví, </w:t>
      </w:r>
      <w:r w:rsidR="00655E82">
        <w:rPr>
          <w:rStyle w:val="authorname"/>
          <w:color w:val="auto"/>
        </w:rPr>
        <w:t xml:space="preserve">jelikož je vyjadřována nemocností a úmrtností populace. Nemocností se udává, jak často a čím lidé onemocní. Prevalence je dalším ukazatelem, udává počet případů daného onemocnění za určité období na počet obyvatel. V České republice je kardiovaskulární onemocnění považováno za nejčastější příčinu úmrtí. Po nemoci oběhové soustavy jsou nejčastější příčinou nemocnosti v populaci </w:t>
      </w:r>
      <w:r w:rsidR="00655E82" w:rsidRPr="00032241">
        <w:rPr>
          <w:rStyle w:val="authorname"/>
          <w:color w:val="auto"/>
        </w:rPr>
        <w:t>onkologická onemocnění</w:t>
      </w:r>
      <w:r w:rsidR="00655E82">
        <w:rPr>
          <w:rStyle w:val="authorname"/>
          <w:color w:val="auto"/>
        </w:rPr>
        <w:t xml:space="preserve"> </w:t>
      </w:r>
      <w:r w:rsidR="00655E82" w:rsidRPr="00032241">
        <w:rPr>
          <w:rStyle w:val="authorname"/>
          <w:color w:val="auto"/>
        </w:rPr>
        <w:t>a diabetes mellitus</w:t>
      </w:r>
      <w:r w:rsidR="00655E82">
        <w:rPr>
          <w:rStyle w:val="authorname"/>
          <w:color w:val="auto"/>
        </w:rPr>
        <w:t xml:space="preserve"> (Hamplová, 2019, s. 84-85)</w:t>
      </w:r>
    </w:p>
    <w:p w:rsidR="008318B8" w:rsidRPr="008318B8" w:rsidRDefault="008318B8" w:rsidP="008318B8">
      <w:pPr>
        <w:pStyle w:val="Bezmezer"/>
      </w:pPr>
    </w:p>
    <w:p w:rsidR="00655E82" w:rsidRPr="00E56290" w:rsidRDefault="00655E82" w:rsidP="00C800E7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E11937">
        <w:rPr>
          <w:rStyle w:val="authorname"/>
          <w:rFonts w:cs="Times New Roman"/>
          <w:b/>
          <w:bCs/>
          <w:szCs w:val="24"/>
        </w:rPr>
        <w:t xml:space="preserve">Subvence zdraví </w:t>
      </w:r>
    </w:p>
    <w:p w:rsidR="00655E82" w:rsidRPr="00B91C5D" w:rsidRDefault="00655E82" w:rsidP="00C800E7">
      <w:pPr>
        <w:spacing w:line="360" w:lineRule="auto"/>
        <w:ind w:firstLine="360"/>
        <w:jc w:val="both"/>
        <w:rPr>
          <w:szCs w:val="24"/>
        </w:rPr>
      </w:pPr>
      <w:r>
        <w:rPr>
          <w:rStyle w:val="authorname"/>
          <w:szCs w:val="24"/>
        </w:rPr>
        <w:t>Podporou zdraví se rozumí proces umožňující lidem podpořit vliv na svůj vlastní život a zlepšit</w:t>
      </w:r>
      <w:r w:rsidR="00E04524">
        <w:rPr>
          <w:rStyle w:val="authorname"/>
          <w:szCs w:val="24"/>
        </w:rPr>
        <w:t xml:space="preserve"> si</w:t>
      </w:r>
      <w:r>
        <w:rPr>
          <w:rStyle w:val="authorname"/>
          <w:szCs w:val="24"/>
        </w:rPr>
        <w:t xml:space="preserve"> své zdraví. </w:t>
      </w:r>
      <w:r w:rsidRPr="00655383">
        <w:rPr>
          <w:rStyle w:val="authorname"/>
          <w:szCs w:val="24"/>
        </w:rPr>
        <w:t>Podpora zdraví významně přispívá k vývoji zdravotní gramotnosti.</w:t>
      </w:r>
      <w:r w:rsidRPr="00FB78E2">
        <w:rPr>
          <w:rStyle w:val="authorname"/>
          <w:szCs w:val="24"/>
        </w:rPr>
        <w:t xml:space="preserve"> </w:t>
      </w:r>
      <w:r>
        <w:rPr>
          <w:rStyle w:val="authorname"/>
          <w:szCs w:val="24"/>
        </w:rPr>
        <w:t>Preventivní, organizační a výchovná opatření podpory zdraví lze nalézt již ve středověku a starověku</w:t>
      </w:r>
      <w:r w:rsidRPr="00167EA5">
        <w:rPr>
          <w:rStyle w:val="authorname"/>
          <w:szCs w:val="24"/>
        </w:rPr>
        <w:t xml:space="preserve">. Za nejvýznamnější impulz </w:t>
      </w:r>
      <w:r>
        <w:rPr>
          <w:rStyle w:val="authorname"/>
          <w:szCs w:val="24"/>
        </w:rPr>
        <w:t xml:space="preserve">pro </w:t>
      </w:r>
      <w:r w:rsidRPr="00167EA5">
        <w:rPr>
          <w:rStyle w:val="authorname"/>
          <w:szCs w:val="24"/>
        </w:rPr>
        <w:t xml:space="preserve">vývoj podpory zdraví se uvádí situace během 19. a </w:t>
      </w:r>
      <w:r w:rsidRPr="00167EA5">
        <w:rPr>
          <w:rStyle w:val="authorname"/>
          <w:szCs w:val="24"/>
        </w:rPr>
        <w:lastRenderedPageBreak/>
        <w:t xml:space="preserve">20. století, </w:t>
      </w:r>
      <w:r w:rsidR="00E04524">
        <w:rPr>
          <w:rStyle w:val="authorname"/>
          <w:szCs w:val="24"/>
        </w:rPr>
        <w:t xml:space="preserve">kdy </w:t>
      </w:r>
      <w:r w:rsidRPr="00167EA5">
        <w:rPr>
          <w:rStyle w:val="authorname"/>
          <w:szCs w:val="24"/>
        </w:rPr>
        <w:t>v tomto období bylo doloženo, že klinická medicína lidem pomáhá</w:t>
      </w:r>
      <w:r>
        <w:rPr>
          <w:rStyle w:val="authorname"/>
          <w:szCs w:val="24"/>
        </w:rPr>
        <w:t xml:space="preserve">. Zdraví však vzniká ve školách, rodinách a na pracovištích </w:t>
      </w:r>
      <w:r w:rsidR="00436451">
        <w:rPr>
          <w:rStyle w:val="authorname"/>
          <w:szCs w:val="24"/>
        </w:rPr>
        <w:t>n</w:t>
      </w:r>
      <w:r>
        <w:rPr>
          <w:rStyle w:val="authorname"/>
          <w:szCs w:val="24"/>
        </w:rPr>
        <w:t xml:space="preserve">ikoliv v nemocnicích, tam se pouze </w:t>
      </w:r>
      <w:r w:rsidR="00436451">
        <w:rPr>
          <w:rStyle w:val="authorname"/>
          <w:szCs w:val="24"/>
        </w:rPr>
        <w:t>na</w:t>
      </w:r>
      <w:r>
        <w:rPr>
          <w:rStyle w:val="authorname"/>
          <w:szCs w:val="24"/>
        </w:rPr>
        <w:t xml:space="preserve">pravuje to, co se pokazilo. </w:t>
      </w:r>
      <w:r w:rsidRPr="00FB78E2">
        <w:rPr>
          <w:rStyle w:val="authorname"/>
          <w:szCs w:val="24"/>
        </w:rPr>
        <w:t>(Holčík, 2010, s.</w:t>
      </w:r>
      <w:r>
        <w:rPr>
          <w:rStyle w:val="authorname"/>
          <w:szCs w:val="24"/>
        </w:rPr>
        <w:t xml:space="preserve">120, </w:t>
      </w:r>
      <w:r w:rsidRPr="00FB78E2">
        <w:rPr>
          <w:rStyle w:val="authorname"/>
          <w:szCs w:val="24"/>
        </w:rPr>
        <w:t>131)</w:t>
      </w:r>
      <w:r>
        <w:rPr>
          <w:rStyle w:val="authorname"/>
          <w:szCs w:val="24"/>
        </w:rPr>
        <w:t xml:space="preserve">. Podpora zdraví se týká </w:t>
      </w:r>
      <w:r>
        <w:t xml:space="preserve">všech občanů, společenství, zdravotní péče, okolního prostředí i zdravotního systému. </w:t>
      </w:r>
      <w:r w:rsidRPr="00E3453C">
        <w:t>Jsou</w:t>
      </w:r>
      <w:r>
        <w:t xml:space="preserve"> </w:t>
      </w:r>
      <w:r w:rsidRPr="00E3453C">
        <w:t>v ní</w:t>
      </w:r>
      <w:r>
        <w:t xml:space="preserve"> zahrnuty enviromentální, sociální a ekonomické aspekty. Uvádí se, že lepšího zdravotního stavu lze dosáhnout prostřednictvím změny životního stylu a životního prostředí, nikoliv investicí do zdravotní péče </w:t>
      </w:r>
      <w:r w:rsidRPr="00B91C5D">
        <w:t>(Duplaga</w:t>
      </w:r>
      <w:r>
        <w:t>, 2015, s.142).</w:t>
      </w:r>
    </w:p>
    <w:p w:rsidR="00655E82" w:rsidRDefault="00655E82" w:rsidP="00C800E7">
      <w:pPr>
        <w:spacing w:line="360" w:lineRule="auto"/>
        <w:ind w:firstLine="360"/>
        <w:jc w:val="both"/>
        <w:rPr>
          <w:rStyle w:val="authorname"/>
          <w:szCs w:val="24"/>
        </w:rPr>
      </w:pPr>
      <w:r w:rsidRPr="00FB78E2">
        <w:rPr>
          <w:rStyle w:val="authorname"/>
          <w:szCs w:val="24"/>
        </w:rPr>
        <w:t xml:space="preserve">Světová zdravotnická organizace </w:t>
      </w:r>
      <w:r>
        <w:rPr>
          <w:rStyle w:val="authorname"/>
          <w:szCs w:val="24"/>
        </w:rPr>
        <w:t>je zapojena</w:t>
      </w:r>
      <w:r w:rsidRPr="00FB78E2">
        <w:rPr>
          <w:rStyle w:val="authorname"/>
          <w:szCs w:val="24"/>
        </w:rPr>
        <w:t xml:space="preserve"> do řízení podpory zdraví pro 53 regionálních Evropských států. Formování náplně podpory zdraví </w:t>
      </w:r>
      <w:r w:rsidRPr="00984A0A">
        <w:rPr>
          <w:rStyle w:val="authorname"/>
          <w:szCs w:val="24"/>
        </w:rPr>
        <w:t>započalo v roce 1948</w:t>
      </w:r>
      <w:r w:rsidR="00E04524">
        <w:rPr>
          <w:rStyle w:val="authorname"/>
          <w:szCs w:val="24"/>
        </w:rPr>
        <w:t>. Tehdy</w:t>
      </w:r>
      <w:r w:rsidRPr="00984A0A">
        <w:rPr>
          <w:rStyle w:val="authorname"/>
          <w:szCs w:val="24"/>
        </w:rPr>
        <w:t xml:space="preserve"> WHO jednala</w:t>
      </w:r>
      <w:r w:rsidRPr="00FB78E2">
        <w:rPr>
          <w:rStyle w:val="authorname"/>
          <w:szCs w:val="24"/>
        </w:rPr>
        <w:t xml:space="preserve"> nejen o definici zdraví, al</w:t>
      </w:r>
      <w:r w:rsidR="00E04524">
        <w:rPr>
          <w:rStyle w:val="authorname"/>
          <w:szCs w:val="24"/>
        </w:rPr>
        <w:t>e i</w:t>
      </w:r>
      <w:r w:rsidRPr="00FB78E2">
        <w:rPr>
          <w:rStyle w:val="authorname"/>
          <w:szCs w:val="24"/>
        </w:rPr>
        <w:t xml:space="preserve"> o tom, že za zdraví mají odpovědnost </w:t>
      </w:r>
      <w:r w:rsidR="00E04524">
        <w:rPr>
          <w:rStyle w:val="authorname"/>
          <w:szCs w:val="24"/>
        </w:rPr>
        <w:t>také</w:t>
      </w:r>
      <w:r w:rsidRPr="00FB78E2">
        <w:rPr>
          <w:rStyle w:val="authorname"/>
          <w:szCs w:val="24"/>
        </w:rPr>
        <w:t xml:space="preserve"> vlády a jejich sociální</w:t>
      </w:r>
      <w:r w:rsidR="00E04524">
        <w:rPr>
          <w:rStyle w:val="authorname"/>
          <w:szCs w:val="24"/>
        </w:rPr>
        <w:t>mi</w:t>
      </w:r>
      <w:r w:rsidRPr="00FB78E2">
        <w:rPr>
          <w:rStyle w:val="authorname"/>
          <w:szCs w:val="24"/>
        </w:rPr>
        <w:t xml:space="preserve"> a zdravotní</w:t>
      </w:r>
      <w:r w:rsidR="00E04524">
        <w:rPr>
          <w:rStyle w:val="authorname"/>
          <w:szCs w:val="24"/>
        </w:rPr>
        <w:t>mi</w:t>
      </w:r>
      <w:r w:rsidRPr="00FB78E2">
        <w:rPr>
          <w:rStyle w:val="authorname"/>
          <w:szCs w:val="24"/>
        </w:rPr>
        <w:t xml:space="preserve"> opatření</w:t>
      </w:r>
      <w:r w:rsidR="00E04524">
        <w:rPr>
          <w:rStyle w:val="authorname"/>
          <w:szCs w:val="24"/>
        </w:rPr>
        <w:t>mi</w:t>
      </w:r>
      <w:r w:rsidRPr="00FB78E2">
        <w:rPr>
          <w:rStyle w:val="authorname"/>
          <w:szCs w:val="24"/>
        </w:rPr>
        <w:t xml:space="preserve"> (Hamplová, 2019, s. 63-64).</w:t>
      </w:r>
      <w:r w:rsidRPr="00EC6AEA">
        <w:rPr>
          <w:rStyle w:val="authorname"/>
          <w:szCs w:val="24"/>
        </w:rPr>
        <w:t xml:space="preserve"> </w:t>
      </w:r>
      <w:r w:rsidRPr="00FB78E2">
        <w:rPr>
          <w:rStyle w:val="authorname"/>
          <w:szCs w:val="24"/>
        </w:rPr>
        <w:t>Protože usilovat o co nejlepší kvalitu života obyvatel je v zájmu každého státu</w:t>
      </w:r>
      <w:r>
        <w:rPr>
          <w:rStyle w:val="authorname"/>
          <w:szCs w:val="24"/>
        </w:rPr>
        <w:t xml:space="preserve">. </w:t>
      </w:r>
      <w:r w:rsidRPr="00683CD5">
        <w:rPr>
          <w:rStyle w:val="authorname"/>
          <w:szCs w:val="24"/>
        </w:rPr>
        <w:t>Ministerstvo zdravotnictví uvád</w:t>
      </w:r>
      <w:r>
        <w:rPr>
          <w:rStyle w:val="authorname"/>
          <w:szCs w:val="24"/>
        </w:rPr>
        <w:t>í</w:t>
      </w:r>
      <w:r w:rsidRPr="00683CD5">
        <w:rPr>
          <w:rStyle w:val="authorname"/>
          <w:szCs w:val="24"/>
        </w:rPr>
        <w:t xml:space="preserve"> podporu zdraví jako soubor činností, které mají lidem pomoci zlepšit svůj zdravotní stav a zv</w:t>
      </w:r>
      <w:r>
        <w:rPr>
          <w:rStyle w:val="authorname"/>
          <w:szCs w:val="24"/>
        </w:rPr>
        <w:t>y</w:t>
      </w:r>
      <w:r w:rsidRPr="00683CD5">
        <w:rPr>
          <w:rStyle w:val="authorname"/>
          <w:szCs w:val="24"/>
        </w:rPr>
        <w:t>šovat kontrolu nad determinanty zdraví</w:t>
      </w:r>
      <w:r>
        <w:rPr>
          <w:rStyle w:val="authorname"/>
          <w:szCs w:val="24"/>
        </w:rPr>
        <w:t>.</w:t>
      </w:r>
      <w:r w:rsidRPr="00683CD5">
        <w:t xml:space="preserve"> </w:t>
      </w:r>
      <w:r w:rsidRPr="00683CD5">
        <w:rPr>
          <w:rStyle w:val="authorname"/>
          <w:szCs w:val="24"/>
        </w:rPr>
        <w:t xml:space="preserve">Dále zahrnuje činnosti, které zajišťují přijatelné sociální, ekonomické a enviromentální podmínky pro postupný vývoj zdraví, </w:t>
      </w:r>
      <w:r w:rsidRPr="00177B21">
        <w:rPr>
          <w:rStyle w:val="authorname"/>
          <w:szCs w:val="24"/>
        </w:rPr>
        <w:t>zdravotního a sociálního stavu.</w:t>
      </w:r>
      <w:r w:rsidRPr="00683CD5">
        <w:rPr>
          <w:rStyle w:val="authorname"/>
          <w:szCs w:val="24"/>
        </w:rPr>
        <w:t xml:space="preserve"> </w:t>
      </w:r>
      <w:r w:rsidR="00E04524">
        <w:rPr>
          <w:rStyle w:val="authorname"/>
          <w:szCs w:val="24"/>
        </w:rPr>
        <w:t>Toto se týká</w:t>
      </w:r>
      <w:r w:rsidRPr="00683CD5">
        <w:rPr>
          <w:rStyle w:val="authorname"/>
          <w:szCs w:val="24"/>
        </w:rPr>
        <w:t xml:space="preserve"> nejen aktivit fyzických osob, činností státu</w:t>
      </w:r>
      <w:r w:rsidR="00DB7ADC">
        <w:rPr>
          <w:rStyle w:val="authorname"/>
          <w:szCs w:val="24"/>
        </w:rPr>
        <w:t xml:space="preserve"> nebo</w:t>
      </w:r>
      <w:r w:rsidRPr="00683CD5">
        <w:rPr>
          <w:rStyle w:val="authorname"/>
          <w:szCs w:val="24"/>
        </w:rPr>
        <w:t xml:space="preserve"> samosprávy, ale také d</w:t>
      </w:r>
      <w:r>
        <w:rPr>
          <w:rStyle w:val="authorname"/>
          <w:szCs w:val="24"/>
        </w:rPr>
        <w:t>al</w:t>
      </w:r>
      <w:r w:rsidRPr="00683CD5">
        <w:rPr>
          <w:rStyle w:val="authorname"/>
          <w:szCs w:val="24"/>
        </w:rPr>
        <w:t>ších složek společnosti</w:t>
      </w:r>
      <w:r>
        <w:rPr>
          <w:rStyle w:val="authorname"/>
          <w:szCs w:val="24"/>
        </w:rPr>
        <w:t xml:space="preserve"> (Zdraví 2020, 2014, s.12). </w:t>
      </w:r>
    </w:p>
    <w:p w:rsidR="00177B21" w:rsidRDefault="00177B21" w:rsidP="00C800E7">
      <w:pPr>
        <w:spacing w:line="360" w:lineRule="auto"/>
        <w:ind w:firstLine="360"/>
        <w:jc w:val="both"/>
      </w:pPr>
      <w:bookmarkStart w:id="4" w:name="_Hlk43745558"/>
      <w:r w:rsidRPr="00FB78E2">
        <w:rPr>
          <w:rStyle w:val="authorname"/>
          <w:szCs w:val="24"/>
        </w:rPr>
        <w:t>V roce 1986 se v</w:t>
      </w:r>
      <w:r>
        <w:rPr>
          <w:rStyle w:val="authorname"/>
          <w:szCs w:val="24"/>
        </w:rPr>
        <w:t xml:space="preserve"> kanadské </w:t>
      </w:r>
      <w:r w:rsidRPr="00FB78E2">
        <w:rPr>
          <w:rStyle w:val="authorname"/>
          <w:szCs w:val="24"/>
        </w:rPr>
        <w:t>Ottawě uskutečnila první mezinárodní konference</w:t>
      </w:r>
      <w:r>
        <w:rPr>
          <w:rStyle w:val="authorname"/>
          <w:szCs w:val="24"/>
        </w:rPr>
        <w:t xml:space="preserve">, kde byla přijata Ottawská charta podpory zdraví. Definice podpory zdraví </w:t>
      </w:r>
      <w:r w:rsidRPr="00FB78E2">
        <w:rPr>
          <w:rStyle w:val="authorname"/>
          <w:szCs w:val="24"/>
        </w:rPr>
        <w:t xml:space="preserve">Ottawskou chartou </w:t>
      </w:r>
      <w:r>
        <w:rPr>
          <w:rStyle w:val="authorname"/>
          <w:szCs w:val="24"/>
        </w:rPr>
        <w:t xml:space="preserve">byla stanovena </w:t>
      </w:r>
      <w:r w:rsidRPr="00FB78E2">
        <w:rPr>
          <w:rStyle w:val="authorname"/>
          <w:szCs w:val="24"/>
        </w:rPr>
        <w:t>jako proces,</w:t>
      </w:r>
      <w:r>
        <w:rPr>
          <w:rStyle w:val="authorname"/>
          <w:szCs w:val="24"/>
        </w:rPr>
        <w:t xml:space="preserve"> pomáhající lidem zlepšit své zdraví a zvýšit nad ním kontrolu</w:t>
      </w:r>
      <w:r w:rsidRPr="00FB78E2">
        <w:rPr>
          <w:rStyle w:val="authorname"/>
          <w:szCs w:val="24"/>
        </w:rPr>
        <w:t xml:space="preserve"> (Kickbusch et.al, 2013, s.</w:t>
      </w:r>
      <w:r>
        <w:rPr>
          <w:rStyle w:val="authorname"/>
          <w:szCs w:val="24"/>
        </w:rPr>
        <w:t xml:space="preserve"> 13</w:t>
      </w:r>
      <w:r w:rsidRPr="00FB78E2">
        <w:rPr>
          <w:rStyle w:val="authorname"/>
          <w:szCs w:val="24"/>
        </w:rPr>
        <w:t>).</w:t>
      </w:r>
      <w:r>
        <w:rPr>
          <w:rStyle w:val="authorname"/>
          <w:szCs w:val="24"/>
        </w:rPr>
        <w:t xml:space="preserve"> </w:t>
      </w:r>
      <w:r w:rsidR="00D23FE8">
        <w:rPr>
          <w:rStyle w:val="authorname"/>
          <w:szCs w:val="24"/>
        </w:rPr>
        <w:t>Mezi předpoklady pro zdraví charta uvedla</w:t>
      </w:r>
      <w:r w:rsidRPr="00B91C5D">
        <w:rPr>
          <w:rStyle w:val="authorname"/>
          <w:szCs w:val="24"/>
        </w:rPr>
        <w:t xml:space="preserve"> mír, přístřeší, vzdělání, jídlo, příjem, stabilní ekosystém, udržitelné zdroje a sociální spravedlnost.</w:t>
      </w:r>
      <w:r w:rsidR="009F41AC">
        <w:rPr>
          <w:rStyle w:val="authorname"/>
          <w:szCs w:val="24"/>
        </w:rPr>
        <w:t xml:space="preserve"> </w:t>
      </w:r>
      <w:r w:rsidRPr="00B91C5D">
        <w:rPr>
          <w:rStyle w:val="authorname"/>
          <w:szCs w:val="24"/>
        </w:rPr>
        <w:t xml:space="preserve">Těchto předpokladů </w:t>
      </w:r>
      <w:r w:rsidRPr="009F41AC">
        <w:rPr>
          <w:rStyle w:val="authorname"/>
          <w:szCs w:val="24"/>
        </w:rPr>
        <w:t>lze dosáhnout</w:t>
      </w:r>
      <w:r w:rsidR="009F41AC" w:rsidRPr="009F41AC">
        <w:rPr>
          <w:rStyle w:val="authorname"/>
          <w:szCs w:val="24"/>
        </w:rPr>
        <w:t xml:space="preserve"> prostřednictví tří typů strategií a to</w:t>
      </w:r>
      <w:r w:rsidRPr="009F41AC">
        <w:rPr>
          <w:rStyle w:val="authorname"/>
          <w:szCs w:val="24"/>
        </w:rPr>
        <w:t xml:space="preserve"> prosazováním</w:t>
      </w:r>
      <w:r w:rsidR="009F41AC" w:rsidRPr="009F41AC">
        <w:rPr>
          <w:rStyle w:val="authorname"/>
          <w:szCs w:val="24"/>
        </w:rPr>
        <w:t xml:space="preserve">, podporou </w:t>
      </w:r>
      <w:r w:rsidRPr="009F41AC">
        <w:rPr>
          <w:rStyle w:val="authorname"/>
          <w:szCs w:val="24"/>
        </w:rPr>
        <w:t>a zprostředkováním zdraví</w:t>
      </w:r>
      <w:r>
        <w:rPr>
          <w:rStyle w:val="authorname"/>
          <w:szCs w:val="24"/>
        </w:rPr>
        <w:t xml:space="preserve"> </w:t>
      </w:r>
      <w:r w:rsidRPr="00B91C5D">
        <w:t>(Duplaga</w:t>
      </w:r>
      <w:r>
        <w:t>, 2015, s.142).</w:t>
      </w:r>
    </w:p>
    <w:p w:rsidR="008318B8" w:rsidRPr="008318B8" w:rsidRDefault="008318B8" w:rsidP="008318B8">
      <w:pPr>
        <w:pStyle w:val="Bezmezer"/>
      </w:pPr>
    </w:p>
    <w:p w:rsidR="00177B21" w:rsidRPr="00E56290" w:rsidRDefault="00177B21" w:rsidP="00C800E7">
      <w:pPr>
        <w:spacing w:line="360" w:lineRule="auto"/>
        <w:ind w:firstLine="360"/>
        <w:jc w:val="both"/>
        <w:rPr>
          <w:b/>
          <w:bCs/>
          <w:szCs w:val="24"/>
        </w:rPr>
      </w:pPr>
      <w:r w:rsidRPr="00E11937">
        <w:rPr>
          <w:b/>
          <w:bCs/>
          <w:szCs w:val="24"/>
        </w:rPr>
        <w:t>Zdravotní gramotnost</w:t>
      </w:r>
    </w:p>
    <w:p w:rsidR="00177B21" w:rsidRDefault="00921750" w:rsidP="00C800E7">
      <w:pPr>
        <w:spacing w:line="360" w:lineRule="auto"/>
        <w:ind w:firstLine="36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921750">
        <w:t>Kořeny zdravotní gramotnosti jsou řazeny do výchovy</w:t>
      </w:r>
      <w:r>
        <w:t>,</w:t>
      </w:r>
      <w:r w:rsidR="00177B21" w:rsidRPr="00FB78E2">
        <w:t xml:space="preserve"> z důvodu schopnosti lidí ovlivňovat své zdraví. Již v</w:t>
      </w:r>
      <w:r w:rsidR="00DB7ADC">
        <w:t> </w:t>
      </w:r>
      <w:r w:rsidR="00177B21" w:rsidRPr="00FB78E2">
        <w:t>minulosti</w:t>
      </w:r>
      <w:r w:rsidR="00DB7ADC">
        <w:t xml:space="preserve"> si</w:t>
      </w:r>
      <w:r w:rsidR="00177B21" w:rsidRPr="00FB78E2">
        <w:t xml:space="preserve"> byli lidé schopni ke svému zdraví buď pomoci, nebo naopak byli schopni</w:t>
      </w:r>
      <w:r w:rsidR="00DB7ADC">
        <w:t xml:space="preserve"> si</w:t>
      </w:r>
      <w:r w:rsidR="00177B21" w:rsidRPr="00FB78E2">
        <w:t xml:space="preserve"> ve zdraví škodit. </w:t>
      </w:r>
      <w:r w:rsidR="00177B21" w:rsidRPr="00921750">
        <w:t xml:space="preserve">Původně </w:t>
      </w:r>
      <w:r w:rsidR="00DB7ADC">
        <w:t>zdravotní gramotnost znamenala</w:t>
      </w:r>
      <w:r w:rsidR="00177B21" w:rsidRPr="00921750">
        <w:t xml:space="preserve"> řídit se náboženskými příkazy</w:t>
      </w:r>
      <w:r w:rsidR="005A259C">
        <w:t xml:space="preserve"> </w:t>
      </w:r>
      <w:r w:rsidR="00B518C1" w:rsidRPr="00921750">
        <w:t>- osvědčenými tradicemi, které se týkaly toho jak lidé mají žít</w:t>
      </w:r>
      <w:r w:rsidRPr="00921750">
        <w:t xml:space="preserve"> (způsob života), nebo jak o sebe mají pečovat (osobní hygiena</w:t>
      </w:r>
      <w:r w:rsidR="00392DAE">
        <w:t>)</w:t>
      </w:r>
      <w:r w:rsidR="00177B21" w:rsidRPr="00FB78E2">
        <w:t xml:space="preserve"> (Holčík, 2009, s. 12). </w:t>
      </w:r>
      <w:r w:rsidR="00177B21" w:rsidRPr="00392DAE">
        <w:t xml:space="preserve">Zdravotní gramotnost </w:t>
      </w:r>
      <w:r w:rsidR="00392DAE" w:rsidRPr="00392DAE">
        <w:t>byla</w:t>
      </w:r>
      <w:r w:rsidR="00177B21" w:rsidRPr="00392DAE">
        <w:t xml:space="preserve"> pojata jako kognitivní a sociální dovednost</w:t>
      </w:r>
      <w:r w:rsidR="00177B21">
        <w:t>, kter</w:t>
      </w:r>
      <w:r w:rsidR="00DB7ADC">
        <w:t>á</w:t>
      </w:r>
      <w:r w:rsidR="00177B21">
        <w:t xml:space="preserve"> určuj</w:t>
      </w:r>
      <w:r w:rsidR="00DB7ADC">
        <w:t>e</w:t>
      </w:r>
      <w:r w:rsidR="00177B21">
        <w:t xml:space="preserve"> motivaci a schopnost lidí získávat přístup k informacím, dokázat jim porozumět a používat je k dobrému udržení zdraví </w:t>
      </w:r>
      <w:r w:rsidR="00177B21" w:rsidRPr="001C1BFB">
        <w:t>(</w:t>
      </w:r>
      <w:r w:rsidR="00177B21">
        <w:t>Liu H</w:t>
      </w:r>
      <w:r w:rsidR="00177B21" w:rsidRPr="001C1BFB">
        <w:t>. et al., 2018, s. 2).</w:t>
      </w:r>
      <w:r w:rsidR="00177B21">
        <w:t xml:space="preserve">  Jedná se tedy o schopnost člověka aktivně uplatňovat získané informace o </w:t>
      </w:r>
      <w:r w:rsidR="00177B21">
        <w:lastRenderedPageBreak/>
        <w:t>zdraví v sebepéči</w:t>
      </w:r>
      <w:r w:rsidR="00177B21" w:rsidRPr="00FB78E2">
        <w:t>. (Kaas et. al., 2016, s. 249</w:t>
      </w:r>
      <w:r w:rsidR="00177B21" w:rsidRPr="005D7B9B">
        <w:t>).</w:t>
      </w:r>
      <w:r w:rsidR="00177B21">
        <w:t xml:space="preserve"> Uvádí se, že</w:t>
      </w:r>
      <w:r w:rsidR="00177B21" w:rsidRPr="005D7B9B">
        <w:t xml:space="preserve"> je</w:t>
      </w:r>
      <w:r w:rsidR="00177B21">
        <w:t xml:space="preserve"> to</w:t>
      </w:r>
      <w:r w:rsidR="00177B21" w:rsidRPr="005D7B9B">
        <w:t xml:space="preserve"> důležitý</w:t>
      </w:r>
      <w:r w:rsidR="00177B21">
        <w:t xml:space="preserve"> </w:t>
      </w:r>
      <w:r w:rsidR="00177B21" w:rsidRPr="005D7B9B">
        <w:t>konstrukt</w:t>
      </w:r>
      <w:r w:rsidR="00177B21">
        <w:t xml:space="preserve"> </w:t>
      </w:r>
      <w:r w:rsidR="00177B21" w:rsidRPr="005D7B9B">
        <w:t>v oblasti zdravotní péče, která má vliv na výsledky zdravotního stavu pacientů a na jejich celkové zdraví. (Foster, et al., 2016, s. 433-436).</w:t>
      </w:r>
      <w:r w:rsidR="00177B21">
        <w:t xml:space="preserve"> </w:t>
      </w:r>
      <w:r w:rsidR="00177B21" w:rsidRPr="009B32BC">
        <w:t>Je to soubor znalostí, postojů, dovedností a sítí, které jednotlivci, rodiny a komunity potřebují k řízení svého zdraví. Přiměřená zdravotní gramotnost podporuje lidi v udržování dobrého zdraví, zvládání menších nemocí, přístupu k</w:t>
      </w:r>
      <w:r w:rsidR="00177B21">
        <w:t xml:space="preserve"> zdravotním </w:t>
      </w:r>
      <w:r w:rsidR="00177B21" w:rsidRPr="009B32BC">
        <w:t>službám a jejich</w:t>
      </w:r>
      <w:r w:rsidR="00392DAE">
        <w:t xml:space="preserve"> rozumné</w:t>
      </w:r>
      <w:r w:rsidR="00177B21" w:rsidRPr="009B32BC">
        <w:t xml:space="preserve"> využívání</w:t>
      </w:r>
      <w:r w:rsidR="00DB7ADC">
        <w:t>. Dále pak k</w:t>
      </w:r>
      <w:r w:rsidR="00177B21" w:rsidRPr="002937CB">
        <w:t xml:space="preserve"> </w:t>
      </w:r>
      <w:r w:rsidR="00392DAE" w:rsidRPr="002937CB">
        <w:t>dodržování</w:t>
      </w:r>
      <w:r w:rsidR="002937CB" w:rsidRPr="002937CB">
        <w:t xml:space="preserve"> dohodnutých</w:t>
      </w:r>
      <w:r w:rsidR="00392DAE" w:rsidRPr="002937CB">
        <w:t xml:space="preserve"> postupů</w:t>
      </w:r>
      <w:r w:rsidR="00177B21" w:rsidRPr="002937CB">
        <w:t xml:space="preserve"> a rutinní péče o sebe a obhajování zdravé společnosti.</w:t>
      </w:r>
      <w:r w:rsidR="00177B21" w:rsidRPr="009B32BC">
        <w:rPr>
          <w:rFonts w:ascii="&amp;quot" w:hAnsi="&amp;quot"/>
          <w:sz w:val="27"/>
          <w:szCs w:val="27"/>
        </w:rPr>
        <w:t xml:space="preserve"> </w:t>
      </w:r>
      <w:r w:rsidR="00177B21" w:rsidRPr="009B32BC">
        <w:t xml:space="preserve">Dosažení těchto cílů vyžaduje pochopení zdraví a faktorů, které na něj mají vliv, jakož i </w:t>
      </w:r>
      <w:r w:rsidR="00177B21" w:rsidRPr="00921750">
        <w:t>pochopení zdravotn</w:t>
      </w:r>
      <w:r w:rsidRPr="00921750">
        <w:t>ích</w:t>
      </w:r>
      <w:r>
        <w:t xml:space="preserve"> </w:t>
      </w:r>
      <w:r w:rsidR="00177B21" w:rsidRPr="009B32BC">
        <w:t xml:space="preserve">služeb a způsobu jejich práce a </w:t>
      </w:r>
      <w:r w:rsidR="00177B21" w:rsidRPr="00392DAE">
        <w:t>motivace</w:t>
      </w:r>
      <w:r w:rsidR="00392DAE" w:rsidRPr="00392DAE">
        <w:t xml:space="preserve"> hrát</w:t>
      </w:r>
      <w:r w:rsidR="00177B21" w:rsidRPr="00392DAE">
        <w:t xml:space="preserve"> aktivní role při řízení </w:t>
      </w:r>
      <w:r w:rsidR="00392DAE" w:rsidRPr="00392DAE">
        <w:t xml:space="preserve">vlastního </w:t>
      </w:r>
      <w:r w:rsidR="00177B21" w:rsidRPr="00392DAE">
        <w:t>zdraví</w:t>
      </w:r>
      <w:r w:rsidR="00177B21">
        <w:t xml:space="preserve">. </w:t>
      </w:r>
      <w:r w:rsidR="00177B21" w:rsidRPr="009B32BC">
        <w:t xml:space="preserve">Všechny úkoly související se zdravím, od udržování dobrého zdraví až po zvládání </w:t>
      </w:r>
      <w:r w:rsidR="00177B21">
        <w:t xml:space="preserve">nemoci </w:t>
      </w:r>
      <w:r w:rsidR="00177B21" w:rsidRPr="009B32BC">
        <w:t>a přijímání zdravotní péče, vyžadují určitý stupeň zdravotní gramotnosti</w:t>
      </w:r>
      <w:r w:rsidR="00177B21">
        <w:t xml:space="preserve"> (Llovd et al., 2018, s. 2).</w:t>
      </w:r>
      <w:r w:rsidR="00177B21" w:rsidRPr="003E5251">
        <w:t xml:space="preserve"> </w:t>
      </w:r>
      <w:r w:rsidR="00177B21">
        <w:t>Z </w:t>
      </w:r>
      <w:r w:rsidR="00177B21" w:rsidRPr="00E3453C">
        <w:t>Evropského</w:t>
      </w:r>
      <w:r w:rsidR="00177B21">
        <w:t xml:space="preserve"> průzkumu bylo zjištěno,</w:t>
      </w:r>
      <w:r w:rsidR="00177B21">
        <w:rPr>
          <w:color w:val="ACB9CA" w:themeColor="text2" w:themeTint="66"/>
        </w:rPr>
        <w:t xml:space="preserve"> </w:t>
      </w:r>
      <w:r w:rsidR="00177B21">
        <w:t>že téměř polovina všech dospělých v osmi testovaných evropských zemí</w:t>
      </w:r>
      <w:r w:rsidR="00DB7ADC">
        <w:t>ch</w:t>
      </w:r>
      <w:r w:rsidR="00177B21">
        <w:t xml:space="preserve"> měli nedostatečné nebo problematické dovednosti v oblasti </w:t>
      </w:r>
      <w:r w:rsidR="00177B21" w:rsidRPr="003E5251">
        <w:t>zdravotní gramotnosti</w:t>
      </w:r>
      <w:r w:rsidR="00177B21">
        <w:t xml:space="preserve"> a tím ji nepříznivě ovlivňovali. Politická opatření, která by měla řešit krizi v této oblasti se objevují pomalu (Kickbusch et al., 2013, s. 1).</w:t>
      </w:r>
      <w:r w:rsidR="00177B21" w:rsidRPr="003E5251">
        <w:t xml:space="preserve"> </w:t>
      </w:r>
      <w:r w:rsidR="00177B21" w:rsidRPr="00921750">
        <w:t>Pokud je</w:t>
      </w:r>
      <w:r w:rsidRPr="00921750">
        <w:t xml:space="preserve"> úroveň ZG</w:t>
      </w:r>
      <w:r w:rsidR="00177B21" w:rsidRPr="00921750">
        <w:t xml:space="preserve"> nízká dochází </w:t>
      </w:r>
      <w:r w:rsidRPr="00921750">
        <w:t xml:space="preserve">u lidí </w:t>
      </w:r>
      <w:r w:rsidR="00177B21" w:rsidRPr="00921750">
        <w:t>ke špatnému udržování zdraví,</w:t>
      </w:r>
      <w:r w:rsidR="00177B21">
        <w:t xml:space="preserve"> a tudíž je s tím spojena i vyšší finanční </w:t>
      </w:r>
      <w:r w:rsidR="00177B21" w:rsidRPr="000B087F">
        <w:t>nákladovost</w:t>
      </w:r>
      <w:r w:rsidR="00177B21">
        <w:t xml:space="preserve"> na zdravotní péči. Nejčastěji se </w:t>
      </w:r>
      <w:r w:rsidR="00177B21" w:rsidRPr="000B087F">
        <w:t>nízká úroveň</w:t>
      </w:r>
      <w:r w:rsidR="00177B21">
        <w:t xml:space="preserve"> zdravotní gramotnosti</w:t>
      </w:r>
      <w:r w:rsidR="00177B21" w:rsidRPr="008E545E">
        <w:rPr>
          <w:color w:val="FF0000"/>
        </w:rPr>
        <w:t xml:space="preserve"> </w:t>
      </w:r>
      <w:r w:rsidR="00177B21">
        <w:t xml:space="preserve">vyskytuje u občanů </w:t>
      </w:r>
      <w:r w:rsidR="00DB7ADC">
        <w:t>finančně nezaopatřených</w:t>
      </w:r>
      <w:r w:rsidR="00177B21">
        <w:t>, kteří žijí v omezených sociálních podmínkách a mají nízký stupeň dosaženého vzdělání (Kučera et. al., 2017, s. 28).</w:t>
      </w:r>
      <w:r w:rsidR="00177B21" w:rsidRPr="002057AE">
        <w:t xml:space="preserve"> </w:t>
      </w:r>
      <w:r w:rsidR="00177B21">
        <w:t>S tím se dále spojuje větší využívání zdravotních služeb, menší využití preventivní péče, větší potíže s řízením dlouhodobých nemocí, nižší úrov</w:t>
      </w:r>
      <w:r w:rsidR="00DB7ADC">
        <w:t>eň</w:t>
      </w:r>
      <w:r w:rsidR="00177B21">
        <w:t xml:space="preserve"> zdraví </w:t>
      </w:r>
      <w:r w:rsidR="00177B21" w:rsidRPr="00D425D4">
        <w:t>lidí</w:t>
      </w:r>
      <w:r w:rsidR="00177B21">
        <w:t xml:space="preserve"> a vyšší úmrtností u starších osob. (Rowlands et. al., 2015, s. 379–386). </w:t>
      </w:r>
      <w:r w:rsidR="00DB7ADC">
        <w:t>Za dospělého</w:t>
      </w:r>
      <w:r w:rsidR="00177B21">
        <w:t xml:space="preserve"> zdravotně gramot</w:t>
      </w:r>
      <w:r w:rsidR="00DB7ADC">
        <w:t>ného</w:t>
      </w:r>
      <w:r w:rsidR="00177B21">
        <w:t xml:space="preserve"> člověka </w:t>
      </w:r>
      <w:r w:rsidR="00DB7ADC">
        <w:t>se považuje</w:t>
      </w:r>
      <w:r w:rsidR="00177B21">
        <w:t xml:space="preserve"> ten, který je schopen o svém zdraví a o zdraví rodinných příslušníků, jako </w:t>
      </w:r>
      <w:r w:rsidR="00DB7ADC">
        <w:t>například</w:t>
      </w:r>
      <w:r w:rsidR="00177B21">
        <w:t xml:space="preserve"> dětí a prarodičů, způsobile rozhodovat. (Národní síť podpory zdraví, 2014, s. 3).  Osoba, která má odpovídající úroveň zdravotní gramotnosti</w:t>
      </w:r>
      <w:r w:rsidR="00DB7ADC">
        <w:t>,</w:t>
      </w:r>
      <w:r w:rsidR="00177B21">
        <w:t xml:space="preserve"> je mnohem schopnější v porozumění, tlumočení informací i </w:t>
      </w:r>
      <w:r w:rsidR="00DB7ADC">
        <w:t xml:space="preserve">v </w:t>
      </w:r>
      <w:r w:rsidR="00177B21">
        <w:t xml:space="preserve">kritickém myšlení </w:t>
      </w:r>
      <w:r w:rsidR="00177B21" w:rsidRPr="00EF7D60">
        <w:t>(Kendir et al, 2020, s. 5).</w:t>
      </w:r>
      <w:r w:rsidR="00177B21">
        <w:t xml:space="preserve"> </w:t>
      </w:r>
      <w:r w:rsidR="00177B21" w:rsidRPr="000B087F">
        <w:t>Znalostí problematiky</w:t>
      </w:r>
      <w:r w:rsidR="00177B21">
        <w:t xml:space="preserve"> o ZG dochází k eliminaci nežádoucích zdravotních výsledků, počtu hospitalizací </w:t>
      </w:r>
      <w:r w:rsidR="00177B21" w:rsidRPr="00853BA1">
        <w:t>a akutní</w:t>
      </w:r>
      <w:r w:rsidR="00DB7ADC">
        <w:t>ch</w:t>
      </w:r>
      <w:r w:rsidR="00177B21" w:rsidRPr="00853BA1">
        <w:t xml:space="preserve"> návštěv pohotovostní služby</w:t>
      </w:r>
      <w:r w:rsidR="00177B21">
        <w:t xml:space="preserve"> (Dingová a Jakubcová, 2011, s. 34). Proto </w:t>
      </w:r>
      <w:r w:rsidR="00177B21" w:rsidRPr="00E4578C">
        <w:t>zlepšení zdravotní gramotnosti</w:t>
      </w:r>
      <w:r w:rsidR="00177B21">
        <w:t xml:space="preserve"> je mocným nástrojem pro rozvoj nového typu vztahu mezi jednotlivci a zdravotnickým systémem, což je další přínos jak pro jednotlivce, skupiny tak i pro zdravotnictví. (Bonaccorsi G., 2016, s. 114). Světová zdravotnická organizace uvádí, že je nutné pečovat o zdraví jednotlivců, protože pokud se zdravotní problémy řeší až v nemocnicích, je zdravotní systém málo účinný, a tudíž i zbytečně nákladný </w:t>
      </w:r>
      <w:r w:rsidR="00177B21">
        <w:rPr>
          <w:szCs w:val="24"/>
        </w:rPr>
        <w:t>(Ministerstvo zdravotnictví ČR, 2013, s. 5).</w:t>
      </w:r>
      <w:r w:rsidR="00177B21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177B21" w:rsidRDefault="00403A09" w:rsidP="00C800E7">
      <w:pPr>
        <w:spacing w:line="360" w:lineRule="auto"/>
        <w:ind w:firstLine="360"/>
        <w:jc w:val="both"/>
      </w:pPr>
      <w:r>
        <w:t>V p</w:t>
      </w:r>
      <w:r w:rsidR="0086578D">
        <w:t>rojekt</w:t>
      </w:r>
      <w:r>
        <w:t>u</w:t>
      </w:r>
      <w:r w:rsidR="0086578D">
        <w:t xml:space="preserve"> </w:t>
      </w:r>
      <w:r w:rsidR="00DB7ADC">
        <w:t>„Z</w:t>
      </w:r>
      <w:r w:rsidR="0086578D">
        <w:t>dravotní gramotnost u dospělých</w:t>
      </w:r>
      <w:r w:rsidR="00DB7ADC">
        <w:t>“</w:t>
      </w:r>
      <w:r w:rsidR="0086578D">
        <w:t xml:space="preserve"> </w:t>
      </w:r>
      <w:r>
        <w:t xml:space="preserve">jsou popsány konkrétní vědomosti a schopnosti člověka, </w:t>
      </w:r>
      <w:r w:rsidR="0086578D">
        <w:t>které by měl mít dospělý člověk ve věku od 25let – 65 let</w:t>
      </w:r>
      <w:r>
        <w:t xml:space="preserve">, aby byl schopen </w:t>
      </w:r>
      <w:r>
        <w:lastRenderedPageBreak/>
        <w:t>své zdraví pozitivně ovlivnit</w:t>
      </w:r>
      <w:r w:rsidR="0086578D">
        <w:t>. Při členění a definování byl využit model Světové zdravotnické organizace</w:t>
      </w:r>
      <w:r>
        <w:t>. Obsahem je rozdělení ZG do 3 oblastí:</w:t>
      </w:r>
    </w:p>
    <w:p w:rsidR="00177B21" w:rsidRDefault="00177B21" w:rsidP="00C800E7">
      <w:pPr>
        <w:pStyle w:val="Odstavecseseznamem"/>
        <w:numPr>
          <w:ilvl w:val="0"/>
          <w:numId w:val="8"/>
        </w:numPr>
        <w:spacing w:after="160" w:line="360" w:lineRule="auto"/>
        <w:jc w:val="both"/>
      </w:pPr>
      <w:r>
        <w:t>Oblast podpory zdraví, kam spadají</w:t>
      </w:r>
      <w:r w:rsidR="00403A09">
        <w:t xml:space="preserve"> potřebné </w:t>
      </w:r>
      <w:r w:rsidRPr="00403A09">
        <w:t>kompetence životního stylu</w:t>
      </w:r>
      <w:r w:rsidR="00403A09" w:rsidRPr="00403A09">
        <w:t xml:space="preserve"> (výživa, tělesná aktivita, denní režim, vnitřní (duševní) pohoda, návykové chování,</w:t>
      </w:r>
      <w:r w:rsidRPr="00403A09">
        <w:t xml:space="preserve"> a péče o prostředí</w:t>
      </w:r>
      <w:r w:rsidR="00403A09">
        <w:t xml:space="preserve"> (domácnost, instituce, veřejný prostor)</w:t>
      </w:r>
    </w:p>
    <w:p w:rsidR="00177B21" w:rsidRDefault="00177B21" w:rsidP="00C800E7">
      <w:pPr>
        <w:pStyle w:val="Odstavecseseznamem"/>
        <w:numPr>
          <w:ilvl w:val="0"/>
          <w:numId w:val="8"/>
        </w:numPr>
        <w:spacing w:after="160" w:line="360" w:lineRule="auto"/>
        <w:jc w:val="both"/>
      </w:pPr>
      <w:r>
        <w:t>Oblast prevence nemocí: do které patří přístup k medicíně založené na důkazech, ale také prevence infekčních, neinfekčních chorob a úrazů</w:t>
      </w:r>
    </w:p>
    <w:p w:rsidR="00177B21" w:rsidRDefault="00177B21" w:rsidP="00C800E7">
      <w:pPr>
        <w:pStyle w:val="Odstavecseseznamem"/>
        <w:numPr>
          <w:ilvl w:val="0"/>
          <w:numId w:val="8"/>
        </w:numPr>
        <w:spacing w:after="160" w:line="360" w:lineRule="auto"/>
        <w:jc w:val="both"/>
      </w:pPr>
      <w:r>
        <w:t>Oblast zdravotní péče, kam spadají kompetence z ošetřovatelské péče a neodkladné první pomoci.</w:t>
      </w:r>
    </w:p>
    <w:p w:rsidR="00177B21" w:rsidRDefault="008130D8" w:rsidP="00C800E7">
      <w:pPr>
        <w:spacing w:before="30" w:line="360" w:lineRule="auto"/>
        <w:ind w:firstLine="360"/>
        <w:jc w:val="both"/>
      </w:pPr>
      <w:r>
        <w:t>P</w:t>
      </w:r>
      <w:r w:rsidR="00177B21">
        <w:t>ro úspěšné uplatnění zdravotní gramotnosti v každodenním životě</w:t>
      </w:r>
      <w:r>
        <w:t xml:space="preserve">, lze využít jednoduchý postup </w:t>
      </w:r>
      <w:r w:rsidR="00177B21">
        <w:t xml:space="preserve">a to: </w:t>
      </w:r>
      <w:r w:rsidR="00DB7ADC">
        <w:t>c</w:t>
      </w:r>
      <w:r w:rsidR="00177B21">
        <w:t xml:space="preserve">hci- </w:t>
      </w:r>
      <w:r w:rsidR="00DB7ADC">
        <w:t>u</w:t>
      </w:r>
      <w:r w:rsidR="00177B21">
        <w:t xml:space="preserve">mím- </w:t>
      </w:r>
      <w:r w:rsidR="00DB7ADC">
        <w:t>m</w:t>
      </w:r>
      <w:r w:rsidR="00177B21">
        <w:t xml:space="preserve">ohu  </w:t>
      </w:r>
    </w:p>
    <w:p w:rsidR="00177B21" w:rsidRDefault="00177B21" w:rsidP="00C800E7">
      <w:pPr>
        <w:pStyle w:val="Bezmezer"/>
        <w:numPr>
          <w:ilvl w:val="0"/>
          <w:numId w:val="13"/>
        </w:numPr>
        <w:spacing w:line="360" w:lineRule="auto"/>
        <w:jc w:val="both"/>
      </w:pPr>
      <w:r>
        <w:t>Chci- každý člověk by měl mít určitý stimul (zájem) o podporu svého zdraví a zdravotní gramotnosti.</w:t>
      </w:r>
    </w:p>
    <w:p w:rsidR="006D7BB9" w:rsidRDefault="00177B21" w:rsidP="00C800E7">
      <w:pPr>
        <w:pStyle w:val="Odstavecseseznamem"/>
        <w:numPr>
          <w:ilvl w:val="0"/>
          <w:numId w:val="13"/>
        </w:numPr>
        <w:spacing w:before="30" w:line="360" w:lineRule="auto"/>
        <w:jc w:val="both"/>
      </w:pPr>
      <w:r>
        <w:t>Umím- člověk by měl</w:t>
      </w:r>
      <w:r w:rsidR="008130D8">
        <w:t xml:space="preserve"> kromě motivace</w:t>
      </w:r>
      <w:r>
        <w:t xml:space="preserve"> přispět svými znalostmi, </w:t>
      </w:r>
      <w:r w:rsidR="008130D8">
        <w:t>které jsou přiměřené jeho věku a</w:t>
      </w:r>
      <w:r w:rsidR="006D7BB9">
        <w:t xml:space="preserve"> dostatečné, ke správnému rozhodnutí.</w:t>
      </w:r>
      <w:r>
        <w:t xml:space="preserve"> Důležité informace by měl umět vyhledat, snažit se je </w:t>
      </w:r>
      <w:r w:rsidRPr="006D7BB9">
        <w:t xml:space="preserve">pochopit a </w:t>
      </w:r>
      <w:r w:rsidR="006D7BB9" w:rsidRPr="006D7BB9">
        <w:t>použít</w:t>
      </w:r>
      <w:r w:rsidRPr="006D7BB9">
        <w:t xml:space="preserve"> je v případných s</w:t>
      </w:r>
      <w:r w:rsidR="006D7BB9" w:rsidRPr="006D7BB9">
        <w:t>ituacích</w:t>
      </w:r>
      <w:r w:rsidRPr="008E545E">
        <w:t>.</w:t>
      </w:r>
      <w:r w:rsidR="006D7BB9">
        <w:t xml:space="preserve"> Následně by měl být schopen jednat podle těchto informací a znalostí v běžném životě každý den</w:t>
      </w:r>
    </w:p>
    <w:p w:rsidR="00106E52" w:rsidRDefault="00177B21" w:rsidP="00C800E7">
      <w:pPr>
        <w:pStyle w:val="Odstavecseseznamem"/>
        <w:numPr>
          <w:ilvl w:val="0"/>
          <w:numId w:val="13"/>
        </w:numPr>
        <w:spacing w:before="30" w:line="360" w:lineRule="auto"/>
        <w:jc w:val="both"/>
      </w:pPr>
      <w:r>
        <w:t xml:space="preserve">Mohu- podmínky </w:t>
      </w:r>
      <w:r w:rsidR="00DB7ADC">
        <w:t>které jedinci umož</w:t>
      </w:r>
      <w:r w:rsidR="007143BC">
        <w:t>ň</w:t>
      </w:r>
      <w:r w:rsidR="00DB7ADC">
        <w:t xml:space="preserve">ují </w:t>
      </w:r>
      <w:r>
        <w:t>uplatn</w:t>
      </w:r>
      <w:r w:rsidR="006D7BB9">
        <w:t>it své</w:t>
      </w:r>
      <w:r>
        <w:t xml:space="preserve"> vědomost</w:t>
      </w:r>
      <w:r w:rsidR="006D7BB9">
        <w:t>i</w:t>
      </w:r>
      <w:r>
        <w:t>, způsobilost</w:t>
      </w:r>
      <w:r w:rsidR="006D7BB9">
        <w:t>i</w:t>
      </w:r>
      <w:r>
        <w:t xml:space="preserve"> a </w:t>
      </w:r>
      <w:r w:rsidRPr="005A259C">
        <w:t>zájm</w:t>
      </w:r>
      <w:r w:rsidR="006D7BB9" w:rsidRPr="005A259C">
        <w:t>y v každodenním životě</w:t>
      </w:r>
      <w:r>
        <w:t xml:space="preserve"> (Národní síť podpory zdraví, 2016, s.4)</w:t>
      </w:r>
      <w:r w:rsidR="005A259C">
        <w:t>.</w:t>
      </w:r>
    </w:p>
    <w:p w:rsidR="005E3F0A" w:rsidRDefault="005E3F0A" w:rsidP="00C800E7">
      <w:pPr>
        <w:spacing w:before="30" w:line="360" w:lineRule="auto"/>
        <w:jc w:val="both"/>
      </w:pPr>
    </w:p>
    <w:p w:rsidR="00177B21" w:rsidRPr="00460522" w:rsidRDefault="00177B21" w:rsidP="00C800E7">
      <w:pPr>
        <w:pStyle w:val="Bezmezer"/>
        <w:spacing w:line="360" w:lineRule="auto"/>
        <w:ind w:firstLine="708"/>
        <w:jc w:val="both"/>
        <w:rPr>
          <w:b/>
          <w:bCs/>
          <w:color w:val="FF0000"/>
          <w:szCs w:val="24"/>
        </w:rPr>
      </w:pPr>
      <w:r w:rsidRPr="002A702D">
        <w:rPr>
          <w:szCs w:val="24"/>
        </w:rPr>
        <w:t>Definice zdravotní gramotnosti</w:t>
      </w:r>
      <w:r>
        <w:rPr>
          <w:b/>
          <w:bCs/>
          <w:szCs w:val="24"/>
        </w:rPr>
        <w:t xml:space="preserve"> </w:t>
      </w:r>
    </w:p>
    <w:p w:rsidR="00177B21" w:rsidRPr="006D715F" w:rsidRDefault="00177B21" w:rsidP="00C800E7">
      <w:pPr>
        <w:spacing w:line="360" w:lineRule="auto"/>
        <w:ind w:firstLine="708"/>
        <w:jc w:val="both"/>
        <w:rPr>
          <w:rStyle w:val="authorname"/>
        </w:rPr>
      </w:pPr>
      <w:r w:rsidRPr="00F81A91">
        <w:t>Před</w:t>
      </w:r>
      <w:r>
        <w:t xml:space="preserve"> definováním</w:t>
      </w:r>
      <w:r w:rsidRPr="00F81A91">
        <w:t xml:space="preserve"> zdravotní gramotnost</w:t>
      </w:r>
      <w:r>
        <w:t>i</w:t>
      </w:r>
      <w:r w:rsidRPr="00F81A91">
        <w:t xml:space="preserve"> je nutné zmínit gramotnost samotnou. </w:t>
      </w:r>
      <w:r>
        <w:t>Pojem gramotnost v minulosti znamenal být obeznámený s</w:t>
      </w:r>
      <w:r w:rsidR="007143BC">
        <w:t> </w:t>
      </w:r>
      <w:r>
        <w:t>literaturou</w:t>
      </w:r>
      <w:r w:rsidR="007143BC">
        <w:t>,</w:t>
      </w:r>
      <w:r>
        <w:t xml:space="preserve"> nebo být vzdělaný. Později pak být znalý a vzdělaný v určité oblasti. V 19. století se </w:t>
      </w:r>
      <w:r w:rsidRPr="00D425D4">
        <w:t>vyznač</w:t>
      </w:r>
      <w:r>
        <w:t>uje jako schopnosti číst a psát (</w:t>
      </w:r>
      <w:r w:rsidRPr="0083056F">
        <w:rPr>
          <w:rStyle w:val="authorname"/>
        </w:rPr>
        <w:t>Sørensen</w:t>
      </w:r>
      <w:r>
        <w:rPr>
          <w:rStyle w:val="authorname"/>
        </w:rPr>
        <w:t xml:space="preserve"> et al., 2012, s.1).</w:t>
      </w:r>
      <w:r>
        <w:t xml:space="preserve"> </w:t>
      </w:r>
      <w:r w:rsidRPr="00F81A91">
        <w:rPr>
          <w:rStyle w:val="authorname"/>
          <w:szCs w:val="24"/>
        </w:rPr>
        <w:t>Nutbeam</w:t>
      </w:r>
      <w:r>
        <w:rPr>
          <w:rStyle w:val="authorname"/>
          <w:szCs w:val="24"/>
        </w:rPr>
        <w:t xml:space="preserve"> však</w:t>
      </w:r>
      <w:r w:rsidRPr="00F81A91">
        <w:rPr>
          <w:rStyle w:val="authorname"/>
          <w:szCs w:val="24"/>
        </w:rPr>
        <w:t xml:space="preserve"> udává, že gramotnost je důležitý, ale složitý koncept</w:t>
      </w:r>
      <w:r>
        <w:rPr>
          <w:rStyle w:val="authorname"/>
          <w:szCs w:val="24"/>
        </w:rPr>
        <w:t>.</w:t>
      </w:r>
      <w:r w:rsidRPr="00F81A91">
        <w:rPr>
          <w:rStyle w:val="authorname"/>
          <w:szCs w:val="24"/>
        </w:rPr>
        <w:t xml:space="preserve"> Obecně uznává, že má dva charakteristické prvky: první založen na úkolech a druhý založen na dovednostech. Gramotnost založená na úkolech se zaměřuje,</w:t>
      </w:r>
      <w:r w:rsidR="007143BC">
        <w:rPr>
          <w:rStyle w:val="authorname"/>
          <w:szCs w:val="24"/>
        </w:rPr>
        <w:t xml:space="preserve"> nato</w:t>
      </w:r>
      <w:r w:rsidRPr="00F81A91">
        <w:rPr>
          <w:rStyle w:val="authorname"/>
          <w:szCs w:val="24"/>
        </w:rPr>
        <w:t xml:space="preserve"> do jaké míry může člověk provádět klíčové úkoly v oblasti gramotnosti, jako je čtení základního textu a napsání jednoduchého prohlášení. Gramotnost založená na dovednostech se zaměřuje na znalosti a dovednosti, které musí mít dospělý, aby mohl </w:t>
      </w:r>
      <w:r>
        <w:rPr>
          <w:rStyle w:val="authorname"/>
          <w:szCs w:val="24"/>
        </w:rPr>
        <w:t>zmíněné</w:t>
      </w:r>
      <w:r w:rsidRPr="00F81A91">
        <w:rPr>
          <w:rStyle w:val="authorname"/>
          <w:szCs w:val="24"/>
        </w:rPr>
        <w:t xml:space="preserve"> úkoly plnit</w:t>
      </w:r>
      <w:r>
        <w:rPr>
          <w:rStyle w:val="authorname"/>
          <w:szCs w:val="24"/>
        </w:rPr>
        <w:t xml:space="preserve"> (například od základního rozpoznání slov až po složitější vyvozování závěrů ze souvislého textu).</w:t>
      </w:r>
      <w:r w:rsidRPr="00F81A91">
        <w:rPr>
          <w:rStyle w:val="authorname"/>
          <w:szCs w:val="24"/>
        </w:rPr>
        <w:t xml:space="preserve"> Tyto základní doved</w:t>
      </w:r>
      <w:r>
        <w:rPr>
          <w:rStyle w:val="authorname"/>
          <w:szCs w:val="24"/>
        </w:rPr>
        <w:t>n</w:t>
      </w:r>
      <w:r w:rsidRPr="00F81A91">
        <w:rPr>
          <w:rStyle w:val="authorname"/>
          <w:szCs w:val="24"/>
        </w:rPr>
        <w:t>osti pak lidem umožňují lépe rozvíjet znalosti</w:t>
      </w:r>
      <w:r>
        <w:rPr>
          <w:rStyle w:val="authorname"/>
          <w:szCs w:val="24"/>
        </w:rPr>
        <w:t>, zlepšovat potencionál dosažení cílů</w:t>
      </w:r>
      <w:r w:rsidRPr="00F81A91">
        <w:rPr>
          <w:rStyle w:val="authorname"/>
          <w:szCs w:val="24"/>
        </w:rPr>
        <w:t xml:space="preserve"> </w:t>
      </w:r>
      <w:r>
        <w:rPr>
          <w:rStyle w:val="authorname"/>
          <w:szCs w:val="24"/>
        </w:rPr>
        <w:t xml:space="preserve">a tím se lépe zapojit do společnosti, a to jak ekonomicky, tak i společensky </w:t>
      </w:r>
      <w:r w:rsidRPr="00F81A91">
        <w:rPr>
          <w:rStyle w:val="authorname"/>
          <w:szCs w:val="24"/>
        </w:rPr>
        <w:t>(Nutbeam, 2009, s. 303).</w:t>
      </w:r>
      <w:r>
        <w:rPr>
          <w:rStyle w:val="authorname"/>
          <w:szCs w:val="24"/>
        </w:rPr>
        <w:t xml:space="preserve"> </w:t>
      </w:r>
    </w:p>
    <w:p w:rsidR="00177B21" w:rsidRPr="009E03BD" w:rsidRDefault="00177B21" w:rsidP="00C800E7">
      <w:pPr>
        <w:spacing w:line="360" w:lineRule="auto"/>
        <w:ind w:firstLine="708"/>
        <w:jc w:val="both"/>
        <w:rPr>
          <w:rFonts w:cs="Times New Roman"/>
          <w:color w:val="auto"/>
          <w:szCs w:val="24"/>
          <w:shd w:val="clear" w:color="auto" w:fill="FFFFFF"/>
        </w:rPr>
      </w:pPr>
      <w:r w:rsidRPr="00760163">
        <w:rPr>
          <w:rFonts w:cs="Times New Roman"/>
          <w:color w:val="auto"/>
          <w:szCs w:val="24"/>
        </w:rPr>
        <w:lastRenderedPageBreak/>
        <w:t>Poj</w:t>
      </w:r>
      <w:r w:rsidR="00010D05">
        <w:rPr>
          <w:rFonts w:cs="Times New Roman"/>
          <w:color w:val="auto"/>
          <w:szCs w:val="24"/>
        </w:rPr>
        <w:t>etí</w:t>
      </w:r>
      <w:r w:rsidRPr="00760163">
        <w:rPr>
          <w:rFonts w:cs="Times New Roman"/>
          <w:color w:val="auto"/>
          <w:szCs w:val="24"/>
        </w:rPr>
        <w:t xml:space="preserve"> zdravotní gramotnost</w:t>
      </w:r>
      <w:r w:rsidR="00C5278C">
        <w:rPr>
          <w:rFonts w:cs="Times New Roman"/>
          <w:color w:val="auto"/>
          <w:szCs w:val="24"/>
        </w:rPr>
        <w:t>i</w:t>
      </w:r>
      <w:r w:rsidRPr="00760163">
        <w:rPr>
          <w:rFonts w:cs="Times New Roman"/>
          <w:color w:val="auto"/>
          <w:szCs w:val="24"/>
        </w:rPr>
        <w:t xml:space="preserve"> je považován</w:t>
      </w:r>
      <w:r w:rsidR="00C5278C">
        <w:rPr>
          <w:rFonts w:cs="Times New Roman"/>
          <w:color w:val="auto"/>
          <w:szCs w:val="24"/>
        </w:rPr>
        <w:t xml:space="preserve">o </w:t>
      </w:r>
      <w:r w:rsidRPr="00C5278C">
        <w:rPr>
          <w:rFonts w:cs="Times New Roman"/>
          <w:color w:val="auto"/>
          <w:szCs w:val="24"/>
        </w:rPr>
        <w:t>za faktor velkého vlivu</w:t>
      </w:r>
      <w:r w:rsidRPr="00760163">
        <w:rPr>
          <w:rFonts w:cs="Times New Roman"/>
          <w:color w:val="auto"/>
          <w:szCs w:val="24"/>
        </w:rPr>
        <w:t>. Původně</w:t>
      </w:r>
      <w:r w:rsidR="007143BC">
        <w:rPr>
          <w:rFonts w:cs="Times New Roman"/>
          <w:color w:val="auto"/>
          <w:szCs w:val="24"/>
        </w:rPr>
        <w:t xml:space="preserve"> byla</w:t>
      </w:r>
      <w:r w:rsidRPr="00760163">
        <w:rPr>
          <w:rFonts w:cs="Times New Roman"/>
          <w:color w:val="auto"/>
          <w:szCs w:val="24"/>
        </w:rPr>
        <w:t xml:space="preserve"> definován</w:t>
      </w:r>
      <w:r w:rsidR="00010D05">
        <w:rPr>
          <w:rFonts w:cs="Times New Roman"/>
          <w:color w:val="auto"/>
          <w:szCs w:val="24"/>
        </w:rPr>
        <w:t>a</w:t>
      </w:r>
      <w:r w:rsidRPr="00760163">
        <w:rPr>
          <w:rFonts w:cs="Times New Roman"/>
          <w:color w:val="auto"/>
          <w:szCs w:val="24"/>
        </w:rPr>
        <w:t xml:space="preserve"> jako</w:t>
      </w:r>
      <w:r w:rsidR="00010D05">
        <w:rPr>
          <w:rFonts w:cs="Times New Roman"/>
          <w:color w:val="auto"/>
          <w:szCs w:val="24"/>
        </w:rPr>
        <w:t xml:space="preserve"> schopnost</w:t>
      </w:r>
      <w:r w:rsidRPr="00760163">
        <w:rPr>
          <w:rFonts w:cs="Times New Roman"/>
          <w:color w:val="auto"/>
          <w:szCs w:val="24"/>
        </w:rPr>
        <w:t xml:space="preserve"> </w:t>
      </w:r>
      <w:r w:rsidRPr="00C5278C">
        <w:rPr>
          <w:rFonts w:cs="Times New Roman"/>
          <w:color w:val="auto"/>
          <w:szCs w:val="24"/>
        </w:rPr>
        <w:t>čtení, psaní a numerické dovednosti v oblasti zdraví</w:t>
      </w:r>
      <w:r w:rsidR="007143BC">
        <w:rPr>
          <w:rFonts w:cs="Times New Roman"/>
          <w:color w:val="auto"/>
          <w:szCs w:val="24"/>
        </w:rPr>
        <w:t>. N</w:t>
      </w:r>
      <w:r w:rsidRPr="00760163">
        <w:rPr>
          <w:rFonts w:cs="Times New Roman"/>
          <w:color w:val="auto"/>
          <w:szCs w:val="24"/>
        </w:rPr>
        <w:t>yní je však považována za vícerozměrný koncept</w:t>
      </w:r>
      <w:r w:rsidR="00C5278C">
        <w:rPr>
          <w:rFonts w:cs="Times New Roman"/>
          <w:color w:val="auto"/>
          <w:szCs w:val="24"/>
        </w:rPr>
        <w:t xml:space="preserve"> a</w:t>
      </w:r>
      <w:r w:rsidRPr="00760163">
        <w:rPr>
          <w:rFonts w:cs="Times New Roman"/>
          <w:color w:val="auto"/>
          <w:szCs w:val="24"/>
        </w:rPr>
        <w:t xml:space="preserve"> </w:t>
      </w:r>
      <w:r w:rsidR="00C5278C">
        <w:rPr>
          <w:rFonts w:cs="Times New Roman"/>
          <w:color w:val="auto"/>
          <w:szCs w:val="24"/>
        </w:rPr>
        <w:t>c</w:t>
      </w:r>
      <w:r w:rsidRPr="00760163">
        <w:rPr>
          <w:rFonts w:cs="Times New Roman"/>
          <w:color w:val="auto"/>
          <w:szCs w:val="24"/>
        </w:rPr>
        <w:t xml:space="preserve">elosvětově existuje mnoho </w:t>
      </w:r>
      <w:r w:rsidRPr="00C5278C">
        <w:rPr>
          <w:rFonts w:cs="Times New Roman"/>
          <w:color w:val="auto"/>
          <w:szCs w:val="24"/>
        </w:rPr>
        <w:t>definic o zdravotní gramotnosti</w:t>
      </w:r>
      <w:r w:rsidRPr="00760163">
        <w:rPr>
          <w:rFonts w:cs="Times New Roman"/>
          <w:color w:val="auto"/>
          <w:szCs w:val="24"/>
        </w:rPr>
        <w:t>. Pojem zdravotní gramotnost byl poprvé použit Simondsem v roce 1974 ve sborníku konference výchovy ke zdraví. Od té doby se zájem o zdravotní gramotnost a její definice</w:t>
      </w:r>
      <w:r w:rsidR="00C5278C">
        <w:rPr>
          <w:rFonts w:cs="Times New Roman"/>
          <w:color w:val="auto"/>
          <w:szCs w:val="24"/>
        </w:rPr>
        <w:t xml:space="preserve"> a měření</w:t>
      </w:r>
      <w:r w:rsidRPr="00760163">
        <w:rPr>
          <w:rFonts w:cs="Times New Roman"/>
          <w:color w:val="auto"/>
          <w:szCs w:val="24"/>
        </w:rPr>
        <w:t xml:space="preserve"> výrazně zvýšil. </w:t>
      </w:r>
      <w:r w:rsidRPr="00C5278C">
        <w:rPr>
          <w:rFonts w:cs="Times New Roman"/>
          <w:color w:val="auto"/>
          <w:szCs w:val="24"/>
        </w:rPr>
        <w:t xml:space="preserve">Později </w:t>
      </w:r>
      <w:r w:rsidR="00C5278C" w:rsidRPr="00C5278C">
        <w:rPr>
          <w:rFonts w:cs="Times New Roman"/>
          <w:color w:val="auto"/>
          <w:szCs w:val="24"/>
        </w:rPr>
        <w:t xml:space="preserve">už není ZG definována jen jako dovednosti v oblasti zdraví, ale </w:t>
      </w:r>
      <w:r w:rsidR="00C5278C">
        <w:rPr>
          <w:rFonts w:cs="Times New Roman"/>
          <w:color w:val="auto"/>
          <w:szCs w:val="24"/>
        </w:rPr>
        <w:t>prohlubuje</w:t>
      </w:r>
      <w:r w:rsidR="00C5278C" w:rsidRPr="00C5278C">
        <w:rPr>
          <w:rFonts w:cs="Times New Roman"/>
          <w:color w:val="auto"/>
          <w:szCs w:val="24"/>
        </w:rPr>
        <w:t xml:space="preserve"> se její</w:t>
      </w:r>
      <w:r w:rsidRPr="00C5278C">
        <w:rPr>
          <w:rFonts w:cs="Times New Roman"/>
          <w:color w:val="auto"/>
          <w:szCs w:val="24"/>
        </w:rPr>
        <w:t xml:space="preserve"> význam</w:t>
      </w:r>
      <w:r w:rsidR="007143BC">
        <w:rPr>
          <w:rFonts w:cs="Times New Roman"/>
          <w:color w:val="auto"/>
          <w:szCs w:val="24"/>
        </w:rPr>
        <w:t xml:space="preserve">, jak </w:t>
      </w:r>
      <w:r w:rsidRPr="00760163">
        <w:rPr>
          <w:rFonts w:cs="Times New Roman"/>
          <w:color w:val="auto"/>
          <w:szCs w:val="24"/>
        </w:rPr>
        <w:t>o schopnost získávat, zpracovávat a porozumět zdravotním informacím</w:t>
      </w:r>
      <w:r w:rsidR="007143BC">
        <w:rPr>
          <w:rFonts w:cs="Times New Roman"/>
          <w:color w:val="auto"/>
          <w:szCs w:val="24"/>
        </w:rPr>
        <w:t xml:space="preserve"> tak i o služby</w:t>
      </w:r>
      <w:r w:rsidRPr="00760163">
        <w:rPr>
          <w:rFonts w:cs="Times New Roman"/>
          <w:color w:val="auto"/>
          <w:szCs w:val="24"/>
        </w:rPr>
        <w:t xml:space="preserve"> potřebn</w:t>
      </w:r>
      <w:r w:rsidR="007143BC">
        <w:rPr>
          <w:rFonts w:cs="Times New Roman"/>
          <w:color w:val="auto"/>
          <w:szCs w:val="24"/>
        </w:rPr>
        <w:t>é</w:t>
      </w:r>
      <w:r w:rsidRPr="00760163">
        <w:rPr>
          <w:rFonts w:cs="Times New Roman"/>
          <w:color w:val="auto"/>
          <w:szCs w:val="24"/>
        </w:rPr>
        <w:t xml:space="preserve"> ke správnému </w:t>
      </w:r>
      <w:r w:rsidRPr="005A259C">
        <w:rPr>
          <w:rFonts w:cs="Times New Roman"/>
          <w:color w:val="auto"/>
          <w:szCs w:val="24"/>
        </w:rPr>
        <w:t>rozhodnutí ve zdravotnictví</w:t>
      </w:r>
      <w:r w:rsidRPr="00760163">
        <w:rPr>
          <w:rFonts w:cs="Times New Roman"/>
          <w:color w:val="auto"/>
          <w:szCs w:val="24"/>
        </w:rPr>
        <w:t>, které jsou potřebné pro zlepšení zdraví (Frisch et al., 2011, 117-118).</w:t>
      </w:r>
      <w:r w:rsidRPr="00760163">
        <w:rPr>
          <w:rFonts w:eastAsia="Times New Roman" w:cs="Times New Roman"/>
          <w:color w:val="auto"/>
          <w:szCs w:val="24"/>
          <w:lang w:eastAsia="cs-CZ"/>
        </w:rPr>
        <w:t xml:space="preserve"> </w:t>
      </w:r>
      <w:r w:rsidRPr="00760163">
        <w:rPr>
          <w:rFonts w:cs="Times New Roman"/>
          <w:color w:val="auto"/>
          <w:szCs w:val="24"/>
        </w:rPr>
        <w:t>V roce 1998 Světová zdravotnická organizace definovala zdravotní gramotnost jako kognitivní a sociální dovednost, kter</w:t>
      </w:r>
      <w:r w:rsidR="007143BC">
        <w:rPr>
          <w:rFonts w:cs="Times New Roman"/>
          <w:color w:val="auto"/>
          <w:szCs w:val="24"/>
        </w:rPr>
        <w:t>á</w:t>
      </w:r>
      <w:r w:rsidRPr="00760163">
        <w:rPr>
          <w:rFonts w:cs="Times New Roman"/>
          <w:color w:val="auto"/>
          <w:szCs w:val="24"/>
        </w:rPr>
        <w:t xml:space="preserve"> určuj</w:t>
      </w:r>
      <w:r w:rsidR="007143BC">
        <w:rPr>
          <w:rFonts w:cs="Times New Roman"/>
          <w:color w:val="auto"/>
          <w:szCs w:val="24"/>
        </w:rPr>
        <w:t>e</w:t>
      </w:r>
      <w:r w:rsidRPr="00760163">
        <w:rPr>
          <w:rFonts w:cs="Times New Roman"/>
          <w:color w:val="auto"/>
          <w:szCs w:val="24"/>
        </w:rPr>
        <w:t xml:space="preserve"> motivaci a schopnost jednotlivců získávat přístup k informacím, porozumět jim a používat je způsobem, který podporuje udržení dobrého zdraví </w:t>
      </w:r>
      <w:r w:rsidRPr="00760163">
        <w:rPr>
          <w:color w:val="auto"/>
        </w:rPr>
        <w:t>(</w:t>
      </w:r>
      <w:r w:rsidRPr="00760163">
        <w:rPr>
          <w:rStyle w:val="authorname"/>
          <w:color w:val="auto"/>
        </w:rPr>
        <w:t xml:space="preserve">Sørensen et al., 2017, s. 5). </w:t>
      </w:r>
      <w:r w:rsidRPr="00760163">
        <w:rPr>
          <w:color w:val="auto"/>
        </w:rPr>
        <w:t xml:space="preserve">Zdravotní gramotnost tedy znamená schopnost porozumět, vyhledávat a používat informace, nástroje a služby, které jsou spojeny se zdravím při kontrole nad svým zdravím. (Hamplová, 2019, s. 89). </w:t>
      </w:r>
      <w:r w:rsidRPr="00760163">
        <w:rPr>
          <w:rFonts w:cs="Times New Roman"/>
          <w:color w:val="auto"/>
          <w:szCs w:val="24"/>
        </w:rPr>
        <w:t xml:space="preserve">Oproti tomu v roce 1999 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American Medical Association definovala zdravotní gramotnost jako soubor dovedností a schopností používat základní čtenářské a numerické úkony, které jsou potřebné pro fungování v prostředí zdravotní péče. Ve </w:t>
      </w:r>
      <w:r w:rsidR="007143BC">
        <w:rPr>
          <w:rFonts w:cs="Times New Roman"/>
          <w:color w:val="auto"/>
          <w:szCs w:val="24"/>
          <w:shd w:val="clear" w:color="auto" w:fill="FFFFFF"/>
        </w:rPr>
        <w:t>S</w:t>
      </w:r>
      <w:r w:rsidRPr="00760163">
        <w:rPr>
          <w:rFonts w:cs="Times New Roman"/>
          <w:color w:val="auto"/>
          <w:szCs w:val="24"/>
          <w:shd w:val="clear" w:color="auto" w:fill="FFFFFF"/>
        </w:rPr>
        <w:t>pojených státech</w:t>
      </w:r>
      <w:r w:rsidR="007143BC">
        <w:rPr>
          <w:rFonts w:cs="Times New Roman"/>
          <w:color w:val="auto"/>
          <w:szCs w:val="24"/>
          <w:shd w:val="clear" w:color="auto" w:fill="FFFFFF"/>
        </w:rPr>
        <w:t xml:space="preserve"> amerických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byla zdravotní gramotnost skupinou Health people 2010 také definována jako míra, do jaké mají jednotlivci schopnost získat, zpracovat a pochopit základní informace o zdraví a o službách, které jsou potřebné k příslušnému </w:t>
      </w:r>
      <w:r w:rsidRPr="005A259C">
        <w:rPr>
          <w:rFonts w:cs="Times New Roman"/>
          <w:color w:val="auto"/>
          <w:szCs w:val="24"/>
          <w:shd w:val="clear" w:color="auto" w:fill="FFFFFF"/>
        </w:rPr>
        <w:t>rozhod</w:t>
      </w:r>
      <w:r w:rsidR="007143BC">
        <w:rPr>
          <w:rFonts w:cs="Times New Roman"/>
          <w:color w:val="auto"/>
          <w:szCs w:val="24"/>
          <w:shd w:val="clear" w:color="auto" w:fill="FFFFFF"/>
        </w:rPr>
        <w:t>ování</w:t>
      </w:r>
      <w:r w:rsidRPr="005A259C">
        <w:rPr>
          <w:rFonts w:cs="Times New Roman"/>
          <w:color w:val="auto"/>
          <w:szCs w:val="24"/>
          <w:shd w:val="clear" w:color="auto" w:fill="FFFFFF"/>
        </w:rPr>
        <w:t xml:space="preserve"> ve zdravotnictví</w:t>
      </w:r>
      <w:r w:rsidRPr="00760163">
        <w:rPr>
          <w:rFonts w:cs="Times New Roman"/>
          <w:color w:val="auto"/>
          <w:szCs w:val="24"/>
          <w:shd w:val="clear" w:color="auto" w:fill="FFFFFF"/>
        </w:rPr>
        <w:t>. V roce 2002 Fok a Wond zdůraznili důležitost individuální autonomie v jejich definici a poznamenali, že zdravotní gramotnost znamená porozumět fyzickým a psychosociálním činnostem a následně podle toho jednat</w:t>
      </w:r>
      <w:r w:rsidR="007143BC">
        <w:rPr>
          <w:rFonts w:cs="Times New Roman"/>
          <w:color w:val="auto"/>
          <w:szCs w:val="24"/>
          <w:shd w:val="clear" w:color="auto" w:fill="FFFFFF"/>
        </w:rPr>
        <w:t>. Také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být schopen jednat s lidmi a vyrovnat se se změnami,</w:t>
      </w:r>
      <w:r w:rsidR="00921750">
        <w:rPr>
          <w:rFonts w:cs="Times New Roman"/>
          <w:color w:val="auto"/>
          <w:szCs w:val="24"/>
          <w:shd w:val="clear" w:color="auto" w:fill="FFFFFF"/>
        </w:rPr>
        <w:t xml:space="preserve"> mít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přiměřen</w:t>
      </w:r>
      <w:r w:rsidR="00921750">
        <w:rPr>
          <w:rFonts w:cs="Times New Roman"/>
          <w:color w:val="auto"/>
          <w:szCs w:val="24"/>
          <w:shd w:val="clear" w:color="auto" w:fill="FFFFFF"/>
        </w:rPr>
        <w:t>ou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autonomi</w:t>
      </w:r>
      <w:r w:rsidR="00921750">
        <w:rPr>
          <w:rFonts w:cs="Times New Roman"/>
          <w:color w:val="auto"/>
          <w:szCs w:val="24"/>
          <w:shd w:val="clear" w:color="auto" w:fill="FFFFFF"/>
        </w:rPr>
        <w:t>i</w:t>
      </w:r>
      <w:r w:rsidRPr="00760163">
        <w:rPr>
          <w:rFonts w:cs="Times New Roman"/>
          <w:color w:val="auto"/>
          <w:szCs w:val="24"/>
          <w:shd w:val="clear" w:color="auto" w:fill="FFFFFF"/>
        </w:rPr>
        <w:t>, ta</w:t>
      </w:r>
      <w:r w:rsidR="007143BC">
        <w:rPr>
          <w:rFonts w:cs="Times New Roman"/>
          <w:color w:val="auto"/>
          <w:szCs w:val="24"/>
          <w:shd w:val="clear" w:color="auto" w:fill="FFFFFF"/>
        </w:rPr>
        <w:t>kovým způsobem,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aby bylo dosaženo úplné fyzické, duševní a sociální pohody. V roce 2004 Institute of Medicine navrhuje, aby zdravotní gramotnost byla sdílená funkce sociálních a individuálních faktorů, která vyplývá z interakce dovedností jednotlivců a požadavků sociálního systému. ZG je tedy definována jako s</w:t>
      </w:r>
      <w:r w:rsidRPr="00760163">
        <w:rPr>
          <w:rFonts w:eastAsia="Times New Roman" w:cs="Times New Roman"/>
          <w:color w:val="auto"/>
          <w:szCs w:val="24"/>
          <w:lang w:eastAsia="cs-CZ"/>
        </w:rPr>
        <w:t xml:space="preserve">chopnost jednotlivců získávat, zpracovávat a porozumět základním zdravotním informacím a službám </w:t>
      </w:r>
      <w:r>
        <w:rPr>
          <w:rFonts w:eastAsia="Times New Roman" w:cs="Times New Roman"/>
          <w:color w:val="auto"/>
          <w:szCs w:val="24"/>
          <w:lang w:eastAsia="cs-CZ"/>
        </w:rPr>
        <w:t xml:space="preserve">nezbytných pro </w:t>
      </w:r>
      <w:r w:rsidRPr="00760163">
        <w:rPr>
          <w:rFonts w:eastAsia="Times New Roman" w:cs="Times New Roman"/>
          <w:color w:val="auto"/>
          <w:szCs w:val="24"/>
          <w:lang w:eastAsia="cs-CZ"/>
        </w:rPr>
        <w:t>vhodné</w:t>
      </w:r>
      <w:r>
        <w:rPr>
          <w:rFonts w:eastAsia="Times New Roman" w:cs="Times New Roman"/>
          <w:color w:val="auto"/>
          <w:szCs w:val="24"/>
          <w:lang w:eastAsia="cs-CZ"/>
        </w:rPr>
        <w:t xml:space="preserve"> </w:t>
      </w:r>
      <w:r w:rsidRPr="00760163">
        <w:rPr>
          <w:rFonts w:eastAsia="Times New Roman" w:cs="Times New Roman"/>
          <w:color w:val="auto"/>
          <w:szCs w:val="24"/>
          <w:lang w:eastAsia="cs-CZ"/>
        </w:rPr>
        <w:t>rozhod</w:t>
      </w:r>
      <w:r w:rsidR="007143BC">
        <w:rPr>
          <w:rFonts w:eastAsia="Times New Roman" w:cs="Times New Roman"/>
          <w:color w:val="auto"/>
          <w:szCs w:val="24"/>
          <w:lang w:eastAsia="cs-CZ"/>
        </w:rPr>
        <w:t>ování se</w:t>
      </w:r>
      <w:r w:rsidRPr="00760163">
        <w:rPr>
          <w:rFonts w:eastAsia="Times New Roman" w:cs="Times New Roman"/>
          <w:color w:val="auto"/>
          <w:szCs w:val="24"/>
          <w:lang w:eastAsia="cs-CZ"/>
        </w:rPr>
        <w:t xml:space="preserve"> ve </w:t>
      </w:r>
      <w:r w:rsidRPr="00BF1EA4">
        <w:rPr>
          <w:rFonts w:eastAsia="Times New Roman" w:cs="Times New Roman"/>
          <w:color w:val="auto"/>
          <w:szCs w:val="24"/>
          <w:lang w:eastAsia="cs-CZ"/>
        </w:rPr>
        <w:t>zdravotnictví.</w:t>
      </w:r>
      <w:r w:rsidRPr="00760163">
        <w:rPr>
          <w:rFonts w:eastAsia="Times New Roman" w:cs="Times New Roman"/>
          <w:color w:val="auto"/>
          <w:szCs w:val="24"/>
          <w:lang w:eastAsia="cs-CZ"/>
        </w:rPr>
        <w:t xml:space="preserve"> Podobně Kickbusch a Maag navrhují definici ZG jako </w:t>
      </w:r>
      <w:r w:rsidRPr="00760163">
        <w:rPr>
          <w:rFonts w:cs="Times New Roman"/>
          <w:color w:val="auto"/>
          <w:szCs w:val="24"/>
        </w:rPr>
        <w:t>schopnost činit zdravá rozhodnutí v oblasti zdraví v kontextu každodenního života - doma, v komunitě, na pracovišti, ve zdravotnictví</w:t>
      </w:r>
      <w:r w:rsidRPr="009E03BD">
        <w:rPr>
          <w:rFonts w:cs="Times New Roman"/>
          <w:color w:val="auto"/>
          <w:szCs w:val="24"/>
        </w:rPr>
        <w:t>, na trhu a na politické scéně</w:t>
      </w:r>
      <w:r w:rsidRPr="00760163">
        <w:rPr>
          <w:rFonts w:cs="Times New Roman"/>
          <w:color w:val="auto"/>
          <w:szCs w:val="24"/>
        </w:rPr>
        <w:t>.</w:t>
      </w:r>
      <w:r w:rsidRPr="00760163">
        <w:rPr>
          <w:rFonts w:cs="Times New Roman"/>
          <w:color w:val="auto"/>
          <w:szCs w:val="24"/>
          <w:shd w:val="clear" w:color="auto" w:fill="F5F5F5"/>
        </w:rPr>
        <w:t xml:space="preserve"> </w:t>
      </w:r>
      <w:r w:rsidRPr="00760163">
        <w:rPr>
          <w:rFonts w:cs="Times New Roman"/>
          <w:color w:val="auto"/>
          <w:szCs w:val="24"/>
        </w:rPr>
        <w:t>Je to strategie pro posílení postavení, která zvyšuje kontrolu lidí nad jejich zdravím, schopnost vyhledávat informace a schopnost převzít odpovědnost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. </w:t>
      </w:r>
      <w:r w:rsidRPr="00FC0AC6">
        <w:rPr>
          <w:rFonts w:cs="Times New Roman"/>
          <w:color w:val="auto"/>
          <w:szCs w:val="24"/>
          <w:shd w:val="clear" w:color="auto" w:fill="FFFFFF"/>
        </w:rPr>
        <w:t>Kwam a kol. poskytují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podobnou definici, která odkazuje na schopnost lidí vyhledávat, porozumět, hodnotit a předávat informace, tak aby se zapojili do různých </w:t>
      </w:r>
      <w:r w:rsidRPr="00760163">
        <w:rPr>
          <w:rFonts w:cs="Times New Roman"/>
          <w:color w:val="auto"/>
          <w:szCs w:val="24"/>
          <w:shd w:val="clear" w:color="auto" w:fill="FFFFFF"/>
        </w:rPr>
        <w:lastRenderedPageBreak/>
        <w:t xml:space="preserve">životních kontextů na podporu zdraví v průběhu celého života. </w:t>
      </w:r>
      <w:r w:rsidR="009E03BD" w:rsidRPr="009E03BD">
        <w:rPr>
          <w:rFonts w:cs="Times New Roman"/>
          <w:color w:val="auto"/>
          <w:szCs w:val="24"/>
          <w:shd w:val="clear" w:color="auto" w:fill="FFFFFF"/>
        </w:rPr>
        <w:t>Kwam</w:t>
      </w:r>
      <w:r w:rsidR="009E03BD">
        <w:rPr>
          <w:rFonts w:cs="Times New Roman"/>
          <w:color w:val="auto"/>
          <w:szCs w:val="24"/>
          <w:shd w:val="clear" w:color="auto" w:fill="FFFFFF"/>
        </w:rPr>
        <w:t xml:space="preserve"> et al.</w:t>
      </w:r>
      <w:r w:rsidR="009E03BD" w:rsidRPr="009E03BD">
        <w:rPr>
          <w:rFonts w:cs="Times New Roman"/>
          <w:color w:val="auto"/>
          <w:szCs w:val="24"/>
          <w:shd w:val="clear" w:color="auto" w:fill="FFFFFF"/>
        </w:rPr>
        <w:t xml:space="preserve"> d</w:t>
      </w:r>
      <w:r w:rsidRPr="009E03BD">
        <w:rPr>
          <w:rFonts w:cs="Times New Roman"/>
          <w:color w:val="auto"/>
          <w:szCs w:val="24"/>
          <w:shd w:val="clear" w:color="auto" w:fill="FFFFFF"/>
        </w:rPr>
        <w:t>ále zdůrazňuje význam zapojení</w:t>
      </w:r>
      <w:r w:rsidR="007143BC">
        <w:rPr>
          <w:rFonts w:cs="Times New Roman"/>
          <w:color w:val="auto"/>
          <w:szCs w:val="24"/>
          <w:shd w:val="clear" w:color="auto" w:fill="FFFFFF"/>
        </w:rPr>
        <w:t xml:space="preserve"> se</w:t>
      </w:r>
      <w:r w:rsidRPr="009E03BD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9E03BD" w:rsidRPr="009E03BD">
        <w:rPr>
          <w:rFonts w:cs="Times New Roman"/>
          <w:color w:val="auto"/>
          <w:szCs w:val="24"/>
          <w:shd w:val="clear" w:color="auto" w:fill="FFFFFF"/>
        </w:rPr>
        <w:t xml:space="preserve">a vybavení </w:t>
      </w:r>
      <w:r w:rsidRPr="009E03BD">
        <w:rPr>
          <w:rFonts w:cs="Times New Roman"/>
          <w:color w:val="auto"/>
          <w:szCs w:val="24"/>
          <w:shd w:val="clear" w:color="auto" w:fill="FFFFFF"/>
        </w:rPr>
        <w:t>všech stran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9E03BD">
        <w:rPr>
          <w:rFonts w:cs="Times New Roman"/>
          <w:color w:val="auto"/>
          <w:szCs w:val="24"/>
          <w:shd w:val="clear" w:color="auto" w:fill="FFFFFF"/>
        </w:rPr>
        <w:t xml:space="preserve">zapojených </w:t>
      </w:r>
      <w:r w:rsidRPr="00760163">
        <w:rPr>
          <w:rFonts w:cs="Times New Roman"/>
          <w:color w:val="auto"/>
          <w:szCs w:val="24"/>
          <w:shd w:val="clear" w:color="auto" w:fill="FFFFFF"/>
        </w:rPr>
        <w:t xml:space="preserve">do komunikace a rozhodování o zdraví, včetně pacientů, poskytovatelů, pedagogů zdraví a laiků.  Tuto definici doplňuje Zarcadoolas, Pleasant a Greer’s a definují zdravotní gramotnost jako širokou škálu dovedností a kompetencí, které lidi rozvíjejí, aby vyhledávali, porozuměli, hodnotili a využívali informace a koncepce zdraví, aby se mohli informovaně rozhodovat, snižovat zdravotní rizika a zvyšovat kvalitu života </w:t>
      </w:r>
      <w:r w:rsidRPr="00760163">
        <w:rPr>
          <w:color w:val="auto"/>
        </w:rPr>
        <w:t>(</w:t>
      </w:r>
      <w:r w:rsidRPr="00760163">
        <w:rPr>
          <w:rStyle w:val="authorname"/>
          <w:color w:val="auto"/>
        </w:rPr>
        <w:t xml:space="preserve">Sørensen et al., 2017, s. 5-7). </w:t>
      </w:r>
      <w:r w:rsidRPr="00760163">
        <w:rPr>
          <w:rFonts w:eastAsia="Times New Roman" w:cs="Times New Roman"/>
          <w:color w:val="auto"/>
          <w:szCs w:val="24"/>
          <w:lang w:eastAsia="cs-CZ"/>
        </w:rPr>
        <w:t xml:space="preserve">Jelikož existuje mnoho odlišných definic </w:t>
      </w:r>
      <w:r w:rsidRPr="00760163">
        <w:rPr>
          <w:rStyle w:val="authorname"/>
          <w:color w:val="auto"/>
        </w:rPr>
        <w:t xml:space="preserve">o zdravotní gramotnosti Sørensen provedl výzkum týkající se této problematiky. Ve studii provedl výzkum 17 definic, přičemž odvodil, že společným znakem </w:t>
      </w:r>
      <w:r w:rsidRPr="00760163">
        <w:rPr>
          <w:color w:val="auto"/>
        </w:rPr>
        <w:t xml:space="preserve">všech zkoumaných definic je důležité </w:t>
      </w:r>
      <w:r w:rsidR="007143BC">
        <w:rPr>
          <w:color w:val="auto"/>
        </w:rPr>
        <w:t xml:space="preserve">se </w:t>
      </w:r>
      <w:r w:rsidRPr="00760163">
        <w:rPr>
          <w:color w:val="auto"/>
        </w:rPr>
        <w:t xml:space="preserve">zaměřit na individuální schopnosti člověka získávat, chápat a zpracovávat informace o zdraví a o službách potřebných k přijetí vhodných rozhodnutí v oblasti zdraví. Navrhuje tedy definici: zdravotní gramotnost je spojena s gramotností a vyžaduje znalosti, motivaci a schopnosti lidí získat přístup, porozumět, hodnotit a používat informace o zdraví, aby mohli v každodenním životě činit úsudky a přijímat rozhodnutí týkající se zdravotní péče, prevence nemocí a podpory zdraví za účelem udržení nebo zlepšení kvality </w:t>
      </w:r>
      <w:r w:rsidRPr="002A702D">
        <w:rPr>
          <w:color w:val="auto"/>
        </w:rPr>
        <w:t>života</w:t>
      </w:r>
      <w:r w:rsidRPr="00760163">
        <w:rPr>
          <w:color w:val="auto"/>
        </w:rPr>
        <w:t xml:space="preserve"> během životního cyklu</w:t>
      </w:r>
      <w:r>
        <w:rPr>
          <w:color w:val="auto"/>
        </w:rPr>
        <w:t xml:space="preserve"> </w:t>
      </w:r>
      <w:r w:rsidRPr="00760163">
        <w:rPr>
          <w:color w:val="auto"/>
        </w:rPr>
        <w:t>(</w:t>
      </w:r>
      <w:r w:rsidRPr="00760163">
        <w:rPr>
          <w:rStyle w:val="authorname"/>
          <w:color w:val="auto"/>
        </w:rPr>
        <w:t xml:space="preserve">Sørensen et.al., 2012, s. 1-13). </w:t>
      </w:r>
      <w:r>
        <w:t xml:space="preserve">Ačkoliv definice naznačují, že zdravotní gramotnost je vícerozměrný, komplexní heterogenní jev, mohou popisovat různé aspekty stejného jevu (Kendir, 2020, s. 3). </w:t>
      </w:r>
    </w:p>
    <w:p w:rsidR="00177B21" w:rsidRPr="002A702D" w:rsidRDefault="00177B21" w:rsidP="00C800E7">
      <w:pPr>
        <w:pStyle w:val="Bezmezer"/>
        <w:spacing w:line="360" w:lineRule="auto"/>
      </w:pPr>
    </w:p>
    <w:p w:rsidR="00177B21" w:rsidRPr="00460522" w:rsidRDefault="00177B21" w:rsidP="00C800E7">
      <w:pPr>
        <w:pStyle w:val="Bezmezer"/>
        <w:spacing w:line="360" w:lineRule="auto"/>
        <w:ind w:firstLine="360"/>
        <w:jc w:val="both"/>
        <w:rPr>
          <w:b/>
          <w:bCs/>
          <w:color w:val="FF0000"/>
          <w:szCs w:val="24"/>
        </w:rPr>
      </w:pPr>
      <w:r w:rsidRPr="002A702D">
        <w:t>Modely zdravotní gramotnosti</w:t>
      </w:r>
    </w:p>
    <w:p w:rsidR="00177B21" w:rsidRDefault="00177B21" w:rsidP="00C800E7">
      <w:pPr>
        <w:spacing w:before="30" w:line="360" w:lineRule="auto"/>
        <w:ind w:firstLine="360"/>
        <w:jc w:val="both"/>
      </w:pPr>
      <w:r>
        <w:t>Modely zdravotní gramotnosti slouží k jednoduššímu pochopení komponentů zdravotní gramotnosti. Mezi nejčastěji zmiňovaný model zdravotní gramotnosti patří model od Nudbeama. Vznikl v roce 2000 a lze ho rozdělit do 3 úrovní – funkční, interaktivní a kritické zdravotní gramotnosti</w:t>
      </w:r>
      <w:r w:rsidR="007143BC">
        <w:t>.</w:t>
      </w:r>
    </w:p>
    <w:p w:rsidR="00177B21" w:rsidRPr="00B16083" w:rsidRDefault="00177B21" w:rsidP="00C800E7">
      <w:pPr>
        <w:pStyle w:val="Odstavecseseznamem"/>
        <w:numPr>
          <w:ilvl w:val="0"/>
          <w:numId w:val="5"/>
        </w:numPr>
        <w:spacing w:before="30" w:line="360" w:lineRule="auto"/>
        <w:jc w:val="both"/>
      </w:pPr>
      <w:r w:rsidRPr="00B16083">
        <w:t>Funkční zdravotní gramotnost</w:t>
      </w:r>
      <w:r>
        <w:t xml:space="preserve"> – je zaměřena na výchovu </w:t>
      </w:r>
      <w:r w:rsidRPr="00FC0AC6">
        <w:t>ke zdraví</w:t>
      </w:r>
      <w:r w:rsidRPr="0018086C">
        <w:t>, kte</w:t>
      </w:r>
      <w:r>
        <w:t>rá spočívá v poskytování informací o rizikových faktorech a orientaci ve zdravotnickém systému. Cílem je vést lidi ke zdraví a prohlubovat u nich tak znalosti spojené se zdravím (Holčík, 2010, s. 159). Nutbeam uvádí, že základní dovedností v oblasti funkční zdravotní gramotnosti je</w:t>
      </w:r>
      <w:r w:rsidRPr="00B569D0">
        <w:t xml:space="preserve"> </w:t>
      </w:r>
      <w:r>
        <w:t xml:space="preserve">možnost lidí </w:t>
      </w:r>
      <w:r w:rsidRPr="005A1800">
        <w:t xml:space="preserve">lépe rozvíjet své znalosti a zlepšovat potenciál k dosažení osobních cílů, </w:t>
      </w:r>
      <w:r w:rsidR="007143BC">
        <w:t xml:space="preserve">čímž </w:t>
      </w:r>
      <w:r w:rsidRPr="005A1800">
        <w:t>se více zapoj</w:t>
      </w:r>
      <w:r w:rsidR="007143BC">
        <w:t>í</w:t>
      </w:r>
      <w:r w:rsidRPr="005A1800">
        <w:t xml:space="preserve"> do společnosti, a to jak ekonomicky</w:t>
      </w:r>
      <w:r>
        <w:t xml:space="preserve">, tak i </w:t>
      </w:r>
      <w:r w:rsidRPr="005A1800">
        <w:t>sociálně</w:t>
      </w:r>
      <w:r>
        <w:t xml:space="preserve">. </w:t>
      </w:r>
      <w:r w:rsidRPr="0018086C">
        <w:rPr>
          <w:rStyle w:val="authorname"/>
          <w:szCs w:val="24"/>
        </w:rPr>
        <w:t xml:space="preserve">(Nutbeam, s. 303, 2009). </w:t>
      </w:r>
      <w:r>
        <w:t xml:space="preserve">Aby se mohla funkční zdravotní gramotnost lépe šířit, slouží k tomu například </w:t>
      </w:r>
      <w:r w:rsidRPr="0018086C">
        <w:t>formuláře</w:t>
      </w:r>
      <w:r>
        <w:t xml:space="preserve"> informovaných souhlasů, informační letáky, nebo také příbalové informace u léků </w:t>
      </w:r>
      <w:r w:rsidRPr="0018086C">
        <w:rPr>
          <w:rFonts w:eastAsia="Times New Roman" w:cs="Times New Roman"/>
          <w:color w:val="000000"/>
          <w:szCs w:val="24"/>
          <w:lang w:eastAsia="cs-CZ"/>
        </w:rPr>
        <w:t>(Rademkers, 2018, s. 1)</w:t>
      </w:r>
    </w:p>
    <w:p w:rsidR="00177B21" w:rsidRPr="00B16083" w:rsidRDefault="00177B21" w:rsidP="00C800E7">
      <w:pPr>
        <w:pStyle w:val="Odstavecseseznamem"/>
        <w:numPr>
          <w:ilvl w:val="0"/>
          <w:numId w:val="5"/>
        </w:numPr>
        <w:spacing w:before="30" w:line="360" w:lineRule="auto"/>
        <w:jc w:val="both"/>
      </w:pPr>
      <w:r w:rsidRPr="00B16083">
        <w:lastRenderedPageBreak/>
        <w:t>Interaktivní zdravotní gramotnost</w:t>
      </w:r>
      <w:r>
        <w:t>-</w:t>
      </w:r>
      <w:r w:rsidR="005A259C">
        <w:t xml:space="preserve"> </w:t>
      </w:r>
      <w:r w:rsidRPr="0018086C">
        <w:rPr>
          <w:rStyle w:val="authorname"/>
          <w:szCs w:val="24"/>
        </w:rPr>
        <w:t xml:space="preserve">je rozvíjena vzdělávacími zařízeními a zdravotníky (Hamplová, 2019, s. 89). Zdravotničtí pracovníci by však měli </w:t>
      </w:r>
      <w:r>
        <w:rPr>
          <w:rStyle w:val="authorname"/>
          <w:szCs w:val="24"/>
        </w:rPr>
        <w:t>být</w:t>
      </w:r>
      <w:r w:rsidRPr="0018086C">
        <w:rPr>
          <w:rStyle w:val="authorname"/>
          <w:szCs w:val="24"/>
        </w:rPr>
        <w:t xml:space="preserve"> jako konzultanti. Přínosem je zejména </w:t>
      </w:r>
      <w:r>
        <w:t xml:space="preserve">samostatnost lidí jednat za sebe, spíše se snažit u nich posilovat motivaci a odpovědnost za dodržování pokynů od zdravotníků (Holčík, 2010, s. 159). </w:t>
      </w:r>
    </w:p>
    <w:p w:rsidR="00177B21" w:rsidRPr="0018086C" w:rsidRDefault="00177B21" w:rsidP="00C800E7">
      <w:pPr>
        <w:pStyle w:val="Odstavecseseznamem"/>
        <w:numPr>
          <w:ilvl w:val="0"/>
          <w:numId w:val="5"/>
        </w:numPr>
        <w:spacing w:before="30" w:line="360" w:lineRule="auto"/>
        <w:jc w:val="both"/>
        <w:rPr>
          <w:rStyle w:val="authorname"/>
        </w:rPr>
      </w:pPr>
      <w:r w:rsidRPr="00B16083">
        <w:t>Kritick</w:t>
      </w:r>
      <w:r>
        <w:t>á</w:t>
      </w:r>
      <w:r w:rsidRPr="00B16083">
        <w:t xml:space="preserve"> zdravotní gramotnost</w:t>
      </w:r>
      <w:r>
        <w:t>-</w:t>
      </w:r>
      <w:r>
        <w:rPr>
          <w:rStyle w:val="authorname"/>
          <w:szCs w:val="24"/>
        </w:rPr>
        <w:t xml:space="preserve"> je zaměřena na</w:t>
      </w:r>
      <w:r w:rsidR="008F03BA">
        <w:rPr>
          <w:rStyle w:val="authorname"/>
          <w:szCs w:val="24"/>
        </w:rPr>
        <w:t xml:space="preserve"> schopnosti</w:t>
      </w:r>
      <w:r>
        <w:rPr>
          <w:rStyle w:val="authorname"/>
          <w:szCs w:val="24"/>
        </w:rPr>
        <w:t xml:space="preserve"> vystupování a působení </w:t>
      </w:r>
      <w:r w:rsidRPr="00FC0AC6">
        <w:rPr>
          <w:rStyle w:val="authorname"/>
          <w:szCs w:val="24"/>
        </w:rPr>
        <w:t>jednotlivců</w:t>
      </w:r>
      <w:r w:rsidR="008C1B8F">
        <w:rPr>
          <w:rStyle w:val="authorname"/>
          <w:szCs w:val="24"/>
        </w:rPr>
        <w:t>. S</w:t>
      </w:r>
      <w:r w:rsidR="008F03BA">
        <w:rPr>
          <w:rStyle w:val="authorname"/>
          <w:szCs w:val="24"/>
        </w:rPr>
        <w:t>myslem je</w:t>
      </w:r>
      <w:r w:rsidR="008C1B8F">
        <w:rPr>
          <w:rStyle w:val="authorname"/>
          <w:szCs w:val="24"/>
        </w:rPr>
        <w:t>,</w:t>
      </w:r>
      <w:r w:rsidR="001C74DE">
        <w:rPr>
          <w:rStyle w:val="authorname"/>
          <w:szCs w:val="24"/>
        </w:rPr>
        <w:t xml:space="preserve"> aby se podíleli </w:t>
      </w:r>
      <w:r w:rsidR="001C74DE" w:rsidRPr="001C74DE">
        <w:rPr>
          <w:rStyle w:val="authorname"/>
          <w:szCs w:val="24"/>
        </w:rPr>
        <w:t>na</w:t>
      </w:r>
      <w:r w:rsidRPr="001C74DE">
        <w:rPr>
          <w:rStyle w:val="authorname"/>
          <w:szCs w:val="24"/>
        </w:rPr>
        <w:t xml:space="preserve"> vytváře</w:t>
      </w:r>
      <w:r w:rsidR="001C74DE" w:rsidRPr="001C74DE">
        <w:rPr>
          <w:rStyle w:val="authorname"/>
          <w:szCs w:val="24"/>
        </w:rPr>
        <w:t>ní</w:t>
      </w:r>
      <w:r w:rsidRPr="001C74DE">
        <w:rPr>
          <w:rStyle w:val="authorname"/>
          <w:szCs w:val="24"/>
        </w:rPr>
        <w:t xml:space="preserve"> zdravotně</w:t>
      </w:r>
      <w:r>
        <w:rPr>
          <w:rStyle w:val="authorname"/>
          <w:szCs w:val="24"/>
        </w:rPr>
        <w:t xml:space="preserve"> přijatelné</w:t>
      </w:r>
      <w:r w:rsidR="001C74DE">
        <w:rPr>
          <w:rStyle w:val="authorname"/>
          <w:szCs w:val="24"/>
        </w:rPr>
        <w:t>ho</w:t>
      </w:r>
      <w:r>
        <w:rPr>
          <w:rStyle w:val="authorname"/>
          <w:szCs w:val="24"/>
        </w:rPr>
        <w:t xml:space="preserve"> sociální</w:t>
      </w:r>
      <w:r w:rsidR="001C74DE">
        <w:rPr>
          <w:rStyle w:val="authorname"/>
          <w:szCs w:val="24"/>
        </w:rPr>
        <w:t>ho</w:t>
      </w:r>
      <w:r>
        <w:rPr>
          <w:rStyle w:val="authorname"/>
          <w:szCs w:val="24"/>
        </w:rPr>
        <w:t xml:space="preserve"> prostředí</w:t>
      </w:r>
      <w:r w:rsidR="008C1B8F">
        <w:rPr>
          <w:rStyle w:val="authorname"/>
          <w:szCs w:val="24"/>
        </w:rPr>
        <w:t>. Z</w:t>
      </w:r>
      <w:r>
        <w:rPr>
          <w:rStyle w:val="authorname"/>
          <w:szCs w:val="24"/>
        </w:rPr>
        <w:t>ahrnuje tedy schopnost</w:t>
      </w:r>
      <w:r w:rsidR="001C74DE">
        <w:rPr>
          <w:rStyle w:val="authorname"/>
          <w:szCs w:val="24"/>
        </w:rPr>
        <w:t>i</w:t>
      </w:r>
      <w:r>
        <w:rPr>
          <w:rStyle w:val="authorname"/>
          <w:szCs w:val="24"/>
        </w:rPr>
        <w:t xml:space="preserve"> lidí </w:t>
      </w:r>
      <w:r w:rsidRPr="001C74DE">
        <w:rPr>
          <w:rStyle w:val="authorname"/>
          <w:szCs w:val="24"/>
        </w:rPr>
        <w:t>orientovat se ve zdravotnických informacích, které jsou obsaženy v</w:t>
      </w:r>
      <w:r w:rsidR="001C74DE">
        <w:rPr>
          <w:rStyle w:val="authorname"/>
          <w:szCs w:val="24"/>
        </w:rPr>
        <w:t> </w:t>
      </w:r>
      <w:r w:rsidRPr="001C74DE">
        <w:rPr>
          <w:rStyle w:val="authorname"/>
          <w:szCs w:val="24"/>
        </w:rPr>
        <w:t>médiích</w:t>
      </w:r>
      <w:r w:rsidR="001C74DE">
        <w:rPr>
          <w:rStyle w:val="authorname"/>
          <w:szCs w:val="24"/>
        </w:rPr>
        <w:t>, nazýváno jako mediální gramotnost</w:t>
      </w:r>
      <w:r w:rsidRPr="0018086C">
        <w:rPr>
          <w:rStyle w:val="authorname"/>
          <w:szCs w:val="24"/>
        </w:rPr>
        <w:t xml:space="preserve"> (Hamplová, 2019, s.89). Je tedy důležité, aby lidé byli schopni navrhnout a posoudit opatření, kter</w:t>
      </w:r>
      <w:r w:rsidR="008C1B8F">
        <w:rPr>
          <w:rStyle w:val="authorname"/>
          <w:szCs w:val="24"/>
        </w:rPr>
        <w:t>á</w:t>
      </w:r>
      <w:r w:rsidR="001C74DE">
        <w:rPr>
          <w:rStyle w:val="authorname"/>
          <w:szCs w:val="24"/>
        </w:rPr>
        <w:t xml:space="preserve"> ovlivňují sociální, ekonomické a další determinanty zdraví </w:t>
      </w:r>
      <w:r w:rsidR="008C1B8F">
        <w:rPr>
          <w:rStyle w:val="authorname"/>
          <w:szCs w:val="24"/>
        </w:rPr>
        <w:t>a</w:t>
      </w:r>
      <w:r w:rsidR="001C74DE">
        <w:rPr>
          <w:rStyle w:val="authorname"/>
          <w:szCs w:val="24"/>
        </w:rPr>
        <w:t xml:space="preserve"> životní prostředí</w:t>
      </w:r>
      <w:r w:rsidRPr="0018086C">
        <w:rPr>
          <w:rStyle w:val="authorname"/>
          <w:szCs w:val="24"/>
        </w:rPr>
        <w:t xml:space="preserve"> (Holčík, 2010, s.160).</w:t>
      </w:r>
    </w:p>
    <w:p w:rsidR="00177B21" w:rsidRPr="00440135" w:rsidRDefault="00177B21" w:rsidP="00C800E7">
      <w:pPr>
        <w:spacing w:before="30" w:line="360" w:lineRule="auto"/>
        <w:ind w:left="360" w:firstLine="348"/>
        <w:jc w:val="both"/>
        <w:rPr>
          <w:rStyle w:val="authorname"/>
        </w:rPr>
      </w:pPr>
      <w:r w:rsidRPr="003813E1">
        <w:rPr>
          <w:rStyle w:val="authorname"/>
        </w:rPr>
        <w:t>F</w:t>
      </w:r>
      <w:r>
        <w:rPr>
          <w:rStyle w:val="authorname"/>
        </w:rPr>
        <w:t>r</w:t>
      </w:r>
      <w:r w:rsidRPr="003813E1">
        <w:rPr>
          <w:rStyle w:val="authorname"/>
        </w:rPr>
        <w:t xml:space="preserve">eedman uvádí </w:t>
      </w:r>
      <w:r w:rsidRPr="0018086C">
        <w:rPr>
          <w:rStyle w:val="authorname"/>
        </w:rPr>
        <w:t>další model</w:t>
      </w:r>
      <w:r w:rsidRPr="003813E1">
        <w:rPr>
          <w:rStyle w:val="authorname"/>
        </w:rPr>
        <w:t xml:space="preserve"> zdravotní gramotnosti v oblasti veřejného zdraví, </w:t>
      </w:r>
      <w:r w:rsidRPr="009B6E36">
        <w:rPr>
          <w:rStyle w:val="authorname"/>
        </w:rPr>
        <w:t xml:space="preserve">který </w:t>
      </w:r>
      <w:r w:rsidRPr="00440135">
        <w:rPr>
          <w:rStyle w:val="authorname"/>
        </w:rPr>
        <w:t>obsahuje 3 rozměry</w:t>
      </w:r>
      <w:r w:rsidR="00440135" w:rsidRPr="00440135">
        <w:rPr>
          <w:rStyle w:val="authorname"/>
        </w:rPr>
        <w:t xml:space="preserve"> ZG</w:t>
      </w:r>
      <w:r w:rsidRPr="00440135">
        <w:rPr>
          <w:rStyle w:val="authorname"/>
        </w:rPr>
        <w:t xml:space="preserve"> a každý obsahuje různé kompetence:</w:t>
      </w:r>
    </w:p>
    <w:p w:rsidR="00177B21" w:rsidRPr="00440135" w:rsidRDefault="00177B21" w:rsidP="00C800E7">
      <w:pPr>
        <w:pStyle w:val="Odstavecseseznamem"/>
        <w:numPr>
          <w:ilvl w:val="0"/>
          <w:numId w:val="6"/>
        </w:numPr>
        <w:spacing w:before="30" w:line="360" w:lineRule="auto"/>
        <w:jc w:val="both"/>
        <w:rPr>
          <w:rStyle w:val="authorname"/>
        </w:rPr>
      </w:pPr>
      <w:r w:rsidRPr="00440135">
        <w:rPr>
          <w:rStyle w:val="authorname"/>
        </w:rPr>
        <w:t xml:space="preserve">Koncepční základy: zde jsou zahrnuty informace, které jsou potřebné k porozumění a jednání ve veřejném zdraví. </w:t>
      </w:r>
      <w:r w:rsidR="00440135" w:rsidRPr="00440135">
        <w:rPr>
          <w:rStyle w:val="authorname"/>
        </w:rPr>
        <w:t xml:space="preserve">Jednotlivci nebo skupiny by měli umět prokázat schopnost diskutovat o konceptech veřejného zdraví. </w:t>
      </w:r>
    </w:p>
    <w:p w:rsidR="00177B21" w:rsidRPr="00E96B36" w:rsidRDefault="00177B21" w:rsidP="00C800E7">
      <w:pPr>
        <w:pStyle w:val="Odstavecseseznamem"/>
        <w:numPr>
          <w:ilvl w:val="0"/>
          <w:numId w:val="6"/>
        </w:numPr>
        <w:spacing w:before="30" w:line="360" w:lineRule="auto"/>
        <w:jc w:val="both"/>
        <w:rPr>
          <w:rStyle w:val="authorname"/>
        </w:rPr>
      </w:pPr>
      <w:r w:rsidRPr="00E96B36">
        <w:rPr>
          <w:rStyle w:val="authorname"/>
        </w:rPr>
        <w:t>Kritické dovednosti: zahrnuj</w:t>
      </w:r>
      <w:r w:rsidR="00440135" w:rsidRPr="00E96B36">
        <w:rPr>
          <w:rStyle w:val="authorname"/>
        </w:rPr>
        <w:t>í</w:t>
      </w:r>
      <w:r w:rsidRPr="00E96B36">
        <w:rPr>
          <w:rStyle w:val="authorname"/>
        </w:rPr>
        <w:t xml:space="preserve"> nezbytné dovednosti, které </w:t>
      </w:r>
      <w:r w:rsidR="00E96B36" w:rsidRPr="00E96B36">
        <w:rPr>
          <w:rStyle w:val="authorname"/>
        </w:rPr>
        <w:t xml:space="preserve">jsou potřebné k získávání, zpracovávání, vyhodnocování a jednání informací o veřejném zdraví, </w:t>
      </w:r>
      <w:r w:rsidRPr="00E96B36">
        <w:rPr>
          <w:rStyle w:val="authorname"/>
        </w:rPr>
        <w:t>tak</w:t>
      </w:r>
      <w:r w:rsidR="00E96B36" w:rsidRPr="00E96B36">
        <w:rPr>
          <w:rStyle w:val="authorname"/>
        </w:rPr>
        <w:t xml:space="preserve"> aby občané činili</w:t>
      </w:r>
      <w:r w:rsidRPr="00E96B36">
        <w:rPr>
          <w:rStyle w:val="authorname"/>
        </w:rPr>
        <w:t xml:space="preserve"> správn</w:t>
      </w:r>
      <w:r w:rsidR="00E96B36" w:rsidRPr="00E96B36">
        <w:rPr>
          <w:rStyle w:val="authorname"/>
        </w:rPr>
        <w:t>á</w:t>
      </w:r>
      <w:r w:rsidRPr="00E96B36">
        <w:rPr>
          <w:rStyle w:val="authorname"/>
        </w:rPr>
        <w:t xml:space="preserve"> rozhodnutí v oblasti veřejného zdraví</w:t>
      </w:r>
      <w:r w:rsidR="00E96B36" w:rsidRPr="00E96B36">
        <w:rPr>
          <w:rStyle w:val="authorname"/>
        </w:rPr>
        <w:t xml:space="preserve">, které jsou </w:t>
      </w:r>
      <w:r w:rsidRPr="00E96B36">
        <w:rPr>
          <w:rStyle w:val="authorname"/>
        </w:rPr>
        <w:t>pro</w:t>
      </w:r>
      <w:r w:rsidR="00E96B36" w:rsidRPr="00E96B36">
        <w:rPr>
          <w:rStyle w:val="authorname"/>
        </w:rPr>
        <w:t>spěšné pro</w:t>
      </w:r>
      <w:r w:rsidRPr="00E96B36">
        <w:rPr>
          <w:rStyle w:val="authorname"/>
        </w:rPr>
        <w:t xml:space="preserve"> komunitu.</w:t>
      </w:r>
      <w:r w:rsidR="00E96B36">
        <w:rPr>
          <w:rStyle w:val="authorname"/>
        </w:rPr>
        <w:t xml:space="preserve"> Jednotlivec nebo skupina by měli umět získat, hodnotit a využívat informace o veřejném zdraví</w:t>
      </w:r>
      <w:r w:rsidR="003B3422">
        <w:rPr>
          <w:rStyle w:val="authorname"/>
        </w:rPr>
        <w:t xml:space="preserve"> z různých zdrojů.</w:t>
      </w:r>
    </w:p>
    <w:p w:rsidR="00177B21" w:rsidRPr="003B3422" w:rsidRDefault="00177B21" w:rsidP="00C800E7">
      <w:pPr>
        <w:pStyle w:val="Odstavecseseznamem"/>
        <w:numPr>
          <w:ilvl w:val="0"/>
          <w:numId w:val="6"/>
        </w:numPr>
        <w:spacing w:before="30" w:line="360" w:lineRule="auto"/>
        <w:jc w:val="both"/>
        <w:rPr>
          <w:rStyle w:val="authorname"/>
        </w:rPr>
      </w:pPr>
      <w:r w:rsidRPr="003B3422">
        <w:rPr>
          <w:rStyle w:val="authorname"/>
        </w:rPr>
        <w:t>Občanská orientace: jejím obsahem jsou dovednosti a zdroje, které jsou potřebné pro řešení zdravotních problémů prostřednictvím občanského zapojení</w:t>
      </w:r>
      <w:r w:rsidR="003B3422" w:rsidRPr="003B3422">
        <w:rPr>
          <w:rStyle w:val="authorname"/>
        </w:rPr>
        <w:t>. Jednotlivec nebo skupina by měli být schopni vyjádřit, řešit, vyhodnotit a sdělit problémy veřejného zdraví prostřednictvím občanských akcí</w:t>
      </w:r>
      <w:r w:rsidRPr="003B3422">
        <w:rPr>
          <w:rStyle w:val="authorname"/>
        </w:rPr>
        <w:t xml:space="preserve"> (Freedman et al., 2009, s. 448).</w:t>
      </w:r>
    </w:p>
    <w:p w:rsidR="00177B21" w:rsidRDefault="00177B21" w:rsidP="00C800E7">
      <w:pPr>
        <w:spacing w:before="30" w:line="360" w:lineRule="auto"/>
        <w:ind w:firstLine="360"/>
        <w:jc w:val="both"/>
        <w:rPr>
          <w:rStyle w:val="authorname"/>
        </w:rPr>
      </w:pPr>
      <w:r w:rsidRPr="009B6E36">
        <w:rPr>
          <w:rStyle w:val="authorname"/>
        </w:rPr>
        <w:t>Významný</w:t>
      </w:r>
      <w:r>
        <w:rPr>
          <w:rStyle w:val="authorname"/>
        </w:rPr>
        <w:t xml:space="preserve"> model zdravotní gramotnosti uvedlo </w:t>
      </w:r>
      <w:r w:rsidRPr="009B6E36">
        <w:rPr>
          <w:rStyle w:val="authorname"/>
        </w:rPr>
        <w:t>Americké ministerstvo zdravotnictví</w:t>
      </w:r>
      <w:r>
        <w:rPr>
          <w:rStyle w:val="authorname"/>
        </w:rPr>
        <w:t xml:space="preserve">, které </w:t>
      </w:r>
      <w:r w:rsidR="00106E52" w:rsidRPr="00106E52">
        <w:rPr>
          <w:rStyle w:val="authorname"/>
        </w:rPr>
        <w:t>dělí</w:t>
      </w:r>
      <w:r w:rsidRPr="00106E52">
        <w:rPr>
          <w:rStyle w:val="authorname"/>
        </w:rPr>
        <w:t xml:space="preserve"> zdravotnické informace</w:t>
      </w:r>
      <w:r>
        <w:rPr>
          <w:rStyle w:val="authorname"/>
        </w:rPr>
        <w:t xml:space="preserve"> do tří základních skupin: </w:t>
      </w:r>
    </w:p>
    <w:p w:rsidR="00177B21" w:rsidRDefault="00177B21" w:rsidP="00C800E7">
      <w:pPr>
        <w:pStyle w:val="Odstavecseseznamem"/>
        <w:numPr>
          <w:ilvl w:val="0"/>
          <w:numId w:val="7"/>
        </w:numPr>
        <w:spacing w:before="30" w:line="360" w:lineRule="auto"/>
        <w:jc w:val="both"/>
        <w:rPr>
          <w:rStyle w:val="authorname"/>
        </w:rPr>
      </w:pPr>
      <w:r>
        <w:rPr>
          <w:rStyle w:val="authorname"/>
        </w:rPr>
        <w:t>Osobní zdravotní dimenze – jsou to informace, které napomáhají jedinci k ochraně, upevňování zdraví a rozhodování se ve zdravotnickém systému.</w:t>
      </w:r>
    </w:p>
    <w:p w:rsidR="00177B21" w:rsidRDefault="00177B21" w:rsidP="00C800E7">
      <w:pPr>
        <w:pStyle w:val="Odstavecseseznamem"/>
        <w:numPr>
          <w:ilvl w:val="0"/>
          <w:numId w:val="7"/>
        </w:numPr>
        <w:spacing w:before="30" w:line="360" w:lineRule="auto"/>
        <w:jc w:val="both"/>
        <w:rPr>
          <w:rStyle w:val="authorname"/>
        </w:rPr>
      </w:pPr>
      <w:r>
        <w:rPr>
          <w:rStyle w:val="authorname"/>
        </w:rPr>
        <w:t>Zdravotní dimenze – informace sloužící zdravotnickým pracovníkům ke zvyšování kvality a hospodárnosti při poskytování zdravotních služeb.</w:t>
      </w:r>
    </w:p>
    <w:p w:rsidR="008C1B8F" w:rsidRDefault="00177B21" w:rsidP="00C800E7">
      <w:pPr>
        <w:pStyle w:val="Bezmezer"/>
        <w:numPr>
          <w:ilvl w:val="0"/>
          <w:numId w:val="7"/>
        </w:numPr>
        <w:spacing w:line="360" w:lineRule="auto"/>
        <w:jc w:val="both"/>
        <w:rPr>
          <w:rStyle w:val="authorname"/>
          <w:color w:val="auto"/>
        </w:rPr>
      </w:pPr>
      <w:r>
        <w:rPr>
          <w:rStyle w:val="authorname"/>
        </w:rPr>
        <w:lastRenderedPageBreak/>
        <w:t>Populační dimenze – obsahem jsou informace pro širokou veřejnost, zde jsou zahrnuty údaje o stavu populace a jejich zdraví, dále pak determinanty zdraví a možnosti, jak zlepšit zdraví (Holčík, 2010, s. 162</w:t>
      </w:r>
      <w:r>
        <w:rPr>
          <w:rStyle w:val="authorname"/>
          <w:color w:val="auto"/>
        </w:rPr>
        <w:t>).</w:t>
      </w:r>
    </w:p>
    <w:p w:rsidR="00177B21" w:rsidRPr="008C1B8F" w:rsidRDefault="008C1B8F" w:rsidP="008C1B8F">
      <w:pPr>
        <w:pStyle w:val="Bezmezer"/>
        <w:rPr>
          <w:rStyle w:val="authorname"/>
          <w:color w:val="auto"/>
        </w:rPr>
      </w:pPr>
      <w:r>
        <w:rPr>
          <w:rStyle w:val="authorname"/>
          <w:color w:val="auto"/>
        </w:rPr>
        <w:br w:type="page"/>
      </w:r>
    </w:p>
    <w:p w:rsidR="00E11937" w:rsidRPr="00E56290" w:rsidRDefault="009B6E36" w:rsidP="00C800E7">
      <w:pPr>
        <w:pStyle w:val="Nadpis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4437060"/>
      <w:bookmarkEnd w:id="4"/>
      <w:r w:rsidRPr="00E1193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2.1 Zdravotní gramotnost dospělé populace</w:t>
      </w:r>
      <w:bookmarkEnd w:id="5"/>
    </w:p>
    <w:p w:rsidR="002305ED" w:rsidRDefault="00F42015" w:rsidP="00C800E7">
      <w:pPr>
        <w:spacing w:line="360" w:lineRule="auto"/>
        <w:ind w:firstLine="708"/>
        <w:jc w:val="both"/>
        <w:rPr>
          <w:color w:val="FF0000"/>
        </w:rPr>
      </w:pPr>
      <w:r w:rsidRPr="00FB78E2">
        <w:t xml:space="preserve">S vývojem vědy a techniky vzniká </w:t>
      </w:r>
      <w:r w:rsidR="00177B21">
        <w:t xml:space="preserve">ve zdravotnictví </w:t>
      </w:r>
      <w:r w:rsidRPr="00FB78E2">
        <w:t>spous</w:t>
      </w:r>
      <w:r>
        <w:t>ta</w:t>
      </w:r>
      <w:r w:rsidRPr="00FB78E2">
        <w:t xml:space="preserve"> </w:t>
      </w:r>
      <w:r w:rsidRPr="00177B21">
        <w:t>nových informací</w:t>
      </w:r>
      <w:r w:rsidRPr="00FB78E2">
        <w:t>, které ovlivňují náš každodenní život</w:t>
      </w:r>
      <w:r>
        <w:t>,</w:t>
      </w:r>
      <w:r w:rsidRPr="00FB78E2">
        <w:t xml:space="preserve"> proto je důležité,</w:t>
      </w:r>
      <w:r w:rsidR="008C1B8F">
        <w:t xml:space="preserve"> abychom</w:t>
      </w:r>
      <w:r w:rsidRPr="00FB78E2">
        <w:t xml:space="preserve"> </w:t>
      </w:r>
      <w:r>
        <w:t xml:space="preserve">si </w:t>
      </w:r>
      <w:r w:rsidR="008253F6">
        <w:t>v relativně krátkém čase a v určité kvalitě</w:t>
      </w:r>
      <w:r>
        <w:t xml:space="preserve"> nově </w:t>
      </w:r>
      <w:r w:rsidRPr="008253F6">
        <w:t>vzniklé informace</w:t>
      </w:r>
      <w:r>
        <w:t xml:space="preserve"> osvoj</w:t>
      </w:r>
      <w:r w:rsidR="008253F6">
        <w:t>ova</w:t>
      </w:r>
      <w:r w:rsidR="008C1B8F">
        <w:t>li</w:t>
      </w:r>
      <w:r w:rsidR="008253F6">
        <w:t xml:space="preserve">, abychom mohli </w:t>
      </w:r>
      <w:r w:rsidRPr="008253F6">
        <w:t>optimáln</w:t>
      </w:r>
      <w:r w:rsidR="008253F6" w:rsidRPr="008253F6">
        <w:t>ě</w:t>
      </w:r>
      <w:r w:rsidRPr="008253F6">
        <w:t xml:space="preserve"> fungov</w:t>
      </w:r>
      <w:r w:rsidR="008253F6" w:rsidRPr="008253F6">
        <w:t>at</w:t>
      </w:r>
      <w:r w:rsidR="00177B21">
        <w:t xml:space="preserve"> v každodenním životě</w:t>
      </w:r>
      <w:r w:rsidR="008253F6">
        <w:t xml:space="preserve"> </w:t>
      </w:r>
      <w:r w:rsidRPr="00FB78E2">
        <w:t>(Dingová a Jakubcová, 2011, s. 34).</w:t>
      </w:r>
      <w:r>
        <w:t xml:space="preserve"> </w:t>
      </w:r>
      <w:r w:rsidR="00156CBE">
        <w:t>V</w:t>
      </w:r>
      <w:r w:rsidR="00F53459">
        <w:t xml:space="preserve"> dnešní moderní společnosti a složitém zdravotnickém systému jsou lidé stále více </w:t>
      </w:r>
      <w:r w:rsidR="00F53459" w:rsidRPr="008253F6">
        <w:t>vyz</w:t>
      </w:r>
      <w:r w:rsidR="008C1B8F">
        <w:t>ý</w:t>
      </w:r>
      <w:r w:rsidR="00F53459" w:rsidRPr="008253F6">
        <w:t>váni</w:t>
      </w:r>
      <w:r w:rsidR="008253F6">
        <w:t xml:space="preserve"> k tomu</w:t>
      </w:r>
      <w:r w:rsidR="00F53459">
        <w:t>, aby svůj osobní i rodinný život vedli zdravým životním stylem, který podporuje zlepšení zdraví, což je velice obtížné i pro vzdělané lidi (Kickbusch et al., 2013, s.1). Většina lidí totiž tímto stylem nežije</w:t>
      </w:r>
      <w:r w:rsidR="008C1B8F">
        <w:t>. D</w:t>
      </w:r>
      <w:r w:rsidR="00F53459">
        <w:t>okazuje to vysoká spotřeba cigaret</w:t>
      </w:r>
      <w:r w:rsidR="00695535">
        <w:t>,</w:t>
      </w:r>
      <w:r w:rsidR="00F53459">
        <w:t xml:space="preserve"> alkoholu, výskyt drogově závislých, nesprávné stravování a s tím spojené vysoké procento obézních lidí (Holčík, 2014, s. 143). To vše svědčí o nízké úrovni zdravotní gramotnosti, která vede k</w:t>
      </w:r>
      <w:r w:rsidR="008D7DB1">
        <w:t> vyššímu výskytu život ohrožujících stavů, celkově</w:t>
      </w:r>
      <w:r w:rsidR="00F53459">
        <w:t xml:space="preserve"> </w:t>
      </w:r>
      <w:r w:rsidR="008D7DB1">
        <w:t xml:space="preserve">horšímu </w:t>
      </w:r>
      <w:r w:rsidR="00F53459">
        <w:t>zdravotnímu stavu</w:t>
      </w:r>
      <w:r w:rsidR="00C604A1">
        <w:t xml:space="preserve">, </w:t>
      </w:r>
      <w:r w:rsidR="00F53459">
        <w:t>následně</w:t>
      </w:r>
      <w:r w:rsidR="00C604A1">
        <w:t xml:space="preserve"> k</w:t>
      </w:r>
      <w:r w:rsidR="00F53459">
        <w:t xml:space="preserve"> hospitalizacím </w:t>
      </w:r>
      <w:bookmarkStart w:id="6" w:name="_Hlk41133404"/>
      <w:r w:rsidR="00F53459">
        <w:t xml:space="preserve">a </w:t>
      </w:r>
      <w:r w:rsidR="0080381C">
        <w:t>finančním</w:t>
      </w:r>
      <w:r w:rsidR="00F53459">
        <w:t xml:space="preserve"> ztrátám ve zdravotnickém systému</w:t>
      </w:r>
      <w:bookmarkEnd w:id="6"/>
      <w:r w:rsidR="00F53459">
        <w:t xml:space="preserve"> (</w:t>
      </w:r>
      <w:bookmarkStart w:id="7" w:name="_Hlk41133172"/>
      <w:r w:rsidR="00F53459">
        <w:t xml:space="preserve">Kickbusch et al., 2013, s.1). </w:t>
      </w:r>
      <w:r w:rsidR="008D7DB1" w:rsidRPr="003A06BD">
        <w:t xml:space="preserve">Zdravotní gramotnost tedy nemá pouze osobní význam pro každého člověka, ale </w:t>
      </w:r>
      <w:r w:rsidR="008C1B8F">
        <w:t xml:space="preserve">je </w:t>
      </w:r>
      <w:r w:rsidR="008D7DB1" w:rsidRPr="003A06BD">
        <w:t>také ekonomic</w:t>
      </w:r>
      <w:r w:rsidR="003A06BD" w:rsidRPr="003A06BD">
        <w:t>k</w:t>
      </w:r>
      <w:r w:rsidR="008C1B8F">
        <w:t>ým</w:t>
      </w:r>
      <w:r w:rsidR="008D7DB1" w:rsidRPr="003A06BD">
        <w:t xml:space="preserve"> přínos</w:t>
      </w:r>
      <w:r w:rsidR="008C1B8F">
        <w:t>em</w:t>
      </w:r>
      <w:r w:rsidR="008D7DB1" w:rsidRPr="003A06BD">
        <w:t xml:space="preserve"> pro celou populaci</w:t>
      </w:r>
      <w:r w:rsidR="008D7DB1">
        <w:t xml:space="preserve"> (Kaas et al., 2016, s. 250).</w:t>
      </w:r>
      <w:r w:rsidR="0080381C">
        <w:t xml:space="preserve"> </w:t>
      </w:r>
      <w:r w:rsidR="00F53687">
        <w:t xml:space="preserve">Ze studie provedené v USA </w:t>
      </w:r>
      <w:r w:rsidR="008253F6">
        <w:t>vyplývá</w:t>
      </w:r>
      <w:r w:rsidR="00F53687">
        <w:t xml:space="preserve">, že celkové sociální náklady spojené se špatnou zdravotní gramotností mohou ročně činit až 50 miliard dolarů. </w:t>
      </w:r>
      <w:r w:rsidR="00F455B5">
        <w:t>Aby nedocházelo k takto finančním ztrátám, je zapotřebí zvyšovat úroveň zdravotní gramotnost u lidí</w:t>
      </w:r>
      <w:r w:rsidR="001E1846">
        <w:t>,</w:t>
      </w:r>
      <w:r w:rsidR="00F455B5">
        <w:t xml:space="preserve"> a to nejen v dodržování jejich terapie, ale také zlepšovat rozvoj vztahu mezi jednotlivcem a zdravotním systémem </w:t>
      </w:r>
      <w:r w:rsidR="0092523E">
        <w:t>(</w:t>
      </w:r>
      <w:r w:rsidR="0092523E" w:rsidRPr="0092523E">
        <w:t>Bonaccorsi</w:t>
      </w:r>
      <w:r w:rsidR="0092523E">
        <w:t xml:space="preserve"> et al., 2016, 117). </w:t>
      </w:r>
      <w:r w:rsidR="002305ED">
        <w:t>Ve zdravotní péči je kladen důraz na to, aby se pacient aktivně podílel na péči o zdraví a nebyl pouze pasivním příjemce</w:t>
      </w:r>
      <w:r w:rsidR="007373FE">
        <w:t>m</w:t>
      </w:r>
      <w:r w:rsidR="002305ED">
        <w:t xml:space="preserve">. </w:t>
      </w:r>
      <w:r w:rsidR="00443270">
        <w:t>Proto k dosažení této skutečnosti je potřebné, aby měl pacient dostatečné znalosti a dovednosti, které slouží k efektivní spoluúčasti na odpovědnosti za své zdraví (Ka</w:t>
      </w:r>
      <w:r w:rsidR="008D7DB1">
        <w:t>a</w:t>
      </w:r>
      <w:r w:rsidR="00443270">
        <w:t>s et al., 2016, s. 250)</w:t>
      </w:r>
      <w:r w:rsidR="0092523E">
        <w:t xml:space="preserve">. </w:t>
      </w:r>
      <w:r w:rsidR="0092523E">
        <w:rPr>
          <w:color w:val="FF0000"/>
        </w:rPr>
        <w:t xml:space="preserve"> </w:t>
      </w:r>
    </w:p>
    <w:p w:rsidR="001907C7" w:rsidRDefault="00156CBE" w:rsidP="00C800E7">
      <w:pPr>
        <w:pStyle w:val="Bezmezer"/>
        <w:spacing w:line="360" w:lineRule="auto"/>
        <w:jc w:val="both"/>
      </w:pPr>
      <w:r>
        <w:tab/>
      </w:r>
      <w:r w:rsidRPr="001C1BFB">
        <w:t xml:space="preserve">Stále více zemí hodnotí a monitoruje zdravotní gramotnost svých občanů. Například v roce 2003 bylo zjištěno, že </w:t>
      </w:r>
      <w:r w:rsidRPr="00156CBE">
        <w:t>14 %</w:t>
      </w:r>
      <w:r w:rsidRPr="001C1BFB">
        <w:t xml:space="preserve"> dospělých </w:t>
      </w:r>
      <w:r>
        <w:t>A</w:t>
      </w:r>
      <w:r w:rsidRPr="001C1BFB">
        <w:t xml:space="preserve">meričanů má nízkou zdravotní gramotnost, v roce 2006 byl proveden výzkum v </w:t>
      </w:r>
      <w:r>
        <w:t>A</w:t>
      </w:r>
      <w:r w:rsidRPr="001C1BFB">
        <w:t xml:space="preserve">ustrálii, kde </w:t>
      </w:r>
      <w:r w:rsidRPr="00A11EFC">
        <w:t>60</w:t>
      </w:r>
      <w:r w:rsidR="00A11EFC">
        <w:t xml:space="preserve"> </w:t>
      </w:r>
      <w:r w:rsidRPr="00A11EFC">
        <w:t>%</w:t>
      </w:r>
      <w:r w:rsidRPr="001C1BFB">
        <w:t xml:space="preserve"> dospělých </w:t>
      </w:r>
      <w:r>
        <w:t>A</w:t>
      </w:r>
      <w:r w:rsidRPr="001C1BFB">
        <w:t xml:space="preserve">ustralanů mělo nízkou zdravotní gramotnost. Výsledky u </w:t>
      </w:r>
      <w:r w:rsidRPr="00A11EFC">
        <w:t>Číns</w:t>
      </w:r>
      <w:r w:rsidR="008253F6">
        <w:t>ké populace</w:t>
      </w:r>
      <w:r w:rsidRPr="001C1BFB">
        <w:t xml:space="preserve"> z roku 2012 </w:t>
      </w:r>
      <w:r w:rsidR="00A11EFC">
        <w:t>ukazují</w:t>
      </w:r>
      <w:r w:rsidRPr="001C1BFB">
        <w:t xml:space="preserve">, že </w:t>
      </w:r>
      <w:r w:rsidRPr="00A11EFC">
        <w:t>90</w:t>
      </w:r>
      <w:r w:rsidR="00A11EFC">
        <w:t xml:space="preserve"> </w:t>
      </w:r>
      <w:r w:rsidRPr="00A11EFC">
        <w:t>%</w:t>
      </w:r>
      <w:r w:rsidRPr="001C1BFB">
        <w:t xml:space="preserve"> má </w:t>
      </w:r>
      <w:r>
        <w:t>nízko</w:t>
      </w:r>
      <w:r w:rsidR="00A11EFC">
        <w:t>u</w:t>
      </w:r>
      <w:r>
        <w:t>, nebo nedostatečnou úroveň zdravotní gramotnosti</w:t>
      </w:r>
      <w:bookmarkStart w:id="8" w:name="_Hlk41198660"/>
      <w:r w:rsidR="00A11EFC">
        <w:t xml:space="preserve"> </w:t>
      </w:r>
      <w:r w:rsidR="00A11EFC" w:rsidRPr="001C1BFB">
        <w:t>(</w:t>
      </w:r>
      <w:r w:rsidR="00A11EFC">
        <w:t>Liu</w:t>
      </w:r>
      <w:r w:rsidR="00C9032A">
        <w:t xml:space="preserve"> </w:t>
      </w:r>
      <w:r w:rsidR="00A11EFC" w:rsidRPr="001C1BFB">
        <w:t>et al., 2018, s. 2)</w:t>
      </w:r>
      <w:bookmarkEnd w:id="8"/>
      <w:r w:rsidR="00A11EFC" w:rsidRPr="001C1BFB">
        <w:t>.</w:t>
      </w:r>
    </w:p>
    <w:p w:rsidR="001907C7" w:rsidRDefault="00A11EFC" w:rsidP="00C800E7">
      <w:pPr>
        <w:pStyle w:val="Bezmezer"/>
        <w:spacing w:line="360" w:lineRule="auto"/>
        <w:ind w:firstLine="708"/>
        <w:jc w:val="both"/>
      </w:pPr>
      <w:r>
        <w:t>Z Evropského průzkumu (2009-2012) kam bylo zařazeno 8 zemí (</w:t>
      </w:r>
      <w:r w:rsidRPr="00765A5B">
        <w:rPr>
          <w:lang w:eastAsia="cs-CZ"/>
        </w:rPr>
        <w:t>Rakousk</w:t>
      </w:r>
      <w:r>
        <w:rPr>
          <w:lang w:eastAsia="cs-CZ"/>
        </w:rPr>
        <w:t>o</w:t>
      </w:r>
      <w:r w:rsidRPr="00765A5B">
        <w:rPr>
          <w:lang w:eastAsia="cs-CZ"/>
        </w:rPr>
        <w:t>, Bulharsk</w:t>
      </w:r>
      <w:r>
        <w:rPr>
          <w:lang w:eastAsia="cs-CZ"/>
        </w:rPr>
        <w:t>o</w:t>
      </w:r>
      <w:r w:rsidRPr="00765A5B">
        <w:rPr>
          <w:lang w:eastAsia="cs-CZ"/>
        </w:rPr>
        <w:t>, Německ</w:t>
      </w:r>
      <w:r>
        <w:rPr>
          <w:lang w:eastAsia="cs-CZ"/>
        </w:rPr>
        <w:t>o</w:t>
      </w:r>
      <w:r w:rsidRPr="00765A5B">
        <w:rPr>
          <w:lang w:eastAsia="cs-CZ"/>
        </w:rPr>
        <w:t>, Řeck</w:t>
      </w:r>
      <w:r>
        <w:rPr>
          <w:lang w:eastAsia="cs-CZ"/>
        </w:rPr>
        <w:t>o</w:t>
      </w:r>
      <w:r w:rsidRPr="00765A5B">
        <w:rPr>
          <w:lang w:eastAsia="cs-CZ"/>
        </w:rPr>
        <w:t>,</w:t>
      </w:r>
      <w:r>
        <w:rPr>
          <w:lang w:eastAsia="cs-CZ"/>
        </w:rPr>
        <w:t xml:space="preserve"> Irsko, Nizozemsko, Polsko a Španělsko) </w:t>
      </w:r>
      <w:r w:rsidRPr="008253F6">
        <w:rPr>
          <w:lang w:eastAsia="cs-CZ"/>
        </w:rPr>
        <w:t>je dokazatelné</w:t>
      </w:r>
      <w:r>
        <w:rPr>
          <w:lang w:eastAsia="cs-CZ"/>
        </w:rPr>
        <w:t>, že 47</w:t>
      </w:r>
      <w:r w:rsidR="007B1C1D">
        <w:rPr>
          <w:lang w:eastAsia="cs-CZ"/>
        </w:rPr>
        <w:t>,6</w:t>
      </w:r>
      <w:r>
        <w:rPr>
          <w:lang w:eastAsia="cs-CZ"/>
        </w:rPr>
        <w:t xml:space="preserve"> % populace vykazuje</w:t>
      </w:r>
      <w:r w:rsidR="007B1C1D">
        <w:rPr>
          <w:lang w:eastAsia="cs-CZ"/>
        </w:rPr>
        <w:t xml:space="preserve"> omezenou, nebo</w:t>
      </w:r>
      <w:r>
        <w:rPr>
          <w:lang w:eastAsia="cs-CZ"/>
        </w:rPr>
        <w:t xml:space="preserve"> nízkou zdravotní gramotnost</w:t>
      </w:r>
      <w:r w:rsidR="007B1C1D">
        <w:rPr>
          <w:lang w:eastAsia="cs-CZ"/>
        </w:rPr>
        <w:t xml:space="preserve">. </w:t>
      </w:r>
      <w:r w:rsidR="00DA7512" w:rsidRPr="008253F6">
        <w:rPr>
          <w:lang w:eastAsia="cs-CZ"/>
        </w:rPr>
        <w:t>Nejlepší úroveň</w:t>
      </w:r>
      <w:r w:rsidR="00184F1D">
        <w:rPr>
          <w:lang w:eastAsia="cs-CZ"/>
        </w:rPr>
        <w:t xml:space="preserve"> </w:t>
      </w:r>
      <w:r w:rsidR="008253F6">
        <w:rPr>
          <w:lang w:eastAsia="cs-CZ"/>
        </w:rPr>
        <w:t>zdravotní gramotnosti</w:t>
      </w:r>
      <w:r w:rsidR="00DA7512">
        <w:rPr>
          <w:lang w:eastAsia="cs-CZ"/>
        </w:rPr>
        <w:t xml:space="preserve"> byla zjištěna v Nizozemsku, naopak nízká v Bulharsku. </w:t>
      </w:r>
      <w:r w:rsidR="007B1C1D">
        <w:rPr>
          <w:lang w:eastAsia="cs-CZ"/>
        </w:rPr>
        <w:t>Z výsledků je dále zřejmé,</w:t>
      </w:r>
      <w:r w:rsidR="007B1C1D" w:rsidRPr="007B1C1D">
        <w:t xml:space="preserve"> </w:t>
      </w:r>
      <w:r w:rsidR="007B1C1D">
        <w:t xml:space="preserve">že v každé zemi </w:t>
      </w:r>
      <w:r w:rsidR="007B1C1D" w:rsidRPr="00F455B5">
        <w:t>je omezená</w:t>
      </w:r>
      <w:r w:rsidR="00F455B5" w:rsidRPr="00F455B5">
        <w:t xml:space="preserve"> úroveň</w:t>
      </w:r>
      <w:r w:rsidR="007B1C1D" w:rsidRPr="00F455B5">
        <w:t xml:space="preserve"> zdravotní gramotnost ovlivněna zranitelnou skupinou</w:t>
      </w:r>
      <w:r w:rsidR="008C1B8F">
        <w:t>. D</w:t>
      </w:r>
      <w:r w:rsidR="007B1C1D">
        <w:t xml:space="preserve">o této skupiny jsou zařazeni </w:t>
      </w:r>
      <w:r w:rsidR="007B1C1D" w:rsidRPr="00F455B5">
        <w:t xml:space="preserve">lidé, kteří jsou </w:t>
      </w:r>
      <w:r w:rsidR="00F455B5" w:rsidRPr="00F455B5">
        <w:t>chronicky</w:t>
      </w:r>
      <w:r w:rsidR="007B1C1D" w:rsidRPr="00F455B5">
        <w:t xml:space="preserve"> nemocní,</w:t>
      </w:r>
      <w:r w:rsidR="007B1C1D">
        <w:t xml:space="preserve"> mají různou úroveň vzdělání a mají </w:t>
      </w:r>
      <w:r w:rsidR="007B1C1D">
        <w:lastRenderedPageBreak/>
        <w:t xml:space="preserve">různé sociální postavení. Nejsilnější prediktor nízké zdravotní gramotnosti je však finanční deprivace </w:t>
      </w:r>
      <w:r w:rsidRPr="003F1BE6">
        <w:t>(Sørensen et al, 2015,1053-1057).</w:t>
      </w:r>
      <w:r>
        <w:t xml:space="preserve"> </w:t>
      </w:r>
    </w:p>
    <w:p w:rsidR="00E11937" w:rsidRDefault="00972F2A" w:rsidP="00C800E7">
      <w:pPr>
        <w:pStyle w:val="Bezmezer"/>
        <w:spacing w:line="360" w:lineRule="auto"/>
        <w:ind w:firstLine="708"/>
        <w:jc w:val="both"/>
      </w:pPr>
      <w:r>
        <w:t>V České republice byl proveden výzkum na přelomu roku 2014/2015. Zdravotní gramotnost byla zjišťována ve třech oblastech</w:t>
      </w:r>
      <w:r w:rsidR="00496D3E">
        <w:t>,</w:t>
      </w:r>
      <w:r>
        <w:t xml:space="preserve"> a to</w:t>
      </w:r>
      <w:r w:rsidR="00855F80">
        <w:t xml:space="preserve"> </w:t>
      </w:r>
      <w:r>
        <w:t xml:space="preserve">ve zdravotní péči, v prevenci nemocí a v podpoře zdraví. Z výsledků </w:t>
      </w:r>
      <w:r w:rsidRPr="008253F6">
        <w:t>je dokazatelné</w:t>
      </w:r>
      <w:r w:rsidR="008253F6">
        <w:t>,</w:t>
      </w:r>
      <w:r>
        <w:t xml:space="preserve"> že zdravotní gramotnost v Česku je nízká. Z 1037 respondentů </w:t>
      </w:r>
      <w:r w:rsidR="008C1B8F">
        <w:t xml:space="preserve">vykazovalo </w:t>
      </w:r>
      <w:r>
        <w:t>60 % populace neadekvátní, nebo problematickou úroveň. V oblasti prevence nemocí 54,1 %, u podpory zdraví 64,1 %</w:t>
      </w:r>
      <w:r w:rsidR="008C1B8F">
        <w:t>. P</w:t>
      </w:r>
      <w:r>
        <w:t xml:space="preserve">ouze u orientace </w:t>
      </w:r>
      <w:r w:rsidR="00855F80">
        <w:t xml:space="preserve">v </w:t>
      </w:r>
      <w:r>
        <w:t>oblasti zdravotní péče převažoval lehký nadprůměr a to 50,5 % (Šimůnková et al., 2015, s. 34).</w:t>
      </w:r>
    </w:p>
    <w:p w:rsidR="008318B8" w:rsidRPr="00156CBE" w:rsidRDefault="008318B8" w:rsidP="00C800E7">
      <w:pPr>
        <w:pStyle w:val="Bezmezer"/>
        <w:spacing w:line="360" w:lineRule="auto"/>
        <w:ind w:firstLine="708"/>
        <w:jc w:val="both"/>
      </w:pPr>
    </w:p>
    <w:p w:rsidR="00E11937" w:rsidRDefault="0092523E" w:rsidP="00C800E7">
      <w:pPr>
        <w:pStyle w:val="Bezmezer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Faktory ovlivňující zdravotní gramotnost</w:t>
      </w:r>
    </w:p>
    <w:p w:rsidR="00E11937" w:rsidRDefault="00DA7512" w:rsidP="00C800E7">
      <w:pPr>
        <w:spacing w:line="360" w:lineRule="auto"/>
        <w:ind w:firstLine="708"/>
        <w:jc w:val="both"/>
      </w:pPr>
      <w:r>
        <w:t xml:space="preserve">Zdravotní gramotnost je ovlivnitelnou determinantou zdraví </w:t>
      </w:r>
      <w:r w:rsidRPr="001C1BFB">
        <w:t>(</w:t>
      </w:r>
      <w:r>
        <w:t>Liu</w:t>
      </w:r>
      <w:r w:rsidRPr="001C1BFB">
        <w:t xml:space="preserve"> et al., 2018, s. 2)</w:t>
      </w:r>
      <w:r>
        <w:t>.</w:t>
      </w:r>
      <w:r w:rsidR="002F3CD7" w:rsidRPr="002F3CD7">
        <w:t xml:space="preserve"> </w:t>
      </w:r>
      <w:r w:rsidR="002F3CD7">
        <w:t xml:space="preserve">S ohledem na mnoho proběhlých populačních studií je dokazatelné, že úroveň zdravotní gramotnosti je ovlivnitelná několika faktory a to: pohlavím, věkem, úrovní dosaženého vzdělání, </w:t>
      </w:r>
      <w:r w:rsidR="008253F6">
        <w:t>příslušností k etnické menšině</w:t>
      </w:r>
      <w:r w:rsidR="002F3CD7">
        <w:t xml:space="preserve">, </w:t>
      </w:r>
      <w:r w:rsidR="008C1B8F">
        <w:t xml:space="preserve">či </w:t>
      </w:r>
      <w:r w:rsidR="002F3CD7">
        <w:t>ekonomickým a sociální</w:t>
      </w:r>
      <w:r w:rsidR="008C1B8F">
        <w:t>m</w:t>
      </w:r>
      <w:r w:rsidR="002F3CD7">
        <w:t xml:space="preserve"> postavením. Zmíněné faktory buď efektivně, nebo neefektivně ovlivňují zdravotní gramotnost a celkový zdravotní stav jedinců (Duplaga, 2020, s. 2). </w:t>
      </w:r>
    </w:p>
    <w:p w:rsidR="00022EDF" w:rsidRPr="00022EDF" w:rsidRDefault="00022EDF" w:rsidP="00C800E7">
      <w:pPr>
        <w:pStyle w:val="Bezmezer"/>
        <w:spacing w:line="360" w:lineRule="auto"/>
        <w:jc w:val="both"/>
      </w:pPr>
    </w:p>
    <w:p w:rsidR="008253F6" w:rsidRPr="008253F6" w:rsidRDefault="008253F6" w:rsidP="00C800E7">
      <w:pPr>
        <w:pStyle w:val="Bezmezer"/>
        <w:numPr>
          <w:ilvl w:val="0"/>
          <w:numId w:val="21"/>
        </w:numPr>
        <w:spacing w:line="360" w:lineRule="auto"/>
        <w:jc w:val="both"/>
      </w:pPr>
      <w:r>
        <w:t>Pohlaví jako faktor ovlivňující ZG</w:t>
      </w:r>
    </w:p>
    <w:p w:rsidR="00E11937" w:rsidRDefault="002054C6" w:rsidP="00C800E7">
      <w:pPr>
        <w:spacing w:line="360" w:lineRule="auto"/>
        <w:ind w:firstLine="708"/>
        <w:jc w:val="both"/>
      </w:pPr>
      <w:r>
        <w:t>Islámská studie (2015) se zabývala tím, jak úroveň zdravotní gramotnosti souvisí s pohlavím. Ve věku 18-60 let se studie zúčastnilo</w:t>
      </w:r>
      <w:r w:rsidRPr="005D72BC">
        <w:t xml:space="preserve"> </w:t>
      </w:r>
      <w:r>
        <w:t xml:space="preserve">8439 respondentů, z nichž 47 % byli muži a </w:t>
      </w:r>
      <w:r w:rsidR="00022EDF">
        <w:t>53 %</w:t>
      </w:r>
      <w:r>
        <w:t xml:space="preserve"> ženy. Většina zúčastněných žen byly ženy z domácnosti, jen malé množství mělo trvalé zaměstnání. Bylo zjištěno, že muži mají výrazně vyšší zdravotní gramotnost než ženy (92,4 % u mužů a 86,4 % u žen). Důvod</w:t>
      </w:r>
      <w:r w:rsidR="008C1B8F">
        <w:t>em</w:t>
      </w:r>
      <w:r>
        <w:t xml:space="preserve"> tohoto rozdílu byl</w:t>
      </w:r>
      <w:r w:rsidR="008C1B8F">
        <w:t>o</w:t>
      </w:r>
      <w:r>
        <w:t>, že muži měli lepší přístup ke zdravotním informacím ze svého zaměstnání a měli více finančních prostředků na zdravotní péči než ženy</w:t>
      </w:r>
      <w:r w:rsidR="008C1B8F">
        <w:t>. Ty,</w:t>
      </w:r>
      <w:r>
        <w:t xml:space="preserve"> které v domácím prostředí měl</w:t>
      </w:r>
      <w:r w:rsidR="008C1B8F">
        <w:t>y</w:t>
      </w:r>
      <w:r>
        <w:t xml:space="preserve"> </w:t>
      </w:r>
      <w:r w:rsidRPr="00022EDF">
        <w:t>přístup pouze</w:t>
      </w:r>
      <w:r w:rsidR="00022EDF" w:rsidRPr="00022EDF">
        <w:t xml:space="preserve"> k</w:t>
      </w:r>
      <w:r w:rsidRPr="00022EDF">
        <w:t xml:space="preserve"> informacím</w:t>
      </w:r>
      <w:r>
        <w:t xml:space="preserve"> z médií, které vedou ke špatné orientaci ve zdravotnickém systému a následnému vyhledávání zdravotní péče (Haghdoost et al., 2019, s. 828-834).</w:t>
      </w:r>
      <w:r w:rsidR="00D632D6" w:rsidRPr="00D632D6">
        <w:t xml:space="preserve"> </w:t>
      </w:r>
      <w:r w:rsidR="00D632D6">
        <w:t xml:space="preserve">Naopak z Francouzské studie (2018) je dokazatelné, </w:t>
      </w:r>
      <w:r w:rsidR="0019636E">
        <w:t>že se ženy lépe orient</w:t>
      </w:r>
      <w:r w:rsidR="008C1B8F">
        <w:t>ují</w:t>
      </w:r>
      <w:r w:rsidR="0019636E">
        <w:t xml:space="preserve"> v systému zdravotní péče a je pro ně snadnější vyhledáv</w:t>
      </w:r>
      <w:r w:rsidR="00A22714">
        <w:t>at</w:t>
      </w:r>
      <w:r w:rsidR="0019636E">
        <w:t xml:space="preserve"> zdravotní informace</w:t>
      </w:r>
      <w:r w:rsidR="00A22714">
        <w:t xml:space="preserve">. Jako zdůvodnění lze uvést to, že se ženy více zajímaly o zdraví než muži. Ženy častěji vyhledávaly léčbu a navštěvovaly tak lékaře, který jim poskytoval podrobné vysvětlení </w:t>
      </w:r>
      <w:r w:rsidR="00D632D6">
        <w:t>(Rouquette et al., 2018, s. 9).</w:t>
      </w:r>
    </w:p>
    <w:p w:rsidR="00022EDF" w:rsidRDefault="00022EDF" w:rsidP="00C800E7">
      <w:pPr>
        <w:pStyle w:val="Bezmezer"/>
        <w:spacing w:line="360" w:lineRule="auto"/>
        <w:jc w:val="both"/>
      </w:pPr>
    </w:p>
    <w:p w:rsidR="000029A2" w:rsidRDefault="000029A2" w:rsidP="00C800E7">
      <w:pPr>
        <w:pStyle w:val="Bezmezer"/>
        <w:spacing w:line="360" w:lineRule="auto"/>
        <w:jc w:val="both"/>
      </w:pPr>
    </w:p>
    <w:p w:rsidR="000029A2" w:rsidRPr="00022EDF" w:rsidRDefault="000029A2" w:rsidP="00C800E7">
      <w:pPr>
        <w:pStyle w:val="Bezmezer"/>
        <w:spacing w:line="360" w:lineRule="auto"/>
        <w:jc w:val="both"/>
      </w:pPr>
    </w:p>
    <w:p w:rsidR="00E11937" w:rsidRPr="00022EDF" w:rsidRDefault="000B5EF1" w:rsidP="00C800E7">
      <w:pPr>
        <w:pStyle w:val="Bezmezer"/>
        <w:numPr>
          <w:ilvl w:val="0"/>
          <w:numId w:val="21"/>
        </w:numPr>
        <w:spacing w:line="360" w:lineRule="auto"/>
        <w:jc w:val="both"/>
      </w:pPr>
      <w:r w:rsidRPr="00022EDF">
        <w:lastRenderedPageBreak/>
        <w:t>Věk</w:t>
      </w:r>
      <w:r w:rsidR="00022EDF" w:rsidRPr="00022EDF">
        <w:t xml:space="preserve"> </w:t>
      </w:r>
      <w:r w:rsidR="00022EDF">
        <w:t>jako faktor ovlivňující ZG</w:t>
      </w:r>
    </w:p>
    <w:p w:rsidR="00E11937" w:rsidRDefault="00C9032A" w:rsidP="00C800E7">
      <w:pPr>
        <w:spacing w:line="360" w:lineRule="auto"/>
        <w:ind w:firstLine="708"/>
        <w:jc w:val="both"/>
      </w:pPr>
      <w:r>
        <w:t>Z Německé studie</w:t>
      </w:r>
      <w:r w:rsidR="00022EDF">
        <w:t>,</w:t>
      </w:r>
      <w:r>
        <w:t xml:space="preserve"> </w:t>
      </w:r>
      <w:r w:rsidR="00022EDF">
        <w:t>kde byli lidé rozděleni do různých věkových skupin je prokazatelné</w:t>
      </w:r>
      <w:r>
        <w:t>, že omezená úroveň zdravotní gramotnosti se zvyšuje s věkem.</w:t>
      </w:r>
      <w:r w:rsidR="007E4F15">
        <w:t xml:space="preserve"> Dle věku byli lidé rozděleni do čtyř skupin</w:t>
      </w:r>
      <w:r>
        <w:t xml:space="preserve">. U respondentů ve věku pod 29 let mělo 47,3 % omezenou zdravotní gramotnost, v rozmezí 30-45 let 47,2 %, ve věku 46-64 let 55,2 % a u lidí ve věku nad 65let dosahoval výsledek 66,4 %. </w:t>
      </w:r>
      <w:r w:rsidR="007E4F15">
        <w:t>Z výsledků studie vyplynulo,</w:t>
      </w:r>
      <w:r>
        <w:t xml:space="preserve"> že </w:t>
      </w:r>
      <w:r w:rsidR="001C7C21">
        <w:t xml:space="preserve">mezi všemi věkovými skupinami </w:t>
      </w:r>
      <w:r w:rsidR="00F934ED">
        <w:t>byla</w:t>
      </w:r>
      <w:r>
        <w:t xml:space="preserve"> omezená </w:t>
      </w:r>
      <w:r w:rsidRPr="001C7C21">
        <w:t>funkční zdravotní gramotnost,</w:t>
      </w:r>
      <w:r w:rsidR="00F934ED">
        <w:t xml:space="preserve"> </w:t>
      </w:r>
      <w:r>
        <w:t>nízký sociální status</w:t>
      </w:r>
      <w:r w:rsidR="00F934ED">
        <w:t xml:space="preserve"> a</w:t>
      </w:r>
      <w:r>
        <w:t> vysok</w:t>
      </w:r>
      <w:r w:rsidR="00F934ED">
        <w:t>á</w:t>
      </w:r>
      <w:r>
        <w:t xml:space="preserve"> návštěvnost lékaře</w:t>
      </w:r>
      <w:r w:rsidR="00F934ED">
        <w:t xml:space="preserve"> spojena s nízkou úrovní ZG</w:t>
      </w:r>
      <w:r>
        <w:t>. Po dokončení studie bylo navrženo, aby zdravotní gramotnost byla více zaměřena na tyto rizikové skupiny (Ber</w:t>
      </w:r>
      <w:r w:rsidR="001C7C21">
        <w:t>e</w:t>
      </w:r>
      <w:r>
        <w:t>ns, 2016, s. 1-8).</w:t>
      </w:r>
      <w:r w:rsidR="006A111A">
        <w:t xml:space="preserve"> Příčinou nižší úrovně zdravotní gramotnosti spojené s věkem může být pokles fyzických a duševních schopností člověka. Dále pak omezené činnosti a rychlejší kognitivní pokles</w:t>
      </w:r>
      <w:r w:rsidR="00D909C1">
        <w:t xml:space="preserve"> rostoucí s věkem</w:t>
      </w:r>
      <w:r w:rsidR="006A111A">
        <w:t xml:space="preserve"> (Rikard, 2016, s. 2).</w:t>
      </w:r>
    </w:p>
    <w:p w:rsidR="00022EDF" w:rsidRPr="00022EDF" w:rsidRDefault="00022EDF" w:rsidP="00C800E7">
      <w:pPr>
        <w:pStyle w:val="Bezmezer"/>
        <w:spacing w:line="360" w:lineRule="auto"/>
        <w:jc w:val="both"/>
      </w:pPr>
    </w:p>
    <w:p w:rsidR="00E11937" w:rsidRPr="00022EDF" w:rsidRDefault="000B5EF1" w:rsidP="00C800E7">
      <w:pPr>
        <w:pStyle w:val="Bezmezer"/>
        <w:numPr>
          <w:ilvl w:val="0"/>
          <w:numId w:val="21"/>
        </w:numPr>
        <w:spacing w:line="360" w:lineRule="auto"/>
        <w:jc w:val="both"/>
      </w:pPr>
      <w:r w:rsidRPr="00022EDF">
        <w:t>Vzdělání</w:t>
      </w:r>
      <w:r w:rsidR="00022EDF">
        <w:t xml:space="preserve"> jako faktor ovlivňující ZG</w:t>
      </w:r>
    </w:p>
    <w:p w:rsidR="00A81E2A" w:rsidRDefault="00D909C1" w:rsidP="00C800E7">
      <w:pPr>
        <w:spacing w:line="360" w:lineRule="auto"/>
        <w:ind w:firstLine="708"/>
        <w:jc w:val="both"/>
      </w:pPr>
      <w:r>
        <w:t xml:space="preserve">Vzdělanější lidé mají lepší sociální postavení, znalosti, dovednosti a následně i </w:t>
      </w:r>
      <w:r w:rsidR="000A5807">
        <w:t>zdraví. Ú</w:t>
      </w:r>
      <w:r>
        <w:t>roveň dosaženého vzdělání se promítá do lepších celkových zdravotních výsledků a vyšší úrovně zdravotní gramotnosti (Rikard, 2016, s. 2).</w:t>
      </w:r>
    </w:p>
    <w:p w:rsidR="00E11937" w:rsidRDefault="00FE0859" w:rsidP="00C800E7">
      <w:pPr>
        <w:spacing w:line="360" w:lineRule="auto"/>
        <w:ind w:firstLine="708"/>
        <w:jc w:val="both"/>
      </w:pPr>
      <w:r w:rsidRPr="00F934ED">
        <w:t xml:space="preserve">Ve studii provedené </w:t>
      </w:r>
      <w:r w:rsidR="00F934ED" w:rsidRPr="00F934ED">
        <w:t xml:space="preserve">za účelem kvality života </w:t>
      </w:r>
      <w:r w:rsidRPr="00F934ED">
        <w:t>v Maďarském měst</w:t>
      </w:r>
      <w:r w:rsidR="00046A8C" w:rsidRPr="00F934ED">
        <w:t>ě</w:t>
      </w:r>
      <w:r w:rsidRPr="00F934ED">
        <w:t xml:space="preserve"> </w:t>
      </w:r>
      <w:r w:rsidRPr="00F934ED">
        <w:rPr>
          <w:lang w:eastAsia="cs-CZ"/>
        </w:rPr>
        <w:t>Nyíregyháza</w:t>
      </w:r>
      <w:r w:rsidRPr="00F934ED">
        <w:t xml:space="preserve"> byl proveden výzkum</w:t>
      </w:r>
      <w:r w:rsidRPr="00FE0859">
        <w:t xml:space="preserve"> vztahující se na úroveň dosaženého vzdělání. </w:t>
      </w:r>
      <w:r>
        <w:t>D</w:t>
      </w:r>
      <w:r w:rsidRPr="00FE0859">
        <w:t xml:space="preserve">o studie bylo zahrnuto 389 dospělých osob </w:t>
      </w:r>
      <w:r w:rsidRPr="00CA2046">
        <w:t>starších 18 let</w:t>
      </w:r>
      <w:r w:rsidR="009F3056">
        <w:t>. D</w:t>
      </w:r>
      <w:r w:rsidR="00E65AAF" w:rsidRPr="00CA2046">
        <w:t>osažené vzdělání se pohybovalo od nízkého po vyšší např. doktorský titul</w:t>
      </w:r>
      <w:r w:rsidRPr="00FE0859">
        <w:t>. Lidé byli rozděleni do tří kategorií základní, střední a vyšší vzdělání.  Z</w:t>
      </w:r>
      <w:r w:rsidRPr="00FE0859">
        <w:rPr>
          <w:rFonts w:hint="eastAsia"/>
        </w:rPr>
        <w:t> </w:t>
      </w:r>
      <w:r w:rsidRPr="00FE0859">
        <w:t xml:space="preserve">výsledku studie je dokazatelné, že </w:t>
      </w:r>
      <w:r w:rsidRPr="00FE0859">
        <w:rPr>
          <w:rFonts w:hint="eastAsia"/>
        </w:rPr>
        <w:t>nižší</w:t>
      </w:r>
      <w:r w:rsidRPr="00FE0859">
        <w:t xml:space="preserve"> </w:t>
      </w:r>
      <w:r w:rsidRPr="00FE0859">
        <w:rPr>
          <w:rFonts w:hint="eastAsia"/>
        </w:rPr>
        <w:t>úroveň</w:t>
      </w:r>
      <w:r w:rsidRPr="00FE0859">
        <w:t xml:space="preserve"> vzdělání vykazuje nižší úroveň zdravotní gramotnosti</w:t>
      </w:r>
      <w:r w:rsidR="00CA2046">
        <w:t xml:space="preserve"> </w:t>
      </w:r>
      <w:r>
        <w:t xml:space="preserve">(Erdei, 2018, s. 405-409). </w:t>
      </w:r>
    </w:p>
    <w:p w:rsidR="00B34794" w:rsidRDefault="00B34794" w:rsidP="00C800E7">
      <w:pPr>
        <w:spacing w:line="360" w:lineRule="auto"/>
        <w:jc w:val="both"/>
      </w:pPr>
      <w:r>
        <w:tab/>
        <w:t xml:space="preserve">Jednotlivci s nižším vzděláním </w:t>
      </w:r>
      <w:r w:rsidRPr="00436451">
        <w:t>mají často nezdrav</w:t>
      </w:r>
      <w:r w:rsidR="00436451" w:rsidRPr="00436451">
        <w:t>ý životní styl</w:t>
      </w:r>
      <w:r>
        <w:t xml:space="preserve"> (kouření, špatná strava, nedostatek fyzické aktivity, obezita) </w:t>
      </w:r>
      <w:r w:rsidRPr="00436451">
        <w:t xml:space="preserve">než </w:t>
      </w:r>
      <w:r w:rsidR="00436451" w:rsidRPr="00436451">
        <w:t>ti, kteří mají vyšší úroveň vzdělání</w:t>
      </w:r>
      <w:r w:rsidRPr="00436451">
        <w:t>.</w:t>
      </w:r>
      <w:r w:rsidRPr="006B467E">
        <w:t xml:space="preserve"> Health Literacy Questionnaire (HLQ)</w:t>
      </w:r>
      <w:r>
        <w:t xml:space="preserve"> byl proveden v Dánsku za účelem zjistit, zda zdravotní gramotnost má souvislost mezi dosaženým vzděláním a </w:t>
      </w:r>
      <w:r w:rsidR="00401EB0">
        <w:t>zdravím</w:t>
      </w:r>
      <w:r>
        <w:t>. Studie se zúčastnilo 29 473 respondentů. Byly použity dvě škály o zdravotní gramotnosti a) dostatečné porozumění zdravotním informacím, aby věděli, co dělat, b) schopnost aktivně spolupracovat s poskytovateli zdravotní péče. Výsledky studie ukaz</w:t>
      </w:r>
      <w:r w:rsidR="009F3056">
        <w:t>aly</w:t>
      </w:r>
      <w:r>
        <w:t>, že nízkou úroveň vzdělání mělo 18,6 % respondentů, 17,6 % kouřilo, 18,9 % bylo fyzicky neaktivních, 12,3 % mělo špatné stravování a 15,6 % bylo obézních. Zdravotní gramotnost obecně a schopnost porozumět informacím zejména vztah mezi dosaženým vzděláním a zdravím se vztahuje na fyzickou neaktivitu (20 %), špatné stravování (13 %) a obezitu (16 %).</w:t>
      </w:r>
      <w:r w:rsidR="007A5616">
        <w:t xml:space="preserve"> Znalosti o zdravotní gramotnosti skutečně fungují jako zprostředkovatelé vztahu mezi vzděláním a zdravím</w:t>
      </w:r>
      <w:r>
        <w:t xml:space="preserve"> (Friis et al, 2016, s. 54-56).</w:t>
      </w:r>
    </w:p>
    <w:p w:rsidR="00B34794" w:rsidRDefault="00DE18EF" w:rsidP="00C800E7">
      <w:pPr>
        <w:spacing w:line="360" w:lineRule="auto"/>
        <w:jc w:val="both"/>
      </w:pPr>
      <w:r>
        <w:lastRenderedPageBreak/>
        <w:tab/>
        <w:t xml:space="preserve">Wang et al. (2013) zkoumali vztah mezi zdravotní gramotností a vzděláním v různých životních dovednostech u Holandských dospělých. </w:t>
      </w:r>
      <w:r w:rsidRPr="00BC1F8B">
        <w:t>Adult Literacy and Life Skills Survey</w:t>
      </w:r>
      <w:r>
        <w:t xml:space="preserve"> (ALL) byla provedena u 5 136 respondentů ve věku od 25 let do 65 let. </w:t>
      </w:r>
      <w:r w:rsidRPr="00106E52">
        <w:t>Proměn</w:t>
      </w:r>
      <w:r w:rsidR="009F3056">
        <w:t>ou</w:t>
      </w:r>
      <w:r w:rsidRPr="00106E52">
        <w:t xml:space="preserve"> v</w:t>
      </w:r>
      <w:r>
        <w:t xml:space="preserve"> této studii </w:t>
      </w:r>
      <w:r w:rsidRPr="00106E52">
        <w:t>byl zdravotní</w:t>
      </w:r>
      <w:r>
        <w:t xml:space="preserve"> stav (subjektivní hlášení zdraví, fyzické a duševní zdraví), úroveň dosaženého vzdělání a zdravotní gramotnost. Výsledky studie o zdravotním stavu se </w:t>
      </w:r>
      <w:r w:rsidRPr="00A93D19">
        <w:t>pohyboval</w:t>
      </w:r>
      <w:r w:rsidR="00A93D19">
        <w:t>y</w:t>
      </w:r>
      <w:r>
        <w:t xml:space="preserve"> od </w:t>
      </w:r>
      <w:r w:rsidRPr="00A93D19">
        <w:t>12</w:t>
      </w:r>
      <w:r w:rsidR="00A93D19" w:rsidRPr="00A93D19">
        <w:t xml:space="preserve"> %</w:t>
      </w:r>
      <w:r w:rsidRPr="00A93D19">
        <w:t xml:space="preserve"> do 65,4</w:t>
      </w:r>
      <w:r w:rsidR="00A93D19">
        <w:t xml:space="preserve"> %</w:t>
      </w:r>
      <w:r w:rsidRPr="00D12AB8">
        <w:rPr>
          <w:color w:val="FF0000"/>
        </w:rPr>
        <w:t xml:space="preserve"> </w:t>
      </w:r>
      <w:r>
        <w:t xml:space="preserve">pro fyzické zdraví a od </w:t>
      </w:r>
      <w:r w:rsidRPr="00A93D19">
        <w:t>11,3</w:t>
      </w:r>
      <w:r w:rsidR="00A93D19" w:rsidRPr="00A93D19">
        <w:t xml:space="preserve"> %</w:t>
      </w:r>
      <w:r w:rsidRPr="00A93D19">
        <w:t xml:space="preserve"> do 70,5</w:t>
      </w:r>
      <w:r w:rsidR="00A93D19">
        <w:t xml:space="preserve"> %</w:t>
      </w:r>
      <w:r>
        <w:t xml:space="preserve"> pro duševní zdraví, přičemž průměrné skóre bylo nad dobrým zdravím. U zdravotní gramotnosti značná část respondentů prokázala špatnou, nebo velmi špatnou zdravotní gramotnost (43,4 % a 10,6 %), což ukazovalo, že čím vyšší je úroveň vzdělání, tím vyšší je podíl respondentů, kteří dosáhli přiměřené a </w:t>
      </w:r>
      <w:r w:rsidR="00A93D19">
        <w:t xml:space="preserve">dobré úrovně </w:t>
      </w:r>
      <w:r>
        <w:t xml:space="preserve">zdravotní gramotnosti. Dále studie dokázala, že čím nižší úroveň vzdělání, tím nižší úroveň zdravotní gramotností respondenta. </w:t>
      </w:r>
      <w:r w:rsidR="00015D72" w:rsidRPr="00A93D19">
        <w:t>Vzdělanější lidé měli více</w:t>
      </w:r>
      <w:r w:rsidRPr="00A93D19">
        <w:t xml:space="preserve"> dovednost</w:t>
      </w:r>
      <w:r w:rsidR="00015D72" w:rsidRPr="00A93D19">
        <w:t>í</w:t>
      </w:r>
      <w:r w:rsidRPr="00A93D19">
        <w:t xml:space="preserve"> v oblasti ZG</w:t>
      </w:r>
      <w:r w:rsidR="00015D72" w:rsidRPr="00A93D19">
        <w:t>, lepší hlášení zdravotního stavu</w:t>
      </w:r>
      <w:r w:rsidR="00A93D19" w:rsidRPr="00A93D19">
        <w:t>,</w:t>
      </w:r>
      <w:r>
        <w:t xml:space="preserve"> </w:t>
      </w:r>
      <w:r w:rsidR="00015D72">
        <w:t>zatím co nižší</w:t>
      </w:r>
      <w:r>
        <w:t xml:space="preserve"> vzdělání bylo spojeno s horším </w:t>
      </w:r>
      <w:r w:rsidR="00A93D19">
        <w:t xml:space="preserve">uváděním </w:t>
      </w:r>
      <w:r>
        <w:t>zdravotní</w:t>
      </w:r>
      <w:r w:rsidR="00A93D19">
        <w:t>ho</w:t>
      </w:r>
      <w:r>
        <w:t xml:space="preserve"> stav</w:t>
      </w:r>
      <w:r w:rsidR="00A93D19">
        <w:t>u</w:t>
      </w:r>
      <w:r>
        <w:t xml:space="preserve"> uváděným na vlastní kůži i pro fyzické a duševní zdraví. </w:t>
      </w:r>
      <w:r w:rsidRPr="00015D72">
        <w:t>Celkově výsledky dokazují, že zdravotní gramotnost</w:t>
      </w:r>
      <w:r w:rsidR="00015D72" w:rsidRPr="00015D72">
        <w:t xml:space="preserve"> částečně</w:t>
      </w:r>
      <w:r w:rsidRPr="00015D72">
        <w:t xml:space="preserve"> zprostředkovává </w:t>
      </w:r>
      <w:r w:rsidR="00015D72" w:rsidRPr="00015D72">
        <w:t>souvislost</w:t>
      </w:r>
      <w:r w:rsidRPr="00015D72">
        <w:t xml:space="preserve"> mezi nízkým vzděláním a </w:t>
      </w:r>
      <w:r w:rsidR="00015D72" w:rsidRPr="00015D72">
        <w:t>špatným</w:t>
      </w:r>
      <w:r w:rsidRPr="00015D72">
        <w:t xml:space="preserve"> zdravotním stavem.</w:t>
      </w:r>
      <w:r>
        <w:t xml:space="preserve"> Zlepšení zdravotní gramotnosti jako takové může být užitečnou strategií pro snižování rozdílů ve zdraví souvisejících se vzděláním (Wang et al., 2013, s. 172-179).</w:t>
      </w:r>
    </w:p>
    <w:p w:rsidR="00022EDF" w:rsidRPr="00022EDF" w:rsidRDefault="00022EDF" w:rsidP="00C800E7">
      <w:pPr>
        <w:pStyle w:val="Bezmezer"/>
        <w:spacing w:line="360" w:lineRule="auto"/>
        <w:jc w:val="both"/>
      </w:pPr>
    </w:p>
    <w:p w:rsidR="00E11937" w:rsidRPr="00022EDF" w:rsidRDefault="00022EDF" w:rsidP="00C800E7">
      <w:pPr>
        <w:pStyle w:val="Bezmezer"/>
        <w:numPr>
          <w:ilvl w:val="0"/>
          <w:numId w:val="21"/>
        </w:numPr>
        <w:spacing w:line="360" w:lineRule="auto"/>
        <w:jc w:val="both"/>
      </w:pPr>
      <w:r>
        <w:t>Příslušnost etnické menšiny jako faktor ovlivňující ZG</w:t>
      </w:r>
    </w:p>
    <w:p w:rsidR="00E11937" w:rsidRDefault="006C4287" w:rsidP="00C800E7">
      <w:pPr>
        <w:spacing w:line="360" w:lineRule="auto"/>
        <w:ind w:firstLine="708"/>
        <w:jc w:val="both"/>
      </w:pPr>
      <w:r>
        <w:t xml:space="preserve">V </w:t>
      </w:r>
      <w:r w:rsidR="00E9491B" w:rsidRPr="006C4287">
        <w:t>Nizozemsk</w:t>
      </w:r>
      <w:r w:rsidRPr="006C4287">
        <w:t>é</w:t>
      </w:r>
      <w:r w:rsidR="00E9491B" w:rsidRPr="006C4287">
        <w:t xml:space="preserve"> studi</w:t>
      </w:r>
      <w:r w:rsidRPr="006C4287">
        <w:t>i</w:t>
      </w:r>
      <w:r w:rsidR="00E9491B" w:rsidRPr="006C4287">
        <w:t xml:space="preserve"> za pomocí</w:t>
      </w:r>
      <w:r w:rsidR="00E9491B">
        <w:t xml:space="preserve"> dotazníku HLQ (Health Literacy Questionnare) a </w:t>
      </w:r>
      <w:r w:rsidR="00E9491B" w:rsidRPr="006C4287">
        <w:t>definice WHO o zdravotní gramotnosti</w:t>
      </w:r>
      <w:r w:rsidR="00E9491B">
        <w:t xml:space="preserve"> </w:t>
      </w:r>
      <w:r>
        <w:t>byl</w:t>
      </w:r>
      <w:r w:rsidR="009F3056">
        <w:t>o</w:t>
      </w:r>
      <w:r>
        <w:t xml:space="preserve"> </w:t>
      </w:r>
      <w:r w:rsidR="00E9491B">
        <w:t>porovnáv</w:t>
      </w:r>
      <w:r>
        <w:t>án</w:t>
      </w:r>
      <w:r w:rsidR="009F3056">
        <w:t>o</w:t>
      </w:r>
      <w:r w:rsidR="00E9491B">
        <w:t xml:space="preserve">, jaká je úroveň zdravotní gramotnosti dospělé etnické menšiny v oblasti zdraví s porovnáním s domorodou populací. Ve </w:t>
      </w:r>
      <w:r w:rsidR="00E9491B" w:rsidRPr="00DC51F6">
        <w:t>studi</w:t>
      </w:r>
      <w:r w:rsidR="00DC51F6" w:rsidRPr="00DC51F6">
        <w:t>i</w:t>
      </w:r>
      <w:r w:rsidR="00E9491B">
        <w:t xml:space="preserve"> se porovnávala návštěvnost etni</w:t>
      </w:r>
      <w:r w:rsidR="009F3056">
        <w:t>ka</w:t>
      </w:r>
      <w:r w:rsidR="00E9491B">
        <w:t xml:space="preserve"> u praktického lékaře. Nejčetnější etnickou menšinou v Nizozemsku jsou lidé z Maroka, Turecka, Surinamu a Nizozemských Antil. Do studie bylo zahrnuto 974 respondentů. Rozdíly v úrovni zdravotní gramotnosti </w:t>
      </w:r>
      <w:r w:rsidR="00E9491B" w:rsidRPr="00A93D19">
        <w:t>byl</w:t>
      </w:r>
      <w:r w:rsidR="00A93D19">
        <w:t>y</w:t>
      </w:r>
      <w:r w:rsidR="00E9491B">
        <w:t xml:space="preserve"> zjištěny pouze mezi Tureckou populací a Holandskými (domorodými) obyvateli a to </w:t>
      </w:r>
      <w:r w:rsidR="00E9491B" w:rsidRPr="00A93D19">
        <w:t>pro</w:t>
      </w:r>
      <w:r w:rsidR="00A93D19">
        <w:t>to, že se turečtí lidé</w:t>
      </w:r>
      <w:r w:rsidR="00E9491B" w:rsidRPr="00A93D19">
        <w:t xml:space="preserve"> špatně orientovali v systému zdravotní péče, měli problémy se čtením, vyhledáváním a porozuměním zdravotní</w:t>
      </w:r>
      <w:r w:rsidR="009F3056">
        <w:t>m</w:t>
      </w:r>
      <w:r w:rsidR="00E9491B" w:rsidRPr="00A93D19">
        <w:t xml:space="preserve"> informací</w:t>
      </w:r>
      <w:r w:rsidR="009F3056">
        <w:t>m</w:t>
      </w:r>
      <w:r w:rsidR="00E9491B" w:rsidRPr="00A93D19">
        <w:t>.</w:t>
      </w:r>
      <w:r w:rsidR="00E858D5" w:rsidRPr="00A93D19">
        <w:t xml:space="preserve"> </w:t>
      </w:r>
      <w:r w:rsidR="00E9491B">
        <w:t>Studie také zjistila, že etnická menšina navštěvuje praktického lékaře o 33 % častěji</w:t>
      </w:r>
      <w:r w:rsidR="00FE0859">
        <w:t xml:space="preserve"> </w:t>
      </w:r>
      <w:r w:rsidR="00E9491B">
        <w:t xml:space="preserve">než Holanďané. U ostatních etnických menšin </w:t>
      </w:r>
      <w:r w:rsidR="00E56A21">
        <w:t>nebyl</w:t>
      </w:r>
      <w:r w:rsidR="009F3056">
        <w:t>y</w:t>
      </w:r>
      <w:r w:rsidR="00E56A21">
        <w:t xml:space="preserve"> </w:t>
      </w:r>
      <w:r w:rsidR="00E9491B">
        <w:t xml:space="preserve">zjištěny žádné rozdíly </w:t>
      </w:r>
      <w:r w:rsidR="000547A1">
        <w:t>(Gaag et al., 2017, 1-8).</w:t>
      </w:r>
    </w:p>
    <w:p w:rsidR="00022EDF" w:rsidRPr="00022EDF" w:rsidRDefault="00022EDF" w:rsidP="00C800E7">
      <w:pPr>
        <w:pStyle w:val="Bezmezer"/>
        <w:spacing w:line="360" w:lineRule="auto"/>
        <w:jc w:val="both"/>
      </w:pPr>
    </w:p>
    <w:p w:rsidR="00022EDF" w:rsidRPr="00022EDF" w:rsidRDefault="008F321C" w:rsidP="00C800E7">
      <w:pPr>
        <w:pStyle w:val="Bezmezer"/>
        <w:numPr>
          <w:ilvl w:val="0"/>
          <w:numId w:val="21"/>
        </w:numPr>
        <w:spacing w:line="360" w:lineRule="auto"/>
        <w:jc w:val="both"/>
      </w:pPr>
      <w:r w:rsidRPr="00022EDF">
        <w:t>Soci</w:t>
      </w:r>
      <w:r w:rsidR="000A2090" w:rsidRPr="00022EDF">
        <w:t xml:space="preserve">álně </w:t>
      </w:r>
      <w:r w:rsidRPr="00022EDF">
        <w:t>- e</w:t>
      </w:r>
      <w:r w:rsidR="000B5EF1" w:rsidRPr="00022EDF">
        <w:t>konomický stav</w:t>
      </w:r>
      <w:r w:rsidR="00022EDF">
        <w:t xml:space="preserve"> jako faktor ovlivňující ZG</w:t>
      </w:r>
    </w:p>
    <w:p w:rsidR="008F321C" w:rsidRDefault="000C1AD9" w:rsidP="00C800E7">
      <w:pPr>
        <w:spacing w:line="360" w:lineRule="auto"/>
        <w:ind w:firstLine="708"/>
        <w:jc w:val="both"/>
        <w:rPr>
          <w:shd w:val="clear" w:color="auto" w:fill="FFFFFF"/>
        </w:rPr>
      </w:pPr>
      <w:r>
        <w:t>Výzkumy dokazují, že úroveň zdravotní gramotnost je spojena s finanční nerovností</w:t>
      </w:r>
      <w:r w:rsidR="007E20F3">
        <w:t>.</w:t>
      </w:r>
      <w:r>
        <w:t xml:space="preserve"> </w:t>
      </w:r>
      <w:r w:rsidR="007E20F3">
        <w:t>L</w:t>
      </w:r>
      <w:r>
        <w:t>idé,</w:t>
      </w:r>
      <w:r w:rsidR="008F321C">
        <w:t xml:space="preserve"> </w:t>
      </w:r>
      <w:r>
        <w:t>kteří mají nižší příjem mají také horší zdravotní výsledky a také nižší zdravotní gramotnost</w:t>
      </w:r>
      <w:r w:rsidR="003F5051">
        <w:t xml:space="preserve"> (Mantwill et al., 2015, s.2).</w:t>
      </w:r>
      <w:r w:rsidR="00A86E0A">
        <w:t xml:space="preserve"> </w:t>
      </w:r>
      <w:r w:rsidR="008F321C" w:rsidRPr="006C4287">
        <w:rPr>
          <w:shd w:val="clear" w:color="auto" w:fill="FFFFFF"/>
        </w:rPr>
        <w:t xml:space="preserve">Nigerie, která je známá pro velkou chudobu je jednou </w:t>
      </w:r>
      <w:r w:rsidR="008F321C" w:rsidRPr="006C4287">
        <w:rPr>
          <w:shd w:val="clear" w:color="auto" w:fill="FFFFFF"/>
        </w:rPr>
        <w:lastRenderedPageBreak/>
        <w:t>ze zemí,</w:t>
      </w:r>
      <w:r w:rsidR="008F321C">
        <w:rPr>
          <w:shd w:val="clear" w:color="auto" w:fill="FFFFFF"/>
        </w:rPr>
        <w:t xml:space="preserve"> která dokazuje, že socioekonomický status ovlivňuje úroveň zdravotní gramotnosti. Dokazuje to hlavně předčasná úmrtnost, která je v průměru 52 let. Lidé žijící v této zemi trpí chudobou a nízkým vzděláním. Tito lidé mají problém s porozuměním informací ve využití preventivních služeb, neumí popsat své obtíže, zvyšuje se u nich nemocnost, často navštěvují lékaře a jsou hospitalizováni</w:t>
      </w:r>
      <w:r w:rsidR="009F3056">
        <w:rPr>
          <w:shd w:val="clear" w:color="auto" w:fill="FFFFFF"/>
        </w:rPr>
        <w:t>. T</w:t>
      </w:r>
      <w:r w:rsidR="008F321C">
        <w:rPr>
          <w:shd w:val="clear" w:color="auto" w:fill="FFFFFF"/>
        </w:rPr>
        <w:t xml:space="preserve">ímto se pak zvyšují výdaje na zdravotní péči a dochází k ekonomickým ztrátám. </w:t>
      </w:r>
      <w:r w:rsidR="008F321C" w:rsidRPr="002642DE">
        <w:rPr>
          <w:shd w:val="clear" w:color="auto" w:fill="FFFFFF"/>
        </w:rPr>
        <w:t>Nezbytným řešením je vyvinout strategie a programy, které zajistí, aby Nigérijcům byla poskytnuta pomoc v oblasti negramotnosti</w:t>
      </w:r>
      <w:r w:rsidR="008F321C">
        <w:rPr>
          <w:shd w:val="clear" w:color="auto" w:fill="FFFFFF"/>
        </w:rPr>
        <w:t xml:space="preserve"> (Adekoya, 2015, s.  112-113).</w:t>
      </w:r>
    </w:p>
    <w:p w:rsidR="001C03DF" w:rsidRDefault="000A2090" w:rsidP="00C800E7">
      <w:pPr>
        <w:spacing w:line="360" w:lineRule="auto"/>
        <w:jc w:val="both"/>
      </w:pPr>
      <w:r>
        <w:tab/>
        <w:t xml:space="preserve">Cílem studie provedené ve Florencii bylo zjistit, zda funkční zdravotní gramotnost má vliv na vztah sociálně-ekonomického faktoru a zdravotní stav dospělé populace. Studie </w:t>
      </w:r>
      <w:r w:rsidRPr="00876E91">
        <w:t>Newest Vital Sign-Italian</w:t>
      </w:r>
      <w:r>
        <w:t xml:space="preserve"> (NVS-IT) se zúčastnilo 452 respondentů. Pro studii </w:t>
      </w:r>
      <w:r w:rsidRPr="003B4E38">
        <w:t>byl</w:t>
      </w:r>
      <w:r w:rsidR="003B4E38" w:rsidRPr="003B4E38">
        <w:t>y</w:t>
      </w:r>
      <w:r w:rsidRPr="003B4E38">
        <w:t xml:space="preserve"> z</w:t>
      </w:r>
      <w:r>
        <w:t xml:space="preserve">voleny následující proměnné: věk, přítomnost chronického onemocnění, pohlaví, úroveň vzdělání finanční stav a subjektivní hodnocení zdraví. </w:t>
      </w:r>
      <w:r w:rsidRPr="003B4E38">
        <w:t>Položka</w:t>
      </w:r>
      <w:r>
        <w:t xml:space="preserve"> finančního stavu byla hodnocena na základě </w:t>
      </w:r>
      <w:r w:rsidR="003B4E38">
        <w:t>dotazu</w:t>
      </w:r>
      <w:r>
        <w:t xml:space="preserve"> (zda příjem je dostačující na pokrytí měsíčních životních nákladů)</w:t>
      </w:r>
      <w:r w:rsidR="009F3056">
        <w:t>. D</w:t>
      </w:r>
      <w:r>
        <w:t>le</w:t>
      </w:r>
      <w:r w:rsidR="003B4E38">
        <w:t xml:space="preserve"> výsledku</w:t>
      </w:r>
      <w:r>
        <w:t xml:space="preserve"> byl</w:t>
      </w:r>
      <w:r w:rsidR="009F3056">
        <w:t>y</w:t>
      </w:r>
      <w:r w:rsidR="003B4E38">
        <w:t xml:space="preserve"> odpovědi</w:t>
      </w:r>
      <w:r>
        <w:t xml:space="preserve"> rozdělen</w:t>
      </w:r>
      <w:r w:rsidR="009F3056">
        <w:t>y</w:t>
      </w:r>
      <w:r>
        <w:t xml:space="preserve"> do kategorií</w:t>
      </w:r>
      <w:r w:rsidR="009F3056">
        <w:t>-</w:t>
      </w:r>
      <w:r>
        <w:t xml:space="preserve"> více než adekvátní, adekvátní, stěží adekvátní, nedostačující. 69,9 % uvádělo příjem adekvátní, nebo více než adekvátní na pokrytí měsíčních výdajů. Z výsledku studie je dokazatelné, že účastníci s neadekvátním příjmem měli horší poměr neadekvátní nebo rizikové zdravotní gramotnosti ve srovnání s těmi, kteří uváděli adekvátní, nebo více než adekvátní v poměru </w:t>
      </w:r>
      <w:r w:rsidRPr="003B4E38">
        <w:t>1,</w:t>
      </w:r>
      <w:r w:rsidR="00C113E4" w:rsidRPr="003B4E38">
        <w:t xml:space="preserve"> </w:t>
      </w:r>
      <w:r w:rsidRPr="003B4E38">
        <w:t>28</w:t>
      </w:r>
      <w:r w:rsidR="00C113E4" w:rsidRPr="003B4E38">
        <w:t xml:space="preserve"> </w:t>
      </w:r>
      <w:r w:rsidRPr="003B4E38">
        <w:t>-</w:t>
      </w:r>
      <w:r w:rsidR="00C113E4" w:rsidRPr="003B4E38">
        <w:t xml:space="preserve"> </w:t>
      </w:r>
      <w:r w:rsidRPr="003B4E38">
        <w:t>3,</w:t>
      </w:r>
      <w:r w:rsidR="00C113E4" w:rsidRPr="003B4E38">
        <w:t xml:space="preserve"> </w:t>
      </w:r>
      <w:r w:rsidRPr="003B4E38">
        <w:t>21. Funkční ZG tedy může sloužit jako cesta, kterou sociálně-ekonomický stav ovlivňuje status zdravotní. Zdravotní gramotnost může být cenný a použitelný meziprodukt pro řešení nerovností v oblasti zdraví, k tomu je však zapotřebí dalších studii (Lastrucci et al., 2019, s. 1-6).</w:t>
      </w:r>
      <w:r>
        <w:t xml:space="preserve"> </w:t>
      </w:r>
    </w:p>
    <w:p w:rsidR="00E11937" w:rsidRPr="00E11937" w:rsidRDefault="001C03DF" w:rsidP="001C03DF">
      <w:pPr>
        <w:pStyle w:val="Bezmezer"/>
      </w:pPr>
      <w:r>
        <w:br w:type="page"/>
      </w:r>
    </w:p>
    <w:p w:rsidR="00E11937" w:rsidRPr="00E56290" w:rsidRDefault="00E11937" w:rsidP="00C800E7">
      <w:pPr>
        <w:pStyle w:val="Nadpis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4443706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2.2 </w:t>
      </w:r>
      <w:r w:rsidR="000B5EF1" w:rsidRPr="00E11937">
        <w:rPr>
          <w:rFonts w:ascii="Times New Roman" w:hAnsi="Times New Roman" w:cs="Times New Roman"/>
          <w:b/>
          <w:bCs/>
          <w:color w:val="auto"/>
          <w:sz w:val="28"/>
          <w:szCs w:val="28"/>
        </w:rPr>
        <w:t>Pracovní kompetence všeobecných sester v subvenci zdravotní gramotnosti</w:t>
      </w:r>
      <w:bookmarkEnd w:id="9"/>
    </w:p>
    <w:p w:rsidR="00E01F94" w:rsidRDefault="00937952" w:rsidP="00C800E7">
      <w:pPr>
        <w:pStyle w:val="Bezmezer"/>
        <w:spacing w:line="360" w:lineRule="auto"/>
        <w:ind w:firstLine="708"/>
        <w:jc w:val="both"/>
      </w:pPr>
      <w:r>
        <w:t>Zdravotní gramotnost se vztahuje nejen na dovednosti a schopnosti pacientů, ale také na osoby poskytující zdravotní výchovu a péči, včetně všeobecných sester</w:t>
      </w:r>
      <w:r w:rsidR="007F66E2">
        <w:t xml:space="preserve"> (Foster et al., 2016, s. 433) V populaci zdravotníků mají ne</w:t>
      </w:r>
      <w:r w:rsidR="00EF1881">
        <w:t>j</w:t>
      </w:r>
      <w:r w:rsidR="007F66E2">
        <w:t>větší zastoupení, a proto jsou to právě ony, kdo se výrazně podílí na zvyšování zdravotní gramotnosti laické veřejnosti a pozitivně</w:t>
      </w:r>
      <w:r w:rsidR="00EF1881">
        <w:t xml:space="preserve"> tak</w:t>
      </w:r>
      <w:r w:rsidR="007F66E2">
        <w:t xml:space="preserve"> ovlivňují systém péče</w:t>
      </w:r>
      <w:r w:rsidR="00534314">
        <w:t>, tím že v něm realizují změny a zlepšují kvalitu zdravotní edukace</w:t>
      </w:r>
      <w:r w:rsidR="007F66E2">
        <w:t>.</w:t>
      </w:r>
      <w:r w:rsidR="00534314">
        <w:t xml:space="preserve"> To je bráno jako účinný nástroj, pomocí kterého sestry lidem efektivně napomáhají pečovat o zdraví</w:t>
      </w:r>
      <w:r w:rsidR="007F66E2">
        <w:t xml:space="preserve"> </w:t>
      </w:r>
      <w:r w:rsidR="00534314">
        <w:t>a zlepš</w:t>
      </w:r>
      <w:r w:rsidR="00EF1881">
        <w:t>ovat</w:t>
      </w:r>
      <w:r w:rsidR="00534314">
        <w:t xml:space="preserve"> tak </w:t>
      </w:r>
      <w:r w:rsidR="00534314" w:rsidRPr="007830B2">
        <w:t>jej</w:t>
      </w:r>
      <w:r w:rsidR="007830B2" w:rsidRPr="007830B2">
        <w:t>i</w:t>
      </w:r>
      <w:r w:rsidR="00534314" w:rsidRPr="007830B2">
        <w:t>ch</w:t>
      </w:r>
      <w:r w:rsidR="00534314">
        <w:t xml:space="preserve"> celkový zdravotní stav. </w:t>
      </w:r>
      <w:r w:rsidR="007F66E2">
        <w:t xml:space="preserve">Podmínkou však je, aby všeobecné sestry </w:t>
      </w:r>
      <w:r w:rsidR="00591277">
        <w:t xml:space="preserve">byly kompetentní jak v oblasti sociální, tak v oblasti emocionální, dále aby </w:t>
      </w:r>
      <w:r w:rsidR="00591277" w:rsidRPr="007830B2">
        <w:t>byl</w:t>
      </w:r>
      <w:r w:rsidR="007830B2" w:rsidRPr="007830B2">
        <w:t>y</w:t>
      </w:r>
      <w:r w:rsidR="00591277">
        <w:t xml:space="preserve"> vybaveny dovednostmi, jako je komunikativnost, empatie</w:t>
      </w:r>
      <w:r w:rsidR="00766BCB">
        <w:t>,</w:t>
      </w:r>
      <w:r w:rsidR="00766BCB" w:rsidRPr="00766BCB">
        <w:t xml:space="preserve"> </w:t>
      </w:r>
      <w:r w:rsidR="00766BCB">
        <w:t>uměním edukovat pacienta na základě individuálních potřeb</w:t>
      </w:r>
      <w:r w:rsidR="00591277">
        <w:t xml:space="preserve"> a aby byly ochotné pacientovi věnovat dostatek času</w:t>
      </w:r>
      <w:r w:rsidR="007F66E2">
        <w:t xml:space="preserve"> (Kaas et al, 2016, s. 250</w:t>
      </w:r>
      <w:r w:rsidR="00534314">
        <w:t>-251</w:t>
      </w:r>
      <w:r w:rsidR="007F66E2">
        <w:t>). D</w:t>
      </w:r>
      <w:r>
        <w:t>ůleži</w:t>
      </w:r>
      <w:r w:rsidR="00EF1881">
        <w:t xml:space="preserve">tou roli mají </w:t>
      </w:r>
      <w:r>
        <w:t>zejména ve vzdělávání pacientů. Ovlivňují tak dopad na omezenou zdravotní gramotnost tím, že hodnotí pacienty z hlediska překážek ve čtení, edukují je a hodnotí</w:t>
      </w:r>
      <w:r w:rsidR="007D500A">
        <w:t xml:space="preserve"> jejich</w:t>
      </w:r>
      <w:r>
        <w:t xml:space="preserve"> porozumění </w:t>
      </w:r>
      <w:r w:rsidR="007D500A">
        <w:t xml:space="preserve">v </w:t>
      </w:r>
      <w:r>
        <w:t>získaných informací.</w:t>
      </w:r>
      <w:r w:rsidR="00843867">
        <w:t xml:space="preserve"> Všeobecné sestry musí mít dovednosti aplikovat principy zdravotní gramotnosti na písemné zdroje vzdělávání pacientů</w:t>
      </w:r>
      <w:r w:rsidR="00371080">
        <w:t>. Aby</w:t>
      </w:r>
      <w:r w:rsidR="004B53FF">
        <w:t xml:space="preserve"> však</w:t>
      </w:r>
      <w:r w:rsidR="00371080">
        <w:t xml:space="preserve"> sestra v roli vychovatele mohla úspěšně vytvořit čiteln</w:t>
      </w:r>
      <w:r w:rsidR="00E01F94">
        <w:t>ě</w:t>
      </w:r>
      <w:r w:rsidR="00371080">
        <w:t xml:space="preserve"> psaný zdroj pro vzdělávání pacientů, je potřeba aplikovat i klinické znalosti </w:t>
      </w:r>
      <w:r>
        <w:t>(Foster et al., 2016, s. 433</w:t>
      </w:r>
      <w:r w:rsidR="00371080">
        <w:t>-434</w:t>
      </w:r>
      <w:r>
        <w:t>).</w:t>
      </w:r>
      <w:r w:rsidR="00E01F94">
        <w:t xml:space="preserve"> Podpora zdravotní gramotnosti v ošetřovatelství opravdu existuje, bohužel ne vždy je potencionál tohoto konceptu sestrami plnohodnotně využíván. Edukace pacientů je víceméně v rukou sester, ale i </w:t>
      </w:r>
      <w:r w:rsidR="00E01F94" w:rsidRPr="002642DE">
        <w:t>tak</w:t>
      </w:r>
      <w:r w:rsidR="002642DE" w:rsidRPr="002642DE">
        <w:t> jsou někdy v </w:t>
      </w:r>
      <w:r w:rsidR="00E01F94" w:rsidRPr="002642DE">
        <w:t>ošetřovatels</w:t>
      </w:r>
      <w:r w:rsidR="002642DE" w:rsidRPr="002642DE">
        <w:t>ké profesi nedostatky</w:t>
      </w:r>
      <w:r w:rsidR="00E01F94" w:rsidRPr="002642DE">
        <w:t xml:space="preserve"> podvědomí o problematice zdravotní gramotnosti,</w:t>
      </w:r>
      <w:r w:rsidR="00E01F94">
        <w:t xml:space="preserve"> proto je důležité i sestry v tomto směru vzdělávat, neboť je to označováno jako správný směr k </w:t>
      </w:r>
      <w:r w:rsidR="00E01F94" w:rsidRPr="00724BEB">
        <w:t>dos</w:t>
      </w:r>
      <w:r w:rsidR="00724BEB">
        <w:t>a</w:t>
      </w:r>
      <w:r w:rsidR="00724BEB" w:rsidRPr="00724BEB">
        <w:t>žení</w:t>
      </w:r>
      <w:r w:rsidR="00E01F94">
        <w:t xml:space="preserve"> pozitivních výsledků ve zdraví lidí</w:t>
      </w:r>
      <w:r w:rsidR="002E29E3">
        <w:t xml:space="preserve"> </w:t>
      </w:r>
      <w:r w:rsidR="00E01F94">
        <w:t>(Kaas, 2016, s. 251)</w:t>
      </w:r>
      <w:r w:rsidR="001637EE">
        <w:t>.</w:t>
      </w:r>
    </w:p>
    <w:p w:rsidR="00EA6D8B" w:rsidRPr="002D4F71" w:rsidRDefault="00EA6D8B" w:rsidP="00C800E7">
      <w:pPr>
        <w:spacing w:before="30" w:line="360" w:lineRule="auto"/>
        <w:ind w:firstLine="708"/>
        <w:jc w:val="both"/>
        <w:rPr>
          <w:sz w:val="28"/>
          <w:szCs w:val="24"/>
        </w:rPr>
      </w:pPr>
      <w:r>
        <w:t xml:space="preserve">Pro podporu zdraví jedinců je důležité znát i zdravotní gramotnost všeobecných sester, jelikož osvojené projevy a chování zdravotnického personálu v oblasti zdravého životního stylu mohou motivovat pacienty ke zlepšení jejich zdraví. Sestry proto musí </w:t>
      </w:r>
      <w:r w:rsidR="00F77E9B">
        <w:t xml:space="preserve">klientům (nemocným) </w:t>
      </w:r>
      <w:r>
        <w:t>poskytovat dostatečné informace</w:t>
      </w:r>
      <w:r w:rsidR="00F77E9B" w:rsidRPr="00F77E9B">
        <w:t>,</w:t>
      </w:r>
      <w:r w:rsidRPr="00F77E9B">
        <w:t xml:space="preserve"> které ved</w:t>
      </w:r>
      <w:r w:rsidR="00F77E9B" w:rsidRPr="00F77E9B">
        <w:t>ou</w:t>
      </w:r>
      <w:r>
        <w:t xml:space="preserve"> k prevenci nemocí a podpoře zdraví</w:t>
      </w:r>
      <w:r w:rsidR="0058286D">
        <w:t xml:space="preserve"> (Goggins et al. 2016, s. 4)</w:t>
      </w:r>
      <w:r w:rsidR="00E97EE4">
        <w:t>.</w:t>
      </w:r>
      <w:r w:rsidR="00E97EE4" w:rsidRPr="00E97EE4">
        <w:rPr>
          <w:color w:val="FF0000"/>
        </w:rPr>
        <w:t xml:space="preserve"> </w:t>
      </w:r>
      <w:r>
        <w:t xml:space="preserve">Coskun ve své studii zjišťoval jaký je vliv kurzů podpory zdraví na rozvoj zdravého životního </w:t>
      </w:r>
      <w:r w:rsidRPr="00F77E9B">
        <w:t>stylu u studentů všeobecných</w:t>
      </w:r>
      <w:r w:rsidR="007830B2">
        <w:t xml:space="preserve"> sester</w:t>
      </w:r>
      <w:r>
        <w:t xml:space="preserve"> a jestli jsou schopni určit kvalitu informací získaných z internetu. Do studie bylo zahrnuto 133 studentů, kteří tento kurz absolvovali. Po proběhnutí kurzu byla zhodnocena změna chování ve zdravém životním stylu.  Z výsledků studie vyplývá, že </w:t>
      </w:r>
      <w:r w:rsidRPr="007830B2">
        <w:t>63,9</w:t>
      </w:r>
      <w:r w:rsidR="007830B2" w:rsidRPr="007830B2">
        <w:t xml:space="preserve"> </w:t>
      </w:r>
      <w:r w:rsidRPr="007830B2">
        <w:t>%</w:t>
      </w:r>
      <w:r>
        <w:t xml:space="preserve"> studentů je schopno určit</w:t>
      </w:r>
      <w:r w:rsidRPr="00C02478">
        <w:t xml:space="preserve">, zda informace nalezené na internetu </w:t>
      </w:r>
      <w:r>
        <w:t>jsou</w:t>
      </w:r>
      <w:r w:rsidRPr="00C02478">
        <w:t xml:space="preserve"> vysoce kvalitní nebo ne</w:t>
      </w:r>
      <w:r>
        <w:t xml:space="preserve">. </w:t>
      </w:r>
      <w:r w:rsidRPr="00F77E9B">
        <w:t xml:space="preserve">Informace uvedené na internetu jsou pro jednotlivce </w:t>
      </w:r>
      <w:r w:rsidRPr="00F77E9B">
        <w:lastRenderedPageBreak/>
        <w:t>nebezpečné, jelikož nejsou spolehlivé. Z tohoto důvodu je důležité zlepšit schopnost jednotlivců pochopit a využít zdravotní informace nalezené na internetu. Ošetřovatelé musí být znalí v informacích o zdraví nalezených na internetu, aby podporovali pacienty a jejich rodiny. Zdravotničtí pracovníci jsou bráni jako zdatnější v pozitivním chování než ostatní lidé v oblasti zdravého životního stylu, proto je od všeobecných sester očekáváno, že budou pro pacienty vzorem a povedou pacienty k prevenci nemocí a podpoře zdraví. Je důležité znát úroveň zdravotní gramotnosti sester, neboť sestry by měly být schopny posoudit a vyhodnotit zdravotní informace. Je dokazatelné</w:t>
      </w:r>
      <w:r w:rsidR="009F3056">
        <w:t>,</w:t>
      </w:r>
      <w:r w:rsidRPr="00F77E9B">
        <w:t xml:space="preserve"> že díky účasti zdravotníků na kurzech zaměřených na podporu zdraví</w:t>
      </w:r>
      <w:r w:rsidR="009F3056">
        <w:t>,</w:t>
      </w:r>
      <w:r w:rsidRPr="00F77E9B">
        <w:t xml:space="preserve"> jedinci s vysokou zdravotní gramotností mají pozitivní výsledky na zdravotní chování.</w:t>
      </w:r>
      <w:r w:rsidRPr="00FF40E5">
        <w:t xml:space="preserve"> (Coşkun et. al., 2019, s. 52-5</w:t>
      </w:r>
      <w:r>
        <w:t>8</w:t>
      </w:r>
      <w:r w:rsidRPr="00FF40E5">
        <w:t>).</w:t>
      </w:r>
    </w:p>
    <w:p w:rsidR="00E11937" w:rsidRDefault="001637EE" w:rsidP="00C800E7">
      <w:pPr>
        <w:spacing w:line="360" w:lineRule="auto"/>
        <w:jc w:val="both"/>
      </w:pPr>
      <w:r>
        <w:tab/>
        <w:t xml:space="preserve">Úlohou zdravotnického týmu je, aby pacientovi </w:t>
      </w:r>
      <w:r w:rsidRPr="00974EC1">
        <w:t>byl</w:t>
      </w:r>
      <w:r w:rsidR="009F3056">
        <w:t>y</w:t>
      </w:r>
      <w:r>
        <w:t xml:space="preserve"> dostatečně a srozumitelně podan</w:t>
      </w:r>
      <w:r w:rsidR="009F3056">
        <w:t>y</w:t>
      </w:r>
      <w:r>
        <w:t xml:space="preserve"> informace a aby měl potřebné zdroje ke svému rozhodování. </w:t>
      </w:r>
      <w:r w:rsidR="00636889">
        <w:t>Všeobecné s</w:t>
      </w:r>
      <w:r>
        <w:t xml:space="preserve">estry by však k informovanosti pacientů </w:t>
      </w:r>
      <w:r w:rsidRPr="00636889">
        <w:t>měl</w:t>
      </w:r>
      <w:r w:rsidR="00636889" w:rsidRPr="00636889">
        <w:t>y</w:t>
      </w:r>
      <w:r>
        <w:t xml:space="preserve"> používat osvědčené postupy v oblasti zdravotní gramotnosti pomocí ústních a písemných komunikačních strategií založených na důkazech. </w:t>
      </w:r>
      <w:r w:rsidR="0015600F">
        <w:t xml:space="preserve">Pokud všeobecná sestra u pacientů </w:t>
      </w:r>
      <w:r w:rsidR="0015600F" w:rsidRPr="0015600F">
        <w:t>provádí</w:t>
      </w:r>
      <w:r w:rsidRPr="0015600F">
        <w:t xml:space="preserve"> základní všeobecn</w:t>
      </w:r>
      <w:r w:rsidR="0015600F" w:rsidRPr="0015600F">
        <w:t>á</w:t>
      </w:r>
      <w:r w:rsidRPr="0015600F">
        <w:t xml:space="preserve"> preventivn</w:t>
      </w:r>
      <w:r w:rsidR="0015600F" w:rsidRPr="0015600F">
        <w:t>í</w:t>
      </w:r>
      <w:r w:rsidRPr="0015600F">
        <w:t xml:space="preserve"> opatření a metod</w:t>
      </w:r>
      <w:r w:rsidR="0015600F" w:rsidRPr="0015600F">
        <w:t>y</w:t>
      </w:r>
      <w:r w:rsidRPr="0015600F">
        <w:t xml:space="preserve"> zpětného učení dochází k</w:t>
      </w:r>
      <w:r w:rsidR="00826B02" w:rsidRPr="0015600F">
        <w:t>e</w:t>
      </w:r>
      <w:r w:rsidRPr="0015600F">
        <w:t> zlepšení výsledků souvisejících s nízkou zdravotní gramotností.</w:t>
      </w:r>
      <w:r>
        <w:t xml:space="preserve"> Sestry by s každým pacientem, na základě sdělování informací, měly jednat tak, jak</w:t>
      </w:r>
      <w:r w:rsidR="00A25CBC">
        <w:t>o</w:t>
      </w:r>
      <w:r>
        <w:t xml:space="preserve"> kdyby měl nízkou úroveň zdravotní gramotnosti. Pacienti bez ohledu na </w:t>
      </w:r>
      <w:r w:rsidR="007830B2">
        <w:t>svou</w:t>
      </w:r>
      <w:r>
        <w:t xml:space="preserve"> úroveň oceňují přímou komunikační taktiku. Dodržování všeobecné gramotnosti v oblasti zdraví znamená použív</w:t>
      </w:r>
      <w:r w:rsidR="00330E2E">
        <w:t>at</w:t>
      </w:r>
      <w:r>
        <w:t xml:space="preserve"> různ</w:t>
      </w:r>
      <w:r w:rsidR="00330E2E">
        <w:t>é</w:t>
      </w:r>
      <w:r>
        <w:t xml:space="preserve"> nástroj</w:t>
      </w:r>
      <w:r w:rsidR="00330E2E">
        <w:t>e</w:t>
      </w:r>
      <w:r>
        <w:t xml:space="preserve"> k zajištění toho, aby písemná a ústní komunikace byla jasná, stručná a snadno srozumitelná. Komunikace jsou používány ve spojení s vhodnými písemnými strategiemi a obojí je sledováno metodou zpětného učení. Důležitou součástí ve sdělování informací je však používat jednoduchý jazyk bez lékařského žargónu, tak aby tomu pacient porozuměl. Součástí je mluvit pomalu, bez spěchu a začít s hlavními </w:t>
      </w:r>
      <w:r w:rsidRPr="00FF02E0">
        <w:t>cíl</w:t>
      </w:r>
      <w:r w:rsidR="00FF02E0" w:rsidRPr="00FF02E0">
        <w:t>i</w:t>
      </w:r>
      <w:r w:rsidRPr="00FF02E0">
        <w:t>.</w:t>
      </w:r>
      <w:r>
        <w:t xml:space="preserve"> Během rozhovoru pacienta vybízet k případným otázkám. Klíčové zprávy je nutné opakovat tak</w:t>
      </w:r>
      <w:r w:rsidR="00330E2E">
        <w:t>,</w:t>
      </w:r>
      <w:r>
        <w:t xml:space="preserve"> aby</w:t>
      </w:r>
      <w:r w:rsidR="00FF02E0">
        <w:t xml:space="preserve"> si je pacient dokázal zapamatovat</w:t>
      </w:r>
      <w:r>
        <w:t>. Komunikace může být obohacena také písemnou formou v prostém jazyce s omezením maximálně na tři hlavní body s obrázky, které odpovídají textu. Poté dochází k pobídnutí pacienta sestrou, aby vysvětlil, jak všemu porozuměl</w:t>
      </w:r>
      <w:r w:rsidR="00330E2E">
        <w:t>. P</w:t>
      </w:r>
      <w:r>
        <w:t>okud pacient podává chybnou zpětnou vazbu, je na všeobecné sestře, aby tyto chyby u pacienta opra</w:t>
      </w:r>
      <w:r w:rsidR="00330E2E">
        <w:t>vovala</w:t>
      </w:r>
      <w:r>
        <w:t>, dokud je nepochopí správným způsobem (Ballard et al., 2016, s. 232-234)</w:t>
      </w:r>
      <w:r w:rsidR="00A25CBC">
        <w:t xml:space="preserve">. </w:t>
      </w:r>
    </w:p>
    <w:p w:rsidR="0082026D" w:rsidRPr="00FF02E0" w:rsidRDefault="0067608C" w:rsidP="00C800E7">
      <w:pPr>
        <w:spacing w:line="360" w:lineRule="auto"/>
        <w:jc w:val="both"/>
        <w:rPr>
          <w:rFonts w:cs="Times New Roman"/>
          <w:color w:val="FF0000"/>
          <w:szCs w:val="24"/>
        </w:rPr>
      </w:pPr>
      <w:r>
        <w:tab/>
      </w:r>
      <w:r w:rsidRPr="00EC6A42">
        <w:t xml:space="preserve">Nedílnou součástí v péči o pacienta kromě vzdělávání pacientů a efektivní komunikace je také </w:t>
      </w:r>
      <w:r w:rsidR="00EC6A42" w:rsidRPr="00EC6A42">
        <w:t>pod</w:t>
      </w:r>
      <w:r w:rsidRPr="00EC6A42">
        <w:t>vědomí pacienta o zdravotní gramotnosti.</w:t>
      </w:r>
      <w:r>
        <w:t xml:space="preserve"> Dicknes et al. se ve své studii zabývali tím, jak všeobecné sestry umí odhadnout úroveň zdravotní gramotnosti pomocí testu </w:t>
      </w:r>
      <w:r w:rsidRPr="003A06BD">
        <w:t>NVS</w:t>
      </w:r>
      <w:r w:rsidR="003A06BD" w:rsidRPr="003A06BD">
        <w:t xml:space="preserve"> (Newest vital sing)</w:t>
      </w:r>
      <w:r w:rsidRPr="003A06BD">
        <w:t>.</w:t>
      </w:r>
      <w:r>
        <w:t xml:space="preserve"> Do studie bylo zahrnuto 30 sester a 65 pacientů starších 18 let. Výsledkem </w:t>
      </w:r>
      <w:r>
        <w:lastRenderedPageBreak/>
        <w:t>studie bylo, že všeobecné sestry nesprávně</w:t>
      </w:r>
      <w:r w:rsidR="00DC51F6">
        <w:t xml:space="preserve"> vyhodnotily</w:t>
      </w:r>
      <w:r>
        <w:t xml:space="preserve"> pacienty s nízkou zdravotní gramotností. V důsledku přeceňování úrovně pak může docházet k nesprávnému způsobu komunikace sestry s pacientem a následně i k neporozumění informací, které mu </w:t>
      </w:r>
      <w:r w:rsidRPr="00C800E7">
        <w:t>byl</w:t>
      </w:r>
      <w:r w:rsidR="00C800E7">
        <w:t>y</w:t>
      </w:r>
      <w:r>
        <w:t xml:space="preserve"> podány </w:t>
      </w:r>
      <w:r>
        <w:rPr>
          <w:rStyle w:val="authors"/>
          <w:rFonts w:cs="Times New Roman"/>
          <w:szCs w:val="24"/>
        </w:rPr>
        <w:t>(Dicknes, et al., 2013, s. 62-69</w:t>
      </w:r>
      <w:r w:rsidR="00FF02E0" w:rsidRPr="00FF02E0">
        <w:rPr>
          <w:rStyle w:val="authors"/>
          <w:rFonts w:cs="Times New Roman"/>
          <w:szCs w:val="24"/>
        </w:rPr>
        <w:t>).</w:t>
      </w:r>
      <w:r w:rsidR="00FF02E0">
        <w:rPr>
          <w:rStyle w:val="authors"/>
          <w:rFonts w:cs="Times New Roman"/>
          <w:color w:val="FF0000"/>
          <w:szCs w:val="24"/>
        </w:rPr>
        <w:t xml:space="preserve"> </w:t>
      </w:r>
      <w:r w:rsidR="0082026D">
        <w:t xml:space="preserve">V Íránské studii </w:t>
      </w:r>
      <w:r w:rsidR="0082026D" w:rsidRPr="00FF02E0">
        <w:t>byl</w:t>
      </w:r>
      <w:r w:rsidR="00FF02E0" w:rsidRPr="00FF02E0">
        <w:t>y</w:t>
      </w:r>
      <w:r w:rsidR="0082026D">
        <w:t xml:space="preserve"> zkoumány znalosti a praktické zkušenosti íránských registrovaných sester v oblasti zdravotní gramotnosti. </w:t>
      </w:r>
      <w:r w:rsidR="0082026D" w:rsidRPr="00301A05">
        <w:t>Health Literacy Knowledge Experience Survey (HL-KES</w:t>
      </w:r>
      <w:r w:rsidR="0082026D">
        <w:t xml:space="preserve">) byl proveden u 19 registrovaných sester pracujících v Teheránu. Test se skládal ze tří částí: část 1- demografie (7 položek), část 2- znalost v oblasti zdravotní gramotnosti (26 otázek) v pěti oblastech (1. základní fakta o ZG, 2. důsledky spojené s nízkou ZG, 3. Screening ZG, 4. pokyny pro písemné zdravotnické materiály, 5. hodnocení intervencí v oblasti ZG) a část 3 zkušenosti se ZG (osmi bodová stupnice pro měření účasti sester na činnostech souvisejících se ZG). </w:t>
      </w:r>
      <w:r w:rsidR="00FF02E0">
        <w:t xml:space="preserve">Pro dokončení tohoto </w:t>
      </w:r>
      <w:r w:rsidR="0082026D" w:rsidRPr="00FF02E0">
        <w:t xml:space="preserve">průzkumu </w:t>
      </w:r>
      <w:r w:rsidR="00FF02E0" w:rsidRPr="00FF02E0">
        <w:t xml:space="preserve">je potřeba </w:t>
      </w:r>
      <w:r w:rsidR="0082026D" w:rsidRPr="00FF02E0">
        <w:t>cca 15</w:t>
      </w:r>
      <w:r w:rsidR="00FF02E0" w:rsidRPr="00FF02E0">
        <w:t xml:space="preserve"> </w:t>
      </w:r>
      <w:r w:rsidR="0082026D" w:rsidRPr="00FF02E0">
        <w:t>min.</w:t>
      </w:r>
      <w:r w:rsidR="0082026D">
        <w:t xml:space="preserve"> </w:t>
      </w:r>
      <w:r w:rsidR="0082026D" w:rsidRPr="005127CF">
        <w:rPr>
          <w:lang w:eastAsia="cs-CZ"/>
        </w:rPr>
        <w:t>Procento správných odpovědí na pět otázek zahrnutých v této oblasti se pohybovalo mezi 18,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4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 a 40,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2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%.</w:t>
      </w:r>
      <w:r w:rsidR="0082026D" w:rsidRPr="005127CF">
        <w:rPr>
          <w:rFonts w:ascii="&amp;quot" w:eastAsia="Times New Roman" w:hAnsi="&amp;quot" w:cs="Times New Roman"/>
          <w:color w:val="777777"/>
          <w:sz w:val="27"/>
          <w:szCs w:val="27"/>
          <w:lang w:eastAsia="cs-CZ"/>
        </w:rPr>
        <w:t xml:space="preserve"> </w:t>
      </w:r>
      <w:r w:rsidR="0082026D" w:rsidRPr="005127CF">
        <w:rPr>
          <w:lang w:eastAsia="cs-CZ"/>
        </w:rPr>
        <w:t>Ačkoli 74 (38,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9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%) účastníků znalo definici funkční zdravotní gramotnosti a skutečnost, že omezená zdravotní gramotnost je nejčastější u osob starších 65 let, pouze 40 (21,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1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%) účastníků si bylo vědomo, že zdravotní gramotnost je lepším ukazatelem zdraví než úroveň vzdělání. Důsledky související s omezenou zdravotní gramotností.</w:t>
      </w:r>
      <w:r w:rsidR="0082026D">
        <w:t xml:space="preserve"> </w:t>
      </w:r>
      <w:r w:rsidR="0082026D" w:rsidRPr="005127CF">
        <w:rPr>
          <w:lang w:eastAsia="cs-CZ"/>
        </w:rPr>
        <w:t>105 (55,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3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%) účastníků vědělo o některých důsledcích omezené zdravotní gramotnosti, jako je například zpoždění diagnostiky a méně možností léčby, 125 (65,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8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 xml:space="preserve">%) nevědělo, že by lidé s omezenou zdravotní gramotností nemuseli mít zájem </w:t>
      </w:r>
      <w:r w:rsidR="0082026D">
        <w:rPr>
          <w:lang w:eastAsia="cs-CZ"/>
        </w:rPr>
        <w:t xml:space="preserve">o </w:t>
      </w:r>
      <w:r w:rsidR="0082026D" w:rsidRPr="005127CF">
        <w:rPr>
          <w:lang w:eastAsia="cs-CZ"/>
        </w:rPr>
        <w:t>účasti na preventivních zdravotních opatřeních. Zejména 166 (87,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4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 xml:space="preserve">%) účastníků nevědělo o běžném chování, které lidé projevují </w:t>
      </w:r>
      <w:r w:rsidR="00FF02E0">
        <w:rPr>
          <w:lang w:eastAsia="cs-CZ"/>
        </w:rPr>
        <w:t>tak</w:t>
      </w:r>
      <w:r w:rsidR="0082026D" w:rsidRPr="005127CF">
        <w:rPr>
          <w:lang w:eastAsia="cs-CZ"/>
        </w:rPr>
        <w:t xml:space="preserve">, že se vyhýbají stigmatizaci spojené s </w:t>
      </w:r>
      <w:r w:rsidR="0082026D" w:rsidRPr="00FF02E0">
        <w:rPr>
          <w:lang w:eastAsia="cs-CZ"/>
        </w:rPr>
        <w:t>tím</w:t>
      </w:r>
      <w:r w:rsidR="0082026D" w:rsidRPr="005127CF">
        <w:rPr>
          <w:lang w:eastAsia="cs-CZ"/>
        </w:rPr>
        <w:t xml:space="preserve">, že jsou známí jako osoby s omezenou zdravotní gramotností. Například lidé předstírají, že čtou písemné zdravotnické materiály za přítomnosti poskytovatelů zdravotní péče, i když nejsou schopni písemnému dokumentu porozumět. Většina účastníků neodpověděla správně na otázky týkající se screeningových nástrojů zdravotní gramotnosti, </w:t>
      </w:r>
      <w:r w:rsidR="0082026D" w:rsidRPr="00BC7C2E">
        <w:rPr>
          <w:lang w:eastAsia="cs-CZ"/>
        </w:rPr>
        <w:t xml:space="preserve">Test of Functional Health Literacy </w:t>
      </w:r>
      <w:r w:rsidR="0082026D" w:rsidRPr="005127CF">
        <w:rPr>
          <w:lang w:eastAsia="cs-CZ"/>
        </w:rPr>
        <w:t>(TOFHLA) a</w:t>
      </w:r>
      <w:r w:rsidR="0082026D">
        <w:rPr>
          <w:lang w:eastAsia="cs-CZ"/>
        </w:rPr>
        <w:t xml:space="preserve"> </w:t>
      </w:r>
      <w:r w:rsidR="0082026D" w:rsidRPr="00BC7C2E">
        <w:rPr>
          <w:lang w:eastAsia="cs-CZ"/>
        </w:rPr>
        <w:t xml:space="preserve">Rapid Estimate of Adult Literacy in Medicine </w:t>
      </w:r>
      <w:r w:rsidR="0082026D" w:rsidRPr="005127CF">
        <w:rPr>
          <w:lang w:eastAsia="cs-CZ"/>
        </w:rPr>
        <w:t>(REALM) (92,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6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%, respektive 81,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6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%). 56 (29,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5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%) účastníků však uvedlo, že vědělo o alternativních strategiích identifikace lidí s omezenou zdravotní gramotností, a 78 (41,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1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%) mělo znalosti o tom, jak zahájit screening zdravotní gramotnosti u svých klientů. Hodnocení účinnosti intervencí v oblasti zdravotní gramotnosti. Většina účastníků (65,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>3</w:t>
      </w:r>
      <w:r w:rsidR="0082026D">
        <w:rPr>
          <w:lang w:eastAsia="cs-CZ"/>
        </w:rPr>
        <w:t xml:space="preserve"> </w:t>
      </w:r>
      <w:r w:rsidR="0082026D" w:rsidRPr="005127CF">
        <w:rPr>
          <w:lang w:eastAsia="cs-CZ"/>
        </w:rPr>
        <w:t xml:space="preserve">%) neodpověděla správně na otázku </w:t>
      </w:r>
      <w:r w:rsidR="0082026D">
        <w:rPr>
          <w:lang w:eastAsia="cs-CZ"/>
        </w:rPr>
        <w:t xml:space="preserve">zpětné vazby, </w:t>
      </w:r>
      <w:r w:rsidR="0082026D" w:rsidRPr="005127CF">
        <w:rPr>
          <w:lang w:eastAsia="cs-CZ"/>
        </w:rPr>
        <w:t>což je nejúčinnější strategie pro stanovení pacientova porozumění po ukončení vzdělávání.</w:t>
      </w:r>
      <w:r w:rsidR="0082026D" w:rsidRPr="00BC7C2E">
        <w:rPr>
          <w:rFonts w:ascii="&amp;quot" w:hAnsi="&amp;quot"/>
          <w:sz w:val="27"/>
          <w:szCs w:val="27"/>
        </w:rPr>
        <w:t xml:space="preserve"> </w:t>
      </w:r>
      <w:r w:rsidR="0082026D" w:rsidRPr="00BC7C2E">
        <w:t>Také pouze 77 (40,5</w:t>
      </w:r>
      <w:r w:rsidR="0082026D">
        <w:t xml:space="preserve"> </w:t>
      </w:r>
      <w:r w:rsidR="0082026D" w:rsidRPr="00BC7C2E">
        <w:t>%) účastníků si bylo vědomo, že pacienti mohou odmítnout číst písemné zdravotnické materiály za přítomnosti poskytovatelů zdravotní péče, protože mají potíže s porozuměním písemným zdravotním informacím.</w:t>
      </w:r>
      <w:r w:rsidR="0082026D">
        <w:t xml:space="preserve"> Většina účastníků neodpověděla správně na otázky týkající se </w:t>
      </w:r>
      <w:r w:rsidR="0082026D">
        <w:lastRenderedPageBreak/>
        <w:t xml:space="preserve">následujících oblastí: </w:t>
      </w:r>
      <w:r w:rsidR="0082026D" w:rsidRPr="00E04E13">
        <w:t>body, které je třeba vzít v úvahu při poskytování kulturně přijatelných brožur o citlivých zdravotních otázkách (66 %), důležitost používání obrázků pro lepší porozumění psaným zdravotním materiálům pacientem (75,8 %), počet bodů, které mají být začleněny do brožur o specifických nemocech (72, 1 %), formulační strategie při psaní informací o zdravotní péči (80, 5 %), a strategie umožňující pacientům, aby při přípravě písemných informací o zdravotní péči působili jako aktivní studenti (82, 1 %).</w:t>
      </w:r>
      <w:r w:rsidR="0082026D">
        <w:t xml:space="preserve"> Z výsledku studie je dokazatelné, že Íránské sestry nemají dostatečné znalosti a zkušenosti týkající se postupů zdravotní gramotnosti. Řešení této otázky je zásadní pro podporu rovnosti ve zdraví (Nesari et al., 2019 s. 268, 270-271).</w:t>
      </w:r>
    </w:p>
    <w:p w:rsidR="001A663D" w:rsidRPr="001A663D" w:rsidRDefault="001A663D" w:rsidP="00C800E7">
      <w:pPr>
        <w:pStyle w:val="Bezmezer"/>
        <w:spacing w:line="360" w:lineRule="auto"/>
        <w:jc w:val="both"/>
      </w:pPr>
    </w:p>
    <w:p w:rsidR="00E11937" w:rsidRPr="008D6B57" w:rsidRDefault="00FF02E0" w:rsidP="00C800E7">
      <w:pPr>
        <w:pStyle w:val="Bezmezer"/>
        <w:spacing w:line="360" w:lineRule="auto"/>
        <w:ind w:firstLine="360"/>
        <w:jc w:val="both"/>
        <w:rPr>
          <w:b/>
          <w:bCs/>
          <w:color w:val="FF0000"/>
        </w:rPr>
      </w:pPr>
      <w:r>
        <w:rPr>
          <w:b/>
          <w:bCs/>
        </w:rPr>
        <w:t>Nástroje pro hodnocení ZG</w:t>
      </w:r>
    </w:p>
    <w:p w:rsidR="00B85689" w:rsidRPr="00B85689" w:rsidRDefault="006D61CD" w:rsidP="00C800E7">
      <w:pPr>
        <w:spacing w:line="360" w:lineRule="auto"/>
        <w:ind w:firstLine="708"/>
        <w:jc w:val="both"/>
      </w:pPr>
      <w:r w:rsidRPr="006D61CD">
        <w:t>Všeobecné sestry hrají rozhodující roli při usnadňování komunikačních procesů spojených s podporou zdravotní gramotnosti. Identifikují překážky v porozumění, zajišťují srozumitelnost a dostupnost zdravotních informací pro pacienty</w:t>
      </w:r>
      <w:r>
        <w:t>. Dále by se</w:t>
      </w:r>
      <w:r w:rsidRPr="006D61CD">
        <w:t xml:space="preserve"> měl</w:t>
      </w:r>
      <w:r w:rsidR="00330E2E">
        <w:t xml:space="preserve">y </w:t>
      </w:r>
      <w:r>
        <w:t>přizpů</w:t>
      </w:r>
      <w:r w:rsidRPr="006D61CD">
        <w:t>sobovat jazykovým potřebám pacienta, podporovat je v rozhodování ve zdravotnictví a hodnotit jejich porozumění</w:t>
      </w:r>
      <w:r>
        <w:t xml:space="preserve">. Díky </w:t>
      </w:r>
      <w:r w:rsidRPr="006D61CD">
        <w:t>tomu všeobecné sestry mají velkou možnost v rámci svého profesionál</w:t>
      </w:r>
      <w:r>
        <w:t>n</w:t>
      </w:r>
      <w:r w:rsidRPr="006D61CD">
        <w:t>ího působení ovlivnit úroveň ZG u pacien</w:t>
      </w:r>
      <w:r>
        <w:t>t</w:t>
      </w:r>
      <w:r w:rsidRPr="006D61CD">
        <w:t>ů</w:t>
      </w:r>
      <w:r>
        <w:t xml:space="preserve"> (Speros, 2011, s. 321). K identifikaci úrovně zdravotní gramotnosti pacientů slouží pro </w:t>
      </w:r>
      <w:r w:rsidR="00B85689">
        <w:t xml:space="preserve">zdravotnické pracovníky zavedené, platné a spolehlivé </w:t>
      </w:r>
      <w:r w:rsidR="00B85689" w:rsidRPr="007830B2">
        <w:t>nástroje</w:t>
      </w:r>
      <w:r w:rsidR="00FF02E0" w:rsidRPr="007830B2">
        <w:t xml:space="preserve"> ZG</w:t>
      </w:r>
      <w:r w:rsidR="006F1E1E">
        <w:t xml:space="preserve">, </w:t>
      </w:r>
      <w:r w:rsidR="00B85689" w:rsidRPr="007830B2">
        <w:t>které l</w:t>
      </w:r>
      <w:r w:rsidR="00B85689">
        <w:t xml:space="preserve">ze použít při hodnocení úrovně zdravotní gramotnosti pacientů. </w:t>
      </w:r>
      <w:r w:rsidR="00B85689" w:rsidRPr="000332B6">
        <w:t>Nejz</w:t>
      </w:r>
      <w:r w:rsidR="00DC51F6" w:rsidRPr="000332B6">
        <w:t>ná</w:t>
      </w:r>
      <w:r w:rsidR="00DC51F6">
        <w:t>mější</w:t>
      </w:r>
      <w:r w:rsidR="00B85689">
        <w:t xml:space="preserve"> </w:t>
      </w:r>
      <w:r w:rsidR="00774341">
        <w:t xml:space="preserve">a nejpoužívanější </w:t>
      </w:r>
      <w:r w:rsidR="00B85689">
        <w:t>nástroje</w:t>
      </w:r>
      <w:r w:rsidR="00774341">
        <w:t xml:space="preserve"> pro hodnocení ZG</w:t>
      </w:r>
      <w:r w:rsidR="00B85689">
        <w:t xml:space="preserve"> jsou TOFHLA, REALM, NVS (Kennard, 2016, s. 119). Všechny testy jsou </w:t>
      </w:r>
      <w:r w:rsidR="007830B2" w:rsidRPr="007830B2">
        <w:t>validní</w:t>
      </w:r>
      <w:r w:rsidR="00B85689" w:rsidRPr="007830B2">
        <w:t xml:space="preserve"> nástroje</w:t>
      </w:r>
      <w:r w:rsidR="00B85689">
        <w:t xml:space="preserve">, které již byly používány k hodnocení funkční zdravotní gramotnosti pacienta </w:t>
      </w:r>
      <w:r w:rsidR="00B85689" w:rsidRPr="00950076">
        <w:t>ve</w:t>
      </w:r>
      <w:r w:rsidR="0031039B">
        <w:t xml:space="preserve"> </w:t>
      </w:r>
      <w:r w:rsidR="00B85689" w:rsidRPr="00950076">
        <w:t>zdravotnickém prostředí</w:t>
      </w:r>
      <w:r w:rsidR="00B85689">
        <w:t xml:space="preserve"> (Frisch et al, 2011, s.119). Test REALM </w:t>
      </w:r>
      <w:r w:rsidR="00B85689" w:rsidRPr="00705B4F">
        <w:t>(Rapid Estimate of Adult Literacy in Med</w:t>
      </w:r>
      <w:r w:rsidR="00B85689">
        <w:t>icine – rychlý odhad gramotnosti dospělých v medicíně) spočívá v přečtení a vyslovení 66 pojmů, které jsou v souvislosti se zdravotnictvím</w:t>
      </w:r>
      <w:r w:rsidR="00330E2E">
        <w:t>. N</w:t>
      </w:r>
      <w:r w:rsidR="00B85689">
        <w:t xml:space="preserve">a vyplnění testu postačí 3 minuty. V testu TOFHLA </w:t>
      </w:r>
      <w:r w:rsidR="00B85689" w:rsidRPr="00705B4F">
        <w:t>(Test of Functional Health Literacy</w:t>
      </w:r>
      <w:r w:rsidR="00B85689">
        <w:t xml:space="preserve"> – test funkční zdravotní gramotnosti u </w:t>
      </w:r>
      <w:r w:rsidR="00B85689" w:rsidRPr="00BE524B">
        <w:t>dospělých</w:t>
      </w:r>
      <w:r w:rsidR="00B85689">
        <w:t xml:space="preserve">) je uvedeno 17 položek, které obsahují </w:t>
      </w:r>
      <w:r w:rsidR="00330E2E">
        <w:t>numerické</w:t>
      </w:r>
      <w:r w:rsidR="00B85689">
        <w:t xml:space="preserve"> dovednosti a 50 položek, které se týkají porozumění čteného textu (Kučera et al, 2016, s. 234). Pro vyplnění tohoto testu je </w:t>
      </w:r>
      <w:r w:rsidR="00B85689" w:rsidRPr="0074368D">
        <w:t>zapotřebí</w:t>
      </w:r>
      <w:r w:rsidR="00B85689">
        <w:t xml:space="preserve"> 22 minut. Test TOFHLA se později upravil na zkrácenější verzi, a to na S-</w:t>
      </w:r>
      <w:r w:rsidR="00B85689" w:rsidRPr="00FA5549">
        <w:t xml:space="preserve"> </w:t>
      </w:r>
      <w:r w:rsidR="00B85689">
        <w:t>TOFHLA</w:t>
      </w:r>
      <w:r w:rsidR="00330E2E">
        <w:t xml:space="preserve"> C</w:t>
      </w:r>
      <w:r w:rsidR="00B85689">
        <w:t xml:space="preserve">ílem bylo poskytnout do </w:t>
      </w:r>
      <w:r w:rsidR="0031039B">
        <w:t xml:space="preserve">praxe </w:t>
      </w:r>
      <w:r w:rsidR="00B85689">
        <w:t xml:space="preserve">kratší test, který bude stále praktický, spolehlivý a platný pro měření schopnosti pacientů číst a rozumět věcem, se kterými se běžně setkávají v nastavené zdravotní péči. Od původní verze se v S-TOFHLA setkáme pouze se 4 číselnými položkami a pouze 2 pasáže, které </w:t>
      </w:r>
      <w:r w:rsidR="00B85689" w:rsidRPr="0074368D">
        <w:t>slouží</w:t>
      </w:r>
      <w:r w:rsidR="00B85689">
        <w:t xml:space="preserve"> k porozumění čteného textu. K vypracování zkrácené verze postačí 12 minut. Stejně jako TOFHLA tak i test REALM má svou zkrácenou verzi a to REALM-R, který obsahuje místo 66 položek pouze 8 a může být </w:t>
      </w:r>
      <w:r w:rsidR="00B85689">
        <w:lastRenderedPageBreak/>
        <w:t xml:space="preserve">vypracován do 2 minut. Další hodnotící </w:t>
      </w:r>
      <w:r w:rsidR="00B85689" w:rsidRPr="00143D3E">
        <w:t>nástroj ZG se jmenuje NVS-Newest vital sing, obsahuje šesti bodové hodnocení čtení chápání nutričních hodnot na etiketě zmrzliny.</w:t>
      </w:r>
      <w:r w:rsidR="00B85689">
        <w:t xml:space="preserve"> K v</w:t>
      </w:r>
      <w:r w:rsidR="00B85689" w:rsidRPr="00143D3E">
        <w:t xml:space="preserve">ypracování testu </w:t>
      </w:r>
      <w:r w:rsidR="00B85689">
        <w:t>je zapotřebí</w:t>
      </w:r>
      <w:r w:rsidR="00B85689" w:rsidRPr="00143D3E">
        <w:t xml:space="preserve"> 3-6 minut. </w:t>
      </w:r>
      <w:r w:rsidR="00B85689">
        <w:t xml:space="preserve"> (Collins et al, 2012, s. 600-608). Test vznikl v roce 2005 a </w:t>
      </w:r>
      <w:r w:rsidR="00B85689" w:rsidRPr="005D1D33">
        <w:rPr>
          <w:lang w:eastAsia="cs-CZ"/>
        </w:rPr>
        <w:t>často</w:t>
      </w:r>
      <w:r w:rsidR="00B85689">
        <w:rPr>
          <w:lang w:eastAsia="cs-CZ"/>
        </w:rPr>
        <w:t xml:space="preserve"> se</w:t>
      </w:r>
      <w:r w:rsidR="00B85689" w:rsidRPr="005D1D33">
        <w:rPr>
          <w:lang w:eastAsia="cs-CZ"/>
        </w:rPr>
        <w:t xml:space="preserve"> používá jako nástroj klinického screeningu</w:t>
      </w:r>
      <w:r w:rsidR="00B85689">
        <w:rPr>
          <w:lang w:eastAsia="cs-CZ"/>
        </w:rPr>
        <w:t xml:space="preserve"> </w:t>
      </w:r>
      <w:r w:rsidR="00B85689" w:rsidRPr="005D1D33">
        <w:rPr>
          <w:lang w:eastAsia="cs-CZ"/>
        </w:rPr>
        <w:t>s vysokou citlivostí k detekci omezené gramotnosti.</w:t>
      </w:r>
      <w:r w:rsidR="00B85689">
        <w:rPr>
          <w:lang w:eastAsia="cs-CZ"/>
        </w:rPr>
        <w:t xml:space="preserve"> Na základě počtu správných odpovědí, lze pacienty rozdělit do 3 kategorií a to</w:t>
      </w:r>
      <w:r w:rsidR="00FC766A">
        <w:rPr>
          <w:lang w:eastAsia="cs-CZ"/>
        </w:rPr>
        <w:t>,</w:t>
      </w:r>
      <w:r w:rsidR="00B85689">
        <w:rPr>
          <w:lang w:eastAsia="cs-CZ"/>
        </w:rPr>
        <w:t xml:space="preserve"> pokud pacient</w:t>
      </w:r>
      <w:r w:rsidR="00B85689">
        <w:t xml:space="preserve"> odpoví na 4 z 6 otázek správně, je pravděpodobné, mají odpovídající zdravotní gramotnost, 2-3 správné odpovědi znamená omezená zdravotní gramotnost a u 1 správné odpovědi je vysoce omezená zdravotní gramotnost (</w:t>
      </w:r>
      <w:r w:rsidR="00B85689" w:rsidRPr="00615F83">
        <w:t>Ylitalo et al, 2018, s. 2)</w:t>
      </w:r>
      <w:r w:rsidR="00B85689">
        <w:t>.</w:t>
      </w:r>
    </w:p>
    <w:p w:rsidR="00B85689" w:rsidRDefault="00B85689" w:rsidP="00C800E7">
      <w:pPr>
        <w:spacing w:line="360" w:lineRule="auto"/>
        <w:ind w:firstLine="360"/>
        <w:jc w:val="both"/>
        <w:rPr>
          <w:rStyle w:val="authorname"/>
        </w:rPr>
      </w:pPr>
      <w:r w:rsidRPr="001E297B">
        <w:rPr>
          <w:rStyle w:val="authorname"/>
        </w:rPr>
        <w:t>Další nástroj</w:t>
      </w:r>
      <w:r>
        <w:rPr>
          <w:rStyle w:val="authorname"/>
        </w:rPr>
        <w:t>e</w:t>
      </w:r>
      <w:r w:rsidRPr="001E297B">
        <w:rPr>
          <w:rStyle w:val="authorname"/>
        </w:rPr>
        <w:t xml:space="preserve"> pro měření zdravotní gramotnosti lze dle Altina a kol. rozdělit do tří skupin</w:t>
      </w:r>
      <w:r>
        <w:rPr>
          <w:rStyle w:val="authorname"/>
        </w:rPr>
        <w:t>,</w:t>
      </w:r>
      <w:r w:rsidRPr="001E297B">
        <w:rPr>
          <w:rStyle w:val="authorname"/>
        </w:rPr>
        <w:t xml:space="preserve"> a to do těch které mají buď objektivní, sub</w:t>
      </w:r>
      <w:r>
        <w:rPr>
          <w:rStyle w:val="authorname"/>
        </w:rPr>
        <w:t>je</w:t>
      </w:r>
      <w:r w:rsidRPr="001E297B">
        <w:rPr>
          <w:rStyle w:val="authorname"/>
        </w:rPr>
        <w:t xml:space="preserve">ktivní </w:t>
      </w:r>
      <w:r>
        <w:rPr>
          <w:rStyle w:val="authorname"/>
        </w:rPr>
        <w:t xml:space="preserve">nebo obojí </w:t>
      </w:r>
      <w:r w:rsidRPr="001E297B">
        <w:rPr>
          <w:rStyle w:val="authorname"/>
        </w:rPr>
        <w:t>přístu</w:t>
      </w:r>
      <w:r>
        <w:rPr>
          <w:rStyle w:val="authorname"/>
        </w:rPr>
        <w:t>p</w:t>
      </w:r>
      <w:r w:rsidRPr="001E297B">
        <w:rPr>
          <w:rStyle w:val="authorname"/>
        </w:rPr>
        <w:t xml:space="preserve"> měření.</w:t>
      </w:r>
    </w:p>
    <w:p w:rsidR="00B85689" w:rsidRPr="004B53FF" w:rsidRDefault="00B85689" w:rsidP="00C800E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authorname"/>
          <w:b/>
          <w:bCs/>
        </w:rPr>
      </w:pPr>
      <w:r w:rsidRPr="004B53FF">
        <w:rPr>
          <w:rStyle w:val="authorname"/>
          <w:b/>
          <w:bCs/>
        </w:rPr>
        <w:t xml:space="preserve">Objektivní měření 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 xml:space="preserve">METER (The Medical Recognition Test) - byl vyvinut ve Spojených státech a je to krátký screeningový nástroj, který obsahuje </w:t>
      </w:r>
      <w:r w:rsidRPr="0031039B">
        <w:rPr>
          <w:rStyle w:val="authorname"/>
        </w:rPr>
        <w:t xml:space="preserve">40 </w:t>
      </w:r>
      <w:r w:rsidR="0031039B">
        <w:rPr>
          <w:rStyle w:val="authorname"/>
        </w:rPr>
        <w:t>slov týkající se medicíny</w:t>
      </w:r>
      <w:r w:rsidRPr="001E297B">
        <w:rPr>
          <w:rStyle w:val="authorname"/>
        </w:rPr>
        <w:t xml:space="preserve"> a 40 slov bez skutečného významu</w:t>
      </w:r>
      <w:r>
        <w:rPr>
          <w:rStyle w:val="authorname"/>
        </w:rPr>
        <w:t>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>SAHL-S&amp;E (Health Literacy in Spanish and English populations</w:t>
      </w:r>
      <w:r w:rsidR="0031039B">
        <w:rPr>
          <w:rStyle w:val="authorname"/>
        </w:rPr>
        <w:t xml:space="preserve"> </w:t>
      </w:r>
      <w:r w:rsidRPr="001E297B">
        <w:rPr>
          <w:rStyle w:val="authorname"/>
        </w:rPr>
        <w:t>- zdravotní gramotnost ve španělských a anglických pop</w:t>
      </w:r>
      <w:r>
        <w:rPr>
          <w:rStyle w:val="authorname"/>
        </w:rPr>
        <w:t>u</w:t>
      </w:r>
      <w:r w:rsidRPr="001E297B">
        <w:rPr>
          <w:rStyle w:val="authorname"/>
        </w:rPr>
        <w:t>lacích) založen na přístupu rozpoznání slov jak je lze použít s nástrojem REALM. Test spočívá v přečtení 18 lékařských termínů, které je za potřebí spojit s termínem podobného významu. Anglická i španělská verze testu prokazuje korelaci s jiným nástrojem zdravotní gramotnosti</w:t>
      </w:r>
      <w:r w:rsidR="00330E2E">
        <w:rPr>
          <w:rStyle w:val="authorname"/>
        </w:rPr>
        <w:t>. T</w:t>
      </w:r>
      <w:r w:rsidRPr="001E297B">
        <w:rPr>
          <w:rStyle w:val="authorname"/>
        </w:rPr>
        <w:t>est je zejména vhodný pro jedince s nízkou zdravotní gramotností.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>Health and financional literacy (nástroj k měření zdraví a finanční gramotnosti) propojení aspektů zdraví a finanční gramotnosti. Zkoumá zdravotní gramotnost pomocí 9 předmětů</w:t>
      </w:r>
      <w:r>
        <w:rPr>
          <w:rStyle w:val="authorname"/>
        </w:rPr>
        <w:t>, které se t</w:t>
      </w:r>
      <w:r w:rsidR="00330E2E">
        <w:rPr>
          <w:rStyle w:val="authorname"/>
        </w:rPr>
        <w:t>ý</w:t>
      </w:r>
      <w:r>
        <w:rPr>
          <w:rStyle w:val="authorname"/>
        </w:rPr>
        <w:t>kají znalostí zdravotního pojištění</w:t>
      </w:r>
      <w:r w:rsidR="00330E2E">
        <w:rPr>
          <w:rStyle w:val="authorname"/>
        </w:rPr>
        <w:t>,</w:t>
      </w:r>
      <w:r w:rsidRPr="001E297B">
        <w:rPr>
          <w:rStyle w:val="authorname"/>
        </w:rPr>
        <w:t xml:space="preserve"> zátěže nemocí a medikačních dovedností.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>CHC-Test (The test tomeasure critical health competencies - test na měření kritických zdravotních dovedností) spočívá v prezentování 72 položek ve 4 oblastech zabývajicích se dovednostnmi obsahující porozumění lékařským pojmům.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 xml:space="preserve">Talking Touchscreen (hodnocní dvoujazyčné zdravotní gramotnosti) zaměřuje se na položky, které jsou v souladu s testem </w:t>
      </w:r>
      <w:r w:rsidRPr="000769DE">
        <w:rPr>
          <w:rStyle w:val="authorname"/>
        </w:rPr>
        <w:t>TOFHLA.</w:t>
      </w:r>
    </w:p>
    <w:p w:rsidR="00B85689" w:rsidRPr="004B53FF" w:rsidRDefault="00B85689" w:rsidP="00C800E7">
      <w:pPr>
        <w:pStyle w:val="Odstavecseseznamem"/>
        <w:numPr>
          <w:ilvl w:val="0"/>
          <w:numId w:val="9"/>
        </w:numPr>
        <w:spacing w:line="360" w:lineRule="auto"/>
        <w:jc w:val="both"/>
        <w:rPr>
          <w:rStyle w:val="authorname"/>
          <w:b/>
          <w:bCs/>
        </w:rPr>
      </w:pPr>
      <w:r w:rsidRPr="004B53FF">
        <w:rPr>
          <w:rStyle w:val="authorname"/>
          <w:b/>
          <w:bCs/>
        </w:rPr>
        <w:t>Subjektivní měření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>MAHL (measure critical health competencies Health Literacy) hodnocení zdravotní gramotnosti jako dynamický konstrukt</w:t>
      </w:r>
      <w:r w:rsidR="00494174">
        <w:rPr>
          <w:rStyle w:val="authorname"/>
        </w:rPr>
        <w:t xml:space="preserve"> </w:t>
      </w:r>
      <w:r w:rsidRPr="001E297B">
        <w:rPr>
          <w:rStyle w:val="authorname"/>
        </w:rPr>
        <w:t>-</w:t>
      </w:r>
      <w:r w:rsidR="00494174">
        <w:rPr>
          <w:rStyle w:val="authorname"/>
        </w:rPr>
        <w:t xml:space="preserve"> </w:t>
      </w:r>
      <w:r w:rsidRPr="001E297B">
        <w:rPr>
          <w:rStyle w:val="authorname"/>
        </w:rPr>
        <w:t>setkání pacient</w:t>
      </w:r>
      <w:r w:rsidR="00494174">
        <w:rPr>
          <w:rStyle w:val="authorname"/>
        </w:rPr>
        <w:t xml:space="preserve">a </w:t>
      </w:r>
      <w:r w:rsidRPr="001E297B">
        <w:rPr>
          <w:rStyle w:val="authorname"/>
        </w:rPr>
        <w:t xml:space="preserve">a </w:t>
      </w:r>
      <w:r w:rsidRPr="001E297B">
        <w:rPr>
          <w:rStyle w:val="authorname"/>
        </w:rPr>
        <w:lastRenderedPageBreak/>
        <w:t>poskytovatele, interakce mezi pacientem a zdravotní péčí, práva, povinnosti a informace o zdraví.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>HELMS (The Health Literacy Management Scale) obsahuje 8 stupnic se 4-5 položkami jejichž cílem je posoudit pacienta jako komplex.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 xml:space="preserve">HLS-CH (The Swiss Health Literacy Survey) 127 položek zaměřených na mnoha domén, jako je na příklad řešení problémů, kritické rozhodování aj. 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 xml:space="preserve">AAHLS (The All Aspects of Health Literacy) měření funkcní, komunikační </w:t>
      </w:r>
      <w:r w:rsidR="00C800E7">
        <w:rPr>
          <w:rStyle w:val="authorname"/>
        </w:rPr>
        <w:t xml:space="preserve">        </w:t>
      </w:r>
      <w:r w:rsidRPr="001E297B">
        <w:rPr>
          <w:rStyle w:val="authorname"/>
        </w:rPr>
        <w:t>a kritické zdravotní gramotnosti, za pomoci vzniklého rámce od Nutbeama, obsahuje 14 položek.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>MHLS (Literacy Scale developed in Taiwan) zdravotní gramotnost zachycuje jako vícedoménový konstrukt zahrnující získávání, porozumění a zpracovávání zdravotních informací s podporou zdraví, příznaky onemocněním, diagnostikou a léčbou, které lze použít pří rozhodování.</w:t>
      </w:r>
    </w:p>
    <w:p w:rsidR="00B85689" w:rsidRPr="004B53FF" w:rsidRDefault="00B85689" w:rsidP="00C800E7">
      <w:pPr>
        <w:pStyle w:val="Odstavecseseznamem"/>
        <w:numPr>
          <w:ilvl w:val="0"/>
          <w:numId w:val="9"/>
        </w:numPr>
        <w:spacing w:line="360" w:lineRule="auto"/>
        <w:jc w:val="both"/>
        <w:rPr>
          <w:rStyle w:val="authorname"/>
          <w:b/>
          <w:bCs/>
        </w:rPr>
      </w:pPr>
      <w:r w:rsidRPr="004B53FF">
        <w:rPr>
          <w:rStyle w:val="authorname"/>
          <w:b/>
          <w:bCs/>
        </w:rPr>
        <w:t>Smíšené měření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 xml:space="preserve">HLSI (The Health Literacy Skills </w:t>
      </w:r>
      <w:r w:rsidRPr="0031039B">
        <w:rPr>
          <w:rStyle w:val="authorname"/>
        </w:rPr>
        <w:t>instrumen</w:t>
      </w:r>
      <w:r w:rsidR="0031039B" w:rsidRPr="0031039B">
        <w:rPr>
          <w:rStyle w:val="authorname"/>
        </w:rPr>
        <w:t>t</w:t>
      </w:r>
      <w:r w:rsidRPr="0031039B">
        <w:rPr>
          <w:rStyle w:val="authorname"/>
        </w:rPr>
        <w:t>)</w:t>
      </w:r>
      <w:r w:rsidRPr="001E297B">
        <w:rPr>
          <w:rStyle w:val="authorname"/>
        </w:rPr>
        <w:t xml:space="preserve"> využívají zdravotní podněty ke skutečnému životu k hodnocení zdravotní gramotnosti jedince se zaměřením na tisk, ústní a kvantitativní vlastnosti vyhledávání informací na internetu</w:t>
      </w:r>
      <w:r>
        <w:rPr>
          <w:rStyle w:val="authorname"/>
        </w:rPr>
        <w:t>.</w:t>
      </w:r>
    </w:p>
    <w:p w:rsidR="00B85689" w:rsidRDefault="00B85689" w:rsidP="00C800E7">
      <w:pPr>
        <w:pStyle w:val="Odstavecseseznamem"/>
        <w:numPr>
          <w:ilvl w:val="1"/>
          <w:numId w:val="9"/>
        </w:numPr>
        <w:spacing w:line="360" w:lineRule="auto"/>
        <w:jc w:val="both"/>
        <w:rPr>
          <w:rStyle w:val="authorname"/>
        </w:rPr>
      </w:pPr>
      <w:r w:rsidRPr="0031039B">
        <w:rPr>
          <w:rStyle w:val="authorname"/>
        </w:rPr>
        <w:t>HLS-EU</w:t>
      </w:r>
      <w:r w:rsidRPr="001E297B">
        <w:rPr>
          <w:rStyle w:val="authorname"/>
        </w:rPr>
        <w:t xml:space="preserve"> (The European</w:t>
      </w:r>
      <w:r>
        <w:rPr>
          <w:rStyle w:val="authorname"/>
        </w:rPr>
        <w:t xml:space="preserve"> </w:t>
      </w:r>
      <w:r w:rsidRPr="001E297B">
        <w:rPr>
          <w:rStyle w:val="authorname"/>
        </w:rPr>
        <w:t xml:space="preserve">Health Literacy Survey-Evropský průzkum zdravotní gramotnosti) obsahuje </w:t>
      </w:r>
      <w:r w:rsidRPr="0031039B">
        <w:rPr>
          <w:rStyle w:val="authorname"/>
        </w:rPr>
        <w:t>47 položek</w:t>
      </w:r>
      <w:r w:rsidRPr="001E297B">
        <w:rPr>
          <w:rStyle w:val="authorname"/>
        </w:rPr>
        <w:t xml:space="preserve"> a definuje zdravotní gramotnost EU ve třech oblastech (zdravotní péče, prevence nemocí a podporu zdraví) a </w:t>
      </w:r>
      <w:r w:rsidRPr="0031039B">
        <w:rPr>
          <w:rStyle w:val="authorname"/>
        </w:rPr>
        <w:t>čtyřech</w:t>
      </w:r>
      <w:r w:rsidRPr="001E297B">
        <w:rPr>
          <w:rStyle w:val="authorname"/>
        </w:rPr>
        <w:t xml:space="preserve"> režimech (</w:t>
      </w:r>
      <w:r w:rsidRPr="0031039B">
        <w:rPr>
          <w:rStyle w:val="authorname"/>
        </w:rPr>
        <w:t>přístup, porozumění</w:t>
      </w:r>
      <w:r w:rsidR="0031039B" w:rsidRPr="0031039B">
        <w:rPr>
          <w:rStyle w:val="authorname"/>
        </w:rPr>
        <w:t>, vyhodnocení</w:t>
      </w:r>
      <w:r w:rsidRPr="0031039B">
        <w:rPr>
          <w:rStyle w:val="authorname"/>
        </w:rPr>
        <w:t xml:space="preserve"> a použití informací o zdraví</w:t>
      </w:r>
      <w:r w:rsidRPr="001E297B">
        <w:rPr>
          <w:rStyle w:val="authorname"/>
        </w:rPr>
        <w:t>)</w:t>
      </w:r>
      <w:r>
        <w:rPr>
          <w:rStyle w:val="authorname"/>
        </w:rPr>
        <w:t xml:space="preserve"> (Altin et al., 2014, s. 4-5). </w:t>
      </w:r>
    </w:p>
    <w:p w:rsidR="00417772" w:rsidRDefault="00417772" w:rsidP="00C800E7">
      <w:pPr>
        <w:spacing w:line="360" w:lineRule="auto"/>
        <w:ind w:firstLine="708"/>
      </w:pPr>
      <w:r>
        <w:t xml:space="preserve">Jelikož existovala pouze Americká a Španělská verze testu TOFHLA, v Dánsku (2007) tento test přeložili tak, aby byl validní pro dánskou populaci, a to i s ohledem na kulturu a systém zdravotní péče. Testu se zúčastnilo 42 pacientů s chronickou obstrukční plicní nemocí (CHOPN). Test byl přeložen ze Španělské i Americké verze TOFHLA a poté syntetizovány do společného překladu. Pro ověření výsledné Dánské verze byl test přeložen zpět do angličtiny. Dále pak odborná komise porovnávala Americkou TOFHLA společně s Dánskou verzí, zda odráží stejný obsah položek v testu. Ověřený test byl poté předložen vybraným pacientům diagnózou CHOPN, který test podstoupili. Průměrná doba pro dokončení testu byla 18 min, u části čtení 11 min a u numerické 8 min. Odborná komise vyhodnotila, že všech 67 položek v Dánské TOFHLA měřila stejnou zdravotní gramotnost jako verze Americká. Uspokojivá platnost nástroje je považována za spolehlivou, pokud </w:t>
      </w:r>
      <w:r>
        <w:lastRenderedPageBreak/>
        <w:t>překračuje hodnotu 0, 7, což dánská verze splňuje, jelikož byla stanovena na 0, 943</w:t>
      </w:r>
      <w:r w:rsidR="00686F9E">
        <w:t xml:space="preserve"> (Emtekaer et al., 2015, 573-577).</w:t>
      </w:r>
    </w:p>
    <w:p w:rsidR="008318B8" w:rsidRDefault="00824ED7" w:rsidP="00C800E7">
      <w:pPr>
        <w:spacing w:line="360" w:lineRule="auto"/>
        <w:ind w:firstLine="708"/>
      </w:pPr>
      <w:r>
        <w:t>NVS-HR vznikla z Americké verze NVS za účelem validního testu pro pacienty v chorvatské nemocnici. Pro překlad byl použit postup jazykové validace, zpětný překlad, zhodnocení odbornou komisí a rozhovor s 10- ti respondenty z populace. Testováním ZG u 100 nemocničních pacientů bylo odhaleno, že 58 % pacientů mělo nízkou nebo nedostatečnou úroveň ZG. NVS-HR byl doporučen pro klinické testování pacientů v Chorvatsku (Brangan et al., 2018, s. 1, 11).</w:t>
      </w:r>
    </w:p>
    <w:p w:rsidR="00824ED7" w:rsidRDefault="008318B8" w:rsidP="008318B8">
      <w:pPr>
        <w:pStyle w:val="Bezmezer"/>
      </w:pPr>
      <w:r>
        <w:br w:type="page"/>
      </w:r>
    </w:p>
    <w:p w:rsidR="00B16A4F" w:rsidRPr="00A65F2E" w:rsidRDefault="00E11937" w:rsidP="00A65F2E">
      <w:pPr>
        <w:pStyle w:val="Nadpis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4443706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2.3 Význam a l</w:t>
      </w:r>
      <w:r w:rsidR="008D2D39">
        <w:rPr>
          <w:rFonts w:ascii="Times New Roman" w:hAnsi="Times New Roman" w:cs="Times New Roman"/>
          <w:b/>
          <w:bCs/>
          <w:color w:val="auto"/>
          <w:sz w:val="28"/>
          <w:szCs w:val="28"/>
        </w:rPr>
        <w:t>imitace dohledaných poznatků</w:t>
      </w:r>
      <w:bookmarkEnd w:id="10"/>
    </w:p>
    <w:p w:rsidR="009F68D2" w:rsidRDefault="009F68D2" w:rsidP="00383FF4">
      <w:pPr>
        <w:pStyle w:val="Bezmezer"/>
        <w:spacing w:line="360" w:lineRule="auto"/>
        <w:jc w:val="both"/>
      </w:pPr>
      <w:r>
        <w:tab/>
        <w:t>Zájem o zdravotní gramotnost ve všech státech stále roste</w:t>
      </w:r>
      <w:r w:rsidR="00111B5A">
        <w:t>,</w:t>
      </w:r>
      <w:r>
        <w:t xml:space="preserve"> avšak ve stávající literatuře neexistuje jednotná definice</w:t>
      </w:r>
      <w:r w:rsidR="00755013">
        <w:t xml:space="preserve">, liší </w:t>
      </w:r>
      <w:r w:rsidR="00334A62">
        <w:t xml:space="preserve">se </w:t>
      </w:r>
      <w:r w:rsidR="00755013">
        <w:t>zejména ve svém obsahu, ale stále mají podobnou charakteristiku</w:t>
      </w:r>
      <w:r>
        <w:t xml:space="preserve">. </w:t>
      </w:r>
      <w:r w:rsidR="00755013">
        <w:t xml:space="preserve">Ve studiích je nejčastěji uváděna definice Světové zdravotnické organizace, a to kognitivní a sociální dovednost, která určuje motivaci a schopnost jednotlivců získávat přístup k informacím, porozumět jim a používat je způsobem, který podporuje udržení dobrého zdraví. Na základě četného množství definic </w:t>
      </w:r>
      <w:r w:rsidR="00334A62">
        <w:t xml:space="preserve">Sorensen (2012) provedl výzkum, kde odvodil, že společným znakem definic jsou individuální schopnosti člověka získávat, chápat a zpracovávat informace jak o zdraví, tak i o službách potřebných k vhodnému rozhodnutí v oblasti zdraví. </w:t>
      </w:r>
    </w:p>
    <w:p w:rsidR="00E16E3F" w:rsidRDefault="00E16E3F" w:rsidP="00383FF4">
      <w:pPr>
        <w:pStyle w:val="Bezmezer"/>
        <w:spacing w:line="360" w:lineRule="auto"/>
        <w:jc w:val="both"/>
      </w:pPr>
      <w:r>
        <w:tab/>
      </w:r>
      <w:r w:rsidR="0012183D">
        <w:t xml:space="preserve">Holčík (2010) udává, že zdravotní gramotnost se dle Nutbeama dělí do 3 úrovní, a to na funkční, interaktivní a kritickou ZG. Funkční se zaměřuje na výchovu ke zdraví, interaktivní na posilování motivace a odpovědnosti u lidí a kritická zahrnuje schopnosti lidí orientovat se ve zdravotnických informacích. </w:t>
      </w:r>
    </w:p>
    <w:p w:rsidR="0012183D" w:rsidRDefault="0012183D" w:rsidP="00383FF4">
      <w:pPr>
        <w:pStyle w:val="Bezmezer"/>
        <w:spacing w:line="360" w:lineRule="auto"/>
        <w:jc w:val="both"/>
      </w:pPr>
      <w:r>
        <w:tab/>
        <w:t xml:space="preserve"> Z dohledaných studií je dokazatelné, že zdravotní gramotnost je </w:t>
      </w:r>
      <w:r w:rsidR="00921CAE">
        <w:t xml:space="preserve">negativně </w:t>
      </w:r>
      <w:r>
        <w:t>ovlivnitelná několika faktory, mezi které lze zařadit</w:t>
      </w:r>
      <w:r w:rsidR="00921CAE">
        <w:t xml:space="preserve"> mužské pohlaví Haghdoos et al. (2019)</w:t>
      </w:r>
      <w:r w:rsidR="00870E8A">
        <w:t>.</w:t>
      </w:r>
      <w:r w:rsidR="00921CAE">
        <w:t xml:space="preserve"> </w:t>
      </w:r>
      <w:r w:rsidR="00870E8A">
        <w:t>O</w:t>
      </w:r>
      <w:r w:rsidR="00921CAE">
        <w:t>mezená úroveň ZG byla zjištěna u lidí s vyšším věkem Berns (2016), dále pak nízké vzdělání je příčinou nízké úrovně ZG a na tom se shodují Rikard (2016), Erdei (2018) a Friis (2016).</w:t>
      </w:r>
      <w:r w:rsidR="00870E8A">
        <w:t xml:space="preserve"> Adekoya (2015) a Mantwil (2015) popisují faktor sociálně ekonomického stavu. A posledním faktorem, který negativně ovlivňuje ZG je příslušnost etnické menšiny Gaag (2017). </w:t>
      </w:r>
      <w:r w:rsidR="00921CAE">
        <w:t xml:space="preserve">Celkově je dokazatelné, že lidé s nízkou úrovní ZG mají vlivem těchto faktorů často nezdravý životní styl (kouří, špatně se stravují, mají nedostatek fyzické aktivity a jsou obézní), </w:t>
      </w:r>
      <w:r w:rsidR="00870E8A">
        <w:t xml:space="preserve">špatně se orientují v systému zdravotní péče, </w:t>
      </w:r>
      <w:r w:rsidR="00921CAE">
        <w:t xml:space="preserve">více navštěvují </w:t>
      </w:r>
      <w:r w:rsidR="00870E8A">
        <w:t xml:space="preserve">lékaře, zvyšují se výdaje na zdravotní péči a dochází k finančním ztrátám ve zdravotnictví. </w:t>
      </w:r>
      <w:r w:rsidR="00921CAE">
        <w:t xml:space="preserve"> </w:t>
      </w:r>
    </w:p>
    <w:p w:rsidR="00BD51F2" w:rsidRPr="009F68D2" w:rsidRDefault="00BD51F2" w:rsidP="00383FF4">
      <w:pPr>
        <w:pStyle w:val="Bezmezer"/>
        <w:spacing w:line="360" w:lineRule="auto"/>
        <w:jc w:val="both"/>
      </w:pPr>
      <w:r>
        <w:tab/>
      </w:r>
      <w:r w:rsidR="00D30FE2">
        <w:t xml:space="preserve">Jelikož jsou všeobecné sestry nejvíce zastoupeny ve zdravotnictví a tráví s pacienty nevíce času, je na nich, aby hodnotily úroveň ZG u pacientů a volily u nich správné komunikační metody při sdělování informací. Ballard (2016) udává, sestry by s každým pacientem měly jednat tak, jakoby měl nízkou úroveň zdravotní gramotnosti, jelikož to všich pacienti bez ohledu na úroveň oceňují a dokáží tak pochopit více sdělených informací. Dle studie od Dicknes et al. (2013) a Nesari et al. (2019) je dokazatelné, že sestry nesprávně identifikují úrovně zdravotní gramotnosti pacientů, tudíž je dokazatelné, že nesprávně používají nástroje k jejímu hodnocení. Bylo by tedy potřebné, aby se i sestry nadále vzdělávaly ve zdravotní gramotnosti, tím že se účastní vzdělávacích kurzů, nebo by měla </w:t>
      </w:r>
      <w:r w:rsidR="00B57C6C">
        <w:t xml:space="preserve">být zařazena jako předmět do školních osnov. </w:t>
      </w:r>
    </w:p>
    <w:p w:rsidR="00D470E8" w:rsidRDefault="008E5D7A" w:rsidP="00383FF4">
      <w:pPr>
        <w:spacing w:line="360" w:lineRule="auto"/>
        <w:jc w:val="both"/>
      </w:pPr>
      <w:r>
        <w:lastRenderedPageBreak/>
        <w:tab/>
      </w:r>
      <w:r w:rsidR="00774341">
        <w:t xml:space="preserve">Mezi nejčastěji používané hodnotící nástroje ZG se řadí TOFHLA, REALM, NVS. Dohledané hodnotící nástroje ZG jsou převážně ve španělském, nebo anglickém jazyce.  Emtekaer (2015) a Brangan (2018) </w:t>
      </w:r>
      <w:r w:rsidR="009F68D2">
        <w:t xml:space="preserve">některé testy přeložili do jazyka svého státu a vytvořili tak za určitých podmínek platný nástroj pro populaci ve svých zemích. Bylo by tedy dobré, tyto nejpoužívanější nástroje přeložit do více jazyků, aby </w:t>
      </w:r>
      <w:r w:rsidR="00E16E3F">
        <w:t xml:space="preserve">v jiných státech mohly </w:t>
      </w:r>
      <w:r w:rsidR="009F68D2">
        <w:t xml:space="preserve">všeobecné sestry </w:t>
      </w:r>
      <w:r w:rsidR="00E16E3F">
        <w:t xml:space="preserve">nástroji </w:t>
      </w:r>
      <w:r w:rsidR="009F68D2">
        <w:t xml:space="preserve">hodnotit </w:t>
      </w:r>
      <w:r w:rsidR="00E16E3F">
        <w:t xml:space="preserve">úroveň </w:t>
      </w:r>
      <w:r w:rsidR="009F68D2">
        <w:t>ZG</w:t>
      </w:r>
      <w:r w:rsidR="00383FF4">
        <w:t>.</w:t>
      </w:r>
    </w:p>
    <w:p w:rsidR="008318B8" w:rsidRDefault="00A16F0B" w:rsidP="00C800E7">
      <w:pPr>
        <w:spacing w:line="360" w:lineRule="auto"/>
        <w:ind w:firstLine="708"/>
        <w:jc w:val="both"/>
      </w:pPr>
      <w:r>
        <w:t>Limitujícím prvkem získaných informací je nedostatek studií a výzkumů v</w:t>
      </w:r>
      <w:r w:rsidR="00C800E7">
        <w:t xml:space="preserve"> Českém</w:t>
      </w:r>
      <w:r>
        <w:t xml:space="preserve"> zdravotni</w:t>
      </w:r>
      <w:r w:rsidR="00C27EC0">
        <w:t>ctví</w:t>
      </w:r>
      <w:r>
        <w:t>.</w:t>
      </w:r>
      <w:r w:rsidR="00383FF4">
        <w:t xml:space="preserve"> Nevýhodou je, že byla dohledána pouze jedna studie, která byla zaměřena na zdravotní gramotnost v ČR. Otázkou však zůstává, zda platnost výsledků studií z odlišných společensko- ekonomických podmínek lze použít v ČR. Kompetence sester se napříč státy </w:t>
      </w:r>
      <w:r w:rsidR="005266F4">
        <w:t>liší ať už ve vzdělávání sester či jejich kompetencích. Proto by bylo vhodné získat aktuální informace a výsledky týkající se zdravotní gramotnosti v České republice.</w:t>
      </w:r>
      <w:r>
        <w:t xml:space="preserve"> </w:t>
      </w:r>
    </w:p>
    <w:p w:rsidR="00A16F0B" w:rsidRDefault="008318B8" w:rsidP="008318B8">
      <w:pPr>
        <w:pStyle w:val="Bezmezer"/>
      </w:pPr>
      <w:r>
        <w:br w:type="page"/>
      </w:r>
    </w:p>
    <w:p w:rsidR="00BA4521" w:rsidRPr="00DC51F6" w:rsidRDefault="008D2D39" w:rsidP="00C800E7">
      <w:pPr>
        <w:pStyle w:val="Nadpis1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1" w:name="_Toc44437063"/>
      <w:r w:rsidRPr="008D2D39">
        <w:rPr>
          <w:rFonts w:ascii="Times New Roman" w:hAnsi="Times New Roman" w:cs="Times New Roman"/>
          <w:b/>
          <w:bCs/>
          <w:color w:val="auto"/>
        </w:rPr>
        <w:lastRenderedPageBreak/>
        <w:t>Závěr</w:t>
      </w:r>
      <w:bookmarkEnd w:id="11"/>
      <w:r w:rsidR="00BA4521" w:rsidRPr="003B7082">
        <w:rPr>
          <w:strike/>
        </w:rPr>
        <w:t xml:space="preserve"> </w:t>
      </w:r>
    </w:p>
    <w:p w:rsidR="002A4F97" w:rsidRPr="00D047FE" w:rsidRDefault="008E5D7A" w:rsidP="00C800E7">
      <w:pPr>
        <w:pStyle w:val="Bezmezer"/>
        <w:spacing w:line="360" w:lineRule="auto"/>
        <w:jc w:val="both"/>
        <w:rPr>
          <w:color w:val="FF0000"/>
        </w:rPr>
      </w:pPr>
      <w:r>
        <w:tab/>
      </w:r>
      <w:r w:rsidR="00BA4521">
        <w:t>Na základě studií lze konstatovat, že zd</w:t>
      </w:r>
      <w:r>
        <w:t>ravotní gramotnost je důležitý a stále vyvíjející se koncept. Spousta lidí se potýká s chronickými onemocněními</w:t>
      </w:r>
      <w:r w:rsidR="004A15F9">
        <w:t xml:space="preserve">, které jsou způsobeny špatným </w:t>
      </w:r>
      <w:r>
        <w:t>životní</w:t>
      </w:r>
      <w:r w:rsidR="004A15F9">
        <w:t>m</w:t>
      </w:r>
      <w:r>
        <w:t xml:space="preserve"> styl</w:t>
      </w:r>
      <w:r w:rsidR="004A15F9">
        <w:t>em</w:t>
      </w:r>
      <w:r>
        <w:t>. Důsledkem nízké zdravotní gramotnosti populace a výskytu těchto onemocnění dochází k velkým finančním ztrátám ve zdravotnictví.</w:t>
      </w:r>
      <w:r w:rsidR="00D83267">
        <w:t xml:space="preserve"> Dospělá populace není zodpovědná pouze za své zdraví, ale také za zdraví svých dětí a rodičů jakožto seniorů.</w:t>
      </w:r>
      <w:r>
        <w:t xml:space="preserve"> Proto je tedy zapotřebí, naučit lidi pečovat o své zdraví, získávat </w:t>
      </w:r>
      <w:r w:rsidR="00D83267">
        <w:t xml:space="preserve">a pochopit kvalitní informace a poté je správně používat. </w:t>
      </w:r>
      <w:r w:rsidR="00D83267" w:rsidRPr="002C3F39">
        <w:t>Z dohledaných studií je dokazatelné, že zdravotní gramotnost je</w:t>
      </w:r>
      <w:r w:rsidR="002C3F39" w:rsidRPr="002C3F39">
        <w:t xml:space="preserve"> negativně</w:t>
      </w:r>
      <w:r w:rsidR="00D83267" w:rsidRPr="002C3F39">
        <w:t xml:space="preserve"> ovlivnitelná několika faktory, a to </w:t>
      </w:r>
      <w:r w:rsidR="002C3F39" w:rsidRPr="002C3F39">
        <w:t>vysokým</w:t>
      </w:r>
      <w:r w:rsidR="00D83267" w:rsidRPr="002C3F39">
        <w:t xml:space="preserve"> věkem, mužským pohlavím, nízkou úrovní vzdělání, sociálním postavením, etnickou menšinou, ale také nízkým finančním zaopatřením.</w:t>
      </w:r>
      <w:r w:rsidR="003B7082">
        <w:t xml:space="preserve"> </w:t>
      </w:r>
      <w:r w:rsidR="00D83267">
        <w:t xml:space="preserve">Důsledkem nízké úrovně zdravotní gramotnosti poté dochází ke zvýšené návštěvnosti pohotovostní služby, </w:t>
      </w:r>
      <w:r w:rsidR="00365FF9">
        <w:t>k častým</w:t>
      </w:r>
      <w:r w:rsidR="00D83267">
        <w:t xml:space="preserve"> a opakovaným hospitalizacím</w:t>
      </w:r>
      <w:r w:rsidR="00365FF9">
        <w:t xml:space="preserve">, větší úmrtnosti, nezdravému životnímu stylu a většímu výskytu chronicky nemocných. Všeobecné sestry, které tráví s pacientem mnoho času, </w:t>
      </w:r>
      <w:r w:rsidR="00365FF9" w:rsidRPr="002C3F39">
        <w:t>by měl</w:t>
      </w:r>
      <w:r w:rsidR="002C3F39" w:rsidRPr="002C3F39">
        <w:t>y</w:t>
      </w:r>
      <w:r w:rsidR="00365FF9">
        <w:t xml:space="preserve"> hrát klíčovou roli </w:t>
      </w:r>
      <w:r w:rsidR="004A15F9">
        <w:t>ve</w:t>
      </w:r>
      <w:r w:rsidR="00365FF9">
        <w:t xml:space="preserve"> zvyšování zdravotní gramotnosti u jednotlivců a také by měly umět rozpoznat </w:t>
      </w:r>
      <w:r w:rsidR="002A4F97">
        <w:t>úroveň zdravotní gramotnosti pacienta</w:t>
      </w:r>
      <w:r w:rsidR="004A15F9">
        <w:t>, kterou lze identifikovat pomocí zavedených a spolehlivých nástrojů sloužících k její hodnocení</w:t>
      </w:r>
      <w:r w:rsidR="002A4F97">
        <w:t xml:space="preserve">. Poté </w:t>
      </w:r>
      <w:r w:rsidR="00365FF9">
        <w:t xml:space="preserve">pacienty vhodným způsobem </w:t>
      </w:r>
      <w:r w:rsidR="002C3F39">
        <w:t>informují</w:t>
      </w:r>
      <w:r w:rsidR="00365FF9">
        <w:t xml:space="preserve"> o zásadních zdravotních informacích, jako je třeba správnosti užívání léků,</w:t>
      </w:r>
      <w:r w:rsidR="00975F50">
        <w:t xml:space="preserve"> instrukce při propouštění z nemocnice,</w:t>
      </w:r>
      <w:r w:rsidR="00365FF9">
        <w:t xml:space="preserve"> a</w:t>
      </w:r>
      <w:r w:rsidR="0004404A">
        <w:t xml:space="preserve"> </w:t>
      </w:r>
      <w:r w:rsidR="00365FF9">
        <w:t xml:space="preserve">pod.. Pro edukaci používají vhodné písemné zdroje doplněné obrázky </w:t>
      </w:r>
      <w:r w:rsidR="002A4F97">
        <w:t xml:space="preserve">s následnou zpětnou vazbou, kdy je potřeba aby pacient vysvětlil, jak sděleným informacím porozuměl. Pro všeobecné sestry je však důležité se ve strategiích komunikace nadále vzdělávat a využívat vzdělávacích kurzů které jsou zaměřené na tuto problematiku. </w:t>
      </w:r>
    </w:p>
    <w:p w:rsidR="00D047FE" w:rsidRDefault="002A4F97" w:rsidP="00C800E7">
      <w:pPr>
        <w:pStyle w:val="Bezmezer"/>
        <w:spacing w:line="360" w:lineRule="auto"/>
        <w:jc w:val="both"/>
        <w:rPr>
          <w:color w:val="FF0000"/>
        </w:rPr>
      </w:pPr>
      <w:r>
        <w:tab/>
      </w:r>
      <w:r w:rsidR="00BA4521">
        <w:t xml:space="preserve"> </w:t>
      </w:r>
      <w:r w:rsidR="002C3F39" w:rsidRPr="002C3F39">
        <w:t>Dohledané poznatky lze použít jako vzdělávání pro všeobecné sestry, ale i pro veřejnost. Je důležité, aby zdravotnický personál měl podvědomí o problematice zdravotní gramotnosti a aby dokázal zlepšit zdravotní gramotnost tím, že zjištěné poznatky aplikuje při edukaci pacienta.</w:t>
      </w:r>
      <w:r w:rsidR="002C3F39">
        <w:t xml:space="preserve"> </w:t>
      </w:r>
    </w:p>
    <w:p w:rsidR="00E11937" w:rsidRPr="00D047FE" w:rsidRDefault="00E11937" w:rsidP="00C800E7">
      <w:pPr>
        <w:pStyle w:val="Bezmezer"/>
        <w:spacing w:line="360" w:lineRule="auto"/>
        <w:jc w:val="both"/>
        <w:rPr>
          <w:rFonts w:eastAsiaTheme="majorEastAsia"/>
          <w:color w:val="FF0000"/>
        </w:rPr>
      </w:pPr>
      <w:r w:rsidRPr="00D047FE">
        <w:rPr>
          <w:color w:val="FF0000"/>
        </w:rPr>
        <w:br w:type="page"/>
      </w:r>
    </w:p>
    <w:p w:rsidR="007B1C1D" w:rsidRDefault="007B1C1D" w:rsidP="00371E69">
      <w:pPr>
        <w:pStyle w:val="Nadpis1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2" w:name="_Toc44437064"/>
      <w:r w:rsidRPr="008D2D39">
        <w:rPr>
          <w:rFonts w:ascii="Times New Roman" w:hAnsi="Times New Roman" w:cs="Times New Roman"/>
          <w:b/>
          <w:bCs/>
          <w:color w:val="auto"/>
        </w:rPr>
        <w:lastRenderedPageBreak/>
        <w:t>Referenční seznam</w:t>
      </w:r>
      <w:bookmarkEnd w:id="12"/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ADEKOYA-COLE, T</w:t>
      </w:r>
      <w:r w:rsidR="00787D73" w:rsidRPr="00CC3BF5">
        <w:rPr>
          <w:rFonts w:cs="Times New Roman"/>
          <w:szCs w:val="24"/>
          <w:shd w:val="clear" w:color="auto" w:fill="FFFFFF"/>
        </w:rPr>
        <w:t>homas</w:t>
      </w:r>
      <w:r w:rsidRPr="00CC3BF5">
        <w:rPr>
          <w:rFonts w:cs="Times New Roman"/>
          <w:szCs w:val="24"/>
          <w:shd w:val="clear" w:color="auto" w:fill="FFFFFF"/>
        </w:rPr>
        <w:t>, O</w:t>
      </w:r>
      <w:r w:rsidR="00787D73" w:rsidRPr="00CC3BF5">
        <w:rPr>
          <w:rFonts w:cs="Times New Roman"/>
          <w:szCs w:val="24"/>
          <w:shd w:val="clear" w:color="auto" w:fill="FFFFFF"/>
        </w:rPr>
        <w:t>luseun</w:t>
      </w:r>
      <w:r w:rsidRPr="00CC3BF5">
        <w:rPr>
          <w:rFonts w:cs="Times New Roman"/>
          <w:szCs w:val="24"/>
          <w:shd w:val="clear" w:color="auto" w:fill="FFFFFF"/>
        </w:rPr>
        <w:t xml:space="preserve"> AKINMOKUN, G</w:t>
      </w:r>
      <w:r w:rsidR="00787D73" w:rsidRPr="00CC3BF5">
        <w:rPr>
          <w:rFonts w:cs="Times New Roman"/>
          <w:szCs w:val="24"/>
          <w:shd w:val="clear" w:color="auto" w:fill="FFFFFF"/>
        </w:rPr>
        <w:t xml:space="preserve">eorge </w:t>
      </w:r>
      <w:r w:rsidRPr="00CC3BF5">
        <w:rPr>
          <w:rFonts w:cs="Times New Roman"/>
          <w:szCs w:val="24"/>
          <w:shd w:val="clear" w:color="auto" w:fill="FFFFFF"/>
        </w:rPr>
        <w:t>ENWELUZO, O</w:t>
      </w:r>
      <w:r w:rsidR="00E630D5" w:rsidRPr="00CC3BF5">
        <w:rPr>
          <w:rFonts w:cs="Times New Roman"/>
          <w:szCs w:val="24"/>
          <w:shd w:val="clear" w:color="auto" w:fill="FFFFFF"/>
        </w:rPr>
        <w:t>peyemi</w:t>
      </w:r>
      <w:r w:rsidRPr="00CC3BF5">
        <w:rPr>
          <w:rFonts w:cs="Times New Roman"/>
          <w:szCs w:val="24"/>
          <w:shd w:val="clear" w:color="auto" w:fill="FFFFFF"/>
        </w:rPr>
        <w:t xml:space="preserve"> BADMUS a E</w:t>
      </w:r>
      <w:r w:rsidR="00E630D5" w:rsidRPr="00CC3BF5">
        <w:rPr>
          <w:rFonts w:cs="Times New Roman"/>
          <w:szCs w:val="24"/>
          <w:shd w:val="clear" w:color="auto" w:fill="FFFFFF"/>
        </w:rPr>
        <w:t xml:space="preserve">kov </w:t>
      </w:r>
      <w:r w:rsidRPr="00CC3BF5">
        <w:rPr>
          <w:rFonts w:cs="Times New Roman"/>
          <w:szCs w:val="24"/>
          <w:shd w:val="clear" w:color="auto" w:fill="FFFFFF"/>
        </w:rPr>
        <w:t xml:space="preserve">ALABI. Poor Health Literacy in Nigeria: Causes, Consequences and Measures to improve it. </w:t>
      </w:r>
      <w:r w:rsidRPr="00CC3BF5">
        <w:rPr>
          <w:rFonts w:cs="Times New Roman"/>
          <w:i/>
          <w:iCs/>
          <w:szCs w:val="24"/>
        </w:rPr>
        <w:t>Nigerian quarterly journal of hospital medicine</w:t>
      </w:r>
      <w:r w:rsidRPr="00CC3BF5">
        <w:rPr>
          <w:rFonts w:cs="Times New Roman"/>
          <w:szCs w:val="24"/>
          <w:shd w:val="clear" w:color="auto" w:fill="FFFFFF"/>
        </w:rPr>
        <w:t xml:space="preserve"> [online]. 2015, </w:t>
      </w:r>
      <w:r w:rsidRPr="00CC3BF5">
        <w:rPr>
          <w:rFonts w:cs="Times New Roman"/>
          <w:szCs w:val="24"/>
        </w:rPr>
        <w:t>25</w:t>
      </w:r>
      <w:r w:rsidRPr="00CC3BF5">
        <w:rPr>
          <w:rFonts w:cs="Times New Roman"/>
          <w:szCs w:val="24"/>
          <w:shd w:val="clear" w:color="auto" w:fill="FFFFFF"/>
        </w:rPr>
        <w:t>(2), 112-7 [cit. 2020-05-27]. ISSN 01892657.</w:t>
      </w:r>
    </w:p>
    <w:p w:rsidR="00974EC1" w:rsidRPr="00B60180" w:rsidRDefault="00974EC1" w:rsidP="00974EC1">
      <w:pPr>
        <w:pStyle w:val="Odstavecseseznamem"/>
        <w:spacing w:line="360" w:lineRule="auto"/>
        <w:ind w:left="644"/>
        <w:jc w:val="both"/>
        <w:rPr>
          <w:rFonts w:cs="Times New Roman"/>
          <w:szCs w:val="24"/>
          <w:shd w:val="clear" w:color="auto" w:fill="FFFFFF"/>
        </w:rPr>
      </w:pPr>
    </w:p>
    <w:p w:rsidR="00E66BAC" w:rsidRPr="00686F9E" w:rsidRDefault="00E66BAC" w:rsidP="00686F9E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686F9E">
        <w:rPr>
          <w:rFonts w:cs="Times New Roman"/>
          <w:szCs w:val="24"/>
          <w:shd w:val="clear" w:color="auto" w:fill="FFFFFF"/>
        </w:rPr>
        <w:t xml:space="preserve">ALTIN, Sibel Vildan, Isabelle FINKE, Sibylle KAUTZ-FREIMUTH a Stephanie STOCK. The evolution of health literacy assessment tools: a systematic review. </w:t>
      </w:r>
      <w:bookmarkStart w:id="13" w:name="_Hlk44264738"/>
      <w:r w:rsidRPr="00686F9E">
        <w:rPr>
          <w:rFonts w:cs="Times New Roman"/>
          <w:i/>
          <w:iCs/>
          <w:szCs w:val="24"/>
        </w:rPr>
        <w:t>BMC Public Health</w:t>
      </w:r>
      <w:r w:rsidRPr="00686F9E">
        <w:rPr>
          <w:rFonts w:cs="Times New Roman"/>
          <w:szCs w:val="24"/>
          <w:shd w:val="clear" w:color="auto" w:fill="FFFFFF"/>
        </w:rPr>
        <w:t xml:space="preserve"> </w:t>
      </w:r>
      <w:bookmarkEnd w:id="13"/>
      <w:r w:rsidRPr="00686F9E">
        <w:rPr>
          <w:rFonts w:cs="Times New Roman"/>
          <w:szCs w:val="24"/>
          <w:shd w:val="clear" w:color="auto" w:fill="FFFFFF"/>
        </w:rPr>
        <w:t xml:space="preserve">[online]. 2014, </w:t>
      </w:r>
      <w:r w:rsidRPr="00686F9E">
        <w:rPr>
          <w:rFonts w:cs="Times New Roman"/>
          <w:szCs w:val="24"/>
        </w:rPr>
        <w:t>14</w:t>
      </w:r>
      <w:r w:rsidRPr="00686F9E">
        <w:rPr>
          <w:rFonts w:cs="Times New Roman"/>
          <w:szCs w:val="24"/>
          <w:shd w:val="clear" w:color="auto" w:fill="FFFFFF"/>
        </w:rPr>
        <w:t>(1), 1-24 [cit. 2020-05-01]. DOI: 10.1186/1471-2458-14-1207. ISSN 14712458.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BALLARD, D</w:t>
      </w:r>
      <w:r w:rsidR="00E630D5" w:rsidRPr="00CC3BF5">
        <w:rPr>
          <w:rFonts w:cs="Times New Roman"/>
          <w:szCs w:val="24"/>
          <w:shd w:val="clear" w:color="auto" w:fill="FFFFFF"/>
        </w:rPr>
        <w:t>eborah</w:t>
      </w:r>
      <w:r w:rsidRPr="00CC3BF5">
        <w:rPr>
          <w:rFonts w:cs="Times New Roman"/>
          <w:szCs w:val="24"/>
          <w:shd w:val="clear" w:color="auto" w:fill="FFFFFF"/>
        </w:rPr>
        <w:t>. a J</w:t>
      </w:r>
      <w:r w:rsidR="00E630D5" w:rsidRPr="00CC3BF5">
        <w:rPr>
          <w:rFonts w:cs="Times New Roman"/>
          <w:szCs w:val="24"/>
          <w:shd w:val="clear" w:color="auto" w:fill="FFFFFF"/>
        </w:rPr>
        <w:t>ill</w:t>
      </w:r>
      <w:r w:rsidRPr="00CC3BF5">
        <w:rPr>
          <w:rFonts w:cs="Times New Roman"/>
          <w:szCs w:val="24"/>
          <w:shd w:val="clear" w:color="auto" w:fill="FFFFFF"/>
        </w:rPr>
        <w:t xml:space="preserve"> HILL. The Nurse's Role in Health Literacy of Patients With Cancer. </w:t>
      </w:r>
      <w:bookmarkStart w:id="14" w:name="_Hlk44264759"/>
      <w:r w:rsidRPr="00CC3BF5">
        <w:rPr>
          <w:rFonts w:cs="Times New Roman"/>
          <w:i/>
          <w:iCs/>
          <w:szCs w:val="24"/>
        </w:rPr>
        <w:t>Clinical journal of oncology nursing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14"/>
      <w:r w:rsidRPr="00CC3BF5">
        <w:rPr>
          <w:rFonts w:cs="Times New Roman"/>
          <w:szCs w:val="24"/>
          <w:shd w:val="clear" w:color="auto" w:fill="FFFFFF"/>
        </w:rPr>
        <w:t xml:space="preserve">[online]. 2016, </w:t>
      </w:r>
      <w:r w:rsidRPr="00CC3BF5">
        <w:rPr>
          <w:rFonts w:cs="Times New Roman"/>
          <w:szCs w:val="24"/>
        </w:rPr>
        <w:t>20</w:t>
      </w:r>
      <w:r w:rsidRPr="00CC3BF5">
        <w:rPr>
          <w:rFonts w:cs="Times New Roman"/>
          <w:szCs w:val="24"/>
          <w:shd w:val="clear" w:color="auto" w:fill="FFFFFF"/>
        </w:rPr>
        <w:t>(3), 232-4 [cit. 2020-05-29]. DOI: 10.1188/16.CJON.232-234. ISSN 1538067X.</w:t>
      </w:r>
    </w:p>
    <w:p w:rsidR="00CC3BF5" w:rsidRDefault="00CC3BF5" w:rsidP="00CC3BF5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1C7C21" w:rsidRDefault="001C7C21" w:rsidP="00CC3BF5">
      <w:pPr>
        <w:spacing w:line="360" w:lineRule="auto"/>
        <w:jc w:val="both"/>
        <w:rPr>
          <w:rFonts w:cs="Times New Roman"/>
          <w:shd w:val="clear" w:color="auto" w:fill="FFFFFF"/>
        </w:rPr>
      </w:pPr>
      <w:r w:rsidRPr="00CC3BF5">
        <w:rPr>
          <w:rFonts w:cs="Times New Roman"/>
          <w:shd w:val="clear" w:color="auto" w:fill="FFFFFF"/>
        </w:rPr>
        <w:t>BERENS, E</w:t>
      </w:r>
      <w:r w:rsidR="00E630D5" w:rsidRPr="00CC3BF5">
        <w:rPr>
          <w:rFonts w:cs="Times New Roman"/>
          <w:shd w:val="clear" w:color="auto" w:fill="FFFFFF"/>
        </w:rPr>
        <w:t>va-</w:t>
      </w:r>
      <w:r w:rsidRPr="00CC3BF5">
        <w:rPr>
          <w:rFonts w:cs="Times New Roman"/>
          <w:shd w:val="clear" w:color="auto" w:fill="FFFFFF"/>
        </w:rPr>
        <w:t>M</w:t>
      </w:r>
      <w:r w:rsidR="00E630D5" w:rsidRPr="00CC3BF5">
        <w:rPr>
          <w:rFonts w:cs="Times New Roman"/>
          <w:shd w:val="clear" w:color="auto" w:fill="FFFFFF"/>
        </w:rPr>
        <w:t>aria</w:t>
      </w:r>
      <w:r w:rsidRPr="00CC3BF5">
        <w:rPr>
          <w:rFonts w:cs="Times New Roman"/>
          <w:shd w:val="clear" w:color="auto" w:fill="FFFFFF"/>
        </w:rPr>
        <w:t>., D</w:t>
      </w:r>
      <w:r w:rsidR="00E630D5" w:rsidRPr="00CC3BF5">
        <w:rPr>
          <w:rFonts w:cs="Times New Roman"/>
          <w:shd w:val="clear" w:color="auto" w:fill="FFFFFF"/>
        </w:rPr>
        <w:t xml:space="preserve">ominique </w:t>
      </w:r>
      <w:r w:rsidRPr="00CC3BF5">
        <w:rPr>
          <w:rFonts w:cs="Times New Roman"/>
          <w:shd w:val="clear" w:color="auto" w:fill="FFFFFF"/>
        </w:rPr>
        <w:t>VOGT, M</w:t>
      </w:r>
      <w:r w:rsidR="00E630D5" w:rsidRPr="00CC3BF5">
        <w:rPr>
          <w:rFonts w:cs="Times New Roman"/>
          <w:shd w:val="clear" w:color="auto" w:fill="FFFFFF"/>
        </w:rPr>
        <w:t>elanie</w:t>
      </w:r>
      <w:r w:rsidRPr="00CC3BF5">
        <w:rPr>
          <w:rFonts w:cs="Times New Roman"/>
          <w:shd w:val="clear" w:color="auto" w:fill="FFFFFF"/>
        </w:rPr>
        <w:t xml:space="preserve"> MESSER, K</w:t>
      </w:r>
      <w:r w:rsidR="00E630D5" w:rsidRPr="00CC3BF5">
        <w:rPr>
          <w:rFonts w:cs="Times New Roman"/>
          <w:shd w:val="clear" w:color="auto" w:fill="FFFFFF"/>
        </w:rPr>
        <w:t>laus</w:t>
      </w:r>
      <w:r w:rsidRPr="00CC3BF5">
        <w:rPr>
          <w:rFonts w:cs="Times New Roman"/>
          <w:shd w:val="clear" w:color="auto" w:fill="FFFFFF"/>
        </w:rPr>
        <w:t xml:space="preserve"> HURRELMANN a D</w:t>
      </w:r>
      <w:r w:rsidR="00E630D5" w:rsidRPr="00CC3BF5">
        <w:rPr>
          <w:rFonts w:cs="Times New Roman"/>
          <w:shd w:val="clear" w:color="auto" w:fill="FFFFFF"/>
        </w:rPr>
        <w:t>oris</w:t>
      </w:r>
      <w:r w:rsidRPr="00CC3BF5">
        <w:rPr>
          <w:rFonts w:cs="Times New Roman"/>
          <w:shd w:val="clear" w:color="auto" w:fill="FFFFFF"/>
        </w:rPr>
        <w:t xml:space="preserve"> SCHAEFFER. Health literacy among different age groups in Germany: results of a cross-sectional survey. </w:t>
      </w:r>
      <w:r w:rsidRPr="00CC3BF5">
        <w:rPr>
          <w:rFonts w:cs="Times New Roman"/>
          <w:i/>
          <w:iCs/>
        </w:rPr>
        <w:t>BMC public health</w:t>
      </w:r>
      <w:r w:rsidRPr="00CC3BF5">
        <w:rPr>
          <w:rFonts w:cs="Times New Roman"/>
          <w:shd w:val="clear" w:color="auto" w:fill="FFFFFF"/>
        </w:rPr>
        <w:t xml:space="preserve"> [online]. 2016, </w:t>
      </w:r>
      <w:r w:rsidRPr="00CC3BF5">
        <w:rPr>
          <w:rFonts w:cs="Times New Roman"/>
        </w:rPr>
        <w:t>16</w:t>
      </w:r>
      <w:r w:rsidRPr="00CC3BF5">
        <w:rPr>
          <w:rFonts w:cs="Times New Roman"/>
          <w:shd w:val="clear" w:color="auto" w:fill="FFFFFF"/>
        </w:rPr>
        <w:t>(1), 1151 [cit. 2020-06-25]. ISSN 14712458.</w:t>
      </w:r>
    </w:p>
    <w:p w:rsidR="00824ED7" w:rsidRPr="00824ED7" w:rsidRDefault="00824ED7" w:rsidP="00824ED7">
      <w:pPr>
        <w:pStyle w:val="Bezmezer"/>
      </w:pPr>
    </w:p>
    <w:p w:rsidR="00824ED7" w:rsidRPr="00824ED7" w:rsidRDefault="00824ED7" w:rsidP="00824ED7">
      <w:pPr>
        <w:pStyle w:val="Bezmezer"/>
        <w:spacing w:line="360" w:lineRule="auto"/>
        <w:rPr>
          <w:rFonts w:cs="Times New Roman"/>
        </w:rPr>
      </w:pPr>
      <w:r w:rsidRPr="00824ED7">
        <w:rPr>
          <w:rFonts w:cs="Times New Roman"/>
          <w:shd w:val="clear" w:color="auto" w:fill="FFFFFF"/>
        </w:rPr>
        <w:t>BRANGAN, S</w:t>
      </w:r>
      <w:r>
        <w:rPr>
          <w:rFonts w:cs="Times New Roman"/>
          <w:shd w:val="clear" w:color="auto" w:fill="FFFFFF"/>
        </w:rPr>
        <w:t>anja</w:t>
      </w:r>
      <w:r w:rsidRPr="00824ED7">
        <w:rPr>
          <w:rFonts w:cs="Times New Roman"/>
          <w:shd w:val="clear" w:color="auto" w:fill="FFFFFF"/>
        </w:rPr>
        <w:t>, M</w:t>
      </w:r>
      <w:r>
        <w:rPr>
          <w:rFonts w:cs="Times New Roman"/>
          <w:shd w:val="clear" w:color="auto" w:fill="FFFFFF"/>
        </w:rPr>
        <w:t>artina</w:t>
      </w:r>
      <w:r w:rsidRPr="00824ED7">
        <w:rPr>
          <w:rFonts w:cs="Times New Roman"/>
          <w:shd w:val="clear" w:color="auto" w:fill="FFFFFF"/>
        </w:rPr>
        <w:t xml:space="preserve"> IVANIŠIĆ, G</w:t>
      </w:r>
      <w:r>
        <w:rPr>
          <w:rFonts w:cs="Times New Roman"/>
          <w:shd w:val="clear" w:color="auto" w:fill="FFFFFF"/>
        </w:rPr>
        <w:t>oranka</w:t>
      </w:r>
      <w:r w:rsidRPr="00824ED7">
        <w:rPr>
          <w:rFonts w:cs="Times New Roman"/>
          <w:shd w:val="clear" w:color="auto" w:fill="FFFFFF"/>
        </w:rPr>
        <w:t xml:space="preserve"> RAFAJ a G</w:t>
      </w:r>
      <w:r>
        <w:rPr>
          <w:rFonts w:cs="Times New Roman"/>
          <w:shd w:val="clear" w:color="auto" w:fill="FFFFFF"/>
        </w:rPr>
        <w:t>ill</w:t>
      </w:r>
      <w:r w:rsidRPr="00824ED7">
        <w:rPr>
          <w:rFonts w:cs="Times New Roman"/>
          <w:shd w:val="clear" w:color="auto" w:fill="FFFFFF"/>
        </w:rPr>
        <w:t xml:space="preserve"> ROWLANDS. Health literacy of hospital patients using a linguistically validated Croatian version of the Newest Vital Sign screening test (NVS-HR). </w:t>
      </w:r>
      <w:r w:rsidRPr="00824ED7">
        <w:rPr>
          <w:rFonts w:cs="Times New Roman"/>
          <w:i/>
          <w:iCs/>
        </w:rPr>
        <w:t>PloS one</w:t>
      </w:r>
      <w:r w:rsidRPr="00824ED7">
        <w:rPr>
          <w:rFonts w:cs="Times New Roman"/>
          <w:shd w:val="clear" w:color="auto" w:fill="FFFFFF"/>
        </w:rPr>
        <w:t xml:space="preserve"> [online]. 2018, </w:t>
      </w:r>
      <w:r w:rsidRPr="00824ED7">
        <w:rPr>
          <w:rFonts w:cs="Times New Roman"/>
        </w:rPr>
        <w:t>13</w:t>
      </w:r>
      <w:r w:rsidRPr="00824ED7">
        <w:rPr>
          <w:rFonts w:cs="Times New Roman"/>
          <w:shd w:val="clear" w:color="auto" w:fill="FFFFFF"/>
        </w:rPr>
        <w:t>(2), e0193079 [cit. 2020-06-29]. DOI: 10.1371/journal.pone.0193079. ISSN 19326203.</w:t>
      </w:r>
    </w:p>
    <w:p w:rsidR="00CC3BF5" w:rsidRPr="00824ED7" w:rsidRDefault="00CC3BF5" w:rsidP="00824ED7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</w:rPr>
        <w:t xml:space="preserve">COLLINS, Sarah A., Leanne M. CURRIE, Suzanne BAKKEN, David K. VAWDREY a Patricia W. STONE. Health literacy screening instruments for eHealth applications: A systematic review. </w:t>
      </w:r>
      <w:bookmarkStart w:id="15" w:name="_Hlk44264955"/>
      <w:r w:rsidRPr="00CC3BF5">
        <w:rPr>
          <w:rFonts w:cs="Times New Roman"/>
          <w:szCs w:val="24"/>
        </w:rPr>
        <w:t xml:space="preserve">Journal of Biomedical Informatics </w:t>
      </w:r>
      <w:bookmarkEnd w:id="15"/>
      <w:r w:rsidRPr="00CC3BF5">
        <w:rPr>
          <w:rFonts w:cs="Times New Roman"/>
          <w:szCs w:val="24"/>
        </w:rPr>
        <w:t>[online]. 2012, 45(3), 598-607 [cit. 2020-04-15]. DOI: 10.1016/j.jbi.2012.04.001. ISSN 15320464</w:t>
      </w:r>
      <w:r w:rsidRPr="00CC3BF5">
        <w:rPr>
          <w:rFonts w:cs="Times New Roman"/>
          <w:szCs w:val="24"/>
          <w:shd w:val="clear" w:color="auto" w:fill="FFFFFF"/>
        </w:rPr>
        <w:t>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COŞKUN, Sabahat a Hatice BEBIŞ. Effects of health promotion courses on development of healthy lifestyle behaviours and e-health literacy in nursing. </w:t>
      </w:r>
      <w:bookmarkStart w:id="16" w:name="_Hlk44264978"/>
      <w:r w:rsidRPr="00CC3BF5">
        <w:rPr>
          <w:rFonts w:cs="Times New Roman"/>
          <w:i/>
          <w:iCs/>
          <w:szCs w:val="24"/>
        </w:rPr>
        <w:t>Gulhane Medical Journal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16"/>
      <w:r w:rsidRPr="00CC3BF5">
        <w:rPr>
          <w:rFonts w:cs="Times New Roman"/>
          <w:szCs w:val="24"/>
          <w:shd w:val="clear" w:color="auto" w:fill="FFFFFF"/>
        </w:rPr>
        <w:t xml:space="preserve">[online]. 2019, </w:t>
      </w:r>
      <w:r w:rsidRPr="00CC3BF5">
        <w:rPr>
          <w:rFonts w:cs="Times New Roman"/>
          <w:szCs w:val="24"/>
        </w:rPr>
        <w:t>61</w:t>
      </w:r>
      <w:r w:rsidRPr="00CC3BF5">
        <w:rPr>
          <w:rFonts w:cs="Times New Roman"/>
          <w:szCs w:val="24"/>
          <w:shd w:val="clear" w:color="auto" w:fill="FFFFFF"/>
        </w:rPr>
        <w:t>(2), 52-58 [cit. 2020-03-12]. DOI: 10.26657/gulhane.00054. ISSN 13020471.</w:t>
      </w:r>
    </w:p>
    <w:p w:rsidR="00CC3BF5" w:rsidRDefault="00CC3BF5" w:rsidP="00CC3BF5">
      <w:p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CC3BF5">
        <w:rPr>
          <w:rFonts w:cs="Times New Roman"/>
          <w:color w:val="000000"/>
          <w:szCs w:val="24"/>
          <w:shd w:val="clear" w:color="auto" w:fill="FFFFFF"/>
        </w:rPr>
        <w:lastRenderedPageBreak/>
        <w:t>DICKENS, C</w:t>
      </w:r>
      <w:r w:rsidR="00E630D5" w:rsidRPr="00CC3BF5">
        <w:rPr>
          <w:rFonts w:cs="Times New Roman"/>
          <w:color w:val="000000"/>
          <w:szCs w:val="24"/>
          <w:shd w:val="clear" w:color="auto" w:fill="FFFFFF"/>
        </w:rPr>
        <w:t>arolin</w:t>
      </w:r>
      <w:r w:rsidRPr="00CC3BF5">
        <w:rPr>
          <w:rFonts w:cs="Times New Roman"/>
          <w:color w:val="000000"/>
          <w:szCs w:val="24"/>
          <w:shd w:val="clear" w:color="auto" w:fill="FFFFFF"/>
        </w:rPr>
        <w:t>, B</w:t>
      </w:r>
      <w:r w:rsidR="00E630D5" w:rsidRPr="00CC3BF5">
        <w:rPr>
          <w:rFonts w:cs="Times New Roman"/>
          <w:color w:val="000000"/>
          <w:szCs w:val="24"/>
          <w:shd w:val="clear" w:color="auto" w:fill="FFFFFF"/>
        </w:rPr>
        <w:t>ruce</w:t>
      </w:r>
      <w:r w:rsidRPr="00CC3BF5">
        <w:rPr>
          <w:rFonts w:cs="Times New Roman"/>
          <w:color w:val="000000"/>
          <w:szCs w:val="24"/>
          <w:shd w:val="clear" w:color="auto" w:fill="FFFFFF"/>
        </w:rPr>
        <w:t xml:space="preserve"> LAMBERT, T</w:t>
      </w:r>
      <w:r w:rsidR="00E630D5" w:rsidRPr="00CC3BF5">
        <w:rPr>
          <w:rFonts w:cs="Times New Roman"/>
          <w:color w:val="000000"/>
          <w:szCs w:val="24"/>
          <w:shd w:val="clear" w:color="auto" w:fill="FFFFFF"/>
        </w:rPr>
        <w:t>erese</w:t>
      </w:r>
      <w:r w:rsidRPr="00CC3BF5">
        <w:rPr>
          <w:rFonts w:cs="Times New Roman"/>
          <w:color w:val="000000"/>
          <w:szCs w:val="24"/>
          <w:shd w:val="clear" w:color="auto" w:fill="FFFFFF"/>
        </w:rPr>
        <w:t xml:space="preserve"> CROMWELL a M</w:t>
      </w:r>
      <w:r w:rsidR="00E630D5" w:rsidRPr="00CC3BF5">
        <w:rPr>
          <w:rFonts w:cs="Times New Roman"/>
          <w:color w:val="000000"/>
          <w:szCs w:val="24"/>
          <w:shd w:val="clear" w:color="auto" w:fill="FFFFFF"/>
        </w:rPr>
        <w:t>ariann</w:t>
      </w:r>
      <w:r w:rsidRPr="00CC3BF5">
        <w:rPr>
          <w:rFonts w:cs="Times New Roman"/>
          <w:color w:val="000000"/>
          <w:szCs w:val="24"/>
          <w:shd w:val="clear" w:color="auto" w:fill="FFFFFF"/>
        </w:rPr>
        <w:t xml:space="preserve"> PIANO. Nurse overestimation of patients' health literacy. </w:t>
      </w:r>
      <w:bookmarkStart w:id="17" w:name="_Hlk44265061"/>
      <w:r w:rsidRPr="00CC3BF5">
        <w:rPr>
          <w:rFonts w:cs="Times New Roman"/>
          <w:i/>
          <w:iCs/>
          <w:color w:val="000000"/>
          <w:szCs w:val="24"/>
        </w:rPr>
        <w:t>Journal of health communication</w:t>
      </w:r>
      <w:r w:rsidRPr="00CC3BF5">
        <w:rPr>
          <w:rFonts w:cs="Times New Roman"/>
          <w:color w:val="000000"/>
          <w:szCs w:val="24"/>
          <w:shd w:val="clear" w:color="auto" w:fill="FFFFFF"/>
        </w:rPr>
        <w:t xml:space="preserve"> </w:t>
      </w:r>
      <w:bookmarkEnd w:id="17"/>
      <w:r w:rsidRPr="00CC3BF5">
        <w:rPr>
          <w:rFonts w:cs="Times New Roman"/>
          <w:color w:val="000000"/>
          <w:szCs w:val="24"/>
          <w:shd w:val="clear" w:color="auto" w:fill="FFFFFF"/>
        </w:rPr>
        <w:t xml:space="preserve">[online]. 2013, </w:t>
      </w:r>
      <w:r w:rsidRPr="00CC3BF5">
        <w:rPr>
          <w:rFonts w:cs="Times New Roman"/>
          <w:color w:val="000000"/>
          <w:szCs w:val="24"/>
        </w:rPr>
        <w:t>18 Suppl 1</w:t>
      </w:r>
      <w:r w:rsidRPr="00CC3BF5">
        <w:rPr>
          <w:rFonts w:cs="Times New Roman"/>
          <w:color w:val="000000"/>
          <w:szCs w:val="24"/>
          <w:shd w:val="clear" w:color="auto" w:fill="FFFFFF"/>
        </w:rPr>
        <w:t>, 62-9 [cit. 2020-05-30]. DOI: 10.1080/10810730.2013.825670. ISSN 10870415.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Style w:val="Hypertextovodkaz"/>
          <w:rFonts w:cs="Times New Roman"/>
          <w:szCs w:val="24"/>
        </w:rPr>
      </w:pPr>
      <w:r w:rsidRPr="00CC3BF5">
        <w:rPr>
          <w:rFonts w:cs="Times New Roman"/>
          <w:szCs w:val="24"/>
        </w:rPr>
        <w:t xml:space="preserve">DINGOVÁ, Michaela a Tatiana JAKUBCOVÁ. Zdravotná gramotnosť – nový pojem pre ošetrovateľskú prax. </w:t>
      </w:r>
      <w:r w:rsidRPr="00CC3BF5">
        <w:rPr>
          <w:rFonts w:cs="Times New Roman"/>
          <w:i/>
          <w:iCs/>
          <w:szCs w:val="24"/>
        </w:rPr>
        <w:t>Ošetrovateľstvo</w:t>
      </w:r>
      <w:r w:rsidRPr="00CC3BF5">
        <w:rPr>
          <w:rFonts w:cs="Times New Roman"/>
          <w:szCs w:val="24"/>
        </w:rPr>
        <w:t xml:space="preserve"> [online]. 2011, 1(1), 34-41 [cit. 2018-12-10]. ISSN 1338-6263. Dostupné z: </w:t>
      </w:r>
      <w:hyperlink r:id="rId10" w:history="1">
        <w:r w:rsidRPr="00CC3BF5">
          <w:rPr>
            <w:rStyle w:val="Hypertextovodkaz"/>
            <w:rFonts w:cs="Times New Roman"/>
            <w:szCs w:val="24"/>
          </w:rPr>
          <w:t>http://www.osetrovatelstvo.eu/archiv/2011-rocnik-1/cislo-1/zdravotna-gramotnost-novy-pojem-pre-osetrovatelsku-prax</w:t>
        </w:r>
      </w:hyperlink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DUPLAGA, M</w:t>
      </w:r>
      <w:r w:rsidR="00E630D5" w:rsidRPr="00CC3BF5">
        <w:rPr>
          <w:rFonts w:cs="Times New Roman"/>
          <w:szCs w:val="24"/>
          <w:shd w:val="clear" w:color="auto" w:fill="FFFFFF"/>
        </w:rPr>
        <w:t>ariusz</w:t>
      </w:r>
      <w:r w:rsidRPr="00CC3BF5">
        <w:rPr>
          <w:rFonts w:cs="Times New Roman"/>
          <w:szCs w:val="24"/>
          <w:shd w:val="clear" w:color="auto" w:fill="FFFFFF"/>
        </w:rPr>
        <w:t xml:space="preserve"> Determinants and Consequences of Limited Health Literacy in Polish Society. </w:t>
      </w:r>
      <w:bookmarkStart w:id="18" w:name="_Hlk44265184"/>
      <w:r w:rsidRPr="00CC3BF5">
        <w:rPr>
          <w:rFonts w:cs="Times New Roman"/>
          <w:i/>
          <w:iCs/>
          <w:szCs w:val="24"/>
        </w:rPr>
        <w:t>International journal of environmental research and public health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18"/>
      <w:r w:rsidRPr="00CC3BF5">
        <w:rPr>
          <w:rFonts w:cs="Times New Roman"/>
          <w:szCs w:val="24"/>
          <w:shd w:val="clear" w:color="auto" w:fill="FFFFFF"/>
        </w:rPr>
        <w:t xml:space="preserve">[online]. 2020, </w:t>
      </w:r>
      <w:r w:rsidRPr="00CC3BF5">
        <w:rPr>
          <w:rFonts w:cs="Times New Roman"/>
          <w:szCs w:val="24"/>
        </w:rPr>
        <w:t>17</w:t>
      </w:r>
      <w:r w:rsidRPr="00CC3BF5">
        <w:rPr>
          <w:rFonts w:cs="Times New Roman"/>
          <w:szCs w:val="24"/>
          <w:shd w:val="clear" w:color="auto" w:fill="FFFFFF"/>
        </w:rPr>
        <w:t>(2) [cit. 2020-05-24]. DOI: 10.3390/ijerph17020642. ISSN 16604601.</w:t>
      </w:r>
    </w:p>
    <w:p w:rsidR="00CC3BF5" w:rsidRDefault="00CC3BF5" w:rsidP="00CC3BF5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417772" w:rsidRPr="00CC3BF5" w:rsidRDefault="00417772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hd w:val="clear" w:color="auto" w:fill="FFFFFF"/>
        </w:rPr>
        <w:t xml:space="preserve">EMTEKAR Haesum, Lisa Korsbakke, Lars EHLERS a Ole K. HEJLESEN. Validation of the Test of Functional Health Literacy in Adults in a Danish population. </w:t>
      </w:r>
      <w:r w:rsidRPr="00CC3BF5">
        <w:rPr>
          <w:rFonts w:cs="Times New Roman"/>
          <w:i/>
          <w:iCs/>
        </w:rPr>
        <w:t>Scandinavian Journal of Caring Sciences</w:t>
      </w:r>
      <w:r w:rsidRPr="00CC3BF5">
        <w:rPr>
          <w:rFonts w:cs="Times New Roman"/>
          <w:shd w:val="clear" w:color="auto" w:fill="FFFFFF"/>
        </w:rPr>
        <w:t xml:space="preserve"> [online]. 2015, </w:t>
      </w:r>
      <w:r w:rsidRPr="00CC3BF5">
        <w:rPr>
          <w:rFonts w:cs="Times New Roman"/>
        </w:rPr>
        <w:t>29</w:t>
      </w:r>
      <w:r w:rsidRPr="00CC3BF5">
        <w:rPr>
          <w:rFonts w:cs="Times New Roman"/>
          <w:shd w:val="clear" w:color="auto" w:fill="FFFFFF"/>
        </w:rPr>
        <w:t>(3), 573 [cit. 2020-06-29]. DOI: 10.1111/scs.12186. ISSN 02839318.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ERDEI, R</w:t>
      </w:r>
      <w:r w:rsidR="00E630D5" w:rsidRPr="00CC3BF5">
        <w:rPr>
          <w:rFonts w:cs="Times New Roman"/>
          <w:szCs w:val="24"/>
          <w:shd w:val="clear" w:color="auto" w:fill="FFFFFF"/>
        </w:rPr>
        <w:t>enáta</w:t>
      </w:r>
      <w:r w:rsidRPr="00CC3BF5">
        <w:rPr>
          <w:rFonts w:cs="Times New Roman"/>
          <w:szCs w:val="24"/>
          <w:shd w:val="clear" w:color="auto" w:fill="FFFFFF"/>
        </w:rPr>
        <w:t>, A</w:t>
      </w:r>
      <w:r w:rsidR="00E630D5" w:rsidRPr="00CC3BF5">
        <w:rPr>
          <w:rFonts w:cs="Times New Roman"/>
          <w:szCs w:val="24"/>
          <w:shd w:val="clear" w:color="auto" w:fill="FFFFFF"/>
        </w:rPr>
        <w:t>nita</w:t>
      </w:r>
      <w:r w:rsidRPr="00CC3BF5">
        <w:rPr>
          <w:rFonts w:cs="Times New Roman"/>
          <w:szCs w:val="24"/>
          <w:shd w:val="clear" w:color="auto" w:fill="FFFFFF"/>
        </w:rPr>
        <w:t xml:space="preserve"> BARTH, A</w:t>
      </w:r>
      <w:r w:rsidR="00E630D5" w:rsidRPr="00CC3BF5">
        <w:rPr>
          <w:rFonts w:cs="Times New Roman"/>
          <w:szCs w:val="24"/>
          <w:shd w:val="clear" w:color="auto" w:fill="FFFFFF"/>
        </w:rPr>
        <w:t>nita</w:t>
      </w:r>
      <w:r w:rsidRPr="00CC3BF5">
        <w:rPr>
          <w:rFonts w:cs="Times New Roman"/>
          <w:szCs w:val="24"/>
          <w:shd w:val="clear" w:color="auto" w:fill="FFFFFF"/>
        </w:rPr>
        <w:t xml:space="preserve"> FEDOR a P</w:t>
      </w:r>
      <w:r w:rsidR="00E630D5" w:rsidRPr="00CC3BF5">
        <w:rPr>
          <w:rFonts w:cs="Times New Roman"/>
          <w:szCs w:val="24"/>
          <w:shd w:val="clear" w:color="auto" w:fill="FFFFFF"/>
        </w:rPr>
        <w:t>éter</w:t>
      </w:r>
      <w:r w:rsidRPr="00CC3BF5">
        <w:rPr>
          <w:rFonts w:cs="Times New Roman"/>
          <w:szCs w:val="24"/>
          <w:shd w:val="clear" w:color="auto" w:fill="FFFFFF"/>
        </w:rPr>
        <w:t xml:space="preserve"> TAKÁCS. Measuring the factors affecting health literacy in East Hungary – Health literacy in the adult population of Nyíregyháza city. </w:t>
      </w:r>
      <w:bookmarkStart w:id="19" w:name="_Hlk44265256"/>
      <w:r w:rsidRPr="00CC3BF5">
        <w:rPr>
          <w:rFonts w:cs="Times New Roman"/>
          <w:i/>
          <w:iCs/>
          <w:szCs w:val="24"/>
        </w:rPr>
        <w:t>Kontakt</w:t>
      </w:r>
      <w:bookmarkEnd w:id="19"/>
      <w:r w:rsidRPr="00CC3BF5">
        <w:rPr>
          <w:rFonts w:cs="Times New Roman"/>
          <w:szCs w:val="24"/>
          <w:shd w:val="clear" w:color="auto" w:fill="FFFFFF"/>
        </w:rPr>
        <w:t xml:space="preserve"> [online]. 2018, </w:t>
      </w:r>
      <w:r w:rsidRPr="00CC3BF5">
        <w:rPr>
          <w:rFonts w:cs="Times New Roman"/>
          <w:szCs w:val="24"/>
        </w:rPr>
        <w:t>20</w:t>
      </w:r>
      <w:r w:rsidRPr="00CC3BF5">
        <w:rPr>
          <w:rFonts w:cs="Times New Roman"/>
          <w:szCs w:val="24"/>
          <w:shd w:val="clear" w:color="auto" w:fill="FFFFFF"/>
        </w:rPr>
        <w:t>(4), e375 - e380 [cit. 2020-05-27]. DOI: 10.1016/j.kontakt.2018.08.007. ISSN 18047122.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Style w:val="Hypertextovodkaz"/>
          <w:rFonts w:cs="Times New Roman"/>
          <w:szCs w:val="24"/>
        </w:rPr>
      </w:pPr>
      <w:r w:rsidRPr="00CC3BF5">
        <w:rPr>
          <w:rFonts w:cs="Times New Roman"/>
          <w:szCs w:val="24"/>
        </w:rPr>
        <w:t>FREEDMAN</w:t>
      </w:r>
      <w:r w:rsidR="004A7B68" w:rsidRPr="00CC3BF5">
        <w:rPr>
          <w:rFonts w:cs="Times New Roman"/>
          <w:szCs w:val="24"/>
        </w:rPr>
        <w:t>,</w:t>
      </w:r>
      <w:r w:rsidRPr="00CC3BF5">
        <w:rPr>
          <w:rFonts w:cs="Times New Roman"/>
          <w:szCs w:val="24"/>
        </w:rPr>
        <w:t xml:space="preserve"> Darcy , Kimberly BESS, Holly TUCKER, David BOYD, Arleen TUCHMAN a Kenneth</w:t>
      </w:r>
      <w:r w:rsidR="00E630D5" w:rsidRPr="00CC3BF5">
        <w:rPr>
          <w:rFonts w:cs="Times New Roman"/>
          <w:szCs w:val="24"/>
        </w:rPr>
        <w:t xml:space="preserve"> </w:t>
      </w:r>
      <w:r w:rsidRPr="00CC3BF5">
        <w:rPr>
          <w:rFonts w:cs="Times New Roman"/>
          <w:szCs w:val="24"/>
        </w:rPr>
        <w:t xml:space="preserve">WALLSTON. Public Health Literacy Defined. </w:t>
      </w:r>
      <w:bookmarkStart w:id="20" w:name="_Hlk44265299"/>
      <w:r w:rsidRPr="00CC3BF5">
        <w:rPr>
          <w:rFonts w:cs="Times New Roman"/>
          <w:i/>
          <w:iCs/>
          <w:szCs w:val="24"/>
        </w:rPr>
        <w:t>American Journal of Preventive Medicine</w:t>
      </w:r>
      <w:r w:rsidRPr="00CC3BF5">
        <w:rPr>
          <w:rFonts w:cs="Times New Roman"/>
          <w:szCs w:val="24"/>
        </w:rPr>
        <w:t xml:space="preserve"> </w:t>
      </w:r>
      <w:bookmarkEnd w:id="20"/>
      <w:r w:rsidRPr="00CC3BF5">
        <w:rPr>
          <w:rFonts w:cs="Times New Roman"/>
          <w:szCs w:val="24"/>
        </w:rPr>
        <w:t xml:space="preserve">[online]. 2009, 36(5), 446-451 [cit. 2018-12-30]. DOI: 10.1016/j.amepre.2009.02.001. ISSN 07493797. Dostupné z: </w:t>
      </w:r>
      <w:hyperlink r:id="rId11" w:anchor="sec4" w:history="1">
        <w:r w:rsidRPr="00CC3BF5">
          <w:rPr>
            <w:rStyle w:val="Hypertextovodkaz"/>
            <w:rFonts w:cs="Times New Roman"/>
            <w:szCs w:val="24"/>
          </w:rPr>
          <w:t>https://www.sciencedirect.com/science/article/pii/S0749379709000920#sec4</w:t>
        </w:r>
      </w:hyperlink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FRISCH, Anne-</w:t>
      </w:r>
      <w:r w:rsidR="00E630D5" w:rsidRPr="00CC3BF5">
        <w:rPr>
          <w:rFonts w:cs="Times New Roman"/>
          <w:szCs w:val="24"/>
          <w:shd w:val="clear" w:color="auto" w:fill="FFFFFF"/>
        </w:rPr>
        <w:t>L</w:t>
      </w:r>
      <w:r w:rsidRPr="00CC3BF5">
        <w:rPr>
          <w:rFonts w:cs="Times New Roman"/>
          <w:szCs w:val="24"/>
          <w:shd w:val="clear" w:color="auto" w:fill="FFFFFF"/>
        </w:rPr>
        <w:t xml:space="preserve">inda, Luca CAMERINI, Nicola DIVIANI a Peter J. SCHULZ. </w:t>
      </w:r>
      <w:r w:rsidRPr="00CC3BF5">
        <w:rPr>
          <w:rFonts w:cs="Times New Roman"/>
          <w:i/>
          <w:iCs/>
          <w:szCs w:val="24"/>
        </w:rPr>
        <w:t>Defining and measuring health literacy: how can we profit from other literacy domains?</w:t>
      </w:r>
      <w:r w:rsidRPr="00CC3BF5">
        <w:rPr>
          <w:rFonts w:cs="Times New Roman"/>
          <w:szCs w:val="24"/>
          <w:shd w:val="clear" w:color="auto" w:fill="FFFFFF"/>
        </w:rPr>
        <w:t xml:space="preserve"> [online]. 2017 [cit. 2020-04-28].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B60180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</w:rPr>
        <w:lastRenderedPageBreak/>
        <w:t>FOSTER,</w:t>
      </w:r>
      <w:r w:rsidR="00E66BAC" w:rsidRPr="00CC3BF5">
        <w:rPr>
          <w:rFonts w:cs="Times New Roman"/>
          <w:szCs w:val="24"/>
        </w:rPr>
        <w:t xml:space="preserve"> </w:t>
      </w:r>
      <w:r w:rsidR="00E66BAC" w:rsidRPr="00CC3BF5">
        <w:rPr>
          <w:rStyle w:val="Zdraznn"/>
          <w:rFonts w:cs="Times New Roman"/>
          <w:szCs w:val="24"/>
        </w:rPr>
        <w:t>Clinical Journal of Oncology Nursing</w:t>
      </w:r>
      <w:r w:rsidR="00E66BAC" w:rsidRPr="00CC3BF5">
        <w:rPr>
          <w:rFonts w:cs="Times New Roman"/>
          <w:szCs w:val="24"/>
        </w:rPr>
        <w:t xml:space="preserve"> Volume: Applying Health Literacy Principles: Strategies and Tools to Develop Easy-to-Read Patient Education Resources.20 Issue 4 (2016) ISSN: 1092-1095 Online ISSN: 1538-067X</w:t>
      </w:r>
    </w:p>
    <w:p w:rsidR="00CC3BF5" w:rsidRDefault="00CC3BF5" w:rsidP="00CC3BF5">
      <w:pPr>
        <w:spacing w:line="360" w:lineRule="auto"/>
        <w:jc w:val="both"/>
        <w:rPr>
          <w:shd w:val="clear" w:color="auto" w:fill="FFFFFF"/>
        </w:rPr>
      </w:pPr>
    </w:p>
    <w:p w:rsidR="00B34794" w:rsidRPr="00CC3BF5" w:rsidRDefault="00B34794" w:rsidP="00CC3BF5">
      <w:pPr>
        <w:spacing w:line="360" w:lineRule="auto"/>
        <w:jc w:val="both"/>
        <w:rPr>
          <w:shd w:val="clear" w:color="auto" w:fill="FFFFFF"/>
        </w:rPr>
      </w:pPr>
      <w:r w:rsidRPr="00CC3BF5">
        <w:rPr>
          <w:shd w:val="clear" w:color="auto" w:fill="FFFFFF"/>
        </w:rPr>
        <w:t>FRIIS, K</w:t>
      </w:r>
      <w:r w:rsidR="00E630D5" w:rsidRPr="00CC3BF5">
        <w:rPr>
          <w:shd w:val="clear" w:color="auto" w:fill="FFFFFF"/>
        </w:rPr>
        <w:t>arina</w:t>
      </w:r>
      <w:r w:rsidRPr="00CC3BF5">
        <w:rPr>
          <w:shd w:val="clear" w:color="auto" w:fill="FFFFFF"/>
        </w:rPr>
        <w:t>, M</w:t>
      </w:r>
      <w:r w:rsidR="00E630D5" w:rsidRPr="00CC3BF5">
        <w:rPr>
          <w:shd w:val="clear" w:color="auto" w:fill="FFFFFF"/>
        </w:rPr>
        <w:t>athias</w:t>
      </w:r>
      <w:r w:rsidRPr="00CC3BF5">
        <w:rPr>
          <w:shd w:val="clear" w:color="auto" w:fill="FFFFFF"/>
        </w:rPr>
        <w:t xml:space="preserve"> LASGAARD, G</w:t>
      </w:r>
      <w:r w:rsidR="00E630D5" w:rsidRPr="00CC3BF5">
        <w:rPr>
          <w:shd w:val="clear" w:color="auto" w:fill="FFFFFF"/>
        </w:rPr>
        <w:t>illian</w:t>
      </w:r>
      <w:r w:rsidRPr="00CC3BF5">
        <w:rPr>
          <w:shd w:val="clear" w:color="auto" w:fill="FFFFFF"/>
        </w:rPr>
        <w:t xml:space="preserve"> ROWLANDS, R</w:t>
      </w:r>
      <w:r w:rsidR="00E630D5" w:rsidRPr="00CC3BF5">
        <w:rPr>
          <w:shd w:val="clear" w:color="auto" w:fill="FFFFFF"/>
        </w:rPr>
        <w:t>ichard</w:t>
      </w:r>
      <w:r w:rsidRPr="00CC3BF5">
        <w:rPr>
          <w:shd w:val="clear" w:color="auto" w:fill="FFFFFF"/>
        </w:rPr>
        <w:t xml:space="preserve"> OSBORNE a H</w:t>
      </w:r>
      <w:r w:rsidR="00E630D5" w:rsidRPr="00CC3BF5">
        <w:rPr>
          <w:shd w:val="clear" w:color="auto" w:fill="FFFFFF"/>
        </w:rPr>
        <w:t xml:space="preserve">elle </w:t>
      </w:r>
      <w:r w:rsidRPr="00CC3BF5">
        <w:rPr>
          <w:shd w:val="clear" w:color="auto" w:fill="FFFFFF"/>
        </w:rPr>
        <w:t xml:space="preserve">MAINDAL. Health Literacy Mediates the Relationship Between Educational Attainment and Health Behavior: A Danish Population-Based Study. </w:t>
      </w:r>
      <w:r w:rsidRPr="00CC3BF5">
        <w:rPr>
          <w:rFonts w:ascii="&amp;quot" w:hAnsi="&amp;quot"/>
          <w:i/>
          <w:iCs/>
        </w:rPr>
        <w:t>Journal of health communication</w:t>
      </w:r>
      <w:r w:rsidRPr="00CC3BF5">
        <w:rPr>
          <w:shd w:val="clear" w:color="auto" w:fill="FFFFFF"/>
        </w:rPr>
        <w:t xml:space="preserve"> [online]. 2016, </w:t>
      </w:r>
      <w:r w:rsidRPr="00CC3BF5">
        <w:rPr>
          <w:rFonts w:ascii="&amp;quot" w:hAnsi="&amp;quot"/>
        </w:rPr>
        <w:t>21</w:t>
      </w:r>
      <w:r w:rsidRPr="00CC3BF5">
        <w:rPr>
          <w:shd w:val="clear" w:color="auto" w:fill="FFFFFF"/>
        </w:rPr>
        <w:t>(sup2), 54-60 [cit. 2020-05-31]. ISSN 10870415.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Style w:val="Hypertextovodkaz"/>
          <w:rFonts w:cs="Times New Roman"/>
          <w:color w:val="auto"/>
          <w:szCs w:val="24"/>
          <w:u w:val="none"/>
        </w:rPr>
      </w:pPr>
      <w:r w:rsidRPr="00CC3BF5">
        <w:rPr>
          <w:rFonts w:cs="Times New Roman"/>
          <w:szCs w:val="24"/>
          <w:shd w:val="clear" w:color="auto" w:fill="FFFFFF"/>
        </w:rPr>
        <w:t xml:space="preserve">GOGGINS, Kathryn, Kenneth A. WALLSTON, Lorraine MION, Courtney CAWTHON a Sunil KRIPALANI. What Patient Characteristics Influence Nurses’ Assessment of Health Literacy?: What Do You Know? . </w:t>
      </w:r>
      <w:r w:rsidRPr="00CC3BF5">
        <w:rPr>
          <w:rFonts w:cs="Times New Roman"/>
          <w:i/>
          <w:iCs/>
          <w:szCs w:val="24"/>
        </w:rPr>
        <w:t>Journal of Health Communication</w:t>
      </w:r>
      <w:r w:rsidRPr="00CC3BF5">
        <w:rPr>
          <w:rFonts w:cs="Times New Roman"/>
          <w:szCs w:val="24"/>
          <w:shd w:val="clear" w:color="auto" w:fill="FFFFFF"/>
        </w:rPr>
        <w:t xml:space="preserve"> [online]. 2016, </w:t>
      </w:r>
      <w:r w:rsidRPr="00CC3BF5">
        <w:rPr>
          <w:rFonts w:cs="Times New Roman"/>
          <w:szCs w:val="24"/>
        </w:rPr>
        <w:t>21</w:t>
      </w:r>
      <w:r w:rsidRPr="00CC3BF5">
        <w:rPr>
          <w:rFonts w:cs="Times New Roman"/>
          <w:szCs w:val="24"/>
          <w:shd w:val="clear" w:color="auto" w:fill="FFFFFF"/>
        </w:rPr>
        <w:t>(sup2), 105-108 [cit. 2019-01-06]. DOI: 10.1080/10810730.2016.1193919. ISSN</w:t>
      </w:r>
      <w:r w:rsidR="00F325E1" w:rsidRPr="00CC3BF5">
        <w:rPr>
          <w:rFonts w:cs="Times New Roman"/>
          <w:szCs w:val="24"/>
          <w:shd w:val="clear" w:color="auto" w:fill="FFFFFF"/>
        </w:rPr>
        <w:t xml:space="preserve"> </w:t>
      </w:r>
      <w:r w:rsidRPr="00CC3BF5">
        <w:rPr>
          <w:rFonts w:cs="Times New Roman"/>
          <w:szCs w:val="24"/>
          <w:shd w:val="clear" w:color="auto" w:fill="FFFFFF"/>
        </w:rPr>
        <w:t xml:space="preserve">1081-0730. Dostupné z: </w:t>
      </w:r>
      <w:hyperlink r:id="rId12" w:history="1">
        <w:r w:rsidRPr="00CC3BF5">
          <w:rPr>
            <w:rStyle w:val="Hypertextovodkaz"/>
            <w:rFonts w:cs="Times New Roman"/>
            <w:szCs w:val="24"/>
            <w:shd w:val="clear" w:color="auto" w:fill="FFFFFF"/>
          </w:rPr>
          <w:t>https://www.tandfonline.com/doi/full/10.1080/10810730.2016.1193919</w:t>
        </w:r>
      </w:hyperlink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HAGHDOOST, Ali Akbar, Mohammad KARAMOUZIAN, Ensiyeh JAMSHIDI, et al. Health literacy among Iranian adults: findings from a nationwide population-based survey in 2015. </w:t>
      </w:r>
      <w:bookmarkStart w:id="21" w:name="_Hlk44265560"/>
      <w:r w:rsidRPr="00CC3BF5">
        <w:rPr>
          <w:rFonts w:cs="Times New Roman"/>
          <w:i/>
          <w:iCs/>
          <w:szCs w:val="24"/>
        </w:rPr>
        <w:t>Eastern Mediterranean Health Journal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21"/>
      <w:r w:rsidRPr="00CC3BF5">
        <w:rPr>
          <w:rFonts w:cs="Times New Roman"/>
          <w:szCs w:val="24"/>
          <w:shd w:val="clear" w:color="auto" w:fill="FFFFFF"/>
        </w:rPr>
        <w:t xml:space="preserve">[online]. 2019, </w:t>
      </w:r>
      <w:r w:rsidRPr="00CC3BF5">
        <w:rPr>
          <w:rFonts w:cs="Times New Roman"/>
          <w:szCs w:val="24"/>
        </w:rPr>
        <w:t>25</w:t>
      </w:r>
      <w:r w:rsidRPr="00CC3BF5">
        <w:rPr>
          <w:rFonts w:cs="Times New Roman"/>
          <w:szCs w:val="24"/>
          <w:shd w:val="clear" w:color="auto" w:fill="FFFFFF"/>
        </w:rPr>
        <w:t>(11), 828-836 [cit. 2020-05-25]. DOI: 10.26719/emhj.19.017. ISSN 10203397.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974EC1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HAMPLOVÁ, Lidmila. </w:t>
      </w:r>
      <w:r w:rsidRPr="00CC3BF5">
        <w:rPr>
          <w:rFonts w:cs="Times New Roman"/>
          <w:i/>
          <w:iCs/>
          <w:szCs w:val="24"/>
        </w:rPr>
        <w:t>Veřejné zdravotnictví a výchova ke zdraví: pro střední zdravotnické školy</w:t>
      </w:r>
      <w:r w:rsidRPr="00CC3BF5">
        <w:rPr>
          <w:rFonts w:cs="Times New Roman"/>
          <w:szCs w:val="24"/>
          <w:shd w:val="clear" w:color="auto" w:fill="FFFFFF"/>
        </w:rPr>
        <w:t xml:space="preserve">. Praha: </w:t>
      </w:r>
      <w:bookmarkStart w:id="22" w:name="_Hlk44265582"/>
      <w:r w:rsidRPr="00CC3BF5">
        <w:rPr>
          <w:rFonts w:cs="Times New Roman"/>
          <w:szCs w:val="24"/>
          <w:shd w:val="clear" w:color="auto" w:fill="FFFFFF"/>
        </w:rPr>
        <w:t>Grada</w:t>
      </w:r>
      <w:bookmarkEnd w:id="22"/>
      <w:r w:rsidRPr="00CC3BF5">
        <w:rPr>
          <w:rFonts w:cs="Times New Roman"/>
          <w:szCs w:val="24"/>
          <w:shd w:val="clear" w:color="auto" w:fill="FFFFFF"/>
        </w:rPr>
        <w:t xml:space="preserve"> Publishing, 2020. Sestra (Grada). ISBN 978-80-247-5562-5.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HOLČÍK, Jan. </w:t>
      </w:r>
      <w:r w:rsidRPr="00CC3BF5">
        <w:rPr>
          <w:rFonts w:cs="Times New Roman"/>
          <w:i/>
          <w:iCs/>
          <w:szCs w:val="24"/>
        </w:rPr>
        <w:t>Zdravotní gramotnost a její role v péči o zdraví: k teoretickým základům cesty ke zdraví</w:t>
      </w:r>
      <w:r w:rsidRPr="00CC3BF5">
        <w:rPr>
          <w:rFonts w:cs="Times New Roman"/>
          <w:szCs w:val="24"/>
          <w:shd w:val="clear" w:color="auto" w:fill="FFFFFF"/>
        </w:rPr>
        <w:t>. Brno: MSD, 2009. ISBN 978-80-7392-089-0.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HOLČÍK, Jan. </w:t>
      </w:r>
      <w:r w:rsidRPr="00CC3BF5">
        <w:rPr>
          <w:rFonts w:cs="Times New Roman"/>
          <w:i/>
          <w:iCs/>
          <w:szCs w:val="24"/>
        </w:rPr>
        <w:t>Systém péče o zdraví a zdravotní gramotnost: k teoretickým základům cesty ke zdraví</w:t>
      </w:r>
      <w:r w:rsidRPr="00CC3BF5">
        <w:rPr>
          <w:rFonts w:cs="Times New Roman"/>
          <w:szCs w:val="24"/>
          <w:shd w:val="clear" w:color="auto" w:fill="FFFFFF"/>
        </w:rPr>
        <w:t>. Brno: Masarykova univerzita ve spolupráci s MSD, 2010. ISBN 978-80-210-5239-0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B60180" w:rsidRPr="00CC3BF5" w:rsidRDefault="00B60180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HOLČÍK, J</w:t>
      </w:r>
      <w:r w:rsidR="00E630D5" w:rsidRPr="00CC3BF5">
        <w:rPr>
          <w:rFonts w:cs="Times New Roman"/>
          <w:szCs w:val="24"/>
          <w:shd w:val="clear" w:color="auto" w:fill="FFFFFF"/>
        </w:rPr>
        <w:t>an</w:t>
      </w:r>
      <w:r w:rsidRPr="00CC3BF5">
        <w:rPr>
          <w:rFonts w:cs="Times New Roman"/>
          <w:szCs w:val="24"/>
          <w:shd w:val="clear" w:color="auto" w:fill="FFFFFF"/>
        </w:rPr>
        <w:t xml:space="preserve"> Health 2020 is a good strategy for health. </w:t>
      </w:r>
      <w:bookmarkStart w:id="23" w:name="_Hlk44265674"/>
      <w:r w:rsidRPr="00CC3BF5">
        <w:rPr>
          <w:rFonts w:cs="Times New Roman"/>
          <w:i/>
          <w:iCs/>
          <w:szCs w:val="24"/>
        </w:rPr>
        <w:t>Hygiena</w:t>
      </w:r>
      <w:bookmarkEnd w:id="23"/>
      <w:r w:rsidRPr="00CC3BF5">
        <w:rPr>
          <w:rFonts w:cs="Times New Roman"/>
          <w:szCs w:val="24"/>
          <w:shd w:val="clear" w:color="auto" w:fill="FFFFFF"/>
        </w:rPr>
        <w:t xml:space="preserve"> [online]. 2014, </w:t>
      </w:r>
      <w:r w:rsidRPr="00CC3BF5">
        <w:rPr>
          <w:rFonts w:cs="Times New Roman"/>
          <w:szCs w:val="24"/>
        </w:rPr>
        <w:t>59</w:t>
      </w:r>
      <w:r w:rsidRPr="00CC3BF5">
        <w:rPr>
          <w:rFonts w:cs="Times New Roman"/>
          <w:szCs w:val="24"/>
          <w:shd w:val="clear" w:color="auto" w:fill="FFFFFF"/>
        </w:rPr>
        <w:t>(3), 140 - 144 [cit. 2020-05-23]. DOI: 10.21101/hygiena.a1311. ISSN 18031056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</w:rPr>
        <w:lastRenderedPageBreak/>
        <w:t xml:space="preserve">KAAS, Jiří — STASKOVÁ, Věra — ŠULISTOVÁ, Radka. Koncept zdravotní gramotnosti v současném ošetřovatelství. </w:t>
      </w:r>
      <w:r w:rsidRPr="00CC3BF5">
        <w:rPr>
          <w:rFonts w:cs="Times New Roman"/>
          <w:i/>
          <w:iCs/>
          <w:szCs w:val="24"/>
        </w:rPr>
        <w:t>Kontakt (České Budějovice)</w:t>
      </w:r>
      <w:r w:rsidRPr="00CC3BF5">
        <w:rPr>
          <w:rFonts w:cs="Times New Roman"/>
          <w:szCs w:val="24"/>
        </w:rPr>
        <w:t>, 2016, roč. 18, č. 4, s. 249-253. ISSN: 1212-4117.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Style w:val="Hypertextovodkaz"/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KATZ, Anne. Health Literacy: What Do You Know? . </w:t>
      </w:r>
      <w:bookmarkStart w:id="24" w:name="_Hlk44265704"/>
      <w:r w:rsidRPr="00CC3BF5">
        <w:rPr>
          <w:rFonts w:cs="Times New Roman"/>
          <w:i/>
          <w:iCs/>
          <w:szCs w:val="24"/>
        </w:rPr>
        <w:t>Oncology Nursing Forum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24"/>
      <w:r w:rsidRPr="00CC3BF5">
        <w:rPr>
          <w:rFonts w:cs="Times New Roman"/>
          <w:szCs w:val="24"/>
          <w:shd w:val="clear" w:color="auto" w:fill="FFFFFF"/>
        </w:rPr>
        <w:t xml:space="preserve">[online]. 2017, </w:t>
      </w:r>
      <w:r w:rsidRPr="00CC3BF5">
        <w:rPr>
          <w:rFonts w:cs="Times New Roman"/>
          <w:szCs w:val="24"/>
        </w:rPr>
        <w:t>44</w:t>
      </w:r>
      <w:r w:rsidRPr="00CC3BF5">
        <w:rPr>
          <w:rFonts w:cs="Times New Roman"/>
          <w:szCs w:val="24"/>
          <w:shd w:val="clear" w:color="auto" w:fill="FFFFFF"/>
        </w:rPr>
        <w:t>(5), 521-522 [cit. 2019-01-06]. DOI: 10.1188/17.ONF.521-522. ISSN 0190-535X. Dostupné z: http://onf.ons.org/onf/44/5/health-literacy-what-do-you-know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KENNARD, D</w:t>
      </w:r>
      <w:r w:rsidR="00E630D5" w:rsidRPr="00CC3BF5">
        <w:rPr>
          <w:rFonts w:cs="Times New Roman"/>
          <w:szCs w:val="24"/>
          <w:shd w:val="clear" w:color="auto" w:fill="FFFFFF"/>
        </w:rPr>
        <w:t>eborah</w:t>
      </w:r>
      <w:r w:rsidR="009C12D4" w:rsidRPr="00CC3BF5">
        <w:rPr>
          <w:rFonts w:cs="Times New Roman"/>
          <w:szCs w:val="24"/>
          <w:shd w:val="clear" w:color="auto" w:fill="FFFFFF"/>
        </w:rPr>
        <w:t>.</w:t>
      </w:r>
      <w:r w:rsidRPr="00CC3BF5">
        <w:rPr>
          <w:rFonts w:cs="Times New Roman"/>
          <w:szCs w:val="24"/>
          <w:shd w:val="clear" w:color="auto" w:fill="FFFFFF"/>
        </w:rPr>
        <w:t xml:space="preserve"> Health Literacy Concepts in Nursing Education. </w:t>
      </w:r>
      <w:bookmarkStart w:id="25" w:name="_Hlk44265753"/>
      <w:r w:rsidRPr="00CC3BF5">
        <w:rPr>
          <w:rFonts w:cs="Times New Roman"/>
          <w:i/>
          <w:iCs/>
          <w:szCs w:val="24"/>
        </w:rPr>
        <w:t>Nursing Education Perspectives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25"/>
      <w:r w:rsidRPr="00CC3BF5">
        <w:rPr>
          <w:rFonts w:cs="Times New Roman"/>
          <w:szCs w:val="24"/>
          <w:shd w:val="clear" w:color="auto" w:fill="FFFFFF"/>
        </w:rPr>
        <w:t xml:space="preserve">[online]. 2016, </w:t>
      </w:r>
      <w:r w:rsidRPr="00CC3BF5">
        <w:rPr>
          <w:rFonts w:cs="Times New Roman"/>
          <w:szCs w:val="24"/>
        </w:rPr>
        <w:t>37</w:t>
      </w:r>
      <w:r w:rsidRPr="00CC3BF5">
        <w:rPr>
          <w:rFonts w:cs="Times New Roman"/>
          <w:szCs w:val="24"/>
          <w:shd w:val="clear" w:color="auto" w:fill="FFFFFF"/>
        </w:rPr>
        <w:t>(2), 118 - 119 [cit. 2020-05-04]. DOI: 10.5480/14-1350. ISSN 15365026.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KENDIR, Candan a Eric BRETON. Health Literacy: From a Property of Individuals to One of Communities. </w:t>
      </w:r>
      <w:bookmarkStart w:id="26" w:name="_Hlk44265774"/>
      <w:r w:rsidRPr="00CC3BF5">
        <w:rPr>
          <w:rFonts w:cs="Times New Roman"/>
          <w:i/>
          <w:iCs/>
          <w:szCs w:val="24"/>
        </w:rPr>
        <w:t>International Journal of Environmental Research and Public Health</w:t>
      </w:r>
      <w:bookmarkEnd w:id="26"/>
      <w:r w:rsidRPr="00CC3BF5">
        <w:rPr>
          <w:rFonts w:cs="Times New Roman"/>
          <w:szCs w:val="24"/>
          <w:shd w:val="clear" w:color="auto" w:fill="FFFFFF"/>
        </w:rPr>
        <w:t xml:space="preserve"> [online]. 2020, </w:t>
      </w:r>
      <w:r w:rsidRPr="00CC3BF5">
        <w:rPr>
          <w:rFonts w:cs="Times New Roman"/>
          <w:szCs w:val="24"/>
        </w:rPr>
        <w:t>17</w:t>
      </w:r>
      <w:r w:rsidRPr="00CC3BF5">
        <w:rPr>
          <w:rFonts w:cs="Times New Roman"/>
          <w:szCs w:val="24"/>
          <w:shd w:val="clear" w:color="auto" w:fill="FFFFFF"/>
        </w:rPr>
        <w:t>(5), 1601-1601 [cit. 2020-04-11]. DOI: 10.3390/ijerph17051601. ISSN 1660460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KICKBUSCH, Ilona, Jürgen M. PELIKAN, Franklin APFEL a Agis D. TSOUROS. </w:t>
      </w:r>
      <w:r w:rsidRPr="00CC3BF5">
        <w:rPr>
          <w:rFonts w:cs="Times New Roman"/>
          <w:i/>
          <w:iCs/>
          <w:szCs w:val="24"/>
        </w:rPr>
        <w:t>Health literacy: the solid facts</w:t>
      </w:r>
      <w:r w:rsidRPr="00CC3BF5">
        <w:rPr>
          <w:rFonts w:cs="Times New Roman"/>
          <w:szCs w:val="24"/>
          <w:shd w:val="clear" w:color="auto" w:fill="FFFFFF"/>
        </w:rPr>
        <w:t>. Copenhagen: World Health Organization Regional Office for Europe, [2013]. Solid facts (Series). ISBN 978-92-890-00154</w:t>
      </w:r>
      <w:r w:rsidR="00B60180" w:rsidRPr="00CC3BF5">
        <w:rPr>
          <w:rFonts w:cs="Times New Roman"/>
          <w:szCs w:val="24"/>
          <w:shd w:val="clear" w:color="auto" w:fill="FFFFFF"/>
        </w:rPr>
        <w:t>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</w:rPr>
        <w:t xml:space="preserve">KŘÍŽ, Jaroslav. Podpora zdraví - vývoj a perspektivy. </w:t>
      </w:r>
      <w:r w:rsidRPr="00CC3BF5">
        <w:rPr>
          <w:rFonts w:cs="Times New Roman"/>
          <w:i/>
          <w:iCs/>
          <w:szCs w:val="24"/>
        </w:rPr>
        <w:t>Hygiena (Státní zdravotní ústav, Print)</w:t>
      </w:r>
      <w:r w:rsidRPr="00CC3BF5">
        <w:rPr>
          <w:rFonts w:cs="Times New Roman"/>
          <w:szCs w:val="24"/>
        </w:rPr>
        <w:t>, 2008, roč. 53, č. 1, s. 19-22. ISSN: 1802-6281.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</w:rPr>
        <w:t xml:space="preserve">KUČERA, Zdeněk — PELIKÁN, Jürgen — ŠTEFLOVÁ, Alena. Zdravotní gramotnost obyvatel ČR - výsledky komparativního reprezentativního šetření. In: </w:t>
      </w:r>
      <w:r w:rsidRPr="00CC3BF5">
        <w:rPr>
          <w:rFonts w:cs="Times New Roman"/>
          <w:i/>
          <w:iCs/>
          <w:szCs w:val="24"/>
        </w:rPr>
        <w:t>Zdravotní gramotnost a zdravotní politika: sborník textů pro kolokvium.</w:t>
      </w:r>
      <w:r w:rsidRPr="00CC3BF5">
        <w:rPr>
          <w:rFonts w:cs="Times New Roman"/>
          <w:szCs w:val="24"/>
        </w:rPr>
        <w:t xml:space="preserve"> Praha : Ústav pro zdravotní gramotnost, z.ú., 2017. 2017, s. 46-.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KUČERA, Zdeněk, Jürgen M. PELIKAN a Alena ŠTEFLOVÁ. Zdravotní gramotnost obyvatel ČR − výsledky komparativního reprezentativního šetření. </w:t>
      </w:r>
      <w:r w:rsidRPr="00CC3BF5">
        <w:rPr>
          <w:rFonts w:cs="Times New Roman"/>
          <w:i/>
          <w:iCs/>
          <w:szCs w:val="24"/>
        </w:rPr>
        <w:t>Časopis lékařů českých</w:t>
      </w:r>
      <w:r w:rsidRPr="00CC3BF5">
        <w:rPr>
          <w:rFonts w:cs="Times New Roman"/>
          <w:szCs w:val="24"/>
          <w:shd w:val="clear" w:color="auto" w:fill="FFFFFF"/>
        </w:rPr>
        <w:t xml:space="preserve">. </w:t>
      </w:r>
      <w:r w:rsidRPr="00CC3BF5">
        <w:rPr>
          <w:rFonts w:cs="Times New Roman"/>
          <w:szCs w:val="24"/>
        </w:rPr>
        <w:t>2016</w:t>
      </w:r>
      <w:r w:rsidRPr="00CC3BF5">
        <w:rPr>
          <w:rFonts w:cs="Times New Roman"/>
          <w:szCs w:val="24"/>
          <w:shd w:val="clear" w:color="auto" w:fill="FFFFFF"/>
        </w:rPr>
        <w:t>(5), 233-241. ISSN 1805-4420</w:t>
      </w:r>
    </w:p>
    <w:p w:rsidR="00CC3BF5" w:rsidRDefault="00CC3BF5" w:rsidP="00CC3BF5">
      <w:pPr>
        <w:spacing w:line="360" w:lineRule="auto"/>
        <w:jc w:val="both"/>
        <w:rPr>
          <w:shd w:val="clear" w:color="auto" w:fill="FFFFFF"/>
        </w:rPr>
      </w:pPr>
    </w:p>
    <w:p w:rsidR="00CC3BF5" w:rsidRDefault="000A2090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shd w:val="clear" w:color="auto" w:fill="FFFFFF"/>
        </w:rPr>
        <w:t>LASTRUCCI, V</w:t>
      </w:r>
      <w:r w:rsidR="009C12D4" w:rsidRPr="00CC3BF5">
        <w:rPr>
          <w:shd w:val="clear" w:color="auto" w:fill="FFFFFF"/>
        </w:rPr>
        <w:t>ieri</w:t>
      </w:r>
      <w:r w:rsidRPr="00CC3BF5">
        <w:rPr>
          <w:shd w:val="clear" w:color="auto" w:fill="FFFFFF"/>
        </w:rPr>
        <w:t>, C</w:t>
      </w:r>
      <w:r w:rsidR="009C12D4" w:rsidRPr="00CC3BF5">
        <w:rPr>
          <w:shd w:val="clear" w:color="auto" w:fill="FFFFFF"/>
        </w:rPr>
        <w:t>hiara</w:t>
      </w:r>
      <w:r w:rsidRPr="00CC3BF5">
        <w:rPr>
          <w:shd w:val="clear" w:color="auto" w:fill="FFFFFF"/>
        </w:rPr>
        <w:t xml:space="preserve"> LORINI, S</w:t>
      </w:r>
      <w:r w:rsidR="009C12D4" w:rsidRPr="00CC3BF5">
        <w:rPr>
          <w:shd w:val="clear" w:color="auto" w:fill="FFFFFF"/>
        </w:rPr>
        <w:t>averio</w:t>
      </w:r>
      <w:r w:rsidRPr="00CC3BF5">
        <w:rPr>
          <w:shd w:val="clear" w:color="auto" w:fill="FFFFFF"/>
        </w:rPr>
        <w:t xml:space="preserve"> CAINI a G</w:t>
      </w:r>
      <w:r w:rsidR="009C12D4" w:rsidRPr="00CC3BF5">
        <w:rPr>
          <w:shd w:val="clear" w:color="auto" w:fill="FFFFFF"/>
        </w:rPr>
        <w:t>uglielmo</w:t>
      </w:r>
      <w:r w:rsidRPr="00CC3BF5">
        <w:rPr>
          <w:shd w:val="clear" w:color="auto" w:fill="FFFFFF"/>
        </w:rPr>
        <w:t xml:space="preserve"> BONACCORSI. Health literacy as a mediator of the relationship between socioeconomic status and health: A cross-</w:t>
      </w:r>
      <w:r w:rsidRPr="00CC3BF5">
        <w:rPr>
          <w:shd w:val="clear" w:color="auto" w:fill="FFFFFF"/>
        </w:rPr>
        <w:lastRenderedPageBreak/>
        <w:t xml:space="preserve">sectional study in a population-based sample in Florence. </w:t>
      </w:r>
      <w:bookmarkStart w:id="27" w:name="_Hlk44266036"/>
      <w:r w:rsidRPr="00CC3BF5">
        <w:rPr>
          <w:rFonts w:ascii="&amp;quot" w:hAnsi="&amp;quot"/>
          <w:i/>
          <w:iCs/>
        </w:rPr>
        <w:t>PloS one</w:t>
      </w:r>
      <w:r w:rsidRPr="00CC3BF5">
        <w:rPr>
          <w:shd w:val="clear" w:color="auto" w:fill="FFFFFF"/>
        </w:rPr>
        <w:t xml:space="preserve"> </w:t>
      </w:r>
      <w:bookmarkEnd w:id="27"/>
      <w:r w:rsidRPr="00CC3BF5">
        <w:rPr>
          <w:shd w:val="clear" w:color="auto" w:fill="FFFFFF"/>
        </w:rPr>
        <w:t xml:space="preserve">[online]. 2019, </w:t>
      </w:r>
      <w:r w:rsidRPr="00CC3BF5">
        <w:rPr>
          <w:rFonts w:ascii="&amp;quot" w:hAnsi="&amp;quot"/>
        </w:rPr>
        <w:t>14</w:t>
      </w:r>
      <w:r w:rsidRPr="00CC3BF5">
        <w:rPr>
          <w:shd w:val="clear" w:color="auto" w:fill="FFFFFF"/>
        </w:rPr>
        <w:t>(12), e0227007 [cit. 2020-05-31]. DOI: 10.1371/journal.pone.0227007. ISSN 19326203.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LIU, H</w:t>
      </w:r>
      <w:r w:rsidR="009C12D4" w:rsidRPr="00CC3BF5">
        <w:rPr>
          <w:rFonts w:cs="Times New Roman"/>
          <w:szCs w:val="24"/>
          <w:shd w:val="clear" w:color="auto" w:fill="FFFFFF"/>
        </w:rPr>
        <w:t>ongyna</w:t>
      </w:r>
      <w:r w:rsidRPr="00CC3BF5">
        <w:rPr>
          <w:rFonts w:cs="Times New Roman"/>
          <w:szCs w:val="24"/>
          <w:shd w:val="clear" w:color="auto" w:fill="FFFFFF"/>
        </w:rPr>
        <w:t>, H</w:t>
      </w:r>
      <w:r w:rsidR="009C12D4" w:rsidRPr="00CC3BF5">
        <w:rPr>
          <w:rFonts w:cs="Times New Roman"/>
          <w:szCs w:val="24"/>
          <w:shd w:val="clear" w:color="auto" w:fill="FFFFFF"/>
        </w:rPr>
        <w:t>uan</w:t>
      </w:r>
      <w:r w:rsidRPr="00CC3BF5">
        <w:rPr>
          <w:rFonts w:cs="Times New Roman"/>
          <w:szCs w:val="24"/>
          <w:shd w:val="clear" w:color="auto" w:fill="FFFFFF"/>
        </w:rPr>
        <w:t xml:space="preserve"> ZENG, Y</w:t>
      </w:r>
      <w:r w:rsidR="009C12D4" w:rsidRPr="00CC3BF5">
        <w:rPr>
          <w:rFonts w:cs="Times New Roman"/>
          <w:szCs w:val="24"/>
          <w:shd w:val="clear" w:color="auto" w:fill="FFFFFF"/>
        </w:rPr>
        <w:t>ang</w:t>
      </w:r>
      <w:r w:rsidRPr="00CC3BF5">
        <w:rPr>
          <w:rFonts w:cs="Times New Roman"/>
          <w:szCs w:val="24"/>
          <w:shd w:val="clear" w:color="auto" w:fill="FFFFFF"/>
        </w:rPr>
        <w:t xml:space="preserve"> SHEN, et al. Assessment Tools for Health Literacy among the General Population: A Systematic Review. </w:t>
      </w:r>
      <w:r w:rsidRPr="00CC3BF5">
        <w:rPr>
          <w:rFonts w:cs="Times New Roman"/>
          <w:i/>
          <w:iCs/>
          <w:szCs w:val="24"/>
        </w:rPr>
        <w:t>International journal of environmental research and public health</w:t>
      </w:r>
      <w:r w:rsidRPr="00CC3BF5">
        <w:rPr>
          <w:rFonts w:cs="Times New Roman"/>
          <w:szCs w:val="24"/>
          <w:shd w:val="clear" w:color="auto" w:fill="FFFFFF"/>
        </w:rPr>
        <w:t xml:space="preserve"> [online]. 2018, </w:t>
      </w:r>
      <w:r w:rsidRPr="00CC3BF5">
        <w:rPr>
          <w:rFonts w:cs="Times New Roman"/>
          <w:szCs w:val="24"/>
        </w:rPr>
        <w:t>15</w:t>
      </w:r>
      <w:r w:rsidRPr="00CC3BF5">
        <w:rPr>
          <w:rFonts w:cs="Times New Roman"/>
          <w:szCs w:val="24"/>
          <w:shd w:val="clear" w:color="auto" w:fill="FFFFFF"/>
        </w:rPr>
        <w:t>(8) [cit. 2020-04-29]. DOI: 10.3390/ijerph15081711. ISSN 16604601.</w:t>
      </w:r>
    </w:p>
    <w:p w:rsidR="00C175EC" w:rsidRDefault="00C175EC" w:rsidP="00C175EC">
      <w:pPr>
        <w:pStyle w:val="Bezmezer"/>
      </w:pPr>
    </w:p>
    <w:p w:rsidR="00C175EC" w:rsidRPr="00C175EC" w:rsidRDefault="00C175EC" w:rsidP="00C175EC">
      <w:pPr>
        <w:pStyle w:val="Bezmezer"/>
        <w:spacing w:line="360" w:lineRule="auto"/>
        <w:rPr>
          <w:rFonts w:cs="Times New Roman"/>
        </w:rPr>
      </w:pPr>
      <w:r w:rsidRPr="00C175EC">
        <w:rPr>
          <w:rFonts w:cs="Times New Roman"/>
          <w:shd w:val="clear" w:color="auto" w:fill="FFFFFF"/>
        </w:rPr>
        <w:t xml:space="preserve">LLOYD, Jane, Louise THOMAS, Gawaine POWELL-DAVIES, Regina OSTEN a Mark HARRIS. How can communities and organisations improve their health literacy? </w:t>
      </w:r>
      <w:r w:rsidRPr="00C175EC">
        <w:rPr>
          <w:rFonts w:cs="Times New Roman"/>
          <w:i/>
          <w:iCs/>
        </w:rPr>
        <w:t>Public health research</w:t>
      </w:r>
      <w:r w:rsidRPr="00C175EC">
        <w:rPr>
          <w:rFonts w:cs="Times New Roman"/>
          <w:shd w:val="clear" w:color="auto" w:fill="FFFFFF"/>
        </w:rPr>
        <w:t xml:space="preserve"> [online]. 2018, </w:t>
      </w:r>
      <w:r w:rsidRPr="00C175EC">
        <w:rPr>
          <w:rFonts w:cs="Times New Roman"/>
        </w:rPr>
        <w:t>28</w:t>
      </w:r>
      <w:r w:rsidRPr="00C175EC">
        <w:rPr>
          <w:rFonts w:cs="Times New Roman"/>
          <w:shd w:val="clear" w:color="auto" w:fill="FFFFFF"/>
        </w:rPr>
        <w:t>(2) [cit. 2020-06-29]. DOI: 10.17061/phrp2821809. ISSN 22042091.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MANTWILL, S</w:t>
      </w:r>
      <w:r w:rsidR="009C12D4" w:rsidRPr="00CC3BF5">
        <w:rPr>
          <w:rFonts w:cs="Times New Roman"/>
          <w:szCs w:val="24"/>
          <w:shd w:val="clear" w:color="auto" w:fill="FFFFFF"/>
        </w:rPr>
        <w:t>arah</w:t>
      </w:r>
      <w:r w:rsidRPr="00CC3BF5">
        <w:rPr>
          <w:rFonts w:cs="Times New Roman"/>
          <w:szCs w:val="24"/>
          <w:shd w:val="clear" w:color="auto" w:fill="FFFFFF"/>
        </w:rPr>
        <w:t>, S</w:t>
      </w:r>
      <w:r w:rsidR="009C12D4" w:rsidRPr="00CC3BF5">
        <w:rPr>
          <w:rFonts w:cs="Times New Roman"/>
          <w:szCs w:val="24"/>
          <w:shd w:val="clear" w:color="auto" w:fill="FFFFFF"/>
        </w:rPr>
        <w:t>ilvia</w:t>
      </w:r>
      <w:r w:rsidRPr="00CC3BF5">
        <w:rPr>
          <w:rFonts w:cs="Times New Roman"/>
          <w:szCs w:val="24"/>
          <w:shd w:val="clear" w:color="auto" w:fill="FFFFFF"/>
        </w:rPr>
        <w:t xml:space="preserve"> MONESTEL-UMAÑA a P</w:t>
      </w:r>
      <w:r w:rsidR="009C12D4" w:rsidRPr="00CC3BF5">
        <w:rPr>
          <w:rFonts w:cs="Times New Roman"/>
          <w:szCs w:val="24"/>
          <w:shd w:val="clear" w:color="auto" w:fill="FFFFFF"/>
        </w:rPr>
        <w:t xml:space="preserve">eter </w:t>
      </w:r>
      <w:r w:rsidRPr="00CC3BF5">
        <w:rPr>
          <w:rFonts w:cs="Times New Roman"/>
          <w:szCs w:val="24"/>
          <w:shd w:val="clear" w:color="auto" w:fill="FFFFFF"/>
        </w:rPr>
        <w:t xml:space="preserve">J. SCHULZ. The Relationship between Health Literacy and Health Disparities: A Systematic Review. </w:t>
      </w:r>
      <w:r w:rsidRPr="00CC3BF5">
        <w:rPr>
          <w:rFonts w:cs="Times New Roman"/>
          <w:i/>
          <w:iCs/>
          <w:szCs w:val="24"/>
        </w:rPr>
        <w:t>PloS one</w:t>
      </w:r>
      <w:r w:rsidRPr="00CC3BF5">
        <w:rPr>
          <w:rFonts w:cs="Times New Roman"/>
          <w:szCs w:val="24"/>
          <w:shd w:val="clear" w:color="auto" w:fill="FFFFFF"/>
        </w:rPr>
        <w:t xml:space="preserve"> [online]. 2015, </w:t>
      </w:r>
      <w:r w:rsidRPr="00CC3BF5">
        <w:rPr>
          <w:rFonts w:cs="Times New Roman"/>
          <w:szCs w:val="24"/>
        </w:rPr>
        <w:t>10</w:t>
      </w:r>
      <w:r w:rsidRPr="00CC3BF5">
        <w:rPr>
          <w:rFonts w:cs="Times New Roman"/>
          <w:szCs w:val="24"/>
          <w:shd w:val="clear" w:color="auto" w:fill="FFFFFF"/>
        </w:rPr>
        <w:t>(12), e0145455 [cit. 2020-05-27]. DOI: 10.1371/journal.pone.0145455. ISSN 19326203.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NUTBEAM, Don. Defining and measuring health literacy: what can we learn from literacy studies? </w:t>
      </w:r>
      <w:r w:rsidRPr="00CC3BF5">
        <w:rPr>
          <w:rFonts w:cs="Times New Roman"/>
          <w:i/>
          <w:iCs/>
          <w:szCs w:val="24"/>
        </w:rPr>
        <w:t>International Journal of Public Health: International Journal of Public Health</w:t>
      </w:r>
      <w:r w:rsidRPr="00CC3BF5">
        <w:rPr>
          <w:rFonts w:cs="Times New Roman"/>
          <w:szCs w:val="24"/>
          <w:shd w:val="clear" w:color="auto" w:fill="FFFFFF"/>
        </w:rPr>
        <w:t xml:space="preserve"> [online]. 2009, </w:t>
      </w:r>
      <w:r w:rsidRPr="00CC3BF5">
        <w:rPr>
          <w:rFonts w:cs="Times New Roman"/>
          <w:szCs w:val="24"/>
        </w:rPr>
        <w:t>54</w:t>
      </w:r>
      <w:r w:rsidRPr="00CC3BF5">
        <w:rPr>
          <w:rFonts w:cs="Times New Roman"/>
          <w:szCs w:val="24"/>
          <w:shd w:val="clear" w:color="auto" w:fill="FFFFFF"/>
        </w:rPr>
        <w:t>(5), 303-305 [cit. 2020-04-10]. DOI: 10.1007/s00038-009-0050-x. ISSN 16618556.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MIRI, Mohammad Reza, Hakimeh Malaki MOGHADAM, Hedieh EFTEKHARI, Azam YOUSEFI a Ensiyeh NOROZI. Developing and Validating the Functional, Communicative, and Critical Health Literacy Questionnaire among the Iranian General Population. </w:t>
      </w:r>
      <w:bookmarkStart w:id="28" w:name="_Hlk44266312"/>
      <w:r w:rsidRPr="00CC3BF5">
        <w:rPr>
          <w:rFonts w:cs="Times New Roman"/>
          <w:i/>
          <w:iCs/>
          <w:szCs w:val="24"/>
        </w:rPr>
        <w:t>Oman Medical Journal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bookmarkEnd w:id="28"/>
      <w:r w:rsidRPr="00CC3BF5">
        <w:rPr>
          <w:rFonts w:cs="Times New Roman"/>
          <w:szCs w:val="24"/>
          <w:shd w:val="clear" w:color="auto" w:fill="FFFFFF"/>
        </w:rPr>
        <w:t xml:space="preserve">[online]. 2020, </w:t>
      </w:r>
      <w:r w:rsidRPr="00CC3BF5">
        <w:rPr>
          <w:rFonts w:cs="Times New Roman"/>
          <w:szCs w:val="24"/>
        </w:rPr>
        <w:t>35</w:t>
      </w:r>
      <w:r w:rsidRPr="00CC3BF5">
        <w:rPr>
          <w:rFonts w:cs="Times New Roman"/>
          <w:szCs w:val="24"/>
          <w:shd w:val="clear" w:color="auto" w:fill="FFFFFF"/>
        </w:rPr>
        <w:t>(2), 24-32 [cit. 2020-05-02]. DOI: 10.5001/omj.2020.24. ISSN 1999768X.</w:t>
      </w:r>
    </w:p>
    <w:p w:rsidR="00260E06" w:rsidRPr="00260E06" w:rsidRDefault="00260E06" w:rsidP="00260E06">
      <w:pPr>
        <w:pStyle w:val="Bezmezer"/>
      </w:pPr>
    </w:p>
    <w:p w:rsidR="00260E06" w:rsidRPr="00CC3BF5" w:rsidRDefault="00260E06" w:rsidP="00260E06">
      <w:pPr>
        <w:spacing w:line="360" w:lineRule="auto"/>
        <w:jc w:val="both"/>
        <w:rPr>
          <w:rStyle w:val="Hypertextovodkaz"/>
          <w:rFonts w:cs="Times New Roman"/>
          <w:szCs w:val="24"/>
          <w:bdr w:val="none" w:sz="0" w:space="0" w:color="auto" w:frame="1"/>
        </w:rPr>
      </w:pPr>
      <w:r w:rsidRPr="00CC3BF5">
        <w:rPr>
          <w:rFonts w:cs="Times New Roman"/>
          <w:szCs w:val="24"/>
        </w:rPr>
        <w:t xml:space="preserve">MORONY Suzanne, Emma Lamph, Danielle Muscat, Don Nutbeam, Haryana M Dhillon, Heather Shepherd, Sian Smith, Aisha Khan, Julie Osborne, Wedyan Meshreky, Karen Luxford, Andrew Hayen, Kirsten J McCaffery, Improving health literacy through adult basic education in Australia, </w:t>
      </w:r>
      <w:r w:rsidRPr="00CC3BF5">
        <w:rPr>
          <w:rStyle w:val="Zdraznn"/>
          <w:rFonts w:cs="Times New Roman"/>
          <w:color w:val="2A2A2A"/>
          <w:szCs w:val="24"/>
          <w:bdr w:val="none" w:sz="0" w:space="0" w:color="auto" w:frame="1"/>
        </w:rPr>
        <w:t>Health Promotion International</w:t>
      </w:r>
      <w:r w:rsidRPr="00CC3BF5">
        <w:rPr>
          <w:rFonts w:cs="Times New Roman"/>
          <w:szCs w:val="24"/>
        </w:rPr>
        <w:t xml:space="preserve">, Volume 33, Issue 5, October 2018, Pages 867–877, </w:t>
      </w:r>
      <w:hyperlink r:id="rId13" w:history="1">
        <w:r w:rsidRPr="00CC3BF5">
          <w:rPr>
            <w:rStyle w:val="Hypertextovodkaz"/>
            <w:rFonts w:cs="Times New Roman"/>
            <w:szCs w:val="24"/>
            <w:bdr w:val="none" w:sz="0" w:space="0" w:color="auto" w:frame="1"/>
          </w:rPr>
          <w:t>https://doi.org/10.1093/heapro/dax028</w:t>
        </w:r>
      </w:hyperlink>
    </w:p>
    <w:p w:rsidR="00260E06" w:rsidRDefault="00260E06" w:rsidP="00260E06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260E06" w:rsidRPr="00CC3BF5" w:rsidRDefault="00260E06" w:rsidP="00260E06">
      <w:pPr>
        <w:spacing w:line="360" w:lineRule="auto"/>
        <w:jc w:val="both"/>
        <w:rPr>
          <w:rFonts w:cs="Times New Roman"/>
          <w:shd w:val="clear" w:color="auto" w:fill="FFFFFF"/>
        </w:rPr>
      </w:pPr>
      <w:r w:rsidRPr="00CC3BF5">
        <w:rPr>
          <w:rFonts w:cs="Times New Roman"/>
          <w:shd w:val="clear" w:color="auto" w:fill="FFFFFF"/>
        </w:rPr>
        <w:lastRenderedPageBreak/>
        <w:t xml:space="preserve">NESARI, Maryam, Joanne OLSON, Alireza NASRABADI a Collen NORRIS. Registered Nurses' Knowledge of and Experience with Health Literacy. </w:t>
      </w:r>
      <w:bookmarkStart w:id="29" w:name="_Hlk44267127"/>
      <w:r w:rsidRPr="00CC3BF5">
        <w:rPr>
          <w:rFonts w:cs="Times New Roman"/>
          <w:i/>
          <w:iCs/>
        </w:rPr>
        <w:t>Health literacy research and practice</w:t>
      </w:r>
      <w:r w:rsidRPr="00CC3BF5">
        <w:rPr>
          <w:rFonts w:cs="Times New Roman"/>
          <w:shd w:val="clear" w:color="auto" w:fill="FFFFFF"/>
        </w:rPr>
        <w:t xml:space="preserve"> </w:t>
      </w:r>
      <w:bookmarkEnd w:id="29"/>
      <w:r w:rsidRPr="00CC3BF5">
        <w:rPr>
          <w:rFonts w:cs="Times New Roman"/>
          <w:shd w:val="clear" w:color="auto" w:fill="FFFFFF"/>
        </w:rPr>
        <w:t xml:space="preserve">[online]. 2019, </w:t>
      </w:r>
      <w:r w:rsidRPr="00CC3BF5">
        <w:rPr>
          <w:rFonts w:cs="Times New Roman"/>
        </w:rPr>
        <w:t>3</w:t>
      </w:r>
      <w:r w:rsidRPr="00CC3BF5">
        <w:rPr>
          <w:rFonts w:cs="Times New Roman"/>
          <w:shd w:val="clear" w:color="auto" w:fill="FFFFFF"/>
        </w:rPr>
        <w:t>(4), e268-e279 [cit. 2020-05-31]. DOI: 10.3928/24748307-20191021-01. ISSN 24748307.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</w:rPr>
        <w:t>PLEVOVÁ, Ilona. Ošetřovatelství II. 1. elektronické vydání. Praha: Grada, 2011. 1 online zdroj (224 stran). ISBN: 978-80-247-3558-0; 978-80-247-7103-8; 978-80-247-7104-5.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RADEMAKERS, J</w:t>
      </w:r>
      <w:r w:rsidR="00715083" w:rsidRPr="00CC3BF5">
        <w:rPr>
          <w:rFonts w:cs="Times New Roman"/>
          <w:szCs w:val="24"/>
          <w:shd w:val="clear" w:color="auto" w:fill="FFFFFF"/>
        </w:rPr>
        <w:t>any</w:t>
      </w:r>
      <w:r w:rsidRPr="00CC3BF5">
        <w:rPr>
          <w:rFonts w:cs="Times New Roman"/>
          <w:szCs w:val="24"/>
          <w:shd w:val="clear" w:color="auto" w:fill="FFFFFF"/>
        </w:rPr>
        <w:t xml:space="preserve"> a M</w:t>
      </w:r>
      <w:r w:rsidR="00715083" w:rsidRPr="00CC3BF5">
        <w:rPr>
          <w:rFonts w:cs="Times New Roman"/>
          <w:szCs w:val="24"/>
          <w:shd w:val="clear" w:color="auto" w:fill="FFFFFF"/>
        </w:rPr>
        <w:t>onique</w:t>
      </w:r>
      <w:r w:rsidRPr="00CC3BF5">
        <w:rPr>
          <w:rFonts w:cs="Times New Roman"/>
          <w:szCs w:val="24"/>
          <w:shd w:val="clear" w:color="auto" w:fill="FFFFFF"/>
        </w:rPr>
        <w:t xml:space="preserve"> HEIJMANS. Beyond Reading and Understanding: Health Literacy as the Capacity to Act. </w:t>
      </w:r>
      <w:bookmarkStart w:id="30" w:name="_Hlk44266413"/>
      <w:r w:rsidRPr="00CC3BF5">
        <w:rPr>
          <w:rFonts w:cs="Times New Roman"/>
          <w:i/>
          <w:iCs/>
          <w:szCs w:val="24"/>
        </w:rPr>
        <w:t>International Journal Of Environmental Research And Public Health</w:t>
      </w:r>
      <w:bookmarkEnd w:id="30"/>
      <w:r w:rsidRPr="00CC3BF5">
        <w:rPr>
          <w:rFonts w:cs="Times New Roman"/>
          <w:szCs w:val="24"/>
          <w:shd w:val="clear" w:color="auto" w:fill="FFFFFF"/>
        </w:rPr>
        <w:t xml:space="preserve"> [online]. 2018, </w:t>
      </w:r>
      <w:r w:rsidRPr="00CC3BF5">
        <w:rPr>
          <w:rFonts w:cs="Times New Roman"/>
          <w:szCs w:val="24"/>
        </w:rPr>
        <w:t>15</w:t>
      </w:r>
      <w:r w:rsidRPr="00CC3BF5">
        <w:rPr>
          <w:rFonts w:cs="Times New Roman"/>
          <w:szCs w:val="24"/>
          <w:shd w:val="clear" w:color="auto" w:fill="FFFFFF"/>
        </w:rPr>
        <w:t>(8) [cit. 2020-04-12]. DOI: 10.3390/ijerph15081676. ISSN 16604601.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CC3BF5" w:rsidRDefault="00E66BAC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  <w:shd w:val="clear" w:color="auto" w:fill="FFFFFF"/>
        </w:rPr>
        <w:t>RIKARD, R</w:t>
      </w:r>
      <w:r w:rsidR="00715083" w:rsidRPr="00CC3BF5">
        <w:rPr>
          <w:rFonts w:cs="Times New Roman"/>
          <w:szCs w:val="24"/>
          <w:shd w:val="clear" w:color="auto" w:fill="FFFFFF"/>
        </w:rPr>
        <w:t>obert</w:t>
      </w:r>
      <w:r w:rsidRPr="00CC3BF5">
        <w:rPr>
          <w:rFonts w:cs="Times New Roman"/>
          <w:szCs w:val="24"/>
          <w:shd w:val="clear" w:color="auto" w:fill="FFFFFF"/>
        </w:rPr>
        <w:t>, M</w:t>
      </w:r>
      <w:r w:rsidR="00715083" w:rsidRPr="00CC3BF5">
        <w:rPr>
          <w:rFonts w:cs="Times New Roman"/>
          <w:szCs w:val="24"/>
          <w:shd w:val="clear" w:color="auto" w:fill="FFFFFF"/>
        </w:rPr>
        <w:t xml:space="preserve">atthew </w:t>
      </w:r>
      <w:r w:rsidRPr="00CC3BF5">
        <w:rPr>
          <w:rFonts w:cs="Times New Roman"/>
          <w:szCs w:val="24"/>
          <w:shd w:val="clear" w:color="auto" w:fill="FFFFFF"/>
        </w:rPr>
        <w:t>THOMPSON</w:t>
      </w:r>
      <w:r w:rsidR="00715083" w:rsidRPr="00CC3BF5">
        <w:rPr>
          <w:rFonts w:cs="Times New Roman"/>
          <w:szCs w:val="24"/>
          <w:shd w:val="clear" w:color="auto" w:fill="FFFFFF"/>
        </w:rPr>
        <w:t xml:space="preserve"> a</w:t>
      </w:r>
      <w:r w:rsidRPr="00CC3BF5">
        <w:rPr>
          <w:rFonts w:cs="Times New Roman"/>
          <w:szCs w:val="24"/>
          <w:shd w:val="clear" w:color="auto" w:fill="FFFFFF"/>
        </w:rPr>
        <w:t xml:space="preserve"> </w:t>
      </w:r>
      <w:r w:rsidR="00715083" w:rsidRPr="00CC3BF5">
        <w:rPr>
          <w:rFonts w:cs="Times New Roman"/>
          <w:szCs w:val="24"/>
          <w:shd w:val="clear" w:color="auto" w:fill="FFFFFF"/>
        </w:rPr>
        <w:t xml:space="preserve">Zeke </w:t>
      </w:r>
      <w:r w:rsidRPr="00CC3BF5">
        <w:rPr>
          <w:rFonts w:cs="Times New Roman"/>
          <w:szCs w:val="24"/>
          <w:shd w:val="clear" w:color="auto" w:fill="FFFFFF"/>
        </w:rPr>
        <w:t xml:space="preserve">MCKINNEY Examining health literacy disparities in the United States: A third look at the National Assessment of Adult Literacy (NAAL). </w:t>
      </w:r>
      <w:r w:rsidRPr="00CC3BF5">
        <w:rPr>
          <w:rFonts w:cs="Times New Roman"/>
          <w:i/>
          <w:iCs/>
          <w:szCs w:val="24"/>
        </w:rPr>
        <w:t>BMC Public Health</w:t>
      </w:r>
      <w:r w:rsidRPr="00CC3BF5">
        <w:rPr>
          <w:rFonts w:cs="Times New Roman"/>
          <w:szCs w:val="24"/>
          <w:shd w:val="clear" w:color="auto" w:fill="FFFFFF"/>
        </w:rPr>
        <w:t xml:space="preserve"> [online]. 2016, </w:t>
      </w:r>
      <w:r w:rsidRPr="00CC3BF5">
        <w:rPr>
          <w:rFonts w:cs="Times New Roman"/>
          <w:szCs w:val="24"/>
        </w:rPr>
        <w:t>16</w:t>
      </w:r>
      <w:r w:rsidRPr="00CC3BF5">
        <w:rPr>
          <w:rFonts w:cs="Times New Roman"/>
          <w:szCs w:val="24"/>
          <w:shd w:val="clear" w:color="auto" w:fill="FFFFFF"/>
        </w:rPr>
        <w:t>(1) [cit. 2020-05-24]. DOI: 10.1186/s12889-016-3621-9. ISSN 14712458.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ROUQUETTE, Alexandra, Theotime NADOT, Pierre LABITRIE, Stephan VAN DEN BROUCKE, Julien MANCINI, Laurent RIGAL a Virginie RINGA. Validity and measurement invariance across sex, age, and education level of the French short versions of the European Health Literacy Survey Questionnaire. </w:t>
      </w:r>
      <w:r w:rsidRPr="00CC3BF5">
        <w:rPr>
          <w:rFonts w:cs="Times New Roman"/>
          <w:i/>
          <w:iCs/>
          <w:szCs w:val="24"/>
        </w:rPr>
        <w:t>PLOS ONE</w:t>
      </w:r>
      <w:r w:rsidRPr="00CC3BF5">
        <w:rPr>
          <w:rFonts w:cs="Times New Roman"/>
          <w:szCs w:val="24"/>
          <w:shd w:val="clear" w:color="auto" w:fill="FFFFFF"/>
        </w:rPr>
        <w:t xml:space="preserve"> [online]. 2018, </w:t>
      </w:r>
      <w:r w:rsidRPr="00CC3BF5">
        <w:rPr>
          <w:rFonts w:cs="Times New Roman"/>
          <w:szCs w:val="24"/>
        </w:rPr>
        <w:t>13</w:t>
      </w:r>
      <w:r w:rsidRPr="00CC3BF5">
        <w:rPr>
          <w:rFonts w:cs="Times New Roman"/>
          <w:szCs w:val="24"/>
          <w:shd w:val="clear" w:color="auto" w:fill="FFFFFF"/>
        </w:rPr>
        <w:t>(12) [cit. 2020-05-25]. DOI: 10.1371/journal.pone.0208091. ISSN 19326203.</w:t>
      </w:r>
    </w:p>
    <w:p w:rsidR="00C175EC" w:rsidRDefault="00C175EC" w:rsidP="00C175EC">
      <w:pPr>
        <w:pStyle w:val="Bezmezer"/>
      </w:pPr>
    </w:p>
    <w:p w:rsidR="00C175EC" w:rsidRPr="00C175EC" w:rsidRDefault="00C175EC" w:rsidP="00C175EC">
      <w:pPr>
        <w:pStyle w:val="Bezmezer"/>
        <w:spacing w:line="360" w:lineRule="auto"/>
        <w:rPr>
          <w:rFonts w:cs="Times New Roman"/>
        </w:rPr>
      </w:pPr>
      <w:r w:rsidRPr="00C175EC">
        <w:rPr>
          <w:rFonts w:cs="Times New Roman"/>
          <w:shd w:val="clear" w:color="auto" w:fill="FFFFFF"/>
        </w:rPr>
        <w:t>ROWLANDS, G</w:t>
      </w:r>
      <w:r>
        <w:rPr>
          <w:rFonts w:cs="Times New Roman"/>
          <w:shd w:val="clear" w:color="auto" w:fill="FFFFFF"/>
        </w:rPr>
        <w:t>illian</w:t>
      </w:r>
      <w:r w:rsidRPr="00C175EC">
        <w:rPr>
          <w:rFonts w:cs="Times New Roman"/>
          <w:shd w:val="clear" w:color="auto" w:fill="FFFFFF"/>
        </w:rPr>
        <w:t>, A</w:t>
      </w:r>
      <w:r>
        <w:rPr>
          <w:rFonts w:cs="Times New Roman"/>
          <w:shd w:val="clear" w:color="auto" w:fill="FFFFFF"/>
        </w:rPr>
        <w:t>drienne</w:t>
      </w:r>
      <w:r w:rsidRPr="00C175EC">
        <w:rPr>
          <w:rFonts w:cs="Times New Roman"/>
          <w:shd w:val="clear" w:color="auto" w:fill="FFFFFF"/>
        </w:rPr>
        <w:t xml:space="preserve"> SHAW, S</w:t>
      </w:r>
      <w:r>
        <w:rPr>
          <w:rFonts w:cs="Times New Roman"/>
          <w:shd w:val="clear" w:color="auto" w:fill="FFFFFF"/>
        </w:rPr>
        <w:t>abrena</w:t>
      </w:r>
      <w:r w:rsidRPr="00C175EC">
        <w:rPr>
          <w:rFonts w:cs="Times New Roman"/>
          <w:shd w:val="clear" w:color="auto" w:fill="FFFFFF"/>
        </w:rPr>
        <w:t xml:space="preserve"> JASWAL, S</w:t>
      </w:r>
      <w:r>
        <w:rPr>
          <w:rFonts w:cs="Times New Roman"/>
          <w:shd w:val="clear" w:color="auto" w:fill="FFFFFF"/>
        </w:rPr>
        <w:t>ian</w:t>
      </w:r>
      <w:r w:rsidRPr="00C175EC">
        <w:rPr>
          <w:rFonts w:cs="Times New Roman"/>
          <w:shd w:val="clear" w:color="auto" w:fill="FFFFFF"/>
        </w:rPr>
        <w:t xml:space="preserve"> SMITH a T</w:t>
      </w:r>
      <w:r>
        <w:rPr>
          <w:rFonts w:cs="Times New Roman"/>
          <w:shd w:val="clear" w:color="auto" w:fill="FFFFFF"/>
        </w:rPr>
        <w:t>rudy</w:t>
      </w:r>
      <w:r w:rsidRPr="00C175EC">
        <w:rPr>
          <w:rFonts w:cs="Times New Roman"/>
          <w:shd w:val="clear" w:color="auto" w:fill="FFFFFF"/>
        </w:rPr>
        <w:t xml:space="preserve"> HARPHAM. Health literacy and the social determinants of health: a qualitative model from adult learners. </w:t>
      </w:r>
      <w:r w:rsidRPr="00C175EC">
        <w:rPr>
          <w:rFonts w:cs="Times New Roman"/>
          <w:i/>
          <w:iCs/>
        </w:rPr>
        <w:t>Health promotion international</w:t>
      </w:r>
      <w:r w:rsidRPr="00C175EC">
        <w:rPr>
          <w:rFonts w:cs="Times New Roman"/>
          <w:shd w:val="clear" w:color="auto" w:fill="FFFFFF"/>
        </w:rPr>
        <w:t xml:space="preserve"> [online]. 2017, </w:t>
      </w:r>
      <w:r w:rsidRPr="00C175EC">
        <w:rPr>
          <w:rFonts w:cs="Times New Roman"/>
        </w:rPr>
        <w:t>32</w:t>
      </w:r>
      <w:r w:rsidRPr="00C175EC">
        <w:rPr>
          <w:rFonts w:cs="Times New Roman"/>
          <w:shd w:val="clear" w:color="auto" w:fill="FFFFFF"/>
        </w:rPr>
        <w:t>(1), 130-138 [cit. 2020-06-29]. DOI: 10.1093/heapro/dav093. ISSN 14602245.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</w:rPr>
      </w:pPr>
      <w:r w:rsidRPr="00CC3BF5">
        <w:rPr>
          <w:rFonts w:cs="Times New Roman"/>
          <w:szCs w:val="24"/>
        </w:rPr>
        <w:t xml:space="preserve">SØRENSEN, Kristine, Stephan VAN DEN BROUCKE, James FULLAM, Gerardine DOYLE, Jürgen PELIKAN, Zofia SLONSKA a Helmut BRAND. Health literacy and public health: A systematic review and integration of definitions and models. </w:t>
      </w:r>
      <w:r w:rsidRPr="00CC3BF5">
        <w:rPr>
          <w:rFonts w:cs="Times New Roman"/>
          <w:i/>
          <w:iCs/>
          <w:szCs w:val="24"/>
        </w:rPr>
        <w:t>BMC Public Health</w:t>
      </w:r>
      <w:r w:rsidRPr="00CC3BF5">
        <w:rPr>
          <w:rFonts w:cs="Times New Roman"/>
          <w:szCs w:val="24"/>
        </w:rPr>
        <w:t xml:space="preserve"> [online]. 2012, 12(1) [cit. 2018-12-09]. DOI: 10.1186/1471-2458-12-80. ISSN 1471-2458.</w:t>
      </w:r>
    </w:p>
    <w:p w:rsidR="00CC3BF5" w:rsidRDefault="00CC3BF5" w:rsidP="00CC3BF5">
      <w:pPr>
        <w:spacing w:line="360" w:lineRule="auto"/>
        <w:jc w:val="both"/>
        <w:rPr>
          <w:rFonts w:cs="Times New Roman"/>
          <w:color w:val="0D0D0D" w:themeColor="text1" w:themeTint="F2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color w:val="0D0D0D" w:themeColor="text1" w:themeTint="F2"/>
          <w:szCs w:val="24"/>
          <w:shd w:val="clear" w:color="auto" w:fill="FFFFFF"/>
        </w:rPr>
        <w:lastRenderedPageBreak/>
        <w:t xml:space="preserve">SØRENSEN, Kristine a Andrew PLEASANT. Understanding the Conceptual Importance of the Differences mong Health Literacy Definitions. </w:t>
      </w:r>
      <w:bookmarkStart w:id="31" w:name="_Hlk44266911"/>
      <w:r w:rsidRPr="00CC3BF5">
        <w:rPr>
          <w:rFonts w:cs="Times New Roman"/>
          <w:i/>
          <w:iCs/>
          <w:color w:val="0D0D0D" w:themeColor="text1" w:themeTint="F2"/>
          <w:szCs w:val="24"/>
        </w:rPr>
        <w:t>Stud</w:t>
      </w:r>
      <w:r w:rsidRPr="00CC3BF5">
        <w:rPr>
          <w:rFonts w:cs="Times New Roman"/>
          <w:i/>
          <w:iCs/>
          <w:szCs w:val="24"/>
        </w:rPr>
        <w:t>ies in Health Technology</w:t>
      </w:r>
      <w:bookmarkEnd w:id="31"/>
      <w:r w:rsidRPr="00CC3BF5">
        <w:rPr>
          <w:rFonts w:cs="Times New Roman"/>
          <w:szCs w:val="24"/>
          <w:shd w:val="clear" w:color="auto" w:fill="FFFFFF"/>
        </w:rPr>
        <w:t xml:space="preserve"> [online]. 2017, </w:t>
      </w:r>
      <w:r w:rsidRPr="00CC3BF5">
        <w:rPr>
          <w:rFonts w:cs="Times New Roman"/>
          <w:szCs w:val="24"/>
        </w:rPr>
        <w:t>240</w:t>
      </w:r>
      <w:r w:rsidRPr="00CC3BF5">
        <w:rPr>
          <w:rFonts w:cs="Times New Roman"/>
          <w:szCs w:val="24"/>
          <w:shd w:val="clear" w:color="auto" w:fill="FFFFFF"/>
        </w:rPr>
        <w:t>, 3-14 [cit. 2020-05-21]. DOI: 10.3233/978-1-61499-790-0-3. ISSN 09269630.</w:t>
      </w:r>
    </w:p>
    <w:p w:rsidR="00CC3BF5" w:rsidRDefault="00CC3BF5" w:rsidP="00CC3BF5">
      <w:pPr>
        <w:spacing w:line="360" w:lineRule="auto"/>
        <w:jc w:val="both"/>
        <w:rPr>
          <w:rFonts w:cs="Times New Roman"/>
          <w:color w:val="0D0D0D" w:themeColor="text1" w:themeTint="F2"/>
          <w:szCs w:val="24"/>
          <w:shd w:val="clear" w:color="auto" w:fill="FFFFFF"/>
        </w:rPr>
      </w:pPr>
    </w:p>
    <w:p w:rsidR="00E66BAC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color w:val="0D0D0D" w:themeColor="text1" w:themeTint="F2"/>
          <w:szCs w:val="24"/>
          <w:shd w:val="clear" w:color="auto" w:fill="FFFFFF"/>
        </w:rPr>
        <w:t>SØRENSEN</w:t>
      </w:r>
      <w:r w:rsidRPr="00CC3BF5">
        <w:rPr>
          <w:rFonts w:cs="Times New Roman"/>
          <w:szCs w:val="24"/>
          <w:shd w:val="clear" w:color="auto" w:fill="FFFFFF"/>
        </w:rPr>
        <w:t xml:space="preserve"> Kristine, Pelikan JÜRGEN M., Röthlin FLORIAN, et al. Health literacy in Europe: comparative results of the European health literacy survey (HLS-EU). </w:t>
      </w:r>
      <w:bookmarkStart w:id="32" w:name="_Hlk44266935"/>
      <w:r w:rsidRPr="00CC3BF5">
        <w:rPr>
          <w:rFonts w:cs="Times New Roman"/>
          <w:i/>
          <w:iCs/>
          <w:szCs w:val="24"/>
        </w:rPr>
        <w:t>The European Journal of Public Health</w:t>
      </w:r>
      <w:bookmarkEnd w:id="32"/>
      <w:r w:rsidRPr="00CC3BF5">
        <w:rPr>
          <w:rFonts w:cs="Times New Roman"/>
          <w:szCs w:val="24"/>
          <w:shd w:val="clear" w:color="auto" w:fill="FFFFFF"/>
        </w:rPr>
        <w:t xml:space="preserve"> [online]. 2015, </w:t>
      </w:r>
      <w:r w:rsidRPr="00CC3BF5">
        <w:rPr>
          <w:rFonts w:cs="Times New Roman"/>
          <w:szCs w:val="24"/>
        </w:rPr>
        <w:t>25</w:t>
      </w:r>
      <w:r w:rsidRPr="00CC3BF5">
        <w:rPr>
          <w:rFonts w:cs="Times New Roman"/>
          <w:szCs w:val="24"/>
          <w:shd w:val="clear" w:color="auto" w:fill="FFFFFF"/>
        </w:rPr>
        <w:t>(6), 1053-1054 [cit. 2020-05-03]. DOI: 10.1093/eurpub/ckv043. ISSN 11011262.</w:t>
      </w:r>
    </w:p>
    <w:p w:rsidR="00260E06" w:rsidRPr="00260E06" w:rsidRDefault="00260E06" w:rsidP="00260E06">
      <w:pPr>
        <w:pStyle w:val="Bezmezer"/>
      </w:pPr>
    </w:p>
    <w:p w:rsidR="00260E06" w:rsidRPr="00260E06" w:rsidRDefault="00260E06" w:rsidP="00260E06">
      <w:pPr>
        <w:pStyle w:val="Bezmezer"/>
        <w:spacing w:line="360" w:lineRule="auto"/>
        <w:rPr>
          <w:rFonts w:cs="Times New Roman"/>
          <w:szCs w:val="24"/>
        </w:rPr>
      </w:pPr>
      <w:r w:rsidRPr="00260E06">
        <w:rPr>
          <w:rFonts w:cs="Times New Roman"/>
          <w:szCs w:val="24"/>
          <w:shd w:val="clear" w:color="auto" w:fill="FFFFFF"/>
        </w:rPr>
        <w:t>UITERS, E</w:t>
      </w:r>
      <w:r>
        <w:rPr>
          <w:rFonts w:cs="Times New Roman"/>
          <w:szCs w:val="24"/>
          <w:shd w:val="clear" w:color="auto" w:fill="FFFFFF"/>
        </w:rPr>
        <w:t>llen</w:t>
      </w:r>
      <w:r w:rsidRPr="00260E06">
        <w:rPr>
          <w:rFonts w:cs="Times New Roman"/>
          <w:szCs w:val="24"/>
          <w:shd w:val="clear" w:color="auto" w:fill="FFFFFF"/>
        </w:rPr>
        <w:t>, K</w:t>
      </w:r>
      <w:r>
        <w:rPr>
          <w:rFonts w:cs="Times New Roman"/>
          <w:szCs w:val="24"/>
          <w:shd w:val="clear" w:color="auto" w:fill="FFFFFF"/>
        </w:rPr>
        <w:t>ristiene</w:t>
      </w:r>
      <w:r w:rsidRPr="00260E06">
        <w:rPr>
          <w:rFonts w:cs="Times New Roman"/>
          <w:szCs w:val="24"/>
          <w:shd w:val="clear" w:color="auto" w:fill="FFFFFF"/>
        </w:rPr>
        <w:t xml:space="preserve"> SØRENSEN, F</w:t>
      </w:r>
      <w:r>
        <w:rPr>
          <w:rFonts w:cs="Times New Roman"/>
          <w:szCs w:val="24"/>
          <w:shd w:val="clear" w:color="auto" w:fill="FFFFFF"/>
        </w:rPr>
        <w:t>lorian</w:t>
      </w:r>
      <w:r w:rsidRPr="00260E06">
        <w:rPr>
          <w:rFonts w:cs="Times New Roman"/>
          <w:szCs w:val="24"/>
          <w:shd w:val="clear" w:color="auto" w:fill="FFFFFF"/>
        </w:rPr>
        <w:t xml:space="preserve"> RÖTHLIN, J</w:t>
      </w:r>
      <w:r>
        <w:rPr>
          <w:rFonts w:cs="Times New Roman"/>
          <w:szCs w:val="24"/>
          <w:shd w:val="clear" w:color="auto" w:fill="FFFFFF"/>
        </w:rPr>
        <w:t xml:space="preserve">urgen </w:t>
      </w:r>
      <w:r w:rsidRPr="00260E06">
        <w:rPr>
          <w:rFonts w:cs="Times New Roman"/>
          <w:szCs w:val="24"/>
          <w:shd w:val="clear" w:color="auto" w:fill="FFFFFF"/>
        </w:rPr>
        <w:t>PELIKAN</w:t>
      </w:r>
      <w:r>
        <w:rPr>
          <w:rFonts w:cs="Times New Roman"/>
          <w:szCs w:val="24"/>
          <w:shd w:val="clear" w:color="auto" w:fill="FFFFFF"/>
        </w:rPr>
        <w:t xml:space="preserve"> a </w:t>
      </w:r>
      <w:r w:rsidRPr="00260E06">
        <w:rPr>
          <w:rFonts w:cs="Times New Roman"/>
          <w:szCs w:val="24"/>
          <w:shd w:val="clear" w:color="auto" w:fill="FFFFFF"/>
        </w:rPr>
        <w:t xml:space="preserve"> J</w:t>
      </w:r>
      <w:r>
        <w:rPr>
          <w:rFonts w:cs="Times New Roman"/>
          <w:szCs w:val="24"/>
          <w:shd w:val="clear" w:color="auto" w:fill="FFFFFF"/>
        </w:rPr>
        <w:t>any</w:t>
      </w:r>
      <w:r w:rsidRPr="00260E06">
        <w:rPr>
          <w:rFonts w:cs="Times New Roman"/>
          <w:szCs w:val="24"/>
          <w:shd w:val="clear" w:color="auto" w:fill="FFFFFF"/>
        </w:rPr>
        <w:t xml:space="preserve"> RADEMAKERS</w:t>
      </w:r>
      <w:r>
        <w:rPr>
          <w:rFonts w:cs="Times New Roman"/>
          <w:szCs w:val="24"/>
          <w:shd w:val="clear" w:color="auto" w:fill="FFFFFF"/>
        </w:rPr>
        <w:t>,</w:t>
      </w:r>
      <w:r w:rsidRPr="00260E06">
        <w:rPr>
          <w:rFonts w:cs="Times New Roman"/>
          <w:szCs w:val="24"/>
          <w:shd w:val="clear" w:color="auto" w:fill="FFFFFF"/>
        </w:rPr>
        <w:t xml:space="preserve"> Health literacy in Europe: the development and validation of health literacy prediction models. </w:t>
      </w:r>
      <w:r w:rsidRPr="00260E06">
        <w:rPr>
          <w:rFonts w:cs="Times New Roman"/>
          <w:i/>
          <w:iCs/>
          <w:szCs w:val="24"/>
        </w:rPr>
        <w:t>European journal of public health</w:t>
      </w:r>
      <w:r w:rsidRPr="00260E06">
        <w:rPr>
          <w:rFonts w:cs="Times New Roman"/>
          <w:szCs w:val="24"/>
          <w:shd w:val="clear" w:color="auto" w:fill="FFFFFF"/>
        </w:rPr>
        <w:t xml:space="preserve"> [online]. 2016, </w:t>
      </w:r>
      <w:r w:rsidRPr="00260E06">
        <w:rPr>
          <w:rFonts w:cs="Times New Roman"/>
          <w:b/>
          <w:bCs/>
          <w:szCs w:val="24"/>
        </w:rPr>
        <w:t>26</w:t>
      </w:r>
      <w:r w:rsidRPr="00260E06">
        <w:rPr>
          <w:rFonts w:cs="Times New Roman"/>
          <w:szCs w:val="24"/>
          <w:shd w:val="clear" w:color="auto" w:fill="FFFFFF"/>
        </w:rPr>
        <w:t>(6), 906-911 [cit. 2020-06-29]. DOI: 10.1093/eurpub/ckw078. ISSN 1464360X.</w:t>
      </w:r>
    </w:p>
    <w:p w:rsidR="00CC3BF5" w:rsidRDefault="00CC3BF5" w:rsidP="00CC3BF5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6D61CD" w:rsidRPr="00CC3BF5" w:rsidRDefault="006D61CD" w:rsidP="00CC3BF5">
      <w:pPr>
        <w:spacing w:line="360" w:lineRule="auto"/>
        <w:jc w:val="both"/>
        <w:rPr>
          <w:rFonts w:cs="Times New Roman"/>
          <w:shd w:val="clear" w:color="auto" w:fill="FFFFFF"/>
        </w:rPr>
      </w:pPr>
      <w:r w:rsidRPr="00CC3BF5">
        <w:rPr>
          <w:rFonts w:cs="Times New Roman"/>
          <w:shd w:val="clear" w:color="auto" w:fill="FFFFFF"/>
        </w:rPr>
        <w:t>S</w:t>
      </w:r>
      <w:r w:rsidR="00974EC1" w:rsidRPr="00CC3BF5">
        <w:rPr>
          <w:rFonts w:cs="Times New Roman"/>
          <w:shd w:val="clear" w:color="auto" w:fill="FFFFFF"/>
        </w:rPr>
        <w:t>PEROS</w:t>
      </w:r>
      <w:r w:rsidRPr="00CC3BF5">
        <w:rPr>
          <w:rFonts w:cs="Times New Roman"/>
          <w:shd w:val="clear" w:color="auto" w:fill="FFFFFF"/>
        </w:rPr>
        <w:t xml:space="preserve"> C</w:t>
      </w:r>
      <w:r w:rsidR="00966C46" w:rsidRPr="00CC3BF5">
        <w:rPr>
          <w:rFonts w:cs="Times New Roman"/>
          <w:shd w:val="clear" w:color="auto" w:fill="FFFFFF"/>
        </w:rPr>
        <w:t>arolin</w:t>
      </w:r>
      <w:r w:rsidRPr="00CC3BF5">
        <w:rPr>
          <w:rFonts w:cs="Times New Roman"/>
          <w:shd w:val="clear" w:color="auto" w:fill="FFFFFF"/>
        </w:rPr>
        <w:t xml:space="preserve">. Promoting health literacy: a nursing imperative. </w:t>
      </w:r>
      <w:r w:rsidRPr="00CC3BF5">
        <w:rPr>
          <w:rFonts w:cs="Times New Roman"/>
          <w:i/>
          <w:iCs/>
        </w:rPr>
        <w:t>Nurs Clin North Am</w:t>
      </w:r>
      <w:r w:rsidRPr="00CC3BF5">
        <w:rPr>
          <w:rFonts w:cs="Times New Roman"/>
          <w:shd w:val="clear" w:color="auto" w:fill="FFFFFF"/>
        </w:rPr>
        <w:t>. 2011;46(3):321-vii. doi:10.1016/j.cnur.2011.05.007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Style w:val="Hypertextovodkaz"/>
          <w:rFonts w:cs="Times New Roman"/>
          <w:szCs w:val="24"/>
        </w:rPr>
      </w:pPr>
      <w:r w:rsidRPr="00CC3BF5">
        <w:rPr>
          <w:rFonts w:cs="Times New Roman"/>
          <w:szCs w:val="24"/>
        </w:rPr>
        <w:t xml:space="preserve">SYKES, Susie, Jane WILLS, Gillian ROWLANDS a Keith POPPLE. Understanding critical health literacy: a concept analysis. </w:t>
      </w:r>
      <w:r w:rsidRPr="00CC3BF5">
        <w:rPr>
          <w:rFonts w:cs="Times New Roman"/>
          <w:i/>
          <w:iCs/>
          <w:szCs w:val="24"/>
        </w:rPr>
        <w:t>BMC Public Health</w:t>
      </w:r>
      <w:r w:rsidRPr="00CC3BF5">
        <w:rPr>
          <w:rFonts w:cs="Times New Roman"/>
          <w:szCs w:val="24"/>
        </w:rPr>
        <w:t xml:space="preserve"> [online]. 2013, 13(1) [cit. 2019-01-05]. DOI: 10.1186/1471-2458-13-150. ISSN 1471-2458. Dostupné z: https://www.ncbi.nlm.nih.gov/pubmed/23419015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 xml:space="preserve">ŠIMŮNKOVÁ, Marta a Jana VOJTÍŠKOVÁ. Zdravotní gramotnost v ČR je nízká. </w:t>
      </w:r>
      <w:bookmarkStart w:id="33" w:name="_Hlk44267274"/>
      <w:r w:rsidRPr="00CC3BF5">
        <w:rPr>
          <w:rFonts w:cs="Times New Roman"/>
          <w:i/>
          <w:iCs/>
          <w:szCs w:val="24"/>
        </w:rPr>
        <w:t>Practicus</w:t>
      </w:r>
      <w:r w:rsidRPr="00CC3BF5">
        <w:rPr>
          <w:rFonts w:cs="Times New Roman"/>
          <w:szCs w:val="24"/>
          <w:shd w:val="clear" w:color="auto" w:fill="FFFFFF"/>
        </w:rPr>
        <w:t>.</w:t>
      </w:r>
      <w:bookmarkEnd w:id="33"/>
      <w:r w:rsidRPr="00CC3BF5">
        <w:rPr>
          <w:rFonts w:cs="Times New Roman"/>
          <w:szCs w:val="24"/>
          <w:shd w:val="clear" w:color="auto" w:fill="FFFFFF"/>
        </w:rPr>
        <w:t xml:space="preserve"> Česko, 2015, </w:t>
      </w:r>
      <w:r w:rsidRPr="00CC3BF5">
        <w:rPr>
          <w:rFonts w:cs="Times New Roman"/>
          <w:szCs w:val="24"/>
        </w:rPr>
        <w:t>14</w:t>
      </w:r>
      <w:r w:rsidRPr="00CC3BF5">
        <w:rPr>
          <w:rFonts w:cs="Times New Roman"/>
          <w:szCs w:val="24"/>
          <w:shd w:val="clear" w:color="auto" w:fill="FFFFFF"/>
        </w:rPr>
        <w:t>(9), 34-34. ISSN 1213-8711.</w:t>
      </w:r>
    </w:p>
    <w:p w:rsidR="00CC3BF5" w:rsidRDefault="00CC3BF5" w:rsidP="00CC3BF5">
      <w:pPr>
        <w:spacing w:line="360" w:lineRule="auto"/>
        <w:jc w:val="both"/>
        <w:rPr>
          <w:shd w:val="clear" w:color="auto" w:fill="FFFFFF"/>
        </w:rPr>
      </w:pPr>
    </w:p>
    <w:p w:rsidR="00DE18EF" w:rsidRDefault="00DE18EF" w:rsidP="00CC3BF5">
      <w:pPr>
        <w:spacing w:line="360" w:lineRule="auto"/>
        <w:jc w:val="both"/>
        <w:rPr>
          <w:shd w:val="clear" w:color="auto" w:fill="FFFFFF"/>
        </w:rPr>
      </w:pPr>
      <w:r w:rsidRPr="00CC3BF5">
        <w:rPr>
          <w:shd w:val="clear" w:color="auto" w:fill="FFFFFF"/>
        </w:rPr>
        <w:t>WANG, J</w:t>
      </w:r>
      <w:r w:rsidR="00966C46" w:rsidRPr="00CC3BF5">
        <w:rPr>
          <w:shd w:val="clear" w:color="auto" w:fill="FFFFFF"/>
        </w:rPr>
        <w:t>en</w:t>
      </w:r>
      <w:r w:rsidRPr="00CC3BF5">
        <w:rPr>
          <w:shd w:val="clear" w:color="auto" w:fill="FFFFFF"/>
        </w:rPr>
        <w:t>, M</w:t>
      </w:r>
      <w:r w:rsidR="00966C46" w:rsidRPr="00CC3BF5">
        <w:rPr>
          <w:shd w:val="clear" w:color="auto" w:fill="FFFFFF"/>
        </w:rPr>
        <w:t>ariel</w:t>
      </w:r>
      <w:r w:rsidRPr="00CC3BF5">
        <w:rPr>
          <w:shd w:val="clear" w:color="auto" w:fill="FFFFFF"/>
        </w:rPr>
        <w:t xml:space="preserve"> DROOMERS, P</w:t>
      </w:r>
      <w:r w:rsidR="00966C46" w:rsidRPr="00CC3BF5">
        <w:rPr>
          <w:shd w:val="clear" w:color="auto" w:fill="FFFFFF"/>
        </w:rPr>
        <w:t>eter</w:t>
      </w:r>
      <w:r w:rsidRPr="00CC3BF5">
        <w:rPr>
          <w:shd w:val="clear" w:color="auto" w:fill="FFFFFF"/>
        </w:rPr>
        <w:t xml:space="preserve"> SPREEUWENBERG, J</w:t>
      </w:r>
      <w:r w:rsidR="00966C46" w:rsidRPr="00CC3BF5">
        <w:rPr>
          <w:shd w:val="clear" w:color="auto" w:fill="FFFFFF"/>
        </w:rPr>
        <w:t>any</w:t>
      </w:r>
      <w:r w:rsidRPr="00CC3BF5">
        <w:rPr>
          <w:shd w:val="clear" w:color="auto" w:fill="FFFFFF"/>
        </w:rPr>
        <w:t xml:space="preserve"> RADEMAKERS a E</w:t>
      </w:r>
      <w:r w:rsidR="00966C46" w:rsidRPr="00CC3BF5">
        <w:rPr>
          <w:shd w:val="clear" w:color="auto" w:fill="FFFFFF"/>
        </w:rPr>
        <w:t>llen</w:t>
      </w:r>
      <w:r w:rsidRPr="00CC3BF5">
        <w:rPr>
          <w:shd w:val="clear" w:color="auto" w:fill="FFFFFF"/>
        </w:rPr>
        <w:t xml:space="preserve"> UITERS. The relationship between health, education, and health literacy: results from the Dutch Adult Literacy and Life Skills Survey. </w:t>
      </w:r>
      <w:r w:rsidRPr="00CC3BF5">
        <w:rPr>
          <w:rFonts w:ascii="&amp;quot" w:hAnsi="&amp;quot"/>
          <w:i/>
          <w:iCs/>
        </w:rPr>
        <w:t>Journal of health communication</w:t>
      </w:r>
      <w:r w:rsidRPr="00CC3BF5">
        <w:rPr>
          <w:shd w:val="clear" w:color="auto" w:fill="FFFFFF"/>
        </w:rPr>
        <w:t xml:space="preserve"> [online]. 2013, </w:t>
      </w:r>
      <w:r w:rsidRPr="00CC3BF5">
        <w:rPr>
          <w:rFonts w:ascii="&amp;quot" w:hAnsi="&amp;quot"/>
        </w:rPr>
        <w:t>18 Suppl 1</w:t>
      </w:r>
      <w:r w:rsidRPr="00CC3BF5">
        <w:rPr>
          <w:shd w:val="clear" w:color="auto" w:fill="FFFFFF"/>
        </w:rPr>
        <w:t>, 172-84 [cit. 2020-05-31]. DOI: 10.1080/10810730.2013.825668. ISSN 10870415.</w:t>
      </w:r>
    </w:p>
    <w:p w:rsidR="00587298" w:rsidRDefault="00587298" w:rsidP="00587298">
      <w:pPr>
        <w:pStyle w:val="Bezmezer"/>
      </w:pPr>
    </w:p>
    <w:p w:rsidR="00587298" w:rsidRPr="00587298" w:rsidRDefault="00587298" w:rsidP="00587298">
      <w:pPr>
        <w:pStyle w:val="Bezmezer"/>
        <w:spacing w:line="360" w:lineRule="auto"/>
        <w:rPr>
          <w:rFonts w:cs="Times New Roman"/>
          <w:szCs w:val="24"/>
        </w:rPr>
      </w:pPr>
      <w:r w:rsidRPr="00587298">
        <w:rPr>
          <w:rFonts w:cs="Times New Roman"/>
          <w:szCs w:val="24"/>
          <w:shd w:val="clear" w:color="auto" w:fill="FFFFFF"/>
        </w:rPr>
        <w:t>WITTENBERG, E</w:t>
      </w:r>
      <w:r>
        <w:rPr>
          <w:rFonts w:cs="Times New Roman"/>
          <w:szCs w:val="24"/>
          <w:shd w:val="clear" w:color="auto" w:fill="FFFFFF"/>
        </w:rPr>
        <w:t>laine</w:t>
      </w:r>
      <w:r w:rsidRPr="00587298">
        <w:rPr>
          <w:rFonts w:cs="Times New Roman"/>
          <w:szCs w:val="24"/>
          <w:shd w:val="clear" w:color="auto" w:fill="FFFFFF"/>
        </w:rPr>
        <w:t>, B</w:t>
      </w:r>
      <w:r>
        <w:rPr>
          <w:rFonts w:cs="Times New Roman"/>
          <w:szCs w:val="24"/>
          <w:shd w:val="clear" w:color="auto" w:fill="FFFFFF"/>
        </w:rPr>
        <w:t>etty</w:t>
      </w:r>
      <w:r w:rsidRPr="00587298">
        <w:rPr>
          <w:rFonts w:cs="Times New Roman"/>
          <w:szCs w:val="24"/>
          <w:shd w:val="clear" w:color="auto" w:fill="FFFFFF"/>
        </w:rPr>
        <w:t xml:space="preserve"> FERRELL, E</w:t>
      </w:r>
      <w:r>
        <w:rPr>
          <w:rFonts w:cs="Times New Roman"/>
          <w:szCs w:val="24"/>
          <w:shd w:val="clear" w:color="auto" w:fill="FFFFFF"/>
        </w:rPr>
        <w:t>lisa</w:t>
      </w:r>
      <w:r w:rsidRPr="00587298">
        <w:rPr>
          <w:rFonts w:cs="Times New Roman"/>
          <w:szCs w:val="24"/>
          <w:shd w:val="clear" w:color="auto" w:fill="FFFFFF"/>
        </w:rPr>
        <w:t xml:space="preserve"> KANTER a H</w:t>
      </w:r>
      <w:r>
        <w:rPr>
          <w:rFonts w:cs="Times New Roman"/>
          <w:szCs w:val="24"/>
          <w:shd w:val="clear" w:color="auto" w:fill="FFFFFF"/>
        </w:rPr>
        <w:t>aley</w:t>
      </w:r>
      <w:r w:rsidRPr="00587298">
        <w:rPr>
          <w:rFonts w:cs="Times New Roman"/>
          <w:szCs w:val="24"/>
          <w:shd w:val="clear" w:color="auto" w:fill="FFFFFF"/>
        </w:rPr>
        <w:t xml:space="preserve"> BULLER. Health Literacy: Exploring Nursing Challenges to Providing Support and Understanding. </w:t>
      </w:r>
      <w:r w:rsidRPr="00587298">
        <w:rPr>
          <w:rFonts w:cs="Times New Roman"/>
          <w:i/>
          <w:iCs/>
          <w:szCs w:val="24"/>
        </w:rPr>
        <w:t>Clinical journal of oncology nursing</w:t>
      </w:r>
      <w:r w:rsidRPr="00587298">
        <w:rPr>
          <w:rFonts w:cs="Times New Roman"/>
          <w:szCs w:val="24"/>
          <w:shd w:val="clear" w:color="auto" w:fill="FFFFFF"/>
        </w:rPr>
        <w:t xml:space="preserve"> [online]. 2018, </w:t>
      </w:r>
      <w:r w:rsidRPr="00587298">
        <w:rPr>
          <w:rFonts w:cs="Times New Roman"/>
          <w:szCs w:val="24"/>
        </w:rPr>
        <w:t>22</w:t>
      </w:r>
      <w:r w:rsidRPr="00587298">
        <w:rPr>
          <w:rFonts w:cs="Times New Roman"/>
          <w:szCs w:val="24"/>
          <w:shd w:val="clear" w:color="auto" w:fill="FFFFFF"/>
        </w:rPr>
        <w:t>(1), 53-61 [cit. 2020-06-29]. DOI: 10.1188/18.CJON.53-61. ISSN 1538067X.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C3BF5">
        <w:rPr>
          <w:rFonts w:cs="Times New Roman"/>
          <w:szCs w:val="24"/>
          <w:shd w:val="clear" w:color="auto" w:fill="FFFFFF"/>
        </w:rPr>
        <w:t>YLITALO, K</w:t>
      </w:r>
      <w:r w:rsidR="00966C46" w:rsidRPr="00CC3BF5">
        <w:rPr>
          <w:rFonts w:cs="Times New Roman"/>
          <w:szCs w:val="24"/>
          <w:shd w:val="clear" w:color="auto" w:fill="FFFFFF"/>
        </w:rPr>
        <w:t>elly</w:t>
      </w:r>
      <w:r w:rsidRPr="00CC3BF5">
        <w:rPr>
          <w:rFonts w:cs="Times New Roman"/>
          <w:szCs w:val="24"/>
          <w:shd w:val="clear" w:color="auto" w:fill="FFFFFF"/>
        </w:rPr>
        <w:t>, R</w:t>
      </w:r>
      <w:r w:rsidR="00966C46" w:rsidRPr="00CC3BF5">
        <w:rPr>
          <w:rFonts w:cs="Times New Roman"/>
          <w:szCs w:val="24"/>
          <w:shd w:val="clear" w:color="auto" w:fill="FFFFFF"/>
        </w:rPr>
        <w:t>eneé</w:t>
      </w:r>
      <w:r w:rsidRPr="00CC3BF5">
        <w:rPr>
          <w:rFonts w:cs="Times New Roman"/>
          <w:szCs w:val="24"/>
          <w:shd w:val="clear" w:color="auto" w:fill="FFFFFF"/>
        </w:rPr>
        <w:t xml:space="preserve"> MEYER, B</w:t>
      </w:r>
      <w:r w:rsidR="00966C46" w:rsidRPr="00CC3BF5">
        <w:rPr>
          <w:rFonts w:cs="Times New Roman"/>
          <w:szCs w:val="24"/>
          <w:shd w:val="clear" w:color="auto" w:fill="FFFFFF"/>
        </w:rPr>
        <w:t>eth</w:t>
      </w:r>
      <w:r w:rsidRPr="00CC3BF5">
        <w:rPr>
          <w:rFonts w:cs="Times New Roman"/>
          <w:szCs w:val="24"/>
          <w:shd w:val="clear" w:color="auto" w:fill="FFFFFF"/>
        </w:rPr>
        <w:t xml:space="preserve"> LANNING, C</w:t>
      </w:r>
      <w:r w:rsidR="00966C46" w:rsidRPr="00CC3BF5">
        <w:rPr>
          <w:rFonts w:cs="Times New Roman"/>
          <w:szCs w:val="24"/>
          <w:shd w:val="clear" w:color="auto" w:fill="FFFFFF"/>
        </w:rPr>
        <w:t>hristina</w:t>
      </w:r>
      <w:r w:rsidRPr="00CC3BF5">
        <w:rPr>
          <w:rFonts w:cs="Times New Roman"/>
          <w:szCs w:val="24"/>
          <w:shd w:val="clear" w:color="auto" w:fill="FFFFFF"/>
        </w:rPr>
        <w:t xml:space="preserve"> DURING, R</w:t>
      </w:r>
      <w:r w:rsidR="00966C46" w:rsidRPr="00CC3BF5">
        <w:rPr>
          <w:rFonts w:cs="Times New Roman"/>
          <w:szCs w:val="24"/>
          <w:shd w:val="clear" w:color="auto" w:fill="FFFFFF"/>
        </w:rPr>
        <w:t>yan</w:t>
      </w:r>
      <w:r w:rsidRPr="00CC3BF5">
        <w:rPr>
          <w:rFonts w:cs="Times New Roman"/>
          <w:szCs w:val="24"/>
          <w:shd w:val="clear" w:color="auto" w:fill="FFFFFF"/>
        </w:rPr>
        <w:t xml:space="preserve"> LASCHOBER a J</w:t>
      </w:r>
      <w:r w:rsidR="00966C46" w:rsidRPr="00CC3BF5">
        <w:rPr>
          <w:rFonts w:cs="Times New Roman"/>
          <w:szCs w:val="24"/>
          <w:shd w:val="clear" w:color="auto" w:fill="FFFFFF"/>
        </w:rPr>
        <w:t>ackson</w:t>
      </w:r>
      <w:r w:rsidRPr="00CC3BF5">
        <w:rPr>
          <w:rFonts w:cs="Times New Roman"/>
          <w:szCs w:val="24"/>
          <w:shd w:val="clear" w:color="auto" w:fill="FFFFFF"/>
        </w:rPr>
        <w:t xml:space="preserve"> GRIGGS. Simple screening tools to identify limited health literacy in a low-income patient population. </w:t>
      </w:r>
      <w:bookmarkStart w:id="34" w:name="_Hlk44267410"/>
      <w:r w:rsidRPr="00CC3BF5">
        <w:rPr>
          <w:rFonts w:cs="Times New Roman"/>
          <w:i/>
          <w:iCs/>
          <w:szCs w:val="24"/>
        </w:rPr>
        <w:t>Medicine</w:t>
      </w:r>
      <w:bookmarkEnd w:id="34"/>
      <w:r w:rsidRPr="00CC3BF5">
        <w:rPr>
          <w:rFonts w:cs="Times New Roman"/>
          <w:i/>
          <w:iCs/>
          <w:szCs w:val="24"/>
        </w:rPr>
        <w:t xml:space="preserve"> (United States)</w:t>
      </w:r>
      <w:r w:rsidRPr="00CC3BF5">
        <w:rPr>
          <w:rFonts w:cs="Times New Roman"/>
          <w:szCs w:val="24"/>
          <w:shd w:val="clear" w:color="auto" w:fill="FFFFFF"/>
        </w:rPr>
        <w:t xml:space="preserve"> [online]. 2018, </w:t>
      </w:r>
      <w:r w:rsidRPr="00CC3BF5">
        <w:rPr>
          <w:rFonts w:cs="Times New Roman"/>
          <w:szCs w:val="24"/>
        </w:rPr>
        <w:t>97</w:t>
      </w:r>
      <w:r w:rsidRPr="00CC3BF5">
        <w:rPr>
          <w:rFonts w:cs="Times New Roman"/>
          <w:szCs w:val="24"/>
          <w:shd w:val="clear" w:color="auto" w:fill="FFFFFF"/>
        </w:rPr>
        <w:t>(10) [cit. 2020-05-01]. DOI: 10.1097/MD.0000000000010110. ISSN 15365964.</w:t>
      </w:r>
    </w:p>
    <w:p w:rsidR="00CC3BF5" w:rsidRDefault="00CC3BF5" w:rsidP="00CC3BF5">
      <w:pPr>
        <w:spacing w:line="360" w:lineRule="auto"/>
        <w:jc w:val="both"/>
        <w:rPr>
          <w:rFonts w:cs="Times New Roman"/>
          <w:szCs w:val="24"/>
        </w:rPr>
      </w:pPr>
    </w:p>
    <w:p w:rsidR="00E66BAC" w:rsidRPr="00CC3BF5" w:rsidRDefault="00E66BAC" w:rsidP="00CC3BF5">
      <w:pPr>
        <w:spacing w:line="360" w:lineRule="auto"/>
        <w:jc w:val="both"/>
        <w:rPr>
          <w:rFonts w:cs="Times New Roman"/>
          <w:color w:val="FF0000"/>
          <w:szCs w:val="24"/>
        </w:rPr>
      </w:pPr>
      <w:r w:rsidRPr="00CC3BF5">
        <w:rPr>
          <w:rFonts w:cs="Times New Roman"/>
          <w:szCs w:val="24"/>
        </w:rPr>
        <w:t>Zdraví 2020: národní strategie ochrany a podpory zdraví a prevence nemocí. Praha: Ministerstvo zdravotnictví České republiky ve spolupráci se Státním zdravotním ústavem, 2014. ISBN 978-80-85047-47-9</w:t>
      </w:r>
      <w:r w:rsidR="00D047FE" w:rsidRPr="00CC3BF5">
        <w:rPr>
          <w:rFonts w:cs="Times New Roman"/>
          <w:szCs w:val="24"/>
        </w:rPr>
        <w:t xml:space="preserve"> </w:t>
      </w:r>
    </w:p>
    <w:p w:rsidR="00E66BAC" w:rsidRPr="00B60180" w:rsidRDefault="00E66BAC" w:rsidP="00FF02E0">
      <w:pPr>
        <w:jc w:val="both"/>
        <w:rPr>
          <w:rFonts w:cs="Times New Roman"/>
          <w:szCs w:val="24"/>
        </w:rPr>
      </w:pPr>
    </w:p>
    <w:p w:rsidR="00E66BAC" w:rsidRPr="00B60180" w:rsidRDefault="00E66BAC" w:rsidP="00FF02E0">
      <w:pPr>
        <w:jc w:val="both"/>
        <w:rPr>
          <w:rFonts w:cs="Times New Roman"/>
          <w:szCs w:val="24"/>
        </w:rPr>
      </w:pPr>
    </w:p>
    <w:p w:rsidR="007B1C1D" w:rsidRPr="00D047FE" w:rsidRDefault="007B1C1D" w:rsidP="00FF02E0">
      <w:pPr>
        <w:spacing w:line="360" w:lineRule="auto"/>
        <w:jc w:val="both"/>
        <w:rPr>
          <w:color w:val="FF0000"/>
        </w:rPr>
      </w:pPr>
      <w:r w:rsidRPr="00D047FE">
        <w:rPr>
          <w:rFonts w:cs="Times New Roman"/>
          <w:color w:val="FF0000"/>
        </w:rPr>
        <w:br w:type="page"/>
      </w:r>
    </w:p>
    <w:p w:rsidR="0092523E" w:rsidRPr="0004404A" w:rsidRDefault="00853B12" w:rsidP="00F325E1">
      <w:pPr>
        <w:pStyle w:val="Nadpis3"/>
        <w:spacing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bookmarkStart w:id="35" w:name="_Toc44437065"/>
      <w:r w:rsidRPr="0004404A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lastRenderedPageBreak/>
        <w:t>Seznam zkratek</w:t>
      </w:r>
      <w:bookmarkEnd w:id="35"/>
    </w:p>
    <w:p w:rsidR="00B10749" w:rsidRDefault="00B10749" w:rsidP="00F325E1">
      <w:pPr>
        <w:spacing w:line="360" w:lineRule="auto"/>
        <w:jc w:val="both"/>
      </w:pPr>
      <w:r w:rsidRPr="001E297B">
        <w:rPr>
          <w:rStyle w:val="authorname"/>
        </w:rPr>
        <w:t xml:space="preserve">AAHLS </w:t>
      </w:r>
      <w:r w:rsidR="00310EE7">
        <w:rPr>
          <w:rStyle w:val="authorname"/>
        </w:rPr>
        <w:tab/>
      </w:r>
      <w:r w:rsidR="00310EE7">
        <w:rPr>
          <w:rStyle w:val="authorname"/>
        </w:rPr>
        <w:tab/>
      </w:r>
      <w:r w:rsidRPr="001E297B">
        <w:rPr>
          <w:rStyle w:val="authorname"/>
        </w:rPr>
        <w:t>The All Aspects of Health Literacy</w:t>
      </w:r>
    </w:p>
    <w:p w:rsidR="00B10749" w:rsidRDefault="00B10749" w:rsidP="00F325E1">
      <w:pPr>
        <w:spacing w:line="360" w:lineRule="auto"/>
        <w:jc w:val="both"/>
      </w:pPr>
      <w:r>
        <w:t xml:space="preserve">ALL </w:t>
      </w:r>
      <w:r w:rsidR="00310EE7">
        <w:tab/>
      </w:r>
      <w:r w:rsidR="00310EE7">
        <w:tab/>
      </w:r>
      <w:r w:rsidR="00310EE7">
        <w:tab/>
      </w:r>
      <w:r w:rsidRPr="00BC1F8B">
        <w:t>Adult Literacy and Life Skills Survey</w:t>
      </w:r>
    </w:p>
    <w:p w:rsidR="00310EE7" w:rsidRDefault="00310EE7" w:rsidP="00F325E1">
      <w:pPr>
        <w:spacing w:line="360" w:lineRule="auto"/>
        <w:jc w:val="both"/>
      </w:pPr>
      <w:r w:rsidRPr="001E297B">
        <w:rPr>
          <w:rStyle w:val="authorname"/>
        </w:rPr>
        <w:t xml:space="preserve">CHC-Test </w:t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 xml:space="preserve">The test tomeasure critical health competencies </w:t>
      </w:r>
    </w:p>
    <w:p w:rsidR="003D3A00" w:rsidRDefault="003D3A00" w:rsidP="00F325E1">
      <w:pPr>
        <w:spacing w:line="360" w:lineRule="auto"/>
        <w:jc w:val="both"/>
        <w:rPr>
          <w:rStyle w:val="authorname"/>
        </w:rPr>
      </w:pPr>
      <w:r>
        <w:rPr>
          <w:rStyle w:val="authorname"/>
        </w:rPr>
        <w:t>CHOPN</w:t>
      </w:r>
      <w:r>
        <w:rPr>
          <w:rStyle w:val="authorname"/>
        </w:rPr>
        <w:tab/>
      </w:r>
      <w:r>
        <w:rPr>
          <w:rStyle w:val="authorname"/>
        </w:rPr>
        <w:tab/>
        <w:t>Chronická obstrukční plicní nemoc</w:t>
      </w:r>
    </w:p>
    <w:p w:rsidR="00310EE7" w:rsidRPr="00310EE7" w:rsidRDefault="00310EE7" w:rsidP="00F325E1">
      <w:pPr>
        <w:spacing w:line="360" w:lineRule="auto"/>
        <w:jc w:val="both"/>
      </w:pPr>
      <w:r w:rsidRPr="001E297B">
        <w:rPr>
          <w:rStyle w:val="authorname"/>
        </w:rPr>
        <w:t xml:space="preserve">HELMS </w:t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>The Health Literacy Management Scale</w:t>
      </w:r>
    </w:p>
    <w:p w:rsidR="00B10749" w:rsidRPr="00B10749" w:rsidRDefault="00B10749" w:rsidP="00F325E1">
      <w:pPr>
        <w:spacing w:line="360" w:lineRule="auto"/>
        <w:jc w:val="both"/>
      </w:pPr>
      <w:r w:rsidRPr="006B467E">
        <w:t>HLQ</w:t>
      </w:r>
      <w:r w:rsidR="00310EE7" w:rsidRPr="00310EE7">
        <w:t xml:space="preserve"> </w:t>
      </w:r>
      <w:r w:rsidR="00310EE7">
        <w:tab/>
      </w:r>
      <w:r w:rsidR="00310EE7">
        <w:tab/>
      </w:r>
      <w:r w:rsidR="00310EE7">
        <w:tab/>
      </w:r>
      <w:r w:rsidR="00310EE7" w:rsidRPr="006B467E">
        <w:t>Health Literacy Questionnaire</w:t>
      </w:r>
    </w:p>
    <w:p w:rsidR="00B10749" w:rsidRDefault="00310EE7" w:rsidP="00F325E1">
      <w:pPr>
        <w:spacing w:line="360" w:lineRule="auto"/>
        <w:jc w:val="both"/>
      </w:pPr>
      <w:r w:rsidRPr="00301A05">
        <w:t>HL-KES</w:t>
      </w:r>
      <w:r w:rsidRPr="00310EE7">
        <w:t xml:space="preserve"> </w:t>
      </w:r>
      <w:r>
        <w:tab/>
      </w:r>
      <w:r>
        <w:tab/>
      </w:r>
      <w:r w:rsidRPr="00301A05">
        <w:t>Health Literacy Knowledge Experience Survey</w:t>
      </w:r>
    </w:p>
    <w:p w:rsidR="00310EE7" w:rsidRPr="00310EE7" w:rsidRDefault="00310EE7" w:rsidP="00F325E1">
      <w:pPr>
        <w:spacing w:line="360" w:lineRule="auto"/>
        <w:jc w:val="both"/>
      </w:pPr>
      <w:r w:rsidRPr="0031039B">
        <w:rPr>
          <w:rStyle w:val="authorname"/>
        </w:rPr>
        <w:t>HLS-EU</w:t>
      </w:r>
      <w:r w:rsidRPr="001E297B">
        <w:rPr>
          <w:rStyle w:val="authorname"/>
        </w:rPr>
        <w:t xml:space="preserve"> </w:t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>The European</w:t>
      </w:r>
      <w:r>
        <w:rPr>
          <w:rStyle w:val="authorname"/>
        </w:rPr>
        <w:t xml:space="preserve"> </w:t>
      </w:r>
      <w:r w:rsidRPr="001E297B">
        <w:rPr>
          <w:rStyle w:val="authorname"/>
        </w:rPr>
        <w:t>Health Literacy Survey</w:t>
      </w:r>
    </w:p>
    <w:p w:rsidR="00310EE7" w:rsidRDefault="00310EE7" w:rsidP="00F325E1">
      <w:pPr>
        <w:spacing w:line="360" w:lineRule="auto"/>
        <w:jc w:val="both"/>
      </w:pPr>
      <w:r w:rsidRPr="001E297B">
        <w:rPr>
          <w:rStyle w:val="authorname"/>
        </w:rPr>
        <w:t>HLSI</w:t>
      </w:r>
      <w:r>
        <w:rPr>
          <w:rStyle w:val="authorname"/>
        </w:rPr>
        <w:tab/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 xml:space="preserve">The Health Literacy Skills </w:t>
      </w:r>
      <w:r w:rsidRPr="0031039B">
        <w:rPr>
          <w:rStyle w:val="authorname"/>
        </w:rPr>
        <w:t>instrument</w:t>
      </w:r>
      <w:r w:rsidRPr="001E297B">
        <w:rPr>
          <w:rStyle w:val="authorname"/>
        </w:rPr>
        <w:t xml:space="preserve"> </w:t>
      </w:r>
    </w:p>
    <w:p w:rsidR="00310EE7" w:rsidRDefault="00310EE7" w:rsidP="00F325E1">
      <w:pPr>
        <w:spacing w:line="360" w:lineRule="auto"/>
        <w:jc w:val="both"/>
      </w:pPr>
      <w:r w:rsidRPr="001E297B">
        <w:rPr>
          <w:rStyle w:val="authorname"/>
        </w:rPr>
        <w:t xml:space="preserve">MAHL </w:t>
      </w:r>
      <w:r>
        <w:rPr>
          <w:rStyle w:val="authorname"/>
        </w:rPr>
        <w:tab/>
      </w:r>
      <w:r>
        <w:rPr>
          <w:rStyle w:val="authorname"/>
        </w:rPr>
        <w:tab/>
        <w:t>M</w:t>
      </w:r>
      <w:r w:rsidRPr="001E297B">
        <w:rPr>
          <w:rStyle w:val="authorname"/>
        </w:rPr>
        <w:t>easure critical health competencies Health Literacy</w:t>
      </w:r>
    </w:p>
    <w:p w:rsidR="00310EE7" w:rsidRDefault="00310EE7" w:rsidP="00F325E1">
      <w:pPr>
        <w:spacing w:line="360" w:lineRule="auto"/>
        <w:jc w:val="both"/>
      </w:pPr>
      <w:r w:rsidRPr="001E297B">
        <w:rPr>
          <w:rStyle w:val="authorname"/>
        </w:rPr>
        <w:t>METER</w:t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 xml:space="preserve">The Medical Recognition Test </w:t>
      </w:r>
    </w:p>
    <w:p w:rsidR="00310EE7" w:rsidRDefault="00310EE7" w:rsidP="00F325E1">
      <w:pPr>
        <w:spacing w:line="360" w:lineRule="auto"/>
        <w:jc w:val="both"/>
        <w:rPr>
          <w:rStyle w:val="authorname"/>
        </w:rPr>
      </w:pPr>
      <w:r w:rsidRPr="001E297B">
        <w:rPr>
          <w:rStyle w:val="authorname"/>
        </w:rPr>
        <w:t xml:space="preserve">MHLS </w:t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 xml:space="preserve">Literacy Scale developed in Taiwan </w:t>
      </w:r>
    </w:p>
    <w:p w:rsidR="00310EE7" w:rsidRPr="00310EE7" w:rsidRDefault="00310EE7" w:rsidP="00F325E1">
      <w:pPr>
        <w:spacing w:line="360" w:lineRule="auto"/>
        <w:jc w:val="both"/>
      </w:pPr>
      <w:r w:rsidRPr="00143D3E">
        <w:t>NVS</w:t>
      </w:r>
      <w:r>
        <w:tab/>
      </w:r>
      <w:r>
        <w:tab/>
      </w:r>
      <w:r>
        <w:tab/>
      </w:r>
      <w:r w:rsidRPr="00143D3E">
        <w:t>Newest vital sing</w:t>
      </w:r>
    </w:p>
    <w:p w:rsidR="00310EE7" w:rsidRPr="00B10749" w:rsidRDefault="00310EE7" w:rsidP="00F325E1">
      <w:pPr>
        <w:spacing w:line="360" w:lineRule="auto"/>
        <w:jc w:val="both"/>
      </w:pPr>
      <w:r>
        <w:t>NVS-IT</w:t>
      </w:r>
      <w:r w:rsidRPr="00310EE7">
        <w:t xml:space="preserve"> </w:t>
      </w:r>
      <w:r>
        <w:tab/>
      </w:r>
      <w:r>
        <w:tab/>
      </w:r>
      <w:r w:rsidRPr="00876E91">
        <w:t>Newest Vital Sign-Italian</w:t>
      </w:r>
    </w:p>
    <w:p w:rsidR="00B10749" w:rsidRDefault="00310EE7" w:rsidP="00F325E1">
      <w:pPr>
        <w:spacing w:line="360" w:lineRule="auto"/>
        <w:jc w:val="both"/>
        <w:rPr>
          <w:lang w:eastAsia="cs-CZ"/>
        </w:rPr>
      </w:pPr>
      <w:r w:rsidRPr="005127CF">
        <w:rPr>
          <w:lang w:eastAsia="cs-CZ"/>
        </w:rPr>
        <w:t>REALM</w:t>
      </w:r>
      <w:r>
        <w:rPr>
          <w:lang w:eastAsia="cs-CZ"/>
        </w:rPr>
        <w:tab/>
      </w:r>
      <w:r>
        <w:rPr>
          <w:lang w:eastAsia="cs-CZ"/>
        </w:rPr>
        <w:tab/>
      </w:r>
      <w:r w:rsidRPr="00BC7C2E">
        <w:rPr>
          <w:lang w:eastAsia="cs-CZ"/>
        </w:rPr>
        <w:t xml:space="preserve">Rapid Estimate of Adult Literacy in Medicine </w:t>
      </w:r>
      <w:r w:rsidRPr="005127CF">
        <w:rPr>
          <w:lang w:eastAsia="cs-CZ"/>
        </w:rPr>
        <w:t xml:space="preserve"> </w:t>
      </w:r>
    </w:p>
    <w:p w:rsidR="00310EE7" w:rsidRDefault="00310EE7" w:rsidP="00F325E1">
      <w:pPr>
        <w:spacing w:line="360" w:lineRule="auto"/>
        <w:jc w:val="both"/>
      </w:pPr>
      <w:r w:rsidRPr="001E297B">
        <w:rPr>
          <w:rStyle w:val="authorname"/>
        </w:rPr>
        <w:t xml:space="preserve">SAHL-S&amp;E </w:t>
      </w:r>
      <w:r>
        <w:rPr>
          <w:rStyle w:val="authorname"/>
        </w:rPr>
        <w:tab/>
      </w:r>
      <w:r>
        <w:rPr>
          <w:rStyle w:val="authorname"/>
        </w:rPr>
        <w:tab/>
      </w:r>
      <w:r w:rsidRPr="001E297B">
        <w:rPr>
          <w:rStyle w:val="authorname"/>
        </w:rPr>
        <w:t>Health Literacy in Spanish and English populations</w:t>
      </w:r>
      <w:r>
        <w:rPr>
          <w:rStyle w:val="authorname"/>
        </w:rPr>
        <w:t xml:space="preserve"> </w:t>
      </w:r>
    </w:p>
    <w:p w:rsidR="00310EE7" w:rsidRPr="00310EE7" w:rsidRDefault="00310EE7" w:rsidP="00F325E1">
      <w:pPr>
        <w:spacing w:line="360" w:lineRule="auto"/>
        <w:jc w:val="both"/>
        <w:rPr>
          <w:lang w:eastAsia="cs-CZ"/>
        </w:rPr>
      </w:pPr>
      <w:r w:rsidRPr="005127CF">
        <w:rPr>
          <w:lang w:eastAsia="cs-CZ"/>
        </w:rPr>
        <w:t>TOFHLA</w:t>
      </w:r>
      <w:r>
        <w:rPr>
          <w:lang w:eastAsia="cs-CZ"/>
        </w:rPr>
        <w:tab/>
      </w:r>
      <w:r>
        <w:rPr>
          <w:lang w:eastAsia="cs-CZ"/>
        </w:rPr>
        <w:tab/>
      </w:r>
      <w:r w:rsidRPr="00BC7C2E">
        <w:rPr>
          <w:lang w:eastAsia="cs-CZ"/>
        </w:rPr>
        <w:t>Test of Functional Health Literacy</w:t>
      </w:r>
    </w:p>
    <w:p w:rsidR="00B10749" w:rsidRDefault="00B10749" w:rsidP="00F325E1">
      <w:pPr>
        <w:spacing w:line="360" w:lineRule="auto"/>
        <w:jc w:val="both"/>
      </w:pPr>
      <w:r>
        <w:t>USA</w:t>
      </w:r>
      <w:r w:rsidR="00310EE7">
        <w:t xml:space="preserve"> </w:t>
      </w:r>
      <w:r w:rsidR="00310EE7">
        <w:tab/>
      </w:r>
      <w:r w:rsidR="00310EE7">
        <w:tab/>
      </w:r>
      <w:r w:rsidR="00310EE7">
        <w:tab/>
        <w:t>United States of America</w:t>
      </w:r>
    </w:p>
    <w:bookmarkEnd w:id="7"/>
    <w:p w:rsidR="00310EE7" w:rsidRDefault="00310EE7" w:rsidP="00F325E1">
      <w:pPr>
        <w:spacing w:line="360" w:lineRule="auto"/>
        <w:jc w:val="both"/>
      </w:pPr>
      <w:r>
        <w:t xml:space="preserve">WHO </w:t>
      </w:r>
      <w:r>
        <w:tab/>
      </w:r>
      <w:r>
        <w:tab/>
      </w:r>
      <w:r>
        <w:tab/>
        <w:t>World Health Organization</w:t>
      </w:r>
    </w:p>
    <w:p w:rsidR="00B0698F" w:rsidRPr="00B0698F" w:rsidRDefault="00310EE7" w:rsidP="00F325E1">
      <w:pPr>
        <w:spacing w:line="360" w:lineRule="auto"/>
        <w:jc w:val="both"/>
      </w:pPr>
      <w:r>
        <w:t xml:space="preserve">ZG </w:t>
      </w:r>
      <w:r>
        <w:tab/>
      </w:r>
      <w:r>
        <w:tab/>
      </w:r>
      <w:r>
        <w:tab/>
        <w:t>Zdravotní gramotnosti</w:t>
      </w:r>
    </w:p>
    <w:sectPr w:rsidR="00B0698F" w:rsidRPr="00B0698F" w:rsidSect="00C800E7">
      <w:footerReference w:type="default" r:id="rId14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97" w:rsidRDefault="00FB2F97" w:rsidP="00190A4C">
      <w:pPr>
        <w:spacing w:line="240" w:lineRule="auto"/>
      </w:pPr>
      <w:r>
        <w:separator/>
      </w:r>
    </w:p>
  </w:endnote>
  <w:endnote w:type="continuationSeparator" w:id="0">
    <w:p w:rsidR="00FB2F97" w:rsidRDefault="00FB2F97" w:rsidP="0019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4F" w:rsidRDefault="0038374F">
    <w:pPr>
      <w:pStyle w:val="Zpat"/>
      <w:jc w:val="center"/>
    </w:pPr>
  </w:p>
  <w:p w:rsidR="0038374F" w:rsidRDefault="0038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31802"/>
      <w:docPartObj>
        <w:docPartGallery w:val="Page Numbers (Bottom of Page)"/>
        <w:docPartUnique/>
      </w:docPartObj>
    </w:sdtPr>
    <w:sdtContent>
      <w:p w:rsidR="0038374F" w:rsidRDefault="003837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38374F" w:rsidRDefault="0038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97" w:rsidRDefault="00FB2F97" w:rsidP="00190A4C">
      <w:pPr>
        <w:spacing w:line="240" w:lineRule="auto"/>
      </w:pPr>
      <w:r>
        <w:separator/>
      </w:r>
    </w:p>
  </w:footnote>
  <w:footnote w:type="continuationSeparator" w:id="0">
    <w:p w:rsidR="00FB2F97" w:rsidRDefault="00FB2F97" w:rsidP="00190A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30F"/>
    <w:multiLevelType w:val="hybridMultilevel"/>
    <w:tmpl w:val="B58A06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67833"/>
    <w:multiLevelType w:val="hybridMultilevel"/>
    <w:tmpl w:val="8C12F736"/>
    <w:lvl w:ilvl="0" w:tplc="29620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957"/>
    <w:multiLevelType w:val="hybridMultilevel"/>
    <w:tmpl w:val="A4FE4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553D"/>
    <w:multiLevelType w:val="hybridMultilevel"/>
    <w:tmpl w:val="5DF032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566717"/>
    <w:multiLevelType w:val="hybridMultilevel"/>
    <w:tmpl w:val="42FAC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B454F"/>
    <w:multiLevelType w:val="hybridMultilevel"/>
    <w:tmpl w:val="B7C2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331"/>
    <w:multiLevelType w:val="hybridMultilevel"/>
    <w:tmpl w:val="61080E5E"/>
    <w:lvl w:ilvl="0" w:tplc="9692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560"/>
    <w:multiLevelType w:val="hybridMultilevel"/>
    <w:tmpl w:val="22F43F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626D0"/>
    <w:multiLevelType w:val="hybridMultilevel"/>
    <w:tmpl w:val="D71A7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3532"/>
    <w:multiLevelType w:val="hybridMultilevel"/>
    <w:tmpl w:val="91BC7ACE"/>
    <w:lvl w:ilvl="0" w:tplc="6E1CB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95F6A"/>
    <w:multiLevelType w:val="hybridMultilevel"/>
    <w:tmpl w:val="7758D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46E4E"/>
    <w:multiLevelType w:val="hybridMultilevel"/>
    <w:tmpl w:val="780032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15843"/>
    <w:multiLevelType w:val="multilevel"/>
    <w:tmpl w:val="1D44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30A15C6"/>
    <w:multiLevelType w:val="hybridMultilevel"/>
    <w:tmpl w:val="50681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C14E0"/>
    <w:multiLevelType w:val="hybridMultilevel"/>
    <w:tmpl w:val="98D21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F4486"/>
    <w:multiLevelType w:val="hybridMultilevel"/>
    <w:tmpl w:val="F3D00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270"/>
    <w:multiLevelType w:val="hybridMultilevel"/>
    <w:tmpl w:val="552CCB9C"/>
    <w:lvl w:ilvl="0" w:tplc="BB4CE1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33C6"/>
    <w:multiLevelType w:val="hybridMultilevel"/>
    <w:tmpl w:val="2B084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917AE"/>
    <w:multiLevelType w:val="hybridMultilevel"/>
    <w:tmpl w:val="1AFA3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B233C"/>
    <w:multiLevelType w:val="hybridMultilevel"/>
    <w:tmpl w:val="99167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B63024"/>
    <w:multiLevelType w:val="hybridMultilevel"/>
    <w:tmpl w:val="F094F8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6"/>
  </w:num>
  <w:num w:numId="5">
    <w:abstractNumId w:val="20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19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0"/>
  </w:num>
  <w:num w:numId="18">
    <w:abstractNumId w:val="3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8C"/>
    <w:rsid w:val="000029A2"/>
    <w:rsid w:val="00010D05"/>
    <w:rsid w:val="00015D72"/>
    <w:rsid w:val="00017935"/>
    <w:rsid w:val="00022EDF"/>
    <w:rsid w:val="000332B6"/>
    <w:rsid w:val="0004404A"/>
    <w:rsid w:val="00046A8C"/>
    <w:rsid w:val="000547A1"/>
    <w:rsid w:val="00074A48"/>
    <w:rsid w:val="000758E5"/>
    <w:rsid w:val="0009794F"/>
    <w:rsid w:val="000A2090"/>
    <w:rsid w:val="000A5807"/>
    <w:rsid w:val="000B5EF1"/>
    <w:rsid w:val="000B6581"/>
    <w:rsid w:val="000C1AD9"/>
    <w:rsid w:val="000C6333"/>
    <w:rsid w:val="000D0156"/>
    <w:rsid w:val="00106E52"/>
    <w:rsid w:val="00111B5A"/>
    <w:rsid w:val="00112618"/>
    <w:rsid w:val="00113669"/>
    <w:rsid w:val="0012183D"/>
    <w:rsid w:val="0013085D"/>
    <w:rsid w:val="0015600F"/>
    <w:rsid w:val="00156CBE"/>
    <w:rsid w:val="001637EE"/>
    <w:rsid w:val="0017021F"/>
    <w:rsid w:val="00177B21"/>
    <w:rsid w:val="0018086C"/>
    <w:rsid w:val="00184F1D"/>
    <w:rsid w:val="001907C7"/>
    <w:rsid w:val="00190A4C"/>
    <w:rsid w:val="0019636E"/>
    <w:rsid w:val="001A663D"/>
    <w:rsid w:val="001C03DF"/>
    <w:rsid w:val="001C0A63"/>
    <w:rsid w:val="001C74DE"/>
    <w:rsid w:val="001C7C21"/>
    <w:rsid w:val="001D5E3C"/>
    <w:rsid w:val="001E1846"/>
    <w:rsid w:val="001F6448"/>
    <w:rsid w:val="002054C6"/>
    <w:rsid w:val="002057AE"/>
    <w:rsid w:val="0021178B"/>
    <w:rsid w:val="00221B6D"/>
    <w:rsid w:val="00222AA8"/>
    <w:rsid w:val="00224755"/>
    <w:rsid w:val="002247B4"/>
    <w:rsid w:val="0022725B"/>
    <w:rsid w:val="002305ED"/>
    <w:rsid w:val="00233A26"/>
    <w:rsid w:val="002369AF"/>
    <w:rsid w:val="00237B24"/>
    <w:rsid w:val="00254577"/>
    <w:rsid w:val="00260E06"/>
    <w:rsid w:val="002642DE"/>
    <w:rsid w:val="002740D1"/>
    <w:rsid w:val="002937CB"/>
    <w:rsid w:val="002A4F97"/>
    <w:rsid w:val="002A51BD"/>
    <w:rsid w:val="002B56C6"/>
    <w:rsid w:val="002B7E81"/>
    <w:rsid w:val="002C3F39"/>
    <w:rsid w:val="002D25D4"/>
    <w:rsid w:val="002D4F71"/>
    <w:rsid w:val="002D7070"/>
    <w:rsid w:val="002E29E3"/>
    <w:rsid w:val="002E54DC"/>
    <w:rsid w:val="002F3CD7"/>
    <w:rsid w:val="0031039B"/>
    <w:rsid w:val="00310EE7"/>
    <w:rsid w:val="00317972"/>
    <w:rsid w:val="003203B5"/>
    <w:rsid w:val="00330E2E"/>
    <w:rsid w:val="0033476F"/>
    <w:rsid w:val="00334A62"/>
    <w:rsid w:val="0033581F"/>
    <w:rsid w:val="00337CB6"/>
    <w:rsid w:val="003423DF"/>
    <w:rsid w:val="003575AD"/>
    <w:rsid w:val="00360AEE"/>
    <w:rsid w:val="00361A27"/>
    <w:rsid w:val="00365FF9"/>
    <w:rsid w:val="00371080"/>
    <w:rsid w:val="00371E69"/>
    <w:rsid w:val="0038374F"/>
    <w:rsid w:val="00383FF4"/>
    <w:rsid w:val="00390C25"/>
    <w:rsid w:val="00391EDE"/>
    <w:rsid w:val="00392DAE"/>
    <w:rsid w:val="003A06BD"/>
    <w:rsid w:val="003B3422"/>
    <w:rsid w:val="003B4E38"/>
    <w:rsid w:val="003B7082"/>
    <w:rsid w:val="003D1309"/>
    <w:rsid w:val="003D3A00"/>
    <w:rsid w:val="003D3D89"/>
    <w:rsid w:val="003D5E88"/>
    <w:rsid w:val="003E5251"/>
    <w:rsid w:val="003F218C"/>
    <w:rsid w:val="003F5051"/>
    <w:rsid w:val="004010C8"/>
    <w:rsid w:val="00401EB0"/>
    <w:rsid w:val="00403A09"/>
    <w:rsid w:val="00406C8B"/>
    <w:rsid w:val="00417772"/>
    <w:rsid w:val="004210AC"/>
    <w:rsid w:val="0043078B"/>
    <w:rsid w:val="00435319"/>
    <w:rsid w:val="00436451"/>
    <w:rsid w:val="00440135"/>
    <w:rsid w:val="00443270"/>
    <w:rsid w:val="00457047"/>
    <w:rsid w:val="00460522"/>
    <w:rsid w:val="004859FC"/>
    <w:rsid w:val="00494174"/>
    <w:rsid w:val="00496D3E"/>
    <w:rsid w:val="004A15F9"/>
    <w:rsid w:val="004A7B68"/>
    <w:rsid w:val="004B0E0D"/>
    <w:rsid w:val="004B53FF"/>
    <w:rsid w:val="004D1AED"/>
    <w:rsid w:val="004E2092"/>
    <w:rsid w:val="004E5BF5"/>
    <w:rsid w:val="004F2CBA"/>
    <w:rsid w:val="00511722"/>
    <w:rsid w:val="00520A4F"/>
    <w:rsid w:val="005266F4"/>
    <w:rsid w:val="005316CD"/>
    <w:rsid w:val="00534314"/>
    <w:rsid w:val="00534911"/>
    <w:rsid w:val="00552F88"/>
    <w:rsid w:val="00554AC7"/>
    <w:rsid w:val="00580B23"/>
    <w:rsid w:val="00580C51"/>
    <w:rsid w:val="0058286D"/>
    <w:rsid w:val="00583976"/>
    <w:rsid w:val="00587298"/>
    <w:rsid w:val="00591277"/>
    <w:rsid w:val="005A259C"/>
    <w:rsid w:val="005D3FDC"/>
    <w:rsid w:val="005D79D6"/>
    <w:rsid w:val="005D7A29"/>
    <w:rsid w:val="005D7B9B"/>
    <w:rsid w:val="005E3F0A"/>
    <w:rsid w:val="005E730E"/>
    <w:rsid w:val="005F08BC"/>
    <w:rsid w:val="005F6079"/>
    <w:rsid w:val="00601588"/>
    <w:rsid w:val="00603934"/>
    <w:rsid w:val="006205ED"/>
    <w:rsid w:val="00636889"/>
    <w:rsid w:val="00655E82"/>
    <w:rsid w:val="006658ED"/>
    <w:rsid w:val="00667DAA"/>
    <w:rsid w:val="0067608C"/>
    <w:rsid w:val="00676EBD"/>
    <w:rsid w:val="00686F9E"/>
    <w:rsid w:val="00693692"/>
    <w:rsid w:val="00695535"/>
    <w:rsid w:val="006A111A"/>
    <w:rsid w:val="006C4287"/>
    <w:rsid w:val="006D61CD"/>
    <w:rsid w:val="006D715F"/>
    <w:rsid w:val="006D7BB9"/>
    <w:rsid w:val="006F1E1E"/>
    <w:rsid w:val="00702001"/>
    <w:rsid w:val="00706C94"/>
    <w:rsid w:val="007143BC"/>
    <w:rsid w:val="00715083"/>
    <w:rsid w:val="00720257"/>
    <w:rsid w:val="00722EC8"/>
    <w:rsid w:val="00724BEB"/>
    <w:rsid w:val="00733B80"/>
    <w:rsid w:val="007373FE"/>
    <w:rsid w:val="00755013"/>
    <w:rsid w:val="00760163"/>
    <w:rsid w:val="00766BCB"/>
    <w:rsid w:val="007706F5"/>
    <w:rsid w:val="00774341"/>
    <w:rsid w:val="007830B2"/>
    <w:rsid w:val="00787D73"/>
    <w:rsid w:val="00791B72"/>
    <w:rsid w:val="007A5616"/>
    <w:rsid w:val="007B1C1D"/>
    <w:rsid w:val="007D500A"/>
    <w:rsid w:val="007E20F3"/>
    <w:rsid w:val="007E4F15"/>
    <w:rsid w:val="007F66E2"/>
    <w:rsid w:val="0080381C"/>
    <w:rsid w:val="00803B86"/>
    <w:rsid w:val="00811410"/>
    <w:rsid w:val="008130D8"/>
    <w:rsid w:val="0082026D"/>
    <w:rsid w:val="00824ED7"/>
    <w:rsid w:val="008253F6"/>
    <w:rsid w:val="00826B02"/>
    <w:rsid w:val="008318B8"/>
    <w:rsid w:val="008402F7"/>
    <w:rsid w:val="00843867"/>
    <w:rsid w:val="00853B12"/>
    <w:rsid w:val="00854834"/>
    <w:rsid w:val="00855F80"/>
    <w:rsid w:val="00861336"/>
    <w:rsid w:val="0086578D"/>
    <w:rsid w:val="00870E8A"/>
    <w:rsid w:val="00892319"/>
    <w:rsid w:val="008A3023"/>
    <w:rsid w:val="008A7A62"/>
    <w:rsid w:val="008C1B8F"/>
    <w:rsid w:val="008D2D39"/>
    <w:rsid w:val="008D6B57"/>
    <w:rsid w:val="008D7DB1"/>
    <w:rsid w:val="008E38D9"/>
    <w:rsid w:val="008E44BD"/>
    <w:rsid w:val="008E545E"/>
    <w:rsid w:val="008E5D7A"/>
    <w:rsid w:val="008F03BA"/>
    <w:rsid w:val="008F321C"/>
    <w:rsid w:val="00904986"/>
    <w:rsid w:val="00921750"/>
    <w:rsid w:val="00921CAE"/>
    <w:rsid w:val="0092523E"/>
    <w:rsid w:val="009349DB"/>
    <w:rsid w:val="00937952"/>
    <w:rsid w:val="00937C89"/>
    <w:rsid w:val="00955E31"/>
    <w:rsid w:val="00960D0B"/>
    <w:rsid w:val="00966C46"/>
    <w:rsid w:val="00972F2A"/>
    <w:rsid w:val="00974EC1"/>
    <w:rsid w:val="00975F50"/>
    <w:rsid w:val="0098180E"/>
    <w:rsid w:val="00987106"/>
    <w:rsid w:val="009A3F4E"/>
    <w:rsid w:val="009B32BC"/>
    <w:rsid w:val="009B6E36"/>
    <w:rsid w:val="009C12D4"/>
    <w:rsid w:val="009C6DDA"/>
    <w:rsid w:val="009C7DF0"/>
    <w:rsid w:val="009D0520"/>
    <w:rsid w:val="009E03BD"/>
    <w:rsid w:val="009E5F43"/>
    <w:rsid w:val="009E6F5A"/>
    <w:rsid w:val="009F3056"/>
    <w:rsid w:val="009F41AC"/>
    <w:rsid w:val="009F68D2"/>
    <w:rsid w:val="00A11BA1"/>
    <w:rsid w:val="00A11EFC"/>
    <w:rsid w:val="00A16EB3"/>
    <w:rsid w:val="00A16F0B"/>
    <w:rsid w:val="00A22714"/>
    <w:rsid w:val="00A25CBC"/>
    <w:rsid w:val="00A407BF"/>
    <w:rsid w:val="00A65F2E"/>
    <w:rsid w:val="00A67520"/>
    <w:rsid w:val="00A81754"/>
    <w:rsid w:val="00A81E2A"/>
    <w:rsid w:val="00A86E0A"/>
    <w:rsid w:val="00A93D19"/>
    <w:rsid w:val="00AB6BC1"/>
    <w:rsid w:val="00AD5C46"/>
    <w:rsid w:val="00B0698F"/>
    <w:rsid w:val="00B10749"/>
    <w:rsid w:val="00B1199E"/>
    <w:rsid w:val="00B16A4F"/>
    <w:rsid w:val="00B259B7"/>
    <w:rsid w:val="00B32B34"/>
    <w:rsid w:val="00B34794"/>
    <w:rsid w:val="00B518C1"/>
    <w:rsid w:val="00B56001"/>
    <w:rsid w:val="00B57C6C"/>
    <w:rsid w:val="00B60180"/>
    <w:rsid w:val="00B84B6E"/>
    <w:rsid w:val="00B85689"/>
    <w:rsid w:val="00BA4521"/>
    <w:rsid w:val="00BC6D1C"/>
    <w:rsid w:val="00BD51F2"/>
    <w:rsid w:val="00BE26E4"/>
    <w:rsid w:val="00BE6E2B"/>
    <w:rsid w:val="00C113E4"/>
    <w:rsid w:val="00C175EC"/>
    <w:rsid w:val="00C27EC0"/>
    <w:rsid w:val="00C5278C"/>
    <w:rsid w:val="00C604A1"/>
    <w:rsid w:val="00C800E7"/>
    <w:rsid w:val="00C9032A"/>
    <w:rsid w:val="00CA2046"/>
    <w:rsid w:val="00CC3BF5"/>
    <w:rsid w:val="00CE2C4B"/>
    <w:rsid w:val="00D02717"/>
    <w:rsid w:val="00D047FE"/>
    <w:rsid w:val="00D12AB8"/>
    <w:rsid w:val="00D23FE8"/>
    <w:rsid w:val="00D30FE2"/>
    <w:rsid w:val="00D36A47"/>
    <w:rsid w:val="00D470E8"/>
    <w:rsid w:val="00D632D6"/>
    <w:rsid w:val="00D83267"/>
    <w:rsid w:val="00D909C1"/>
    <w:rsid w:val="00D97136"/>
    <w:rsid w:val="00DA61F4"/>
    <w:rsid w:val="00DA7512"/>
    <w:rsid w:val="00DB2EF3"/>
    <w:rsid w:val="00DB7ADC"/>
    <w:rsid w:val="00DC4695"/>
    <w:rsid w:val="00DC51F6"/>
    <w:rsid w:val="00DD049B"/>
    <w:rsid w:val="00DE18EF"/>
    <w:rsid w:val="00E01F94"/>
    <w:rsid w:val="00E04115"/>
    <w:rsid w:val="00E04524"/>
    <w:rsid w:val="00E04E13"/>
    <w:rsid w:val="00E11937"/>
    <w:rsid w:val="00E1370D"/>
    <w:rsid w:val="00E14241"/>
    <w:rsid w:val="00E16E3F"/>
    <w:rsid w:val="00E34CCB"/>
    <w:rsid w:val="00E4578C"/>
    <w:rsid w:val="00E46D1D"/>
    <w:rsid w:val="00E47A40"/>
    <w:rsid w:val="00E56290"/>
    <w:rsid w:val="00E56A21"/>
    <w:rsid w:val="00E56C6D"/>
    <w:rsid w:val="00E630D5"/>
    <w:rsid w:val="00E65AAF"/>
    <w:rsid w:val="00E66BAC"/>
    <w:rsid w:val="00E858D5"/>
    <w:rsid w:val="00E9491B"/>
    <w:rsid w:val="00E96B36"/>
    <w:rsid w:val="00E97EE4"/>
    <w:rsid w:val="00EA6D8B"/>
    <w:rsid w:val="00EC6A42"/>
    <w:rsid w:val="00EE3E56"/>
    <w:rsid w:val="00EF1881"/>
    <w:rsid w:val="00F325E1"/>
    <w:rsid w:val="00F40B3B"/>
    <w:rsid w:val="00F42015"/>
    <w:rsid w:val="00F455B5"/>
    <w:rsid w:val="00F4568A"/>
    <w:rsid w:val="00F53459"/>
    <w:rsid w:val="00F53687"/>
    <w:rsid w:val="00F56519"/>
    <w:rsid w:val="00F567D5"/>
    <w:rsid w:val="00F7346A"/>
    <w:rsid w:val="00F77E9B"/>
    <w:rsid w:val="00F81A91"/>
    <w:rsid w:val="00F934ED"/>
    <w:rsid w:val="00FB2F97"/>
    <w:rsid w:val="00FC3B8A"/>
    <w:rsid w:val="00FC766A"/>
    <w:rsid w:val="00FE0859"/>
    <w:rsid w:val="00FE2D5C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00690"/>
  <w15:chartTrackingRefBased/>
  <w15:docId w15:val="{0B10E30D-CBD9-4E6B-9B10-FA9A6EA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hlavní text"/>
    <w:next w:val="Bezmezer"/>
    <w:qFormat/>
    <w:rsid w:val="003F218C"/>
    <w:pPr>
      <w:spacing w:after="0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třetí úroveń"/>
    <w:basedOn w:val="Normln"/>
    <w:next w:val="Normln"/>
    <w:link w:val="Nadpis2Char"/>
    <w:uiPriority w:val="9"/>
    <w:unhideWhenUsed/>
    <w:qFormat/>
    <w:rsid w:val="003F218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rvní úroveń"/>
    <w:uiPriority w:val="1"/>
    <w:qFormat/>
    <w:rsid w:val="003F218C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Nadpis2Char">
    <w:name w:val="Nadpis 2 Char"/>
    <w:aliases w:val="třetí úroveń Char"/>
    <w:basedOn w:val="Standardnpsmoodstavce"/>
    <w:link w:val="Nadpis2"/>
    <w:uiPriority w:val="9"/>
    <w:rsid w:val="003F218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F218C"/>
    <w:pPr>
      <w:spacing w:after="40"/>
      <w:ind w:left="720"/>
      <w:contextualSpacing/>
    </w:pPr>
    <w:rPr>
      <w:color w:val="auto"/>
    </w:rPr>
  </w:style>
  <w:style w:type="character" w:customStyle="1" w:styleId="authorname">
    <w:name w:val="authorname"/>
    <w:basedOn w:val="Standardnpsmoodstavce"/>
    <w:rsid w:val="003F218C"/>
  </w:style>
  <w:style w:type="character" w:customStyle="1" w:styleId="Nadpis1Char">
    <w:name w:val="Nadpis 1 Char"/>
    <w:basedOn w:val="Standardnpsmoodstavce"/>
    <w:link w:val="Nadpis1"/>
    <w:uiPriority w:val="9"/>
    <w:rsid w:val="00B06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34CC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75F50"/>
    <w:pPr>
      <w:tabs>
        <w:tab w:val="right" w:leader="dot" w:pos="9061"/>
      </w:tabs>
      <w:spacing w:after="100" w:line="360" w:lineRule="auto"/>
    </w:pPr>
  </w:style>
  <w:style w:type="character" w:styleId="Hypertextovodkaz">
    <w:name w:val="Hyperlink"/>
    <w:basedOn w:val="Standardnpsmoodstavce"/>
    <w:uiPriority w:val="99"/>
    <w:unhideWhenUsed/>
    <w:rsid w:val="00E34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54C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E119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E11937"/>
    <w:pPr>
      <w:spacing w:after="100"/>
      <w:ind w:left="480"/>
    </w:pPr>
  </w:style>
  <w:style w:type="character" w:customStyle="1" w:styleId="authors">
    <w:name w:val="authors"/>
    <w:basedOn w:val="Standardnpsmoodstavce"/>
    <w:rsid w:val="0067608C"/>
  </w:style>
  <w:style w:type="paragraph" w:styleId="Textbubliny">
    <w:name w:val="Balloon Text"/>
    <w:basedOn w:val="Normln"/>
    <w:link w:val="TextbublinyChar"/>
    <w:uiPriority w:val="99"/>
    <w:semiHidden/>
    <w:unhideWhenUsed/>
    <w:rsid w:val="005D7A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29"/>
    <w:rPr>
      <w:rFonts w:ascii="Segoe UI" w:hAnsi="Segoe UI" w:cs="Segoe UI"/>
      <w:color w:val="000000" w:themeColor="text1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66BA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90A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4C"/>
    <w:rPr>
      <w:rFonts w:ascii="Times New Roman" w:hAnsi="Times New Roman"/>
      <w:color w:val="000000" w:themeColor="text1"/>
      <w:sz w:val="24"/>
    </w:rPr>
  </w:style>
  <w:style w:type="paragraph" w:styleId="Zpat">
    <w:name w:val="footer"/>
    <w:basedOn w:val="Normln"/>
    <w:link w:val="ZpatChar"/>
    <w:uiPriority w:val="99"/>
    <w:unhideWhenUsed/>
    <w:rsid w:val="00190A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4C"/>
    <w:rPr>
      <w:rFonts w:ascii="Times New Roman" w:hAnsi="Times New Roman"/>
      <w:color w:val="000000" w:themeColor="text1"/>
      <w:sz w:val="24"/>
    </w:rPr>
  </w:style>
  <w:style w:type="character" w:customStyle="1" w:styleId="al-author-name">
    <w:name w:val="al-author-name"/>
    <w:basedOn w:val="Standardnpsmoodstavce"/>
    <w:rsid w:val="0026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93/heapro/dax0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10810730.2016.11939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7493797090009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etrovatelstvo.eu/archiv/2011-rocnik-1/cislo-1/zdravotna-gramotnost-novy-pojem-pre-osetrovatelsku-pra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opis-zsfju.zsf.jcu.cz/kontak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9520-522E-41F4-95B7-A4CA7E86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11646</Words>
  <Characters>68715</Characters>
  <Application>Microsoft Office Word</Application>
  <DocSecurity>0</DocSecurity>
  <Lines>572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Irča</dc:creator>
  <cp:keywords/>
  <dc:description/>
  <cp:lastModifiedBy>Irča</cp:lastModifiedBy>
  <cp:revision>9</cp:revision>
  <dcterms:created xsi:type="dcterms:W3CDTF">2020-06-30T17:08:00Z</dcterms:created>
  <dcterms:modified xsi:type="dcterms:W3CDTF">2020-06-30T17:33:00Z</dcterms:modified>
</cp:coreProperties>
</file>