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C3129" w14:textId="5C6B1647" w:rsidR="00CA1F2D" w:rsidRPr="005066D7" w:rsidRDefault="00CA1F2D" w:rsidP="00F632E0">
      <w:pPr>
        <w:spacing w:after="200" w:line="276" w:lineRule="auto"/>
        <w:jc w:val="center"/>
        <w:rPr>
          <w:rFonts w:ascii="Times New Roman" w:eastAsia="Calibri" w:hAnsi="Times New Roman"/>
          <w:sz w:val="28"/>
          <w:szCs w:val="28"/>
          <w:lang w:eastAsia="en-US"/>
        </w:rPr>
      </w:pPr>
      <w:r w:rsidRPr="005066D7">
        <w:rPr>
          <w:rFonts w:ascii="Times New Roman" w:eastAsia="Calibri" w:hAnsi="Times New Roman"/>
          <w:sz w:val="28"/>
          <w:szCs w:val="28"/>
          <w:lang w:eastAsia="en-US"/>
        </w:rPr>
        <w:t>Univerzita Palackého v</w:t>
      </w:r>
      <w:r w:rsidR="00E262D2" w:rsidRPr="005066D7">
        <w:rPr>
          <w:rFonts w:ascii="Times New Roman" w:eastAsia="Calibri" w:hAnsi="Times New Roman"/>
          <w:sz w:val="28"/>
          <w:szCs w:val="28"/>
          <w:lang w:eastAsia="en-US"/>
        </w:rPr>
        <w:t xml:space="preserve"> </w:t>
      </w:r>
      <w:r w:rsidRPr="005066D7">
        <w:rPr>
          <w:rFonts w:ascii="Times New Roman" w:eastAsia="Calibri" w:hAnsi="Times New Roman"/>
          <w:sz w:val="28"/>
          <w:szCs w:val="28"/>
          <w:lang w:eastAsia="en-US"/>
        </w:rPr>
        <w:t>Olomouci</w:t>
      </w:r>
    </w:p>
    <w:p w14:paraId="60E9F30E" w14:textId="25BBA017" w:rsidR="00CA1F2D" w:rsidRPr="005066D7" w:rsidRDefault="00CA1F2D" w:rsidP="00F632E0">
      <w:pPr>
        <w:spacing w:after="200" w:line="276" w:lineRule="auto"/>
        <w:jc w:val="center"/>
        <w:rPr>
          <w:rFonts w:ascii="Times New Roman" w:eastAsia="Calibri" w:hAnsi="Times New Roman"/>
          <w:sz w:val="28"/>
          <w:szCs w:val="28"/>
          <w:lang w:eastAsia="en-US"/>
        </w:rPr>
      </w:pPr>
      <w:r w:rsidRPr="005066D7">
        <w:rPr>
          <w:rFonts w:ascii="Times New Roman" w:eastAsia="Calibri" w:hAnsi="Times New Roman"/>
          <w:sz w:val="28"/>
          <w:szCs w:val="28"/>
          <w:lang w:eastAsia="en-US"/>
        </w:rPr>
        <w:t>Právnická fakulta</w:t>
      </w:r>
    </w:p>
    <w:p w14:paraId="5B380B34" w14:textId="77777777" w:rsidR="00CA1F2D" w:rsidRPr="00E943B1" w:rsidRDefault="00CA1F2D" w:rsidP="00E262D2">
      <w:pPr>
        <w:pStyle w:val="format"/>
      </w:pPr>
    </w:p>
    <w:p w14:paraId="39B7E539" w14:textId="77777777" w:rsidR="00CA1F2D" w:rsidRPr="00E943B1" w:rsidRDefault="00CA1F2D" w:rsidP="00E262D2">
      <w:pPr>
        <w:pStyle w:val="format"/>
      </w:pPr>
    </w:p>
    <w:p w14:paraId="0CF9C724" w14:textId="77777777" w:rsidR="00CA1F2D" w:rsidRDefault="00CA1F2D" w:rsidP="00E262D2">
      <w:pPr>
        <w:pStyle w:val="format"/>
      </w:pPr>
    </w:p>
    <w:p w14:paraId="157A48DE" w14:textId="77777777" w:rsidR="00E262D2" w:rsidRPr="00E943B1" w:rsidRDefault="00E262D2" w:rsidP="00E262D2">
      <w:pPr>
        <w:pStyle w:val="format"/>
      </w:pPr>
    </w:p>
    <w:p w14:paraId="32C87F30" w14:textId="77777777" w:rsidR="00CA1F2D" w:rsidRPr="00E943B1" w:rsidRDefault="00CA1F2D" w:rsidP="00E262D2">
      <w:pPr>
        <w:pStyle w:val="format"/>
      </w:pPr>
    </w:p>
    <w:p w14:paraId="6377E71D" w14:textId="77777777" w:rsidR="00CA1F2D" w:rsidRPr="00E943B1" w:rsidRDefault="00CA1F2D" w:rsidP="00E262D2">
      <w:pPr>
        <w:pStyle w:val="format"/>
      </w:pPr>
    </w:p>
    <w:p w14:paraId="791353E7" w14:textId="77777777" w:rsidR="00CA1F2D" w:rsidRPr="00E943B1" w:rsidRDefault="00CA1F2D" w:rsidP="00E262D2">
      <w:pPr>
        <w:pStyle w:val="format"/>
      </w:pPr>
    </w:p>
    <w:p w14:paraId="4ACFAFD7" w14:textId="77777777" w:rsidR="00CA1F2D" w:rsidRPr="00E943B1" w:rsidRDefault="00CA1F2D" w:rsidP="00E262D2">
      <w:pPr>
        <w:pStyle w:val="format"/>
      </w:pPr>
    </w:p>
    <w:p w14:paraId="79CFD6DD" w14:textId="5CEC8BEE" w:rsidR="00CA1F2D" w:rsidRPr="005066D7" w:rsidRDefault="00CA1F2D" w:rsidP="00F632E0">
      <w:pPr>
        <w:spacing w:after="200" w:line="276" w:lineRule="auto"/>
        <w:jc w:val="center"/>
        <w:rPr>
          <w:rFonts w:ascii="Times New Roman" w:eastAsia="Calibri" w:hAnsi="Times New Roman"/>
          <w:sz w:val="28"/>
          <w:szCs w:val="28"/>
          <w:lang w:eastAsia="en-US"/>
        </w:rPr>
      </w:pPr>
      <w:r w:rsidRPr="005066D7">
        <w:rPr>
          <w:rFonts w:ascii="Times New Roman" w:eastAsia="Calibri" w:hAnsi="Times New Roman"/>
          <w:sz w:val="28"/>
          <w:szCs w:val="28"/>
          <w:lang w:eastAsia="en-US"/>
        </w:rPr>
        <w:t>Christian Tvrzník</w:t>
      </w:r>
    </w:p>
    <w:p w14:paraId="388ACC9E" w14:textId="77777777" w:rsidR="00F632E0" w:rsidRPr="005066D7" w:rsidRDefault="00F632E0" w:rsidP="00F632E0">
      <w:pPr>
        <w:pStyle w:val="format"/>
        <w:rPr>
          <w:rFonts w:eastAsia="Calibri"/>
          <w:lang w:eastAsia="en-US"/>
        </w:rPr>
      </w:pPr>
    </w:p>
    <w:p w14:paraId="7CFEAEC3" w14:textId="48795FEC" w:rsidR="00CA1F2D" w:rsidRPr="005066D7" w:rsidRDefault="00CA1F2D" w:rsidP="00F632E0">
      <w:pPr>
        <w:pStyle w:val="format"/>
        <w:ind w:firstLine="0"/>
        <w:jc w:val="center"/>
        <w:rPr>
          <w:rFonts w:eastAsia="Calibri"/>
          <w:sz w:val="32"/>
          <w:szCs w:val="32"/>
          <w:lang w:eastAsia="en-US"/>
        </w:rPr>
      </w:pPr>
      <w:r w:rsidRPr="005066D7">
        <w:rPr>
          <w:rFonts w:eastAsia="Calibri"/>
          <w:sz w:val="32"/>
          <w:szCs w:val="32"/>
          <w:lang w:eastAsia="en-US"/>
        </w:rPr>
        <w:t>Spolupracující obviněný</w:t>
      </w:r>
    </w:p>
    <w:p w14:paraId="3FD89AC5" w14:textId="77777777" w:rsidR="00F632E0" w:rsidRPr="00E943B1" w:rsidRDefault="00F632E0" w:rsidP="00F632E0">
      <w:pPr>
        <w:pStyle w:val="format"/>
      </w:pPr>
    </w:p>
    <w:p w14:paraId="077328C0" w14:textId="109FE1F2" w:rsidR="00CA1F2D" w:rsidRPr="005066D7" w:rsidRDefault="00CA1F2D" w:rsidP="00F632E0">
      <w:pPr>
        <w:spacing w:after="200" w:line="276" w:lineRule="auto"/>
        <w:jc w:val="center"/>
        <w:rPr>
          <w:rFonts w:ascii="Times New Roman" w:eastAsia="Calibri" w:hAnsi="Times New Roman"/>
          <w:sz w:val="28"/>
          <w:szCs w:val="28"/>
          <w:lang w:eastAsia="en-US"/>
        </w:rPr>
      </w:pPr>
      <w:r w:rsidRPr="005066D7">
        <w:rPr>
          <w:rFonts w:ascii="Times New Roman" w:eastAsia="Calibri" w:hAnsi="Times New Roman"/>
          <w:sz w:val="28"/>
          <w:szCs w:val="28"/>
          <w:lang w:eastAsia="en-US"/>
        </w:rPr>
        <w:t>Diplomová práce</w:t>
      </w:r>
    </w:p>
    <w:p w14:paraId="370048D2" w14:textId="77777777" w:rsidR="00CA1F2D" w:rsidRPr="00E943B1" w:rsidRDefault="00CA1F2D" w:rsidP="00E262D2">
      <w:pPr>
        <w:pStyle w:val="format"/>
      </w:pPr>
    </w:p>
    <w:p w14:paraId="270C1FF4" w14:textId="77777777" w:rsidR="00CA1F2D" w:rsidRPr="00E943B1" w:rsidRDefault="00CA1F2D" w:rsidP="00E262D2">
      <w:pPr>
        <w:pStyle w:val="format"/>
      </w:pPr>
    </w:p>
    <w:p w14:paraId="091FF3F2" w14:textId="77777777" w:rsidR="00CA1F2D" w:rsidRPr="00E943B1" w:rsidRDefault="00CA1F2D" w:rsidP="00E262D2">
      <w:pPr>
        <w:pStyle w:val="format"/>
      </w:pPr>
    </w:p>
    <w:p w14:paraId="4C09CB26" w14:textId="77777777" w:rsidR="00CA1F2D" w:rsidRPr="00E943B1" w:rsidRDefault="00CA1F2D" w:rsidP="00E262D2">
      <w:pPr>
        <w:pStyle w:val="format"/>
      </w:pPr>
    </w:p>
    <w:p w14:paraId="16527F43" w14:textId="77777777" w:rsidR="00CA1F2D" w:rsidRPr="00E943B1" w:rsidRDefault="00CA1F2D" w:rsidP="00E262D2">
      <w:pPr>
        <w:pStyle w:val="format"/>
      </w:pPr>
    </w:p>
    <w:p w14:paraId="02645F55" w14:textId="77777777" w:rsidR="00CA1F2D" w:rsidRPr="00E943B1" w:rsidRDefault="00CA1F2D" w:rsidP="00E262D2">
      <w:pPr>
        <w:pStyle w:val="format"/>
      </w:pPr>
    </w:p>
    <w:p w14:paraId="18791E40" w14:textId="77777777" w:rsidR="00CA1F2D" w:rsidRPr="00E943B1" w:rsidRDefault="00CA1F2D" w:rsidP="00E262D2">
      <w:pPr>
        <w:pStyle w:val="format"/>
      </w:pPr>
    </w:p>
    <w:p w14:paraId="4608FAE8" w14:textId="77777777" w:rsidR="00CA1F2D" w:rsidRPr="00E943B1" w:rsidRDefault="00CA1F2D" w:rsidP="00E262D2">
      <w:pPr>
        <w:pStyle w:val="format"/>
      </w:pPr>
    </w:p>
    <w:p w14:paraId="2EDDB90A" w14:textId="77777777" w:rsidR="00CA1F2D" w:rsidRPr="00E943B1" w:rsidRDefault="00CA1F2D" w:rsidP="00E262D2">
      <w:pPr>
        <w:pStyle w:val="format"/>
      </w:pPr>
    </w:p>
    <w:p w14:paraId="155EC7D2" w14:textId="77777777" w:rsidR="00CA1F2D" w:rsidRPr="00E943B1" w:rsidRDefault="00CA1F2D" w:rsidP="00E262D2">
      <w:pPr>
        <w:pStyle w:val="format"/>
      </w:pPr>
    </w:p>
    <w:p w14:paraId="44B5EECD" w14:textId="77777777" w:rsidR="00CA1F2D" w:rsidRPr="00E943B1" w:rsidRDefault="00CA1F2D" w:rsidP="00E262D2">
      <w:pPr>
        <w:pStyle w:val="format"/>
      </w:pPr>
    </w:p>
    <w:p w14:paraId="492C1F75" w14:textId="77777777" w:rsidR="00CA1F2D" w:rsidRPr="00E943B1" w:rsidRDefault="00CA1F2D" w:rsidP="00E262D2">
      <w:pPr>
        <w:pStyle w:val="format"/>
      </w:pPr>
    </w:p>
    <w:p w14:paraId="1D3749AA" w14:textId="77777777" w:rsidR="00CA1F2D" w:rsidRPr="00E943B1" w:rsidRDefault="00CA1F2D" w:rsidP="00E262D2">
      <w:pPr>
        <w:pStyle w:val="format"/>
      </w:pPr>
    </w:p>
    <w:p w14:paraId="18F65A34" w14:textId="77777777" w:rsidR="00E262D2" w:rsidRPr="005066D7" w:rsidRDefault="00CA1F2D" w:rsidP="002B740A">
      <w:pPr>
        <w:spacing w:after="200" w:line="276" w:lineRule="auto"/>
        <w:jc w:val="center"/>
        <w:rPr>
          <w:rFonts w:ascii="Times New Roman" w:eastAsia="Calibri" w:hAnsi="Times New Roman"/>
          <w:sz w:val="28"/>
          <w:szCs w:val="28"/>
          <w:lang w:eastAsia="en-US"/>
        </w:rPr>
        <w:sectPr w:rsidR="00E262D2" w:rsidRPr="005066D7" w:rsidSect="00976FD4">
          <w:pgSz w:w="12240" w:h="15840"/>
          <w:pgMar w:top="1418" w:right="1134" w:bottom="1418" w:left="1701" w:header="709" w:footer="709" w:gutter="0"/>
          <w:cols w:space="708"/>
          <w:noEndnote/>
        </w:sectPr>
      </w:pPr>
      <w:r w:rsidRPr="005066D7">
        <w:rPr>
          <w:rFonts w:ascii="Times New Roman" w:eastAsia="Calibri" w:hAnsi="Times New Roman"/>
          <w:sz w:val="28"/>
          <w:szCs w:val="28"/>
          <w:lang w:eastAsia="en-US"/>
        </w:rPr>
        <w:t>Olomouc 2024</w:t>
      </w:r>
    </w:p>
    <w:p w14:paraId="5CE983EA" w14:textId="79120192" w:rsidR="00CA1F2D" w:rsidRDefault="00CA1F2D" w:rsidP="00E262D2">
      <w:pPr>
        <w:pStyle w:val="format"/>
        <w:ind w:firstLine="0"/>
      </w:pPr>
      <w:r w:rsidRPr="00E943B1">
        <w:lastRenderedPageBreak/>
        <w:t>Prohlašuji, že jsem diplomovou práci s</w:t>
      </w:r>
      <w:r w:rsidR="00E262D2">
        <w:t xml:space="preserve"> </w:t>
      </w:r>
      <w:r w:rsidRPr="00E943B1">
        <w:t>názvem „Spolupracující obviněný“ vypracoval samostatně a citoval jsem všechny použité zdroje.</w:t>
      </w:r>
    </w:p>
    <w:p w14:paraId="41E8D1DC" w14:textId="77777777" w:rsidR="00E262D2" w:rsidRPr="00E943B1" w:rsidRDefault="00E262D2" w:rsidP="00E262D2">
      <w:pPr>
        <w:pStyle w:val="format"/>
        <w:ind w:firstLine="0"/>
      </w:pPr>
    </w:p>
    <w:p w14:paraId="4CAC38FC" w14:textId="11D0FE9E" w:rsidR="00CA1F2D" w:rsidRDefault="00CA1F2D" w:rsidP="00E262D2">
      <w:pPr>
        <w:pStyle w:val="format"/>
        <w:ind w:firstLine="0"/>
      </w:pPr>
      <w:r w:rsidRPr="00E943B1">
        <w:t xml:space="preserve">Dále prohlašuji, že vlastní text této práce včetně poznámek pod </w:t>
      </w:r>
      <w:r w:rsidRPr="002E43FA">
        <w:t xml:space="preserve">čarou má </w:t>
      </w:r>
      <w:r w:rsidR="002E43FA" w:rsidRPr="002E43FA">
        <w:t xml:space="preserve">99 </w:t>
      </w:r>
      <w:r w:rsidR="000113F1">
        <w:t>330</w:t>
      </w:r>
      <w:r w:rsidRPr="00E943B1">
        <w:t xml:space="preserve"> znaků včetně mezer.</w:t>
      </w:r>
    </w:p>
    <w:p w14:paraId="4BE217CA" w14:textId="77777777" w:rsidR="00E262D2" w:rsidRDefault="00E262D2" w:rsidP="00E262D2">
      <w:pPr>
        <w:pStyle w:val="format"/>
        <w:ind w:firstLine="0"/>
      </w:pPr>
    </w:p>
    <w:p w14:paraId="3BB7847D" w14:textId="77777777" w:rsidR="00E262D2" w:rsidRDefault="00E262D2" w:rsidP="00E262D2">
      <w:pPr>
        <w:pStyle w:val="format"/>
        <w:ind w:firstLine="0"/>
      </w:pPr>
    </w:p>
    <w:p w14:paraId="0A627CAA" w14:textId="77777777" w:rsidR="00E262D2" w:rsidRDefault="00E262D2" w:rsidP="00E262D2">
      <w:pPr>
        <w:pStyle w:val="format"/>
        <w:ind w:firstLine="0"/>
      </w:pPr>
    </w:p>
    <w:p w14:paraId="5913EE91" w14:textId="4C5B410C" w:rsidR="00CA1F2D" w:rsidRPr="00E943B1" w:rsidRDefault="00CA1F2D" w:rsidP="00E262D2">
      <w:pPr>
        <w:pStyle w:val="format"/>
        <w:tabs>
          <w:tab w:val="left" w:pos="5670"/>
        </w:tabs>
        <w:ind w:firstLine="0"/>
      </w:pPr>
      <w:r w:rsidRPr="00E943B1">
        <w:t>V</w:t>
      </w:r>
      <w:r w:rsidR="004733BD">
        <w:t xml:space="preserve"> Olomouci dne 30</w:t>
      </w:r>
      <w:r w:rsidR="00E262D2">
        <w:t>. 6. 2024</w:t>
      </w:r>
      <w:r w:rsidR="00E262D2">
        <w:tab/>
        <w:t>……………………………………</w:t>
      </w:r>
    </w:p>
    <w:p w14:paraId="5FF1141A" w14:textId="354C6E43" w:rsidR="00CA1F2D" w:rsidRPr="00E943B1" w:rsidRDefault="00E262D2" w:rsidP="00E262D2">
      <w:pPr>
        <w:pStyle w:val="format"/>
        <w:tabs>
          <w:tab w:val="left" w:pos="6521"/>
        </w:tabs>
        <w:ind w:firstLine="0"/>
      </w:pPr>
      <w:r>
        <w:tab/>
      </w:r>
      <w:r w:rsidR="00CA1F2D" w:rsidRPr="00E943B1">
        <w:t>Christian Tvrzník</w:t>
      </w:r>
    </w:p>
    <w:p w14:paraId="5E7C17D4" w14:textId="165351EA" w:rsidR="004A7034" w:rsidRDefault="00E262D2" w:rsidP="00E262D2">
      <w:pPr>
        <w:pStyle w:val="format"/>
        <w:ind w:firstLine="0"/>
      </w:pPr>
      <w:r>
        <w:br w:type="page"/>
      </w:r>
      <w:r w:rsidR="00513CC8" w:rsidRPr="00E943B1">
        <w:lastRenderedPageBreak/>
        <w:t>Tímto bych rád poděkoval JUDr. Romanu Vicherkovi, Ph.D.</w:t>
      </w:r>
      <w:r>
        <w:t>,</w:t>
      </w:r>
      <w:r w:rsidR="00513CC8" w:rsidRPr="00E943B1">
        <w:t xml:space="preserve"> za vedení mé diplomové práce, jeho ochotu, trpělivost a cenné rady, které mi při zpracování mé diplomové práce poskytl.</w:t>
      </w:r>
    </w:p>
    <w:p w14:paraId="59147BF1" w14:textId="77777777" w:rsidR="00E262D2" w:rsidRDefault="00E262D2" w:rsidP="00E262D2">
      <w:pPr>
        <w:pStyle w:val="format"/>
        <w:ind w:firstLine="0"/>
      </w:pPr>
    </w:p>
    <w:p w14:paraId="01E3AC3D" w14:textId="77777777" w:rsidR="00E262D2" w:rsidRDefault="00E262D2" w:rsidP="00E262D2">
      <w:pPr>
        <w:pStyle w:val="format"/>
        <w:ind w:firstLine="0"/>
        <w:sectPr w:rsidR="00E262D2" w:rsidSect="00E262D2">
          <w:pgSz w:w="12240" w:h="15840" w:code="1"/>
          <w:pgMar w:top="1418" w:right="1134" w:bottom="1418" w:left="1701" w:header="709" w:footer="709" w:gutter="0"/>
          <w:cols w:space="708"/>
          <w:vAlign w:val="bottom"/>
          <w:noEndnote/>
        </w:sectPr>
      </w:pPr>
    </w:p>
    <w:p w14:paraId="02C7F408" w14:textId="2AF16BA6" w:rsidR="00513CC8" w:rsidRPr="000704A4" w:rsidRDefault="004A7034" w:rsidP="000704A4">
      <w:pPr>
        <w:pStyle w:val="format"/>
        <w:spacing w:after="240"/>
        <w:ind w:firstLine="0"/>
        <w:rPr>
          <w:b/>
          <w:sz w:val="32"/>
          <w:szCs w:val="32"/>
        </w:rPr>
      </w:pPr>
      <w:r w:rsidRPr="000704A4">
        <w:rPr>
          <w:b/>
          <w:sz w:val="32"/>
          <w:szCs w:val="32"/>
        </w:rPr>
        <w:lastRenderedPageBreak/>
        <w:t>Obsah</w:t>
      </w:r>
    </w:p>
    <w:p w14:paraId="5308FFDD" w14:textId="77777777" w:rsidR="00094174" w:rsidRDefault="004733BD">
      <w:pPr>
        <w:pStyle w:val="Obsah1"/>
        <w:rPr>
          <w:rFonts w:asciiTheme="minorHAnsi" w:eastAsiaTheme="minorEastAsia" w:hAnsiTheme="minorHAnsi" w:cstheme="minorBidi"/>
          <w:b w:val="0"/>
          <w:noProof/>
          <w:sz w:val="22"/>
        </w:rPr>
      </w:pPr>
      <w:r>
        <w:rPr>
          <w:b w:val="0"/>
        </w:rPr>
        <w:fldChar w:fldCharType="begin"/>
      </w:r>
      <w:r>
        <w:rPr>
          <w:b w:val="0"/>
        </w:rPr>
        <w:instrText xml:space="preserve"> TOC \o "1-3" \h \z \u </w:instrText>
      </w:r>
      <w:r>
        <w:rPr>
          <w:b w:val="0"/>
        </w:rPr>
        <w:fldChar w:fldCharType="separate"/>
      </w:r>
      <w:hyperlink w:anchor="_Toc170637990" w:history="1">
        <w:r w:rsidR="00094174" w:rsidRPr="000C0A65">
          <w:rPr>
            <w:rStyle w:val="Hypertextovodkaz"/>
            <w:noProof/>
          </w:rPr>
          <w:t>Úvod</w:t>
        </w:r>
        <w:r w:rsidR="00094174">
          <w:rPr>
            <w:noProof/>
            <w:webHidden/>
          </w:rPr>
          <w:tab/>
        </w:r>
        <w:r w:rsidR="00094174">
          <w:rPr>
            <w:noProof/>
            <w:webHidden/>
          </w:rPr>
          <w:fldChar w:fldCharType="begin"/>
        </w:r>
        <w:r w:rsidR="00094174">
          <w:rPr>
            <w:noProof/>
            <w:webHidden/>
          </w:rPr>
          <w:instrText xml:space="preserve"> PAGEREF _Toc170637990 \h </w:instrText>
        </w:r>
        <w:r w:rsidR="00094174">
          <w:rPr>
            <w:noProof/>
            <w:webHidden/>
          </w:rPr>
        </w:r>
        <w:r w:rsidR="00094174">
          <w:rPr>
            <w:noProof/>
            <w:webHidden/>
          </w:rPr>
          <w:fldChar w:fldCharType="separate"/>
        </w:r>
        <w:r w:rsidR="007460C5">
          <w:rPr>
            <w:noProof/>
            <w:webHidden/>
          </w:rPr>
          <w:t>7</w:t>
        </w:r>
        <w:r w:rsidR="00094174">
          <w:rPr>
            <w:noProof/>
            <w:webHidden/>
          </w:rPr>
          <w:fldChar w:fldCharType="end"/>
        </w:r>
      </w:hyperlink>
    </w:p>
    <w:p w14:paraId="1B4CB520" w14:textId="77777777" w:rsidR="00094174" w:rsidRDefault="00000000">
      <w:pPr>
        <w:pStyle w:val="Obsah1"/>
        <w:rPr>
          <w:rFonts w:asciiTheme="minorHAnsi" w:eastAsiaTheme="minorEastAsia" w:hAnsiTheme="minorHAnsi" w:cstheme="minorBidi"/>
          <w:b w:val="0"/>
          <w:noProof/>
          <w:sz w:val="22"/>
        </w:rPr>
      </w:pPr>
      <w:hyperlink w:anchor="_Toc170637991" w:history="1">
        <w:r w:rsidR="00094174" w:rsidRPr="000C0A65">
          <w:rPr>
            <w:rStyle w:val="Hypertextovodkaz"/>
            <w:noProof/>
          </w:rPr>
          <w:t>1</w:t>
        </w:r>
        <w:r w:rsidR="00094174">
          <w:rPr>
            <w:rFonts w:asciiTheme="minorHAnsi" w:eastAsiaTheme="minorEastAsia" w:hAnsiTheme="minorHAnsi" w:cstheme="minorBidi"/>
            <w:b w:val="0"/>
            <w:noProof/>
            <w:sz w:val="22"/>
          </w:rPr>
          <w:tab/>
        </w:r>
        <w:r w:rsidR="00094174" w:rsidRPr="000C0A65">
          <w:rPr>
            <w:rStyle w:val="Hypertextovodkaz"/>
            <w:noProof/>
          </w:rPr>
          <w:t>Organizovaný zločin</w:t>
        </w:r>
        <w:r w:rsidR="00094174">
          <w:rPr>
            <w:noProof/>
            <w:webHidden/>
          </w:rPr>
          <w:tab/>
        </w:r>
        <w:r w:rsidR="00094174">
          <w:rPr>
            <w:noProof/>
            <w:webHidden/>
          </w:rPr>
          <w:fldChar w:fldCharType="begin"/>
        </w:r>
        <w:r w:rsidR="00094174">
          <w:rPr>
            <w:noProof/>
            <w:webHidden/>
          </w:rPr>
          <w:instrText xml:space="preserve"> PAGEREF _Toc170637991 \h </w:instrText>
        </w:r>
        <w:r w:rsidR="00094174">
          <w:rPr>
            <w:noProof/>
            <w:webHidden/>
          </w:rPr>
        </w:r>
        <w:r w:rsidR="00094174">
          <w:rPr>
            <w:noProof/>
            <w:webHidden/>
          </w:rPr>
          <w:fldChar w:fldCharType="separate"/>
        </w:r>
        <w:r w:rsidR="007460C5">
          <w:rPr>
            <w:noProof/>
            <w:webHidden/>
          </w:rPr>
          <w:t>9</w:t>
        </w:r>
        <w:r w:rsidR="00094174">
          <w:rPr>
            <w:noProof/>
            <w:webHidden/>
          </w:rPr>
          <w:fldChar w:fldCharType="end"/>
        </w:r>
      </w:hyperlink>
    </w:p>
    <w:p w14:paraId="68CD5F6B" w14:textId="77777777" w:rsidR="00094174" w:rsidRDefault="00000000">
      <w:pPr>
        <w:pStyle w:val="Obsah2"/>
        <w:tabs>
          <w:tab w:val="left" w:pos="880"/>
          <w:tab w:val="right" w:leader="dot" w:pos="9395"/>
        </w:tabs>
        <w:rPr>
          <w:rFonts w:asciiTheme="minorHAnsi" w:eastAsiaTheme="minorEastAsia" w:hAnsiTheme="minorHAnsi" w:cstheme="minorBidi"/>
          <w:noProof/>
          <w:sz w:val="22"/>
        </w:rPr>
      </w:pPr>
      <w:hyperlink w:anchor="_Toc170637992" w:history="1">
        <w:r w:rsidR="00094174" w:rsidRPr="000C0A65">
          <w:rPr>
            <w:rStyle w:val="Hypertextovodkaz"/>
            <w:noProof/>
          </w:rPr>
          <w:t>1.1</w:t>
        </w:r>
        <w:r w:rsidR="00094174">
          <w:rPr>
            <w:rFonts w:asciiTheme="minorHAnsi" w:eastAsiaTheme="minorEastAsia" w:hAnsiTheme="minorHAnsi" w:cstheme="minorBidi"/>
            <w:noProof/>
            <w:sz w:val="22"/>
          </w:rPr>
          <w:tab/>
        </w:r>
        <w:r w:rsidR="00094174" w:rsidRPr="000C0A65">
          <w:rPr>
            <w:rStyle w:val="Hypertextovodkaz"/>
            <w:noProof/>
          </w:rPr>
          <w:t>Právní úprava České republiky</w:t>
        </w:r>
        <w:r w:rsidR="00094174">
          <w:rPr>
            <w:noProof/>
            <w:webHidden/>
          </w:rPr>
          <w:tab/>
        </w:r>
        <w:r w:rsidR="00094174">
          <w:rPr>
            <w:noProof/>
            <w:webHidden/>
          </w:rPr>
          <w:fldChar w:fldCharType="begin"/>
        </w:r>
        <w:r w:rsidR="00094174">
          <w:rPr>
            <w:noProof/>
            <w:webHidden/>
          </w:rPr>
          <w:instrText xml:space="preserve"> PAGEREF _Toc170637992 \h </w:instrText>
        </w:r>
        <w:r w:rsidR="00094174">
          <w:rPr>
            <w:noProof/>
            <w:webHidden/>
          </w:rPr>
        </w:r>
        <w:r w:rsidR="00094174">
          <w:rPr>
            <w:noProof/>
            <w:webHidden/>
          </w:rPr>
          <w:fldChar w:fldCharType="separate"/>
        </w:r>
        <w:r w:rsidR="007460C5">
          <w:rPr>
            <w:noProof/>
            <w:webHidden/>
          </w:rPr>
          <w:t>9</w:t>
        </w:r>
        <w:r w:rsidR="00094174">
          <w:rPr>
            <w:noProof/>
            <w:webHidden/>
          </w:rPr>
          <w:fldChar w:fldCharType="end"/>
        </w:r>
      </w:hyperlink>
    </w:p>
    <w:p w14:paraId="29D28110" w14:textId="77777777" w:rsidR="00094174" w:rsidRDefault="00000000">
      <w:pPr>
        <w:pStyle w:val="Obsah2"/>
        <w:tabs>
          <w:tab w:val="left" w:pos="880"/>
          <w:tab w:val="right" w:leader="dot" w:pos="9395"/>
        </w:tabs>
        <w:rPr>
          <w:rFonts w:asciiTheme="minorHAnsi" w:eastAsiaTheme="minorEastAsia" w:hAnsiTheme="minorHAnsi" w:cstheme="minorBidi"/>
          <w:noProof/>
          <w:sz w:val="22"/>
        </w:rPr>
      </w:pPr>
      <w:hyperlink w:anchor="_Toc170637993" w:history="1">
        <w:r w:rsidR="00094174" w:rsidRPr="000C0A65">
          <w:rPr>
            <w:rStyle w:val="Hypertextovodkaz"/>
            <w:noProof/>
          </w:rPr>
          <w:t>1.2</w:t>
        </w:r>
        <w:r w:rsidR="00094174">
          <w:rPr>
            <w:rFonts w:asciiTheme="minorHAnsi" w:eastAsiaTheme="minorEastAsia" w:hAnsiTheme="minorHAnsi" w:cstheme="minorBidi"/>
            <w:noProof/>
            <w:sz w:val="22"/>
          </w:rPr>
          <w:tab/>
        </w:r>
        <w:r w:rsidR="00094174" w:rsidRPr="000C0A65">
          <w:rPr>
            <w:rStyle w:val="Hypertextovodkaz"/>
            <w:noProof/>
          </w:rPr>
          <w:t>Právní úprava Evropské unie</w:t>
        </w:r>
        <w:r w:rsidR="00094174">
          <w:rPr>
            <w:noProof/>
            <w:webHidden/>
          </w:rPr>
          <w:tab/>
        </w:r>
        <w:r w:rsidR="00094174">
          <w:rPr>
            <w:noProof/>
            <w:webHidden/>
          </w:rPr>
          <w:fldChar w:fldCharType="begin"/>
        </w:r>
        <w:r w:rsidR="00094174">
          <w:rPr>
            <w:noProof/>
            <w:webHidden/>
          </w:rPr>
          <w:instrText xml:space="preserve"> PAGEREF _Toc170637993 \h </w:instrText>
        </w:r>
        <w:r w:rsidR="00094174">
          <w:rPr>
            <w:noProof/>
            <w:webHidden/>
          </w:rPr>
        </w:r>
        <w:r w:rsidR="00094174">
          <w:rPr>
            <w:noProof/>
            <w:webHidden/>
          </w:rPr>
          <w:fldChar w:fldCharType="separate"/>
        </w:r>
        <w:r w:rsidR="007460C5">
          <w:rPr>
            <w:noProof/>
            <w:webHidden/>
          </w:rPr>
          <w:t>10</w:t>
        </w:r>
        <w:r w:rsidR="00094174">
          <w:rPr>
            <w:noProof/>
            <w:webHidden/>
          </w:rPr>
          <w:fldChar w:fldCharType="end"/>
        </w:r>
      </w:hyperlink>
    </w:p>
    <w:p w14:paraId="0BADF997" w14:textId="77777777" w:rsidR="00094174" w:rsidRDefault="00000000">
      <w:pPr>
        <w:pStyle w:val="Obsah2"/>
        <w:tabs>
          <w:tab w:val="left" w:pos="880"/>
          <w:tab w:val="right" w:leader="dot" w:pos="9395"/>
        </w:tabs>
        <w:rPr>
          <w:rFonts w:asciiTheme="minorHAnsi" w:eastAsiaTheme="minorEastAsia" w:hAnsiTheme="minorHAnsi" w:cstheme="minorBidi"/>
          <w:noProof/>
          <w:sz w:val="22"/>
        </w:rPr>
      </w:pPr>
      <w:hyperlink w:anchor="_Toc170637994" w:history="1">
        <w:r w:rsidR="00094174" w:rsidRPr="000C0A65">
          <w:rPr>
            <w:rStyle w:val="Hypertextovodkaz"/>
            <w:noProof/>
          </w:rPr>
          <w:t>1.3</w:t>
        </w:r>
        <w:r w:rsidR="00094174">
          <w:rPr>
            <w:rFonts w:asciiTheme="minorHAnsi" w:eastAsiaTheme="minorEastAsia" w:hAnsiTheme="minorHAnsi" w:cstheme="minorBidi"/>
            <w:noProof/>
            <w:sz w:val="22"/>
          </w:rPr>
          <w:tab/>
        </w:r>
        <w:r w:rsidR="00094174" w:rsidRPr="000C0A65">
          <w:rPr>
            <w:rStyle w:val="Hypertextovodkaz"/>
            <w:noProof/>
          </w:rPr>
          <w:t>Právní úprava Organizace spojených národů</w:t>
        </w:r>
        <w:r w:rsidR="00094174">
          <w:rPr>
            <w:noProof/>
            <w:webHidden/>
          </w:rPr>
          <w:tab/>
        </w:r>
        <w:r w:rsidR="00094174">
          <w:rPr>
            <w:noProof/>
            <w:webHidden/>
          </w:rPr>
          <w:fldChar w:fldCharType="begin"/>
        </w:r>
        <w:r w:rsidR="00094174">
          <w:rPr>
            <w:noProof/>
            <w:webHidden/>
          </w:rPr>
          <w:instrText xml:space="preserve"> PAGEREF _Toc170637994 \h </w:instrText>
        </w:r>
        <w:r w:rsidR="00094174">
          <w:rPr>
            <w:noProof/>
            <w:webHidden/>
          </w:rPr>
        </w:r>
        <w:r w:rsidR="00094174">
          <w:rPr>
            <w:noProof/>
            <w:webHidden/>
          </w:rPr>
          <w:fldChar w:fldCharType="separate"/>
        </w:r>
        <w:r w:rsidR="007460C5">
          <w:rPr>
            <w:noProof/>
            <w:webHidden/>
          </w:rPr>
          <w:t>11</w:t>
        </w:r>
        <w:r w:rsidR="00094174">
          <w:rPr>
            <w:noProof/>
            <w:webHidden/>
          </w:rPr>
          <w:fldChar w:fldCharType="end"/>
        </w:r>
      </w:hyperlink>
    </w:p>
    <w:p w14:paraId="2C4CC0DE" w14:textId="77777777" w:rsidR="00094174" w:rsidRDefault="00000000">
      <w:pPr>
        <w:pStyle w:val="Obsah2"/>
        <w:tabs>
          <w:tab w:val="left" w:pos="880"/>
          <w:tab w:val="right" w:leader="dot" w:pos="9395"/>
        </w:tabs>
        <w:rPr>
          <w:rFonts w:asciiTheme="minorHAnsi" w:eastAsiaTheme="minorEastAsia" w:hAnsiTheme="minorHAnsi" w:cstheme="minorBidi"/>
          <w:noProof/>
          <w:sz w:val="22"/>
        </w:rPr>
      </w:pPr>
      <w:hyperlink w:anchor="_Toc170637995" w:history="1">
        <w:r w:rsidR="00094174" w:rsidRPr="000C0A65">
          <w:rPr>
            <w:rStyle w:val="Hypertextovodkaz"/>
            <w:noProof/>
          </w:rPr>
          <w:t>1.4</w:t>
        </w:r>
        <w:r w:rsidR="00094174">
          <w:rPr>
            <w:rFonts w:asciiTheme="minorHAnsi" w:eastAsiaTheme="minorEastAsia" w:hAnsiTheme="minorHAnsi" w:cstheme="minorBidi"/>
            <w:noProof/>
            <w:sz w:val="22"/>
          </w:rPr>
          <w:tab/>
        </w:r>
        <w:r w:rsidR="00094174" w:rsidRPr="000C0A65">
          <w:rPr>
            <w:rStyle w:val="Hypertextovodkaz"/>
            <w:noProof/>
          </w:rPr>
          <w:t>Boj s organizovaným zločinem</w:t>
        </w:r>
        <w:r w:rsidR="00094174">
          <w:rPr>
            <w:noProof/>
            <w:webHidden/>
          </w:rPr>
          <w:tab/>
        </w:r>
        <w:r w:rsidR="00094174">
          <w:rPr>
            <w:noProof/>
            <w:webHidden/>
          </w:rPr>
          <w:fldChar w:fldCharType="begin"/>
        </w:r>
        <w:r w:rsidR="00094174">
          <w:rPr>
            <w:noProof/>
            <w:webHidden/>
          </w:rPr>
          <w:instrText xml:space="preserve"> PAGEREF _Toc170637995 \h </w:instrText>
        </w:r>
        <w:r w:rsidR="00094174">
          <w:rPr>
            <w:noProof/>
            <w:webHidden/>
          </w:rPr>
        </w:r>
        <w:r w:rsidR="00094174">
          <w:rPr>
            <w:noProof/>
            <w:webHidden/>
          </w:rPr>
          <w:fldChar w:fldCharType="separate"/>
        </w:r>
        <w:r w:rsidR="007460C5">
          <w:rPr>
            <w:noProof/>
            <w:webHidden/>
          </w:rPr>
          <w:t>12</w:t>
        </w:r>
        <w:r w:rsidR="00094174">
          <w:rPr>
            <w:noProof/>
            <w:webHidden/>
          </w:rPr>
          <w:fldChar w:fldCharType="end"/>
        </w:r>
      </w:hyperlink>
    </w:p>
    <w:p w14:paraId="178FC22B" w14:textId="77777777" w:rsidR="00094174" w:rsidRDefault="00000000">
      <w:pPr>
        <w:pStyle w:val="Obsah1"/>
        <w:rPr>
          <w:rFonts w:asciiTheme="minorHAnsi" w:eastAsiaTheme="minorEastAsia" w:hAnsiTheme="minorHAnsi" w:cstheme="minorBidi"/>
          <w:b w:val="0"/>
          <w:noProof/>
          <w:sz w:val="22"/>
        </w:rPr>
      </w:pPr>
      <w:hyperlink w:anchor="_Toc170637996" w:history="1">
        <w:r w:rsidR="00094174" w:rsidRPr="000C0A65">
          <w:rPr>
            <w:rStyle w:val="Hypertextovodkaz"/>
            <w:noProof/>
          </w:rPr>
          <w:t>2</w:t>
        </w:r>
        <w:r w:rsidR="00094174">
          <w:rPr>
            <w:rFonts w:asciiTheme="minorHAnsi" w:eastAsiaTheme="minorEastAsia" w:hAnsiTheme="minorHAnsi" w:cstheme="minorBidi"/>
            <w:b w:val="0"/>
            <w:noProof/>
            <w:sz w:val="22"/>
          </w:rPr>
          <w:tab/>
        </w:r>
        <w:r w:rsidR="00094174" w:rsidRPr="000C0A65">
          <w:rPr>
            <w:rStyle w:val="Hypertextovodkaz"/>
            <w:noProof/>
          </w:rPr>
          <w:t>Spolupracující obviněný</w:t>
        </w:r>
        <w:r w:rsidR="00094174">
          <w:rPr>
            <w:noProof/>
            <w:webHidden/>
          </w:rPr>
          <w:tab/>
        </w:r>
        <w:r w:rsidR="00094174">
          <w:rPr>
            <w:noProof/>
            <w:webHidden/>
          </w:rPr>
          <w:fldChar w:fldCharType="begin"/>
        </w:r>
        <w:r w:rsidR="00094174">
          <w:rPr>
            <w:noProof/>
            <w:webHidden/>
          </w:rPr>
          <w:instrText xml:space="preserve"> PAGEREF _Toc170637996 \h </w:instrText>
        </w:r>
        <w:r w:rsidR="00094174">
          <w:rPr>
            <w:noProof/>
            <w:webHidden/>
          </w:rPr>
        </w:r>
        <w:r w:rsidR="00094174">
          <w:rPr>
            <w:noProof/>
            <w:webHidden/>
          </w:rPr>
          <w:fldChar w:fldCharType="separate"/>
        </w:r>
        <w:r w:rsidR="007460C5">
          <w:rPr>
            <w:noProof/>
            <w:webHidden/>
          </w:rPr>
          <w:t>14</w:t>
        </w:r>
        <w:r w:rsidR="00094174">
          <w:rPr>
            <w:noProof/>
            <w:webHidden/>
          </w:rPr>
          <w:fldChar w:fldCharType="end"/>
        </w:r>
      </w:hyperlink>
    </w:p>
    <w:p w14:paraId="0118A3F9" w14:textId="77777777" w:rsidR="00094174" w:rsidRDefault="00000000">
      <w:pPr>
        <w:pStyle w:val="Obsah2"/>
        <w:tabs>
          <w:tab w:val="left" w:pos="880"/>
          <w:tab w:val="right" w:leader="dot" w:pos="9395"/>
        </w:tabs>
        <w:rPr>
          <w:rFonts w:asciiTheme="minorHAnsi" w:eastAsiaTheme="minorEastAsia" w:hAnsiTheme="minorHAnsi" w:cstheme="minorBidi"/>
          <w:noProof/>
          <w:sz w:val="22"/>
        </w:rPr>
      </w:pPr>
      <w:hyperlink w:anchor="_Toc170637997" w:history="1">
        <w:r w:rsidR="00094174" w:rsidRPr="000C0A65">
          <w:rPr>
            <w:rStyle w:val="Hypertextovodkaz"/>
            <w:noProof/>
          </w:rPr>
          <w:t>2.1</w:t>
        </w:r>
        <w:r w:rsidR="00094174">
          <w:rPr>
            <w:rFonts w:asciiTheme="minorHAnsi" w:eastAsiaTheme="minorEastAsia" w:hAnsiTheme="minorHAnsi" w:cstheme="minorBidi"/>
            <w:noProof/>
            <w:sz w:val="22"/>
          </w:rPr>
          <w:tab/>
        </w:r>
        <w:r w:rsidR="00094174" w:rsidRPr="000C0A65">
          <w:rPr>
            <w:rStyle w:val="Hypertextovodkaz"/>
            <w:noProof/>
          </w:rPr>
          <w:t>Právní úprava</w:t>
        </w:r>
        <w:r w:rsidR="00094174">
          <w:rPr>
            <w:noProof/>
            <w:webHidden/>
          </w:rPr>
          <w:tab/>
        </w:r>
        <w:r w:rsidR="00094174">
          <w:rPr>
            <w:noProof/>
            <w:webHidden/>
          </w:rPr>
          <w:fldChar w:fldCharType="begin"/>
        </w:r>
        <w:r w:rsidR="00094174">
          <w:rPr>
            <w:noProof/>
            <w:webHidden/>
          </w:rPr>
          <w:instrText xml:space="preserve"> PAGEREF _Toc170637997 \h </w:instrText>
        </w:r>
        <w:r w:rsidR="00094174">
          <w:rPr>
            <w:noProof/>
            <w:webHidden/>
          </w:rPr>
        </w:r>
        <w:r w:rsidR="00094174">
          <w:rPr>
            <w:noProof/>
            <w:webHidden/>
          </w:rPr>
          <w:fldChar w:fldCharType="separate"/>
        </w:r>
        <w:r w:rsidR="007460C5">
          <w:rPr>
            <w:noProof/>
            <w:webHidden/>
          </w:rPr>
          <w:t>15</w:t>
        </w:r>
        <w:r w:rsidR="00094174">
          <w:rPr>
            <w:noProof/>
            <w:webHidden/>
          </w:rPr>
          <w:fldChar w:fldCharType="end"/>
        </w:r>
      </w:hyperlink>
    </w:p>
    <w:p w14:paraId="29572B59"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7998" w:history="1">
        <w:r w:rsidR="00094174" w:rsidRPr="000C0A65">
          <w:rPr>
            <w:rStyle w:val="Hypertextovodkaz"/>
            <w:noProof/>
          </w:rPr>
          <w:t>2.1.1</w:t>
        </w:r>
        <w:r w:rsidR="00094174">
          <w:rPr>
            <w:rFonts w:asciiTheme="minorHAnsi" w:eastAsiaTheme="minorEastAsia" w:hAnsiTheme="minorHAnsi" w:cstheme="minorBidi"/>
            <w:noProof/>
            <w:sz w:val="22"/>
          </w:rPr>
          <w:tab/>
        </w:r>
        <w:r w:rsidR="00094174" w:rsidRPr="000C0A65">
          <w:rPr>
            <w:rStyle w:val="Hypertextovodkaz"/>
            <w:noProof/>
          </w:rPr>
          <w:t>Trestní řád</w:t>
        </w:r>
        <w:r w:rsidR="00094174">
          <w:rPr>
            <w:noProof/>
            <w:webHidden/>
          </w:rPr>
          <w:tab/>
        </w:r>
        <w:r w:rsidR="00094174">
          <w:rPr>
            <w:noProof/>
            <w:webHidden/>
          </w:rPr>
          <w:fldChar w:fldCharType="begin"/>
        </w:r>
        <w:r w:rsidR="00094174">
          <w:rPr>
            <w:noProof/>
            <w:webHidden/>
          </w:rPr>
          <w:instrText xml:space="preserve"> PAGEREF _Toc170637998 \h </w:instrText>
        </w:r>
        <w:r w:rsidR="00094174">
          <w:rPr>
            <w:noProof/>
            <w:webHidden/>
          </w:rPr>
        </w:r>
        <w:r w:rsidR="00094174">
          <w:rPr>
            <w:noProof/>
            <w:webHidden/>
          </w:rPr>
          <w:fldChar w:fldCharType="separate"/>
        </w:r>
        <w:r w:rsidR="007460C5">
          <w:rPr>
            <w:noProof/>
            <w:webHidden/>
          </w:rPr>
          <w:t>15</w:t>
        </w:r>
        <w:r w:rsidR="00094174">
          <w:rPr>
            <w:noProof/>
            <w:webHidden/>
          </w:rPr>
          <w:fldChar w:fldCharType="end"/>
        </w:r>
      </w:hyperlink>
    </w:p>
    <w:p w14:paraId="1026CF66"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7999" w:history="1">
        <w:r w:rsidR="00094174" w:rsidRPr="000C0A65">
          <w:rPr>
            <w:rStyle w:val="Hypertextovodkaz"/>
            <w:noProof/>
          </w:rPr>
          <w:t>2.1.2</w:t>
        </w:r>
        <w:r w:rsidR="00094174">
          <w:rPr>
            <w:rFonts w:asciiTheme="minorHAnsi" w:eastAsiaTheme="minorEastAsia" w:hAnsiTheme="minorHAnsi" w:cstheme="minorBidi"/>
            <w:noProof/>
            <w:sz w:val="22"/>
          </w:rPr>
          <w:tab/>
        </w:r>
        <w:r w:rsidR="00094174" w:rsidRPr="000C0A65">
          <w:rPr>
            <w:rStyle w:val="Hypertextovodkaz"/>
            <w:noProof/>
          </w:rPr>
          <w:t>Trestní zákoník</w:t>
        </w:r>
        <w:r w:rsidR="00094174">
          <w:rPr>
            <w:noProof/>
            <w:webHidden/>
          </w:rPr>
          <w:tab/>
        </w:r>
        <w:r w:rsidR="00094174">
          <w:rPr>
            <w:noProof/>
            <w:webHidden/>
          </w:rPr>
          <w:fldChar w:fldCharType="begin"/>
        </w:r>
        <w:r w:rsidR="00094174">
          <w:rPr>
            <w:noProof/>
            <w:webHidden/>
          </w:rPr>
          <w:instrText xml:space="preserve"> PAGEREF _Toc170637999 \h </w:instrText>
        </w:r>
        <w:r w:rsidR="00094174">
          <w:rPr>
            <w:noProof/>
            <w:webHidden/>
          </w:rPr>
        </w:r>
        <w:r w:rsidR="00094174">
          <w:rPr>
            <w:noProof/>
            <w:webHidden/>
          </w:rPr>
          <w:fldChar w:fldCharType="separate"/>
        </w:r>
        <w:r w:rsidR="007460C5">
          <w:rPr>
            <w:noProof/>
            <w:webHidden/>
          </w:rPr>
          <w:t>19</w:t>
        </w:r>
        <w:r w:rsidR="00094174">
          <w:rPr>
            <w:noProof/>
            <w:webHidden/>
          </w:rPr>
          <w:fldChar w:fldCharType="end"/>
        </w:r>
      </w:hyperlink>
    </w:p>
    <w:p w14:paraId="3BEF47C5"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00" w:history="1">
        <w:r w:rsidR="00094174" w:rsidRPr="000C0A65">
          <w:rPr>
            <w:rStyle w:val="Hypertextovodkaz"/>
            <w:noProof/>
          </w:rPr>
          <w:t>2.1.3</w:t>
        </w:r>
        <w:r w:rsidR="00094174">
          <w:rPr>
            <w:rFonts w:asciiTheme="minorHAnsi" w:eastAsiaTheme="minorEastAsia" w:hAnsiTheme="minorHAnsi" w:cstheme="minorBidi"/>
            <w:noProof/>
            <w:sz w:val="22"/>
          </w:rPr>
          <w:tab/>
        </w:r>
        <w:r w:rsidR="00094174" w:rsidRPr="000C0A65">
          <w:rPr>
            <w:rStyle w:val="Hypertextovodkaz"/>
            <w:noProof/>
          </w:rPr>
          <w:t>Novela zákonem č. 333/2020 Sb.</w:t>
        </w:r>
        <w:r w:rsidR="00094174">
          <w:rPr>
            <w:noProof/>
            <w:webHidden/>
          </w:rPr>
          <w:tab/>
        </w:r>
        <w:r w:rsidR="00094174">
          <w:rPr>
            <w:noProof/>
            <w:webHidden/>
          </w:rPr>
          <w:fldChar w:fldCharType="begin"/>
        </w:r>
        <w:r w:rsidR="00094174">
          <w:rPr>
            <w:noProof/>
            <w:webHidden/>
          </w:rPr>
          <w:instrText xml:space="preserve"> PAGEREF _Toc170638000 \h </w:instrText>
        </w:r>
        <w:r w:rsidR="00094174">
          <w:rPr>
            <w:noProof/>
            <w:webHidden/>
          </w:rPr>
        </w:r>
        <w:r w:rsidR="00094174">
          <w:rPr>
            <w:noProof/>
            <w:webHidden/>
          </w:rPr>
          <w:fldChar w:fldCharType="separate"/>
        </w:r>
        <w:r w:rsidR="007460C5">
          <w:rPr>
            <w:noProof/>
            <w:webHidden/>
          </w:rPr>
          <w:t>21</w:t>
        </w:r>
        <w:r w:rsidR="00094174">
          <w:rPr>
            <w:noProof/>
            <w:webHidden/>
          </w:rPr>
          <w:fldChar w:fldCharType="end"/>
        </w:r>
      </w:hyperlink>
    </w:p>
    <w:p w14:paraId="65A12C3D" w14:textId="77777777" w:rsidR="00094174" w:rsidRDefault="00000000">
      <w:pPr>
        <w:pStyle w:val="Obsah2"/>
        <w:tabs>
          <w:tab w:val="left" w:pos="880"/>
          <w:tab w:val="right" w:leader="dot" w:pos="9395"/>
        </w:tabs>
        <w:rPr>
          <w:rFonts w:asciiTheme="minorHAnsi" w:eastAsiaTheme="minorEastAsia" w:hAnsiTheme="minorHAnsi" w:cstheme="minorBidi"/>
          <w:noProof/>
          <w:sz w:val="22"/>
        </w:rPr>
      </w:pPr>
      <w:hyperlink w:anchor="_Toc170638001" w:history="1">
        <w:r w:rsidR="00094174" w:rsidRPr="000C0A65">
          <w:rPr>
            <w:rStyle w:val="Hypertextovodkaz"/>
            <w:noProof/>
          </w:rPr>
          <w:t>2.2</w:t>
        </w:r>
        <w:r w:rsidR="00094174">
          <w:rPr>
            <w:rFonts w:asciiTheme="minorHAnsi" w:eastAsiaTheme="minorEastAsia" w:hAnsiTheme="minorHAnsi" w:cstheme="minorBidi"/>
            <w:noProof/>
            <w:sz w:val="22"/>
          </w:rPr>
          <w:tab/>
        </w:r>
        <w:r w:rsidR="00094174" w:rsidRPr="000C0A65">
          <w:rPr>
            <w:rStyle w:val="Hypertextovodkaz"/>
            <w:noProof/>
          </w:rPr>
          <w:t>Četnost použití institutu</w:t>
        </w:r>
        <w:r w:rsidR="00094174">
          <w:rPr>
            <w:noProof/>
            <w:webHidden/>
          </w:rPr>
          <w:tab/>
        </w:r>
        <w:r w:rsidR="00094174">
          <w:rPr>
            <w:noProof/>
            <w:webHidden/>
          </w:rPr>
          <w:fldChar w:fldCharType="begin"/>
        </w:r>
        <w:r w:rsidR="00094174">
          <w:rPr>
            <w:noProof/>
            <w:webHidden/>
          </w:rPr>
          <w:instrText xml:space="preserve"> PAGEREF _Toc170638001 \h </w:instrText>
        </w:r>
        <w:r w:rsidR="00094174">
          <w:rPr>
            <w:noProof/>
            <w:webHidden/>
          </w:rPr>
        </w:r>
        <w:r w:rsidR="00094174">
          <w:rPr>
            <w:noProof/>
            <w:webHidden/>
          </w:rPr>
          <w:fldChar w:fldCharType="separate"/>
        </w:r>
        <w:r w:rsidR="007460C5">
          <w:rPr>
            <w:noProof/>
            <w:webHidden/>
          </w:rPr>
          <w:t>23</w:t>
        </w:r>
        <w:r w:rsidR="00094174">
          <w:rPr>
            <w:noProof/>
            <w:webHidden/>
          </w:rPr>
          <w:fldChar w:fldCharType="end"/>
        </w:r>
      </w:hyperlink>
    </w:p>
    <w:p w14:paraId="732B163F"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02" w:history="1">
        <w:r w:rsidR="00094174" w:rsidRPr="000C0A65">
          <w:rPr>
            <w:rStyle w:val="Hypertextovodkaz"/>
            <w:noProof/>
          </w:rPr>
          <w:t>2.2.1</w:t>
        </w:r>
        <w:r w:rsidR="00094174">
          <w:rPr>
            <w:rFonts w:asciiTheme="minorHAnsi" w:eastAsiaTheme="minorEastAsia" w:hAnsiTheme="minorHAnsi" w:cstheme="minorBidi"/>
            <w:noProof/>
            <w:sz w:val="22"/>
          </w:rPr>
          <w:tab/>
        </w:r>
        <w:r w:rsidR="00094174" w:rsidRPr="000C0A65">
          <w:rPr>
            <w:rStyle w:val="Hypertextovodkaz"/>
            <w:noProof/>
          </w:rPr>
          <w:t>Krajské státní zastupitelství v Ostravě</w:t>
        </w:r>
        <w:r w:rsidR="00094174">
          <w:rPr>
            <w:noProof/>
            <w:webHidden/>
          </w:rPr>
          <w:tab/>
        </w:r>
        <w:r w:rsidR="00094174">
          <w:rPr>
            <w:noProof/>
            <w:webHidden/>
          </w:rPr>
          <w:fldChar w:fldCharType="begin"/>
        </w:r>
        <w:r w:rsidR="00094174">
          <w:rPr>
            <w:noProof/>
            <w:webHidden/>
          </w:rPr>
          <w:instrText xml:space="preserve"> PAGEREF _Toc170638002 \h </w:instrText>
        </w:r>
        <w:r w:rsidR="00094174">
          <w:rPr>
            <w:noProof/>
            <w:webHidden/>
          </w:rPr>
        </w:r>
        <w:r w:rsidR="00094174">
          <w:rPr>
            <w:noProof/>
            <w:webHidden/>
          </w:rPr>
          <w:fldChar w:fldCharType="separate"/>
        </w:r>
        <w:r w:rsidR="007460C5">
          <w:rPr>
            <w:noProof/>
            <w:webHidden/>
          </w:rPr>
          <w:t>25</w:t>
        </w:r>
        <w:r w:rsidR="00094174">
          <w:rPr>
            <w:noProof/>
            <w:webHidden/>
          </w:rPr>
          <w:fldChar w:fldCharType="end"/>
        </w:r>
      </w:hyperlink>
    </w:p>
    <w:p w14:paraId="570152EA"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03" w:history="1">
        <w:r w:rsidR="00094174" w:rsidRPr="000C0A65">
          <w:rPr>
            <w:rStyle w:val="Hypertextovodkaz"/>
            <w:noProof/>
          </w:rPr>
          <w:t>2.2.2</w:t>
        </w:r>
        <w:r w:rsidR="00094174">
          <w:rPr>
            <w:rFonts w:asciiTheme="minorHAnsi" w:eastAsiaTheme="minorEastAsia" w:hAnsiTheme="minorHAnsi" w:cstheme="minorBidi"/>
            <w:noProof/>
            <w:sz w:val="22"/>
          </w:rPr>
          <w:tab/>
        </w:r>
        <w:r w:rsidR="00094174" w:rsidRPr="000C0A65">
          <w:rPr>
            <w:rStyle w:val="Hypertextovodkaz"/>
            <w:noProof/>
          </w:rPr>
          <w:t>Výzkum z roku 2018</w:t>
        </w:r>
        <w:r w:rsidR="00094174">
          <w:rPr>
            <w:noProof/>
            <w:webHidden/>
          </w:rPr>
          <w:tab/>
        </w:r>
        <w:r w:rsidR="00094174">
          <w:rPr>
            <w:noProof/>
            <w:webHidden/>
          </w:rPr>
          <w:fldChar w:fldCharType="begin"/>
        </w:r>
        <w:r w:rsidR="00094174">
          <w:rPr>
            <w:noProof/>
            <w:webHidden/>
          </w:rPr>
          <w:instrText xml:space="preserve"> PAGEREF _Toc170638003 \h </w:instrText>
        </w:r>
        <w:r w:rsidR="00094174">
          <w:rPr>
            <w:noProof/>
            <w:webHidden/>
          </w:rPr>
        </w:r>
        <w:r w:rsidR="00094174">
          <w:rPr>
            <w:noProof/>
            <w:webHidden/>
          </w:rPr>
          <w:fldChar w:fldCharType="separate"/>
        </w:r>
        <w:r w:rsidR="007460C5">
          <w:rPr>
            <w:noProof/>
            <w:webHidden/>
          </w:rPr>
          <w:t>27</w:t>
        </w:r>
        <w:r w:rsidR="00094174">
          <w:rPr>
            <w:noProof/>
            <w:webHidden/>
          </w:rPr>
          <w:fldChar w:fldCharType="end"/>
        </w:r>
      </w:hyperlink>
    </w:p>
    <w:p w14:paraId="68D6C7BA"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04" w:history="1">
        <w:r w:rsidR="00094174" w:rsidRPr="000C0A65">
          <w:rPr>
            <w:rStyle w:val="Hypertextovodkaz"/>
            <w:noProof/>
          </w:rPr>
          <w:t>2.2.3</w:t>
        </w:r>
        <w:r w:rsidR="00094174">
          <w:rPr>
            <w:rFonts w:asciiTheme="minorHAnsi" w:eastAsiaTheme="minorEastAsia" w:hAnsiTheme="minorHAnsi" w:cstheme="minorBidi"/>
            <w:noProof/>
            <w:sz w:val="22"/>
          </w:rPr>
          <w:tab/>
        </w:r>
        <w:r w:rsidR="00094174" w:rsidRPr="000C0A65">
          <w:rPr>
            <w:rStyle w:val="Hypertextovodkaz"/>
            <w:noProof/>
          </w:rPr>
          <w:t>Dílčí závěr k výzkumům četnosti institutu</w:t>
        </w:r>
        <w:r w:rsidR="00094174">
          <w:rPr>
            <w:noProof/>
            <w:webHidden/>
          </w:rPr>
          <w:tab/>
        </w:r>
        <w:r w:rsidR="00094174">
          <w:rPr>
            <w:noProof/>
            <w:webHidden/>
          </w:rPr>
          <w:fldChar w:fldCharType="begin"/>
        </w:r>
        <w:r w:rsidR="00094174">
          <w:rPr>
            <w:noProof/>
            <w:webHidden/>
          </w:rPr>
          <w:instrText xml:space="preserve"> PAGEREF _Toc170638004 \h </w:instrText>
        </w:r>
        <w:r w:rsidR="00094174">
          <w:rPr>
            <w:noProof/>
            <w:webHidden/>
          </w:rPr>
        </w:r>
        <w:r w:rsidR="00094174">
          <w:rPr>
            <w:noProof/>
            <w:webHidden/>
          </w:rPr>
          <w:fldChar w:fldCharType="separate"/>
        </w:r>
        <w:r w:rsidR="007460C5">
          <w:rPr>
            <w:noProof/>
            <w:webHidden/>
          </w:rPr>
          <w:t>28</w:t>
        </w:r>
        <w:r w:rsidR="00094174">
          <w:rPr>
            <w:noProof/>
            <w:webHidden/>
          </w:rPr>
          <w:fldChar w:fldCharType="end"/>
        </w:r>
      </w:hyperlink>
    </w:p>
    <w:p w14:paraId="12B919EB" w14:textId="77777777" w:rsidR="00094174" w:rsidRDefault="00000000">
      <w:pPr>
        <w:pStyle w:val="Obsah2"/>
        <w:tabs>
          <w:tab w:val="left" w:pos="880"/>
          <w:tab w:val="right" w:leader="dot" w:pos="9395"/>
        </w:tabs>
        <w:rPr>
          <w:rFonts w:asciiTheme="minorHAnsi" w:eastAsiaTheme="minorEastAsia" w:hAnsiTheme="minorHAnsi" w:cstheme="minorBidi"/>
          <w:noProof/>
          <w:sz w:val="22"/>
        </w:rPr>
      </w:pPr>
      <w:hyperlink w:anchor="_Toc170638005" w:history="1">
        <w:r w:rsidR="00094174" w:rsidRPr="000C0A65">
          <w:rPr>
            <w:rStyle w:val="Hypertextovodkaz"/>
            <w:noProof/>
          </w:rPr>
          <w:t>2.3</w:t>
        </w:r>
        <w:r w:rsidR="00094174">
          <w:rPr>
            <w:rFonts w:asciiTheme="minorHAnsi" w:eastAsiaTheme="minorEastAsia" w:hAnsiTheme="minorHAnsi" w:cstheme="minorBidi"/>
            <w:noProof/>
            <w:sz w:val="22"/>
          </w:rPr>
          <w:tab/>
        </w:r>
        <w:r w:rsidR="00094174" w:rsidRPr="000C0A65">
          <w:rPr>
            <w:rStyle w:val="Hypertextovodkaz"/>
            <w:noProof/>
          </w:rPr>
          <w:t>Kolize zásad</w:t>
        </w:r>
        <w:r w:rsidR="00094174">
          <w:rPr>
            <w:noProof/>
            <w:webHidden/>
          </w:rPr>
          <w:tab/>
        </w:r>
        <w:r w:rsidR="00094174">
          <w:rPr>
            <w:noProof/>
            <w:webHidden/>
          </w:rPr>
          <w:fldChar w:fldCharType="begin"/>
        </w:r>
        <w:r w:rsidR="00094174">
          <w:rPr>
            <w:noProof/>
            <w:webHidden/>
          </w:rPr>
          <w:instrText xml:space="preserve"> PAGEREF _Toc170638005 \h </w:instrText>
        </w:r>
        <w:r w:rsidR="00094174">
          <w:rPr>
            <w:noProof/>
            <w:webHidden/>
          </w:rPr>
        </w:r>
        <w:r w:rsidR="00094174">
          <w:rPr>
            <w:noProof/>
            <w:webHidden/>
          </w:rPr>
          <w:fldChar w:fldCharType="separate"/>
        </w:r>
        <w:r w:rsidR="007460C5">
          <w:rPr>
            <w:noProof/>
            <w:webHidden/>
          </w:rPr>
          <w:t>29</w:t>
        </w:r>
        <w:r w:rsidR="00094174">
          <w:rPr>
            <w:noProof/>
            <w:webHidden/>
          </w:rPr>
          <w:fldChar w:fldCharType="end"/>
        </w:r>
      </w:hyperlink>
    </w:p>
    <w:p w14:paraId="6223FCB3"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06" w:history="1">
        <w:r w:rsidR="00094174" w:rsidRPr="000C0A65">
          <w:rPr>
            <w:rStyle w:val="Hypertextovodkaz"/>
            <w:noProof/>
          </w:rPr>
          <w:t>2.3.1</w:t>
        </w:r>
        <w:r w:rsidR="00094174">
          <w:rPr>
            <w:rFonts w:asciiTheme="minorHAnsi" w:eastAsiaTheme="minorEastAsia" w:hAnsiTheme="minorHAnsi" w:cstheme="minorBidi"/>
            <w:noProof/>
            <w:sz w:val="22"/>
          </w:rPr>
          <w:tab/>
        </w:r>
        <w:r w:rsidR="00094174" w:rsidRPr="000C0A65">
          <w:rPr>
            <w:rStyle w:val="Hypertextovodkaz"/>
            <w:noProof/>
          </w:rPr>
          <w:t>Zásada legality</w:t>
        </w:r>
        <w:r w:rsidR="00094174">
          <w:rPr>
            <w:noProof/>
            <w:webHidden/>
          </w:rPr>
          <w:tab/>
        </w:r>
        <w:r w:rsidR="00094174">
          <w:rPr>
            <w:noProof/>
            <w:webHidden/>
          </w:rPr>
          <w:fldChar w:fldCharType="begin"/>
        </w:r>
        <w:r w:rsidR="00094174">
          <w:rPr>
            <w:noProof/>
            <w:webHidden/>
          </w:rPr>
          <w:instrText xml:space="preserve"> PAGEREF _Toc170638006 \h </w:instrText>
        </w:r>
        <w:r w:rsidR="00094174">
          <w:rPr>
            <w:noProof/>
            <w:webHidden/>
          </w:rPr>
        </w:r>
        <w:r w:rsidR="00094174">
          <w:rPr>
            <w:noProof/>
            <w:webHidden/>
          </w:rPr>
          <w:fldChar w:fldCharType="separate"/>
        </w:r>
        <w:r w:rsidR="007460C5">
          <w:rPr>
            <w:noProof/>
            <w:webHidden/>
          </w:rPr>
          <w:t>30</w:t>
        </w:r>
        <w:r w:rsidR="00094174">
          <w:rPr>
            <w:noProof/>
            <w:webHidden/>
          </w:rPr>
          <w:fldChar w:fldCharType="end"/>
        </w:r>
      </w:hyperlink>
    </w:p>
    <w:p w14:paraId="19A23EF0"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07" w:history="1">
        <w:r w:rsidR="00094174" w:rsidRPr="000C0A65">
          <w:rPr>
            <w:rStyle w:val="Hypertextovodkaz"/>
            <w:noProof/>
          </w:rPr>
          <w:t>2.3.2</w:t>
        </w:r>
        <w:r w:rsidR="00094174">
          <w:rPr>
            <w:rFonts w:asciiTheme="minorHAnsi" w:eastAsiaTheme="minorEastAsia" w:hAnsiTheme="minorHAnsi" w:cstheme="minorBidi"/>
            <w:noProof/>
            <w:sz w:val="22"/>
          </w:rPr>
          <w:tab/>
        </w:r>
        <w:r w:rsidR="00094174" w:rsidRPr="000C0A65">
          <w:rPr>
            <w:rStyle w:val="Hypertextovodkaz"/>
            <w:noProof/>
          </w:rPr>
          <w:t>Zásada rovnosti zbraní</w:t>
        </w:r>
        <w:r w:rsidR="00094174">
          <w:rPr>
            <w:noProof/>
            <w:webHidden/>
          </w:rPr>
          <w:tab/>
        </w:r>
        <w:r w:rsidR="00094174">
          <w:rPr>
            <w:noProof/>
            <w:webHidden/>
          </w:rPr>
          <w:fldChar w:fldCharType="begin"/>
        </w:r>
        <w:r w:rsidR="00094174">
          <w:rPr>
            <w:noProof/>
            <w:webHidden/>
          </w:rPr>
          <w:instrText xml:space="preserve"> PAGEREF _Toc170638007 \h </w:instrText>
        </w:r>
        <w:r w:rsidR="00094174">
          <w:rPr>
            <w:noProof/>
            <w:webHidden/>
          </w:rPr>
        </w:r>
        <w:r w:rsidR="00094174">
          <w:rPr>
            <w:noProof/>
            <w:webHidden/>
          </w:rPr>
          <w:fldChar w:fldCharType="separate"/>
        </w:r>
        <w:r w:rsidR="007460C5">
          <w:rPr>
            <w:noProof/>
            <w:webHidden/>
          </w:rPr>
          <w:t>31</w:t>
        </w:r>
        <w:r w:rsidR="00094174">
          <w:rPr>
            <w:noProof/>
            <w:webHidden/>
          </w:rPr>
          <w:fldChar w:fldCharType="end"/>
        </w:r>
      </w:hyperlink>
    </w:p>
    <w:p w14:paraId="005543D9" w14:textId="77777777" w:rsidR="00094174" w:rsidRDefault="00000000">
      <w:pPr>
        <w:pStyle w:val="Obsah1"/>
        <w:rPr>
          <w:rFonts w:asciiTheme="minorHAnsi" w:eastAsiaTheme="minorEastAsia" w:hAnsiTheme="minorHAnsi" w:cstheme="minorBidi"/>
          <w:b w:val="0"/>
          <w:noProof/>
          <w:sz w:val="22"/>
        </w:rPr>
      </w:pPr>
      <w:hyperlink w:anchor="_Toc170638008" w:history="1">
        <w:r w:rsidR="00094174" w:rsidRPr="000C0A65">
          <w:rPr>
            <w:rStyle w:val="Hypertextovodkaz"/>
            <w:noProof/>
          </w:rPr>
          <w:t>3</w:t>
        </w:r>
        <w:r w:rsidR="00094174">
          <w:rPr>
            <w:rFonts w:asciiTheme="minorHAnsi" w:eastAsiaTheme="minorEastAsia" w:hAnsiTheme="minorHAnsi" w:cstheme="minorBidi"/>
            <w:b w:val="0"/>
            <w:noProof/>
            <w:sz w:val="22"/>
          </w:rPr>
          <w:tab/>
        </w:r>
        <w:r w:rsidR="00094174" w:rsidRPr="000C0A65">
          <w:rPr>
            <w:rStyle w:val="Hypertextovodkaz"/>
            <w:noProof/>
          </w:rPr>
          <w:t>Zahraniční právní úpravy</w:t>
        </w:r>
        <w:r w:rsidR="00094174">
          <w:rPr>
            <w:noProof/>
            <w:webHidden/>
          </w:rPr>
          <w:tab/>
        </w:r>
        <w:r w:rsidR="00094174">
          <w:rPr>
            <w:noProof/>
            <w:webHidden/>
          </w:rPr>
          <w:fldChar w:fldCharType="begin"/>
        </w:r>
        <w:r w:rsidR="00094174">
          <w:rPr>
            <w:noProof/>
            <w:webHidden/>
          </w:rPr>
          <w:instrText xml:space="preserve"> PAGEREF _Toc170638008 \h </w:instrText>
        </w:r>
        <w:r w:rsidR="00094174">
          <w:rPr>
            <w:noProof/>
            <w:webHidden/>
          </w:rPr>
        </w:r>
        <w:r w:rsidR="00094174">
          <w:rPr>
            <w:noProof/>
            <w:webHidden/>
          </w:rPr>
          <w:fldChar w:fldCharType="separate"/>
        </w:r>
        <w:r w:rsidR="007460C5">
          <w:rPr>
            <w:noProof/>
            <w:webHidden/>
          </w:rPr>
          <w:t>33</w:t>
        </w:r>
        <w:r w:rsidR="00094174">
          <w:rPr>
            <w:noProof/>
            <w:webHidden/>
          </w:rPr>
          <w:fldChar w:fldCharType="end"/>
        </w:r>
      </w:hyperlink>
    </w:p>
    <w:p w14:paraId="62189A52" w14:textId="77777777" w:rsidR="00094174" w:rsidRDefault="00000000">
      <w:pPr>
        <w:pStyle w:val="Obsah2"/>
        <w:tabs>
          <w:tab w:val="left" w:pos="880"/>
          <w:tab w:val="right" w:leader="dot" w:pos="9395"/>
        </w:tabs>
        <w:rPr>
          <w:rFonts w:asciiTheme="minorHAnsi" w:eastAsiaTheme="minorEastAsia" w:hAnsiTheme="minorHAnsi" w:cstheme="minorBidi"/>
          <w:noProof/>
          <w:sz w:val="22"/>
        </w:rPr>
      </w:pPr>
      <w:hyperlink w:anchor="_Toc170638009" w:history="1">
        <w:r w:rsidR="00094174" w:rsidRPr="000C0A65">
          <w:rPr>
            <w:rStyle w:val="Hypertextovodkaz"/>
            <w:noProof/>
          </w:rPr>
          <w:t>3.1</w:t>
        </w:r>
        <w:r w:rsidR="00094174">
          <w:rPr>
            <w:rFonts w:asciiTheme="minorHAnsi" w:eastAsiaTheme="minorEastAsia" w:hAnsiTheme="minorHAnsi" w:cstheme="minorBidi"/>
            <w:noProof/>
            <w:sz w:val="22"/>
          </w:rPr>
          <w:tab/>
        </w:r>
        <w:r w:rsidR="00094174" w:rsidRPr="000C0A65">
          <w:rPr>
            <w:rStyle w:val="Hypertextovodkaz"/>
            <w:noProof/>
          </w:rPr>
          <w:t>Slovenská republika</w:t>
        </w:r>
        <w:r w:rsidR="00094174">
          <w:rPr>
            <w:noProof/>
            <w:webHidden/>
          </w:rPr>
          <w:tab/>
        </w:r>
        <w:r w:rsidR="00094174">
          <w:rPr>
            <w:noProof/>
            <w:webHidden/>
          </w:rPr>
          <w:fldChar w:fldCharType="begin"/>
        </w:r>
        <w:r w:rsidR="00094174">
          <w:rPr>
            <w:noProof/>
            <w:webHidden/>
          </w:rPr>
          <w:instrText xml:space="preserve"> PAGEREF _Toc170638009 \h </w:instrText>
        </w:r>
        <w:r w:rsidR="00094174">
          <w:rPr>
            <w:noProof/>
            <w:webHidden/>
          </w:rPr>
        </w:r>
        <w:r w:rsidR="00094174">
          <w:rPr>
            <w:noProof/>
            <w:webHidden/>
          </w:rPr>
          <w:fldChar w:fldCharType="separate"/>
        </w:r>
        <w:r w:rsidR="007460C5">
          <w:rPr>
            <w:noProof/>
            <w:webHidden/>
          </w:rPr>
          <w:t>33</w:t>
        </w:r>
        <w:r w:rsidR="00094174">
          <w:rPr>
            <w:noProof/>
            <w:webHidden/>
          </w:rPr>
          <w:fldChar w:fldCharType="end"/>
        </w:r>
      </w:hyperlink>
    </w:p>
    <w:p w14:paraId="64E5285C" w14:textId="77777777" w:rsidR="00094174" w:rsidRDefault="00000000">
      <w:pPr>
        <w:pStyle w:val="Obsah2"/>
        <w:tabs>
          <w:tab w:val="left" w:pos="880"/>
          <w:tab w:val="right" w:leader="dot" w:pos="9395"/>
        </w:tabs>
        <w:rPr>
          <w:rFonts w:asciiTheme="minorHAnsi" w:eastAsiaTheme="minorEastAsia" w:hAnsiTheme="minorHAnsi" w:cstheme="minorBidi"/>
          <w:noProof/>
          <w:sz w:val="22"/>
        </w:rPr>
      </w:pPr>
      <w:hyperlink w:anchor="_Toc170638010" w:history="1">
        <w:r w:rsidR="00094174" w:rsidRPr="000C0A65">
          <w:rPr>
            <w:rStyle w:val="Hypertextovodkaz"/>
            <w:noProof/>
          </w:rPr>
          <w:t>3.2</w:t>
        </w:r>
        <w:r w:rsidR="00094174">
          <w:rPr>
            <w:rFonts w:asciiTheme="minorHAnsi" w:eastAsiaTheme="minorEastAsia" w:hAnsiTheme="minorHAnsi" w:cstheme="minorBidi"/>
            <w:noProof/>
            <w:sz w:val="22"/>
          </w:rPr>
          <w:tab/>
        </w:r>
        <w:r w:rsidR="00094174" w:rsidRPr="000C0A65">
          <w:rPr>
            <w:rStyle w:val="Hypertextovodkaz"/>
            <w:noProof/>
          </w:rPr>
          <w:t>Spojené státy americké</w:t>
        </w:r>
        <w:r w:rsidR="00094174">
          <w:rPr>
            <w:noProof/>
            <w:webHidden/>
          </w:rPr>
          <w:tab/>
        </w:r>
        <w:r w:rsidR="00094174">
          <w:rPr>
            <w:noProof/>
            <w:webHidden/>
          </w:rPr>
          <w:fldChar w:fldCharType="begin"/>
        </w:r>
        <w:r w:rsidR="00094174">
          <w:rPr>
            <w:noProof/>
            <w:webHidden/>
          </w:rPr>
          <w:instrText xml:space="preserve"> PAGEREF _Toc170638010 \h </w:instrText>
        </w:r>
        <w:r w:rsidR="00094174">
          <w:rPr>
            <w:noProof/>
            <w:webHidden/>
          </w:rPr>
        </w:r>
        <w:r w:rsidR="00094174">
          <w:rPr>
            <w:noProof/>
            <w:webHidden/>
          </w:rPr>
          <w:fldChar w:fldCharType="separate"/>
        </w:r>
        <w:r w:rsidR="007460C5">
          <w:rPr>
            <w:noProof/>
            <w:webHidden/>
          </w:rPr>
          <w:t>36</w:t>
        </w:r>
        <w:r w:rsidR="00094174">
          <w:rPr>
            <w:noProof/>
            <w:webHidden/>
          </w:rPr>
          <w:fldChar w:fldCharType="end"/>
        </w:r>
      </w:hyperlink>
    </w:p>
    <w:p w14:paraId="464A4137"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11" w:history="1">
        <w:r w:rsidR="00094174" w:rsidRPr="000C0A65">
          <w:rPr>
            <w:rStyle w:val="Hypertextovodkaz"/>
            <w:noProof/>
          </w:rPr>
          <w:t>3.2.1</w:t>
        </w:r>
        <w:r w:rsidR="00094174">
          <w:rPr>
            <w:rFonts w:asciiTheme="minorHAnsi" w:eastAsiaTheme="minorEastAsia" w:hAnsiTheme="minorHAnsi" w:cstheme="minorBidi"/>
            <w:noProof/>
            <w:sz w:val="22"/>
          </w:rPr>
          <w:tab/>
        </w:r>
        <w:r w:rsidR="00094174" w:rsidRPr="000C0A65">
          <w:rPr>
            <w:rStyle w:val="Hypertextovodkaz"/>
            <w:noProof/>
          </w:rPr>
          <w:t>Plea bargaining</w:t>
        </w:r>
        <w:r w:rsidR="00094174">
          <w:rPr>
            <w:noProof/>
            <w:webHidden/>
          </w:rPr>
          <w:tab/>
        </w:r>
        <w:r w:rsidR="00094174">
          <w:rPr>
            <w:noProof/>
            <w:webHidden/>
          </w:rPr>
          <w:fldChar w:fldCharType="begin"/>
        </w:r>
        <w:r w:rsidR="00094174">
          <w:rPr>
            <w:noProof/>
            <w:webHidden/>
          </w:rPr>
          <w:instrText xml:space="preserve"> PAGEREF _Toc170638011 \h </w:instrText>
        </w:r>
        <w:r w:rsidR="00094174">
          <w:rPr>
            <w:noProof/>
            <w:webHidden/>
          </w:rPr>
        </w:r>
        <w:r w:rsidR="00094174">
          <w:rPr>
            <w:noProof/>
            <w:webHidden/>
          </w:rPr>
          <w:fldChar w:fldCharType="separate"/>
        </w:r>
        <w:r w:rsidR="007460C5">
          <w:rPr>
            <w:noProof/>
            <w:webHidden/>
          </w:rPr>
          <w:t>36</w:t>
        </w:r>
        <w:r w:rsidR="00094174">
          <w:rPr>
            <w:noProof/>
            <w:webHidden/>
          </w:rPr>
          <w:fldChar w:fldCharType="end"/>
        </w:r>
      </w:hyperlink>
    </w:p>
    <w:p w14:paraId="29B4B51F"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12" w:history="1">
        <w:r w:rsidR="00094174" w:rsidRPr="000C0A65">
          <w:rPr>
            <w:rStyle w:val="Hypertextovodkaz"/>
            <w:noProof/>
          </w:rPr>
          <w:t>3.2.2</w:t>
        </w:r>
        <w:r w:rsidR="00094174">
          <w:rPr>
            <w:rFonts w:asciiTheme="minorHAnsi" w:eastAsiaTheme="minorEastAsia" w:hAnsiTheme="minorHAnsi" w:cstheme="minorBidi"/>
            <w:noProof/>
            <w:sz w:val="22"/>
          </w:rPr>
          <w:tab/>
        </w:r>
        <w:r w:rsidR="00094174" w:rsidRPr="000C0A65">
          <w:rPr>
            <w:rStyle w:val="Hypertextovodkaz"/>
            <w:noProof/>
          </w:rPr>
          <w:t>Cooperation agreements</w:t>
        </w:r>
        <w:r w:rsidR="00094174">
          <w:rPr>
            <w:noProof/>
            <w:webHidden/>
          </w:rPr>
          <w:tab/>
        </w:r>
        <w:r w:rsidR="00094174">
          <w:rPr>
            <w:noProof/>
            <w:webHidden/>
          </w:rPr>
          <w:fldChar w:fldCharType="begin"/>
        </w:r>
        <w:r w:rsidR="00094174">
          <w:rPr>
            <w:noProof/>
            <w:webHidden/>
          </w:rPr>
          <w:instrText xml:space="preserve"> PAGEREF _Toc170638012 \h </w:instrText>
        </w:r>
        <w:r w:rsidR="00094174">
          <w:rPr>
            <w:noProof/>
            <w:webHidden/>
          </w:rPr>
        </w:r>
        <w:r w:rsidR="00094174">
          <w:rPr>
            <w:noProof/>
            <w:webHidden/>
          </w:rPr>
          <w:fldChar w:fldCharType="separate"/>
        </w:r>
        <w:r w:rsidR="007460C5">
          <w:rPr>
            <w:noProof/>
            <w:webHidden/>
          </w:rPr>
          <w:t>37</w:t>
        </w:r>
        <w:r w:rsidR="00094174">
          <w:rPr>
            <w:noProof/>
            <w:webHidden/>
          </w:rPr>
          <w:fldChar w:fldCharType="end"/>
        </w:r>
      </w:hyperlink>
    </w:p>
    <w:p w14:paraId="14952D72"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13" w:history="1">
        <w:r w:rsidR="00094174" w:rsidRPr="000C0A65">
          <w:rPr>
            <w:rStyle w:val="Hypertextovodkaz"/>
            <w:noProof/>
          </w:rPr>
          <w:t>3.2.3</w:t>
        </w:r>
        <w:r w:rsidR="00094174">
          <w:rPr>
            <w:rFonts w:asciiTheme="minorHAnsi" w:eastAsiaTheme="minorEastAsia" w:hAnsiTheme="minorHAnsi" w:cstheme="minorBidi"/>
            <w:noProof/>
            <w:sz w:val="22"/>
          </w:rPr>
          <w:tab/>
        </w:r>
        <w:r w:rsidR="00094174" w:rsidRPr="000C0A65">
          <w:rPr>
            <w:rStyle w:val="Hypertextovodkaz"/>
            <w:noProof/>
          </w:rPr>
          <w:t>Witness immunity</w:t>
        </w:r>
        <w:r w:rsidR="00094174">
          <w:rPr>
            <w:noProof/>
            <w:webHidden/>
          </w:rPr>
          <w:tab/>
        </w:r>
        <w:r w:rsidR="00094174">
          <w:rPr>
            <w:noProof/>
            <w:webHidden/>
          </w:rPr>
          <w:fldChar w:fldCharType="begin"/>
        </w:r>
        <w:r w:rsidR="00094174">
          <w:rPr>
            <w:noProof/>
            <w:webHidden/>
          </w:rPr>
          <w:instrText xml:space="preserve"> PAGEREF _Toc170638013 \h </w:instrText>
        </w:r>
        <w:r w:rsidR="00094174">
          <w:rPr>
            <w:noProof/>
            <w:webHidden/>
          </w:rPr>
        </w:r>
        <w:r w:rsidR="00094174">
          <w:rPr>
            <w:noProof/>
            <w:webHidden/>
          </w:rPr>
          <w:fldChar w:fldCharType="separate"/>
        </w:r>
        <w:r w:rsidR="007460C5">
          <w:rPr>
            <w:noProof/>
            <w:webHidden/>
          </w:rPr>
          <w:t>38</w:t>
        </w:r>
        <w:r w:rsidR="00094174">
          <w:rPr>
            <w:noProof/>
            <w:webHidden/>
          </w:rPr>
          <w:fldChar w:fldCharType="end"/>
        </w:r>
      </w:hyperlink>
    </w:p>
    <w:p w14:paraId="39FD3752"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14" w:history="1">
        <w:r w:rsidR="00094174" w:rsidRPr="000C0A65">
          <w:rPr>
            <w:rStyle w:val="Hypertextovodkaz"/>
            <w:noProof/>
          </w:rPr>
          <w:t>3.2.4</w:t>
        </w:r>
        <w:r w:rsidR="00094174">
          <w:rPr>
            <w:rFonts w:asciiTheme="minorHAnsi" w:eastAsiaTheme="minorEastAsia" w:hAnsiTheme="minorHAnsi" w:cstheme="minorBidi"/>
            <w:noProof/>
            <w:sz w:val="22"/>
          </w:rPr>
          <w:tab/>
        </w:r>
        <w:r w:rsidR="00094174" w:rsidRPr="000C0A65">
          <w:rPr>
            <w:rStyle w:val="Hypertextovodkaz"/>
            <w:noProof/>
          </w:rPr>
          <w:t>Dílčí závěr k právní úpravě USA</w:t>
        </w:r>
        <w:r w:rsidR="00094174">
          <w:rPr>
            <w:noProof/>
            <w:webHidden/>
          </w:rPr>
          <w:tab/>
        </w:r>
        <w:r w:rsidR="00094174">
          <w:rPr>
            <w:noProof/>
            <w:webHidden/>
          </w:rPr>
          <w:fldChar w:fldCharType="begin"/>
        </w:r>
        <w:r w:rsidR="00094174">
          <w:rPr>
            <w:noProof/>
            <w:webHidden/>
          </w:rPr>
          <w:instrText xml:space="preserve"> PAGEREF _Toc170638014 \h </w:instrText>
        </w:r>
        <w:r w:rsidR="00094174">
          <w:rPr>
            <w:noProof/>
            <w:webHidden/>
          </w:rPr>
        </w:r>
        <w:r w:rsidR="00094174">
          <w:rPr>
            <w:noProof/>
            <w:webHidden/>
          </w:rPr>
          <w:fldChar w:fldCharType="separate"/>
        </w:r>
        <w:r w:rsidR="007460C5">
          <w:rPr>
            <w:noProof/>
            <w:webHidden/>
          </w:rPr>
          <w:t>39</w:t>
        </w:r>
        <w:r w:rsidR="00094174">
          <w:rPr>
            <w:noProof/>
            <w:webHidden/>
          </w:rPr>
          <w:fldChar w:fldCharType="end"/>
        </w:r>
      </w:hyperlink>
    </w:p>
    <w:p w14:paraId="42401483" w14:textId="77777777" w:rsidR="00094174" w:rsidRDefault="00000000">
      <w:pPr>
        <w:pStyle w:val="Obsah2"/>
        <w:tabs>
          <w:tab w:val="left" w:pos="880"/>
          <w:tab w:val="right" w:leader="dot" w:pos="9395"/>
        </w:tabs>
        <w:rPr>
          <w:rFonts w:asciiTheme="minorHAnsi" w:eastAsiaTheme="minorEastAsia" w:hAnsiTheme="minorHAnsi" w:cstheme="minorBidi"/>
          <w:noProof/>
          <w:sz w:val="22"/>
        </w:rPr>
      </w:pPr>
      <w:hyperlink w:anchor="_Toc170638015" w:history="1">
        <w:r w:rsidR="00094174" w:rsidRPr="000C0A65">
          <w:rPr>
            <w:rStyle w:val="Hypertextovodkaz"/>
            <w:noProof/>
          </w:rPr>
          <w:t>3.3</w:t>
        </w:r>
        <w:r w:rsidR="00094174">
          <w:rPr>
            <w:rFonts w:asciiTheme="minorHAnsi" w:eastAsiaTheme="minorEastAsia" w:hAnsiTheme="minorHAnsi" w:cstheme="minorBidi"/>
            <w:noProof/>
            <w:sz w:val="22"/>
          </w:rPr>
          <w:tab/>
        </w:r>
        <w:r w:rsidR="00094174" w:rsidRPr="000C0A65">
          <w:rPr>
            <w:rStyle w:val="Hypertextovodkaz"/>
            <w:noProof/>
          </w:rPr>
          <w:t>Itálie</w:t>
        </w:r>
        <w:r w:rsidR="00094174">
          <w:rPr>
            <w:noProof/>
            <w:webHidden/>
          </w:rPr>
          <w:tab/>
        </w:r>
        <w:r w:rsidR="00094174">
          <w:rPr>
            <w:noProof/>
            <w:webHidden/>
          </w:rPr>
          <w:fldChar w:fldCharType="begin"/>
        </w:r>
        <w:r w:rsidR="00094174">
          <w:rPr>
            <w:noProof/>
            <w:webHidden/>
          </w:rPr>
          <w:instrText xml:space="preserve"> PAGEREF _Toc170638015 \h </w:instrText>
        </w:r>
        <w:r w:rsidR="00094174">
          <w:rPr>
            <w:noProof/>
            <w:webHidden/>
          </w:rPr>
        </w:r>
        <w:r w:rsidR="00094174">
          <w:rPr>
            <w:noProof/>
            <w:webHidden/>
          </w:rPr>
          <w:fldChar w:fldCharType="separate"/>
        </w:r>
        <w:r w:rsidR="007460C5">
          <w:rPr>
            <w:noProof/>
            <w:webHidden/>
          </w:rPr>
          <w:t>40</w:t>
        </w:r>
        <w:r w:rsidR="00094174">
          <w:rPr>
            <w:noProof/>
            <w:webHidden/>
          </w:rPr>
          <w:fldChar w:fldCharType="end"/>
        </w:r>
      </w:hyperlink>
    </w:p>
    <w:p w14:paraId="2F5FC99F"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16" w:history="1">
        <w:r w:rsidR="00094174" w:rsidRPr="000C0A65">
          <w:rPr>
            <w:rStyle w:val="Hypertextovodkaz"/>
            <w:noProof/>
          </w:rPr>
          <w:t>3.3.1</w:t>
        </w:r>
        <w:r w:rsidR="00094174">
          <w:rPr>
            <w:rFonts w:asciiTheme="minorHAnsi" w:eastAsiaTheme="minorEastAsia" w:hAnsiTheme="minorHAnsi" w:cstheme="minorBidi"/>
            <w:noProof/>
            <w:sz w:val="22"/>
          </w:rPr>
          <w:tab/>
        </w:r>
        <w:r w:rsidR="00094174" w:rsidRPr="000C0A65">
          <w:rPr>
            <w:rStyle w:val="Hypertextovodkaz"/>
            <w:noProof/>
          </w:rPr>
          <w:t>Collaboratore di giustizia</w:t>
        </w:r>
        <w:r w:rsidR="00094174">
          <w:rPr>
            <w:noProof/>
            <w:webHidden/>
          </w:rPr>
          <w:tab/>
        </w:r>
        <w:r w:rsidR="00094174">
          <w:rPr>
            <w:noProof/>
            <w:webHidden/>
          </w:rPr>
          <w:fldChar w:fldCharType="begin"/>
        </w:r>
        <w:r w:rsidR="00094174">
          <w:rPr>
            <w:noProof/>
            <w:webHidden/>
          </w:rPr>
          <w:instrText xml:space="preserve"> PAGEREF _Toc170638016 \h </w:instrText>
        </w:r>
        <w:r w:rsidR="00094174">
          <w:rPr>
            <w:noProof/>
            <w:webHidden/>
          </w:rPr>
        </w:r>
        <w:r w:rsidR="00094174">
          <w:rPr>
            <w:noProof/>
            <w:webHidden/>
          </w:rPr>
          <w:fldChar w:fldCharType="separate"/>
        </w:r>
        <w:r w:rsidR="007460C5">
          <w:rPr>
            <w:noProof/>
            <w:webHidden/>
          </w:rPr>
          <w:t>41</w:t>
        </w:r>
        <w:r w:rsidR="00094174">
          <w:rPr>
            <w:noProof/>
            <w:webHidden/>
          </w:rPr>
          <w:fldChar w:fldCharType="end"/>
        </w:r>
      </w:hyperlink>
    </w:p>
    <w:p w14:paraId="08C69F0C"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17" w:history="1">
        <w:r w:rsidR="00094174" w:rsidRPr="000C0A65">
          <w:rPr>
            <w:rStyle w:val="Hypertextovodkaz"/>
            <w:noProof/>
          </w:rPr>
          <w:t>3.3.2</w:t>
        </w:r>
        <w:r w:rsidR="00094174">
          <w:rPr>
            <w:rFonts w:asciiTheme="minorHAnsi" w:eastAsiaTheme="minorEastAsia" w:hAnsiTheme="minorHAnsi" w:cstheme="minorBidi"/>
            <w:noProof/>
            <w:sz w:val="22"/>
          </w:rPr>
          <w:tab/>
        </w:r>
        <w:r w:rsidR="00094174" w:rsidRPr="000C0A65">
          <w:rPr>
            <w:rStyle w:val="Hypertextovodkaz"/>
            <w:noProof/>
          </w:rPr>
          <w:t>Testimone di giustizia</w:t>
        </w:r>
        <w:r w:rsidR="00094174">
          <w:rPr>
            <w:noProof/>
            <w:webHidden/>
          </w:rPr>
          <w:tab/>
        </w:r>
        <w:r w:rsidR="00094174">
          <w:rPr>
            <w:noProof/>
            <w:webHidden/>
          </w:rPr>
          <w:fldChar w:fldCharType="begin"/>
        </w:r>
        <w:r w:rsidR="00094174">
          <w:rPr>
            <w:noProof/>
            <w:webHidden/>
          </w:rPr>
          <w:instrText xml:space="preserve"> PAGEREF _Toc170638017 \h </w:instrText>
        </w:r>
        <w:r w:rsidR="00094174">
          <w:rPr>
            <w:noProof/>
            <w:webHidden/>
          </w:rPr>
        </w:r>
        <w:r w:rsidR="00094174">
          <w:rPr>
            <w:noProof/>
            <w:webHidden/>
          </w:rPr>
          <w:fldChar w:fldCharType="separate"/>
        </w:r>
        <w:r w:rsidR="007460C5">
          <w:rPr>
            <w:noProof/>
            <w:webHidden/>
          </w:rPr>
          <w:t>44</w:t>
        </w:r>
        <w:r w:rsidR="00094174">
          <w:rPr>
            <w:noProof/>
            <w:webHidden/>
          </w:rPr>
          <w:fldChar w:fldCharType="end"/>
        </w:r>
      </w:hyperlink>
    </w:p>
    <w:p w14:paraId="46D0515F" w14:textId="77777777" w:rsidR="00094174" w:rsidRDefault="00000000">
      <w:pPr>
        <w:pStyle w:val="Obsah3"/>
        <w:tabs>
          <w:tab w:val="left" w:pos="1320"/>
          <w:tab w:val="right" w:leader="dot" w:pos="9395"/>
        </w:tabs>
        <w:rPr>
          <w:rFonts w:asciiTheme="minorHAnsi" w:eastAsiaTheme="minorEastAsia" w:hAnsiTheme="minorHAnsi" w:cstheme="minorBidi"/>
          <w:noProof/>
          <w:sz w:val="22"/>
        </w:rPr>
      </w:pPr>
      <w:hyperlink w:anchor="_Toc170638018" w:history="1">
        <w:r w:rsidR="00094174" w:rsidRPr="000C0A65">
          <w:rPr>
            <w:rStyle w:val="Hypertextovodkaz"/>
            <w:noProof/>
          </w:rPr>
          <w:t>3.3.3</w:t>
        </w:r>
        <w:r w:rsidR="00094174">
          <w:rPr>
            <w:rFonts w:asciiTheme="minorHAnsi" w:eastAsiaTheme="minorEastAsia" w:hAnsiTheme="minorHAnsi" w:cstheme="minorBidi"/>
            <w:noProof/>
            <w:sz w:val="22"/>
          </w:rPr>
          <w:tab/>
        </w:r>
        <w:r w:rsidR="00094174" w:rsidRPr="000C0A65">
          <w:rPr>
            <w:rStyle w:val="Hypertextovodkaz"/>
            <w:noProof/>
          </w:rPr>
          <w:t>Dílčí závěr k italské právní úpravě</w:t>
        </w:r>
        <w:r w:rsidR="00094174">
          <w:rPr>
            <w:noProof/>
            <w:webHidden/>
          </w:rPr>
          <w:tab/>
        </w:r>
        <w:r w:rsidR="00094174">
          <w:rPr>
            <w:noProof/>
            <w:webHidden/>
          </w:rPr>
          <w:fldChar w:fldCharType="begin"/>
        </w:r>
        <w:r w:rsidR="00094174">
          <w:rPr>
            <w:noProof/>
            <w:webHidden/>
          </w:rPr>
          <w:instrText xml:space="preserve"> PAGEREF _Toc170638018 \h </w:instrText>
        </w:r>
        <w:r w:rsidR="00094174">
          <w:rPr>
            <w:noProof/>
            <w:webHidden/>
          </w:rPr>
        </w:r>
        <w:r w:rsidR="00094174">
          <w:rPr>
            <w:noProof/>
            <w:webHidden/>
          </w:rPr>
          <w:fldChar w:fldCharType="separate"/>
        </w:r>
        <w:r w:rsidR="007460C5">
          <w:rPr>
            <w:noProof/>
            <w:webHidden/>
          </w:rPr>
          <w:t>45</w:t>
        </w:r>
        <w:r w:rsidR="00094174">
          <w:rPr>
            <w:noProof/>
            <w:webHidden/>
          </w:rPr>
          <w:fldChar w:fldCharType="end"/>
        </w:r>
      </w:hyperlink>
    </w:p>
    <w:p w14:paraId="40CE8453" w14:textId="77777777" w:rsidR="00094174" w:rsidRDefault="00000000">
      <w:pPr>
        <w:pStyle w:val="Obsah1"/>
        <w:rPr>
          <w:rFonts w:asciiTheme="minorHAnsi" w:eastAsiaTheme="minorEastAsia" w:hAnsiTheme="minorHAnsi" w:cstheme="minorBidi"/>
          <w:b w:val="0"/>
          <w:noProof/>
          <w:sz w:val="22"/>
        </w:rPr>
      </w:pPr>
      <w:hyperlink w:anchor="_Toc170638019" w:history="1">
        <w:r w:rsidR="00094174" w:rsidRPr="000C0A65">
          <w:rPr>
            <w:rStyle w:val="Hypertextovodkaz"/>
            <w:noProof/>
          </w:rPr>
          <w:t>4</w:t>
        </w:r>
        <w:r w:rsidR="00094174">
          <w:rPr>
            <w:rFonts w:asciiTheme="minorHAnsi" w:eastAsiaTheme="minorEastAsia" w:hAnsiTheme="minorHAnsi" w:cstheme="minorBidi"/>
            <w:b w:val="0"/>
            <w:noProof/>
            <w:sz w:val="22"/>
          </w:rPr>
          <w:tab/>
        </w:r>
        <w:r w:rsidR="00094174" w:rsidRPr="000C0A65">
          <w:rPr>
            <w:rStyle w:val="Hypertextovodkaz"/>
            <w:noProof/>
          </w:rPr>
          <w:t>Ochrana spolupracujícího obviněného</w:t>
        </w:r>
        <w:r w:rsidR="00094174">
          <w:rPr>
            <w:noProof/>
            <w:webHidden/>
          </w:rPr>
          <w:tab/>
        </w:r>
        <w:r w:rsidR="00094174">
          <w:rPr>
            <w:noProof/>
            <w:webHidden/>
          </w:rPr>
          <w:fldChar w:fldCharType="begin"/>
        </w:r>
        <w:r w:rsidR="00094174">
          <w:rPr>
            <w:noProof/>
            <w:webHidden/>
          </w:rPr>
          <w:instrText xml:space="preserve"> PAGEREF _Toc170638019 \h </w:instrText>
        </w:r>
        <w:r w:rsidR="00094174">
          <w:rPr>
            <w:noProof/>
            <w:webHidden/>
          </w:rPr>
        </w:r>
        <w:r w:rsidR="00094174">
          <w:rPr>
            <w:noProof/>
            <w:webHidden/>
          </w:rPr>
          <w:fldChar w:fldCharType="separate"/>
        </w:r>
        <w:r w:rsidR="007460C5">
          <w:rPr>
            <w:noProof/>
            <w:webHidden/>
          </w:rPr>
          <w:t>47</w:t>
        </w:r>
        <w:r w:rsidR="00094174">
          <w:rPr>
            <w:noProof/>
            <w:webHidden/>
          </w:rPr>
          <w:fldChar w:fldCharType="end"/>
        </w:r>
      </w:hyperlink>
    </w:p>
    <w:p w14:paraId="4DB743AF" w14:textId="77777777" w:rsidR="00094174" w:rsidRDefault="00000000">
      <w:pPr>
        <w:pStyle w:val="Obsah1"/>
        <w:rPr>
          <w:rFonts w:asciiTheme="minorHAnsi" w:eastAsiaTheme="minorEastAsia" w:hAnsiTheme="minorHAnsi" w:cstheme="minorBidi"/>
          <w:b w:val="0"/>
          <w:noProof/>
          <w:sz w:val="22"/>
        </w:rPr>
      </w:pPr>
      <w:hyperlink w:anchor="_Toc170638020" w:history="1">
        <w:r w:rsidR="00094174" w:rsidRPr="000C0A65">
          <w:rPr>
            <w:rStyle w:val="Hypertextovodkaz"/>
            <w:noProof/>
          </w:rPr>
          <w:t>Závěr</w:t>
        </w:r>
        <w:r w:rsidR="00094174">
          <w:rPr>
            <w:noProof/>
            <w:webHidden/>
          </w:rPr>
          <w:tab/>
        </w:r>
        <w:r w:rsidR="00094174">
          <w:rPr>
            <w:noProof/>
            <w:webHidden/>
          </w:rPr>
          <w:fldChar w:fldCharType="begin"/>
        </w:r>
        <w:r w:rsidR="00094174">
          <w:rPr>
            <w:noProof/>
            <w:webHidden/>
          </w:rPr>
          <w:instrText xml:space="preserve"> PAGEREF _Toc170638020 \h </w:instrText>
        </w:r>
        <w:r w:rsidR="00094174">
          <w:rPr>
            <w:noProof/>
            <w:webHidden/>
          </w:rPr>
        </w:r>
        <w:r w:rsidR="00094174">
          <w:rPr>
            <w:noProof/>
            <w:webHidden/>
          </w:rPr>
          <w:fldChar w:fldCharType="separate"/>
        </w:r>
        <w:r w:rsidR="007460C5">
          <w:rPr>
            <w:noProof/>
            <w:webHidden/>
          </w:rPr>
          <w:t>49</w:t>
        </w:r>
        <w:r w:rsidR="00094174">
          <w:rPr>
            <w:noProof/>
            <w:webHidden/>
          </w:rPr>
          <w:fldChar w:fldCharType="end"/>
        </w:r>
      </w:hyperlink>
    </w:p>
    <w:p w14:paraId="0AAC811F" w14:textId="77777777" w:rsidR="00094174" w:rsidRDefault="00000000">
      <w:pPr>
        <w:pStyle w:val="Obsah1"/>
        <w:rPr>
          <w:rFonts w:asciiTheme="minorHAnsi" w:eastAsiaTheme="minorEastAsia" w:hAnsiTheme="minorHAnsi" w:cstheme="minorBidi"/>
          <w:b w:val="0"/>
          <w:noProof/>
          <w:sz w:val="22"/>
        </w:rPr>
      </w:pPr>
      <w:hyperlink w:anchor="_Toc170638021" w:history="1">
        <w:r w:rsidR="00094174" w:rsidRPr="000C0A65">
          <w:rPr>
            <w:rStyle w:val="Hypertextovodkaz"/>
            <w:noProof/>
          </w:rPr>
          <w:t>Seznam použitých zdrojů</w:t>
        </w:r>
        <w:r w:rsidR="00094174">
          <w:rPr>
            <w:noProof/>
            <w:webHidden/>
          </w:rPr>
          <w:tab/>
        </w:r>
        <w:r w:rsidR="00094174">
          <w:rPr>
            <w:noProof/>
            <w:webHidden/>
          </w:rPr>
          <w:fldChar w:fldCharType="begin"/>
        </w:r>
        <w:r w:rsidR="00094174">
          <w:rPr>
            <w:noProof/>
            <w:webHidden/>
          </w:rPr>
          <w:instrText xml:space="preserve"> PAGEREF _Toc170638021 \h </w:instrText>
        </w:r>
        <w:r w:rsidR="00094174">
          <w:rPr>
            <w:noProof/>
            <w:webHidden/>
          </w:rPr>
        </w:r>
        <w:r w:rsidR="00094174">
          <w:rPr>
            <w:noProof/>
            <w:webHidden/>
          </w:rPr>
          <w:fldChar w:fldCharType="separate"/>
        </w:r>
        <w:r w:rsidR="007460C5">
          <w:rPr>
            <w:noProof/>
            <w:webHidden/>
          </w:rPr>
          <w:t>53</w:t>
        </w:r>
        <w:r w:rsidR="00094174">
          <w:rPr>
            <w:noProof/>
            <w:webHidden/>
          </w:rPr>
          <w:fldChar w:fldCharType="end"/>
        </w:r>
      </w:hyperlink>
    </w:p>
    <w:p w14:paraId="16E22EFF" w14:textId="77777777" w:rsidR="00094174" w:rsidRDefault="00000000">
      <w:pPr>
        <w:pStyle w:val="Obsah1"/>
        <w:rPr>
          <w:rFonts w:asciiTheme="minorHAnsi" w:eastAsiaTheme="minorEastAsia" w:hAnsiTheme="minorHAnsi" w:cstheme="minorBidi"/>
          <w:b w:val="0"/>
          <w:noProof/>
          <w:sz w:val="22"/>
        </w:rPr>
      </w:pPr>
      <w:hyperlink w:anchor="_Toc170638022" w:history="1">
        <w:r w:rsidR="00094174" w:rsidRPr="000C0A65">
          <w:rPr>
            <w:rStyle w:val="Hypertextovodkaz"/>
            <w:noProof/>
          </w:rPr>
          <w:t>Seznam grafů</w:t>
        </w:r>
        <w:r w:rsidR="00094174">
          <w:rPr>
            <w:noProof/>
            <w:webHidden/>
          </w:rPr>
          <w:tab/>
        </w:r>
        <w:r w:rsidR="00094174">
          <w:rPr>
            <w:noProof/>
            <w:webHidden/>
          </w:rPr>
          <w:fldChar w:fldCharType="begin"/>
        </w:r>
        <w:r w:rsidR="00094174">
          <w:rPr>
            <w:noProof/>
            <w:webHidden/>
          </w:rPr>
          <w:instrText xml:space="preserve"> PAGEREF _Toc170638022 \h </w:instrText>
        </w:r>
        <w:r w:rsidR="00094174">
          <w:rPr>
            <w:noProof/>
            <w:webHidden/>
          </w:rPr>
        </w:r>
        <w:r w:rsidR="00094174">
          <w:rPr>
            <w:noProof/>
            <w:webHidden/>
          </w:rPr>
          <w:fldChar w:fldCharType="separate"/>
        </w:r>
        <w:r w:rsidR="007460C5">
          <w:rPr>
            <w:noProof/>
            <w:webHidden/>
          </w:rPr>
          <w:t>59</w:t>
        </w:r>
        <w:r w:rsidR="00094174">
          <w:rPr>
            <w:noProof/>
            <w:webHidden/>
          </w:rPr>
          <w:fldChar w:fldCharType="end"/>
        </w:r>
      </w:hyperlink>
    </w:p>
    <w:p w14:paraId="7E31B0F8" w14:textId="77777777" w:rsidR="00094174" w:rsidRDefault="00000000">
      <w:pPr>
        <w:pStyle w:val="Obsah1"/>
        <w:rPr>
          <w:rFonts w:asciiTheme="minorHAnsi" w:eastAsiaTheme="minorEastAsia" w:hAnsiTheme="minorHAnsi" w:cstheme="minorBidi"/>
          <w:b w:val="0"/>
          <w:noProof/>
          <w:sz w:val="22"/>
        </w:rPr>
      </w:pPr>
      <w:hyperlink w:anchor="_Toc170638023" w:history="1">
        <w:r w:rsidR="00094174" w:rsidRPr="000C0A65">
          <w:rPr>
            <w:rStyle w:val="Hypertextovodkaz"/>
            <w:noProof/>
          </w:rPr>
          <w:t>Abstrakt</w:t>
        </w:r>
        <w:r w:rsidR="00094174">
          <w:rPr>
            <w:noProof/>
            <w:webHidden/>
          </w:rPr>
          <w:tab/>
        </w:r>
        <w:r w:rsidR="00094174">
          <w:rPr>
            <w:noProof/>
            <w:webHidden/>
          </w:rPr>
          <w:fldChar w:fldCharType="begin"/>
        </w:r>
        <w:r w:rsidR="00094174">
          <w:rPr>
            <w:noProof/>
            <w:webHidden/>
          </w:rPr>
          <w:instrText xml:space="preserve"> PAGEREF _Toc170638023 \h </w:instrText>
        </w:r>
        <w:r w:rsidR="00094174">
          <w:rPr>
            <w:noProof/>
            <w:webHidden/>
          </w:rPr>
        </w:r>
        <w:r w:rsidR="00094174">
          <w:rPr>
            <w:noProof/>
            <w:webHidden/>
          </w:rPr>
          <w:fldChar w:fldCharType="separate"/>
        </w:r>
        <w:r w:rsidR="007460C5">
          <w:rPr>
            <w:noProof/>
            <w:webHidden/>
          </w:rPr>
          <w:t>60</w:t>
        </w:r>
        <w:r w:rsidR="00094174">
          <w:rPr>
            <w:noProof/>
            <w:webHidden/>
          </w:rPr>
          <w:fldChar w:fldCharType="end"/>
        </w:r>
      </w:hyperlink>
    </w:p>
    <w:p w14:paraId="535F0D1C" w14:textId="77777777" w:rsidR="00094174" w:rsidRDefault="00000000">
      <w:pPr>
        <w:pStyle w:val="Obsah1"/>
        <w:rPr>
          <w:rFonts w:asciiTheme="minorHAnsi" w:eastAsiaTheme="minorEastAsia" w:hAnsiTheme="minorHAnsi" w:cstheme="minorBidi"/>
          <w:b w:val="0"/>
          <w:noProof/>
          <w:sz w:val="22"/>
        </w:rPr>
      </w:pPr>
      <w:hyperlink w:anchor="_Toc170638024" w:history="1">
        <w:r w:rsidR="00094174" w:rsidRPr="000C0A65">
          <w:rPr>
            <w:rStyle w:val="Hypertextovodkaz"/>
            <w:noProof/>
            <w:lang w:val="en-GB"/>
          </w:rPr>
          <w:t>Abstract</w:t>
        </w:r>
        <w:r w:rsidR="00094174">
          <w:rPr>
            <w:noProof/>
            <w:webHidden/>
          </w:rPr>
          <w:tab/>
        </w:r>
        <w:r w:rsidR="00094174">
          <w:rPr>
            <w:noProof/>
            <w:webHidden/>
          </w:rPr>
          <w:fldChar w:fldCharType="begin"/>
        </w:r>
        <w:r w:rsidR="00094174">
          <w:rPr>
            <w:noProof/>
            <w:webHidden/>
          </w:rPr>
          <w:instrText xml:space="preserve"> PAGEREF _Toc170638024 \h </w:instrText>
        </w:r>
        <w:r w:rsidR="00094174">
          <w:rPr>
            <w:noProof/>
            <w:webHidden/>
          </w:rPr>
        </w:r>
        <w:r w:rsidR="00094174">
          <w:rPr>
            <w:noProof/>
            <w:webHidden/>
          </w:rPr>
          <w:fldChar w:fldCharType="separate"/>
        </w:r>
        <w:r w:rsidR="007460C5">
          <w:rPr>
            <w:noProof/>
            <w:webHidden/>
          </w:rPr>
          <w:t>61</w:t>
        </w:r>
        <w:r w:rsidR="00094174">
          <w:rPr>
            <w:noProof/>
            <w:webHidden/>
          </w:rPr>
          <w:fldChar w:fldCharType="end"/>
        </w:r>
      </w:hyperlink>
    </w:p>
    <w:p w14:paraId="04814A5E" w14:textId="652E6FB0" w:rsidR="005066D7" w:rsidRDefault="004733BD" w:rsidP="000704A4">
      <w:pPr>
        <w:pStyle w:val="format"/>
      </w:pPr>
      <w:r>
        <w:rPr>
          <w:b/>
          <w:szCs w:val="22"/>
        </w:rPr>
        <w:fldChar w:fldCharType="end"/>
      </w:r>
    </w:p>
    <w:p w14:paraId="13770367" w14:textId="77777777" w:rsidR="004E1FC6" w:rsidRPr="00681F1F" w:rsidRDefault="004E1FC6" w:rsidP="004E1FC6">
      <w:pPr>
        <w:pStyle w:val="format"/>
        <w:spacing w:after="240"/>
        <w:ind w:firstLine="0"/>
        <w:rPr>
          <w:b/>
          <w:sz w:val="32"/>
          <w:szCs w:val="32"/>
        </w:rPr>
      </w:pPr>
      <w:r>
        <w:br w:type="page"/>
      </w:r>
      <w:r w:rsidRPr="00681F1F">
        <w:rPr>
          <w:b/>
          <w:sz w:val="32"/>
          <w:szCs w:val="32"/>
        </w:rPr>
        <w:lastRenderedPageBreak/>
        <w:t>Seznam použitých zkratek</w:t>
      </w:r>
    </w:p>
    <w:p w14:paraId="1618173D" w14:textId="77777777" w:rsidR="00057B0B" w:rsidRDefault="00057B0B" w:rsidP="00073C2D">
      <w:pPr>
        <w:pStyle w:val="format"/>
        <w:spacing w:after="120"/>
        <w:ind w:firstLine="0"/>
      </w:pPr>
      <w:r>
        <w:t>ČR – Česká republika</w:t>
      </w:r>
    </w:p>
    <w:p w14:paraId="354043B8" w14:textId="77777777" w:rsidR="00057B0B" w:rsidRPr="005066D7" w:rsidRDefault="00057B0B" w:rsidP="00057B0B">
      <w:pPr>
        <w:pStyle w:val="format"/>
        <w:spacing w:after="120"/>
        <w:ind w:firstLine="0"/>
      </w:pPr>
      <w:r>
        <w:t xml:space="preserve">KSZ – </w:t>
      </w:r>
      <w:r w:rsidRPr="00057B0B">
        <w:t>Krajské státní zastupitelství</w:t>
      </w:r>
    </w:p>
    <w:p w14:paraId="7D72CB66" w14:textId="77777777" w:rsidR="00057B0B" w:rsidRDefault="00057B0B" w:rsidP="00057B0B">
      <w:pPr>
        <w:pStyle w:val="format"/>
        <w:spacing w:after="120"/>
        <w:ind w:firstLine="0"/>
      </w:pPr>
      <w:r>
        <w:t>SO – spolupracující obviněný</w:t>
      </w:r>
    </w:p>
    <w:p w14:paraId="37F1F4ED" w14:textId="77777777" w:rsidR="00057B0B" w:rsidRPr="00ED59E7" w:rsidRDefault="00057B0B" w:rsidP="00073C2D">
      <w:pPr>
        <w:pStyle w:val="format"/>
        <w:spacing w:after="120"/>
        <w:ind w:firstLine="0"/>
      </w:pPr>
      <w:r>
        <w:t>TP – trestný poriadok</w:t>
      </w:r>
    </w:p>
    <w:p w14:paraId="584DFF17" w14:textId="77777777" w:rsidR="00057B0B" w:rsidRPr="00ED59E7" w:rsidRDefault="00057B0B" w:rsidP="00073C2D">
      <w:pPr>
        <w:pStyle w:val="format"/>
        <w:spacing w:after="120"/>
        <w:ind w:firstLine="0"/>
      </w:pPr>
      <w:r>
        <w:t>TrZ – trestný zákon</w:t>
      </w:r>
    </w:p>
    <w:p w14:paraId="433FEAC6" w14:textId="77777777" w:rsidR="00057B0B" w:rsidRPr="00ED59E7" w:rsidRDefault="00057B0B" w:rsidP="00073C2D">
      <w:pPr>
        <w:pStyle w:val="format"/>
        <w:spacing w:after="120"/>
        <w:ind w:firstLine="0"/>
      </w:pPr>
      <w:r>
        <w:t>TŘ – trestní řád</w:t>
      </w:r>
    </w:p>
    <w:p w14:paraId="061E8A78" w14:textId="77777777" w:rsidR="00057B0B" w:rsidRPr="00ED59E7" w:rsidRDefault="00057B0B" w:rsidP="00073C2D">
      <w:pPr>
        <w:pStyle w:val="format"/>
        <w:spacing w:after="120"/>
        <w:ind w:firstLine="0"/>
      </w:pPr>
      <w:r>
        <w:t>TZ – trestní zákoník</w:t>
      </w:r>
    </w:p>
    <w:p w14:paraId="5CB2DD95" w14:textId="77777777" w:rsidR="00057B0B" w:rsidRPr="00ED59E7" w:rsidRDefault="00057B0B" w:rsidP="00073C2D">
      <w:pPr>
        <w:pStyle w:val="format"/>
        <w:spacing w:after="120"/>
        <w:ind w:firstLine="0"/>
      </w:pPr>
      <w:r w:rsidRPr="00E26293">
        <w:t>ÚS – Ústavní soud</w:t>
      </w:r>
    </w:p>
    <w:p w14:paraId="54EB7B9D" w14:textId="77777777" w:rsidR="00057B0B" w:rsidRDefault="00057B0B" w:rsidP="00073C2D">
      <w:pPr>
        <w:pStyle w:val="format"/>
        <w:spacing w:after="120"/>
        <w:ind w:firstLine="0"/>
      </w:pPr>
      <w:r w:rsidRPr="00ED59E7">
        <w:t>USA – United States of America, Spojené státy americké</w:t>
      </w:r>
    </w:p>
    <w:p w14:paraId="1B664902" w14:textId="77777777" w:rsidR="005066D7" w:rsidRDefault="005066D7" w:rsidP="005066D7">
      <w:pPr>
        <w:pStyle w:val="format"/>
        <w:ind w:firstLine="0"/>
      </w:pPr>
    </w:p>
    <w:p w14:paraId="1B2E3C1F" w14:textId="77777777" w:rsidR="009144D1" w:rsidRDefault="009144D1" w:rsidP="004E1FC6">
      <w:pPr>
        <w:pStyle w:val="format"/>
        <w:sectPr w:rsidR="009144D1" w:rsidSect="00976FD4">
          <w:pgSz w:w="12240" w:h="15840"/>
          <w:pgMar w:top="1418" w:right="1134" w:bottom="1418" w:left="1701" w:header="709" w:footer="709" w:gutter="0"/>
          <w:cols w:space="708"/>
          <w:noEndnote/>
        </w:sectPr>
      </w:pPr>
    </w:p>
    <w:p w14:paraId="555BF031" w14:textId="3ADE28E5" w:rsidR="008C25E8" w:rsidRPr="00E943B1" w:rsidRDefault="008C25E8" w:rsidP="005066D7">
      <w:pPr>
        <w:pStyle w:val="Nadpis1"/>
        <w:numPr>
          <w:ilvl w:val="0"/>
          <w:numId w:val="0"/>
        </w:numPr>
      </w:pPr>
      <w:bookmarkStart w:id="0" w:name="_Toc170637990"/>
      <w:r w:rsidRPr="00E262D2">
        <w:lastRenderedPageBreak/>
        <w:t>Úvod</w:t>
      </w:r>
      <w:bookmarkEnd w:id="0"/>
    </w:p>
    <w:p w14:paraId="223D1636" w14:textId="4AAEDC86" w:rsidR="00860C53" w:rsidRPr="00E943B1" w:rsidRDefault="00357E38" w:rsidP="00E262D2">
      <w:pPr>
        <w:pStyle w:val="format"/>
      </w:pPr>
      <w:r>
        <w:t>Předkládaná</w:t>
      </w:r>
      <w:r w:rsidRPr="00E943B1">
        <w:t xml:space="preserve"> </w:t>
      </w:r>
      <w:r w:rsidR="008C25E8" w:rsidRPr="00E943B1">
        <w:t>diplomová práce se zaměřuje na institut spolupracujícího obviněného v</w:t>
      </w:r>
      <w:r w:rsidR="00E262D2">
        <w:t xml:space="preserve"> </w:t>
      </w:r>
      <w:r w:rsidR="008C25E8" w:rsidRPr="00E943B1">
        <w:t>české právní úpravě. Předmětný institut slouží jako jed</w:t>
      </w:r>
      <w:r w:rsidR="007C78A8" w:rsidRPr="00E943B1">
        <w:t>na</w:t>
      </w:r>
      <w:r w:rsidR="008C25E8" w:rsidRPr="00E943B1">
        <w:t xml:space="preserve"> z</w:t>
      </w:r>
      <w:r w:rsidR="00E262D2">
        <w:t xml:space="preserve"> </w:t>
      </w:r>
      <w:r w:rsidR="008C25E8" w:rsidRPr="00E943B1">
        <w:t>možností potírání organizovaného zločinu v</w:t>
      </w:r>
      <w:r w:rsidR="007A3981">
        <w:t> </w:t>
      </w:r>
      <w:r w:rsidR="008C25E8" w:rsidRPr="00E943B1">
        <w:t xml:space="preserve">České republice. Zpočátku bylo na tento institut pohlíženo spíše skepticky, nicméně postupem času se začal využívat stále </w:t>
      </w:r>
      <w:r w:rsidR="007C4F2D">
        <w:t>častěji</w:t>
      </w:r>
      <w:r w:rsidR="008C25E8" w:rsidRPr="00E943B1">
        <w:t xml:space="preserve">, což lze spatřit </w:t>
      </w:r>
      <w:r w:rsidR="00BA44F4">
        <w:t xml:space="preserve">i </w:t>
      </w:r>
      <w:r w:rsidR="008C25E8" w:rsidRPr="00E943B1">
        <w:t>v</w:t>
      </w:r>
      <w:r w:rsidR="00E262D2">
        <w:t xml:space="preserve"> </w:t>
      </w:r>
      <w:r w:rsidR="008C25E8" w:rsidRPr="00E943B1">
        <w:t>mé práci.</w:t>
      </w:r>
      <w:r w:rsidR="008C25E8" w:rsidRPr="00E943B1">
        <w:rPr>
          <w:rStyle w:val="Znakapoznpodarou"/>
        </w:rPr>
        <w:footnoteReference w:id="1"/>
      </w:r>
      <w:r w:rsidR="008C25E8" w:rsidRPr="00E943B1">
        <w:t xml:space="preserve"> Často bývá </w:t>
      </w:r>
      <w:r w:rsidR="00BA44F4">
        <w:t>sledovaný</w:t>
      </w:r>
      <w:r w:rsidR="00BA44F4" w:rsidRPr="00E943B1">
        <w:t xml:space="preserve"> </w:t>
      </w:r>
      <w:r w:rsidR="008C25E8" w:rsidRPr="00E943B1">
        <w:t>institut označován jakožto „korunní svědek“</w:t>
      </w:r>
      <w:r>
        <w:t>,</w:t>
      </w:r>
      <w:r w:rsidR="008C25E8" w:rsidRPr="00E943B1">
        <w:t xml:space="preserve"> ovšem toto označení je mylné, jelikož naše úprava s</w:t>
      </w:r>
      <w:r w:rsidR="00E262D2">
        <w:t xml:space="preserve"> </w:t>
      </w:r>
      <w:r w:rsidR="00ED4512">
        <w:t>daným</w:t>
      </w:r>
      <w:r w:rsidR="00ED4512" w:rsidRPr="00E943B1">
        <w:t xml:space="preserve"> </w:t>
      </w:r>
      <w:r w:rsidR="008C25E8" w:rsidRPr="00E943B1">
        <w:t>pojmem vůbec nepracuje. Cílem je přiblížit tento institut, zhodnotit ho</w:t>
      </w:r>
      <w:r w:rsidR="00860C53" w:rsidRPr="00E943B1">
        <w:t xml:space="preserve">, </w:t>
      </w:r>
      <w:r w:rsidR="008C25E8" w:rsidRPr="00E943B1">
        <w:t>analyzovat</w:t>
      </w:r>
      <w:r w:rsidR="00860C53" w:rsidRPr="00E943B1">
        <w:t xml:space="preserve"> a odpovědět </w:t>
      </w:r>
      <w:r w:rsidR="005066D7">
        <w:t>na následující výzkumné otázky.</w:t>
      </w:r>
    </w:p>
    <w:p w14:paraId="4143F6E0" w14:textId="79ADAE65" w:rsidR="00860C53" w:rsidRPr="00E943B1" w:rsidRDefault="00860C53" w:rsidP="003A78D1">
      <w:pPr>
        <w:pStyle w:val="format"/>
        <w:numPr>
          <w:ilvl w:val="0"/>
          <w:numId w:val="1"/>
        </w:numPr>
      </w:pPr>
      <w:r w:rsidRPr="00E943B1">
        <w:t>Jaká je četnost používání tohoto institutu v</w:t>
      </w:r>
      <w:r w:rsidR="00E262D2">
        <w:t xml:space="preserve"> </w:t>
      </w:r>
      <w:r w:rsidRPr="00E943B1">
        <w:t>praxi?</w:t>
      </w:r>
    </w:p>
    <w:p w14:paraId="66DA9C51" w14:textId="441E130F" w:rsidR="005E7D2B" w:rsidRPr="00E943B1" w:rsidRDefault="005E7D2B" w:rsidP="003A78D1">
      <w:pPr>
        <w:pStyle w:val="format"/>
        <w:numPr>
          <w:ilvl w:val="0"/>
          <w:numId w:val="1"/>
        </w:numPr>
      </w:pPr>
      <w:r w:rsidRPr="00E943B1">
        <w:t>Do jaké míry jsou prolamovány z</w:t>
      </w:r>
      <w:r w:rsidR="005066D7">
        <w:t>ákladní zásady trestního práva?</w:t>
      </w:r>
    </w:p>
    <w:p w14:paraId="4C8D0DF8" w14:textId="350DC91C" w:rsidR="00860C53" w:rsidRPr="00E943B1" w:rsidRDefault="00860C53" w:rsidP="003A78D1">
      <w:pPr>
        <w:pStyle w:val="format"/>
        <w:numPr>
          <w:ilvl w:val="0"/>
          <w:numId w:val="1"/>
        </w:numPr>
      </w:pPr>
      <w:r w:rsidRPr="00E943B1">
        <w:t>Jak se liší právní úpravy v</w:t>
      </w:r>
      <w:r w:rsidR="00E262D2">
        <w:t xml:space="preserve"> </w:t>
      </w:r>
      <w:r w:rsidRPr="00E943B1">
        <w:t>jiných zemích?</w:t>
      </w:r>
    </w:p>
    <w:p w14:paraId="25F6FDF7" w14:textId="2B8C5470" w:rsidR="008C25E8" w:rsidRPr="00E943B1" w:rsidRDefault="00553D9C" w:rsidP="005066D7">
      <w:pPr>
        <w:pStyle w:val="format"/>
      </w:pPr>
      <w:r w:rsidRPr="00553D9C">
        <w:t>V první kapitole je popsán samotný organizovaný zločin, k jehož potírání tento institut slouží. Je nastíněno historické pozadí organizovaného zločinu, reakce mezinárodních organizací na jeho rozvoj, včetně právních úprav těchto organizací, zejména Organizace spojených národů a</w:t>
      </w:r>
      <w:r>
        <w:t> </w:t>
      </w:r>
      <w:r w:rsidRPr="00553D9C">
        <w:t>Evropské unie, a v neposlední řadě právní úprava organizovaného zločinu v České republice</w:t>
      </w:r>
      <w:r w:rsidR="00922C98" w:rsidRPr="00E943B1">
        <w:t>.</w:t>
      </w:r>
    </w:p>
    <w:p w14:paraId="47E0AF1C" w14:textId="0EAAEC50" w:rsidR="00922C98" w:rsidRPr="00E943B1" w:rsidRDefault="00922C98" w:rsidP="005066D7">
      <w:pPr>
        <w:pStyle w:val="format"/>
      </w:pPr>
      <w:r w:rsidRPr="00E943B1">
        <w:t xml:space="preserve">Druhá kapitola se již zabývá samotným institutem </w:t>
      </w:r>
      <w:r w:rsidR="003A2C5F" w:rsidRPr="00E943B1">
        <w:t>spolupracující</w:t>
      </w:r>
      <w:r w:rsidR="003A2C5F">
        <w:t>ho</w:t>
      </w:r>
      <w:r w:rsidR="003A2C5F" w:rsidRPr="00E943B1">
        <w:t xml:space="preserve"> obviněn</w:t>
      </w:r>
      <w:r w:rsidR="003A2C5F">
        <w:t>ého</w:t>
      </w:r>
      <w:r w:rsidRPr="00E943B1">
        <w:t>. Tato kapitola je členěna na několik podkapitol. Zabývám se zde platnou právní úpravou institutu v</w:t>
      </w:r>
      <w:r w:rsidR="007A3981">
        <w:t> </w:t>
      </w:r>
      <w:r w:rsidRPr="00E943B1">
        <w:t>České republice, kde je tento institut definován</w:t>
      </w:r>
      <w:r w:rsidR="003A2C5F">
        <w:t>,</w:t>
      </w:r>
      <w:r w:rsidRPr="00E943B1">
        <w:t xml:space="preserve"> a </w:t>
      </w:r>
      <w:r w:rsidR="003A2C5F">
        <w:t>jednotlivými</w:t>
      </w:r>
      <w:r w:rsidR="003A2C5F" w:rsidRPr="00E943B1">
        <w:t xml:space="preserve"> </w:t>
      </w:r>
      <w:r w:rsidRPr="00E943B1">
        <w:t>ustanovení</w:t>
      </w:r>
      <w:r w:rsidR="003A2C5F">
        <w:t>mi, která</w:t>
      </w:r>
      <w:r w:rsidRPr="00E943B1">
        <w:t xml:space="preserve"> s</w:t>
      </w:r>
      <w:r w:rsidR="00E262D2">
        <w:t xml:space="preserve"> </w:t>
      </w:r>
      <w:r w:rsidRPr="00E943B1">
        <w:t>tímto institutem pracují. Dále jsem v</w:t>
      </w:r>
      <w:r w:rsidR="00E262D2">
        <w:t xml:space="preserve"> </w:t>
      </w:r>
      <w:r w:rsidRPr="00E943B1">
        <w:t xml:space="preserve">rámci </w:t>
      </w:r>
      <w:r w:rsidR="003A2C5F">
        <w:t xml:space="preserve">zařazené </w:t>
      </w:r>
      <w:r w:rsidRPr="00E943B1">
        <w:t>podkapitoly zpracoval četnost použití tohoto institutu v</w:t>
      </w:r>
      <w:r w:rsidR="00E262D2">
        <w:t xml:space="preserve"> </w:t>
      </w:r>
      <w:r w:rsidRPr="00E943B1">
        <w:t>praxi. Oslovil jsem krajská státní zastupitelství ve smyslu zákona č. 106/1999 Sb., o</w:t>
      </w:r>
      <w:r w:rsidR="007A3981">
        <w:t> </w:t>
      </w:r>
      <w:r w:rsidRPr="00E943B1">
        <w:t>svobodném přístupu k</w:t>
      </w:r>
      <w:r w:rsidR="00E262D2">
        <w:t xml:space="preserve"> </w:t>
      </w:r>
      <w:r w:rsidRPr="00E943B1">
        <w:t xml:space="preserve">informacím. Podařilo se mi získat potřebná data, </w:t>
      </w:r>
      <w:r w:rsidR="0028325F" w:rsidRPr="00E943B1">
        <w:t>kter</w:t>
      </w:r>
      <w:r w:rsidR="0028325F">
        <w:t>á</w:t>
      </w:r>
      <w:r w:rsidR="0028325F" w:rsidRPr="00E943B1">
        <w:t xml:space="preserve"> </w:t>
      </w:r>
      <w:r w:rsidRPr="00E943B1">
        <w:t>jsem následně rozebral v</w:t>
      </w:r>
      <w:r w:rsidR="00E262D2">
        <w:t xml:space="preserve"> </w:t>
      </w:r>
      <w:r w:rsidRPr="00E943B1">
        <w:t xml:space="preserve">příslušné podkapitole. </w:t>
      </w:r>
      <w:r w:rsidR="00A52343" w:rsidRPr="00E943B1">
        <w:t>K</w:t>
      </w:r>
      <w:r w:rsidR="00E262D2">
        <w:t xml:space="preserve"> </w:t>
      </w:r>
      <w:r w:rsidR="00A52343" w:rsidRPr="00E943B1">
        <w:t xml:space="preserve">dotazování jsem </w:t>
      </w:r>
      <w:r w:rsidR="00DA5F6F">
        <w:t xml:space="preserve">záměrně </w:t>
      </w:r>
      <w:r w:rsidR="00A52343" w:rsidRPr="00E943B1">
        <w:t>zvolil krajská zastupitelství, jelikož jsem předpokládal větší procento případů užití institutu.</w:t>
      </w:r>
    </w:p>
    <w:p w14:paraId="4B3C8C75" w14:textId="6855B7E2" w:rsidR="00A52343" w:rsidRPr="00E943B1" w:rsidRDefault="00A52343" w:rsidP="005066D7">
      <w:pPr>
        <w:pStyle w:val="format"/>
      </w:pPr>
      <w:r w:rsidRPr="00E943B1">
        <w:t xml:space="preserve">Ve třetí kapitole se zabývám zahraniční úpravou </w:t>
      </w:r>
      <w:r w:rsidR="0028325F">
        <w:t>předmětného</w:t>
      </w:r>
      <w:r w:rsidR="0028325F" w:rsidRPr="00E943B1">
        <w:t xml:space="preserve"> </w:t>
      </w:r>
      <w:r w:rsidRPr="00E943B1">
        <w:t>institutu, respektive jeho obdobou v</w:t>
      </w:r>
      <w:r w:rsidR="00E262D2">
        <w:t xml:space="preserve"> </w:t>
      </w:r>
      <w:r w:rsidRPr="00E943B1">
        <w:t>právních řádech jiných států. Jedná se o Slovenskou republiku a jejího „spolupracujúceho obvineného“, Spojené státy americké, kde se pracuje s</w:t>
      </w:r>
      <w:r w:rsidR="00E262D2">
        <w:t xml:space="preserve"> </w:t>
      </w:r>
      <w:r w:rsidRPr="00E943B1">
        <w:t>celkem třemi instituty (</w:t>
      </w:r>
      <w:r w:rsidR="0024247C">
        <w:rPr>
          <w:i/>
          <w:iCs/>
        </w:rPr>
        <w:t>p</w:t>
      </w:r>
      <w:r w:rsidR="0024247C" w:rsidRPr="0048677E">
        <w:rPr>
          <w:i/>
          <w:iCs/>
        </w:rPr>
        <w:t xml:space="preserve">lea </w:t>
      </w:r>
      <w:r w:rsidR="0024247C">
        <w:rPr>
          <w:i/>
          <w:iCs/>
        </w:rPr>
        <w:t>b</w:t>
      </w:r>
      <w:r w:rsidR="0024247C" w:rsidRPr="0048677E">
        <w:rPr>
          <w:i/>
          <w:iCs/>
        </w:rPr>
        <w:t>argaining</w:t>
      </w:r>
      <w:r w:rsidRPr="0048677E">
        <w:rPr>
          <w:i/>
          <w:iCs/>
        </w:rPr>
        <w:t xml:space="preserve">, </w:t>
      </w:r>
      <w:r w:rsidR="0024247C">
        <w:rPr>
          <w:i/>
          <w:iCs/>
        </w:rPr>
        <w:t>c</w:t>
      </w:r>
      <w:r w:rsidR="0024247C" w:rsidRPr="0048677E">
        <w:rPr>
          <w:i/>
          <w:iCs/>
        </w:rPr>
        <w:t xml:space="preserve">ooperation </w:t>
      </w:r>
      <w:r w:rsidR="0024247C">
        <w:rPr>
          <w:i/>
          <w:iCs/>
        </w:rPr>
        <w:t>a</w:t>
      </w:r>
      <w:r w:rsidR="0024247C" w:rsidRPr="0048677E">
        <w:rPr>
          <w:i/>
          <w:iCs/>
        </w:rPr>
        <w:t>greements</w:t>
      </w:r>
      <w:r w:rsidRPr="0048677E">
        <w:rPr>
          <w:i/>
          <w:iCs/>
        </w:rPr>
        <w:t xml:space="preserve">, </w:t>
      </w:r>
      <w:r w:rsidR="0024247C">
        <w:rPr>
          <w:i/>
          <w:iCs/>
        </w:rPr>
        <w:t>w</w:t>
      </w:r>
      <w:r w:rsidR="0024247C" w:rsidRPr="0048677E">
        <w:rPr>
          <w:i/>
          <w:iCs/>
        </w:rPr>
        <w:t xml:space="preserve">itness </w:t>
      </w:r>
      <w:r w:rsidR="0024247C">
        <w:rPr>
          <w:i/>
          <w:iCs/>
        </w:rPr>
        <w:t>i</w:t>
      </w:r>
      <w:r w:rsidR="0024247C" w:rsidRPr="0048677E">
        <w:rPr>
          <w:i/>
          <w:iCs/>
        </w:rPr>
        <w:t>mmunity</w:t>
      </w:r>
      <w:r w:rsidRPr="00E943B1">
        <w:t>), které se týkají spolupráce se státem v</w:t>
      </w:r>
      <w:r w:rsidR="00E262D2">
        <w:t xml:space="preserve"> </w:t>
      </w:r>
      <w:r w:rsidRPr="00E943B1">
        <w:t>rámci dokazování organizované kriminality</w:t>
      </w:r>
      <w:r w:rsidR="0028325F">
        <w:t>,</w:t>
      </w:r>
      <w:r w:rsidR="00931FED" w:rsidRPr="00E943B1">
        <w:t xml:space="preserve"> a jako poslední jsem zvolil italskou právní úpravu, která obsahuje dva instituty slouží</w:t>
      </w:r>
      <w:r w:rsidR="0028325F">
        <w:t>cí</w:t>
      </w:r>
      <w:r w:rsidR="00931FED" w:rsidRPr="00E943B1">
        <w:t xml:space="preserve"> k</w:t>
      </w:r>
      <w:r w:rsidR="00E262D2">
        <w:t xml:space="preserve"> </w:t>
      </w:r>
      <w:r w:rsidR="00931FED" w:rsidRPr="00E943B1">
        <w:t xml:space="preserve">potírání organizovaného zločinu. </w:t>
      </w:r>
      <w:r w:rsidR="0028325F">
        <w:t>Konkrétně jde</w:t>
      </w:r>
      <w:r w:rsidR="00931FED" w:rsidRPr="00E943B1">
        <w:t xml:space="preserve"> </w:t>
      </w:r>
      <w:r w:rsidR="00931FED" w:rsidRPr="00E943B1">
        <w:lastRenderedPageBreak/>
        <w:t>o</w:t>
      </w:r>
      <w:r w:rsidR="005E0D1A">
        <w:t> </w:t>
      </w:r>
      <w:r w:rsidR="00931FED" w:rsidRPr="00E943B1">
        <w:t>„collaboratore di giustizia“ a „testimone di giustizia“.</w:t>
      </w:r>
      <w:r w:rsidR="00931FED" w:rsidRPr="00E943B1">
        <w:rPr>
          <w:rStyle w:val="Znakapoznpodarou"/>
        </w:rPr>
        <w:footnoteReference w:id="2"/>
      </w:r>
      <w:r w:rsidR="005E7D2B" w:rsidRPr="00E943B1">
        <w:t xml:space="preserve"> </w:t>
      </w:r>
      <w:r w:rsidR="00931FED" w:rsidRPr="00E943B1">
        <w:t>V</w:t>
      </w:r>
      <w:r w:rsidR="00E262D2">
        <w:t xml:space="preserve"> </w:t>
      </w:r>
      <w:r w:rsidR="00931FED" w:rsidRPr="00E943B1">
        <w:t>rámci této kapitoly a podkapitol jsou</w:t>
      </w:r>
      <w:r w:rsidR="005E0D1A">
        <w:t> </w:t>
      </w:r>
      <w:r w:rsidR="00931FED" w:rsidRPr="00E943B1">
        <w:t>v</w:t>
      </w:r>
      <w:r w:rsidR="00E262D2">
        <w:t xml:space="preserve"> </w:t>
      </w:r>
      <w:r w:rsidR="00931FED" w:rsidRPr="00E943B1">
        <w:t xml:space="preserve">základní rovině </w:t>
      </w:r>
      <w:r w:rsidR="00CE2919" w:rsidRPr="00E943B1">
        <w:t xml:space="preserve">rozebrány </w:t>
      </w:r>
      <w:r w:rsidR="00931FED" w:rsidRPr="00E943B1">
        <w:t xml:space="preserve">definice </w:t>
      </w:r>
      <w:r w:rsidR="00CE2919">
        <w:t>jednotlivých</w:t>
      </w:r>
      <w:r w:rsidR="00CE2919" w:rsidRPr="00E943B1">
        <w:t xml:space="preserve"> </w:t>
      </w:r>
      <w:r w:rsidR="00931FED" w:rsidRPr="00E943B1">
        <w:t xml:space="preserve">institutů a </w:t>
      </w:r>
      <w:r w:rsidR="007C4F2D">
        <w:t xml:space="preserve">nabídnuto </w:t>
      </w:r>
      <w:r w:rsidR="00931FED" w:rsidRPr="00E943B1">
        <w:t xml:space="preserve">případné </w:t>
      </w:r>
      <w:r w:rsidR="007C4F2D">
        <w:t>s</w:t>
      </w:r>
      <w:r w:rsidR="007C4F2D" w:rsidRPr="00E943B1">
        <w:t xml:space="preserve">rovnání </w:t>
      </w:r>
      <w:r w:rsidR="00931FED" w:rsidRPr="00E943B1">
        <w:t>s</w:t>
      </w:r>
      <w:r w:rsidR="005E0D1A">
        <w:t> </w:t>
      </w:r>
      <w:r w:rsidR="00931FED" w:rsidRPr="00E943B1">
        <w:t>českým institutem spolupracujícího obviněného.</w:t>
      </w:r>
    </w:p>
    <w:p w14:paraId="60AF66A5" w14:textId="65F8705D" w:rsidR="005066D7" w:rsidRDefault="00A52343" w:rsidP="005066D7">
      <w:pPr>
        <w:pStyle w:val="format"/>
      </w:pPr>
      <w:r w:rsidRPr="00E943B1">
        <w:t>Čtvrtá kapitola pak rozebírá ochranu spolupracujícího obviněného v</w:t>
      </w:r>
      <w:r w:rsidR="00E262D2">
        <w:t xml:space="preserve"> </w:t>
      </w:r>
      <w:r w:rsidRPr="00E943B1">
        <w:t xml:space="preserve">českém právním řádu, zejména dle jakých zákonů lze </w:t>
      </w:r>
      <w:r w:rsidR="007C78A8" w:rsidRPr="00E943B1">
        <w:t>žádat poskytnutí</w:t>
      </w:r>
      <w:r w:rsidRPr="00E943B1">
        <w:t xml:space="preserve"> ochrany</w:t>
      </w:r>
      <w:r w:rsidR="007C78A8" w:rsidRPr="00E943B1">
        <w:t>.</w:t>
      </w:r>
    </w:p>
    <w:p w14:paraId="5E1425F6" w14:textId="7BA12BD3" w:rsidR="006F30F9" w:rsidRPr="00E943B1" w:rsidRDefault="005066D7" w:rsidP="005066D7">
      <w:pPr>
        <w:pStyle w:val="Nadpis1"/>
      </w:pPr>
      <w:r>
        <w:br w:type="page"/>
      </w:r>
      <w:bookmarkStart w:id="1" w:name="_Toc170637991"/>
      <w:r w:rsidR="006F30F9" w:rsidRPr="00E943B1">
        <w:lastRenderedPageBreak/>
        <w:t>Organizovaný zločin</w:t>
      </w:r>
      <w:bookmarkEnd w:id="1"/>
    </w:p>
    <w:p w14:paraId="460141FB" w14:textId="751D73EC" w:rsidR="006F30F9" w:rsidRPr="00E943B1" w:rsidRDefault="00A2400B" w:rsidP="007C2545">
      <w:pPr>
        <w:pStyle w:val="format"/>
      </w:pPr>
      <w:r w:rsidRPr="00E943B1">
        <w:t>Na území Č</w:t>
      </w:r>
      <w:r w:rsidR="00DD0FA5">
        <w:t xml:space="preserve">R </w:t>
      </w:r>
      <w:r w:rsidRPr="00E943B1">
        <w:t>došlo k „rozvoji“ organizovaného zločinu zejména v</w:t>
      </w:r>
      <w:r w:rsidR="00E262D2">
        <w:t xml:space="preserve"> </w:t>
      </w:r>
      <w:r w:rsidRPr="00E943B1">
        <w:t>90. letech 20. století, kdy se Česká republika stala významnou tranzitní zemí.</w:t>
      </w:r>
      <w:r w:rsidR="00F746E0" w:rsidRPr="00E943B1">
        <w:rPr>
          <w:rStyle w:val="Znakapoznpodarou"/>
        </w:rPr>
        <w:footnoteReference w:id="3"/>
      </w:r>
      <w:r w:rsidR="004A6942" w:rsidRPr="00E943B1">
        <w:t xml:space="preserve"> </w:t>
      </w:r>
      <w:r w:rsidR="00036028">
        <w:t>Tento</w:t>
      </w:r>
      <w:r w:rsidR="00036028" w:rsidRPr="00E943B1">
        <w:t xml:space="preserve"> </w:t>
      </w:r>
      <w:r w:rsidR="004A6942" w:rsidRPr="00E943B1">
        <w:t xml:space="preserve">„boom“ organizovaného zločinu odstartovala </w:t>
      </w:r>
      <w:r w:rsidR="00036028">
        <w:t>s</w:t>
      </w:r>
      <w:r w:rsidR="00036028" w:rsidRPr="00E943B1">
        <w:t xml:space="preserve">ametová </w:t>
      </w:r>
      <w:r w:rsidR="004A6942" w:rsidRPr="00E943B1">
        <w:t xml:space="preserve">revoluce, po níž </w:t>
      </w:r>
      <w:r w:rsidR="0024283D">
        <w:t>začaly</w:t>
      </w:r>
      <w:r w:rsidR="00E262D2">
        <w:t xml:space="preserve"> </w:t>
      </w:r>
      <w:r w:rsidR="0024283D" w:rsidRPr="00E943B1">
        <w:t>proud</w:t>
      </w:r>
      <w:r w:rsidR="0024283D">
        <w:t>it</w:t>
      </w:r>
      <w:r w:rsidR="0024283D" w:rsidRPr="00E943B1">
        <w:t xml:space="preserve"> </w:t>
      </w:r>
      <w:r w:rsidR="004A6942" w:rsidRPr="00E943B1">
        <w:t xml:space="preserve">zahraniční </w:t>
      </w:r>
      <w:r w:rsidR="0024283D" w:rsidRPr="00E943B1">
        <w:t>gang</w:t>
      </w:r>
      <w:r w:rsidR="0024283D">
        <w:t>y</w:t>
      </w:r>
      <w:r w:rsidR="0024283D" w:rsidRPr="00E943B1">
        <w:t xml:space="preserve"> </w:t>
      </w:r>
      <w:r w:rsidR="004A6942" w:rsidRPr="00E943B1">
        <w:t>do České republiky. Docházelo k</w:t>
      </w:r>
      <w:r w:rsidR="00E262D2">
        <w:t xml:space="preserve"> </w:t>
      </w:r>
      <w:r w:rsidR="004A6942" w:rsidRPr="00E943B1">
        <w:t>pouličním přestřelkám mezi těmito znepřátelenými gangy, byl zabaven nespočet drog. Dokonce zde existoval názor, že růst organizovaného zločinu je daň za</w:t>
      </w:r>
      <w:r w:rsidR="00DD0FA5">
        <w:t xml:space="preserve"> </w:t>
      </w:r>
      <w:r w:rsidR="004A6942" w:rsidRPr="00E943B1">
        <w:t>demokracii.</w:t>
      </w:r>
      <w:r w:rsidR="004A6942" w:rsidRPr="00E943B1">
        <w:rPr>
          <w:rStyle w:val="Znakapoznpodarou"/>
        </w:rPr>
        <w:footnoteReference w:id="4"/>
      </w:r>
      <w:r w:rsidR="004A6942" w:rsidRPr="00E943B1">
        <w:t xml:space="preserve"> </w:t>
      </w:r>
      <w:r w:rsidR="00F746E0" w:rsidRPr="00E943B1">
        <w:t>K</w:t>
      </w:r>
      <w:r w:rsidR="00211D29">
        <w:t> </w:t>
      </w:r>
      <w:r w:rsidR="00F746E0" w:rsidRPr="00E943B1">
        <w:t>usnadnění fungování tě</w:t>
      </w:r>
      <w:r w:rsidR="004A6942" w:rsidRPr="00E943B1">
        <w:t>chto</w:t>
      </w:r>
      <w:r w:rsidR="00F746E0" w:rsidRPr="00E943B1">
        <w:t xml:space="preserve"> zločinecký</w:t>
      </w:r>
      <w:r w:rsidR="004A6942" w:rsidRPr="00E943B1">
        <w:t>ch skupin</w:t>
      </w:r>
      <w:r w:rsidR="00F746E0" w:rsidRPr="00E943B1">
        <w:t xml:space="preserve"> dopomohl i </w:t>
      </w:r>
      <w:r w:rsidR="004A6942" w:rsidRPr="00E943B1">
        <w:t>pozdější</w:t>
      </w:r>
      <w:r w:rsidR="00F746E0" w:rsidRPr="00E943B1">
        <w:t xml:space="preserve"> vznik </w:t>
      </w:r>
      <w:r w:rsidR="00036028">
        <w:t>s</w:t>
      </w:r>
      <w:r w:rsidR="00036028" w:rsidRPr="00E943B1">
        <w:t xml:space="preserve">chengenského </w:t>
      </w:r>
      <w:r w:rsidR="00F746E0" w:rsidRPr="00E943B1">
        <w:t>prostoru</w:t>
      </w:r>
      <w:r w:rsidR="007B678E" w:rsidRPr="00E943B1">
        <w:t>, kdy se pohyb osob stal zásadně nekontrolovatelný.</w:t>
      </w:r>
      <w:r w:rsidR="00F746E0" w:rsidRPr="00E943B1">
        <w:t xml:space="preserve"> Dalším významným faktorem podporující</w:t>
      </w:r>
      <w:r w:rsidR="00036028">
        <w:t>m</w:t>
      </w:r>
      <w:r w:rsidR="00F746E0" w:rsidRPr="00E943B1">
        <w:t xml:space="preserve"> tyto skupiny je vývoj technologií, komunikačních sítí, které jim poskytnou mnohem větší anonymitu a exponenciálně zvýší jejich pole působnosti. </w:t>
      </w:r>
      <w:r w:rsidR="007B678E" w:rsidRPr="00E943B1">
        <w:t>V</w:t>
      </w:r>
      <w:r w:rsidR="00E262D2">
        <w:t xml:space="preserve"> </w:t>
      </w:r>
      <w:r w:rsidR="007B678E" w:rsidRPr="00E943B1">
        <w:t>České právní úpravě se</w:t>
      </w:r>
      <w:r w:rsidR="00211D29">
        <w:t> </w:t>
      </w:r>
      <w:r w:rsidR="007B678E" w:rsidRPr="00E943B1">
        <w:t>pak používá pojem „organizovaná zločinecká skupina“.</w:t>
      </w:r>
    </w:p>
    <w:p w14:paraId="65F80301" w14:textId="36B548EB" w:rsidR="00357472" w:rsidRPr="007C2545" w:rsidRDefault="007B678E" w:rsidP="007C2545">
      <w:pPr>
        <w:pStyle w:val="Nadpis2"/>
      </w:pPr>
      <w:bookmarkStart w:id="3" w:name="_Toc170637992"/>
      <w:r w:rsidRPr="007C2545">
        <w:t>Právní úprava</w:t>
      </w:r>
      <w:r w:rsidR="00357472" w:rsidRPr="007C2545">
        <w:t xml:space="preserve"> České republiky</w:t>
      </w:r>
      <w:bookmarkEnd w:id="3"/>
    </w:p>
    <w:p w14:paraId="5E9589E0" w14:textId="6E366B08" w:rsidR="00534E8D" w:rsidRPr="00E943B1" w:rsidRDefault="007B678E" w:rsidP="007C2545">
      <w:pPr>
        <w:pStyle w:val="format"/>
      </w:pPr>
      <w:r w:rsidRPr="00E943B1">
        <w:t>Organizovaná zločinecká skupina je v</w:t>
      </w:r>
      <w:r w:rsidR="00E262D2">
        <w:t xml:space="preserve"> </w:t>
      </w:r>
      <w:r w:rsidRPr="00E943B1">
        <w:t>českém právním systému upravena v</w:t>
      </w:r>
      <w:r w:rsidR="00E262D2">
        <w:t xml:space="preserve"> </w:t>
      </w:r>
      <w:r w:rsidRPr="00E943B1">
        <w:t>§ 129 zákona č</w:t>
      </w:r>
      <w:r w:rsidR="00534E8D" w:rsidRPr="00E943B1">
        <w:t>.</w:t>
      </w:r>
      <w:r w:rsidRPr="00E943B1">
        <w:t xml:space="preserve"> 40/2009 Sb., trestní zákoník (dále „TZ“). </w:t>
      </w:r>
      <w:r w:rsidR="00F2568D" w:rsidRPr="00E943B1">
        <w:t>Aby se jednalo o organizovanou zločineckou skupinu</w:t>
      </w:r>
      <w:r w:rsidR="00181176">
        <w:t>,</w:t>
      </w:r>
      <w:r w:rsidR="00F2568D" w:rsidRPr="00E943B1">
        <w:t xml:space="preserve"> musí být splněn</w:t>
      </w:r>
      <w:r w:rsidR="00DF40C9" w:rsidRPr="00E943B1">
        <w:t xml:space="preserve">o několik </w:t>
      </w:r>
      <w:r w:rsidR="00F2568D" w:rsidRPr="00E943B1">
        <w:t>podmín</w:t>
      </w:r>
      <w:r w:rsidR="00DF40C9" w:rsidRPr="00E943B1">
        <w:t>ek</w:t>
      </w:r>
      <w:r w:rsidR="00F2568D" w:rsidRPr="00E943B1">
        <w:t xml:space="preserve"> a tyto podmínky musí být splněny kumulativně. J</w:t>
      </w:r>
      <w:r w:rsidR="007C2545">
        <w:t xml:space="preserve">sou to konkrétně </w:t>
      </w:r>
      <w:r w:rsidR="00181176">
        <w:t xml:space="preserve">následující </w:t>
      </w:r>
      <w:r w:rsidR="007C2545">
        <w:t>podmínky:</w:t>
      </w:r>
    </w:p>
    <w:p w14:paraId="29D73263" w14:textId="1F0A8735" w:rsidR="006325E6" w:rsidRPr="00E943B1" w:rsidRDefault="00F2568D" w:rsidP="003A78D1">
      <w:pPr>
        <w:pStyle w:val="format"/>
        <w:numPr>
          <w:ilvl w:val="0"/>
          <w:numId w:val="3"/>
        </w:numPr>
      </w:pPr>
      <w:r w:rsidRPr="00E943B1">
        <w:t>společenství nejmén</w:t>
      </w:r>
      <w:r w:rsidR="007C2545">
        <w:t>ě tří trestně odpovědných osob,</w:t>
      </w:r>
    </w:p>
    <w:p w14:paraId="3FB4DBE7" w14:textId="4FCF9499" w:rsidR="006325E6" w:rsidRPr="00E943B1" w:rsidRDefault="00F2568D" w:rsidP="003A78D1">
      <w:pPr>
        <w:pStyle w:val="format"/>
        <w:numPr>
          <w:ilvl w:val="0"/>
          <w:numId w:val="3"/>
        </w:numPr>
      </w:pPr>
      <w:r w:rsidRPr="00E943B1">
        <w:t>organizační struktura – lze ro</w:t>
      </w:r>
      <w:r w:rsidR="007C2545">
        <w:t>zeznat hierarchickou strukturu,</w:t>
      </w:r>
    </w:p>
    <w:p w14:paraId="186501E4" w14:textId="42998CD8" w:rsidR="006325E6" w:rsidRPr="00E943B1" w:rsidRDefault="007C2545" w:rsidP="003A78D1">
      <w:pPr>
        <w:pStyle w:val="format"/>
        <w:numPr>
          <w:ilvl w:val="0"/>
          <w:numId w:val="3"/>
        </w:numPr>
      </w:pPr>
      <w:r>
        <w:t>dělení funkcí,</w:t>
      </w:r>
    </w:p>
    <w:p w14:paraId="76063A8D" w14:textId="7DF2734F" w:rsidR="00ED5F05" w:rsidRPr="00E943B1" w:rsidRDefault="00F2568D" w:rsidP="003A78D1">
      <w:pPr>
        <w:pStyle w:val="format"/>
        <w:numPr>
          <w:ilvl w:val="0"/>
          <w:numId w:val="3"/>
        </w:numPr>
      </w:pPr>
      <w:r w:rsidRPr="00E943B1">
        <w:t>dělba konkrétní činnosti uvnitř společenství při páchání trestné činnosti, zaměření na soustavné páchání úmyslné trestné činnosti.</w:t>
      </w:r>
      <w:r w:rsidR="00DF40C9" w:rsidRPr="00E943B1">
        <w:rPr>
          <w:rStyle w:val="Znakapoznpodarou"/>
        </w:rPr>
        <w:footnoteReference w:id="5"/>
      </w:r>
    </w:p>
    <w:p w14:paraId="6801324D" w14:textId="39B7B6FB" w:rsidR="007B678E" w:rsidRPr="00E943B1" w:rsidRDefault="00F822A1" w:rsidP="007C2545">
      <w:pPr>
        <w:pStyle w:val="format"/>
      </w:pPr>
      <w:r w:rsidRPr="00E943B1">
        <w:t xml:space="preserve">Obvodní soud pro Prahu 2 ve svém rozsudku </w:t>
      </w:r>
      <w:r w:rsidR="00181176" w:rsidRPr="00E943B1">
        <w:t>týkající</w:t>
      </w:r>
      <w:r w:rsidR="00181176">
        <w:t>m se</w:t>
      </w:r>
      <w:r w:rsidR="00181176" w:rsidRPr="00E943B1">
        <w:t xml:space="preserve"> </w:t>
      </w:r>
      <w:r w:rsidRPr="00E943B1">
        <w:t xml:space="preserve">naplnění znaků organizované zločinecké skupiny </w:t>
      </w:r>
      <w:r w:rsidRPr="007C2545">
        <w:t>použil</w:t>
      </w:r>
      <w:r w:rsidRPr="00E943B1">
        <w:t xml:space="preserve"> přirovnání k</w:t>
      </w:r>
      <w:r w:rsidR="00E262D2">
        <w:t xml:space="preserve"> </w:t>
      </w:r>
      <w:r w:rsidRPr="00E943B1">
        <w:t>zavedené firmě</w:t>
      </w:r>
      <w:r w:rsidR="005A39D9" w:rsidRPr="00E943B1">
        <w:t xml:space="preserve">. </w:t>
      </w:r>
      <w:r w:rsidR="006927E2" w:rsidRPr="00E943B1">
        <w:t>V</w:t>
      </w:r>
      <w:r w:rsidR="00E262D2">
        <w:t xml:space="preserve"> </w:t>
      </w:r>
      <w:r w:rsidR="006927E2" w:rsidRPr="00E943B1">
        <w:t>předmětném rozsudku vystupovaly osoby a každá z</w:t>
      </w:r>
      <w:r w:rsidR="00E262D2">
        <w:t xml:space="preserve"> </w:t>
      </w:r>
      <w:r w:rsidR="006927E2" w:rsidRPr="00E943B1">
        <w:t>nich měla určitou roli a funkci v</w:t>
      </w:r>
      <w:r w:rsidR="00E262D2">
        <w:t xml:space="preserve"> </w:t>
      </w:r>
      <w:r w:rsidR="006927E2" w:rsidRPr="00E943B1">
        <w:t xml:space="preserve">rámci této „firmy“. </w:t>
      </w:r>
      <w:r w:rsidR="00D163EF" w:rsidRPr="00D163EF">
        <w:t>Jednalo se o výrobu a</w:t>
      </w:r>
      <w:r w:rsidR="00D163EF">
        <w:t> </w:t>
      </w:r>
      <w:r w:rsidR="00D163EF" w:rsidRPr="00D163EF">
        <w:t xml:space="preserve">distribuci padělaných dokladů, přičemž osoba „A“ byla obchodním zástupcem s kontakty, </w:t>
      </w:r>
      <w:r w:rsidR="00D163EF" w:rsidRPr="00D163EF">
        <w:lastRenderedPageBreak/>
        <w:t>osoby „B“ a „C“ byly distributory, osoba „D“ figurovala jako výrobce a v neposlední řadě osoba „E“ vystupovala jako sekretářka</w:t>
      </w:r>
      <w:r w:rsidR="006927E2" w:rsidRPr="00E943B1">
        <w:t xml:space="preserve">. Dohromady </w:t>
      </w:r>
      <w:r w:rsidR="008E4C21">
        <w:t xml:space="preserve">pak </w:t>
      </w:r>
      <w:r w:rsidR="006927E2" w:rsidRPr="00E943B1">
        <w:t>tvořili stabilní strukturu</w:t>
      </w:r>
      <w:r w:rsidR="008E4C21">
        <w:t>.</w:t>
      </w:r>
      <w:r w:rsidR="008E4C21" w:rsidRPr="00E943B1">
        <w:t xml:space="preserve"> </w:t>
      </w:r>
      <w:r w:rsidR="008E4C21">
        <w:t>P</w:t>
      </w:r>
      <w:r w:rsidR="008E4C21" w:rsidRPr="00E943B1">
        <w:t xml:space="preserve">okud </w:t>
      </w:r>
      <w:r w:rsidR="006927E2" w:rsidRPr="00E943B1">
        <w:t>jeden z</w:t>
      </w:r>
      <w:r w:rsidR="00E262D2">
        <w:t xml:space="preserve"> </w:t>
      </w:r>
      <w:r w:rsidR="006927E2" w:rsidRPr="00E943B1">
        <w:t xml:space="preserve">nich vypadl, musel být nahrazen, aby se udržel chod „firmy“. Na tomto příkladu lze </w:t>
      </w:r>
      <w:r w:rsidR="008E4C21">
        <w:t>demonstrovat</w:t>
      </w:r>
      <w:r w:rsidR="006927E2" w:rsidRPr="00E943B1">
        <w:t xml:space="preserve"> všechny znaky organizované zločinecké skupiny. Tot</w:t>
      </w:r>
      <w:r w:rsidR="00672430">
        <w:t>éž</w:t>
      </w:r>
      <w:r w:rsidR="006927E2" w:rsidRPr="00E943B1">
        <w:t xml:space="preserve"> přirovnání pak </w:t>
      </w:r>
      <w:r w:rsidR="00ED5F05" w:rsidRPr="00E943B1">
        <w:t>použil a citoval</w:t>
      </w:r>
      <w:r w:rsidR="006927E2" w:rsidRPr="00E943B1">
        <w:t xml:space="preserve"> i </w:t>
      </w:r>
      <w:r w:rsidRPr="00E943B1">
        <w:t>Nejvyšší soud ve svém usnesení.</w:t>
      </w:r>
      <w:r w:rsidRPr="00E943B1">
        <w:rPr>
          <w:rStyle w:val="Znakapoznpodarou"/>
        </w:rPr>
        <w:footnoteReference w:id="6"/>
      </w:r>
    </w:p>
    <w:p w14:paraId="10F39036" w14:textId="216C74B9" w:rsidR="00871490" w:rsidRPr="00E943B1" w:rsidRDefault="00871490" w:rsidP="007C2545">
      <w:pPr>
        <w:pStyle w:val="format"/>
      </w:pPr>
      <w:r w:rsidRPr="00E943B1">
        <w:t xml:space="preserve">Na závěr je třeba rozlišit od organizované zločinecké skupiny pouhou organizovanou skupinu. Organizovaná skupina je velmi podobná té zločinecké, nicméně vykazuje určité odlišnosti. </w:t>
      </w:r>
      <w:r w:rsidRPr="00E943B1">
        <w:rPr>
          <w:i/>
          <w:iCs/>
        </w:rPr>
        <w:t>„Vztahy uvnitř organizované skupiny jsou podstatně volnější ve srovnání s</w:t>
      </w:r>
      <w:r w:rsidR="00211D29">
        <w:rPr>
          <w:i/>
          <w:iCs/>
        </w:rPr>
        <w:t> </w:t>
      </w:r>
      <w:r w:rsidRPr="00E943B1">
        <w:rPr>
          <w:i/>
          <w:iCs/>
        </w:rPr>
        <w:t>organizovanou zločineckou skupinou. Organizovaná skupina nemusí vykazovat vyšší stupeň organizovanosti s</w:t>
      </w:r>
      <w:r w:rsidR="00E262D2">
        <w:rPr>
          <w:i/>
          <w:iCs/>
        </w:rPr>
        <w:t xml:space="preserve"> </w:t>
      </w:r>
      <w:r w:rsidRPr="00E943B1">
        <w:rPr>
          <w:i/>
          <w:iCs/>
        </w:rPr>
        <w:t>vnitřními vztahy nadřízenosti a</w:t>
      </w:r>
      <w:r w:rsidR="00E262D2">
        <w:rPr>
          <w:i/>
          <w:iCs/>
        </w:rPr>
        <w:t xml:space="preserve"> </w:t>
      </w:r>
      <w:r w:rsidRPr="00E943B1">
        <w:rPr>
          <w:i/>
          <w:iCs/>
        </w:rPr>
        <w:t>podřízenosti a</w:t>
      </w:r>
      <w:r w:rsidR="00E262D2">
        <w:rPr>
          <w:i/>
          <w:iCs/>
        </w:rPr>
        <w:t xml:space="preserve"> </w:t>
      </w:r>
      <w:r w:rsidRPr="00E943B1">
        <w:rPr>
          <w:i/>
          <w:iCs/>
        </w:rPr>
        <w:t>může fungovat i</w:t>
      </w:r>
      <w:r w:rsidR="00E262D2">
        <w:rPr>
          <w:i/>
          <w:iCs/>
        </w:rPr>
        <w:t xml:space="preserve"> </w:t>
      </w:r>
      <w:r w:rsidRPr="00E943B1">
        <w:rPr>
          <w:i/>
          <w:iCs/>
        </w:rPr>
        <w:t>bez vůdčí osoby, jež by přidělovala úkoly dalším pachatelům.“</w:t>
      </w:r>
      <w:r w:rsidRPr="00E943B1">
        <w:t xml:space="preserve"> Nutno podotknout, že tyto dva pojmy jsou ve</w:t>
      </w:r>
      <w:r w:rsidR="00211D29">
        <w:t> </w:t>
      </w:r>
      <w:r w:rsidRPr="00E943B1">
        <w:t>vztahu subsidiarity</w:t>
      </w:r>
      <w:r w:rsidR="00EE0C8D">
        <w:t>.</w:t>
      </w:r>
      <w:r w:rsidRPr="00E943B1">
        <w:t xml:space="preserve"> </w:t>
      </w:r>
      <w:r w:rsidR="00EE0C8D">
        <w:t>Z</w:t>
      </w:r>
      <w:r w:rsidRPr="00E943B1">
        <w:t xml:space="preserve">da se jedná o „obyčejnou“ organizovanou skupinu, </w:t>
      </w:r>
      <w:r w:rsidR="00B172B2">
        <w:t xml:space="preserve">tak </w:t>
      </w:r>
      <w:r w:rsidRPr="00E943B1">
        <w:t>lze tvrdit pouze v</w:t>
      </w:r>
      <w:r w:rsidR="00211D29">
        <w:t> </w:t>
      </w:r>
      <w:r w:rsidRPr="00E943B1">
        <w:t>případě, že nebyly naplněny znaky organizované zločinecké skupiny.</w:t>
      </w:r>
      <w:r w:rsidRPr="00E943B1">
        <w:rPr>
          <w:rStyle w:val="Znakapoznpodarou"/>
        </w:rPr>
        <w:footnoteReference w:id="7"/>
      </w:r>
    </w:p>
    <w:p w14:paraId="49DC06EB" w14:textId="6B37A0B8" w:rsidR="00357472" w:rsidRPr="00E943B1" w:rsidRDefault="00704036" w:rsidP="007C2545">
      <w:pPr>
        <w:pStyle w:val="Nadpis2"/>
      </w:pPr>
      <w:bookmarkStart w:id="4" w:name="_Toc170637993"/>
      <w:r w:rsidRPr="00E943B1">
        <w:t>Právní ú</w:t>
      </w:r>
      <w:r w:rsidR="00357472" w:rsidRPr="00E943B1">
        <w:t xml:space="preserve">prava Evropské </w:t>
      </w:r>
      <w:r w:rsidR="007C2545">
        <w:t>u</w:t>
      </w:r>
      <w:r w:rsidR="00357472" w:rsidRPr="00E943B1">
        <w:t>nie</w:t>
      </w:r>
      <w:bookmarkEnd w:id="4"/>
    </w:p>
    <w:p w14:paraId="0F554548" w14:textId="77777777" w:rsidR="00211D29" w:rsidRDefault="00357472" w:rsidP="007C2545">
      <w:pPr>
        <w:pStyle w:val="format"/>
      </w:pPr>
      <w:r w:rsidRPr="00E943B1">
        <w:t xml:space="preserve">Jak již bylo řečeno, organizovaný zločin představoval stále </w:t>
      </w:r>
      <w:r w:rsidR="000C37A1">
        <w:t>intenzivnější</w:t>
      </w:r>
      <w:r w:rsidRPr="00E943B1">
        <w:t xml:space="preserve"> hrozbu</w:t>
      </w:r>
      <w:r w:rsidR="00E1777A">
        <w:t>, a to</w:t>
      </w:r>
      <w:r w:rsidRPr="00E943B1">
        <w:t xml:space="preserve"> až do </w:t>
      </w:r>
      <w:r w:rsidR="00F76A53">
        <w:t>okamžiku</w:t>
      </w:r>
      <w:r w:rsidRPr="00E943B1">
        <w:t xml:space="preserve">, kdy </w:t>
      </w:r>
      <w:r w:rsidR="002D5DE7" w:rsidRPr="00E943B1">
        <w:t xml:space="preserve">Evropská </w:t>
      </w:r>
      <w:r w:rsidR="007E123E" w:rsidRPr="00E943B1">
        <w:t>u</w:t>
      </w:r>
      <w:r w:rsidR="002D5DE7" w:rsidRPr="00E943B1">
        <w:t xml:space="preserve">nie </w:t>
      </w:r>
      <w:r w:rsidR="008C009B">
        <w:t>u</w:t>
      </w:r>
      <w:r w:rsidR="002D5DE7" w:rsidRPr="00E943B1">
        <w:t>cítila potřebu se s</w:t>
      </w:r>
      <w:r w:rsidR="00E262D2">
        <w:t xml:space="preserve"> </w:t>
      </w:r>
      <w:r w:rsidR="002D5DE7" w:rsidRPr="00E943B1">
        <w:t xml:space="preserve">tímto problémem </w:t>
      </w:r>
      <w:r w:rsidR="00582BB9">
        <w:t>vypořádat</w:t>
      </w:r>
      <w:r w:rsidR="00582BB9" w:rsidRPr="00E943B1">
        <w:t xml:space="preserve"> </w:t>
      </w:r>
      <w:r w:rsidR="002D5DE7" w:rsidRPr="00E943B1">
        <w:t>na mezinárodní úrovni. V</w:t>
      </w:r>
      <w:r w:rsidR="00E262D2">
        <w:t xml:space="preserve"> </w:t>
      </w:r>
      <w:r w:rsidR="002D5DE7" w:rsidRPr="00E943B1">
        <w:t xml:space="preserve">roce 1998 přišla první vlaštovka </w:t>
      </w:r>
      <w:r w:rsidR="00E4229D">
        <w:t>v podobě</w:t>
      </w:r>
      <w:r w:rsidR="00E4229D" w:rsidRPr="00E943B1">
        <w:t xml:space="preserve"> snah</w:t>
      </w:r>
      <w:r w:rsidR="00E4229D">
        <w:t>y</w:t>
      </w:r>
      <w:r w:rsidR="00E4229D" w:rsidRPr="00E943B1">
        <w:t xml:space="preserve"> </w:t>
      </w:r>
      <w:r w:rsidR="002D5DE7" w:rsidRPr="00E943B1">
        <w:t xml:space="preserve">o harmonizaci mezi členskými státy Evropské </w:t>
      </w:r>
      <w:r w:rsidR="007E123E" w:rsidRPr="00E943B1">
        <w:t>u</w:t>
      </w:r>
      <w:r w:rsidR="002D5DE7" w:rsidRPr="00E943B1">
        <w:t xml:space="preserve">nie. Byla </w:t>
      </w:r>
      <w:r w:rsidR="001E5EAD" w:rsidRPr="00E943B1">
        <w:t>přijat</w:t>
      </w:r>
      <w:r w:rsidR="001E5EAD">
        <w:t>a</w:t>
      </w:r>
      <w:r w:rsidR="001E5EAD" w:rsidRPr="00E943B1">
        <w:t xml:space="preserve"> </w:t>
      </w:r>
      <w:r w:rsidR="001E5EAD">
        <w:t>s</w:t>
      </w:r>
      <w:r w:rsidR="001E5EAD" w:rsidRPr="00E943B1">
        <w:t xml:space="preserve">polečná </w:t>
      </w:r>
      <w:r w:rsidR="00546177" w:rsidRPr="00E943B1">
        <w:t>akce</w:t>
      </w:r>
      <w:r w:rsidR="002D5DE7" w:rsidRPr="00E943B1">
        <w:t xml:space="preserve"> </w:t>
      </w:r>
      <w:r w:rsidR="001E5EAD">
        <w:t xml:space="preserve">Rady </w:t>
      </w:r>
      <w:r w:rsidR="002D5DE7" w:rsidRPr="00E943B1">
        <w:t xml:space="preserve">98/733/SVV, </w:t>
      </w:r>
      <w:r w:rsidR="00170970">
        <w:t>jíž</w:t>
      </w:r>
      <w:r w:rsidR="00170970" w:rsidRPr="00E943B1">
        <w:t xml:space="preserve"> </w:t>
      </w:r>
      <w:r w:rsidR="002D5DE7" w:rsidRPr="00E943B1">
        <w:t>předcházel akční plán z</w:t>
      </w:r>
      <w:r w:rsidR="00E262D2">
        <w:t xml:space="preserve"> </w:t>
      </w:r>
      <w:r w:rsidR="002D5DE7" w:rsidRPr="00E943B1">
        <w:t xml:space="preserve">roku 1997. Touto </w:t>
      </w:r>
      <w:r w:rsidR="00B85D78">
        <w:t>s</w:t>
      </w:r>
      <w:r w:rsidR="00B85D78" w:rsidRPr="00E943B1">
        <w:t xml:space="preserve">polečnou </w:t>
      </w:r>
      <w:r w:rsidR="002D5DE7" w:rsidRPr="00E943B1">
        <w:t>akcí byla zajištěna spolupráce mezi členskými státy</w:t>
      </w:r>
      <w:r w:rsidR="00546177" w:rsidRPr="00E943B1">
        <w:t>.</w:t>
      </w:r>
      <w:r w:rsidR="002D5DE7" w:rsidRPr="00E943B1">
        <w:t xml:space="preserve"> </w:t>
      </w:r>
      <w:r w:rsidR="00546177" w:rsidRPr="00E943B1">
        <w:t>Z</w:t>
      </w:r>
      <w:r w:rsidR="002D5DE7" w:rsidRPr="00E943B1">
        <w:t>ejména mělo dojít k</w:t>
      </w:r>
      <w:r w:rsidR="00211D29">
        <w:t> </w:t>
      </w:r>
      <w:r w:rsidR="002D5DE7" w:rsidRPr="00E943B1">
        <w:t>usnadnění trestního stíhání zločinného spolčení a také spolupráce soudní při vyšetřování.</w:t>
      </w:r>
      <w:r w:rsidR="00546177" w:rsidRPr="00E943B1">
        <w:rPr>
          <w:rStyle w:val="Znakapoznpodarou"/>
        </w:rPr>
        <w:footnoteReference w:id="8"/>
      </w:r>
      <w:r w:rsidR="00546177" w:rsidRPr="00E943B1">
        <w:t xml:space="preserve"> </w:t>
      </w:r>
      <w:r w:rsidR="002D5DE7" w:rsidRPr="00E943B1">
        <w:t>V</w:t>
      </w:r>
      <w:r w:rsidR="00211D29">
        <w:t> </w:t>
      </w:r>
      <w:r w:rsidR="002D5DE7" w:rsidRPr="00E943B1">
        <w:t xml:space="preserve">článku 1 </w:t>
      </w:r>
      <w:r w:rsidR="00B85D78">
        <w:t>s</w:t>
      </w:r>
      <w:r w:rsidR="00B85D78" w:rsidRPr="00E943B1">
        <w:t xml:space="preserve">polečné </w:t>
      </w:r>
      <w:r w:rsidR="002D5DE7" w:rsidRPr="00E943B1">
        <w:t>akce</w:t>
      </w:r>
      <w:r w:rsidR="00B85D78">
        <w:t xml:space="preserve"> pak </w:t>
      </w:r>
      <w:r w:rsidR="002D5DE7" w:rsidRPr="00E943B1">
        <w:t>byla stanovena definice zločineckého spolčení, která zněla takto</w:t>
      </w:r>
      <w:r w:rsidR="007C2545">
        <w:t>:</w:t>
      </w:r>
    </w:p>
    <w:p w14:paraId="3D10264F" w14:textId="0C97C380" w:rsidR="00546177" w:rsidRPr="00E943B1" w:rsidRDefault="00546177" w:rsidP="007C2545">
      <w:pPr>
        <w:pStyle w:val="format"/>
        <w:rPr>
          <w:i/>
          <w:iCs/>
          <w:color w:val="000000"/>
        </w:rPr>
      </w:pPr>
      <w:r w:rsidRPr="00E943B1">
        <w:rPr>
          <w:i/>
          <w:iCs/>
          <w:color w:val="000000"/>
        </w:rPr>
        <w:t xml:space="preserve">„Pro účely této společné akce se </w:t>
      </w:r>
      <w:r w:rsidR="00922801" w:rsidRPr="00563784">
        <w:rPr>
          <w:i/>
          <w:color w:val="000000"/>
          <w:shd w:val="clear" w:color="auto" w:fill="FFFFFF"/>
        </w:rPr>
        <w:t>‚</w:t>
      </w:r>
      <w:r w:rsidRPr="00E943B1">
        <w:rPr>
          <w:i/>
          <w:iCs/>
          <w:color w:val="000000"/>
        </w:rPr>
        <w:t>zločinným spolčením</w:t>
      </w:r>
      <w:r w:rsidR="00922801" w:rsidRPr="00563784">
        <w:rPr>
          <w:i/>
          <w:color w:val="000000"/>
          <w:shd w:val="clear" w:color="auto" w:fill="FFFFFF"/>
        </w:rPr>
        <w:t>‘</w:t>
      </w:r>
      <w:r w:rsidRPr="00E943B1">
        <w:rPr>
          <w:i/>
          <w:iCs/>
          <w:color w:val="000000"/>
        </w:rPr>
        <w:t xml:space="preserve"> rozumí strukturované sdružení více než dvou osob existující po delší dobu, které jedná ve shodě s cílem páchat protiprávní jednání, za</w:t>
      </w:r>
      <w:r w:rsidR="00AC48AE">
        <w:rPr>
          <w:i/>
          <w:iCs/>
          <w:color w:val="000000"/>
        </w:rPr>
        <w:t xml:space="preserve"> </w:t>
      </w:r>
      <w:r w:rsidRPr="00E943B1">
        <w:rPr>
          <w:i/>
          <w:iCs/>
          <w:color w:val="000000"/>
        </w:rPr>
        <w:t xml:space="preserve">která lze uložit trest odnětí svobody nebo opatření omezující svobodu s horní hranicí sazby nejméně čtyři roky nebo závažnější trest, ať tyto trestné činy přestavují cíl sám o sobě, </w:t>
      </w:r>
      <w:r w:rsidRPr="00E943B1">
        <w:rPr>
          <w:i/>
          <w:iCs/>
          <w:color w:val="000000"/>
        </w:rPr>
        <w:lastRenderedPageBreak/>
        <w:t>nebo</w:t>
      </w:r>
      <w:r w:rsidR="00547CE1">
        <w:rPr>
          <w:i/>
          <w:iCs/>
          <w:color w:val="000000"/>
        </w:rPr>
        <w:t> </w:t>
      </w:r>
      <w:r w:rsidRPr="00E943B1">
        <w:rPr>
          <w:i/>
          <w:iCs/>
          <w:color w:val="000000"/>
        </w:rPr>
        <w:t>jsou prostředkem pro získání majetkových výhod a případně pro nedovolené ovlivnění fungování orgánů veřejné moci.“</w:t>
      </w:r>
      <w:r w:rsidRPr="007C2545">
        <w:rPr>
          <w:rStyle w:val="Znakapoznpodarou"/>
          <w:iCs/>
        </w:rPr>
        <w:footnoteReference w:id="9"/>
      </w:r>
    </w:p>
    <w:p w14:paraId="79FCBBC7" w14:textId="20CEDD94" w:rsidR="007E123E" w:rsidRPr="00E943B1" w:rsidRDefault="007E123E" w:rsidP="00D40A7A">
      <w:pPr>
        <w:pStyle w:val="format"/>
      </w:pPr>
      <w:r w:rsidRPr="00E943B1">
        <w:t>Evropská unie však nebyla stále spokojena s</w:t>
      </w:r>
      <w:r w:rsidR="00E262D2">
        <w:t xml:space="preserve"> </w:t>
      </w:r>
      <w:r w:rsidRPr="00E943B1">
        <w:t xml:space="preserve">momentálním řešením situace, a proto Komise dne 29. března 2004 vydala sdělení, </w:t>
      </w:r>
      <w:r w:rsidR="001B4769">
        <w:t>v němž</w:t>
      </w:r>
      <w:r w:rsidRPr="00E943B1">
        <w:t xml:space="preserve"> přislíbila vypracování rámcového rozhodnutí, </w:t>
      </w:r>
      <w:r w:rsidR="00657C45">
        <w:t>jímž</w:t>
      </w:r>
      <w:r w:rsidR="00657C45" w:rsidRPr="00E943B1">
        <w:t xml:space="preserve"> </w:t>
      </w:r>
      <w:r w:rsidRPr="00E943B1">
        <w:t>by měl být posílen boj proti organizovanému zločinu uvnitř Evropské un</w:t>
      </w:r>
      <w:r w:rsidR="00D40A7A">
        <w:t>ie.</w:t>
      </w:r>
      <w:r w:rsidRPr="00E943B1">
        <w:rPr>
          <w:rStyle w:val="Znakapoznpodarou"/>
        </w:rPr>
        <w:footnoteReference w:id="10"/>
      </w:r>
    </w:p>
    <w:p w14:paraId="77FA0145" w14:textId="12B763C1" w:rsidR="007E123E" w:rsidRPr="00E943B1" w:rsidRDefault="007E123E" w:rsidP="00D40A7A">
      <w:pPr>
        <w:pStyle w:val="format"/>
      </w:pPr>
      <w:r w:rsidRPr="00E943B1">
        <w:t>Dne 24. října 2008 došlo k</w:t>
      </w:r>
      <w:r w:rsidR="00E262D2">
        <w:t xml:space="preserve"> </w:t>
      </w:r>
      <w:r w:rsidRPr="00E943B1">
        <w:t>přijetí rámcového rozhodnutí 2008/841/SVV</w:t>
      </w:r>
      <w:r w:rsidR="00C443E1" w:rsidRPr="00E943B1">
        <w:t xml:space="preserve">, jehož účelem bylo dále harmonizovat zákony Evropské unie a </w:t>
      </w:r>
      <w:r w:rsidR="00657C45">
        <w:t xml:space="preserve">jejích </w:t>
      </w:r>
      <w:r w:rsidR="00C443E1" w:rsidRPr="00E943B1">
        <w:t>členských států, které se týkají potírání a</w:t>
      </w:r>
      <w:r w:rsidR="00211D29">
        <w:t> </w:t>
      </w:r>
      <w:r w:rsidR="00C443E1" w:rsidRPr="00E943B1">
        <w:t>sankcí trestných činů v</w:t>
      </w:r>
      <w:r w:rsidR="00E262D2">
        <w:t xml:space="preserve"> </w:t>
      </w:r>
      <w:r w:rsidR="00D40A7A">
        <w:t>rámci zločinného spolčení.</w:t>
      </w:r>
      <w:r w:rsidR="00C443E1" w:rsidRPr="00E943B1">
        <w:rPr>
          <w:rStyle w:val="Znakapoznpodarou"/>
        </w:rPr>
        <w:footnoteReference w:id="11"/>
      </w:r>
      <w:r w:rsidR="00C443E1" w:rsidRPr="00E943B1">
        <w:t xml:space="preserve"> Pro účely tohoto rámcového rozhodnutí byla v</w:t>
      </w:r>
      <w:r w:rsidR="00E262D2">
        <w:t xml:space="preserve"> </w:t>
      </w:r>
      <w:r w:rsidR="00C443E1" w:rsidRPr="00E943B1">
        <w:t>článku 1 předmětného rozhodnutí stanovena definice zločinného spolčení a organizované skupiny.</w:t>
      </w:r>
    </w:p>
    <w:p w14:paraId="47675CE3" w14:textId="6D3B4DCF" w:rsidR="00C443E1" w:rsidRPr="00E943B1" w:rsidRDefault="00C443E1" w:rsidP="00D40A7A">
      <w:pPr>
        <w:pStyle w:val="format"/>
      </w:pPr>
      <w:r w:rsidRPr="00E943B1">
        <w:t xml:space="preserve">Zločinným spolčením se rozumí: </w:t>
      </w:r>
      <w:r w:rsidRPr="00E943B1">
        <w:rPr>
          <w:i/>
          <w:iCs/>
        </w:rPr>
        <w:t>„organizovaná skupina více než dvou osob existující po</w:t>
      </w:r>
      <w:r w:rsidR="0074346A">
        <w:rPr>
          <w:i/>
          <w:iCs/>
        </w:rPr>
        <w:t> </w:t>
      </w:r>
      <w:r w:rsidRPr="00E943B1">
        <w:rPr>
          <w:i/>
          <w:iCs/>
        </w:rPr>
        <w:t xml:space="preserve">delší dobu, </w:t>
      </w:r>
      <w:r w:rsidR="00657C45" w:rsidRPr="00E943B1">
        <w:rPr>
          <w:i/>
          <w:iCs/>
        </w:rPr>
        <w:t>kter</w:t>
      </w:r>
      <w:r w:rsidR="00657C45">
        <w:rPr>
          <w:i/>
          <w:iCs/>
        </w:rPr>
        <w:t>á</w:t>
      </w:r>
      <w:r w:rsidR="00657C45" w:rsidRPr="00E943B1">
        <w:rPr>
          <w:i/>
          <w:iCs/>
        </w:rPr>
        <w:t xml:space="preserve"> </w:t>
      </w:r>
      <w:r w:rsidRPr="00E943B1">
        <w:rPr>
          <w:i/>
          <w:iCs/>
        </w:rPr>
        <w:t>jedná ve shodě s</w:t>
      </w:r>
      <w:r w:rsidR="00E262D2">
        <w:rPr>
          <w:i/>
          <w:iCs/>
        </w:rPr>
        <w:t xml:space="preserve"> </w:t>
      </w:r>
      <w:r w:rsidRPr="00E943B1">
        <w:rPr>
          <w:i/>
          <w:iCs/>
        </w:rPr>
        <w:t>cílem páchat trestné činy, za které lze uložit trest odnětí svobody nebo opatření omezující osobní svobodu s</w:t>
      </w:r>
      <w:r w:rsidR="00E262D2">
        <w:rPr>
          <w:i/>
          <w:iCs/>
        </w:rPr>
        <w:t xml:space="preserve"> </w:t>
      </w:r>
      <w:r w:rsidRPr="00E943B1">
        <w:rPr>
          <w:i/>
          <w:iCs/>
        </w:rPr>
        <w:t>horní hranicí sazby nejméně čtyři roky nebo vyšší trest, za účelem získání, přímo či nepřímo, finanční výhody nebo jiné hmotné výhody</w:t>
      </w:r>
      <w:r w:rsidR="00D40A7A">
        <w:rPr>
          <w:i/>
          <w:iCs/>
        </w:rPr>
        <w:t>“.</w:t>
      </w:r>
      <w:r w:rsidR="009F33C8" w:rsidRPr="00D40A7A">
        <w:rPr>
          <w:rStyle w:val="Znakapoznpodarou"/>
          <w:iCs/>
        </w:rPr>
        <w:footnoteReference w:id="12"/>
      </w:r>
    </w:p>
    <w:p w14:paraId="7CFDE502" w14:textId="547CEE2C" w:rsidR="00546177" w:rsidRPr="00E943B1" w:rsidRDefault="009F33C8" w:rsidP="006158EB">
      <w:pPr>
        <w:pStyle w:val="format"/>
      </w:pPr>
      <w:r w:rsidRPr="00E943B1">
        <w:t xml:space="preserve">Organizovaná skupina je skupina, </w:t>
      </w:r>
      <w:r w:rsidRPr="00E943B1">
        <w:rPr>
          <w:i/>
          <w:iCs/>
        </w:rPr>
        <w:t>„která</w:t>
      </w:r>
      <w:r w:rsidR="00C443E1" w:rsidRPr="00E943B1">
        <w:rPr>
          <w:i/>
          <w:iCs/>
        </w:rPr>
        <w:t xml:space="preserve"> není vytvořena </w:t>
      </w:r>
      <w:r w:rsidRPr="00E943B1">
        <w:rPr>
          <w:i/>
          <w:iCs/>
        </w:rPr>
        <w:t>nahodile, aby okamžitě páchala trestné činy, a jejíž členové nemusí nutně mít přesně vymezené úlohy a u níž není nezbytná kontinuita členství ani rozvinutá struktura.“</w:t>
      </w:r>
      <w:r w:rsidRPr="00E943B1">
        <w:rPr>
          <w:rStyle w:val="Znakapoznpodarou"/>
        </w:rPr>
        <w:footnoteReference w:id="13"/>
      </w:r>
    </w:p>
    <w:p w14:paraId="597CA60E" w14:textId="55704117" w:rsidR="00F75643" w:rsidRPr="00E943B1" w:rsidRDefault="008F7D63" w:rsidP="006158EB">
      <w:pPr>
        <w:pStyle w:val="format"/>
      </w:pPr>
      <w:r w:rsidRPr="00E943B1">
        <w:t>Rámcovým rozhodnutím Rady 2008/841/SVV ze dne 24. října 2008 došlo ke zrušení společné akce 98/733/SVV ze dne 21. prosince 1998.</w:t>
      </w:r>
    </w:p>
    <w:p w14:paraId="4AD4B4BA" w14:textId="20072AE6" w:rsidR="00F75643" w:rsidRPr="00E943B1" w:rsidRDefault="00704036" w:rsidP="00174467">
      <w:pPr>
        <w:pStyle w:val="Nadpis2"/>
      </w:pPr>
      <w:bookmarkStart w:id="5" w:name="_Toc170637994"/>
      <w:r w:rsidRPr="00E943B1">
        <w:t>Právní ú</w:t>
      </w:r>
      <w:r w:rsidR="00F75643" w:rsidRPr="00E943B1">
        <w:t>prava Organizace spojených národů</w:t>
      </w:r>
      <w:bookmarkEnd w:id="5"/>
    </w:p>
    <w:p w14:paraId="0BE51B1B" w14:textId="77777777" w:rsidR="00211D29" w:rsidRDefault="00F75643" w:rsidP="00174467">
      <w:pPr>
        <w:pStyle w:val="format"/>
      </w:pPr>
      <w:r w:rsidRPr="00E943B1">
        <w:t xml:space="preserve">Ani Organizace spojených národů </w:t>
      </w:r>
      <w:r w:rsidR="00657C45">
        <w:t>v</w:t>
      </w:r>
      <w:r w:rsidR="00073C2D">
        <w:t xml:space="preserve"> </w:t>
      </w:r>
      <w:r w:rsidR="00657C45">
        <w:t xml:space="preserve">tomto ohledu </w:t>
      </w:r>
      <w:r w:rsidRPr="00E943B1">
        <w:t xml:space="preserve">nezahálela a </w:t>
      </w:r>
      <w:r w:rsidR="00195EA5" w:rsidRPr="00E943B1">
        <w:t>dne 15. listopadu</w:t>
      </w:r>
      <w:r w:rsidRPr="00E943B1">
        <w:t xml:space="preserve"> 2000</w:t>
      </w:r>
      <w:r w:rsidR="00FA296E" w:rsidRPr="00E943B1">
        <w:t xml:space="preserve"> v</w:t>
      </w:r>
      <w:r w:rsidR="00211D29">
        <w:t> </w:t>
      </w:r>
      <w:r w:rsidR="00FA296E" w:rsidRPr="00E943B1">
        <w:t xml:space="preserve">New Yorku </w:t>
      </w:r>
      <w:r w:rsidR="00657C45" w:rsidRPr="00E943B1">
        <w:t>přijal</w:t>
      </w:r>
      <w:r w:rsidR="00657C45">
        <w:t>a</w:t>
      </w:r>
      <w:r w:rsidR="00657C45" w:rsidRPr="00E943B1">
        <w:t xml:space="preserve"> </w:t>
      </w:r>
      <w:r w:rsidR="00FA296E" w:rsidRPr="00E943B1">
        <w:t>Úmluvu Organizace spojených národů proti nadnárodnímu organizovanému zločinu. V</w:t>
      </w:r>
      <w:r w:rsidR="00E262D2">
        <w:t xml:space="preserve"> </w:t>
      </w:r>
      <w:r w:rsidR="00FA296E" w:rsidRPr="00E943B1">
        <w:t>předmětné Úmluvě byla organizovaná zločinecká skupina definována takto:</w:t>
      </w:r>
      <w:r w:rsidR="00FA296E" w:rsidRPr="00E943B1">
        <w:rPr>
          <w:rStyle w:val="Znakapoznpodarou"/>
        </w:rPr>
        <w:footnoteReference w:id="14"/>
      </w:r>
    </w:p>
    <w:p w14:paraId="6292829B" w14:textId="1043B49B" w:rsidR="00FA296E" w:rsidRPr="00E943B1" w:rsidRDefault="00FA296E" w:rsidP="00174467">
      <w:pPr>
        <w:pStyle w:val="format"/>
        <w:rPr>
          <w:i/>
          <w:iCs/>
          <w:color w:val="000000"/>
        </w:rPr>
      </w:pPr>
      <w:r w:rsidRPr="00E943B1">
        <w:rPr>
          <w:i/>
          <w:iCs/>
          <w:color w:val="000000"/>
        </w:rPr>
        <w:t>„</w:t>
      </w:r>
      <w:r w:rsidR="00174467">
        <w:rPr>
          <w:i/>
          <w:iCs/>
          <w:color w:val="000000"/>
        </w:rPr>
        <w:t xml:space="preserve">… </w:t>
      </w:r>
      <w:r w:rsidRPr="00E943B1">
        <w:rPr>
          <w:i/>
          <w:iCs/>
          <w:color w:val="000000"/>
        </w:rPr>
        <w:t>strukturovaná skupina tří nebo více osob, existující po určité časové období a</w:t>
      </w:r>
      <w:r w:rsidR="009C51C4">
        <w:rPr>
          <w:i/>
          <w:iCs/>
          <w:color w:val="000000"/>
        </w:rPr>
        <w:t> </w:t>
      </w:r>
      <w:r w:rsidRPr="00E943B1">
        <w:rPr>
          <w:i/>
          <w:iCs/>
          <w:color w:val="000000"/>
        </w:rPr>
        <w:t>jednající ve vzájemné shodě s</w:t>
      </w:r>
      <w:r w:rsidR="00E262D2">
        <w:rPr>
          <w:i/>
          <w:iCs/>
          <w:color w:val="000000"/>
        </w:rPr>
        <w:t xml:space="preserve"> </w:t>
      </w:r>
      <w:r w:rsidRPr="00E943B1">
        <w:rPr>
          <w:i/>
          <w:iCs/>
          <w:color w:val="000000"/>
        </w:rPr>
        <w:t xml:space="preserve">cílem spáchat jeden či více závažných trestných činů nebo </w:t>
      </w:r>
      <w:r w:rsidRPr="00E943B1">
        <w:rPr>
          <w:i/>
          <w:iCs/>
          <w:color w:val="000000"/>
        </w:rPr>
        <w:lastRenderedPageBreak/>
        <w:t>trestných činů stanovených v</w:t>
      </w:r>
      <w:r w:rsidR="00E262D2">
        <w:rPr>
          <w:i/>
          <w:iCs/>
          <w:color w:val="000000"/>
        </w:rPr>
        <w:t xml:space="preserve"> </w:t>
      </w:r>
      <w:r w:rsidRPr="00E943B1">
        <w:rPr>
          <w:i/>
          <w:iCs/>
          <w:color w:val="000000"/>
        </w:rPr>
        <w:t>souladu s</w:t>
      </w:r>
      <w:r w:rsidR="00E262D2">
        <w:rPr>
          <w:i/>
          <w:iCs/>
          <w:color w:val="000000"/>
        </w:rPr>
        <w:t xml:space="preserve"> </w:t>
      </w:r>
      <w:r w:rsidRPr="00E943B1">
        <w:rPr>
          <w:i/>
          <w:iCs/>
          <w:color w:val="000000"/>
        </w:rPr>
        <w:t>touto Úmluvou, aby získala, přímo či nepřímo, finanční nebo jiný hmotný prospěch“</w:t>
      </w:r>
      <w:r w:rsidR="00657C45">
        <w:rPr>
          <w:i/>
          <w:iCs/>
          <w:color w:val="000000"/>
        </w:rPr>
        <w:t>.</w:t>
      </w:r>
      <w:r w:rsidRPr="00174467">
        <w:rPr>
          <w:rStyle w:val="Znakapoznpodarou"/>
          <w:iCs/>
        </w:rPr>
        <w:footnoteReference w:id="15"/>
      </w:r>
    </w:p>
    <w:p w14:paraId="3AA76772" w14:textId="25FD00D5" w:rsidR="00195EA5" w:rsidRPr="00E943B1" w:rsidRDefault="00195EA5" w:rsidP="003755B0">
      <w:pPr>
        <w:pStyle w:val="format"/>
      </w:pPr>
      <w:r w:rsidRPr="00E943B1">
        <w:t>Česká republika pak danou Úmluvu podepsala dne 12. prosince 2000 v</w:t>
      </w:r>
      <w:r w:rsidR="00E262D2">
        <w:t xml:space="preserve"> </w:t>
      </w:r>
      <w:r w:rsidRPr="00E943B1">
        <w:t>Palermu a</w:t>
      </w:r>
      <w:r w:rsidR="00F30174">
        <w:t> </w:t>
      </w:r>
      <w:r w:rsidRPr="00E943B1">
        <w:t>v</w:t>
      </w:r>
      <w:r w:rsidR="00F30174">
        <w:t> </w:t>
      </w:r>
      <w:r w:rsidRPr="00E943B1">
        <w:t>platnost vstoupila pro Českou republiku dne 24. října 2013.</w:t>
      </w:r>
      <w:r w:rsidR="0040095E" w:rsidRPr="00E943B1">
        <w:rPr>
          <w:rStyle w:val="Znakapoznpodarou"/>
          <w:color w:val="000000"/>
        </w:rPr>
        <w:footnoteReference w:id="16"/>
      </w:r>
    </w:p>
    <w:p w14:paraId="651145C2" w14:textId="38FA2C85" w:rsidR="00195EA5" w:rsidRPr="00E943B1" w:rsidRDefault="00195EA5" w:rsidP="003755B0">
      <w:pPr>
        <w:pStyle w:val="format"/>
      </w:pPr>
      <w:r w:rsidRPr="00E943B1">
        <w:t xml:space="preserve">Nutno podotknout, že definice Úmluvy Organizace spojených národů a definice </w:t>
      </w:r>
      <w:r w:rsidR="00943EC1">
        <w:t>s</w:t>
      </w:r>
      <w:r w:rsidR="00943EC1" w:rsidRPr="00E943B1">
        <w:t xml:space="preserve">polečné </w:t>
      </w:r>
      <w:r w:rsidRPr="00E943B1">
        <w:t xml:space="preserve">akce, kterou přijala Evropská </w:t>
      </w:r>
      <w:r w:rsidR="008D702C">
        <w:t>u</w:t>
      </w:r>
      <w:r w:rsidRPr="00E943B1">
        <w:t>nie</w:t>
      </w:r>
      <w:r w:rsidR="008D702C">
        <w:t>,</w:t>
      </w:r>
      <w:r w:rsidRPr="00E943B1">
        <w:t xml:space="preserve"> jsou </w:t>
      </w:r>
      <w:r w:rsidR="009E07BF">
        <w:t xml:space="preserve">si </w:t>
      </w:r>
      <w:r w:rsidRPr="00E943B1">
        <w:t xml:space="preserve">dosti </w:t>
      </w:r>
      <w:r w:rsidR="00943EC1" w:rsidRPr="00E943B1">
        <w:t>podob</w:t>
      </w:r>
      <w:r w:rsidR="00943EC1">
        <w:t>né</w:t>
      </w:r>
      <w:r w:rsidRPr="00E943B1">
        <w:t>. V</w:t>
      </w:r>
      <w:r w:rsidR="00E262D2">
        <w:t xml:space="preserve"> </w:t>
      </w:r>
      <w:r w:rsidRPr="00E943B1">
        <w:t xml:space="preserve">obou případech se </w:t>
      </w:r>
      <w:r w:rsidR="00F26118">
        <w:t xml:space="preserve">totiž </w:t>
      </w:r>
      <w:r w:rsidRPr="00E943B1">
        <w:t>musí jedna</w:t>
      </w:r>
      <w:r w:rsidR="006E4219">
        <w:t>t</w:t>
      </w:r>
      <w:r w:rsidRPr="00E943B1">
        <w:t xml:space="preserve"> o</w:t>
      </w:r>
      <w:r w:rsidR="00F30174">
        <w:t> </w:t>
      </w:r>
      <w:r w:rsidRPr="00E943B1">
        <w:t xml:space="preserve">strukturované spojení minimálně 2 osob (dle Úmluvy </w:t>
      </w:r>
      <w:r w:rsidR="006E4219" w:rsidRPr="00E943B1">
        <w:t>Organizace spojených národů</w:t>
      </w:r>
      <w:r w:rsidRPr="00E943B1">
        <w:t xml:space="preserve"> minimálně 3 osob), </w:t>
      </w:r>
      <w:r w:rsidR="0040095E" w:rsidRPr="00E943B1">
        <w:t>které existuje po delší časový úsek</w:t>
      </w:r>
      <w:r w:rsidR="006E4219">
        <w:t>,</w:t>
      </w:r>
      <w:r w:rsidR="0040095E" w:rsidRPr="00E943B1">
        <w:t xml:space="preserve"> </w:t>
      </w:r>
      <w:r w:rsidR="006E4219">
        <w:t xml:space="preserve">přičemž </w:t>
      </w:r>
      <w:r w:rsidR="00561604">
        <w:t xml:space="preserve">zapojené </w:t>
      </w:r>
      <w:r w:rsidR="006E4219">
        <w:t>osoby</w:t>
      </w:r>
      <w:r w:rsidR="006E4219" w:rsidRPr="00E943B1">
        <w:t xml:space="preserve"> </w:t>
      </w:r>
      <w:r w:rsidR="0040095E" w:rsidRPr="00E943B1">
        <w:t>spojuje společný cíl/záměr páchat trestnou činnost za účelem prospěchu.</w:t>
      </w:r>
    </w:p>
    <w:p w14:paraId="39AAAA27" w14:textId="326BD4CA" w:rsidR="00357472" w:rsidRPr="003755B0" w:rsidRDefault="00CA6331" w:rsidP="003755B0">
      <w:pPr>
        <w:pStyle w:val="Nadpis2"/>
      </w:pPr>
      <w:bookmarkStart w:id="6" w:name="_Toc170637995"/>
      <w:r w:rsidRPr="003755B0">
        <w:t>Boj s</w:t>
      </w:r>
      <w:r w:rsidR="00E262D2" w:rsidRPr="003755B0">
        <w:t xml:space="preserve"> </w:t>
      </w:r>
      <w:r w:rsidRPr="003755B0">
        <w:t>organizovaným zločinem</w:t>
      </w:r>
      <w:bookmarkEnd w:id="6"/>
    </w:p>
    <w:p w14:paraId="00518931" w14:textId="77777777" w:rsidR="00996FDB" w:rsidRDefault="003755B0" w:rsidP="003755B0">
      <w:pPr>
        <w:pStyle w:val="format"/>
      </w:pPr>
      <w:r>
        <w:t>Dle zákona č.</w:t>
      </w:r>
      <w:r w:rsidR="000807CA" w:rsidRPr="00E943B1">
        <w:t xml:space="preserve"> 2/1969 Sb., kompetenční zákon, spadá boj proti organizovanému zločinu </w:t>
      </w:r>
      <w:r w:rsidR="006C4498">
        <w:t>do</w:t>
      </w:r>
      <w:r w:rsidR="00F30174">
        <w:t> </w:t>
      </w:r>
      <w:r w:rsidR="006C4498">
        <w:t>gesce</w:t>
      </w:r>
      <w:r w:rsidR="000807CA" w:rsidRPr="00E943B1">
        <w:t xml:space="preserve"> Ministerstva vnitra. Orgány činné v</w:t>
      </w:r>
      <w:r w:rsidR="00E262D2">
        <w:t xml:space="preserve"> </w:t>
      </w:r>
      <w:r w:rsidR="000807CA" w:rsidRPr="00E943B1">
        <w:t>trestním řízení se pak aktivně snaží potírat organizovaný zločin. Do boje se však zapojují i jiná ministerstva</w:t>
      </w:r>
      <w:r w:rsidR="00F26118">
        <w:t>,</w:t>
      </w:r>
      <w:r w:rsidR="000807CA" w:rsidRPr="00E943B1">
        <w:t xml:space="preserve"> jako </w:t>
      </w:r>
      <w:r w:rsidR="00F26118">
        <w:t xml:space="preserve">je </w:t>
      </w:r>
      <w:r w:rsidR="000807CA" w:rsidRPr="00E943B1">
        <w:t xml:space="preserve">např. Ministerstvo financí, pod něhož spadá </w:t>
      </w:r>
      <w:r w:rsidR="0027150B">
        <w:t xml:space="preserve">také </w:t>
      </w:r>
      <w:r w:rsidR="000807CA" w:rsidRPr="00E943B1">
        <w:t xml:space="preserve">Celní správa </w:t>
      </w:r>
      <w:r w:rsidR="00F26118" w:rsidRPr="00E943B1">
        <w:t>Č</w:t>
      </w:r>
      <w:r w:rsidR="00F26118">
        <w:t>eské republiky,</w:t>
      </w:r>
      <w:r w:rsidR="00F26118" w:rsidRPr="00E943B1">
        <w:t xml:space="preserve"> </w:t>
      </w:r>
      <w:r w:rsidR="000807CA" w:rsidRPr="00E943B1">
        <w:t>dále Ministerstvo spravedlnosti apod.</w:t>
      </w:r>
      <w:r w:rsidR="000807CA" w:rsidRPr="00E943B1">
        <w:rPr>
          <w:rStyle w:val="Znakapoznpodarou"/>
        </w:rPr>
        <w:footnoteReference w:id="17"/>
      </w:r>
    </w:p>
    <w:p w14:paraId="08BD856B" w14:textId="5308D9DE" w:rsidR="00996FDB" w:rsidRDefault="00B04BF9" w:rsidP="003755B0">
      <w:pPr>
        <w:pStyle w:val="format"/>
        <w:rPr>
          <w:i/>
          <w:iCs/>
        </w:rPr>
      </w:pPr>
      <w:r w:rsidRPr="00E943B1">
        <w:rPr>
          <w:i/>
          <w:iCs/>
        </w:rPr>
        <w:t>„</w:t>
      </w:r>
      <w:r w:rsidR="000807CA" w:rsidRPr="00E943B1">
        <w:rPr>
          <w:i/>
          <w:iCs/>
        </w:rPr>
        <w:t xml:space="preserve">Ministerstvo vnitra jakožto </w:t>
      </w:r>
      <w:r w:rsidRPr="00E943B1">
        <w:rPr>
          <w:i/>
          <w:iCs/>
        </w:rPr>
        <w:t>gestor problematiky boje proti organizovanému zločinu mj.</w:t>
      </w:r>
      <w:r w:rsidR="00996FDB">
        <w:rPr>
          <w:i/>
          <w:iCs/>
        </w:rPr>
        <w:t> </w:t>
      </w:r>
      <w:r w:rsidRPr="00E943B1">
        <w:rPr>
          <w:i/>
          <w:iCs/>
        </w:rPr>
        <w:t>pravidelně vypracovává Koncepci boje proti organizovanému zločinu</w:t>
      </w:r>
      <w:r w:rsidR="009D1797" w:rsidRPr="00E943B1">
        <w:rPr>
          <w:i/>
          <w:iCs/>
        </w:rPr>
        <w:t xml:space="preserve"> (dále Koncepce)</w:t>
      </w:r>
      <w:r w:rsidRPr="00E943B1">
        <w:rPr>
          <w:i/>
          <w:iCs/>
        </w:rPr>
        <w:t>, jejímž úkolem je na základě analýzy stávající situace formulovat opatření k vytváření a posilování vhodných podmínek a nástrojů bezpečnostních sborů v oblasti prevence, odhalování a</w:t>
      </w:r>
      <w:r w:rsidR="00F30174">
        <w:rPr>
          <w:i/>
          <w:iCs/>
        </w:rPr>
        <w:t> </w:t>
      </w:r>
      <w:r w:rsidRPr="00E943B1">
        <w:rPr>
          <w:i/>
          <w:iCs/>
        </w:rPr>
        <w:t>postihování organizovaného zločinu.“</w:t>
      </w:r>
      <w:r w:rsidRPr="00E943B1">
        <w:rPr>
          <w:rStyle w:val="Znakapoznpodarou"/>
        </w:rPr>
        <w:footnoteReference w:id="18"/>
      </w:r>
    </w:p>
    <w:p w14:paraId="74559FA5" w14:textId="77777777" w:rsidR="00996FDB" w:rsidRDefault="009D1797" w:rsidP="003755B0">
      <w:pPr>
        <w:pStyle w:val="format"/>
      </w:pPr>
      <w:r w:rsidRPr="00E943B1">
        <w:t>V</w:t>
      </w:r>
      <w:r w:rsidR="00E262D2">
        <w:t xml:space="preserve"> </w:t>
      </w:r>
      <w:r w:rsidRPr="00E943B1">
        <w:t xml:space="preserve">předmětné Koncepci je mimo jiné zmíněna zastaralost trestního řádu, která má spíše negativní dopad na celou problematiku boje proti organizovanému zločinu. Proto </w:t>
      </w:r>
      <w:r w:rsidR="00674035" w:rsidRPr="00E943B1">
        <w:t xml:space="preserve">Koncepce </w:t>
      </w:r>
      <w:r w:rsidR="00674035" w:rsidRPr="00E943B1">
        <w:lastRenderedPageBreak/>
        <w:t>usiluje a</w:t>
      </w:r>
      <w:r w:rsidR="006C4498">
        <w:t>le</w:t>
      </w:r>
      <w:r w:rsidR="00674035" w:rsidRPr="00E943B1">
        <w:t>spoň o identifikaci dílčích oblastí, které lze zlepšit novelizací trestního řádu. Konkrétně se jedná např. o institut agenta.</w:t>
      </w:r>
      <w:r w:rsidR="00674035" w:rsidRPr="00E943B1">
        <w:rPr>
          <w:rStyle w:val="Znakapoznpodarou"/>
        </w:rPr>
        <w:footnoteReference w:id="19"/>
      </w:r>
    </w:p>
    <w:p w14:paraId="7DB38739" w14:textId="13DA6385" w:rsidR="00F20486" w:rsidRDefault="00674035" w:rsidP="003755B0">
      <w:pPr>
        <w:pStyle w:val="format"/>
      </w:pPr>
      <w:r w:rsidRPr="00E943B1">
        <w:t>V</w:t>
      </w:r>
      <w:r w:rsidR="00E262D2">
        <w:t xml:space="preserve"> </w:t>
      </w:r>
      <w:r w:rsidRPr="00E943B1">
        <w:t xml:space="preserve">neposlední řadě </w:t>
      </w:r>
      <w:r w:rsidR="006C4498">
        <w:t>nelze</w:t>
      </w:r>
      <w:r w:rsidRPr="00E943B1">
        <w:t xml:space="preserve"> </w:t>
      </w:r>
      <w:r w:rsidR="006C4498" w:rsidRPr="00E943B1">
        <w:t>zapom</w:t>
      </w:r>
      <w:r w:rsidR="006C4498">
        <w:t xml:space="preserve">ínat </w:t>
      </w:r>
      <w:r w:rsidRPr="00E943B1">
        <w:t>také na specializované útvary Policie České republiky (např. Útvar pro odhalov</w:t>
      </w:r>
      <w:r w:rsidR="008D702C">
        <w:t>á</w:t>
      </w:r>
      <w:r w:rsidRPr="00E943B1">
        <w:t>ní organizovaného zločinu aj.), které se aktivně podílejí na odhalování organizovaného zločinu.</w:t>
      </w:r>
    </w:p>
    <w:p w14:paraId="6B579130" w14:textId="17736779" w:rsidR="00F144F6" w:rsidRPr="00E943B1" w:rsidRDefault="00F20486" w:rsidP="00F20486">
      <w:pPr>
        <w:pStyle w:val="Nadpis1"/>
      </w:pPr>
      <w:r>
        <w:br w:type="page"/>
      </w:r>
      <w:bookmarkStart w:id="7" w:name="_Toc170637996"/>
      <w:r w:rsidR="003755B0">
        <w:lastRenderedPageBreak/>
        <w:t>Spolupracující obviněný</w:t>
      </w:r>
      <w:bookmarkEnd w:id="7"/>
    </w:p>
    <w:p w14:paraId="1969C577" w14:textId="4308B62D" w:rsidR="00ED5F05" w:rsidRPr="00E943B1" w:rsidRDefault="00C0152B" w:rsidP="003755B0">
      <w:pPr>
        <w:pStyle w:val="format"/>
      </w:pPr>
      <w:r w:rsidRPr="00E943B1">
        <w:t>Po vzoru anglosaského systému</w:t>
      </w:r>
      <w:r w:rsidR="00D6040F" w:rsidRPr="00E943B1">
        <w:t>, který však používá pouze podobný institut</w:t>
      </w:r>
      <w:r w:rsidR="0027150B">
        <w:t>,</w:t>
      </w:r>
      <w:r w:rsidR="00D6040F" w:rsidRPr="00E943B1">
        <w:t xml:space="preserve"> a to institut „korunního svědka“,</w:t>
      </w:r>
      <w:r w:rsidR="004F3223" w:rsidRPr="00E943B1">
        <w:t xml:space="preserve"> byl </w:t>
      </w:r>
      <w:r w:rsidR="0067200C">
        <w:t>příslušný</w:t>
      </w:r>
      <w:r w:rsidR="0027150B" w:rsidRPr="00E943B1">
        <w:t xml:space="preserve"> </w:t>
      </w:r>
      <w:r w:rsidR="004F3223" w:rsidRPr="00E943B1">
        <w:t xml:space="preserve">institut zaveden </w:t>
      </w:r>
      <w:r w:rsidR="0085400D">
        <w:t xml:space="preserve">za účelem </w:t>
      </w:r>
      <w:r w:rsidR="004F3223" w:rsidRPr="00E943B1">
        <w:t>potírání organizovaného zločinu, který představoval a doposud představuje jednu z</w:t>
      </w:r>
      <w:r w:rsidR="00E262D2">
        <w:t xml:space="preserve"> </w:t>
      </w:r>
      <w:r w:rsidR="004F3223" w:rsidRPr="00E943B1">
        <w:t>největších hrozeb moderní společnosti. S</w:t>
      </w:r>
      <w:r w:rsidR="00F56D53">
        <w:t> </w:t>
      </w:r>
      <w:r w:rsidR="004F3223" w:rsidRPr="00E943B1">
        <w:t>postupným vývojem společnosti se stal organizovaný zločin mezinárodním problémem</w:t>
      </w:r>
      <w:r w:rsidR="00D6040F" w:rsidRPr="00E943B1">
        <w:t>, na</w:t>
      </w:r>
      <w:r w:rsidR="00F56D53">
        <w:t> </w:t>
      </w:r>
      <w:r w:rsidR="00D6040F" w:rsidRPr="00E943B1">
        <w:t>což</w:t>
      </w:r>
      <w:r w:rsidR="00F56D53">
        <w:t> </w:t>
      </w:r>
      <w:r w:rsidR="00D6040F" w:rsidRPr="00E943B1">
        <w:t xml:space="preserve">reagovala Evropská unie vydáním </w:t>
      </w:r>
      <w:r w:rsidR="00903486">
        <w:t>r</w:t>
      </w:r>
      <w:r w:rsidR="00903486" w:rsidRPr="00E943B1">
        <w:t xml:space="preserve">ezoluce </w:t>
      </w:r>
      <w:r w:rsidR="00D6040F" w:rsidRPr="00E943B1">
        <w:t xml:space="preserve">Rady Evropské unie č. 497Y011(01) ze dne 20. prosince 1996 o jednotlivcích, kteří spolupracují při </w:t>
      </w:r>
      <w:r w:rsidR="00D6040F" w:rsidRPr="003755B0">
        <w:t>soudním</w:t>
      </w:r>
      <w:r w:rsidR="00D6040F" w:rsidRPr="00E943B1">
        <w:t xml:space="preserve"> řízení v</w:t>
      </w:r>
      <w:r w:rsidR="00E262D2">
        <w:t xml:space="preserve"> </w:t>
      </w:r>
      <w:r w:rsidR="00D6040F" w:rsidRPr="00E943B1">
        <w:t xml:space="preserve">boji proti mezinárodně organizovanému zločinu. Tato </w:t>
      </w:r>
      <w:r w:rsidR="00094EA4">
        <w:t>r</w:t>
      </w:r>
      <w:r w:rsidR="00094EA4" w:rsidRPr="00E943B1">
        <w:t xml:space="preserve">ezoluce </w:t>
      </w:r>
      <w:r w:rsidR="00D6040F" w:rsidRPr="00E943B1">
        <w:t xml:space="preserve">vyzývala členské státy </w:t>
      </w:r>
      <w:r w:rsidR="0081148A" w:rsidRPr="00E943B1">
        <w:t>k</w:t>
      </w:r>
      <w:r w:rsidR="00E262D2">
        <w:t xml:space="preserve"> </w:t>
      </w:r>
      <w:r w:rsidR="0081148A" w:rsidRPr="00E943B1">
        <w:t>přijetí takové právní úpravy, která by motivovala jednotlivce, kteří jsou součástí těchto skupin, ke spolupráci s</w:t>
      </w:r>
      <w:r w:rsidR="00E262D2">
        <w:t xml:space="preserve"> </w:t>
      </w:r>
      <w:r w:rsidR="0081148A" w:rsidRPr="00E943B1">
        <w:t xml:space="preserve">úřady </w:t>
      </w:r>
      <w:r w:rsidR="00094EA4" w:rsidRPr="00E943B1">
        <w:t>činný</w:t>
      </w:r>
      <w:r w:rsidR="00094EA4">
        <w:t>mi</w:t>
      </w:r>
      <w:r w:rsidR="00094EA4" w:rsidRPr="00E943B1">
        <w:t xml:space="preserve"> </w:t>
      </w:r>
      <w:r w:rsidR="0081148A" w:rsidRPr="00E943B1">
        <w:t>v</w:t>
      </w:r>
      <w:r w:rsidR="00E262D2">
        <w:t xml:space="preserve"> </w:t>
      </w:r>
      <w:r w:rsidR="0081148A" w:rsidRPr="00E943B1">
        <w:t>trestním řízení, což by potenciálně mohlo vést k</w:t>
      </w:r>
      <w:r w:rsidR="00E262D2">
        <w:t xml:space="preserve"> </w:t>
      </w:r>
      <w:r w:rsidR="0081148A" w:rsidRPr="00E943B1">
        <w:t>rozbití těchto skupin. Těmto jednotlivcům by</w:t>
      </w:r>
      <w:r w:rsidR="00F56D53">
        <w:t> </w:t>
      </w:r>
      <w:r w:rsidR="0081148A" w:rsidRPr="00E943B1">
        <w:t>pak měly být poskytnuty určité „úlevy“ v</w:t>
      </w:r>
      <w:r w:rsidR="00E262D2">
        <w:t xml:space="preserve"> </w:t>
      </w:r>
      <w:r w:rsidR="0081148A" w:rsidRPr="00E943B1">
        <w:t xml:space="preserve">rámci ukládání trestu a způsobu výkonu trestu, jakož i ochrana jejich rodinných příslušníků a </w:t>
      </w:r>
      <w:r w:rsidR="00094EA4" w:rsidRPr="00E943B1">
        <w:t>blízký</w:t>
      </w:r>
      <w:r w:rsidR="00094EA4">
        <w:t>ch</w:t>
      </w:r>
      <w:r w:rsidR="00094EA4" w:rsidRPr="00E943B1">
        <w:t xml:space="preserve"> </w:t>
      </w:r>
      <w:r w:rsidR="0081148A" w:rsidRPr="00E943B1">
        <w:t xml:space="preserve">osob. Toto podporovala i Úmluva </w:t>
      </w:r>
      <w:r w:rsidR="00094EA4" w:rsidRPr="00E943B1">
        <w:t>O</w:t>
      </w:r>
      <w:r w:rsidR="00094EA4">
        <w:t>rganizace spojených národů</w:t>
      </w:r>
      <w:r w:rsidR="00094EA4" w:rsidRPr="00E943B1">
        <w:t xml:space="preserve"> </w:t>
      </w:r>
      <w:r w:rsidR="0081148A" w:rsidRPr="00E943B1">
        <w:t>proti nadnárodnímu organizovanému zločinu přijatá v</w:t>
      </w:r>
      <w:r w:rsidR="00E262D2">
        <w:t xml:space="preserve"> </w:t>
      </w:r>
      <w:r w:rsidR="0081148A" w:rsidRPr="00E943B1">
        <w:t>prosinci 2000 v</w:t>
      </w:r>
      <w:r w:rsidR="00F56D53">
        <w:t> </w:t>
      </w:r>
      <w:r w:rsidR="0081148A" w:rsidRPr="00E943B1">
        <w:t>Palermu</w:t>
      </w:r>
      <w:r w:rsidR="00F144F6" w:rsidRPr="00E943B1">
        <w:t>. Konkrétně pak článek 18 této Úmluvy hovoří o snížení trestu u obžalovaného, který výrazně dopomůže vyšetřování nebo stíhání trestného činu</w:t>
      </w:r>
      <w:r w:rsidR="003755B0">
        <w:t xml:space="preserve"> upraveného předmětnou Úmluvou.</w:t>
      </w:r>
      <w:r w:rsidR="000C6522">
        <w:rPr>
          <w:rStyle w:val="Znakapoznpodarou"/>
        </w:rPr>
        <w:footnoteReference w:id="20"/>
      </w:r>
    </w:p>
    <w:p w14:paraId="09C936C8" w14:textId="4996EDCB" w:rsidR="006F30F9" w:rsidRPr="00E943B1" w:rsidRDefault="00F144F6" w:rsidP="003755B0">
      <w:pPr>
        <w:pStyle w:val="format"/>
      </w:pPr>
      <w:r w:rsidRPr="00E943B1">
        <w:t xml:space="preserve">Tyto události spustily vlnu diskusí, </w:t>
      </w:r>
      <w:r w:rsidR="00614356">
        <w:t xml:space="preserve">a sice </w:t>
      </w:r>
      <w:r w:rsidRPr="00E943B1">
        <w:t>zda zavádět institut „korunního svědka“ či</w:t>
      </w:r>
      <w:r w:rsidR="00F56D53">
        <w:t> </w:t>
      </w:r>
      <w:r w:rsidRPr="00E943B1">
        <w:t>nikoli. Nakonec byl přijat institut spolupracující</w:t>
      </w:r>
      <w:r w:rsidR="006E1DE1">
        <w:t>ho</w:t>
      </w:r>
      <w:r w:rsidRPr="00E943B1">
        <w:t xml:space="preserve"> obviněn</w:t>
      </w:r>
      <w:r w:rsidR="006E1DE1">
        <w:t>ého</w:t>
      </w:r>
      <w:r w:rsidRPr="00E943B1">
        <w:t>.</w:t>
      </w:r>
      <w:r w:rsidR="006C65A5" w:rsidRPr="00E943B1">
        <w:rPr>
          <w:rStyle w:val="Znakapoznpodarou"/>
          <w:color w:val="000000"/>
        </w:rPr>
        <w:footnoteReference w:id="21"/>
      </w:r>
      <w:r w:rsidR="006F30F9" w:rsidRPr="00E943B1">
        <w:t xml:space="preserve"> Nutno podotknout, že český právní systém pojem „korunní svědek“ nezná</w:t>
      </w:r>
      <w:r w:rsidR="006E1DE1">
        <w:t>,</w:t>
      </w:r>
      <w:r w:rsidR="006F30F9" w:rsidRPr="00E943B1">
        <w:t xml:space="preserve"> a tím pádem ho ani nepoužívá.</w:t>
      </w:r>
    </w:p>
    <w:p w14:paraId="07475440" w14:textId="70A6739B" w:rsidR="006F30F9" w:rsidRPr="00E943B1" w:rsidRDefault="00F144F6" w:rsidP="003755B0">
      <w:pPr>
        <w:pStyle w:val="format"/>
        <w:rPr>
          <w:i/>
          <w:iCs/>
          <w:color w:val="000000"/>
        </w:rPr>
      </w:pPr>
      <w:r w:rsidRPr="00E943B1">
        <w:rPr>
          <w:i/>
          <w:iCs/>
          <w:color w:val="000000"/>
        </w:rPr>
        <w:t>„Institut spolupracujícího obviněného upravily s</w:t>
      </w:r>
      <w:r w:rsidR="00E262D2">
        <w:rPr>
          <w:i/>
          <w:iCs/>
          <w:color w:val="000000"/>
        </w:rPr>
        <w:t xml:space="preserve"> </w:t>
      </w:r>
      <w:r w:rsidRPr="00E943B1">
        <w:rPr>
          <w:i/>
          <w:iCs/>
          <w:color w:val="000000"/>
        </w:rPr>
        <w:t>účinností od 1. 1. 2010 trestní zákoník č.</w:t>
      </w:r>
      <w:r w:rsidR="00F56D53">
        <w:rPr>
          <w:i/>
          <w:iCs/>
          <w:color w:val="000000"/>
        </w:rPr>
        <w:t> </w:t>
      </w:r>
      <w:r w:rsidRPr="00E943B1">
        <w:rPr>
          <w:i/>
          <w:iCs/>
          <w:color w:val="000000"/>
        </w:rPr>
        <w:t>40/2009 Sb. a doprovodná novela trestního řádu č. 41/2009 Sb. Smysl a účel tohoto institutu lze vyjádřit tím, že směřuje k</w:t>
      </w:r>
      <w:r w:rsidR="00E262D2">
        <w:rPr>
          <w:i/>
          <w:iCs/>
          <w:color w:val="000000"/>
        </w:rPr>
        <w:t xml:space="preserve"> </w:t>
      </w:r>
      <w:r w:rsidRPr="00E943B1">
        <w:rPr>
          <w:i/>
          <w:iCs/>
          <w:color w:val="000000"/>
        </w:rPr>
        <w:t>zajištění a odhalení pachatelů velmi závažných trestných činů prostřednictvím osob, které se sice v</w:t>
      </w:r>
      <w:r w:rsidR="00E262D2">
        <w:rPr>
          <w:i/>
          <w:iCs/>
          <w:color w:val="000000"/>
        </w:rPr>
        <w:t xml:space="preserve"> </w:t>
      </w:r>
      <w:r w:rsidRPr="00E943B1">
        <w:rPr>
          <w:i/>
          <w:iCs/>
          <w:color w:val="000000"/>
        </w:rPr>
        <w:t xml:space="preserve">určité, nepříliš výrazné míře, na trestné činnosti podílely, jsou ochotny </w:t>
      </w:r>
      <w:r w:rsidR="000E14D4" w:rsidRPr="00563784">
        <w:rPr>
          <w:i/>
          <w:color w:val="000000"/>
          <w:shd w:val="clear" w:color="auto" w:fill="FFFFFF"/>
        </w:rPr>
        <w:t>‚</w:t>
      </w:r>
      <w:r w:rsidRPr="00E943B1">
        <w:rPr>
          <w:i/>
          <w:iCs/>
          <w:color w:val="000000"/>
        </w:rPr>
        <w:t>rozkrýt</w:t>
      </w:r>
      <w:r w:rsidR="000E14D4" w:rsidRPr="00563784">
        <w:rPr>
          <w:i/>
          <w:color w:val="000000"/>
          <w:shd w:val="clear" w:color="auto" w:fill="FFFFFF"/>
        </w:rPr>
        <w:t>‘</w:t>
      </w:r>
      <w:r w:rsidRPr="00E943B1">
        <w:rPr>
          <w:i/>
          <w:iCs/>
          <w:color w:val="000000"/>
        </w:rPr>
        <w:t xml:space="preserve"> strukturu zločinecké organizované skupiny (nebo organizované skupiny) a</w:t>
      </w:r>
      <w:r w:rsidR="00F56D53">
        <w:rPr>
          <w:i/>
          <w:iCs/>
          <w:color w:val="000000"/>
        </w:rPr>
        <w:t> </w:t>
      </w:r>
      <w:r w:rsidRPr="00E943B1">
        <w:rPr>
          <w:i/>
          <w:iCs/>
          <w:color w:val="000000"/>
        </w:rPr>
        <w:t>sdělit podstatné skutečnosti o hlavních pachatelích, organizátorech, pachatelích trestných činů nejvíce závažných.“</w:t>
      </w:r>
      <w:r w:rsidR="006C65A5" w:rsidRPr="00E943B1">
        <w:rPr>
          <w:rStyle w:val="Znakapoznpodarou"/>
          <w:color w:val="000000"/>
        </w:rPr>
        <w:footnoteReference w:id="22"/>
      </w:r>
    </w:p>
    <w:p w14:paraId="5677DA90" w14:textId="77777777" w:rsidR="00926BFF" w:rsidRPr="003755B0" w:rsidRDefault="00534E8D" w:rsidP="003755B0">
      <w:pPr>
        <w:pStyle w:val="Nadpis2"/>
      </w:pPr>
      <w:bookmarkStart w:id="8" w:name="_Toc170637997"/>
      <w:r w:rsidRPr="003755B0">
        <w:lastRenderedPageBreak/>
        <w:t>Právní úprava</w:t>
      </w:r>
      <w:bookmarkEnd w:id="8"/>
    </w:p>
    <w:p w14:paraId="511A2736" w14:textId="77777777" w:rsidR="00F56D53" w:rsidRDefault="00534E8D" w:rsidP="00726C7D">
      <w:pPr>
        <w:pStyle w:val="format"/>
      </w:pPr>
      <w:r w:rsidRPr="00E943B1">
        <w:t xml:space="preserve">Jak </w:t>
      </w:r>
      <w:r w:rsidR="00CB6015">
        <w:t xml:space="preserve">již </w:t>
      </w:r>
      <w:r w:rsidRPr="00E943B1">
        <w:t xml:space="preserve">bylo </w:t>
      </w:r>
      <w:r w:rsidR="00A934A5">
        <w:t>shora</w:t>
      </w:r>
      <w:r w:rsidR="00A934A5" w:rsidRPr="00E943B1">
        <w:t xml:space="preserve"> </w:t>
      </w:r>
      <w:r w:rsidRPr="00E943B1">
        <w:t>zmíněno</w:t>
      </w:r>
      <w:r w:rsidR="00726C7D">
        <w:t>,</w:t>
      </w:r>
      <w:r w:rsidRPr="00E943B1">
        <w:t xml:space="preserve"> institut spolupracujícího obviněného byl zaveden s</w:t>
      </w:r>
      <w:r w:rsidR="00E262D2">
        <w:t xml:space="preserve"> </w:t>
      </w:r>
      <w:r w:rsidRPr="00E943B1">
        <w:t xml:space="preserve">účinností </w:t>
      </w:r>
      <w:r w:rsidR="00952567">
        <w:t xml:space="preserve">od </w:t>
      </w:r>
      <w:r w:rsidRPr="00E943B1">
        <w:t xml:space="preserve">1. </w:t>
      </w:r>
      <w:r w:rsidR="00E81B9C">
        <w:t>ledna</w:t>
      </w:r>
      <w:r w:rsidRPr="00E943B1">
        <w:t xml:space="preserve"> 2010. Tento institut je upraven v § 178a zákona č. 141/1961 Sb., o trestním řízení soudním </w:t>
      </w:r>
      <w:r w:rsidR="0046659B">
        <w:t xml:space="preserve">(trestní řád) </w:t>
      </w:r>
      <w:r w:rsidRPr="00E943B1">
        <w:t xml:space="preserve">(dále </w:t>
      </w:r>
      <w:r w:rsidR="0046659B">
        <w:t>„</w:t>
      </w:r>
      <w:r w:rsidRPr="00E943B1">
        <w:t>TŘ</w:t>
      </w:r>
      <w:r w:rsidR="0046659B">
        <w:t>“</w:t>
      </w:r>
      <w:r w:rsidRPr="00E943B1">
        <w:t>)</w:t>
      </w:r>
      <w:r w:rsidR="00F56D53">
        <w:t>.</w:t>
      </w:r>
    </w:p>
    <w:p w14:paraId="4F08B2CF" w14:textId="735F27FE" w:rsidR="00534E8D" w:rsidRPr="00E943B1" w:rsidRDefault="006325E6" w:rsidP="00726C7D">
      <w:pPr>
        <w:pStyle w:val="format"/>
      </w:pPr>
      <w:r w:rsidRPr="00E943B1">
        <w:t xml:space="preserve">Toto ustanovení </w:t>
      </w:r>
      <w:r w:rsidR="00640DBA">
        <w:t xml:space="preserve">pak </w:t>
      </w:r>
      <w:r w:rsidRPr="00E943B1">
        <w:t xml:space="preserve">bylo </w:t>
      </w:r>
      <w:r w:rsidRPr="00726C7D">
        <w:t>novelizován</w:t>
      </w:r>
      <w:r w:rsidR="00553D9A" w:rsidRPr="00726C7D">
        <w:t>o</w:t>
      </w:r>
      <w:r w:rsidRPr="00E943B1">
        <w:t xml:space="preserve"> zákonem č. 193/2012 Sb. Touto novelou byl vložen do § 178a nový odstavec 2, čímž mělo dojít k</w:t>
      </w:r>
      <w:r w:rsidR="00E262D2">
        <w:t xml:space="preserve"> </w:t>
      </w:r>
      <w:r w:rsidRPr="00E943B1">
        <w:t>častějšímu užívání tohoto institutu, jelikož už mohl být uplatněn na řízení o zločinu, nikoli pouze o zvlášť závažném zločinu, jak tomu bylo doposud.</w:t>
      </w:r>
      <w:r w:rsidRPr="00E943B1">
        <w:rPr>
          <w:rStyle w:val="Znakapoznpodarou"/>
        </w:rPr>
        <w:footnoteReference w:id="23"/>
      </w:r>
      <w:r w:rsidRPr="00E943B1">
        <w:t xml:space="preserve"> S</w:t>
      </w:r>
      <w:r w:rsidR="00E262D2">
        <w:t xml:space="preserve"> </w:t>
      </w:r>
      <w:r w:rsidRPr="00E943B1">
        <w:t xml:space="preserve">předmětným institutem také pracuje trestní zákoník, ve kterém jsou </w:t>
      </w:r>
      <w:r w:rsidR="00BC30E5" w:rsidRPr="00E943B1">
        <w:t>zpracovány hmotněprávní důsledky užití tohoto statusu.</w:t>
      </w:r>
    </w:p>
    <w:p w14:paraId="1BC089A4" w14:textId="77777777" w:rsidR="00BC30E5" w:rsidRPr="003755B0" w:rsidRDefault="00BC30E5" w:rsidP="003755B0">
      <w:pPr>
        <w:pStyle w:val="Nadpis3"/>
      </w:pPr>
      <w:bookmarkStart w:id="9" w:name="_Toc170637998"/>
      <w:r w:rsidRPr="003755B0">
        <w:t>Trestní řád</w:t>
      </w:r>
      <w:bookmarkEnd w:id="9"/>
    </w:p>
    <w:p w14:paraId="446D1545" w14:textId="77777777" w:rsidR="006D2352" w:rsidRPr="00E943B1" w:rsidRDefault="006D2352" w:rsidP="003755B0">
      <w:pPr>
        <w:pStyle w:val="format"/>
      </w:pPr>
      <w:r w:rsidRPr="00E943B1">
        <w:t>V § 178a odst. 1 TŘ je stanoveno několik podmínek, které musí být splněny kumulativně. Tyto podmínky jsou následující:</w:t>
      </w:r>
    </w:p>
    <w:p w14:paraId="27D5D6DA" w14:textId="0AF41F96" w:rsidR="006D2352" w:rsidRPr="00311DAA" w:rsidRDefault="006D2352" w:rsidP="003A78D1">
      <w:pPr>
        <w:pStyle w:val="format"/>
        <w:numPr>
          <w:ilvl w:val="0"/>
          <w:numId w:val="4"/>
        </w:numPr>
        <w:rPr>
          <w:i/>
        </w:rPr>
      </w:pPr>
      <w:r w:rsidRPr="00311DAA">
        <w:rPr>
          <w:i/>
        </w:rPr>
        <w:t>„se vede řízení o zl</w:t>
      </w:r>
      <w:r w:rsidR="00311DAA">
        <w:rPr>
          <w:i/>
        </w:rPr>
        <w:t>očinu</w:t>
      </w:r>
      <w:r w:rsidR="00640DBA">
        <w:rPr>
          <w:i/>
        </w:rPr>
        <w:t>,</w:t>
      </w:r>
    </w:p>
    <w:p w14:paraId="51A03A6B" w14:textId="534F2C31" w:rsidR="006D2352" w:rsidRPr="00311DAA" w:rsidRDefault="006D2352" w:rsidP="003A78D1">
      <w:pPr>
        <w:pStyle w:val="format"/>
        <w:numPr>
          <w:ilvl w:val="0"/>
          <w:numId w:val="4"/>
        </w:numPr>
        <w:rPr>
          <w:i/>
        </w:rPr>
      </w:pPr>
      <w:r w:rsidRPr="00311DAA">
        <w:rPr>
          <w:i/>
        </w:rPr>
        <w:t>obviněný oznámí státnímu zástupci skutečnosti, které jsou způsobilé významně přispět k</w:t>
      </w:r>
      <w:r w:rsidR="00F56D53">
        <w:rPr>
          <w:i/>
        </w:rPr>
        <w:t> </w:t>
      </w:r>
      <w:r w:rsidRPr="00311DAA">
        <w:rPr>
          <w:i/>
        </w:rPr>
        <w:t>objasnění zločinu spáchaného členy organizované skupiny, ve spojení s</w:t>
      </w:r>
      <w:r w:rsidR="00E262D2" w:rsidRPr="00311DAA">
        <w:rPr>
          <w:i/>
        </w:rPr>
        <w:t xml:space="preserve"> </w:t>
      </w:r>
      <w:r w:rsidRPr="00311DAA">
        <w:rPr>
          <w:i/>
        </w:rPr>
        <w:t>organizovanou skupinou nebo ve prospěch organizované zločinecké skupiny, a</w:t>
      </w:r>
      <w:r w:rsidR="00E262D2" w:rsidRPr="00311DAA">
        <w:rPr>
          <w:i/>
        </w:rPr>
        <w:t xml:space="preserve"> </w:t>
      </w:r>
      <w:r w:rsidRPr="00311DAA">
        <w:rPr>
          <w:i/>
        </w:rPr>
        <w:t>zaváže se podat jak v</w:t>
      </w:r>
      <w:r w:rsidR="00F56D53">
        <w:rPr>
          <w:i/>
        </w:rPr>
        <w:t> </w:t>
      </w:r>
      <w:r w:rsidRPr="00311DAA">
        <w:rPr>
          <w:i/>
        </w:rPr>
        <w:t>přípravném řízení, tak i</w:t>
      </w:r>
      <w:r w:rsidR="00E262D2" w:rsidRPr="00311DAA">
        <w:rPr>
          <w:i/>
        </w:rPr>
        <w:t xml:space="preserve"> </w:t>
      </w:r>
      <w:r w:rsidRPr="00311DAA">
        <w:rPr>
          <w:i/>
        </w:rPr>
        <w:t>v řízení před soudem úplnou a</w:t>
      </w:r>
      <w:r w:rsidR="00E262D2" w:rsidRPr="00311DAA">
        <w:rPr>
          <w:i/>
        </w:rPr>
        <w:t xml:space="preserve"> </w:t>
      </w:r>
      <w:r w:rsidRPr="00311DAA">
        <w:rPr>
          <w:i/>
        </w:rPr>
        <w:t>pravdivou výpověď o</w:t>
      </w:r>
      <w:r w:rsidR="00E262D2" w:rsidRPr="00311DAA">
        <w:rPr>
          <w:i/>
        </w:rPr>
        <w:t xml:space="preserve"> </w:t>
      </w:r>
      <w:r w:rsidRPr="00311DAA">
        <w:rPr>
          <w:i/>
        </w:rPr>
        <w:t>těchto skutečnostech,</w:t>
      </w:r>
    </w:p>
    <w:p w14:paraId="0AEDF0D1" w14:textId="2DE54798" w:rsidR="006D2352" w:rsidRPr="00311DAA" w:rsidRDefault="006D2352" w:rsidP="003A78D1">
      <w:pPr>
        <w:pStyle w:val="format"/>
        <w:numPr>
          <w:ilvl w:val="0"/>
          <w:numId w:val="4"/>
        </w:numPr>
        <w:rPr>
          <w:i/>
        </w:rPr>
      </w:pPr>
      <w:r w:rsidRPr="00311DAA">
        <w:rPr>
          <w:i/>
        </w:rPr>
        <w:t>obviněný se dozná k</w:t>
      </w:r>
      <w:r w:rsidR="00E262D2" w:rsidRPr="00311DAA">
        <w:rPr>
          <w:i/>
        </w:rPr>
        <w:t xml:space="preserve"> </w:t>
      </w:r>
      <w:r w:rsidRPr="00311DAA">
        <w:rPr>
          <w:i/>
        </w:rPr>
        <w:t>činu, pro který je stíhán, přičemž nejsou důvodné pochybnosti o</w:t>
      </w:r>
      <w:r w:rsidR="00E262D2" w:rsidRPr="00311DAA">
        <w:rPr>
          <w:i/>
        </w:rPr>
        <w:t xml:space="preserve"> </w:t>
      </w:r>
      <w:r w:rsidRPr="00311DAA">
        <w:rPr>
          <w:i/>
        </w:rPr>
        <w:t>tom, že jeho doznání bylo učiněno svobodně, vážně a</w:t>
      </w:r>
      <w:r w:rsidR="00E262D2" w:rsidRPr="00311DAA">
        <w:rPr>
          <w:i/>
        </w:rPr>
        <w:t xml:space="preserve"> </w:t>
      </w:r>
      <w:r w:rsidRPr="00311DAA">
        <w:rPr>
          <w:i/>
        </w:rPr>
        <w:t>určitě,</w:t>
      </w:r>
    </w:p>
    <w:p w14:paraId="653C4283" w14:textId="03658607" w:rsidR="006D2352" w:rsidRPr="00311DAA" w:rsidRDefault="006D2352" w:rsidP="003A78D1">
      <w:pPr>
        <w:pStyle w:val="format"/>
        <w:numPr>
          <w:ilvl w:val="0"/>
          <w:numId w:val="4"/>
        </w:numPr>
        <w:rPr>
          <w:i/>
        </w:rPr>
      </w:pPr>
      <w:r w:rsidRPr="00311DAA">
        <w:rPr>
          <w:i/>
        </w:rPr>
        <w:t>obviněný prohlásí, že souhlasí s</w:t>
      </w:r>
      <w:r w:rsidR="00E262D2" w:rsidRPr="00311DAA">
        <w:rPr>
          <w:i/>
        </w:rPr>
        <w:t xml:space="preserve"> </w:t>
      </w:r>
      <w:r w:rsidRPr="00311DAA">
        <w:rPr>
          <w:i/>
        </w:rPr>
        <w:t>tím, aby byl označen jako spolupracující obviněný, a</w:t>
      </w:r>
    </w:p>
    <w:p w14:paraId="53D08B75" w14:textId="01AF4D9D" w:rsidR="006D2352" w:rsidRPr="00E943B1" w:rsidRDefault="006D2352" w:rsidP="003A78D1">
      <w:pPr>
        <w:pStyle w:val="format"/>
        <w:numPr>
          <w:ilvl w:val="0"/>
          <w:numId w:val="4"/>
        </w:numPr>
      </w:pPr>
      <w:r w:rsidRPr="00311DAA">
        <w:rPr>
          <w:i/>
        </w:rPr>
        <w:t>státní zástupce označení stíhané osoby jako spolupracujícího obviněného považuje za</w:t>
      </w:r>
      <w:r w:rsidR="00F56D53">
        <w:rPr>
          <w:i/>
        </w:rPr>
        <w:t> </w:t>
      </w:r>
      <w:r w:rsidRPr="00311DAA">
        <w:rPr>
          <w:i/>
        </w:rPr>
        <w:t>potřebné vzhledem k</w:t>
      </w:r>
      <w:r w:rsidR="00E262D2" w:rsidRPr="00311DAA">
        <w:rPr>
          <w:i/>
        </w:rPr>
        <w:t xml:space="preserve"> </w:t>
      </w:r>
      <w:r w:rsidRPr="00311DAA">
        <w:rPr>
          <w:i/>
        </w:rPr>
        <w:t>povaze trestného činu, k</w:t>
      </w:r>
      <w:r w:rsidR="00E262D2" w:rsidRPr="00311DAA">
        <w:rPr>
          <w:i/>
        </w:rPr>
        <w:t xml:space="preserve"> </w:t>
      </w:r>
      <w:r w:rsidRPr="00311DAA">
        <w:rPr>
          <w:i/>
        </w:rPr>
        <w:t>jehož objasnění se obviněný zavázal, a</w:t>
      </w:r>
      <w:r w:rsidR="00E262D2" w:rsidRPr="00311DAA">
        <w:rPr>
          <w:i/>
        </w:rPr>
        <w:t xml:space="preserve"> </w:t>
      </w:r>
      <w:r w:rsidRPr="00311DAA">
        <w:rPr>
          <w:i/>
        </w:rPr>
        <w:t>to i</w:t>
      </w:r>
      <w:r w:rsidR="00E262D2" w:rsidRPr="00311DAA">
        <w:rPr>
          <w:i/>
        </w:rPr>
        <w:t xml:space="preserve"> </w:t>
      </w:r>
      <w:r w:rsidRPr="00311DAA">
        <w:rPr>
          <w:i/>
        </w:rPr>
        <w:t>s přihlédnutím k</w:t>
      </w:r>
      <w:r w:rsidR="00E262D2" w:rsidRPr="00311DAA">
        <w:rPr>
          <w:i/>
        </w:rPr>
        <w:t xml:space="preserve"> </w:t>
      </w:r>
      <w:r w:rsidRPr="00311DAA">
        <w:rPr>
          <w:i/>
        </w:rPr>
        <w:t>trestnému činu uvedenému v</w:t>
      </w:r>
      <w:r w:rsidR="00E262D2" w:rsidRPr="00311DAA">
        <w:rPr>
          <w:i/>
        </w:rPr>
        <w:t xml:space="preserve"> </w:t>
      </w:r>
      <w:r w:rsidRPr="00311DAA">
        <w:rPr>
          <w:i/>
        </w:rPr>
        <w:t>doznání obviněného, k</w:t>
      </w:r>
      <w:r w:rsidR="00E262D2" w:rsidRPr="00311DAA">
        <w:rPr>
          <w:i/>
        </w:rPr>
        <w:t xml:space="preserve"> </w:t>
      </w:r>
      <w:r w:rsidRPr="00311DAA">
        <w:rPr>
          <w:i/>
        </w:rPr>
        <w:t>osobě obviněného a</w:t>
      </w:r>
      <w:r w:rsidR="00F56D53">
        <w:rPr>
          <w:i/>
        </w:rPr>
        <w:t> </w:t>
      </w:r>
      <w:r w:rsidRPr="00311DAA">
        <w:rPr>
          <w:i/>
        </w:rPr>
        <w:t>k okolnostem případu, zejména zda a</w:t>
      </w:r>
      <w:r w:rsidR="00E262D2" w:rsidRPr="00311DAA">
        <w:rPr>
          <w:i/>
        </w:rPr>
        <w:t xml:space="preserve"> </w:t>
      </w:r>
      <w:r w:rsidRPr="00311DAA">
        <w:rPr>
          <w:i/>
        </w:rPr>
        <w:t>jakým způsobem se obviněný podílel na spáchání trestného činu, k</w:t>
      </w:r>
      <w:r w:rsidR="00E262D2" w:rsidRPr="00311DAA">
        <w:rPr>
          <w:i/>
        </w:rPr>
        <w:t xml:space="preserve"> </w:t>
      </w:r>
      <w:r w:rsidRPr="00311DAA">
        <w:rPr>
          <w:i/>
        </w:rPr>
        <w:t xml:space="preserve">jehož objasnění </w:t>
      </w:r>
      <w:r w:rsidRPr="00867A0B">
        <w:rPr>
          <w:i/>
        </w:rPr>
        <w:t>se zavázal, a</w:t>
      </w:r>
      <w:r w:rsidR="00E262D2" w:rsidRPr="00867A0B">
        <w:rPr>
          <w:i/>
        </w:rPr>
        <w:t xml:space="preserve"> </w:t>
      </w:r>
      <w:r w:rsidRPr="00867A0B">
        <w:rPr>
          <w:i/>
        </w:rPr>
        <w:t>jaké následky svým jednáním způsobil“</w:t>
      </w:r>
      <w:r w:rsidR="00640DBA">
        <w:rPr>
          <w:i/>
        </w:rPr>
        <w:t>.</w:t>
      </w:r>
      <w:r w:rsidR="00777349" w:rsidRPr="00311DAA">
        <w:rPr>
          <w:rStyle w:val="Znakapoznpodarou"/>
          <w:iCs/>
        </w:rPr>
        <w:footnoteReference w:id="24"/>
      </w:r>
    </w:p>
    <w:p w14:paraId="0282E89D" w14:textId="0A2E1116" w:rsidR="00BA4824" w:rsidRPr="00E943B1" w:rsidRDefault="00FC5BF4" w:rsidP="00640DBA">
      <w:pPr>
        <w:pStyle w:val="format"/>
      </w:pPr>
      <w:r w:rsidRPr="00E943B1">
        <w:lastRenderedPageBreak/>
        <w:t xml:space="preserve">Ad </w:t>
      </w:r>
      <w:r w:rsidR="00BA4824" w:rsidRPr="00E943B1">
        <w:t xml:space="preserve">e) </w:t>
      </w:r>
      <w:r w:rsidR="00640DBA">
        <w:t xml:space="preserve">– </w:t>
      </w:r>
      <w:r w:rsidR="00BA4824" w:rsidRPr="00E943B1">
        <w:t>Za předpokladu, že dojde ke splnění všech podmínek (musí být splněny kumulativně)</w:t>
      </w:r>
      <w:r w:rsidR="00640DBA">
        <w:t>,</w:t>
      </w:r>
      <w:r w:rsidR="00BA4824" w:rsidRPr="00E943B1">
        <w:t xml:space="preserve"> může státní zástupce označit obviněného v</w:t>
      </w:r>
      <w:r w:rsidR="00E262D2">
        <w:t xml:space="preserve"> </w:t>
      </w:r>
      <w:r w:rsidR="00BA4824" w:rsidRPr="00E943B1">
        <w:t>obžalobě. Z</w:t>
      </w:r>
      <w:r w:rsidR="00E262D2">
        <w:t xml:space="preserve"> </w:t>
      </w:r>
      <w:r w:rsidR="00BA4824" w:rsidRPr="00E943B1">
        <w:t>uvedeného plyne, že se</w:t>
      </w:r>
      <w:r w:rsidR="00F56D53">
        <w:t> </w:t>
      </w:r>
      <w:r w:rsidR="00BA4824" w:rsidRPr="00E943B1">
        <w:t>jedná o fakultativní označení a je zcela v</w:t>
      </w:r>
      <w:r w:rsidR="00E262D2">
        <w:t xml:space="preserve"> </w:t>
      </w:r>
      <w:r w:rsidR="00BA4824" w:rsidRPr="00E943B1">
        <w:t>režii státního zástupce. Státní zástupce musí zvážit</w:t>
      </w:r>
      <w:r w:rsidR="0088469A">
        <w:t>:</w:t>
      </w:r>
      <w:r w:rsidR="00BA4824" w:rsidRPr="00E943B1">
        <w:rPr>
          <w:rStyle w:val="Znakapoznpodarou"/>
        </w:rPr>
        <w:footnoteReference w:id="25"/>
      </w:r>
    </w:p>
    <w:p w14:paraId="73229218" w14:textId="25344982" w:rsidR="00BA4824" w:rsidRPr="00F15F80" w:rsidRDefault="00BA4824" w:rsidP="003A78D1">
      <w:pPr>
        <w:pStyle w:val="format"/>
        <w:numPr>
          <w:ilvl w:val="0"/>
          <w:numId w:val="5"/>
        </w:numPr>
        <w:rPr>
          <w:i/>
        </w:rPr>
      </w:pPr>
      <w:r w:rsidRPr="00F15F80">
        <w:rPr>
          <w:i/>
        </w:rPr>
        <w:t>„povahu trestného činu, k</w:t>
      </w:r>
      <w:r w:rsidR="00E262D2" w:rsidRPr="00F15F80">
        <w:rPr>
          <w:i/>
        </w:rPr>
        <w:t xml:space="preserve"> </w:t>
      </w:r>
      <w:r w:rsidRPr="00F15F80">
        <w:rPr>
          <w:i/>
        </w:rPr>
        <w:t>jehož objasnění směřuje jak oznámení obviněného, tak především závazek podat úplnou a pravdivou výpověď</w:t>
      </w:r>
      <w:r w:rsidR="00B5365C">
        <w:rPr>
          <w:i/>
        </w:rPr>
        <w:t>,</w:t>
      </w:r>
    </w:p>
    <w:p w14:paraId="104B925E" w14:textId="4FBD8E9F" w:rsidR="00BA4824" w:rsidRPr="00F15F80" w:rsidRDefault="00BA4824" w:rsidP="003A78D1">
      <w:pPr>
        <w:pStyle w:val="format"/>
        <w:numPr>
          <w:ilvl w:val="0"/>
          <w:numId w:val="5"/>
        </w:numPr>
        <w:rPr>
          <w:i/>
        </w:rPr>
      </w:pPr>
      <w:r w:rsidRPr="00F15F80">
        <w:rPr>
          <w:i/>
        </w:rPr>
        <w:t>povahu trestné činnosti, k</w:t>
      </w:r>
      <w:r w:rsidR="00E262D2" w:rsidRPr="00F15F80">
        <w:rPr>
          <w:i/>
        </w:rPr>
        <w:t xml:space="preserve"> </w:t>
      </w:r>
      <w:r w:rsidRPr="00F15F80">
        <w:rPr>
          <w:i/>
        </w:rPr>
        <w:t>níž se obviněný doznal</w:t>
      </w:r>
      <w:r w:rsidR="00B5365C">
        <w:rPr>
          <w:i/>
        </w:rPr>
        <w:t>,</w:t>
      </w:r>
    </w:p>
    <w:p w14:paraId="3E3ADD11" w14:textId="60A543D4" w:rsidR="00BA4824" w:rsidRPr="00F15F80" w:rsidRDefault="00BA4824" w:rsidP="003A78D1">
      <w:pPr>
        <w:pStyle w:val="format"/>
        <w:numPr>
          <w:ilvl w:val="0"/>
          <w:numId w:val="5"/>
        </w:numPr>
        <w:rPr>
          <w:i/>
        </w:rPr>
      </w:pPr>
      <w:r w:rsidRPr="00F15F80">
        <w:rPr>
          <w:i/>
        </w:rPr>
        <w:t>osobu obviněného</w:t>
      </w:r>
      <w:r w:rsidR="00B5365C">
        <w:rPr>
          <w:i/>
        </w:rPr>
        <w:t>,</w:t>
      </w:r>
    </w:p>
    <w:p w14:paraId="733FA280" w14:textId="7DFFAC20" w:rsidR="00BA4824" w:rsidRPr="00F15F80" w:rsidRDefault="00BA4824" w:rsidP="003A78D1">
      <w:pPr>
        <w:pStyle w:val="format"/>
        <w:numPr>
          <w:ilvl w:val="0"/>
          <w:numId w:val="5"/>
        </w:numPr>
        <w:rPr>
          <w:i/>
        </w:rPr>
      </w:pPr>
      <w:r w:rsidRPr="00F15F80">
        <w:rPr>
          <w:i/>
        </w:rPr>
        <w:t>okolnosti případu</w:t>
      </w:r>
      <w:r w:rsidR="00B5365C">
        <w:rPr>
          <w:i/>
        </w:rPr>
        <w:t>,</w:t>
      </w:r>
    </w:p>
    <w:p w14:paraId="6B49F3B8" w14:textId="7F474BD9" w:rsidR="00BA4824" w:rsidRPr="00E943B1" w:rsidRDefault="00BA4824" w:rsidP="003A78D1">
      <w:pPr>
        <w:pStyle w:val="format"/>
        <w:numPr>
          <w:ilvl w:val="0"/>
          <w:numId w:val="5"/>
        </w:numPr>
      </w:pPr>
      <w:r w:rsidRPr="00F15F80">
        <w:rPr>
          <w:i/>
        </w:rPr>
        <w:t>z okolností případu zákon zvlášť (demonstrativním výčtem)</w:t>
      </w:r>
      <w:r w:rsidR="00E262D2" w:rsidRPr="00F15F80">
        <w:rPr>
          <w:i/>
        </w:rPr>
        <w:t xml:space="preserve"> </w:t>
      </w:r>
      <w:r w:rsidRPr="00F15F80">
        <w:rPr>
          <w:i/>
        </w:rPr>
        <w:t>vyjmenovává to, zda a</w:t>
      </w:r>
      <w:r w:rsidR="00E262D2" w:rsidRPr="00F15F80">
        <w:rPr>
          <w:i/>
        </w:rPr>
        <w:t xml:space="preserve"> </w:t>
      </w:r>
      <w:r w:rsidRPr="00F15F80">
        <w:rPr>
          <w:i/>
        </w:rPr>
        <w:t>jakým způsobem se obviněný</w:t>
      </w:r>
      <w:r w:rsidR="00E262D2" w:rsidRPr="00F15F80">
        <w:rPr>
          <w:i/>
        </w:rPr>
        <w:t xml:space="preserve"> </w:t>
      </w:r>
      <w:r w:rsidRPr="00F15F80">
        <w:rPr>
          <w:i/>
        </w:rPr>
        <w:t>podílel na spáchání</w:t>
      </w:r>
      <w:r w:rsidR="00E262D2" w:rsidRPr="00F15F80">
        <w:rPr>
          <w:i/>
        </w:rPr>
        <w:t xml:space="preserve"> </w:t>
      </w:r>
      <w:bookmarkStart w:id="10" w:name="highlightHit_101"/>
      <w:bookmarkEnd w:id="10"/>
      <w:r w:rsidRPr="00F15F80">
        <w:rPr>
          <w:i/>
        </w:rPr>
        <w:t>trestného</w:t>
      </w:r>
      <w:r w:rsidR="00E262D2" w:rsidRPr="00F15F80">
        <w:rPr>
          <w:i/>
        </w:rPr>
        <w:t xml:space="preserve"> </w:t>
      </w:r>
      <w:r w:rsidRPr="00F15F80">
        <w:rPr>
          <w:i/>
        </w:rPr>
        <w:t>činu, k</w:t>
      </w:r>
      <w:r w:rsidR="00E262D2" w:rsidRPr="00F15F80">
        <w:rPr>
          <w:i/>
        </w:rPr>
        <w:t xml:space="preserve"> </w:t>
      </w:r>
      <w:r w:rsidRPr="00F15F80">
        <w:rPr>
          <w:i/>
        </w:rPr>
        <w:t>jehož objasnění se zavázal, a</w:t>
      </w:r>
      <w:r w:rsidR="00F56D53">
        <w:rPr>
          <w:i/>
        </w:rPr>
        <w:t> </w:t>
      </w:r>
      <w:r w:rsidRPr="00F15F80">
        <w:rPr>
          <w:i/>
        </w:rPr>
        <w:t>jaké následky</w:t>
      </w:r>
      <w:r w:rsidR="00E262D2" w:rsidRPr="00F15F80">
        <w:rPr>
          <w:i/>
        </w:rPr>
        <w:t xml:space="preserve"> </w:t>
      </w:r>
      <w:r w:rsidRPr="00F15F80">
        <w:rPr>
          <w:i/>
        </w:rPr>
        <w:t>svým jednáním způsobil“</w:t>
      </w:r>
      <w:r w:rsidR="00B5365C">
        <w:rPr>
          <w:i/>
        </w:rPr>
        <w:t>.</w:t>
      </w:r>
      <w:r w:rsidR="0006742A" w:rsidRPr="00E943B1">
        <w:rPr>
          <w:rStyle w:val="Znakapoznpodarou"/>
        </w:rPr>
        <w:footnoteReference w:id="26"/>
      </w:r>
    </w:p>
    <w:p w14:paraId="20AD54C4" w14:textId="136DEC93" w:rsidR="003C4853" w:rsidRPr="00E943B1" w:rsidRDefault="00E32F39" w:rsidP="00F15F80">
      <w:pPr>
        <w:pStyle w:val="format"/>
      </w:pPr>
      <w:r w:rsidRPr="00E943B1">
        <w:t>Pokud z</w:t>
      </w:r>
      <w:r w:rsidR="00E262D2">
        <w:t xml:space="preserve"> </w:t>
      </w:r>
      <w:r w:rsidRPr="00E943B1">
        <w:t>jakéhokoli důvod</w:t>
      </w:r>
      <w:r w:rsidR="00B5365C">
        <w:t>u</w:t>
      </w:r>
      <w:r w:rsidRPr="00E943B1">
        <w:t xml:space="preserve"> </w:t>
      </w:r>
      <w:r w:rsidR="00B5365C" w:rsidRPr="00E943B1">
        <w:t xml:space="preserve">nedojde </w:t>
      </w:r>
      <w:r w:rsidRPr="00E943B1">
        <w:t>k</w:t>
      </w:r>
      <w:r w:rsidR="00E262D2">
        <w:t xml:space="preserve"> </w:t>
      </w:r>
      <w:r w:rsidRPr="00E943B1">
        <w:t>označení obviněného jako spolupracujícího</w:t>
      </w:r>
      <w:r w:rsidR="00B5365C">
        <w:t>,</w:t>
      </w:r>
      <w:r w:rsidRPr="00E943B1">
        <w:t xml:space="preserve"> nemůže ani soud obviněného takto označit</w:t>
      </w:r>
      <w:r w:rsidR="00B5365C">
        <w:t>,</w:t>
      </w:r>
      <w:r w:rsidR="00B5365C" w:rsidRPr="00E943B1">
        <w:t xml:space="preserve"> </w:t>
      </w:r>
      <w:r w:rsidR="00B5365C">
        <w:t>c</w:t>
      </w:r>
      <w:r w:rsidR="00B5365C" w:rsidRPr="00E943B1">
        <w:t xml:space="preserve">ož </w:t>
      </w:r>
      <w:r w:rsidRPr="00E943B1">
        <w:t>dokazuje i vyjádření Krajského soudu v</w:t>
      </w:r>
      <w:r w:rsidR="00E262D2">
        <w:t xml:space="preserve"> </w:t>
      </w:r>
      <w:r w:rsidR="00F15F80">
        <w:t>Hradci Králové.</w:t>
      </w:r>
      <w:r w:rsidR="00251388">
        <w:t xml:space="preserve"> </w:t>
      </w:r>
      <w:r w:rsidRPr="00E943B1">
        <w:t xml:space="preserve">Soud se vyjádřil takto: </w:t>
      </w:r>
      <w:r w:rsidRPr="00823258">
        <w:rPr>
          <w:i/>
        </w:rPr>
        <w:t>„</w:t>
      </w:r>
      <w:r w:rsidRPr="00E943B1">
        <w:rPr>
          <w:i/>
          <w:iCs/>
        </w:rPr>
        <w:t>Určitou osobu může za spolupracujícího obviněného označit jen státní zástupce postupem dle § 178a TŘ. I když soud zjistí, že obviněný napomohl svou výpovědí objasnění trestné činnosti dalších osob, nemůže použít ustanovení týkajících se spolupracujícího obviněného (zejména § 58 odst. 5 TZ), pokud dotyčnou osobu neoznačil za spolupracujícího obviněného státní zástupce.“</w:t>
      </w:r>
      <w:r w:rsidRPr="00E943B1">
        <w:rPr>
          <w:rStyle w:val="Znakapoznpodarou"/>
        </w:rPr>
        <w:footnoteReference w:id="27"/>
      </w:r>
      <w:r w:rsidR="007176F4" w:rsidRPr="00E943B1">
        <w:rPr>
          <w:i/>
          <w:iCs/>
        </w:rPr>
        <w:t xml:space="preserve"> </w:t>
      </w:r>
      <w:r w:rsidR="007176F4" w:rsidRPr="00E943B1">
        <w:t>Z</w:t>
      </w:r>
      <w:r w:rsidR="00E262D2">
        <w:t xml:space="preserve"> </w:t>
      </w:r>
      <w:r w:rsidR="007176F4" w:rsidRPr="00E943B1">
        <w:t xml:space="preserve">uvedeného vyplývá, že soud nemůže do procesu označování nijak </w:t>
      </w:r>
      <w:r w:rsidR="009E4429" w:rsidRPr="00E943B1">
        <w:t>zasáhnout</w:t>
      </w:r>
      <w:r w:rsidR="0010618D" w:rsidRPr="00E943B1">
        <w:t>.</w:t>
      </w:r>
      <w:r w:rsidR="00176474" w:rsidRPr="00E943B1">
        <w:t xml:space="preserve"> Proti neoznačení státním zástupcem se nemůže obviněný nikterak bránit.</w:t>
      </w:r>
      <w:r w:rsidR="00176474" w:rsidRPr="00E943B1">
        <w:rPr>
          <w:rStyle w:val="Znakapoznpodarou"/>
        </w:rPr>
        <w:footnoteReference w:id="28"/>
      </w:r>
      <w:r w:rsidR="00176474" w:rsidRPr="00E943B1">
        <w:t xml:space="preserve"> </w:t>
      </w:r>
      <w:r w:rsidR="00B5365C">
        <w:t>To</w:t>
      </w:r>
      <w:r w:rsidR="00F56D53">
        <w:t> </w:t>
      </w:r>
      <w:r w:rsidR="00B5365C">
        <w:t>také</w:t>
      </w:r>
      <w:r w:rsidR="00B5365C" w:rsidRPr="00E943B1">
        <w:t xml:space="preserve"> </w:t>
      </w:r>
      <w:r w:rsidR="00176474" w:rsidRPr="00E943B1">
        <w:t>vede k</w:t>
      </w:r>
      <w:r w:rsidR="00E262D2">
        <w:t xml:space="preserve"> </w:t>
      </w:r>
      <w:r w:rsidR="00176474" w:rsidRPr="00E943B1">
        <w:t xml:space="preserve">nemožnosti aplikace hmotněprávních ustanovení </w:t>
      </w:r>
      <w:r w:rsidR="00B5365C">
        <w:t>trestního zákoníku</w:t>
      </w:r>
      <w:r w:rsidR="00176474" w:rsidRPr="00E943B1">
        <w:t>, kde jsou stanoveny důsledky</w:t>
      </w:r>
      <w:r w:rsidR="00B5365C">
        <w:t>,</w:t>
      </w:r>
      <w:r w:rsidR="00176474" w:rsidRPr="00E943B1">
        <w:t xml:space="preserve"> tzv. „benefity“ tohoto označení.</w:t>
      </w:r>
      <w:r w:rsidR="00326DC0" w:rsidRPr="00E943B1">
        <w:t xml:space="preserve"> Tato právní úprava je poněkud nešťastná.</w:t>
      </w:r>
      <w:r w:rsidR="00F729C6">
        <w:t xml:space="preserve"> </w:t>
      </w:r>
      <w:r w:rsidR="00B5365C">
        <w:t xml:space="preserve">Již z </w:t>
      </w:r>
      <w:r w:rsidR="00326DC0" w:rsidRPr="00E943B1">
        <w:t xml:space="preserve">úvodu </w:t>
      </w:r>
      <w:r w:rsidR="00B5365C">
        <w:t>této</w:t>
      </w:r>
      <w:r w:rsidR="00B5365C" w:rsidRPr="00E943B1">
        <w:t xml:space="preserve"> </w:t>
      </w:r>
      <w:r w:rsidR="00326DC0" w:rsidRPr="00E943B1">
        <w:t>práce plyne, že zákonodárce chce zlepšit boj s</w:t>
      </w:r>
      <w:r w:rsidR="00E262D2">
        <w:t xml:space="preserve"> </w:t>
      </w:r>
      <w:r w:rsidR="00326DC0" w:rsidRPr="00E943B1">
        <w:t>organizovaným zločinem, proto</w:t>
      </w:r>
      <w:r w:rsidR="00F56D53">
        <w:t> </w:t>
      </w:r>
      <w:r w:rsidR="00B5365C">
        <w:t xml:space="preserve">také </w:t>
      </w:r>
      <w:r w:rsidR="00326DC0" w:rsidRPr="00E943B1">
        <w:t>zavádí institut spolupracujícího obviněného. Nicméně ani po splnění přísných podmínek nelze zaručit, že toto označení obviněný obdrží, což spíše vede k</w:t>
      </w:r>
      <w:r w:rsidR="00E262D2">
        <w:t xml:space="preserve"> </w:t>
      </w:r>
      <w:r w:rsidR="00326DC0" w:rsidRPr="00E943B1">
        <w:t>závěru, že tento institut není nikterak lákavý, pokud nedokáže zaručit garanci označení. Státní zástupce by mohl v</w:t>
      </w:r>
      <w:r w:rsidR="00F56D53">
        <w:t> </w:t>
      </w:r>
      <w:r w:rsidR="00326DC0" w:rsidRPr="00E943B1">
        <w:t xml:space="preserve">daném případě vydat rozhodnutí, proti </w:t>
      </w:r>
      <w:r w:rsidR="00B5365C">
        <w:t>ně</w:t>
      </w:r>
      <w:r w:rsidR="00B5365C" w:rsidRPr="00E943B1">
        <w:t xml:space="preserve">muž </w:t>
      </w:r>
      <w:r w:rsidR="00326DC0" w:rsidRPr="00E943B1">
        <w:t>by byla přípustná stížnost dle § 141 a násl. TŘ.</w:t>
      </w:r>
      <w:r w:rsidR="00937E41" w:rsidRPr="00E943B1">
        <w:t xml:space="preserve"> Stížnostním důvodem by pak mohl být dle § 145 odst.</w:t>
      </w:r>
      <w:r w:rsidR="00F15F80">
        <w:t xml:space="preserve"> </w:t>
      </w:r>
      <w:r w:rsidR="00937E41" w:rsidRPr="00E943B1">
        <w:t xml:space="preserve">1 písm. a) TŘ. </w:t>
      </w:r>
      <w:r w:rsidR="002875AF" w:rsidRPr="00E943B1">
        <w:t xml:space="preserve">Stěžovatel (spolupracující </w:t>
      </w:r>
      <w:r w:rsidR="002875AF" w:rsidRPr="00E943B1">
        <w:lastRenderedPageBreak/>
        <w:t>obviněný) by pak mohl namítat skutkové či právní chyby daného výroku</w:t>
      </w:r>
      <w:r w:rsidR="00B5365C">
        <w:t>.</w:t>
      </w:r>
      <w:r w:rsidR="002875AF" w:rsidRPr="00E943B1">
        <w:rPr>
          <w:rStyle w:val="Znakapoznpodarou"/>
        </w:rPr>
        <w:footnoteReference w:id="29"/>
      </w:r>
      <w:r w:rsidR="00326DC0" w:rsidRPr="00E943B1">
        <w:t xml:space="preserve"> Tímto by byla dána možnost obrany obviněnému a soud by nebyl vázán čistě na pouhé označení či neoznačení v</w:t>
      </w:r>
      <w:r w:rsidR="00F56D53">
        <w:t> </w:t>
      </w:r>
      <w:r w:rsidR="00326DC0" w:rsidRPr="00E943B1">
        <w:t>žalob</w:t>
      </w:r>
      <w:r w:rsidR="00F15F80">
        <w:t>ě.</w:t>
      </w:r>
      <w:r w:rsidR="00995F0C" w:rsidRPr="00E943B1">
        <w:rPr>
          <w:rStyle w:val="Znakapoznpodarou"/>
        </w:rPr>
        <w:footnoteReference w:id="30"/>
      </w:r>
      <w:r w:rsidR="00F15F80">
        <w:t xml:space="preserve"> </w:t>
      </w:r>
      <w:r w:rsidR="00326DC0" w:rsidRPr="00E943B1">
        <w:t>Popřípadě by mohla být změněna samotná fakultativnost označení. Po splnění všech</w:t>
      </w:r>
      <w:r w:rsidR="00F56D53">
        <w:t> </w:t>
      </w:r>
      <w:r w:rsidR="00326DC0" w:rsidRPr="00E943B1">
        <w:t>podmínek kumulativně by mohlo dojít k</w:t>
      </w:r>
      <w:r w:rsidR="00E262D2">
        <w:t xml:space="preserve"> </w:t>
      </w:r>
      <w:r w:rsidR="00326DC0" w:rsidRPr="00E943B1">
        <w:t>přidělení statusu spolupracujícího obviněného státním zástupcem</w:t>
      </w:r>
      <w:r w:rsidR="003C4853" w:rsidRPr="00E943B1">
        <w:t xml:space="preserve"> obligatorně</w:t>
      </w:r>
      <w:r w:rsidR="00326DC0" w:rsidRPr="00E943B1">
        <w:t xml:space="preserve"> a soud by pak přezkoumal </w:t>
      </w:r>
      <w:r w:rsidR="003C4853" w:rsidRPr="00E943B1">
        <w:t>podmínky</w:t>
      </w:r>
      <w:r w:rsidR="00863D2A">
        <w:t>,</w:t>
      </w:r>
      <w:r w:rsidR="003C4853" w:rsidRPr="00E943B1">
        <w:t xml:space="preserve"> popřípadě by </w:t>
      </w:r>
      <w:r w:rsidR="00863D2A">
        <w:t>označení</w:t>
      </w:r>
      <w:r w:rsidR="00863D2A" w:rsidRPr="00E943B1">
        <w:t xml:space="preserve"> </w:t>
      </w:r>
      <w:r w:rsidR="003C4853" w:rsidRPr="00E943B1">
        <w:t>odejm</w:t>
      </w:r>
      <w:r w:rsidR="00F15F80">
        <w:t>ul či potvrdil.</w:t>
      </w:r>
    </w:p>
    <w:p w14:paraId="3499981B" w14:textId="1CABA390" w:rsidR="009E4429" w:rsidRPr="00F15F80" w:rsidRDefault="003C4853" w:rsidP="00F15F80">
      <w:pPr>
        <w:pStyle w:val="format"/>
      </w:pPr>
      <w:r w:rsidRPr="00E943B1">
        <w:t>Samotné odejmutí tohoto označení soudem je totiž již judikováno. Soud</w:t>
      </w:r>
      <w:r w:rsidR="007176F4" w:rsidRPr="00E943B1">
        <w:t xml:space="preserve"> může označení </w:t>
      </w:r>
      <w:r w:rsidR="009E4429" w:rsidRPr="00E943B1">
        <w:t>spolupracujícího odejmout, což vyplývá z</w:t>
      </w:r>
      <w:r w:rsidR="00E262D2">
        <w:t xml:space="preserve"> </w:t>
      </w:r>
      <w:r w:rsidR="009E4429" w:rsidRPr="00E943B1">
        <w:t xml:space="preserve">usnesení Nejvyššího soudu ze dne 1. </w:t>
      </w:r>
      <w:r w:rsidR="00447135">
        <w:t>dubna</w:t>
      </w:r>
      <w:r w:rsidR="009E4429" w:rsidRPr="00E943B1">
        <w:t xml:space="preserve"> 2020.</w:t>
      </w:r>
      <w:r w:rsidR="0010618D" w:rsidRPr="00E943B1">
        <w:t xml:space="preserve"> </w:t>
      </w:r>
      <w:r w:rsidR="009E4429" w:rsidRPr="0048677E">
        <w:rPr>
          <w:i/>
          <w:iCs/>
        </w:rPr>
        <w:t>„Byl-li</w:t>
      </w:r>
      <w:r w:rsidR="00E262D2" w:rsidRPr="0048677E">
        <w:rPr>
          <w:i/>
          <w:iCs/>
        </w:rPr>
        <w:t xml:space="preserve"> </w:t>
      </w:r>
      <w:bookmarkStart w:id="11" w:name="highlightHit_4"/>
      <w:bookmarkEnd w:id="11"/>
      <w:r w:rsidR="009E4429" w:rsidRPr="0048677E">
        <w:rPr>
          <w:i/>
          <w:iCs/>
        </w:rPr>
        <w:t>obviněný</w:t>
      </w:r>
      <w:r w:rsidR="00E262D2" w:rsidRPr="0048677E">
        <w:rPr>
          <w:i/>
          <w:iCs/>
        </w:rPr>
        <w:t xml:space="preserve"> </w:t>
      </w:r>
      <w:r w:rsidR="009E4429" w:rsidRPr="0048677E">
        <w:rPr>
          <w:i/>
          <w:iCs/>
        </w:rPr>
        <w:t>v</w:t>
      </w:r>
      <w:r w:rsidR="00E262D2" w:rsidRPr="0048677E">
        <w:rPr>
          <w:i/>
          <w:iCs/>
        </w:rPr>
        <w:t xml:space="preserve"> </w:t>
      </w:r>
      <w:r w:rsidR="009E4429" w:rsidRPr="0048677E">
        <w:rPr>
          <w:i/>
          <w:iCs/>
        </w:rPr>
        <w:t>obžalobě státním zástupcem označen jako</w:t>
      </w:r>
      <w:r w:rsidR="00E262D2" w:rsidRPr="0048677E">
        <w:rPr>
          <w:i/>
          <w:iCs/>
        </w:rPr>
        <w:t xml:space="preserve"> </w:t>
      </w:r>
      <w:bookmarkStart w:id="12" w:name="highlightHit_5"/>
      <w:bookmarkEnd w:id="12"/>
      <w:r w:rsidR="009E4429" w:rsidRPr="0048677E">
        <w:rPr>
          <w:i/>
          <w:iCs/>
        </w:rPr>
        <w:t>spolupracující</w:t>
      </w:r>
      <w:r w:rsidR="00E262D2" w:rsidRPr="0048677E">
        <w:rPr>
          <w:i/>
          <w:iCs/>
        </w:rPr>
        <w:t xml:space="preserve"> </w:t>
      </w:r>
      <w:bookmarkStart w:id="13" w:name="highlightHit_6"/>
      <w:bookmarkEnd w:id="13"/>
      <w:r w:rsidR="009E4429" w:rsidRPr="0048677E">
        <w:rPr>
          <w:i/>
          <w:iCs/>
        </w:rPr>
        <w:t>obviněný</w:t>
      </w:r>
      <w:r w:rsidR="00E262D2" w:rsidRPr="0048677E">
        <w:rPr>
          <w:i/>
          <w:iCs/>
        </w:rPr>
        <w:t xml:space="preserve"> </w:t>
      </w:r>
      <w:r w:rsidR="009E4429" w:rsidRPr="0048677E">
        <w:rPr>
          <w:i/>
          <w:iCs/>
        </w:rPr>
        <w:t>(§</w:t>
      </w:r>
      <w:r w:rsidR="00E262D2" w:rsidRPr="0048677E">
        <w:rPr>
          <w:i/>
          <w:iCs/>
        </w:rPr>
        <w:t xml:space="preserve"> </w:t>
      </w:r>
      <w:r w:rsidR="009E4429" w:rsidRPr="0048677E">
        <w:rPr>
          <w:i/>
          <w:iCs/>
        </w:rPr>
        <w:t>178a tr.</w:t>
      </w:r>
      <w:r w:rsidR="00F56D53">
        <w:rPr>
          <w:i/>
          <w:iCs/>
        </w:rPr>
        <w:t> </w:t>
      </w:r>
      <w:r w:rsidR="009E4429" w:rsidRPr="0048677E">
        <w:rPr>
          <w:i/>
          <w:iCs/>
        </w:rPr>
        <w:t>ř.) a</w:t>
      </w:r>
      <w:r w:rsidR="00E262D2" w:rsidRPr="0048677E">
        <w:rPr>
          <w:i/>
          <w:iCs/>
        </w:rPr>
        <w:t xml:space="preserve"> </w:t>
      </w:r>
      <w:r w:rsidR="009E4429" w:rsidRPr="0048677E">
        <w:rPr>
          <w:i/>
          <w:iCs/>
        </w:rPr>
        <w:t>soud dospěje k</w:t>
      </w:r>
      <w:r w:rsidR="00E262D2" w:rsidRPr="0048677E">
        <w:rPr>
          <w:i/>
          <w:iCs/>
        </w:rPr>
        <w:t xml:space="preserve"> </w:t>
      </w:r>
      <w:r w:rsidR="009E4429" w:rsidRPr="0048677E">
        <w:rPr>
          <w:i/>
          <w:iCs/>
        </w:rPr>
        <w:t>předběžnému závěru, že mu tento status nebude přiznán, pak je povinen postupovat analogicky podle</w:t>
      </w:r>
      <w:r w:rsidR="00E262D2" w:rsidRPr="0048677E">
        <w:rPr>
          <w:i/>
          <w:iCs/>
        </w:rPr>
        <w:t xml:space="preserve"> </w:t>
      </w:r>
      <w:r w:rsidR="009E4429" w:rsidRPr="0048677E">
        <w:rPr>
          <w:i/>
          <w:iCs/>
        </w:rPr>
        <w:t>§</w:t>
      </w:r>
      <w:r w:rsidR="00E262D2" w:rsidRPr="0048677E">
        <w:rPr>
          <w:i/>
          <w:iCs/>
        </w:rPr>
        <w:t xml:space="preserve"> </w:t>
      </w:r>
      <w:r w:rsidR="009E4429" w:rsidRPr="0048677E">
        <w:rPr>
          <w:i/>
          <w:iCs/>
        </w:rPr>
        <w:t>190</w:t>
      </w:r>
      <w:r w:rsidR="00E262D2" w:rsidRPr="0048677E">
        <w:rPr>
          <w:i/>
          <w:iCs/>
        </w:rPr>
        <w:t xml:space="preserve"> </w:t>
      </w:r>
      <w:r w:rsidR="009E4429" w:rsidRPr="0048677E">
        <w:rPr>
          <w:i/>
          <w:iCs/>
        </w:rPr>
        <w:t>odst.</w:t>
      </w:r>
      <w:r w:rsidR="00E262D2" w:rsidRPr="0048677E">
        <w:rPr>
          <w:i/>
          <w:iCs/>
        </w:rPr>
        <w:t xml:space="preserve"> </w:t>
      </w:r>
      <w:r w:rsidR="009E4429" w:rsidRPr="0048677E">
        <w:rPr>
          <w:i/>
          <w:iCs/>
        </w:rPr>
        <w:t>2 tr.</w:t>
      </w:r>
      <w:r w:rsidR="00E262D2" w:rsidRPr="0048677E">
        <w:rPr>
          <w:i/>
          <w:iCs/>
        </w:rPr>
        <w:t xml:space="preserve"> </w:t>
      </w:r>
      <w:r w:rsidR="009E4429" w:rsidRPr="0048677E">
        <w:rPr>
          <w:i/>
          <w:iCs/>
        </w:rPr>
        <w:t>ř., resp. podle</w:t>
      </w:r>
      <w:r w:rsidR="00E262D2" w:rsidRPr="0048677E">
        <w:rPr>
          <w:i/>
          <w:iCs/>
        </w:rPr>
        <w:t xml:space="preserve"> </w:t>
      </w:r>
      <w:r w:rsidR="009E4429" w:rsidRPr="0048677E">
        <w:rPr>
          <w:i/>
          <w:iCs/>
        </w:rPr>
        <w:t>§</w:t>
      </w:r>
      <w:r w:rsidR="00E262D2" w:rsidRPr="0048677E">
        <w:rPr>
          <w:i/>
          <w:iCs/>
        </w:rPr>
        <w:t xml:space="preserve"> </w:t>
      </w:r>
      <w:r w:rsidR="009E4429" w:rsidRPr="0048677E">
        <w:rPr>
          <w:i/>
          <w:iCs/>
        </w:rPr>
        <w:t>225</w:t>
      </w:r>
      <w:r w:rsidR="00E262D2" w:rsidRPr="0048677E">
        <w:rPr>
          <w:i/>
          <w:iCs/>
        </w:rPr>
        <w:t xml:space="preserve"> </w:t>
      </w:r>
      <w:r w:rsidR="009E4429" w:rsidRPr="0048677E">
        <w:rPr>
          <w:i/>
          <w:iCs/>
        </w:rPr>
        <w:t>odst.</w:t>
      </w:r>
      <w:r w:rsidR="00E262D2" w:rsidRPr="0048677E">
        <w:rPr>
          <w:i/>
          <w:iCs/>
        </w:rPr>
        <w:t xml:space="preserve"> </w:t>
      </w:r>
      <w:r w:rsidR="009E4429" w:rsidRPr="0048677E">
        <w:rPr>
          <w:i/>
          <w:iCs/>
        </w:rPr>
        <w:t>2 tr.</w:t>
      </w:r>
      <w:r w:rsidR="00E262D2" w:rsidRPr="0048677E">
        <w:rPr>
          <w:i/>
          <w:iCs/>
        </w:rPr>
        <w:t xml:space="preserve"> </w:t>
      </w:r>
      <w:r w:rsidR="009E4429" w:rsidRPr="0048677E">
        <w:rPr>
          <w:i/>
          <w:iCs/>
        </w:rPr>
        <w:t>ř., a</w:t>
      </w:r>
      <w:r w:rsidR="00E262D2" w:rsidRPr="0048677E">
        <w:rPr>
          <w:i/>
          <w:iCs/>
        </w:rPr>
        <w:t xml:space="preserve"> </w:t>
      </w:r>
      <w:r w:rsidR="009E4429" w:rsidRPr="0048677E">
        <w:rPr>
          <w:i/>
          <w:iCs/>
        </w:rPr>
        <w:t>nejpozději před vynesením rozsudku upozornit</w:t>
      </w:r>
      <w:r w:rsidR="00E262D2" w:rsidRPr="0048677E">
        <w:rPr>
          <w:i/>
          <w:iCs/>
        </w:rPr>
        <w:t xml:space="preserve"> </w:t>
      </w:r>
      <w:bookmarkStart w:id="14" w:name="highlightHit_7"/>
      <w:bookmarkEnd w:id="14"/>
      <w:r w:rsidR="009E4429" w:rsidRPr="0048677E">
        <w:rPr>
          <w:i/>
          <w:iCs/>
        </w:rPr>
        <w:t>obviněného</w:t>
      </w:r>
      <w:r w:rsidR="00E262D2" w:rsidRPr="0048677E">
        <w:rPr>
          <w:i/>
          <w:iCs/>
        </w:rPr>
        <w:t xml:space="preserve"> </w:t>
      </w:r>
      <w:r w:rsidR="009E4429" w:rsidRPr="0048677E">
        <w:rPr>
          <w:i/>
          <w:iCs/>
        </w:rPr>
        <w:t>na takovou možnost, případně na jeho žádost odročit hlavní líčení a</w:t>
      </w:r>
      <w:r w:rsidR="00E262D2" w:rsidRPr="0048677E">
        <w:rPr>
          <w:i/>
          <w:iCs/>
        </w:rPr>
        <w:t xml:space="preserve"> </w:t>
      </w:r>
      <w:r w:rsidR="009E4429" w:rsidRPr="0048677E">
        <w:rPr>
          <w:i/>
          <w:iCs/>
        </w:rPr>
        <w:t>poskytnout mu znovu lhůtu alespoň pěti pracovních dnů k</w:t>
      </w:r>
      <w:r w:rsidR="00E262D2" w:rsidRPr="0048677E">
        <w:rPr>
          <w:i/>
          <w:iCs/>
        </w:rPr>
        <w:t xml:space="preserve"> </w:t>
      </w:r>
      <w:r w:rsidR="009E4429" w:rsidRPr="0048677E">
        <w:rPr>
          <w:i/>
          <w:iCs/>
        </w:rPr>
        <w:t>přípravě obhajoby. Toto upozornění soudem nemůže být ve stadiu po podání obžaloby nahrazeno sdělením (návrhem) státního zástupce, že podle jeho názoru by</w:t>
      </w:r>
      <w:r w:rsidR="00E262D2" w:rsidRPr="0048677E">
        <w:rPr>
          <w:i/>
          <w:iCs/>
        </w:rPr>
        <w:t xml:space="preserve"> </w:t>
      </w:r>
      <w:bookmarkStart w:id="15" w:name="highlightHit_8"/>
      <w:bookmarkEnd w:id="15"/>
      <w:r w:rsidR="009E4429" w:rsidRPr="0048677E">
        <w:rPr>
          <w:i/>
          <w:iCs/>
        </w:rPr>
        <w:t>obviněný</w:t>
      </w:r>
      <w:r w:rsidR="00E262D2" w:rsidRPr="0048677E">
        <w:rPr>
          <w:i/>
          <w:iCs/>
        </w:rPr>
        <w:t xml:space="preserve"> </w:t>
      </w:r>
      <w:r w:rsidR="009E4429" w:rsidRPr="0048677E">
        <w:rPr>
          <w:i/>
          <w:iCs/>
        </w:rPr>
        <w:t>nadále neměl být posuzován jako</w:t>
      </w:r>
      <w:r w:rsidR="00E262D2" w:rsidRPr="0048677E">
        <w:rPr>
          <w:i/>
          <w:iCs/>
        </w:rPr>
        <w:t xml:space="preserve"> </w:t>
      </w:r>
      <w:bookmarkStart w:id="16" w:name="highlightHit_9"/>
      <w:bookmarkEnd w:id="16"/>
      <w:r w:rsidR="009E4429" w:rsidRPr="0048677E">
        <w:rPr>
          <w:i/>
          <w:iCs/>
        </w:rPr>
        <w:t>spolupracující</w:t>
      </w:r>
      <w:r w:rsidR="00E262D2" w:rsidRPr="0048677E">
        <w:rPr>
          <w:i/>
          <w:iCs/>
        </w:rPr>
        <w:t xml:space="preserve"> </w:t>
      </w:r>
      <w:bookmarkStart w:id="17" w:name="highlightHit_10"/>
      <w:bookmarkEnd w:id="17"/>
      <w:r w:rsidR="009E4429" w:rsidRPr="0048677E">
        <w:rPr>
          <w:i/>
          <w:iCs/>
        </w:rPr>
        <w:t>obviněný</w:t>
      </w:r>
      <w:r w:rsidR="00E262D2" w:rsidRPr="0048677E">
        <w:rPr>
          <w:i/>
          <w:iCs/>
        </w:rPr>
        <w:t xml:space="preserve"> </w:t>
      </w:r>
      <w:r w:rsidR="009E4429" w:rsidRPr="0048677E">
        <w:rPr>
          <w:i/>
          <w:iCs/>
        </w:rPr>
        <w:t>(viz rozhodnutí pod č.</w:t>
      </w:r>
      <w:r w:rsidR="00E262D2" w:rsidRPr="0048677E">
        <w:rPr>
          <w:i/>
          <w:iCs/>
        </w:rPr>
        <w:t xml:space="preserve"> </w:t>
      </w:r>
      <w:r w:rsidR="009E4429" w:rsidRPr="0048677E">
        <w:rPr>
          <w:i/>
          <w:iCs/>
        </w:rPr>
        <w:t>40/1993</w:t>
      </w:r>
      <w:r w:rsidR="00E262D2" w:rsidRPr="0048677E">
        <w:rPr>
          <w:i/>
          <w:iCs/>
        </w:rPr>
        <w:t xml:space="preserve"> </w:t>
      </w:r>
      <w:r w:rsidR="009E4429" w:rsidRPr="0048677E">
        <w:rPr>
          <w:i/>
          <w:iCs/>
        </w:rPr>
        <w:t>Sb.</w:t>
      </w:r>
      <w:r w:rsidR="00E262D2" w:rsidRPr="0048677E">
        <w:rPr>
          <w:i/>
          <w:iCs/>
        </w:rPr>
        <w:t xml:space="preserve"> </w:t>
      </w:r>
      <w:r w:rsidR="009E4429" w:rsidRPr="0048677E">
        <w:rPr>
          <w:i/>
          <w:iCs/>
        </w:rPr>
        <w:t>rozh.</w:t>
      </w:r>
      <w:r w:rsidR="00E262D2" w:rsidRPr="0048677E">
        <w:rPr>
          <w:i/>
          <w:iCs/>
        </w:rPr>
        <w:t xml:space="preserve"> </w:t>
      </w:r>
      <w:r w:rsidR="009E4429" w:rsidRPr="0048677E">
        <w:rPr>
          <w:i/>
          <w:iCs/>
        </w:rPr>
        <w:t>tr.). Jestliže soud nesplní uvedenou povinnost, jde o</w:t>
      </w:r>
      <w:r w:rsidR="00E262D2" w:rsidRPr="0048677E">
        <w:rPr>
          <w:i/>
          <w:iCs/>
        </w:rPr>
        <w:t xml:space="preserve"> </w:t>
      </w:r>
      <w:r w:rsidR="009E4429" w:rsidRPr="0048677E">
        <w:rPr>
          <w:i/>
          <w:iCs/>
        </w:rPr>
        <w:t>podstatnou vadu řízení ve smyslu</w:t>
      </w:r>
      <w:r w:rsidR="00E262D2" w:rsidRPr="0048677E">
        <w:rPr>
          <w:i/>
          <w:iCs/>
        </w:rPr>
        <w:t xml:space="preserve"> </w:t>
      </w:r>
      <w:r w:rsidR="009E4429" w:rsidRPr="0048677E">
        <w:rPr>
          <w:i/>
          <w:iCs/>
        </w:rPr>
        <w:t>§</w:t>
      </w:r>
      <w:r w:rsidR="00E262D2" w:rsidRPr="0048677E">
        <w:rPr>
          <w:i/>
          <w:iCs/>
        </w:rPr>
        <w:t xml:space="preserve"> </w:t>
      </w:r>
      <w:r w:rsidR="009E4429" w:rsidRPr="0048677E">
        <w:rPr>
          <w:i/>
          <w:iCs/>
        </w:rPr>
        <w:t>258</w:t>
      </w:r>
      <w:r w:rsidR="00E262D2" w:rsidRPr="0048677E">
        <w:rPr>
          <w:i/>
          <w:iCs/>
        </w:rPr>
        <w:t xml:space="preserve"> </w:t>
      </w:r>
      <w:r w:rsidR="009E4429" w:rsidRPr="0048677E">
        <w:rPr>
          <w:i/>
          <w:iCs/>
        </w:rPr>
        <w:t>odst.</w:t>
      </w:r>
      <w:r w:rsidR="00E262D2" w:rsidRPr="0048677E">
        <w:rPr>
          <w:i/>
          <w:iCs/>
        </w:rPr>
        <w:t xml:space="preserve"> </w:t>
      </w:r>
      <w:r w:rsidR="009E4429" w:rsidRPr="0048677E">
        <w:rPr>
          <w:i/>
          <w:iCs/>
        </w:rPr>
        <w:t>1 písm.</w:t>
      </w:r>
      <w:r w:rsidR="00E262D2" w:rsidRPr="0048677E">
        <w:rPr>
          <w:i/>
          <w:iCs/>
        </w:rPr>
        <w:t xml:space="preserve"> </w:t>
      </w:r>
      <w:r w:rsidR="009E4429" w:rsidRPr="0048677E">
        <w:rPr>
          <w:i/>
          <w:iCs/>
        </w:rPr>
        <w:t>a) tr.</w:t>
      </w:r>
      <w:r w:rsidR="00E262D2" w:rsidRPr="0048677E">
        <w:rPr>
          <w:i/>
          <w:iCs/>
        </w:rPr>
        <w:t xml:space="preserve"> </w:t>
      </w:r>
      <w:r w:rsidR="0029134F" w:rsidRPr="0048677E">
        <w:rPr>
          <w:i/>
          <w:iCs/>
        </w:rPr>
        <w:t>ř.</w:t>
      </w:r>
      <w:r w:rsidR="003B39E4" w:rsidRPr="0048677E">
        <w:rPr>
          <w:i/>
          <w:iCs/>
        </w:rPr>
        <w:t>“</w:t>
      </w:r>
      <w:r w:rsidR="009E4429" w:rsidRPr="0048677E">
        <w:rPr>
          <w:rStyle w:val="Znakapoznpodarou"/>
          <w:i/>
          <w:iCs/>
          <w:color w:val="000000"/>
        </w:rPr>
        <w:footnoteReference w:id="31"/>
      </w:r>
    </w:p>
    <w:p w14:paraId="036D006E" w14:textId="4B761751" w:rsidR="003C4853" w:rsidRPr="00E943B1" w:rsidRDefault="003C4853" w:rsidP="00F15F80">
      <w:pPr>
        <w:pStyle w:val="format"/>
      </w:pPr>
      <w:r w:rsidRPr="00F15F80">
        <w:t xml:space="preserve">Výše zmíněná rozhodnutí jsou poněkud polarizující. Na jedné straně </w:t>
      </w:r>
      <w:r w:rsidR="003B39E4">
        <w:t xml:space="preserve">je </w:t>
      </w:r>
      <w:r w:rsidRPr="00F15F80">
        <w:t>soud vázán označením státního zástupce a bez označení nemůže přistoupit k</w:t>
      </w:r>
      <w:r w:rsidR="00E262D2" w:rsidRPr="00F15F80">
        <w:t xml:space="preserve"> </w:t>
      </w:r>
      <w:r w:rsidRPr="00F15F80">
        <w:t>aplikaci hmotněprávní</w:t>
      </w:r>
      <w:r w:rsidRPr="00E943B1">
        <w:t xml:space="preserve"> úpravy. Na druhou stranu je mu </w:t>
      </w:r>
      <w:r w:rsidR="003B39E4">
        <w:t xml:space="preserve">však </w:t>
      </w:r>
      <w:r w:rsidRPr="00E943B1">
        <w:t>dána možnost toto označení odejmout, pokud dojde k</w:t>
      </w:r>
      <w:r w:rsidR="00E262D2">
        <w:t xml:space="preserve"> </w:t>
      </w:r>
      <w:r w:rsidRPr="00E943B1">
        <w:t>závěru, že nejsou splněny podmínky pro udělení. Osobně se přikláním k</w:t>
      </w:r>
      <w:r w:rsidR="00E262D2">
        <w:t xml:space="preserve"> </w:t>
      </w:r>
      <w:r w:rsidRPr="00E943B1">
        <w:t>obligatornímu přidělení označení spolupracující obviněný po splnění všech kumulativ</w:t>
      </w:r>
      <w:r w:rsidR="00F15F80">
        <w:t>ních podmínek státní zástupcem.</w:t>
      </w:r>
    </w:p>
    <w:p w14:paraId="2027454A" w14:textId="77777777" w:rsidR="00F56D53" w:rsidRDefault="003534B5" w:rsidP="00F15F80">
      <w:pPr>
        <w:pStyle w:val="format"/>
      </w:pPr>
      <w:r w:rsidRPr="00E943B1">
        <w:t>Jak již bylo výše předestřeno, novela provedená zákonem č. 193/2012 Sb. zavedla do stávajícího ustanovení § 178a TŘ mimo jiné i nový odstavec 2. Tento odstavec umožňuje státnímu zástupci navrhnout (podmíněné) upuštění od potrestání (s dohledem).</w:t>
      </w:r>
      <w:r w:rsidR="00283BA5" w:rsidRPr="00E943B1">
        <w:rPr>
          <w:rStyle w:val="Znakapoznpodarou"/>
        </w:rPr>
        <w:footnoteReference w:id="32"/>
      </w:r>
    </w:p>
    <w:p w14:paraId="07B62D6B" w14:textId="32626C96" w:rsidR="003534B5" w:rsidRPr="00E943B1" w:rsidRDefault="003534B5" w:rsidP="00F56D53">
      <w:pPr>
        <w:pStyle w:val="format"/>
        <w:keepNext/>
      </w:pPr>
      <w:r w:rsidRPr="00E943B1">
        <w:lastRenderedPageBreak/>
        <w:t xml:space="preserve">Samozřejmě </w:t>
      </w:r>
      <w:r w:rsidR="003B39E4">
        <w:t>i v</w:t>
      </w:r>
      <w:r w:rsidR="00F56D53">
        <w:t xml:space="preserve"> </w:t>
      </w:r>
      <w:r w:rsidR="003B39E4">
        <w:t>tomto případě</w:t>
      </w:r>
      <w:r w:rsidRPr="00E943B1">
        <w:t xml:space="preserve"> jsou zde </w:t>
      </w:r>
      <w:r w:rsidR="003B39E4">
        <w:t xml:space="preserve">stanoveny </w:t>
      </w:r>
      <w:r w:rsidRPr="00E943B1">
        <w:t xml:space="preserve">podmínky, které musí být splněny, aby </w:t>
      </w:r>
      <w:r w:rsidR="003B39E4">
        <w:t xml:space="preserve">tak </w:t>
      </w:r>
      <w:r w:rsidRPr="00E943B1">
        <w:t>státní zástupce m</w:t>
      </w:r>
      <w:r w:rsidR="00F15F80">
        <w:t xml:space="preserve">ohl učinit. Obviněný </w:t>
      </w:r>
      <w:r w:rsidR="002F5CB6">
        <w:t xml:space="preserve">konkrétně </w:t>
      </w:r>
      <w:r w:rsidR="00F15F80">
        <w:t>nesmí:</w:t>
      </w:r>
    </w:p>
    <w:p w14:paraId="72F910D9" w14:textId="51A00B87" w:rsidR="003534B5" w:rsidRPr="00CE79A2" w:rsidRDefault="009176B5" w:rsidP="003A78D1">
      <w:pPr>
        <w:pStyle w:val="format"/>
        <w:numPr>
          <w:ilvl w:val="0"/>
          <w:numId w:val="6"/>
        </w:numPr>
        <w:rPr>
          <w:i/>
        </w:rPr>
      </w:pPr>
      <w:r w:rsidRPr="00CE79A2">
        <w:rPr>
          <w:i/>
        </w:rPr>
        <w:t>„</w:t>
      </w:r>
      <w:r w:rsidR="003534B5" w:rsidRPr="00CE79A2">
        <w:rPr>
          <w:i/>
        </w:rPr>
        <w:t>spáchat trestný čin, který je závažnější než zločin, k</w:t>
      </w:r>
      <w:r w:rsidR="00E262D2" w:rsidRPr="00CE79A2">
        <w:rPr>
          <w:i/>
        </w:rPr>
        <w:t xml:space="preserve"> </w:t>
      </w:r>
      <w:r w:rsidR="003534B5" w:rsidRPr="00CE79A2">
        <w:rPr>
          <w:i/>
        </w:rPr>
        <w:t>jehož objasnění přispěl,</w:t>
      </w:r>
    </w:p>
    <w:p w14:paraId="580850C3" w14:textId="54376829" w:rsidR="003534B5" w:rsidRPr="00CE79A2" w:rsidRDefault="003534B5" w:rsidP="003A78D1">
      <w:pPr>
        <w:pStyle w:val="format"/>
        <w:numPr>
          <w:ilvl w:val="0"/>
          <w:numId w:val="6"/>
        </w:numPr>
        <w:rPr>
          <w:i/>
        </w:rPr>
      </w:pPr>
      <w:r w:rsidRPr="00CE79A2">
        <w:rPr>
          <w:i/>
        </w:rPr>
        <w:t>podílet se jako organizátor nebo návodce na spáchání zločinu, k</w:t>
      </w:r>
      <w:r w:rsidR="00E262D2" w:rsidRPr="00CE79A2">
        <w:rPr>
          <w:i/>
        </w:rPr>
        <w:t xml:space="preserve"> </w:t>
      </w:r>
      <w:r w:rsidRPr="00CE79A2">
        <w:rPr>
          <w:i/>
        </w:rPr>
        <w:t>jehož objasnění přispěl,</w:t>
      </w:r>
    </w:p>
    <w:p w14:paraId="520F3376" w14:textId="77777777" w:rsidR="003534B5" w:rsidRPr="00CE79A2" w:rsidRDefault="003534B5" w:rsidP="003A78D1">
      <w:pPr>
        <w:pStyle w:val="format"/>
        <w:numPr>
          <w:ilvl w:val="0"/>
          <w:numId w:val="6"/>
        </w:numPr>
        <w:rPr>
          <w:i/>
        </w:rPr>
      </w:pPr>
      <w:r w:rsidRPr="00CE79A2">
        <w:rPr>
          <w:i/>
        </w:rPr>
        <w:t>trestným činem, jehož se měl podle obsahu doznání i dalších ve věci provedených důkazů dopustit, způsobit úmyslně těžkou újmu na zdraví nebo smrt,</w:t>
      </w:r>
    </w:p>
    <w:p w14:paraId="2C3621EA" w14:textId="036CB2BF" w:rsidR="00197DE5" w:rsidRPr="00E943B1" w:rsidRDefault="003534B5" w:rsidP="003A78D1">
      <w:pPr>
        <w:pStyle w:val="format"/>
        <w:numPr>
          <w:ilvl w:val="0"/>
          <w:numId w:val="6"/>
        </w:numPr>
      </w:pPr>
      <w:r w:rsidRPr="00CE79A2">
        <w:rPr>
          <w:i/>
        </w:rPr>
        <w:t xml:space="preserve">vyvolat důvody pro mimořádné </w:t>
      </w:r>
      <w:r w:rsidR="00283BA5" w:rsidRPr="00CE79A2">
        <w:rPr>
          <w:i/>
        </w:rPr>
        <w:t>zvýšení trestu odnětí svobody</w:t>
      </w:r>
      <w:r w:rsidR="009176B5" w:rsidRPr="00CE79A2">
        <w:rPr>
          <w:i/>
        </w:rPr>
        <w:t>“</w:t>
      </w:r>
      <w:r w:rsidR="002F5CB6">
        <w:rPr>
          <w:i/>
        </w:rPr>
        <w:t>.</w:t>
      </w:r>
      <w:r w:rsidR="009176B5" w:rsidRPr="00CE79A2">
        <w:rPr>
          <w:rStyle w:val="Znakapoznpodarou"/>
          <w:iCs/>
        </w:rPr>
        <w:footnoteReference w:id="33"/>
      </w:r>
    </w:p>
    <w:p w14:paraId="33BFE500" w14:textId="5A1B7093" w:rsidR="009176B5" w:rsidRPr="00E943B1" w:rsidRDefault="009176B5" w:rsidP="00D8644B">
      <w:pPr>
        <w:pStyle w:val="format"/>
      </w:pPr>
      <w:r w:rsidRPr="00E943B1">
        <w:t xml:space="preserve">Opět se jedná o fakultativní postup státního zástupce, jak je tomu i u označení obviněného za spolupracujícího dle § 178a odst. 1 TŘ. Pokud jsou </w:t>
      </w:r>
      <w:r w:rsidR="002F5CB6">
        <w:t>následně</w:t>
      </w:r>
      <w:r w:rsidR="002F5CB6" w:rsidRPr="00E943B1">
        <w:t xml:space="preserve"> </w:t>
      </w:r>
      <w:r w:rsidRPr="00E943B1">
        <w:t>splněny předpoklady</w:t>
      </w:r>
      <w:r w:rsidR="00231740">
        <w:t>,</w:t>
      </w:r>
      <w:r w:rsidRPr="00E943B1">
        <w:t xml:space="preserve"> státní zástupce zvažuje další okolnosti případu. Zákon uvádí pouze demonstrativní výčet okolností, jež státní zástupce zvažuje. </w:t>
      </w:r>
      <w:r w:rsidR="0013556E" w:rsidRPr="00E943B1">
        <w:t xml:space="preserve">Jsou to například </w:t>
      </w:r>
      <w:r w:rsidR="00C27416">
        <w:t>níže uvedené</w:t>
      </w:r>
      <w:r w:rsidR="00C27416" w:rsidRPr="00E943B1">
        <w:t xml:space="preserve"> </w:t>
      </w:r>
      <w:r w:rsidR="0013556E" w:rsidRPr="00E943B1">
        <w:t>okolnosti:</w:t>
      </w:r>
    </w:p>
    <w:p w14:paraId="63C1066B" w14:textId="072A14CA" w:rsidR="0013556E" w:rsidRPr="00D8644B" w:rsidRDefault="0013556E" w:rsidP="003A78D1">
      <w:pPr>
        <w:pStyle w:val="format"/>
        <w:numPr>
          <w:ilvl w:val="0"/>
          <w:numId w:val="7"/>
        </w:numPr>
        <w:rPr>
          <w:i/>
        </w:rPr>
      </w:pPr>
      <w:r w:rsidRPr="00D8644B">
        <w:rPr>
          <w:i/>
        </w:rPr>
        <w:t>„povahu trestného činu uvedeného v</w:t>
      </w:r>
      <w:r w:rsidR="00E262D2" w:rsidRPr="00D8644B">
        <w:rPr>
          <w:i/>
        </w:rPr>
        <w:t xml:space="preserve"> </w:t>
      </w:r>
      <w:r w:rsidRPr="00D8644B">
        <w:rPr>
          <w:i/>
        </w:rPr>
        <w:t>doznání obviněného v</w:t>
      </w:r>
      <w:r w:rsidR="00E262D2" w:rsidRPr="00D8644B">
        <w:rPr>
          <w:i/>
        </w:rPr>
        <w:t xml:space="preserve"> </w:t>
      </w:r>
      <w:r w:rsidRPr="00D8644B">
        <w:rPr>
          <w:i/>
        </w:rPr>
        <w:t>porovnání s</w:t>
      </w:r>
      <w:r w:rsidR="00E262D2" w:rsidRPr="00D8644B">
        <w:rPr>
          <w:i/>
        </w:rPr>
        <w:t xml:space="preserve"> </w:t>
      </w:r>
      <w:r w:rsidRPr="00D8644B">
        <w:rPr>
          <w:i/>
        </w:rPr>
        <w:t>trestným činem, k</w:t>
      </w:r>
      <w:r w:rsidR="00700F25">
        <w:rPr>
          <w:i/>
        </w:rPr>
        <w:t> </w:t>
      </w:r>
      <w:r w:rsidRPr="00D8644B">
        <w:rPr>
          <w:i/>
        </w:rPr>
        <w:t>jehož objasnění se obviněný zavázal</w:t>
      </w:r>
      <w:r w:rsidR="00DB7835">
        <w:rPr>
          <w:i/>
        </w:rPr>
        <w:t>,</w:t>
      </w:r>
    </w:p>
    <w:p w14:paraId="7F201367" w14:textId="52063DC4" w:rsidR="0013556E" w:rsidRPr="00D8644B" w:rsidRDefault="0013556E" w:rsidP="003A78D1">
      <w:pPr>
        <w:pStyle w:val="format"/>
        <w:numPr>
          <w:ilvl w:val="0"/>
          <w:numId w:val="7"/>
        </w:numPr>
        <w:rPr>
          <w:i/>
        </w:rPr>
      </w:pPr>
      <w:r w:rsidRPr="00D8644B">
        <w:rPr>
          <w:i/>
        </w:rPr>
        <w:t>míru, v</w:t>
      </w:r>
      <w:r w:rsidR="00E262D2" w:rsidRPr="00D8644B">
        <w:rPr>
          <w:i/>
        </w:rPr>
        <w:t xml:space="preserve"> </w:t>
      </w:r>
      <w:r w:rsidRPr="00D8644B">
        <w:rPr>
          <w:i/>
        </w:rPr>
        <w:t>jaké může spolupracující obviněný přispět k</w:t>
      </w:r>
      <w:r w:rsidR="00E262D2" w:rsidRPr="00D8644B">
        <w:rPr>
          <w:i/>
        </w:rPr>
        <w:t xml:space="preserve"> </w:t>
      </w:r>
      <w:r w:rsidRPr="00D8644B">
        <w:rPr>
          <w:i/>
        </w:rPr>
        <w:t>objasnění zločinu spáchaného členy organizované skupiny, ve spojení s</w:t>
      </w:r>
      <w:r w:rsidR="00E262D2" w:rsidRPr="00D8644B">
        <w:rPr>
          <w:i/>
        </w:rPr>
        <w:t xml:space="preserve"> </w:t>
      </w:r>
      <w:r w:rsidRPr="00D8644B">
        <w:rPr>
          <w:i/>
        </w:rPr>
        <w:t>organizovanou skupinou nebo ve prospěch organizované zločinecké skupiny,</w:t>
      </w:r>
    </w:p>
    <w:p w14:paraId="0C956323" w14:textId="4553B471" w:rsidR="0013556E" w:rsidRPr="00D8644B" w:rsidRDefault="0013556E" w:rsidP="003A78D1">
      <w:pPr>
        <w:pStyle w:val="format"/>
        <w:numPr>
          <w:ilvl w:val="0"/>
          <w:numId w:val="7"/>
        </w:numPr>
        <w:rPr>
          <w:i/>
        </w:rPr>
      </w:pPr>
      <w:r w:rsidRPr="00D8644B">
        <w:rPr>
          <w:i/>
        </w:rPr>
        <w:t>význam jeho výpovědi pro dané trestní řízení s</w:t>
      </w:r>
      <w:r w:rsidR="00E262D2" w:rsidRPr="00D8644B">
        <w:rPr>
          <w:i/>
        </w:rPr>
        <w:t xml:space="preserve"> </w:t>
      </w:r>
      <w:r w:rsidRPr="00D8644B">
        <w:rPr>
          <w:i/>
        </w:rPr>
        <w:t>ohledem na shromážděné důkazy,</w:t>
      </w:r>
    </w:p>
    <w:p w14:paraId="5A08EDFC" w14:textId="69BAA5EB" w:rsidR="0013556E" w:rsidRPr="00E943B1" w:rsidRDefault="0013556E" w:rsidP="003A78D1">
      <w:pPr>
        <w:pStyle w:val="format"/>
        <w:numPr>
          <w:ilvl w:val="0"/>
          <w:numId w:val="7"/>
        </w:numPr>
      </w:pPr>
      <w:r w:rsidRPr="00D8644B">
        <w:rPr>
          <w:i/>
        </w:rPr>
        <w:t>osobu obviněného a okolnosti případu, zejména zda a jakým způsobem se obviněný podílel na spáchání trestného činu, k</w:t>
      </w:r>
      <w:r w:rsidR="00E262D2" w:rsidRPr="00D8644B">
        <w:rPr>
          <w:i/>
        </w:rPr>
        <w:t xml:space="preserve"> </w:t>
      </w:r>
      <w:r w:rsidRPr="00D8644B">
        <w:rPr>
          <w:i/>
        </w:rPr>
        <w:t xml:space="preserve">jehož objasnění se zavázal, a jaké </w:t>
      </w:r>
      <w:r w:rsidR="00D8644B">
        <w:rPr>
          <w:i/>
        </w:rPr>
        <w:t>následky svým jednáním způsobil</w:t>
      </w:r>
      <w:r w:rsidRPr="00D8644B">
        <w:rPr>
          <w:i/>
        </w:rPr>
        <w:t>“</w:t>
      </w:r>
      <w:r w:rsidR="00DB7835">
        <w:rPr>
          <w:i/>
        </w:rPr>
        <w:t>.</w:t>
      </w:r>
      <w:r w:rsidRPr="00D8644B">
        <w:rPr>
          <w:rStyle w:val="Znakapoznpodarou"/>
          <w:iCs/>
        </w:rPr>
        <w:footnoteReference w:id="34"/>
      </w:r>
    </w:p>
    <w:p w14:paraId="239EC633" w14:textId="54AAF9C6" w:rsidR="0013556E" w:rsidRPr="00E943B1" w:rsidRDefault="0013556E" w:rsidP="00D8644B">
      <w:pPr>
        <w:pStyle w:val="format"/>
      </w:pPr>
      <w:r w:rsidRPr="00E943B1">
        <w:t xml:space="preserve">Jak bylo </w:t>
      </w:r>
      <w:r w:rsidR="00DB7835">
        <w:t>shora</w:t>
      </w:r>
      <w:r w:rsidR="00DB7835" w:rsidRPr="00E943B1">
        <w:t xml:space="preserve"> </w:t>
      </w:r>
      <w:r w:rsidRPr="00E943B1">
        <w:t>uvedeno</w:t>
      </w:r>
      <w:r w:rsidR="00DB7835">
        <w:t>,</w:t>
      </w:r>
      <w:r w:rsidRPr="00E943B1">
        <w:t xml:space="preserve"> tento výčet je pouze demonstrativní</w:t>
      </w:r>
      <w:r w:rsidR="00076230">
        <w:t>,</w:t>
      </w:r>
      <w:r w:rsidRPr="00E943B1">
        <w:t xml:space="preserve"> </w:t>
      </w:r>
      <w:r w:rsidR="00076230">
        <w:t>což znamená, že</w:t>
      </w:r>
      <w:r w:rsidR="00076230" w:rsidRPr="00E943B1">
        <w:t xml:space="preserve"> </w:t>
      </w:r>
      <w:r w:rsidRPr="00E943B1">
        <w:t xml:space="preserve">státní zástupce může zvažovat i jiná hlediska, než </w:t>
      </w:r>
      <w:r w:rsidR="0086204A">
        <w:t xml:space="preserve">jaká </w:t>
      </w:r>
      <w:r w:rsidRPr="00E943B1">
        <w:t xml:space="preserve">jsou </w:t>
      </w:r>
      <w:r w:rsidR="0086204A" w:rsidRPr="00E943B1">
        <w:t>uveden</w:t>
      </w:r>
      <w:r w:rsidR="0086204A">
        <w:t>a</w:t>
      </w:r>
      <w:r w:rsidR="0086204A" w:rsidRPr="00E943B1">
        <w:t xml:space="preserve"> </w:t>
      </w:r>
      <w:r w:rsidRPr="00E943B1">
        <w:t>v</w:t>
      </w:r>
      <w:r w:rsidR="00E262D2">
        <w:t xml:space="preserve"> </w:t>
      </w:r>
      <w:r w:rsidRPr="00E943B1">
        <w:t>ustanovení § 178a odst. 2 TŘ.</w:t>
      </w:r>
    </w:p>
    <w:p w14:paraId="1D264A5A" w14:textId="1D695CCD" w:rsidR="007B22D3" w:rsidRPr="00E943B1" w:rsidRDefault="007B22D3" w:rsidP="00D8644B">
      <w:pPr>
        <w:pStyle w:val="format"/>
      </w:pPr>
      <w:r w:rsidRPr="00E943B1">
        <w:t>Státní zástupce, než obviněného označí za spolupracujícího na základě podnětu obviněného nebo jeho zástupce, popřípadě k</w:t>
      </w:r>
      <w:r w:rsidR="00E262D2">
        <w:t xml:space="preserve"> </w:t>
      </w:r>
      <w:r w:rsidRPr="00E943B1">
        <w:t xml:space="preserve">tomu závěru dojde sám na základě zhodnocení okolností případu, musí obviněného vyslechnout. Výslech se musí týkat skutečností/podmínek, které jsou uvedeny v § 178a odst. 1 TŘ a </w:t>
      </w:r>
      <w:r w:rsidR="0086204A">
        <w:t xml:space="preserve">zároveň </w:t>
      </w:r>
      <w:r w:rsidRPr="00E943B1">
        <w:t>rozebrány výše v</w:t>
      </w:r>
      <w:r w:rsidR="00E262D2">
        <w:t xml:space="preserve"> </w:t>
      </w:r>
      <w:r w:rsidR="0086204A">
        <w:t>této</w:t>
      </w:r>
      <w:r w:rsidR="0086204A" w:rsidRPr="00E943B1">
        <w:t xml:space="preserve"> </w:t>
      </w:r>
      <w:r w:rsidRPr="00E943B1">
        <w:t>práci. Samozřejmě se</w:t>
      </w:r>
      <w:r w:rsidR="009D3E8D">
        <w:t> </w:t>
      </w:r>
      <w:r w:rsidRPr="00E943B1">
        <w:t>výslech může týkat i věcí, které státní zástupce uzná za vhodné k</w:t>
      </w:r>
      <w:r w:rsidR="00E262D2">
        <w:t xml:space="preserve"> </w:t>
      </w:r>
      <w:r w:rsidRPr="00E943B1">
        <w:t xml:space="preserve">okolnostem případu, nemusí se týkat pouze podmínek dle § 178a odst. 1 TŘ. </w:t>
      </w:r>
      <w:r w:rsidR="00C93705" w:rsidRPr="00E943B1">
        <w:t xml:space="preserve">Dle § 178 odst. 3 TŘ výslech provádí vždy státní zástupce. Tuto pravomoc nemůže ani na nikoho převést. Může však využít součinnosti </w:t>
      </w:r>
      <w:r w:rsidR="00C93705" w:rsidRPr="00E943B1">
        <w:lastRenderedPageBreak/>
        <w:t>policejního orgánu, nicméně výslech jako takový musí vždy provést pouze státní zástupce. V</w:t>
      </w:r>
      <w:r w:rsidR="009D3E8D">
        <w:t> </w:t>
      </w:r>
      <w:r w:rsidR="00C93705" w:rsidRPr="00E943B1">
        <w:t>úvahu připadá pouze „dělení“ výslechu, čímž je myšleno, že státní zástupce provede výslech a</w:t>
      </w:r>
      <w:r w:rsidR="009D3E8D">
        <w:t> </w:t>
      </w:r>
      <w:r w:rsidR="00C93705" w:rsidRPr="00E943B1">
        <w:t>zjišťuje obsahové náležitosti uvedené ve větě první a druhé § 178a odst. 3 TŘ, policejní orgán pak může provést výslech v</w:t>
      </w:r>
      <w:r w:rsidR="00E262D2">
        <w:t xml:space="preserve"> </w:t>
      </w:r>
      <w:r w:rsidR="00C93705" w:rsidRPr="00E943B1">
        <w:t xml:space="preserve">ostatních částech. Státní zástupce musí dle § 178a odst. 3 TŘ obviněného poučit </w:t>
      </w:r>
      <w:r w:rsidR="0047747A">
        <w:t>stejně jako</w:t>
      </w:r>
      <w:r w:rsidR="0047747A" w:rsidRPr="00E943B1">
        <w:t xml:space="preserve"> </w:t>
      </w:r>
      <w:r w:rsidR="00C93705" w:rsidRPr="00E943B1">
        <w:t>před každým jiným výslechem. Nastupuje tu pa</w:t>
      </w:r>
      <w:r w:rsidR="00946573">
        <w:t>k zvláštní poučovací povinnost.</w:t>
      </w:r>
      <w:r w:rsidR="00C93705" w:rsidRPr="00E943B1">
        <w:rPr>
          <w:rStyle w:val="Znakapoznpodarou"/>
        </w:rPr>
        <w:footnoteReference w:id="35"/>
      </w:r>
    </w:p>
    <w:p w14:paraId="1461545B" w14:textId="77777777" w:rsidR="009D3E8D" w:rsidRDefault="002B5A9B" w:rsidP="00897B70">
      <w:pPr>
        <w:pStyle w:val="format"/>
      </w:pPr>
      <w:r w:rsidRPr="00E943B1">
        <w:t xml:space="preserve">Na závěr </w:t>
      </w:r>
      <w:r w:rsidR="000E6441">
        <w:t>lze</w:t>
      </w:r>
      <w:r w:rsidRPr="00E943B1">
        <w:t xml:space="preserve"> citovat nález Ústavníh</w:t>
      </w:r>
      <w:r w:rsidR="009D3E8D">
        <w:t>o soudu ze dne 13. března 2014.</w:t>
      </w:r>
    </w:p>
    <w:p w14:paraId="60FF1E88" w14:textId="74EDE193" w:rsidR="002B5A9B" w:rsidRPr="00E943B1" w:rsidRDefault="002B5A9B" w:rsidP="00897B70">
      <w:pPr>
        <w:pStyle w:val="format"/>
        <w:rPr>
          <w:i/>
          <w:iCs/>
        </w:rPr>
      </w:pPr>
      <w:r w:rsidRPr="00E943B1">
        <w:rPr>
          <w:i/>
          <w:iCs/>
        </w:rPr>
        <w:t>„Institut spolupracujícího obviněného (§</w:t>
      </w:r>
      <w:r w:rsidR="00E262D2">
        <w:rPr>
          <w:i/>
          <w:iCs/>
        </w:rPr>
        <w:t xml:space="preserve"> </w:t>
      </w:r>
      <w:r w:rsidRPr="00E943B1">
        <w:rPr>
          <w:i/>
          <w:iCs/>
        </w:rPr>
        <w:t>178a trestního řádu) je legitimním nástrojem trestního řízení, vyhovujícím požadavkům právního státu.</w:t>
      </w:r>
    </w:p>
    <w:p w14:paraId="36433E52" w14:textId="1BA22C9F" w:rsidR="00197DE5" w:rsidRPr="00E943B1" w:rsidRDefault="002B5A9B" w:rsidP="00897B70">
      <w:pPr>
        <w:pStyle w:val="format"/>
        <w:rPr>
          <w:i/>
          <w:iCs/>
        </w:rPr>
      </w:pPr>
      <w:r w:rsidRPr="00E943B1">
        <w:rPr>
          <w:i/>
          <w:iCs/>
        </w:rPr>
        <w:t>Aplikace procesního institutu spolupracujícího obviněného musí být podrobena velmi přísným nárokům. Proces hodnocení věrohodnosti výpovědi spolupracujícího obviněného musí být mimořádně pečlivý; musí být posouzeny mj. jeho osobnostní rysy, jeho motivace ke spolupráci s</w:t>
      </w:r>
      <w:r w:rsidR="00E262D2">
        <w:rPr>
          <w:i/>
          <w:iCs/>
        </w:rPr>
        <w:t xml:space="preserve"> </w:t>
      </w:r>
      <w:r w:rsidRPr="00E943B1">
        <w:rPr>
          <w:i/>
          <w:iCs/>
        </w:rPr>
        <w:t>orgány činnými v</w:t>
      </w:r>
      <w:r w:rsidR="00E262D2">
        <w:rPr>
          <w:i/>
          <w:iCs/>
        </w:rPr>
        <w:t xml:space="preserve"> </w:t>
      </w:r>
      <w:r w:rsidRPr="00E943B1">
        <w:rPr>
          <w:i/>
          <w:iCs/>
        </w:rPr>
        <w:t>trestním řízení a</w:t>
      </w:r>
      <w:r w:rsidR="00E262D2">
        <w:rPr>
          <w:i/>
          <w:iCs/>
        </w:rPr>
        <w:t xml:space="preserve"> </w:t>
      </w:r>
      <w:r w:rsidRPr="00E943B1">
        <w:rPr>
          <w:i/>
          <w:iCs/>
        </w:rPr>
        <w:t>souladnost jeho výpovědi s</w:t>
      </w:r>
      <w:r w:rsidR="00E262D2">
        <w:rPr>
          <w:i/>
          <w:iCs/>
        </w:rPr>
        <w:t xml:space="preserve"> </w:t>
      </w:r>
      <w:r w:rsidRPr="00E943B1">
        <w:rPr>
          <w:i/>
          <w:iCs/>
        </w:rPr>
        <w:t>ostatními důkazy shromážděnými ve věci.“</w:t>
      </w:r>
      <w:r w:rsidRPr="00897B70">
        <w:rPr>
          <w:rStyle w:val="Znakapoznpodarou"/>
          <w:iCs/>
        </w:rPr>
        <w:footnoteReference w:id="36"/>
      </w:r>
    </w:p>
    <w:p w14:paraId="4CBA8D61" w14:textId="77777777" w:rsidR="00564876" w:rsidRPr="00E943B1" w:rsidRDefault="00564876" w:rsidP="00897B70">
      <w:pPr>
        <w:pStyle w:val="Nadpis3"/>
      </w:pPr>
      <w:bookmarkStart w:id="18" w:name="_Toc170637999"/>
      <w:r w:rsidRPr="00E943B1">
        <w:t>Trestní zákoník</w:t>
      </w:r>
      <w:bookmarkEnd w:id="18"/>
    </w:p>
    <w:p w14:paraId="2BCEA7EB" w14:textId="5680D0D0" w:rsidR="00926BFF" w:rsidRPr="00E943B1" w:rsidRDefault="00926BFF" w:rsidP="00897B70">
      <w:pPr>
        <w:pStyle w:val="format"/>
      </w:pPr>
      <w:r w:rsidRPr="00E943B1">
        <w:t>S</w:t>
      </w:r>
      <w:r w:rsidR="00E262D2">
        <w:t xml:space="preserve"> </w:t>
      </w:r>
      <w:r w:rsidRPr="00E943B1">
        <w:t>institutem spolupracující</w:t>
      </w:r>
      <w:r w:rsidR="00CA6A5A">
        <w:t>ho</w:t>
      </w:r>
      <w:r w:rsidRPr="00E943B1">
        <w:t xml:space="preserve"> </w:t>
      </w:r>
      <w:r w:rsidR="00CA6A5A" w:rsidRPr="00E943B1">
        <w:t>obviněn</w:t>
      </w:r>
      <w:r w:rsidR="00CA6A5A">
        <w:t>ého</w:t>
      </w:r>
      <w:r w:rsidR="00CA6A5A" w:rsidRPr="00E943B1">
        <w:t xml:space="preserve"> </w:t>
      </w:r>
      <w:r w:rsidRPr="00E943B1">
        <w:t>jsou spojeny i hmotněprávní následky, které jsou upraveny</w:t>
      </w:r>
      <w:r w:rsidR="00AB1D3A">
        <w:t xml:space="preserve"> v</w:t>
      </w:r>
      <w:r w:rsidRPr="00E943B1">
        <w:t xml:space="preserve"> </w:t>
      </w:r>
      <w:r w:rsidR="00791744" w:rsidRPr="00E943B1">
        <w:t>trestní</w:t>
      </w:r>
      <w:r w:rsidR="00E43220">
        <w:t>m</w:t>
      </w:r>
      <w:r w:rsidR="00791744" w:rsidRPr="00E943B1">
        <w:t xml:space="preserve"> zákoník</w:t>
      </w:r>
      <w:r w:rsidR="00E43220">
        <w:t>u</w:t>
      </w:r>
      <w:r w:rsidR="00791744" w:rsidRPr="00E943B1">
        <w:t xml:space="preserve">. </w:t>
      </w:r>
      <w:r w:rsidR="00B76E3C" w:rsidRPr="00E943B1">
        <w:t>S</w:t>
      </w:r>
      <w:r w:rsidR="00E262D2">
        <w:t xml:space="preserve"> </w:t>
      </w:r>
      <w:r w:rsidR="00B76E3C" w:rsidRPr="00E943B1">
        <w:t>institutem spolupracující</w:t>
      </w:r>
      <w:r w:rsidR="000F2166">
        <w:t>ho</w:t>
      </w:r>
      <w:r w:rsidR="00B76E3C" w:rsidRPr="00E943B1">
        <w:t xml:space="preserve"> </w:t>
      </w:r>
      <w:r w:rsidR="000F2166" w:rsidRPr="00E943B1">
        <w:t>obviněn</w:t>
      </w:r>
      <w:r w:rsidR="000F2166">
        <w:t>ého</w:t>
      </w:r>
      <w:r w:rsidR="000F2166" w:rsidRPr="00E943B1">
        <w:t xml:space="preserve"> </w:t>
      </w:r>
      <w:r w:rsidR="00B76E3C" w:rsidRPr="00E943B1">
        <w:t xml:space="preserve">pracují </w:t>
      </w:r>
      <w:r w:rsidR="007554AD">
        <w:t>následující</w:t>
      </w:r>
      <w:r w:rsidR="007554AD" w:rsidRPr="00E943B1">
        <w:t xml:space="preserve"> </w:t>
      </w:r>
      <w:r w:rsidR="00B76E3C" w:rsidRPr="00E943B1">
        <w:t>ustanovení:</w:t>
      </w:r>
      <w:r w:rsidR="00791744" w:rsidRPr="00E943B1">
        <w:t xml:space="preserve"> </w:t>
      </w:r>
      <w:r w:rsidR="00B76E3C" w:rsidRPr="00E943B1">
        <w:t>§ 39 odst. 1 věta první (</w:t>
      </w:r>
      <w:r w:rsidR="002875AF" w:rsidRPr="00E943B1">
        <w:t>s</w:t>
      </w:r>
      <w:r w:rsidR="00B76E3C" w:rsidRPr="00E943B1">
        <w:t xml:space="preserve">tanovení druhu trestu a výměry), § 41 písm. </w:t>
      </w:r>
      <w:r w:rsidR="00792AD1" w:rsidRPr="00E943B1">
        <w:t>n</w:t>
      </w:r>
      <w:r w:rsidR="00B76E3C" w:rsidRPr="00E943B1">
        <w:t>) (</w:t>
      </w:r>
      <w:r w:rsidR="002875AF" w:rsidRPr="00E943B1">
        <w:t>p</w:t>
      </w:r>
      <w:r w:rsidR="00B76E3C" w:rsidRPr="00E943B1">
        <w:t xml:space="preserve">olehčující okolnost), § 58 odst. </w:t>
      </w:r>
      <w:r w:rsidR="00792AD1" w:rsidRPr="00E943B1">
        <w:t>5</w:t>
      </w:r>
      <w:r w:rsidR="00B76E3C" w:rsidRPr="00E943B1">
        <w:t xml:space="preserve"> (mimořádné snížení trestu odnětí svobody pod dolní hranici trestní sazby)</w:t>
      </w:r>
      <w:r w:rsidR="002875AF" w:rsidRPr="00E943B1">
        <w:t xml:space="preserve"> a </w:t>
      </w:r>
      <w:r w:rsidR="00B76E3C" w:rsidRPr="00E943B1">
        <w:t>§ 46 odst. 2 (</w:t>
      </w:r>
      <w:r w:rsidR="002875AF" w:rsidRPr="00E943B1">
        <w:t>u</w:t>
      </w:r>
      <w:r w:rsidR="00B76E3C" w:rsidRPr="00E943B1">
        <w:t xml:space="preserve">puštění od potrestání). </w:t>
      </w:r>
      <w:r w:rsidR="00791744" w:rsidRPr="00E943B1">
        <w:t xml:space="preserve">Obecně je lze označit </w:t>
      </w:r>
      <w:r w:rsidR="00035E30">
        <w:t>za</w:t>
      </w:r>
      <w:r w:rsidR="00035E30" w:rsidRPr="00E943B1">
        <w:t xml:space="preserve"> </w:t>
      </w:r>
      <w:r w:rsidR="00791744" w:rsidRPr="00E943B1">
        <w:t>„benefity“, které může soud udělit, pokud dojde ke splnění podmínek dle § 178a TŘ a státní zástupce obviněného označí v</w:t>
      </w:r>
      <w:r w:rsidR="00AE2488">
        <w:t> </w:t>
      </w:r>
      <w:r w:rsidR="00791744" w:rsidRPr="00E943B1">
        <w:t>obžalobě. Nicméně pouhé splnění podmínek v § 178a TŘ nestačí.</w:t>
      </w:r>
    </w:p>
    <w:p w14:paraId="320CA881" w14:textId="21BDE48C" w:rsidR="00D551B1" w:rsidRPr="00E943B1" w:rsidRDefault="00D551B1" w:rsidP="00897B70">
      <w:pPr>
        <w:pStyle w:val="format"/>
      </w:pPr>
      <w:r w:rsidRPr="00E943B1">
        <w:t>Zákon zdůrazňuje, že spolupracující obviněný musí přispět výrazným způsobem k</w:t>
      </w:r>
      <w:r w:rsidR="00AE2488">
        <w:t> </w:t>
      </w:r>
      <w:r w:rsidRPr="00E943B1">
        <w:t>objasnění zločinu spáchaného členy organizované skupiny, ve spojení s</w:t>
      </w:r>
      <w:r w:rsidR="00E262D2">
        <w:t xml:space="preserve"> </w:t>
      </w:r>
      <w:r w:rsidRPr="00E943B1">
        <w:t xml:space="preserve">organizovanou skupinou či ve prospěch organizované zločinecké skupiny. Na základě míry přispění a dalších faktorů pak soud může přistoupit buď </w:t>
      </w:r>
      <w:r w:rsidR="00035E30">
        <w:t xml:space="preserve">k </w:t>
      </w:r>
      <w:r w:rsidRPr="00E943B1">
        <w:t>mimořádnému snížení trestu odnětí svobody dle §</w:t>
      </w:r>
      <w:r w:rsidR="00AE2488">
        <w:t> </w:t>
      </w:r>
      <w:r w:rsidRPr="00E943B1">
        <w:t>58</w:t>
      </w:r>
      <w:r w:rsidR="00AE2488">
        <w:t> </w:t>
      </w:r>
      <w:r w:rsidRPr="00E943B1">
        <w:t xml:space="preserve">odst. </w:t>
      </w:r>
      <w:r w:rsidR="00792AD1" w:rsidRPr="00E943B1">
        <w:t>5</w:t>
      </w:r>
      <w:r w:rsidRPr="00E943B1">
        <w:t xml:space="preserve"> </w:t>
      </w:r>
      <w:r w:rsidR="00330941" w:rsidRPr="00E943B1">
        <w:t xml:space="preserve">TZ, </w:t>
      </w:r>
      <w:r w:rsidR="00035E30">
        <w:t>případně</w:t>
      </w:r>
      <w:r w:rsidR="00035E30" w:rsidRPr="00E943B1">
        <w:t xml:space="preserve"> </w:t>
      </w:r>
      <w:r w:rsidRPr="00E943B1">
        <w:t>až k</w:t>
      </w:r>
      <w:r w:rsidR="00E262D2">
        <w:t xml:space="preserve"> </w:t>
      </w:r>
      <w:r w:rsidRPr="00E943B1">
        <w:t xml:space="preserve">upuštění od potrestání dle § 46 odst. 2 </w:t>
      </w:r>
      <w:r w:rsidR="00F04D79" w:rsidRPr="00E943B1">
        <w:t>TZ</w:t>
      </w:r>
      <w:r w:rsidRPr="00E943B1">
        <w:t>. Nutno podotknout, že</w:t>
      </w:r>
      <w:r w:rsidR="00AE2488">
        <w:t> </w:t>
      </w:r>
      <w:r w:rsidRPr="00E943B1">
        <w:t>i</w:t>
      </w:r>
      <w:r w:rsidR="00AE2488">
        <w:t> </w:t>
      </w:r>
      <w:r w:rsidRPr="00E943B1">
        <w:t xml:space="preserve">přes označení obviněného za spolupracujícího státním zástupcem není tímto soud vázán, </w:t>
      </w:r>
      <w:r w:rsidRPr="00E943B1">
        <w:lastRenderedPageBreak/>
        <w:t>proto k</w:t>
      </w:r>
      <w:r w:rsidR="00E262D2">
        <w:t xml:space="preserve"> </w:t>
      </w:r>
      <w:r w:rsidRPr="00E943B1">
        <w:t xml:space="preserve">aplikaci § 58 odst. </w:t>
      </w:r>
      <w:r w:rsidR="00792AD1" w:rsidRPr="00E943B1">
        <w:t>5</w:t>
      </w:r>
      <w:r w:rsidRPr="00E943B1">
        <w:t xml:space="preserve"> </w:t>
      </w:r>
      <w:r w:rsidR="00F04D79" w:rsidRPr="00E943B1">
        <w:t>TZ</w:t>
      </w:r>
      <w:r w:rsidRPr="00E943B1">
        <w:t xml:space="preserve"> nebo § 46 odst. 2 T</w:t>
      </w:r>
      <w:r w:rsidR="00F04D79" w:rsidRPr="00E943B1">
        <w:t>Z</w:t>
      </w:r>
      <w:r w:rsidRPr="00E943B1">
        <w:t xml:space="preserve"> nemůže dojít obligatorně. Soud musí nezávisle na státním zástupci zvážit, zda byly </w:t>
      </w:r>
      <w:r w:rsidRPr="00897B70">
        <w:t>splněny</w:t>
      </w:r>
      <w:r w:rsidRPr="00E943B1">
        <w:t xml:space="preserve"> zákonné podmínky pro aplikaci těchto ustanovení. Ustanovení § 41 písm. </w:t>
      </w:r>
      <w:r w:rsidR="00792AD1" w:rsidRPr="00E943B1">
        <w:t>n) se pak uplatní v</w:t>
      </w:r>
      <w:r w:rsidR="00E262D2">
        <w:t xml:space="preserve"> </w:t>
      </w:r>
      <w:r w:rsidR="00792AD1" w:rsidRPr="00E943B1">
        <w:t>situacích, kdy nebyly splněny podmínky pro aplikaci výše uvedených ustanovení. Soud pak zhodnotí spolupráci obviněného jakožto obecně polehčující okolnost.</w:t>
      </w:r>
      <w:r w:rsidRPr="00E943B1">
        <w:rPr>
          <w:rStyle w:val="Znakapoznpodarou"/>
        </w:rPr>
        <w:footnoteReference w:id="37"/>
      </w:r>
    </w:p>
    <w:p w14:paraId="2AA9374E" w14:textId="17FE6C65" w:rsidR="004C4CEB" w:rsidRPr="00E943B1" w:rsidRDefault="004C4CEB" w:rsidP="00897B70">
      <w:pPr>
        <w:pStyle w:val="format"/>
      </w:pPr>
      <w:r w:rsidRPr="00E943B1">
        <w:t xml:space="preserve">Jak již bylo </w:t>
      </w:r>
      <w:r w:rsidR="00ED1F13">
        <w:t>zdůrazněno,</w:t>
      </w:r>
      <w:r w:rsidRPr="00E943B1">
        <w:t xml:space="preserve"> pouhé splnění podmínek dle § 178a TŘ nestačí</w:t>
      </w:r>
      <w:r w:rsidR="00A64B23">
        <w:t xml:space="preserve"> k tomu</w:t>
      </w:r>
      <w:r w:rsidRPr="00E943B1">
        <w:t>, aby došlo k</w:t>
      </w:r>
      <w:r w:rsidR="00E262D2">
        <w:t xml:space="preserve"> </w:t>
      </w:r>
      <w:r w:rsidRPr="00E943B1">
        <w:t>aplikaci § 46 odst. 2 TR. Jsou zde stanoveny tři podmínky, které musí být splněny kumulativně. Jedná se o tyto podmínky:</w:t>
      </w:r>
    </w:p>
    <w:p w14:paraId="38BB6807" w14:textId="77777777" w:rsidR="004C4CEB" w:rsidRPr="00897B70" w:rsidRDefault="004C4CEB" w:rsidP="003A78D1">
      <w:pPr>
        <w:pStyle w:val="format"/>
        <w:numPr>
          <w:ilvl w:val="0"/>
          <w:numId w:val="8"/>
        </w:numPr>
        <w:rPr>
          <w:i/>
        </w:rPr>
      </w:pPr>
      <w:r w:rsidRPr="00897B70">
        <w:rPr>
          <w:i/>
        </w:rPr>
        <w:t>„pachatel musí být označen jako spolupracující obviněný,</w:t>
      </w:r>
    </w:p>
    <w:p w14:paraId="0892B355" w14:textId="77777777" w:rsidR="004C4CEB" w:rsidRPr="00897B70" w:rsidRDefault="004C4CEB" w:rsidP="003A78D1">
      <w:pPr>
        <w:pStyle w:val="format"/>
        <w:numPr>
          <w:ilvl w:val="0"/>
          <w:numId w:val="8"/>
        </w:numPr>
        <w:rPr>
          <w:i/>
        </w:rPr>
      </w:pPr>
      <w:r w:rsidRPr="00897B70">
        <w:rPr>
          <w:i/>
        </w:rPr>
        <w:t>byly splněny podmínky dle § 178a odst. 1 a 2 TŘ,</w:t>
      </w:r>
    </w:p>
    <w:p w14:paraId="7EF66EBC" w14:textId="1FF57E27" w:rsidR="00792AD1" w:rsidRPr="00E943B1" w:rsidRDefault="004C4CEB" w:rsidP="003A78D1">
      <w:pPr>
        <w:pStyle w:val="format"/>
        <w:numPr>
          <w:ilvl w:val="0"/>
          <w:numId w:val="8"/>
        </w:numPr>
      </w:pPr>
      <w:r w:rsidRPr="00897B70">
        <w:rPr>
          <w:i/>
        </w:rPr>
        <w:t>spolupracující obviněný jak v</w:t>
      </w:r>
      <w:r w:rsidR="00E262D2" w:rsidRPr="00897B70">
        <w:rPr>
          <w:i/>
        </w:rPr>
        <w:t xml:space="preserve"> </w:t>
      </w:r>
      <w:r w:rsidRPr="00897B70">
        <w:rPr>
          <w:i/>
        </w:rPr>
        <w:t>přípravném řízení, tak v</w:t>
      </w:r>
      <w:r w:rsidR="00E262D2" w:rsidRPr="00897B70">
        <w:rPr>
          <w:i/>
        </w:rPr>
        <w:t xml:space="preserve"> </w:t>
      </w:r>
      <w:r w:rsidRPr="00897B70">
        <w:rPr>
          <w:i/>
        </w:rPr>
        <w:t>řízení před soudem podal úplnou a</w:t>
      </w:r>
      <w:r w:rsidR="00322FEF">
        <w:rPr>
          <w:i/>
        </w:rPr>
        <w:t> </w:t>
      </w:r>
      <w:r w:rsidRPr="00897B70">
        <w:rPr>
          <w:i/>
        </w:rPr>
        <w:t>pravdivou výpověď o skutečnostech, které jsou způsobilé významně přispět k</w:t>
      </w:r>
      <w:r w:rsidR="00E262D2" w:rsidRPr="00897B70">
        <w:rPr>
          <w:i/>
        </w:rPr>
        <w:t xml:space="preserve"> </w:t>
      </w:r>
      <w:r w:rsidRPr="00897B70">
        <w:rPr>
          <w:i/>
        </w:rPr>
        <w:t>objasnění zločinu spáchaného členy organizované skupiny, ve spojení s</w:t>
      </w:r>
      <w:r w:rsidR="00E262D2" w:rsidRPr="00897B70">
        <w:rPr>
          <w:i/>
        </w:rPr>
        <w:t xml:space="preserve"> </w:t>
      </w:r>
      <w:r w:rsidRPr="00897B70">
        <w:rPr>
          <w:i/>
        </w:rPr>
        <w:t>organizovanou skupinou nebo ve prospěch organizované zločinecké skupiny“</w:t>
      </w:r>
      <w:r w:rsidR="00787774">
        <w:rPr>
          <w:i/>
        </w:rPr>
        <w:t>.</w:t>
      </w:r>
      <w:r w:rsidRPr="00897B70">
        <w:rPr>
          <w:rStyle w:val="Znakapoznpodarou"/>
          <w:iCs/>
        </w:rPr>
        <w:footnoteReference w:id="38"/>
      </w:r>
    </w:p>
    <w:p w14:paraId="4F031E9A" w14:textId="098935C6" w:rsidR="004C4CEB" w:rsidRPr="00E943B1" w:rsidRDefault="00677D3C" w:rsidP="00897B70">
      <w:pPr>
        <w:pStyle w:val="format"/>
      </w:pPr>
      <w:r>
        <w:t>Jmenované</w:t>
      </w:r>
      <w:r w:rsidR="00787774" w:rsidRPr="00E943B1">
        <w:t xml:space="preserve"> </w:t>
      </w:r>
      <w:r w:rsidR="004C4CEB" w:rsidRPr="00E943B1">
        <w:t>podmínky jsou pak totožné s</w:t>
      </w:r>
      <w:r w:rsidR="00E262D2">
        <w:t xml:space="preserve"> </w:t>
      </w:r>
      <w:r w:rsidR="004C4CEB" w:rsidRPr="00E943B1">
        <w:t xml:space="preserve">podmínkami pro uplatnění § 58 odst. 5 TZ. Rozdíl </w:t>
      </w:r>
      <w:r w:rsidR="00DE5C97" w:rsidRPr="00E943B1">
        <w:t>je dán v</w:t>
      </w:r>
      <w:r w:rsidR="00E262D2">
        <w:t xml:space="preserve"> </w:t>
      </w:r>
      <w:r w:rsidR="00DE5C97" w:rsidRPr="00E943B1">
        <w:t>samotném ustanovení § 46 odst. 2 věta druhá, kde je uvedeno, za jakých podmínek nelze přistoupit k</w:t>
      </w:r>
      <w:r w:rsidR="00E262D2">
        <w:t xml:space="preserve"> </w:t>
      </w:r>
      <w:r w:rsidR="00DE5C97" w:rsidRPr="00E943B1">
        <w:t>upuštění od potrestání. Podmínky, za kterých nelze přistoupit k</w:t>
      </w:r>
      <w:r w:rsidR="00322FEF">
        <w:t> </w:t>
      </w:r>
      <w:r w:rsidR="00DE5C97" w:rsidRPr="00E943B1">
        <w:t>upuštění</w:t>
      </w:r>
      <w:r w:rsidR="00AB38AF">
        <w:t>,</w:t>
      </w:r>
      <w:r w:rsidR="00DE5C97" w:rsidRPr="00E943B1">
        <w:t xml:space="preserve"> jsou </w:t>
      </w:r>
      <w:r w:rsidR="00AB38AF">
        <w:t>tyto</w:t>
      </w:r>
      <w:r w:rsidR="00897B70">
        <w:t>:</w:t>
      </w:r>
    </w:p>
    <w:p w14:paraId="45B9E0F9" w14:textId="55E95AAC" w:rsidR="00DE5C97" w:rsidRPr="00897B70" w:rsidRDefault="00401D26" w:rsidP="003A78D1">
      <w:pPr>
        <w:pStyle w:val="format"/>
        <w:numPr>
          <w:ilvl w:val="0"/>
          <w:numId w:val="9"/>
        </w:numPr>
        <w:rPr>
          <w:i/>
        </w:rPr>
      </w:pPr>
      <w:r w:rsidRPr="00897B70">
        <w:rPr>
          <w:i/>
        </w:rPr>
        <w:t>„</w:t>
      </w:r>
      <w:r w:rsidR="00DE5C97" w:rsidRPr="00897B70">
        <w:rPr>
          <w:i/>
        </w:rPr>
        <w:t>trestný čin spáchaný pachatelem je závaznější než zločin, k</w:t>
      </w:r>
      <w:r w:rsidR="00E262D2" w:rsidRPr="00897B70">
        <w:rPr>
          <w:i/>
        </w:rPr>
        <w:t xml:space="preserve"> </w:t>
      </w:r>
      <w:r w:rsidR="00DE5C97" w:rsidRPr="00897B70">
        <w:rPr>
          <w:i/>
        </w:rPr>
        <w:t>jehož objasnění přispěl,</w:t>
      </w:r>
    </w:p>
    <w:p w14:paraId="06F880EF" w14:textId="145499CB" w:rsidR="00DE5C97" w:rsidRPr="00897B70" w:rsidRDefault="00DE5C97" w:rsidP="003A78D1">
      <w:pPr>
        <w:pStyle w:val="format"/>
        <w:numPr>
          <w:ilvl w:val="0"/>
          <w:numId w:val="9"/>
        </w:numPr>
        <w:rPr>
          <w:i/>
        </w:rPr>
      </w:pPr>
      <w:r w:rsidRPr="00897B70">
        <w:rPr>
          <w:i/>
        </w:rPr>
        <w:t>jestliže se pachatel podílel jako organizátor nebo návodce na spáchání zločinu, k</w:t>
      </w:r>
      <w:r w:rsidR="00E262D2" w:rsidRPr="00897B70">
        <w:rPr>
          <w:i/>
        </w:rPr>
        <w:t xml:space="preserve"> </w:t>
      </w:r>
      <w:r w:rsidRPr="00897B70">
        <w:rPr>
          <w:i/>
        </w:rPr>
        <w:t>jehož objasnění přispěl,</w:t>
      </w:r>
    </w:p>
    <w:p w14:paraId="204285E9" w14:textId="577195AE" w:rsidR="00B247E4" w:rsidRPr="00897B70" w:rsidRDefault="00DE5C97" w:rsidP="003A78D1">
      <w:pPr>
        <w:pStyle w:val="format"/>
        <w:numPr>
          <w:ilvl w:val="0"/>
          <w:numId w:val="9"/>
        </w:numPr>
        <w:rPr>
          <w:i/>
        </w:rPr>
      </w:pPr>
      <w:r w:rsidRPr="00897B70">
        <w:rPr>
          <w:i/>
        </w:rPr>
        <w:t>jestliže pachatel svým trestným činem způsobil úmyslně těžkou újmu na zdraví nebo smrt, nebo</w:t>
      </w:r>
    </w:p>
    <w:p w14:paraId="1F658A37" w14:textId="058EE618" w:rsidR="00DE5C97" w:rsidRPr="00E943B1" w:rsidRDefault="00DE5C97" w:rsidP="003A78D1">
      <w:pPr>
        <w:pStyle w:val="format"/>
        <w:numPr>
          <w:ilvl w:val="0"/>
          <w:numId w:val="9"/>
        </w:numPr>
      </w:pPr>
      <w:r w:rsidRPr="00897B70">
        <w:rPr>
          <w:i/>
        </w:rPr>
        <w:t xml:space="preserve">jsou-li dány důvody pro mimořádné </w:t>
      </w:r>
      <w:r w:rsidR="002D4F81" w:rsidRPr="00897B70">
        <w:rPr>
          <w:i/>
        </w:rPr>
        <w:t>zvýšení trestu odnětí svobody podle § 59 TZ</w:t>
      </w:r>
      <w:r w:rsidR="00401D26" w:rsidRPr="00897B70">
        <w:rPr>
          <w:i/>
        </w:rPr>
        <w:t>“</w:t>
      </w:r>
      <w:r w:rsidR="002B12FF">
        <w:rPr>
          <w:i/>
        </w:rPr>
        <w:t>.</w:t>
      </w:r>
      <w:r w:rsidR="00401D26" w:rsidRPr="00897B70">
        <w:rPr>
          <w:rStyle w:val="Znakapoznpodarou"/>
          <w:iCs/>
        </w:rPr>
        <w:footnoteReference w:id="39"/>
      </w:r>
    </w:p>
    <w:p w14:paraId="157425BE" w14:textId="71D1B518" w:rsidR="002D4F81" w:rsidRPr="00E943B1" w:rsidRDefault="00401D26" w:rsidP="00897B70">
      <w:pPr>
        <w:pStyle w:val="format"/>
      </w:pPr>
      <w:r w:rsidRPr="00E943B1">
        <w:t>Na základě výše zmíněných podmínek pro aplikaci ustanovení § 46 odst. 2 lze dojít k</w:t>
      </w:r>
      <w:r w:rsidR="00322FEF">
        <w:t> </w:t>
      </w:r>
      <w:r w:rsidRPr="00E943B1">
        <w:t>závěru, že pokud nelze aplikovat toto ustanovení</w:t>
      </w:r>
      <w:r w:rsidR="002B12FF">
        <w:t>,</w:t>
      </w:r>
      <w:r w:rsidRPr="00E943B1">
        <w:t xml:space="preserve"> pak nastupuje aplikace ustanovení § 58 odst.</w:t>
      </w:r>
      <w:r w:rsidR="00322FEF">
        <w:t> </w:t>
      </w:r>
      <w:r w:rsidRPr="00E943B1">
        <w:t xml:space="preserve">5 TZ. Pokud nelze aplikovat ani jedno ustanovení (na základě nesplnění podmínek), lze spolupráci obviněného posoudit jako obecně polehčující okolnost dle § 41 písm. </w:t>
      </w:r>
      <w:r w:rsidR="00F04D79" w:rsidRPr="00E943B1">
        <w:t>m</w:t>
      </w:r>
      <w:r w:rsidRPr="00E943B1">
        <w:t>) TZ</w:t>
      </w:r>
      <w:r w:rsidR="00F04D79" w:rsidRPr="00E943B1">
        <w:t xml:space="preserve">, </w:t>
      </w:r>
      <w:r w:rsidR="00F04D79" w:rsidRPr="00E943B1">
        <w:lastRenderedPageBreak/>
        <w:t>popřípadě jiný důvod pro mimořádné snížení trestu dle §58 TZ,</w:t>
      </w:r>
      <w:r w:rsidRPr="00E943B1">
        <w:t xml:space="preserve"> </w:t>
      </w:r>
      <w:r w:rsidR="00F04D79" w:rsidRPr="00E943B1">
        <w:t>což dovodil i Krajský soud v</w:t>
      </w:r>
      <w:r w:rsidR="005F4278">
        <w:t> </w:t>
      </w:r>
      <w:r w:rsidR="00F04D79" w:rsidRPr="00E943B1">
        <w:t>Hradci Králové ve sv</w:t>
      </w:r>
      <w:r w:rsidR="00897B70">
        <w:t xml:space="preserve">ém rozsudku ze dne 31. </w:t>
      </w:r>
      <w:r w:rsidR="002B12FF">
        <w:t>srpna</w:t>
      </w:r>
      <w:r w:rsidR="00897B70">
        <w:t xml:space="preserve"> 2021.</w:t>
      </w:r>
    </w:p>
    <w:p w14:paraId="3D4CA7D5" w14:textId="318FD7EF" w:rsidR="00F04D79" w:rsidRPr="00E943B1" w:rsidRDefault="00F04D79" w:rsidP="00897B70">
      <w:pPr>
        <w:pStyle w:val="format"/>
        <w:rPr>
          <w:i/>
          <w:iCs/>
        </w:rPr>
      </w:pPr>
      <w:r w:rsidRPr="00E943B1">
        <w:rPr>
          <w:i/>
          <w:iCs/>
        </w:rPr>
        <w:t>„</w:t>
      </w:r>
      <w:r w:rsidRPr="00E943B1">
        <w:rPr>
          <w:i/>
          <w:iCs/>
          <w:color w:val="000000"/>
        </w:rPr>
        <w:t>Ustanovení</w:t>
      </w:r>
      <w:r w:rsidR="00E262D2">
        <w:rPr>
          <w:i/>
          <w:iCs/>
          <w:color w:val="000000"/>
        </w:rPr>
        <w:t xml:space="preserve"> </w:t>
      </w:r>
      <w:r w:rsidRPr="00E943B1">
        <w:rPr>
          <w:i/>
          <w:iCs/>
        </w:rPr>
        <w:t>§ 58 TZ</w:t>
      </w:r>
      <w:r w:rsidRPr="00E943B1">
        <w:rPr>
          <w:i/>
          <w:iCs/>
          <w:color w:val="000000"/>
        </w:rPr>
        <w:t xml:space="preserve"> o</w:t>
      </w:r>
      <w:r w:rsidR="00E262D2">
        <w:rPr>
          <w:i/>
          <w:iCs/>
          <w:color w:val="000000"/>
        </w:rPr>
        <w:t xml:space="preserve"> </w:t>
      </w:r>
      <w:r w:rsidRPr="00E943B1">
        <w:rPr>
          <w:i/>
          <w:iCs/>
          <w:color w:val="000000"/>
        </w:rPr>
        <w:t>mimořádném snížení trestu odnětí svobody nelze užít, pokud státní zástupce neoznačil</w:t>
      </w:r>
      <w:r w:rsidR="00E262D2">
        <w:rPr>
          <w:i/>
          <w:iCs/>
          <w:color w:val="000000"/>
        </w:rPr>
        <w:t xml:space="preserve"> </w:t>
      </w:r>
      <w:bookmarkStart w:id="19" w:name="highlightHit_2"/>
      <w:bookmarkEnd w:id="19"/>
      <w:r w:rsidRPr="00E943B1">
        <w:rPr>
          <w:rStyle w:val="highlight-disabled"/>
          <w:i/>
          <w:iCs/>
          <w:color w:val="000000"/>
        </w:rPr>
        <w:t>obviněného</w:t>
      </w:r>
      <w:r w:rsidR="00E262D2">
        <w:rPr>
          <w:i/>
          <w:iCs/>
          <w:color w:val="000000"/>
        </w:rPr>
        <w:t xml:space="preserve"> </w:t>
      </w:r>
      <w:r w:rsidRPr="00E943B1">
        <w:rPr>
          <w:i/>
          <w:iCs/>
          <w:color w:val="000000"/>
        </w:rPr>
        <w:t>za</w:t>
      </w:r>
      <w:r w:rsidR="00E262D2">
        <w:rPr>
          <w:i/>
          <w:iCs/>
          <w:color w:val="000000"/>
        </w:rPr>
        <w:t xml:space="preserve"> </w:t>
      </w:r>
      <w:bookmarkStart w:id="20" w:name="highlightHit_3"/>
      <w:bookmarkEnd w:id="20"/>
      <w:r w:rsidRPr="00E943B1">
        <w:rPr>
          <w:rStyle w:val="highlight-disabled"/>
          <w:i/>
          <w:iCs/>
          <w:color w:val="000000"/>
        </w:rPr>
        <w:t>spolupracujícího</w:t>
      </w:r>
      <w:r w:rsidR="00E262D2">
        <w:rPr>
          <w:i/>
          <w:iCs/>
          <w:color w:val="000000"/>
        </w:rPr>
        <w:t xml:space="preserve"> </w:t>
      </w:r>
      <w:r w:rsidRPr="00E943B1">
        <w:rPr>
          <w:i/>
          <w:iCs/>
          <w:color w:val="000000"/>
        </w:rPr>
        <w:t>ve smyslu</w:t>
      </w:r>
      <w:r w:rsidR="00E262D2">
        <w:rPr>
          <w:i/>
          <w:iCs/>
          <w:color w:val="000000"/>
        </w:rPr>
        <w:t xml:space="preserve"> </w:t>
      </w:r>
      <w:hyperlink r:id="rId8" w:history="1">
        <w:r w:rsidRPr="00E943B1">
          <w:rPr>
            <w:rStyle w:val="Hypertextovodkaz"/>
            <w:i/>
            <w:iCs/>
            <w:color w:val="000000"/>
            <w:u w:val="none"/>
          </w:rPr>
          <w:t>§</w:t>
        </w:r>
        <w:r w:rsidR="00E262D2">
          <w:rPr>
            <w:rStyle w:val="Hypertextovodkaz"/>
            <w:i/>
            <w:iCs/>
            <w:color w:val="000000"/>
            <w:u w:val="none"/>
          </w:rPr>
          <w:t xml:space="preserve"> </w:t>
        </w:r>
        <w:r w:rsidRPr="00E943B1">
          <w:rPr>
            <w:rStyle w:val="Hypertextovodkaz"/>
            <w:i/>
            <w:iCs/>
            <w:color w:val="000000"/>
            <w:u w:val="none"/>
          </w:rPr>
          <w:t>178a tr. ř.</w:t>
        </w:r>
      </w:hyperlink>
      <w:r w:rsidR="00E262D2">
        <w:rPr>
          <w:i/>
          <w:iCs/>
          <w:color w:val="000000"/>
        </w:rPr>
        <w:t xml:space="preserve"> </w:t>
      </w:r>
      <w:r w:rsidRPr="00E943B1">
        <w:rPr>
          <w:i/>
          <w:iCs/>
          <w:color w:val="000000"/>
        </w:rPr>
        <w:t>Případnou spolupráci</w:t>
      </w:r>
      <w:r w:rsidR="00E262D2">
        <w:rPr>
          <w:i/>
          <w:iCs/>
          <w:color w:val="000000"/>
        </w:rPr>
        <w:t xml:space="preserve"> </w:t>
      </w:r>
      <w:r w:rsidRPr="00E943B1">
        <w:rPr>
          <w:rStyle w:val="highlight-disabled"/>
          <w:i/>
          <w:iCs/>
          <w:color w:val="000000"/>
        </w:rPr>
        <w:t>obviněného</w:t>
      </w:r>
      <w:r w:rsidR="00E262D2">
        <w:rPr>
          <w:i/>
          <w:iCs/>
          <w:color w:val="000000"/>
        </w:rPr>
        <w:t xml:space="preserve"> </w:t>
      </w:r>
      <w:r w:rsidRPr="00E943B1">
        <w:rPr>
          <w:i/>
          <w:iCs/>
          <w:color w:val="000000"/>
        </w:rPr>
        <w:t>s</w:t>
      </w:r>
      <w:r w:rsidR="00E262D2">
        <w:rPr>
          <w:i/>
          <w:iCs/>
          <w:color w:val="000000"/>
        </w:rPr>
        <w:t xml:space="preserve"> </w:t>
      </w:r>
      <w:r w:rsidRPr="00E943B1">
        <w:rPr>
          <w:i/>
          <w:iCs/>
          <w:color w:val="000000"/>
        </w:rPr>
        <w:t>orgány činnými v</w:t>
      </w:r>
      <w:r w:rsidR="00E262D2">
        <w:rPr>
          <w:i/>
          <w:iCs/>
          <w:color w:val="000000"/>
        </w:rPr>
        <w:t xml:space="preserve"> </w:t>
      </w:r>
      <w:r w:rsidRPr="00E943B1">
        <w:rPr>
          <w:i/>
          <w:iCs/>
          <w:color w:val="000000"/>
        </w:rPr>
        <w:t>trestním řízení pak lze zohlednit při úvaze o</w:t>
      </w:r>
      <w:r w:rsidR="00E262D2">
        <w:rPr>
          <w:i/>
          <w:iCs/>
          <w:color w:val="000000"/>
        </w:rPr>
        <w:t xml:space="preserve"> </w:t>
      </w:r>
      <w:r w:rsidRPr="00E943B1">
        <w:rPr>
          <w:i/>
          <w:iCs/>
          <w:color w:val="000000"/>
        </w:rPr>
        <w:t>druhu a</w:t>
      </w:r>
      <w:r w:rsidR="00E262D2">
        <w:rPr>
          <w:i/>
          <w:iCs/>
          <w:color w:val="000000"/>
        </w:rPr>
        <w:t xml:space="preserve"> </w:t>
      </w:r>
      <w:r w:rsidRPr="00E943B1">
        <w:rPr>
          <w:i/>
          <w:iCs/>
          <w:color w:val="000000"/>
        </w:rPr>
        <w:t>výměře trestu jako polehčující okolnost podle</w:t>
      </w:r>
      <w:r w:rsidR="00E262D2">
        <w:rPr>
          <w:i/>
          <w:iCs/>
          <w:color w:val="000000"/>
        </w:rPr>
        <w:t xml:space="preserve"> </w:t>
      </w:r>
      <w:hyperlink r:id="rId9" w:history="1">
        <w:r w:rsidRPr="00E943B1">
          <w:rPr>
            <w:rStyle w:val="Hypertextovodkaz"/>
            <w:i/>
            <w:iCs/>
            <w:color w:val="000000"/>
            <w:u w:val="none"/>
          </w:rPr>
          <w:t>§</w:t>
        </w:r>
        <w:r w:rsidR="00E262D2">
          <w:rPr>
            <w:rStyle w:val="Hypertextovodkaz"/>
            <w:i/>
            <w:iCs/>
            <w:color w:val="000000"/>
            <w:u w:val="none"/>
          </w:rPr>
          <w:t xml:space="preserve"> </w:t>
        </w:r>
        <w:r w:rsidRPr="00E943B1">
          <w:rPr>
            <w:rStyle w:val="Hypertextovodkaz"/>
            <w:i/>
            <w:iCs/>
            <w:color w:val="000000"/>
            <w:u w:val="none"/>
          </w:rPr>
          <w:t>41 tr. zákoníku</w:t>
        </w:r>
      </w:hyperlink>
      <w:r w:rsidR="00E262D2">
        <w:rPr>
          <w:i/>
          <w:iCs/>
          <w:color w:val="000000"/>
        </w:rPr>
        <w:t xml:space="preserve"> </w:t>
      </w:r>
      <w:r w:rsidRPr="00E943B1">
        <w:rPr>
          <w:i/>
          <w:iCs/>
          <w:color w:val="000000"/>
        </w:rPr>
        <w:t>nebo jako jiný důvod pro mimořádné snížení trestu odnětí svobody podle</w:t>
      </w:r>
      <w:r w:rsidR="00E262D2">
        <w:rPr>
          <w:i/>
          <w:iCs/>
          <w:color w:val="000000"/>
        </w:rPr>
        <w:t xml:space="preserve"> </w:t>
      </w:r>
      <w:r w:rsidRPr="00E943B1">
        <w:rPr>
          <w:i/>
          <w:iCs/>
        </w:rPr>
        <w:t>§</w:t>
      </w:r>
      <w:r w:rsidR="00E262D2">
        <w:rPr>
          <w:i/>
          <w:iCs/>
        </w:rPr>
        <w:t xml:space="preserve"> </w:t>
      </w:r>
      <w:r w:rsidRPr="00E943B1">
        <w:rPr>
          <w:i/>
          <w:iCs/>
        </w:rPr>
        <w:t>58 TZ</w:t>
      </w:r>
      <w:r w:rsidR="00897B70">
        <w:rPr>
          <w:i/>
          <w:iCs/>
        </w:rPr>
        <w:t>.</w:t>
      </w:r>
      <w:r w:rsidRPr="00E943B1">
        <w:rPr>
          <w:i/>
          <w:iCs/>
        </w:rPr>
        <w:t>“</w:t>
      </w:r>
      <w:r w:rsidRPr="00897B70">
        <w:rPr>
          <w:rStyle w:val="Znakapoznpodarou"/>
          <w:iCs/>
        </w:rPr>
        <w:footnoteReference w:id="40"/>
      </w:r>
    </w:p>
    <w:p w14:paraId="7A5CFEDF" w14:textId="0026AB7E" w:rsidR="00BF3958" w:rsidRPr="00E943B1" w:rsidRDefault="00CA7D7D" w:rsidP="00897B70">
      <w:pPr>
        <w:pStyle w:val="format"/>
      </w:pPr>
      <w:r w:rsidRPr="00E943B1">
        <w:t xml:space="preserve">Pokud </w:t>
      </w:r>
      <w:r w:rsidR="00BF3958" w:rsidRPr="00E943B1">
        <w:t xml:space="preserve">však </w:t>
      </w:r>
      <w:r w:rsidRPr="00E943B1">
        <w:t>dojde k</w:t>
      </w:r>
      <w:r w:rsidR="00E262D2">
        <w:t xml:space="preserve"> </w:t>
      </w:r>
      <w:r w:rsidRPr="00E943B1">
        <w:t>označení obviněného za spolupracujícího obviněného, nelze pak v</w:t>
      </w:r>
      <w:r w:rsidR="005F4278">
        <w:t> </w:t>
      </w:r>
      <w:r w:rsidRPr="00E943B1">
        <w:t xml:space="preserve">rámci uložení výměry uvažovat o zvýšení horní sazby trestu dle § 108 odst. 1. Tím pádem nelze ani uvažovat o umístění do věznice se zvýšenou ostrahou dle § 56 odst. 2 b) TZ, což dokládá </w:t>
      </w:r>
      <w:r w:rsidR="00034D2E">
        <w:t>i</w:t>
      </w:r>
      <w:r w:rsidR="005F4278">
        <w:t> </w:t>
      </w:r>
      <w:r w:rsidR="00B76609" w:rsidRPr="00E943B1">
        <w:t>rozsud</w:t>
      </w:r>
      <w:r w:rsidR="00B76609">
        <w:t>ek</w:t>
      </w:r>
      <w:r w:rsidR="00B76609" w:rsidRPr="00E943B1">
        <w:t xml:space="preserve"> </w:t>
      </w:r>
      <w:r w:rsidRPr="00E943B1">
        <w:t xml:space="preserve">Nejvyššího soudu ze dne 19. </w:t>
      </w:r>
      <w:r w:rsidR="00034D2E">
        <w:t>června</w:t>
      </w:r>
      <w:r w:rsidRPr="00E943B1">
        <w:t xml:space="preserve"> 2018.</w:t>
      </w:r>
    </w:p>
    <w:p w14:paraId="23D8A19F" w14:textId="2F5471B3" w:rsidR="00CA7D7D" w:rsidRPr="00E943B1" w:rsidRDefault="00CA7D7D" w:rsidP="00897B70">
      <w:pPr>
        <w:pStyle w:val="format"/>
        <w:rPr>
          <w:i/>
          <w:iCs/>
        </w:rPr>
      </w:pPr>
      <w:r w:rsidRPr="00897B70">
        <w:rPr>
          <w:i/>
        </w:rPr>
        <w:t>„</w:t>
      </w:r>
      <w:r w:rsidRPr="00E943B1">
        <w:rPr>
          <w:i/>
          <w:iCs/>
        </w:rPr>
        <w:t>Spolupracujícímu obviněnému (§</w:t>
      </w:r>
      <w:r w:rsidR="00E262D2">
        <w:rPr>
          <w:i/>
          <w:iCs/>
        </w:rPr>
        <w:t xml:space="preserve"> </w:t>
      </w:r>
      <w:r w:rsidRPr="00E943B1">
        <w:rPr>
          <w:i/>
          <w:iCs/>
        </w:rPr>
        <w:t>178a tr. ř.) je nutno trest odnětí svobody podle</w:t>
      </w:r>
      <w:r w:rsidR="00E262D2">
        <w:rPr>
          <w:i/>
          <w:iCs/>
        </w:rPr>
        <w:t xml:space="preserve"> </w:t>
      </w:r>
      <w:r w:rsidRPr="00E943B1">
        <w:rPr>
          <w:i/>
          <w:iCs/>
        </w:rPr>
        <w:t>§</w:t>
      </w:r>
      <w:r w:rsidR="00E262D2">
        <w:rPr>
          <w:i/>
          <w:iCs/>
        </w:rPr>
        <w:t xml:space="preserve"> </w:t>
      </w:r>
      <w:r w:rsidRPr="00E943B1">
        <w:rPr>
          <w:i/>
          <w:iCs/>
        </w:rPr>
        <w:t>58</w:t>
      </w:r>
      <w:r w:rsidR="00E262D2">
        <w:rPr>
          <w:i/>
          <w:iCs/>
        </w:rPr>
        <w:t xml:space="preserve"> </w:t>
      </w:r>
      <w:r w:rsidRPr="00E943B1">
        <w:rPr>
          <w:i/>
          <w:iCs/>
        </w:rPr>
        <w:t>odst. 4 tr. zákoníku uložit pod dolní hranicí trestní sazby trestného činu, i</w:t>
      </w:r>
      <w:r w:rsidR="00E262D2">
        <w:rPr>
          <w:i/>
          <w:iCs/>
        </w:rPr>
        <w:t xml:space="preserve"> </w:t>
      </w:r>
      <w:r w:rsidRPr="00E943B1">
        <w:rPr>
          <w:i/>
          <w:iCs/>
        </w:rPr>
        <w:t>když jej spáchal ve</w:t>
      </w:r>
      <w:r w:rsidR="005F4278">
        <w:rPr>
          <w:i/>
          <w:iCs/>
        </w:rPr>
        <w:t> </w:t>
      </w:r>
      <w:r w:rsidRPr="00E943B1">
        <w:rPr>
          <w:i/>
          <w:iCs/>
        </w:rPr>
        <w:t>prospěch organizované zločinecké skupiny. Ustanovení o</w:t>
      </w:r>
      <w:r w:rsidR="00E262D2">
        <w:rPr>
          <w:i/>
          <w:iCs/>
        </w:rPr>
        <w:t xml:space="preserve"> </w:t>
      </w:r>
      <w:r w:rsidRPr="00E943B1">
        <w:rPr>
          <w:i/>
          <w:iCs/>
        </w:rPr>
        <w:t>zvýšení horní hranice trestní sazby podle</w:t>
      </w:r>
      <w:r w:rsidR="00E262D2">
        <w:rPr>
          <w:i/>
          <w:iCs/>
        </w:rPr>
        <w:t xml:space="preserve"> </w:t>
      </w:r>
      <w:r w:rsidRPr="00E943B1">
        <w:rPr>
          <w:i/>
          <w:iCs/>
        </w:rPr>
        <w:t>§</w:t>
      </w:r>
      <w:r w:rsidR="00E262D2">
        <w:rPr>
          <w:i/>
          <w:iCs/>
        </w:rPr>
        <w:t xml:space="preserve"> </w:t>
      </w:r>
      <w:r w:rsidRPr="00E943B1">
        <w:rPr>
          <w:i/>
          <w:iCs/>
        </w:rPr>
        <w:t>108</w:t>
      </w:r>
      <w:r w:rsidR="00E262D2">
        <w:rPr>
          <w:i/>
          <w:iCs/>
        </w:rPr>
        <w:t xml:space="preserve"> </w:t>
      </w:r>
      <w:r w:rsidRPr="00E943B1">
        <w:rPr>
          <w:i/>
          <w:iCs/>
        </w:rPr>
        <w:t>odst. 1 tr. zákoníku se při ukládání trestu spolupracujícímu obviněnému vůbec neuplatní. Ustanovení</w:t>
      </w:r>
      <w:r w:rsidR="00E262D2">
        <w:rPr>
          <w:i/>
          <w:iCs/>
        </w:rPr>
        <w:t xml:space="preserve"> </w:t>
      </w:r>
      <w:r w:rsidRPr="00E943B1">
        <w:rPr>
          <w:i/>
          <w:iCs/>
        </w:rPr>
        <w:t>§</w:t>
      </w:r>
      <w:r w:rsidR="00E262D2">
        <w:rPr>
          <w:i/>
          <w:iCs/>
        </w:rPr>
        <w:t xml:space="preserve"> </w:t>
      </w:r>
      <w:r w:rsidRPr="00E943B1">
        <w:rPr>
          <w:i/>
          <w:iCs/>
        </w:rPr>
        <w:t>56</w:t>
      </w:r>
      <w:r w:rsidR="00E262D2">
        <w:rPr>
          <w:i/>
          <w:iCs/>
        </w:rPr>
        <w:t xml:space="preserve"> </w:t>
      </w:r>
      <w:r w:rsidRPr="00E943B1">
        <w:rPr>
          <w:i/>
          <w:iCs/>
        </w:rPr>
        <w:t>odst. 2 písm. b) tr. zákoníku, podle něhož se do věznice se zvýšenou ostrahou zpravidla zařadí pachatel, kterému byl uložen trest odnětí svobody za trestný čin spáchaný ve prospěch organizované zločinecké skupiny (§</w:t>
      </w:r>
      <w:r w:rsidR="00E262D2">
        <w:rPr>
          <w:i/>
          <w:iCs/>
        </w:rPr>
        <w:t xml:space="preserve"> </w:t>
      </w:r>
      <w:r w:rsidRPr="00E943B1">
        <w:rPr>
          <w:i/>
          <w:iCs/>
        </w:rPr>
        <w:t>108 tr. zákoníku), se neuplatní v</w:t>
      </w:r>
      <w:r w:rsidR="005F4278">
        <w:rPr>
          <w:i/>
          <w:iCs/>
        </w:rPr>
        <w:t> </w:t>
      </w:r>
      <w:r w:rsidRPr="00E943B1">
        <w:rPr>
          <w:i/>
          <w:iCs/>
        </w:rPr>
        <w:t>případě, kdy je trest ukládán spolupracujícímu obviněnému, neboť u</w:t>
      </w:r>
      <w:r w:rsidR="00E262D2">
        <w:rPr>
          <w:i/>
          <w:iCs/>
        </w:rPr>
        <w:t xml:space="preserve"> </w:t>
      </w:r>
      <w:r w:rsidRPr="00E943B1">
        <w:rPr>
          <w:i/>
          <w:iCs/>
        </w:rPr>
        <w:t>něj se při výměře trestu ustanovení</w:t>
      </w:r>
      <w:r w:rsidR="00E262D2">
        <w:rPr>
          <w:i/>
          <w:iCs/>
        </w:rPr>
        <w:t xml:space="preserve"> </w:t>
      </w:r>
      <w:r w:rsidRPr="00E943B1">
        <w:rPr>
          <w:i/>
          <w:iCs/>
        </w:rPr>
        <w:t>§</w:t>
      </w:r>
      <w:r w:rsidR="00E262D2">
        <w:rPr>
          <w:i/>
          <w:iCs/>
        </w:rPr>
        <w:t xml:space="preserve"> </w:t>
      </w:r>
      <w:r w:rsidRPr="00E943B1">
        <w:rPr>
          <w:i/>
          <w:iCs/>
        </w:rPr>
        <w:t>108 tr. zákoníku</w:t>
      </w:r>
      <w:r w:rsidR="00E262D2">
        <w:rPr>
          <w:i/>
          <w:iCs/>
        </w:rPr>
        <w:t xml:space="preserve"> </w:t>
      </w:r>
      <w:r w:rsidRPr="00E943B1">
        <w:rPr>
          <w:i/>
          <w:iCs/>
        </w:rPr>
        <w:t>neužije.“</w:t>
      </w:r>
      <w:r w:rsidRPr="00897B70">
        <w:rPr>
          <w:rStyle w:val="Znakapoznpodarou"/>
          <w:iCs/>
        </w:rPr>
        <w:footnoteReference w:id="41"/>
      </w:r>
    </w:p>
    <w:p w14:paraId="62623C7F" w14:textId="45AB9394" w:rsidR="00415FC5" w:rsidRPr="00E943B1" w:rsidRDefault="00415FC5" w:rsidP="00897B70">
      <w:pPr>
        <w:pStyle w:val="Nadpis3"/>
      </w:pPr>
      <w:bookmarkStart w:id="21" w:name="_Toc170638000"/>
      <w:r w:rsidRPr="00E943B1">
        <w:t>Novela zákonem č. 333/2020 Sb.</w:t>
      </w:r>
      <w:bookmarkEnd w:id="21"/>
    </w:p>
    <w:p w14:paraId="64B52521" w14:textId="24D7B2EB" w:rsidR="00415FC5" w:rsidRPr="00E943B1" w:rsidRDefault="00DB15F4" w:rsidP="00DE19E3">
      <w:pPr>
        <w:pStyle w:val="format"/>
      </w:pPr>
      <w:r w:rsidRPr="00E943B1">
        <w:t xml:space="preserve">Dne 6. </w:t>
      </w:r>
      <w:r w:rsidR="00E87C48">
        <w:t>srpna</w:t>
      </w:r>
      <w:r w:rsidRPr="00E943B1">
        <w:t xml:space="preserve"> 2020 byl vyhlášen zákon č. 333/2020 Sb., který nabyl účinnosti dne 1. </w:t>
      </w:r>
      <w:r w:rsidR="003158D1">
        <w:t>října</w:t>
      </w:r>
      <w:r w:rsidRPr="00E943B1">
        <w:t xml:space="preserve"> 2020. Tato novela </w:t>
      </w:r>
      <w:r w:rsidR="00DE19E3">
        <w:t>v</w:t>
      </w:r>
      <w:r w:rsidR="00DE19E3" w:rsidRPr="00E943B1">
        <w:t xml:space="preserve">nesla </w:t>
      </w:r>
      <w:r w:rsidR="00EC4D05" w:rsidRPr="00E943B1">
        <w:t xml:space="preserve">spoustu dílčích změn </w:t>
      </w:r>
      <w:r w:rsidR="00DE19E3">
        <w:t>jak</w:t>
      </w:r>
      <w:r w:rsidR="00DE19E3" w:rsidRPr="00E943B1">
        <w:t xml:space="preserve"> </w:t>
      </w:r>
      <w:r w:rsidR="00EC4D05" w:rsidRPr="00E943B1">
        <w:t>do trestního zákoníku</w:t>
      </w:r>
      <w:r w:rsidR="00DE19E3">
        <w:t>,</w:t>
      </w:r>
      <w:r w:rsidR="00EC4D05" w:rsidRPr="00E943B1">
        <w:t xml:space="preserve"> tak i do trestního řádu a</w:t>
      </w:r>
      <w:r w:rsidR="005F4278">
        <w:t> </w:t>
      </w:r>
      <w:r w:rsidR="00EC4D05" w:rsidRPr="00E943B1">
        <w:t xml:space="preserve">jiných právních předpisů. Jednou ze zásadnějších </w:t>
      </w:r>
      <w:r w:rsidR="00DE19E3">
        <w:t xml:space="preserve">změn </w:t>
      </w:r>
      <w:r w:rsidR="00EC4D05" w:rsidRPr="00E943B1">
        <w:t xml:space="preserve">bylo navýšení hranic u majetkových škod. Došlo ke zdvojnásobení předešlých hranic majetkové škody </w:t>
      </w:r>
      <w:r w:rsidR="00DE19E3">
        <w:t xml:space="preserve">– </w:t>
      </w:r>
      <w:r w:rsidR="00EC4D05" w:rsidRPr="00E943B1">
        <w:t xml:space="preserve">§ 138 </w:t>
      </w:r>
      <w:r w:rsidR="005C687E">
        <w:t>TZ</w:t>
      </w:r>
      <w:r w:rsidR="00765C96" w:rsidRPr="00E943B1">
        <w:t>.</w:t>
      </w:r>
      <w:r w:rsidR="00236614" w:rsidRPr="00E943B1">
        <w:t xml:space="preserve"> Například</w:t>
      </w:r>
      <w:r w:rsidR="00765C96" w:rsidRPr="00E943B1">
        <w:t xml:space="preserve"> </w:t>
      </w:r>
      <w:r w:rsidR="00236614" w:rsidRPr="00E943B1">
        <w:t>m</w:t>
      </w:r>
      <w:r w:rsidR="00EC4D05" w:rsidRPr="00E943B1">
        <w:t>ísto</w:t>
      </w:r>
      <w:r w:rsidR="005F4278">
        <w:t> </w:t>
      </w:r>
      <w:r w:rsidR="00EC4D05" w:rsidRPr="00E943B1">
        <w:t>předešlých 5</w:t>
      </w:r>
      <w:r w:rsidR="005F4278">
        <w:t> </w:t>
      </w:r>
      <w:r w:rsidR="005F6463">
        <w:t>000</w:t>
      </w:r>
      <w:r w:rsidR="00EC4D05" w:rsidRPr="00E943B1">
        <w:t xml:space="preserve"> Kč se </w:t>
      </w:r>
      <w:r w:rsidR="00123707">
        <w:t xml:space="preserve">nyní </w:t>
      </w:r>
      <w:r w:rsidR="00EC4D05" w:rsidRPr="00E943B1">
        <w:t xml:space="preserve">musí pachatel dopustit majetkové škody minimálně </w:t>
      </w:r>
      <w:r w:rsidR="00123707">
        <w:t xml:space="preserve">ve výši </w:t>
      </w:r>
      <w:r w:rsidR="00EC4D05" w:rsidRPr="00E943B1">
        <w:t>10</w:t>
      </w:r>
      <w:r w:rsidR="005F4278">
        <w:t> </w:t>
      </w:r>
      <w:r w:rsidR="00EC4D05" w:rsidRPr="00E943B1">
        <w:t xml:space="preserve">000 Kč, aby </w:t>
      </w:r>
      <w:r w:rsidR="008E66C9">
        <w:t xml:space="preserve">tak </w:t>
      </w:r>
      <w:r w:rsidR="00EC4D05" w:rsidRPr="00E943B1">
        <w:t>došlo k</w:t>
      </w:r>
      <w:r w:rsidR="00E262D2">
        <w:t xml:space="preserve"> </w:t>
      </w:r>
      <w:r w:rsidR="00EC4D05" w:rsidRPr="00E943B1">
        <w:t xml:space="preserve">naplnění minimální hranice „škody nikoli nepatrné“ dle § 138 </w:t>
      </w:r>
      <w:r w:rsidR="00DE19E3">
        <w:t>TZ</w:t>
      </w:r>
      <w:r w:rsidR="00897B70">
        <w:t>.</w:t>
      </w:r>
      <w:r w:rsidR="00765C96" w:rsidRPr="00E943B1">
        <w:rPr>
          <w:rStyle w:val="Znakapoznpodarou"/>
        </w:rPr>
        <w:footnoteReference w:id="42"/>
      </w:r>
      <w:r w:rsidR="00A27250" w:rsidRPr="00E943B1">
        <w:t xml:space="preserve"> </w:t>
      </w:r>
      <w:r w:rsidR="00A27250" w:rsidRPr="00E943B1">
        <w:lastRenderedPageBreak/>
        <w:t xml:space="preserve">Tuto konkrétní změnu </w:t>
      </w:r>
      <w:r w:rsidR="008E66C9" w:rsidRPr="00E943B1">
        <w:t xml:space="preserve">zajisté </w:t>
      </w:r>
      <w:r w:rsidR="00A27250" w:rsidRPr="00E943B1">
        <w:t>„přivítá“ spousta pachatelů, jelikož zajišťuje větší prostor pro příznivější tresty nebo posuzování skutku jako přestupku (</w:t>
      </w:r>
      <w:r w:rsidR="008E66C9">
        <w:t>je-li řeč</w:t>
      </w:r>
      <w:r w:rsidR="00897B70">
        <w:t xml:space="preserve"> o nejspodnější hranici).</w:t>
      </w:r>
    </w:p>
    <w:p w14:paraId="76C51182" w14:textId="06A1A010" w:rsidR="00A27250" w:rsidRPr="00E943B1" w:rsidRDefault="00A27250" w:rsidP="00897B70">
      <w:pPr>
        <w:pStyle w:val="format"/>
      </w:pPr>
      <w:r w:rsidRPr="00E943B1">
        <w:t>Předmětná novela však zajistila i nový způsob možnosti označení pachatele za spolupracujícího obviněného</w:t>
      </w:r>
      <w:r w:rsidR="008E66C9">
        <w:t>,</w:t>
      </w:r>
      <w:r w:rsidRPr="00E943B1">
        <w:t xml:space="preserve"> a to tím, že </w:t>
      </w:r>
      <w:r w:rsidR="00510747" w:rsidRPr="00E943B1">
        <w:t xml:space="preserve">do § 178a odst. 1 </w:t>
      </w:r>
      <w:r w:rsidR="008E66C9">
        <w:t>TZ</w:t>
      </w:r>
      <w:r w:rsidR="00510747" w:rsidRPr="00E943B1">
        <w:t xml:space="preserve"> za slovo „obžaloba“ </w:t>
      </w:r>
      <w:r w:rsidR="008E66C9">
        <w:t xml:space="preserve">vložila slovní spojení </w:t>
      </w:r>
      <w:r w:rsidR="00510747" w:rsidRPr="00E943B1">
        <w:t>„nebo v</w:t>
      </w:r>
      <w:r w:rsidR="00E262D2">
        <w:t xml:space="preserve"> </w:t>
      </w:r>
      <w:r w:rsidR="00510747" w:rsidRPr="00E943B1">
        <w:t>dohodě o vině a trestu“.</w:t>
      </w:r>
      <w:r w:rsidR="00510747" w:rsidRPr="00E943B1">
        <w:rPr>
          <w:rStyle w:val="Znakapoznpodarou"/>
        </w:rPr>
        <w:footnoteReference w:id="43"/>
      </w:r>
      <w:r w:rsidR="007B490C" w:rsidRPr="00E943B1">
        <w:t xml:space="preserve"> Nově může tedy dojít k</w:t>
      </w:r>
      <w:r w:rsidR="00E262D2">
        <w:t xml:space="preserve"> </w:t>
      </w:r>
      <w:r w:rsidR="007B490C" w:rsidRPr="00E943B1">
        <w:t>označení za spolupracujícího obviněného i při jednání o dohodě o vině a trestu dle §</w:t>
      </w:r>
      <w:r w:rsidR="00C967B9">
        <w:t xml:space="preserve"> 175a</w:t>
      </w:r>
      <w:r w:rsidR="007B490C" w:rsidRPr="00E943B1">
        <w:t xml:space="preserve"> </w:t>
      </w:r>
      <w:r w:rsidR="005C5FCA">
        <w:t>TZ</w:t>
      </w:r>
      <w:r w:rsidR="007B490C" w:rsidRPr="00E943B1">
        <w:t xml:space="preserve">. </w:t>
      </w:r>
      <w:r w:rsidR="00234D50" w:rsidRPr="00E943B1">
        <w:t>V</w:t>
      </w:r>
      <w:r w:rsidR="00E262D2">
        <w:t xml:space="preserve"> </w:t>
      </w:r>
      <w:r w:rsidR="00234D50" w:rsidRPr="00E943B1">
        <w:t xml:space="preserve">rámci </w:t>
      </w:r>
      <w:r w:rsidR="00736D85">
        <w:t>vlastního</w:t>
      </w:r>
      <w:r w:rsidR="00736D85" w:rsidRPr="00E943B1">
        <w:t xml:space="preserve"> </w:t>
      </w:r>
      <w:r w:rsidR="00234D50" w:rsidRPr="00E943B1">
        <w:t xml:space="preserve">dotazování ohledně četnosti používání institutu spolupracujícího obviněného jsem zaznamenal využití označení za spolupracujícího </w:t>
      </w:r>
      <w:r w:rsidR="005C5FCA">
        <w:t xml:space="preserve">obviněného </w:t>
      </w:r>
      <w:r w:rsidR="00234D50" w:rsidRPr="00E943B1">
        <w:t>v</w:t>
      </w:r>
      <w:r w:rsidR="00E262D2">
        <w:t xml:space="preserve"> </w:t>
      </w:r>
      <w:r w:rsidR="00234D50" w:rsidRPr="00E943B1">
        <w:t>návrhu na schválení dohody o vině a trestu, a to u</w:t>
      </w:r>
      <w:r w:rsidR="005F4278">
        <w:t> </w:t>
      </w:r>
      <w:r w:rsidR="005C5FCA">
        <w:t>K</w:t>
      </w:r>
      <w:r w:rsidR="005C5FCA" w:rsidRPr="00E943B1">
        <w:t xml:space="preserve">rajského </w:t>
      </w:r>
      <w:r w:rsidR="00234D50" w:rsidRPr="00E943B1">
        <w:t>státního zastupitelství v</w:t>
      </w:r>
      <w:r w:rsidR="00E262D2">
        <w:t xml:space="preserve"> </w:t>
      </w:r>
      <w:r w:rsidR="00234D50" w:rsidRPr="00E943B1">
        <w:t>Brně, kde bylo takto označeno již 5 osob v</w:t>
      </w:r>
      <w:r w:rsidR="00E262D2">
        <w:t xml:space="preserve"> </w:t>
      </w:r>
      <w:r w:rsidR="00234D50" w:rsidRPr="00E943B1">
        <w:t>období od roku</w:t>
      </w:r>
      <w:r w:rsidR="005F4278">
        <w:t> </w:t>
      </w:r>
      <w:r w:rsidR="00234D50" w:rsidRPr="00E943B1">
        <w:t>2020 do roku 2023. Zda již došlo k</w:t>
      </w:r>
      <w:r w:rsidR="00E262D2">
        <w:t xml:space="preserve"> </w:t>
      </w:r>
      <w:r w:rsidR="00234D50" w:rsidRPr="00E943B1">
        <w:t>označení i u ostatních krajských státních zastupitelství, se mi bohužel zjistit nepodařilo.</w:t>
      </w:r>
    </w:p>
    <w:p w14:paraId="1035AA92" w14:textId="47A6183B" w:rsidR="00585E2B" w:rsidRPr="00E943B1" w:rsidRDefault="00234D50" w:rsidP="00897B70">
      <w:pPr>
        <w:pStyle w:val="format"/>
      </w:pPr>
      <w:r w:rsidRPr="00E943B1">
        <w:t>V</w:t>
      </w:r>
      <w:r w:rsidR="00E262D2">
        <w:t xml:space="preserve"> </w:t>
      </w:r>
      <w:r w:rsidRPr="00E943B1">
        <w:t>poslední řadě byl</w:t>
      </w:r>
      <w:r w:rsidR="00585E2B" w:rsidRPr="00E943B1">
        <w:t>o</w:t>
      </w:r>
      <w:r w:rsidRPr="00E943B1">
        <w:t xml:space="preserve"> </w:t>
      </w:r>
      <w:r w:rsidR="00585E2B" w:rsidRPr="00E943B1">
        <w:t>doplněno</w:t>
      </w:r>
      <w:r w:rsidRPr="00E943B1">
        <w:t xml:space="preserve"> ustanovení § 178</w:t>
      </w:r>
      <w:r w:rsidR="00585E2B" w:rsidRPr="00E943B1">
        <w:t>a</w:t>
      </w:r>
      <w:r w:rsidRPr="00E943B1">
        <w:t xml:space="preserve"> </w:t>
      </w:r>
      <w:r w:rsidR="005C5FCA">
        <w:t>TZ</w:t>
      </w:r>
      <w:r w:rsidR="00585E2B" w:rsidRPr="00E943B1">
        <w:t xml:space="preserve"> o odstavec 4, který zní takto</w:t>
      </w:r>
      <w:r w:rsidR="005C5FCA">
        <w:t>:</w:t>
      </w:r>
      <w:r w:rsidR="00235301" w:rsidRPr="00E943B1">
        <w:rPr>
          <w:rStyle w:val="Znakapoznpodarou"/>
        </w:rPr>
        <w:footnoteReference w:id="44"/>
      </w:r>
    </w:p>
    <w:p w14:paraId="75DD4C2C" w14:textId="14E36279" w:rsidR="00585E2B" w:rsidRPr="00E943B1" w:rsidRDefault="00585E2B" w:rsidP="00897B70">
      <w:pPr>
        <w:pStyle w:val="format"/>
        <w:rPr>
          <w:i/>
          <w:iCs/>
          <w:color w:val="000000"/>
        </w:rPr>
      </w:pPr>
      <w:r w:rsidRPr="00E943B1">
        <w:rPr>
          <w:i/>
          <w:iCs/>
          <w:color w:val="000000"/>
        </w:rPr>
        <w:t>„Pokud trestní stíhání spolupracujícího obviněného skončí dříve než trestní stíhání ostatních osob za zločin, k</w:t>
      </w:r>
      <w:r w:rsidR="00E262D2">
        <w:rPr>
          <w:i/>
          <w:iCs/>
          <w:color w:val="000000"/>
        </w:rPr>
        <w:t xml:space="preserve"> </w:t>
      </w:r>
      <w:r w:rsidRPr="00E943B1">
        <w:rPr>
          <w:i/>
          <w:iCs/>
          <w:color w:val="000000"/>
        </w:rPr>
        <w:t>jehož objasnění se zavázal, vztahují se jeho povinnosti setrvat na svém doznání a</w:t>
      </w:r>
      <w:r w:rsidR="00E262D2">
        <w:rPr>
          <w:i/>
          <w:iCs/>
          <w:color w:val="000000"/>
        </w:rPr>
        <w:t xml:space="preserve"> </w:t>
      </w:r>
      <w:r w:rsidRPr="00E943B1">
        <w:rPr>
          <w:i/>
          <w:iCs/>
          <w:color w:val="000000"/>
        </w:rPr>
        <w:t>dodržet své závazky uvedené v</w:t>
      </w:r>
      <w:r w:rsidR="00E262D2">
        <w:rPr>
          <w:i/>
          <w:iCs/>
          <w:color w:val="000000"/>
        </w:rPr>
        <w:t xml:space="preserve"> </w:t>
      </w:r>
      <w:r w:rsidRPr="00E943B1">
        <w:rPr>
          <w:i/>
          <w:iCs/>
          <w:color w:val="000000"/>
        </w:rPr>
        <w:t>odstavci 1 i</w:t>
      </w:r>
      <w:r w:rsidR="00E262D2">
        <w:rPr>
          <w:i/>
          <w:iCs/>
          <w:color w:val="000000"/>
        </w:rPr>
        <w:t xml:space="preserve"> </w:t>
      </w:r>
      <w:r w:rsidRPr="00E943B1">
        <w:rPr>
          <w:i/>
          <w:iCs/>
          <w:color w:val="000000"/>
        </w:rPr>
        <w:t>na další průběh trestního řízení proti takovým osobám; porušení tohoto závazku může být důvodem pro povolení obnovy řízení v</w:t>
      </w:r>
      <w:r w:rsidR="005F4278">
        <w:rPr>
          <w:i/>
          <w:iCs/>
          <w:color w:val="000000"/>
        </w:rPr>
        <w:t> </w:t>
      </w:r>
      <w:r w:rsidRPr="00E943B1">
        <w:rPr>
          <w:i/>
          <w:iCs/>
          <w:color w:val="000000"/>
        </w:rPr>
        <w:t>neprospěch spolupracujícího obviněného. O</w:t>
      </w:r>
      <w:r w:rsidR="00E262D2">
        <w:rPr>
          <w:i/>
          <w:iCs/>
          <w:color w:val="000000"/>
        </w:rPr>
        <w:t xml:space="preserve"> </w:t>
      </w:r>
      <w:r w:rsidRPr="00E943B1">
        <w:rPr>
          <w:i/>
          <w:iCs/>
          <w:color w:val="000000"/>
        </w:rPr>
        <w:t>tom je třeba spolupracujícího obviněného poučit.“</w:t>
      </w:r>
      <w:r w:rsidRPr="00897B70">
        <w:rPr>
          <w:rStyle w:val="Znakapoznpodarou"/>
          <w:iCs/>
          <w:color w:val="000000"/>
        </w:rPr>
        <w:footnoteReference w:id="45"/>
      </w:r>
    </w:p>
    <w:p w14:paraId="761DFABA" w14:textId="6C7E3FC1" w:rsidR="00236614" w:rsidRPr="00E943B1" w:rsidRDefault="00236614" w:rsidP="00897B70">
      <w:pPr>
        <w:pStyle w:val="format"/>
      </w:pPr>
      <w:r w:rsidRPr="00E943B1">
        <w:t xml:space="preserve">Tímto odstavcem se zákonodárce nejspíš snaží zamezit </w:t>
      </w:r>
      <w:r w:rsidR="00E612B3" w:rsidRPr="00E943B1">
        <w:t>poru</w:t>
      </w:r>
      <w:r w:rsidR="00E612B3">
        <w:t>š</w:t>
      </w:r>
      <w:r w:rsidR="00E612B3" w:rsidRPr="00E943B1">
        <w:t xml:space="preserve">ení </w:t>
      </w:r>
      <w:r w:rsidRPr="00E943B1">
        <w:t>závazku ze strany spolupracujícího obviněného, pokud by skončilo jeho trestní stíh</w:t>
      </w:r>
      <w:r w:rsidR="00897B70">
        <w:t>á</w:t>
      </w:r>
      <w:r w:rsidRPr="00E943B1">
        <w:t>ní dřív než trestní stíhání osob, k</w:t>
      </w:r>
      <w:r w:rsidR="00E262D2">
        <w:t xml:space="preserve"> </w:t>
      </w:r>
      <w:r w:rsidRPr="00E943B1">
        <w:t xml:space="preserve">jejichž „dopadení“ se zavázal. Takovéto porušení by pak zakládalo důvod obnovy dle § 278 odst. 5 </w:t>
      </w:r>
      <w:r w:rsidR="00723BB3">
        <w:t>TZ</w:t>
      </w:r>
      <w:r w:rsidRPr="00E943B1">
        <w:t>, který zní:</w:t>
      </w:r>
    </w:p>
    <w:p w14:paraId="05D663C3" w14:textId="72457221" w:rsidR="00236614" w:rsidRPr="00E943B1" w:rsidRDefault="00236614" w:rsidP="00897B70">
      <w:pPr>
        <w:pStyle w:val="format"/>
        <w:rPr>
          <w:i/>
          <w:iCs/>
          <w:color w:val="000000"/>
        </w:rPr>
      </w:pPr>
      <w:r w:rsidRPr="00E943B1">
        <w:rPr>
          <w:i/>
          <w:iCs/>
          <w:color w:val="000000"/>
        </w:rPr>
        <w:t>„Obnova řízení, které skončilo odsuzujícím rozsudkem nebo trestním příkazem, jímž byl uznán vinným spolupracující obviněný, se v</w:t>
      </w:r>
      <w:r w:rsidR="00E262D2">
        <w:rPr>
          <w:i/>
          <w:iCs/>
          <w:color w:val="000000"/>
        </w:rPr>
        <w:t xml:space="preserve"> </w:t>
      </w:r>
      <w:r w:rsidRPr="00E943B1">
        <w:rPr>
          <w:i/>
          <w:iCs/>
          <w:color w:val="000000"/>
        </w:rPr>
        <w:t>neprospěch obviněného povolí též tehdy, pokud spolupracující obviněný v</w:t>
      </w:r>
      <w:r w:rsidR="00E262D2">
        <w:rPr>
          <w:i/>
          <w:iCs/>
          <w:color w:val="000000"/>
        </w:rPr>
        <w:t xml:space="preserve"> </w:t>
      </w:r>
      <w:r w:rsidRPr="00E943B1">
        <w:rPr>
          <w:i/>
          <w:iCs/>
          <w:color w:val="000000"/>
        </w:rPr>
        <w:t>dalším řízení proti osobám, jimž je kladen za vinu zločin, který se spolupracující obviněný zavázal objasnit, poruší svůj závazek podle §</w:t>
      </w:r>
      <w:r w:rsidR="00E262D2">
        <w:rPr>
          <w:i/>
          <w:iCs/>
          <w:color w:val="000000"/>
        </w:rPr>
        <w:t xml:space="preserve"> </w:t>
      </w:r>
      <w:r w:rsidRPr="00E943B1">
        <w:rPr>
          <w:i/>
          <w:iCs/>
          <w:color w:val="000000"/>
        </w:rPr>
        <w:t>178a odst. 1</w:t>
      </w:r>
      <w:r w:rsidR="00C967B9">
        <w:rPr>
          <w:i/>
          <w:iCs/>
          <w:color w:val="000000"/>
        </w:rPr>
        <w:t>.</w:t>
      </w:r>
      <w:r w:rsidRPr="00E943B1">
        <w:rPr>
          <w:i/>
          <w:iCs/>
          <w:color w:val="000000"/>
        </w:rPr>
        <w:t>“</w:t>
      </w:r>
      <w:r w:rsidR="009969E3" w:rsidRPr="00115A28">
        <w:rPr>
          <w:rStyle w:val="Znakapoznpodarou"/>
          <w:iCs/>
          <w:color w:val="000000"/>
        </w:rPr>
        <w:footnoteReference w:id="46"/>
      </w:r>
    </w:p>
    <w:p w14:paraId="057D71EE" w14:textId="52486ACA" w:rsidR="00236614" w:rsidRPr="00E943B1" w:rsidRDefault="009969E3" w:rsidP="00897B70">
      <w:pPr>
        <w:pStyle w:val="format"/>
      </w:pPr>
      <w:r w:rsidRPr="00E943B1">
        <w:lastRenderedPageBreak/>
        <w:t>Nutno podotknout, že i výše citovaný odstavec byl přidán v</w:t>
      </w:r>
      <w:r w:rsidR="00E262D2">
        <w:t xml:space="preserve"> </w:t>
      </w:r>
      <w:r w:rsidRPr="00E943B1">
        <w:t>rámci novely provedené zákonem č. 333/2020 Sb.</w:t>
      </w:r>
      <w:r w:rsidR="00235301" w:rsidRPr="00E943B1">
        <w:rPr>
          <w:rStyle w:val="Znakapoznpodarou"/>
          <w:color w:val="000000"/>
        </w:rPr>
        <w:footnoteReference w:id="47"/>
      </w:r>
    </w:p>
    <w:p w14:paraId="46DF049E" w14:textId="240F1E47" w:rsidR="00A15CCB" w:rsidRPr="00E943B1" w:rsidRDefault="00CF2530" w:rsidP="00897B70">
      <w:pPr>
        <w:pStyle w:val="format"/>
      </w:pPr>
      <w:r>
        <w:t>Citovanou</w:t>
      </w:r>
      <w:r w:rsidRPr="00E943B1">
        <w:t xml:space="preserve"> </w:t>
      </w:r>
      <w:r w:rsidR="009969E3" w:rsidRPr="00E943B1">
        <w:t>novelou došlo rozhodně ke zlepšení jistoty na dodržení závazku, ke kterému se</w:t>
      </w:r>
      <w:r w:rsidR="005F4278">
        <w:t> </w:t>
      </w:r>
      <w:r w:rsidR="009969E3" w:rsidRPr="00E943B1">
        <w:t>spolupracující obviněný zavázal. Tím pádem by měla být „zajištěna“ menší míra zneužívání tohoto institutu ze strany obviněných. Nicméně je tím vylepšeno pouze postavení státu. Možnost označit za spolupracujícího obviněného i v</w:t>
      </w:r>
      <w:r w:rsidR="00E262D2">
        <w:t xml:space="preserve"> </w:t>
      </w:r>
      <w:r w:rsidR="009969E3" w:rsidRPr="00E943B1">
        <w:t xml:space="preserve">rámci dohody o vině a trestu rozhodně vítám, </w:t>
      </w:r>
      <w:r w:rsidR="009F2255" w:rsidRPr="00E943B1">
        <w:t>jelikož může přispět k</w:t>
      </w:r>
      <w:r w:rsidR="00E262D2">
        <w:t xml:space="preserve"> </w:t>
      </w:r>
      <w:r w:rsidR="00514B53" w:rsidRPr="00E943B1">
        <w:t>nárůstu</w:t>
      </w:r>
      <w:r w:rsidR="009F2255" w:rsidRPr="00E943B1">
        <w:t xml:space="preserve"> četnosti používání tohoto institutu</w:t>
      </w:r>
      <w:r w:rsidR="009969E3" w:rsidRPr="00E943B1">
        <w:t>.</w:t>
      </w:r>
    </w:p>
    <w:p w14:paraId="3F38AA8E" w14:textId="0E4CD87E" w:rsidR="00C505E3" w:rsidRPr="00E943B1" w:rsidRDefault="00C505E3" w:rsidP="00B32072">
      <w:pPr>
        <w:pStyle w:val="Nadpis2"/>
      </w:pPr>
      <w:bookmarkStart w:id="23" w:name="_Toc170638001"/>
      <w:r w:rsidRPr="00E943B1">
        <w:t>Četnost použití</w:t>
      </w:r>
      <w:r w:rsidR="008C25E8" w:rsidRPr="00E943B1">
        <w:t xml:space="preserve"> institutu</w:t>
      </w:r>
      <w:bookmarkEnd w:id="23"/>
    </w:p>
    <w:p w14:paraId="0D34CB45" w14:textId="24BBA475" w:rsidR="00C505E3" w:rsidRPr="00E943B1" w:rsidRDefault="003A1959" w:rsidP="00B32072">
      <w:pPr>
        <w:pStyle w:val="format"/>
      </w:pPr>
      <w:r>
        <w:t>Za účelem</w:t>
      </w:r>
      <w:r w:rsidR="00C505E3" w:rsidRPr="00E943B1">
        <w:t xml:space="preserve"> zjištění četnosti použití </w:t>
      </w:r>
      <w:r w:rsidR="003C05BB">
        <w:t>zde sledovaného</w:t>
      </w:r>
      <w:r w:rsidR="003C05BB" w:rsidRPr="00E943B1">
        <w:t xml:space="preserve"> </w:t>
      </w:r>
      <w:r w:rsidR="00C505E3" w:rsidRPr="00E943B1">
        <w:t xml:space="preserve">institutu jsem se rozhodl </w:t>
      </w:r>
      <w:r w:rsidR="003D45D6">
        <w:t>oslovit</w:t>
      </w:r>
      <w:r w:rsidR="005F4278">
        <w:t> </w:t>
      </w:r>
      <w:r w:rsidR="00C505E3" w:rsidRPr="00E943B1">
        <w:t xml:space="preserve">krajská státní zastupitelství </w:t>
      </w:r>
      <w:r w:rsidR="000F6DF4">
        <w:t xml:space="preserve">a požádat je </w:t>
      </w:r>
      <w:r w:rsidR="00C505E3" w:rsidRPr="00E943B1">
        <w:t>o poskytnutí informací ve smyslu zákona č.</w:t>
      </w:r>
      <w:r w:rsidR="005F4278">
        <w:t> </w:t>
      </w:r>
      <w:r w:rsidR="00C505E3" w:rsidRPr="00E943B1">
        <w:t>106/1999 Sb., o svobodném přístupu k</w:t>
      </w:r>
      <w:r w:rsidR="00E262D2">
        <w:t xml:space="preserve"> </w:t>
      </w:r>
      <w:r w:rsidR="00C505E3" w:rsidRPr="00E943B1">
        <w:t xml:space="preserve">informacím. </w:t>
      </w:r>
      <w:r w:rsidR="00C2180F">
        <w:t>Vyžádal</w:t>
      </w:r>
      <w:r w:rsidR="00C2180F" w:rsidRPr="00E943B1">
        <w:t xml:space="preserve"> </w:t>
      </w:r>
      <w:r w:rsidR="005920B0" w:rsidRPr="00E943B1">
        <w:t xml:space="preserve">jsem </w:t>
      </w:r>
      <w:r w:rsidR="00C2180F">
        <w:t xml:space="preserve">si </w:t>
      </w:r>
      <w:r w:rsidR="005920B0" w:rsidRPr="00E943B1">
        <w:t>následující informace:</w:t>
      </w:r>
    </w:p>
    <w:p w14:paraId="4A0BE054" w14:textId="4840668B" w:rsidR="005920B0" w:rsidRPr="00E943B1" w:rsidRDefault="00C47AF7" w:rsidP="003A78D1">
      <w:pPr>
        <w:pStyle w:val="format"/>
        <w:numPr>
          <w:ilvl w:val="0"/>
          <w:numId w:val="10"/>
        </w:numPr>
      </w:pPr>
      <w:r>
        <w:t>č</w:t>
      </w:r>
      <w:r w:rsidRPr="00E943B1">
        <w:t xml:space="preserve">etnost </w:t>
      </w:r>
      <w:r w:rsidR="005920B0" w:rsidRPr="00E943B1">
        <w:t>použití institutu spolupracující</w:t>
      </w:r>
      <w:r>
        <w:t>ho</w:t>
      </w:r>
      <w:r w:rsidR="005920B0" w:rsidRPr="00E943B1">
        <w:t xml:space="preserve"> </w:t>
      </w:r>
      <w:r w:rsidRPr="00E943B1">
        <w:t>obviněn</w:t>
      </w:r>
      <w:r>
        <w:t>ého</w:t>
      </w:r>
      <w:r w:rsidRPr="00E943B1">
        <w:t xml:space="preserve"> </w:t>
      </w:r>
      <w:r w:rsidR="0056329C">
        <w:t>v</w:t>
      </w:r>
      <w:r w:rsidR="00073C2D">
        <w:t xml:space="preserve"> </w:t>
      </w:r>
      <w:r w:rsidR="0056329C">
        <w:t xml:space="preserve">období </w:t>
      </w:r>
      <w:r w:rsidR="005920B0" w:rsidRPr="00E943B1">
        <w:t xml:space="preserve">od 1. </w:t>
      </w:r>
      <w:r>
        <w:t>ledna</w:t>
      </w:r>
      <w:r w:rsidR="005920B0" w:rsidRPr="00E943B1">
        <w:t xml:space="preserve"> 2018 do 31.</w:t>
      </w:r>
      <w:r w:rsidR="005F4278">
        <w:t> </w:t>
      </w:r>
      <w:r>
        <w:t>července</w:t>
      </w:r>
      <w:r w:rsidR="005920B0" w:rsidRPr="00E943B1">
        <w:t xml:space="preserve"> 2023</w:t>
      </w:r>
      <w:r>
        <w:t>,</w:t>
      </w:r>
    </w:p>
    <w:p w14:paraId="3D870174" w14:textId="3582EFE0" w:rsidR="005920B0" w:rsidRPr="00E943B1" w:rsidRDefault="00C47AF7" w:rsidP="003A78D1">
      <w:pPr>
        <w:pStyle w:val="format"/>
        <w:numPr>
          <w:ilvl w:val="0"/>
          <w:numId w:val="10"/>
        </w:numPr>
      </w:pPr>
      <w:r>
        <w:t>k</w:t>
      </w:r>
      <w:r w:rsidRPr="00E943B1">
        <w:t xml:space="preserve">vůli </w:t>
      </w:r>
      <w:r w:rsidR="00A27250" w:rsidRPr="00E943B1">
        <w:t>jakým</w:t>
      </w:r>
      <w:r w:rsidR="005920B0" w:rsidRPr="00E943B1">
        <w:t xml:space="preserve"> trestn</w:t>
      </w:r>
      <w:r w:rsidR="00A27250" w:rsidRPr="00E943B1">
        <w:t>ým</w:t>
      </w:r>
      <w:r w:rsidR="005920B0" w:rsidRPr="00E943B1">
        <w:t xml:space="preserve"> čin</w:t>
      </w:r>
      <w:r w:rsidR="00A27250" w:rsidRPr="00E943B1">
        <w:t>ům</w:t>
      </w:r>
      <w:r w:rsidR="005920B0" w:rsidRPr="00E943B1">
        <w:t xml:space="preserve"> byla podána obžaloba na </w:t>
      </w:r>
      <w:r w:rsidR="00A27250" w:rsidRPr="00E943B1">
        <w:t>pachatele</w:t>
      </w:r>
      <w:r>
        <w:t>,</w:t>
      </w:r>
    </w:p>
    <w:p w14:paraId="13BBB7CB" w14:textId="7B392D80" w:rsidR="005920B0" w:rsidRPr="00E943B1" w:rsidRDefault="00C47AF7" w:rsidP="003A78D1">
      <w:pPr>
        <w:pStyle w:val="format"/>
        <w:numPr>
          <w:ilvl w:val="0"/>
          <w:numId w:val="10"/>
        </w:numPr>
      </w:pPr>
      <w:r>
        <w:t>z</w:t>
      </w:r>
      <w:r w:rsidRPr="00E943B1">
        <w:t xml:space="preserve">da </w:t>
      </w:r>
      <w:r w:rsidR="005920B0" w:rsidRPr="00E943B1">
        <w:t>prvotní návrh na využití tohoto institutu vychází z</w:t>
      </w:r>
      <w:r w:rsidR="00E262D2">
        <w:t xml:space="preserve"> </w:t>
      </w:r>
      <w:r w:rsidR="005920B0" w:rsidRPr="00E943B1">
        <w:t>iniciativy státního zástupce či ze strany obviněného</w:t>
      </w:r>
      <w:r w:rsidR="00B32072">
        <w:t>.</w:t>
      </w:r>
    </w:p>
    <w:p w14:paraId="48BD220F" w14:textId="1BA35702" w:rsidR="007B22D3" w:rsidRPr="00E943B1" w:rsidRDefault="005920B0" w:rsidP="00B32072">
      <w:pPr>
        <w:pStyle w:val="format"/>
      </w:pPr>
      <w:r w:rsidRPr="00E943B1">
        <w:t xml:space="preserve">Nutno </w:t>
      </w:r>
      <w:r w:rsidR="00CB0E39">
        <w:t>podotknout</w:t>
      </w:r>
      <w:r w:rsidRPr="00E943B1">
        <w:t>, že požadované informace byly zjišťovány pouze v</w:t>
      </w:r>
      <w:r w:rsidR="00E262D2">
        <w:t xml:space="preserve"> </w:t>
      </w:r>
      <w:r w:rsidRPr="00E943B1">
        <w:t xml:space="preserve">rámci krajských státních zastupitelství, jelikož vyhledávání bylo </w:t>
      </w:r>
      <w:r w:rsidR="00C47AF7">
        <w:t>v</w:t>
      </w:r>
      <w:r w:rsidR="00073C2D">
        <w:t xml:space="preserve"> </w:t>
      </w:r>
      <w:r w:rsidR="00C47AF7">
        <w:t>některých případech</w:t>
      </w:r>
      <w:r w:rsidR="00C47AF7" w:rsidRPr="00E943B1">
        <w:t xml:space="preserve"> </w:t>
      </w:r>
      <w:r w:rsidRPr="00E943B1">
        <w:t xml:space="preserve">podmíněno úhradou nákladů </w:t>
      </w:r>
      <w:r w:rsidR="00B247E4" w:rsidRPr="00E943B1">
        <w:t>spatřovanou v</w:t>
      </w:r>
      <w:r w:rsidR="00E262D2">
        <w:t xml:space="preserve"> </w:t>
      </w:r>
      <w:r w:rsidRPr="00E943B1">
        <w:t xml:space="preserve">extenzivním </w:t>
      </w:r>
      <w:r w:rsidR="00B247E4" w:rsidRPr="00E943B1">
        <w:t xml:space="preserve">vyhledávání požadovaných informací. Výsledky mého dotazování </w:t>
      </w:r>
      <w:r w:rsidR="00C47AF7">
        <w:t>je potřeba vnímat spíše jako</w:t>
      </w:r>
      <w:r w:rsidR="00B247E4" w:rsidRPr="00E943B1">
        <w:t xml:space="preserve"> orientační, nicméně jsem </w:t>
      </w:r>
      <w:r w:rsidR="00FD0538">
        <w:t>p</w:t>
      </w:r>
      <w:r w:rsidR="00462F55">
        <w:t>lně p</w:t>
      </w:r>
      <w:r w:rsidR="00FD0538">
        <w:t>řesvědčen</w:t>
      </w:r>
      <w:r w:rsidR="00B247E4" w:rsidRPr="00E943B1">
        <w:t xml:space="preserve">, že </w:t>
      </w:r>
      <w:r w:rsidR="005F4293">
        <w:t xml:space="preserve">i přesto </w:t>
      </w:r>
      <w:r w:rsidR="00B247E4" w:rsidRPr="00E943B1">
        <w:t>poskytují relevantní informace o použití institutu spolupracujícího obviněného v</w:t>
      </w:r>
      <w:r w:rsidR="00E262D2">
        <w:t xml:space="preserve"> </w:t>
      </w:r>
      <w:r w:rsidR="00B32072">
        <w:t>rámci České republiky.</w:t>
      </w:r>
    </w:p>
    <w:p w14:paraId="20CBC849" w14:textId="24AE042D" w:rsidR="005F4278" w:rsidRDefault="005054FF" w:rsidP="00B32072">
      <w:pPr>
        <w:pStyle w:val="format"/>
      </w:pPr>
      <w:r w:rsidRPr="00E943B1">
        <w:t xml:space="preserve">Pro lepší orientaci </w:t>
      </w:r>
      <w:r w:rsidR="00186B4A">
        <w:t xml:space="preserve">a přehlednost </w:t>
      </w:r>
      <w:r w:rsidRPr="00E943B1">
        <w:t>jsem vytvořil jednoduchý graf, který znázorňuje četnost použití insti</w:t>
      </w:r>
      <w:r w:rsidR="00B32072">
        <w:t xml:space="preserve">tutu </w:t>
      </w:r>
      <w:r w:rsidR="005F4293">
        <w:t>s</w:t>
      </w:r>
      <w:r w:rsidR="00B32072">
        <w:t>polupracující</w:t>
      </w:r>
      <w:r w:rsidR="005F4293">
        <w:t>ho</w:t>
      </w:r>
      <w:r w:rsidR="00B32072">
        <w:t xml:space="preserve"> obviněn</w:t>
      </w:r>
      <w:r w:rsidR="005F4293">
        <w:t>ého</w:t>
      </w:r>
      <w:r w:rsidR="00B32072">
        <w:t>.</w:t>
      </w:r>
    </w:p>
    <w:p w14:paraId="42E30A8A" w14:textId="77777777" w:rsidR="005F4278" w:rsidRDefault="005F4278">
      <w:pPr>
        <w:spacing w:after="0" w:line="240" w:lineRule="auto"/>
        <w:rPr>
          <w:rFonts w:ascii="Times New Roman" w:hAnsi="Times New Roman"/>
          <w:sz w:val="24"/>
          <w:szCs w:val="24"/>
        </w:rPr>
      </w:pPr>
      <w:r>
        <w:br w:type="page"/>
      </w:r>
    </w:p>
    <w:p w14:paraId="5D41E740" w14:textId="606D7C85" w:rsidR="005F4278" w:rsidRPr="005F4278" w:rsidRDefault="005F4278" w:rsidP="005F4278">
      <w:pPr>
        <w:pStyle w:val="format"/>
        <w:spacing w:before="120" w:line="240" w:lineRule="auto"/>
        <w:ind w:firstLine="0"/>
        <w:jc w:val="center"/>
      </w:pPr>
      <w:bookmarkStart w:id="24" w:name="_Toc170638700"/>
      <w:r w:rsidRPr="005F4278">
        <w:lastRenderedPageBreak/>
        <w:t xml:space="preserve">Graf </w:t>
      </w:r>
      <w:r w:rsidR="00B85F38">
        <w:fldChar w:fldCharType="begin"/>
      </w:r>
      <w:r w:rsidR="00B85F38">
        <w:instrText xml:space="preserve"> SEQ Graf \* ARABIC </w:instrText>
      </w:r>
      <w:r w:rsidR="00B85F38">
        <w:fldChar w:fldCharType="separate"/>
      </w:r>
      <w:r w:rsidR="007460C5">
        <w:rPr>
          <w:noProof/>
        </w:rPr>
        <w:t>1</w:t>
      </w:r>
      <w:r w:rsidR="00B85F38">
        <w:fldChar w:fldCharType="end"/>
      </w:r>
      <w:r w:rsidRPr="005F4278">
        <w:t>: Četnost použití SO od 1. 1. 2018 do 31. 7. 2023</w:t>
      </w:r>
      <w:bookmarkEnd w:id="24"/>
    </w:p>
    <w:p w14:paraId="66ED73E3" w14:textId="77777777" w:rsidR="008C64FF" w:rsidRDefault="00EB4CE8" w:rsidP="005F4278">
      <w:pPr>
        <w:pStyle w:val="format"/>
        <w:spacing w:line="240" w:lineRule="auto"/>
        <w:ind w:firstLine="0"/>
        <w:jc w:val="center"/>
      </w:pPr>
      <w:r>
        <w:rPr>
          <w:noProof/>
        </w:rPr>
        <w:drawing>
          <wp:inline distT="0" distB="0" distL="0" distR="0" wp14:anchorId="1AE77EAE" wp14:editId="6AE07A2D">
            <wp:extent cx="5254149" cy="2700000"/>
            <wp:effectExtent l="0" t="0" r="3810" b="5715"/>
            <wp:docPr id="1" name="Gra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4149" cy="2700000"/>
                    </a:xfrm>
                    <a:prstGeom prst="rect">
                      <a:avLst/>
                    </a:prstGeom>
                    <a:noFill/>
                    <a:ln>
                      <a:noFill/>
                    </a:ln>
                  </pic:spPr>
                </pic:pic>
              </a:graphicData>
            </a:graphic>
          </wp:inline>
        </w:drawing>
      </w:r>
    </w:p>
    <w:p w14:paraId="35F330FA" w14:textId="39183F80" w:rsidR="005F4278" w:rsidRDefault="005F4278" w:rsidP="005F4278">
      <w:pPr>
        <w:pStyle w:val="format"/>
        <w:spacing w:after="120"/>
        <w:ind w:firstLine="0"/>
        <w:jc w:val="center"/>
      </w:pPr>
      <w:r>
        <w:t>Zdroj: vlastní zpracování</w:t>
      </w:r>
    </w:p>
    <w:p w14:paraId="1DF55871" w14:textId="72E60321" w:rsidR="005054FF" w:rsidRPr="00E943B1" w:rsidRDefault="005054FF" w:rsidP="008C64FF">
      <w:pPr>
        <w:pStyle w:val="format"/>
      </w:pPr>
      <w:r w:rsidRPr="00E943B1">
        <w:t xml:space="preserve">Výše </w:t>
      </w:r>
      <w:r w:rsidR="009E6DF5">
        <w:t>prezentovaný</w:t>
      </w:r>
      <w:r w:rsidR="009E6DF5" w:rsidRPr="00E943B1">
        <w:t xml:space="preserve"> </w:t>
      </w:r>
      <w:r w:rsidRPr="00E943B1">
        <w:t>graf</w:t>
      </w:r>
      <w:r w:rsidR="00852045" w:rsidRPr="00E943B1">
        <w:t xml:space="preserve"> jsem analyzoval a </w:t>
      </w:r>
      <w:r w:rsidR="00E36B45" w:rsidRPr="00E943B1">
        <w:t>do</w:t>
      </w:r>
      <w:r w:rsidR="00E36B45">
        <w:t>spěl</w:t>
      </w:r>
      <w:r w:rsidR="00E36B45" w:rsidRPr="00E943B1">
        <w:t xml:space="preserve"> </w:t>
      </w:r>
      <w:r w:rsidR="00852045" w:rsidRPr="00E943B1">
        <w:t>jsem k</w:t>
      </w:r>
      <w:r w:rsidR="00E262D2">
        <w:t xml:space="preserve"> </w:t>
      </w:r>
      <w:r w:rsidR="00852045" w:rsidRPr="00E943B1">
        <w:t xml:space="preserve">následujícím </w:t>
      </w:r>
      <w:r w:rsidR="00161C6F">
        <w:t>zjištěním</w:t>
      </w:r>
      <w:r w:rsidR="00852045" w:rsidRPr="00E943B1">
        <w:t xml:space="preserve">. Institut </w:t>
      </w:r>
      <w:r w:rsidR="00260526">
        <w:t>s</w:t>
      </w:r>
      <w:r w:rsidR="00852045" w:rsidRPr="00E943B1">
        <w:t>polupracující</w:t>
      </w:r>
      <w:r w:rsidR="00260526">
        <w:t>ho</w:t>
      </w:r>
      <w:r w:rsidR="00852045" w:rsidRPr="00E943B1">
        <w:t xml:space="preserve"> obviněn</w:t>
      </w:r>
      <w:r w:rsidR="00260526">
        <w:t>ého</w:t>
      </w:r>
      <w:r w:rsidR="00852045" w:rsidRPr="00E943B1">
        <w:t xml:space="preserve"> byl v</w:t>
      </w:r>
      <w:r w:rsidR="00F6168F">
        <w:t>e sledovaném</w:t>
      </w:r>
      <w:r w:rsidR="00E262D2">
        <w:t xml:space="preserve"> </w:t>
      </w:r>
      <w:r w:rsidR="00852045" w:rsidRPr="00E943B1">
        <w:t xml:space="preserve">období od 1. </w:t>
      </w:r>
      <w:r w:rsidR="00260526">
        <w:t>ledna</w:t>
      </w:r>
      <w:r w:rsidR="00852045" w:rsidRPr="00E943B1">
        <w:t xml:space="preserve"> 2018 do 31. </w:t>
      </w:r>
      <w:r w:rsidR="00260526">
        <w:t>července</w:t>
      </w:r>
      <w:r w:rsidR="00852045" w:rsidRPr="00E943B1">
        <w:t xml:space="preserve"> 2023 použit celkem 184</w:t>
      </w:r>
      <w:r w:rsidR="00161C6F">
        <w:t>x, a to</w:t>
      </w:r>
      <w:r w:rsidR="00852045" w:rsidRPr="00E943B1">
        <w:t xml:space="preserve"> napříč </w:t>
      </w:r>
      <w:r w:rsidR="00161C6F">
        <w:t xml:space="preserve">jednotlivými </w:t>
      </w:r>
      <w:r w:rsidR="00852045" w:rsidRPr="00E943B1">
        <w:t xml:space="preserve">krajskými zastupitelstvími. </w:t>
      </w:r>
      <w:r w:rsidR="00161C6F" w:rsidRPr="00E943B1">
        <w:t>Nej</w:t>
      </w:r>
      <w:r w:rsidR="00161C6F">
        <w:t>častěji</w:t>
      </w:r>
      <w:r w:rsidR="00161C6F" w:rsidRPr="00E943B1">
        <w:t xml:space="preserve"> </w:t>
      </w:r>
      <w:r w:rsidR="00852045" w:rsidRPr="00E943B1">
        <w:t>byl předmětný institut použit u</w:t>
      </w:r>
      <w:r w:rsidR="006A2310" w:rsidRPr="00E943B1">
        <w:t xml:space="preserve"> </w:t>
      </w:r>
      <w:r w:rsidR="00161C6F">
        <w:t>K</w:t>
      </w:r>
      <w:r w:rsidR="00161C6F" w:rsidRPr="00E943B1">
        <w:t xml:space="preserve">rajského </w:t>
      </w:r>
      <w:r w:rsidR="006A2310" w:rsidRPr="00E943B1">
        <w:t>státního zastupitelství v</w:t>
      </w:r>
      <w:r w:rsidR="00852045" w:rsidRPr="00E943B1">
        <w:t xml:space="preserve"> Ústí nad Labem, kde bylo </w:t>
      </w:r>
      <w:r w:rsidR="00161C6F" w:rsidRPr="00E943B1">
        <w:t>v</w:t>
      </w:r>
      <w:r w:rsidR="005F4278">
        <w:t> </w:t>
      </w:r>
      <w:r w:rsidR="00161C6F" w:rsidRPr="00E943B1">
        <w:t xml:space="preserve">požadovaném období </w:t>
      </w:r>
      <w:r w:rsidR="00852045" w:rsidRPr="00E943B1">
        <w:t xml:space="preserve">zaznamenáno celkem 79 spolupracujících obviněných. </w:t>
      </w:r>
      <w:r w:rsidRPr="00E943B1">
        <w:t>Dále následuje Městské státní zastupitelství v</w:t>
      </w:r>
      <w:r w:rsidR="00E262D2">
        <w:t xml:space="preserve"> </w:t>
      </w:r>
      <w:r w:rsidRPr="00E943B1">
        <w:t xml:space="preserve">Praze, kde čítalo použití institutu celkem 33 případů. Nejvíce mě však překvapilo </w:t>
      </w:r>
      <w:r w:rsidR="00161C6F">
        <w:t>K</w:t>
      </w:r>
      <w:r w:rsidR="00161C6F" w:rsidRPr="00E943B1">
        <w:t xml:space="preserve">rajské </w:t>
      </w:r>
      <w:r w:rsidRPr="00E943B1">
        <w:t>státní zastupitelství v</w:t>
      </w:r>
      <w:r w:rsidR="00E262D2">
        <w:t xml:space="preserve"> </w:t>
      </w:r>
      <w:r w:rsidRPr="00E943B1">
        <w:t xml:space="preserve">Hradci Králové, kde institut </w:t>
      </w:r>
      <w:r w:rsidR="00161C6F">
        <w:t>s</w:t>
      </w:r>
      <w:r w:rsidRPr="00E943B1">
        <w:t>polupracující</w:t>
      </w:r>
      <w:r w:rsidR="00161C6F">
        <w:t>ho</w:t>
      </w:r>
      <w:r w:rsidRPr="00E943B1">
        <w:t xml:space="preserve"> obviněn</w:t>
      </w:r>
      <w:r w:rsidR="00161C6F">
        <w:t>ého</w:t>
      </w:r>
      <w:r w:rsidRPr="00E943B1">
        <w:t xml:space="preserve"> nebyl pou</w:t>
      </w:r>
      <w:r w:rsidR="00B32072">
        <w:t>žit vůbec.</w:t>
      </w:r>
    </w:p>
    <w:p w14:paraId="2EEFE85E" w14:textId="4D9DAB75" w:rsidR="005F4278" w:rsidRDefault="00B50B99" w:rsidP="00B32072">
      <w:pPr>
        <w:pStyle w:val="format"/>
      </w:pPr>
      <w:r w:rsidRPr="00E943B1">
        <w:t>Co se týče trestných činů, pro které byl předmětný institut uložen</w:t>
      </w:r>
      <w:r w:rsidR="00161C6F">
        <w:t>,</w:t>
      </w:r>
      <w:r w:rsidR="00161C6F" w:rsidRPr="00E943B1">
        <w:t xml:space="preserve"> </w:t>
      </w:r>
      <w:r w:rsidR="00161C6F">
        <w:t>v</w:t>
      </w:r>
      <w:r w:rsidR="00161C6F" w:rsidRPr="00E943B1">
        <w:t xml:space="preserve">ytvořil </w:t>
      </w:r>
      <w:r w:rsidRPr="00E943B1">
        <w:t>jsem graf, ze</w:t>
      </w:r>
      <w:r w:rsidR="000F2D0C">
        <w:t> </w:t>
      </w:r>
      <w:r w:rsidRPr="00E943B1">
        <w:t>kterého lze vyčíst, u jaké trestné činnosti byl tento institut p</w:t>
      </w:r>
      <w:r w:rsidR="00B32072">
        <w:t xml:space="preserve">oužíván nejčastěji </w:t>
      </w:r>
      <w:r w:rsidR="00161C6F">
        <w:t>(</w:t>
      </w:r>
      <w:r w:rsidR="00B32072">
        <w:t>dle Hlav TZ</w:t>
      </w:r>
      <w:r w:rsidR="00161C6F">
        <w:t>)</w:t>
      </w:r>
      <w:r w:rsidR="00B32072">
        <w:t>.</w:t>
      </w:r>
    </w:p>
    <w:p w14:paraId="31EE002F" w14:textId="77777777" w:rsidR="005F4278" w:rsidRDefault="005F4278">
      <w:pPr>
        <w:spacing w:after="0" w:line="240" w:lineRule="auto"/>
        <w:rPr>
          <w:rFonts w:ascii="Times New Roman" w:hAnsi="Times New Roman"/>
          <w:sz w:val="24"/>
          <w:szCs w:val="24"/>
        </w:rPr>
      </w:pPr>
      <w:r>
        <w:br w:type="page"/>
      </w:r>
    </w:p>
    <w:p w14:paraId="08FB5E6A" w14:textId="75E912F0" w:rsidR="005F4278" w:rsidRPr="005F4278" w:rsidRDefault="005F4278" w:rsidP="005F4278">
      <w:pPr>
        <w:pStyle w:val="format"/>
        <w:spacing w:before="120" w:line="240" w:lineRule="auto"/>
        <w:ind w:firstLine="0"/>
        <w:jc w:val="center"/>
      </w:pPr>
      <w:bookmarkStart w:id="25" w:name="_Toc170638701"/>
      <w:r w:rsidRPr="005F4278">
        <w:lastRenderedPageBreak/>
        <w:t xml:space="preserve">Graf </w:t>
      </w:r>
      <w:r w:rsidR="00B85F38">
        <w:fldChar w:fldCharType="begin"/>
      </w:r>
      <w:r w:rsidR="00B85F38">
        <w:instrText xml:space="preserve"> SEQ Graf \* ARABIC </w:instrText>
      </w:r>
      <w:r w:rsidR="00B85F38">
        <w:fldChar w:fldCharType="separate"/>
      </w:r>
      <w:r w:rsidR="007460C5">
        <w:rPr>
          <w:noProof/>
        </w:rPr>
        <w:t>2</w:t>
      </w:r>
      <w:r w:rsidR="00B85F38">
        <w:rPr>
          <w:noProof/>
        </w:rPr>
        <w:fldChar w:fldCharType="end"/>
      </w:r>
      <w:r w:rsidRPr="005F4278">
        <w:t xml:space="preserve">: </w:t>
      </w:r>
      <w:r>
        <w:t>Trestné činy dle Hlav TZ</w:t>
      </w:r>
      <w:bookmarkEnd w:id="25"/>
    </w:p>
    <w:p w14:paraId="6819A97E" w14:textId="69F475CC" w:rsidR="00D551B1" w:rsidRDefault="00EB4CE8" w:rsidP="005F4278">
      <w:pPr>
        <w:spacing w:after="0" w:line="240" w:lineRule="auto"/>
        <w:jc w:val="center"/>
        <w:rPr>
          <w:rFonts w:ascii="Times New Roman" w:hAnsi="Times New Roman"/>
          <w:sz w:val="24"/>
          <w:szCs w:val="24"/>
        </w:rPr>
      </w:pPr>
      <w:r>
        <w:rPr>
          <w:rFonts w:ascii="Times New Roman" w:hAnsi="Times New Roman"/>
          <w:noProof/>
        </w:rPr>
        <w:drawing>
          <wp:inline distT="0" distB="0" distL="0" distR="0" wp14:anchorId="13D53A40" wp14:editId="13D9238A">
            <wp:extent cx="5760000" cy="2700000"/>
            <wp:effectExtent l="0" t="0" r="12700" b="24765"/>
            <wp:docPr id="2" name="obráze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651FAF" w14:textId="77777777" w:rsidR="005F4278" w:rsidRDefault="005F4278" w:rsidP="005F4278">
      <w:pPr>
        <w:pStyle w:val="format"/>
        <w:spacing w:after="120"/>
        <w:ind w:firstLine="0"/>
        <w:jc w:val="center"/>
      </w:pPr>
      <w:r>
        <w:t>Zdroj: vlastní zpracování</w:t>
      </w:r>
    </w:p>
    <w:p w14:paraId="1B691423" w14:textId="474F8394" w:rsidR="00B50B99" w:rsidRPr="00E943B1" w:rsidRDefault="00B50B99" w:rsidP="00B32072">
      <w:pPr>
        <w:pStyle w:val="format"/>
      </w:pPr>
      <w:r w:rsidRPr="00E943B1">
        <w:t xml:space="preserve">Jak je </w:t>
      </w:r>
      <w:r w:rsidR="00D21723">
        <w:t>z grafu jednoznačně zřejmé</w:t>
      </w:r>
      <w:r w:rsidRPr="00E943B1">
        <w:t xml:space="preserve">, nejčastěji byl institut </w:t>
      </w:r>
      <w:r w:rsidR="0095746A">
        <w:t>s</w:t>
      </w:r>
      <w:r w:rsidRPr="00E943B1">
        <w:t>polupracující</w:t>
      </w:r>
      <w:r w:rsidR="0095746A">
        <w:t>ho</w:t>
      </w:r>
      <w:r w:rsidRPr="00E943B1">
        <w:t xml:space="preserve"> obviněn</w:t>
      </w:r>
      <w:r w:rsidR="0095746A">
        <w:t xml:space="preserve">ého </w:t>
      </w:r>
      <w:r w:rsidRPr="00E943B1">
        <w:t>využíván u trestné činnosti dle Hlavy VII., a to u všech krajských státních zastupitelství. V</w:t>
      </w:r>
      <w:r w:rsidR="005F4278">
        <w:t> </w:t>
      </w:r>
      <w:r w:rsidRPr="00E943B1">
        <w:t>těsném závěsu pak následují trestné činy dle Hlavy VI., u kterých byl tento institut využit v</w:t>
      </w:r>
      <w:r w:rsidR="005F4278">
        <w:t> </w:t>
      </w:r>
      <w:r w:rsidRPr="00E943B1">
        <w:t>rámci šesti kra</w:t>
      </w:r>
      <w:r w:rsidR="00B32072">
        <w:t>jských státních zastupitelství.</w:t>
      </w:r>
    </w:p>
    <w:p w14:paraId="2C2A74A3" w14:textId="6168EA3E" w:rsidR="00B50B99" w:rsidRPr="00E943B1" w:rsidRDefault="00B50B99" w:rsidP="00B32072">
      <w:pPr>
        <w:pStyle w:val="format"/>
      </w:pPr>
      <w:r w:rsidRPr="00E943B1">
        <w:t xml:space="preserve">Co se týče samotných trestných činů, </w:t>
      </w:r>
      <w:r w:rsidR="002C4314" w:rsidRPr="00E943B1">
        <w:t>v</w:t>
      </w:r>
      <w:r w:rsidR="00E262D2">
        <w:t xml:space="preserve"> </w:t>
      </w:r>
      <w:r w:rsidR="002C4314" w:rsidRPr="00E943B1">
        <w:t>drtivé většině</w:t>
      </w:r>
      <w:r w:rsidRPr="00E943B1">
        <w:t xml:space="preserve"> se jednalo o </w:t>
      </w:r>
      <w:r w:rsidR="00AB3FCD" w:rsidRPr="00E943B1">
        <w:t>trestný</w:t>
      </w:r>
      <w:r w:rsidRPr="00E943B1">
        <w:t xml:space="preserve"> čin dle §</w:t>
      </w:r>
      <w:r w:rsidR="005F4278">
        <w:t> </w:t>
      </w:r>
      <w:r w:rsidRPr="00E943B1">
        <w:t>283</w:t>
      </w:r>
      <w:r w:rsidR="005F4278">
        <w:t> </w:t>
      </w:r>
      <w:r w:rsidRPr="00E943B1">
        <w:t>TZ, nedovolen</w:t>
      </w:r>
      <w:r w:rsidR="002C4314" w:rsidRPr="00E943B1">
        <w:t>á výroba a jiné nakládání s</w:t>
      </w:r>
      <w:r w:rsidR="00E262D2">
        <w:t xml:space="preserve"> </w:t>
      </w:r>
      <w:r w:rsidR="002C4314" w:rsidRPr="00E943B1">
        <w:t>omamnými a psychotropními látkami a s</w:t>
      </w:r>
      <w:r w:rsidR="00073C2D">
        <w:t xml:space="preserve"> </w:t>
      </w:r>
      <w:r w:rsidR="002C4314" w:rsidRPr="00E943B1">
        <w:t>jedy</w:t>
      </w:r>
      <w:r w:rsidR="0095746A">
        <w:t>.</w:t>
      </w:r>
      <w:r w:rsidR="009761B3" w:rsidRPr="00E943B1">
        <w:rPr>
          <w:rStyle w:val="Znakapoznpodarou"/>
        </w:rPr>
        <w:footnoteReference w:id="48"/>
      </w:r>
      <w:r w:rsidR="002C4314" w:rsidRPr="00E943B1">
        <w:t xml:space="preserve"> </w:t>
      </w:r>
      <w:r w:rsidR="00855C64" w:rsidRPr="00E943B1">
        <w:t xml:space="preserve">Druhým nejčastějším trestným činem pak bylo </w:t>
      </w:r>
      <w:r w:rsidR="0095746A">
        <w:t>z</w:t>
      </w:r>
      <w:r w:rsidR="0095746A" w:rsidRPr="00E943B1">
        <w:t xml:space="preserve">krácení </w:t>
      </w:r>
      <w:r w:rsidR="00855C64" w:rsidRPr="00E943B1">
        <w:t>daně, poplatku</w:t>
      </w:r>
      <w:r w:rsidR="00B32072">
        <w:t xml:space="preserve"> a povinné platby dle §</w:t>
      </w:r>
      <w:r w:rsidR="005F4278">
        <w:t> </w:t>
      </w:r>
      <w:r w:rsidR="00B32072">
        <w:t>240 TZ.</w:t>
      </w:r>
      <w:r w:rsidR="009761B3" w:rsidRPr="00E943B1">
        <w:rPr>
          <w:rStyle w:val="Znakapoznpodarou"/>
        </w:rPr>
        <w:footnoteReference w:id="49"/>
      </w:r>
    </w:p>
    <w:p w14:paraId="49F4AB8C" w14:textId="434BDC30" w:rsidR="00165117" w:rsidRPr="00E943B1" w:rsidRDefault="00165117" w:rsidP="00B50B99">
      <w:pPr>
        <w:spacing w:line="360" w:lineRule="auto"/>
        <w:ind w:firstLine="360"/>
        <w:jc w:val="both"/>
        <w:rPr>
          <w:rFonts w:ascii="Times New Roman" w:hAnsi="Times New Roman"/>
          <w:sz w:val="24"/>
          <w:szCs w:val="24"/>
        </w:rPr>
      </w:pPr>
      <w:r w:rsidRPr="00E943B1">
        <w:rPr>
          <w:rFonts w:ascii="Times New Roman" w:hAnsi="Times New Roman"/>
          <w:sz w:val="24"/>
          <w:szCs w:val="24"/>
        </w:rPr>
        <w:t>Vzhledem k</w:t>
      </w:r>
      <w:r w:rsidR="00E262D2">
        <w:rPr>
          <w:rFonts w:ascii="Times New Roman" w:hAnsi="Times New Roman"/>
          <w:sz w:val="24"/>
          <w:szCs w:val="24"/>
        </w:rPr>
        <w:t xml:space="preserve"> </w:t>
      </w:r>
      <w:r w:rsidRPr="00E943B1">
        <w:rPr>
          <w:rFonts w:ascii="Times New Roman" w:hAnsi="Times New Roman"/>
          <w:sz w:val="24"/>
          <w:szCs w:val="24"/>
        </w:rPr>
        <w:t>tomu, že rozsah diplomové práce je značně omezen, rád bych blíže analyzoval četnost institutu spolupracujícího obviněného pouze v</w:t>
      </w:r>
      <w:r w:rsidR="00E262D2">
        <w:rPr>
          <w:rFonts w:ascii="Times New Roman" w:hAnsi="Times New Roman"/>
          <w:sz w:val="24"/>
          <w:szCs w:val="24"/>
        </w:rPr>
        <w:t xml:space="preserve"> </w:t>
      </w:r>
      <w:r w:rsidRPr="00E943B1">
        <w:rPr>
          <w:rFonts w:ascii="Times New Roman" w:hAnsi="Times New Roman"/>
          <w:sz w:val="24"/>
          <w:szCs w:val="24"/>
        </w:rPr>
        <w:t xml:space="preserve">rámci </w:t>
      </w:r>
      <w:r w:rsidR="0095746A">
        <w:rPr>
          <w:rFonts w:ascii="Times New Roman" w:hAnsi="Times New Roman"/>
          <w:sz w:val="24"/>
          <w:szCs w:val="24"/>
        </w:rPr>
        <w:t>K</w:t>
      </w:r>
      <w:r w:rsidR="0095746A" w:rsidRPr="00E943B1">
        <w:rPr>
          <w:rFonts w:ascii="Times New Roman" w:hAnsi="Times New Roman"/>
          <w:sz w:val="24"/>
          <w:szCs w:val="24"/>
        </w:rPr>
        <w:t xml:space="preserve">rajského </w:t>
      </w:r>
      <w:r w:rsidRPr="00E943B1">
        <w:rPr>
          <w:rFonts w:ascii="Times New Roman" w:hAnsi="Times New Roman"/>
          <w:sz w:val="24"/>
          <w:szCs w:val="24"/>
        </w:rPr>
        <w:t>státního zastupitelství v</w:t>
      </w:r>
      <w:r w:rsidR="005F4278">
        <w:rPr>
          <w:rFonts w:ascii="Times New Roman" w:hAnsi="Times New Roman"/>
          <w:sz w:val="24"/>
          <w:szCs w:val="24"/>
        </w:rPr>
        <w:t> </w:t>
      </w:r>
      <w:r w:rsidR="00B32072">
        <w:rPr>
          <w:rFonts w:ascii="Times New Roman" w:hAnsi="Times New Roman"/>
          <w:sz w:val="24"/>
          <w:szCs w:val="24"/>
        </w:rPr>
        <w:t>Ostravě.</w:t>
      </w:r>
    </w:p>
    <w:p w14:paraId="5C30E86B" w14:textId="54D65989" w:rsidR="00286C76" w:rsidRPr="00B32072" w:rsidRDefault="00790A24" w:rsidP="00B32072">
      <w:pPr>
        <w:pStyle w:val="Nadpis3"/>
      </w:pPr>
      <w:bookmarkStart w:id="26" w:name="_Toc170638002"/>
      <w:r w:rsidRPr="00B32072">
        <w:t>K</w:t>
      </w:r>
      <w:r>
        <w:t>rajské státní zastupitelství v</w:t>
      </w:r>
      <w:r w:rsidRPr="00B32072">
        <w:t xml:space="preserve"> Ostrav</w:t>
      </w:r>
      <w:r>
        <w:t>ě</w:t>
      </w:r>
      <w:bookmarkEnd w:id="26"/>
    </w:p>
    <w:p w14:paraId="1EA962A9" w14:textId="3E35AD8B" w:rsidR="00165117" w:rsidRPr="00E943B1" w:rsidRDefault="00286C76" w:rsidP="00B32072">
      <w:pPr>
        <w:pStyle w:val="format"/>
      </w:pPr>
      <w:r w:rsidRPr="00E943B1">
        <w:t xml:space="preserve">Pro bližší analýzu jsem si vybral </w:t>
      </w:r>
      <w:r w:rsidR="00B64C29">
        <w:t>K</w:t>
      </w:r>
      <w:r w:rsidR="00B64C29" w:rsidRPr="00E943B1">
        <w:t xml:space="preserve">rajské </w:t>
      </w:r>
      <w:r w:rsidRPr="00E943B1">
        <w:t>státní zastupitelství v</w:t>
      </w:r>
      <w:r w:rsidR="00E262D2">
        <w:t xml:space="preserve"> </w:t>
      </w:r>
      <w:r w:rsidRPr="00E943B1">
        <w:t>Ostravě, jelikož spadám pod příslušnost právě tohoto kra</w:t>
      </w:r>
      <w:r w:rsidR="00B32072">
        <w:t>jského státního zastupitelství.</w:t>
      </w:r>
    </w:p>
    <w:p w14:paraId="4287A1E7" w14:textId="4765C41D" w:rsidR="00286C76" w:rsidRDefault="00286C76" w:rsidP="00B32072">
      <w:pPr>
        <w:pStyle w:val="format"/>
      </w:pPr>
      <w:r w:rsidRPr="00E943B1">
        <w:lastRenderedPageBreak/>
        <w:t xml:space="preserve">Institut </w:t>
      </w:r>
      <w:r w:rsidR="00B64C29">
        <w:t>s</w:t>
      </w:r>
      <w:r w:rsidRPr="00E943B1">
        <w:t>polupracující</w:t>
      </w:r>
      <w:r w:rsidR="00B64C29">
        <w:t>ho</w:t>
      </w:r>
      <w:r w:rsidRPr="00E943B1">
        <w:t xml:space="preserve"> obviněn</w:t>
      </w:r>
      <w:r w:rsidR="00B64C29">
        <w:t>ého</w:t>
      </w:r>
      <w:r w:rsidRPr="00E943B1">
        <w:t xml:space="preserve"> byl v</w:t>
      </w:r>
      <w:r w:rsidR="00E262D2">
        <w:t xml:space="preserve"> </w:t>
      </w:r>
      <w:r w:rsidRPr="00E943B1">
        <w:t>rámci předmětného krajského zastupitelst</w:t>
      </w:r>
      <w:r w:rsidR="00B32072">
        <w:t>ví zaznamenán celkem u 23 osob.</w:t>
      </w:r>
      <w:r w:rsidRPr="00E943B1">
        <w:rPr>
          <w:rStyle w:val="Znakapoznpodarou"/>
        </w:rPr>
        <w:footnoteReference w:id="50"/>
      </w:r>
      <w:r w:rsidRPr="00E943B1">
        <w:t xml:space="preserve"> </w:t>
      </w:r>
      <w:r w:rsidR="00DD1E84" w:rsidRPr="00E943B1">
        <w:t>Spolu s</w:t>
      </w:r>
      <w:r w:rsidR="00E262D2">
        <w:t xml:space="preserve"> </w:t>
      </w:r>
      <w:r w:rsidR="00B64C29">
        <w:t>K</w:t>
      </w:r>
      <w:r w:rsidR="00B64C29" w:rsidRPr="00E943B1">
        <w:t xml:space="preserve">rajským </w:t>
      </w:r>
      <w:r w:rsidR="00DD1E84" w:rsidRPr="00E943B1">
        <w:t>zastupitelstvím v</w:t>
      </w:r>
      <w:r w:rsidR="00E262D2">
        <w:t xml:space="preserve"> </w:t>
      </w:r>
      <w:r w:rsidR="00DD1E84" w:rsidRPr="00E943B1">
        <w:t>Brně je třetí, co se týče četnosti používání pře</w:t>
      </w:r>
      <w:r w:rsidR="00B32072">
        <w:t>dmětného institutu.</w:t>
      </w:r>
    </w:p>
    <w:p w14:paraId="20FBC5F7" w14:textId="240467A5" w:rsidR="005F4278" w:rsidRPr="005F4278" w:rsidRDefault="005F4278" w:rsidP="005F4278">
      <w:pPr>
        <w:pStyle w:val="format"/>
        <w:spacing w:before="120" w:line="240" w:lineRule="auto"/>
        <w:ind w:firstLine="0"/>
        <w:jc w:val="center"/>
      </w:pPr>
      <w:bookmarkStart w:id="27" w:name="_Toc170638702"/>
      <w:r w:rsidRPr="005F4278">
        <w:t xml:space="preserve">Graf </w:t>
      </w:r>
      <w:r w:rsidR="00B85F38">
        <w:fldChar w:fldCharType="begin"/>
      </w:r>
      <w:r w:rsidR="00B85F38">
        <w:instrText xml:space="preserve"> SEQ Graf \* ARABIC </w:instrText>
      </w:r>
      <w:r w:rsidR="00B85F38">
        <w:fldChar w:fldCharType="separate"/>
      </w:r>
      <w:r w:rsidR="007460C5">
        <w:rPr>
          <w:noProof/>
        </w:rPr>
        <w:t>3</w:t>
      </w:r>
      <w:r w:rsidR="00B85F38">
        <w:rPr>
          <w:noProof/>
        </w:rPr>
        <w:fldChar w:fldCharType="end"/>
      </w:r>
      <w:r w:rsidRPr="005F4278">
        <w:t xml:space="preserve">: </w:t>
      </w:r>
      <w:r w:rsidR="000F2D0C">
        <w:t>KSZ Ostrava</w:t>
      </w:r>
      <w:bookmarkEnd w:id="27"/>
    </w:p>
    <w:p w14:paraId="03ADBFAE" w14:textId="600CE284" w:rsidR="00D551B1" w:rsidRPr="00E943B1" w:rsidRDefault="00EB4CE8" w:rsidP="000F2D0C">
      <w:pPr>
        <w:spacing w:after="0" w:line="240" w:lineRule="auto"/>
        <w:jc w:val="center"/>
        <w:rPr>
          <w:rFonts w:ascii="Times New Roman" w:hAnsi="Times New Roman"/>
          <w:sz w:val="24"/>
          <w:szCs w:val="24"/>
        </w:rPr>
      </w:pPr>
      <w:r>
        <w:rPr>
          <w:rFonts w:ascii="Times New Roman" w:hAnsi="Times New Roman"/>
          <w:noProof/>
        </w:rPr>
        <w:drawing>
          <wp:inline distT="0" distB="0" distL="0" distR="0" wp14:anchorId="4D29C87D" wp14:editId="724CD10C">
            <wp:extent cx="5760000" cy="2700000"/>
            <wp:effectExtent l="0" t="0" r="12700" b="24765"/>
            <wp:docPr id="3" name="obráze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B320E1" w14:textId="77777777" w:rsidR="000F2D0C" w:rsidRDefault="000F2D0C" w:rsidP="000F2D0C">
      <w:pPr>
        <w:pStyle w:val="format"/>
        <w:spacing w:after="120"/>
        <w:ind w:firstLine="0"/>
        <w:jc w:val="center"/>
      </w:pPr>
      <w:r>
        <w:t>Zdroj: vlastní zpracování</w:t>
      </w:r>
    </w:p>
    <w:p w14:paraId="65230A31" w14:textId="273F223C" w:rsidR="000F2D0C" w:rsidRDefault="00DD1E84" w:rsidP="000F2D0C">
      <w:pPr>
        <w:pStyle w:val="format"/>
      </w:pPr>
      <w:r w:rsidRPr="00E943B1">
        <w:t>Jak již bylo zmíněno, v</w:t>
      </w:r>
      <w:r w:rsidR="00E262D2">
        <w:t xml:space="preserve"> </w:t>
      </w:r>
      <w:r w:rsidRPr="000F2D0C">
        <w:t>drtivé</w:t>
      </w:r>
      <w:r w:rsidRPr="00E943B1">
        <w:t xml:space="preserve"> většině je aplikován institut u osob, které se dopouštějí trestné činnosti dle Hlavy VII. TZ. Pod tuto Hlavu spadají drogové trestné činy, které bývají mnohdy spojovány s</w:t>
      </w:r>
      <w:r w:rsidR="00E262D2">
        <w:t xml:space="preserve"> </w:t>
      </w:r>
      <w:r w:rsidRPr="00E943B1">
        <w:t xml:space="preserve">organizovanou zločineckou skupinou, kvůli které byl </w:t>
      </w:r>
      <w:r w:rsidR="00F17453">
        <w:t xml:space="preserve">také </w:t>
      </w:r>
      <w:r w:rsidRPr="00E943B1">
        <w:t>institut spolupracující</w:t>
      </w:r>
      <w:r w:rsidR="00B64C29">
        <w:t>ho</w:t>
      </w:r>
      <w:r w:rsidRPr="00E943B1">
        <w:t xml:space="preserve"> </w:t>
      </w:r>
      <w:r w:rsidR="00B64C29" w:rsidRPr="00E943B1">
        <w:t>obviněn</w:t>
      </w:r>
      <w:r w:rsidR="00B64C29">
        <w:t>ého</w:t>
      </w:r>
      <w:r w:rsidR="00B64C29" w:rsidRPr="00E943B1">
        <w:t xml:space="preserve"> </w:t>
      </w:r>
      <w:r w:rsidRPr="00E943B1">
        <w:t>v</w:t>
      </w:r>
      <w:r w:rsidR="00E262D2">
        <w:t xml:space="preserve"> </w:t>
      </w:r>
      <w:r w:rsidRPr="00E943B1">
        <w:t>prvé řadě přijat.</w:t>
      </w:r>
      <w:r w:rsidRPr="00E943B1">
        <w:rPr>
          <w:rStyle w:val="Znakapoznpodarou"/>
        </w:rPr>
        <w:footnoteReference w:id="51"/>
      </w:r>
      <w:r w:rsidR="00D10C0C" w:rsidRPr="00E943B1">
        <w:t xml:space="preserve"> Dále byl institut uplatňován u osob, které páchaly trestnou činnost dle Hlavy VI.</w:t>
      </w:r>
      <w:r w:rsidR="00B64C29">
        <w:t>,</w:t>
      </w:r>
      <w:r w:rsidR="00D10C0C" w:rsidRPr="00E943B1">
        <w:t xml:space="preserve"> a </w:t>
      </w:r>
      <w:r w:rsidR="00A8190C" w:rsidRPr="00E943B1">
        <w:t xml:space="preserve">poslední </w:t>
      </w:r>
      <w:r w:rsidR="00B64C29">
        <w:t>segmenty</w:t>
      </w:r>
      <w:r w:rsidR="00B64C29" w:rsidRPr="00E943B1">
        <w:t xml:space="preserve"> </w:t>
      </w:r>
      <w:r w:rsidR="00A8190C" w:rsidRPr="00E943B1">
        <w:t>tvoří Hlava III. a Hlava X</w:t>
      </w:r>
      <w:r w:rsidR="00BD0361">
        <w:t>.</w:t>
      </w:r>
      <w:r w:rsidR="00A8190C" w:rsidRPr="00E943B1">
        <w:t>, které mají nejmenší procentuální</w:t>
      </w:r>
      <w:r w:rsidR="00003243" w:rsidRPr="00E943B1">
        <w:t>ho</w:t>
      </w:r>
      <w:r w:rsidR="00A8190C" w:rsidRPr="00E943B1">
        <w:t xml:space="preserve"> zastoupení v</w:t>
      </w:r>
      <w:r w:rsidR="00E262D2">
        <w:t xml:space="preserve"> </w:t>
      </w:r>
      <w:r w:rsidR="00A8190C" w:rsidRPr="00E943B1">
        <w:t xml:space="preserve">rámci </w:t>
      </w:r>
      <w:r w:rsidR="00773865">
        <w:t>K</w:t>
      </w:r>
      <w:r w:rsidR="00773865" w:rsidRPr="00E943B1">
        <w:t xml:space="preserve">rajského </w:t>
      </w:r>
      <w:r w:rsidR="00A8190C" w:rsidRPr="00E943B1">
        <w:t>státního zastupitelství v</w:t>
      </w:r>
      <w:r w:rsidR="00E262D2">
        <w:t xml:space="preserve"> </w:t>
      </w:r>
      <w:r w:rsidR="00A8190C" w:rsidRPr="00E943B1">
        <w:t xml:space="preserve">Ostravě. Následující graf znázorňuje konkrétní trestné činy, u kterých byl institut </w:t>
      </w:r>
      <w:r w:rsidR="00B32072">
        <w:t>spolupracující</w:t>
      </w:r>
      <w:r w:rsidR="00773865">
        <w:t>ho</w:t>
      </w:r>
      <w:r w:rsidR="00B32072">
        <w:t xml:space="preserve"> </w:t>
      </w:r>
      <w:r w:rsidR="00773865">
        <w:t xml:space="preserve">obviněného </w:t>
      </w:r>
      <w:r w:rsidR="00B32072">
        <w:t>použit.</w:t>
      </w:r>
    </w:p>
    <w:p w14:paraId="3C111563" w14:textId="77777777" w:rsidR="000F2D0C" w:rsidRDefault="000F2D0C">
      <w:pPr>
        <w:spacing w:after="0" w:line="240" w:lineRule="auto"/>
        <w:rPr>
          <w:rFonts w:ascii="Times New Roman" w:hAnsi="Times New Roman"/>
          <w:sz w:val="24"/>
          <w:szCs w:val="24"/>
        </w:rPr>
      </w:pPr>
      <w:r>
        <w:br w:type="page"/>
      </w:r>
    </w:p>
    <w:p w14:paraId="02E4EC14" w14:textId="27CEE019" w:rsidR="000F2D0C" w:rsidRPr="005F4278" w:rsidRDefault="000F2D0C" w:rsidP="000F2D0C">
      <w:pPr>
        <w:pStyle w:val="format"/>
        <w:spacing w:before="120" w:line="240" w:lineRule="auto"/>
        <w:ind w:firstLine="0"/>
        <w:jc w:val="center"/>
      </w:pPr>
      <w:bookmarkStart w:id="28" w:name="_Toc170638703"/>
      <w:r w:rsidRPr="005F4278">
        <w:lastRenderedPageBreak/>
        <w:t xml:space="preserve">Graf </w:t>
      </w:r>
      <w:r w:rsidR="00B85F38">
        <w:fldChar w:fldCharType="begin"/>
      </w:r>
      <w:r w:rsidR="00B85F38">
        <w:instrText xml:space="preserve"> SEQ Graf \* ARABIC </w:instrText>
      </w:r>
      <w:r w:rsidR="00B85F38">
        <w:fldChar w:fldCharType="separate"/>
      </w:r>
      <w:r w:rsidR="007460C5">
        <w:rPr>
          <w:noProof/>
        </w:rPr>
        <w:t>4</w:t>
      </w:r>
      <w:r w:rsidR="00B85F38">
        <w:rPr>
          <w:noProof/>
        </w:rPr>
        <w:fldChar w:fldCharType="end"/>
      </w:r>
      <w:r w:rsidRPr="005F4278">
        <w:t xml:space="preserve">: </w:t>
      </w:r>
      <w:r>
        <w:t>KSZ Ostrava – konkrétní trestné činy</w:t>
      </w:r>
      <w:bookmarkEnd w:id="28"/>
    </w:p>
    <w:p w14:paraId="615BEACF" w14:textId="037F115A" w:rsidR="00D551B1" w:rsidRDefault="00EB4CE8" w:rsidP="000F2D0C">
      <w:pPr>
        <w:spacing w:after="0" w:line="240" w:lineRule="auto"/>
        <w:jc w:val="center"/>
        <w:rPr>
          <w:rFonts w:ascii="Times New Roman" w:hAnsi="Times New Roman"/>
          <w:sz w:val="24"/>
          <w:szCs w:val="24"/>
        </w:rPr>
      </w:pPr>
      <w:r>
        <w:rPr>
          <w:rFonts w:ascii="Times New Roman" w:hAnsi="Times New Roman"/>
          <w:noProof/>
        </w:rPr>
        <w:drawing>
          <wp:inline distT="0" distB="0" distL="0" distR="0" wp14:anchorId="477AC692" wp14:editId="0FCB024B">
            <wp:extent cx="5760000" cy="2700000"/>
            <wp:effectExtent l="0" t="0" r="12700" b="24765"/>
            <wp:docPr id="4" name="obráze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24530C" w14:textId="77777777" w:rsidR="000F2D0C" w:rsidRDefault="000F2D0C" w:rsidP="000F2D0C">
      <w:pPr>
        <w:pStyle w:val="format"/>
        <w:spacing w:after="120"/>
        <w:ind w:firstLine="0"/>
        <w:jc w:val="center"/>
      </w:pPr>
      <w:r>
        <w:t>Zdroj: vlastní zpracování</w:t>
      </w:r>
    </w:p>
    <w:p w14:paraId="6FC3E0EB" w14:textId="7EB7908F" w:rsidR="00003243" w:rsidRPr="00E943B1" w:rsidRDefault="00A8190C" w:rsidP="000F2D0C">
      <w:pPr>
        <w:pStyle w:val="format"/>
      </w:pPr>
      <w:r w:rsidRPr="00E943B1">
        <w:t xml:space="preserve">Nejčastější použití institutu spolupracujícího obviněného </w:t>
      </w:r>
      <w:r w:rsidR="00CD0FE5">
        <w:t>bylo vysledováno</w:t>
      </w:r>
      <w:r w:rsidR="00CD0FE5" w:rsidRPr="00E943B1">
        <w:t xml:space="preserve"> </w:t>
      </w:r>
      <w:r w:rsidRPr="00E943B1">
        <w:t>u trestného činu dle § 283 TZ, nedovolená výroba a jiné nakládání s</w:t>
      </w:r>
      <w:r w:rsidR="00E262D2">
        <w:t xml:space="preserve"> </w:t>
      </w:r>
      <w:r w:rsidRPr="00E943B1">
        <w:t>omamnými a psychotropními látkami a</w:t>
      </w:r>
      <w:r w:rsidR="00E55BA8">
        <w:t> </w:t>
      </w:r>
      <w:r w:rsidRPr="00E943B1">
        <w:t>s</w:t>
      </w:r>
      <w:r w:rsidR="00E55BA8">
        <w:t> </w:t>
      </w:r>
      <w:r w:rsidRPr="00E943B1">
        <w:t>jedy</w:t>
      </w:r>
      <w:r w:rsidR="00BD0361">
        <w:t>,</w:t>
      </w:r>
      <w:r w:rsidR="00450832" w:rsidRPr="00E943B1">
        <w:rPr>
          <w:rStyle w:val="Znakapoznpodarou"/>
        </w:rPr>
        <w:footnoteReference w:id="52"/>
      </w:r>
      <w:r w:rsidRPr="00E943B1">
        <w:t xml:space="preserve"> který spadá pod již mnohokrát zmiňovanou Hlavu VII. TZ. </w:t>
      </w:r>
      <w:r w:rsidR="00450832" w:rsidRPr="00E943B1">
        <w:t>Dohromady bylo zaznamenáno 14 trestných činů dle § 283 TZ</w:t>
      </w:r>
      <w:r w:rsidR="00BD0361">
        <w:t>, a to</w:t>
      </w:r>
      <w:r w:rsidR="00450832" w:rsidRPr="00E943B1">
        <w:t xml:space="preserve"> z</w:t>
      </w:r>
      <w:r w:rsidR="00E262D2">
        <w:t xml:space="preserve"> </w:t>
      </w:r>
      <w:r w:rsidR="00450832" w:rsidRPr="00E943B1">
        <w:t>celkového množství 22 trestných činů. Nutno podotknout, že ani v</w:t>
      </w:r>
      <w:r w:rsidR="00E262D2">
        <w:t xml:space="preserve"> </w:t>
      </w:r>
      <w:r w:rsidR="00450832" w:rsidRPr="00E943B1">
        <w:t>jednom ze 14 případů se nejednalo o základní skutkovou podstatu, nýbrž o</w:t>
      </w:r>
      <w:r w:rsidR="00E55BA8">
        <w:t> </w:t>
      </w:r>
      <w:r w:rsidR="00450832" w:rsidRPr="00E943B1">
        <w:t xml:space="preserve">kvalifikovanou skutkovou podstatu, a to konkrétně </w:t>
      </w:r>
      <w:r w:rsidR="00155AD9" w:rsidRPr="00E943B1">
        <w:t>odstav</w:t>
      </w:r>
      <w:r w:rsidR="00155AD9">
        <w:t>ce</w:t>
      </w:r>
      <w:r w:rsidR="00155AD9" w:rsidRPr="00E943B1">
        <w:t xml:space="preserve"> </w:t>
      </w:r>
      <w:r w:rsidR="00450832" w:rsidRPr="00E943B1">
        <w:t xml:space="preserve">3 a 4 předmětného ustanovení. </w:t>
      </w:r>
      <w:r w:rsidR="007335AF" w:rsidRPr="00E943B1">
        <w:t>Po</w:t>
      </w:r>
      <w:r w:rsidR="00E55BA8">
        <w:t> </w:t>
      </w:r>
      <w:r w:rsidR="007335AF" w:rsidRPr="00E943B1">
        <w:t>podrobnější analýze získaných dat jsem zjistil, že ze 14 případů vznesení obžaloby pro trestné činy dle § 283 TZ byla vznesena obžaloba vůči obviněnému pro trestný čin dle § 283 odst. 4 písm.) c</w:t>
      </w:r>
      <w:r w:rsidR="00C0151A">
        <w:t>,</w:t>
      </w:r>
      <w:r w:rsidR="007335AF" w:rsidRPr="00E943B1">
        <w:rPr>
          <w:rStyle w:val="Znakapoznpodarou"/>
        </w:rPr>
        <w:footnoteReference w:id="53"/>
      </w:r>
      <w:r w:rsidR="00F729C6">
        <w:t xml:space="preserve"> </w:t>
      </w:r>
      <w:r w:rsidR="00B32072">
        <w:t xml:space="preserve">celkem </w:t>
      </w:r>
      <w:r w:rsidR="00F97626">
        <w:t>7x</w:t>
      </w:r>
      <w:r w:rsidR="00B32072">
        <w:t>.</w:t>
      </w:r>
    </w:p>
    <w:p w14:paraId="67C00BE2" w14:textId="36CEC2C4" w:rsidR="00003243" w:rsidRPr="00E943B1" w:rsidRDefault="00411EA6" w:rsidP="00B32072">
      <w:pPr>
        <w:pStyle w:val="Nadpis3"/>
      </w:pPr>
      <w:bookmarkStart w:id="29" w:name="_Toc170638003"/>
      <w:r w:rsidRPr="00E943B1">
        <w:t>Výzkum z</w:t>
      </w:r>
      <w:r w:rsidR="00E262D2">
        <w:t xml:space="preserve"> </w:t>
      </w:r>
      <w:r w:rsidRPr="00E943B1">
        <w:t>roku 2018</w:t>
      </w:r>
      <w:bookmarkEnd w:id="29"/>
    </w:p>
    <w:p w14:paraId="4529D75B" w14:textId="0A903756" w:rsidR="00B32072" w:rsidRDefault="00003243" w:rsidP="00B32072">
      <w:pPr>
        <w:pStyle w:val="format"/>
      </w:pPr>
      <w:r w:rsidRPr="00E943B1">
        <w:t xml:space="preserve">Rád bych </w:t>
      </w:r>
      <w:r w:rsidR="00411EA6" w:rsidRPr="00E943B1">
        <w:t xml:space="preserve">zmínil </w:t>
      </w:r>
      <w:r w:rsidRPr="00E943B1">
        <w:t xml:space="preserve">výzkum četnosti </w:t>
      </w:r>
      <w:r w:rsidR="00E67711" w:rsidRPr="00E943B1">
        <w:t xml:space="preserve">použití </w:t>
      </w:r>
      <w:r w:rsidRPr="00E943B1">
        <w:t xml:space="preserve">institutu </w:t>
      </w:r>
      <w:r w:rsidR="00803B5A">
        <w:t>s</w:t>
      </w:r>
      <w:r w:rsidR="00803B5A" w:rsidRPr="00E943B1">
        <w:t>polupracující</w:t>
      </w:r>
      <w:r w:rsidR="00803B5A">
        <w:t>ho</w:t>
      </w:r>
      <w:r w:rsidR="00803B5A" w:rsidRPr="00E943B1">
        <w:t xml:space="preserve"> obviněn</w:t>
      </w:r>
      <w:r w:rsidR="00803B5A">
        <w:t>ého</w:t>
      </w:r>
      <w:r w:rsidR="00803B5A" w:rsidRPr="00E943B1">
        <w:t xml:space="preserve"> </w:t>
      </w:r>
      <w:r w:rsidRPr="00E943B1">
        <w:t>paní doktorky Budayové z</w:t>
      </w:r>
      <w:r w:rsidR="00E262D2">
        <w:t xml:space="preserve"> </w:t>
      </w:r>
      <w:r w:rsidRPr="00E943B1">
        <w:t xml:space="preserve">roku 2018, který </w:t>
      </w:r>
      <w:r w:rsidR="00803B5A">
        <w:t>byl publikován</w:t>
      </w:r>
      <w:r w:rsidR="00803B5A" w:rsidRPr="00E943B1">
        <w:t xml:space="preserve"> </w:t>
      </w:r>
      <w:r w:rsidRPr="00E943B1">
        <w:t>v</w:t>
      </w:r>
      <w:r w:rsidR="00E262D2">
        <w:t xml:space="preserve"> </w:t>
      </w:r>
      <w:r w:rsidRPr="00E943B1">
        <w:t xml:space="preserve">rámci </w:t>
      </w:r>
      <w:r w:rsidR="0095160F">
        <w:t xml:space="preserve">odborného právnického portálu </w:t>
      </w:r>
      <w:r w:rsidRPr="00E943B1">
        <w:t>Bulletin</w:t>
      </w:r>
      <w:r w:rsidR="0095160F">
        <w:t xml:space="preserve"> </w:t>
      </w:r>
      <w:r w:rsidRPr="00E943B1">
        <w:t>advokacie.</w:t>
      </w:r>
      <w:r w:rsidR="00E67711" w:rsidRPr="00E943B1">
        <w:rPr>
          <w:rStyle w:val="Znakapoznpodarou"/>
        </w:rPr>
        <w:footnoteReference w:id="54"/>
      </w:r>
      <w:r w:rsidR="00032EF4" w:rsidRPr="00E943B1">
        <w:t xml:space="preserve"> </w:t>
      </w:r>
      <w:r w:rsidR="00E67711" w:rsidRPr="00E943B1">
        <w:t xml:space="preserve">Pro účely </w:t>
      </w:r>
      <w:r w:rsidR="00827B4A">
        <w:t xml:space="preserve">této </w:t>
      </w:r>
      <w:r w:rsidR="00E67711" w:rsidRPr="00E943B1">
        <w:t xml:space="preserve">diplomové práce jsem přetransformoval data </w:t>
      </w:r>
      <w:r w:rsidR="00486C06" w:rsidRPr="00E943B1">
        <w:t xml:space="preserve">získaná </w:t>
      </w:r>
      <w:r w:rsidR="00E67711" w:rsidRPr="00E943B1">
        <w:t>pa</w:t>
      </w:r>
      <w:r w:rsidR="00B32072">
        <w:t xml:space="preserve">ní </w:t>
      </w:r>
      <w:r w:rsidR="00486C06">
        <w:t>doktorkou Budayovou</w:t>
      </w:r>
      <w:r w:rsidR="00B32072">
        <w:t xml:space="preserve"> do </w:t>
      </w:r>
      <w:r w:rsidR="008E2B7A">
        <w:t xml:space="preserve">následujícího </w:t>
      </w:r>
      <w:r w:rsidR="00B32072">
        <w:t>grafu.</w:t>
      </w:r>
    </w:p>
    <w:p w14:paraId="2658AC28" w14:textId="7C2A62B8" w:rsidR="00400527" w:rsidRPr="005F4278" w:rsidRDefault="00400527" w:rsidP="00400527">
      <w:pPr>
        <w:pStyle w:val="format"/>
        <w:spacing w:before="120" w:line="240" w:lineRule="auto"/>
        <w:ind w:firstLine="0"/>
        <w:jc w:val="center"/>
      </w:pPr>
      <w:bookmarkStart w:id="30" w:name="_Toc170638704"/>
      <w:r w:rsidRPr="005F4278">
        <w:lastRenderedPageBreak/>
        <w:t xml:space="preserve">Graf </w:t>
      </w:r>
      <w:r w:rsidR="00B85F38">
        <w:fldChar w:fldCharType="begin"/>
      </w:r>
      <w:r w:rsidR="00B85F38">
        <w:instrText xml:space="preserve"> SEQ Graf \* ARABIC </w:instrText>
      </w:r>
      <w:r w:rsidR="00B85F38">
        <w:fldChar w:fldCharType="separate"/>
      </w:r>
      <w:r w:rsidR="007460C5">
        <w:rPr>
          <w:noProof/>
        </w:rPr>
        <w:t>5</w:t>
      </w:r>
      <w:r w:rsidR="00B85F38">
        <w:rPr>
          <w:noProof/>
        </w:rPr>
        <w:fldChar w:fldCharType="end"/>
      </w:r>
      <w:r w:rsidRPr="005F4278">
        <w:t xml:space="preserve">: </w:t>
      </w:r>
      <w:r>
        <w:t xml:space="preserve">KSZ Ostrava – Četnost SO od roku 2010 do </w:t>
      </w:r>
      <w:r w:rsidR="00503557">
        <w:t xml:space="preserve">roku </w:t>
      </w:r>
      <w:r w:rsidRPr="00400527">
        <w:t>2015</w:t>
      </w:r>
      <w:bookmarkEnd w:id="30"/>
    </w:p>
    <w:p w14:paraId="5E7F1F81" w14:textId="0CF04DE8" w:rsidR="00E67711" w:rsidRPr="00E943B1" w:rsidRDefault="00EB4CE8" w:rsidP="00F56F92">
      <w:pPr>
        <w:pStyle w:val="format"/>
        <w:spacing w:line="240" w:lineRule="auto"/>
        <w:ind w:firstLine="0"/>
        <w:rPr>
          <w:noProof/>
        </w:rPr>
      </w:pPr>
      <w:r>
        <w:rPr>
          <w:noProof/>
        </w:rPr>
        <w:drawing>
          <wp:inline distT="0" distB="0" distL="0" distR="0" wp14:anchorId="3C3CD6DF" wp14:editId="1FB35F52">
            <wp:extent cx="5721985" cy="3133090"/>
            <wp:effectExtent l="0" t="0" r="12065" b="10160"/>
            <wp:docPr id="5" name="obráze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636CC5" w14:textId="77777777" w:rsidR="00F56F92" w:rsidRDefault="00F56F92" w:rsidP="00F56F92">
      <w:pPr>
        <w:pStyle w:val="format"/>
        <w:spacing w:after="120"/>
        <w:ind w:firstLine="0"/>
        <w:jc w:val="center"/>
      </w:pPr>
      <w:r>
        <w:t>Zdroj: vlastní zpracování</w:t>
      </w:r>
    </w:p>
    <w:p w14:paraId="32D4E788" w14:textId="77777777" w:rsidR="00F56F92" w:rsidRDefault="00486C06" w:rsidP="0025479B">
      <w:pPr>
        <w:pStyle w:val="format"/>
        <w:rPr>
          <w:noProof/>
        </w:rPr>
      </w:pPr>
      <w:r>
        <w:rPr>
          <w:noProof/>
        </w:rPr>
        <w:t>Ve svém</w:t>
      </w:r>
      <w:r w:rsidR="00411EA6" w:rsidRPr="00E943B1">
        <w:rPr>
          <w:noProof/>
        </w:rPr>
        <w:t xml:space="preserve"> výzkumu </w:t>
      </w:r>
      <w:r w:rsidR="00A25058">
        <w:rPr>
          <w:noProof/>
        </w:rPr>
        <w:t>dospěla</w:t>
      </w:r>
      <w:r w:rsidR="00A25058" w:rsidRPr="00E943B1">
        <w:rPr>
          <w:noProof/>
        </w:rPr>
        <w:t xml:space="preserve"> </w:t>
      </w:r>
      <w:r w:rsidR="00411EA6" w:rsidRPr="00E943B1">
        <w:rPr>
          <w:noProof/>
        </w:rPr>
        <w:t>doktorka Budayová k</w:t>
      </w:r>
      <w:r w:rsidR="00E262D2">
        <w:rPr>
          <w:noProof/>
        </w:rPr>
        <w:t xml:space="preserve"> </w:t>
      </w:r>
      <w:r w:rsidR="00411EA6" w:rsidRPr="00E943B1">
        <w:rPr>
          <w:noProof/>
        </w:rPr>
        <w:t>následujícím závěrům. Zjistila, že v</w:t>
      </w:r>
      <w:r w:rsidR="00F56F92">
        <w:rPr>
          <w:noProof/>
        </w:rPr>
        <w:t> </w:t>
      </w:r>
      <w:r w:rsidR="00411EA6" w:rsidRPr="00E943B1">
        <w:rPr>
          <w:noProof/>
        </w:rPr>
        <w:t>rámci České republiky byl předmětný institut použit celkem u 47 osob</w:t>
      </w:r>
      <w:r w:rsidR="004906B5">
        <w:rPr>
          <w:noProof/>
        </w:rPr>
        <w:t>.</w:t>
      </w:r>
      <w:r w:rsidR="0089242C" w:rsidRPr="00E943B1">
        <w:rPr>
          <w:rStyle w:val="Znakapoznpodarou"/>
          <w:noProof/>
        </w:rPr>
        <w:footnoteReference w:id="55"/>
      </w:r>
    </w:p>
    <w:p w14:paraId="22C3D8BC" w14:textId="244D36BE" w:rsidR="006B188D" w:rsidRPr="00E943B1" w:rsidRDefault="00411EA6" w:rsidP="0025479B">
      <w:pPr>
        <w:pStyle w:val="format"/>
        <w:rPr>
          <w:noProof/>
        </w:rPr>
      </w:pPr>
      <w:r w:rsidRPr="00E943B1">
        <w:rPr>
          <w:noProof/>
        </w:rPr>
        <w:t xml:space="preserve">Nejvíce </w:t>
      </w:r>
      <w:r w:rsidR="004906B5">
        <w:rPr>
          <w:noProof/>
        </w:rPr>
        <w:t xml:space="preserve">přitom </w:t>
      </w:r>
      <w:r w:rsidRPr="00E943B1">
        <w:rPr>
          <w:noProof/>
        </w:rPr>
        <w:t>dominoval</w:t>
      </w:r>
      <w:r w:rsidR="00FE76DF" w:rsidRPr="00E943B1">
        <w:rPr>
          <w:noProof/>
        </w:rPr>
        <w:t>o</w:t>
      </w:r>
      <w:r w:rsidRPr="00E943B1">
        <w:rPr>
          <w:noProof/>
        </w:rPr>
        <w:t xml:space="preserve"> použití institutu u trestných činů dle Hlavy VII. TZ, a to konkrétně pro trestný čin dle § 283 (celkem 10 případů), nedovolená výroba a jiné nakládání s</w:t>
      </w:r>
      <w:r w:rsidR="00F56F92">
        <w:rPr>
          <w:noProof/>
        </w:rPr>
        <w:t> </w:t>
      </w:r>
      <w:r w:rsidRPr="00E943B1">
        <w:rPr>
          <w:noProof/>
        </w:rPr>
        <w:t>omamnými a psychotropními látkami a s</w:t>
      </w:r>
      <w:r w:rsidR="00073C2D">
        <w:rPr>
          <w:noProof/>
        </w:rPr>
        <w:t xml:space="preserve"> </w:t>
      </w:r>
      <w:r w:rsidRPr="00E943B1">
        <w:rPr>
          <w:noProof/>
        </w:rPr>
        <w:t>jedy</w:t>
      </w:r>
      <w:r w:rsidR="00A91C34">
        <w:rPr>
          <w:noProof/>
        </w:rPr>
        <w:t>.</w:t>
      </w:r>
      <w:r w:rsidR="0089242C" w:rsidRPr="00E943B1">
        <w:rPr>
          <w:rStyle w:val="Znakapoznpodarou"/>
          <w:noProof/>
        </w:rPr>
        <w:footnoteReference w:id="56"/>
      </w:r>
      <w:r w:rsidRPr="00E943B1">
        <w:rPr>
          <w:noProof/>
        </w:rPr>
        <w:t xml:space="preserve"> Na druhém místě se pak používal předmětný</w:t>
      </w:r>
      <w:r w:rsidR="00F56F92">
        <w:rPr>
          <w:noProof/>
        </w:rPr>
        <w:t> </w:t>
      </w:r>
      <w:r w:rsidRPr="00E943B1">
        <w:rPr>
          <w:noProof/>
        </w:rPr>
        <w:t xml:space="preserve">institut u trestných činů dle Hlavy </w:t>
      </w:r>
      <w:r w:rsidR="00032EF4" w:rsidRPr="00E943B1">
        <w:rPr>
          <w:noProof/>
        </w:rPr>
        <w:t>V</w:t>
      </w:r>
      <w:r w:rsidRPr="00E943B1">
        <w:rPr>
          <w:noProof/>
        </w:rPr>
        <w:t>. TZ, a to u trestného činu krádeže dle § 205 TZ</w:t>
      </w:r>
      <w:r w:rsidR="0089242C" w:rsidRPr="00E943B1">
        <w:rPr>
          <w:rStyle w:val="Znakapoznpodarou"/>
          <w:noProof/>
        </w:rPr>
        <w:footnoteReference w:id="57"/>
      </w:r>
      <w:r w:rsidR="0089242C" w:rsidRPr="00E943B1">
        <w:rPr>
          <w:noProof/>
        </w:rPr>
        <w:t xml:space="preserve"> </w:t>
      </w:r>
      <w:r w:rsidRPr="00E943B1">
        <w:rPr>
          <w:noProof/>
        </w:rPr>
        <w:t>(celkem 4 případy).</w:t>
      </w:r>
      <w:r w:rsidR="006B188D" w:rsidRPr="00E943B1">
        <w:rPr>
          <w:noProof/>
        </w:rPr>
        <w:t xml:space="preserve"> </w:t>
      </w:r>
      <w:r w:rsidR="0089242C" w:rsidRPr="00E943B1">
        <w:rPr>
          <w:noProof/>
        </w:rPr>
        <w:t xml:space="preserve">Nejčastěji se </w:t>
      </w:r>
      <w:r w:rsidR="00A91C34">
        <w:rPr>
          <w:noProof/>
        </w:rPr>
        <w:t xml:space="preserve">pak </w:t>
      </w:r>
      <w:r w:rsidR="0089242C" w:rsidRPr="00E943B1">
        <w:rPr>
          <w:noProof/>
        </w:rPr>
        <w:t>institut využíval u krajských státních zastupitels</w:t>
      </w:r>
      <w:r w:rsidR="00734A20">
        <w:rPr>
          <w:noProof/>
        </w:rPr>
        <w:t>t</w:t>
      </w:r>
      <w:r w:rsidR="0089242C" w:rsidRPr="00E943B1">
        <w:rPr>
          <w:noProof/>
        </w:rPr>
        <w:t>ví, kde bylo zaznamenáno celkem 35 osob</w:t>
      </w:r>
      <w:r w:rsidR="00A91C34">
        <w:rPr>
          <w:noProof/>
        </w:rPr>
        <w:t>,</w:t>
      </w:r>
      <w:r w:rsidR="0089242C" w:rsidRPr="00E943B1">
        <w:rPr>
          <w:noProof/>
        </w:rPr>
        <w:t xml:space="preserve"> </w:t>
      </w:r>
      <w:r w:rsidR="00A91C34">
        <w:rPr>
          <w:noProof/>
        </w:rPr>
        <w:t>přičemž</w:t>
      </w:r>
      <w:r w:rsidR="00A91C34" w:rsidRPr="00E943B1">
        <w:rPr>
          <w:noProof/>
        </w:rPr>
        <w:t xml:space="preserve"> </w:t>
      </w:r>
      <w:r w:rsidR="0089242C" w:rsidRPr="00E943B1">
        <w:rPr>
          <w:noProof/>
        </w:rPr>
        <w:t>z</w:t>
      </w:r>
      <w:r w:rsidR="00E262D2">
        <w:rPr>
          <w:noProof/>
        </w:rPr>
        <w:t xml:space="preserve"> </w:t>
      </w:r>
      <w:r w:rsidR="0089242C" w:rsidRPr="00E943B1">
        <w:rPr>
          <w:noProof/>
        </w:rPr>
        <w:t xml:space="preserve">těchto 35 osob byl celkem 16x použit </w:t>
      </w:r>
      <w:r w:rsidR="006B188D" w:rsidRPr="00E943B1">
        <w:rPr>
          <w:noProof/>
        </w:rPr>
        <w:t xml:space="preserve">institut </w:t>
      </w:r>
      <w:r w:rsidR="00AD035C">
        <w:rPr>
          <w:noProof/>
        </w:rPr>
        <w:t>s</w:t>
      </w:r>
      <w:r w:rsidR="00AD035C" w:rsidRPr="00E943B1">
        <w:rPr>
          <w:noProof/>
        </w:rPr>
        <w:t>polupracující</w:t>
      </w:r>
      <w:r w:rsidR="00AD035C">
        <w:rPr>
          <w:noProof/>
        </w:rPr>
        <w:t>ho</w:t>
      </w:r>
      <w:r w:rsidR="00AD035C" w:rsidRPr="00E943B1">
        <w:rPr>
          <w:noProof/>
        </w:rPr>
        <w:t xml:space="preserve"> obviněn</w:t>
      </w:r>
      <w:r w:rsidR="00AD035C">
        <w:rPr>
          <w:noProof/>
        </w:rPr>
        <w:t>ého</w:t>
      </w:r>
      <w:r w:rsidR="00AD035C" w:rsidRPr="00E943B1">
        <w:rPr>
          <w:noProof/>
        </w:rPr>
        <w:t xml:space="preserve"> </w:t>
      </w:r>
      <w:r w:rsidR="0089242C" w:rsidRPr="00E943B1">
        <w:rPr>
          <w:noProof/>
        </w:rPr>
        <w:t xml:space="preserve">u </w:t>
      </w:r>
      <w:r w:rsidR="00AD035C">
        <w:rPr>
          <w:noProof/>
        </w:rPr>
        <w:t>K</w:t>
      </w:r>
      <w:r w:rsidR="00AD035C" w:rsidRPr="00E943B1">
        <w:rPr>
          <w:noProof/>
        </w:rPr>
        <w:t xml:space="preserve">rajského </w:t>
      </w:r>
      <w:r w:rsidR="0089242C" w:rsidRPr="00E943B1">
        <w:rPr>
          <w:noProof/>
        </w:rPr>
        <w:t>státního zastupitelství v</w:t>
      </w:r>
      <w:r w:rsidR="00E262D2">
        <w:rPr>
          <w:noProof/>
        </w:rPr>
        <w:t xml:space="preserve"> </w:t>
      </w:r>
      <w:r w:rsidR="0089242C" w:rsidRPr="00E943B1">
        <w:rPr>
          <w:noProof/>
        </w:rPr>
        <w:t>Ústí nad Labem</w:t>
      </w:r>
      <w:r w:rsidR="006B188D" w:rsidRPr="00E943B1">
        <w:rPr>
          <w:noProof/>
        </w:rPr>
        <w:t>.</w:t>
      </w:r>
      <w:r w:rsidR="006B188D" w:rsidRPr="00E943B1">
        <w:rPr>
          <w:rStyle w:val="Znakapoznpodarou"/>
          <w:noProof/>
        </w:rPr>
        <w:footnoteReference w:id="58"/>
      </w:r>
    </w:p>
    <w:p w14:paraId="05A799BD" w14:textId="6C3E065B" w:rsidR="006B188D" w:rsidRPr="0025479B" w:rsidRDefault="00991835" w:rsidP="0025479B">
      <w:pPr>
        <w:pStyle w:val="Nadpis3"/>
      </w:pPr>
      <w:bookmarkStart w:id="31" w:name="_Toc170638004"/>
      <w:r w:rsidRPr="0025479B">
        <w:t>Dílčí závěr k</w:t>
      </w:r>
      <w:r w:rsidR="00E262D2" w:rsidRPr="0025479B">
        <w:t xml:space="preserve"> </w:t>
      </w:r>
      <w:r w:rsidRPr="0025479B">
        <w:t>výzkumům četnosti institutu</w:t>
      </w:r>
      <w:bookmarkEnd w:id="31"/>
    </w:p>
    <w:p w14:paraId="18E96713" w14:textId="2C7BCC3D" w:rsidR="006B188D" w:rsidRPr="00E943B1" w:rsidRDefault="006B188D" w:rsidP="0025479B">
      <w:pPr>
        <w:pStyle w:val="format"/>
      </w:pPr>
      <w:r w:rsidRPr="00E943B1">
        <w:t>V</w:t>
      </w:r>
      <w:r w:rsidR="00E262D2">
        <w:t xml:space="preserve"> </w:t>
      </w:r>
      <w:r w:rsidRPr="00E943B1">
        <w:t xml:space="preserve">obou výzkumech byl institut </w:t>
      </w:r>
      <w:r w:rsidR="00A85A5D">
        <w:t>s</w:t>
      </w:r>
      <w:r w:rsidR="00A85A5D" w:rsidRPr="00E943B1">
        <w:t>polupracující</w:t>
      </w:r>
      <w:r w:rsidR="00A85A5D">
        <w:t>ho</w:t>
      </w:r>
      <w:r w:rsidR="00A85A5D" w:rsidRPr="00E943B1">
        <w:t xml:space="preserve"> obviněn</w:t>
      </w:r>
      <w:r w:rsidR="00A85A5D">
        <w:t>ého</w:t>
      </w:r>
      <w:r w:rsidR="00A85A5D" w:rsidRPr="00E943B1">
        <w:t xml:space="preserve"> </w:t>
      </w:r>
      <w:r w:rsidRPr="00E943B1">
        <w:t>nejčastěji využíván u</w:t>
      </w:r>
      <w:r w:rsidR="00F56F92">
        <w:t> </w:t>
      </w:r>
      <w:r w:rsidR="00A85A5D">
        <w:t>K</w:t>
      </w:r>
      <w:r w:rsidR="00A85A5D" w:rsidRPr="00E943B1">
        <w:t xml:space="preserve">rajského </w:t>
      </w:r>
      <w:r w:rsidRPr="00E943B1">
        <w:t>státního zastupitelství v</w:t>
      </w:r>
      <w:r w:rsidR="00E262D2">
        <w:t xml:space="preserve"> </w:t>
      </w:r>
      <w:r w:rsidRPr="00E943B1">
        <w:t>Ústí nad Labem. Shodně byl taktéž používán v</w:t>
      </w:r>
      <w:r w:rsidR="00E262D2">
        <w:t xml:space="preserve"> </w:t>
      </w:r>
      <w:r w:rsidRPr="00E943B1">
        <w:t xml:space="preserve">rámci trestné </w:t>
      </w:r>
      <w:r w:rsidRPr="00E943B1">
        <w:lastRenderedPageBreak/>
        <w:t>činnosti dle Hlavy VII. TZ, a to konkrétně</w:t>
      </w:r>
      <w:r w:rsidR="003816E6" w:rsidRPr="00E943B1">
        <w:t xml:space="preserve"> u trestného činu dle § 283, nedovolená výroba a jiné nakládání s</w:t>
      </w:r>
      <w:r w:rsidR="00E262D2">
        <w:t xml:space="preserve"> </w:t>
      </w:r>
      <w:r w:rsidR="003816E6" w:rsidRPr="00E943B1">
        <w:t xml:space="preserve">omamnými a psychotropními látkami a </w:t>
      </w:r>
      <w:r w:rsidR="00A85A5D">
        <w:t xml:space="preserve">s </w:t>
      </w:r>
      <w:r w:rsidR="003816E6" w:rsidRPr="00E943B1">
        <w:t>jedy.</w:t>
      </w:r>
      <w:r w:rsidR="003816E6" w:rsidRPr="00E943B1">
        <w:rPr>
          <w:rStyle w:val="Znakapoznpodarou"/>
        </w:rPr>
        <w:footnoteReference w:id="59"/>
      </w:r>
      <w:r w:rsidR="003816E6" w:rsidRPr="00E943B1">
        <w:t xml:space="preserve"> V</w:t>
      </w:r>
      <w:r w:rsidR="00E262D2">
        <w:t xml:space="preserve"> </w:t>
      </w:r>
      <w:r w:rsidR="003816E6" w:rsidRPr="00E943B1">
        <w:t xml:space="preserve">dalších případech se již výzkumy rozchází. Nutno také podotknout, že </w:t>
      </w:r>
      <w:r w:rsidR="00BD03A4">
        <w:t>ve</w:t>
      </w:r>
      <w:r w:rsidR="003816E6" w:rsidRPr="00E943B1">
        <w:t xml:space="preserve"> výzkumu doktorky Budayové není zahrnuto Městské státní zastupitelství </w:t>
      </w:r>
      <w:r w:rsidR="002D1E4A">
        <w:t xml:space="preserve">v </w:t>
      </w:r>
      <w:r w:rsidR="002D1E4A" w:rsidRPr="00E943B1">
        <w:t>Pra</w:t>
      </w:r>
      <w:r w:rsidR="002D1E4A">
        <w:t>ze</w:t>
      </w:r>
      <w:r w:rsidR="002D1E4A" w:rsidRPr="00E943B1">
        <w:t xml:space="preserve"> </w:t>
      </w:r>
      <w:r w:rsidR="003816E6" w:rsidRPr="00E943B1">
        <w:t xml:space="preserve">a </w:t>
      </w:r>
      <w:r w:rsidR="002D1E4A">
        <w:t>K</w:t>
      </w:r>
      <w:r w:rsidR="002D1E4A" w:rsidRPr="00E943B1">
        <w:t xml:space="preserve">rajské </w:t>
      </w:r>
      <w:r w:rsidR="003816E6" w:rsidRPr="00E943B1">
        <w:t>státní zastupitelství v</w:t>
      </w:r>
      <w:r w:rsidR="00E262D2">
        <w:t xml:space="preserve"> </w:t>
      </w:r>
      <w:r w:rsidR="0025479B">
        <w:t>Brně.</w:t>
      </w:r>
    </w:p>
    <w:p w14:paraId="3E4AD350" w14:textId="515333BB" w:rsidR="003816E6" w:rsidRPr="00E943B1" w:rsidRDefault="00C34E12" w:rsidP="0025479B">
      <w:pPr>
        <w:pStyle w:val="format"/>
      </w:pPr>
      <w:r w:rsidRPr="00E943B1">
        <w:t>Na základě všech dostupných informací a zjištění z</w:t>
      </w:r>
      <w:r w:rsidR="00E262D2">
        <w:t xml:space="preserve"> </w:t>
      </w:r>
      <w:r w:rsidRPr="00E943B1">
        <w:t xml:space="preserve">obou výzkumů lze </w:t>
      </w:r>
      <w:r w:rsidR="002D1E4A">
        <w:t>konstatovat</w:t>
      </w:r>
      <w:r w:rsidRPr="00E943B1">
        <w:t>, že využití institutu spolupracující</w:t>
      </w:r>
      <w:r w:rsidR="00DD0CD6">
        <w:t>ho</w:t>
      </w:r>
      <w:r w:rsidRPr="00E943B1">
        <w:t xml:space="preserve"> </w:t>
      </w:r>
      <w:r w:rsidR="00DD0CD6" w:rsidRPr="00E943B1">
        <w:t>obviněn</w:t>
      </w:r>
      <w:r w:rsidR="00DD0CD6">
        <w:t>ého</w:t>
      </w:r>
      <w:r w:rsidR="00DD0CD6" w:rsidRPr="00E943B1">
        <w:t xml:space="preserve"> </w:t>
      </w:r>
      <w:r w:rsidRPr="00E943B1">
        <w:t xml:space="preserve">má </w:t>
      </w:r>
      <w:r w:rsidR="00D51C25">
        <w:t xml:space="preserve">jednoznačně </w:t>
      </w:r>
      <w:r w:rsidRPr="00E943B1">
        <w:t>vzrůstající tendenci.</w:t>
      </w:r>
      <w:r w:rsidR="00A519BD" w:rsidRPr="00E943B1">
        <w:t xml:space="preserve"> </w:t>
      </w:r>
      <w:r w:rsidR="00DD0CD6">
        <w:t>K té</w:t>
      </w:r>
      <w:r w:rsidR="00DD0CD6" w:rsidRPr="00E943B1">
        <w:t xml:space="preserve"> </w:t>
      </w:r>
      <w:r w:rsidR="00A519BD" w:rsidRPr="00E943B1">
        <w:t xml:space="preserve">rozhodně napomohla </w:t>
      </w:r>
      <w:r w:rsidR="00DD0CD6">
        <w:t xml:space="preserve">i </w:t>
      </w:r>
      <w:r w:rsidR="00A519BD" w:rsidRPr="00E943B1">
        <w:t xml:space="preserve">neustálá snaha o zlepšení </w:t>
      </w:r>
      <w:r w:rsidR="007042A5">
        <w:t>sledovaného</w:t>
      </w:r>
      <w:r w:rsidR="007042A5" w:rsidRPr="00E943B1">
        <w:t xml:space="preserve"> </w:t>
      </w:r>
      <w:r w:rsidR="00A519BD" w:rsidRPr="00E943B1">
        <w:t>institutu. Novela provedená zákonem č.</w:t>
      </w:r>
      <w:r w:rsidR="006C44A4">
        <w:t> </w:t>
      </w:r>
      <w:r w:rsidR="00A519BD" w:rsidRPr="00E943B1">
        <w:t xml:space="preserve">333/2020 </w:t>
      </w:r>
      <w:r w:rsidR="0025479B">
        <w:t xml:space="preserve">Sb. </w:t>
      </w:r>
      <w:r w:rsidR="00A519BD" w:rsidRPr="00E943B1">
        <w:t xml:space="preserve">přinesla </w:t>
      </w:r>
      <w:r w:rsidR="000A01F6" w:rsidRPr="00E943B1">
        <w:t>další</w:t>
      </w:r>
      <w:r w:rsidR="00A519BD" w:rsidRPr="00E943B1">
        <w:t xml:space="preserve"> možnost označení v</w:t>
      </w:r>
      <w:r w:rsidR="00E262D2">
        <w:t xml:space="preserve"> </w:t>
      </w:r>
      <w:r w:rsidR="00A519BD" w:rsidRPr="00E943B1">
        <w:t>rámci dohody o vině a trestu. K</w:t>
      </w:r>
      <w:r w:rsidR="00E262D2">
        <w:t xml:space="preserve"> </w:t>
      </w:r>
      <w:r w:rsidR="00A519BD" w:rsidRPr="00E943B1">
        <w:t xml:space="preserve">využití označení za spolupracujícího </w:t>
      </w:r>
      <w:r w:rsidR="00DD0CD6">
        <w:t xml:space="preserve">obviněného </w:t>
      </w:r>
      <w:r w:rsidR="00A519BD" w:rsidRPr="00E943B1">
        <w:t xml:space="preserve">při jednání o dohodě o vině a trestu již přistoupilo </w:t>
      </w:r>
      <w:r w:rsidR="00974D76">
        <w:t xml:space="preserve">Krajské </w:t>
      </w:r>
      <w:r w:rsidR="00A519BD" w:rsidRPr="00E943B1">
        <w:t>státní zastupitelství v</w:t>
      </w:r>
      <w:r w:rsidR="00E262D2">
        <w:t xml:space="preserve"> </w:t>
      </w:r>
      <w:r w:rsidR="00A519BD" w:rsidRPr="00E943B1">
        <w:t>Brně.</w:t>
      </w:r>
      <w:r w:rsidR="00A519BD" w:rsidRPr="00E943B1">
        <w:rPr>
          <w:rStyle w:val="Znakapoznpodarou"/>
        </w:rPr>
        <w:footnoteReference w:id="60"/>
      </w:r>
    </w:p>
    <w:p w14:paraId="226A4FE7" w14:textId="57264CD3" w:rsidR="009D784B" w:rsidRPr="00E943B1" w:rsidRDefault="009D784B" w:rsidP="0025479B">
      <w:pPr>
        <w:pStyle w:val="format"/>
      </w:pPr>
      <w:r w:rsidRPr="00E943B1">
        <w:t xml:space="preserve">Bohužel na třetí otázku jsem získal odpovědi pouze </w:t>
      </w:r>
      <w:r w:rsidR="000A01F6">
        <w:t xml:space="preserve">od </w:t>
      </w:r>
      <w:r w:rsidR="00E864C3">
        <w:t>K</w:t>
      </w:r>
      <w:r w:rsidR="00E864C3" w:rsidRPr="00E943B1">
        <w:t xml:space="preserve">rajského </w:t>
      </w:r>
      <w:r w:rsidRPr="00E943B1">
        <w:t>státního zastupitelství v</w:t>
      </w:r>
      <w:r w:rsidR="006C44A4">
        <w:t> </w:t>
      </w:r>
      <w:r w:rsidRPr="00E943B1">
        <w:t>Brně</w:t>
      </w:r>
      <w:r w:rsidR="00D825CB" w:rsidRPr="00E943B1">
        <w:t>,</w:t>
      </w:r>
      <w:r w:rsidRPr="00E943B1">
        <w:t xml:space="preserve"> v</w:t>
      </w:r>
      <w:r w:rsidR="00E262D2">
        <w:t xml:space="preserve"> </w:t>
      </w:r>
      <w:r w:rsidRPr="00E943B1">
        <w:t>Praze</w:t>
      </w:r>
      <w:r w:rsidR="00D825CB" w:rsidRPr="00E943B1">
        <w:t xml:space="preserve"> a </w:t>
      </w:r>
      <w:r w:rsidR="00E864C3">
        <w:t xml:space="preserve">v </w:t>
      </w:r>
      <w:r w:rsidR="00D825CB" w:rsidRPr="00E943B1">
        <w:t>Českých Budějovic</w:t>
      </w:r>
      <w:r w:rsidR="00E864C3">
        <w:t>ích</w:t>
      </w:r>
      <w:r w:rsidRPr="00E943B1">
        <w:t xml:space="preserve">. Jednoznačně </w:t>
      </w:r>
      <w:r w:rsidR="00E864C3">
        <w:t xml:space="preserve">však </w:t>
      </w:r>
      <w:r w:rsidRPr="00E943B1">
        <w:t xml:space="preserve">na předmětnou otázku </w:t>
      </w:r>
      <w:r w:rsidR="00E864C3" w:rsidRPr="00E943B1">
        <w:t xml:space="preserve">odpovědělo </w:t>
      </w:r>
      <w:r w:rsidRPr="00E943B1">
        <w:t xml:space="preserve">pouze </w:t>
      </w:r>
      <w:r w:rsidR="00E864C3">
        <w:t>K</w:t>
      </w:r>
      <w:r w:rsidR="00E864C3" w:rsidRPr="00E943B1">
        <w:t xml:space="preserve">rajské </w:t>
      </w:r>
      <w:r w:rsidRPr="00E943B1">
        <w:t>státní zastupitelství v</w:t>
      </w:r>
      <w:r w:rsidR="00E262D2">
        <w:t xml:space="preserve"> </w:t>
      </w:r>
      <w:r w:rsidRPr="00E943B1">
        <w:t>Praze, kde iniciativa k</w:t>
      </w:r>
      <w:r w:rsidR="00E262D2">
        <w:t xml:space="preserve"> </w:t>
      </w:r>
      <w:r w:rsidRPr="00E943B1">
        <w:t>aplikaci institutu vycházela ze strany obhajoby</w:t>
      </w:r>
      <w:r w:rsidR="00E864C3">
        <w:t>,</w:t>
      </w:r>
      <w:r w:rsidR="00D825CB" w:rsidRPr="00E943B1">
        <w:t xml:space="preserve"> a </w:t>
      </w:r>
      <w:r w:rsidR="00E864C3">
        <w:t>dále K</w:t>
      </w:r>
      <w:r w:rsidR="00E864C3" w:rsidRPr="00E943B1">
        <w:t xml:space="preserve">rajské </w:t>
      </w:r>
      <w:r w:rsidR="00D825CB" w:rsidRPr="00E943B1">
        <w:t>státní zastupitelství v</w:t>
      </w:r>
      <w:r w:rsidR="00E262D2">
        <w:t xml:space="preserve"> </w:t>
      </w:r>
      <w:r w:rsidR="00D825CB" w:rsidRPr="00E943B1">
        <w:t>Českých Budějovicích, kde shodně iniciativa k</w:t>
      </w:r>
      <w:r w:rsidR="006C44A4">
        <w:t> </w:t>
      </w:r>
      <w:r w:rsidR="00D825CB" w:rsidRPr="00E943B1">
        <w:t>aplikaci vycházela ze strany obviněného.</w:t>
      </w:r>
      <w:r w:rsidRPr="00E943B1">
        <w:t xml:space="preserve"> Krajské státní zastupitelství v</w:t>
      </w:r>
      <w:r w:rsidR="00E262D2">
        <w:t xml:space="preserve"> </w:t>
      </w:r>
      <w:r w:rsidRPr="00E943B1">
        <w:t>Brně pro změnu uvedlo,</w:t>
      </w:r>
      <w:r w:rsidR="006C44A4">
        <w:t> </w:t>
      </w:r>
      <w:r w:rsidRPr="00E943B1">
        <w:t>že nelze jednoznačně odpovědět, jelikož je aplikace</w:t>
      </w:r>
      <w:r w:rsidR="00D825CB" w:rsidRPr="00E943B1">
        <w:t xml:space="preserve"> předmětného institutu</w:t>
      </w:r>
      <w:r w:rsidRPr="00E943B1">
        <w:t xml:space="preserve"> </w:t>
      </w:r>
      <w:r w:rsidR="00E864C3">
        <w:t>výsledkem</w:t>
      </w:r>
      <w:r w:rsidR="00E864C3" w:rsidRPr="00E943B1">
        <w:t xml:space="preserve"> </w:t>
      </w:r>
      <w:r w:rsidRPr="00E943B1">
        <w:t xml:space="preserve">vzájemné </w:t>
      </w:r>
      <w:r w:rsidR="00D825CB" w:rsidRPr="00E943B1">
        <w:t>diskuse</w:t>
      </w:r>
      <w:r w:rsidRPr="00E943B1">
        <w:t xml:space="preserve"> </w:t>
      </w:r>
      <w:r w:rsidR="00D825CB" w:rsidRPr="00E943B1">
        <w:t>mezi státním zástupcem a obhájcem obviněného, nicméně spíš původní návrh</w:t>
      </w:r>
      <w:r w:rsidR="006C44A4">
        <w:t> </w:t>
      </w:r>
      <w:r w:rsidR="00D825CB" w:rsidRPr="00E943B1">
        <w:t>vychází ze strany státního zástupce. Ostatní krajská státní zastupitelství odpověď neuvedla</w:t>
      </w:r>
      <w:r w:rsidR="00634433">
        <w:t xml:space="preserve"> vůbec</w:t>
      </w:r>
      <w:r w:rsidR="00D825CB" w:rsidRPr="00E943B1">
        <w:t xml:space="preserve">, jelikož </w:t>
      </w:r>
      <w:r w:rsidR="00B62C88">
        <w:t>seznala</w:t>
      </w:r>
      <w:r w:rsidR="00D825CB" w:rsidRPr="00E943B1">
        <w:t xml:space="preserve">, že se jedná o </w:t>
      </w:r>
      <w:r w:rsidR="00953C9B">
        <w:t>informaci</w:t>
      </w:r>
      <w:r w:rsidR="00D825CB" w:rsidRPr="00E943B1">
        <w:t xml:space="preserve">, </w:t>
      </w:r>
      <w:r w:rsidR="00D64732" w:rsidRPr="00E943B1">
        <w:t>kter</w:t>
      </w:r>
      <w:r w:rsidR="00D64732">
        <w:t>ou</w:t>
      </w:r>
      <w:r w:rsidR="00D64732" w:rsidRPr="00E943B1">
        <w:t xml:space="preserve"> </w:t>
      </w:r>
      <w:r w:rsidR="00D825CB" w:rsidRPr="00E943B1">
        <w:t>subjekt dle ustanovení §</w:t>
      </w:r>
      <w:r w:rsidR="0025479B">
        <w:t xml:space="preserve"> </w:t>
      </w:r>
      <w:r w:rsidR="002F0998" w:rsidRPr="00E943B1">
        <w:t>2 odst. 4</w:t>
      </w:r>
      <w:r w:rsidR="00D825CB" w:rsidRPr="00E943B1">
        <w:t xml:space="preserve"> zákona č. 106/1999 Sb., o svobodném přístupu k</w:t>
      </w:r>
      <w:r w:rsidR="00E262D2">
        <w:t xml:space="preserve"> </w:t>
      </w:r>
      <w:r w:rsidR="00D825CB" w:rsidRPr="00E943B1">
        <w:t>informacím</w:t>
      </w:r>
      <w:r w:rsidR="002F0998" w:rsidRPr="00E943B1">
        <w:t xml:space="preserve">, není povinen poskytnout. </w:t>
      </w:r>
      <w:r w:rsidR="0095734E">
        <w:t>Lze tedy důvodně</w:t>
      </w:r>
      <w:r w:rsidR="002F0998" w:rsidRPr="00E943B1">
        <w:t xml:space="preserve"> tvrdit, že i přesto, že tento institut nemusí být na první pohled </w:t>
      </w:r>
      <w:r w:rsidR="00BD03A4">
        <w:t>lákavý</w:t>
      </w:r>
      <w:r w:rsidR="00BD03A4" w:rsidRPr="00E943B1">
        <w:t xml:space="preserve"> </w:t>
      </w:r>
      <w:r w:rsidR="002F0998" w:rsidRPr="00E943B1">
        <w:t xml:space="preserve">pro </w:t>
      </w:r>
      <w:r w:rsidR="00D64732">
        <w:t xml:space="preserve">samotného </w:t>
      </w:r>
      <w:r w:rsidR="002F0998" w:rsidRPr="00E943B1">
        <w:t>obviněného, i tak k</w:t>
      </w:r>
      <w:r w:rsidR="00E262D2">
        <w:t xml:space="preserve"> </w:t>
      </w:r>
      <w:r w:rsidR="002F0998" w:rsidRPr="00E943B1">
        <w:t xml:space="preserve">prvotnímu návrhu aplikace institutu dochází právě z </w:t>
      </w:r>
      <w:r w:rsidR="00417337">
        <w:t xml:space="preserve">jeho </w:t>
      </w:r>
      <w:r w:rsidR="002F0998" w:rsidRPr="00E943B1">
        <w:t xml:space="preserve">strany. Je </w:t>
      </w:r>
      <w:r w:rsidR="00417337">
        <w:t xml:space="preserve">však </w:t>
      </w:r>
      <w:r w:rsidR="002F0998" w:rsidRPr="00E943B1">
        <w:t>třeba brát v</w:t>
      </w:r>
      <w:r w:rsidR="00E262D2">
        <w:t xml:space="preserve"> </w:t>
      </w:r>
      <w:r w:rsidR="002F0998" w:rsidRPr="00E943B1">
        <w:t>potaz velmi malé, spíše zanedbatelné množství odpovědí na třetí otázku, zda in</w:t>
      </w:r>
      <w:r w:rsidR="002707B2">
        <w:t>i</w:t>
      </w:r>
      <w:r w:rsidR="002F0998" w:rsidRPr="00E943B1">
        <w:t>ciativa k</w:t>
      </w:r>
      <w:r w:rsidR="006C44A4">
        <w:t> </w:t>
      </w:r>
      <w:r w:rsidR="002F0998" w:rsidRPr="00E943B1">
        <w:t>využití institutu plyne ze strany o</w:t>
      </w:r>
      <w:r w:rsidR="0025479B">
        <w:t>bviněného či státního zástupce.</w:t>
      </w:r>
    </w:p>
    <w:p w14:paraId="1D89AAD1" w14:textId="7A4C0A27" w:rsidR="00A15CCB" w:rsidRPr="00E943B1" w:rsidRDefault="00A15CCB" w:rsidP="0025479B">
      <w:pPr>
        <w:pStyle w:val="Nadpis2"/>
      </w:pPr>
      <w:bookmarkStart w:id="32" w:name="_Toc170638005"/>
      <w:r w:rsidRPr="00E943B1">
        <w:t>Kolize zásad</w:t>
      </w:r>
      <w:bookmarkEnd w:id="32"/>
    </w:p>
    <w:p w14:paraId="75C5845F" w14:textId="7B493F9D" w:rsidR="00A15CCB" w:rsidRPr="00E943B1" w:rsidRDefault="00A15CCB" w:rsidP="0025479B">
      <w:pPr>
        <w:pStyle w:val="format"/>
      </w:pPr>
      <w:r w:rsidRPr="00E943B1">
        <w:t>S</w:t>
      </w:r>
      <w:r w:rsidR="00E262D2">
        <w:t xml:space="preserve"> </w:t>
      </w:r>
      <w:r w:rsidRPr="00E943B1">
        <w:t xml:space="preserve">přijetím každého nového institutu je třeba vždy </w:t>
      </w:r>
      <w:r w:rsidR="00417337">
        <w:t xml:space="preserve">zohledňovat </w:t>
      </w:r>
      <w:r w:rsidRPr="00E943B1">
        <w:t>základní zásady trestního práva, jelikož by rozpor se zásadami mohl vést k</w:t>
      </w:r>
      <w:r w:rsidR="00E262D2">
        <w:t xml:space="preserve"> </w:t>
      </w:r>
      <w:r w:rsidR="00860C53" w:rsidRPr="00E943B1">
        <w:t xml:space="preserve">jeho samotnému </w:t>
      </w:r>
      <w:r w:rsidRPr="00E943B1">
        <w:t>zrušení</w:t>
      </w:r>
      <w:r w:rsidR="00860C53" w:rsidRPr="00E943B1">
        <w:t>.</w:t>
      </w:r>
      <w:r w:rsidRPr="00E943B1">
        <w:t xml:space="preserve"> Při </w:t>
      </w:r>
      <w:r w:rsidR="00860C53" w:rsidRPr="00E943B1">
        <w:t xml:space="preserve">zkoumání institutu spolupracujícího obviněného </w:t>
      </w:r>
      <w:r w:rsidR="00417337">
        <w:t>může docházet ke</w:t>
      </w:r>
      <w:r w:rsidR="00860C53" w:rsidRPr="00E943B1">
        <w:t xml:space="preserve"> </w:t>
      </w:r>
      <w:r w:rsidR="00417337" w:rsidRPr="00E943B1">
        <w:t>koliz</w:t>
      </w:r>
      <w:r w:rsidR="00417337">
        <w:t>i zejména</w:t>
      </w:r>
      <w:r w:rsidR="00417337" w:rsidRPr="00E943B1">
        <w:t xml:space="preserve"> </w:t>
      </w:r>
      <w:r w:rsidR="008B038B" w:rsidRPr="00E943B1">
        <w:t>s</w:t>
      </w:r>
      <w:r w:rsidR="00E262D2">
        <w:t xml:space="preserve"> </w:t>
      </w:r>
      <w:r w:rsidR="008B038B" w:rsidRPr="00E943B1">
        <w:t>následujícími zásadami.</w:t>
      </w:r>
    </w:p>
    <w:p w14:paraId="11525F79" w14:textId="522E6D68" w:rsidR="00860C53" w:rsidRPr="00E943B1" w:rsidRDefault="00860C53" w:rsidP="0025479B">
      <w:pPr>
        <w:pStyle w:val="Nadpis3"/>
      </w:pPr>
      <w:bookmarkStart w:id="33" w:name="_Toc170638006"/>
      <w:r w:rsidRPr="00E943B1">
        <w:lastRenderedPageBreak/>
        <w:t>Zásada legality</w:t>
      </w:r>
      <w:bookmarkEnd w:id="33"/>
    </w:p>
    <w:p w14:paraId="1F01C031" w14:textId="4584EB35" w:rsidR="00860C53" w:rsidRPr="0025479B" w:rsidRDefault="00860C53" w:rsidP="0025479B">
      <w:pPr>
        <w:pStyle w:val="format"/>
      </w:pPr>
      <w:r w:rsidRPr="0025479B">
        <w:t xml:space="preserve">Zásada legality je definována v § 2 odst. 3 TŘ a zní takto: </w:t>
      </w:r>
      <w:r w:rsidRPr="0025479B">
        <w:rPr>
          <w:i/>
          <w:iCs/>
        </w:rPr>
        <w:t>„Státní zástupce je povinen stíhat všechny trestné činy, o</w:t>
      </w:r>
      <w:r w:rsidR="00E262D2" w:rsidRPr="0025479B">
        <w:rPr>
          <w:i/>
          <w:iCs/>
        </w:rPr>
        <w:t xml:space="preserve"> </w:t>
      </w:r>
      <w:r w:rsidRPr="0025479B">
        <w:rPr>
          <w:i/>
          <w:iCs/>
        </w:rPr>
        <w:t>nichž se dozví, pokud zákon, přímo použitelný předpis Evropské unie nebo vyhlášená mezinárodní smlouva, kterou je Česká republika vázána, nestanoví jinak</w:t>
      </w:r>
      <w:r w:rsidR="009F5487" w:rsidRPr="0025479B">
        <w:rPr>
          <w:i/>
          <w:iCs/>
        </w:rPr>
        <w:t>.</w:t>
      </w:r>
      <w:r w:rsidRPr="0025479B">
        <w:rPr>
          <w:i/>
        </w:rPr>
        <w:t>“</w:t>
      </w:r>
      <w:r w:rsidRPr="0025479B">
        <w:rPr>
          <w:rStyle w:val="Znakapoznpodarou"/>
        </w:rPr>
        <w:footnoteReference w:id="61"/>
      </w:r>
    </w:p>
    <w:p w14:paraId="0DDA8275" w14:textId="448D9E2C" w:rsidR="009F5487" w:rsidRPr="0025479B" w:rsidRDefault="00182431" w:rsidP="0025479B">
      <w:pPr>
        <w:pStyle w:val="format"/>
        <w:rPr>
          <w:i/>
          <w:iCs/>
        </w:rPr>
      </w:pPr>
      <w:r>
        <w:t>V případě</w:t>
      </w:r>
      <w:r w:rsidR="009F5487" w:rsidRPr="0025479B">
        <w:t xml:space="preserve"> institutu korunního svědka, který měl být původně přijat do české právní úpravy, spatřoval bych zde patřičnou kolizi s</w:t>
      </w:r>
      <w:r w:rsidR="00E262D2" w:rsidRPr="0025479B">
        <w:t xml:space="preserve"> </w:t>
      </w:r>
      <w:r w:rsidR="009F5487" w:rsidRPr="0025479B">
        <w:t xml:space="preserve">touto zásadou. Definici institutu korunního svědka lze nalézt </w:t>
      </w:r>
      <w:r w:rsidR="003A122E">
        <w:t xml:space="preserve">mimo jiné </w:t>
      </w:r>
      <w:r w:rsidR="009F5487" w:rsidRPr="0025479B">
        <w:t>v</w:t>
      </w:r>
      <w:r w:rsidR="00E262D2" w:rsidRPr="0025479B">
        <w:t xml:space="preserve"> </w:t>
      </w:r>
      <w:r w:rsidR="009F5487" w:rsidRPr="0025479B">
        <w:t xml:space="preserve">Hendrychově </w:t>
      </w:r>
      <w:r w:rsidR="003A122E">
        <w:t>P</w:t>
      </w:r>
      <w:r w:rsidR="003A122E" w:rsidRPr="0025479B">
        <w:t xml:space="preserve">rávnickém </w:t>
      </w:r>
      <w:r w:rsidR="009F5487" w:rsidRPr="0025479B">
        <w:t>slovníku</w:t>
      </w:r>
      <w:r w:rsidR="003A122E">
        <w:t>:</w:t>
      </w:r>
      <w:r w:rsidR="003A122E" w:rsidRPr="0025479B">
        <w:t xml:space="preserve"> </w:t>
      </w:r>
      <w:r w:rsidR="009F5487" w:rsidRPr="0025479B">
        <w:rPr>
          <w:i/>
        </w:rPr>
        <w:t>„</w:t>
      </w:r>
      <w:r w:rsidR="009F5487" w:rsidRPr="0025479B">
        <w:rPr>
          <w:rStyle w:val="highlight-disabled"/>
          <w:i/>
          <w:iCs/>
        </w:rPr>
        <w:t>Korunní</w:t>
      </w:r>
      <w:r w:rsidR="00E262D2" w:rsidRPr="0025479B">
        <w:rPr>
          <w:i/>
          <w:iCs/>
        </w:rPr>
        <w:t xml:space="preserve"> </w:t>
      </w:r>
      <w:r w:rsidR="009F5487" w:rsidRPr="0025479B">
        <w:rPr>
          <w:rStyle w:val="highlight-disabled"/>
          <w:i/>
          <w:iCs/>
        </w:rPr>
        <w:t>svědek</w:t>
      </w:r>
      <w:r w:rsidR="009F5487" w:rsidRPr="0025479B">
        <w:rPr>
          <w:i/>
          <w:iCs/>
        </w:rPr>
        <w:t>, je jím pachatel tr.</w:t>
      </w:r>
      <w:r w:rsidR="00B63B39">
        <w:rPr>
          <w:i/>
          <w:iCs/>
        </w:rPr>
        <w:t> </w:t>
      </w:r>
      <w:r w:rsidR="009F5487" w:rsidRPr="0025479B">
        <w:rPr>
          <w:i/>
          <w:iCs/>
        </w:rPr>
        <w:t>činu, jemuž byl dán příslib, že nebude stíhán nebo že bude mírněji potrestán, pokud svou výpovědí (výslech obviněného) usvědčí jiné spolupachatele. Tr. právo v</w:t>
      </w:r>
      <w:r w:rsidR="00E262D2" w:rsidRPr="0025479B">
        <w:rPr>
          <w:i/>
          <w:iCs/>
        </w:rPr>
        <w:t xml:space="preserve"> </w:t>
      </w:r>
      <w:r w:rsidR="009F5487" w:rsidRPr="0025479B">
        <w:rPr>
          <w:i/>
          <w:iCs/>
        </w:rPr>
        <w:t>ČR výslovně nepoužívá pojem K., ale umožňuje mírnější potrestání spolupracujícího obviněného [§</w:t>
      </w:r>
      <w:r w:rsidR="00E262D2" w:rsidRPr="0025479B">
        <w:rPr>
          <w:i/>
          <w:iCs/>
        </w:rPr>
        <w:t xml:space="preserve"> </w:t>
      </w:r>
      <w:r w:rsidR="009F5487" w:rsidRPr="0025479B">
        <w:rPr>
          <w:i/>
          <w:iCs/>
        </w:rPr>
        <w:t>41</w:t>
      </w:r>
      <w:r w:rsidR="00E262D2" w:rsidRPr="0025479B">
        <w:rPr>
          <w:i/>
          <w:iCs/>
        </w:rPr>
        <w:t xml:space="preserve"> </w:t>
      </w:r>
      <w:r w:rsidR="009F5487" w:rsidRPr="0025479B">
        <w:rPr>
          <w:i/>
          <w:iCs/>
        </w:rPr>
        <w:t>písm. m),</w:t>
      </w:r>
      <w:r w:rsidR="00E262D2" w:rsidRPr="0025479B">
        <w:rPr>
          <w:i/>
          <w:iCs/>
        </w:rPr>
        <w:t xml:space="preserve"> </w:t>
      </w:r>
      <w:r w:rsidR="009F5487" w:rsidRPr="0025479B">
        <w:rPr>
          <w:i/>
          <w:iCs/>
        </w:rPr>
        <w:t>§</w:t>
      </w:r>
      <w:r w:rsidR="00E262D2" w:rsidRPr="0025479B">
        <w:rPr>
          <w:i/>
          <w:iCs/>
        </w:rPr>
        <w:t xml:space="preserve"> </w:t>
      </w:r>
      <w:r w:rsidR="009F5487" w:rsidRPr="0025479B">
        <w:rPr>
          <w:i/>
          <w:iCs/>
        </w:rPr>
        <w:t>58</w:t>
      </w:r>
      <w:r w:rsidR="00E262D2" w:rsidRPr="0025479B">
        <w:rPr>
          <w:i/>
          <w:iCs/>
        </w:rPr>
        <w:t xml:space="preserve"> </w:t>
      </w:r>
      <w:r w:rsidR="009F5487" w:rsidRPr="0025479B">
        <w:rPr>
          <w:i/>
          <w:iCs/>
        </w:rPr>
        <w:t>odst. 4 TrZ,</w:t>
      </w:r>
      <w:r w:rsidR="00E262D2" w:rsidRPr="0025479B">
        <w:rPr>
          <w:i/>
          <w:iCs/>
        </w:rPr>
        <w:t xml:space="preserve"> </w:t>
      </w:r>
      <w:r w:rsidR="009F5487" w:rsidRPr="0025479B">
        <w:rPr>
          <w:i/>
          <w:iCs/>
        </w:rPr>
        <w:t>§</w:t>
      </w:r>
      <w:r w:rsidR="00E262D2" w:rsidRPr="0025479B">
        <w:rPr>
          <w:i/>
          <w:iCs/>
        </w:rPr>
        <w:t xml:space="preserve"> </w:t>
      </w:r>
      <w:r w:rsidR="009F5487" w:rsidRPr="0025479B">
        <w:rPr>
          <w:i/>
          <w:iCs/>
        </w:rPr>
        <w:t>178a TrŘ]</w:t>
      </w:r>
      <w:r w:rsidR="009B6ABA" w:rsidRPr="0025479B">
        <w:rPr>
          <w:i/>
          <w:iCs/>
        </w:rPr>
        <w:t>.</w:t>
      </w:r>
      <w:r w:rsidR="009F5487" w:rsidRPr="0025479B">
        <w:rPr>
          <w:i/>
          <w:iCs/>
        </w:rPr>
        <w:t>“</w:t>
      </w:r>
      <w:r w:rsidR="009F5487" w:rsidRPr="0025479B">
        <w:rPr>
          <w:rStyle w:val="Znakapoznpodarou"/>
        </w:rPr>
        <w:footnoteReference w:id="62"/>
      </w:r>
    </w:p>
    <w:p w14:paraId="1A1CB292" w14:textId="14F44583" w:rsidR="009B6ABA" w:rsidRPr="0025479B" w:rsidRDefault="009B6ABA" w:rsidP="0025479B">
      <w:pPr>
        <w:pStyle w:val="format"/>
      </w:pPr>
      <w:r w:rsidRPr="0025479B">
        <w:t>Z</w:t>
      </w:r>
      <w:r w:rsidR="00E262D2" w:rsidRPr="0025479B">
        <w:t xml:space="preserve"> </w:t>
      </w:r>
      <w:r w:rsidRPr="0025479B">
        <w:t>dikce této definice je jasně patrné, že může být korunnímu svědkovi přislíbena možnost nestíhání za trestné činy, které spáchal, pokud usvědčí své spolupachatele, což byl i jeden z</w:t>
      </w:r>
      <w:r w:rsidR="00B63B39">
        <w:t> </w:t>
      </w:r>
      <w:r w:rsidRPr="0025479B">
        <w:t>důvodů kritiky tohoto institutu. Jednalo by se totiž o zásah právě do zásady legality, jelikož by</w:t>
      </w:r>
      <w:r w:rsidR="00B63B39">
        <w:t> </w:t>
      </w:r>
      <w:r w:rsidRPr="0025479B">
        <w:t xml:space="preserve">nemuselo být trestní stíhání </w:t>
      </w:r>
      <w:r w:rsidR="00192712" w:rsidRPr="0025479B">
        <w:t xml:space="preserve">zahájeno </w:t>
      </w:r>
      <w:r w:rsidRPr="0025479B">
        <w:t>vůbec</w:t>
      </w:r>
      <w:r w:rsidR="003A122E">
        <w:t>.</w:t>
      </w:r>
      <w:r w:rsidRPr="0025479B">
        <w:rPr>
          <w:rStyle w:val="Znakapoznpodarou"/>
        </w:rPr>
        <w:footnoteReference w:id="63"/>
      </w:r>
    </w:p>
    <w:p w14:paraId="23551F1E" w14:textId="72F6AC79" w:rsidR="009B6ABA" w:rsidRPr="0025479B" w:rsidRDefault="009B6ABA" w:rsidP="0025479B">
      <w:pPr>
        <w:pStyle w:val="format"/>
      </w:pPr>
      <w:r w:rsidRPr="0025479B">
        <w:t>Jak již bylo v</w:t>
      </w:r>
      <w:r w:rsidR="00E262D2" w:rsidRPr="0025479B">
        <w:t xml:space="preserve"> </w:t>
      </w:r>
      <w:r w:rsidRPr="0025479B">
        <w:t xml:space="preserve">úvodu </w:t>
      </w:r>
      <w:r w:rsidR="003A122E">
        <w:t>této</w:t>
      </w:r>
      <w:r w:rsidR="003A122E" w:rsidRPr="0025479B">
        <w:t xml:space="preserve"> </w:t>
      </w:r>
      <w:r w:rsidRPr="0025479B">
        <w:t>práce řečeno, do české právní úpravy byl zaveden institut spolupracujícího obviněného, což lze považovat za umírněnější verzi institutu korunního svědka.</w:t>
      </w:r>
      <w:r w:rsidR="00931903" w:rsidRPr="0025479B">
        <w:rPr>
          <w:rStyle w:val="Znakapoznpodarou"/>
        </w:rPr>
        <w:footnoteReference w:id="64"/>
      </w:r>
      <w:r w:rsidR="00931903" w:rsidRPr="0025479B">
        <w:t xml:space="preserve"> Otázkou tedy </w:t>
      </w:r>
      <w:r w:rsidR="003A122E">
        <w:t>zůstává</w:t>
      </w:r>
      <w:r w:rsidR="00931903" w:rsidRPr="0025479B">
        <w:t xml:space="preserve">, zda i </w:t>
      </w:r>
      <w:r w:rsidR="003A122E" w:rsidRPr="0025479B">
        <w:t>ten</w:t>
      </w:r>
      <w:r w:rsidR="003A122E">
        <w:t>to</w:t>
      </w:r>
      <w:r w:rsidR="003A122E" w:rsidRPr="0025479B">
        <w:t xml:space="preserve"> </w:t>
      </w:r>
      <w:r w:rsidR="00931903" w:rsidRPr="0025479B">
        <w:t>institut představuje zásah do zásady legal</w:t>
      </w:r>
      <w:r w:rsidR="0025479B">
        <w:t>ity</w:t>
      </w:r>
      <w:r w:rsidR="003A122E">
        <w:t>,</w:t>
      </w:r>
      <w:r w:rsidR="0025479B">
        <w:t xml:space="preserve"> jako </w:t>
      </w:r>
      <w:r w:rsidR="003A122E">
        <w:t>je tomu v</w:t>
      </w:r>
      <w:r w:rsidR="00073C2D">
        <w:t xml:space="preserve"> </w:t>
      </w:r>
      <w:r w:rsidR="003A122E">
        <w:t xml:space="preserve">případě </w:t>
      </w:r>
      <w:r w:rsidR="0025479B">
        <w:t xml:space="preserve">jeho </w:t>
      </w:r>
      <w:r w:rsidR="003A122E">
        <w:t xml:space="preserve">anglosaské </w:t>
      </w:r>
      <w:r w:rsidR="0025479B">
        <w:t>verze.</w:t>
      </w:r>
    </w:p>
    <w:p w14:paraId="7EEE1E98" w14:textId="74A2EE6D" w:rsidR="00CD4499" w:rsidRPr="0025479B" w:rsidRDefault="00931903" w:rsidP="0025479B">
      <w:pPr>
        <w:pStyle w:val="format"/>
      </w:pPr>
      <w:r w:rsidRPr="0025479B">
        <w:t>Již ze samotného označení „spolupracující obviněný“ je patrné, že je vůči této osobě zahájeno trestní stíhání, jelikož pachatele trestného činu lze za „obviněného“ označit v</w:t>
      </w:r>
      <w:r w:rsidR="00E262D2" w:rsidRPr="0025479B">
        <w:t xml:space="preserve"> </w:t>
      </w:r>
      <w:r w:rsidRPr="0025479B">
        <w:t>momentě vydání usnesení o zahájení trestního stíhání.</w:t>
      </w:r>
      <w:r w:rsidR="00CD4499" w:rsidRPr="0025479B">
        <w:rPr>
          <w:rStyle w:val="Znakapoznpodarou"/>
        </w:rPr>
        <w:footnoteReference w:id="65"/>
      </w:r>
      <w:r w:rsidR="00CD4499" w:rsidRPr="0025479B">
        <w:t xml:space="preserve"> Čili v</w:t>
      </w:r>
      <w:r w:rsidR="00E262D2" w:rsidRPr="0025479B">
        <w:t xml:space="preserve"> </w:t>
      </w:r>
      <w:r w:rsidR="00CD4499" w:rsidRPr="0025479B">
        <w:t>této obecné rovině se dle mého názoru nejedná o zásah do této zásady</w:t>
      </w:r>
      <w:r w:rsidR="000F14BC" w:rsidRPr="0025479B">
        <w:t>, jelikož bude zahájeno trestní stíhání a v</w:t>
      </w:r>
      <w:r w:rsidR="00E262D2" w:rsidRPr="0025479B">
        <w:t xml:space="preserve"> </w:t>
      </w:r>
      <w:r w:rsidR="000F14BC" w:rsidRPr="0025479B">
        <w:t>konečném důsledku bude věc projednána v</w:t>
      </w:r>
      <w:r w:rsidR="00E262D2" w:rsidRPr="0025479B">
        <w:t xml:space="preserve"> </w:t>
      </w:r>
      <w:r w:rsidR="000F14BC" w:rsidRPr="0025479B">
        <w:t>hlavním líčení, protože jakékoli benefity může spolupracujícímu obviněnému udělit jedině soud.</w:t>
      </w:r>
    </w:p>
    <w:p w14:paraId="28C6C69D" w14:textId="0BCAC1F3" w:rsidR="000F14BC" w:rsidRPr="00F56F72" w:rsidRDefault="00CD4499" w:rsidP="0025479B">
      <w:pPr>
        <w:pStyle w:val="format"/>
      </w:pPr>
      <w:r w:rsidRPr="00F56F72">
        <w:lastRenderedPageBreak/>
        <w:t>S</w:t>
      </w:r>
      <w:r w:rsidR="00652F75">
        <w:t>polu s</w:t>
      </w:r>
      <w:r w:rsidRPr="00F56F72">
        <w:t xml:space="preserve">e zásadou legality je nutné zmínit </w:t>
      </w:r>
      <w:r w:rsidR="00192712">
        <w:t xml:space="preserve">také </w:t>
      </w:r>
      <w:r w:rsidRPr="00F56F72">
        <w:t xml:space="preserve">zásadu oportunity, </w:t>
      </w:r>
      <w:r w:rsidR="00652F75">
        <w:t>jež</w:t>
      </w:r>
      <w:r w:rsidR="00652F75" w:rsidRPr="00F56F72">
        <w:t xml:space="preserve"> </w:t>
      </w:r>
      <w:r w:rsidRPr="00F56F72">
        <w:t>představuje procesní korektiv trestního bezpráví.</w:t>
      </w:r>
      <w:r w:rsidRPr="00F56F72">
        <w:rPr>
          <w:rStyle w:val="Znakapoznpodarou"/>
        </w:rPr>
        <w:footnoteReference w:id="66"/>
      </w:r>
      <w:r w:rsidRPr="00F56F72">
        <w:t xml:space="preserve"> Tato zásada je definována v § 172 odst. 2</w:t>
      </w:r>
      <w:r w:rsidR="000F14BC" w:rsidRPr="00F56F72">
        <w:t xml:space="preserve"> písm. c). Na základě této zásady může státní zástupce zastavit trestní stíhání, </w:t>
      </w:r>
      <w:r w:rsidR="000F14BC" w:rsidRPr="00F56F72">
        <w:rPr>
          <w:i/>
        </w:rPr>
        <w:t>„</w:t>
      </w:r>
      <w:r w:rsidR="000F14BC" w:rsidRPr="00F56F72">
        <w:rPr>
          <w:i/>
          <w:iCs/>
        </w:rPr>
        <w:t>jestliže vzhledem k</w:t>
      </w:r>
      <w:r w:rsidR="00E262D2" w:rsidRPr="00F56F72">
        <w:rPr>
          <w:i/>
          <w:iCs/>
        </w:rPr>
        <w:t xml:space="preserve"> </w:t>
      </w:r>
      <w:r w:rsidR="000F14BC" w:rsidRPr="00F56F72">
        <w:rPr>
          <w:i/>
          <w:iCs/>
        </w:rPr>
        <w:t>významu a</w:t>
      </w:r>
      <w:r w:rsidR="00E262D2" w:rsidRPr="00F56F72">
        <w:rPr>
          <w:i/>
          <w:iCs/>
        </w:rPr>
        <w:t xml:space="preserve"> </w:t>
      </w:r>
      <w:r w:rsidR="000F14BC" w:rsidRPr="00F56F72">
        <w:rPr>
          <w:i/>
          <w:iCs/>
        </w:rPr>
        <w:t>míře porušení nebo ohrožení chráněného zájmu, který byl dotčen, způsobu provedení činu a</w:t>
      </w:r>
      <w:r w:rsidR="00E262D2" w:rsidRPr="00F56F72">
        <w:rPr>
          <w:i/>
          <w:iCs/>
        </w:rPr>
        <w:t xml:space="preserve"> </w:t>
      </w:r>
      <w:r w:rsidR="000F14BC" w:rsidRPr="00F56F72">
        <w:rPr>
          <w:i/>
          <w:iCs/>
        </w:rPr>
        <w:t>jeho následku, nebo okolnostem, za nichž byl čin spáchán, a</w:t>
      </w:r>
      <w:r w:rsidR="00E262D2" w:rsidRPr="00F56F72">
        <w:rPr>
          <w:i/>
          <w:iCs/>
        </w:rPr>
        <w:t xml:space="preserve"> </w:t>
      </w:r>
      <w:r w:rsidR="000F14BC" w:rsidRPr="00F56F72">
        <w:rPr>
          <w:i/>
          <w:iCs/>
        </w:rPr>
        <w:t>vzhledem k</w:t>
      </w:r>
      <w:r w:rsidR="00E262D2" w:rsidRPr="00F56F72">
        <w:rPr>
          <w:i/>
          <w:iCs/>
        </w:rPr>
        <w:t xml:space="preserve"> </w:t>
      </w:r>
      <w:r w:rsidR="000F14BC" w:rsidRPr="00F56F72">
        <w:rPr>
          <w:i/>
          <w:iCs/>
        </w:rPr>
        <w:t>chování obviněného po spáchání činu, zejména k</w:t>
      </w:r>
      <w:r w:rsidR="00E262D2" w:rsidRPr="00F56F72">
        <w:rPr>
          <w:i/>
          <w:iCs/>
        </w:rPr>
        <w:t xml:space="preserve"> </w:t>
      </w:r>
      <w:r w:rsidR="000F14BC" w:rsidRPr="00F56F72">
        <w:rPr>
          <w:i/>
          <w:iCs/>
        </w:rPr>
        <w:t>jeho snaze nahradit škodu nebo odstranit jiné škodlivé následky činu, je zřejmé, že účelu trestního řízení bylo dosaženo“</w:t>
      </w:r>
      <w:r w:rsidR="00652F75">
        <w:rPr>
          <w:i/>
          <w:iCs/>
        </w:rPr>
        <w:t>.</w:t>
      </w:r>
      <w:r w:rsidR="000F14BC" w:rsidRPr="00F56F72">
        <w:rPr>
          <w:rStyle w:val="Znakapoznpodarou"/>
        </w:rPr>
        <w:footnoteReference w:id="67"/>
      </w:r>
      <w:r w:rsidR="000F14BC" w:rsidRPr="00F56F72">
        <w:rPr>
          <w:i/>
          <w:iCs/>
        </w:rPr>
        <w:t xml:space="preserve"> </w:t>
      </w:r>
      <w:r w:rsidR="000F14BC" w:rsidRPr="00F56F72">
        <w:t>Oportunita představuje jednu z</w:t>
      </w:r>
      <w:r w:rsidR="00E262D2" w:rsidRPr="00F56F72">
        <w:t xml:space="preserve"> </w:t>
      </w:r>
      <w:r w:rsidR="000F14BC" w:rsidRPr="00F56F72">
        <w:t>výjimek ze zásady legality, nicméně v</w:t>
      </w:r>
      <w:r w:rsidR="00E262D2" w:rsidRPr="00F56F72">
        <w:t xml:space="preserve"> </w:t>
      </w:r>
      <w:r w:rsidR="000F14BC" w:rsidRPr="00F56F72">
        <w:t xml:space="preserve">tomto případě se hovoří o možnosti státního zástupce zastavit trestní stíhání, čili se věc nedostane do hlavního líčení. </w:t>
      </w:r>
      <w:r w:rsidR="000D1149" w:rsidRPr="00F56F72">
        <w:t>Pokud bychom si tuto zásadu vyložili obšírněji, můžeme pomocí jazykového výkladu dojít</w:t>
      </w:r>
      <w:r w:rsidR="00652F75">
        <w:t xml:space="preserve"> ke zjištění</w:t>
      </w:r>
      <w:r w:rsidR="000D1149" w:rsidRPr="00F56F72">
        <w:t>, že právě tato „příležitost označit“ obviněného za</w:t>
      </w:r>
      <w:r w:rsidR="00B63B39">
        <w:t> </w:t>
      </w:r>
      <w:r w:rsidR="000D1149" w:rsidRPr="00F56F72">
        <w:t>spolupracujícího je projevem této zásady, což by v</w:t>
      </w:r>
      <w:r w:rsidR="00E262D2" w:rsidRPr="00F56F72">
        <w:t xml:space="preserve"> </w:t>
      </w:r>
      <w:r w:rsidR="000D1149" w:rsidRPr="00F56F72">
        <w:t>konečném důsledku mohlo znamenat samotnou výjimku ze zásady legality.</w:t>
      </w:r>
      <w:r w:rsidR="000D1149" w:rsidRPr="00F56F72">
        <w:rPr>
          <w:rStyle w:val="Znakapoznpodarou"/>
        </w:rPr>
        <w:footnoteReference w:id="68"/>
      </w:r>
    </w:p>
    <w:p w14:paraId="7AD639EC" w14:textId="3F8584AC" w:rsidR="00931903" w:rsidRPr="00F56F72" w:rsidRDefault="00FF0BC3" w:rsidP="0025479B">
      <w:pPr>
        <w:pStyle w:val="Nadpis3"/>
      </w:pPr>
      <w:bookmarkStart w:id="34" w:name="_Toc170638007"/>
      <w:r w:rsidRPr="00F56F72">
        <w:t>Zásada rovnosti zbraní</w:t>
      </w:r>
      <w:bookmarkEnd w:id="34"/>
    </w:p>
    <w:p w14:paraId="65BC107B" w14:textId="769BF92F" w:rsidR="001103E7" w:rsidRPr="00F56F72" w:rsidRDefault="00FF0BC3" w:rsidP="00F56F72">
      <w:pPr>
        <w:pStyle w:val="format"/>
        <w:rPr>
          <w:i/>
          <w:iCs/>
        </w:rPr>
      </w:pPr>
      <w:r w:rsidRPr="00F56F72">
        <w:t>Zásada rovnosti zbraní je definována v</w:t>
      </w:r>
      <w:r w:rsidR="00E262D2" w:rsidRPr="00F56F72">
        <w:t xml:space="preserve"> </w:t>
      </w:r>
      <w:r w:rsidRPr="00F56F72">
        <w:t>Listině základní práv a svobod, a to konkrétně v</w:t>
      </w:r>
      <w:r w:rsidR="00B63B39">
        <w:t> </w:t>
      </w:r>
      <w:r w:rsidRPr="00F56F72">
        <w:t>článku 37 odst. 3</w:t>
      </w:r>
      <w:r w:rsidR="00644BE3">
        <w:t>,</w:t>
      </w:r>
      <w:r w:rsidRPr="00F56F72">
        <w:t xml:space="preserve"> a zní takto: </w:t>
      </w:r>
      <w:r w:rsidR="005C55AB" w:rsidRPr="0048677E">
        <w:rPr>
          <w:i/>
          <w:iCs/>
        </w:rPr>
        <w:t>„Všichni účastníci jsou si v</w:t>
      </w:r>
      <w:r w:rsidR="00E262D2" w:rsidRPr="0048677E">
        <w:rPr>
          <w:i/>
          <w:iCs/>
        </w:rPr>
        <w:t xml:space="preserve"> </w:t>
      </w:r>
      <w:r w:rsidR="005C55AB" w:rsidRPr="0048677E">
        <w:rPr>
          <w:i/>
          <w:iCs/>
        </w:rPr>
        <w:t>řízení rovni.“</w:t>
      </w:r>
      <w:r w:rsidR="005C55AB" w:rsidRPr="00B63B39">
        <w:rPr>
          <w:rStyle w:val="Znakapoznpodarou"/>
          <w:iCs/>
        </w:rPr>
        <w:footnoteReference w:id="69"/>
      </w:r>
      <w:r w:rsidR="005C55AB" w:rsidRPr="00F56F72">
        <w:t xml:space="preserve"> Tato zásada je nedílnou součástí práva na spravedlivý proces a promítá se do všech st</w:t>
      </w:r>
      <w:r w:rsidR="00606EA5">
        <w:t>a</w:t>
      </w:r>
      <w:r w:rsidR="005C55AB" w:rsidRPr="00F56F72">
        <w:t xml:space="preserve">dií trestního řízení, což dovodil Ústavní soud ve svém </w:t>
      </w:r>
      <w:r w:rsidR="001103E7" w:rsidRPr="00F56F72">
        <w:t xml:space="preserve">Nálezu </w:t>
      </w:r>
      <w:r w:rsidR="001103E7" w:rsidRPr="00F56F72">
        <w:rPr>
          <w:shd w:val="clear" w:color="auto" w:fill="FFFFFF"/>
        </w:rPr>
        <w:t>Pl. ÚS 15/01 ze dne 31. října 2001</w:t>
      </w:r>
      <w:r w:rsidR="00985C2F">
        <w:rPr>
          <w:shd w:val="clear" w:color="auto" w:fill="FFFFFF"/>
        </w:rPr>
        <w:t>:</w:t>
      </w:r>
      <w:r w:rsidR="00985C2F" w:rsidRPr="00F56F72">
        <w:rPr>
          <w:shd w:val="clear" w:color="auto" w:fill="FFFFFF"/>
        </w:rPr>
        <w:t xml:space="preserve"> </w:t>
      </w:r>
      <w:r w:rsidR="001103E7" w:rsidRPr="00F56F72">
        <w:rPr>
          <w:i/>
          <w:shd w:val="clear" w:color="auto" w:fill="FFFFFF"/>
        </w:rPr>
        <w:t>„</w:t>
      </w:r>
      <w:r w:rsidR="001103E7" w:rsidRPr="00F56F72">
        <w:rPr>
          <w:i/>
          <w:iCs/>
        </w:rPr>
        <w:t xml:space="preserve">Princip </w:t>
      </w:r>
      <w:r w:rsidR="00644BE3" w:rsidRPr="00563784">
        <w:rPr>
          <w:i/>
          <w:color w:val="000000"/>
          <w:shd w:val="clear" w:color="auto" w:fill="FFFFFF"/>
        </w:rPr>
        <w:t>‚</w:t>
      </w:r>
      <w:r w:rsidR="001103E7" w:rsidRPr="00F56F72">
        <w:rPr>
          <w:i/>
          <w:iCs/>
        </w:rPr>
        <w:t>rovnosti zbraní</w:t>
      </w:r>
      <w:r w:rsidR="00644BE3" w:rsidRPr="00563784">
        <w:rPr>
          <w:i/>
          <w:color w:val="000000"/>
          <w:shd w:val="clear" w:color="auto" w:fill="FFFFFF"/>
        </w:rPr>
        <w:t>‘</w:t>
      </w:r>
      <w:r w:rsidR="001103E7" w:rsidRPr="00F56F72">
        <w:rPr>
          <w:i/>
          <w:iCs/>
        </w:rPr>
        <w:t xml:space="preserve"> v</w:t>
      </w:r>
      <w:r w:rsidR="00E262D2" w:rsidRPr="00F56F72">
        <w:rPr>
          <w:i/>
          <w:iCs/>
        </w:rPr>
        <w:t xml:space="preserve"> </w:t>
      </w:r>
      <w:r w:rsidR="001103E7" w:rsidRPr="00F56F72">
        <w:rPr>
          <w:i/>
          <w:iCs/>
        </w:rPr>
        <w:t xml:space="preserve">trestním řízení se promítá do všech </w:t>
      </w:r>
      <w:r w:rsidR="00C5489A" w:rsidRPr="00F56F72">
        <w:rPr>
          <w:i/>
          <w:iCs/>
        </w:rPr>
        <w:t>st</w:t>
      </w:r>
      <w:r w:rsidR="00606EA5">
        <w:rPr>
          <w:i/>
          <w:iCs/>
        </w:rPr>
        <w:t>a</w:t>
      </w:r>
      <w:r w:rsidR="00C5489A" w:rsidRPr="00F56F72">
        <w:rPr>
          <w:i/>
          <w:iCs/>
        </w:rPr>
        <w:t xml:space="preserve">dií </w:t>
      </w:r>
      <w:r w:rsidR="001103E7" w:rsidRPr="00F56F72">
        <w:rPr>
          <w:i/>
          <w:iCs/>
        </w:rPr>
        <w:t>trestního řízení, jakož i</w:t>
      </w:r>
      <w:r w:rsidR="00E262D2" w:rsidRPr="00F56F72">
        <w:rPr>
          <w:i/>
          <w:iCs/>
        </w:rPr>
        <w:t xml:space="preserve"> </w:t>
      </w:r>
      <w:r w:rsidR="001103E7" w:rsidRPr="00F56F72">
        <w:rPr>
          <w:i/>
          <w:iCs/>
        </w:rPr>
        <w:t>do všech jeho aspektů. Uplatňuje se jak v</w:t>
      </w:r>
      <w:r w:rsidR="00E262D2" w:rsidRPr="00F56F72">
        <w:rPr>
          <w:i/>
          <w:iCs/>
        </w:rPr>
        <w:t xml:space="preserve"> </w:t>
      </w:r>
      <w:r w:rsidR="001103E7" w:rsidRPr="00F56F72">
        <w:rPr>
          <w:i/>
          <w:iCs/>
        </w:rPr>
        <w:t>nalézacím, tak i</w:t>
      </w:r>
      <w:r w:rsidR="00E262D2" w:rsidRPr="00F56F72">
        <w:rPr>
          <w:i/>
          <w:iCs/>
        </w:rPr>
        <w:t xml:space="preserve"> </w:t>
      </w:r>
      <w:r w:rsidR="00E5290C">
        <w:rPr>
          <w:i/>
          <w:iCs/>
        </w:rPr>
        <w:t>v přezkumné</w:t>
      </w:r>
      <w:r w:rsidR="001103E7" w:rsidRPr="00F56F72">
        <w:rPr>
          <w:i/>
          <w:iCs/>
        </w:rPr>
        <w:t>m řízení, v</w:t>
      </w:r>
      <w:r w:rsidR="00E262D2" w:rsidRPr="00F56F72">
        <w:rPr>
          <w:i/>
          <w:iCs/>
        </w:rPr>
        <w:t xml:space="preserve"> </w:t>
      </w:r>
      <w:r w:rsidR="001103E7" w:rsidRPr="00F56F72">
        <w:rPr>
          <w:i/>
          <w:iCs/>
        </w:rPr>
        <w:t>obou pak v</w:t>
      </w:r>
      <w:r w:rsidR="00E262D2" w:rsidRPr="00F56F72">
        <w:rPr>
          <w:i/>
          <w:iCs/>
        </w:rPr>
        <w:t xml:space="preserve"> </w:t>
      </w:r>
      <w:r w:rsidR="001103E7" w:rsidRPr="00F56F72">
        <w:rPr>
          <w:i/>
          <w:iCs/>
        </w:rPr>
        <w:t>celém jejich rozsahu, zejména ale v</w:t>
      </w:r>
      <w:r w:rsidR="00E262D2" w:rsidRPr="00F56F72">
        <w:rPr>
          <w:i/>
          <w:iCs/>
        </w:rPr>
        <w:t xml:space="preserve"> </w:t>
      </w:r>
      <w:r w:rsidR="001103E7" w:rsidRPr="00F56F72">
        <w:rPr>
          <w:i/>
          <w:iCs/>
        </w:rPr>
        <w:t>řízení důkazním.“</w:t>
      </w:r>
      <w:r w:rsidR="001103E7" w:rsidRPr="00F56F72">
        <w:rPr>
          <w:rStyle w:val="Znakapoznpodarou"/>
        </w:rPr>
        <w:footnoteReference w:id="70"/>
      </w:r>
    </w:p>
    <w:p w14:paraId="0CAC9D91" w14:textId="17D82671" w:rsidR="001103E7" w:rsidRPr="00F56F72" w:rsidRDefault="001103E7" w:rsidP="00BB2B90">
      <w:pPr>
        <w:pStyle w:val="format"/>
        <w:rPr>
          <w:i/>
          <w:iCs/>
        </w:rPr>
      </w:pPr>
      <w:r w:rsidRPr="00F56F72">
        <w:t>Projevem této zásady v</w:t>
      </w:r>
      <w:r w:rsidR="00E262D2" w:rsidRPr="00F56F72">
        <w:t xml:space="preserve"> </w:t>
      </w:r>
      <w:r w:rsidRPr="00BB2B90">
        <w:t>souvislosti</w:t>
      </w:r>
      <w:r w:rsidRPr="00F56F72">
        <w:t xml:space="preserve"> s</w:t>
      </w:r>
      <w:r w:rsidR="00E262D2" w:rsidRPr="00F56F72">
        <w:t xml:space="preserve"> </w:t>
      </w:r>
      <w:r w:rsidRPr="00F56F72">
        <w:t>institutem spolupracujícího obviněného je možnost, respektive oprávnění obžalovaného znát právní náhled soudu na svůj status spolupracujícího obviněného, aby v</w:t>
      </w:r>
      <w:r w:rsidR="00E262D2" w:rsidRPr="00F56F72">
        <w:t xml:space="preserve"> </w:t>
      </w:r>
      <w:r w:rsidRPr="00F56F72">
        <w:t>případě změny mohl uzpůsobit svoji obhajobu</w:t>
      </w:r>
      <w:r w:rsidR="00985C2F">
        <w:t>,</w:t>
      </w:r>
      <w:r w:rsidR="00985C2F" w:rsidRPr="00F56F72">
        <w:t xml:space="preserve"> </w:t>
      </w:r>
      <w:r w:rsidR="00985C2F">
        <w:t>c</w:t>
      </w:r>
      <w:r w:rsidR="00985C2F" w:rsidRPr="00F56F72">
        <w:t xml:space="preserve">ož </w:t>
      </w:r>
      <w:r w:rsidRPr="00F56F72">
        <w:t xml:space="preserve">dovodil </w:t>
      </w:r>
      <w:r w:rsidR="00985C2F">
        <w:t xml:space="preserve">také </w:t>
      </w:r>
      <w:r w:rsidRPr="00F56F72">
        <w:t xml:space="preserve">Ústavní soud. </w:t>
      </w:r>
      <w:r w:rsidRPr="00B17295">
        <w:rPr>
          <w:i/>
        </w:rPr>
        <w:t>„</w:t>
      </w:r>
      <w:r w:rsidRPr="00F56F72">
        <w:rPr>
          <w:i/>
          <w:iCs/>
        </w:rPr>
        <w:t>Obžalovaný je oprávněn – srovnatelně s</w:t>
      </w:r>
      <w:r w:rsidR="00E262D2" w:rsidRPr="00F56F72">
        <w:rPr>
          <w:i/>
          <w:iCs/>
        </w:rPr>
        <w:t xml:space="preserve"> </w:t>
      </w:r>
      <w:r w:rsidRPr="00F56F72">
        <w:rPr>
          <w:i/>
          <w:iCs/>
        </w:rPr>
        <w:t>postulátem znát aktuální právní kvalifikaci svého činu</w:t>
      </w:r>
      <w:r w:rsidR="00B63B39">
        <w:rPr>
          <w:i/>
          <w:iCs/>
        </w:rPr>
        <w:t> </w:t>
      </w:r>
      <w:r w:rsidRPr="00F56F72">
        <w:rPr>
          <w:i/>
          <w:iCs/>
        </w:rPr>
        <w:t>– průběžně znát zásadní právní náhled soudu na svůj status spolupracujícího obviněného v</w:t>
      </w:r>
      <w:r w:rsidR="00B63B39">
        <w:rPr>
          <w:i/>
          <w:iCs/>
        </w:rPr>
        <w:t> </w:t>
      </w:r>
      <w:r w:rsidRPr="00F56F72">
        <w:rPr>
          <w:i/>
          <w:iCs/>
        </w:rPr>
        <w:t>případě, že by na jeho straně nastala (i potenciální) změna v</w:t>
      </w:r>
      <w:r w:rsidR="00E262D2" w:rsidRPr="00F56F72">
        <w:rPr>
          <w:i/>
          <w:iCs/>
        </w:rPr>
        <w:t xml:space="preserve"> </w:t>
      </w:r>
      <w:r w:rsidRPr="00F56F72">
        <w:rPr>
          <w:i/>
          <w:iCs/>
        </w:rPr>
        <w:t xml:space="preserve">plnění zákonných podmínek tohoto </w:t>
      </w:r>
      <w:r w:rsidRPr="00F56F72">
        <w:rPr>
          <w:i/>
          <w:iCs/>
        </w:rPr>
        <w:lastRenderedPageBreak/>
        <w:t>statusu. V</w:t>
      </w:r>
      <w:r w:rsidR="00E262D2" w:rsidRPr="00F56F72">
        <w:rPr>
          <w:i/>
          <w:iCs/>
        </w:rPr>
        <w:t xml:space="preserve"> </w:t>
      </w:r>
      <w:r w:rsidRPr="00F56F72">
        <w:rPr>
          <w:i/>
          <w:iCs/>
        </w:rPr>
        <w:t xml:space="preserve">případě takové změny musí mít obžalovaný zachovánu možnost změnit svou procesní obranu. Obviněný, respektive obžalovaný má totiž slovy zákona právo být </w:t>
      </w:r>
      <w:r w:rsidR="00777F28" w:rsidRPr="00563784">
        <w:rPr>
          <w:i/>
          <w:color w:val="000000"/>
          <w:shd w:val="clear" w:color="auto" w:fill="FFFFFF"/>
        </w:rPr>
        <w:t>‚</w:t>
      </w:r>
      <w:r w:rsidRPr="00F56F72">
        <w:rPr>
          <w:i/>
          <w:iCs/>
        </w:rPr>
        <w:t>v každém období řízení vhodným způsobem a</w:t>
      </w:r>
      <w:r w:rsidR="00E262D2" w:rsidRPr="00F56F72">
        <w:rPr>
          <w:i/>
          <w:iCs/>
        </w:rPr>
        <w:t xml:space="preserve"> </w:t>
      </w:r>
      <w:r w:rsidRPr="00F56F72">
        <w:rPr>
          <w:i/>
          <w:iCs/>
        </w:rPr>
        <w:t>srozumitelně poučen o</w:t>
      </w:r>
      <w:r w:rsidR="00E262D2" w:rsidRPr="00F56F72">
        <w:rPr>
          <w:i/>
          <w:iCs/>
        </w:rPr>
        <w:t xml:space="preserve"> </w:t>
      </w:r>
      <w:r w:rsidRPr="00F56F72">
        <w:rPr>
          <w:i/>
          <w:iCs/>
        </w:rPr>
        <w:t>právech umožňujících mu plné uplatnění obhajoby</w:t>
      </w:r>
      <w:r w:rsidR="00777F28" w:rsidRPr="00563784">
        <w:rPr>
          <w:i/>
          <w:color w:val="000000"/>
          <w:shd w:val="clear" w:color="auto" w:fill="FFFFFF"/>
        </w:rPr>
        <w:t>‘</w:t>
      </w:r>
      <w:r w:rsidRPr="00F56F72">
        <w:rPr>
          <w:i/>
          <w:iCs/>
        </w:rPr>
        <w:t xml:space="preserve"> (§</w:t>
      </w:r>
      <w:r w:rsidR="00E262D2" w:rsidRPr="00F56F72">
        <w:rPr>
          <w:i/>
          <w:iCs/>
        </w:rPr>
        <w:t xml:space="preserve"> </w:t>
      </w:r>
      <w:r w:rsidRPr="00F56F72">
        <w:rPr>
          <w:i/>
          <w:iCs/>
        </w:rPr>
        <w:t>2</w:t>
      </w:r>
      <w:r w:rsidR="00E262D2" w:rsidRPr="00F56F72">
        <w:rPr>
          <w:i/>
          <w:iCs/>
        </w:rPr>
        <w:t xml:space="preserve"> </w:t>
      </w:r>
      <w:r w:rsidRPr="00F56F72">
        <w:rPr>
          <w:i/>
          <w:iCs/>
        </w:rPr>
        <w:t>odst. 13 TrŘ).“</w:t>
      </w:r>
      <w:r w:rsidRPr="00F56F72">
        <w:rPr>
          <w:rStyle w:val="Znakapoznpodarou"/>
        </w:rPr>
        <w:footnoteReference w:id="71"/>
      </w:r>
    </w:p>
    <w:p w14:paraId="04085A2B" w14:textId="4823B56E" w:rsidR="00F56F72" w:rsidRPr="00F56F72" w:rsidRDefault="0090229B" w:rsidP="00F56F72">
      <w:pPr>
        <w:pStyle w:val="format"/>
      </w:pPr>
      <w:r w:rsidRPr="00F56F72">
        <w:t>Na základě výše uvedeného lze tvrdit, že v</w:t>
      </w:r>
      <w:r w:rsidR="00E262D2" w:rsidRPr="00F56F72">
        <w:t xml:space="preserve"> </w:t>
      </w:r>
      <w:r w:rsidRPr="00F56F72">
        <w:t>souvislost</w:t>
      </w:r>
      <w:r w:rsidR="00BB2B90">
        <w:t>i</w:t>
      </w:r>
      <w:r w:rsidRPr="00F56F72">
        <w:t xml:space="preserve"> se zásadou rovnosti zbraní se nejedná o zásah do této zásady, nýbrž </w:t>
      </w:r>
      <w:r w:rsidR="007C3FFC">
        <w:t xml:space="preserve">právě </w:t>
      </w:r>
      <w:r w:rsidRPr="00F56F72">
        <w:t xml:space="preserve">díky </w:t>
      </w:r>
      <w:r w:rsidR="007C3FFC" w:rsidRPr="00F56F72">
        <w:t>zásad</w:t>
      </w:r>
      <w:r w:rsidR="007C3FFC">
        <w:t>ě</w:t>
      </w:r>
      <w:r w:rsidR="007C3FFC" w:rsidRPr="00F56F72">
        <w:t xml:space="preserve"> </w:t>
      </w:r>
      <w:r w:rsidRPr="00F56F72">
        <w:t>rovnosti zbraní je umožněno spolupracujícímu obviněnému reagovat na případné změny jeho označení</w:t>
      </w:r>
      <w:r w:rsidR="005812D5" w:rsidRPr="00F56F72">
        <w:t>.</w:t>
      </w:r>
    </w:p>
    <w:p w14:paraId="308E36C2" w14:textId="2157781B" w:rsidR="00E67443" w:rsidRPr="00E943B1" w:rsidRDefault="00F56F72" w:rsidP="00F56F72">
      <w:pPr>
        <w:pStyle w:val="Nadpis1"/>
      </w:pPr>
      <w:r>
        <w:rPr>
          <w:color w:val="000000"/>
          <w:sz w:val="24"/>
          <w:szCs w:val="24"/>
        </w:rPr>
        <w:br w:type="page"/>
      </w:r>
      <w:bookmarkStart w:id="35" w:name="_Toc170638008"/>
      <w:r w:rsidR="00E67443" w:rsidRPr="00E943B1">
        <w:lastRenderedPageBreak/>
        <w:t xml:space="preserve">Zahraniční </w:t>
      </w:r>
      <w:r w:rsidR="00A25983" w:rsidRPr="00E943B1">
        <w:t xml:space="preserve">právní </w:t>
      </w:r>
      <w:r w:rsidR="00E67443" w:rsidRPr="00E943B1">
        <w:t>úpravy</w:t>
      </w:r>
      <w:bookmarkEnd w:id="35"/>
    </w:p>
    <w:p w14:paraId="7922E14D" w14:textId="2B19DD2B" w:rsidR="00E67443" w:rsidRPr="00E943B1" w:rsidRDefault="00E67443" w:rsidP="00F56F72">
      <w:pPr>
        <w:pStyle w:val="format"/>
      </w:pPr>
      <w:r w:rsidRPr="00E943B1">
        <w:t>V</w:t>
      </w:r>
      <w:r w:rsidR="00B90A50">
        <w:t>e</w:t>
      </w:r>
      <w:r w:rsidR="00E262D2">
        <w:t xml:space="preserve"> </w:t>
      </w:r>
      <w:r w:rsidR="00B90A50">
        <w:t>třetí</w:t>
      </w:r>
      <w:r w:rsidR="00B90A50" w:rsidRPr="00E943B1">
        <w:t xml:space="preserve"> </w:t>
      </w:r>
      <w:r w:rsidRPr="00E943B1">
        <w:t>kapitole bych se rád věnoval zahraničním úpravám institutu spolupracující</w:t>
      </w:r>
      <w:r w:rsidR="00F81C8B">
        <w:t>ho</w:t>
      </w:r>
      <w:r w:rsidRPr="00E943B1">
        <w:t xml:space="preserve"> </w:t>
      </w:r>
      <w:r w:rsidR="00F81C8B" w:rsidRPr="00E943B1">
        <w:t>obviněn</w:t>
      </w:r>
      <w:r w:rsidR="00F81C8B">
        <w:t>ého</w:t>
      </w:r>
      <w:r w:rsidRPr="00E943B1">
        <w:t xml:space="preserve">, respektive jejich obdobám, jelikož každý stát tento institut upravuje tak, aby zapadal do </w:t>
      </w:r>
      <w:r w:rsidR="00F81C8B">
        <w:t>jeho</w:t>
      </w:r>
      <w:r w:rsidR="00F81C8B" w:rsidRPr="00E943B1">
        <w:t xml:space="preserve"> </w:t>
      </w:r>
      <w:r w:rsidRPr="00E943B1">
        <w:t>právního systému.</w:t>
      </w:r>
    </w:p>
    <w:p w14:paraId="73023A0C" w14:textId="4C733A20" w:rsidR="00E67443" w:rsidRPr="00E943B1" w:rsidRDefault="00E67443" w:rsidP="00F56F72">
      <w:pPr>
        <w:pStyle w:val="Nadpis2"/>
      </w:pPr>
      <w:bookmarkStart w:id="36" w:name="_Toc170638009"/>
      <w:r w:rsidRPr="00E943B1">
        <w:t>Slovenská republika</w:t>
      </w:r>
      <w:bookmarkEnd w:id="36"/>
    </w:p>
    <w:p w14:paraId="5E45087C" w14:textId="48A7D82E" w:rsidR="00E67443" w:rsidRPr="00E943B1" w:rsidRDefault="00E51C16" w:rsidP="00F56F72">
      <w:pPr>
        <w:pStyle w:val="format"/>
      </w:pPr>
      <w:r w:rsidRPr="00E943B1">
        <w:t xml:space="preserve">Na úvod bych zmínil právní úpravu Slovenské republiky. Tento institut, respektive jak postupovat v případě </w:t>
      </w:r>
      <w:r w:rsidR="00F81C8B">
        <w:t>„</w:t>
      </w:r>
      <w:r w:rsidRPr="00E943B1">
        <w:t>spolupracuj</w:t>
      </w:r>
      <w:r w:rsidR="00B06C72" w:rsidRPr="00E943B1">
        <w:t>ú</w:t>
      </w:r>
      <w:r w:rsidRPr="00E943B1">
        <w:t>c</w:t>
      </w:r>
      <w:r w:rsidR="00B06C72" w:rsidRPr="00E943B1">
        <w:t>e</w:t>
      </w:r>
      <w:r w:rsidRPr="00E943B1">
        <w:t xml:space="preserve"> osoby</w:t>
      </w:r>
      <w:r w:rsidR="00F81C8B">
        <w:t>“</w:t>
      </w:r>
      <w:r w:rsidRPr="00E943B1">
        <w:t>, byl zaveden do slovenského právního řádu již v</w:t>
      </w:r>
      <w:r w:rsidR="00543A19">
        <w:t> </w:t>
      </w:r>
      <w:r w:rsidRPr="00E943B1">
        <w:t>roce 2003</w:t>
      </w:r>
      <w:r w:rsidR="00F81C8B">
        <w:t>,</w:t>
      </w:r>
      <w:r w:rsidRPr="00E943B1">
        <w:t xml:space="preserve"> a to novelou </w:t>
      </w:r>
      <w:r w:rsidR="00DE6455">
        <w:t xml:space="preserve">zákona </w:t>
      </w:r>
      <w:r w:rsidRPr="00E943B1">
        <w:t>č. 457/2003 Z</w:t>
      </w:r>
      <w:r w:rsidR="00A23F11">
        <w:t>b</w:t>
      </w:r>
      <w:r w:rsidRPr="00E943B1">
        <w:t>.</w:t>
      </w:r>
      <w:r w:rsidR="00A23F11">
        <w:t>, o trestnom</w:t>
      </w:r>
      <w:r w:rsidRPr="00E943B1">
        <w:t xml:space="preserve"> </w:t>
      </w:r>
      <w:r w:rsidR="00A23F11">
        <w:t>konaní súdnom (trestný poriadok)</w:t>
      </w:r>
      <w:r w:rsidR="00C47FBB">
        <w:t xml:space="preserve"> (dále</w:t>
      </w:r>
      <w:r w:rsidR="001A75F4">
        <w:t xml:space="preserve"> </w:t>
      </w:r>
      <w:r w:rsidR="00C47FBB">
        <w:t>„TP“)</w:t>
      </w:r>
      <w:r w:rsidRPr="00E943B1">
        <w:t xml:space="preserve">. Tato novela zavedla dočasné odložení </w:t>
      </w:r>
      <w:r w:rsidR="00F81C8B" w:rsidRPr="00E943B1">
        <w:t>vzne</w:t>
      </w:r>
      <w:r w:rsidR="00F81C8B">
        <w:t>s</w:t>
      </w:r>
      <w:r w:rsidR="00F81C8B" w:rsidRPr="00E943B1">
        <w:t xml:space="preserve">ení </w:t>
      </w:r>
      <w:r w:rsidRPr="00E943B1">
        <w:t>obvinění</w:t>
      </w:r>
      <w:r w:rsidR="00420252" w:rsidRPr="00E943B1">
        <w:rPr>
          <w:rStyle w:val="Znakapoznpodarou"/>
        </w:rPr>
        <w:footnoteReference w:id="72"/>
      </w:r>
      <w:r w:rsidRPr="00E943B1">
        <w:t xml:space="preserve"> a přerušení a zastavení trestního stíhání, nicméně to bylo stále nedostačující. </w:t>
      </w:r>
      <w:r w:rsidR="00B06C72" w:rsidRPr="00E943B1">
        <w:t>V</w:t>
      </w:r>
      <w:r w:rsidR="00E262D2">
        <w:t xml:space="preserve"> </w:t>
      </w:r>
      <w:r w:rsidR="00B06C72" w:rsidRPr="00E943B1">
        <w:t xml:space="preserve">roce 2005 </w:t>
      </w:r>
      <w:r w:rsidR="00F81C8B">
        <w:t xml:space="preserve">proto </w:t>
      </w:r>
      <w:r w:rsidR="00B06C72" w:rsidRPr="00E943B1">
        <w:t xml:space="preserve">proběhla rekodifikace </w:t>
      </w:r>
      <w:r w:rsidR="00F81C8B">
        <w:t>t</w:t>
      </w:r>
      <w:r w:rsidR="00F81C8B" w:rsidRPr="00E943B1">
        <w:t xml:space="preserve">restného </w:t>
      </w:r>
      <w:r w:rsidR="00B06C72" w:rsidRPr="00E943B1">
        <w:t>poriadku a došlo k</w:t>
      </w:r>
      <w:r w:rsidR="00E262D2">
        <w:t xml:space="preserve"> </w:t>
      </w:r>
      <w:r w:rsidR="00B06C72" w:rsidRPr="00E943B1">
        <w:t>posílení institutu „spolupracujúceho obvin</w:t>
      </w:r>
      <w:r w:rsidR="007326C9" w:rsidRPr="00E943B1">
        <w:t>e</w:t>
      </w:r>
      <w:r w:rsidR="00B06C72" w:rsidRPr="00E943B1">
        <w:t>ného“</w:t>
      </w:r>
      <w:r w:rsidR="007326C9" w:rsidRPr="00E943B1">
        <w:rPr>
          <w:rStyle w:val="Znakapoznpodarou"/>
        </w:rPr>
        <w:footnoteReference w:id="73"/>
      </w:r>
      <w:r w:rsidR="00B06C72" w:rsidRPr="00E943B1">
        <w:t xml:space="preserve"> zavedením § 218 TP, podmíněné zastavení trestního stíhání </w:t>
      </w:r>
      <w:r w:rsidR="007326C9" w:rsidRPr="00E943B1">
        <w:t>spolupracujícího</w:t>
      </w:r>
      <w:r w:rsidR="00B06C72" w:rsidRPr="00E943B1">
        <w:t xml:space="preserve"> obviněného.</w:t>
      </w:r>
      <w:r w:rsidR="00045010" w:rsidRPr="00E943B1">
        <w:rPr>
          <w:rStyle w:val="Znakapoznpodarou"/>
        </w:rPr>
        <w:footnoteReference w:id="74"/>
      </w:r>
    </w:p>
    <w:p w14:paraId="38C7D2BD" w14:textId="7DF37A28" w:rsidR="0068023A" w:rsidRPr="00E943B1" w:rsidRDefault="0068023A" w:rsidP="00F56F72">
      <w:pPr>
        <w:pStyle w:val="format"/>
      </w:pPr>
      <w:r w:rsidRPr="00E943B1">
        <w:t>Slovenská právní</w:t>
      </w:r>
      <w:r w:rsidR="009C524F" w:rsidRPr="00E943B1">
        <w:t xml:space="preserve"> úprava</w:t>
      </w:r>
      <w:r w:rsidRPr="00E943B1">
        <w:t xml:space="preserve"> umožnuje použít ve spojitosti se </w:t>
      </w:r>
      <w:r w:rsidR="007326C9" w:rsidRPr="00E943B1">
        <w:t>spolupracujícím</w:t>
      </w:r>
      <w:r w:rsidRPr="00E943B1">
        <w:t xml:space="preserve"> </w:t>
      </w:r>
      <w:r w:rsidR="007326C9" w:rsidRPr="00E943B1">
        <w:t>obviněným</w:t>
      </w:r>
      <w:r w:rsidRPr="00E943B1">
        <w:t xml:space="preserve"> tyto</w:t>
      </w:r>
      <w:r w:rsidR="00543A19">
        <w:t> </w:t>
      </w:r>
      <w:r w:rsidRPr="00E943B1">
        <w:t xml:space="preserve">čtyři instituty: dočasné </w:t>
      </w:r>
      <w:r w:rsidR="00420AAE" w:rsidRPr="00E943B1">
        <w:t>odložen</w:t>
      </w:r>
      <w:r w:rsidR="00420AAE">
        <w:t>ie</w:t>
      </w:r>
      <w:r w:rsidR="00420AAE" w:rsidRPr="00E943B1">
        <w:t xml:space="preserve"> trestn</w:t>
      </w:r>
      <w:r w:rsidR="00420AAE">
        <w:t>é</w:t>
      </w:r>
      <w:r w:rsidR="00420AAE" w:rsidRPr="00E943B1">
        <w:t>ho stíh</w:t>
      </w:r>
      <w:r w:rsidR="00F24177">
        <w:t>a</w:t>
      </w:r>
      <w:r w:rsidR="00420AAE" w:rsidRPr="00E943B1">
        <w:t>n</w:t>
      </w:r>
      <w:r w:rsidR="00420AAE">
        <w:t>ia</w:t>
      </w:r>
      <w:r w:rsidR="00420AAE" w:rsidRPr="00E943B1">
        <w:t xml:space="preserve"> </w:t>
      </w:r>
      <w:r w:rsidRPr="00E943B1">
        <w:t xml:space="preserve">dle § 205 TP, zastavenie trestného stíhania dle § 215 TP, </w:t>
      </w:r>
      <w:r w:rsidR="009C05F1" w:rsidRPr="00BB2B90">
        <w:rPr>
          <w:lang w:val="sk-SK"/>
        </w:rPr>
        <w:t>podmienečné zastavenie trestného stíhania spolupracujúceho obvineného</w:t>
      </w:r>
      <w:r w:rsidR="009C05F1" w:rsidRPr="00E943B1">
        <w:t xml:space="preserve"> dle</w:t>
      </w:r>
      <w:r w:rsidR="00B9459E" w:rsidRPr="00E943B1">
        <w:t xml:space="preserve"> §</w:t>
      </w:r>
      <w:r w:rsidR="009C05F1" w:rsidRPr="00E943B1">
        <w:t xml:space="preserve"> 218 TP a prerušenie trestného </w:t>
      </w:r>
      <w:r w:rsidR="00F24177" w:rsidRPr="00E943B1">
        <w:t>st</w:t>
      </w:r>
      <w:r w:rsidR="00F24177">
        <w:t>í</w:t>
      </w:r>
      <w:r w:rsidR="00F24177" w:rsidRPr="00E943B1">
        <w:t xml:space="preserve">hania </w:t>
      </w:r>
      <w:r w:rsidR="009C05F1" w:rsidRPr="00E943B1">
        <w:t>dle § 228 TP.</w:t>
      </w:r>
      <w:r w:rsidR="009C05F1" w:rsidRPr="00E943B1">
        <w:rPr>
          <w:rStyle w:val="Znakapoznpodarou"/>
        </w:rPr>
        <w:footnoteReference w:id="75"/>
      </w:r>
    </w:p>
    <w:p w14:paraId="276E9DEA" w14:textId="17CE9E62" w:rsidR="00882722" w:rsidRPr="00E943B1" w:rsidRDefault="00882722" w:rsidP="00F56F72">
      <w:pPr>
        <w:pStyle w:val="format"/>
        <w:rPr>
          <w:i/>
          <w:iCs/>
          <w:color w:val="000000"/>
          <w:shd w:val="clear" w:color="auto" w:fill="FFFFFF"/>
        </w:rPr>
      </w:pPr>
      <w:r w:rsidRPr="00E943B1">
        <w:t xml:space="preserve">Samotnou definici </w:t>
      </w:r>
      <w:r w:rsidR="007326C9" w:rsidRPr="00E943B1">
        <w:t>spolupracujícího</w:t>
      </w:r>
      <w:r w:rsidRPr="00E943B1">
        <w:t xml:space="preserve"> </w:t>
      </w:r>
      <w:r w:rsidR="007326C9" w:rsidRPr="00E943B1">
        <w:t>obviněného</w:t>
      </w:r>
      <w:r w:rsidRPr="00E943B1">
        <w:t xml:space="preserve"> lze</w:t>
      </w:r>
      <w:r w:rsidR="00B9459E" w:rsidRPr="00E943B1">
        <w:t xml:space="preserve"> pak</w:t>
      </w:r>
      <w:r w:rsidRPr="00E943B1">
        <w:t xml:space="preserve"> </w:t>
      </w:r>
      <w:r w:rsidR="00B9459E" w:rsidRPr="00E943B1">
        <w:t>nalézt ve všech výše zmíněných paragrafech TP.</w:t>
      </w:r>
      <w:r w:rsidRPr="00E943B1">
        <w:t xml:space="preserve"> </w:t>
      </w:r>
      <w:r w:rsidR="00B9459E" w:rsidRPr="00E943B1">
        <w:t>Z</w:t>
      </w:r>
      <w:r w:rsidRPr="00E943B1">
        <w:t xml:space="preserve">a </w:t>
      </w:r>
      <w:r w:rsidR="007326C9" w:rsidRPr="00E943B1">
        <w:t>spolupracujícího</w:t>
      </w:r>
      <w:r w:rsidRPr="00E943B1">
        <w:t xml:space="preserve"> </w:t>
      </w:r>
      <w:r w:rsidR="007326C9" w:rsidRPr="00E943B1">
        <w:t>obviněného</w:t>
      </w:r>
      <w:r w:rsidR="00B9459E" w:rsidRPr="00E943B1">
        <w:t xml:space="preserve"> se</w:t>
      </w:r>
      <w:r w:rsidRPr="00E943B1">
        <w:t xml:space="preserve"> </w:t>
      </w:r>
      <w:r w:rsidR="00B9459E" w:rsidRPr="00E943B1">
        <w:t xml:space="preserve">dle </w:t>
      </w:r>
      <w:r w:rsidR="00F81C8B">
        <w:t>t</w:t>
      </w:r>
      <w:r w:rsidR="00F81C8B" w:rsidRPr="00E943B1">
        <w:t xml:space="preserve">restného </w:t>
      </w:r>
      <w:r w:rsidR="00B9459E" w:rsidRPr="00E943B1">
        <w:t xml:space="preserve">poriadku </w:t>
      </w:r>
      <w:r w:rsidRPr="00E943B1">
        <w:t xml:space="preserve">považuje osoba, která </w:t>
      </w:r>
      <w:r w:rsidRPr="00E943B1">
        <w:rPr>
          <w:i/>
          <w:iCs/>
          <w:color w:val="000000"/>
          <w:shd w:val="clear" w:color="auto" w:fill="FFFFFF"/>
        </w:rPr>
        <w:t>„</w:t>
      </w:r>
      <w:r w:rsidR="00F56F72">
        <w:rPr>
          <w:i/>
          <w:iCs/>
          <w:color w:val="000000"/>
          <w:shd w:val="clear" w:color="auto" w:fill="FFFFFF"/>
        </w:rPr>
        <w:t xml:space="preserve">… </w:t>
      </w:r>
      <w:r w:rsidRPr="00BB2B90">
        <w:rPr>
          <w:i/>
          <w:iCs/>
          <w:color w:val="000000"/>
          <w:shd w:val="clear" w:color="auto" w:fill="FFFFFF"/>
          <w:lang w:val="sk-SK"/>
        </w:rPr>
        <w:t>sa významnou mierou podieľal</w:t>
      </w:r>
      <w:r w:rsidR="009425BB">
        <w:rPr>
          <w:i/>
          <w:iCs/>
          <w:color w:val="000000"/>
          <w:shd w:val="clear" w:color="auto" w:fill="FFFFFF"/>
          <w:lang w:val="sk-SK"/>
        </w:rPr>
        <w:t>a</w:t>
      </w:r>
      <w:r w:rsidRPr="00BB2B90">
        <w:rPr>
          <w:i/>
          <w:iCs/>
          <w:color w:val="000000"/>
          <w:shd w:val="clear" w:color="auto" w:fill="FFFFFF"/>
          <w:lang w:val="sk-SK"/>
        </w:rPr>
        <w:t xml:space="preserve"> na objasnení korupcie, trestného činu založenia, zosnovania a</w:t>
      </w:r>
      <w:r w:rsidR="00543A19">
        <w:rPr>
          <w:i/>
          <w:iCs/>
          <w:color w:val="000000"/>
          <w:shd w:val="clear" w:color="auto" w:fill="FFFFFF"/>
          <w:lang w:val="sk-SK"/>
        </w:rPr>
        <w:t> </w:t>
      </w:r>
      <w:r w:rsidRPr="00BB2B90">
        <w:rPr>
          <w:i/>
          <w:iCs/>
          <w:color w:val="000000"/>
          <w:shd w:val="clear" w:color="auto" w:fill="FFFFFF"/>
          <w:lang w:val="sk-SK"/>
        </w:rPr>
        <w:t>podporovania zločineckej skupiny alebo zločinu spáchaného organizovanou skupinou alebo zločineckou skupinou alebo trestných činov terorizmu, alebo na zistení alebo usvedčení páchateľa tohto trestného činu</w:t>
      </w:r>
      <w:r w:rsidRPr="00E943B1">
        <w:rPr>
          <w:i/>
          <w:iCs/>
          <w:color w:val="000000"/>
          <w:shd w:val="clear" w:color="auto" w:fill="FFFFFF"/>
        </w:rPr>
        <w:t>“</w:t>
      </w:r>
      <w:r w:rsidR="00F56F72">
        <w:rPr>
          <w:i/>
          <w:iCs/>
          <w:color w:val="000000"/>
          <w:shd w:val="clear" w:color="auto" w:fill="FFFFFF"/>
        </w:rPr>
        <w:t>.</w:t>
      </w:r>
      <w:r w:rsidRPr="00F56F72">
        <w:rPr>
          <w:rStyle w:val="Znakapoznpodarou"/>
          <w:iCs/>
          <w:color w:val="000000"/>
          <w:shd w:val="clear" w:color="auto" w:fill="FFFFFF"/>
        </w:rPr>
        <w:footnoteReference w:id="76"/>
      </w:r>
    </w:p>
    <w:p w14:paraId="226C26B0" w14:textId="07ED02DB" w:rsidR="009C524F" w:rsidRPr="00E943B1" w:rsidRDefault="009C524F" w:rsidP="00F56F72">
      <w:pPr>
        <w:pStyle w:val="format"/>
        <w:rPr>
          <w:shd w:val="clear" w:color="auto" w:fill="FFFFFF"/>
        </w:rPr>
      </w:pPr>
      <w:r w:rsidRPr="00E943B1">
        <w:rPr>
          <w:shd w:val="clear" w:color="auto" w:fill="FFFFFF"/>
        </w:rPr>
        <w:lastRenderedPageBreak/>
        <w:t>Už z</w:t>
      </w:r>
      <w:r w:rsidR="00E262D2">
        <w:rPr>
          <w:shd w:val="clear" w:color="auto" w:fill="FFFFFF"/>
        </w:rPr>
        <w:t xml:space="preserve"> </w:t>
      </w:r>
      <w:r w:rsidRPr="00E943B1">
        <w:rPr>
          <w:shd w:val="clear" w:color="auto" w:fill="FFFFFF"/>
        </w:rPr>
        <w:t>názvů předmětných ustanovení</w:t>
      </w:r>
      <w:r w:rsidR="00A25983" w:rsidRPr="00E943B1">
        <w:rPr>
          <w:shd w:val="clear" w:color="auto" w:fill="FFFFFF"/>
        </w:rPr>
        <w:t xml:space="preserve"> lze usoudit, že slovenská právní úprava počítá s</w:t>
      </w:r>
      <w:r w:rsidR="00543A19">
        <w:rPr>
          <w:shd w:val="clear" w:color="auto" w:fill="FFFFFF"/>
        </w:rPr>
        <w:t> </w:t>
      </w:r>
      <w:r w:rsidR="00F24177">
        <w:rPr>
          <w:shd w:val="clear" w:color="auto" w:fill="FFFFFF"/>
        </w:rPr>
        <w:t>určitými</w:t>
      </w:r>
      <w:r w:rsidR="00A25983" w:rsidRPr="00E943B1">
        <w:rPr>
          <w:shd w:val="clear" w:color="auto" w:fill="FFFFFF"/>
        </w:rPr>
        <w:t xml:space="preserve"> „fázemi“ pro uplatnění </w:t>
      </w:r>
      <w:r w:rsidR="00F24177">
        <w:rPr>
          <w:shd w:val="clear" w:color="auto" w:fill="FFFFFF"/>
        </w:rPr>
        <w:t>některého</w:t>
      </w:r>
      <w:r w:rsidR="00F24177" w:rsidRPr="00E943B1">
        <w:rPr>
          <w:shd w:val="clear" w:color="auto" w:fill="FFFFFF"/>
        </w:rPr>
        <w:t xml:space="preserve"> </w:t>
      </w:r>
      <w:r w:rsidR="00A25983" w:rsidRPr="00E943B1">
        <w:rPr>
          <w:shd w:val="clear" w:color="auto" w:fill="FFFFFF"/>
        </w:rPr>
        <w:t>z</w:t>
      </w:r>
      <w:r w:rsidR="00E262D2">
        <w:rPr>
          <w:shd w:val="clear" w:color="auto" w:fill="FFFFFF"/>
        </w:rPr>
        <w:t xml:space="preserve"> </w:t>
      </w:r>
      <w:r w:rsidR="00A25983" w:rsidRPr="00E943B1">
        <w:rPr>
          <w:shd w:val="clear" w:color="auto" w:fill="FFFFFF"/>
        </w:rPr>
        <w:t>výše uvedených ustanovení. V</w:t>
      </w:r>
      <w:r w:rsidR="00E262D2">
        <w:rPr>
          <w:shd w:val="clear" w:color="auto" w:fill="FFFFFF"/>
        </w:rPr>
        <w:t xml:space="preserve"> </w:t>
      </w:r>
      <w:r w:rsidR="00420252" w:rsidRPr="00E943B1">
        <w:rPr>
          <w:shd w:val="clear" w:color="auto" w:fill="FFFFFF"/>
        </w:rPr>
        <w:t>rámci jedné</w:t>
      </w:r>
      <w:r w:rsidR="00A25983" w:rsidRPr="00E943B1">
        <w:rPr>
          <w:shd w:val="clear" w:color="auto" w:fill="FFFFFF"/>
        </w:rPr>
        <w:t xml:space="preserve"> fáz</w:t>
      </w:r>
      <w:r w:rsidR="00420252" w:rsidRPr="00E943B1">
        <w:rPr>
          <w:shd w:val="clear" w:color="auto" w:fill="FFFFFF"/>
        </w:rPr>
        <w:t>e</w:t>
      </w:r>
      <w:r w:rsidR="00A31641">
        <w:rPr>
          <w:shd w:val="clear" w:color="auto" w:fill="FFFFFF"/>
        </w:rPr>
        <w:t xml:space="preserve"> </w:t>
      </w:r>
      <w:r w:rsidR="00F24177">
        <w:rPr>
          <w:shd w:val="clear" w:color="auto" w:fill="FFFFFF"/>
        </w:rPr>
        <w:t xml:space="preserve">však </w:t>
      </w:r>
      <w:r w:rsidR="00A31641">
        <w:rPr>
          <w:shd w:val="clear" w:color="auto" w:fill="FFFFFF"/>
        </w:rPr>
        <w:t>může „prokurátor“</w:t>
      </w:r>
      <w:r w:rsidR="00A25983" w:rsidRPr="00E943B1">
        <w:rPr>
          <w:rStyle w:val="Znakapoznpodarou"/>
          <w:color w:val="000000"/>
          <w:shd w:val="clear" w:color="auto" w:fill="FFFFFF"/>
        </w:rPr>
        <w:footnoteReference w:id="77"/>
      </w:r>
      <w:r w:rsidR="00A25983" w:rsidRPr="00E943B1">
        <w:rPr>
          <w:shd w:val="clear" w:color="auto" w:fill="FFFFFF"/>
        </w:rPr>
        <w:t xml:space="preserve"> použít pouze institut dle § 205 TP.</w:t>
      </w:r>
      <w:r w:rsidR="00A25983" w:rsidRPr="00E943B1">
        <w:rPr>
          <w:rStyle w:val="Znakapoznpodarou"/>
          <w:color w:val="000000"/>
          <w:shd w:val="clear" w:color="auto" w:fill="FFFFFF"/>
        </w:rPr>
        <w:footnoteReference w:id="78"/>
      </w:r>
    </w:p>
    <w:p w14:paraId="68BBADA7" w14:textId="2FE8B328" w:rsidR="00E67443" w:rsidRPr="00E943B1" w:rsidRDefault="00914639" w:rsidP="00F56F72">
      <w:pPr>
        <w:pStyle w:val="format"/>
      </w:pPr>
      <w:r w:rsidRPr="00E943B1">
        <w:t>Jak vyplývá z</w:t>
      </w:r>
      <w:r w:rsidR="00E262D2">
        <w:t xml:space="preserve"> </w:t>
      </w:r>
      <w:r w:rsidRPr="00E943B1">
        <w:t>dikce tohoto</w:t>
      </w:r>
      <w:r w:rsidR="00641190" w:rsidRPr="00E943B1">
        <w:t xml:space="preserve"> ustanovení</w:t>
      </w:r>
      <w:r w:rsidRPr="00E943B1">
        <w:t>, tak ho</w:t>
      </w:r>
      <w:r w:rsidR="00641190" w:rsidRPr="00E943B1">
        <w:t xml:space="preserve"> lze použít v</w:t>
      </w:r>
      <w:r w:rsidR="00E262D2">
        <w:t xml:space="preserve"> </w:t>
      </w:r>
      <w:r w:rsidR="00641190" w:rsidRPr="00E943B1">
        <w:t>případech, kdy ještě nebylo zahájeno trestní stíhání. Při aplikaci tohoto ustanovení dojde k</w:t>
      </w:r>
      <w:r w:rsidR="00E262D2">
        <w:t xml:space="preserve"> </w:t>
      </w:r>
      <w:r w:rsidR="00641190" w:rsidRPr="00E943B1">
        <w:t>dočasnému odložení trestního stíh</w:t>
      </w:r>
      <w:r w:rsidR="008C64FF">
        <w:t>á</w:t>
      </w:r>
      <w:r w:rsidR="00641190" w:rsidRPr="00E943B1">
        <w:t>ní po dobu nezbytně nutnou, nejvýš</w:t>
      </w:r>
      <w:r w:rsidR="00F24177">
        <w:t>e</w:t>
      </w:r>
      <w:r w:rsidR="00641190" w:rsidRPr="00E943B1">
        <w:t xml:space="preserve"> však o tři měsíce. Tato lhůta </w:t>
      </w:r>
      <w:r w:rsidR="00F24177">
        <w:t>ovšem</w:t>
      </w:r>
      <w:r w:rsidR="00F24177" w:rsidRPr="00E943B1">
        <w:t xml:space="preserve"> </w:t>
      </w:r>
      <w:r w:rsidR="00641190" w:rsidRPr="00E943B1">
        <w:t xml:space="preserve">může být prodloužena prokurátorem na základě návrhu policejního orgánu o dva měsíce, a to i opakovaně, jak </w:t>
      </w:r>
      <w:r w:rsidR="001A75F4">
        <w:t xml:space="preserve">také </w:t>
      </w:r>
      <w:r w:rsidR="00641190" w:rsidRPr="00E943B1">
        <w:t>plyne z</w:t>
      </w:r>
      <w:r w:rsidR="00E262D2">
        <w:t xml:space="preserve"> </w:t>
      </w:r>
      <w:r w:rsidR="00641190" w:rsidRPr="00E943B1">
        <w:t>dikce § 205 odst. 1 TP.</w:t>
      </w:r>
      <w:r w:rsidR="00641190" w:rsidRPr="00E943B1">
        <w:rPr>
          <w:rStyle w:val="Znakapoznpodarou"/>
        </w:rPr>
        <w:footnoteReference w:id="79"/>
      </w:r>
      <w:r w:rsidRPr="00E943B1">
        <w:t xml:space="preserve"> V</w:t>
      </w:r>
      <w:r w:rsidR="00E262D2">
        <w:t xml:space="preserve"> </w:t>
      </w:r>
      <w:r w:rsidRPr="00E943B1">
        <w:t>momentě, kdy jsou naplněny požadavky tohoto ustanovení</w:t>
      </w:r>
      <w:r w:rsidR="001A75F4">
        <w:t>,</w:t>
      </w:r>
      <w:r w:rsidRPr="00E943B1">
        <w:t xml:space="preserve"> dojde k</w:t>
      </w:r>
      <w:r w:rsidR="00E262D2">
        <w:t xml:space="preserve"> </w:t>
      </w:r>
      <w:r w:rsidRPr="00E943B1">
        <w:t>zahájení trestního stíhání</w:t>
      </w:r>
      <w:r w:rsidR="00420252" w:rsidRPr="00E943B1">
        <w:t xml:space="preserve"> dle § 206 TP</w:t>
      </w:r>
      <w:r w:rsidR="001A75F4">
        <w:t>.</w:t>
      </w:r>
      <w:r w:rsidR="00420252" w:rsidRPr="00E943B1">
        <w:rPr>
          <w:rStyle w:val="Znakapoznpodarou"/>
        </w:rPr>
        <w:footnoteReference w:id="80"/>
      </w:r>
    </w:p>
    <w:p w14:paraId="4C5872C1" w14:textId="471D7367" w:rsidR="00177F0D" w:rsidRPr="00E943B1" w:rsidRDefault="00420252" w:rsidP="00F56F72">
      <w:pPr>
        <w:pStyle w:val="format"/>
      </w:pPr>
      <w:r w:rsidRPr="00E943B1">
        <w:t xml:space="preserve">Po zahájení trestního stíhání proti </w:t>
      </w:r>
      <w:r w:rsidR="007326C9" w:rsidRPr="00E943B1">
        <w:t>spolupracujícímu</w:t>
      </w:r>
      <w:r w:rsidRPr="00E943B1">
        <w:t xml:space="preserve"> </w:t>
      </w:r>
      <w:r w:rsidR="007326C9" w:rsidRPr="00E943B1">
        <w:t xml:space="preserve">obviněnému připadá </w:t>
      </w:r>
      <w:r w:rsidR="005C33FF">
        <w:t>v</w:t>
      </w:r>
      <w:r w:rsidR="00073C2D">
        <w:t xml:space="preserve"> </w:t>
      </w:r>
      <w:r w:rsidR="005C33FF">
        <w:t xml:space="preserve">úvahu </w:t>
      </w:r>
      <w:r w:rsidR="007326C9" w:rsidRPr="00E943B1">
        <w:t xml:space="preserve">použití ostatních tří ustanovení </w:t>
      </w:r>
      <w:r w:rsidR="001A75F4">
        <w:t>t</w:t>
      </w:r>
      <w:r w:rsidR="001A75F4" w:rsidRPr="00E943B1">
        <w:t xml:space="preserve">restného </w:t>
      </w:r>
      <w:r w:rsidR="007326C9" w:rsidRPr="00E943B1">
        <w:t xml:space="preserve">poriadku, konkrétně tedy § 215 TP </w:t>
      </w:r>
      <w:r w:rsidR="007326C9" w:rsidRPr="00A31641">
        <w:rPr>
          <w:lang w:val="sk-SK"/>
        </w:rPr>
        <w:t>zastavenia trestného stíhania, § 218 TP podmienečné zastavenie trestného stíhania, § 228 TP</w:t>
      </w:r>
      <w:r w:rsidR="00F56F72" w:rsidRPr="00A31641">
        <w:rPr>
          <w:lang w:val="sk-SK"/>
        </w:rPr>
        <w:t xml:space="preserve"> prerušenie trestného </w:t>
      </w:r>
      <w:r w:rsidR="001A75F4" w:rsidRPr="00A31641">
        <w:rPr>
          <w:lang w:val="sk-SK"/>
        </w:rPr>
        <w:t>st</w:t>
      </w:r>
      <w:r w:rsidR="001A75F4">
        <w:rPr>
          <w:lang w:val="sk-SK"/>
        </w:rPr>
        <w:t>í</w:t>
      </w:r>
      <w:r w:rsidR="001A75F4" w:rsidRPr="00A31641">
        <w:rPr>
          <w:lang w:val="sk-SK"/>
        </w:rPr>
        <w:t>hania</w:t>
      </w:r>
      <w:r w:rsidR="00F56F72">
        <w:t>.</w:t>
      </w:r>
    </w:p>
    <w:p w14:paraId="363200CC" w14:textId="47A9587F" w:rsidR="00420252" w:rsidRPr="00E943B1" w:rsidRDefault="00922F52" w:rsidP="00F56F72">
      <w:pPr>
        <w:pStyle w:val="format"/>
      </w:pPr>
      <w:r w:rsidRPr="00E943B1">
        <w:t xml:space="preserve">Důležité je zmínit, že ani jeden z institutů nelze </w:t>
      </w:r>
      <w:r w:rsidR="00177F0D" w:rsidRPr="00E943B1">
        <w:t>použít,</w:t>
      </w:r>
      <w:r w:rsidRPr="00E943B1">
        <w:t xml:space="preserve"> pokud se jedná o organizátora, návodce nebo „objednávateľa“ trestného činu, na </w:t>
      </w:r>
      <w:r w:rsidR="001A75F4">
        <w:t>němž</w:t>
      </w:r>
      <w:r w:rsidR="001A75F4" w:rsidRPr="00E943B1">
        <w:t xml:space="preserve"> </w:t>
      </w:r>
      <w:r w:rsidRPr="00E943B1">
        <w:t>se spolupracující osoba podílí.</w:t>
      </w:r>
    </w:p>
    <w:p w14:paraId="35C6584B" w14:textId="6CC9814A" w:rsidR="00C17CC7" w:rsidRPr="00E943B1" w:rsidRDefault="007326C9" w:rsidP="00F56F72">
      <w:pPr>
        <w:pStyle w:val="format"/>
      </w:pPr>
      <w:r w:rsidRPr="00E943B1">
        <w:t xml:space="preserve">Jak jsem již </w:t>
      </w:r>
      <w:r w:rsidR="002A091C" w:rsidRPr="00E943B1">
        <w:t>předestřel,</w:t>
      </w:r>
      <w:r w:rsidRPr="00E943B1">
        <w:t xml:space="preserve"> tak v</w:t>
      </w:r>
      <w:r w:rsidR="00E262D2">
        <w:t xml:space="preserve"> </w:t>
      </w:r>
      <w:r w:rsidRPr="00E943B1">
        <w:t xml:space="preserve">těchto dvou „fázích“ má dominantní postavení státní zástupce, </w:t>
      </w:r>
      <w:r w:rsidR="001A75F4">
        <w:t>jenž</w:t>
      </w:r>
      <w:r w:rsidR="001A75F4" w:rsidRPr="00E943B1">
        <w:t xml:space="preserve"> </w:t>
      </w:r>
      <w:r w:rsidRPr="00E943B1">
        <w:t>uděluje souhlas s</w:t>
      </w:r>
      <w:r w:rsidR="00E262D2">
        <w:t xml:space="preserve"> </w:t>
      </w:r>
      <w:r w:rsidRPr="00E943B1">
        <w:t>odložením zahájení trestního stíhání dle § 205 TP</w:t>
      </w:r>
      <w:r w:rsidR="002A091C" w:rsidRPr="00E943B1">
        <w:t xml:space="preserve"> (o samotném odložení pak rozhoduje policejní orgán opatřením)</w:t>
      </w:r>
      <w:r w:rsidR="001A75F4">
        <w:t>.</w:t>
      </w:r>
      <w:r w:rsidR="002A091C" w:rsidRPr="00E943B1">
        <w:rPr>
          <w:rStyle w:val="Znakapoznpodarou"/>
        </w:rPr>
        <w:footnoteReference w:id="81"/>
      </w:r>
      <w:r w:rsidR="002A091C" w:rsidRPr="00E943B1">
        <w:t xml:space="preserve"> Poté státní zástupce rozhoduje o přerušení trestního stíh</w:t>
      </w:r>
      <w:r w:rsidR="00A31641">
        <w:t>á</w:t>
      </w:r>
      <w:r w:rsidR="002A091C" w:rsidRPr="00E943B1">
        <w:t>ní dle § 228 TP a na základě jeho návrhu pak může dojít k</w:t>
      </w:r>
      <w:r w:rsidR="00E262D2">
        <w:t xml:space="preserve"> </w:t>
      </w:r>
      <w:r w:rsidR="002A091C" w:rsidRPr="00E943B1">
        <w:t xml:space="preserve">zastavení trestního stíhání dle § 215 odst. 3 TP a podmíněnému zastavení trestního stíhání dle § 218 TP. O těchto návrzích státního zástupce </w:t>
      </w:r>
      <w:r w:rsidR="001A75F4">
        <w:t>následně</w:t>
      </w:r>
      <w:r w:rsidR="001A75F4" w:rsidRPr="00E943B1">
        <w:t xml:space="preserve"> </w:t>
      </w:r>
      <w:r w:rsidR="002A091C" w:rsidRPr="00E943B1">
        <w:t xml:space="preserve">rozhoduje soudce, </w:t>
      </w:r>
      <w:r w:rsidR="0064610B">
        <w:t>jenž</w:t>
      </w:r>
      <w:r w:rsidR="0064610B" w:rsidRPr="00E943B1">
        <w:t xml:space="preserve"> </w:t>
      </w:r>
      <w:r w:rsidR="002A091C" w:rsidRPr="00E943B1">
        <w:t>je oprávněn rozhodovat o věcech v</w:t>
      </w:r>
      <w:r w:rsidR="00543A19">
        <w:t> </w:t>
      </w:r>
      <w:r w:rsidR="002A091C" w:rsidRPr="00E943B1">
        <w:t>„</w:t>
      </w:r>
      <w:r w:rsidR="002E1D45" w:rsidRPr="002E1D45">
        <w:t>prípravnom konanie</w:t>
      </w:r>
      <w:r w:rsidR="002A091C" w:rsidRPr="00E943B1">
        <w:t>“.</w:t>
      </w:r>
      <w:r w:rsidR="002A091C" w:rsidRPr="00E943B1">
        <w:rPr>
          <w:rStyle w:val="Znakapoznpodarou"/>
        </w:rPr>
        <w:footnoteReference w:id="82"/>
      </w:r>
    </w:p>
    <w:p w14:paraId="7EBE4A4D" w14:textId="06206B4E" w:rsidR="00522B7C" w:rsidRPr="00E943B1" w:rsidRDefault="00744D13" w:rsidP="00F56F72">
      <w:pPr>
        <w:pStyle w:val="format"/>
        <w:rPr>
          <w:i/>
          <w:iCs/>
        </w:rPr>
      </w:pPr>
      <w:r w:rsidRPr="00E943B1">
        <w:t>Pokud však nedojde k</w:t>
      </w:r>
      <w:r w:rsidR="00E262D2">
        <w:t xml:space="preserve"> </w:t>
      </w:r>
      <w:r w:rsidRPr="00E943B1">
        <w:t>aplikaci ani jednoho z</w:t>
      </w:r>
      <w:r w:rsidR="00E262D2">
        <w:t xml:space="preserve"> </w:t>
      </w:r>
      <w:r w:rsidRPr="00E943B1">
        <w:t xml:space="preserve">výše </w:t>
      </w:r>
      <w:r w:rsidR="00B327A0" w:rsidRPr="00E943B1">
        <w:t>označených</w:t>
      </w:r>
      <w:r w:rsidRPr="00E943B1">
        <w:t xml:space="preserve"> institutů a státní zástupce podá na spolupracujícího obviněného obžalobu, lze pak aplikovat ust</w:t>
      </w:r>
      <w:r w:rsidR="00A31641">
        <w:t>anovení § 39 odst. 2 písm.</w:t>
      </w:r>
      <w:r w:rsidR="00543A19">
        <w:t> </w:t>
      </w:r>
      <w:r w:rsidR="00A31641">
        <w:t>b) zákona</w:t>
      </w:r>
      <w:r w:rsidRPr="00E943B1">
        <w:t xml:space="preserve"> č. 300/2005</w:t>
      </w:r>
      <w:r w:rsidR="00206DA8">
        <w:t xml:space="preserve"> Z. z.</w:t>
      </w:r>
      <w:r w:rsidRPr="00E943B1">
        <w:t xml:space="preserve">, </w:t>
      </w:r>
      <w:r w:rsidR="00A31641">
        <w:t>t</w:t>
      </w:r>
      <w:r w:rsidRPr="00E943B1">
        <w:t xml:space="preserve">restný zákon (dále </w:t>
      </w:r>
      <w:r w:rsidR="001A75F4">
        <w:t>„</w:t>
      </w:r>
      <w:r w:rsidRPr="00E943B1">
        <w:t>TrZ</w:t>
      </w:r>
      <w:r w:rsidR="001A75F4">
        <w:t>“</w:t>
      </w:r>
      <w:r w:rsidRPr="00E943B1">
        <w:t xml:space="preserve">). Soud tak na základě tohoto ustanovení může snížit trest odnětí svobody pod spodní hranici trestní sazby, pokud </w:t>
      </w:r>
      <w:r w:rsidR="00522B7C" w:rsidRPr="00E943B1">
        <w:t>pachatel:</w:t>
      </w:r>
      <w:r w:rsidR="00A31641">
        <w:t xml:space="preserve"> </w:t>
      </w:r>
      <w:r w:rsidR="00522B7C" w:rsidRPr="00E943B1">
        <w:rPr>
          <w:i/>
          <w:iCs/>
          <w:color w:val="000000"/>
          <w:shd w:val="clear" w:color="auto" w:fill="FFFFFF"/>
        </w:rPr>
        <w:t>„</w:t>
      </w:r>
      <w:r w:rsidR="00F56F72">
        <w:rPr>
          <w:i/>
          <w:iCs/>
          <w:color w:val="000000"/>
          <w:shd w:val="clear" w:color="auto" w:fill="FFFFFF"/>
        </w:rPr>
        <w:t>…</w:t>
      </w:r>
      <w:r w:rsidR="00543A19">
        <w:rPr>
          <w:i/>
          <w:iCs/>
          <w:color w:val="000000"/>
          <w:shd w:val="clear" w:color="auto" w:fill="FFFFFF"/>
        </w:rPr>
        <w:t> </w:t>
      </w:r>
      <w:r w:rsidR="00522B7C" w:rsidRPr="00A31641">
        <w:rPr>
          <w:i/>
          <w:iCs/>
          <w:color w:val="000000"/>
          <w:shd w:val="clear" w:color="auto" w:fill="FFFFFF"/>
          <w:lang w:val="sk-SK"/>
        </w:rPr>
        <w:t xml:space="preserve">významnou mierou prispel k objasneniu trestného činu spáchaného v prospech zločineckej </w:t>
      </w:r>
      <w:r w:rsidR="00522B7C" w:rsidRPr="00A31641">
        <w:rPr>
          <w:i/>
          <w:iCs/>
          <w:color w:val="000000"/>
          <w:shd w:val="clear" w:color="auto" w:fill="FFFFFF"/>
          <w:lang w:val="sk-SK"/>
        </w:rPr>
        <w:lastRenderedPageBreak/>
        <w:t>skupiny alebo teroristickej skupiny alebo napomáhal zabrániť spáchaniu trestného činu, ktorý v</w:t>
      </w:r>
      <w:r w:rsidR="001A0A5E">
        <w:rPr>
          <w:i/>
          <w:iCs/>
          <w:color w:val="000000"/>
          <w:shd w:val="clear" w:color="auto" w:fill="FFFFFF"/>
          <w:lang w:val="sk-SK"/>
        </w:rPr>
        <w:t> </w:t>
      </w:r>
      <w:r w:rsidR="00522B7C" w:rsidRPr="00A31641">
        <w:rPr>
          <w:i/>
          <w:iCs/>
          <w:color w:val="000000"/>
          <w:shd w:val="clear" w:color="auto" w:fill="FFFFFF"/>
          <w:lang w:val="sk-SK"/>
        </w:rPr>
        <w:t>prospech zločineckej skupiny alebo teroristickej skupiny iný pripravoval alebo sa o jeho spáchanie pokúsil tým, že oznámil jeho činnosť orgánom činným v trestnom konaní a poskytol im informácie, ktoré by inak nezískali, a tak im pomohol zabrániť alebo zmierniť následky trestného činu, zistiť alebo usvedčiť páchateľov alebo zabezpečiť dôkazy o trestnom čine v prospech usvedčenia zločineckej skupiny alebo teroristickej skupiny</w:t>
      </w:r>
      <w:r w:rsidR="00522B7C" w:rsidRPr="00E943B1">
        <w:rPr>
          <w:i/>
          <w:iCs/>
          <w:color w:val="000000"/>
          <w:shd w:val="clear" w:color="auto" w:fill="FFFFFF"/>
        </w:rPr>
        <w:t>.“</w:t>
      </w:r>
      <w:r w:rsidR="00522B7C" w:rsidRPr="00F56F72">
        <w:rPr>
          <w:rStyle w:val="Znakapoznpodarou"/>
          <w:iCs/>
        </w:rPr>
        <w:footnoteReference w:id="83"/>
      </w:r>
    </w:p>
    <w:p w14:paraId="58154D23" w14:textId="2D94DF7D" w:rsidR="00C17CC7" w:rsidRPr="00E943B1" w:rsidRDefault="00C17CC7" w:rsidP="008D0660">
      <w:pPr>
        <w:pStyle w:val="format"/>
      </w:pPr>
      <w:r w:rsidRPr="00E943B1">
        <w:t>Ač nás se Slovenskou republikou spojuje společná historie, úprava institutu spolupracující</w:t>
      </w:r>
      <w:r w:rsidR="00B327A0">
        <w:t>ho</w:t>
      </w:r>
      <w:r w:rsidRPr="00E943B1">
        <w:t xml:space="preserve"> </w:t>
      </w:r>
      <w:r w:rsidR="00B327A0" w:rsidRPr="00E943B1">
        <w:t>obviněn</w:t>
      </w:r>
      <w:r w:rsidR="00B327A0">
        <w:t>ého</w:t>
      </w:r>
      <w:r w:rsidR="00B327A0" w:rsidRPr="00E943B1">
        <w:t xml:space="preserve"> </w:t>
      </w:r>
      <w:r w:rsidRPr="00E943B1">
        <w:t>se značně rozchází. Jediné, v</w:t>
      </w:r>
      <w:r w:rsidR="00E262D2">
        <w:t xml:space="preserve"> </w:t>
      </w:r>
      <w:r w:rsidRPr="00E943B1">
        <w:t xml:space="preserve">čem spatřuji </w:t>
      </w:r>
      <w:r w:rsidR="009541FB">
        <w:t xml:space="preserve">jistou </w:t>
      </w:r>
      <w:r w:rsidRPr="00E943B1">
        <w:t>podobnost</w:t>
      </w:r>
      <w:r w:rsidR="00766EDB">
        <w:t>,</w:t>
      </w:r>
      <w:r w:rsidRPr="00E943B1">
        <w:t xml:space="preserve"> je dominantní postavení státního zástupce v</w:t>
      </w:r>
      <w:r w:rsidR="00E262D2">
        <w:t xml:space="preserve"> </w:t>
      </w:r>
      <w:r w:rsidRPr="00E943B1">
        <w:t>obou právních úpravách. V</w:t>
      </w:r>
      <w:r w:rsidR="00E262D2">
        <w:t xml:space="preserve"> </w:t>
      </w:r>
      <w:r w:rsidRPr="00E943B1">
        <w:t>české právní úpravě je</w:t>
      </w:r>
      <w:r w:rsidR="001A0A5E">
        <w:t> </w:t>
      </w:r>
      <w:r w:rsidR="00B327A0" w:rsidRPr="00E943B1">
        <w:t>zvlášť</w:t>
      </w:r>
      <w:r w:rsidRPr="00E943B1">
        <w:t xml:space="preserve"> na státním zástupci, zda obviněného za spolupracujícího označí, </w:t>
      </w:r>
      <w:r w:rsidR="00B327A0">
        <w:t>přičemž</w:t>
      </w:r>
      <w:r w:rsidR="00B327A0" w:rsidRPr="00E943B1">
        <w:t xml:space="preserve"> </w:t>
      </w:r>
      <w:r w:rsidRPr="00E943B1">
        <w:t>toto označení je pouze fakultativní, i když dojde k</w:t>
      </w:r>
      <w:r w:rsidR="00E262D2">
        <w:t xml:space="preserve"> </w:t>
      </w:r>
      <w:r w:rsidRPr="00E943B1">
        <w:t>naplnění zákonných podmínek.</w:t>
      </w:r>
      <w:r w:rsidR="00922F52" w:rsidRPr="00E943B1">
        <w:rPr>
          <w:rStyle w:val="Znakapoznpodarou"/>
        </w:rPr>
        <w:footnoteReference w:id="84"/>
      </w:r>
      <w:r w:rsidRPr="00E943B1">
        <w:t xml:space="preserve"> Ve slovenské právní úpravě pak státní </w:t>
      </w:r>
      <w:r w:rsidR="002525EA">
        <w:t>z</w:t>
      </w:r>
      <w:r w:rsidR="002525EA" w:rsidRPr="00E943B1">
        <w:t xml:space="preserve">ástupce </w:t>
      </w:r>
      <w:r w:rsidRPr="00E943B1">
        <w:t>buď vyjadřuje souhlas s</w:t>
      </w:r>
      <w:r w:rsidR="00E262D2">
        <w:t xml:space="preserve"> </w:t>
      </w:r>
      <w:r w:rsidRPr="00E943B1">
        <w:t>dočasným odložením trestního stíhání, nebo podává návrh na zastavení či podmíněné zastavení trestního stíhání</w:t>
      </w:r>
      <w:r w:rsidR="002525EA">
        <w:t>,</w:t>
      </w:r>
      <w:r w:rsidRPr="00E943B1">
        <w:t xml:space="preserve"> </w:t>
      </w:r>
      <w:r w:rsidR="002525EA">
        <w:t>přičemž</w:t>
      </w:r>
      <w:r w:rsidR="002525EA" w:rsidRPr="00E943B1">
        <w:t xml:space="preserve"> </w:t>
      </w:r>
      <w:r w:rsidRPr="00E943B1">
        <w:t>v</w:t>
      </w:r>
      <w:r w:rsidR="00E262D2">
        <w:t xml:space="preserve"> </w:t>
      </w:r>
      <w:r w:rsidRPr="00E943B1">
        <w:t xml:space="preserve">poslední řadě může sám přerušit trestní stíhání. Důležité je </w:t>
      </w:r>
      <w:r w:rsidR="002525EA">
        <w:t>zohlednit fakt</w:t>
      </w:r>
      <w:r w:rsidRPr="00E943B1">
        <w:t xml:space="preserve">, že veškeré „benefity“ slovenské právní úpravy </w:t>
      </w:r>
      <w:r w:rsidR="00177F0D" w:rsidRPr="00E943B1">
        <w:t>„</w:t>
      </w:r>
      <w:r w:rsidRPr="00E943B1">
        <w:t>obdrží</w:t>
      </w:r>
      <w:r w:rsidR="00177F0D" w:rsidRPr="00E943B1">
        <w:t xml:space="preserve">“ </w:t>
      </w:r>
      <w:r w:rsidRPr="00E943B1">
        <w:t>spolupracující obviněný již v</w:t>
      </w:r>
      <w:r w:rsidR="00E262D2">
        <w:t xml:space="preserve"> </w:t>
      </w:r>
      <w:r w:rsidRPr="00E943B1">
        <w:t>přípravném řízení</w:t>
      </w:r>
      <w:r w:rsidR="00A165F4">
        <w:t>,</w:t>
      </w:r>
      <w:r w:rsidRPr="00E943B1">
        <w:t xml:space="preserve"> </w:t>
      </w:r>
      <w:r w:rsidR="00A165F4">
        <w:t xml:space="preserve">tudíž </w:t>
      </w:r>
      <w:r w:rsidRPr="00E943B1">
        <w:t>nedojde k</w:t>
      </w:r>
      <w:r w:rsidR="001A0A5E">
        <w:t> </w:t>
      </w:r>
      <w:r w:rsidRPr="00E943B1">
        <w:t>projednání před soudem</w:t>
      </w:r>
      <w:r w:rsidR="005270C8" w:rsidRPr="00E943B1">
        <w:t>, kdežto u nás dojde k</w:t>
      </w:r>
      <w:r w:rsidR="00E262D2">
        <w:t xml:space="preserve"> </w:t>
      </w:r>
      <w:r w:rsidR="005270C8" w:rsidRPr="00E943B1">
        <w:t>projednání před soudem a pouze soud může udělit některý z</w:t>
      </w:r>
      <w:r w:rsidR="00E262D2">
        <w:t xml:space="preserve"> </w:t>
      </w:r>
      <w:r w:rsidR="005270C8" w:rsidRPr="00E943B1">
        <w:t>benefitů tohoto institutu.</w:t>
      </w:r>
    </w:p>
    <w:p w14:paraId="2856EA5F" w14:textId="471F2465" w:rsidR="00922F52" w:rsidRPr="00E943B1" w:rsidRDefault="00922F52" w:rsidP="008D0660">
      <w:pPr>
        <w:pStyle w:val="format"/>
      </w:pPr>
      <w:r w:rsidRPr="00E943B1">
        <w:t>Na závěr bych se rád pozastavil nad samotným ustanovením § 205 TP, jelikož nedokáži nalézt smysl a účel</w:t>
      </w:r>
      <w:r w:rsidR="00177F0D" w:rsidRPr="00E943B1">
        <w:t xml:space="preserve"> tohoto ustanovení</w:t>
      </w:r>
      <w:r w:rsidRPr="00E943B1">
        <w:t>. Jak jsem již zmiňoval v</w:t>
      </w:r>
      <w:r w:rsidR="00E262D2">
        <w:t xml:space="preserve"> </w:t>
      </w:r>
      <w:r w:rsidRPr="00E943B1">
        <w:t xml:space="preserve">této kapitole, aplikací </w:t>
      </w:r>
      <w:r w:rsidR="00A165F4">
        <w:t>zmiňovaného</w:t>
      </w:r>
      <w:r w:rsidR="00A165F4" w:rsidRPr="00E943B1">
        <w:t xml:space="preserve"> </w:t>
      </w:r>
      <w:r w:rsidRPr="00E943B1">
        <w:t>ustanovení dojde k</w:t>
      </w:r>
      <w:r w:rsidR="00E262D2">
        <w:t xml:space="preserve"> </w:t>
      </w:r>
      <w:r w:rsidRPr="00E943B1">
        <w:t>odložení zahájení trestního stíhání, nicméně jakmile je dosaženo potřebné spolupráce, tak dojde k</w:t>
      </w:r>
      <w:r w:rsidR="00E262D2">
        <w:t xml:space="preserve"> </w:t>
      </w:r>
      <w:r w:rsidRPr="00E943B1">
        <w:t xml:space="preserve">zahájení trestního stíhání dle § 206 TP. </w:t>
      </w:r>
      <w:r w:rsidR="00177F0D" w:rsidRPr="00E943B1">
        <w:t xml:space="preserve">Osobně </w:t>
      </w:r>
      <w:r w:rsidR="007F35F1">
        <w:t>se pozastavuji nad tím</w:t>
      </w:r>
      <w:r w:rsidR="00177F0D" w:rsidRPr="00E943B1">
        <w:t xml:space="preserve">, jak by </w:t>
      </w:r>
      <w:r w:rsidR="00A165F4">
        <w:t>toto</w:t>
      </w:r>
      <w:r w:rsidR="00A165F4" w:rsidRPr="00E943B1">
        <w:t xml:space="preserve"> </w:t>
      </w:r>
      <w:r w:rsidR="00177F0D" w:rsidRPr="00E943B1">
        <w:t>ustanovení mělo zajistit motivaci ke spolupráci při odhalování organizovaného zločinu, když ve výsledku zahájení trestního stíhání jako takové nastane. Neplyne z</w:t>
      </w:r>
      <w:r w:rsidR="00E262D2">
        <w:t xml:space="preserve"> </w:t>
      </w:r>
      <w:r w:rsidR="00177F0D" w:rsidRPr="00E943B1">
        <w:t>toho žádný benefit pro spolupracujícího obviněného, nijak to „nevylepší“ jeho postavení</w:t>
      </w:r>
      <w:r w:rsidR="002E7DD3" w:rsidRPr="00E943B1">
        <w:t xml:space="preserve"> a</w:t>
      </w:r>
      <w:r w:rsidR="00177F0D" w:rsidRPr="00E943B1">
        <w:t xml:space="preserve"> ani ho to dostatečně nemotivuje. Toto ustanovení </w:t>
      </w:r>
      <w:r w:rsidR="00A165F4">
        <w:t xml:space="preserve">tak </w:t>
      </w:r>
      <w:r w:rsidR="00177F0D" w:rsidRPr="00E943B1">
        <w:t xml:space="preserve">shledávám spíše jako „zatížení“ </w:t>
      </w:r>
      <w:r w:rsidR="00BC42DD" w:rsidRPr="00E943B1">
        <w:t>právního systému zbytečným „pap</w:t>
      </w:r>
      <w:r w:rsidR="008D0660">
        <w:t>írováním“.</w:t>
      </w:r>
    </w:p>
    <w:p w14:paraId="227E5A18" w14:textId="65F5AEC7" w:rsidR="00BC42DD" w:rsidRPr="00E943B1" w:rsidRDefault="00BC42DD" w:rsidP="008D0660">
      <w:pPr>
        <w:pStyle w:val="format"/>
      </w:pPr>
      <w:r w:rsidRPr="00E943B1">
        <w:t>Dále je zde taky k</w:t>
      </w:r>
      <w:r w:rsidR="00E262D2">
        <w:t xml:space="preserve"> </w:t>
      </w:r>
      <w:r w:rsidRPr="00E943B1">
        <w:t>zamyšlení fakt, že slovní spojení „úkladná vražda“ se ob</w:t>
      </w:r>
      <w:r w:rsidR="008D0660">
        <w:t>jevuje pouze v</w:t>
      </w:r>
      <w:r w:rsidR="00741A30">
        <w:t> </w:t>
      </w:r>
      <w:r w:rsidR="008D0660">
        <w:t>§ 205 odst. 1 TP</w:t>
      </w:r>
      <w:r w:rsidRPr="00E943B1">
        <w:rPr>
          <w:rStyle w:val="Znakapoznpodarou"/>
        </w:rPr>
        <w:footnoteReference w:id="85"/>
      </w:r>
      <w:r w:rsidRPr="00E943B1">
        <w:t>a v § 228 odst. 1 TP</w:t>
      </w:r>
      <w:r w:rsidRPr="00E943B1">
        <w:rPr>
          <w:rStyle w:val="Znakapoznpodarou"/>
        </w:rPr>
        <w:footnoteReference w:id="86"/>
      </w:r>
      <w:r w:rsidRPr="00E943B1">
        <w:t>. Z</w:t>
      </w:r>
      <w:r w:rsidR="00E262D2">
        <w:t xml:space="preserve"> </w:t>
      </w:r>
      <w:r w:rsidRPr="00E943B1">
        <w:t xml:space="preserve">toho by tedy plynulo, že pokud spolupracující </w:t>
      </w:r>
      <w:r w:rsidRPr="00E943B1">
        <w:lastRenderedPageBreak/>
        <w:t>obviněný poskytne potřebné informace ve spojitosti s</w:t>
      </w:r>
      <w:r w:rsidR="00E262D2">
        <w:t xml:space="preserve"> </w:t>
      </w:r>
      <w:r w:rsidRPr="00E943B1">
        <w:t>trestným činem „</w:t>
      </w:r>
      <w:r w:rsidR="00C65D05">
        <w:t>ú</w:t>
      </w:r>
      <w:r w:rsidR="00C65D05" w:rsidRPr="00E943B1">
        <w:t>kl</w:t>
      </w:r>
      <w:r w:rsidR="0024247C">
        <w:t>a</w:t>
      </w:r>
      <w:r w:rsidR="00C65D05" w:rsidRPr="00E943B1">
        <w:t xml:space="preserve">dná </w:t>
      </w:r>
      <w:r w:rsidRPr="00E943B1">
        <w:t>vražda“</w:t>
      </w:r>
      <w:r w:rsidR="0024247C">
        <w:t>,</w:t>
      </w:r>
      <w:r w:rsidRPr="00E943B1">
        <w:t xml:space="preserve"> může to</w:t>
      </w:r>
      <w:r w:rsidR="005A09EA">
        <w:t> </w:t>
      </w:r>
      <w:r w:rsidRPr="00E943B1">
        <w:t>vést pouze k aplikaci institutu přerušení trestního stíhání dle § 228 odst. 1 TP</w:t>
      </w:r>
      <w:r w:rsidR="002E7DD3" w:rsidRPr="00E943B1">
        <w:t xml:space="preserve"> (nebereme-li v</w:t>
      </w:r>
      <w:r w:rsidR="005A09EA">
        <w:t> </w:t>
      </w:r>
      <w:r w:rsidR="002E7DD3" w:rsidRPr="00E943B1">
        <w:t>potaz dočasné odložení trestního stíhání, které</w:t>
      </w:r>
      <w:r w:rsidR="008D0660">
        <w:t xml:space="preserve"> ve finále nastane tak či tak).</w:t>
      </w:r>
    </w:p>
    <w:p w14:paraId="7E53380C" w14:textId="322414A9" w:rsidR="00522B7C" w:rsidRPr="00E943B1" w:rsidRDefault="00522B7C" w:rsidP="008D0660">
      <w:pPr>
        <w:pStyle w:val="format"/>
      </w:pPr>
      <w:r w:rsidRPr="00E943B1">
        <w:t xml:space="preserve">Ať už se jedná o slovenskou právní úpravu nebo českou právní úpravu, </w:t>
      </w:r>
      <w:r w:rsidR="005270C8" w:rsidRPr="00E943B1">
        <w:t>netroufám si tvrdit, která je „lepší“ nebo „horší“</w:t>
      </w:r>
      <w:r w:rsidR="00704036" w:rsidRPr="00E943B1">
        <w:t>. Lze však říci, že v</w:t>
      </w:r>
      <w:r w:rsidR="00E262D2">
        <w:t xml:space="preserve"> </w:t>
      </w:r>
      <w:r w:rsidR="00704036" w:rsidRPr="00E943B1">
        <w:t>rámci české právní úpravy se nevyskytuje podobně nelogický paragraf jako § 205 TP.</w:t>
      </w:r>
    </w:p>
    <w:p w14:paraId="4BA45114" w14:textId="4F084891" w:rsidR="00704036" w:rsidRPr="005A09EA" w:rsidRDefault="00704036" w:rsidP="005A09EA">
      <w:pPr>
        <w:pStyle w:val="Nadpis2"/>
      </w:pPr>
      <w:bookmarkStart w:id="37" w:name="_Toc170638010"/>
      <w:r w:rsidRPr="005A09EA">
        <w:t xml:space="preserve">Spojené státy </w:t>
      </w:r>
      <w:r w:rsidR="0024247C" w:rsidRPr="005A09EA">
        <w:t>americké</w:t>
      </w:r>
      <w:bookmarkEnd w:id="37"/>
    </w:p>
    <w:p w14:paraId="5FF627CC" w14:textId="6285E48A" w:rsidR="00704036" w:rsidRPr="00E943B1" w:rsidRDefault="00704036" w:rsidP="008D0660">
      <w:pPr>
        <w:pStyle w:val="format"/>
      </w:pPr>
      <w:r w:rsidRPr="00E943B1">
        <w:t>Ryzí institut spolupracujícího obviněného bychom v</w:t>
      </w:r>
      <w:r w:rsidR="00E262D2">
        <w:t xml:space="preserve"> </w:t>
      </w:r>
      <w:r w:rsidRPr="00E943B1">
        <w:t xml:space="preserve">rámci právní úpravy Spojených států </w:t>
      </w:r>
      <w:r w:rsidR="0024247C">
        <w:t>a</w:t>
      </w:r>
      <w:r w:rsidR="0024247C" w:rsidRPr="00E943B1">
        <w:t xml:space="preserve">merických </w:t>
      </w:r>
      <w:r w:rsidRPr="00E943B1">
        <w:t>(</w:t>
      </w:r>
      <w:r w:rsidR="0024247C">
        <w:t xml:space="preserve">z angl. </w:t>
      </w:r>
      <w:r w:rsidR="0024247C" w:rsidRPr="0048677E">
        <w:rPr>
          <w:i/>
          <w:iCs/>
        </w:rPr>
        <w:t>United States of America</w:t>
      </w:r>
      <w:r w:rsidR="0024247C">
        <w:rPr>
          <w:i/>
          <w:iCs/>
        </w:rPr>
        <w:t>;</w:t>
      </w:r>
      <w:r w:rsidR="0024247C">
        <w:t xml:space="preserve"> </w:t>
      </w:r>
      <w:r w:rsidRPr="00E943B1">
        <w:t xml:space="preserve">dále </w:t>
      </w:r>
      <w:r w:rsidR="0024247C">
        <w:t>„</w:t>
      </w:r>
      <w:r w:rsidRPr="00E943B1">
        <w:t>USA</w:t>
      </w:r>
      <w:r w:rsidR="0024247C">
        <w:t>“</w:t>
      </w:r>
      <w:r w:rsidRPr="00E943B1">
        <w:t>) našli jen těžko.</w:t>
      </w:r>
      <w:r w:rsidR="008D6365" w:rsidRPr="00E943B1">
        <w:t xml:space="preserve"> Nutno podotknout, že anglosaský právní systém používá pojem korunní svědek.</w:t>
      </w:r>
      <w:r w:rsidRPr="00E943B1">
        <w:t xml:space="preserve"> Nicméně jsou zde celkem tři instituty, které plní podobnou funkci</w:t>
      </w:r>
      <w:r w:rsidR="0024247C">
        <w:t>,</w:t>
      </w:r>
      <w:r w:rsidRPr="00E943B1">
        <w:t xml:space="preserve"> ať už zvlášť či dohromady jakožto náš institut spolupracujícího obviněného. Jedná se o </w:t>
      </w:r>
      <w:r w:rsidRPr="00E943B1">
        <w:rPr>
          <w:i/>
          <w:iCs/>
        </w:rPr>
        <w:t>„</w:t>
      </w:r>
      <w:r w:rsidRPr="00766EDB">
        <w:rPr>
          <w:i/>
          <w:iCs/>
          <w:lang w:val="en-GB"/>
        </w:rPr>
        <w:t>cooperation agreements, plea bargaining, witness immunity</w:t>
      </w:r>
      <w:r w:rsidRPr="00E943B1">
        <w:rPr>
          <w:i/>
          <w:iCs/>
        </w:rPr>
        <w:t>“</w:t>
      </w:r>
      <w:r w:rsidR="0024247C">
        <w:rPr>
          <w:i/>
          <w:iCs/>
        </w:rPr>
        <w:t>.</w:t>
      </w:r>
      <w:r w:rsidR="00861EF0" w:rsidRPr="00E943B1">
        <w:t xml:space="preserve"> Nesmíme ovšem zapomenout také na tzv. </w:t>
      </w:r>
      <w:r w:rsidR="00861EF0" w:rsidRPr="00E943B1">
        <w:rPr>
          <w:i/>
          <w:iCs/>
        </w:rPr>
        <w:t>„</w:t>
      </w:r>
      <w:r w:rsidR="00B2175B">
        <w:rPr>
          <w:i/>
          <w:iCs/>
        </w:rPr>
        <w:t>w</w:t>
      </w:r>
      <w:r w:rsidR="00B2175B" w:rsidRPr="00514B53">
        <w:rPr>
          <w:i/>
          <w:iCs/>
        </w:rPr>
        <w:t xml:space="preserve">itness </w:t>
      </w:r>
      <w:r w:rsidR="00B2175B">
        <w:rPr>
          <w:i/>
          <w:iCs/>
        </w:rPr>
        <w:t>s</w:t>
      </w:r>
      <w:r w:rsidR="00B2175B" w:rsidRPr="00514B53">
        <w:rPr>
          <w:i/>
          <w:iCs/>
        </w:rPr>
        <w:t xml:space="preserve">ecurity </w:t>
      </w:r>
      <w:r w:rsidR="00B2175B">
        <w:rPr>
          <w:i/>
          <w:iCs/>
        </w:rPr>
        <w:t>p</w:t>
      </w:r>
      <w:r w:rsidR="00B2175B" w:rsidRPr="00514B53">
        <w:rPr>
          <w:i/>
          <w:iCs/>
        </w:rPr>
        <w:t>rogram</w:t>
      </w:r>
      <w:r w:rsidR="00861EF0" w:rsidRPr="00E943B1">
        <w:rPr>
          <w:i/>
          <w:iCs/>
        </w:rPr>
        <w:t xml:space="preserve">“ </w:t>
      </w:r>
      <w:r w:rsidR="00861EF0" w:rsidRPr="00E943B1">
        <w:t xml:space="preserve">neboli </w:t>
      </w:r>
      <w:r w:rsidR="00B665DB">
        <w:t xml:space="preserve">česky </w:t>
      </w:r>
      <w:r w:rsidR="00861EF0" w:rsidRPr="00E943B1">
        <w:t>program na ochranu svědků, kter</w:t>
      </w:r>
      <w:r w:rsidR="008D6365" w:rsidRPr="00E943B1">
        <w:t>ý</w:t>
      </w:r>
      <w:r w:rsidR="00861EF0" w:rsidRPr="00E943B1">
        <w:t xml:space="preserve"> slouží k</w:t>
      </w:r>
      <w:r w:rsidR="00E262D2">
        <w:t xml:space="preserve"> </w:t>
      </w:r>
      <w:r w:rsidR="00861EF0" w:rsidRPr="00E943B1">
        <w:t>ukrývání korunních svědků.</w:t>
      </w:r>
      <w:r w:rsidR="00861EF0" w:rsidRPr="00E943B1">
        <w:rPr>
          <w:rStyle w:val="Znakapoznpodarou"/>
        </w:rPr>
        <w:footnoteReference w:id="87"/>
      </w:r>
    </w:p>
    <w:p w14:paraId="7F6A6CF3" w14:textId="459D70E0" w:rsidR="00861EF0" w:rsidRPr="00E943B1" w:rsidRDefault="00861EF0" w:rsidP="008D0660">
      <w:pPr>
        <w:pStyle w:val="Nadpis3"/>
      </w:pPr>
      <w:bookmarkStart w:id="38" w:name="_Toc170638011"/>
      <w:r w:rsidRPr="00E943B1">
        <w:t xml:space="preserve">Plea </w:t>
      </w:r>
      <w:r w:rsidR="00B665DB">
        <w:t>b</w:t>
      </w:r>
      <w:r w:rsidR="00B665DB" w:rsidRPr="00E943B1">
        <w:t>argaining</w:t>
      </w:r>
      <w:bookmarkEnd w:id="38"/>
    </w:p>
    <w:p w14:paraId="46E28EBF" w14:textId="0C135065" w:rsidR="00861EF0" w:rsidRPr="00E943B1" w:rsidRDefault="008D6365" w:rsidP="008D0660">
      <w:pPr>
        <w:pStyle w:val="format"/>
      </w:pPr>
      <w:r w:rsidRPr="00E943B1">
        <w:t xml:space="preserve">USA </w:t>
      </w:r>
      <w:r w:rsidR="00B665DB" w:rsidRPr="00E943B1">
        <w:t>měl</w:t>
      </w:r>
      <w:r w:rsidR="00B665DB">
        <w:t>y</w:t>
      </w:r>
      <w:r w:rsidR="00B665DB" w:rsidRPr="00E943B1">
        <w:t xml:space="preserve"> </w:t>
      </w:r>
      <w:r w:rsidRPr="00E943B1">
        <w:t xml:space="preserve">největší počet vězňů na světě </w:t>
      </w:r>
      <w:r w:rsidR="00BC44E4" w:rsidRPr="00E943B1">
        <w:t>v</w:t>
      </w:r>
      <w:r w:rsidR="00E262D2">
        <w:t xml:space="preserve"> </w:t>
      </w:r>
      <w:r w:rsidR="00BC44E4" w:rsidRPr="00E943B1">
        <w:t xml:space="preserve">roce 2018 a </w:t>
      </w:r>
      <w:r w:rsidR="00B665DB">
        <w:t>tento nechvalný</w:t>
      </w:r>
      <w:r w:rsidR="00B665DB" w:rsidRPr="00E943B1">
        <w:t xml:space="preserve"> </w:t>
      </w:r>
      <w:r w:rsidR="00BC44E4" w:rsidRPr="00E943B1">
        <w:t>„rekord“ drží do</w:t>
      </w:r>
      <w:r w:rsidR="005A09EA">
        <w:t> </w:t>
      </w:r>
      <w:r w:rsidR="00BC44E4" w:rsidRPr="00E943B1">
        <w:t>dnes. Zajímavostí je, že počet vězňů, kteří se dostanou před</w:t>
      </w:r>
      <w:r w:rsidR="00E262D2">
        <w:t xml:space="preserve"> </w:t>
      </w:r>
      <w:r w:rsidR="007E774B">
        <w:t>soud,</w:t>
      </w:r>
      <w:r w:rsidR="00BC44E4" w:rsidRPr="00E943B1">
        <w:t xml:space="preserve"> je </w:t>
      </w:r>
      <w:r w:rsidR="00BC6E8F">
        <w:t>přesto</w:t>
      </w:r>
      <w:r w:rsidR="00E2385E">
        <w:t xml:space="preserve"> </w:t>
      </w:r>
      <w:r w:rsidR="00BC44E4" w:rsidRPr="00E943B1">
        <w:t xml:space="preserve">velmi </w:t>
      </w:r>
      <w:r w:rsidR="00E2385E">
        <w:t>malý</w:t>
      </w:r>
      <w:r w:rsidR="00BC44E4" w:rsidRPr="00E943B1">
        <w:t xml:space="preserve">. Více než 90 % lidí totiž využije </w:t>
      </w:r>
      <w:r w:rsidR="00E2385E">
        <w:t xml:space="preserve">právě </w:t>
      </w:r>
      <w:r w:rsidR="00BC44E4" w:rsidRPr="00E943B1">
        <w:t>tzv. „plea bargaining“.</w:t>
      </w:r>
      <w:r w:rsidR="00BC44E4" w:rsidRPr="00E943B1">
        <w:rPr>
          <w:rStyle w:val="Znakapoznpodarou"/>
        </w:rPr>
        <w:footnoteReference w:id="88"/>
      </w:r>
      <w:r w:rsidR="008E1175" w:rsidRPr="008E1175">
        <w:rPr>
          <w:vertAlign w:val="superscript"/>
        </w:rPr>
        <w:t>,</w:t>
      </w:r>
      <w:r w:rsidR="00BC44E4" w:rsidRPr="00E943B1">
        <w:rPr>
          <w:rStyle w:val="Znakapoznpodarou"/>
        </w:rPr>
        <w:footnoteReference w:id="89"/>
      </w:r>
      <w:r w:rsidR="008E73D7" w:rsidRPr="00E943B1">
        <w:t xml:space="preserve"> Faktem zůstává, že nejv</w:t>
      </w:r>
      <w:r w:rsidR="00E2385E">
        <w:t>ý</w:t>
      </w:r>
      <w:r w:rsidR="008E73D7" w:rsidRPr="00E943B1">
        <w:t>hodnější je samozřejmě být shledán nevinným</w:t>
      </w:r>
      <w:r w:rsidR="00E2385E">
        <w:t>,</w:t>
      </w:r>
      <w:r w:rsidR="008E73D7" w:rsidRPr="00E943B1">
        <w:t xml:space="preserve"> ovšem</w:t>
      </w:r>
      <w:r w:rsidR="00F729C6">
        <w:t xml:space="preserve"> </w:t>
      </w:r>
      <w:r w:rsidR="00E2385E">
        <w:t xml:space="preserve">z důvodu </w:t>
      </w:r>
      <w:r w:rsidR="008E73D7" w:rsidRPr="00E943B1">
        <w:t>nevyzpytatelnosti rozhodnutí poroty je mnohem jednodušší se dohodnout se státním z</w:t>
      </w:r>
      <w:r w:rsidR="00C12E17" w:rsidRPr="00E943B1">
        <w:t>ástupcem.</w:t>
      </w:r>
      <w:r w:rsidR="00C12E17" w:rsidRPr="00E943B1">
        <w:rPr>
          <w:rStyle w:val="Znakapoznpodarou"/>
        </w:rPr>
        <w:footnoteReference w:id="90"/>
      </w:r>
      <w:r w:rsidR="00B311F5" w:rsidRPr="00E943B1">
        <w:t xml:space="preserve"> Justiční systém vyloženě spoléhá</w:t>
      </w:r>
      <w:r w:rsidR="00214B5A">
        <w:t xml:space="preserve"> na</w:t>
      </w:r>
      <w:r w:rsidR="005A09EA">
        <w:t> </w:t>
      </w:r>
      <w:r w:rsidR="00214B5A">
        <w:t>to</w:t>
      </w:r>
      <w:r w:rsidR="00B311F5" w:rsidRPr="00E943B1">
        <w:t xml:space="preserve">, že většina případů bude vyřešena právě skrze tuto dohodu. Zredukování používání těchto </w:t>
      </w:r>
      <w:r w:rsidR="00B311F5" w:rsidRPr="00E943B1">
        <w:lastRenderedPageBreak/>
        <w:t xml:space="preserve">dohod by </w:t>
      </w:r>
      <w:r w:rsidR="00712D56">
        <w:t>totiž značně</w:t>
      </w:r>
      <w:r w:rsidR="00712D56" w:rsidRPr="00E943B1">
        <w:t xml:space="preserve"> </w:t>
      </w:r>
      <w:r w:rsidR="00B311F5" w:rsidRPr="00E943B1">
        <w:t xml:space="preserve">zatížilo systém hlavně po </w:t>
      </w:r>
      <w:r w:rsidR="00712D56">
        <w:t>finanční</w:t>
      </w:r>
      <w:r w:rsidR="00712D56" w:rsidRPr="00E943B1">
        <w:t xml:space="preserve"> </w:t>
      </w:r>
      <w:r w:rsidR="00B311F5" w:rsidRPr="00E943B1">
        <w:t>stránce.</w:t>
      </w:r>
      <w:r w:rsidR="00B311F5" w:rsidRPr="00E943B1">
        <w:rPr>
          <w:rStyle w:val="Znakapoznpodarou"/>
        </w:rPr>
        <w:footnoteReference w:id="91"/>
      </w:r>
      <w:r w:rsidR="00440670" w:rsidRPr="00E943B1">
        <w:t xml:space="preserve"> Ovšem veřejnost a zejména oběti trestných činů jsou </w:t>
      </w:r>
      <w:r w:rsidR="00712D56">
        <w:t xml:space="preserve">zcela </w:t>
      </w:r>
      <w:r w:rsidR="00440670" w:rsidRPr="00E943B1">
        <w:t xml:space="preserve">opačného názoru a </w:t>
      </w:r>
      <w:r w:rsidR="00712D56" w:rsidRPr="00E943B1">
        <w:t xml:space="preserve">tímto institutem </w:t>
      </w:r>
      <w:r w:rsidR="00712D56">
        <w:t>otevřeně</w:t>
      </w:r>
      <w:r w:rsidR="00712D56" w:rsidRPr="00E943B1">
        <w:t xml:space="preserve"> </w:t>
      </w:r>
      <w:r w:rsidR="00440670" w:rsidRPr="00E943B1">
        <w:t>pohrdají</w:t>
      </w:r>
      <w:r w:rsidR="00712D56">
        <w:t>,</w:t>
      </w:r>
      <w:r w:rsidR="00440670" w:rsidRPr="00E943B1">
        <w:t xml:space="preserve"> </w:t>
      </w:r>
      <w:r w:rsidR="00712D56">
        <w:t>když</w:t>
      </w:r>
      <w:r w:rsidR="00712D56" w:rsidRPr="00E943B1">
        <w:t xml:space="preserve"> </w:t>
      </w:r>
      <w:r w:rsidR="00440670" w:rsidRPr="00E943B1">
        <w:t>tvrdí, že dochází k</w:t>
      </w:r>
      <w:r w:rsidR="00E262D2">
        <w:t xml:space="preserve"> </w:t>
      </w:r>
      <w:r w:rsidR="00440670" w:rsidRPr="00E943B1">
        <w:t>porušení veřejného zájmu a zájmu společnosti na spravedlivé potrestání pachatelů trestných činů.</w:t>
      </w:r>
      <w:r w:rsidR="00440670" w:rsidRPr="00E943B1">
        <w:rPr>
          <w:rStyle w:val="Znakapoznpodarou"/>
        </w:rPr>
        <w:footnoteReference w:id="92"/>
      </w:r>
    </w:p>
    <w:p w14:paraId="7EE1C570" w14:textId="7B94739F" w:rsidR="00715E2A" w:rsidRPr="00E943B1" w:rsidRDefault="00BC44E4" w:rsidP="008D0660">
      <w:pPr>
        <w:pStyle w:val="format"/>
      </w:pPr>
      <w:r w:rsidRPr="00E943B1">
        <w:t>Právní systém USA zná dvě podoby této dohody. První</w:t>
      </w:r>
      <w:r w:rsidR="00715E2A" w:rsidRPr="00E943B1">
        <w:t xml:space="preserve"> je tzv. „charge bargaining“.</w:t>
      </w:r>
      <w:r w:rsidR="00715E2A" w:rsidRPr="00E943B1">
        <w:rPr>
          <w:rStyle w:val="Znakapoznpodarou"/>
        </w:rPr>
        <w:footnoteReference w:id="93"/>
      </w:r>
      <w:r w:rsidR="00715E2A" w:rsidRPr="00E943B1">
        <w:t xml:space="preserve"> V</w:t>
      </w:r>
      <w:r w:rsidR="00817E4B">
        <w:t> </w:t>
      </w:r>
      <w:r w:rsidR="00715E2A" w:rsidRPr="00E943B1">
        <w:t>praxi se jedná o dohodu mezi státní</w:t>
      </w:r>
      <w:r w:rsidR="00712D56">
        <w:t>m</w:t>
      </w:r>
      <w:r w:rsidR="00715E2A" w:rsidRPr="00E943B1">
        <w:t xml:space="preserve"> zástupcem a obviněným, která spočívá v</w:t>
      </w:r>
      <w:r w:rsidR="00E262D2">
        <w:t xml:space="preserve"> </w:t>
      </w:r>
      <w:r w:rsidR="00715E2A" w:rsidRPr="00E943B1">
        <w:t>doznání se</w:t>
      </w:r>
      <w:r w:rsidR="00817E4B">
        <w:t> </w:t>
      </w:r>
      <w:r w:rsidR="00715E2A" w:rsidRPr="00E943B1">
        <w:t>k</w:t>
      </w:r>
      <w:r w:rsidR="00817E4B">
        <w:t> </w:t>
      </w:r>
      <w:r w:rsidR="00715E2A" w:rsidRPr="00E943B1">
        <w:t>jednomu trestnému činu, pokud je obviněn z</w:t>
      </w:r>
      <w:r w:rsidR="00E262D2">
        <w:t xml:space="preserve"> </w:t>
      </w:r>
      <w:r w:rsidR="00715E2A" w:rsidRPr="00E943B1">
        <w:t>vícero trestných činů. Nebo bude obviněn pouze z</w:t>
      </w:r>
      <w:r w:rsidR="00E262D2">
        <w:t xml:space="preserve"> </w:t>
      </w:r>
      <w:r w:rsidR="00715E2A" w:rsidRPr="00E943B1">
        <w:t>jednoho trestného činu v</w:t>
      </w:r>
      <w:r w:rsidR="00E262D2">
        <w:t xml:space="preserve"> </w:t>
      </w:r>
      <w:r w:rsidR="00715E2A" w:rsidRPr="00E943B1">
        <w:t>případě, že vyjdou najevo další trestné činy</w:t>
      </w:r>
      <w:r w:rsidR="00712D56">
        <w:t>,</w:t>
      </w:r>
      <w:r w:rsidR="00C12E17" w:rsidRPr="00E943B1">
        <w:t xml:space="preserve"> </w:t>
      </w:r>
      <w:r w:rsidR="00712D56">
        <w:t>přičemž</w:t>
      </w:r>
      <w:r w:rsidR="00712D56" w:rsidRPr="00E943B1">
        <w:t xml:space="preserve"> </w:t>
      </w:r>
      <w:r w:rsidR="00C12E17" w:rsidRPr="00E943B1">
        <w:t>trest bude udělen za tento jeden trestný čin</w:t>
      </w:r>
      <w:r w:rsidR="007B6366">
        <w:t>,</w:t>
      </w:r>
      <w:r w:rsidR="00C12E17" w:rsidRPr="00E943B1">
        <w:t xml:space="preserve"> </w:t>
      </w:r>
      <w:r w:rsidR="00712D56">
        <w:t>tudíž</w:t>
      </w:r>
      <w:r w:rsidR="00712D56" w:rsidRPr="00E943B1">
        <w:t xml:space="preserve"> </w:t>
      </w:r>
      <w:r w:rsidR="00C12E17" w:rsidRPr="00E943B1">
        <w:t xml:space="preserve">nedochází ke sčítání trestů, jak je </w:t>
      </w:r>
      <w:r w:rsidR="00DA4532" w:rsidRPr="00E943B1">
        <w:t>to v</w:t>
      </w:r>
      <w:r w:rsidR="00E262D2">
        <w:t xml:space="preserve"> </w:t>
      </w:r>
      <w:r w:rsidR="00DA4532" w:rsidRPr="00E943B1">
        <w:t>USA běžné</w:t>
      </w:r>
      <w:r w:rsidR="00712D56">
        <w:t>.</w:t>
      </w:r>
      <w:r w:rsidR="00715E2A" w:rsidRPr="00E943B1">
        <w:rPr>
          <w:rStyle w:val="Znakapoznpodarou"/>
        </w:rPr>
        <w:footnoteReference w:id="94"/>
      </w:r>
    </w:p>
    <w:p w14:paraId="1E5BE448" w14:textId="29E55F36" w:rsidR="00715E2A" w:rsidRPr="00E943B1" w:rsidRDefault="00715E2A" w:rsidP="008D0660">
      <w:pPr>
        <w:pStyle w:val="format"/>
      </w:pPr>
      <w:r w:rsidRPr="00E943B1">
        <w:t>Druhou podobou je tzv. „sentence bargaining“</w:t>
      </w:r>
      <w:r w:rsidR="00712D56">
        <w:t>,</w:t>
      </w:r>
      <w:r w:rsidR="008E73D7" w:rsidRPr="00E943B1">
        <w:rPr>
          <w:rStyle w:val="Znakapoznpodarou"/>
        </w:rPr>
        <w:footnoteReference w:id="95"/>
      </w:r>
      <w:r w:rsidRPr="00E943B1">
        <w:t xml:space="preserve"> kdy dojde k</w:t>
      </w:r>
      <w:r w:rsidR="00E262D2">
        <w:t xml:space="preserve"> </w:t>
      </w:r>
      <w:r w:rsidRPr="00E943B1">
        <w:t>přiznání k</w:t>
      </w:r>
      <w:r w:rsidR="00E262D2">
        <w:t xml:space="preserve"> </w:t>
      </w:r>
      <w:r w:rsidRPr="00E943B1">
        <w:t>trestnému činu či</w:t>
      </w:r>
      <w:r w:rsidR="008B3ADB">
        <w:t> </w:t>
      </w:r>
      <w:r w:rsidRPr="00E943B1">
        <w:t xml:space="preserve">činům, které obviněný spáchal, nicméně dohoda bude obsahovat </w:t>
      </w:r>
      <w:r w:rsidR="005D7F4E" w:rsidRPr="00E943B1">
        <w:t xml:space="preserve">například </w:t>
      </w:r>
      <w:r w:rsidRPr="00E943B1">
        <w:t>snížený</w:t>
      </w:r>
      <w:r w:rsidR="00C12E17" w:rsidRPr="00E943B1">
        <w:t xml:space="preserve"> trest odnětí svobody</w:t>
      </w:r>
      <w:r w:rsidRPr="00E943B1">
        <w:t xml:space="preserve"> </w:t>
      </w:r>
      <w:r w:rsidR="005D7F4E" w:rsidRPr="00E943B1">
        <w:t>či podmíněné odsouzení s</w:t>
      </w:r>
      <w:r w:rsidR="00E262D2">
        <w:t xml:space="preserve"> </w:t>
      </w:r>
      <w:r w:rsidR="005D7F4E" w:rsidRPr="00E943B1">
        <w:t>dohledem.</w:t>
      </w:r>
      <w:r w:rsidR="008E73D7" w:rsidRPr="00E943B1">
        <w:rPr>
          <w:rStyle w:val="Znakapoznpodarou"/>
        </w:rPr>
        <w:footnoteReference w:id="96"/>
      </w:r>
    </w:p>
    <w:p w14:paraId="658707A3" w14:textId="20E0035B" w:rsidR="00C17CC7" w:rsidRPr="00E943B1" w:rsidRDefault="00C12E17" w:rsidP="008D0660">
      <w:pPr>
        <w:pStyle w:val="format"/>
      </w:pPr>
      <w:r w:rsidRPr="00E943B1">
        <w:t xml:space="preserve">Motivem obviněného uzavřít tuto dohodu je jednoduše </w:t>
      </w:r>
      <w:r w:rsidR="00712D56">
        <w:t xml:space="preserve">maximální možné </w:t>
      </w:r>
      <w:r w:rsidRPr="00E943B1">
        <w:t>snížení trestu</w:t>
      </w:r>
      <w:r w:rsidR="00712D56">
        <w:t>.</w:t>
      </w:r>
      <w:r w:rsidR="00DA4532" w:rsidRPr="00E943B1">
        <w:t xml:space="preserve"> </w:t>
      </w:r>
      <w:r w:rsidR="00712D56">
        <w:t>S</w:t>
      </w:r>
      <w:r w:rsidR="00712D56" w:rsidRPr="00E943B1">
        <w:t xml:space="preserve">tátnímu </w:t>
      </w:r>
      <w:r w:rsidR="00DA4532" w:rsidRPr="00E943B1">
        <w:t xml:space="preserve">zástupci zase jde o co nejrychlejší doznání, aby </w:t>
      </w:r>
      <w:r w:rsidR="00712D56">
        <w:t xml:space="preserve">tím </w:t>
      </w:r>
      <w:r w:rsidR="00DA4532" w:rsidRPr="00E943B1">
        <w:t>šetřil čas a peníze</w:t>
      </w:r>
      <w:r w:rsidR="00ED0569" w:rsidRPr="00E943B1">
        <w:t xml:space="preserve"> státu</w:t>
      </w:r>
      <w:r w:rsidR="00DA4532" w:rsidRPr="00E943B1">
        <w:t>. Nicméně občas může být státní zástupce motivován k</w:t>
      </w:r>
      <w:r w:rsidR="00E262D2">
        <w:t xml:space="preserve"> </w:t>
      </w:r>
      <w:r w:rsidR="00DA4532" w:rsidRPr="00E943B1">
        <w:t xml:space="preserve">uzavření této dohody právě </w:t>
      </w:r>
      <w:r w:rsidR="00712D56">
        <w:t>z důvodu</w:t>
      </w:r>
      <w:r w:rsidR="00712D56" w:rsidRPr="00E943B1">
        <w:t xml:space="preserve"> </w:t>
      </w:r>
      <w:r w:rsidR="00DA4532" w:rsidRPr="00E943B1">
        <w:t>získání informací či důkazů proti jinému obviněnému. Získání těchto důkazů je ztíženo nebo praktický nemožné a lze je získat pouze ve spolupráci s</w:t>
      </w:r>
      <w:r w:rsidR="00E262D2">
        <w:t xml:space="preserve"> </w:t>
      </w:r>
      <w:r w:rsidR="00DA4532" w:rsidRPr="00E943B1">
        <w:t xml:space="preserve">obviněným prostřednictvím dohody. Pokud se naskytne tato příležitost a obviněný bude mít štěstí, může mu být prostřednictvím této dohody dokonce umožněno se vyhnout trestu úplně. Samozřejmě toto vyhnutí </w:t>
      </w:r>
      <w:r w:rsidR="009A4F71">
        <w:t xml:space="preserve">se </w:t>
      </w:r>
      <w:r w:rsidR="00DA4532" w:rsidRPr="00E943B1">
        <w:t>trestu je individuální a</w:t>
      </w:r>
      <w:r w:rsidR="00817E4B">
        <w:t> </w:t>
      </w:r>
      <w:r w:rsidR="00DA4532" w:rsidRPr="00E943B1">
        <w:t>vždy</w:t>
      </w:r>
      <w:r w:rsidR="00B311F5" w:rsidRPr="00E943B1">
        <w:t xml:space="preserve"> vše</w:t>
      </w:r>
      <w:r w:rsidR="00DA4532" w:rsidRPr="00E943B1">
        <w:t xml:space="preserve"> závisí na okolnostech </w:t>
      </w:r>
      <w:r w:rsidR="00712D56">
        <w:t xml:space="preserve">daného </w:t>
      </w:r>
      <w:r w:rsidR="00DA4532" w:rsidRPr="00E943B1">
        <w:t>případu a situace</w:t>
      </w:r>
      <w:r w:rsidR="00440670" w:rsidRPr="00E943B1">
        <w:t>.</w:t>
      </w:r>
      <w:r w:rsidR="00440670" w:rsidRPr="00E943B1">
        <w:rPr>
          <w:rStyle w:val="Znakapoznpodarou"/>
        </w:rPr>
        <w:footnoteReference w:id="97"/>
      </w:r>
    </w:p>
    <w:p w14:paraId="3926C521" w14:textId="02512EE8" w:rsidR="00ED0569" w:rsidRPr="00E943B1" w:rsidRDefault="00116610" w:rsidP="008D0660">
      <w:pPr>
        <w:pStyle w:val="Nadpis3"/>
      </w:pPr>
      <w:bookmarkStart w:id="39" w:name="_Toc170638012"/>
      <w:r w:rsidRPr="00E943B1">
        <w:t>Cooperation agreements</w:t>
      </w:r>
      <w:bookmarkEnd w:id="39"/>
    </w:p>
    <w:p w14:paraId="6A3F1079" w14:textId="5EC50B8F" w:rsidR="00792D11" w:rsidRPr="00E943B1" w:rsidRDefault="0072510D" w:rsidP="007307A2">
      <w:pPr>
        <w:pStyle w:val="format"/>
      </w:pPr>
      <w:r w:rsidRPr="00E943B1">
        <w:t>Možná nejblíže ze všech předestřených institutů mají k</w:t>
      </w:r>
      <w:r w:rsidR="00E262D2">
        <w:t xml:space="preserve"> </w:t>
      </w:r>
      <w:r w:rsidRPr="00E943B1">
        <w:t xml:space="preserve">tomu </w:t>
      </w:r>
      <w:r w:rsidR="00456FC9">
        <w:t>českému</w:t>
      </w:r>
      <w:r w:rsidR="00456FC9" w:rsidRPr="00E943B1">
        <w:t xml:space="preserve"> </w:t>
      </w:r>
      <w:r w:rsidRPr="00E943B1">
        <w:t>tzv. „cooperation agreements“ nebo shodně „</w:t>
      </w:r>
      <w:r w:rsidR="00456FC9">
        <w:t>a</w:t>
      </w:r>
      <w:r w:rsidR="00456FC9" w:rsidRPr="00E943B1">
        <w:t xml:space="preserve">greement </w:t>
      </w:r>
      <w:r w:rsidRPr="00E943B1">
        <w:t xml:space="preserve">for cooperation“. Patří spíše pod vyšetřovací nástroj, neboť </w:t>
      </w:r>
      <w:r w:rsidRPr="00E943B1">
        <w:lastRenderedPageBreak/>
        <w:t>jejich hlavní náplní není usvědčit obviněného</w:t>
      </w:r>
      <w:r w:rsidR="00456FC9">
        <w:t>,</w:t>
      </w:r>
      <w:r w:rsidRPr="00E943B1">
        <w:t xml:space="preserve"> nýbrž získat potřebné informace nebo důkazy proti jinému obviněnému.</w:t>
      </w:r>
      <w:r w:rsidR="004A552F" w:rsidRPr="00E943B1">
        <w:t xml:space="preserve"> Tímto se také odlišují od „plea bargaining“, kde jde o to získat rychlejší doznání výměnou například </w:t>
      </w:r>
      <w:r w:rsidR="00C64470" w:rsidRPr="00E943B1">
        <w:t xml:space="preserve">za </w:t>
      </w:r>
      <w:r w:rsidR="004A552F" w:rsidRPr="00E943B1">
        <w:t>nižší trest.</w:t>
      </w:r>
      <w:r w:rsidR="004A552F" w:rsidRPr="00E943B1">
        <w:rPr>
          <w:rStyle w:val="Znakapoznpodarou"/>
        </w:rPr>
        <w:footnoteReference w:id="98"/>
      </w:r>
      <w:r w:rsidR="00792D11" w:rsidRPr="00E943B1">
        <w:t xml:space="preserve"> </w:t>
      </w:r>
      <w:r w:rsidRPr="00E943B1">
        <w:t>Typicky se tak děje v</w:t>
      </w:r>
      <w:r w:rsidR="00E262D2">
        <w:t xml:space="preserve"> </w:t>
      </w:r>
      <w:r w:rsidRPr="00E943B1">
        <w:t>rámci organizovaného zločinu, kdy prostřednictví</w:t>
      </w:r>
      <w:r w:rsidR="00456FC9">
        <w:t>m</w:t>
      </w:r>
      <w:r w:rsidRPr="00E943B1">
        <w:t xml:space="preserve"> nejmenších článků organizace dochází k</w:t>
      </w:r>
      <w:r w:rsidR="00E262D2">
        <w:t xml:space="preserve"> </w:t>
      </w:r>
      <w:r w:rsidRPr="00E943B1">
        <w:t>vystavění případu a usvědčení těch, kteří stojí v</w:t>
      </w:r>
      <w:r w:rsidR="00E262D2">
        <w:t xml:space="preserve"> </w:t>
      </w:r>
      <w:r w:rsidRPr="00E943B1">
        <w:t>čele. Ovšem lze to využít i naopak</w:t>
      </w:r>
      <w:r w:rsidR="00456FC9">
        <w:t>,</w:t>
      </w:r>
      <w:r w:rsidRPr="00E943B1">
        <w:t xml:space="preserve"> </w:t>
      </w:r>
      <w:r w:rsidR="00456FC9">
        <w:t>kdy</w:t>
      </w:r>
      <w:r w:rsidR="00456FC9" w:rsidRPr="00E943B1">
        <w:t xml:space="preserve"> </w:t>
      </w:r>
      <w:r w:rsidRPr="00E943B1">
        <w:t>tyto „velké ryby“ mohou posloužit k</w:t>
      </w:r>
      <w:r w:rsidR="00817E4B">
        <w:t> </w:t>
      </w:r>
      <w:r w:rsidRPr="00E943B1">
        <w:t xml:space="preserve">pochytání všech „menších ryb“. Rozkrýt organizovanou zločineckou skupinu a usvědčit šéfy těchto organizací je mnohdy opravdu „oříšek“, jelikož </w:t>
      </w:r>
      <w:r w:rsidR="004A552F" w:rsidRPr="00E943B1">
        <w:t>zásadně</w:t>
      </w:r>
      <w:r w:rsidRPr="00E943B1">
        <w:t xml:space="preserve"> operují ze </w:t>
      </w:r>
      <w:r w:rsidR="00456FC9" w:rsidRPr="00E943B1">
        <w:t>stín</w:t>
      </w:r>
      <w:r w:rsidR="00456FC9">
        <w:t>u</w:t>
      </w:r>
      <w:r w:rsidR="00456FC9" w:rsidRPr="00E943B1">
        <w:t xml:space="preserve"> </w:t>
      </w:r>
      <w:r w:rsidRPr="00E943B1">
        <w:t>a tahají za nitky</w:t>
      </w:r>
      <w:r w:rsidR="00456FC9">
        <w:t>,</w:t>
      </w:r>
      <w:r w:rsidRPr="00E943B1">
        <w:t xml:space="preserve"> </w:t>
      </w:r>
      <w:r w:rsidR="00456FC9">
        <w:t>tudíž</w:t>
      </w:r>
      <w:r w:rsidR="00456FC9" w:rsidRPr="00E943B1">
        <w:t xml:space="preserve"> </w:t>
      </w:r>
      <w:r w:rsidRPr="00E943B1">
        <w:t>dokázat jim nějakou účast</w:t>
      </w:r>
      <w:r w:rsidR="004A552F" w:rsidRPr="00E943B1">
        <w:t xml:space="preserve"> na trestných činech</w:t>
      </w:r>
      <w:r w:rsidRPr="00E943B1">
        <w:t xml:space="preserve"> je bez spolupráce nižších článků organizace prakticky nemožné. </w:t>
      </w:r>
      <w:r w:rsidR="00792D11" w:rsidRPr="00E943B1">
        <w:t xml:space="preserve">Je potřeba zdůraznit, že tuto dohodu </w:t>
      </w:r>
      <w:r w:rsidR="00456FC9">
        <w:t>či</w:t>
      </w:r>
      <w:r w:rsidR="00792D11" w:rsidRPr="00E943B1">
        <w:t xml:space="preserve"> status může přidělit či sjednat </w:t>
      </w:r>
      <w:r w:rsidR="00C64470">
        <w:t>výhradně</w:t>
      </w:r>
      <w:r w:rsidR="00C64470" w:rsidRPr="00E943B1">
        <w:t xml:space="preserve"> </w:t>
      </w:r>
      <w:r w:rsidR="00792D11" w:rsidRPr="00E943B1">
        <w:t>státní zástupce. Občas se stává, že obviněným toto slibují přímo policejní vyšetřovatelé, nicméně jim k</w:t>
      </w:r>
      <w:r w:rsidR="00E262D2">
        <w:t xml:space="preserve"> </w:t>
      </w:r>
      <w:r w:rsidR="00792D11" w:rsidRPr="00E943B1">
        <w:t xml:space="preserve">tomuto chybí </w:t>
      </w:r>
      <w:r w:rsidR="00456FC9">
        <w:t xml:space="preserve">patřičné </w:t>
      </w:r>
      <w:r w:rsidR="00792D11" w:rsidRPr="00E943B1">
        <w:t>oprávnění.</w:t>
      </w:r>
      <w:r w:rsidR="00792D11" w:rsidRPr="00E943B1">
        <w:rPr>
          <w:rStyle w:val="Znakapoznpodarou"/>
        </w:rPr>
        <w:footnoteReference w:id="99"/>
      </w:r>
    </w:p>
    <w:p w14:paraId="44BD662B" w14:textId="708756E8" w:rsidR="00792D11" w:rsidRPr="00E943B1" w:rsidRDefault="00792D11" w:rsidP="008D0660">
      <w:pPr>
        <w:pStyle w:val="format"/>
      </w:pPr>
      <w:r w:rsidRPr="00E943B1">
        <w:t>S</w:t>
      </w:r>
      <w:r w:rsidR="00E262D2">
        <w:t xml:space="preserve"> </w:t>
      </w:r>
      <w:r w:rsidRPr="00E943B1">
        <w:t xml:space="preserve">„cooperation agreements“ se spojuje </w:t>
      </w:r>
      <w:r w:rsidR="00F53A5E">
        <w:t xml:space="preserve">i </w:t>
      </w:r>
      <w:r w:rsidRPr="00E943B1">
        <w:t>již zmiňovaný program na ochranu svědků.</w:t>
      </w:r>
      <w:r w:rsidRPr="00E943B1">
        <w:rPr>
          <w:rStyle w:val="Znakapoznpodarou"/>
        </w:rPr>
        <w:footnoteReference w:id="100"/>
      </w:r>
      <w:r w:rsidRPr="00E943B1">
        <w:t xml:space="preserve"> </w:t>
      </w:r>
      <w:r w:rsidR="00CB5299" w:rsidRPr="00E943B1">
        <w:t>Pro to, aby byl svědek umístěn do ochrany svědků</w:t>
      </w:r>
      <w:r w:rsidR="00F53A5E">
        <w:t>,</w:t>
      </w:r>
      <w:r w:rsidR="00CB5299" w:rsidRPr="00E943B1">
        <w:t xml:space="preserve"> musí se jednat o svědka</w:t>
      </w:r>
      <w:r w:rsidR="006D36C7" w:rsidRPr="00E943B1">
        <w:t>/obviněného</w:t>
      </w:r>
      <w:r w:rsidR="00CB5299" w:rsidRPr="00E943B1">
        <w:t>, který vystupuje/svědčí například v</w:t>
      </w:r>
      <w:r w:rsidR="00E262D2">
        <w:t xml:space="preserve"> </w:t>
      </w:r>
      <w:r w:rsidR="00CB5299" w:rsidRPr="00E943B1">
        <w:t>případech organizovaného zločinu, v</w:t>
      </w:r>
      <w:r w:rsidR="00E262D2">
        <w:t xml:space="preserve"> </w:t>
      </w:r>
      <w:r w:rsidR="00CB5299" w:rsidRPr="00E943B1">
        <w:t>drogové trestné činnosti</w:t>
      </w:r>
      <w:r w:rsidR="00F53A5E">
        <w:t xml:space="preserve"> atp</w:t>
      </w:r>
      <w:r w:rsidR="00CB5299" w:rsidRPr="00E943B1">
        <w:t xml:space="preserve">. Dále musí být podána žádost státním zástupcem o zařazení do programu a musí být vyplněn formulář, ve kterém jsou blíže popsány skutečnosti tykající se svědka. Musí </w:t>
      </w:r>
      <w:r w:rsidR="00F53A5E">
        <w:t xml:space="preserve">zde </w:t>
      </w:r>
      <w:r w:rsidR="00CB5299" w:rsidRPr="00E943B1">
        <w:t>být shrnuta jeho</w:t>
      </w:r>
      <w:r w:rsidR="00817E4B">
        <w:t> </w:t>
      </w:r>
      <w:r w:rsidR="00CB5299" w:rsidRPr="00E943B1">
        <w:t>výpověď, přiloženy důkazy jeho spolupráce se státem, nebezpečí, které mu může hrozit</w:t>
      </w:r>
      <w:r w:rsidR="00F53A5E">
        <w:t>,</w:t>
      </w:r>
      <w:r w:rsidR="00CB5299" w:rsidRPr="00E943B1">
        <w:t xml:space="preserve"> a</w:t>
      </w:r>
      <w:r w:rsidR="00817E4B">
        <w:t> </w:t>
      </w:r>
      <w:r w:rsidR="00F53A5E">
        <w:t xml:space="preserve">uvedeny </w:t>
      </w:r>
      <w:r w:rsidR="00CB5299" w:rsidRPr="00E943B1">
        <w:t>případné problémy</w:t>
      </w:r>
      <w:r w:rsidR="00F729C6">
        <w:t xml:space="preserve"> </w:t>
      </w:r>
      <w:r w:rsidR="00F53A5E">
        <w:t>spojené s jeho</w:t>
      </w:r>
      <w:r w:rsidR="00CB5299" w:rsidRPr="00E943B1">
        <w:t xml:space="preserve"> </w:t>
      </w:r>
      <w:r w:rsidR="00F53A5E" w:rsidRPr="00E943B1">
        <w:t>přesun</w:t>
      </w:r>
      <w:r w:rsidR="00F53A5E">
        <w:t>em</w:t>
      </w:r>
      <w:r w:rsidR="00F53A5E" w:rsidRPr="00E943B1">
        <w:t xml:space="preserve"> </w:t>
      </w:r>
      <w:r w:rsidR="00CB5299" w:rsidRPr="00E943B1">
        <w:t>do nového místa</w:t>
      </w:r>
      <w:r w:rsidR="006B4793">
        <w:t xml:space="preserve"> pobytu</w:t>
      </w:r>
      <w:r w:rsidR="00CB5299" w:rsidRPr="00E943B1">
        <w:t>.</w:t>
      </w:r>
      <w:r w:rsidR="00CB5299" w:rsidRPr="00E943B1">
        <w:rPr>
          <w:rStyle w:val="Znakapoznpodarou"/>
        </w:rPr>
        <w:footnoteReference w:id="101"/>
      </w:r>
    </w:p>
    <w:p w14:paraId="529AFC1B" w14:textId="657EC506" w:rsidR="008249DC" w:rsidRPr="00E943B1" w:rsidRDefault="008249DC" w:rsidP="008D0660">
      <w:pPr>
        <w:pStyle w:val="Nadpis3"/>
      </w:pPr>
      <w:bookmarkStart w:id="40" w:name="_Toc170638013"/>
      <w:r w:rsidRPr="00E943B1">
        <w:t>Witness immunity</w:t>
      </w:r>
      <w:bookmarkEnd w:id="40"/>
    </w:p>
    <w:p w14:paraId="1C059E46" w14:textId="1C8C4321" w:rsidR="008249DC" w:rsidRPr="00E943B1" w:rsidRDefault="008249DC" w:rsidP="008D0660">
      <w:pPr>
        <w:pStyle w:val="format"/>
      </w:pPr>
      <w:r w:rsidRPr="00E943B1">
        <w:t>Jako poslední z</w:t>
      </w:r>
      <w:r w:rsidR="00E262D2">
        <w:t xml:space="preserve"> </w:t>
      </w:r>
      <w:r w:rsidRPr="00E943B1">
        <w:t>institutů zná právní řád USA tzv. „</w:t>
      </w:r>
      <w:r w:rsidR="00661488">
        <w:t>w</w:t>
      </w:r>
      <w:r w:rsidR="00661488" w:rsidRPr="00E943B1">
        <w:t xml:space="preserve">itness </w:t>
      </w:r>
      <w:r w:rsidRPr="00E943B1">
        <w:t>immunity“. Tento druh imunity je upraven v</w:t>
      </w:r>
      <w:r w:rsidR="00E262D2">
        <w:t xml:space="preserve"> </w:t>
      </w:r>
      <w:r w:rsidR="008D0660">
        <w:t>ustanovení</w:t>
      </w:r>
      <w:r w:rsidR="00661488">
        <w:t>ch</w:t>
      </w:r>
      <w:r w:rsidR="008D0660">
        <w:t xml:space="preserve"> § 6001 až </w:t>
      </w:r>
      <w:r w:rsidRPr="00E943B1">
        <w:t xml:space="preserve">6005 </w:t>
      </w:r>
      <w:r w:rsidR="004B3A33" w:rsidRPr="00E943B1">
        <w:t>v</w:t>
      </w:r>
      <w:r w:rsidR="00E262D2">
        <w:t xml:space="preserve"> </w:t>
      </w:r>
      <w:r w:rsidR="004B3A33" w:rsidRPr="00E943B1">
        <w:t>oddílu/svazku 18 United States Code, části 5.</w:t>
      </w:r>
      <w:r w:rsidR="004B3A33" w:rsidRPr="00E943B1">
        <w:rPr>
          <w:rStyle w:val="Znakapoznpodarou"/>
        </w:rPr>
        <w:footnoteReference w:id="102"/>
      </w:r>
      <w:r w:rsidR="004B3A33" w:rsidRPr="00E943B1">
        <w:t xml:space="preserve"> </w:t>
      </w:r>
      <w:r w:rsidR="00661488">
        <w:t>Do</w:t>
      </w:r>
      <w:r w:rsidR="00817E4B">
        <w:t> </w:t>
      </w:r>
      <w:r w:rsidR="00661488">
        <w:t>jisté míry</w:t>
      </w:r>
      <w:r w:rsidR="00661488" w:rsidRPr="00E943B1">
        <w:t xml:space="preserve"> </w:t>
      </w:r>
      <w:r w:rsidR="004B3A33" w:rsidRPr="00E943B1">
        <w:t xml:space="preserve">se podobá výše zmíněnému institutu </w:t>
      </w:r>
      <w:r w:rsidR="00B01223" w:rsidRPr="00E943B1">
        <w:t>„cooperation agreements“, z</w:t>
      </w:r>
      <w:r w:rsidR="00E262D2">
        <w:t xml:space="preserve"> </w:t>
      </w:r>
      <w:r w:rsidR="00B01223" w:rsidRPr="00E943B1">
        <w:t xml:space="preserve">nichž </w:t>
      </w:r>
      <w:r w:rsidR="009B63A6" w:rsidRPr="00E943B1">
        <w:t>obviněný</w:t>
      </w:r>
      <w:r w:rsidR="00B01223" w:rsidRPr="00E943B1">
        <w:t xml:space="preserve"> vychází jakožto spolupracující obviněný</w:t>
      </w:r>
      <w:r w:rsidR="00CD5072">
        <w:t>,</w:t>
      </w:r>
      <w:r w:rsidR="00B01223" w:rsidRPr="00E943B1">
        <w:rPr>
          <w:rStyle w:val="Znakapoznpodarou"/>
        </w:rPr>
        <w:footnoteReference w:id="103"/>
      </w:r>
      <w:r w:rsidR="00B01223" w:rsidRPr="00E943B1">
        <w:t xml:space="preserve"> nicméně „</w:t>
      </w:r>
      <w:r w:rsidR="00CD5072">
        <w:t>w</w:t>
      </w:r>
      <w:r w:rsidR="00CD5072" w:rsidRPr="00E943B1">
        <w:t xml:space="preserve">itness </w:t>
      </w:r>
      <w:r w:rsidR="00B01223" w:rsidRPr="00E943B1">
        <w:t xml:space="preserve">immunity“ má mnohem „lepší“ </w:t>
      </w:r>
      <w:r w:rsidR="00B01223" w:rsidRPr="00E943B1">
        <w:lastRenderedPageBreak/>
        <w:t xml:space="preserve">následek. </w:t>
      </w:r>
      <w:r w:rsidR="007D7B49" w:rsidRPr="00E943B1">
        <w:t>Důležité je zmínit, že v</w:t>
      </w:r>
      <w:r w:rsidR="00E262D2">
        <w:t xml:space="preserve"> </w:t>
      </w:r>
      <w:r w:rsidR="007D7B49" w:rsidRPr="00E943B1">
        <w:t>případě „</w:t>
      </w:r>
      <w:r w:rsidR="00CD5072">
        <w:t>w</w:t>
      </w:r>
      <w:r w:rsidR="00CD5072" w:rsidRPr="00E943B1">
        <w:t xml:space="preserve">itness </w:t>
      </w:r>
      <w:r w:rsidR="007D7B49" w:rsidRPr="00E943B1">
        <w:t>immunity“ se daná osoba nachází v</w:t>
      </w:r>
      <w:r w:rsidR="00E262D2">
        <w:t xml:space="preserve"> </w:t>
      </w:r>
      <w:r w:rsidR="007D7B49" w:rsidRPr="00E943B1">
        <w:t>pozici svědka události, v</w:t>
      </w:r>
      <w:r w:rsidR="00E262D2">
        <w:t xml:space="preserve"> </w:t>
      </w:r>
      <w:r w:rsidR="007D7B49" w:rsidRPr="00E943B1">
        <w:t xml:space="preserve">předchozích institutech je daná osoba již obviněná. </w:t>
      </w:r>
      <w:r w:rsidR="00B01223" w:rsidRPr="00E943B1">
        <w:t>Pokud svědek odmítne v</w:t>
      </w:r>
      <w:r w:rsidR="00C557C9">
        <w:t> </w:t>
      </w:r>
      <w:r w:rsidR="00B01223" w:rsidRPr="00E943B1">
        <w:t>určité věci vypovídat</w:t>
      </w:r>
      <w:r w:rsidR="009B63A6" w:rsidRPr="00E943B1">
        <w:t xml:space="preserve"> z</w:t>
      </w:r>
      <w:r w:rsidR="00E262D2">
        <w:t xml:space="preserve"> </w:t>
      </w:r>
      <w:r w:rsidR="009B63A6" w:rsidRPr="00E943B1">
        <w:t>důvodu sebeobviňování</w:t>
      </w:r>
      <w:r w:rsidR="00B01223" w:rsidRPr="00E943B1">
        <w:t xml:space="preserve"> </w:t>
      </w:r>
      <w:r w:rsidR="009B63A6" w:rsidRPr="00E943B1">
        <w:t>a odvolá se</w:t>
      </w:r>
      <w:r w:rsidR="00B01223" w:rsidRPr="00E943B1">
        <w:t xml:space="preserve"> na pátý dodatek Ústavy USA</w:t>
      </w:r>
      <w:r w:rsidR="009B63A6" w:rsidRPr="00E943B1">
        <w:t>, může mu být udělena imunita. Právní řád USA rozlišuje dva druhy imunit</w:t>
      </w:r>
      <w:r w:rsidR="00CD5072">
        <w:t>,</w:t>
      </w:r>
      <w:r w:rsidR="009B63A6" w:rsidRPr="00E943B1">
        <w:t xml:space="preserve"> a to: „transactional immunity“ a „use immunity“. První z</w:t>
      </w:r>
      <w:r w:rsidR="00E262D2">
        <w:t xml:space="preserve"> </w:t>
      </w:r>
      <w:r w:rsidR="009B63A6" w:rsidRPr="00E943B1">
        <w:t>nich znemožňuje trestní stíhání svědka pro jakýkoli trestný čin, který vzejde z</w:t>
      </w:r>
      <w:r w:rsidR="00E262D2">
        <w:t xml:space="preserve"> </w:t>
      </w:r>
      <w:r w:rsidR="009B63A6" w:rsidRPr="00E943B1">
        <w:t>jeho výpovědi</w:t>
      </w:r>
      <w:r w:rsidR="001A4B86" w:rsidRPr="00E943B1">
        <w:t xml:space="preserve">. Druhý druh </w:t>
      </w:r>
      <w:r w:rsidR="00CD5072">
        <w:t xml:space="preserve">imunity </w:t>
      </w:r>
      <w:r w:rsidR="001A4B86" w:rsidRPr="00E943B1">
        <w:t>nedovolí použití jeho výpovědi v</w:t>
      </w:r>
      <w:r w:rsidR="00C557C9">
        <w:t> </w:t>
      </w:r>
      <w:r w:rsidR="001A4B86" w:rsidRPr="00E943B1">
        <w:t>momentě, kdy</w:t>
      </w:r>
      <w:r w:rsidR="00CD5072">
        <w:t xml:space="preserve"> </w:t>
      </w:r>
      <w:r w:rsidR="001A4B86" w:rsidRPr="00E943B1">
        <w:t>by bylo zahájeno pozdější trestní stíhání. Jednoduše řečeno</w:t>
      </w:r>
      <w:r w:rsidR="00CD5072">
        <w:t>,</w:t>
      </w:r>
      <w:r w:rsidR="001A4B86" w:rsidRPr="00E943B1">
        <w:t xml:space="preserve"> v</w:t>
      </w:r>
      <w:r w:rsidR="00E262D2">
        <w:t xml:space="preserve"> </w:t>
      </w:r>
      <w:r w:rsidR="001A4B86" w:rsidRPr="00E943B1">
        <w:t>případě druhé imunity nelze jeho doznání brát jako důkaz</w:t>
      </w:r>
      <w:r w:rsidR="00CD5072">
        <w:t>,</w:t>
      </w:r>
      <w:r w:rsidR="001A4B86" w:rsidRPr="00E943B1">
        <w:t xml:space="preserve"> ať už jako důkaz přímý či nepřímý. Tento institut se</w:t>
      </w:r>
      <w:r w:rsidR="00C557C9">
        <w:t> </w:t>
      </w:r>
      <w:r w:rsidR="001A4B86" w:rsidRPr="00E943B1">
        <w:t>využívá zejména při dokazování korporátní kriminality, kdy svědci jsou mnohdy nuceni ke</w:t>
      </w:r>
      <w:r w:rsidR="00C557C9">
        <w:t> </w:t>
      </w:r>
      <w:r w:rsidR="001A4B86" w:rsidRPr="00E943B1">
        <w:t>spáchání trestného činu svým nadřízeným.</w:t>
      </w:r>
      <w:r w:rsidR="001A4B86" w:rsidRPr="00E943B1">
        <w:rPr>
          <w:rStyle w:val="Znakapoznpodarou"/>
        </w:rPr>
        <w:footnoteReference w:id="104"/>
      </w:r>
    </w:p>
    <w:p w14:paraId="0C280982" w14:textId="501175EA" w:rsidR="00BE4516" w:rsidRPr="00E943B1" w:rsidRDefault="00BE4516" w:rsidP="00FA3EE5">
      <w:pPr>
        <w:pStyle w:val="Nadpis3"/>
      </w:pPr>
      <w:bookmarkStart w:id="41" w:name="_Toc170638014"/>
      <w:r w:rsidRPr="00E943B1">
        <w:t>Dílčí závěr k</w:t>
      </w:r>
      <w:r w:rsidR="00E262D2">
        <w:t xml:space="preserve"> </w:t>
      </w:r>
      <w:r w:rsidRPr="00E943B1">
        <w:t>právní úpravě USA</w:t>
      </w:r>
      <w:bookmarkEnd w:id="41"/>
    </w:p>
    <w:p w14:paraId="7244922E" w14:textId="64047EDB" w:rsidR="00BE4516" w:rsidRPr="00E943B1" w:rsidRDefault="00BE4516" w:rsidP="00FA3EE5">
      <w:pPr>
        <w:pStyle w:val="format"/>
      </w:pPr>
      <w:r w:rsidRPr="00E943B1">
        <w:t>Co se týče výše zmiňovaných institutů, i když se jedná o anglosaský právní systém</w:t>
      </w:r>
      <w:r w:rsidR="00BF3A4F">
        <w:t>,</w:t>
      </w:r>
      <w:r w:rsidRPr="00E943B1">
        <w:t xml:space="preserve"> určitou podobu mezi instituty lze </w:t>
      </w:r>
      <w:r w:rsidR="00BF3A4F">
        <w:t xml:space="preserve">přesto </w:t>
      </w:r>
      <w:r w:rsidRPr="00E943B1">
        <w:t xml:space="preserve">spatřovat. </w:t>
      </w:r>
      <w:r w:rsidR="00A519BD" w:rsidRPr="00E943B1">
        <w:t>„</w:t>
      </w:r>
      <w:r w:rsidRPr="00E943B1">
        <w:t xml:space="preserve">Plea </w:t>
      </w:r>
      <w:r w:rsidR="00BF3A4F">
        <w:t>b</w:t>
      </w:r>
      <w:r w:rsidR="00BF3A4F" w:rsidRPr="00E943B1">
        <w:t>argaining</w:t>
      </w:r>
      <w:r w:rsidR="00A519BD" w:rsidRPr="00E943B1">
        <w:t>“</w:t>
      </w:r>
      <w:r w:rsidRPr="00E943B1">
        <w:t xml:space="preserve"> bych přirovnal spíše k</w:t>
      </w:r>
      <w:r w:rsidR="00C557C9">
        <w:t> </w:t>
      </w:r>
      <w:r w:rsidRPr="00E943B1">
        <w:t xml:space="preserve">českému institutu „dohoda o vině a trestu“, </w:t>
      </w:r>
      <w:r w:rsidR="00BF3A4F" w:rsidRPr="00E943B1">
        <w:t>je</w:t>
      </w:r>
      <w:r w:rsidR="00BF3A4F">
        <w:t>hož</w:t>
      </w:r>
      <w:r w:rsidR="00BF3A4F" w:rsidRPr="00E943B1">
        <w:t xml:space="preserve"> </w:t>
      </w:r>
      <w:r w:rsidRPr="00E943B1">
        <w:t>účel</w:t>
      </w:r>
      <w:r w:rsidR="00663CE2">
        <w:t>em</w:t>
      </w:r>
      <w:r w:rsidRPr="00E943B1">
        <w:t xml:space="preserve"> je shodně získání přiznání pachatele a</w:t>
      </w:r>
      <w:r w:rsidR="00C557C9">
        <w:t> </w:t>
      </w:r>
      <w:r w:rsidRPr="00E943B1">
        <w:t>v</w:t>
      </w:r>
      <w:r w:rsidR="00E262D2">
        <w:t xml:space="preserve"> </w:t>
      </w:r>
      <w:r w:rsidRPr="00E943B1">
        <w:t xml:space="preserve">podstatě rychlejší vyřešení </w:t>
      </w:r>
      <w:r w:rsidR="00005499" w:rsidRPr="00E943B1">
        <w:t>situace</w:t>
      </w:r>
      <w:r w:rsidRPr="00E943B1">
        <w:t xml:space="preserve">. Jak jsem již zmínil </w:t>
      </w:r>
      <w:r w:rsidR="00A519BD" w:rsidRPr="00E943B1">
        <w:t xml:space="preserve">výše, </w:t>
      </w:r>
      <w:r w:rsidRPr="00E943B1">
        <w:t xml:space="preserve">nejblíže </w:t>
      </w:r>
      <w:r w:rsidR="00BF3A4F">
        <w:t xml:space="preserve">k </w:t>
      </w:r>
      <w:r w:rsidRPr="00E943B1">
        <w:t xml:space="preserve">institutu spolupracujícího obviněného mají </w:t>
      </w:r>
      <w:r w:rsidR="00A519BD" w:rsidRPr="00E943B1">
        <w:t>„</w:t>
      </w:r>
      <w:r w:rsidRPr="00E943B1">
        <w:t>cooperation agreements</w:t>
      </w:r>
      <w:r w:rsidR="00A519BD" w:rsidRPr="00E943B1">
        <w:t>“</w:t>
      </w:r>
      <w:r w:rsidRPr="00E943B1">
        <w:t>, kde dochází ke zvýhodnění obviněného pro účely vystavení případu či získání prakticky jinak</w:t>
      </w:r>
      <w:r w:rsidR="00606E07">
        <w:t xml:space="preserve"> nemožných důkazů pro usvědčení</w:t>
      </w:r>
      <w:r w:rsidRPr="00E943B1">
        <w:t xml:space="preserve"> jiných pachatelů, zejména tedy pachatelů organizovaného zločinu. </w:t>
      </w:r>
      <w:r w:rsidR="00942629" w:rsidRPr="00E943B1">
        <w:t xml:space="preserve">Institut </w:t>
      </w:r>
      <w:r w:rsidR="007D7B49" w:rsidRPr="00E943B1">
        <w:t>„</w:t>
      </w:r>
      <w:r w:rsidR="00BF3A4F">
        <w:t>w</w:t>
      </w:r>
      <w:r w:rsidR="00BF3A4F" w:rsidRPr="00E943B1">
        <w:t xml:space="preserve">itness </w:t>
      </w:r>
      <w:r w:rsidR="00BF3A4F">
        <w:t>i</w:t>
      </w:r>
      <w:r w:rsidR="00BF3A4F" w:rsidRPr="00E943B1">
        <w:t>mmunity</w:t>
      </w:r>
      <w:r w:rsidR="007D7B49" w:rsidRPr="00E943B1">
        <w:t>“</w:t>
      </w:r>
      <w:r w:rsidR="00942629" w:rsidRPr="00E943B1">
        <w:t xml:space="preserve"> však v</w:t>
      </w:r>
      <w:r w:rsidR="00E262D2">
        <w:t xml:space="preserve"> </w:t>
      </w:r>
      <w:r w:rsidR="00942629" w:rsidRPr="00E943B1">
        <w:t>českém právním systému nemá obdobu. Lze však najít podobné prvky</w:t>
      </w:r>
      <w:r w:rsidR="005812D5" w:rsidRPr="00E943B1">
        <w:t xml:space="preserve"> (velmi obrazně řečeno)</w:t>
      </w:r>
      <w:r w:rsidR="00942629" w:rsidRPr="00E943B1">
        <w:t xml:space="preserve"> například u „narovnání“ dle § 309 TŘ, kdy v</w:t>
      </w:r>
      <w:r w:rsidR="00E262D2">
        <w:t xml:space="preserve"> </w:t>
      </w:r>
      <w:r w:rsidR="00942629" w:rsidRPr="00E943B1">
        <w:t xml:space="preserve">případě neschválení narovnání </w:t>
      </w:r>
      <w:r w:rsidR="00102CBE">
        <w:t>pak</w:t>
      </w:r>
      <w:r w:rsidR="00C557C9">
        <w:t> </w:t>
      </w:r>
      <w:r w:rsidR="00942629" w:rsidRPr="00E943B1">
        <w:t>doznání obviněného nelze použít jako důkaz dle § 314 TŘ.</w:t>
      </w:r>
      <w:r w:rsidR="00942629" w:rsidRPr="00E943B1">
        <w:rPr>
          <w:rStyle w:val="Znakapoznpodarou"/>
        </w:rPr>
        <w:footnoteReference w:id="105"/>
      </w:r>
      <w:r w:rsidR="005812D5" w:rsidRPr="00E943B1">
        <w:t xml:space="preserve"> Za samotnou obdobou institutu</w:t>
      </w:r>
      <w:r w:rsidR="00C557C9">
        <w:t> </w:t>
      </w:r>
      <w:r w:rsidR="005812D5" w:rsidRPr="00E943B1">
        <w:t>„</w:t>
      </w:r>
      <w:r w:rsidR="00BF3A4F">
        <w:t>w</w:t>
      </w:r>
      <w:r w:rsidR="00BF3A4F" w:rsidRPr="00E943B1">
        <w:t xml:space="preserve">itness </w:t>
      </w:r>
      <w:r w:rsidR="00BF3A4F">
        <w:t>i</w:t>
      </w:r>
      <w:r w:rsidR="00BF3A4F" w:rsidRPr="00E943B1">
        <w:t>mmunity</w:t>
      </w:r>
      <w:r w:rsidR="005812D5" w:rsidRPr="00E943B1">
        <w:t xml:space="preserve">“ lze považovat institut korunního svědka, </w:t>
      </w:r>
      <w:r w:rsidR="00C36989">
        <w:t>jenž</w:t>
      </w:r>
      <w:r w:rsidR="00C36989" w:rsidRPr="00E943B1">
        <w:t xml:space="preserve"> </w:t>
      </w:r>
      <w:r w:rsidR="005812D5" w:rsidRPr="00E943B1">
        <w:t xml:space="preserve">měl být původně </w:t>
      </w:r>
      <w:r w:rsidR="00BF3A4F">
        <w:t>zaveden</w:t>
      </w:r>
      <w:r w:rsidR="00BF3A4F" w:rsidRPr="00E943B1">
        <w:t xml:space="preserve"> </w:t>
      </w:r>
      <w:r w:rsidR="005812D5" w:rsidRPr="00E943B1">
        <w:t>do české právní úpravy, nicméně tento institut představoval mimo jiné podstatný zásah do jedné ze základních zásad českého trestního práva</w:t>
      </w:r>
      <w:r w:rsidR="002464B0" w:rsidRPr="00E943B1">
        <w:t>.</w:t>
      </w:r>
      <w:r w:rsidR="002464B0" w:rsidRPr="00E943B1">
        <w:rPr>
          <w:rStyle w:val="Znakapoznpodarou"/>
        </w:rPr>
        <w:footnoteReference w:id="106"/>
      </w:r>
    </w:p>
    <w:p w14:paraId="5866FAAE" w14:textId="53F4A736" w:rsidR="00005499" w:rsidRPr="00E943B1" w:rsidRDefault="00005499" w:rsidP="00FA3EE5">
      <w:pPr>
        <w:pStyle w:val="Nadpis2"/>
      </w:pPr>
      <w:bookmarkStart w:id="42" w:name="_Toc170638015"/>
      <w:r w:rsidRPr="00E943B1">
        <w:lastRenderedPageBreak/>
        <w:t>It</w:t>
      </w:r>
      <w:r w:rsidR="006D36C7" w:rsidRPr="00E943B1">
        <w:t>álie</w:t>
      </w:r>
      <w:bookmarkEnd w:id="42"/>
    </w:p>
    <w:p w14:paraId="12FB5928" w14:textId="60A288B7" w:rsidR="00005499" w:rsidRPr="00E943B1" w:rsidRDefault="00005499" w:rsidP="00FA3EE5">
      <w:pPr>
        <w:pStyle w:val="format"/>
      </w:pPr>
      <w:r w:rsidRPr="00E943B1">
        <w:t>Jako poslední zahraniční úpravu jsem zvolil právní úpravu Itálie, jelikož ji lze označit za</w:t>
      </w:r>
      <w:r w:rsidR="00C557C9">
        <w:t> </w:t>
      </w:r>
      <w:r w:rsidRPr="00E943B1">
        <w:t>jakousi „kolébku“ organizovaného zločinu. V</w:t>
      </w:r>
      <w:r w:rsidR="00E262D2">
        <w:t xml:space="preserve"> </w:t>
      </w:r>
      <w:r w:rsidRPr="00E943B1">
        <w:t>Itálii se lze setkat s</w:t>
      </w:r>
      <w:r w:rsidR="00E262D2">
        <w:t xml:space="preserve"> </w:t>
      </w:r>
      <w:r w:rsidRPr="00E943B1">
        <w:t>fenoménem zvaný</w:t>
      </w:r>
      <w:r w:rsidR="00C53786">
        <w:t>m</w:t>
      </w:r>
      <w:r w:rsidRPr="00E943B1">
        <w:t xml:space="preserve"> mafie, což je obdoba organizované zločinecké skupiny, nicméně </w:t>
      </w:r>
      <w:r w:rsidR="00533F00" w:rsidRPr="00E943B1">
        <w:t>pojem „mafie“ lze chápat ne jenom jako organizovanou zločineckou skupinu, která se vyznačuje svou hierarchií, dělbou úkolů a</w:t>
      </w:r>
      <w:r w:rsidR="00C557C9">
        <w:t> </w:t>
      </w:r>
      <w:r w:rsidR="00533F00" w:rsidRPr="00E943B1">
        <w:t>„rodinnými pouty“,</w:t>
      </w:r>
      <w:r w:rsidR="00533F00" w:rsidRPr="00E943B1">
        <w:rPr>
          <w:rStyle w:val="Znakapoznpodarou"/>
        </w:rPr>
        <w:footnoteReference w:id="107"/>
      </w:r>
      <w:r w:rsidR="00533F00" w:rsidRPr="00E943B1">
        <w:t xml:space="preserve"> ale i jako jakýsi „způsob bytí jednotlivce“. V</w:t>
      </w:r>
      <w:r w:rsidR="00E262D2">
        <w:t xml:space="preserve"> </w:t>
      </w:r>
      <w:r w:rsidR="00533F00" w:rsidRPr="00E943B1">
        <w:t>toku času se pojem mafie a</w:t>
      </w:r>
      <w:r w:rsidR="00C557C9">
        <w:t> </w:t>
      </w:r>
      <w:r w:rsidR="00533F00" w:rsidRPr="00E943B1">
        <w:t>jeho chápání vyvíjelo</w:t>
      </w:r>
      <w:r w:rsidR="00F43376" w:rsidRPr="00E943B1">
        <w:t xml:space="preserve">. Nespočet psychologů se snažil o co </w:t>
      </w:r>
      <w:r w:rsidR="00BB47FF">
        <w:t>nejpřesnější</w:t>
      </w:r>
      <w:r w:rsidR="00BB47FF" w:rsidRPr="00E943B1">
        <w:t xml:space="preserve"> </w:t>
      </w:r>
      <w:r w:rsidR="00F43376" w:rsidRPr="00E943B1">
        <w:t>uchopení samotného fenoménu. Dokonce</w:t>
      </w:r>
      <w:r w:rsidR="00533F00" w:rsidRPr="00E943B1">
        <w:t xml:space="preserve"> docházelo ke snaze pochopit tzv. „mafia thinking“,</w:t>
      </w:r>
      <w:r w:rsidR="00F43376" w:rsidRPr="00E943B1">
        <w:t xml:space="preserve"> na základě čehož může dojít k</w:t>
      </w:r>
      <w:r w:rsidR="00E262D2">
        <w:t xml:space="preserve"> </w:t>
      </w:r>
      <w:r w:rsidR="00F43376" w:rsidRPr="00E943B1">
        <w:t xml:space="preserve">samotnému rozlišování </w:t>
      </w:r>
      <w:r w:rsidR="00F43376" w:rsidRPr="00FA3EE5">
        <w:t>jednotlivých</w:t>
      </w:r>
      <w:r w:rsidR="00F43376" w:rsidRPr="00E943B1">
        <w:t xml:space="preserve"> mafiánských skupin od sebe. Jednoduše řečeno</w:t>
      </w:r>
      <w:r w:rsidR="00C53786">
        <w:t>,</w:t>
      </w:r>
      <w:r w:rsidR="00F43376" w:rsidRPr="00E943B1">
        <w:t xml:space="preserve"> tento pojem zahrnoval jakýsi standard každé této „rodiny“, jak přemýšlí a co sleduje, čeho chce dosáhnout</w:t>
      </w:r>
      <w:r w:rsidR="00C53786">
        <w:t>,</w:t>
      </w:r>
      <w:r w:rsidR="00F43376" w:rsidRPr="00E943B1">
        <w:t xml:space="preserve"> </w:t>
      </w:r>
      <w:r w:rsidR="00C53786">
        <w:t>jak</w:t>
      </w:r>
      <w:r w:rsidR="00F43376" w:rsidRPr="00E943B1">
        <w:t xml:space="preserve"> předává to</w:t>
      </w:r>
      <w:r w:rsidR="00C53786">
        <w:t>to</w:t>
      </w:r>
      <w:r w:rsidR="00F43376" w:rsidRPr="00E943B1">
        <w:t xml:space="preserve"> </w:t>
      </w:r>
      <w:r w:rsidR="00412C59">
        <w:t xml:space="preserve">své </w:t>
      </w:r>
      <w:r w:rsidR="00F43376" w:rsidRPr="00E943B1">
        <w:t>myšlení dalším generacím v</w:t>
      </w:r>
      <w:r w:rsidR="00E262D2">
        <w:t xml:space="preserve"> </w:t>
      </w:r>
      <w:r w:rsidR="00F43376" w:rsidRPr="00E943B1">
        <w:t>rámci „mafiánské rodiny“</w:t>
      </w:r>
      <w:r w:rsidR="00C53786">
        <w:t xml:space="preserve"> atp</w:t>
      </w:r>
      <w:r w:rsidR="00F43376" w:rsidRPr="00E943B1">
        <w:t>. U</w:t>
      </w:r>
      <w:r w:rsidR="00C557C9">
        <w:t> </w:t>
      </w:r>
      <w:r w:rsidR="00F43376" w:rsidRPr="00E943B1">
        <w:t xml:space="preserve">nechvalně známé </w:t>
      </w:r>
      <w:r w:rsidR="003F5483">
        <w:t xml:space="preserve">sicilské </w:t>
      </w:r>
      <w:r w:rsidR="00F43376" w:rsidRPr="00E943B1">
        <w:t>Cosa Nostry lze tento pojem „mafia thiking“ chápat</w:t>
      </w:r>
      <w:r w:rsidR="00E743F8" w:rsidRPr="00E943B1">
        <w:t xml:space="preserve"> tak</w:t>
      </w:r>
      <w:r w:rsidR="00F43376" w:rsidRPr="00E943B1">
        <w:t>,</w:t>
      </w:r>
      <w:r w:rsidR="00E743F8" w:rsidRPr="00E943B1">
        <w:t xml:space="preserve"> že</w:t>
      </w:r>
      <w:r w:rsidR="00F43376" w:rsidRPr="00E943B1">
        <w:t xml:space="preserve"> nejistota a strach z</w:t>
      </w:r>
      <w:r w:rsidR="00E262D2">
        <w:t xml:space="preserve"> </w:t>
      </w:r>
      <w:r w:rsidR="00F43376" w:rsidRPr="00E943B1">
        <w:t>neúspěchu či nedodržení jejich mantry může vézt až k „vyloučení“ z</w:t>
      </w:r>
      <w:r w:rsidR="00E262D2">
        <w:t xml:space="preserve"> </w:t>
      </w:r>
      <w:r w:rsidR="00F43376" w:rsidRPr="00E943B1">
        <w:t>rodiny.</w:t>
      </w:r>
      <w:r w:rsidR="00E743F8" w:rsidRPr="00E943B1">
        <w:t xml:space="preserve"> Také</w:t>
      </w:r>
      <w:r w:rsidR="00F43376" w:rsidRPr="00E943B1">
        <w:t xml:space="preserve"> </w:t>
      </w:r>
      <w:r w:rsidR="00E743F8" w:rsidRPr="00E943B1">
        <w:t>byl</w:t>
      </w:r>
      <w:r w:rsidR="00C557C9">
        <w:t> </w:t>
      </w:r>
      <w:r w:rsidR="00F43376" w:rsidRPr="00E943B1">
        <w:t>dáván důraz na silné rodinné vazby, které měly zaručit jedinci, který by byl jinak sám a</w:t>
      </w:r>
      <w:r w:rsidR="00C557C9">
        <w:t> </w:t>
      </w:r>
      <w:r w:rsidR="00F43376" w:rsidRPr="00E943B1">
        <w:t xml:space="preserve">napospas společnosti, </w:t>
      </w:r>
      <w:r w:rsidR="00C65136">
        <w:t xml:space="preserve">potřebnou </w:t>
      </w:r>
      <w:r w:rsidR="00F43376" w:rsidRPr="00E943B1">
        <w:t>ochranu.</w:t>
      </w:r>
      <w:r w:rsidR="00E743F8" w:rsidRPr="00E943B1">
        <w:t xml:space="preserve"> Postupným </w:t>
      </w:r>
      <w:r w:rsidR="00C53786">
        <w:t>roz</w:t>
      </w:r>
      <w:r w:rsidR="00C53786" w:rsidRPr="00E943B1">
        <w:t xml:space="preserve">vojem </w:t>
      </w:r>
      <w:r w:rsidR="00E743F8" w:rsidRPr="00E943B1">
        <w:t>těchto mafiánských skupin došlo i k</w:t>
      </w:r>
      <w:r w:rsidR="00E262D2">
        <w:t xml:space="preserve"> </w:t>
      </w:r>
      <w:r w:rsidR="00E743F8" w:rsidRPr="00E943B1">
        <w:t xml:space="preserve">samotnému vývoji legislativy. Společnost vyžadovala ochranu před těmito organizacemi, které </w:t>
      </w:r>
      <w:r w:rsidR="00147F5D">
        <w:t>představují</w:t>
      </w:r>
      <w:r w:rsidR="00147F5D" w:rsidRPr="00E943B1">
        <w:t xml:space="preserve"> </w:t>
      </w:r>
      <w:r w:rsidR="00341FA3">
        <w:t>značný problém do dnešního dne.</w:t>
      </w:r>
      <w:r w:rsidR="00E743F8" w:rsidRPr="00E943B1">
        <w:rPr>
          <w:rStyle w:val="Znakapoznpodarou"/>
        </w:rPr>
        <w:footnoteReference w:id="108"/>
      </w:r>
    </w:p>
    <w:p w14:paraId="7613F385" w14:textId="15229A52" w:rsidR="00E743F8" w:rsidRPr="00E943B1" w:rsidRDefault="00840437" w:rsidP="00110B4B">
      <w:pPr>
        <w:pStyle w:val="format"/>
      </w:pPr>
      <w:r w:rsidRPr="00E943B1">
        <w:t>Jak jsem již naznačil v</w:t>
      </w:r>
      <w:r w:rsidR="00E262D2">
        <w:t xml:space="preserve"> </w:t>
      </w:r>
      <w:r w:rsidRPr="00E943B1">
        <w:t>předchozím odstavci, tak i samotná m</w:t>
      </w:r>
      <w:r w:rsidR="00D53ABC" w:rsidRPr="00E943B1">
        <w:t xml:space="preserve">afie se postupem času </w:t>
      </w:r>
      <w:r w:rsidR="00DD11A5">
        <w:t>transformovala</w:t>
      </w:r>
      <w:r w:rsidR="00DD11A5" w:rsidRPr="00E943B1">
        <w:t xml:space="preserve"> </w:t>
      </w:r>
      <w:r w:rsidR="00D53ABC" w:rsidRPr="00E943B1">
        <w:t xml:space="preserve">a adaptovala zároveň s </w:t>
      </w:r>
      <w:r w:rsidR="0045573C">
        <w:t>italskou</w:t>
      </w:r>
      <w:r w:rsidR="0045573C" w:rsidRPr="00E943B1">
        <w:t xml:space="preserve"> </w:t>
      </w:r>
      <w:r w:rsidR="00D53ABC" w:rsidRPr="00E943B1">
        <w:t xml:space="preserve">společností. Od původního zastrašování, šíření strachu a násilí </w:t>
      </w:r>
      <w:r w:rsidR="006D48CD" w:rsidRPr="00E943B1">
        <w:t>přešl</w:t>
      </w:r>
      <w:r w:rsidR="006D48CD">
        <w:t>a</w:t>
      </w:r>
      <w:r w:rsidR="006D48CD" w:rsidRPr="00E943B1">
        <w:t xml:space="preserve"> </w:t>
      </w:r>
      <w:r w:rsidR="00D53ABC" w:rsidRPr="00E943B1">
        <w:t>k</w:t>
      </w:r>
      <w:r w:rsidR="00E262D2">
        <w:t xml:space="preserve"> </w:t>
      </w:r>
      <w:r w:rsidR="00D53ABC" w:rsidRPr="00E943B1">
        <w:t xml:space="preserve">více sofistikovaným způsobům, jak prosadit svůj vliv. </w:t>
      </w:r>
      <w:r w:rsidR="006D48CD" w:rsidRPr="00E943B1">
        <w:t>Začal</w:t>
      </w:r>
      <w:r w:rsidR="006D48CD">
        <w:t>a</w:t>
      </w:r>
      <w:r w:rsidR="006D48CD" w:rsidRPr="00E943B1">
        <w:t xml:space="preserve"> </w:t>
      </w:r>
      <w:r w:rsidR="00D53ABC" w:rsidRPr="00E943B1">
        <w:t>se soustředit spíše na vytváření konexí v</w:t>
      </w:r>
      <w:r w:rsidR="00E262D2">
        <w:t xml:space="preserve"> </w:t>
      </w:r>
      <w:r w:rsidR="00D53ABC" w:rsidRPr="00E943B1">
        <w:t xml:space="preserve">různých ekonomických sektorech, dosazování vlastních lidí do výše postavených pozic a vytváření komplexních sítí uvnitř společnosti. </w:t>
      </w:r>
      <w:r w:rsidR="006D48CD">
        <w:t>Vzhledem k</w:t>
      </w:r>
      <w:r w:rsidR="00C557C9">
        <w:t> </w:t>
      </w:r>
      <w:r w:rsidR="00D53ABC" w:rsidRPr="00E943B1">
        <w:t xml:space="preserve">tomuto </w:t>
      </w:r>
      <w:r w:rsidR="006D48CD">
        <w:t xml:space="preserve">postupu </w:t>
      </w:r>
      <w:r w:rsidR="00D53ABC" w:rsidRPr="00E943B1">
        <w:t>došlo k</w:t>
      </w:r>
      <w:r w:rsidR="00E262D2">
        <w:t xml:space="preserve"> </w:t>
      </w:r>
      <w:r w:rsidR="00D53ABC" w:rsidRPr="00E943B1">
        <w:t>vytvoření dvou institutů</w:t>
      </w:r>
      <w:r w:rsidR="006D48CD">
        <w:t>:</w:t>
      </w:r>
      <w:r w:rsidR="00D53ABC" w:rsidRPr="00E943B1">
        <w:t xml:space="preserve"> „collaboratore di giustizia“ a „testimone di</w:t>
      </w:r>
      <w:r w:rsidR="004035AD">
        <w:t> </w:t>
      </w:r>
      <w:r w:rsidR="00D53ABC" w:rsidRPr="00E943B1">
        <w:t xml:space="preserve">giustizia“. Oba tyto pojmy </w:t>
      </w:r>
      <w:r w:rsidR="006D48CD">
        <w:t>reprezentují</w:t>
      </w:r>
      <w:r w:rsidR="006D48CD" w:rsidRPr="00E943B1">
        <w:t xml:space="preserve"> </w:t>
      </w:r>
      <w:r w:rsidR="00D53ABC" w:rsidRPr="00E943B1">
        <w:t>účinné nástroje boj</w:t>
      </w:r>
      <w:r w:rsidR="00116588">
        <w:t>e</w:t>
      </w:r>
      <w:r w:rsidR="00D53ABC" w:rsidRPr="00E943B1">
        <w:t xml:space="preserve"> s</w:t>
      </w:r>
      <w:r w:rsidR="00E262D2">
        <w:t xml:space="preserve"> </w:t>
      </w:r>
      <w:r w:rsidR="00D53ABC" w:rsidRPr="00E943B1">
        <w:t>organizovaným zločinem v</w:t>
      </w:r>
      <w:r w:rsidR="00E262D2">
        <w:t xml:space="preserve"> </w:t>
      </w:r>
      <w:r w:rsidR="00D53ABC" w:rsidRPr="00E943B1">
        <w:t xml:space="preserve">Itálii. </w:t>
      </w:r>
      <w:r w:rsidRPr="00E943B1">
        <w:t>„Collaboratore di giustizia“ je v</w:t>
      </w:r>
      <w:r w:rsidR="00E262D2">
        <w:t xml:space="preserve"> </w:t>
      </w:r>
      <w:r w:rsidRPr="00E943B1">
        <w:t>Itálii známé hlavně jako „pentito“ a má nejblíže k</w:t>
      </w:r>
      <w:r w:rsidR="00E262D2">
        <w:t xml:space="preserve"> </w:t>
      </w:r>
      <w:r w:rsidR="00A76731">
        <w:t>českému</w:t>
      </w:r>
      <w:r w:rsidR="00A76731" w:rsidRPr="00E943B1">
        <w:t xml:space="preserve"> </w:t>
      </w:r>
      <w:r w:rsidRPr="00E943B1">
        <w:t>institutu spolupracující</w:t>
      </w:r>
      <w:r w:rsidR="00110B4B">
        <w:t>ho</w:t>
      </w:r>
      <w:r w:rsidRPr="00E943B1">
        <w:t xml:space="preserve"> </w:t>
      </w:r>
      <w:r w:rsidR="00110B4B" w:rsidRPr="00E943B1">
        <w:t>obviněn</w:t>
      </w:r>
      <w:r w:rsidR="00110B4B">
        <w:t>ého</w:t>
      </w:r>
      <w:r w:rsidRPr="00E943B1">
        <w:t>. Shodně s</w:t>
      </w:r>
      <w:r w:rsidR="00E262D2">
        <w:t xml:space="preserve"> </w:t>
      </w:r>
      <w:r w:rsidR="00110B4B">
        <w:t>českým</w:t>
      </w:r>
      <w:r w:rsidR="00110B4B" w:rsidRPr="00E943B1">
        <w:t xml:space="preserve"> </w:t>
      </w:r>
      <w:r w:rsidRPr="00E943B1">
        <w:t xml:space="preserve">institutem se snaží rozkrýt organizovanou zločineckou skupinu zevnitř. Jedná se tedy o lidi, kteří jsou samotnými články </w:t>
      </w:r>
      <w:r w:rsidRPr="00E943B1">
        <w:lastRenderedPageBreak/>
        <w:t xml:space="preserve">mafie. Druhý institut </w:t>
      </w:r>
      <w:r w:rsidR="00110B4B">
        <w:t xml:space="preserve">– </w:t>
      </w:r>
      <w:r w:rsidRPr="00E943B1">
        <w:t xml:space="preserve">„testimone di giustizia“ naopak zahrnuje </w:t>
      </w:r>
      <w:r w:rsidR="001646FF" w:rsidRPr="00E943B1">
        <w:t>osoby</w:t>
      </w:r>
      <w:r w:rsidRPr="00E943B1">
        <w:t>, na kter</w:t>
      </w:r>
      <w:r w:rsidR="001646FF" w:rsidRPr="00E943B1">
        <w:t>é</w:t>
      </w:r>
      <w:r w:rsidRPr="00E943B1">
        <w:t xml:space="preserve"> tyto skupiny vyvíjí tlak a jsou proto často svědky jejich zločinů.</w:t>
      </w:r>
      <w:r w:rsidRPr="00E943B1">
        <w:rPr>
          <w:rStyle w:val="Znakapoznpodarou"/>
        </w:rPr>
        <w:footnoteReference w:id="109"/>
      </w:r>
      <w:r w:rsidR="001646FF" w:rsidRPr="00E943B1">
        <w:t xml:space="preserve"> </w:t>
      </w:r>
      <w:r w:rsidR="00A66255" w:rsidRPr="00E943B1">
        <w:t>Určitou podobu s</w:t>
      </w:r>
      <w:r w:rsidR="00E262D2">
        <w:t xml:space="preserve"> </w:t>
      </w:r>
      <w:r w:rsidR="00A66255" w:rsidRPr="00E943B1">
        <w:t>tímto institutem spatřuji v</w:t>
      </w:r>
      <w:r w:rsidR="004035AD">
        <w:t> </w:t>
      </w:r>
      <w:r w:rsidR="00A66255" w:rsidRPr="00E943B1">
        <w:t xml:space="preserve">právní úpravě </w:t>
      </w:r>
      <w:r w:rsidR="00110B4B">
        <w:t>USA</w:t>
      </w:r>
      <w:r w:rsidR="00A66255" w:rsidRPr="00E943B1">
        <w:t>, a to konkrétně s</w:t>
      </w:r>
      <w:r w:rsidR="00E262D2">
        <w:t xml:space="preserve"> </w:t>
      </w:r>
      <w:r w:rsidR="00A66255" w:rsidRPr="00E943B1">
        <w:t>institutem „</w:t>
      </w:r>
      <w:r w:rsidR="00110B4B">
        <w:t>w</w:t>
      </w:r>
      <w:r w:rsidR="00110B4B" w:rsidRPr="00E943B1">
        <w:t xml:space="preserve">itness </w:t>
      </w:r>
      <w:r w:rsidR="00110B4B">
        <w:t>i</w:t>
      </w:r>
      <w:r w:rsidR="00110B4B" w:rsidRPr="00E943B1">
        <w:t>mmunity</w:t>
      </w:r>
      <w:r w:rsidR="00A66255" w:rsidRPr="00E943B1">
        <w:t>“. Oba tyto instituty se uplatňují u svědků, samozřejmě každý z</w:t>
      </w:r>
      <w:r w:rsidR="00E262D2">
        <w:t xml:space="preserve"> </w:t>
      </w:r>
      <w:r w:rsidR="00A66255" w:rsidRPr="00E943B1">
        <w:t xml:space="preserve">nich za </w:t>
      </w:r>
      <w:r w:rsidR="00FB12AA" w:rsidRPr="00E943B1">
        <w:t>různých</w:t>
      </w:r>
      <w:r w:rsidR="00A66255" w:rsidRPr="00E943B1">
        <w:t xml:space="preserve"> podmínek.</w:t>
      </w:r>
    </w:p>
    <w:p w14:paraId="6980A5D5" w14:textId="508C7646" w:rsidR="00096C0C" w:rsidRPr="00E943B1" w:rsidRDefault="00096C0C" w:rsidP="00FA3EE5">
      <w:pPr>
        <w:pStyle w:val="Nadpis3"/>
      </w:pPr>
      <w:bookmarkStart w:id="43" w:name="_Toc170638016"/>
      <w:r w:rsidRPr="00E943B1">
        <w:t>Collaboratore di giustizia</w:t>
      </w:r>
      <w:bookmarkEnd w:id="43"/>
    </w:p>
    <w:p w14:paraId="5D7E4CB8" w14:textId="77777777" w:rsidR="00687D1A" w:rsidRDefault="00155A82" w:rsidP="00FA3EE5">
      <w:pPr>
        <w:pStyle w:val="format"/>
      </w:pPr>
      <w:r w:rsidRPr="00E943B1">
        <w:t>Jak již bylo řečeno</w:t>
      </w:r>
      <w:r w:rsidR="00110B4B">
        <w:t>,</w:t>
      </w:r>
      <w:r w:rsidRPr="00E943B1">
        <w:t xml:space="preserve"> tento institut je známý hlavně </w:t>
      </w:r>
      <w:r w:rsidR="00110B4B">
        <w:t>pod pojmem</w:t>
      </w:r>
      <w:r w:rsidR="00110B4B" w:rsidRPr="00E943B1">
        <w:t xml:space="preserve"> </w:t>
      </w:r>
      <w:r w:rsidRPr="00E943B1">
        <w:t>„pentito“</w:t>
      </w:r>
      <w:r w:rsidRPr="00E943B1">
        <w:rPr>
          <w:rStyle w:val="Znakapoznpodarou"/>
        </w:rPr>
        <w:footnoteReference w:id="110"/>
      </w:r>
      <w:r w:rsidRPr="00E943B1">
        <w:t xml:space="preserve"> a lze </w:t>
      </w:r>
      <w:r w:rsidR="00A32C97">
        <w:t xml:space="preserve">jej </w:t>
      </w:r>
      <w:r w:rsidRPr="00E943B1">
        <w:t>přirovnat k</w:t>
      </w:r>
      <w:r w:rsidR="00E262D2">
        <w:t xml:space="preserve"> </w:t>
      </w:r>
      <w:r w:rsidR="00A32C97">
        <w:t>českému</w:t>
      </w:r>
      <w:r w:rsidR="00A32C97" w:rsidRPr="00E943B1">
        <w:t xml:space="preserve"> </w:t>
      </w:r>
      <w:r w:rsidRPr="00E943B1">
        <w:t>spolupracujícímu obviněnému. Účel</w:t>
      </w:r>
      <w:r w:rsidR="00A32C97">
        <w:t>em</w:t>
      </w:r>
      <w:r w:rsidRPr="00E943B1">
        <w:t xml:space="preserve"> obou </w:t>
      </w:r>
      <w:r w:rsidR="00A32C97">
        <w:t xml:space="preserve">těchto </w:t>
      </w:r>
      <w:r w:rsidRPr="00E943B1">
        <w:t>institutů je totiž získat jinak prakticky nemožné důkazy proti organizované zločinecké skupině a v</w:t>
      </w:r>
      <w:r w:rsidR="00E262D2">
        <w:t xml:space="preserve"> </w:t>
      </w:r>
      <w:r w:rsidRPr="00E943B1">
        <w:t xml:space="preserve">tom nejlepším případě rozkrýt celou jejich činnost a dopadnout vedoucí osoby těchto uskupení. Nutno podotknout, že rozhodnutím </w:t>
      </w:r>
      <w:r w:rsidR="00335AE7">
        <w:t xml:space="preserve">pro </w:t>
      </w:r>
      <w:r w:rsidR="00335AE7" w:rsidRPr="00E943B1">
        <w:t>spoluprác</w:t>
      </w:r>
      <w:r w:rsidR="00335AE7">
        <w:t>i</w:t>
      </w:r>
      <w:r w:rsidR="00335AE7" w:rsidRPr="00E943B1">
        <w:t xml:space="preserve"> </w:t>
      </w:r>
      <w:r w:rsidRPr="00E943B1">
        <w:t xml:space="preserve">tyto osoby </w:t>
      </w:r>
      <w:r w:rsidR="00791F75">
        <w:t xml:space="preserve">definitivně </w:t>
      </w:r>
      <w:r w:rsidRPr="00E943B1">
        <w:t>převrátí svůj dosavadní život a</w:t>
      </w:r>
      <w:r w:rsidR="004035AD">
        <w:t> </w:t>
      </w:r>
      <w:r w:rsidRPr="00E943B1">
        <w:t xml:space="preserve">mnohdy musí </w:t>
      </w:r>
      <w:r w:rsidR="00335AE7">
        <w:t xml:space="preserve">rovněž </w:t>
      </w:r>
      <w:r w:rsidRPr="00E943B1">
        <w:t xml:space="preserve">zpřetrhat </w:t>
      </w:r>
      <w:r w:rsidR="00A32C97">
        <w:t>veškeré</w:t>
      </w:r>
      <w:r w:rsidR="00A32C97" w:rsidRPr="00E943B1">
        <w:t xml:space="preserve"> </w:t>
      </w:r>
      <w:r w:rsidR="00A32C97">
        <w:t xml:space="preserve">rodinné </w:t>
      </w:r>
      <w:r w:rsidRPr="00E943B1">
        <w:t>vazby</w:t>
      </w:r>
      <w:r w:rsidR="00A32C97">
        <w:t>,</w:t>
      </w:r>
      <w:r w:rsidRPr="00E943B1">
        <w:t xml:space="preserve"> ať už </w:t>
      </w:r>
      <w:r w:rsidR="00A32C97">
        <w:t>jde o vazby s</w:t>
      </w:r>
      <w:r w:rsidRPr="00E943B1">
        <w:t xml:space="preserve"> manželkou, dětmi či</w:t>
      </w:r>
      <w:r w:rsidR="004035AD">
        <w:t> </w:t>
      </w:r>
      <w:r w:rsidRPr="00E943B1">
        <w:t xml:space="preserve">ostatními příbuznými. </w:t>
      </w:r>
      <w:r w:rsidR="001B7726" w:rsidRPr="00E943B1">
        <w:t xml:space="preserve">Celá tato éra </w:t>
      </w:r>
      <w:r w:rsidR="00A32C97">
        <w:t xml:space="preserve">tzv. </w:t>
      </w:r>
      <w:r w:rsidR="001B7726" w:rsidRPr="00E943B1">
        <w:t xml:space="preserve">„pentitů“ </w:t>
      </w:r>
      <w:r w:rsidR="00A32C97" w:rsidRPr="00E943B1">
        <w:t>odstartov</w:t>
      </w:r>
      <w:r w:rsidR="00A32C97">
        <w:t>ala již</w:t>
      </w:r>
      <w:r w:rsidR="00A32C97" w:rsidRPr="00E943B1">
        <w:t xml:space="preserve"> </w:t>
      </w:r>
      <w:r w:rsidR="001B7726" w:rsidRPr="00E943B1">
        <w:t>v</w:t>
      </w:r>
      <w:r w:rsidR="00E262D2">
        <w:t xml:space="preserve"> </w:t>
      </w:r>
      <w:r w:rsidR="001B7726" w:rsidRPr="00E943B1">
        <w:t>roc</w:t>
      </w:r>
      <w:r w:rsidR="00FA3EE5">
        <w:t>e 1984, kdy se Tommaso Buscetta</w:t>
      </w:r>
      <w:r w:rsidR="009E0AE7" w:rsidRPr="00E943B1">
        <w:rPr>
          <w:rStyle w:val="Znakapoznpodarou"/>
        </w:rPr>
        <w:footnoteReference w:id="111"/>
      </w:r>
      <w:r w:rsidR="00FA3EE5">
        <w:t xml:space="preserve"> </w:t>
      </w:r>
      <w:r w:rsidR="001B7726" w:rsidRPr="00E943B1">
        <w:t>rozhodl spolupracovat s prokurátorem</w:t>
      </w:r>
      <w:r w:rsidR="001B7726" w:rsidRPr="00E943B1">
        <w:rPr>
          <w:rStyle w:val="Znakapoznpodarou"/>
        </w:rPr>
        <w:footnoteReference w:id="112"/>
      </w:r>
      <w:r w:rsidR="001B7726" w:rsidRPr="00E943B1">
        <w:t xml:space="preserve"> Giovanni</w:t>
      </w:r>
      <w:r w:rsidR="00A32C97">
        <w:t>m</w:t>
      </w:r>
      <w:r w:rsidR="001B7726" w:rsidRPr="00E943B1">
        <w:t xml:space="preserve"> Falcone</w:t>
      </w:r>
      <w:r w:rsidR="00A32C97">
        <w:t>m</w:t>
      </w:r>
      <w:r w:rsidR="001B7726" w:rsidRPr="00E943B1">
        <w:t xml:space="preserve">, </w:t>
      </w:r>
      <w:r w:rsidR="00A32C97">
        <w:t>jenž</w:t>
      </w:r>
      <w:r w:rsidR="00A32C97" w:rsidRPr="00E943B1">
        <w:t xml:space="preserve"> </w:t>
      </w:r>
      <w:r w:rsidR="001B7726" w:rsidRPr="00E943B1">
        <w:t>se</w:t>
      </w:r>
      <w:r w:rsidR="004035AD">
        <w:t> </w:t>
      </w:r>
      <w:r w:rsidR="001B7726" w:rsidRPr="00E943B1">
        <w:t>zabýval rozkrýváním činnosti nechvalně známé Cosa Nostry</w:t>
      </w:r>
      <w:r w:rsidR="00A32C97">
        <w:t>.</w:t>
      </w:r>
      <w:r w:rsidR="001B7726" w:rsidRPr="00E943B1">
        <w:rPr>
          <w:rStyle w:val="Znakapoznpodarou"/>
        </w:rPr>
        <w:footnoteReference w:id="113"/>
      </w:r>
      <w:r w:rsidR="008953C8">
        <w:t xml:space="preserve"> </w:t>
      </w:r>
      <w:r w:rsidR="001B7726" w:rsidRPr="00E943B1">
        <w:t xml:space="preserve">Následovalo několik zákonů, které </w:t>
      </w:r>
      <w:r w:rsidR="00A32C97" w:rsidRPr="00E943B1">
        <w:t>legalizoval</w:t>
      </w:r>
      <w:r w:rsidR="00A32C97">
        <w:t>y</w:t>
      </w:r>
      <w:r w:rsidR="00A32C97" w:rsidRPr="00E943B1">
        <w:t xml:space="preserve"> </w:t>
      </w:r>
      <w:r w:rsidR="001B7726" w:rsidRPr="00E943B1">
        <w:t>tyto „pentity“ jako jeden z</w:t>
      </w:r>
      <w:r w:rsidR="00E262D2">
        <w:t xml:space="preserve"> </w:t>
      </w:r>
      <w:r w:rsidR="001B7726" w:rsidRPr="00E943B1">
        <w:t>účinných nástrojů boje proti organizovanému zločinu. Jednalo se o zákony č. 15/1980</w:t>
      </w:r>
      <w:r w:rsidR="00A32C97">
        <w:t xml:space="preserve"> a</w:t>
      </w:r>
      <w:r w:rsidR="00A32C97" w:rsidRPr="00E943B1">
        <w:t xml:space="preserve"> </w:t>
      </w:r>
      <w:r w:rsidR="00335AE7">
        <w:t xml:space="preserve">č. </w:t>
      </w:r>
      <w:r w:rsidR="001B7726" w:rsidRPr="00E943B1">
        <w:t>82/1992</w:t>
      </w:r>
      <w:r w:rsidR="00A32C97">
        <w:t>, přičemž</w:t>
      </w:r>
      <w:r w:rsidR="001B7726" w:rsidRPr="00E943B1">
        <w:t xml:space="preserve"> v</w:t>
      </w:r>
      <w:r w:rsidR="00E262D2">
        <w:t xml:space="preserve"> </w:t>
      </w:r>
      <w:r w:rsidR="001B7726" w:rsidRPr="00E943B1">
        <w:t>poslední řadě byla provedena změna těchto zákonů prostřednictvím zákona č. 45/2001, který mimo jiné zavedl i druhý institut pro boj s</w:t>
      </w:r>
      <w:r w:rsidR="00E262D2">
        <w:t xml:space="preserve"> </w:t>
      </w:r>
      <w:r w:rsidR="001B7726" w:rsidRPr="00E943B1">
        <w:t>organizovaným zločinem</w:t>
      </w:r>
      <w:r w:rsidR="00A32C97">
        <w:t>, tj.</w:t>
      </w:r>
      <w:r w:rsidR="001B7726" w:rsidRPr="00E943B1">
        <w:t xml:space="preserve"> „testimone di giustizia“.</w:t>
      </w:r>
      <w:r w:rsidR="00852685" w:rsidRPr="00E943B1">
        <w:t xml:space="preserve"> Odlišení </w:t>
      </w:r>
      <w:r w:rsidR="00791F75">
        <w:t xml:space="preserve">obou </w:t>
      </w:r>
      <w:r w:rsidR="00852685" w:rsidRPr="00E943B1">
        <w:t xml:space="preserve">těchto institutů je </w:t>
      </w:r>
      <w:r w:rsidR="00335AE7">
        <w:t xml:space="preserve">přitom </w:t>
      </w:r>
      <w:r w:rsidR="00852685" w:rsidRPr="00E943B1">
        <w:t>poměrně jednoduché</w:t>
      </w:r>
      <w:r w:rsidR="0068541A">
        <w:t>.</w:t>
      </w:r>
      <w:r w:rsidR="0068541A" w:rsidRPr="00E943B1">
        <w:t xml:space="preserve"> </w:t>
      </w:r>
      <w:r w:rsidR="0068541A">
        <w:t>Z</w:t>
      </w:r>
      <w:r w:rsidR="00791F75">
        <w:t xml:space="preserve">atímco </w:t>
      </w:r>
      <w:r w:rsidR="00852685" w:rsidRPr="00E943B1">
        <w:t>osoba „pentita“ spáchala trestný čin v</w:t>
      </w:r>
      <w:r w:rsidR="00E262D2">
        <w:t xml:space="preserve"> </w:t>
      </w:r>
      <w:r w:rsidR="00852685" w:rsidRPr="00E943B1">
        <w:t xml:space="preserve">rámci organizované zločinecké </w:t>
      </w:r>
      <w:r w:rsidR="00791F75" w:rsidRPr="00E943B1">
        <w:t>skupin</w:t>
      </w:r>
      <w:r w:rsidR="00791F75">
        <w:t>y</w:t>
      </w:r>
      <w:r w:rsidR="00791F75" w:rsidRPr="00E943B1">
        <w:t xml:space="preserve"> </w:t>
      </w:r>
      <w:r w:rsidR="00852685" w:rsidRPr="00E943B1">
        <w:t xml:space="preserve">nebo se na </w:t>
      </w:r>
      <w:r w:rsidR="00791F75" w:rsidRPr="00E943B1">
        <w:t>n</w:t>
      </w:r>
      <w:r w:rsidR="00791F75">
        <w:t>í</w:t>
      </w:r>
      <w:r w:rsidR="00791F75" w:rsidRPr="00E943B1">
        <w:t xml:space="preserve"> </w:t>
      </w:r>
      <w:r w:rsidR="00852685" w:rsidRPr="00E943B1">
        <w:t>přímo účastní a nyní se snaží toto odčinit svou spoluprací se</w:t>
      </w:r>
      <w:r w:rsidR="003962F0">
        <w:t xml:space="preserve"> </w:t>
      </w:r>
      <w:r w:rsidR="00852685" w:rsidRPr="00E943B1">
        <w:lastRenderedPageBreak/>
        <w:t>státním zástupcem a dopadnout další členy, „testimone di giustizia“</w:t>
      </w:r>
      <w:r w:rsidR="001B7726" w:rsidRPr="00E943B1">
        <w:rPr>
          <w:rStyle w:val="Znakapoznpodarou"/>
        </w:rPr>
        <w:footnoteReference w:id="114"/>
      </w:r>
      <w:r w:rsidR="00852685" w:rsidRPr="00E943B1">
        <w:t xml:space="preserve"> je </w:t>
      </w:r>
      <w:r w:rsidR="00791F75" w:rsidRPr="00E943B1">
        <w:t>osob</w:t>
      </w:r>
      <w:r w:rsidR="00791F75">
        <w:t>ou</w:t>
      </w:r>
      <w:r w:rsidR="00852685" w:rsidRPr="00E943B1">
        <w:t xml:space="preserve">, která </w:t>
      </w:r>
      <w:r w:rsidR="00791F75">
        <w:t>je v</w:t>
      </w:r>
      <w:r w:rsidR="003962F0">
        <w:t xml:space="preserve"> </w:t>
      </w:r>
      <w:r w:rsidR="00CC6DE9" w:rsidRPr="00E943B1">
        <w:t>pozici svědka a sama žádný trestný čin nespáchala.</w:t>
      </w:r>
      <w:r w:rsidR="001B7726" w:rsidRPr="00E943B1">
        <w:rPr>
          <w:rStyle w:val="Znakapoznpodarou"/>
        </w:rPr>
        <w:footnoteReference w:id="115"/>
      </w:r>
    </w:p>
    <w:p w14:paraId="3EB4C297" w14:textId="51521ABD" w:rsidR="001B7726" w:rsidRPr="00E943B1" w:rsidRDefault="00B35E49" w:rsidP="00FA3EE5">
      <w:pPr>
        <w:pStyle w:val="format"/>
      </w:pPr>
      <w:r w:rsidRPr="00E943B1">
        <w:t>V</w:t>
      </w:r>
      <w:r w:rsidR="00E262D2">
        <w:t xml:space="preserve"> </w:t>
      </w:r>
      <w:r w:rsidRPr="00E943B1">
        <w:t>obecné rovině „pentito“:</w:t>
      </w:r>
    </w:p>
    <w:p w14:paraId="0F8490E5" w14:textId="52EE17A3" w:rsidR="00852685" w:rsidRPr="00E943B1" w:rsidRDefault="00D3363B" w:rsidP="003A78D1">
      <w:pPr>
        <w:pStyle w:val="format"/>
        <w:numPr>
          <w:ilvl w:val="0"/>
          <w:numId w:val="11"/>
        </w:numPr>
      </w:pPr>
      <w:r>
        <w:t>b</w:t>
      </w:r>
      <w:r w:rsidRPr="00E943B1">
        <w:t xml:space="preserve">ěhem </w:t>
      </w:r>
      <w:r w:rsidR="00852685" w:rsidRPr="00E943B1">
        <w:t xml:space="preserve">lhůty 6 měsíců </w:t>
      </w:r>
      <w:r w:rsidR="001A0B06">
        <w:t xml:space="preserve">musí </w:t>
      </w:r>
      <w:r w:rsidR="00852685" w:rsidRPr="00E943B1">
        <w:t>vypovědět vše, co ví ohledně organizované zločinecké skupiny, jejímž je členem. Tato lhůta začíná běžet v</w:t>
      </w:r>
      <w:r w:rsidR="00E262D2">
        <w:t xml:space="preserve"> </w:t>
      </w:r>
      <w:r w:rsidR="00852685" w:rsidRPr="00E943B1">
        <w:t>momentě dání souhlasu se spoluprací</w:t>
      </w:r>
      <w:r w:rsidR="00D975A0">
        <w:t>.</w:t>
      </w:r>
    </w:p>
    <w:p w14:paraId="7526FA1B" w14:textId="130DAE45" w:rsidR="00852685" w:rsidRPr="00E943B1" w:rsidRDefault="001A0B06" w:rsidP="003A78D1">
      <w:pPr>
        <w:pStyle w:val="format"/>
        <w:numPr>
          <w:ilvl w:val="0"/>
          <w:numId w:val="11"/>
        </w:numPr>
      </w:pPr>
      <w:r>
        <w:t>n</w:t>
      </w:r>
      <w:r w:rsidRPr="00E943B1">
        <w:t xml:space="preserve">emůže </w:t>
      </w:r>
      <w:r w:rsidR="00852685" w:rsidRPr="00E943B1">
        <w:t>těžit z</w:t>
      </w:r>
      <w:r w:rsidR="00E262D2">
        <w:t xml:space="preserve"> </w:t>
      </w:r>
      <w:r w:rsidR="00852685" w:rsidRPr="00E943B1">
        <w:t>benefitů pro tyto osoby, dokud není prokázáno, že poskytnuté informace jsou nové/dosud neznámé a jsou důležité pro vyšetřování</w:t>
      </w:r>
      <w:r w:rsidR="00D975A0">
        <w:t>.</w:t>
      </w:r>
    </w:p>
    <w:p w14:paraId="6C5CACC0" w14:textId="0EE34FAE" w:rsidR="00852685" w:rsidRPr="00E943B1" w:rsidRDefault="001A0B06" w:rsidP="003A78D1">
      <w:pPr>
        <w:pStyle w:val="format"/>
        <w:numPr>
          <w:ilvl w:val="0"/>
          <w:numId w:val="11"/>
        </w:numPr>
      </w:pPr>
      <w:r>
        <w:t>musí v</w:t>
      </w:r>
      <w:r w:rsidRPr="00E943B1">
        <w:t xml:space="preserve">ykonat </w:t>
      </w:r>
      <w:r w:rsidR="00852685" w:rsidRPr="00E943B1">
        <w:t>alespoň čtvrtinu uloženého trestu odnětí svobody</w:t>
      </w:r>
      <w:r w:rsidR="00D975A0">
        <w:t>.</w:t>
      </w:r>
    </w:p>
    <w:p w14:paraId="4C9D1B6E" w14:textId="2F2D66ED" w:rsidR="00852685" w:rsidRPr="00E943B1" w:rsidRDefault="00706A37" w:rsidP="003A78D1">
      <w:pPr>
        <w:pStyle w:val="format"/>
        <w:numPr>
          <w:ilvl w:val="0"/>
          <w:numId w:val="11"/>
        </w:numPr>
      </w:pPr>
      <w:r>
        <w:t xml:space="preserve">získává ochranu, která </w:t>
      </w:r>
      <w:r w:rsidR="00852685" w:rsidRPr="00E943B1">
        <w:t>trvá, dokud nepomine nebezpečí nehledě na fázi trestního stíhání.</w:t>
      </w:r>
      <w:r w:rsidR="00CC6DE9" w:rsidRPr="00E943B1">
        <w:rPr>
          <w:rStyle w:val="Znakapoznpodarou"/>
        </w:rPr>
        <w:footnoteReference w:id="116"/>
      </w:r>
    </w:p>
    <w:p w14:paraId="1FE70B60" w14:textId="534F94DD" w:rsidR="00CC6DE9" w:rsidRPr="00E943B1" w:rsidRDefault="00CC6DE9" w:rsidP="00E63590">
      <w:pPr>
        <w:pStyle w:val="format"/>
      </w:pPr>
      <w:r w:rsidRPr="00E943B1">
        <w:t xml:space="preserve">Zákonem č. 45/2001 </w:t>
      </w:r>
      <w:r w:rsidR="00E63590">
        <w:t xml:space="preserve">Sb. </w:t>
      </w:r>
      <w:r w:rsidRPr="00E943B1">
        <w:t>došlo k</w:t>
      </w:r>
      <w:r w:rsidR="00706A37">
        <w:t>e</w:t>
      </w:r>
      <w:r w:rsidR="00E262D2">
        <w:t xml:space="preserve"> </w:t>
      </w:r>
      <w:r w:rsidRPr="00E943B1">
        <w:t xml:space="preserve">zúžení trestných činů, u </w:t>
      </w:r>
      <w:r w:rsidR="00706A37">
        <w:t>nichž</w:t>
      </w:r>
      <w:r w:rsidR="00706A37" w:rsidRPr="00E943B1">
        <w:t xml:space="preserve"> </w:t>
      </w:r>
      <w:r w:rsidRPr="00E943B1">
        <w:t xml:space="preserve">lze aplikovat institut spolupracujícího obviněného. </w:t>
      </w:r>
      <w:r w:rsidR="00E159F2" w:rsidRPr="00E943B1">
        <w:t>Tento institut lze aplikovat na trestné činy dle článku 416-bis, 600, 601, 602, 630 Penal Code</w:t>
      </w:r>
      <w:r w:rsidR="00706A37">
        <w:t>,</w:t>
      </w:r>
      <w:r w:rsidR="00E159F2" w:rsidRPr="00E943B1">
        <w:rPr>
          <w:rStyle w:val="Znakapoznpodarou"/>
        </w:rPr>
        <w:footnoteReference w:id="117"/>
      </w:r>
      <w:r w:rsidR="00E159F2" w:rsidRPr="00E943B1">
        <w:t xml:space="preserve"> </w:t>
      </w:r>
      <w:r w:rsidR="00706A37" w:rsidRPr="00E943B1">
        <w:t>člán</w:t>
      </w:r>
      <w:r w:rsidR="00706A37">
        <w:t>ku</w:t>
      </w:r>
      <w:r w:rsidR="00706A37" w:rsidRPr="00E943B1">
        <w:t xml:space="preserve"> </w:t>
      </w:r>
      <w:r w:rsidR="00E159F2" w:rsidRPr="00E943B1">
        <w:t>74 nařízení č. 309/90 a 291quarter nařízení č. 43/73.</w:t>
      </w:r>
      <w:r w:rsidR="00E159F2" w:rsidRPr="00E943B1">
        <w:rPr>
          <w:rStyle w:val="Znakapoznpodarou"/>
        </w:rPr>
        <w:footnoteReference w:id="118"/>
      </w:r>
    </w:p>
    <w:p w14:paraId="470C76AD" w14:textId="77777777" w:rsidR="00846220" w:rsidRDefault="00E159F2" w:rsidP="00E63590">
      <w:pPr>
        <w:pStyle w:val="format"/>
      </w:pPr>
      <w:r w:rsidRPr="00E943B1">
        <w:t>Po udělení statusu spolupracující</w:t>
      </w:r>
      <w:r w:rsidR="00706A37">
        <w:t>ho</w:t>
      </w:r>
      <w:r w:rsidRPr="00E943B1">
        <w:t xml:space="preserve"> </w:t>
      </w:r>
      <w:r w:rsidR="00706A37" w:rsidRPr="00E943B1">
        <w:t>obviněn</w:t>
      </w:r>
      <w:r w:rsidR="00706A37">
        <w:t>ého</w:t>
      </w:r>
      <w:r w:rsidR="00706A37" w:rsidRPr="00E943B1">
        <w:t xml:space="preserve"> </w:t>
      </w:r>
      <w:r w:rsidRPr="00E943B1">
        <w:t xml:space="preserve">může </w:t>
      </w:r>
      <w:r w:rsidR="00A70CB0" w:rsidRPr="00E943B1">
        <w:t>dojít k</w:t>
      </w:r>
      <w:r w:rsidR="00E262D2">
        <w:t xml:space="preserve"> </w:t>
      </w:r>
      <w:r w:rsidRPr="00E943B1">
        <w:t>jeho</w:t>
      </w:r>
      <w:r w:rsidR="00A70CB0" w:rsidRPr="00E943B1">
        <w:t xml:space="preserve"> úpravě či</w:t>
      </w:r>
      <w:r w:rsidRPr="00E943B1">
        <w:t xml:space="preserve"> odnětí</w:t>
      </w:r>
      <w:r w:rsidR="00A70CB0" w:rsidRPr="00E943B1">
        <w:t>. Návrh pro úpravu či odnětí může vzejít buď od samotné osoby, která tento institut navrhla, nebo pokud je již osoba pod ochrannou v</w:t>
      </w:r>
      <w:r w:rsidR="00E262D2">
        <w:t xml:space="preserve"> </w:t>
      </w:r>
      <w:r w:rsidR="00A70CB0" w:rsidRPr="00E943B1">
        <w:t>rámci programu na ochranu, může návrh podat Centrální ochranná služba nebo prefekt</w:t>
      </w:r>
      <w:r w:rsidR="00A70CB0" w:rsidRPr="00E943B1">
        <w:rPr>
          <w:rStyle w:val="Znakapoznpodarou"/>
        </w:rPr>
        <w:footnoteReference w:id="119"/>
      </w:r>
      <w:r w:rsidR="00687D1A">
        <w:t>.</w:t>
      </w:r>
    </w:p>
    <w:p w14:paraId="23CC8F12" w14:textId="443199E6" w:rsidR="00E159F2" w:rsidRPr="00E943B1" w:rsidRDefault="00A70CB0" w:rsidP="00E63590">
      <w:pPr>
        <w:pStyle w:val="format"/>
      </w:pPr>
      <w:r w:rsidRPr="00E943B1">
        <w:t>Nicméně vždy musí po návrhu následovat důkladné šetření samotné osoby, zda dodržuje režim a své závazky a zda je stále v</w:t>
      </w:r>
      <w:r w:rsidR="00E262D2">
        <w:t xml:space="preserve"> </w:t>
      </w:r>
      <w:r w:rsidRPr="00E943B1">
        <w:t>ohrožení ze strany organizované zločinecké skupiny. Italská právní úprava také zahrnuje automatické zrušení statusu spolupracující</w:t>
      </w:r>
      <w:r w:rsidR="006E0706">
        <w:t>ho</w:t>
      </w:r>
      <w:r w:rsidRPr="00E943B1">
        <w:t xml:space="preserve"> </w:t>
      </w:r>
      <w:r w:rsidR="006E0706" w:rsidRPr="00E943B1">
        <w:t>obviněn</w:t>
      </w:r>
      <w:r w:rsidR="006E0706">
        <w:t>ého</w:t>
      </w:r>
      <w:r w:rsidRPr="00E943B1">
        <w:t>, pokud tato osoba:</w:t>
      </w:r>
    </w:p>
    <w:p w14:paraId="1B831BA3" w14:textId="15F1D5D8" w:rsidR="00846220" w:rsidRDefault="00CF17D5" w:rsidP="003A78D1">
      <w:pPr>
        <w:pStyle w:val="format"/>
        <w:numPr>
          <w:ilvl w:val="0"/>
          <w:numId w:val="12"/>
        </w:numPr>
      </w:pPr>
      <w:r>
        <w:t>p</w:t>
      </w:r>
      <w:r w:rsidRPr="00E943B1">
        <w:t xml:space="preserve">oruší </w:t>
      </w:r>
      <w:r w:rsidR="00EC5CEC" w:rsidRPr="00E943B1">
        <w:t>svůj závazek tím, že o</w:t>
      </w:r>
      <w:r w:rsidR="00A70CB0" w:rsidRPr="00E943B1">
        <w:t xml:space="preserve">dmítne podrobení se výslechu, </w:t>
      </w:r>
      <w:r w:rsidR="00EC5CEC" w:rsidRPr="00E943B1">
        <w:t>podání dalšího svědectví, poskytnutí důkazů atd.</w:t>
      </w:r>
      <w:r>
        <w:t>,</w:t>
      </w:r>
    </w:p>
    <w:p w14:paraId="79A56D3F" w14:textId="77777777" w:rsidR="00846220" w:rsidRDefault="00846220">
      <w:pPr>
        <w:spacing w:after="0" w:line="240" w:lineRule="auto"/>
        <w:rPr>
          <w:rFonts w:ascii="Times New Roman" w:hAnsi="Times New Roman"/>
          <w:sz w:val="24"/>
          <w:szCs w:val="24"/>
        </w:rPr>
      </w:pPr>
      <w:r>
        <w:br w:type="page"/>
      </w:r>
    </w:p>
    <w:p w14:paraId="1A78D34F" w14:textId="405D8409" w:rsidR="00EC5CEC" w:rsidRPr="00E943B1" w:rsidRDefault="00CF17D5" w:rsidP="003A78D1">
      <w:pPr>
        <w:pStyle w:val="format"/>
        <w:numPr>
          <w:ilvl w:val="0"/>
          <w:numId w:val="12"/>
        </w:numPr>
      </w:pPr>
      <w:r>
        <w:lastRenderedPageBreak/>
        <w:t>o</w:t>
      </w:r>
      <w:r w:rsidRPr="00E943B1">
        <w:t xml:space="preserve">dmítne </w:t>
      </w:r>
      <w:r w:rsidR="00EC5CEC" w:rsidRPr="00E943B1">
        <w:t>sepsání svého majetku (toto se nevztahuje na „testimone di giustizia</w:t>
      </w:r>
      <w:r w:rsidRPr="00E943B1">
        <w:t>“)</w:t>
      </w:r>
      <w:r>
        <w:t>,</w:t>
      </w:r>
    </w:p>
    <w:p w14:paraId="2B2B0AA2" w14:textId="5E9F1AE5" w:rsidR="00EC5CEC" w:rsidRPr="00E943B1" w:rsidRDefault="00CF17D5" w:rsidP="003A78D1">
      <w:pPr>
        <w:pStyle w:val="format"/>
        <w:numPr>
          <w:ilvl w:val="0"/>
          <w:numId w:val="12"/>
        </w:numPr>
      </w:pPr>
      <w:r>
        <w:t>s</w:t>
      </w:r>
      <w:r w:rsidRPr="00E943B1">
        <w:t xml:space="preserve">páchá </w:t>
      </w:r>
      <w:r w:rsidR="00EC5CEC" w:rsidRPr="00E943B1">
        <w:t>trestný čin ve prospěch organizované zločinecké skupiny</w:t>
      </w:r>
      <w:r w:rsidR="00E63590">
        <w:t>.</w:t>
      </w:r>
      <w:r w:rsidR="00EC5CEC" w:rsidRPr="00E943B1">
        <w:rPr>
          <w:rStyle w:val="Znakapoznpodarou"/>
        </w:rPr>
        <w:footnoteReference w:id="120"/>
      </w:r>
    </w:p>
    <w:p w14:paraId="6F80B6EB" w14:textId="1CA5AAC3" w:rsidR="006B0286" w:rsidRPr="00E63590" w:rsidRDefault="006B0286" w:rsidP="00E63590">
      <w:pPr>
        <w:pStyle w:val="format"/>
        <w:spacing w:before="120" w:after="120"/>
        <w:ind w:firstLine="0"/>
        <w:rPr>
          <w:b/>
        </w:rPr>
      </w:pPr>
      <w:r w:rsidRPr="00E63590">
        <w:rPr>
          <w:b/>
        </w:rPr>
        <w:t>Ochrana</w:t>
      </w:r>
    </w:p>
    <w:p w14:paraId="680A2565" w14:textId="543E7B6C" w:rsidR="00096C0C" w:rsidRPr="00E943B1" w:rsidRDefault="006B0286" w:rsidP="009260C0">
      <w:pPr>
        <w:pStyle w:val="format"/>
      </w:pPr>
      <w:r w:rsidRPr="00E943B1">
        <w:t>Co se týče poskytované ochrany těmto osobám, lze hovořit o</w:t>
      </w:r>
      <w:r w:rsidR="001F4422" w:rsidRPr="00E943B1">
        <w:t xml:space="preserve"> tzv.</w:t>
      </w:r>
      <w:r w:rsidRPr="00E943B1">
        <w:t xml:space="preserve"> „dvoustupňové ochraně“. Jednoduše řečeno, čím větší nebezpečí hrozí spolupracujícím obviněným, tím se aktivují důslednější ochranné prostředky. V</w:t>
      </w:r>
      <w:r w:rsidR="00E262D2">
        <w:t xml:space="preserve"> </w:t>
      </w:r>
      <w:r w:rsidRPr="00E943B1">
        <w:t>rámci prvního stupně lze uplatnit například přestěhování do jiné obce/města. Pokud se jedná o osoby vykonávající trest</w:t>
      </w:r>
      <w:r w:rsidR="00CF17D5">
        <w:t>,</w:t>
      </w:r>
      <w:r w:rsidRPr="00E943B1">
        <w:t xml:space="preserve"> pak lze uvažovat o</w:t>
      </w:r>
      <w:r w:rsidR="004F1579">
        <w:t> </w:t>
      </w:r>
      <w:r w:rsidRPr="00E943B1">
        <w:t xml:space="preserve">ochraně ve formě udělení samostatné cely či </w:t>
      </w:r>
      <w:r w:rsidR="00CF17D5">
        <w:t xml:space="preserve">o </w:t>
      </w:r>
      <w:r w:rsidRPr="00E943B1">
        <w:t>umístění do specializovaného oddělení sloužící</w:t>
      </w:r>
      <w:r w:rsidR="00CF17D5">
        <w:t>ho právě</w:t>
      </w:r>
      <w:r w:rsidRPr="00E943B1">
        <w:t xml:space="preserve"> pro tyto případy. Pokud </w:t>
      </w:r>
      <w:r w:rsidR="00150689" w:rsidRPr="00E943B1">
        <w:t>t</w:t>
      </w:r>
      <w:r w:rsidR="00150689">
        <w:t>a</w:t>
      </w:r>
      <w:r w:rsidR="00150689" w:rsidRPr="00E943B1">
        <w:t xml:space="preserve">to </w:t>
      </w:r>
      <w:r w:rsidRPr="00E943B1">
        <w:t>opatření nepostačují</w:t>
      </w:r>
      <w:r w:rsidR="00150689">
        <w:t>,</w:t>
      </w:r>
      <w:r w:rsidRPr="00E943B1">
        <w:t xml:space="preserve"> lze přejít k</w:t>
      </w:r>
      <w:r w:rsidR="00E262D2">
        <w:t xml:space="preserve"> </w:t>
      </w:r>
      <w:r w:rsidRPr="00E943B1">
        <w:t>druhému stupni</w:t>
      </w:r>
      <w:r w:rsidR="00150689">
        <w:t xml:space="preserve"> ochrany</w:t>
      </w:r>
      <w:r w:rsidRPr="00E943B1">
        <w:t xml:space="preserve">, </w:t>
      </w:r>
      <w:r w:rsidR="00150689">
        <w:t>jenž</w:t>
      </w:r>
      <w:r w:rsidR="00150689" w:rsidRPr="00E943B1">
        <w:t xml:space="preserve"> </w:t>
      </w:r>
      <w:r w:rsidRPr="00E943B1">
        <w:t>zahrnuje například změnu identity.</w:t>
      </w:r>
      <w:r w:rsidRPr="00E943B1">
        <w:rPr>
          <w:rStyle w:val="Znakapoznpodarou"/>
        </w:rPr>
        <w:footnoteReference w:id="121"/>
      </w:r>
    </w:p>
    <w:p w14:paraId="2E38587C" w14:textId="76E9E853" w:rsidR="00085991" w:rsidRPr="009260C0" w:rsidRDefault="00085991" w:rsidP="009260C0">
      <w:pPr>
        <w:pStyle w:val="format"/>
        <w:spacing w:before="120" w:after="120"/>
        <w:ind w:firstLine="0"/>
        <w:rPr>
          <w:b/>
        </w:rPr>
      </w:pPr>
      <w:r w:rsidRPr="009260C0">
        <w:rPr>
          <w:b/>
        </w:rPr>
        <w:t>Legge 26 luglio 1975, n. 354</w:t>
      </w:r>
    </w:p>
    <w:p w14:paraId="625805BE" w14:textId="4E3A094C" w:rsidR="00085991" w:rsidRPr="00E943B1" w:rsidRDefault="00085991" w:rsidP="009260C0">
      <w:pPr>
        <w:pStyle w:val="format"/>
      </w:pPr>
      <w:r w:rsidRPr="00E943B1">
        <w:t>V</w:t>
      </w:r>
      <w:r w:rsidR="00E262D2">
        <w:t xml:space="preserve"> </w:t>
      </w:r>
      <w:r w:rsidRPr="00E943B1">
        <w:t xml:space="preserve">souvislosti s „pentity“ je třeba zmínit </w:t>
      </w:r>
      <w:r w:rsidR="0035010C">
        <w:t xml:space="preserve">i </w:t>
      </w:r>
      <w:r w:rsidRPr="00E943B1">
        <w:t xml:space="preserve">zákon č. 354 </w:t>
      </w:r>
      <w:r w:rsidR="0035010C">
        <w:t xml:space="preserve">z </w:t>
      </w:r>
      <w:r w:rsidRPr="00E943B1">
        <w:t>26. července 1975, který upravuje konkrétně ve svém článku 41-bis možnosti výkonu trestu osob, které odmítly vypovídat v</w:t>
      </w:r>
      <w:r w:rsidR="004F1579">
        <w:t> </w:t>
      </w:r>
      <w:r w:rsidRPr="00E943B1">
        <w:t>neprospěch organizovaných zločineckých skupin</w:t>
      </w:r>
      <w:r w:rsidR="009D1961">
        <w:t>,</w:t>
      </w:r>
      <w:r w:rsidRPr="00E943B1">
        <w:t xml:space="preserve"> </w:t>
      </w:r>
      <w:r w:rsidR="0035010C">
        <w:t>tj.</w:t>
      </w:r>
      <w:r w:rsidR="0035010C" w:rsidRPr="00E943B1">
        <w:t xml:space="preserve"> </w:t>
      </w:r>
      <w:r w:rsidRPr="00E943B1">
        <w:t>odmítli status „pentita“. V</w:t>
      </w:r>
      <w:r w:rsidR="00E262D2">
        <w:t xml:space="preserve"> </w:t>
      </w:r>
      <w:r w:rsidRPr="00E943B1">
        <w:t>případech organizovaných zločineckých skupin může ministr spravedlnosti nařídit zvláštní výkon trestu odnětí svobody těchto osob.</w:t>
      </w:r>
      <w:r w:rsidRPr="00E943B1">
        <w:rPr>
          <w:rStyle w:val="Znakapoznpodarou"/>
        </w:rPr>
        <w:footnoteReference w:id="122"/>
      </w:r>
      <w:r w:rsidRPr="00E943B1">
        <w:t xml:space="preserve"> Vězni pak musí být umístěni do specializovaných věznic, které stojí mimo klasický vazební systém</w:t>
      </w:r>
      <w:r w:rsidR="0035010C">
        <w:t>,</w:t>
      </w:r>
      <w:r w:rsidRPr="00E943B1">
        <w:t xml:space="preserve"> a jsou </w:t>
      </w:r>
      <w:r w:rsidR="0035010C" w:rsidRPr="00E943B1">
        <w:t>hlídán</w:t>
      </w:r>
      <w:r w:rsidR="0035010C">
        <w:t>i</w:t>
      </w:r>
      <w:r w:rsidR="0035010C" w:rsidRPr="00E943B1">
        <w:t xml:space="preserve"> </w:t>
      </w:r>
      <w:r w:rsidRPr="00E943B1">
        <w:t>speciálními jednotkami, které jsou k</w:t>
      </w:r>
      <w:r w:rsidR="00E262D2">
        <w:t xml:space="preserve"> </w:t>
      </w:r>
      <w:r w:rsidRPr="00E943B1">
        <w:t xml:space="preserve">tomu určeny. </w:t>
      </w:r>
      <w:r w:rsidR="00F870F8">
        <w:t>P</w:t>
      </w:r>
      <w:r w:rsidR="00C026B4" w:rsidRPr="00E943B1">
        <w:t>atří</w:t>
      </w:r>
      <w:r w:rsidR="00F870F8">
        <w:t xml:space="preserve"> k</w:t>
      </w:r>
      <w:r w:rsidR="00073C2D">
        <w:t xml:space="preserve"> </w:t>
      </w:r>
      <w:r w:rsidR="00F870F8">
        <w:t>nim omezení</w:t>
      </w:r>
      <w:r w:rsidR="00C026B4" w:rsidRPr="00E943B1">
        <w:t>:</w:t>
      </w:r>
    </w:p>
    <w:p w14:paraId="353216F2" w14:textId="0C8BC1F5" w:rsidR="00085991" w:rsidRPr="00E943B1" w:rsidRDefault="00085991" w:rsidP="003A78D1">
      <w:pPr>
        <w:pStyle w:val="format"/>
        <w:numPr>
          <w:ilvl w:val="0"/>
          <w:numId w:val="13"/>
        </w:numPr>
      </w:pPr>
      <w:r w:rsidRPr="00E943B1">
        <w:t>kontakt</w:t>
      </w:r>
      <w:r w:rsidR="00C026B4" w:rsidRPr="00E943B1">
        <w:t>u</w:t>
      </w:r>
      <w:r w:rsidRPr="00E943B1">
        <w:t xml:space="preserve"> s</w:t>
      </w:r>
      <w:r w:rsidR="00E262D2">
        <w:t xml:space="preserve"> </w:t>
      </w:r>
      <w:r w:rsidRPr="00E943B1">
        <w:t xml:space="preserve">dalšími členy </w:t>
      </w:r>
      <w:r w:rsidR="00C026B4" w:rsidRPr="00E943B1">
        <w:t>jejich organizace či nepřátelské organizace</w:t>
      </w:r>
      <w:r w:rsidR="00A61D8A">
        <w:t>,</w:t>
      </w:r>
    </w:p>
    <w:p w14:paraId="101BE5EF" w14:textId="089DD80F" w:rsidR="00C026B4" w:rsidRPr="00E943B1" w:rsidRDefault="00C026B4" w:rsidP="003A78D1">
      <w:pPr>
        <w:pStyle w:val="format"/>
        <w:numPr>
          <w:ilvl w:val="0"/>
          <w:numId w:val="13"/>
        </w:numPr>
      </w:pPr>
      <w:r w:rsidRPr="00E943B1">
        <w:t xml:space="preserve">návštěv </w:t>
      </w:r>
      <w:r w:rsidR="00A61D8A">
        <w:t xml:space="preserve">pouze </w:t>
      </w:r>
      <w:r w:rsidRPr="00E943B1">
        <w:t xml:space="preserve">na jednu návštěvu měsíčně, a </w:t>
      </w:r>
      <w:r w:rsidR="00FF31C1">
        <w:t xml:space="preserve">to </w:t>
      </w:r>
      <w:r w:rsidRPr="00E943B1">
        <w:t xml:space="preserve">pouze </w:t>
      </w:r>
      <w:r w:rsidR="00A61D8A" w:rsidRPr="00E943B1">
        <w:t>rodinn</w:t>
      </w:r>
      <w:r w:rsidR="00A61D8A">
        <w:t>ými</w:t>
      </w:r>
      <w:r w:rsidR="00A61D8A" w:rsidRPr="00E943B1">
        <w:t xml:space="preserve"> příslušní</w:t>
      </w:r>
      <w:r w:rsidR="00A61D8A">
        <w:t>ky</w:t>
      </w:r>
      <w:r w:rsidRPr="00E943B1">
        <w:t>, z</w:t>
      </w:r>
      <w:r w:rsidR="00E262D2">
        <w:t xml:space="preserve"> </w:t>
      </w:r>
      <w:r w:rsidRPr="00E943B1">
        <w:t>tohoto jsou výjimky posuzované případ od případu (posuzuje pak ředitel těchto věznic</w:t>
      </w:r>
      <w:r w:rsidR="00FF31C1" w:rsidRPr="00E943B1">
        <w:t>)</w:t>
      </w:r>
      <w:r w:rsidR="00FF31C1">
        <w:t>,</w:t>
      </w:r>
    </w:p>
    <w:p w14:paraId="7229B886" w14:textId="2D7EF6F3" w:rsidR="00C026B4" w:rsidRPr="00E943B1" w:rsidRDefault="00C026B4" w:rsidP="003A78D1">
      <w:pPr>
        <w:pStyle w:val="format"/>
        <w:numPr>
          <w:ilvl w:val="0"/>
          <w:numId w:val="13"/>
        </w:numPr>
      </w:pPr>
      <w:r w:rsidRPr="00E943B1">
        <w:t xml:space="preserve">předmětů, které může obdržet zvenčí (například </w:t>
      </w:r>
      <w:r w:rsidR="00FF31C1">
        <w:t>peněz</w:t>
      </w:r>
      <w:r w:rsidR="00FF31C1" w:rsidRPr="00E943B1">
        <w:t>)</w:t>
      </w:r>
      <w:r w:rsidR="00FF31C1">
        <w:t>,</w:t>
      </w:r>
    </w:p>
    <w:p w14:paraId="016B1495" w14:textId="48DDE5BE" w:rsidR="00C026B4" w:rsidRPr="00E943B1" w:rsidRDefault="00FF31C1" w:rsidP="003A78D1">
      <w:pPr>
        <w:pStyle w:val="format"/>
        <w:numPr>
          <w:ilvl w:val="0"/>
          <w:numId w:val="13"/>
        </w:numPr>
      </w:pPr>
      <w:r>
        <w:t>v</w:t>
      </w:r>
      <w:r w:rsidR="00073C2D">
        <w:t xml:space="preserve"> </w:t>
      </w:r>
      <w:r>
        <w:t>podobě o</w:t>
      </w:r>
      <w:r w:rsidRPr="00E943B1">
        <w:t xml:space="preserve">ddělení </w:t>
      </w:r>
      <w:r w:rsidR="00C026B4" w:rsidRPr="00E943B1">
        <w:t>od spoluvězňů (</w:t>
      </w:r>
      <w:r>
        <w:t xml:space="preserve">tzv. </w:t>
      </w:r>
      <w:r w:rsidR="00C026B4" w:rsidRPr="00E943B1">
        <w:t>samotka</w:t>
      </w:r>
      <w:r w:rsidRPr="00E943B1">
        <w:t>)</w:t>
      </w:r>
      <w:r>
        <w:t>,</w:t>
      </w:r>
    </w:p>
    <w:p w14:paraId="1EB44353" w14:textId="4AB5A795" w:rsidR="00C026B4" w:rsidRPr="00E943B1" w:rsidRDefault="00FF31C1" w:rsidP="003A78D1">
      <w:pPr>
        <w:pStyle w:val="format"/>
        <w:numPr>
          <w:ilvl w:val="0"/>
          <w:numId w:val="13"/>
        </w:numPr>
      </w:pPr>
      <w:r>
        <w:t>v</w:t>
      </w:r>
      <w:r w:rsidR="00073C2D">
        <w:t xml:space="preserve"> </w:t>
      </w:r>
      <w:r>
        <w:t>podobě kontroly d</w:t>
      </w:r>
      <w:r w:rsidRPr="00E943B1">
        <w:t>opis</w:t>
      </w:r>
      <w:r>
        <w:t>ů</w:t>
      </w:r>
      <w:r w:rsidR="00C026B4" w:rsidRPr="00E943B1">
        <w:t xml:space="preserve"> </w:t>
      </w:r>
      <w:r w:rsidR="00AE0154">
        <w:t>(</w:t>
      </w:r>
      <w:r w:rsidR="00C026B4" w:rsidRPr="00E943B1">
        <w:t>dochází k</w:t>
      </w:r>
      <w:r w:rsidR="00E262D2">
        <w:t xml:space="preserve"> </w:t>
      </w:r>
      <w:r w:rsidR="00C026B4" w:rsidRPr="00E943B1">
        <w:t>cenzuře v</w:t>
      </w:r>
      <w:r w:rsidR="00E262D2">
        <w:t xml:space="preserve"> </w:t>
      </w:r>
      <w:r w:rsidR="00C026B4" w:rsidRPr="00E943B1">
        <w:t xml:space="preserve">dopisech, </w:t>
      </w:r>
      <w:r w:rsidR="00AE0154" w:rsidRPr="00E943B1">
        <w:t>výjimk</w:t>
      </w:r>
      <w:r w:rsidR="00AE0154">
        <w:t>ou</w:t>
      </w:r>
      <w:r w:rsidR="00AE0154" w:rsidRPr="00E943B1">
        <w:t xml:space="preserve"> </w:t>
      </w:r>
      <w:r w:rsidR="00C026B4" w:rsidRPr="00E943B1">
        <w:t xml:space="preserve">jsou </w:t>
      </w:r>
      <w:r w:rsidR="00AE0154">
        <w:t xml:space="preserve">jen </w:t>
      </w:r>
      <w:r w:rsidR="00C026B4" w:rsidRPr="00E943B1">
        <w:t>dopisy adresovány složkám, které působí v</w:t>
      </w:r>
      <w:r w:rsidR="00073C2D">
        <w:t xml:space="preserve"> </w:t>
      </w:r>
      <w:r w:rsidR="00C026B4" w:rsidRPr="00E943B1">
        <w:t>justici</w:t>
      </w:r>
      <w:r w:rsidR="00AE0154">
        <w:t>),</w:t>
      </w:r>
    </w:p>
    <w:p w14:paraId="44190499" w14:textId="1F3A0A81" w:rsidR="00C026B4" w:rsidRPr="00E943B1" w:rsidRDefault="00C026B4" w:rsidP="003A78D1">
      <w:pPr>
        <w:pStyle w:val="format"/>
        <w:numPr>
          <w:ilvl w:val="0"/>
          <w:numId w:val="13"/>
        </w:numPr>
      </w:pPr>
      <w:r w:rsidRPr="00E943B1">
        <w:lastRenderedPageBreak/>
        <w:t>času strávené</w:t>
      </w:r>
      <w:r w:rsidR="00AE0154">
        <w:t>ho</w:t>
      </w:r>
      <w:r w:rsidRPr="00E943B1">
        <w:t xml:space="preserve"> mimo celu</w:t>
      </w:r>
      <w:r w:rsidR="00AE0154">
        <w:t>, a to</w:t>
      </w:r>
      <w:r w:rsidRPr="00E943B1">
        <w:t xml:space="preserve"> maximálně </w:t>
      </w:r>
      <w:r w:rsidR="00AE0154">
        <w:t xml:space="preserve">na </w:t>
      </w:r>
      <w:r w:rsidRPr="00E943B1">
        <w:t>dvě hodiny denně v</w:t>
      </w:r>
      <w:r w:rsidR="00E262D2">
        <w:t xml:space="preserve"> </w:t>
      </w:r>
      <w:r w:rsidRPr="00E943B1">
        <w:t xml:space="preserve">maximálním počtu čtyř osob celkem. Dále jsou </w:t>
      </w:r>
      <w:r w:rsidR="00AE0154" w:rsidRPr="00E943B1">
        <w:t>zaveden</w:t>
      </w:r>
      <w:r w:rsidR="00AE0154">
        <w:t>a</w:t>
      </w:r>
      <w:r w:rsidR="00AE0154" w:rsidRPr="00E943B1">
        <w:t xml:space="preserve"> </w:t>
      </w:r>
      <w:r w:rsidRPr="00E943B1">
        <w:t>opatření, aby nedocházelo k</w:t>
      </w:r>
      <w:r w:rsidR="00E262D2">
        <w:t xml:space="preserve"> </w:t>
      </w:r>
      <w:r w:rsidRPr="00E943B1">
        <w:t xml:space="preserve">výměně věcí, jídel, </w:t>
      </w:r>
      <w:r w:rsidR="00AE0154" w:rsidRPr="00E943B1">
        <w:t>komunikac</w:t>
      </w:r>
      <w:r w:rsidR="00AE0154">
        <w:t>i</w:t>
      </w:r>
      <w:r w:rsidR="00AE0154" w:rsidRPr="00E943B1">
        <w:t xml:space="preserve"> </w:t>
      </w:r>
      <w:r w:rsidRPr="00E943B1">
        <w:t>mezi osobami rozdílných frakcí</w:t>
      </w:r>
      <w:r w:rsidR="00AE0154">
        <w:t xml:space="preserve"> aj</w:t>
      </w:r>
      <w:r w:rsidR="009260C0">
        <w:t>.</w:t>
      </w:r>
      <w:r w:rsidRPr="00E943B1">
        <w:rPr>
          <w:rStyle w:val="Znakapoznpodarou"/>
        </w:rPr>
        <w:footnoteReference w:id="123"/>
      </w:r>
      <w:r w:rsidR="007A7EBA" w:rsidRPr="007A7EBA">
        <w:rPr>
          <w:vertAlign w:val="superscript"/>
        </w:rPr>
        <w:t>,</w:t>
      </w:r>
      <w:r w:rsidR="00113265" w:rsidRPr="00E943B1">
        <w:rPr>
          <w:rStyle w:val="Znakapoznpodarou"/>
        </w:rPr>
        <w:footnoteReference w:id="124"/>
      </w:r>
    </w:p>
    <w:p w14:paraId="0CED8213" w14:textId="4EA755EE" w:rsidR="00113265" w:rsidRPr="00E943B1" w:rsidRDefault="00113265" w:rsidP="009260C0">
      <w:pPr>
        <w:pStyle w:val="format"/>
      </w:pPr>
      <w:r w:rsidRPr="00E943B1">
        <w:t>Dochází tedy k</w:t>
      </w:r>
      <w:r w:rsidR="00E262D2">
        <w:t xml:space="preserve"> </w:t>
      </w:r>
      <w:r w:rsidRPr="00E943B1">
        <w:t>opravdu přísným podmínkám výkon</w:t>
      </w:r>
      <w:r w:rsidR="00AE0154">
        <w:t>u</w:t>
      </w:r>
      <w:r w:rsidRPr="00E943B1">
        <w:t xml:space="preserve"> trestu odnětí svobody, konkrétně článek 41-bis předmětného zákona byl řešen i Evropským soudem pro lidská práva.</w:t>
      </w:r>
      <w:r w:rsidRPr="00E943B1">
        <w:rPr>
          <w:rStyle w:val="Znakapoznpodarou"/>
        </w:rPr>
        <w:footnoteReference w:id="125"/>
      </w:r>
    </w:p>
    <w:p w14:paraId="11E2B605" w14:textId="2E6DF7C0" w:rsidR="001646FF" w:rsidRPr="00E943B1" w:rsidRDefault="001646FF" w:rsidP="009260C0">
      <w:pPr>
        <w:pStyle w:val="Nadpis3"/>
      </w:pPr>
      <w:bookmarkStart w:id="44" w:name="_Toc170638017"/>
      <w:r w:rsidRPr="00E943B1">
        <w:t>Testimone di giustizia</w:t>
      </w:r>
      <w:bookmarkEnd w:id="44"/>
    </w:p>
    <w:p w14:paraId="5B6D68B0" w14:textId="702D5B24" w:rsidR="00C02791" w:rsidRPr="00E943B1" w:rsidRDefault="00AC7A79" w:rsidP="009260C0">
      <w:pPr>
        <w:pStyle w:val="format"/>
      </w:pPr>
      <w:r w:rsidRPr="00E943B1">
        <w:t>Tento institut lze do češtiny přeložit jako „svědek spravedlnosti“, jelikož česká právní úprava podobný pojem či institut nemá, budu proto pracovat s</w:t>
      </w:r>
      <w:r w:rsidR="00E262D2">
        <w:t xml:space="preserve"> </w:t>
      </w:r>
      <w:r w:rsidRPr="00E943B1">
        <w:t>tímto pojmem.</w:t>
      </w:r>
      <w:r w:rsidR="00A63D3D" w:rsidRPr="00E943B1">
        <w:t xml:space="preserve"> Tento institut byl zaveden do italské právní úpravy zákonem č. 45 z</w:t>
      </w:r>
      <w:r w:rsidR="00E262D2">
        <w:t xml:space="preserve"> </w:t>
      </w:r>
      <w:r w:rsidR="00A63D3D" w:rsidRPr="00E943B1">
        <w:t>roku 2001 a poté doplněn zákonem č. 6 z</w:t>
      </w:r>
      <w:r w:rsidR="00E262D2">
        <w:t xml:space="preserve"> </w:t>
      </w:r>
      <w:r w:rsidR="00A63D3D" w:rsidRPr="00E943B1">
        <w:t>roku 2018.</w:t>
      </w:r>
      <w:r w:rsidRPr="00E943B1">
        <w:t xml:space="preserve"> </w:t>
      </w:r>
      <w:r w:rsidR="001646FF" w:rsidRPr="00E943B1">
        <w:t xml:space="preserve">Dle </w:t>
      </w:r>
      <w:r w:rsidRPr="00E943B1">
        <w:t>článku 2 zákona č. 6 ze dne 11. ledna 2018 se za svědka spravedlnosti dá považovat osoba, která</w:t>
      </w:r>
      <w:r w:rsidR="00AE0154">
        <w:t>/které</w:t>
      </w:r>
      <w:r w:rsidRPr="00E943B1">
        <w:t>:</w:t>
      </w:r>
    </w:p>
    <w:p w14:paraId="64A6C5D0" w14:textId="4BB15623" w:rsidR="00C02791" w:rsidRPr="00E943B1" w:rsidRDefault="00AC7A79" w:rsidP="003A78D1">
      <w:pPr>
        <w:pStyle w:val="format"/>
        <w:numPr>
          <w:ilvl w:val="0"/>
          <w:numId w:val="14"/>
        </w:numPr>
      </w:pPr>
      <w:r w:rsidRPr="00E943B1">
        <w:t>poskytne v</w:t>
      </w:r>
      <w:r w:rsidR="00E262D2">
        <w:t xml:space="preserve"> </w:t>
      </w:r>
      <w:r w:rsidRPr="00E943B1">
        <w:t>rámci trestního řízení úplnou a pravdivou výpověď, která je relevantní pro momentální vyšetřování či soudní rozhodování</w:t>
      </w:r>
      <w:r w:rsidR="00F8278F">
        <w:t>,</w:t>
      </w:r>
    </w:p>
    <w:p w14:paraId="7BBEBF06" w14:textId="37684312" w:rsidR="00C02791" w:rsidRPr="00E943B1" w:rsidRDefault="00AC7A79" w:rsidP="003A78D1">
      <w:pPr>
        <w:pStyle w:val="format"/>
        <w:numPr>
          <w:ilvl w:val="0"/>
          <w:numId w:val="14"/>
        </w:numPr>
      </w:pPr>
      <w:r w:rsidRPr="00E943B1">
        <w:t>ohledně skutečností, o kterých podává výpověď</w:t>
      </w:r>
      <w:r w:rsidR="00AE0154">
        <w:t>,</w:t>
      </w:r>
      <w:r w:rsidRPr="00E943B1">
        <w:t xml:space="preserve"> je v</w:t>
      </w:r>
      <w:r w:rsidR="00E262D2">
        <w:t xml:space="preserve"> </w:t>
      </w:r>
      <w:r w:rsidRPr="00E943B1">
        <w:t>postavení osoby poškozené či</w:t>
      </w:r>
      <w:r w:rsidR="004F1579">
        <w:t> </w:t>
      </w:r>
      <w:r w:rsidRPr="00E943B1">
        <w:t>svědka</w:t>
      </w:r>
      <w:r w:rsidR="00F8278F">
        <w:t>,</w:t>
      </w:r>
    </w:p>
    <w:p w14:paraId="770A78EB" w14:textId="32F45368" w:rsidR="00C02791" w:rsidRPr="00E943B1" w:rsidRDefault="00AC7A79" w:rsidP="003A78D1">
      <w:pPr>
        <w:pStyle w:val="format"/>
        <w:numPr>
          <w:ilvl w:val="0"/>
          <w:numId w:val="14"/>
        </w:numPr>
      </w:pPr>
      <w:r w:rsidRPr="00E943B1">
        <w:t>není odsouzen</w:t>
      </w:r>
      <w:r w:rsidR="00AE0154">
        <w:t>a</w:t>
      </w:r>
      <w:r w:rsidRPr="00E943B1">
        <w:t xml:space="preserve"> v</w:t>
      </w:r>
      <w:r w:rsidR="00E262D2">
        <w:t xml:space="preserve"> </w:t>
      </w:r>
      <w:r w:rsidRPr="00E943B1">
        <w:t>souvislosti s</w:t>
      </w:r>
      <w:r w:rsidR="00E262D2">
        <w:t xml:space="preserve"> </w:t>
      </w:r>
      <w:r w:rsidRPr="00E943B1">
        <w:t>trestnou činností</w:t>
      </w:r>
      <w:r w:rsidR="00AE0154">
        <w:t>,</w:t>
      </w:r>
      <w:r w:rsidRPr="00E943B1">
        <w:t xml:space="preserve"> vůči které vypovídá, popřípadě nečiní </w:t>
      </w:r>
      <w:r w:rsidR="00C02791" w:rsidRPr="00E943B1">
        <w:t>výpověď,</w:t>
      </w:r>
      <w:r w:rsidRPr="00E943B1">
        <w:t xml:space="preserve"> aby získal</w:t>
      </w:r>
      <w:r w:rsidR="00AE0154">
        <w:t>a</w:t>
      </w:r>
      <w:r w:rsidRPr="00E943B1">
        <w:t xml:space="preserve"> pro sebe prospěch</w:t>
      </w:r>
      <w:r w:rsidR="00AE0154">
        <w:t>;</w:t>
      </w:r>
      <w:r w:rsidR="00AE0154" w:rsidRPr="00E943B1">
        <w:t xml:space="preserve"> </w:t>
      </w:r>
      <w:r w:rsidRPr="00E943B1">
        <w:t>tento institut nemůže být taktéž odňat jen na</w:t>
      </w:r>
      <w:r w:rsidR="004F1579">
        <w:t> </w:t>
      </w:r>
      <w:r w:rsidRPr="00E943B1">
        <w:t xml:space="preserve">základě </w:t>
      </w:r>
      <w:r w:rsidR="00C02791" w:rsidRPr="00E943B1">
        <w:t>rodinných vztahů s</w:t>
      </w:r>
      <w:r w:rsidR="00E262D2">
        <w:t xml:space="preserve"> </w:t>
      </w:r>
      <w:r w:rsidR="00C02791" w:rsidRPr="00E943B1">
        <w:t>osobami, které jsou obviněny v</w:t>
      </w:r>
      <w:r w:rsidR="00E262D2">
        <w:t xml:space="preserve"> </w:t>
      </w:r>
      <w:r w:rsidR="00C02791" w:rsidRPr="00E943B1">
        <w:t>těchto souvislostech</w:t>
      </w:r>
      <w:r w:rsidR="00F8278F">
        <w:t>,</w:t>
      </w:r>
    </w:p>
    <w:p w14:paraId="681BE378" w14:textId="7BF84FFA" w:rsidR="00C02791" w:rsidRPr="00E943B1" w:rsidRDefault="00C02791" w:rsidP="003A78D1">
      <w:pPr>
        <w:pStyle w:val="format"/>
        <w:numPr>
          <w:ilvl w:val="0"/>
          <w:numId w:val="14"/>
        </w:numPr>
      </w:pPr>
      <w:r w:rsidRPr="00E943B1">
        <w:t>nebyl</w:t>
      </w:r>
      <w:r w:rsidR="00AE0154">
        <w:t>a</w:t>
      </w:r>
      <w:r w:rsidRPr="00E943B1">
        <w:t xml:space="preserve"> trestně </w:t>
      </w:r>
      <w:r w:rsidR="00AE0154" w:rsidRPr="00E943B1">
        <w:t>stíhán</w:t>
      </w:r>
      <w:r w:rsidR="00AE0154">
        <w:t>a</w:t>
      </w:r>
      <w:r w:rsidR="00AE0154" w:rsidRPr="00E943B1">
        <w:t xml:space="preserve"> </w:t>
      </w:r>
      <w:r w:rsidRPr="00E943B1">
        <w:t>nebo odsouzen</w:t>
      </w:r>
      <w:r w:rsidR="00AE0154">
        <w:t>a</w:t>
      </w:r>
      <w:r w:rsidRPr="00E943B1">
        <w:t xml:space="preserve"> za trestnou činnost dle zákona „antimafia“, ani</w:t>
      </w:r>
      <w:r w:rsidR="004F1579">
        <w:t> </w:t>
      </w:r>
      <w:r w:rsidRPr="00E943B1">
        <w:t>není uloženo předběžné opatření na základě téhož zákona</w:t>
      </w:r>
      <w:r w:rsidR="00F8278F">
        <w:t>,</w:t>
      </w:r>
    </w:p>
    <w:p w14:paraId="64C5D94E" w14:textId="0FEF010A" w:rsidR="00AC7A79" w:rsidRPr="00E943B1" w:rsidRDefault="00C02791" w:rsidP="003A78D1">
      <w:pPr>
        <w:pStyle w:val="format"/>
        <w:numPr>
          <w:ilvl w:val="0"/>
          <w:numId w:val="14"/>
        </w:numPr>
      </w:pPr>
      <w:r w:rsidRPr="00E943B1">
        <w:t>hrozí vážné nebezpečí z</w:t>
      </w:r>
      <w:r w:rsidR="00E262D2">
        <w:t xml:space="preserve"> </w:t>
      </w:r>
      <w:r w:rsidRPr="00E943B1">
        <w:t>ohrožení na základě jejího svědectví a dosavadní kroky či</w:t>
      </w:r>
      <w:r w:rsidR="004F1579">
        <w:t> </w:t>
      </w:r>
      <w:r w:rsidRPr="00E943B1">
        <w:t xml:space="preserve">ochrana úřadů je nedostačující </w:t>
      </w:r>
      <w:r w:rsidR="003F2147">
        <w:t>(</w:t>
      </w:r>
      <w:r w:rsidRPr="00E943B1">
        <w:t>každý případ se hodnotí individuálně</w:t>
      </w:r>
      <w:r w:rsidR="003F2147">
        <w:t>)</w:t>
      </w:r>
      <w:r w:rsidR="00F8278F">
        <w:t>.</w:t>
      </w:r>
      <w:r w:rsidRPr="00E943B1">
        <w:rPr>
          <w:rStyle w:val="Znakapoznpodarou"/>
        </w:rPr>
        <w:footnoteReference w:id="126"/>
      </w:r>
    </w:p>
    <w:p w14:paraId="7E26BF2F" w14:textId="1AD11A10" w:rsidR="00A63D3D" w:rsidRPr="00E943B1" w:rsidRDefault="00A63D3D" w:rsidP="00AC6F3E">
      <w:pPr>
        <w:pStyle w:val="format"/>
      </w:pPr>
      <w:r w:rsidRPr="00E943B1">
        <w:t>V</w:t>
      </w:r>
      <w:r w:rsidR="00E262D2">
        <w:t xml:space="preserve"> </w:t>
      </w:r>
      <w:r w:rsidRPr="00E943B1">
        <w:t>článcích 5, 6, 7 téhož zákona je pak definována samotná pomoc těmto svědkům spravedlnosti. V</w:t>
      </w:r>
      <w:r w:rsidR="00E262D2">
        <w:t xml:space="preserve"> </w:t>
      </w:r>
      <w:r w:rsidRPr="00E943B1">
        <w:t xml:space="preserve">článku 5 jsou </w:t>
      </w:r>
      <w:r w:rsidR="00FE14ED">
        <w:t>vymezena jednotlivá</w:t>
      </w:r>
      <w:r w:rsidR="00FE14ED" w:rsidRPr="00E943B1">
        <w:t xml:space="preserve"> </w:t>
      </w:r>
      <w:r w:rsidRPr="00E943B1">
        <w:t xml:space="preserve">ochranná opatření, </w:t>
      </w:r>
      <w:r w:rsidR="003F2147" w:rsidRPr="00E943B1">
        <w:t>kter</w:t>
      </w:r>
      <w:r w:rsidR="003F2147">
        <w:t>á</w:t>
      </w:r>
      <w:r w:rsidR="003F2147" w:rsidRPr="00E943B1">
        <w:t xml:space="preserve"> </w:t>
      </w:r>
      <w:r w:rsidRPr="00E943B1">
        <w:t xml:space="preserve">jsou </w:t>
      </w:r>
      <w:r w:rsidR="003F2147" w:rsidRPr="00E943B1">
        <w:t>poskytován</w:t>
      </w:r>
      <w:r w:rsidR="003F2147">
        <w:t>a</w:t>
      </w:r>
      <w:r w:rsidR="00FE14ED">
        <w:t>.</w:t>
      </w:r>
      <w:r w:rsidR="00FE14ED" w:rsidRPr="00E943B1">
        <w:t xml:space="preserve"> </w:t>
      </w:r>
      <w:r w:rsidR="00FE14ED">
        <w:t>J</w:t>
      </w:r>
      <w:r w:rsidR="00FE14ED" w:rsidRPr="00E943B1">
        <w:t xml:space="preserve">edná </w:t>
      </w:r>
      <w:r w:rsidRPr="00E943B1">
        <w:t xml:space="preserve">se </w:t>
      </w:r>
      <w:r w:rsidR="003F2147">
        <w:t xml:space="preserve">specificky </w:t>
      </w:r>
      <w:r w:rsidRPr="00E943B1">
        <w:t>o:</w:t>
      </w:r>
    </w:p>
    <w:p w14:paraId="7BFFACAA" w14:textId="03921193" w:rsidR="00A63D3D" w:rsidRPr="00E943B1" w:rsidRDefault="003F2147" w:rsidP="003A78D1">
      <w:pPr>
        <w:pStyle w:val="format"/>
        <w:numPr>
          <w:ilvl w:val="0"/>
          <w:numId w:val="15"/>
        </w:numPr>
      </w:pPr>
      <w:r>
        <w:t>i</w:t>
      </w:r>
      <w:r w:rsidRPr="00E943B1">
        <w:t>nstalac</w:t>
      </w:r>
      <w:r>
        <w:t>i</w:t>
      </w:r>
      <w:r w:rsidRPr="00E943B1">
        <w:t xml:space="preserve"> </w:t>
      </w:r>
      <w:r w:rsidR="00A63D3D" w:rsidRPr="00E943B1">
        <w:t>kamerového systému pro pozorování ve smyslu poskytnutí případně ochrany</w:t>
      </w:r>
      <w:r w:rsidR="00F8278F">
        <w:t>,</w:t>
      </w:r>
    </w:p>
    <w:p w14:paraId="51E2A8BF" w14:textId="7E90D0D6" w:rsidR="00A63D3D" w:rsidRPr="00E943B1" w:rsidRDefault="003F2147" w:rsidP="003A78D1">
      <w:pPr>
        <w:pStyle w:val="format"/>
        <w:numPr>
          <w:ilvl w:val="0"/>
          <w:numId w:val="15"/>
        </w:numPr>
      </w:pPr>
      <w:r w:rsidRPr="00E943B1">
        <w:t>instalac</w:t>
      </w:r>
      <w:r>
        <w:t>i</w:t>
      </w:r>
      <w:r w:rsidRPr="00E943B1">
        <w:t xml:space="preserve"> </w:t>
      </w:r>
      <w:r w:rsidR="00A63D3D" w:rsidRPr="00E943B1">
        <w:t xml:space="preserve">různých technických zabezpečení pro obydlí, nemovitosti a další </w:t>
      </w:r>
      <w:r w:rsidRPr="00E943B1">
        <w:t>majet</w:t>
      </w:r>
      <w:r>
        <w:t>ek</w:t>
      </w:r>
      <w:r w:rsidR="00F8278F">
        <w:t>,</w:t>
      </w:r>
    </w:p>
    <w:p w14:paraId="1367D00C" w14:textId="72856771" w:rsidR="00A63D3D" w:rsidRPr="00E943B1" w:rsidRDefault="00A63D3D" w:rsidP="003A78D1">
      <w:pPr>
        <w:pStyle w:val="format"/>
        <w:numPr>
          <w:ilvl w:val="0"/>
          <w:numId w:val="15"/>
        </w:numPr>
      </w:pPr>
      <w:r w:rsidRPr="00E943B1">
        <w:lastRenderedPageBreak/>
        <w:t>zaručení bezpečného pohybu v</w:t>
      </w:r>
      <w:r w:rsidR="00E262D2">
        <w:t xml:space="preserve"> </w:t>
      </w:r>
      <w:r w:rsidRPr="00E943B1">
        <w:t>rámci města</w:t>
      </w:r>
      <w:r w:rsidR="00F8278F">
        <w:t>,</w:t>
      </w:r>
    </w:p>
    <w:p w14:paraId="7EF7E53B" w14:textId="02DE3DB6" w:rsidR="00A63D3D" w:rsidRPr="00E943B1" w:rsidRDefault="00A63D3D" w:rsidP="003A78D1">
      <w:pPr>
        <w:pStyle w:val="format"/>
        <w:numPr>
          <w:ilvl w:val="0"/>
          <w:numId w:val="15"/>
        </w:numPr>
      </w:pPr>
      <w:r w:rsidRPr="00E943B1">
        <w:t>přesun do chráněných míst či obydlí</w:t>
      </w:r>
      <w:r w:rsidR="00F8278F">
        <w:t>,</w:t>
      </w:r>
    </w:p>
    <w:p w14:paraId="411DAD49" w14:textId="26423CAD" w:rsidR="00A63D3D" w:rsidRPr="00E943B1" w:rsidRDefault="00A63D3D" w:rsidP="003A78D1">
      <w:pPr>
        <w:pStyle w:val="format"/>
        <w:numPr>
          <w:ilvl w:val="0"/>
          <w:numId w:val="15"/>
        </w:numPr>
      </w:pPr>
      <w:r w:rsidRPr="00E943B1">
        <w:t>zvláštní zacházení s</w:t>
      </w:r>
      <w:r w:rsidR="00E262D2">
        <w:t xml:space="preserve"> </w:t>
      </w:r>
      <w:r w:rsidRPr="00E943B1">
        <w:t xml:space="preserve">dokumenty, </w:t>
      </w:r>
      <w:r w:rsidR="00FE14ED" w:rsidRPr="00E943B1">
        <w:t>hovor</w:t>
      </w:r>
      <w:r w:rsidR="00FE14ED">
        <w:t>y</w:t>
      </w:r>
      <w:r w:rsidRPr="00E943B1">
        <w:t xml:space="preserve">, </w:t>
      </w:r>
      <w:r w:rsidR="00FE14ED" w:rsidRPr="00E943B1">
        <w:t>textový</w:t>
      </w:r>
      <w:r w:rsidR="00FE14ED">
        <w:t>mi</w:t>
      </w:r>
      <w:r w:rsidR="00FE14ED" w:rsidRPr="00E943B1">
        <w:t xml:space="preserve"> </w:t>
      </w:r>
      <w:r w:rsidRPr="00E943B1">
        <w:t>zpráv</w:t>
      </w:r>
      <w:r w:rsidR="00FE14ED">
        <w:t>ami</w:t>
      </w:r>
      <w:r w:rsidRPr="00E943B1">
        <w:t xml:space="preserve"> těchto osob</w:t>
      </w:r>
      <w:r w:rsidR="00F8278F">
        <w:t>,</w:t>
      </w:r>
    </w:p>
    <w:p w14:paraId="0F25449C" w14:textId="3BC48E50" w:rsidR="00A63D3D" w:rsidRPr="00E943B1" w:rsidRDefault="00A63D3D" w:rsidP="003A78D1">
      <w:pPr>
        <w:pStyle w:val="format"/>
        <w:numPr>
          <w:ilvl w:val="0"/>
          <w:numId w:val="15"/>
        </w:numPr>
      </w:pPr>
      <w:r w:rsidRPr="00E943B1">
        <w:t>utajení některých dokumentů</w:t>
      </w:r>
      <w:r w:rsidR="00F8278F">
        <w:t>,</w:t>
      </w:r>
    </w:p>
    <w:p w14:paraId="7C60030E" w14:textId="561E8F2A" w:rsidR="00A63D3D" w:rsidRPr="00E943B1" w:rsidRDefault="00FE14ED" w:rsidP="003A78D1">
      <w:pPr>
        <w:pStyle w:val="format"/>
        <w:numPr>
          <w:ilvl w:val="0"/>
          <w:numId w:val="15"/>
        </w:numPr>
      </w:pPr>
      <w:r w:rsidRPr="00E943B1">
        <w:t>změn</w:t>
      </w:r>
      <w:r>
        <w:t>u</w:t>
      </w:r>
      <w:r w:rsidRPr="00E943B1">
        <w:t xml:space="preserve"> </w:t>
      </w:r>
      <w:r w:rsidR="00A63D3D" w:rsidRPr="00E943B1">
        <w:t>osobních údajů</w:t>
      </w:r>
      <w:r w:rsidR="00F8278F">
        <w:t>,</w:t>
      </w:r>
    </w:p>
    <w:p w14:paraId="1276298E" w14:textId="4F38A28F" w:rsidR="00A63D3D" w:rsidRPr="00E943B1" w:rsidRDefault="00AA3AA6" w:rsidP="003A78D1">
      <w:pPr>
        <w:pStyle w:val="format"/>
        <w:numPr>
          <w:ilvl w:val="0"/>
          <w:numId w:val="15"/>
        </w:numPr>
      </w:pPr>
      <w:r w:rsidRPr="00E943B1">
        <w:t xml:space="preserve">případné další opatření nad rámec, pokud jsou </w:t>
      </w:r>
      <w:r w:rsidR="00FE14ED">
        <w:t xml:space="preserve">tato </w:t>
      </w:r>
      <w:r w:rsidRPr="00E943B1">
        <w:t>nezbytně nutná k</w:t>
      </w:r>
      <w:r w:rsidR="00E262D2">
        <w:t xml:space="preserve"> </w:t>
      </w:r>
      <w:r w:rsidRPr="00E943B1">
        <w:t>ochraně osob</w:t>
      </w:r>
      <w:r w:rsidR="00F8278F">
        <w:t>.</w:t>
      </w:r>
      <w:r w:rsidR="00746B9C" w:rsidRPr="00E943B1">
        <w:rPr>
          <w:rStyle w:val="Znakapoznpodarou"/>
        </w:rPr>
        <w:footnoteReference w:id="127"/>
      </w:r>
    </w:p>
    <w:p w14:paraId="361DA073" w14:textId="5090864C" w:rsidR="00AA3AA6" w:rsidRPr="00E943B1" w:rsidRDefault="00AA3AA6" w:rsidP="00AC6F3E">
      <w:pPr>
        <w:pStyle w:val="format"/>
      </w:pPr>
      <w:r w:rsidRPr="00E943B1">
        <w:t>V</w:t>
      </w:r>
      <w:r w:rsidR="00E262D2">
        <w:t xml:space="preserve"> </w:t>
      </w:r>
      <w:r w:rsidRPr="00E943B1">
        <w:t xml:space="preserve">rámci článku 6 předmětného zákona je obsažen </w:t>
      </w:r>
      <w:r w:rsidR="00FE14ED">
        <w:t xml:space="preserve">podrobný </w:t>
      </w:r>
      <w:r w:rsidRPr="00E943B1">
        <w:t xml:space="preserve">výčet speciálních opatření, </w:t>
      </w:r>
      <w:r w:rsidR="00FE14ED" w:rsidRPr="00E943B1">
        <w:t>kter</w:t>
      </w:r>
      <w:r w:rsidR="00FE14ED">
        <w:t>á</w:t>
      </w:r>
      <w:r w:rsidR="00FE14ED" w:rsidRPr="00E943B1">
        <w:t xml:space="preserve"> </w:t>
      </w:r>
      <w:r w:rsidRPr="00E943B1">
        <w:t>se týkají hospodářského/ekonomického</w:t>
      </w:r>
      <w:r w:rsidR="00FE14ED">
        <w:t xml:space="preserve"> </w:t>
      </w:r>
      <w:r w:rsidR="00FE14ED" w:rsidRPr="00E943B1">
        <w:t>zajištění</w:t>
      </w:r>
      <w:r w:rsidRPr="00E943B1">
        <w:t xml:space="preserve">. Těmto osobám můžou být </w:t>
      </w:r>
      <w:r w:rsidR="00FE14ED">
        <w:t xml:space="preserve">např. </w:t>
      </w:r>
      <w:r w:rsidRPr="00E943B1">
        <w:t xml:space="preserve">propláceny náklady, které </w:t>
      </w:r>
      <w:r w:rsidR="00FE14ED">
        <w:t xml:space="preserve">jim </w:t>
      </w:r>
      <w:r w:rsidRPr="00E943B1">
        <w:t>vznikly v</w:t>
      </w:r>
      <w:r w:rsidR="00E262D2">
        <w:t xml:space="preserve"> </w:t>
      </w:r>
      <w:r w:rsidRPr="00E943B1">
        <w:t xml:space="preserve">rámci uplatnění těchto opatření. Například jsou </w:t>
      </w:r>
      <w:r w:rsidR="00FE14ED">
        <w:t xml:space="preserve">jim </w:t>
      </w:r>
      <w:r w:rsidRPr="00E943B1">
        <w:t>propláceny náklady na bydlení, zdravotní náklady, náhrada mzdy a jiné.</w:t>
      </w:r>
      <w:r w:rsidR="00746B9C" w:rsidRPr="00E943B1">
        <w:rPr>
          <w:rStyle w:val="Znakapoznpodarou"/>
        </w:rPr>
        <w:footnoteReference w:id="128"/>
      </w:r>
    </w:p>
    <w:p w14:paraId="4FD15B04" w14:textId="55359C69" w:rsidR="00AA3AA6" w:rsidRPr="00E943B1" w:rsidRDefault="00AA3AA6" w:rsidP="00D7558F">
      <w:pPr>
        <w:pStyle w:val="format"/>
      </w:pPr>
      <w:r w:rsidRPr="00E943B1">
        <w:t>V</w:t>
      </w:r>
      <w:r w:rsidR="00E262D2">
        <w:t xml:space="preserve"> </w:t>
      </w:r>
      <w:r w:rsidRPr="00E943B1">
        <w:t>poslední řadě v</w:t>
      </w:r>
      <w:r w:rsidR="00E262D2">
        <w:t xml:space="preserve"> </w:t>
      </w:r>
      <w:r w:rsidRPr="00E943B1">
        <w:t xml:space="preserve">rámci článku 7 téhož zákona je pak obsažen výčet sociálně-pracovních opatření, </w:t>
      </w:r>
      <w:r w:rsidR="000F5A62" w:rsidRPr="00E943B1">
        <w:t>kter</w:t>
      </w:r>
      <w:r w:rsidR="000F5A62">
        <w:t>á</w:t>
      </w:r>
      <w:r w:rsidR="000F5A62" w:rsidRPr="00E943B1">
        <w:t xml:space="preserve"> </w:t>
      </w:r>
      <w:r w:rsidRPr="00E943B1">
        <w:t xml:space="preserve">může stát poskytnout. Jedná se například o </w:t>
      </w:r>
      <w:r w:rsidR="00746B9C" w:rsidRPr="00E943B1">
        <w:t>novou pracovní pozici, pomoc se</w:t>
      </w:r>
      <w:r w:rsidR="004F1579">
        <w:t> </w:t>
      </w:r>
      <w:r w:rsidR="00746B9C" w:rsidRPr="00E943B1">
        <w:t>socializací a hledání</w:t>
      </w:r>
      <w:r w:rsidR="000F5A62">
        <w:t>m</w:t>
      </w:r>
      <w:r w:rsidR="00746B9C" w:rsidRPr="00E943B1">
        <w:t xml:space="preserve"> práce po přestěhování do „chráněného místa“ dle článku 6 z</w:t>
      </w:r>
      <w:r w:rsidR="001B238B">
        <w:t>ákon</w:t>
      </w:r>
      <w:r w:rsidR="000F5A62">
        <w:t>a</w:t>
      </w:r>
      <w:r w:rsidR="00746B9C" w:rsidRPr="00E943B1">
        <w:t xml:space="preserve"> č. 6 z</w:t>
      </w:r>
      <w:r w:rsidR="004F1579">
        <w:t> </w:t>
      </w:r>
      <w:r w:rsidR="00746B9C" w:rsidRPr="00E943B1">
        <w:t xml:space="preserve">roku 2018, </w:t>
      </w:r>
      <w:r w:rsidR="000F5A62" w:rsidRPr="00E943B1">
        <w:t>podpor</w:t>
      </w:r>
      <w:r w:rsidR="000F5A62">
        <w:t>u</w:t>
      </w:r>
      <w:r w:rsidR="000F5A62" w:rsidRPr="00E943B1">
        <w:t xml:space="preserve"> </w:t>
      </w:r>
      <w:r w:rsidR="00746B9C" w:rsidRPr="00E943B1">
        <w:t xml:space="preserve">podniků ve </w:t>
      </w:r>
      <w:r w:rsidR="00746B9C" w:rsidRPr="00D7558F">
        <w:t>vlastnictví</w:t>
      </w:r>
      <w:r w:rsidR="00746B9C" w:rsidRPr="00E943B1">
        <w:t xml:space="preserve"> těchto svědků a jiné.</w:t>
      </w:r>
      <w:r w:rsidR="00746B9C" w:rsidRPr="00E943B1">
        <w:rPr>
          <w:rStyle w:val="Znakapoznpodarou"/>
        </w:rPr>
        <w:footnoteReference w:id="129"/>
      </w:r>
    </w:p>
    <w:p w14:paraId="7AF47176" w14:textId="25157097" w:rsidR="00AA3AA6" w:rsidRPr="00E943B1" w:rsidRDefault="00746B9C" w:rsidP="00D7558F">
      <w:pPr>
        <w:pStyle w:val="format"/>
      </w:pPr>
      <w:r w:rsidRPr="00E943B1">
        <w:t>Dle dikce článku 5</w:t>
      </w:r>
      <w:r w:rsidR="00A83401" w:rsidRPr="00E943B1">
        <w:t xml:space="preserve"> odstavec 1 písm. h)</w:t>
      </w:r>
      <w:r w:rsidRPr="00E943B1">
        <w:t xml:space="preserve"> a</w:t>
      </w:r>
      <w:r w:rsidR="00A83401" w:rsidRPr="00E943B1">
        <w:t xml:space="preserve"> </w:t>
      </w:r>
      <w:r w:rsidR="000F5A62" w:rsidRPr="00E943B1">
        <w:t>člán</w:t>
      </w:r>
      <w:r w:rsidR="000F5A62">
        <w:t>ku</w:t>
      </w:r>
      <w:r w:rsidR="000F5A62" w:rsidRPr="00E943B1">
        <w:t xml:space="preserve"> </w:t>
      </w:r>
      <w:r w:rsidRPr="00E943B1">
        <w:t>7</w:t>
      </w:r>
      <w:r w:rsidR="00A83401" w:rsidRPr="00E943B1">
        <w:t xml:space="preserve"> odstavec 1 písm. i)</w:t>
      </w:r>
      <w:r w:rsidRPr="00E943B1">
        <w:t xml:space="preserve"> předmětného zákona se domnívám, že se jedná o demonstrativní výčet, jelikož se zde používá spojení „</w:t>
      </w:r>
      <w:r w:rsidR="00A83401" w:rsidRPr="00E943B1">
        <w:rPr>
          <w:color w:val="19191A"/>
          <w:shd w:val="clear" w:color="auto" w:fill="FFFFFF"/>
        </w:rPr>
        <w:t xml:space="preserve">misure straordinarie </w:t>
      </w:r>
      <w:r w:rsidRPr="00E943B1">
        <w:t xml:space="preserve">eventualmente necessaria“, což lze </w:t>
      </w:r>
      <w:r w:rsidR="00A83401" w:rsidRPr="00E943B1">
        <w:t>chápat</w:t>
      </w:r>
      <w:r w:rsidRPr="00E943B1">
        <w:t xml:space="preserve"> jako „další </w:t>
      </w:r>
      <w:r w:rsidR="00405F9C" w:rsidRPr="00E943B1">
        <w:t>případn</w:t>
      </w:r>
      <w:r w:rsidR="00405F9C">
        <w:t>á</w:t>
      </w:r>
      <w:r w:rsidR="00405F9C" w:rsidRPr="00E943B1">
        <w:t xml:space="preserve"> </w:t>
      </w:r>
      <w:r w:rsidRPr="00E943B1">
        <w:t>opatření“</w:t>
      </w:r>
      <w:r w:rsidR="00D7558F">
        <w:t>.</w:t>
      </w:r>
    </w:p>
    <w:p w14:paraId="02F69C38" w14:textId="1002D097" w:rsidR="00AC623D" w:rsidRPr="00E943B1" w:rsidRDefault="00AC623D" w:rsidP="00D7558F">
      <w:pPr>
        <w:pStyle w:val="Nadpis3"/>
      </w:pPr>
      <w:bookmarkStart w:id="45" w:name="_Toc170638018"/>
      <w:r w:rsidRPr="00E943B1">
        <w:t>Dílčí závěr k</w:t>
      </w:r>
      <w:r w:rsidR="00E262D2">
        <w:t xml:space="preserve"> </w:t>
      </w:r>
      <w:r w:rsidRPr="00E943B1">
        <w:t>italské právní úpravě</w:t>
      </w:r>
      <w:bookmarkEnd w:id="45"/>
    </w:p>
    <w:p w14:paraId="37D07A33" w14:textId="38E4B015" w:rsidR="00AC623D" w:rsidRPr="00E943B1" w:rsidRDefault="00AC623D" w:rsidP="00D7558F">
      <w:pPr>
        <w:pStyle w:val="format"/>
      </w:pPr>
      <w:r w:rsidRPr="00E943B1">
        <w:t xml:space="preserve">Účelem této kapitoly bylo přiblížení institutů, které upravuje </w:t>
      </w:r>
      <w:r w:rsidR="00405F9C">
        <w:t xml:space="preserve">italský </w:t>
      </w:r>
      <w:r w:rsidRPr="00E943B1">
        <w:t xml:space="preserve">právní systém </w:t>
      </w:r>
      <w:r w:rsidR="00405F9C">
        <w:t xml:space="preserve">a </w:t>
      </w:r>
      <w:r w:rsidRPr="00E943B1">
        <w:t>které slouží k</w:t>
      </w:r>
      <w:r w:rsidR="00E262D2">
        <w:t xml:space="preserve"> </w:t>
      </w:r>
      <w:r w:rsidRPr="00E943B1">
        <w:t xml:space="preserve">potírání organizovaného zločinu. Jedná se </w:t>
      </w:r>
      <w:r w:rsidR="0090509D">
        <w:t>o velmi obecné</w:t>
      </w:r>
      <w:r w:rsidRPr="00E943B1">
        <w:t xml:space="preserve"> shrnutí, o </w:t>
      </w:r>
      <w:r w:rsidR="00F07F17">
        <w:t>němž</w:t>
      </w:r>
      <w:r w:rsidR="00F07F17" w:rsidRPr="00E943B1">
        <w:t xml:space="preserve"> </w:t>
      </w:r>
      <w:r w:rsidR="00405F9C">
        <w:t>se domnívám</w:t>
      </w:r>
      <w:r w:rsidRPr="00E943B1">
        <w:t xml:space="preserve">, že postačuje pro účely </w:t>
      </w:r>
      <w:r w:rsidR="00F07F17">
        <w:t>předkládané</w:t>
      </w:r>
      <w:r w:rsidR="00405F9C" w:rsidRPr="00E943B1">
        <w:t xml:space="preserve"> </w:t>
      </w:r>
      <w:r w:rsidRPr="00E943B1">
        <w:t>diplomové práce. Problematika spolupracujících obviněných a svědků spravedlnosti v</w:t>
      </w:r>
      <w:r w:rsidR="00E262D2">
        <w:t xml:space="preserve"> </w:t>
      </w:r>
      <w:r w:rsidRPr="00E943B1">
        <w:t xml:space="preserve">italské právní úpravě je poměrně obsáhlá, proto jsem volil pouze základní definice a nastínění </w:t>
      </w:r>
      <w:r w:rsidR="00405F9C">
        <w:t xml:space="preserve">jednotlivých </w:t>
      </w:r>
      <w:r w:rsidRPr="00E943B1">
        <w:t xml:space="preserve">institutů. Jak již bylo </w:t>
      </w:r>
      <w:r w:rsidR="003B27C9">
        <w:t>zmíněno</w:t>
      </w:r>
      <w:r w:rsidR="00405F9C">
        <w:t>,</w:t>
      </w:r>
      <w:r w:rsidRPr="00E943B1">
        <w:t xml:space="preserve"> podobnost s</w:t>
      </w:r>
      <w:r w:rsidR="00E262D2">
        <w:t xml:space="preserve"> </w:t>
      </w:r>
      <w:r w:rsidRPr="00E943B1">
        <w:t>českým institutem spolupracující</w:t>
      </w:r>
      <w:r w:rsidR="003B27C9">
        <w:t>ho</w:t>
      </w:r>
      <w:r w:rsidRPr="00E943B1">
        <w:t xml:space="preserve"> </w:t>
      </w:r>
      <w:r w:rsidR="003B27C9" w:rsidRPr="00E943B1">
        <w:t>obviněn</w:t>
      </w:r>
      <w:r w:rsidR="003B27C9">
        <w:t>ého</w:t>
      </w:r>
      <w:r w:rsidR="003B27C9" w:rsidRPr="00E943B1">
        <w:t xml:space="preserve"> </w:t>
      </w:r>
      <w:r w:rsidRPr="00E943B1">
        <w:t xml:space="preserve">spatřuji </w:t>
      </w:r>
      <w:r w:rsidR="00861400">
        <w:t xml:space="preserve">zejména </w:t>
      </w:r>
      <w:r w:rsidRPr="00E943B1">
        <w:t>v</w:t>
      </w:r>
      <w:r w:rsidR="00E262D2">
        <w:t xml:space="preserve"> </w:t>
      </w:r>
      <w:r w:rsidRPr="00E943B1">
        <w:t>institutu „</w:t>
      </w:r>
      <w:r w:rsidR="00861400">
        <w:t>c</w:t>
      </w:r>
      <w:r w:rsidR="00861400" w:rsidRPr="00E943B1">
        <w:t xml:space="preserve">ollaboratore </w:t>
      </w:r>
      <w:r w:rsidRPr="00E943B1">
        <w:t>di giustizia“, který lze přeložit ve shodě s</w:t>
      </w:r>
      <w:r w:rsidR="00E262D2">
        <w:t xml:space="preserve"> </w:t>
      </w:r>
      <w:r w:rsidRPr="00E943B1">
        <w:t xml:space="preserve">českým institutem. Oba </w:t>
      </w:r>
      <w:r w:rsidR="00861400">
        <w:t>uváděné</w:t>
      </w:r>
      <w:r w:rsidR="00861400" w:rsidRPr="00E943B1">
        <w:t xml:space="preserve"> </w:t>
      </w:r>
      <w:r w:rsidRPr="00E943B1">
        <w:t>instituty jsou vytvořeny pro účinnější rozkrývaní organizovaných zločineckých skupin. Závěrem bych ještě doplnil benefity, které jsou poskytovány spolupracujícím obviněným v</w:t>
      </w:r>
      <w:r w:rsidR="00E262D2">
        <w:t xml:space="preserve"> </w:t>
      </w:r>
      <w:r w:rsidRPr="00E943B1">
        <w:t>rámci italské právní úpravy. Lze jim uděl</w:t>
      </w:r>
      <w:r w:rsidR="001D6D75" w:rsidRPr="00E943B1">
        <w:t xml:space="preserve">it </w:t>
      </w:r>
      <w:r w:rsidR="00861400" w:rsidRPr="00E943B1">
        <w:t>např</w:t>
      </w:r>
      <w:r w:rsidR="00861400">
        <w:t>.</w:t>
      </w:r>
      <w:r w:rsidR="00861400" w:rsidRPr="00E943B1">
        <w:t xml:space="preserve"> </w:t>
      </w:r>
      <w:r w:rsidR="001D6D75" w:rsidRPr="00E943B1">
        <w:t>podmínečné propuštění z</w:t>
      </w:r>
      <w:r w:rsidR="00E262D2">
        <w:t xml:space="preserve"> </w:t>
      </w:r>
      <w:r w:rsidR="001D6D75" w:rsidRPr="00E943B1">
        <w:t>výkonu trestu odnětí svobody, podmíněné zrušení zbytku trestu,</w:t>
      </w:r>
      <w:r w:rsidR="009F2255" w:rsidRPr="00E943B1">
        <w:t xml:space="preserve"> </w:t>
      </w:r>
      <w:r w:rsidR="001D6D75" w:rsidRPr="00E943B1">
        <w:lastRenderedPageBreak/>
        <w:t>domácí vězení</w:t>
      </w:r>
      <w:r w:rsidR="009F2255" w:rsidRPr="00E943B1">
        <w:t xml:space="preserve"> </w:t>
      </w:r>
      <w:r w:rsidR="00861400">
        <w:t>aj</w:t>
      </w:r>
      <w:r w:rsidR="001D6D75" w:rsidRPr="00E943B1">
        <w:t xml:space="preserve">. Udělení </w:t>
      </w:r>
      <w:r w:rsidR="00861400" w:rsidRPr="00E943B1">
        <w:t>ně</w:t>
      </w:r>
      <w:r w:rsidR="00861400">
        <w:t>kterého</w:t>
      </w:r>
      <w:r w:rsidR="00861400" w:rsidRPr="00E943B1">
        <w:t xml:space="preserve"> </w:t>
      </w:r>
      <w:r w:rsidR="001D6D75" w:rsidRPr="00E943B1">
        <w:t>z</w:t>
      </w:r>
      <w:r w:rsidR="00861400">
        <w:t>e zmiňovaných</w:t>
      </w:r>
      <w:r w:rsidR="00E262D2">
        <w:t xml:space="preserve"> </w:t>
      </w:r>
      <w:r w:rsidR="001D6D75" w:rsidRPr="00E943B1">
        <w:t xml:space="preserve">benefitů samozřejmě podléhá </w:t>
      </w:r>
      <w:r w:rsidR="00D33AF2">
        <w:t xml:space="preserve">velmi </w:t>
      </w:r>
      <w:r w:rsidR="001D6D75" w:rsidRPr="00E943B1">
        <w:t>přísným pravidlům</w:t>
      </w:r>
      <w:r w:rsidR="00441291">
        <w:t>.</w:t>
      </w:r>
      <w:r w:rsidR="001D6D75" w:rsidRPr="00E943B1">
        <w:rPr>
          <w:rStyle w:val="Znakapoznpodarou"/>
        </w:rPr>
        <w:footnoteReference w:id="130"/>
      </w:r>
      <w:r w:rsidR="001D6D75" w:rsidRPr="00E943B1">
        <w:t xml:space="preserve"> Je třeba zdůraznit, že spolupracující obviněný může obdržet i benefity, které jsou upraveny v</w:t>
      </w:r>
      <w:r w:rsidR="00E262D2">
        <w:t xml:space="preserve"> </w:t>
      </w:r>
      <w:r w:rsidR="001D6D75" w:rsidRPr="00E943B1">
        <w:t xml:space="preserve">rámci ochrany svědků, nicméně svědek spravedlnosti nemůže obdržet benefity, </w:t>
      </w:r>
      <w:r w:rsidR="00441291">
        <w:t>které se týkají</w:t>
      </w:r>
      <w:r w:rsidR="001D6D75" w:rsidRPr="00E943B1">
        <w:t xml:space="preserve"> snížení </w:t>
      </w:r>
      <w:r w:rsidR="00441291" w:rsidRPr="00E943B1">
        <w:t>trest</w:t>
      </w:r>
      <w:r w:rsidR="00441291">
        <w:t>u</w:t>
      </w:r>
      <w:r w:rsidR="00441291" w:rsidRPr="00E943B1">
        <w:t xml:space="preserve"> </w:t>
      </w:r>
      <w:r w:rsidR="001D6D75" w:rsidRPr="00E943B1">
        <w:t>odnětí svobody, jelikož nemá stejné postavení jako spolupracující obviněný.</w:t>
      </w:r>
    </w:p>
    <w:p w14:paraId="46C268C9" w14:textId="2A8CBB32" w:rsidR="0073437A" w:rsidRDefault="0073437A" w:rsidP="001B238B">
      <w:pPr>
        <w:pStyle w:val="format"/>
        <w:rPr>
          <w:rStyle w:val="Zdraznn"/>
          <w:i w:val="0"/>
          <w:iCs w:val="0"/>
          <w:color w:val="000000"/>
          <w:sz w:val="23"/>
          <w:szCs w:val="23"/>
          <w:shd w:val="clear" w:color="auto" w:fill="FFFFFF"/>
        </w:rPr>
      </w:pPr>
      <w:r w:rsidRPr="00E943B1">
        <w:t>Na závěr této podkapitoly bych rád doplnil, že v</w:t>
      </w:r>
      <w:r w:rsidR="00E262D2">
        <w:t xml:space="preserve"> </w:t>
      </w:r>
      <w:r w:rsidRPr="00E943B1">
        <w:t xml:space="preserve">rámci Itálie se rozlišuje </w:t>
      </w:r>
      <w:r w:rsidR="004D4280">
        <w:t xml:space="preserve">hned </w:t>
      </w:r>
      <w:r w:rsidRPr="00E943B1">
        <w:t xml:space="preserve">několik organizovaných zločineckých skupin neboli </w:t>
      </w:r>
      <w:r w:rsidRPr="001B238B">
        <w:t>mafií</w:t>
      </w:r>
      <w:r w:rsidRPr="00E943B1">
        <w:t xml:space="preserve">. </w:t>
      </w:r>
      <w:r w:rsidR="001F742F">
        <w:t>Figuruje</w:t>
      </w:r>
      <w:r w:rsidR="001F742F" w:rsidRPr="00E943B1">
        <w:t xml:space="preserve"> </w:t>
      </w:r>
      <w:r w:rsidRPr="00E943B1">
        <w:t xml:space="preserve">zde sicilská mafie Cosa Nostra </w:t>
      </w:r>
      <w:r w:rsidR="00441291">
        <w:t>a</w:t>
      </w:r>
      <w:r w:rsidR="008363D3">
        <w:t> </w:t>
      </w:r>
      <w:r w:rsidRPr="00E943B1">
        <w:t>v</w:t>
      </w:r>
      <w:r w:rsidR="008363D3">
        <w:t> </w:t>
      </w:r>
      <w:r w:rsidRPr="00E943B1">
        <w:t xml:space="preserve">rámci Sicílie působí i mafie </w:t>
      </w:r>
      <w:r w:rsidR="00441291">
        <w:t xml:space="preserve">označovaná jako </w:t>
      </w:r>
      <w:r w:rsidRPr="00E943B1">
        <w:t>Stidda. Dále v</w:t>
      </w:r>
      <w:r w:rsidR="00E262D2">
        <w:t xml:space="preserve"> </w:t>
      </w:r>
      <w:r w:rsidRPr="00E943B1">
        <w:t xml:space="preserve">Neapoli je známá mafie Camorra a na území Apulie působí mafie Sacra Corona Unita. Avšak je zde ještě jedna poměrně </w:t>
      </w:r>
      <w:r w:rsidR="0090509D">
        <w:t>významná</w:t>
      </w:r>
      <w:r w:rsidRPr="00E943B1">
        <w:t xml:space="preserve"> skupina</w:t>
      </w:r>
      <w:r w:rsidR="0090509D">
        <w:t>,</w:t>
      </w:r>
      <w:r w:rsidRPr="00E943B1">
        <w:t xml:space="preserve"> </w:t>
      </w:r>
      <w:r w:rsidR="0090509D">
        <w:t>jíž</w:t>
      </w:r>
      <w:r w:rsidRPr="00E943B1">
        <w:t xml:space="preserve"> je </w:t>
      </w:r>
      <w:r w:rsidRPr="001B238B">
        <w:rPr>
          <w:rStyle w:val="Zdraznn"/>
          <w:i w:val="0"/>
          <w:iCs w:val="0"/>
          <w:color w:val="000000"/>
          <w:shd w:val="clear" w:color="auto" w:fill="FFFFFF"/>
        </w:rPr>
        <w:t xml:space="preserve">’Ndrangheta </w:t>
      </w:r>
      <w:r w:rsidR="0090509D">
        <w:rPr>
          <w:rStyle w:val="Zdraznn"/>
          <w:i w:val="0"/>
          <w:iCs w:val="0"/>
          <w:color w:val="000000"/>
          <w:shd w:val="clear" w:color="auto" w:fill="FFFFFF"/>
        </w:rPr>
        <w:t xml:space="preserve">s </w:t>
      </w:r>
      <w:r w:rsidRPr="001B238B">
        <w:rPr>
          <w:rStyle w:val="Zdraznn"/>
          <w:i w:val="0"/>
          <w:iCs w:val="0"/>
          <w:color w:val="000000"/>
          <w:shd w:val="clear" w:color="auto" w:fill="FFFFFF"/>
        </w:rPr>
        <w:t xml:space="preserve">původním působištěm </w:t>
      </w:r>
      <w:r w:rsidR="0090509D">
        <w:rPr>
          <w:rStyle w:val="Zdraznn"/>
          <w:i w:val="0"/>
          <w:iCs w:val="0"/>
          <w:color w:val="000000"/>
          <w:shd w:val="clear" w:color="auto" w:fill="FFFFFF"/>
        </w:rPr>
        <w:t>v</w:t>
      </w:r>
      <w:r w:rsidR="0090509D" w:rsidRPr="001B238B">
        <w:rPr>
          <w:rStyle w:val="Zdraznn"/>
          <w:i w:val="0"/>
          <w:iCs w:val="0"/>
          <w:color w:val="000000"/>
          <w:shd w:val="clear" w:color="auto" w:fill="FFFFFF"/>
        </w:rPr>
        <w:t xml:space="preserve"> Kalábri</w:t>
      </w:r>
      <w:r w:rsidR="0090509D">
        <w:rPr>
          <w:rStyle w:val="Zdraznn"/>
          <w:i w:val="0"/>
          <w:iCs w:val="0"/>
          <w:color w:val="000000"/>
          <w:shd w:val="clear" w:color="auto" w:fill="FFFFFF"/>
        </w:rPr>
        <w:t>i</w:t>
      </w:r>
      <w:r w:rsidRPr="001B238B">
        <w:rPr>
          <w:rStyle w:val="Zdraznn"/>
          <w:i w:val="0"/>
          <w:iCs w:val="0"/>
          <w:color w:val="000000"/>
          <w:shd w:val="clear" w:color="auto" w:fill="FFFFFF"/>
        </w:rPr>
        <w:t>.</w:t>
      </w:r>
      <w:r w:rsidR="004A145A" w:rsidRPr="001B238B">
        <w:rPr>
          <w:rStyle w:val="Znakapoznpodarou"/>
          <w:color w:val="000000"/>
          <w:shd w:val="clear" w:color="auto" w:fill="FFFFFF"/>
        </w:rPr>
        <w:footnoteReference w:id="131"/>
      </w:r>
      <w:r w:rsidR="00D7558F" w:rsidRPr="001B238B">
        <w:rPr>
          <w:rStyle w:val="Zdraznn"/>
          <w:i w:val="0"/>
          <w:iCs w:val="0"/>
          <w:color w:val="000000"/>
          <w:shd w:val="clear" w:color="auto" w:fill="FFFFFF"/>
        </w:rPr>
        <w:t xml:space="preserve"> </w:t>
      </w:r>
      <w:r w:rsidR="002B26A4">
        <w:rPr>
          <w:rStyle w:val="Zdraznn"/>
          <w:i w:val="0"/>
          <w:iCs w:val="0"/>
          <w:color w:val="000000"/>
          <w:shd w:val="clear" w:color="auto" w:fill="FFFFFF"/>
        </w:rPr>
        <w:t>Ta se d</w:t>
      </w:r>
      <w:r w:rsidR="002B26A4" w:rsidRPr="001B238B">
        <w:rPr>
          <w:rStyle w:val="Zdraznn"/>
          <w:i w:val="0"/>
          <w:iCs w:val="0"/>
          <w:color w:val="000000"/>
          <w:shd w:val="clear" w:color="auto" w:fill="FFFFFF"/>
        </w:rPr>
        <w:t xml:space="preserve">nes </w:t>
      </w:r>
      <w:r w:rsidRPr="001B238B">
        <w:rPr>
          <w:rStyle w:val="Zdraznn"/>
          <w:i w:val="0"/>
          <w:iCs w:val="0"/>
          <w:color w:val="000000"/>
          <w:shd w:val="clear" w:color="auto" w:fill="FFFFFF"/>
        </w:rPr>
        <w:t xml:space="preserve">považuje za </w:t>
      </w:r>
      <w:r w:rsidR="0090509D">
        <w:rPr>
          <w:rStyle w:val="Zdraznn"/>
          <w:i w:val="0"/>
          <w:iCs w:val="0"/>
          <w:color w:val="000000"/>
          <w:shd w:val="clear" w:color="auto" w:fill="FFFFFF"/>
        </w:rPr>
        <w:t>patrně</w:t>
      </w:r>
      <w:r w:rsidR="0090509D" w:rsidRPr="001B238B">
        <w:rPr>
          <w:rStyle w:val="Zdraznn"/>
          <w:i w:val="0"/>
          <w:iCs w:val="0"/>
          <w:color w:val="000000"/>
          <w:shd w:val="clear" w:color="auto" w:fill="FFFFFF"/>
        </w:rPr>
        <w:t xml:space="preserve"> </w:t>
      </w:r>
      <w:r w:rsidRPr="001B238B">
        <w:rPr>
          <w:rStyle w:val="Zdraznn"/>
          <w:i w:val="0"/>
          <w:iCs w:val="0"/>
          <w:color w:val="000000"/>
          <w:shd w:val="clear" w:color="auto" w:fill="FFFFFF"/>
        </w:rPr>
        <w:t>nejmocnější z</w:t>
      </w:r>
      <w:r w:rsidR="0090509D">
        <w:rPr>
          <w:rStyle w:val="Zdraznn"/>
          <w:i w:val="0"/>
          <w:iCs w:val="0"/>
          <w:color w:val="000000"/>
          <w:shd w:val="clear" w:color="auto" w:fill="FFFFFF"/>
        </w:rPr>
        <w:t>e</w:t>
      </w:r>
      <w:r w:rsidR="00E262D2" w:rsidRPr="001B238B">
        <w:rPr>
          <w:rStyle w:val="Zdraznn"/>
          <w:i w:val="0"/>
          <w:iCs w:val="0"/>
          <w:color w:val="000000"/>
          <w:shd w:val="clear" w:color="auto" w:fill="FFFFFF"/>
        </w:rPr>
        <w:t xml:space="preserve"> </w:t>
      </w:r>
      <w:r w:rsidR="0090509D">
        <w:rPr>
          <w:rStyle w:val="Zdraznn"/>
          <w:i w:val="0"/>
          <w:iCs w:val="0"/>
          <w:color w:val="000000"/>
          <w:shd w:val="clear" w:color="auto" w:fill="FFFFFF"/>
        </w:rPr>
        <w:t>všech známých</w:t>
      </w:r>
      <w:r w:rsidR="0090509D" w:rsidRPr="001B238B">
        <w:rPr>
          <w:rStyle w:val="Zdraznn"/>
          <w:i w:val="0"/>
          <w:iCs w:val="0"/>
          <w:color w:val="000000"/>
          <w:shd w:val="clear" w:color="auto" w:fill="FFFFFF"/>
        </w:rPr>
        <w:t xml:space="preserve"> </w:t>
      </w:r>
      <w:r w:rsidRPr="001B238B">
        <w:rPr>
          <w:rStyle w:val="Zdraznn"/>
          <w:i w:val="0"/>
          <w:iCs w:val="0"/>
          <w:color w:val="000000"/>
          <w:shd w:val="clear" w:color="auto" w:fill="FFFFFF"/>
        </w:rPr>
        <w:t>mafiánských skupin. Šíří svůj vliv po celém světě a je to taktéž jedna z</w:t>
      </w:r>
      <w:r w:rsidR="00E262D2" w:rsidRPr="001B238B">
        <w:rPr>
          <w:rStyle w:val="Zdraznn"/>
          <w:i w:val="0"/>
          <w:iCs w:val="0"/>
          <w:color w:val="000000"/>
          <w:shd w:val="clear" w:color="auto" w:fill="FFFFFF"/>
        </w:rPr>
        <w:t xml:space="preserve"> </w:t>
      </w:r>
      <w:r w:rsidRPr="001B238B">
        <w:rPr>
          <w:rStyle w:val="Zdraznn"/>
          <w:i w:val="0"/>
          <w:iCs w:val="0"/>
          <w:color w:val="000000"/>
          <w:shd w:val="clear" w:color="auto" w:fill="FFFFFF"/>
        </w:rPr>
        <w:t>posledních skupin</w:t>
      </w:r>
      <w:r w:rsidR="0090509D">
        <w:rPr>
          <w:rStyle w:val="Zdraznn"/>
          <w:i w:val="0"/>
          <w:iCs w:val="0"/>
          <w:color w:val="000000"/>
          <w:shd w:val="clear" w:color="auto" w:fill="FFFFFF"/>
        </w:rPr>
        <w:t>,</w:t>
      </w:r>
      <w:r w:rsidR="004A145A" w:rsidRPr="001B238B">
        <w:rPr>
          <w:rStyle w:val="Znakapoznpodarou"/>
          <w:color w:val="000000"/>
          <w:shd w:val="clear" w:color="auto" w:fill="FFFFFF"/>
        </w:rPr>
        <w:footnoteReference w:id="132"/>
      </w:r>
      <w:r w:rsidRPr="001B238B">
        <w:rPr>
          <w:rStyle w:val="Zdraznn"/>
          <w:i w:val="0"/>
          <w:iCs w:val="0"/>
          <w:color w:val="000000"/>
          <w:shd w:val="clear" w:color="auto" w:fill="FFFFFF"/>
        </w:rPr>
        <w:t xml:space="preserve"> která si zakládá na </w:t>
      </w:r>
      <w:r w:rsidR="004A145A" w:rsidRPr="001B238B">
        <w:rPr>
          <w:rStyle w:val="Zdraznn"/>
          <w:i w:val="0"/>
          <w:iCs w:val="0"/>
          <w:color w:val="000000"/>
          <w:shd w:val="clear" w:color="auto" w:fill="FFFFFF"/>
        </w:rPr>
        <w:t>opravdu původních hodnotách</w:t>
      </w:r>
      <w:r w:rsidR="002B26A4">
        <w:rPr>
          <w:rStyle w:val="Zdraznn"/>
          <w:i w:val="0"/>
          <w:iCs w:val="0"/>
          <w:color w:val="000000"/>
          <w:shd w:val="clear" w:color="auto" w:fill="FFFFFF"/>
        </w:rPr>
        <w:t>.</w:t>
      </w:r>
      <w:r w:rsidR="002B26A4" w:rsidRPr="001B238B">
        <w:rPr>
          <w:rStyle w:val="Zdraznn"/>
          <w:i w:val="0"/>
          <w:iCs w:val="0"/>
          <w:color w:val="000000"/>
          <w:shd w:val="clear" w:color="auto" w:fill="FFFFFF"/>
        </w:rPr>
        <w:t xml:space="preserve"> </w:t>
      </w:r>
      <w:r w:rsidR="002B26A4">
        <w:rPr>
          <w:rStyle w:val="Zdraznn"/>
          <w:i w:val="0"/>
          <w:iCs w:val="0"/>
          <w:color w:val="000000"/>
          <w:shd w:val="clear" w:color="auto" w:fill="FFFFFF"/>
        </w:rPr>
        <w:t>Z</w:t>
      </w:r>
      <w:r w:rsidR="0090509D">
        <w:rPr>
          <w:rStyle w:val="Zdraznn"/>
          <w:i w:val="0"/>
          <w:iCs w:val="0"/>
          <w:color w:val="000000"/>
          <w:shd w:val="clear" w:color="auto" w:fill="FFFFFF"/>
        </w:rPr>
        <w:t>důrazňuje roli</w:t>
      </w:r>
      <w:r w:rsidR="004A145A" w:rsidRPr="001B238B">
        <w:rPr>
          <w:rStyle w:val="Zdraznn"/>
          <w:i w:val="0"/>
          <w:iCs w:val="0"/>
          <w:color w:val="000000"/>
          <w:shd w:val="clear" w:color="auto" w:fill="FFFFFF"/>
        </w:rPr>
        <w:t xml:space="preserve"> </w:t>
      </w:r>
      <w:r w:rsidR="0090509D" w:rsidRPr="001B238B">
        <w:rPr>
          <w:rStyle w:val="Zdraznn"/>
          <w:i w:val="0"/>
          <w:iCs w:val="0"/>
          <w:color w:val="000000"/>
          <w:shd w:val="clear" w:color="auto" w:fill="FFFFFF"/>
        </w:rPr>
        <w:t>rodin</w:t>
      </w:r>
      <w:r w:rsidR="0090509D">
        <w:rPr>
          <w:rStyle w:val="Zdraznn"/>
          <w:i w:val="0"/>
          <w:iCs w:val="0"/>
          <w:color w:val="000000"/>
          <w:shd w:val="clear" w:color="auto" w:fill="FFFFFF"/>
        </w:rPr>
        <w:t>y</w:t>
      </w:r>
      <w:r w:rsidR="004A145A" w:rsidRPr="001B238B">
        <w:rPr>
          <w:rStyle w:val="Zdraznn"/>
          <w:i w:val="0"/>
          <w:iCs w:val="0"/>
          <w:color w:val="000000"/>
          <w:shd w:val="clear" w:color="auto" w:fill="FFFFFF"/>
        </w:rPr>
        <w:t>, krevní</w:t>
      </w:r>
      <w:r w:rsidR="0090509D">
        <w:rPr>
          <w:rStyle w:val="Zdraznn"/>
          <w:i w:val="0"/>
          <w:iCs w:val="0"/>
          <w:color w:val="000000"/>
          <w:shd w:val="clear" w:color="auto" w:fill="FFFFFF"/>
        </w:rPr>
        <w:t>ho</w:t>
      </w:r>
      <w:r w:rsidR="004A145A" w:rsidRPr="001B238B">
        <w:rPr>
          <w:rStyle w:val="Zdraznn"/>
          <w:i w:val="0"/>
          <w:iCs w:val="0"/>
          <w:color w:val="000000"/>
          <w:shd w:val="clear" w:color="auto" w:fill="FFFFFF"/>
        </w:rPr>
        <w:t xml:space="preserve"> </w:t>
      </w:r>
      <w:r w:rsidR="0090509D" w:rsidRPr="001B238B">
        <w:rPr>
          <w:rStyle w:val="Zdraznn"/>
          <w:i w:val="0"/>
          <w:iCs w:val="0"/>
          <w:color w:val="000000"/>
          <w:shd w:val="clear" w:color="auto" w:fill="FFFFFF"/>
        </w:rPr>
        <w:t>pout</w:t>
      </w:r>
      <w:r w:rsidR="0090509D">
        <w:rPr>
          <w:rStyle w:val="Zdraznn"/>
          <w:i w:val="0"/>
          <w:iCs w:val="0"/>
          <w:color w:val="000000"/>
          <w:shd w:val="clear" w:color="auto" w:fill="FFFFFF"/>
        </w:rPr>
        <w:t>a,</w:t>
      </w:r>
      <w:r w:rsidR="0090509D" w:rsidRPr="001B238B">
        <w:rPr>
          <w:rStyle w:val="Zdraznn"/>
          <w:i w:val="0"/>
          <w:iCs w:val="0"/>
          <w:color w:val="000000"/>
          <w:shd w:val="clear" w:color="auto" w:fill="FFFFFF"/>
        </w:rPr>
        <w:t xml:space="preserve"> </w:t>
      </w:r>
      <w:r w:rsidR="0090509D">
        <w:rPr>
          <w:rStyle w:val="Zdraznn"/>
          <w:i w:val="0"/>
          <w:iCs w:val="0"/>
          <w:color w:val="000000"/>
          <w:shd w:val="clear" w:color="auto" w:fill="FFFFFF"/>
        </w:rPr>
        <w:t>přičemž</w:t>
      </w:r>
      <w:r w:rsidR="004A145A" w:rsidRPr="001B238B">
        <w:rPr>
          <w:rStyle w:val="Zdraznn"/>
          <w:i w:val="0"/>
          <w:iCs w:val="0"/>
          <w:color w:val="000000"/>
          <w:shd w:val="clear" w:color="auto" w:fill="FFFFFF"/>
        </w:rPr>
        <w:t xml:space="preserve"> zrada těchto hodnot je </w:t>
      </w:r>
      <w:r w:rsidR="006D3D84">
        <w:rPr>
          <w:rStyle w:val="Zdraznn"/>
          <w:i w:val="0"/>
          <w:iCs w:val="0"/>
          <w:color w:val="000000"/>
          <w:shd w:val="clear" w:color="auto" w:fill="FFFFFF"/>
        </w:rPr>
        <w:t xml:space="preserve">pro ni </w:t>
      </w:r>
      <w:r w:rsidR="0090509D">
        <w:rPr>
          <w:rStyle w:val="Zdraznn"/>
          <w:i w:val="0"/>
          <w:iCs w:val="0"/>
          <w:color w:val="000000"/>
          <w:shd w:val="clear" w:color="auto" w:fill="FFFFFF"/>
        </w:rPr>
        <w:t xml:space="preserve">naprosto </w:t>
      </w:r>
      <w:r w:rsidR="004A145A" w:rsidRPr="001B238B">
        <w:rPr>
          <w:rStyle w:val="Zdraznn"/>
          <w:i w:val="0"/>
          <w:iCs w:val="0"/>
          <w:color w:val="000000"/>
          <w:shd w:val="clear" w:color="auto" w:fill="FFFFFF"/>
        </w:rPr>
        <w:t>nepřípustná</w:t>
      </w:r>
      <w:r w:rsidR="0090509D">
        <w:rPr>
          <w:rStyle w:val="Zdraznn"/>
          <w:i w:val="0"/>
          <w:iCs w:val="0"/>
          <w:color w:val="000000"/>
          <w:shd w:val="clear" w:color="auto" w:fill="FFFFFF"/>
        </w:rPr>
        <w:t>.</w:t>
      </w:r>
      <w:r w:rsidR="0090509D" w:rsidRPr="001B238B">
        <w:rPr>
          <w:rStyle w:val="Zdraznn"/>
          <w:i w:val="0"/>
          <w:iCs w:val="0"/>
          <w:color w:val="000000"/>
          <w:shd w:val="clear" w:color="auto" w:fill="FFFFFF"/>
        </w:rPr>
        <w:t xml:space="preserve"> </w:t>
      </w:r>
      <w:r w:rsidR="0090509D">
        <w:rPr>
          <w:rStyle w:val="Zdraznn"/>
          <w:i w:val="0"/>
          <w:iCs w:val="0"/>
          <w:color w:val="000000"/>
          <w:shd w:val="clear" w:color="auto" w:fill="FFFFFF"/>
        </w:rPr>
        <w:t>A ze stejného důvodu</w:t>
      </w:r>
      <w:r w:rsidR="0090509D" w:rsidRPr="001B238B">
        <w:rPr>
          <w:rStyle w:val="Zdraznn"/>
          <w:i w:val="0"/>
          <w:iCs w:val="0"/>
          <w:color w:val="000000"/>
          <w:shd w:val="clear" w:color="auto" w:fill="FFFFFF"/>
        </w:rPr>
        <w:t xml:space="preserve"> </w:t>
      </w:r>
      <w:r w:rsidR="004A145A" w:rsidRPr="001B238B">
        <w:rPr>
          <w:rStyle w:val="Zdraznn"/>
          <w:i w:val="0"/>
          <w:iCs w:val="0"/>
          <w:color w:val="000000"/>
          <w:shd w:val="clear" w:color="auto" w:fill="FFFFFF"/>
        </w:rPr>
        <w:t xml:space="preserve">má </w:t>
      </w:r>
      <w:r w:rsidR="0090509D" w:rsidRPr="001B238B">
        <w:rPr>
          <w:rStyle w:val="Zdraznn"/>
          <w:i w:val="0"/>
          <w:iCs w:val="0"/>
          <w:color w:val="000000"/>
          <w:shd w:val="clear" w:color="auto" w:fill="FFFFFF"/>
        </w:rPr>
        <w:t>tak</w:t>
      </w:r>
      <w:r w:rsidR="0090509D">
        <w:rPr>
          <w:rStyle w:val="Zdraznn"/>
          <w:i w:val="0"/>
          <w:iCs w:val="0"/>
          <w:color w:val="000000"/>
          <w:shd w:val="clear" w:color="auto" w:fill="FFFFFF"/>
        </w:rPr>
        <w:t>é</w:t>
      </w:r>
      <w:r w:rsidR="0090509D" w:rsidRPr="001B238B">
        <w:rPr>
          <w:rStyle w:val="Zdraznn"/>
          <w:i w:val="0"/>
          <w:iCs w:val="0"/>
          <w:color w:val="000000"/>
          <w:shd w:val="clear" w:color="auto" w:fill="FFFFFF"/>
        </w:rPr>
        <w:t xml:space="preserve"> </w:t>
      </w:r>
      <w:r w:rsidR="004A145A" w:rsidRPr="001B238B">
        <w:rPr>
          <w:rStyle w:val="Zdraznn"/>
          <w:i w:val="0"/>
          <w:iCs w:val="0"/>
          <w:color w:val="000000"/>
          <w:shd w:val="clear" w:color="auto" w:fill="FFFFFF"/>
        </w:rPr>
        <w:t>nejmenší procentuální zastoupení „pentitů“ v</w:t>
      </w:r>
      <w:r w:rsidR="00E262D2" w:rsidRPr="001B238B">
        <w:rPr>
          <w:rStyle w:val="Zdraznn"/>
          <w:i w:val="0"/>
          <w:iCs w:val="0"/>
          <w:color w:val="000000"/>
          <w:shd w:val="clear" w:color="auto" w:fill="FFFFFF"/>
        </w:rPr>
        <w:t xml:space="preserve"> </w:t>
      </w:r>
      <w:r w:rsidR="004A145A" w:rsidRPr="001B238B">
        <w:rPr>
          <w:rStyle w:val="Zdraznn"/>
          <w:i w:val="0"/>
          <w:iCs w:val="0"/>
          <w:color w:val="000000"/>
          <w:shd w:val="clear" w:color="auto" w:fill="FFFFFF"/>
        </w:rPr>
        <w:t>Itálii.</w:t>
      </w:r>
      <w:r w:rsidR="004A145A" w:rsidRPr="001B238B">
        <w:rPr>
          <w:rStyle w:val="Znakapoznpodarou"/>
        </w:rPr>
        <w:footnoteReference w:id="133"/>
      </w:r>
    </w:p>
    <w:p w14:paraId="4456A912" w14:textId="3817597B" w:rsidR="00D5287B" w:rsidRPr="00E943B1" w:rsidRDefault="00D7558F" w:rsidP="00D7558F">
      <w:pPr>
        <w:pStyle w:val="Nadpis1"/>
      </w:pPr>
      <w:r>
        <w:rPr>
          <w:rStyle w:val="Zdraznn"/>
          <w:i w:val="0"/>
          <w:iCs w:val="0"/>
          <w:color w:val="000000"/>
          <w:sz w:val="23"/>
          <w:szCs w:val="23"/>
          <w:shd w:val="clear" w:color="auto" w:fill="FFFFFF"/>
        </w:rPr>
        <w:br w:type="page"/>
      </w:r>
      <w:bookmarkStart w:id="46" w:name="_Toc170638019"/>
      <w:r w:rsidR="00D5287B" w:rsidRPr="00E943B1">
        <w:lastRenderedPageBreak/>
        <w:t>Ochrana spolupracujícího obviněného</w:t>
      </w:r>
      <w:bookmarkEnd w:id="46"/>
    </w:p>
    <w:p w14:paraId="79DADA17" w14:textId="038A245D" w:rsidR="00D5287B" w:rsidRPr="00E943B1" w:rsidRDefault="00D5287B" w:rsidP="00725077">
      <w:pPr>
        <w:pStyle w:val="format"/>
      </w:pPr>
      <w:r w:rsidRPr="00E943B1">
        <w:t xml:space="preserve">Bohužel </w:t>
      </w:r>
      <w:r w:rsidR="006D3D84">
        <w:t>český</w:t>
      </w:r>
      <w:r w:rsidR="006D3D84" w:rsidRPr="00E943B1">
        <w:t xml:space="preserve"> </w:t>
      </w:r>
      <w:r w:rsidRPr="00E943B1">
        <w:t xml:space="preserve">právní řád neupravuje výslovnou ochranu spolupracujícího obviněného, nicméně od 1. </w:t>
      </w:r>
      <w:r w:rsidR="008363D3">
        <w:t>č</w:t>
      </w:r>
      <w:r w:rsidR="006D3D84">
        <w:t>erven</w:t>
      </w:r>
      <w:r w:rsidR="008363D3">
        <w:t xml:space="preserve">ce </w:t>
      </w:r>
      <w:r w:rsidRPr="00E943B1">
        <w:t>2001 je účinný zákon č. 137/2001 Sb., o zvláštní ochraně svědka a</w:t>
      </w:r>
      <w:r w:rsidR="00973814">
        <w:t> </w:t>
      </w:r>
      <w:r w:rsidRPr="00E943B1">
        <w:t>dalších osob v</w:t>
      </w:r>
      <w:r w:rsidR="00E262D2">
        <w:t xml:space="preserve"> </w:t>
      </w:r>
      <w:r w:rsidRPr="00E943B1">
        <w:t>souvislosti s</w:t>
      </w:r>
      <w:r w:rsidR="00E262D2">
        <w:t xml:space="preserve"> </w:t>
      </w:r>
      <w:r w:rsidRPr="00E943B1">
        <w:t xml:space="preserve">trestním řízením. </w:t>
      </w:r>
      <w:r w:rsidRPr="00725077">
        <w:rPr>
          <w:i/>
        </w:rPr>
        <w:t>„</w:t>
      </w:r>
      <w:r w:rsidRPr="00E943B1">
        <w:rPr>
          <w:i/>
          <w:iCs/>
        </w:rPr>
        <w:t>Účelem tohoto zákona je poskytnutí ochrany a</w:t>
      </w:r>
      <w:r w:rsidR="00973814">
        <w:rPr>
          <w:i/>
          <w:iCs/>
        </w:rPr>
        <w:t> </w:t>
      </w:r>
      <w:r w:rsidRPr="00E943B1">
        <w:rPr>
          <w:i/>
          <w:iCs/>
        </w:rPr>
        <w:t>pomoci svědku a dalším osobám, kterým v</w:t>
      </w:r>
      <w:r w:rsidR="00E262D2">
        <w:rPr>
          <w:i/>
          <w:iCs/>
        </w:rPr>
        <w:t xml:space="preserve"> </w:t>
      </w:r>
      <w:r w:rsidRPr="00E943B1">
        <w:rPr>
          <w:i/>
          <w:iCs/>
        </w:rPr>
        <w:t>souvislosti s</w:t>
      </w:r>
      <w:r w:rsidR="00E262D2">
        <w:rPr>
          <w:i/>
          <w:iCs/>
        </w:rPr>
        <w:t xml:space="preserve"> </w:t>
      </w:r>
      <w:r w:rsidRPr="00E943B1">
        <w:rPr>
          <w:i/>
          <w:iCs/>
        </w:rPr>
        <w:t>trestním řízením zřejmě hrozí újma na</w:t>
      </w:r>
      <w:r w:rsidR="00973814">
        <w:rPr>
          <w:i/>
          <w:iCs/>
        </w:rPr>
        <w:t> </w:t>
      </w:r>
      <w:r w:rsidRPr="00E943B1">
        <w:rPr>
          <w:i/>
          <w:iCs/>
        </w:rPr>
        <w:t>zdraví nebo jiné vážné nebezpečí.“</w:t>
      </w:r>
      <w:r w:rsidRPr="00E943B1">
        <w:rPr>
          <w:rStyle w:val="Znakapoznpodarou"/>
        </w:rPr>
        <w:footnoteReference w:id="134"/>
      </w:r>
      <w:r w:rsidRPr="00E943B1">
        <w:t xml:space="preserve"> Tento zákon se použije k</w:t>
      </w:r>
      <w:r w:rsidR="00E262D2">
        <w:t xml:space="preserve"> </w:t>
      </w:r>
      <w:r w:rsidRPr="00E943B1">
        <w:t>ochraně svědka a jiných osob,</w:t>
      </w:r>
      <w:r w:rsidR="00973814">
        <w:t> </w:t>
      </w:r>
      <w:r w:rsidRPr="00E943B1">
        <w:t>pokud ochranu nelze zajistit jinak. Tímto</w:t>
      </w:r>
      <w:r w:rsidR="007D7B49" w:rsidRPr="00E943B1">
        <w:t xml:space="preserve"> se</w:t>
      </w:r>
      <w:r w:rsidRPr="00E943B1">
        <w:t xml:space="preserve"> nejspíš odkazuje na ustanovení § 55 odst. 2 TŘ, kde se hovoří o tzv. utajeném svědkovi. Shodně </w:t>
      </w:r>
      <w:r w:rsidR="00271EF6" w:rsidRPr="00725077">
        <w:rPr>
          <w:i/>
        </w:rPr>
        <w:t>„</w:t>
      </w:r>
      <w:r w:rsidRPr="00E943B1">
        <w:rPr>
          <w:i/>
          <w:iCs/>
        </w:rPr>
        <w:t xml:space="preserve">pokud hrozí újma na zdraví nebo jiné vážné nebezpečí, </w:t>
      </w:r>
      <w:r w:rsidR="00271EF6" w:rsidRPr="00E943B1">
        <w:rPr>
          <w:i/>
          <w:iCs/>
        </w:rPr>
        <w:t>může orgán činný v</w:t>
      </w:r>
      <w:r w:rsidR="00E262D2">
        <w:rPr>
          <w:i/>
          <w:iCs/>
        </w:rPr>
        <w:t xml:space="preserve"> </w:t>
      </w:r>
      <w:r w:rsidR="00271EF6" w:rsidRPr="00E943B1">
        <w:rPr>
          <w:i/>
          <w:iCs/>
        </w:rPr>
        <w:t>trestním řízení učinit opatření k</w:t>
      </w:r>
      <w:r w:rsidR="00E262D2">
        <w:rPr>
          <w:i/>
          <w:iCs/>
        </w:rPr>
        <w:t xml:space="preserve"> </w:t>
      </w:r>
      <w:r w:rsidR="00271EF6" w:rsidRPr="00E943B1">
        <w:rPr>
          <w:i/>
          <w:iCs/>
        </w:rPr>
        <w:t>utajení totožnosti a podoby svědka a nezapíše jeho osobní údaje do spisu. Tyto údaje se pak vedou odděleně od trestního spisu a mohou s</w:t>
      </w:r>
      <w:r w:rsidR="00E262D2">
        <w:rPr>
          <w:i/>
          <w:iCs/>
        </w:rPr>
        <w:t xml:space="preserve"> </w:t>
      </w:r>
      <w:r w:rsidR="00271EF6" w:rsidRPr="00E943B1">
        <w:rPr>
          <w:i/>
          <w:iCs/>
        </w:rPr>
        <w:t>nimi pracovat pouze orgány činné v</w:t>
      </w:r>
      <w:r w:rsidR="00E262D2">
        <w:rPr>
          <w:i/>
          <w:iCs/>
        </w:rPr>
        <w:t xml:space="preserve"> </w:t>
      </w:r>
      <w:r w:rsidR="00271EF6" w:rsidRPr="00E943B1">
        <w:rPr>
          <w:i/>
          <w:iCs/>
        </w:rPr>
        <w:t>trestném řízení“</w:t>
      </w:r>
      <w:r w:rsidR="006D3D84">
        <w:rPr>
          <w:i/>
          <w:iCs/>
        </w:rPr>
        <w:t>.</w:t>
      </w:r>
      <w:r w:rsidR="00271EF6" w:rsidRPr="00E943B1">
        <w:rPr>
          <w:rStyle w:val="Znakapoznpodarou"/>
        </w:rPr>
        <w:footnoteReference w:id="135"/>
      </w:r>
      <w:r w:rsidR="00271EF6" w:rsidRPr="00E943B1">
        <w:t xml:space="preserve"> Popřípadě může připadat v potaz i krátkodobá ochrana osoby dle </w:t>
      </w:r>
      <w:r w:rsidR="00083540" w:rsidRPr="00E943B1">
        <w:t>ustanovení §</w:t>
      </w:r>
      <w:r w:rsidR="005D046B">
        <w:t xml:space="preserve"> </w:t>
      </w:r>
      <w:r w:rsidR="00083540" w:rsidRPr="00E943B1">
        <w:t xml:space="preserve">50 </w:t>
      </w:r>
      <w:r w:rsidR="005D046B">
        <w:t>zákona</w:t>
      </w:r>
      <w:r w:rsidR="00271EF6" w:rsidRPr="00E943B1">
        <w:t xml:space="preserve"> č. 273/2008 Sb., o</w:t>
      </w:r>
      <w:r w:rsidR="00973814">
        <w:t> </w:t>
      </w:r>
      <w:r w:rsidR="00271EF6" w:rsidRPr="00E943B1">
        <w:t>Policii České republiky</w:t>
      </w:r>
      <w:r w:rsidR="00083540" w:rsidRPr="00E943B1">
        <w:t>. Touto krátkodobou ochranou se rozumí:</w:t>
      </w:r>
    </w:p>
    <w:p w14:paraId="08C78C54" w14:textId="3FDF0015" w:rsidR="00083540" w:rsidRPr="00725077" w:rsidRDefault="00083540" w:rsidP="003A78D1">
      <w:pPr>
        <w:pStyle w:val="format"/>
        <w:numPr>
          <w:ilvl w:val="0"/>
          <w:numId w:val="16"/>
        </w:numPr>
        <w:rPr>
          <w:i/>
        </w:rPr>
      </w:pPr>
      <w:r w:rsidRPr="00725077">
        <w:rPr>
          <w:i/>
        </w:rPr>
        <w:t>„</w:t>
      </w:r>
      <w:r w:rsidR="006D3D84">
        <w:rPr>
          <w:i/>
        </w:rPr>
        <w:t>f</w:t>
      </w:r>
      <w:r w:rsidR="006D3D84" w:rsidRPr="00725077">
        <w:rPr>
          <w:i/>
        </w:rPr>
        <w:t xml:space="preserve">yzická </w:t>
      </w:r>
      <w:r w:rsidRPr="00725077">
        <w:rPr>
          <w:i/>
        </w:rPr>
        <w:t>ochrana</w:t>
      </w:r>
      <w:r w:rsidR="006D3D84">
        <w:rPr>
          <w:i/>
        </w:rPr>
        <w:t>,</w:t>
      </w:r>
    </w:p>
    <w:p w14:paraId="35232926" w14:textId="6912E996" w:rsidR="00083540" w:rsidRPr="00725077" w:rsidRDefault="006D3D84" w:rsidP="003A78D1">
      <w:pPr>
        <w:pStyle w:val="format"/>
        <w:numPr>
          <w:ilvl w:val="0"/>
          <w:numId w:val="16"/>
        </w:numPr>
        <w:rPr>
          <w:i/>
        </w:rPr>
      </w:pPr>
      <w:r>
        <w:rPr>
          <w:i/>
        </w:rPr>
        <w:t>d</w:t>
      </w:r>
      <w:r w:rsidRPr="00725077">
        <w:rPr>
          <w:i/>
        </w:rPr>
        <w:t xml:space="preserve">očasná </w:t>
      </w:r>
      <w:r w:rsidR="00083540" w:rsidRPr="00725077">
        <w:rPr>
          <w:i/>
        </w:rPr>
        <w:t>změna pobytu</w:t>
      </w:r>
      <w:r>
        <w:rPr>
          <w:i/>
        </w:rPr>
        <w:t>,</w:t>
      </w:r>
    </w:p>
    <w:p w14:paraId="07C66FA4" w14:textId="15981608" w:rsidR="00083540" w:rsidRPr="00725077" w:rsidRDefault="006D3D84" w:rsidP="003A78D1">
      <w:pPr>
        <w:pStyle w:val="format"/>
        <w:numPr>
          <w:ilvl w:val="0"/>
          <w:numId w:val="16"/>
        </w:numPr>
        <w:rPr>
          <w:i/>
        </w:rPr>
      </w:pPr>
      <w:r>
        <w:rPr>
          <w:i/>
        </w:rPr>
        <w:t>p</w:t>
      </w:r>
      <w:r w:rsidRPr="00725077">
        <w:rPr>
          <w:i/>
        </w:rPr>
        <w:t xml:space="preserve">oužití </w:t>
      </w:r>
      <w:r w:rsidR="00083540" w:rsidRPr="00725077">
        <w:rPr>
          <w:i/>
        </w:rPr>
        <w:t>zabezpečovací techniky, nebo</w:t>
      </w:r>
    </w:p>
    <w:p w14:paraId="210087C0" w14:textId="27FE7DBD" w:rsidR="00083540" w:rsidRPr="00E943B1" w:rsidRDefault="006D3D84" w:rsidP="003A78D1">
      <w:pPr>
        <w:pStyle w:val="format"/>
        <w:numPr>
          <w:ilvl w:val="0"/>
          <w:numId w:val="16"/>
        </w:numPr>
      </w:pPr>
      <w:r>
        <w:rPr>
          <w:i/>
        </w:rPr>
        <w:t>p</w:t>
      </w:r>
      <w:r w:rsidRPr="00725077">
        <w:rPr>
          <w:i/>
        </w:rPr>
        <w:t>oradensko</w:t>
      </w:r>
      <w:r w:rsidR="00083540" w:rsidRPr="00725077">
        <w:rPr>
          <w:i/>
        </w:rPr>
        <w:t>-preventivní činnost“</w:t>
      </w:r>
      <w:r>
        <w:rPr>
          <w:i/>
        </w:rPr>
        <w:t>.</w:t>
      </w:r>
      <w:r w:rsidR="00083540" w:rsidRPr="00725077">
        <w:rPr>
          <w:rStyle w:val="Znakapoznpodarou"/>
          <w:iCs/>
        </w:rPr>
        <w:footnoteReference w:id="136"/>
      </w:r>
    </w:p>
    <w:p w14:paraId="5A8AF968" w14:textId="4C4DBA50" w:rsidR="00083540" w:rsidRPr="00E943B1" w:rsidRDefault="00083540" w:rsidP="00725077">
      <w:pPr>
        <w:pStyle w:val="format"/>
        <w:rPr>
          <w:i/>
          <w:iCs/>
        </w:rPr>
      </w:pPr>
      <w:r w:rsidRPr="00E943B1">
        <w:t>Oba výše zmíněné zákony</w:t>
      </w:r>
      <w:r w:rsidRPr="00E943B1">
        <w:rPr>
          <w:rStyle w:val="Znakapoznpodarou"/>
        </w:rPr>
        <w:footnoteReference w:id="137"/>
      </w:r>
      <w:r w:rsidRPr="00E943B1">
        <w:t xml:space="preserve"> v</w:t>
      </w:r>
      <w:r w:rsidR="00E262D2">
        <w:t xml:space="preserve"> </w:t>
      </w:r>
      <w:r w:rsidRPr="00E943B1">
        <w:t>předmětných ustanovení</w:t>
      </w:r>
      <w:r w:rsidR="00761130">
        <w:t>ch</w:t>
      </w:r>
      <w:r w:rsidRPr="00E943B1">
        <w:t xml:space="preserve"> rovněž používají „zvláštní způsob ochrany“</w:t>
      </w:r>
      <w:r w:rsidR="006D3D84">
        <w:t>,</w:t>
      </w:r>
      <w:r w:rsidR="007D7B49" w:rsidRPr="00E943B1">
        <w:t xml:space="preserve"> </w:t>
      </w:r>
      <w:r w:rsidR="006D3D84">
        <w:t>čímž</w:t>
      </w:r>
      <w:r w:rsidRPr="00E943B1">
        <w:t xml:space="preserve"> </w:t>
      </w:r>
      <w:r w:rsidR="007D7B49" w:rsidRPr="00725077">
        <w:t>odkazují</w:t>
      </w:r>
      <w:r w:rsidRPr="00E943B1">
        <w:t xml:space="preserve"> na již zmiňovaný zákon o zvláštní ochraně svědka a dalších osob v</w:t>
      </w:r>
      <w:r w:rsidR="00E262D2">
        <w:t xml:space="preserve"> </w:t>
      </w:r>
      <w:r w:rsidRPr="00E943B1">
        <w:t>souvislosti s</w:t>
      </w:r>
      <w:r w:rsidR="00E262D2">
        <w:t xml:space="preserve"> </w:t>
      </w:r>
      <w:r w:rsidRPr="00E943B1">
        <w:t>trestním řízením.</w:t>
      </w:r>
      <w:r w:rsidR="007D7B49" w:rsidRPr="00E943B1">
        <w:t xml:space="preserve"> Ona zvláštní ochrana a pomoc je pak </w:t>
      </w:r>
      <w:r w:rsidR="006D3D84" w:rsidRPr="00E943B1">
        <w:t>definov</w:t>
      </w:r>
      <w:r w:rsidR="006D3D84">
        <w:t>ána</w:t>
      </w:r>
      <w:r w:rsidR="006D3D84" w:rsidRPr="00E943B1">
        <w:t xml:space="preserve"> </w:t>
      </w:r>
      <w:r w:rsidR="007D7B49" w:rsidRPr="00E943B1">
        <w:t>v</w:t>
      </w:r>
      <w:r w:rsidR="00E262D2">
        <w:t xml:space="preserve"> </w:t>
      </w:r>
      <w:r w:rsidR="007D7B49" w:rsidRPr="00E943B1">
        <w:t>ustanovení §</w:t>
      </w:r>
      <w:r w:rsidR="00973814">
        <w:t> </w:t>
      </w:r>
      <w:r w:rsidR="007D7B49" w:rsidRPr="00E943B1">
        <w:t xml:space="preserve">3 odst. 1 </w:t>
      </w:r>
      <w:r w:rsidR="006D3D84">
        <w:t>jako soubor opatření, která zahrnují:</w:t>
      </w:r>
    </w:p>
    <w:p w14:paraId="24E0ACEE" w14:textId="1541DA71" w:rsidR="007D7B49" w:rsidRPr="00725077" w:rsidRDefault="006D3D84" w:rsidP="003A78D1">
      <w:pPr>
        <w:pStyle w:val="format"/>
        <w:numPr>
          <w:ilvl w:val="0"/>
          <w:numId w:val="17"/>
        </w:numPr>
        <w:rPr>
          <w:i/>
        </w:rPr>
      </w:pPr>
      <w:r>
        <w:rPr>
          <w:i/>
        </w:rPr>
        <w:t>o</w:t>
      </w:r>
      <w:r w:rsidRPr="00725077">
        <w:rPr>
          <w:i/>
        </w:rPr>
        <w:t xml:space="preserve">sobní </w:t>
      </w:r>
      <w:r w:rsidR="007D7B49" w:rsidRPr="00725077">
        <w:rPr>
          <w:i/>
        </w:rPr>
        <w:t>ochranu</w:t>
      </w:r>
      <w:r>
        <w:rPr>
          <w:i/>
        </w:rPr>
        <w:t>,</w:t>
      </w:r>
    </w:p>
    <w:p w14:paraId="19DF8B69" w14:textId="1A65DD5F" w:rsidR="007D7B49" w:rsidRPr="00725077" w:rsidRDefault="006D3D84" w:rsidP="003A78D1">
      <w:pPr>
        <w:pStyle w:val="format"/>
        <w:numPr>
          <w:ilvl w:val="0"/>
          <w:numId w:val="17"/>
        </w:numPr>
        <w:rPr>
          <w:i/>
        </w:rPr>
      </w:pPr>
      <w:r>
        <w:rPr>
          <w:i/>
        </w:rPr>
        <w:t>p</w:t>
      </w:r>
      <w:r w:rsidRPr="00725077">
        <w:rPr>
          <w:i/>
        </w:rPr>
        <w:t xml:space="preserve">řestěhování </w:t>
      </w:r>
      <w:r w:rsidR="007D7B49" w:rsidRPr="00725077">
        <w:rPr>
          <w:i/>
        </w:rPr>
        <w:t>chráněné osoby včetně příslušníků její domácnosti a pomoc chráněné osobě za účelem jejího sociálního začlenění v</w:t>
      </w:r>
      <w:r w:rsidR="00E262D2" w:rsidRPr="00725077">
        <w:rPr>
          <w:i/>
        </w:rPr>
        <w:t xml:space="preserve"> </w:t>
      </w:r>
      <w:r w:rsidR="007D7B49" w:rsidRPr="00725077">
        <w:rPr>
          <w:i/>
        </w:rPr>
        <w:t>novém prostředí,</w:t>
      </w:r>
    </w:p>
    <w:p w14:paraId="5A775707" w14:textId="50EA4174" w:rsidR="007D7B49" w:rsidRPr="00725077" w:rsidRDefault="006D3D84" w:rsidP="003A78D1">
      <w:pPr>
        <w:pStyle w:val="format"/>
        <w:numPr>
          <w:ilvl w:val="0"/>
          <w:numId w:val="17"/>
        </w:numPr>
        <w:rPr>
          <w:i/>
        </w:rPr>
      </w:pPr>
      <w:r>
        <w:rPr>
          <w:i/>
        </w:rPr>
        <w:t>z</w:t>
      </w:r>
      <w:r w:rsidRPr="00725077">
        <w:rPr>
          <w:i/>
        </w:rPr>
        <w:t xml:space="preserve">astírání </w:t>
      </w:r>
      <w:r w:rsidR="007D7B49" w:rsidRPr="00725077">
        <w:rPr>
          <w:i/>
        </w:rPr>
        <w:t>skutečné totožnosti chráněné osoby</w:t>
      </w:r>
      <w:r w:rsidR="00DF1B2B">
        <w:rPr>
          <w:i/>
        </w:rPr>
        <w:t>,</w:t>
      </w:r>
    </w:p>
    <w:p w14:paraId="40145A4D" w14:textId="6CA5D229" w:rsidR="007D7B49" w:rsidRPr="00E943B1" w:rsidRDefault="00DF1B2B" w:rsidP="003A78D1">
      <w:pPr>
        <w:pStyle w:val="format"/>
        <w:numPr>
          <w:ilvl w:val="0"/>
          <w:numId w:val="17"/>
        </w:numPr>
      </w:pPr>
      <w:r>
        <w:rPr>
          <w:i/>
        </w:rPr>
        <w:t>p</w:t>
      </w:r>
      <w:r w:rsidRPr="00725077">
        <w:rPr>
          <w:i/>
        </w:rPr>
        <w:t xml:space="preserve">rověřování </w:t>
      </w:r>
      <w:r w:rsidR="007D7B49" w:rsidRPr="00725077">
        <w:rPr>
          <w:i/>
        </w:rPr>
        <w:t>dodržování podmínek poskytování zvláštní ochrany a pomoci“</w:t>
      </w:r>
      <w:r>
        <w:rPr>
          <w:i/>
        </w:rPr>
        <w:t>.</w:t>
      </w:r>
      <w:r w:rsidR="007D7B49" w:rsidRPr="00725077">
        <w:rPr>
          <w:rStyle w:val="Znakapoznpodarou"/>
          <w:iCs/>
        </w:rPr>
        <w:footnoteReference w:id="138"/>
      </w:r>
    </w:p>
    <w:p w14:paraId="5B836B70" w14:textId="0A7F9952" w:rsidR="007D7B49" w:rsidRPr="00E943B1" w:rsidRDefault="00C80C21" w:rsidP="00725077">
      <w:pPr>
        <w:pStyle w:val="format"/>
      </w:pPr>
      <w:r w:rsidRPr="00E943B1">
        <w:lastRenderedPageBreak/>
        <w:t>Tuto zvláštní ochranu a pomoc pak poskytuje Policie České republiky a Vězeňská služba České republiky, nicméně vězeňská služba může vykonávat pouze opatření dle písm. a) a c). Taktéž je zajištěna kooperace mezi policií a vězeňskou službou.</w:t>
      </w:r>
      <w:r w:rsidRPr="00761130">
        <w:rPr>
          <w:rStyle w:val="Znakapoznpodarou"/>
          <w:iCs/>
        </w:rPr>
        <w:footnoteReference w:id="139"/>
      </w:r>
    </w:p>
    <w:p w14:paraId="3F10426E" w14:textId="24FD7656" w:rsidR="00C80C21" w:rsidRPr="00E943B1" w:rsidRDefault="00C80C21" w:rsidP="00725077">
      <w:pPr>
        <w:pStyle w:val="format"/>
      </w:pPr>
      <w:r w:rsidRPr="00E943B1">
        <w:t xml:space="preserve">Ochrana dle tohoto zákona se uděluje ohroženým osobám, </w:t>
      </w:r>
      <w:r w:rsidR="00DF1B2B">
        <w:t>jimiž</w:t>
      </w:r>
      <w:r w:rsidR="00DF1B2B" w:rsidRPr="00E943B1">
        <w:t xml:space="preserve"> </w:t>
      </w:r>
      <w:r w:rsidRPr="00E943B1">
        <w:t>se rozumí osoby dle § 2 odst. 1 předmětného zákona. Čili osoba, která podala nebo má podat vysvětlení, svědeckou výpověď nebo vypovídala či má vypovídat jako obviněný</w:t>
      </w:r>
      <w:r w:rsidR="00DF1B2B">
        <w:t>,</w:t>
      </w:r>
      <w:r w:rsidRPr="00E943B1">
        <w:t xml:space="preserve"> </w:t>
      </w:r>
      <w:r w:rsidR="00DF1B2B">
        <w:t>popřípadě</w:t>
      </w:r>
      <w:r w:rsidR="00DF1B2B" w:rsidRPr="00E943B1">
        <w:t xml:space="preserve"> </w:t>
      </w:r>
      <w:r w:rsidRPr="00E943B1">
        <w:t>jinak pomáhala nebo má pomoci podle ustanovení trestního řádu k</w:t>
      </w:r>
      <w:r w:rsidR="00E262D2">
        <w:t xml:space="preserve"> </w:t>
      </w:r>
      <w:r w:rsidRPr="00E943B1">
        <w:t>dosažení účelu trestního řízení</w:t>
      </w:r>
      <w:r w:rsidR="00EE5D69" w:rsidRPr="00E943B1">
        <w:t>. Dále se považuje za</w:t>
      </w:r>
      <w:r w:rsidR="00973814">
        <w:t> </w:t>
      </w:r>
      <w:r w:rsidR="00EE5D69" w:rsidRPr="00E943B1">
        <w:t xml:space="preserve">osoby ohrožené i znalec a tlumočník, popřípadě i obhájce, který obviněného zastupoval a </w:t>
      </w:r>
      <w:r w:rsidR="00957041">
        <w:t xml:space="preserve">před kterým </w:t>
      </w:r>
      <w:r w:rsidR="00EE5D69" w:rsidRPr="00E943B1">
        <w:t>obviněný vypovídal</w:t>
      </w:r>
      <w:r w:rsidR="00957041">
        <w:t>.</w:t>
      </w:r>
      <w:r w:rsidR="00EE5D69" w:rsidRPr="00E943B1">
        <w:rPr>
          <w:rStyle w:val="Znakapoznpodarou"/>
        </w:rPr>
        <w:footnoteReference w:id="140"/>
      </w:r>
      <w:r w:rsidR="00EE5D69" w:rsidRPr="00E943B1">
        <w:t xml:space="preserve"> V</w:t>
      </w:r>
      <w:r w:rsidR="00E262D2">
        <w:t xml:space="preserve"> </w:t>
      </w:r>
      <w:r w:rsidR="00EE5D69" w:rsidRPr="00E943B1">
        <w:t>poslední řadě dané ustanovení dopadá i na osoby blízké. Tyto osoby pak musí se zvláštní ochranou souhlasit a ve finále musí návrh policie, soudce či státního zástupce schválit ministr vn</w:t>
      </w:r>
      <w:r w:rsidR="00140818">
        <w:t>itra dle ustanovení § 4 odst. 1</w:t>
      </w:r>
      <w:r w:rsidR="00EE5D69" w:rsidRPr="00E943B1">
        <w:t xml:space="preserve"> předmětného zákona.</w:t>
      </w:r>
    </w:p>
    <w:p w14:paraId="3FC54286" w14:textId="78391173" w:rsidR="00EE5D69" w:rsidRPr="00E943B1" w:rsidRDefault="00EE5D69" w:rsidP="00725077">
      <w:pPr>
        <w:pStyle w:val="format"/>
      </w:pPr>
      <w:r w:rsidRPr="00E943B1">
        <w:t>S</w:t>
      </w:r>
      <w:r w:rsidR="00E262D2">
        <w:t xml:space="preserve"> </w:t>
      </w:r>
      <w:r w:rsidRPr="00E943B1">
        <w:t>umístěním do této zvláštní ochrany souvisí i povinnosti, které osoba umístěná do této ochrany musí respektovat a dodržovat</w:t>
      </w:r>
      <w:r w:rsidR="00C97760">
        <w:t>,</w:t>
      </w:r>
      <w:r w:rsidRPr="00E943B1">
        <w:rPr>
          <w:rStyle w:val="Znakapoznpodarou"/>
        </w:rPr>
        <w:footnoteReference w:id="141"/>
      </w:r>
      <w:r w:rsidRPr="00E943B1">
        <w:t xml:space="preserve"> jinak v</w:t>
      </w:r>
      <w:r w:rsidR="00E262D2">
        <w:t xml:space="preserve"> </w:t>
      </w:r>
      <w:r w:rsidRPr="00E943B1">
        <w:t>nejhorším případě může dojít k</w:t>
      </w:r>
      <w:r w:rsidR="00E262D2">
        <w:t xml:space="preserve"> </w:t>
      </w:r>
      <w:r w:rsidRPr="00E943B1">
        <w:t>odejmutí poskytování zvláštní ochrany.</w:t>
      </w:r>
    </w:p>
    <w:p w14:paraId="4EDA7953" w14:textId="4074DBAD" w:rsidR="00725077" w:rsidRDefault="00EE5D69" w:rsidP="00725077">
      <w:pPr>
        <w:pStyle w:val="format"/>
      </w:pPr>
      <w:r w:rsidRPr="00E943B1">
        <w:t>Jak jsem již předestřel, tak ani v</w:t>
      </w:r>
      <w:r w:rsidR="00E262D2">
        <w:t xml:space="preserve"> </w:t>
      </w:r>
      <w:r w:rsidRPr="00E943B1">
        <w:t>jednom z</w:t>
      </w:r>
      <w:r w:rsidR="00E262D2">
        <w:t xml:space="preserve"> </w:t>
      </w:r>
      <w:r w:rsidRPr="00E943B1">
        <w:t>výše zmiňovaných zákonů se nepracuje výhradně se</w:t>
      </w:r>
      <w:r w:rsidR="00E262D2">
        <w:t xml:space="preserve"> </w:t>
      </w:r>
      <w:r w:rsidRPr="00E943B1">
        <w:t>spolupracujícím obviněným, nicméně spolupracujícího obviněného lze zařadit do</w:t>
      </w:r>
      <w:r w:rsidR="00973814">
        <w:t> </w:t>
      </w:r>
      <w:r w:rsidRPr="00E943B1">
        <w:t>poskytování zvláštní ochrany dle § 2 odst. 1 z</w:t>
      </w:r>
      <w:r w:rsidR="005C1965">
        <w:t>ákona</w:t>
      </w:r>
      <w:r w:rsidRPr="00E943B1">
        <w:t xml:space="preserve"> č. 137/2001 Sb., jelikož se jedná o</w:t>
      </w:r>
      <w:r w:rsidR="00973814">
        <w:t> </w:t>
      </w:r>
      <w:r w:rsidRPr="00E943B1">
        <w:t>obviněného, který vypovídal nebo má vypovídat</w:t>
      </w:r>
      <w:r w:rsidR="00C97760">
        <w:t>,</w:t>
      </w:r>
      <w:r w:rsidR="00F6115E" w:rsidRPr="00E943B1">
        <w:t xml:space="preserve"> a ochranu lze po</w:t>
      </w:r>
      <w:r w:rsidR="00725077">
        <w:t>skytnout i jeho blízkým osobám.</w:t>
      </w:r>
    </w:p>
    <w:p w14:paraId="043629FA" w14:textId="7D987424" w:rsidR="008B28FD" w:rsidRPr="00E943B1" w:rsidRDefault="00725077" w:rsidP="00725077">
      <w:pPr>
        <w:pStyle w:val="Nadpis1"/>
        <w:numPr>
          <w:ilvl w:val="0"/>
          <w:numId w:val="0"/>
        </w:numPr>
      </w:pPr>
      <w:r>
        <w:br w:type="page"/>
      </w:r>
      <w:bookmarkStart w:id="47" w:name="_Toc170638020"/>
      <w:r w:rsidR="008B28FD" w:rsidRPr="00E943B1">
        <w:lastRenderedPageBreak/>
        <w:t>Závěr</w:t>
      </w:r>
      <w:bookmarkEnd w:id="47"/>
    </w:p>
    <w:p w14:paraId="152691F0" w14:textId="4E22015C" w:rsidR="008B28FD" w:rsidRPr="00E943B1" w:rsidRDefault="002464B0" w:rsidP="005C1965">
      <w:pPr>
        <w:pStyle w:val="format"/>
      </w:pPr>
      <w:r w:rsidRPr="00E943B1">
        <w:t>V</w:t>
      </w:r>
      <w:r w:rsidR="00E262D2">
        <w:t xml:space="preserve"> </w:t>
      </w:r>
      <w:r w:rsidRPr="00E943B1">
        <w:t xml:space="preserve">závěru bych rád odpověděl na </w:t>
      </w:r>
      <w:r w:rsidR="007E06A9">
        <w:t>stanovené</w:t>
      </w:r>
      <w:r w:rsidR="007E06A9" w:rsidRPr="00E943B1">
        <w:t xml:space="preserve"> </w:t>
      </w:r>
      <w:r w:rsidRPr="00E943B1">
        <w:t>výzkumné otázky, které byly položeny v</w:t>
      </w:r>
      <w:r w:rsidR="00973814">
        <w:t> </w:t>
      </w:r>
      <w:r w:rsidRPr="00E943B1">
        <w:t xml:space="preserve">úvodu </w:t>
      </w:r>
      <w:r w:rsidR="00C97760">
        <w:t>této</w:t>
      </w:r>
      <w:r w:rsidR="00C97760" w:rsidRPr="00E943B1">
        <w:t xml:space="preserve"> </w:t>
      </w:r>
      <w:r w:rsidRPr="00E943B1">
        <w:t xml:space="preserve">diplomové práce. Spolupracující obviněný versus vybrané zásady trestního práva. Na první pohled je </w:t>
      </w:r>
      <w:r w:rsidR="00587249" w:rsidRPr="00E943B1">
        <w:t>zřejm</w:t>
      </w:r>
      <w:r w:rsidR="00587249">
        <w:t>é</w:t>
      </w:r>
      <w:r w:rsidRPr="00E943B1">
        <w:t>, že spolupracující obviněný může představovat zásah do zásady legality. Nicméně po podrobnějším zkoumání lze vyvodit, že tento institut nepředstavuje zásah do této zásady, jelikož trestní stíhání jako takové bude zahájeno</w:t>
      </w:r>
      <w:r w:rsidR="00587249">
        <w:t>,</w:t>
      </w:r>
      <w:r w:rsidRPr="00E943B1">
        <w:t xml:space="preserve"> </w:t>
      </w:r>
      <w:r w:rsidR="00587249">
        <w:t>tudíž</w:t>
      </w:r>
      <w:r w:rsidR="00587249" w:rsidRPr="00E943B1">
        <w:t xml:space="preserve"> </w:t>
      </w:r>
      <w:r w:rsidRPr="00E943B1">
        <w:t>je tímto splněna i</w:t>
      </w:r>
      <w:r w:rsidR="00973814">
        <w:t> </w:t>
      </w:r>
      <w:r w:rsidRPr="00E943B1">
        <w:t xml:space="preserve">povinnost státního zástupce stíhat všechny trestné činy, o </w:t>
      </w:r>
      <w:r w:rsidR="00587249">
        <w:t>nichž</w:t>
      </w:r>
      <w:r w:rsidR="00587249" w:rsidRPr="00E943B1">
        <w:t xml:space="preserve"> </w:t>
      </w:r>
      <w:r w:rsidRPr="00E943B1">
        <w:t>se dozví.</w:t>
      </w:r>
      <w:r w:rsidR="00DF68C8" w:rsidRPr="00E943B1">
        <w:t xml:space="preserve"> Tím se tento institut mimo jiné odlišuje od korunního svědka, který měl být původně vtažen </w:t>
      </w:r>
      <w:r w:rsidR="00FD7E1F">
        <w:t xml:space="preserve">i </w:t>
      </w:r>
      <w:r w:rsidR="00DF68C8" w:rsidRPr="00E943B1">
        <w:t>do české právní úpravy.</w:t>
      </w:r>
      <w:r w:rsidRPr="00E943B1">
        <w:t xml:space="preserve"> Zásada rovnosti zbraní není tímto institutem dotčena, ba naopak díky této </w:t>
      </w:r>
      <w:r w:rsidR="00346734" w:rsidRPr="00E943B1">
        <w:t>zásad</w:t>
      </w:r>
      <w:r w:rsidR="00346734">
        <w:t>ě</w:t>
      </w:r>
      <w:r w:rsidR="00346734" w:rsidRPr="00E943B1">
        <w:t xml:space="preserve"> </w:t>
      </w:r>
      <w:r w:rsidRPr="00E943B1">
        <w:t xml:space="preserve">je zajištěna možnost spolupracujícího obviněného znát právní posouzení označení, </w:t>
      </w:r>
      <w:r w:rsidR="00346734">
        <w:t xml:space="preserve">a to </w:t>
      </w:r>
      <w:r w:rsidRPr="00E943B1">
        <w:t>kdykoli během řízení, aby v</w:t>
      </w:r>
      <w:r w:rsidR="00E262D2">
        <w:t xml:space="preserve"> </w:t>
      </w:r>
      <w:r w:rsidRPr="00E943B1">
        <w:t>případě odejmutí mohl upravit svůj postup v</w:t>
      </w:r>
      <w:r w:rsidR="00E262D2">
        <w:t xml:space="preserve"> </w:t>
      </w:r>
      <w:r w:rsidR="005C1965">
        <w:t>rámci obhajoby.</w:t>
      </w:r>
    </w:p>
    <w:p w14:paraId="58D78CB4" w14:textId="1A2C5E9A" w:rsidR="00DF68C8" w:rsidRPr="00E943B1" w:rsidRDefault="00DF68C8" w:rsidP="005C1965">
      <w:pPr>
        <w:pStyle w:val="format"/>
      </w:pPr>
      <w:r w:rsidRPr="00E943B1">
        <w:t>Co se týče využití institutu v</w:t>
      </w:r>
      <w:r w:rsidR="00073C2D">
        <w:t xml:space="preserve"> </w:t>
      </w:r>
      <w:r w:rsidRPr="00E943B1">
        <w:t>praxi</w:t>
      </w:r>
      <w:r w:rsidR="00140818">
        <w:t>,</w:t>
      </w:r>
      <w:r w:rsidRPr="00E943B1">
        <w:t xml:space="preserve"> došel jsem k</w:t>
      </w:r>
      <w:r w:rsidR="00E262D2">
        <w:t xml:space="preserve"> </w:t>
      </w:r>
      <w:r w:rsidRPr="00E943B1">
        <w:t>následujícím závěrům. Lze spatřovat postupně vzrůstající tendenci tento institut využívat v</w:t>
      </w:r>
      <w:r w:rsidR="00E262D2">
        <w:t xml:space="preserve"> </w:t>
      </w:r>
      <w:r w:rsidRPr="00E943B1">
        <w:t xml:space="preserve">praxi. </w:t>
      </w:r>
      <w:r w:rsidR="001E4908">
        <w:t>Za</w:t>
      </w:r>
      <w:r w:rsidR="001E4908" w:rsidRPr="00E943B1">
        <w:t xml:space="preserve"> </w:t>
      </w:r>
      <w:r w:rsidRPr="00E943B1">
        <w:t xml:space="preserve">průkopníka v </w:t>
      </w:r>
      <w:r w:rsidR="00470563">
        <w:t>širokém</w:t>
      </w:r>
      <w:r w:rsidRPr="00E943B1">
        <w:t xml:space="preserve"> využívání institutu spolupracujícího obviněného lze označit </w:t>
      </w:r>
      <w:r w:rsidR="00346734">
        <w:t>K</w:t>
      </w:r>
      <w:r w:rsidR="00346734" w:rsidRPr="00E943B1">
        <w:t xml:space="preserve">rajské </w:t>
      </w:r>
      <w:r w:rsidRPr="00E943B1">
        <w:t>státní zastupitelství v</w:t>
      </w:r>
      <w:r w:rsidR="00E262D2">
        <w:t xml:space="preserve"> </w:t>
      </w:r>
      <w:r w:rsidRPr="00E943B1">
        <w:t xml:space="preserve">Ústí nad Labem, </w:t>
      </w:r>
      <w:r w:rsidR="001E4908">
        <w:t>jež</w:t>
      </w:r>
      <w:r w:rsidR="001E4908" w:rsidRPr="00E943B1">
        <w:t xml:space="preserve"> </w:t>
      </w:r>
      <w:r w:rsidRPr="00E943B1">
        <w:t xml:space="preserve">tento institut </w:t>
      </w:r>
      <w:r w:rsidR="00346734">
        <w:t>v</w:t>
      </w:r>
      <w:r w:rsidR="00073C2D">
        <w:t xml:space="preserve"> </w:t>
      </w:r>
      <w:r w:rsidR="00346734">
        <w:t xml:space="preserve">plné míře </w:t>
      </w:r>
      <w:r w:rsidRPr="00E943B1">
        <w:t xml:space="preserve">používá do dnes. Poslední novela předmětného institutu přinesla </w:t>
      </w:r>
      <w:r w:rsidR="003B2BEB">
        <w:t>žádané</w:t>
      </w:r>
      <w:r w:rsidR="003B2BEB" w:rsidRPr="00E943B1">
        <w:t xml:space="preserve"> </w:t>
      </w:r>
      <w:r w:rsidRPr="00E943B1">
        <w:t xml:space="preserve">změny, </w:t>
      </w:r>
      <w:r w:rsidR="001E4908">
        <w:t>jmenovitě</w:t>
      </w:r>
      <w:r w:rsidR="001E4908" w:rsidRPr="00E943B1">
        <w:t xml:space="preserve"> </w:t>
      </w:r>
      <w:r w:rsidRPr="00E943B1">
        <w:t xml:space="preserve">novou možnost označení za spolupracujícího obviněného, kterou již využilo </w:t>
      </w:r>
      <w:r w:rsidR="003B2BEB">
        <w:t>K</w:t>
      </w:r>
      <w:r w:rsidR="003B2BEB" w:rsidRPr="00E943B1">
        <w:t xml:space="preserve">rajské </w:t>
      </w:r>
      <w:r w:rsidRPr="00E943B1">
        <w:t>státní zastupitelství v</w:t>
      </w:r>
      <w:r w:rsidR="00E262D2">
        <w:t xml:space="preserve"> </w:t>
      </w:r>
      <w:r w:rsidRPr="00E943B1">
        <w:t xml:space="preserve">Brně celkem </w:t>
      </w:r>
      <w:r w:rsidR="003B2BEB">
        <w:t>5x</w:t>
      </w:r>
      <w:r w:rsidRPr="00E943B1">
        <w:t>, a tento nový způsob označení by mohl taktéž dále navýšit celkovou četnost využívání. Bohužel se mi v</w:t>
      </w:r>
      <w:r w:rsidR="00E262D2">
        <w:t xml:space="preserve"> </w:t>
      </w:r>
      <w:r w:rsidRPr="00E943B1">
        <w:t>tomto ohledu podařilo získat pouze data z</w:t>
      </w:r>
      <w:r w:rsidR="00E262D2">
        <w:t xml:space="preserve"> </w:t>
      </w:r>
      <w:r w:rsidRPr="00E943B1">
        <w:t xml:space="preserve">brněnského státního zastupitelství. Otázkou tedy zůstává, zda je tento nový způsob označení využívaný </w:t>
      </w:r>
      <w:r w:rsidR="003B2BEB">
        <w:t xml:space="preserve">také </w:t>
      </w:r>
      <w:r w:rsidRPr="00E943B1">
        <w:t>v</w:t>
      </w:r>
      <w:r w:rsidR="00E262D2">
        <w:t xml:space="preserve"> </w:t>
      </w:r>
      <w:r w:rsidRPr="00E943B1">
        <w:t>rámci ostatních krajských státních zastupitelství. Zpočátku jsem taktéž</w:t>
      </w:r>
      <w:r w:rsidR="00F729C6">
        <w:t xml:space="preserve"> </w:t>
      </w:r>
      <w:r w:rsidR="003B2BEB">
        <w:t>zvažoval možnost</w:t>
      </w:r>
      <w:r w:rsidRPr="00E943B1">
        <w:t xml:space="preserve"> obligatorního označení </w:t>
      </w:r>
      <w:r w:rsidR="00BC17CD" w:rsidRPr="00E943B1">
        <w:t xml:space="preserve">obviněného za spolupracujícího, pokud by </w:t>
      </w:r>
      <w:r w:rsidR="0076149E">
        <w:t xml:space="preserve">tedy </w:t>
      </w:r>
      <w:r w:rsidR="00BC17CD" w:rsidRPr="00E943B1">
        <w:t xml:space="preserve">byly splněny všechny zákonné požadavky, jelikož </w:t>
      </w:r>
      <w:r w:rsidR="00E556AF">
        <w:t>se domnívám</w:t>
      </w:r>
      <w:r w:rsidR="00BC17CD" w:rsidRPr="00E943B1">
        <w:t>, že v</w:t>
      </w:r>
      <w:r w:rsidR="00E262D2">
        <w:t xml:space="preserve"> </w:t>
      </w:r>
      <w:r w:rsidR="00BC17CD" w:rsidRPr="00E943B1">
        <w:t xml:space="preserve">tomto ohledu jsou podmínky nastaveny objektivně přísně, a proto by </w:t>
      </w:r>
      <w:r w:rsidR="0076149E">
        <w:t>bylo možné</w:t>
      </w:r>
      <w:r w:rsidR="00BC17CD" w:rsidRPr="00E943B1">
        <w:t xml:space="preserve"> o obligatorním označení uvažovat. Avšak nyní od této myšlenky ustupuji, zejména protože nelze takto „plošně“ </w:t>
      </w:r>
      <w:r w:rsidR="00E556AF">
        <w:t>dané</w:t>
      </w:r>
      <w:r w:rsidR="00E556AF" w:rsidRPr="00E943B1">
        <w:t xml:space="preserve"> </w:t>
      </w:r>
      <w:r w:rsidR="00BC17CD" w:rsidRPr="00E943B1">
        <w:t>označení udělit.</w:t>
      </w:r>
      <w:r w:rsidR="00AA29D5" w:rsidRPr="00E943B1">
        <w:t xml:space="preserve"> Obligatorní udělení by znemožnilo posuzov</w:t>
      </w:r>
      <w:r w:rsidR="00140818">
        <w:t>á</w:t>
      </w:r>
      <w:r w:rsidR="00AA29D5" w:rsidRPr="00E943B1">
        <w:t>ní jednotlivých okolností konkrétních případů, jakožto osoby obviněného, míru přispění k</w:t>
      </w:r>
      <w:r w:rsidR="00E262D2">
        <w:t xml:space="preserve"> </w:t>
      </w:r>
      <w:r w:rsidR="00AA29D5" w:rsidRPr="00E943B1">
        <w:t xml:space="preserve">objasnění trestného činu </w:t>
      </w:r>
      <w:r w:rsidR="00E556AF">
        <w:t>aj</w:t>
      </w:r>
      <w:r w:rsidR="00AA29D5" w:rsidRPr="00E943B1">
        <w:t>.</w:t>
      </w:r>
      <w:r w:rsidR="00AA29D5" w:rsidRPr="00E943B1">
        <w:rPr>
          <w:rStyle w:val="Znakapoznpodarou"/>
        </w:rPr>
        <w:footnoteReference w:id="142"/>
      </w:r>
      <w:r w:rsidR="00AA29D5" w:rsidRPr="00E943B1">
        <w:t xml:space="preserve"> Odstavec 2 ustanovení § 178a TŘ by však zůstal nedotčen a státní zástupce by mohl </w:t>
      </w:r>
      <w:r w:rsidR="00E556AF">
        <w:t>i nadále</w:t>
      </w:r>
      <w:r w:rsidR="00E556AF" w:rsidRPr="00E943B1">
        <w:t xml:space="preserve"> navrh</w:t>
      </w:r>
      <w:r w:rsidR="00E556AF">
        <w:t>ovat</w:t>
      </w:r>
      <w:r w:rsidR="00E556AF" w:rsidRPr="00E943B1">
        <w:t xml:space="preserve"> </w:t>
      </w:r>
      <w:r w:rsidR="00AA29D5" w:rsidRPr="005C1965">
        <w:t>upuštění</w:t>
      </w:r>
      <w:r w:rsidR="00AA29D5" w:rsidRPr="00E943B1">
        <w:t xml:space="preserve"> od</w:t>
      </w:r>
      <w:r w:rsidR="00973814">
        <w:t> </w:t>
      </w:r>
      <w:r w:rsidR="00AA29D5" w:rsidRPr="00E943B1">
        <w:t xml:space="preserve">potrestání na základě splnění podmínek a fakultativního posouzení ostatních okolností. Důležité je však zdůraznit, že ať </w:t>
      </w:r>
      <w:r w:rsidR="005270C8" w:rsidRPr="00E943B1">
        <w:t xml:space="preserve">se jedná o odstavec 1 písm. c) nebo </w:t>
      </w:r>
      <w:r w:rsidR="00E556AF">
        <w:t xml:space="preserve">o </w:t>
      </w:r>
      <w:r w:rsidR="005270C8" w:rsidRPr="00E943B1">
        <w:t xml:space="preserve">odstavec 2 předmětného </w:t>
      </w:r>
      <w:r w:rsidR="005270C8" w:rsidRPr="00E943B1">
        <w:lastRenderedPageBreak/>
        <w:t>ustanovení, v</w:t>
      </w:r>
      <w:r w:rsidR="00E262D2">
        <w:t xml:space="preserve"> </w:t>
      </w:r>
      <w:r w:rsidR="005270C8" w:rsidRPr="00E943B1">
        <w:t xml:space="preserve">obou případech </w:t>
      </w:r>
      <w:r w:rsidR="00E556AF">
        <w:t>jde</w:t>
      </w:r>
      <w:r w:rsidR="005270C8" w:rsidRPr="00E943B1">
        <w:t xml:space="preserve"> o fakultativní výčet, což i </w:t>
      </w:r>
      <w:r w:rsidR="00DE5168">
        <w:t>zdůrazňuji</w:t>
      </w:r>
      <w:r w:rsidR="00DE5168" w:rsidRPr="00E943B1">
        <w:t xml:space="preserve"> </w:t>
      </w:r>
      <w:r w:rsidR="005270C8" w:rsidRPr="00E943B1">
        <w:t>v</w:t>
      </w:r>
      <w:r w:rsidR="00DE5168">
        <w:t xml:space="preserve"> této</w:t>
      </w:r>
      <w:r w:rsidR="005270C8" w:rsidRPr="00E943B1">
        <w:t xml:space="preserve"> své práci.</w:t>
      </w:r>
      <w:r w:rsidR="005270C8" w:rsidRPr="00E943B1">
        <w:rPr>
          <w:rStyle w:val="Znakapoznpodarou"/>
        </w:rPr>
        <w:footnoteReference w:id="143"/>
      </w:r>
      <w:r w:rsidR="005270C8" w:rsidRPr="00E943B1">
        <w:t xml:space="preserve"> Obligatorní označení by dle mého názoru vedlo pouze k</w:t>
      </w:r>
      <w:r w:rsidR="00E262D2">
        <w:t xml:space="preserve"> </w:t>
      </w:r>
      <w:r w:rsidR="005270C8" w:rsidRPr="00E943B1">
        <w:t>umělému navýšení četnosti</w:t>
      </w:r>
      <w:r w:rsidR="005C1965">
        <w:t xml:space="preserve"> použití předmětného institutu.</w:t>
      </w:r>
    </w:p>
    <w:p w14:paraId="636B5717" w14:textId="487114CD" w:rsidR="005270C8" w:rsidRPr="00E943B1" w:rsidRDefault="005270C8" w:rsidP="005C1965">
      <w:pPr>
        <w:pStyle w:val="format"/>
      </w:pPr>
      <w:r w:rsidRPr="00E943B1">
        <w:t>Co se týče srovnávání zahraničních úprav s</w:t>
      </w:r>
      <w:r w:rsidR="00E262D2">
        <w:t xml:space="preserve"> </w:t>
      </w:r>
      <w:r w:rsidRPr="00E943B1">
        <w:t>českou úpravou, je možné spatřovat určité podobnosti s</w:t>
      </w:r>
      <w:r w:rsidR="00E262D2">
        <w:t xml:space="preserve"> </w:t>
      </w:r>
      <w:r w:rsidRPr="00E943B1">
        <w:t>naším institutem v</w:t>
      </w:r>
      <w:r w:rsidR="00E262D2">
        <w:t xml:space="preserve"> </w:t>
      </w:r>
      <w:r w:rsidRPr="00E943B1">
        <w:t>rámci mnou vybraných právních úprav jiných zemí. Se Slovenskou republikou je zde spatřována podobnost u dominantního postavení státního zástupce</w:t>
      </w:r>
      <w:r w:rsidR="0029122F" w:rsidRPr="00E943B1">
        <w:t xml:space="preserve">, </w:t>
      </w:r>
      <w:r w:rsidR="00AF5F73">
        <w:t xml:space="preserve">konkrétně </w:t>
      </w:r>
      <w:r w:rsidR="0029122F" w:rsidRPr="00E943B1">
        <w:t>co se týče označení obviněných za spolupracující. Na</w:t>
      </w:r>
      <w:r w:rsidR="00140818">
        <w:t xml:space="preserve"> </w:t>
      </w:r>
      <w:r w:rsidR="0029122F" w:rsidRPr="00E943B1">
        <w:t>druhou stranu slovenská právní úprava například stanovuje výčet</w:t>
      </w:r>
      <w:r w:rsidR="00E556AF">
        <w:t>,</w:t>
      </w:r>
      <w:r w:rsidR="0029122F" w:rsidRPr="00E943B1">
        <w:t xml:space="preserve"> v</w:t>
      </w:r>
      <w:r w:rsidR="00E262D2">
        <w:t xml:space="preserve"> </w:t>
      </w:r>
      <w:r w:rsidR="0029122F" w:rsidRPr="00E943B1">
        <w:t>jakých případech, respektive u jakých trestných činů lze toto</w:t>
      </w:r>
      <w:r w:rsidR="00973814">
        <w:t> </w:t>
      </w:r>
      <w:r w:rsidR="0029122F" w:rsidRPr="00E943B1">
        <w:t>označení použít,</w:t>
      </w:r>
      <w:r w:rsidR="0029122F" w:rsidRPr="00E943B1">
        <w:rPr>
          <w:rStyle w:val="Znakapoznpodarou"/>
        </w:rPr>
        <w:footnoteReference w:id="144"/>
      </w:r>
      <w:r w:rsidR="0029122F" w:rsidRPr="00E943B1">
        <w:t xml:space="preserve"> kdežto česká právní úprava používá pouze generální vymezení „v řízení o</w:t>
      </w:r>
      <w:r w:rsidR="00973814">
        <w:t> </w:t>
      </w:r>
      <w:r w:rsidR="0029122F" w:rsidRPr="00E943B1">
        <w:t>zločinech“.</w:t>
      </w:r>
      <w:r w:rsidR="0029122F" w:rsidRPr="00E943B1">
        <w:rPr>
          <w:rStyle w:val="Znakapoznpodarou"/>
        </w:rPr>
        <w:footnoteReference w:id="145"/>
      </w:r>
      <w:r w:rsidR="006D36C7" w:rsidRPr="00E943B1">
        <w:t xml:space="preserve"> V</w:t>
      </w:r>
      <w:r w:rsidR="00E262D2">
        <w:t xml:space="preserve"> </w:t>
      </w:r>
      <w:r w:rsidR="006D36C7" w:rsidRPr="00E943B1">
        <w:t xml:space="preserve">rámci </w:t>
      </w:r>
      <w:r w:rsidR="00E556AF">
        <w:t>USA</w:t>
      </w:r>
      <w:r w:rsidR="006D36C7" w:rsidRPr="00E943B1">
        <w:t xml:space="preserve"> jsou upraveny celkem tři instituty, které lze považovat za nástroje pro boj s</w:t>
      </w:r>
      <w:r w:rsidR="00E262D2">
        <w:t xml:space="preserve"> </w:t>
      </w:r>
      <w:r w:rsidR="006D36C7" w:rsidRPr="00E943B1">
        <w:t>organizovaným zločinem.</w:t>
      </w:r>
      <w:r w:rsidR="006D36C7" w:rsidRPr="00E943B1">
        <w:rPr>
          <w:rStyle w:val="Znakapoznpodarou"/>
        </w:rPr>
        <w:footnoteReference w:id="146"/>
      </w:r>
      <w:r w:rsidR="006D36C7" w:rsidRPr="00E943B1">
        <w:t xml:space="preserve"> I když se jedná o anglosaský systém</w:t>
      </w:r>
      <w:r w:rsidR="00E556AF">
        <w:t>,</w:t>
      </w:r>
      <w:r w:rsidR="006D36C7" w:rsidRPr="00E943B1">
        <w:t xml:space="preserve"> tak i přesto </w:t>
      </w:r>
      <w:r w:rsidR="00E556AF">
        <w:t xml:space="preserve">lze </w:t>
      </w:r>
      <w:r w:rsidR="006D36C7" w:rsidRPr="00E943B1">
        <w:t>spatřit podobnost v</w:t>
      </w:r>
      <w:r w:rsidR="00E262D2">
        <w:t xml:space="preserve"> </w:t>
      </w:r>
      <w:r w:rsidR="006D36C7" w:rsidRPr="00E943B1">
        <w:t>rámci institutu „cooperation agreements“</w:t>
      </w:r>
      <w:r w:rsidR="00BF7520" w:rsidRPr="00E943B1">
        <w:t>. Jejich účel je v</w:t>
      </w:r>
      <w:r w:rsidR="00E262D2">
        <w:t xml:space="preserve"> </w:t>
      </w:r>
      <w:r w:rsidR="00BF7520" w:rsidRPr="00E943B1">
        <w:t>obecné rovině podobný s</w:t>
      </w:r>
      <w:r w:rsidR="00973814">
        <w:t> </w:t>
      </w:r>
      <w:r w:rsidR="00BF7520" w:rsidRPr="00E943B1">
        <w:t>naším institutem</w:t>
      </w:r>
      <w:r w:rsidR="00E556AF">
        <w:t>,</w:t>
      </w:r>
      <w:r w:rsidR="00BF7520" w:rsidRPr="00E943B1">
        <w:t xml:space="preserve"> </w:t>
      </w:r>
      <w:r w:rsidR="00E556AF">
        <w:t>tj.</w:t>
      </w:r>
      <w:r w:rsidR="00E556AF" w:rsidRPr="00E943B1">
        <w:t xml:space="preserve"> </w:t>
      </w:r>
      <w:r w:rsidR="00BF7520" w:rsidRPr="00E943B1">
        <w:t>rozkrýt organizovanou zločineckou skupinu, usvědčit či vystavět případ vůči za normálních okolností „</w:t>
      </w:r>
      <w:r w:rsidR="00E556AF" w:rsidRPr="00E943B1">
        <w:t>nedopadnutelný</w:t>
      </w:r>
      <w:r w:rsidR="00E556AF">
        <w:t>m</w:t>
      </w:r>
      <w:r w:rsidR="00BF7520" w:rsidRPr="00E943B1">
        <w:t>“ osobám ve vyšších pozicích těchto skupin</w:t>
      </w:r>
      <w:r w:rsidR="00E556AF">
        <w:t>, a to</w:t>
      </w:r>
      <w:r w:rsidR="00BF7520" w:rsidRPr="00E943B1">
        <w:t xml:space="preserve"> za přislíbení příznivějšího trestu pro tyto spolupracující osoby. Druhý z</w:t>
      </w:r>
      <w:r w:rsidR="00E262D2">
        <w:t xml:space="preserve"> </w:t>
      </w:r>
      <w:r w:rsidR="00BF7520" w:rsidRPr="00E943B1">
        <w:t xml:space="preserve">těchto institutů pak představuje obdobu české „dohody o vině a trestu“ a třetí institut </w:t>
      </w:r>
      <w:r w:rsidR="00E556AF">
        <w:t xml:space="preserve">je </w:t>
      </w:r>
      <w:r w:rsidR="0019504F">
        <w:t>jistou</w:t>
      </w:r>
      <w:r w:rsidR="00E556AF" w:rsidRPr="00E943B1">
        <w:t xml:space="preserve"> </w:t>
      </w:r>
      <w:r w:rsidR="00BF7520" w:rsidRPr="00E943B1">
        <w:t>obdob</w:t>
      </w:r>
      <w:r w:rsidR="00E556AF">
        <w:t>o</w:t>
      </w:r>
      <w:r w:rsidR="00BF7520" w:rsidRPr="00E943B1">
        <w:t>u korunního svědka.</w:t>
      </w:r>
      <w:r w:rsidR="00BF7520" w:rsidRPr="00E943B1">
        <w:rPr>
          <w:rStyle w:val="Znakapoznpodarou"/>
        </w:rPr>
        <w:footnoteReference w:id="147"/>
      </w:r>
      <w:r w:rsidR="00BF7520" w:rsidRPr="00E943B1">
        <w:t xml:space="preserve"> Italská právní úprava používá dva instituty, které </w:t>
      </w:r>
      <w:r w:rsidR="008C60E4">
        <w:t>slouží</w:t>
      </w:r>
      <w:r w:rsidR="00BF7520" w:rsidRPr="00E943B1">
        <w:t xml:space="preserve"> k</w:t>
      </w:r>
      <w:r w:rsidR="00E262D2">
        <w:t xml:space="preserve"> </w:t>
      </w:r>
      <w:r w:rsidR="00BF7520" w:rsidRPr="00E943B1">
        <w:t>rozkrývání organizovaných skupin. Konkrétně „</w:t>
      </w:r>
      <w:r w:rsidR="00E556AF">
        <w:t>c</w:t>
      </w:r>
      <w:r w:rsidR="00E556AF" w:rsidRPr="00E943B1">
        <w:t xml:space="preserve">ollaboratore </w:t>
      </w:r>
      <w:r w:rsidR="00BF7520" w:rsidRPr="00E943B1">
        <w:t xml:space="preserve">di giustizia“ má nejblíže </w:t>
      </w:r>
      <w:r w:rsidR="00E556AF">
        <w:t>českému</w:t>
      </w:r>
      <w:r w:rsidR="00E556AF" w:rsidRPr="00E943B1">
        <w:t xml:space="preserve"> </w:t>
      </w:r>
      <w:r w:rsidR="00BF7520" w:rsidRPr="00E943B1">
        <w:t>institutu.</w:t>
      </w:r>
      <w:r w:rsidR="00BF7520" w:rsidRPr="00E943B1">
        <w:rPr>
          <w:rStyle w:val="Znakapoznpodarou"/>
        </w:rPr>
        <w:footnoteReference w:id="148"/>
      </w:r>
    </w:p>
    <w:p w14:paraId="51334460" w14:textId="77777777" w:rsidR="00694CA6" w:rsidRDefault="00BF7520" w:rsidP="005C1965">
      <w:pPr>
        <w:pStyle w:val="format"/>
        <w:rPr>
          <w:color w:val="000000"/>
        </w:rPr>
      </w:pPr>
      <w:r w:rsidRPr="00E943B1">
        <w:t>Každá z</w:t>
      </w:r>
      <w:r w:rsidR="00E262D2">
        <w:t xml:space="preserve"> </w:t>
      </w:r>
      <w:r w:rsidRPr="00E943B1">
        <w:t xml:space="preserve">výše zmíněných úprav </w:t>
      </w:r>
      <w:r w:rsidR="00E556AF">
        <w:t>vykazuje určité podobnosti</w:t>
      </w:r>
      <w:r w:rsidR="00EB39F9" w:rsidRPr="00E943B1">
        <w:t>, v</w:t>
      </w:r>
      <w:r w:rsidR="00E262D2">
        <w:t xml:space="preserve"> </w:t>
      </w:r>
      <w:r w:rsidR="00EB39F9" w:rsidRPr="00E943B1">
        <w:t xml:space="preserve">něčem se </w:t>
      </w:r>
      <w:r w:rsidR="0049004A">
        <w:t xml:space="preserve">však </w:t>
      </w:r>
      <w:r w:rsidR="00EB39F9" w:rsidRPr="00E943B1">
        <w:t>odlišuje, nebo dokonce obsahuje vícero institutů k</w:t>
      </w:r>
      <w:r w:rsidR="00E262D2">
        <w:t xml:space="preserve"> </w:t>
      </w:r>
      <w:r w:rsidR="00EB39F9" w:rsidRPr="00E943B1">
        <w:t xml:space="preserve">potírání organizovaného zločinu. Obecně si myslím, že inspirace zahraničními úpravami </w:t>
      </w:r>
      <w:r w:rsidR="00E556AF" w:rsidRPr="00E943B1">
        <w:t xml:space="preserve">ve smyslu vylepšování dosavadně fungujících institutů </w:t>
      </w:r>
      <w:r w:rsidR="00EB39F9" w:rsidRPr="00E943B1">
        <w:t xml:space="preserve">do určité míry </w:t>
      </w:r>
      <w:r w:rsidR="00E556AF">
        <w:t>postrádá</w:t>
      </w:r>
      <w:r w:rsidR="00E556AF" w:rsidRPr="00E943B1">
        <w:t xml:space="preserve"> </w:t>
      </w:r>
      <w:r w:rsidR="00023073">
        <w:t xml:space="preserve">svůj </w:t>
      </w:r>
      <w:r w:rsidR="00EB39F9" w:rsidRPr="00E943B1">
        <w:t>smysl, jelikož co funguje například v</w:t>
      </w:r>
      <w:r w:rsidR="00E262D2">
        <w:t xml:space="preserve"> </w:t>
      </w:r>
      <w:r w:rsidR="00EB39F9" w:rsidRPr="00E943B1">
        <w:t xml:space="preserve">Itálii, nemusí nutně fungovat </w:t>
      </w:r>
      <w:r w:rsidR="00C92BDC">
        <w:t xml:space="preserve">také </w:t>
      </w:r>
      <w:r w:rsidR="00EB39F9" w:rsidRPr="00E943B1">
        <w:t>v</w:t>
      </w:r>
      <w:r w:rsidR="00973814">
        <w:t> </w:t>
      </w:r>
      <w:r w:rsidR="00EB39F9" w:rsidRPr="00E943B1">
        <w:t>rámci právního řádu České republiky. Bavíme</w:t>
      </w:r>
      <w:r w:rsidR="00973814">
        <w:t xml:space="preserve">-li se však o zavedení nových či </w:t>
      </w:r>
      <w:r w:rsidR="00E556AF">
        <w:t xml:space="preserve">o </w:t>
      </w:r>
      <w:r w:rsidR="00EB39F9" w:rsidRPr="00E943B1">
        <w:t xml:space="preserve">novelizování zastaralých zákonů, lze považovat </w:t>
      </w:r>
      <w:r w:rsidR="00EB39F9" w:rsidRPr="005C1965">
        <w:t>inspiraci</w:t>
      </w:r>
      <w:r w:rsidR="00EB39F9" w:rsidRPr="00E943B1">
        <w:t xml:space="preserve"> zahraničními úpravami za </w:t>
      </w:r>
      <w:r w:rsidR="00C85E5D">
        <w:t xml:space="preserve">zcela </w:t>
      </w:r>
      <w:r w:rsidR="00EB39F9" w:rsidRPr="00E943B1">
        <w:t>adekvátní možnost. Konkrétně tím cílím na poněkud zastaralý zákon č.</w:t>
      </w:r>
      <w:r w:rsidR="00EB39F9" w:rsidRPr="00E943B1">
        <w:rPr>
          <w:color w:val="000000"/>
        </w:rPr>
        <w:t xml:space="preserve"> 137/2001 Sb., o zvláštní ochraně svědka a</w:t>
      </w:r>
      <w:r w:rsidR="00AF610A">
        <w:rPr>
          <w:color w:val="000000"/>
        </w:rPr>
        <w:t> </w:t>
      </w:r>
      <w:r w:rsidR="00EB39F9" w:rsidRPr="00E943B1">
        <w:rPr>
          <w:color w:val="000000"/>
        </w:rPr>
        <w:t>dalších osob v souvislosti s trestním řízením. Předmětný zákon v</w:t>
      </w:r>
      <w:r w:rsidR="00E262D2">
        <w:rPr>
          <w:color w:val="000000"/>
        </w:rPr>
        <w:t xml:space="preserve"> </w:t>
      </w:r>
      <w:r w:rsidR="00EB39F9" w:rsidRPr="00E943B1">
        <w:rPr>
          <w:color w:val="000000"/>
        </w:rPr>
        <w:t>prvé řadě vůbec nepracuje s</w:t>
      </w:r>
      <w:r w:rsidR="00AF610A">
        <w:rPr>
          <w:color w:val="000000"/>
        </w:rPr>
        <w:t> </w:t>
      </w:r>
      <w:r w:rsidR="00EB39F9" w:rsidRPr="00E943B1">
        <w:rPr>
          <w:color w:val="000000"/>
        </w:rPr>
        <w:t xml:space="preserve">pojmem spolupracující obviněný, což lze odůvodnit faktem, že institut spolupracující obviněný </w:t>
      </w:r>
      <w:r w:rsidR="00EB39F9" w:rsidRPr="00E943B1">
        <w:rPr>
          <w:color w:val="000000"/>
        </w:rPr>
        <w:lastRenderedPageBreak/>
        <w:t xml:space="preserve">nabyl účinnosti od 1. </w:t>
      </w:r>
      <w:r w:rsidR="00E556AF">
        <w:rPr>
          <w:color w:val="000000"/>
        </w:rPr>
        <w:t>ledna</w:t>
      </w:r>
      <w:r w:rsidR="00EB39F9" w:rsidRPr="00E943B1">
        <w:rPr>
          <w:color w:val="000000"/>
        </w:rPr>
        <w:t xml:space="preserve"> 2010</w:t>
      </w:r>
      <w:r w:rsidR="00E556AF">
        <w:rPr>
          <w:color w:val="000000"/>
        </w:rPr>
        <w:t>,</w:t>
      </w:r>
      <w:r w:rsidR="00EB39F9" w:rsidRPr="00E943B1">
        <w:rPr>
          <w:color w:val="000000"/>
        </w:rPr>
        <w:t xml:space="preserve"> </w:t>
      </w:r>
      <w:r w:rsidR="00E556AF">
        <w:rPr>
          <w:color w:val="000000"/>
        </w:rPr>
        <w:t>tj.</w:t>
      </w:r>
      <w:r w:rsidR="00E556AF" w:rsidRPr="00E943B1">
        <w:rPr>
          <w:color w:val="000000"/>
        </w:rPr>
        <w:t xml:space="preserve"> </w:t>
      </w:r>
      <w:r w:rsidR="00EB39F9" w:rsidRPr="00E943B1">
        <w:rPr>
          <w:color w:val="000000"/>
        </w:rPr>
        <w:t xml:space="preserve">několik let po </w:t>
      </w:r>
      <w:r w:rsidR="007D372D" w:rsidRPr="00E943B1">
        <w:rPr>
          <w:color w:val="000000"/>
        </w:rPr>
        <w:t>účinnosti zákona č. 137/2001 Sb. Poslední novela tohoto zákona však byla provedena v</w:t>
      </w:r>
      <w:r w:rsidR="00E262D2">
        <w:rPr>
          <w:color w:val="000000"/>
        </w:rPr>
        <w:t xml:space="preserve"> </w:t>
      </w:r>
      <w:r w:rsidR="007D372D" w:rsidRPr="00E943B1">
        <w:rPr>
          <w:color w:val="000000"/>
        </w:rPr>
        <w:t xml:space="preserve">roce 2014, nicméně ani tak nebyl zaveden pojem institut spolupracujícího obviněného do </w:t>
      </w:r>
      <w:r w:rsidR="00D5509C">
        <w:rPr>
          <w:color w:val="000000"/>
        </w:rPr>
        <w:t>citovaného</w:t>
      </w:r>
      <w:r w:rsidR="00D5509C" w:rsidRPr="00E943B1">
        <w:rPr>
          <w:color w:val="000000"/>
        </w:rPr>
        <w:t xml:space="preserve"> </w:t>
      </w:r>
      <w:r w:rsidR="007D372D" w:rsidRPr="00E943B1">
        <w:rPr>
          <w:color w:val="000000"/>
        </w:rPr>
        <w:t>zákona. Vezmeme-li v</w:t>
      </w:r>
      <w:r w:rsidR="00E262D2">
        <w:rPr>
          <w:color w:val="000000"/>
        </w:rPr>
        <w:t xml:space="preserve"> </w:t>
      </w:r>
      <w:r w:rsidR="007D372D" w:rsidRPr="00E943B1">
        <w:rPr>
          <w:color w:val="000000"/>
        </w:rPr>
        <w:t>potaz fakt, že spolupracujícím obviněným může hrozit msta ze strany dalších účastníků organizované skupiny</w:t>
      </w:r>
      <w:r w:rsidR="00E556AF">
        <w:rPr>
          <w:color w:val="000000"/>
        </w:rPr>
        <w:t>,</w:t>
      </w:r>
      <w:r w:rsidR="007D372D" w:rsidRPr="00E943B1">
        <w:rPr>
          <w:color w:val="000000"/>
        </w:rPr>
        <w:t xml:space="preserve"> vůči které jsou poskytovány informace, je třeba novelizovat celkovou ochranu, která má být těmto osobám poskytována. Tímto bychom se </w:t>
      </w:r>
      <w:r w:rsidR="007D372D" w:rsidRPr="005C1965">
        <w:t>mohli</w:t>
      </w:r>
      <w:r w:rsidR="007D372D" w:rsidRPr="00E943B1">
        <w:rPr>
          <w:color w:val="000000"/>
        </w:rPr>
        <w:t xml:space="preserve"> inspirovat v</w:t>
      </w:r>
      <w:r w:rsidR="00E262D2">
        <w:rPr>
          <w:color w:val="000000"/>
        </w:rPr>
        <w:t xml:space="preserve"> </w:t>
      </w:r>
      <w:r w:rsidR="007D372D" w:rsidRPr="00E943B1">
        <w:rPr>
          <w:color w:val="000000"/>
        </w:rPr>
        <w:t xml:space="preserve">italské právní úpravě, která má </w:t>
      </w:r>
      <w:r w:rsidR="00206501">
        <w:rPr>
          <w:color w:val="000000"/>
        </w:rPr>
        <w:t xml:space="preserve">hned </w:t>
      </w:r>
      <w:r w:rsidR="007D372D" w:rsidRPr="00E943B1">
        <w:rPr>
          <w:color w:val="000000"/>
        </w:rPr>
        <w:t>několik možností ochrany těchto osob.</w:t>
      </w:r>
      <w:r w:rsidR="005A511F" w:rsidRPr="00E943B1">
        <w:rPr>
          <w:color w:val="000000"/>
        </w:rPr>
        <w:t xml:space="preserve"> Například zavedení možnosti změny osobních údajů. Česká právní úprava prozatím zná pouze možnost utajení těchto údajů. Italská právní úprava pracuje se spoust</w:t>
      </w:r>
      <w:r w:rsidR="00E556AF">
        <w:rPr>
          <w:color w:val="000000"/>
        </w:rPr>
        <w:t>o</w:t>
      </w:r>
      <w:r w:rsidR="005A511F" w:rsidRPr="00E943B1">
        <w:rPr>
          <w:color w:val="000000"/>
        </w:rPr>
        <w:t>u dalších možností poskytování ochrany</w:t>
      </w:r>
      <w:r w:rsidR="00E556AF">
        <w:rPr>
          <w:color w:val="000000"/>
        </w:rPr>
        <w:t>.</w:t>
      </w:r>
      <w:r w:rsidR="005A511F" w:rsidRPr="00E943B1">
        <w:rPr>
          <w:rStyle w:val="Znakapoznpodarou"/>
          <w:color w:val="000000"/>
        </w:rPr>
        <w:footnoteReference w:id="149"/>
      </w:r>
    </w:p>
    <w:p w14:paraId="052590C1" w14:textId="6B5B352B" w:rsidR="000A7812" w:rsidRPr="00E943B1" w:rsidRDefault="00C83524" w:rsidP="005C1965">
      <w:pPr>
        <w:pStyle w:val="format"/>
        <w:rPr>
          <w:color w:val="000000"/>
          <w:sz w:val="19"/>
          <w:szCs w:val="19"/>
        </w:rPr>
      </w:pPr>
      <w:r w:rsidRPr="00E943B1">
        <w:rPr>
          <w:color w:val="000000"/>
        </w:rPr>
        <w:t>Další možností ochrany je pak poskytování ochrany v</w:t>
      </w:r>
      <w:r w:rsidR="00E262D2">
        <w:rPr>
          <w:color w:val="000000"/>
        </w:rPr>
        <w:t xml:space="preserve"> </w:t>
      </w:r>
      <w:r w:rsidRPr="00E943B1">
        <w:rPr>
          <w:color w:val="000000"/>
        </w:rPr>
        <w:t>rámci výkonu trestu odnětí svobody</w:t>
      </w:r>
      <w:r w:rsidR="00E556AF">
        <w:rPr>
          <w:color w:val="000000"/>
        </w:rPr>
        <w:t>.</w:t>
      </w:r>
      <w:r w:rsidR="005E7D2B" w:rsidRPr="00E943B1">
        <w:rPr>
          <w:rStyle w:val="Znakapoznpodarou"/>
          <w:color w:val="000000"/>
        </w:rPr>
        <w:footnoteReference w:id="150"/>
      </w:r>
      <w:r w:rsidRPr="00E943B1">
        <w:rPr>
          <w:color w:val="000000"/>
        </w:rPr>
        <w:t xml:space="preserve"> </w:t>
      </w:r>
      <w:r w:rsidR="007D372D" w:rsidRPr="00E943B1">
        <w:rPr>
          <w:color w:val="000000"/>
        </w:rPr>
        <w:t xml:space="preserve">Vycházíme-li ze samotné dikce ustanovení §178a TŘ, lze předpokládat, že ve většině </w:t>
      </w:r>
      <w:r w:rsidR="005C1965" w:rsidRPr="00E943B1">
        <w:rPr>
          <w:color w:val="000000"/>
        </w:rPr>
        <w:t>případů</w:t>
      </w:r>
      <w:r w:rsidR="007D372D" w:rsidRPr="00E943B1">
        <w:rPr>
          <w:color w:val="000000"/>
        </w:rPr>
        <w:t xml:space="preserve"> bude udělen trest spolupracujícímu obviněnému, nebylo by proto od věci zavést </w:t>
      </w:r>
      <w:r w:rsidR="00E556AF" w:rsidRPr="00E943B1">
        <w:rPr>
          <w:color w:val="000000"/>
        </w:rPr>
        <w:t>např</w:t>
      </w:r>
      <w:r w:rsidR="00E556AF">
        <w:rPr>
          <w:color w:val="000000"/>
        </w:rPr>
        <w:t>.</w:t>
      </w:r>
      <w:r w:rsidR="00694CA6">
        <w:rPr>
          <w:color w:val="000000"/>
        </w:rPr>
        <w:t> </w:t>
      </w:r>
      <w:r w:rsidR="007D372D" w:rsidRPr="00E943B1">
        <w:rPr>
          <w:color w:val="000000"/>
        </w:rPr>
        <w:t xml:space="preserve">možnost </w:t>
      </w:r>
      <w:r w:rsidR="005A511F" w:rsidRPr="00E943B1">
        <w:rPr>
          <w:color w:val="000000"/>
        </w:rPr>
        <w:t>uložení výkonu trestu v</w:t>
      </w:r>
      <w:r w:rsidR="00E262D2">
        <w:rPr>
          <w:color w:val="000000"/>
        </w:rPr>
        <w:t xml:space="preserve"> </w:t>
      </w:r>
      <w:r w:rsidR="005A511F" w:rsidRPr="00E943B1">
        <w:rPr>
          <w:color w:val="000000"/>
        </w:rPr>
        <w:t>rámci věznice s</w:t>
      </w:r>
      <w:r w:rsidR="00E262D2">
        <w:rPr>
          <w:color w:val="000000"/>
        </w:rPr>
        <w:t xml:space="preserve"> </w:t>
      </w:r>
      <w:r w:rsidR="005A511F" w:rsidRPr="00E943B1">
        <w:rPr>
          <w:color w:val="000000"/>
        </w:rPr>
        <w:t>ostrahou</w:t>
      </w:r>
      <w:r w:rsidRPr="00E943B1">
        <w:rPr>
          <w:color w:val="000000"/>
        </w:rPr>
        <w:t xml:space="preserve">. </w:t>
      </w:r>
      <w:r w:rsidR="00F14DFF" w:rsidRPr="00E943B1">
        <w:rPr>
          <w:color w:val="000000"/>
        </w:rPr>
        <w:t>Na základě m</w:t>
      </w:r>
      <w:r w:rsidRPr="00E943B1">
        <w:rPr>
          <w:color w:val="000000"/>
        </w:rPr>
        <w:t>omentální úprav</w:t>
      </w:r>
      <w:r w:rsidR="00F14DFF" w:rsidRPr="00E943B1">
        <w:rPr>
          <w:color w:val="000000"/>
        </w:rPr>
        <w:t>y soud</w:t>
      </w:r>
      <w:r w:rsidRPr="00E943B1">
        <w:rPr>
          <w:color w:val="000000"/>
        </w:rPr>
        <w:t xml:space="preserve"> zpravidla nařídí výkon trestu odnětí svobody (ve spojení spáchání trestného činu </w:t>
      </w:r>
      <w:r w:rsidRPr="00694CA6">
        <w:rPr>
          <w:color w:val="000000"/>
        </w:rPr>
        <w:t>ve</w:t>
      </w:r>
      <w:r w:rsidR="00694CA6" w:rsidRPr="00694CA6">
        <w:rPr>
          <w:color w:val="000000"/>
        </w:rPr>
        <w:t> </w:t>
      </w:r>
      <w:r w:rsidRPr="00694CA6">
        <w:rPr>
          <w:color w:val="000000"/>
        </w:rPr>
        <w:t>prospěch organizované zločinecké skupiny) ve věznici se zvýšenou ostrahou.</w:t>
      </w:r>
      <w:r w:rsidRPr="00694CA6">
        <w:rPr>
          <w:rStyle w:val="Znakapoznpodarou"/>
          <w:color w:val="000000"/>
        </w:rPr>
        <w:footnoteReference w:id="151"/>
      </w:r>
      <w:r w:rsidRPr="00694CA6">
        <w:rPr>
          <w:color w:val="000000"/>
        </w:rPr>
        <w:t xml:space="preserve"> Docházelo by</w:t>
      </w:r>
      <w:r w:rsidR="00694CA6" w:rsidRPr="00694CA6">
        <w:rPr>
          <w:color w:val="000000"/>
        </w:rPr>
        <w:t> </w:t>
      </w:r>
      <w:r w:rsidRPr="00694CA6">
        <w:rPr>
          <w:color w:val="000000"/>
        </w:rPr>
        <w:t>tedy k</w:t>
      </w:r>
      <w:r w:rsidR="00E262D2" w:rsidRPr="00694CA6">
        <w:rPr>
          <w:color w:val="000000"/>
        </w:rPr>
        <w:t xml:space="preserve"> </w:t>
      </w:r>
      <w:r w:rsidRPr="00694CA6">
        <w:rPr>
          <w:color w:val="000000"/>
        </w:rPr>
        <w:t>většímu vystavení spolupracujícího obviněného nebezpečí, které by mu hrozilo ze strany odsouzených osob</w:t>
      </w:r>
      <w:r w:rsidR="00E556AF" w:rsidRPr="00694CA6">
        <w:rPr>
          <w:color w:val="000000"/>
        </w:rPr>
        <w:t>,</w:t>
      </w:r>
      <w:r w:rsidRPr="00694CA6">
        <w:rPr>
          <w:color w:val="000000"/>
        </w:rPr>
        <w:t xml:space="preserve"> vůči kterým poskytl výpověď, což </w:t>
      </w:r>
      <w:r w:rsidR="00E556AF" w:rsidRPr="00694CA6">
        <w:rPr>
          <w:color w:val="000000"/>
        </w:rPr>
        <w:t>lze</w:t>
      </w:r>
      <w:r w:rsidRPr="00694CA6">
        <w:rPr>
          <w:color w:val="000000"/>
        </w:rPr>
        <w:t xml:space="preserve"> vyřešit právě obligatorním nařízením výkonu trestu odnětí svobody ve věznici s</w:t>
      </w:r>
      <w:r w:rsidR="00E262D2" w:rsidRPr="00694CA6">
        <w:rPr>
          <w:color w:val="000000"/>
        </w:rPr>
        <w:t xml:space="preserve"> </w:t>
      </w:r>
      <w:r w:rsidRPr="00694CA6">
        <w:rPr>
          <w:color w:val="000000"/>
        </w:rPr>
        <w:t>ostrahou.</w:t>
      </w:r>
      <w:r w:rsidR="00C64419" w:rsidRPr="00694CA6">
        <w:rPr>
          <w:color w:val="000000"/>
        </w:rPr>
        <w:t xml:space="preserve"> Vzhledem k</w:t>
      </w:r>
      <w:r w:rsidR="00E262D2" w:rsidRPr="00694CA6">
        <w:rPr>
          <w:color w:val="000000"/>
        </w:rPr>
        <w:t xml:space="preserve"> </w:t>
      </w:r>
      <w:r w:rsidR="00C64419" w:rsidRPr="00694CA6">
        <w:rPr>
          <w:color w:val="000000"/>
        </w:rPr>
        <w:t>tomu, že o</w:t>
      </w:r>
      <w:r w:rsidR="00E262D2" w:rsidRPr="00694CA6">
        <w:rPr>
          <w:color w:val="000000"/>
        </w:rPr>
        <w:t xml:space="preserve"> </w:t>
      </w:r>
      <w:r w:rsidR="000A7812" w:rsidRPr="00694CA6">
        <w:rPr>
          <w:i/>
          <w:color w:val="000000"/>
        </w:rPr>
        <w:t>„</w:t>
      </w:r>
      <w:r w:rsidR="000A7812" w:rsidRPr="00694CA6">
        <w:rPr>
          <w:i/>
          <w:iCs/>
          <w:color w:val="000000"/>
        </w:rPr>
        <w:t>zařazení</w:t>
      </w:r>
      <w:r w:rsidR="00E262D2" w:rsidRPr="00694CA6">
        <w:rPr>
          <w:i/>
          <w:iCs/>
          <w:color w:val="000000"/>
        </w:rPr>
        <w:t xml:space="preserve"> </w:t>
      </w:r>
      <w:r w:rsidR="000A7812" w:rsidRPr="00694CA6">
        <w:rPr>
          <w:i/>
          <w:iCs/>
          <w:color w:val="000000"/>
        </w:rPr>
        <w:t>odsouzeného do</w:t>
      </w:r>
      <w:r w:rsidR="00E262D2" w:rsidRPr="00694CA6">
        <w:rPr>
          <w:i/>
          <w:iCs/>
          <w:color w:val="000000"/>
        </w:rPr>
        <w:t xml:space="preserve"> </w:t>
      </w:r>
      <w:r w:rsidR="000A7812" w:rsidRPr="00694CA6">
        <w:rPr>
          <w:i/>
          <w:iCs/>
          <w:color w:val="000000"/>
        </w:rPr>
        <w:t>konkrétního základního typu věznice rozhoduje</w:t>
      </w:r>
      <w:r w:rsidR="00E262D2" w:rsidRPr="00694CA6">
        <w:rPr>
          <w:i/>
          <w:iCs/>
          <w:color w:val="000000"/>
        </w:rPr>
        <w:t xml:space="preserve"> </w:t>
      </w:r>
      <w:r w:rsidR="005C1965" w:rsidRPr="00694CA6">
        <w:rPr>
          <w:i/>
          <w:iCs/>
          <w:color w:val="000000"/>
        </w:rPr>
        <w:t>vždy soud,“</w:t>
      </w:r>
      <w:r w:rsidR="000A7812" w:rsidRPr="00694CA6">
        <w:rPr>
          <w:rStyle w:val="Znakapoznpodarou"/>
          <w:color w:val="000000"/>
        </w:rPr>
        <w:footnoteReference w:id="152"/>
      </w:r>
      <w:r w:rsidR="000A7812" w:rsidRPr="00694CA6">
        <w:rPr>
          <w:i/>
          <w:iCs/>
          <w:color w:val="000000"/>
        </w:rPr>
        <w:t xml:space="preserve"> </w:t>
      </w:r>
      <w:r w:rsidR="000A7812" w:rsidRPr="00694CA6">
        <w:rPr>
          <w:color w:val="000000"/>
        </w:rPr>
        <w:t xml:space="preserve">se mi toto doplnění jeví jako </w:t>
      </w:r>
      <w:r w:rsidR="000A7812" w:rsidRPr="00694CA6">
        <w:t>proveditelné</w:t>
      </w:r>
      <w:r w:rsidR="000A7812" w:rsidRPr="00694CA6">
        <w:rPr>
          <w:color w:val="000000"/>
        </w:rPr>
        <w:t>.</w:t>
      </w:r>
    </w:p>
    <w:p w14:paraId="3787D14F" w14:textId="2C327825" w:rsidR="00EB39F9" w:rsidRPr="00E943B1" w:rsidRDefault="00C83524" w:rsidP="005C1965">
      <w:pPr>
        <w:pStyle w:val="format"/>
      </w:pPr>
      <w:r w:rsidRPr="00E943B1">
        <w:t>U samotného stupně zabezpečení v</w:t>
      </w:r>
      <w:r w:rsidR="00E262D2">
        <w:t xml:space="preserve"> </w:t>
      </w:r>
      <w:r w:rsidRPr="00E943B1">
        <w:t>rámci věznic s</w:t>
      </w:r>
      <w:r w:rsidR="00E262D2">
        <w:t xml:space="preserve"> </w:t>
      </w:r>
      <w:r w:rsidRPr="00E943B1">
        <w:t>ostrahou bych v</w:t>
      </w:r>
      <w:r w:rsidR="00E262D2">
        <w:t xml:space="preserve"> </w:t>
      </w:r>
      <w:r w:rsidRPr="00E943B1">
        <w:t>případě spolupracující osoby opět volil obligatorní nařízení výkonu</w:t>
      </w:r>
      <w:r w:rsidR="00F14DFF" w:rsidRPr="00E943B1">
        <w:t xml:space="preserve"> trestu odnětí svobody</w:t>
      </w:r>
      <w:r w:rsidR="00E556AF">
        <w:t>, a to</w:t>
      </w:r>
      <w:r w:rsidRPr="00E943B1">
        <w:t xml:space="preserve"> buď v</w:t>
      </w:r>
      <w:r w:rsidR="00E262D2">
        <w:t xml:space="preserve"> </w:t>
      </w:r>
      <w:r w:rsidRPr="00E943B1">
        <w:t>nízkém stupni zabezpečení či středním stupni zabezpečení</w:t>
      </w:r>
      <w:r w:rsidR="00F14DFF" w:rsidRPr="00E943B1">
        <w:t xml:space="preserve">, </w:t>
      </w:r>
      <w:r w:rsidR="00E556AF">
        <w:t>přičemž</w:t>
      </w:r>
      <w:r w:rsidR="00E556AF" w:rsidRPr="00E943B1">
        <w:t xml:space="preserve"> </w:t>
      </w:r>
      <w:r w:rsidR="00F14DFF" w:rsidRPr="00E943B1">
        <w:t>toto rozhodnutí bych ponechal v</w:t>
      </w:r>
      <w:r w:rsidR="00E262D2">
        <w:t xml:space="preserve"> </w:t>
      </w:r>
      <w:r w:rsidR="00F14DFF" w:rsidRPr="00E943B1">
        <w:t>rukou soudu.</w:t>
      </w:r>
      <w:r w:rsidR="00F14DFF" w:rsidRPr="00E943B1">
        <w:rPr>
          <w:rStyle w:val="Znakapoznpodarou"/>
        </w:rPr>
        <w:footnoteReference w:id="153"/>
      </w:r>
      <w:r w:rsidR="00F14DFF" w:rsidRPr="00E943B1">
        <w:t xml:space="preserve"> Popřípadě lze uvažovat i o samostatné cele </w:t>
      </w:r>
      <w:r w:rsidR="005C1965">
        <w:t>po vzoru italské právní úpravy.</w:t>
      </w:r>
    </w:p>
    <w:p w14:paraId="295915ED" w14:textId="27FEEE64" w:rsidR="00511064" w:rsidRDefault="00F14DFF" w:rsidP="005C1965">
      <w:pPr>
        <w:pStyle w:val="format"/>
      </w:pPr>
      <w:r w:rsidRPr="00E943B1">
        <w:t>Na úplný závěr si dovolím zmínit zajímavou úvahu nad „zformalizováním“ celého postupu pro udělení označení spolupracujícího obviněného. V</w:t>
      </w:r>
      <w:r w:rsidR="00E262D2">
        <w:t xml:space="preserve"> </w:t>
      </w:r>
      <w:r w:rsidR="00E556AF">
        <w:t>pod</w:t>
      </w:r>
      <w:r w:rsidR="00511064">
        <w:t>kapitole 2.1.1</w:t>
      </w:r>
      <w:r w:rsidRPr="00E943B1">
        <w:t xml:space="preserve"> Trest</w:t>
      </w:r>
      <w:r w:rsidR="00E556AF">
        <w:t>n</w:t>
      </w:r>
      <w:r w:rsidRPr="00E943B1">
        <w:t xml:space="preserve">í řád </w:t>
      </w:r>
      <w:r w:rsidRPr="00E943B1">
        <w:lastRenderedPageBreak/>
        <w:t>zmiňuji momentální nemožnost obrany v</w:t>
      </w:r>
      <w:r w:rsidR="00E262D2">
        <w:t xml:space="preserve"> </w:t>
      </w:r>
      <w:r w:rsidRPr="00E943B1">
        <w:t>momentě, kdy státní zástupce obviněného neoznačí za</w:t>
      </w:r>
      <w:r w:rsidR="00511064">
        <w:t> </w:t>
      </w:r>
      <w:r w:rsidRPr="00E943B1">
        <w:t>spolupracujícího, jelikož o tomto není vydáváno žádné rozhodnutí. Momentální česká právní obec</w:t>
      </w:r>
      <w:r w:rsidR="007F4842" w:rsidRPr="00E943B1">
        <w:t xml:space="preserve"> se dovolává možnosti vydání rozhodnutí, aby případný obviněný měl možnost podání stížnosti. V</w:t>
      </w:r>
      <w:r w:rsidR="00E262D2">
        <w:t xml:space="preserve"> </w:t>
      </w:r>
      <w:r w:rsidR="007F4842" w:rsidRPr="00E943B1">
        <w:t xml:space="preserve">základní rovině se toto jeví jako správná úvaha, nicméně po bližším prozkoumání tomu nemusí tak </w:t>
      </w:r>
      <w:r w:rsidR="005E1746">
        <w:t xml:space="preserve">vždy </w:t>
      </w:r>
      <w:r w:rsidR="007F4842" w:rsidRPr="00E943B1">
        <w:t xml:space="preserve">být. Existuje </w:t>
      </w:r>
      <w:r w:rsidR="009B055F">
        <w:t xml:space="preserve">totiž </w:t>
      </w:r>
      <w:r w:rsidR="007F4842" w:rsidRPr="00E943B1">
        <w:t xml:space="preserve">názor, který vydání rozhodnutí rozporuje. Dle mého </w:t>
      </w:r>
      <w:r w:rsidR="00B54DA3">
        <w:t xml:space="preserve">osobního </w:t>
      </w:r>
      <w:r w:rsidR="009A3EDC">
        <w:t>stanoviska</w:t>
      </w:r>
      <w:r w:rsidR="009A3EDC" w:rsidRPr="00E943B1">
        <w:t xml:space="preserve"> </w:t>
      </w:r>
      <w:r w:rsidR="007F4842" w:rsidRPr="00E943B1">
        <w:t xml:space="preserve">správně uvádí možné následky, které by mohly nastat. </w:t>
      </w:r>
      <w:r w:rsidR="00C6363F" w:rsidRPr="00E943B1">
        <w:t>V</w:t>
      </w:r>
      <w:r w:rsidR="00E262D2">
        <w:t xml:space="preserve"> </w:t>
      </w:r>
      <w:r w:rsidR="00C6363F" w:rsidRPr="00E943B1">
        <w:t xml:space="preserve">prvé </w:t>
      </w:r>
      <w:r w:rsidR="009A3EDC" w:rsidRPr="00E943B1">
        <w:t>řad</w:t>
      </w:r>
      <w:r w:rsidR="009A3EDC">
        <w:t>ě</w:t>
      </w:r>
      <w:r w:rsidR="009A3EDC" w:rsidRPr="00E943B1">
        <w:t xml:space="preserve"> </w:t>
      </w:r>
      <w:r w:rsidR="00C6363F" w:rsidRPr="00E943B1">
        <w:t>by</w:t>
      </w:r>
      <w:r w:rsidR="00511064">
        <w:t> </w:t>
      </w:r>
      <w:r w:rsidR="00C6363F" w:rsidRPr="00E943B1">
        <w:t>vydání</w:t>
      </w:r>
      <w:r w:rsidR="009A3EDC">
        <w:t>m</w:t>
      </w:r>
      <w:r w:rsidR="00C6363F" w:rsidRPr="00E943B1">
        <w:t xml:space="preserve"> rozhodnutí o neudělení označení došlo k</w:t>
      </w:r>
      <w:r w:rsidR="00E262D2">
        <w:t xml:space="preserve"> </w:t>
      </w:r>
      <w:r w:rsidR="00C6363F" w:rsidRPr="00E943B1">
        <w:t>upozornění, že v</w:t>
      </w:r>
      <w:r w:rsidR="00E262D2">
        <w:t xml:space="preserve"> </w:t>
      </w:r>
      <w:r w:rsidR="00C6363F" w:rsidRPr="00E943B1">
        <w:t>daném řízení je snaha o</w:t>
      </w:r>
      <w:r w:rsidR="00511064">
        <w:t> </w:t>
      </w:r>
      <w:r w:rsidR="00C6363F" w:rsidRPr="00E943B1">
        <w:t xml:space="preserve">toto udělení, což by zapříčinilo větší míru ohrožení osoby, která o </w:t>
      </w:r>
      <w:r w:rsidR="00CC7AEB" w:rsidRPr="00E943B1">
        <w:t>to</w:t>
      </w:r>
      <w:r w:rsidR="00CC7AEB">
        <w:t>t</w:t>
      </w:r>
      <w:r w:rsidR="00CC7AEB" w:rsidRPr="00E943B1">
        <w:t xml:space="preserve">o </w:t>
      </w:r>
      <w:r w:rsidR="00C6363F" w:rsidRPr="00E943B1">
        <w:t xml:space="preserve">označení usiluje. Dále by mohlo takovéto rozhodnutí vyvolat zbavování se dalších důkazů samotnými organizovanými skupinami a v neposlední řadě by </w:t>
      </w:r>
      <w:r w:rsidR="00CC7AEB">
        <w:t xml:space="preserve">pak </w:t>
      </w:r>
      <w:r w:rsidR="00C6363F" w:rsidRPr="00E943B1">
        <w:t>sám obviněný zjistil, z</w:t>
      </w:r>
      <w:r w:rsidR="00E262D2">
        <w:t xml:space="preserve"> </w:t>
      </w:r>
      <w:r w:rsidR="00C6363F" w:rsidRPr="00E943B1">
        <w:t xml:space="preserve">jakého důvodu mu nebylo předmětné označení uděleno, načež by mohl </w:t>
      </w:r>
      <w:r w:rsidR="00C6363F" w:rsidRPr="005C1965">
        <w:t>upravit</w:t>
      </w:r>
      <w:r w:rsidR="00C6363F" w:rsidRPr="00E943B1">
        <w:t xml:space="preserve"> strategii své obhajoby nebo dokonce si vymyslet </w:t>
      </w:r>
      <w:r w:rsidR="00512F96">
        <w:t xml:space="preserve">zcela </w:t>
      </w:r>
      <w:r w:rsidR="00C6363F" w:rsidRPr="00E943B1">
        <w:t>nové skutečnosti jen proto, aby toto označení</w:t>
      </w:r>
      <w:r w:rsidR="00974C8B">
        <w:t xml:space="preserve"> nakonec</w:t>
      </w:r>
      <w:r w:rsidR="00C6363F" w:rsidRPr="00E943B1">
        <w:t xml:space="preserve"> obdržel.</w:t>
      </w:r>
      <w:r w:rsidR="00C6363F" w:rsidRPr="00E943B1">
        <w:rPr>
          <w:rStyle w:val="Znakapoznpodarou"/>
          <w:color w:val="000000"/>
        </w:rPr>
        <w:footnoteReference w:id="154"/>
      </w:r>
    </w:p>
    <w:p w14:paraId="4C9F76B9" w14:textId="59AAE16A" w:rsidR="00BF7520" w:rsidRPr="00E943B1" w:rsidRDefault="00C6363F" w:rsidP="005C1965">
      <w:pPr>
        <w:pStyle w:val="format"/>
      </w:pPr>
      <w:r w:rsidRPr="00E943B1">
        <w:t xml:space="preserve">Ač jsem zpočátku zastával stejný názor ohledně zformalizování celého procesu, nyní musím od tohoto názoru ustoupit. Na jednu stranu chápu potřebu udělení obrany obviněnému, nicméně by to mohlo </w:t>
      </w:r>
      <w:r w:rsidR="00CC7AEB">
        <w:t>zapříčinit</w:t>
      </w:r>
      <w:r w:rsidR="00CC7AEB" w:rsidRPr="00E943B1">
        <w:t xml:space="preserve"> </w:t>
      </w:r>
      <w:r w:rsidRPr="00E943B1">
        <w:t xml:space="preserve">mnohem větší problémy, které by mohly </w:t>
      </w:r>
      <w:r w:rsidR="00084D5D" w:rsidRPr="00E943B1">
        <w:t>vé</w:t>
      </w:r>
      <w:r w:rsidR="00084D5D">
        <w:t>s</w:t>
      </w:r>
      <w:r w:rsidR="00084D5D" w:rsidRPr="00E943B1">
        <w:t xml:space="preserve">t </w:t>
      </w:r>
      <w:r w:rsidRPr="00E943B1">
        <w:t>v</w:t>
      </w:r>
      <w:r w:rsidR="00E262D2">
        <w:t xml:space="preserve"> </w:t>
      </w:r>
      <w:r w:rsidRPr="00E943B1">
        <w:t xml:space="preserve">konečném důsledku </w:t>
      </w:r>
      <w:r w:rsidR="00BD0DB0">
        <w:t>až</w:t>
      </w:r>
      <w:r w:rsidR="00BD0DB0" w:rsidRPr="00E943B1">
        <w:t xml:space="preserve"> </w:t>
      </w:r>
      <w:r w:rsidRPr="00E943B1">
        <w:t>k</w:t>
      </w:r>
      <w:r w:rsidR="00E262D2">
        <w:t xml:space="preserve"> </w:t>
      </w:r>
      <w:r w:rsidRPr="00E943B1">
        <w:t>nemožnosti zahájení trestního stíhání dalších účastníků na o</w:t>
      </w:r>
      <w:r w:rsidR="005C1965">
        <w:t>rganizované zločinecké skupině.</w:t>
      </w:r>
    </w:p>
    <w:p w14:paraId="2D1269A8" w14:textId="408B1187" w:rsidR="00513CC8" w:rsidRDefault="000E3082" w:rsidP="005C1965">
      <w:pPr>
        <w:pStyle w:val="Nadpis1"/>
        <w:numPr>
          <w:ilvl w:val="0"/>
          <w:numId w:val="0"/>
        </w:numPr>
      </w:pPr>
      <w:r w:rsidRPr="00E943B1">
        <w:rPr>
          <w:color w:val="000000"/>
          <w:sz w:val="24"/>
          <w:szCs w:val="24"/>
        </w:rPr>
        <w:br w:type="page"/>
      </w:r>
      <w:bookmarkStart w:id="50" w:name="_Toc170638021"/>
      <w:r w:rsidR="00513CC8" w:rsidRPr="00E943B1">
        <w:lastRenderedPageBreak/>
        <w:t>Seznam použitých zdrojů</w:t>
      </w:r>
      <w:bookmarkEnd w:id="50"/>
    </w:p>
    <w:p w14:paraId="28DC8D6E" w14:textId="77777777" w:rsidR="009A411E" w:rsidRPr="009A411E" w:rsidRDefault="009A411E" w:rsidP="002713F2">
      <w:pPr>
        <w:pStyle w:val="format"/>
        <w:spacing w:after="180"/>
        <w:ind w:firstLine="0"/>
        <w:rPr>
          <w:b/>
        </w:rPr>
      </w:pPr>
      <w:r w:rsidRPr="009A411E">
        <w:rPr>
          <w:b/>
        </w:rPr>
        <w:t>Odborná literatura</w:t>
      </w:r>
    </w:p>
    <w:p w14:paraId="302A776C" w14:textId="77777777" w:rsidR="009A411E" w:rsidRPr="009A411E" w:rsidRDefault="009A411E" w:rsidP="002713F2">
      <w:pPr>
        <w:pStyle w:val="format"/>
        <w:spacing w:after="180"/>
        <w:ind w:firstLine="0"/>
      </w:pPr>
      <w:r w:rsidRPr="009A411E">
        <w:rPr>
          <w:shd w:val="clear" w:color="auto" w:fill="FFFFFF"/>
        </w:rPr>
        <w:t xml:space="preserve">DRAŠTÍK, Antonín a kol. </w:t>
      </w:r>
      <w:r w:rsidRPr="009A411E">
        <w:rPr>
          <w:i/>
          <w:iCs/>
          <w:shd w:val="clear" w:color="auto" w:fill="FFFFFF"/>
        </w:rPr>
        <w:t>Trestní řád: komentář</w:t>
      </w:r>
      <w:r w:rsidRPr="009A411E">
        <w:rPr>
          <w:shd w:val="clear" w:color="auto" w:fill="FFFFFF"/>
        </w:rPr>
        <w:t xml:space="preserve">. </w:t>
      </w:r>
      <w:r w:rsidRPr="009A411E">
        <w:rPr>
          <w:i/>
          <w:shd w:val="clear" w:color="auto" w:fill="FFFFFF"/>
        </w:rPr>
        <w:t xml:space="preserve">I. díl. </w:t>
      </w:r>
      <w:r w:rsidRPr="009A411E">
        <w:rPr>
          <w:shd w:val="clear" w:color="auto" w:fill="FFFFFF"/>
        </w:rPr>
        <w:t>Praha: Wolters Kluwer, 2017, 1412 s.</w:t>
      </w:r>
    </w:p>
    <w:p w14:paraId="6834487E" w14:textId="77777777" w:rsidR="009A411E" w:rsidRPr="009A411E" w:rsidRDefault="009A411E" w:rsidP="002713F2">
      <w:pPr>
        <w:pStyle w:val="format"/>
        <w:spacing w:after="180"/>
        <w:ind w:firstLine="0"/>
      </w:pPr>
      <w:r w:rsidRPr="009A411E">
        <w:t xml:space="preserve">FIJNAUT, Cyrille, PAOLI, Letizia ed. </w:t>
      </w:r>
      <w:r w:rsidRPr="009A411E">
        <w:rPr>
          <w:i/>
        </w:rPr>
        <w:t>Organised Crime in Europe: Concepts, Patterns and Control Policies in the European Union and Beyond</w:t>
      </w:r>
      <w:r w:rsidRPr="009A411E">
        <w:t>. Dodrecht: Springer, 2004, 1074 s.</w:t>
      </w:r>
    </w:p>
    <w:p w14:paraId="38CDF6F2" w14:textId="77777777" w:rsidR="009A411E" w:rsidRPr="009A411E" w:rsidRDefault="009A411E" w:rsidP="002713F2">
      <w:pPr>
        <w:pStyle w:val="format"/>
        <w:spacing w:after="180"/>
        <w:ind w:firstLine="0"/>
      </w:pPr>
      <w:r w:rsidRPr="009A411E">
        <w:t xml:space="preserve">FRYŠTÁK, Marek. § 129 [Organizovaná zločinecká skupina]. In: ŠČERBA, Filip a kol. </w:t>
      </w:r>
      <w:r w:rsidRPr="009A411E">
        <w:rPr>
          <w:i/>
        </w:rPr>
        <w:t>Trestní zákoník</w:t>
      </w:r>
      <w:r w:rsidRPr="009A411E">
        <w:t>. 1. vydání (1. aktualizace). Praha: C. H. Beck, 2021.</w:t>
      </w:r>
    </w:p>
    <w:p w14:paraId="50876E57" w14:textId="77777777" w:rsidR="009A411E" w:rsidRPr="009A411E" w:rsidRDefault="009A411E" w:rsidP="002713F2">
      <w:pPr>
        <w:pStyle w:val="format"/>
        <w:spacing w:after="180"/>
        <w:ind w:firstLine="0"/>
      </w:pPr>
      <w:r w:rsidRPr="009A411E">
        <w:t xml:space="preserve">GŘIVNA, Tomáš. § 145 [Stížnostní důvody]. In: ŠÁMAL, Pavel a kol. </w:t>
      </w:r>
      <w:r w:rsidRPr="009A411E">
        <w:rPr>
          <w:i/>
        </w:rPr>
        <w:t>Trestní řád</w:t>
      </w:r>
      <w:r w:rsidRPr="009A411E">
        <w:t>. 7. vydání. Praha: C. H. Beck, 2013.</w:t>
      </w:r>
    </w:p>
    <w:p w14:paraId="76A0E3EE" w14:textId="77777777" w:rsidR="009A411E" w:rsidRPr="009A411E" w:rsidRDefault="009A411E" w:rsidP="002713F2">
      <w:pPr>
        <w:pStyle w:val="format"/>
        <w:spacing w:after="180"/>
        <w:ind w:firstLine="0"/>
      </w:pPr>
      <w:r w:rsidRPr="009A411E">
        <w:rPr>
          <w:shd w:val="clear" w:color="auto" w:fill="FFFFFF"/>
        </w:rPr>
        <w:t xml:space="preserve">HENDRYCH, Dušan a kol. </w:t>
      </w:r>
      <w:r w:rsidRPr="009A411E">
        <w:rPr>
          <w:i/>
          <w:iCs/>
          <w:shd w:val="clear" w:color="auto" w:fill="FFFFFF"/>
        </w:rPr>
        <w:t>Právnický slovník</w:t>
      </w:r>
      <w:r w:rsidRPr="009A411E">
        <w:rPr>
          <w:shd w:val="clear" w:color="auto" w:fill="FFFFFF"/>
        </w:rPr>
        <w:t>. 3., podstatně rozšířené vydání. Praha: C. H. Beck, 2009, 1481 s.</w:t>
      </w:r>
    </w:p>
    <w:p w14:paraId="155529FC" w14:textId="77777777" w:rsidR="009A411E" w:rsidRPr="009A411E" w:rsidRDefault="009A411E" w:rsidP="002713F2">
      <w:pPr>
        <w:pStyle w:val="format"/>
        <w:spacing w:after="180"/>
        <w:ind w:firstLine="0"/>
      </w:pPr>
      <w:r w:rsidRPr="009A411E">
        <w:rPr>
          <w:shd w:val="clear" w:color="auto" w:fill="FFFFFF"/>
        </w:rPr>
        <w:t xml:space="preserve">JELÍNEK, Jiří a kol. </w:t>
      </w:r>
      <w:r w:rsidRPr="009A411E">
        <w:rPr>
          <w:i/>
          <w:iCs/>
          <w:shd w:val="clear" w:color="auto" w:fill="FFFFFF"/>
        </w:rPr>
        <w:t xml:space="preserve">Trestní právo procesní: podle stavu k… </w:t>
      </w:r>
      <w:r w:rsidRPr="009A411E">
        <w:rPr>
          <w:shd w:val="clear" w:color="auto" w:fill="FFFFFF"/>
        </w:rPr>
        <w:t>Praha: Leges, 2010, 784 s.</w:t>
      </w:r>
    </w:p>
    <w:p w14:paraId="7F385A39" w14:textId="77777777" w:rsidR="009A411E" w:rsidRPr="009A411E" w:rsidRDefault="009A411E" w:rsidP="002713F2">
      <w:pPr>
        <w:pStyle w:val="format"/>
        <w:spacing w:after="180"/>
        <w:ind w:firstLine="0"/>
      </w:pPr>
      <w:r w:rsidRPr="009A411E">
        <w:t xml:space="preserve">KALVODOVÁ, Věra, ŠČERBA, Filip. § 39 [Stanovení druhu a výměry trestu]. In: ŠČERBA, Filip a kol. </w:t>
      </w:r>
      <w:r w:rsidRPr="009A411E">
        <w:rPr>
          <w:i/>
        </w:rPr>
        <w:t>Trestní zákoník</w:t>
      </w:r>
      <w:r w:rsidRPr="009A411E">
        <w:t>. 1. vydání (1. aktualizace). Praha: C. H. Beck, 2021.</w:t>
      </w:r>
    </w:p>
    <w:p w14:paraId="2FEA26F5" w14:textId="77777777" w:rsidR="009A411E" w:rsidRPr="009A411E" w:rsidRDefault="009A411E" w:rsidP="002713F2">
      <w:pPr>
        <w:pStyle w:val="format"/>
        <w:spacing w:after="180"/>
        <w:ind w:firstLine="0"/>
      </w:pPr>
      <w:r w:rsidRPr="009A411E">
        <w:t xml:space="preserve">PÚRY, František, ŠÁMAL, Pavel. Korunní svědek. In: HENDRYCH, Dušan a kol. </w:t>
      </w:r>
      <w:r w:rsidRPr="009A411E">
        <w:rPr>
          <w:i/>
        </w:rPr>
        <w:t>Právnický slovník</w:t>
      </w:r>
      <w:r w:rsidRPr="009A411E">
        <w:t>. 3. vydání. Praha: C. H. Beck, 2009.</w:t>
      </w:r>
    </w:p>
    <w:p w14:paraId="44E54E5C" w14:textId="77777777" w:rsidR="009A411E" w:rsidRPr="009A411E" w:rsidRDefault="009A411E" w:rsidP="002713F2">
      <w:pPr>
        <w:pStyle w:val="format"/>
        <w:spacing w:after="180"/>
        <w:ind w:firstLine="0"/>
      </w:pPr>
      <w:r w:rsidRPr="009A411E">
        <w:t xml:space="preserve">PÚRY, František. § 56 [Výkon trestu odnětí svobody]. In: ŠÁMAL, Pavel a kol. </w:t>
      </w:r>
      <w:r w:rsidRPr="009A411E">
        <w:rPr>
          <w:i/>
        </w:rPr>
        <w:t>Trestní zákoník</w:t>
      </w:r>
      <w:r w:rsidRPr="009A411E">
        <w:t>. 3. vydání. Praha: C. H. Beck, 2023.</w:t>
      </w:r>
    </w:p>
    <w:p w14:paraId="2BFBF298" w14:textId="4EFAB058" w:rsidR="009A411E" w:rsidRPr="009A411E" w:rsidRDefault="009A411E" w:rsidP="002713F2">
      <w:pPr>
        <w:pStyle w:val="format"/>
        <w:spacing w:after="180"/>
        <w:ind w:firstLine="0"/>
      </w:pPr>
      <w:r w:rsidRPr="009A411E">
        <w:t xml:space="preserve">RŮŽIČKA, Miroslav. § 178a [Spolupracující obviněný]. In: ŠÁMAL, Pavel a kol. </w:t>
      </w:r>
      <w:r w:rsidRPr="009A411E">
        <w:rPr>
          <w:i/>
        </w:rPr>
        <w:t>Trestní řád</w:t>
      </w:r>
      <w:r w:rsidRPr="009A411E">
        <w:t>. 7.</w:t>
      </w:r>
      <w:r w:rsidR="00F83176">
        <w:t> </w:t>
      </w:r>
      <w:r w:rsidRPr="009A411E">
        <w:t>vydání. Praha: C. H. Beck, 2013.</w:t>
      </w:r>
    </w:p>
    <w:p w14:paraId="7B967C85" w14:textId="77777777" w:rsidR="009A411E" w:rsidRPr="009A411E" w:rsidRDefault="009A411E" w:rsidP="002713F2">
      <w:pPr>
        <w:pStyle w:val="format"/>
        <w:spacing w:after="180"/>
        <w:ind w:firstLine="0"/>
      </w:pPr>
      <w:r w:rsidRPr="009A411E">
        <w:rPr>
          <w:shd w:val="clear" w:color="auto" w:fill="FFFFFF"/>
        </w:rPr>
        <w:t xml:space="preserve">ŠÁMAL, Pavel a kol. </w:t>
      </w:r>
      <w:r w:rsidRPr="009A411E">
        <w:rPr>
          <w:i/>
          <w:iCs/>
          <w:shd w:val="clear" w:color="auto" w:fill="FFFFFF"/>
        </w:rPr>
        <w:t>Trestní řád: komentář</w:t>
      </w:r>
      <w:r w:rsidRPr="009A411E">
        <w:rPr>
          <w:shd w:val="clear" w:color="auto" w:fill="FFFFFF"/>
        </w:rPr>
        <w:t>. 7., doplněné a přepracované vydání. Praha: C. H. Beck, 2013, 4720 s.</w:t>
      </w:r>
    </w:p>
    <w:p w14:paraId="5733E936" w14:textId="77777777" w:rsidR="009A411E" w:rsidRPr="009A411E" w:rsidRDefault="009A411E" w:rsidP="002713F2">
      <w:pPr>
        <w:pStyle w:val="format"/>
        <w:spacing w:after="180"/>
        <w:ind w:firstLine="0"/>
        <w:rPr>
          <w:shd w:val="clear" w:color="auto" w:fill="FFFFFF"/>
        </w:rPr>
      </w:pPr>
      <w:r w:rsidRPr="009A411E">
        <w:rPr>
          <w:shd w:val="clear" w:color="auto" w:fill="FFFFFF"/>
        </w:rPr>
        <w:t xml:space="preserve">ŠÁMAL, Pavel a kol. </w:t>
      </w:r>
      <w:r w:rsidRPr="009A411E">
        <w:rPr>
          <w:i/>
          <w:iCs/>
          <w:shd w:val="clear" w:color="auto" w:fill="FFFFFF"/>
        </w:rPr>
        <w:t>Trestní zákoník: komentář</w:t>
      </w:r>
      <w:r w:rsidRPr="009A411E">
        <w:rPr>
          <w:shd w:val="clear" w:color="auto" w:fill="FFFFFF"/>
        </w:rPr>
        <w:t>. 3. vydání. Praha: C. H. Beck, 2023, 4968 s.</w:t>
      </w:r>
    </w:p>
    <w:p w14:paraId="7D868FDC" w14:textId="77777777" w:rsidR="009A411E" w:rsidRPr="009A411E" w:rsidRDefault="009A411E" w:rsidP="002713F2">
      <w:pPr>
        <w:pStyle w:val="format"/>
        <w:spacing w:after="180"/>
        <w:ind w:firstLine="0"/>
      </w:pPr>
      <w:r w:rsidRPr="009A411E">
        <w:rPr>
          <w:shd w:val="clear" w:color="auto" w:fill="FFFFFF"/>
        </w:rPr>
        <w:t xml:space="preserve">ŠČERBA, Filip a kol. </w:t>
      </w:r>
      <w:r w:rsidRPr="009A411E">
        <w:rPr>
          <w:i/>
          <w:iCs/>
          <w:shd w:val="clear" w:color="auto" w:fill="FFFFFF"/>
        </w:rPr>
        <w:t>Trestní zákoník: komentář</w:t>
      </w:r>
      <w:r w:rsidRPr="009A411E">
        <w:rPr>
          <w:shd w:val="clear" w:color="auto" w:fill="FFFFFF"/>
        </w:rPr>
        <w:t>. Praha: C. H. Beck, 2020, 3376 s.</w:t>
      </w:r>
    </w:p>
    <w:p w14:paraId="2E49E38F" w14:textId="77777777" w:rsidR="009A411E" w:rsidRPr="009A411E" w:rsidRDefault="009A411E" w:rsidP="002713F2">
      <w:pPr>
        <w:pStyle w:val="format"/>
        <w:spacing w:after="180"/>
        <w:ind w:firstLine="0"/>
      </w:pPr>
      <w:r w:rsidRPr="009A411E">
        <w:lastRenderedPageBreak/>
        <w:t xml:space="preserve">ŠČERBA, Filip. § 46 [Obecné ustanovení]. In: ŠČERBA, Filip a kol. </w:t>
      </w:r>
      <w:r w:rsidRPr="009A411E">
        <w:rPr>
          <w:i/>
        </w:rPr>
        <w:t>Trestní zákoník</w:t>
      </w:r>
      <w:r w:rsidRPr="009A411E">
        <w:t>. 1. vydání (1. aktualizace). Praha: C. H. Beck, 2021.</w:t>
      </w:r>
    </w:p>
    <w:p w14:paraId="63ABA982" w14:textId="77777777" w:rsidR="009A411E" w:rsidRPr="009A411E" w:rsidRDefault="009A411E" w:rsidP="002713F2">
      <w:pPr>
        <w:pStyle w:val="format"/>
        <w:spacing w:after="180"/>
        <w:ind w:firstLine="0"/>
        <w:rPr>
          <w:b/>
        </w:rPr>
      </w:pPr>
      <w:r w:rsidRPr="009A411E">
        <w:rPr>
          <w:b/>
        </w:rPr>
        <w:t>Odborné články</w:t>
      </w:r>
    </w:p>
    <w:p w14:paraId="4B92C1C8" w14:textId="77777777" w:rsidR="009A411E" w:rsidRPr="009A411E" w:rsidRDefault="009A411E" w:rsidP="002713F2">
      <w:pPr>
        <w:pStyle w:val="format"/>
        <w:spacing w:after="180"/>
        <w:ind w:firstLine="0"/>
      </w:pPr>
      <w:r w:rsidRPr="009A411E">
        <w:t xml:space="preserve">BUDAYOVÁ, Lucie. Četnost využívání institutu spolupracujícího obviněného a návrhy k jejímu zvýšení. </w:t>
      </w:r>
      <w:r w:rsidRPr="009A411E">
        <w:rPr>
          <w:i/>
        </w:rPr>
        <w:t>Bulletin advokacie</w:t>
      </w:r>
      <w:r w:rsidRPr="009A411E">
        <w:t>, 2017, č. 11, s. 33–36.</w:t>
      </w:r>
    </w:p>
    <w:p w14:paraId="58210287" w14:textId="77777777" w:rsidR="009A411E" w:rsidRDefault="009A411E" w:rsidP="002713F2">
      <w:pPr>
        <w:pStyle w:val="format"/>
        <w:spacing w:after="180"/>
        <w:ind w:firstLine="0"/>
      </w:pPr>
      <w:r w:rsidRPr="009A411E">
        <w:t xml:space="preserve">CEJP, Martin. Organizovaný zločin v České republice v mezinárodním kontextu. </w:t>
      </w:r>
      <w:r w:rsidRPr="009A411E">
        <w:rPr>
          <w:i/>
        </w:rPr>
        <w:t>Trestněprávní revue</w:t>
      </w:r>
      <w:r w:rsidRPr="009A411E">
        <w:t>, 2016, roč. 15, č. 4, s. 88–93.</w:t>
      </w:r>
    </w:p>
    <w:p w14:paraId="0AEB2487" w14:textId="79E51313" w:rsidR="000C6522" w:rsidRPr="000C6522" w:rsidRDefault="000C6522" w:rsidP="002713F2">
      <w:pPr>
        <w:pStyle w:val="format"/>
        <w:spacing w:after="180"/>
        <w:ind w:firstLine="0"/>
      </w:pPr>
      <w:r w:rsidRPr="000C6522">
        <w:rPr>
          <w:color w:val="000000"/>
        </w:rPr>
        <w:t>COUFALOVÁ, Bronislava. Hmotněprávní instituty pro boj s organizovaným zločinem podle nového trestního zákoníku</w:t>
      </w:r>
      <w:r w:rsidRPr="000C6522">
        <w:rPr>
          <w:i/>
          <w:iCs/>
          <w:color w:val="000000"/>
        </w:rPr>
        <w:t>. Bulletin advokacie</w:t>
      </w:r>
      <w:r w:rsidRPr="000C6522">
        <w:rPr>
          <w:color w:val="000000"/>
        </w:rPr>
        <w:t>, 2009, č. 10, s. 82-85</w:t>
      </w:r>
    </w:p>
    <w:p w14:paraId="056ACBF7" w14:textId="77777777" w:rsidR="009A411E" w:rsidRPr="009A411E" w:rsidRDefault="009A411E" w:rsidP="002713F2">
      <w:pPr>
        <w:pStyle w:val="format"/>
        <w:spacing w:after="180"/>
        <w:ind w:firstLine="0"/>
      </w:pPr>
      <w:r w:rsidRPr="009A411E">
        <w:t xml:space="preserve">GAJDIČIAR, Vladimír. Zákonnosť dokazovania pri aplikácii inštitútu spolupracujúceho obvineného. In KOTÁSEK, Josef a kol. (ed.). </w:t>
      </w:r>
      <w:r w:rsidRPr="009A411E">
        <w:rPr>
          <w:i/>
        </w:rPr>
        <w:t>Dny práva 2012</w:t>
      </w:r>
      <w:r w:rsidRPr="009A411E">
        <w:t>. Brno: Masarykova univerzita, 2013, s. 1407</w:t>
      </w:r>
    </w:p>
    <w:p w14:paraId="6D1F6AD1" w14:textId="38DD9ECF" w:rsidR="009A411E" w:rsidRPr="009A411E" w:rsidRDefault="009A411E" w:rsidP="002713F2">
      <w:pPr>
        <w:pStyle w:val="format"/>
        <w:spacing w:after="180"/>
        <w:ind w:firstLine="0"/>
      </w:pPr>
      <w:r w:rsidRPr="009A411E">
        <w:t>JECH, Kryštof. Výběr problematických aspektů institutu spolupracujícího obviněného v</w:t>
      </w:r>
      <w:r w:rsidR="00F83176">
        <w:t> </w:t>
      </w:r>
      <w:r w:rsidRPr="009A411E">
        <w:t xml:space="preserve">současném právním řádu České republiky I. </w:t>
      </w:r>
      <w:r w:rsidRPr="009A411E">
        <w:rPr>
          <w:i/>
        </w:rPr>
        <w:t>Trestněprávní revue</w:t>
      </w:r>
      <w:r w:rsidRPr="009A411E">
        <w:t>, 2023, č. 3, 133–141.</w:t>
      </w:r>
    </w:p>
    <w:p w14:paraId="6951B495" w14:textId="238B9021" w:rsidR="009A411E" w:rsidRPr="009A411E" w:rsidRDefault="009A411E" w:rsidP="002713F2">
      <w:pPr>
        <w:pStyle w:val="format"/>
        <w:spacing w:after="180"/>
        <w:ind w:firstLine="0"/>
      </w:pPr>
      <w:r w:rsidRPr="009A411E">
        <w:t>KANDALCOVÁ, Alena. Institut spolupracujícího obviněného v komparativním pohledu. In</w:t>
      </w:r>
      <w:r w:rsidR="00F83176">
        <w:t> </w:t>
      </w:r>
      <w:r w:rsidRPr="009A411E">
        <w:t xml:space="preserve">FRYŠTÁK, Martin a kol. (ed.). </w:t>
      </w:r>
      <w:r w:rsidRPr="009A411E">
        <w:rPr>
          <w:i/>
        </w:rPr>
        <w:t>Dny práva 2016</w:t>
      </w:r>
      <w:r w:rsidRPr="009A411E">
        <w:t>. Brno: Masarykova univerzita, 2017.</w:t>
      </w:r>
    </w:p>
    <w:p w14:paraId="7E899E41" w14:textId="71A19F9F" w:rsidR="009A411E" w:rsidRPr="009A411E" w:rsidRDefault="009A411E" w:rsidP="002713F2">
      <w:pPr>
        <w:pStyle w:val="format"/>
        <w:spacing w:after="180"/>
        <w:ind w:firstLine="0"/>
      </w:pPr>
      <w:r w:rsidRPr="009A411E">
        <w:t>MICHORA, Zdeněk. Expanzivní oportunita v kontextu rekodifikace trestního procesu a</w:t>
      </w:r>
      <w:r w:rsidR="00F83176">
        <w:t> </w:t>
      </w:r>
      <w:r w:rsidRPr="009A411E">
        <w:t xml:space="preserve">spolupracující obviněný. </w:t>
      </w:r>
      <w:r w:rsidRPr="009A411E">
        <w:rPr>
          <w:i/>
        </w:rPr>
        <w:t>Trestněprávní revue</w:t>
      </w:r>
      <w:r w:rsidRPr="009A411E">
        <w:t>, 2017, č. 1, s. 1–7.</w:t>
      </w:r>
    </w:p>
    <w:p w14:paraId="0089138F" w14:textId="77777777" w:rsidR="009A411E" w:rsidRPr="009A411E" w:rsidRDefault="009A411E" w:rsidP="002713F2">
      <w:pPr>
        <w:pStyle w:val="format"/>
        <w:spacing w:after="180"/>
        <w:ind w:firstLine="0"/>
      </w:pPr>
      <w:r w:rsidRPr="009A411E">
        <w:t xml:space="preserve">MICHORA, Zdeněk. Korunní svědek – minulost, současnost, budoucnost. In FRYŠTÁK, Martin a kol. (ed.). </w:t>
      </w:r>
      <w:r w:rsidRPr="009A411E">
        <w:rPr>
          <w:i/>
        </w:rPr>
        <w:t>Dny práva 2016</w:t>
      </w:r>
      <w:r w:rsidRPr="009A411E">
        <w:t>. Brno: Masarykova univerzita, 2017, s. 139–140.</w:t>
      </w:r>
    </w:p>
    <w:p w14:paraId="25C016D0" w14:textId="77777777" w:rsidR="009A411E" w:rsidRPr="009A411E" w:rsidRDefault="009A411E" w:rsidP="002713F2">
      <w:pPr>
        <w:pStyle w:val="format"/>
        <w:spacing w:after="180"/>
        <w:ind w:firstLine="0"/>
      </w:pPr>
      <w:r w:rsidRPr="009A411E">
        <w:t xml:space="preserve">SCHRAMHAUSER, Jan. Spolupracující obviněný v boji s organizovaným zločinem, úvaha nad platnou právní úpravou. </w:t>
      </w:r>
      <w:r w:rsidRPr="009A411E">
        <w:rPr>
          <w:i/>
        </w:rPr>
        <w:t>Trestněprávní revue</w:t>
      </w:r>
      <w:r w:rsidRPr="009A411E">
        <w:t>, 2012, roč. 11, č. 1, s. 11–17.</w:t>
      </w:r>
    </w:p>
    <w:p w14:paraId="5537F670" w14:textId="77777777" w:rsidR="009A411E" w:rsidRPr="009A411E" w:rsidRDefault="009A411E" w:rsidP="002713F2">
      <w:pPr>
        <w:pStyle w:val="format"/>
        <w:spacing w:after="180"/>
        <w:ind w:firstLine="0"/>
      </w:pPr>
      <w:r w:rsidRPr="009A411E">
        <w:t xml:space="preserve">STRANG, Robert R. Plea bargaining, Cooperation agreements and Imunnity orders. In </w:t>
      </w:r>
      <w:r w:rsidRPr="009A411E">
        <w:rPr>
          <w:i/>
        </w:rPr>
        <w:t>Work Product of the 155th International Training Course</w:t>
      </w:r>
      <w:r w:rsidRPr="009A411E">
        <w:t>. United Nations Asia and Far East Institute for the Prevention of Crime and the Treatment of Offenders, 2014.</w:t>
      </w:r>
    </w:p>
    <w:p w14:paraId="5EF619F7" w14:textId="77777777" w:rsidR="009A411E" w:rsidRPr="009A411E" w:rsidRDefault="009A411E" w:rsidP="002713F2">
      <w:pPr>
        <w:pStyle w:val="format"/>
        <w:spacing w:after="180"/>
        <w:ind w:firstLine="0"/>
      </w:pPr>
      <w:r w:rsidRPr="009A411E">
        <w:lastRenderedPageBreak/>
        <w:t xml:space="preserve">ŠČERBA, Filip. Změny trestního zákoníku provedené novelou č. 333/2020 Sb. a jejich důsledky. </w:t>
      </w:r>
      <w:r w:rsidRPr="009A411E">
        <w:rPr>
          <w:i/>
        </w:rPr>
        <w:t>Trestněprávní revue</w:t>
      </w:r>
      <w:r w:rsidRPr="009A411E">
        <w:t>, 2020, č. 4, s. 187–193.</w:t>
      </w:r>
    </w:p>
    <w:p w14:paraId="224EF0D9" w14:textId="77777777" w:rsidR="009A411E" w:rsidRPr="009A411E" w:rsidRDefault="009A411E" w:rsidP="007E7486">
      <w:pPr>
        <w:pStyle w:val="format"/>
        <w:keepNext/>
        <w:spacing w:after="180"/>
        <w:ind w:firstLine="0"/>
        <w:rPr>
          <w:b/>
        </w:rPr>
      </w:pPr>
      <w:r w:rsidRPr="009A411E">
        <w:rPr>
          <w:b/>
        </w:rPr>
        <w:t>Internetové zdroje</w:t>
      </w:r>
    </w:p>
    <w:p w14:paraId="497A7FAF" w14:textId="77777777" w:rsidR="009A411E" w:rsidRPr="009A411E" w:rsidRDefault="009A411E" w:rsidP="002713F2">
      <w:pPr>
        <w:pStyle w:val="format"/>
        <w:spacing w:after="180"/>
        <w:ind w:firstLine="0"/>
      </w:pPr>
      <w:r w:rsidRPr="009A411E">
        <w:t xml:space="preserve">9-21.100: Eligibility for the Witness Security Program. </w:t>
      </w:r>
      <w:r w:rsidRPr="009A411E">
        <w:rPr>
          <w:i/>
        </w:rPr>
        <w:t xml:space="preserve">U.S. Department of Justice </w:t>
      </w:r>
      <w:r w:rsidRPr="009A411E">
        <w:t xml:space="preserve">[online]. [cit. 22. května 2024]. Dostupné z: </w:t>
      </w:r>
      <w:hyperlink r:id="rId15" w:anchor="9-21.100" w:history="1">
        <w:r w:rsidRPr="009A411E">
          <w:t>https://www.justice.gov/jm/jm-9-21000-witness-security#9-21.100</w:t>
        </w:r>
      </w:hyperlink>
    </w:p>
    <w:p w14:paraId="7B814805" w14:textId="2FDA201F" w:rsidR="009A411E" w:rsidRPr="009A411E" w:rsidRDefault="009A411E" w:rsidP="002713F2">
      <w:pPr>
        <w:pStyle w:val="format"/>
        <w:spacing w:after="180"/>
        <w:ind w:firstLine="0"/>
      </w:pPr>
      <w:r w:rsidRPr="009A411E">
        <w:rPr>
          <w:caps/>
        </w:rPr>
        <w:t>Baravelli,</w:t>
      </w:r>
      <w:r w:rsidRPr="009A411E">
        <w:t xml:space="preserve"> Andrea. </w:t>
      </w:r>
      <w:r w:rsidRPr="009A411E">
        <w:rPr>
          <w:i/>
        </w:rPr>
        <w:t>Il fascino discreto della necessità. La via italiana all’antiterrorismo penale (1975-1982)</w:t>
      </w:r>
      <w:r w:rsidRPr="009A411E">
        <w:t xml:space="preserve"> [online]. [cit. 14. června 2024]. Dostupné z: </w:t>
      </w:r>
      <w:r w:rsidR="00F83176" w:rsidRPr="00F83176">
        <w:t>https://sfera.unife.it/retrieve/e30</w:t>
      </w:r>
      <w:r w:rsidR="00F83176">
        <w:br/>
      </w:r>
      <w:r w:rsidRPr="009A411E">
        <w:t>9ade3-1e89-3969-e053-3a05fe0a2c94/11392_2405262.baravelli.PRE.pdf</w:t>
      </w:r>
    </w:p>
    <w:p w14:paraId="29B4D3CA" w14:textId="77777777" w:rsidR="009A411E" w:rsidRPr="009A411E" w:rsidRDefault="009A411E" w:rsidP="002713F2">
      <w:pPr>
        <w:pStyle w:val="format"/>
        <w:spacing w:after="180"/>
        <w:ind w:firstLine="0"/>
      </w:pPr>
      <w:r w:rsidRPr="009A411E">
        <w:rPr>
          <w:caps/>
        </w:rPr>
        <w:t>Beall</w:t>
      </w:r>
      <w:r w:rsidRPr="009A411E">
        <w:t xml:space="preserve">, George. Principles of Plea Bargaining. </w:t>
      </w:r>
      <w:r w:rsidRPr="009A411E">
        <w:rPr>
          <w:i/>
        </w:rPr>
        <w:t>Law eCommons</w:t>
      </w:r>
      <w:r w:rsidRPr="009A411E">
        <w:t xml:space="preserve"> [online]. 2015, roč. 9, č. 1 [cit. 20. května 2024]. Dostupné z: </w:t>
      </w:r>
      <w:hyperlink r:id="rId16" w:history="1">
        <w:r w:rsidRPr="009A411E">
          <w:t>http://lawecommons.luc.edu/luclj/vol9/iss1/5</w:t>
        </w:r>
      </w:hyperlink>
    </w:p>
    <w:p w14:paraId="192DBC7C" w14:textId="4D4DD580" w:rsidR="009A411E" w:rsidRPr="009A411E" w:rsidRDefault="009A411E" w:rsidP="002713F2">
      <w:pPr>
        <w:pStyle w:val="format"/>
        <w:spacing w:after="180"/>
        <w:ind w:firstLine="0"/>
      </w:pPr>
      <w:r w:rsidRPr="009A411E">
        <w:t xml:space="preserve">Bezpečnostní hrozby. </w:t>
      </w:r>
      <w:r w:rsidRPr="009A411E">
        <w:rPr>
          <w:i/>
        </w:rPr>
        <w:t>Ministerstvo vnitra ČR</w:t>
      </w:r>
      <w:r w:rsidRPr="009A411E">
        <w:t xml:space="preserve"> [online]. Praha, 18. října 2021 [cit. 24. dubna 2024]. Dostupné z: </w:t>
      </w:r>
      <w:r w:rsidR="002713F2" w:rsidRPr="002713F2">
        <w:t>https://www.mvcr.cz/clanek/bezpecnostni-hrozby-337414.aspx?q=Y2hudW0</w:t>
      </w:r>
      <w:r w:rsidR="002713F2" w:rsidRPr="002713F2">
        <w:br/>
        <w:t>9Mg%3D%3D</w:t>
      </w:r>
    </w:p>
    <w:p w14:paraId="0AA49B32" w14:textId="77777777" w:rsidR="009A411E" w:rsidRPr="009A411E" w:rsidRDefault="009A411E" w:rsidP="002713F2">
      <w:pPr>
        <w:pStyle w:val="format"/>
        <w:spacing w:after="180"/>
        <w:ind w:firstLine="0"/>
      </w:pPr>
      <w:r w:rsidRPr="009A411E">
        <w:rPr>
          <w:caps/>
        </w:rPr>
        <w:t>Budayová,</w:t>
      </w:r>
      <w:r w:rsidRPr="009A411E">
        <w:t xml:space="preserve"> Lucie. Četnost využívání institutu spolupracujícího obviněného a návrhy k jejímu zvýšení. </w:t>
      </w:r>
      <w:r w:rsidRPr="009A411E">
        <w:rPr>
          <w:i/>
        </w:rPr>
        <w:t>Bulletin advokacie</w:t>
      </w:r>
      <w:r w:rsidRPr="009A411E">
        <w:t xml:space="preserve"> [online]. 4. ledna 2018 [cit. 10. dubna 2024]. Dostupné z: http://www.bulletin-advokacie.cz/cetnost-vyuzivani-institutu-spolupracujiciho-obvineneho-a-navrhy-k-jejimu-zvyseni</w:t>
      </w:r>
    </w:p>
    <w:p w14:paraId="67E27ED7" w14:textId="1646AEDD" w:rsidR="009A411E" w:rsidRPr="009A411E" w:rsidRDefault="009A411E" w:rsidP="002713F2">
      <w:pPr>
        <w:pStyle w:val="format"/>
        <w:spacing w:after="180"/>
        <w:ind w:firstLine="0"/>
      </w:pPr>
      <w:r w:rsidRPr="009A411E">
        <w:rPr>
          <w:caps/>
        </w:rPr>
        <w:t>Canopoli,</w:t>
      </w:r>
      <w:r w:rsidRPr="009A411E">
        <w:t xml:space="preserve"> Elena. Il coraggio di opporsi Tutela e protezione nei confronti di chi denuncia la</w:t>
      </w:r>
      <w:r w:rsidR="002713F2">
        <w:t> </w:t>
      </w:r>
      <w:r w:rsidRPr="009A411E">
        <w:t xml:space="preserve">criminalità organizzata. </w:t>
      </w:r>
      <w:r w:rsidRPr="009A411E">
        <w:rPr>
          <w:i/>
        </w:rPr>
        <w:t>Centro Ricerca Sicurezza e Terrorismo</w:t>
      </w:r>
      <w:r w:rsidRPr="009A411E">
        <w:t xml:space="preserve"> [online]. 2021 [cit. 14. června 2024]. Dostupné z: </w:t>
      </w:r>
      <w:r w:rsidR="002713F2" w:rsidRPr="002713F2">
        <w:t>https://www.dirittopenaleglobalizzazione.it/wp-content/uploads/2021/01/Can</w:t>
      </w:r>
      <w:r w:rsidR="002713F2">
        <w:br/>
      </w:r>
      <w:r w:rsidRPr="009A411E">
        <w:t>opoli.pdf</w:t>
      </w:r>
    </w:p>
    <w:p w14:paraId="7728E85A" w14:textId="56EFB3FF" w:rsidR="009A411E" w:rsidRPr="009A411E" w:rsidRDefault="009A411E" w:rsidP="002713F2">
      <w:pPr>
        <w:pStyle w:val="format"/>
        <w:spacing w:after="180"/>
        <w:ind w:firstLine="0"/>
      </w:pPr>
      <w:r w:rsidRPr="009A411E">
        <w:rPr>
          <w:caps/>
        </w:rPr>
        <w:t>Colimberti,</w:t>
      </w:r>
      <w:r w:rsidRPr="009A411E">
        <w:t xml:space="preserve"> Mariantonietta. Sono un pm da strada e non ho paura. </w:t>
      </w:r>
      <w:r w:rsidRPr="009A411E">
        <w:rPr>
          <w:i/>
        </w:rPr>
        <w:t>Arel la rivista</w:t>
      </w:r>
      <w:r w:rsidRPr="009A411E">
        <w:t xml:space="preserve"> [online]. 2014, č. 11 [cit. 14. června 2024]. Dostupné z: https://www.arel.it/wp-content/uploads/2014/11/</w:t>
      </w:r>
      <w:r w:rsidR="002713F2">
        <w:br/>
      </w:r>
      <w:r w:rsidRPr="009A411E">
        <w:t>Intervista-con-Alessandra-Dolci.pdf</w:t>
      </w:r>
    </w:p>
    <w:p w14:paraId="7766B443" w14:textId="3720AB3C" w:rsidR="009A411E" w:rsidRPr="009A411E" w:rsidRDefault="009A411E" w:rsidP="002713F2">
      <w:pPr>
        <w:pStyle w:val="format"/>
        <w:spacing w:after="180"/>
        <w:ind w:firstLine="0"/>
      </w:pPr>
      <w:r w:rsidRPr="009A411E">
        <w:t>D’ALESSIO, Valeria. Il „pentito“ dissidio interiore tra onore, rispetto verso il clan e senso di</w:t>
      </w:r>
      <w:r w:rsidR="002713F2">
        <w:t> </w:t>
      </w:r>
      <w:r w:rsidRPr="009A411E">
        <w:t xml:space="preserve">giustizia. </w:t>
      </w:r>
      <w:r w:rsidRPr="009A411E">
        <w:rPr>
          <w:i/>
        </w:rPr>
        <w:t>Ius in itinere</w:t>
      </w:r>
      <w:r w:rsidRPr="009A411E">
        <w:t xml:space="preserve"> [online]. 2017 [cit. 14. června 2024]. Dostupné z: </w:t>
      </w:r>
      <w:r w:rsidR="002713F2" w:rsidRPr="002713F2">
        <w:lastRenderedPageBreak/>
        <w:t>https://www.iusinitinere.it/pentito-dissidio-interiore-onore-rispetto-verso-clansenso-giustizia-4319</w:t>
      </w:r>
    </w:p>
    <w:p w14:paraId="3A1E5A03" w14:textId="60206334" w:rsidR="009A411E" w:rsidRPr="009A411E" w:rsidRDefault="009A411E" w:rsidP="002713F2">
      <w:pPr>
        <w:pStyle w:val="format"/>
        <w:spacing w:after="180"/>
        <w:ind w:firstLine="0"/>
      </w:pPr>
      <w:r w:rsidRPr="009A411E">
        <w:rPr>
          <w:caps/>
        </w:rPr>
        <w:t>Devers</w:t>
      </w:r>
      <w:r w:rsidRPr="009A411E">
        <w:t xml:space="preserve">, Lindsey. Plea and Charge Bargaining: Research Summary. </w:t>
      </w:r>
      <w:r w:rsidRPr="009A411E">
        <w:rPr>
          <w:i/>
        </w:rPr>
        <w:t>Bureau of Justice Assistance U. S.</w:t>
      </w:r>
      <w:r w:rsidRPr="009A411E">
        <w:t xml:space="preserve"> [online]. 2011 [cit. 20. května 2024]. Dostupné z: </w:t>
      </w:r>
      <w:r w:rsidR="002713F2" w:rsidRPr="002713F2">
        <w:t>https://www.scribd.com/docu</w:t>
      </w:r>
      <w:r w:rsidR="002713F2">
        <w:br/>
      </w:r>
      <w:r w:rsidRPr="009A411E">
        <w:t>ment/538684677/PleaBargainingResearchSummary-1</w:t>
      </w:r>
    </w:p>
    <w:p w14:paraId="396FFFAE" w14:textId="192A8859" w:rsidR="009A411E" w:rsidRPr="009A411E" w:rsidRDefault="009A411E" w:rsidP="002713F2">
      <w:pPr>
        <w:pStyle w:val="format"/>
        <w:spacing w:after="180"/>
        <w:ind w:firstLine="0"/>
      </w:pPr>
      <w:r w:rsidRPr="009A411E">
        <w:rPr>
          <w:caps/>
        </w:rPr>
        <w:t>Hughes</w:t>
      </w:r>
      <w:r w:rsidRPr="009A411E">
        <w:t xml:space="preserve">, Graham. Agreements for Cooperation in Criminal Cases. </w:t>
      </w:r>
      <w:r w:rsidRPr="009A411E">
        <w:rPr>
          <w:i/>
        </w:rPr>
        <w:t>Vanderbilt Law Review</w:t>
      </w:r>
      <w:r w:rsidR="002713F2">
        <w:rPr>
          <w:i/>
        </w:rPr>
        <w:t xml:space="preserve"> </w:t>
      </w:r>
      <w:r w:rsidRPr="009A411E">
        <w:t xml:space="preserve">[online]. 1992, roč. 45, č. 1 [cit. 20. května 2024]. Dostupné z: </w:t>
      </w:r>
      <w:r w:rsidR="002713F2" w:rsidRPr="002713F2">
        <w:t>https://scholarship.law.vanderbilt.</w:t>
      </w:r>
      <w:r w:rsidR="002713F2">
        <w:br/>
      </w:r>
      <w:r w:rsidR="002713F2" w:rsidRPr="002713F2">
        <w:t>edu/vlr/vol45/iss1/1</w:t>
      </w:r>
    </w:p>
    <w:p w14:paraId="18B080D8" w14:textId="77777777" w:rsidR="009A411E" w:rsidRPr="009A411E" w:rsidRDefault="009A411E" w:rsidP="002713F2">
      <w:pPr>
        <w:pStyle w:val="format"/>
        <w:spacing w:after="180"/>
        <w:ind w:firstLine="0"/>
      </w:pPr>
      <w:r w:rsidRPr="009A411E">
        <w:t xml:space="preserve">Italské mafie, o kterých se nemluví. </w:t>
      </w:r>
      <w:r w:rsidRPr="009A411E">
        <w:rPr>
          <w:i/>
        </w:rPr>
        <w:t>ČT24</w:t>
      </w:r>
      <w:r w:rsidRPr="009A411E">
        <w:t xml:space="preserve"> [online]. 7. srpna 2017 [cit. 14. června 2024]. Dostupné z: </w:t>
      </w:r>
      <w:hyperlink r:id="rId17" w:history="1">
        <w:r w:rsidRPr="009A411E">
          <w:t>https://ct24.ceskatelevize.cz/clanek/relax/italske-mafie-o-kterych-se-nemluvi-92555</w:t>
        </w:r>
      </w:hyperlink>
    </w:p>
    <w:p w14:paraId="464B8EA6" w14:textId="77777777" w:rsidR="009A411E" w:rsidRPr="009A411E" w:rsidRDefault="009A411E" w:rsidP="002713F2">
      <w:pPr>
        <w:pStyle w:val="format"/>
        <w:spacing w:after="180"/>
        <w:ind w:firstLine="0"/>
      </w:pPr>
      <w:r w:rsidRPr="009A411E">
        <w:t xml:space="preserve">Koncepce boje proti organizovanému zločinu do roku 2023. </w:t>
      </w:r>
      <w:r w:rsidRPr="009A411E">
        <w:rPr>
          <w:i/>
        </w:rPr>
        <w:t>Ministerstvo vnitra ČR</w:t>
      </w:r>
      <w:r w:rsidRPr="009A411E">
        <w:t xml:space="preserve"> [online]. Praha, únor 2018 [cit. 23. dubna 2024]. Dostupné z: https://www.mvcr.cz/soubor/koncepce-boje-proti-organizovanemu-zlocinu-do-roku-2023.aspx</w:t>
      </w:r>
    </w:p>
    <w:p w14:paraId="5BAC4846" w14:textId="77777777" w:rsidR="009A411E" w:rsidRPr="009A411E" w:rsidRDefault="009A411E" w:rsidP="002713F2">
      <w:pPr>
        <w:pStyle w:val="format"/>
        <w:spacing w:after="180"/>
        <w:ind w:firstLine="0"/>
      </w:pPr>
      <w:r w:rsidRPr="009A411E">
        <w:rPr>
          <w:caps/>
        </w:rPr>
        <w:t>Malone,</w:t>
      </w:r>
      <w:r w:rsidRPr="009A411E">
        <w:t xml:space="preserve"> Carlie. Plea Bargaining and Collateral Consequences: An Experimental Analysis. </w:t>
      </w:r>
      <w:r w:rsidRPr="009A411E">
        <w:rPr>
          <w:i/>
        </w:rPr>
        <w:t>Vanderbilt Law Review</w:t>
      </w:r>
      <w:r w:rsidRPr="009A411E">
        <w:t xml:space="preserve"> [online]. 2020, roč. 73, č. 4, s. 1161–1208 [cit. 20. května 2024]. Dostupné z: https://scholarship.law.vanderbilt.edu/cgi/viewcontent.cgi?article=3476&amp;context=vlr</w:t>
      </w:r>
    </w:p>
    <w:p w14:paraId="7B5D9AB0" w14:textId="77777777" w:rsidR="009A411E" w:rsidRPr="009A411E" w:rsidRDefault="009A411E" w:rsidP="002713F2">
      <w:pPr>
        <w:pStyle w:val="format"/>
        <w:spacing w:after="180"/>
        <w:ind w:firstLine="0"/>
      </w:pPr>
      <w:r w:rsidRPr="009A411E">
        <w:rPr>
          <w:caps/>
        </w:rPr>
        <w:t>Martino,</w:t>
      </w:r>
      <w:r w:rsidRPr="009A411E">
        <w:t xml:space="preserve"> Paolo. Per la storia della ’ndranghita. </w:t>
      </w:r>
      <w:r w:rsidRPr="009A411E">
        <w:rPr>
          <w:i/>
        </w:rPr>
        <w:t>Dell'Università di Roma</w:t>
      </w:r>
      <w:r w:rsidRPr="009A411E">
        <w:t xml:space="preserve"> [online]. 1988 [cit. 15. června 2024]. Dostupné z: https://lumsa.it/sites/default/files/Per%20la%20storia.pdf</w:t>
      </w:r>
    </w:p>
    <w:p w14:paraId="51045C67" w14:textId="77777777" w:rsidR="009A411E" w:rsidRPr="009A411E" w:rsidRDefault="009A411E" w:rsidP="002713F2">
      <w:pPr>
        <w:pStyle w:val="format"/>
        <w:spacing w:after="180"/>
        <w:ind w:firstLine="0"/>
      </w:pPr>
      <w:r w:rsidRPr="009A411E">
        <w:rPr>
          <w:caps/>
        </w:rPr>
        <w:t>Turati,</w:t>
      </w:r>
      <w:r w:rsidRPr="009A411E">
        <w:t xml:space="preserve"> Filippo. </w:t>
      </w:r>
      <w:r w:rsidRPr="009A411E">
        <w:rPr>
          <w:i/>
        </w:rPr>
        <w:t>Società e Cultura</w:t>
      </w:r>
      <w:r w:rsidRPr="009A411E">
        <w:t xml:space="preserve"> [online]. [cit. 14. června 2024]. Dostupné z: https://flore.unifi.it/bitstream/2158/590501/1/tesi%20dottorato.pdf</w:t>
      </w:r>
    </w:p>
    <w:p w14:paraId="2F59CF09" w14:textId="1895C14B" w:rsidR="009A411E" w:rsidRPr="009A411E" w:rsidRDefault="009A411E" w:rsidP="002713F2">
      <w:pPr>
        <w:pStyle w:val="format"/>
        <w:spacing w:after="180"/>
        <w:ind w:firstLine="0"/>
      </w:pPr>
      <w:r w:rsidRPr="009A411E">
        <w:rPr>
          <w:caps/>
        </w:rPr>
        <w:t>Welschen,</w:t>
      </w:r>
      <w:r w:rsidRPr="009A411E">
        <w:t xml:space="preserve"> Thomas. </w:t>
      </w:r>
      <w:r w:rsidRPr="009A411E">
        <w:rPr>
          <w:i/>
        </w:rPr>
        <w:t xml:space="preserve">Pentiti, dissociati e detenzione preventiva negli anni 70-80 [da Cap. 9 del libro 'Il Complesso Italiano' di Tom Welschen-versione pubblica] </w:t>
      </w:r>
      <w:r w:rsidRPr="009A411E">
        <w:t>[online]. 2020 [cit. 12.</w:t>
      </w:r>
      <w:r w:rsidR="002713F2">
        <w:t> </w:t>
      </w:r>
      <w:r w:rsidRPr="009A411E">
        <w:t xml:space="preserve">června 2024]. Dostupné z: </w:t>
      </w:r>
      <w:r w:rsidR="002713F2" w:rsidRPr="002713F2">
        <w:t>https://www.researchgate.net/publication/341622488_Pentiti_disso</w:t>
      </w:r>
      <w:r w:rsidR="002713F2" w:rsidRPr="002713F2">
        <w:br/>
        <w:t>ciati_e_detenzione_preventiva_negli_anni_70-80_da_Cap_9_del_libro_'Il_Complesso_Italiano'_</w:t>
      </w:r>
      <w:r w:rsidR="002713F2" w:rsidRPr="002713F2">
        <w:br/>
        <w:t>di_Tom_Welschen-versione_pubblica</w:t>
      </w:r>
    </w:p>
    <w:p w14:paraId="23684A2A" w14:textId="77777777" w:rsidR="009A411E" w:rsidRPr="009A411E" w:rsidRDefault="009A411E" w:rsidP="002713F2">
      <w:pPr>
        <w:pStyle w:val="format"/>
        <w:spacing w:after="180"/>
        <w:ind w:firstLine="0"/>
        <w:rPr>
          <w:b/>
        </w:rPr>
      </w:pPr>
      <w:r w:rsidRPr="009A411E">
        <w:rPr>
          <w:b/>
        </w:rPr>
        <w:t>Judikatura</w:t>
      </w:r>
    </w:p>
    <w:p w14:paraId="72F1E214" w14:textId="77777777" w:rsidR="009A411E" w:rsidRPr="009A411E" w:rsidRDefault="009A411E" w:rsidP="002713F2">
      <w:pPr>
        <w:pStyle w:val="format"/>
        <w:spacing w:after="180"/>
        <w:ind w:firstLine="0"/>
      </w:pPr>
      <w:r w:rsidRPr="009A411E">
        <w:t>Case of Enea v. Italy, Case of Ganci v. Italy</w:t>
      </w:r>
    </w:p>
    <w:p w14:paraId="447B1BA4" w14:textId="77777777" w:rsidR="009A411E" w:rsidRPr="009A411E" w:rsidRDefault="009A411E" w:rsidP="002713F2">
      <w:pPr>
        <w:pStyle w:val="format"/>
        <w:spacing w:after="180"/>
        <w:ind w:firstLine="0"/>
      </w:pPr>
      <w:r w:rsidRPr="009A411E">
        <w:lastRenderedPageBreak/>
        <w:t>ENEA v. ITALY Application no. 74912/01 ze dne 17. září 2009</w:t>
      </w:r>
    </w:p>
    <w:p w14:paraId="41E03E84" w14:textId="77777777" w:rsidR="009A411E" w:rsidRPr="009A411E" w:rsidRDefault="009A411E" w:rsidP="002713F2">
      <w:pPr>
        <w:pStyle w:val="format"/>
        <w:spacing w:after="180"/>
        <w:ind w:firstLine="0"/>
      </w:pPr>
      <w:r w:rsidRPr="009A411E">
        <w:t>GANCI v. ITALY Application no. 41576/98 ze dne 30. října 2003</w:t>
      </w:r>
    </w:p>
    <w:p w14:paraId="52CB22EC" w14:textId="77777777" w:rsidR="009A411E" w:rsidRPr="009A411E" w:rsidRDefault="009A411E" w:rsidP="002713F2">
      <w:pPr>
        <w:pStyle w:val="format"/>
        <w:spacing w:after="180"/>
        <w:ind w:firstLine="0"/>
      </w:pPr>
      <w:r w:rsidRPr="009A411E">
        <w:t>Nález Ústavního soudu ze dne 31. října 2001, sp. zn. Pl. ÚS 15/01</w:t>
      </w:r>
    </w:p>
    <w:p w14:paraId="560790D3" w14:textId="77777777" w:rsidR="009A411E" w:rsidRPr="009A411E" w:rsidRDefault="009A411E" w:rsidP="002713F2">
      <w:pPr>
        <w:pStyle w:val="format"/>
        <w:spacing w:after="180"/>
        <w:ind w:firstLine="0"/>
      </w:pPr>
      <w:r w:rsidRPr="009A411E">
        <w:t>Nález Ústavního soudu ze dne 7. srpna 2018, sp. zn. II. ÚS 3525/16</w:t>
      </w:r>
    </w:p>
    <w:p w14:paraId="7B4BC75D" w14:textId="77777777" w:rsidR="009A411E" w:rsidRPr="009A411E" w:rsidRDefault="009A411E" w:rsidP="002713F2">
      <w:pPr>
        <w:pStyle w:val="format"/>
        <w:spacing w:after="180"/>
        <w:ind w:firstLine="0"/>
      </w:pPr>
      <w:r w:rsidRPr="009A411E">
        <w:t>Rozsudek Nejvyššího soudu ze dne 19. června 2018, sp. zn. 6 Tz 6/2018</w:t>
      </w:r>
    </w:p>
    <w:p w14:paraId="252C3D63" w14:textId="7FF7F667" w:rsidR="009A411E" w:rsidRPr="009A411E" w:rsidRDefault="009A411E" w:rsidP="002713F2">
      <w:pPr>
        <w:pStyle w:val="format"/>
        <w:spacing w:after="180"/>
        <w:ind w:firstLine="0"/>
      </w:pPr>
      <w:r w:rsidRPr="009A411E">
        <w:t>Usnesení Krajského soudu v Hradci Králové – pobočka Pardubice ze dne 31. srpna 2021, sp.</w:t>
      </w:r>
      <w:r w:rsidR="002713F2">
        <w:t> </w:t>
      </w:r>
      <w:r w:rsidRPr="009A411E">
        <w:t>zn.</w:t>
      </w:r>
      <w:r w:rsidR="002713F2">
        <w:t> </w:t>
      </w:r>
      <w:r w:rsidRPr="009A411E">
        <w:t>13 To 183/2021</w:t>
      </w:r>
    </w:p>
    <w:p w14:paraId="2D3BC985" w14:textId="77777777" w:rsidR="009A411E" w:rsidRPr="009A411E" w:rsidRDefault="009A411E" w:rsidP="002713F2">
      <w:pPr>
        <w:pStyle w:val="format"/>
        <w:spacing w:after="180"/>
        <w:ind w:firstLine="0"/>
      </w:pPr>
      <w:r w:rsidRPr="009A411E">
        <w:t>Usnesení Nejvyššího soudu ze dne 1. dubna 2020, sp. zn. 7 Tdo 317/2020</w:t>
      </w:r>
    </w:p>
    <w:p w14:paraId="69AEC2E3" w14:textId="77777777" w:rsidR="009A411E" w:rsidRPr="009A411E" w:rsidRDefault="009A411E" w:rsidP="002713F2">
      <w:pPr>
        <w:pStyle w:val="format"/>
        <w:spacing w:after="180"/>
        <w:ind w:firstLine="0"/>
      </w:pPr>
      <w:r w:rsidRPr="009A411E">
        <w:t>Usnesení Nejvyššího soudu ze dne 10. prosince 2014, sp. zn. 3 Tdo 684/2014-110</w:t>
      </w:r>
    </w:p>
    <w:p w14:paraId="70777AEB" w14:textId="77777777" w:rsidR="009A411E" w:rsidRPr="009A411E" w:rsidRDefault="009A411E" w:rsidP="002713F2">
      <w:pPr>
        <w:pStyle w:val="format"/>
        <w:spacing w:after="180"/>
        <w:ind w:firstLine="0"/>
      </w:pPr>
      <w:r w:rsidRPr="009A411E">
        <w:t>Usnesení Ústavního soudu ze dne 13. března 2014, sp. zn. III. ÚS 859/13</w:t>
      </w:r>
    </w:p>
    <w:p w14:paraId="32B37E43" w14:textId="77777777" w:rsidR="009A411E" w:rsidRPr="009A411E" w:rsidRDefault="009A411E" w:rsidP="002713F2">
      <w:pPr>
        <w:pStyle w:val="format"/>
        <w:spacing w:after="180"/>
        <w:ind w:firstLine="0"/>
        <w:rPr>
          <w:b/>
        </w:rPr>
      </w:pPr>
      <w:r w:rsidRPr="009A411E">
        <w:rPr>
          <w:b/>
        </w:rPr>
        <w:t>Právní předpisy a související akty</w:t>
      </w:r>
    </w:p>
    <w:p w14:paraId="2AFF919B" w14:textId="77777777" w:rsidR="009A411E" w:rsidRPr="009A411E" w:rsidRDefault="009A411E" w:rsidP="002713F2">
      <w:pPr>
        <w:pStyle w:val="format"/>
        <w:spacing w:after="180"/>
        <w:ind w:firstLine="0"/>
      </w:pPr>
      <w:r w:rsidRPr="009A411E">
        <w:t>18 U. S. C. 6001-6005 (USA)</w:t>
      </w:r>
    </w:p>
    <w:p w14:paraId="2981A2CE" w14:textId="7FD6FA60" w:rsidR="009A411E" w:rsidRPr="009A411E" w:rsidRDefault="009A411E" w:rsidP="002713F2">
      <w:pPr>
        <w:pStyle w:val="format"/>
        <w:spacing w:after="180"/>
        <w:ind w:firstLine="0"/>
      </w:pPr>
      <w:r w:rsidRPr="009A411E">
        <w:t>Důvodová zpráva k zákonu č. 41/2009 Sb.</w:t>
      </w:r>
    </w:p>
    <w:p w14:paraId="6D4F74DA" w14:textId="77777777" w:rsidR="009A411E" w:rsidRPr="009A411E" w:rsidRDefault="009A411E" w:rsidP="002713F2">
      <w:pPr>
        <w:pStyle w:val="format"/>
        <w:spacing w:after="180"/>
        <w:ind w:firstLine="0"/>
      </w:pPr>
      <w:r w:rsidRPr="009A411E">
        <w:t>Legge 26 luglio 1975, n. 354 (Itálie)</w:t>
      </w:r>
    </w:p>
    <w:p w14:paraId="1C42BBFE" w14:textId="77777777" w:rsidR="009A411E" w:rsidRPr="009A411E" w:rsidRDefault="009A411E" w:rsidP="002713F2">
      <w:pPr>
        <w:pStyle w:val="format"/>
        <w:spacing w:after="180"/>
        <w:ind w:firstLine="0"/>
      </w:pPr>
      <w:r w:rsidRPr="009A411E">
        <w:t>Penal Code (Itálie)</w:t>
      </w:r>
    </w:p>
    <w:p w14:paraId="4732CF39" w14:textId="77777777" w:rsidR="009A411E" w:rsidRPr="009A411E" w:rsidRDefault="009A411E" w:rsidP="002713F2">
      <w:pPr>
        <w:pStyle w:val="format"/>
        <w:spacing w:after="180"/>
        <w:ind w:firstLine="0"/>
      </w:pPr>
      <w:r w:rsidRPr="009A411E">
        <w:t>Rámcové rozhodnutí Rady 2008/841/SVV ze dne 24. října 2008</w:t>
      </w:r>
    </w:p>
    <w:p w14:paraId="03449048" w14:textId="77777777" w:rsidR="009A411E" w:rsidRPr="009A411E" w:rsidRDefault="009A411E" w:rsidP="002713F2">
      <w:pPr>
        <w:pStyle w:val="format"/>
        <w:spacing w:after="180"/>
        <w:ind w:firstLine="0"/>
      </w:pPr>
      <w:r w:rsidRPr="009A411E">
        <w:t>Sdělení č. 75/2013 Sb. m. s., Ministerstva zahraničních věcí o Úmluvě Organizace spojených národů proti nadnárodnímu organizovanému zločinu</w:t>
      </w:r>
    </w:p>
    <w:p w14:paraId="785FD413" w14:textId="77777777" w:rsidR="009A411E" w:rsidRPr="009A411E" w:rsidRDefault="009A411E" w:rsidP="002713F2">
      <w:pPr>
        <w:pStyle w:val="format"/>
        <w:spacing w:after="180"/>
        <w:ind w:firstLine="0"/>
      </w:pPr>
      <w:r w:rsidRPr="009A411E">
        <w:t>Společná akce Rady 98/733/SVV přijatá dne 21. prosince 1998</w:t>
      </w:r>
    </w:p>
    <w:p w14:paraId="0F57C668" w14:textId="4271D0CD" w:rsidR="009A411E" w:rsidRPr="009A411E" w:rsidRDefault="009A411E" w:rsidP="002713F2">
      <w:pPr>
        <w:pStyle w:val="format"/>
        <w:spacing w:after="180"/>
        <w:ind w:firstLine="0"/>
      </w:pPr>
      <w:r w:rsidRPr="009A411E">
        <w:t>Usnesení č. 2/1993 Sb., předsednictva České národní rady o vyhlášení Listiny základních práv a</w:t>
      </w:r>
      <w:r w:rsidR="002713F2">
        <w:t> </w:t>
      </w:r>
      <w:r w:rsidRPr="009A411E">
        <w:t>svobod jako součásti ústavního pořádku České republiky</w:t>
      </w:r>
    </w:p>
    <w:p w14:paraId="356344BF" w14:textId="77777777" w:rsidR="009A411E" w:rsidRPr="009A411E" w:rsidRDefault="009A411E" w:rsidP="002713F2">
      <w:pPr>
        <w:pStyle w:val="format"/>
        <w:spacing w:after="180"/>
        <w:ind w:firstLine="0"/>
      </w:pPr>
      <w:r w:rsidRPr="009A411E">
        <w:t>Zákon č. 137/2001 Sb., o zvláštní ochraně svědka a dalších osob v souvislosti s trestním řízením a o změně zákona č. 99/1963 Sb., občanský soudní řád, ve znění pozdějších předpisů</w:t>
      </w:r>
    </w:p>
    <w:p w14:paraId="3C51195F" w14:textId="77777777" w:rsidR="009A411E" w:rsidRPr="009A411E" w:rsidRDefault="009A411E" w:rsidP="002713F2">
      <w:pPr>
        <w:pStyle w:val="format"/>
        <w:spacing w:after="180"/>
        <w:ind w:firstLine="0"/>
      </w:pPr>
      <w:r w:rsidRPr="009A411E">
        <w:lastRenderedPageBreak/>
        <w:t>Zákon č. 141/1961 Sb., o trestním řízení soudním (trestní řád)</w:t>
      </w:r>
    </w:p>
    <w:p w14:paraId="0E471E04" w14:textId="77777777" w:rsidR="009A411E" w:rsidRPr="009A411E" w:rsidRDefault="009A411E" w:rsidP="002713F2">
      <w:pPr>
        <w:pStyle w:val="format"/>
        <w:spacing w:after="180"/>
        <w:ind w:firstLine="0"/>
      </w:pPr>
      <w:r w:rsidRPr="009A411E">
        <w:t>Zákon č. 169/1999 Sb., o výkonu trestu odnětí svobody a o změně některých souvisejících zákonů</w:t>
      </w:r>
    </w:p>
    <w:p w14:paraId="59574463" w14:textId="77777777" w:rsidR="009A411E" w:rsidRPr="009A411E" w:rsidRDefault="009A411E" w:rsidP="002713F2">
      <w:pPr>
        <w:pStyle w:val="format"/>
        <w:spacing w:after="180"/>
        <w:ind w:firstLine="0"/>
      </w:pPr>
      <w:r w:rsidRPr="009A411E">
        <w:t>Zákon č. 273/2008 Sb., o Policii České republiky</w:t>
      </w:r>
    </w:p>
    <w:p w14:paraId="03E76801" w14:textId="77777777" w:rsidR="009A411E" w:rsidRPr="009A411E" w:rsidRDefault="009A411E" w:rsidP="002713F2">
      <w:pPr>
        <w:pStyle w:val="format"/>
        <w:spacing w:after="180"/>
        <w:ind w:firstLine="0"/>
      </w:pPr>
      <w:r w:rsidRPr="009A411E">
        <w:t>Zákon č. 300/2005 Z. z., trestný zákon (Slovenská republika)</w:t>
      </w:r>
    </w:p>
    <w:p w14:paraId="5F8DA044" w14:textId="77777777" w:rsidR="009A411E" w:rsidRPr="009A411E" w:rsidRDefault="009A411E" w:rsidP="002713F2">
      <w:pPr>
        <w:pStyle w:val="format"/>
        <w:spacing w:after="180"/>
        <w:ind w:firstLine="0"/>
      </w:pPr>
      <w:r w:rsidRPr="009A411E">
        <w:t>Zákon č. 301/2005 Z. z., trestný poriadok (Slovenská republika)</w:t>
      </w:r>
    </w:p>
    <w:p w14:paraId="574A297E" w14:textId="77777777" w:rsidR="009A411E" w:rsidRPr="009A411E" w:rsidRDefault="009A411E" w:rsidP="002713F2">
      <w:pPr>
        <w:pStyle w:val="format"/>
        <w:spacing w:after="180"/>
        <w:ind w:firstLine="0"/>
      </w:pPr>
      <w:r w:rsidRPr="009A411E">
        <w:t>Zákon č. 333/2020 Sb., kterým se mění zákon č. 40/2009 Sb., trestní zákoník, ve znění pozdějších předpisů, zákon č. 141/1961 Sb., o trestním řízení soudním (trestní řád), ve znění pozdějších předpisů, a některé další zákony</w:t>
      </w:r>
    </w:p>
    <w:p w14:paraId="5326A9FA" w14:textId="77777777" w:rsidR="009A411E" w:rsidRPr="009A411E" w:rsidRDefault="009A411E" w:rsidP="002713F2">
      <w:pPr>
        <w:pStyle w:val="format"/>
        <w:spacing w:after="180"/>
        <w:ind w:firstLine="0"/>
      </w:pPr>
      <w:r w:rsidRPr="009A411E">
        <w:t>Zákon č. 40/2009 Sb., trestní zákoník</w:t>
      </w:r>
    </w:p>
    <w:p w14:paraId="0D53C88B" w14:textId="77777777" w:rsidR="009A411E" w:rsidRPr="009A411E" w:rsidRDefault="009A411E" w:rsidP="002713F2">
      <w:pPr>
        <w:pStyle w:val="format"/>
        <w:spacing w:after="180"/>
        <w:ind w:firstLine="0"/>
      </w:pPr>
      <w:r w:rsidRPr="009A411E">
        <w:t>Zákon č. 45/2001 (Itálie)</w:t>
      </w:r>
    </w:p>
    <w:p w14:paraId="62414579" w14:textId="77777777" w:rsidR="009A411E" w:rsidRPr="009A411E" w:rsidRDefault="009A411E" w:rsidP="002713F2">
      <w:pPr>
        <w:pStyle w:val="format"/>
        <w:spacing w:after="180"/>
        <w:ind w:firstLine="0"/>
      </w:pPr>
      <w:r w:rsidRPr="009A411E">
        <w:t>Zákon č. 6 ze dne 11. ledna 2018 (Itálie)</w:t>
      </w:r>
    </w:p>
    <w:p w14:paraId="7D133002" w14:textId="77777777" w:rsidR="009A411E" w:rsidRPr="009A411E" w:rsidRDefault="009A411E" w:rsidP="002713F2">
      <w:pPr>
        <w:pStyle w:val="format"/>
        <w:spacing w:after="180"/>
        <w:ind w:firstLine="0"/>
        <w:rPr>
          <w:b/>
        </w:rPr>
      </w:pPr>
      <w:r w:rsidRPr="009A411E">
        <w:rPr>
          <w:b/>
        </w:rPr>
        <w:t>Ostatní</w:t>
      </w:r>
    </w:p>
    <w:p w14:paraId="6425C2FF" w14:textId="77777777" w:rsidR="009A411E" w:rsidRPr="009A411E" w:rsidRDefault="009A411E" w:rsidP="002713F2">
      <w:pPr>
        <w:pStyle w:val="format"/>
        <w:spacing w:after="180"/>
        <w:ind w:firstLine="0"/>
      </w:pPr>
      <w:r w:rsidRPr="009A411E">
        <w:rPr>
          <w:caps/>
        </w:rPr>
        <w:t>Stampanoni Bassi,</w:t>
      </w:r>
      <w:r w:rsidRPr="009A411E">
        <w:t xml:space="preserve"> Guido. Profili processuali della disciplina sui cosiddetti “collaboratori di giustizia”. </w:t>
      </w:r>
      <w:r w:rsidRPr="009A411E">
        <w:rPr>
          <w:i/>
        </w:rPr>
        <w:t>Libera università maria ss. assunta</w:t>
      </w:r>
      <w:r w:rsidRPr="009A411E">
        <w:t xml:space="preserve"> [online]. [cit. 10. června 2024]. Dostupné z: https://www.giurisprudenzapenale.com/wp-content/uploads/2013/09/tesi-collaboratori-giustizia.pdf</w:t>
      </w:r>
    </w:p>
    <w:p w14:paraId="567D4B5A" w14:textId="308327B0" w:rsidR="00653BEB" w:rsidRDefault="00653BEB">
      <w:pPr>
        <w:spacing w:after="0" w:line="240" w:lineRule="auto"/>
        <w:rPr>
          <w:rFonts w:ascii="Times New Roman" w:hAnsi="Times New Roman"/>
          <w:sz w:val="24"/>
          <w:szCs w:val="24"/>
        </w:rPr>
      </w:pPr>
      <w:r>
        <w:br w:type="page"/>
      </w:r>
    </w:p>
    <w:p w14:paraId="32964E60" w14:textId="61D52C69" w:rsidR="002F0523" w:rsidRDefault="00653BEB" w:rsidP="00653BEB">
      <w:pPr>
        <w:pStyle w:val="Nadpis1"/>
        <w:numPr>
          <w:ilvl w:val="0"/>
          <w:numId w:val="0"/>
        </w:numPr>
      </w:pPr>
      <w:bookmarkStart w:id="51" w:name="_Toc170638022"/>
      <w:r>
        <w:lastRenderedPageBreak/>
        <w:t>Seznam grafů</w:t>
      </w:r>
      <w:bookmarkEnd w:id="51"/>
    </w:p>
    <w:p w14:paraId="65EA49D7" w14:textId="77777777" w:rsidR="00B22A76" w:rsidRDefault="00653BEB">
      <w:pPr>
        <w:pStyle w:val="Seznamobrzk"/>
        <w:tabs>
          <w:tab w:val="right" w:leader="dot" w:pos="9395"/>
        </w:tabs>
        <w:rPr>
          <w:rFonts w:asciiTheme="minorHAnsi" w:eastAsiaTheme="minorEastAsia" w:hAnsiTheme="minorHAnsi" w:cstheme="minorBidi"/>
          <w:noProof/>
          <w:sz w:val="22"/>
        </w:rPr>
      </w:pPr>
      <w:r>
        <w:fldChar w:fldCharType="begin"/>
      </w:r>
      <w:r>
        <w:instrText xml:space="preserve"> TOC \h \z \c "Graf" </w:instrText>
      </w:r>
      <w:r>
        <w:fldChar w:fldCharType="separate"/>
      </w:r>
      <w:hyperlink w:anchor="_Toc170638700" w:history="1">
        <w:r w:rsidR="00B22A76" w:rsidRPr="005B4699">
          <w:rPr>
            <w:rStyle w:val="Hypertextovodkaz"/>
            <w:noProof/>
          </w:rPr>
          <w:t>Graf 1: Četnost použití SO od 1. 1. 2018 do 31. 7. 2023</w:t>
        </w:r>
        <w:r w:rsidR="00B22A76">
          <w:rPr>
            <w:noProof/>
            <w:webHidden/>
          </w:rPr>
          <w:tab/>
        </w:r>
        <w:r w:rsidR="00B22A76">
          <w:rPr>
            <w:noProof/>
            <w:webHidden/>
          </w:rPr>
          <w:fldChar w:fldCharType="begin"/>
        </w:r>
        <w:r w:rsidR="00B22A76">
          <w:rPr>
            <w:noProof/>
            <w:webHidden/>
          </w:rPr>
          <w:instrText xml:space="preserve"> PAGEREF _Toc170638700 \h </w:instrText>
        </w:r>
        <w:r w:rsidR="00B22A76">
          <w:rPr>
            <w:noProof/>
            <w:webHidden/>
          </w:rPr>
        </w:r>
        <w:r w:rsidR="00B22A76">
          <w:rPr>
            <w:noProof/>
            <w:webHidden/>
          </w:rPr>
          <w:fldChar w:fldCharType="separate"/>
        </w:r>
        <w:r w:rsidR="007460C5">
          <w:rPr>
            <w:noProof/>
            <w:webHidden/>
          </w:rPr>
          <w:t>24</w:t>
        </w:r>
        <w:r w:rsidR="00B22A76">
          <w:rPr>
            <w:noProof/>
            <w:webHidden/>
          </w:rPr>
          <w:fldChar w:fldCharType="end"/>
        </w:r>
      </w:hyperlink>
    </w:p>
    <w:p w14:paraId="681FB0A5" w14:textId="77777777" w:rsidR="00B22A76" w:rsidRDefault="00000000">
      <w:pPr>
        <w:pStyle w:val="Seznamobrzk"/>
        <w:tabs>
          <w:tab w:val="right" w:leader="dot" w:pos="9395"/>
        </w:tabs>
        <w:rPr>
          <w:rFonts w:asciiTheme="minorHAnsi" w:eastAsiaTheme="minorEastAsia" w:hAnsiTheme="minorHAnsi" w:cstheme="minorBidi"/>
          <w:noProof/>
          <w:sz w:val="22"/>
        </w:rPr>
      </w:pPr>
      <w:hyperlink w:anchor="_Toc170638701" w:history="1">
        <w:r w:rsidR="00B22A76" w:rsidRPr="005B4699">
          <w:rPr>
            <w:rStyle w:val="Hypertextovodkaz"/>
            <w:noProof/>
          </w:rPr>
          <w:t>Graf 2: Trestné činy dle Hlav TZ</w:t>
        </w:r>
        <w:r w:rsidR="00B22A76">
          <w:rPr>
            <w:noProof/>
            <w:webHidden/>
          </w:rPr>
          <w:tab/>
        </w:r>
        <w:r w:rsidR="00B22A76">
          <w:rPr>
            <w:noProof/>
            <w:webHidden/>
          </w:rPr>
          <w:fldChar w:fldCharType="begin"/>
        </w:r>
        <w:r w:rsidR="00B22A76">
          <w:rPr>
            <w:noProof/>
            <w:webHidden/>
          </w:rPr>
          <w:instrText xml:space="preserve"> PAGEREF _Toc170638701 \h </w:instrText>
        </w:r>
        <w:r w:rsidR="00B22A76">
          <w:rPr>
            <w:noProof/>
            <w:webHidden/>
          </w:rPr>
        </w:r>
        <w:r w:rsidR="00B22A76">
          <w:rPr>
            <w:noProof/>
            <w:webHidden/>
          </w:rPr>
          <w:fldChar w:fldCharType="separate"/>
        </w:r>
        <w:r w:rsidR="007460C5">
          <w:rPr>
            <w:noProof/>
            <w:webHidden/>
          </w:rPr>
          <w:t>25</w:t>
        </w:r>
        <w:r w:rsidR="00B22A76">
          <w:rPr>
            <w:noProof/>
            <w:webHidden/>
          </w:rPr>
          <w:fldChar w:fldCharType="end"/>
        </w:r>
      </w:hyperlink>
    </w:p>
    <w:p w14:paraId="22C8873B" w14:textId="77777777" w:rsidR="00B22A76" w:rsidRDefault="00000000">
      <w:pPr>
        <w:pStyle w:val="Seznamobrzk"/>
        <w:tabs>
          <w:tab w:val="right" w:leader="dot" w:pos="9395"/>
        </w:tabs>
        <w:rPr>
          <w:rFonts w:asciiTheme="minorHAnsi" w:eastAsiaTheme="minorEastAsia" w:hAnsiTheme="minorHAnsi" w:cstheme="minorBidi"/>
          <w:noProof/>
          <w:sz w:val="22"/>
        </w:rPr>
      </w:pPr>
      <w:hyperlink w:anchor="_Toc170638702" w:history="1">
        <w:r w:rsidR="00B22A76" w:rsidRPr="005B4699">
          <w:rPr>
            <w:rStyle w:val="Hypertextovodkaz"/>
            <w:noProof/>
          </w:rPr>
          <w:t>Graf 3: KSZ Ostrava</w:t>
        </w:r>
        <w:r w:rsidR="00B22A76">
          <w:rPr>
            <w:noProof/>
            <w:webHidden/>
          </w:rPr>
          <w:tab/>
        </w:r>
        <w:r w:rsidR="00B22A76">
          <w:rPr>
            <w:noProof/>
            <w:webHidden/>
          </w:rPr>
          <w:fldChar w:fldCharType="begin"/>
        </w:r>
        <w:r w:rsidR="00B22A76">
          <w:rPr>
            <w:noProof/>
            <w:webHidden/>
          </w:rPr>
          <w:instrText xml:space="preserve"> PAGEREF _Toc170638702 \h </w:instrText>
        </w:r>
        <w:r w:rsidR="00B22A76">
          <w:rPr>
            <w:noProof/>
            <w:webHidden/>
          </w:rPr>
        </w:r>
        <w:r w:rsidR="00B22A76">
          <w:rPr>
            <w:noProof/>
            <w:webHidden/>
          </w:rPr>
          <w:fldChar w:fldCharType="separate"/>
        </w:r>
        <w:r w:rsidR="007460C5">
          <w:rPr>
            <w:noProof/>
            <w:webHidden/>
          </w:rPr>
          <w:t>26</w:t>
        </w:r>
        <w:r w:rsidR="00B22A76">
          <w:rPr>
            <w:noProof/>
            <w:webHidden/>
          </w:rPr>
          <w:fldChar w:fldCharType="end"/>
        </w:r>
      </w:hyperlink>
    </w:p>
    <w:p w14:paraId="01F89B62" w14:textId="77777777" w:rsidR="00B22A76" w:rsidRDefault="00000000">
      <w:pPr>
        <w:pStyle w:val="Seznamobrzk"/>
        <w:tabs>
          <w:tab w:val="right" w:leader="dot" w:pos="9395"/>
        </w:tabs>
        <w:rPr>
          <w:rFonts w:asciiTheme="minorHAnsi" w:eastAsiaTheme="minorEastAsia" w:hAnsiTheme="minorHAnsi" w:cstheme="minorBidi"/>
          <w:noProof/>
          <w:sz w:val="22"/>
        </w:rPr>
      </w:pPr>
      <w:hyperlink w:anchor="_Toc170638703" w:history="1">
        <w:r w:rsidR="00B22A76" w:rsidRPr="005B4699">
          <w:rPr>
            <w:rStyle w:val="Hypertextovodkaz"/>
            <w:noProof/>
          </w:rPr>
          <w:t>Graf 4: KSZ Ostrava – konkrétní trestné činy</w:t>
        </w:r>
        <w:r w:rsidR="00B22A76">
          <w:rPr>
            <w:noProof/>
            <w:webHidden/>
          </w:rPr>
          <w:tab/>
        </w:r>
        <w:r w:rsidR="00B22A76">
          <w:rPr>
            <w:noProof/>
            <w:webHidden/>
          </w:rPr>
          <w:fldChar w:fldCharType="begin"/>
        </w:r>
        <w:r w:rsidR="00B22A76">
          <w:rPr>
            <w:noProof/>
            <w:webHidden/>
          </w:rPr>
          <w:instrText xml:space="preserve"> PAGEREF _Toc170638703 \h </w:instrText>
        </w:r>
        <w:r w:rsidR="00B22A76">
          <w:rPr>
            <w:noProof/>
            <w:webHidden/>
          </w:rPr>
        </w:r>
        <w:r w:rsidR="00B22A76">
          <w:rPr>
            <w:noProof/>
            <w:webHidden/>
          </w:rPr>
          <w:fldChar w:fldCharType="separate"/>
        </w:r>
        <w:r w:rsidR="007460C5">
          <w:rPr>
            <w:noProof/>
            <w:webHidden/>
          </w:rPr>
          <w:t>27</w:t>
        </w:r>
        <w:r w:rsidR="00B22A76">
          <w:rPr>
            <w:noProof/>
            <w:webHidden/>
          </w:rPr>
          <w:fldChar w:fldCharType="end"/>
        </w:r>
      </w:hyperlink>
    </w:p>
    <w:p w14:paraId="396DB3E0" w14:textId="77777777" w:rsidR="00B22A76" w:rsidRDefault="00000000">
      <w:pPr>
        <w:pStyle w:val="Seznamobrzk"/>
        <w:tabs>
          <w:tab w:val="right" w:leader="dot" w:pos="9395"/>
        </w:tabs>
        <w:rPr>
          <w:rFonts w:asciiTheme="minorHAnsi" w:eastAsiaTheme="minorEastAsia" w:hAnsiTheme="minorHAnsi" w:cstheme="minorBidi"/>
          <w:noProof/>
          <w:sz w:val="22"/>
        </w:rPr>
      </w:pPr>
      <w:hyperlink w:anchor="_Toc170638704" w:history="1">
        <w:r w:rsidR="00B22A76" w:rsidRPr="005B4699">
          <w:rPr>
            <w:rStyle w:val="Hypertextovodkaz"/>
            <w:noProof/>
          </w:rPr>
          <w:t>Graf 5: KSZ Ostrava – Četnost SO od roku 2010 do roku 2015</w:t>
        </w:r>
        <w:r w:rsidR="00B22A76">
          <w:rPr>
            <w:noProof/>
            <w:webHidden/>
          </w:rPr>
          <w:tab/>
        </w:r>
        <w:r w:rsidR="00B22A76">
          <w:rPr>
            <w:noProof/>
            <w:webHidden/>
          </w:rPr>
          <w:fldChar w:fldCharType="begin"/>
        </w:r>
        <w:r w:rsidR="00B22A76">
          <w:rPr>
            <w:noProof/>
            <w:webHidden/>
          </w:rPr>
          <w:instrText xml:space="preserve"> PAGEREF _Toc170638704 \h </w:instrText>
        </w:r>
        <w:r w:rsidR="00B22A76">
          <w:rPr>
            <w:noProof/>
            <w:webHidden/>
          </w:rPr>
        </w:r>
        <w:r w:rsidR="00B22A76">
          <w:rPr>
            <w:noProof/>
            <w:webHidden/>
          </w:rPr>
          <w:fldChar w:fldCharType="separate"/>
        </w:r>
        <w:r w:rsidR="007460C5">
          <w:rPr>
            <w:noProof/>
            <w:webHidden/>
          </w:rPr>
          <w:t>28</w:t>
        </w:r>
        <w:r w:rsidR="00B22A76">
          <w:rPr>
            <w:noProof/>
            <w:webHidden/>
          </w:rPr>
          <w:fldChar w:fldCharType="end"/>
        </w:r>
      </w:hyperlink>
    </w:p>
    <w:p w14:paraId="4A15A876" w14:textId="77777777" w:rsidR="00653BEB" w:rsidRPr="002F0523" w:rsidRDefault="00653BEB" w:rsidP="002F0523">
      <w:pPr>
        <w:pStyle w:val="format"/>
      </w:pPr>
      <w:r>
        <w:fldChar w:fldCharType="end"/>
      </w:r>
    </w:p>
    <w:p w14:paraId="028A28CB" w14:textId="3E858160" w:rsidR="00581FA6" w:rsidRDefault="00155BA6" w:rsidP="00155BA6">
      <w:pPr>
        <w:pStyle w:val="Nadpis1"/>
        <w:numPr>
          <w:ilvl w:val="0"/>
          <w:numId w:val="0"/>
        </w:numPr>
      </w:pPr>
      <w:r>
        <w:br w:type="page"/>
      </w:r>
      <w:bookmarkStart w:id="52" w:name="_Toc170638023"/>
      <w:r>
        <w:lastRenderedPageBreak/>
        <w:t>Abstrakt</w:t>
      </w:r>
      <w:bookmarkEnd w:id="52"/>
    </w:p>
    <w:p w14:paraId="1FC0AA4B" w14:textId="1771DB54" w:rsidR="002F0523" w:rsidRDefault="00DF7845" w:rsidP="00155BA6">
      <w:pPr>
        <w:pStyle w:val="format"/>
      </w:pPr>
      <w:r w:rsidRPr="00DF7845">
        <w:t>Diplomová práce se zabývá institutem spolupracujícího obviněného, jenž je v českém právním řádu trestněprávním procesním nástrojem boje proti organizovanému zločinu, a zároveň srovnává jeho českou právní úpravu s vybranými úpravami zahraničními (tj. se Slovenskem, Spojenými státy americkými a Itálií). Cílem autora je přiblížit tento institut, zhodnotit ho, analyzovat a odpovědět na stanovené výzkumné otázky. Práce sestává z úvodu, čtyř samostatných kapitol a závěru. První kapitola se věnuje problematice organizovaného zločinu a</w:t>
      </w:r>
      <w:r w:rsidR="007E7486">
        <w:t> </w:t>
      </w:r>
      <w:r w:rsidRPr="00DF7845">
        <w:t>boje proti němu. Druhá kapitola se zevrubně zabývá institutem spolupracujícího obviněného v</w:t>
      </w:r>
      <w:r w:rsidR="007E7486">
        <w:t> </w:t>
      </w:r>
      <w:r w:rsidRPr="00DF7845">
        <w:t>úpravě českého trestního práva. Třetí kapitola pak blíže představuje zahraniční právní úpravy</w:t>
      </w:r>
      <w:r w:rsidR="007E7486">
        <w:t> </w:t>
      </w:r>
      <w:r w:rsidRPr="00DF7845">
        <w:t xml:space="preserve">tohoto institutu a nabízí srovnání s českou úpravou. Čtvrtá kapitola rozebírá otázku ochrany spolupracujícího obviněného. V závěru je poukázáno na klady a zápory předmětného institutu, </w:t>
      </w:r>
      <w:r w:rsidR="00B81BAF">
        <w:t xml:space="preserve">jsou </w:t>
      </w:r>
      <w:r w:rsidRPr="00DF7845">
        <w:t>předloženy vybrané návrhy na zlepšení jeho praktického fungování a zodpovězeny výzkumné otázky.</w:t>
      </w:r>
    </w:p>
    <w:p w14:paraId="5AB5EF23" w14:textId="77777777" w:rsidR="00B06FA9" w:rsidRDefault="00B06FA9" w:rsidP="00155BA6">
      <w:pPr>
        <w:pStyle w:val="format"/>
      </w:pPr>
    </w:p>
    <w:p w14:paraId="10A3FDD7" w14:textId="77777777" w:rsidR="00B06FA9" w:rsidRDefault="00B06FA9" w:rsidP="00155BA6">
      <w:pPr>
        <w:pStyle w:val="format"/>
      </w:pPr>
    </w:p>
    <w:p w14:paraId="4C3455B5" w14:textId="789327FC" w:rsidR="002F0523" w:rsidRPr="002F0523" w:rsidRDefault="002F0523" w:rsidP="00B06FA9">
      <w:pPr>
        <w:pStyle w:val="format"/>
        <w:ind w:firstLine="0"/>
      </w:pPr>
      <w:r w:rsidRPr="00B06FA9">
        <w:rPr>
          <w:b/>
        </w:rPr>
        <w:t>Klíčová slova:</w:t>
      </w:r>
      <w:r w:rsidR="00B06FA9">
        <w:t xml:space="preserve"> </w:t>
      </w:r>
      <w:r w:rsidR="00B06FA9" w:rsidRPr="00B06FA9">
        <w:t>Spolupracující obviněný, trestný čin, trestn</w:t>
      </w:r>
      <w:r w:rsidR="00DA68C6">
        <w:t>á</w:t>
      </w:r>
      <w:r w:rsidR="00B06FA9" w:rsidRPr="00B06FA9">
        <w:t xml:space="preserve"> činnost, organizovaná skupina, </w:t>
      </w:r>
      <w:r w:rsidR="00F81D48">
        <w:t>organizovaný zločin</w:t>
      </w:r>
      <w:r w:rsidR="00B06FA9" w:rsidRPr="00B06FA9">
        <w:t>,</w:t>
      </w:r>
      <w:r w:rsidR="00F81D48">
        <w:t xml:space="preserve"> organizovaná zločinecká skupina</w:t>
      </w:r>
    </w:p>
    <w:p w14:paraId="65888D34" w14:textId="4CC52D1E" w:rsidR="00155BA6" w:rsidRPr="00BF3D0A" w:rsidRDefault="00155BA6" w:rsidP="00155BA6">
      <w:pPr>
        <w:pStyle w:val="Nadpis1"/>
        <w:numPr>
          <w:ilvl w:val="0"/>
          <w:numId w:val="0"/>
        </w:numPr>
        <w:rPr>
          <w:lang w:val="en-GB"/>
        </w:rPr>
      </w:pPr>
      <w:r>
        <w:br w:type="page"/>
      </w:r>
      <w:bookmarkStart w:id="53" w:name="_Toc170638024"/>
      <w:r w:rsidRPr="00BF3D0A">
        <w:rPr>
          <w:lang w:val="en-GB"/>
        </w:rPr>
        <w:lastRenderedPageBreak/>
        <w:t>Abstract</w:t>
      </w:r>
      <w:bookmarkEnd w:id="53"/>
    </w:p>
    <w:p w14:paraId="1C99A114" w14:textId="00F426F6" w:rsidR="00155BA6" w:rsidRPr="00BF3D0A" w:rsidRDefault="00BF3D0A" w:rsidP="00155BA6">
      <w:pPr>
        <w:pStyle w:val="format"/>
        <w:rPr>
          <w:lang w:val="en-GB"/>
        </w:rPr>
      </w:pPr>
      <w:r w:rsidRPr="00BF3D0A">
        <w:rPr>
          <w:lang w:val="en-GB"/>
        </w:rPr>
        <w:t>The diploma thesis explores the concept of the cooperating accused within the framework of the Czech legal system, focusing on its role as a criminal procedural tool in combating organized crime. It also includes a comparative analysis with selected foreign jurisdictions, namely Slovakia, the United States of America, and Italy. The author's objectives are to describe, evaluate, analyse, and address specific research questions related to this legal institute. The thesis is structured into an introduction, four main chapters, and a conclusion. The first chapter discusses the nature of organized crime and strategies employed to fight it. The second chapter deals in detail with the legal framework and application of the cooperating accused within Czech criminal law. The third chapter presents the legal provisions regarding the cooperating accused in</w:t>
      </w:r>
      <w:r w:rsidR="00B22A76">
        <w:rPr>
          <w:lang w:val="en-GB"/>
        </w:rPr>
        <w:t> </w:t>
      </w:r>
      <w:r w:rsidRPr="00BF3D0A">
        <w:rPr>
          <w:lang w:val="en-GB"/>
        </w:rPr>
        <w:t>foreign countries, comparing them with Czech legislation. The fourth chapter examines the legal safeguards and protections afforded to cooperating accused individuals. The conclusion summarizes findings from the analysis, highlights the strengths and weaknesses of the cooperating accused institute, proposes improvements for its practical implementation, and provides answers to the research questions posed throughout the thesis.</w:t>
      </w:r>
    </w:p>
    <w:p w14:paraId="4360C239" w14:textId="77777777" w:rsidR="00155BA6" w:rsidRPr="00BF3D0A" w:rsidRDefault="00155BA6" w:rsidP="00155BA6">
      <w:pPr>
        <w:pStyle w:val="format"/>
        <w:rPr>
          <w:lang w:val="en-GB"/>
        </w:rPr>
      </w:pPr>
    </w:p>
    <w:p w14:paraId="0EC8E7C9" w14:textId="77777777" w:rsidR="002F0523" w:rsidRPr="00BF3D0A" w:rsidRDefault="002F0523" w:rsidP="00155BA6">
      <w:pPr>
        <w:pStyle w:val="format"/>
        <w:rPr>
          <w:lang w:val="en-GB"/>
        </w:rPr>
      </w:pPr>
    </w:p>
    <w:p w14:paraId="4C70B421" w14:textId="066C1901" w:rsidR="002F0523" w:rsidRPr="00BF3D0A" w:rsidRDefault="002F0523" w:rsidP="002F0523">
      <w:pPr>
        <w:pStyle w:val="format"/>
        <w:ind w:firstLine="0"/>
        <w:rPr>
          <w:lang w:val="en-GB"/>
        </w:rPr>
      </w:pPr>
      <w:r w:rsidRPr="00813EED">
        <w:rPr>
          <w:b/>
          <w:lang w:val="en-GB"/>
        </w:rPr>
        <w:t>Keywords:</w:t>
      </w:r>
      <w:r w:rsidR="00813EED">
        <w:rPr>
          <w:lang w:val="en-GB"/>
        </w:rPr>
        <w:t xml:space="preserve"> </w:t>
      </w:r>
      <w:r w:rsidR="00813EED" w:rsidRPr="00813EED">
        <w:rPr>
          <w:lang w:val="en-GB"/>
        </w:rPr>
        <w:t xml:space="preserve">Cooperating accused, crime, criminal activity, organized group, organized crime group, </w:t>
      </w:r>
      <w:r w:rsidR="00310976">
        <w:rPr>
          <w:lang w:val="en-GB"/>
        </w:rPr>
        <w:t>organized crime</w:t>
      </w:r>
    </w:p>
    <w:sectPr w:rsidR="002F0523" w:rsidRPr="00BF3D0A" w:rsidSect="00976FD4">
      <w:footerReference w:type="default" r:id="rId18"/>
      <w:pgSz w:w="12240" w:h="15840"/>
      <w:pgMar w:top="1418" w:right="1134" w:bottom="1418" w:left="1701"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06326" w14:textId="77777777" w:rsidR="00135CA4" w:rsidRDefault="00135CA4" w:rsidP="006C65A5">
      <w:pPr>
        <w:spacing w:after="0" w:line="240" w:lineRule="auto"/>
      </w:pPr>
      <w:r>
        <w:separator/>
      </w:r>
    </w:p>
  </w:endnote>
  <w:endnote w:type="continuationSeparator" w:id="0">
    <w:p w14:paraId="3766621F" w14:textId="77777777" w:rsidR="00135CA4" w:rsidRDefault="00135CA4" w:rsidP="006C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F9E92" w14:textId="3FE4FA4A" w:rsidR="00813EED" w:rsidRPr="005066D7" w:rsidRDefault="00813EED" w:rsidP="00330941">
    <w:pPr>
      <w:pStyle w:val="Zpat"/>
      <w:spacing w:after="0" w:line="240" w:lineRule="auto"/>
      <w:jc w:val="right"/>
      <w:rPr>
        <w:rFonts w:ascii="Times New Roman" w:hAnsi="Times New Roman"/>
        <w:sz w:val="24"/>
        <w:szCs w:val="24"/>
      </w:rPr>
    </w:pPr>
    <w:r w:rsidRPr="005066D7">
      <w:rPr>
        <w:rFonts w:ascii="Times New Roman" w:hAnsi="Times New Roman"/>
        <w:sz w:val="24"/>
        <w:szCs w:val="24"/>
      </w:rPr>
      <w:fldChar w:fldCharType="begin"/>
    </w:r>
    <w:r w:rsidRPr="005066D7">
      <w:rPr>
        <w:rFonts w:ascii="Times New Roman" w:hAnsi="Times New Roman"/>
        <w:sz w:val="24"/>
        <w:szCs w:val="24"/>
      </w:rPr>
      <w:instrText>PAGE   \* MERGEFORMAT</w:instrText>
    </w:r>
    <w:r w:rsidRPr="005066D7">
      <w:rPr>
        <w:rFonts w:ascii="Times New Roman" w:hAnsi="Times New Roman"/>
        <w:sz w:val="24"/>
        <w:szCs w:val="24"/>
      </w:rPr>
      <w:fldChar w:fldCharType="separate"/>
    </w:r>
    <w:r w:rsidR="007460C5">
      <w:rPr>
        <w:rFonts w:ascii="Times New Roman" w:hAnsi="Times New Roman"/>
        <w:noProof/>
        <w:sz w:val="24"/>
        <w:szCs w:val="24"/>
      </w:rPr>
      <w:t>59</w:t>
    </w:r>
    <w:r w:rsidRPr="005066D7">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06ADC" w14:textId="77777777" w:rsidR="00135CA4" w:rsidRDefault="00135CA4" w:rsidP="006C65A5">
      <w:pPr>
        <w:spacing w:after="0" w:line="240" w:lineRule="auto"/>
      </w:pPr>
      <w:r>
        <w:separator/>
      </w:r>
    </w:p>
  </w:footnote>
  <w:footnote w:type="continuationSeparator" w:id="0">
    <w:p w14:paraId="7DFF7F46" w14:textId="77777777" w:rsidR="00135CA4" w:rsidRDefault="00135CA4" w:rsidP="006C65A5">
      <w:pPr>
        <w:spacing w:after="0" w:line="240" w:lineRule="auto"/>
      </w:pPr>
      <w:r>
        <w:continuationSeparator/>
      </w:r>
    </w:p>
  </w:footnote>
  <w:footnote w:id="1">
    <w:p w14:paraId="1382E035" w14:textId="33DA4414" w:rsidR="00813EED" w:rsidRPr="00251388" w:rsidRDefault="00813EED" w:rsidP="008D702C">
      <w:pPr>
        <w:pStyle w:val="Textpoznpodarou"/>
        <w:spacing w:after="0" w:line="240" w:lineRule="auto"/>
        <w:jc w:val="both"/>
        <w:rPr>
          <w:rFonts w:ascii="Times New Roman" w:hAnsi="Times New Roman"/>
        </w:rPr>
      </w:pPr>
      <w:r w:rsidRPr="007A3981">
        <w:rPr>
          <w:rStyle w:val="Znakapoznpodarou"/>
          <w:rFonts w:ascii="Times New Roman" w:hAnsi="Times New Roman"/>
        </w:rPr>
        <w:footnoteRef/>
      </w:r>
      <w:r>
        <w:rPr>
          <w:rFonts w:ascii="Times New Roman" w:hAnsi="Times New Roman"/>
        </w:rPr>
        <w:t xml:space="preserve"> Podkapitola 2.2</w:t>
      </w:r>
      <w:r w:rsidRPr="007A3981">
        <w:rPr>
          <w:rFonts w:ascii="Times New Roman" w:hAnsi="Times New Roman"/>
        </w:rPr>
        <w:t xml:space="preserve"> Četnost použití institutu.</w:t>
      </w:r>
    </w:p>
  </w:footnote>
  <w:footnote w:id="2">
    <w:p w14:paraId="3E981CF3" w14:textId="0A537FE7"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K vysvětlení těchto pojmů dojde v </w:t>
      </w:r>
      <w:r>
        <w:rPr>
          <w:rFonts w:ascii="Times New Roman" w:hAnsi="Times New Roman"/>
        </w:rPr>
        <w:t>podkapitole 3.3</w:t>
      </w:r>
      <w:r w:rsidRPr="00251388">
        <w:rPr>
          <w:rFonts w:ascii="Times New Roman" w:hAnsi="Times New Roman"/>
        </w:rPr>
        <w:t xml:space="preserve"> </w:t>
      </w:r>
      <w:r w:rsidRPr="005E0D1A">
        <w:rPr>
          <w:rFonts w:ascii="Times New Roman" w:hAnsi="Times New Roman"/>
        </w:rPr>
        <w:t>Zahraniční právní úpravy</w:t>
      </w:r>
      <w:r>
        <w:rPr>
          <w:rFonts w:ascii="Times New Roman" w:hAnsi="Times New Roman"/>
        </w:rPr>
        <w:t xml:space="preserve"> – Itálie.</w:t>
      </w:r>
    </w:p>
  </w:footnote>
  <w:footnote w:id="3">
    <w:p w14:paraId="2D7F9D4E" w14:textId="26C8151A" w:rsidR="00813EED" w:rsidRPr="00251388" w:rsidRDefault="00813EED" w:rsidP="008D702C">
      <w:pPr>
        <w:tabs>
          <w:tab w:val="left" w:pos="1296"/>
        </w:tabs>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002E5514">
        <w:rPr>
          <w:rFonts w:ascii="Times New Roman" w:hAnsi="Times New Roman"/>
          <w:sz w:val="20"/>
          <w:szCs w:val="20"/>
        </w:rPr>
        <w:t> </w:t>
      </w:r>
      <w:r w:rsidRPr="00251388">
        <w:rPr>
          <w:rFonts w:ascii="Times New Roman" w:hAnsi="Times New Roman"/>
          <w:sz w:val="20"/>
          <w:szCs w:val="20"/>
        </w:rPr>
        <w:t xml:space="preserve">CEJP, Martin. Organizovaný zločin v České republice v mezinárodním kontextu. </w:t>
      </w:r>
      <w:r w:rsidRPr="00251388">
        <w:rPr>
          <w:rFonts w:ascii="Times New Roman" w:hAnsi="Times New Roman"/>
          <w:i/>
          <w:sz w:val="20"/>
          <w:szCs w:val="20"/>
        </w:rPr>
        <w:t>Trestněprávní revue</w:t>
      </w:r>
      <w:r w:rsidRPr="00251388">
        <w:rPr>
          <w:rFonts w:ascii="Times New Roman" w:hAnsi="Times New Roman"/>
          <w:sz w:val="20"/>
          <w:szCs w:val="20"/>
        </w:rPr>
        <w:t>, 2016, roč.</w:t>
      </w:r>
      <w:r>
        <w:rPr>
          <w:rFonts w:ascii="Times New Roman" w:hAnsi="Times New Roman"/>
          <w:sz w:val="20"/>
          <w:szCs w:val="20"/>
        </w:rPr>
        <w:t> </w:t>
      </w:r>
      <w:r w:rsidRPr="00251388">
        <w:rPr>
          <w:rFonts w:ascii="Times New Roman" w:hAnsi="Times New Roman"/>
          <w:sz w:val="20"/>
          <w:szCs w:val="20"/>
        </w:rPr>
        <w:t>15, č. 4, s. 88–93.</w:t>
      </w:r>
    </w:p>
  </w:footnote>
  <w:footnote w:id="4">
    <w:p w14:paraId="1F4D731E" w14:textId="7A85F6A5" w:rsidR="00813EED" w:rsidRPr="00251388" w:rsidRDefault="00813EED" w:rsidP="008D702C">
      <w:pPr>
        <w:pStyle w:val="Textpoznpodarou"/>
        <w:spacing w:after="0" w:line="240" w:lineRule="auto"/>
        <w:jc w:val="both"/>
        <w:rPr>
          <w:rFonts w:ascii="Times New Roman" w:hAnsi="Times New Roman"/>
        </w:rPr>
      </w:pPr>
      <w:bookmarkStart w:id="2" w:name="_Hlk167898365"/>
      <w:r w:rsidRPr="00251388">
        <w:rPr>
          <w:rStyle w:val="Znakapoznpodarou"/>
          <w:rFonts w:ascii="Times New Roman" w:hAnsi="Times New Roman"/>
        </w:rPr>
        <w:footnoteRef/>
      </w:r>
      <w:r w:rsidRPr="00251388">
        <w:rPr>
          <w:rFonts w:ascii="Times New Roman" w:hAnsi="Times New Roman"/>
        </w:rPr>
        <w:t xml:space="preserve"> FIJNAUT, Cyrille, PAOLI, Letizia ed. </w:t>
      </w:r>
      <w:r w:rsidRPr="00251388">
        <w:rPr>
          <w:rFonts w:ascii="Times New Roman" w:hAnsi="Times New Roman"/>
          <w:i/>
        </w:rPr>
        <w:t>Organised Crime in Europe: Concepts, Patterns and Control Policies in the European Union and Beyond</w:t>
      </w:r>
      <w:r w:rsidRPr="00251388">
        <w:rPr>
          <w:rFonts w:ascii="Times New Roman" w:hAnsi="Times New Roman"/>
        </w:rPr>
        <w:t>. Dodrecht: Springer, 2004</w:t>
      </w:r>
      <w:bookmarkEnd w:id="2"/>
      <w:r w:rsidRPr="00251388">
        <w:rPr>
          <w:rFonts w:ascii="Times New Roman" w:hAnsi="Times New Roman"/>
        </w:rPr>
        <w:t>, s. 435–436.</w:t>
      </w:r>
    </w:p>
  </w:footnote>
  <w:footnote w:id="5">
    <w:p w14:paraId="13C27C8D" w14:textId="2B410883" w:rsidR="00813EED" w:rsidRPr="00251388" w:rsidRDefault="00813EED" w:rsidP="008D702C">
      <w:pPr>
        <w:tabs>
          <w:tab w:val="left" w:pos="1296"/>
        </w:tabs>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FRYŠTÁK, Marek. § 129 [Organizovaná zločinecká skupina]. In: ŠČERBA, Filip a kol. </w:t>
      </w:r>
      <w:r w:rsidRPr="00251388">
        <w:rPr>
          <w:rFonts w:ascii="Times New Roman" w:hAnsi="Times New Roman"/>
          <w:i/>
          <w:sz w:val="20"/>
          <w:szCs w:val="20"/>
        </w:rPr>
        <w:t>Trestní zákoník</w:t>
      </w:r>
      <w:r w:rsidRPr="00251388">
        <w:rPr>
          <w:rFonts w:ascii="Times New Roman" w:hAnsi="Times New Roman"/>
          <w:sz w:val="20"/>
          <w:szCs w:val="20"/>
        </w:rPr>
        <w:t>. 1. vydání (1. aktualizace). Praha: C. H. Beck, 2021, marg. č. 1.</w:t>
      </w:r>
    </w:p>
  </w:footnote>
  <w:footnote w:id="6">
    <w:p w14:paraId="2730DE14" w14:textId="758DBDD8" w:rsidR="00813EED" w:rsidRPr="00251388" w:rsidRDefault="00813EED" w:rsidP="008D702C">
      <w:pPr>
        <w:spacing w:after="0" w:line="240" w:lineRule="auto"/>
        <w:jc w:val="both"/>
        <w:textAlignment w:val="center"/>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Usnesení Nejvyššího soudu ze dne 10. prosince 2014, sp. zn. 3 Tdo 684/2014-110.</w:t>
      </w:r>
    </w:p>
  </w:footnote>
  <w:footnote w:id="7">
    <w:p w14:paraId="18C4693A" w14:textId="791A770B"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FRYŠTÁK, Marek. § 129 [Organizovaná zločinecká skupina]. In: ŠČERBA, Filip a kol. </w:t>
      </w:r>
      <w:r w:rsidRPr="00251388">
        <w:rPr>
          <w:rFonts w:ascii="Times New Roman" w:hAnsi="Times New Roman"/>
          <w:i/>
          <w:sz w:val="20"/>
          <w:szCs w:val="20"/>
        </w:rPr>
        <w:t>Trestní zákoník</w:t>
      </w:r>
      <w:r w:rsidRPr="00251388">
        <w:rPr>
          <w:rFonts w:ascii="Times New Roman" w:hAnsi="Times New Roman"/>
          <w:sz w:val="20"/>
          <w:szCs w:val="20"/>
        </w:rPr>
        <w:t>. 1. vydání (1. aktualizace). Praha: C. H. Beck, 2021, marg. č. 16.</w:t>
      </w:r>
    </w:p>
  </w:footnote>
  <w:footnote w:id="8">
    <w:p w14:paraId="09D428A7" w14:textId="21D74937"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Společná akce Rady 98/733/SVV přijatá dne 21. prosince 1998.</w:t>
      </w:r>
    </w:p>
  </w:footnote>
  <w:footnote w:id="9">
    <w:p w14:paraId="6A39D4DB" w14:textId="4A4E3276"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Společná akce Rady 98/733/SVV přijatá dne 21. prosince 1998.</w:t>
      </w:r>
    </w:p>
  </w:footnote>
  <w:footnote w:id="10">
    <w:p w14:paraId="775D6B34" w14:textId="4EBA61FB"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Rámcové rozhodnutí Rady 2008/841/SVV ze dne 24. října 2008.</w:t>
      </w:r>
    </w:p>
  </w:footnote>
  <w:footnote w:id="11">
    <w:p w14:paraId="4ACCD57F" w14:textId="618F3804"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Tamtéž.</w:t>
      </w:r>
    </w:p>
  </w:footnote>
  <w:footnote w:id="12">
    <w:p w14:paraId="0A690FA4" w14:textId="21481010"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Tamtéž.</w:t>
      </w:r>
    </w:p>
  </w:footnote>
  <w:footnote w:id="13">
    <w:p w14:paraId="5A0E7F20" w14:textId="649CEC82"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Tamtéž.</w:t>
      </w:r>
    </w:p>
  </w:footnote>
  <w:footnote w:id="14">
    <w:p w14:paraId="3A47CC26" w14:textId="1C9C8082"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Sdělení č. 75/2013 Sb. m. s., Ministerstva zahraničních věcí o Úmluvě Organizace spojených národů proti nadnárodnímu organizovanému zločinu.</w:t>
      </w:r>
    </w:p>
  </w:footnote>
  <w:footnote w:id="15">
    <w:p w14:paraId="24172A79" w14:textId="7F562EDA"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Sdělení č. 75/2013 Sb. m. s., Ministerstva zahraničních věcí o Úmluvě Organizace spojených národů proti nadnárodnímu organizovanému zločinu., čl. 2.</w:t>
      </w:r>
    </w:p>
  </w:footnote>
  <w:footnote w:id="16">
    <w:p w14:paraId="6406BE97" w14:textId="4D168DEE"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Pr>
          <w:rFonts w:ascii="Times New Roman" w:hAnsi="Times New Roman"/>
        </w:rPr>
        <w:t>Tamtéž.</w:t>
      </w:r>
    </w:p>
  </w:footnote>
  <w:footnote w:id="17">
    <w:p w14:paraId="4205A63E" w14:textId="415CA246"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Koncepce boje proti organizovanému zločinu do roku 2023. </w:t>
      </w:r>
      <w:r w:rsidRPr="00251388">
        <w:rPr>
          <w:rFonts w:ascii="Times New Roman" w:hAnsi="Times New Roman"/>
          <w:i/>
        </w:rPr>
        <w:t>Ministerstvo vnitra ČR</w:t>
      </w:r>
      <w:r w:rsidRPr="00251388">
        <w:rPr>
          <w:rFonts w:ascii="Times New Roman" w:hAnsi="Times New Roman"/>
        </w:rPr>
        <w:t xml:space="preserve"> [online]. Praha, únor 2018 [cit. 23. dubna 2024]. Dostupné z: https://www.mvcr.cz/soubor/koncepce-boje-proti-organizovanemu-zlocinu-do-roku-2023.aspx, s. 4.</w:t>
      </w:r>
    </w:p>
  </w:footnote>
  <w:footnote w:id="18">
    <w:p w14:paraId="6DC77FFF" w14:textId="2D91E4ED"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Bezpečnostní hrozby. </w:t>
      </w:r>
      <w:r w:rsidRPr="00251388">
        <w:rPr>
          <w:rFonts w:ascii="Times New Roman" w:hAnsi="Times New Roman"/>
          <w:i/>
        </w:rPr>
        <w:t>Ministerstvo vnitra ČR</w:t>
      </w:r>
      <w:r w:rsidRPr="00251388">
        <w:rPr>
          <w:rFonts w:ascii="Times New Roman" w:hAnsi="Times New Roman"/>
        </w:rPr>
        <w:t xml:space="preserve"> [online]. Praha, 18. října 2021 [cit. 24. dubna 2024]. Dostupné z: https://www.mvcr.cz/clanek/bezpecnostni-hrozby-337414.aspx?q=Y2hudW09Mg%3D%3D</w:t>
      </w:r>
    </w:p>
  </w:footnote>
  <w:footnote w:id="19">
    <w:p w14:paraId="198653EC" w14:textId="4F1E1CBC"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Koncepce boje proti organizovanému zločinu do roku 2023. </w:t>
      </w:r>
      <w:r w:rsidRPr="00251388">
        <w:rPr>
          <w:rFonts w:ascii="Times New Roman" w:hAnsi="Times New Roman"/>
          <w:i/>
        </w:rPr>
        <w:t>Ministerstvo vnitra ČR</w:t>
      </w:r>
      <w:r w:rsidRPr="00251388">
        <w:rPr>
          <w:rFonts w:ascii="Times New Roman" w:hAnsi="Times New Roman"/>
        </w:rPr>
        <w:t xml:space="preserve"> [online]. Praha, únor 2018 [cit. 23. dubna 2024]. Dostupné z: https://www.mvcr.cz/soubor/koncepce-boje-proti-organizovanemu-zlocinu-do-roku-2023.aspx, s. 8.</w:t>
      </w:r>
    </w:p>
  </w:footnote>
  <w:footnote w:id="20">
    <w:p w14:paraId="4041A8B3" w14:textId="2E8E7B1F" w:rsidR="000C6522" w:rsidRPr="000C6522" w:rsidRDefault="000C6522" w:rsidP="000C6522">
      <w:pPr>
        <w:pStyle w:val="Textpoznpodarou"/>
        <w:spacing w:after="0" w:line="240" w:lineRule="auto"/>
        <w:jc w:val="both"/>
        <w:rPr>
          <w:rFonts w:ascii="Times New Roman" w:hAnsi="Times New Roman"/>
        </w:rPr>
      </w:pPr>
      <w:r w:rsidRPr="000C6522">
        <w:rPr>
          <w:rStyle w:val="Znakapoznpodarou"/>
          <w:rFonts w:ascii="Times New Roman" w:hAnsi="Times New Roman"/>
        </w:rPr>
        <w:footnoteRef/>
      </w:r>
      <w:r>
        <w:rPr>
          <w:rFonts w:ascii="Times New Roman" w:hAnsi="Times New Roman"/>
          <w:color w:val="000000"/>
        </w:rPr>
        <w:t xml:space="preserve"> </w:t>
      </w:r>
      <w:r w:rsidRPr="000C6522">
        <w:rPr>
          <w:rFonts w:ascii="Times New Roman" w:hAnsi="Times New Roman"/>
          <w:color w:val="000000"/>
        </w:rPr>
        <w:t xml:space="preserve">COUFALOVÁ, Bronislava. Hmotněprávní instituty pro boj s organizovaným zločinem podle nového trestního zákoníku. </w:t>
      </w:r>
      <w:r w:rsidRPr="000C6522">
        <w:rPr>
          <w:rFonts w:ascii="Times New Roman" w:hAnsi="Times New Roman"/>
          <w:i/>
          <w:iCs/>
          <w:color w:val="000000"/>
        </w:rPr>
        <w:t>Bulletin advokacie</w:t>
      </w:r>
      <w:r w:rsidRPr="000C6522">
        <w:rPr>
          <w:rFonts w:ascii="Times New Roman" w:hAnsi="Times New Roman"/>
          <w:color w:val="000000"/>
        </w:rPr>
        <w:t>, 2009, č. 10, s. 82-85</w:t>
      </w:r>
    </w:p>
  </w:footnote>
  <w:footnote w:id="21">
    <w:p w14:paraId="514E48FE" w14:textId="39131C56" w:rsidR="00813EED" w:rsidRPr="00251388" w:rsidRDefault="00813EED" w:rsidP="000C6522">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Důvodová zpráva k zákonu č. 41/2009 Sb., část první, s. 6–7.</w:t>
      </w:r>
    </w:p>
  </w:footnote>
  <w:footnote w:id="22">
    <w:p w14:paraId="43532452" w14:textId="77777777" w:rsidR="00813EED" w:rsidRPr="00251388" w:rsidRDefault="00813EED" w:rsidP="000C6522">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RŮŽIČKA, Miroslav. § 178a [Spolupracující obviněný]. In: ŠÁMAL, Pavel a kol. </w:t>
      </w:r>
      <w:r w:rsidRPr="00251388">
        <w:rPr>
          <w:rFonts w:ascii="Times New Roman" w:hAnsi="Times New Roman"/>
          <w:i/>
        </w:rPr>
        <w:t>Trestní řád</w:t>
      </w:r>
      <w:r w:rsidRPr="00251388">
        <w:rPr>
          <w:rFonts w:ascii="Times New Roman" w:hAnsi="Times New Roman"/>
        </w:rPr>
        <w:t>. 7. vydání. Praha: C. H. Beck, 2013, s. 2315.</w:t>
      </w:r>
    </w:p>
  </w:footnote>
  <w:footnote w:id="23">
    <w:p w14:paraId="47E6B213" w14:textId="6906F430"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RŮŽIČKA, Miroslav. § 178a [Spolupracující obviněný]. In: ŠÁMAL, Pavel a kol. </w:t>
      </w:r>
      <w:r w:rsidRPr="00251388">
        <w:rPr>
          <w:rFonts w:ascii="Times New Roman" w:hAnsi="Times New Roman"/>
          <w:i/>
          <w:sz w:val="20"/>
          <w:szCs w:val="20"/>
        </w:rPr>
        <w:t>Trestní řád</w:t>
      </w:r>
      <w:r w:rsidRPr="00251388">
        <w:rPr>
          <w:rFonts w:ascii="Times New Roman" w:hAnsi="Times New Roman"/>
          <w:sz w:val="20"/>
          <w:szCs w:val="20"/>
        </w:rPr>
        <w:t>. 7. vydání. Praha: C. H. Beck, 2013, s. 2316.</w:t>
      </w:r>
    </w:p>
  </w:footnote>
  <w:footnote w:id="24">
    <w:p w14:paraId="784A5F70" w14:textId="2CA75F37"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ŠČERBA, Filip. § 46 [Obecné ustanovení]. In: ŠČERBA, Filip a kol. </w:t>
      </w:r>
      <w:r w:rsidRPr="00251388">
        <w:rPr>
          <w:rFonts w:ascii="Times New Roman" w:hAnsi="Times New Roman"/>
          <w:i/>
          <w:sz w:val="20"/>
          <w:szCs w:val="20"/>
        </w:rPr>
        <w:t>Trestní zákoník</w:t>
      </w:r>
      <w:r w:rsidRPr="00251388">
        <w:rPr>
          <w:rFonts w:ascii="Times New Roman" w:hAnsi="Times New Roman"/>
          <w:sz w:val="20"/>
          <w:szCs w:val="20"/>
        </w:rPr>
        <w:t>. 1. vydání (1. aktualizace). Praha: C. H. Beck, 2021, marg. č. 27.</w:t>
      </w:r>
    </w:p>
  </w:footnote>
  <w:footnote w:id="25">
    <w:p w14:paraId="18588845" w14:textId="11E69D55" w:rsidR="00813EED" w:rsidRPr="00251388" w:rsidRDefault="00813EED" w:rsidP="008D702C">
      <w:pPr>
        <w:tabs>
          <w:tab w:val="left" w:pos="1800"/>
        </w:tabs>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RŮŽIČKA, Miroslav. § 178a [Spolupracující obviněný]. In: ŠÁMAL, Pavel a kol. </w:t>
      </w:r>
      <w:r w:rsidRPr="00251388">
        <w:rPr>
          <w:rFonts w:ascii="Times New Roman" w:hAnsi="Times New Roman"/>
          <w:i/>
          <w:sz w:val="20"/>
          <w:szCs w:val="20"/>
        </w:rPr>
        <w:t>Trestní řád</w:t>
      </w:r>
      <w:r w:rsidRPr="00251388">
        <w:rPr>
          <w:rFonts w:ascii="Times New Roman" w:hAnsi="Times New Roman"/>
          <w:sz w:val="20"/>
          <w:szCs w:val="20"/>
        </w:rPr>
        <w:t>. 7. vydání. Praha: C. H. Beck, 2013, s. 2321.</w:t>
      </w:r>
    </w:p>
  </w:footnote>
  <w:footnote w:id="26">
    <w:p w14:paraId="1770825B" w14:textId="1041F212"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Tamtéž, s. 2322.</w:t>
      </w:r>
    </w:p>
  </w:footnote>
  <w:footnote w:id="27">
    <w:p w14:paraId="524594E1" w14:textId="261EA06B"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Usnesení Krajského soudu v Hradci Králové – pobočka Pardubice ze dne 31. srpna 2021, sp. zn. 13 To 183/2021.</w:t>
      </w:r>
    </w:p>
  </w:footnote>
  <w:footnote w:id="28">
    <w:p w14:paraId="526D61F1" w14:textId="2AA75672"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251388">
        <w:rPr>
          <w:rFonts w:ascii="Times New Roman" w:hAnsi="Times New Roman"/>
          <w:shd w:val="clear" w:color="auto" w:fill="FFFFFF"/>
        </w:rPr>
        <w:t xml:space="preserve">DRAŠTÍK, Antonín a kol. </w:t>
      </w:r>
      <w:r w:rsidRPr="00251388">
        <w:rPr>
          <w:rFonts w:ascii="Times New Roman" w:hAnsi="Times New Roman"/>
          <w:i/>
          <w:shd w:val="clear" w:color="auto" w:fill="FFFFFF"/>
        </w:rPr>
        <w:t>Trestní řád: komentář. I. díl.</w:t>
      </w:r>
      <w:r w:rsidRPr="00251388">
        <w:rPr>
          <w:rFonts w:ascii="Times New Roman" w:hAnsi="Times New Roman"/>
          <w:shd w:val="clear" w:color="auto" w:fill="FFFFFF"/>
        </w:rPr>
        <w:t xml:space="preserve"> Prah</w:t>
      </w:r>
      <w:r>
        <w:rPr>
          <w:rFonts w:ascii="Times New Roman" w:hAnsi="Times New Roman"/>
          <w:shd w:val="clear" w:color="auto" w:fill="FFFFFF"/>
        </w:rPr>
        <w:t xml:space="preserve">a: Wolters Kluwer, 2017, </w:t>
      </w:r>
      <w:r w:rsidRPr="00251388">
        <w:rPr>
          <w:rFonts w:ascii="Times New Roman" w:hAnsi="Times New Roman"/>
          <w:shd w:val="clear" w:color="auto" w:fill="FFFFFF"/>
        </w:rPr>
        <w:t>s. 1335</w:t>
      </w:r>
      <w:r>
        <w:rPr>
          <w:rFonts w:ascii="Times New Roman" w:hAnsi="Times New Roman"/>
          <w:shd w:val="clear" w:color="auto" w:fill="FFFFFF"/>
        </w:rPr>
        <w:t>.</w:t>
      </w:r>
    </w:p>
  </w:footnote>
  <w:footnote w:id="29">
    <w:p w14:paraId="49532B19" w14:textId="076A4A4E"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GŘIVNA, Tomáš. § 145 [Stížnostní důvody]. In: ŠÁMAL, Pavel a kol. </w:t>
      </w:r>
      <w:r w:rsidRPr="00453AD7">
        <w:rPr>
          <w:rFonts w:ascii="Times New Roman" w:hAnsi="Times New Roman"/>
          <w:i/>
          <w:sz w:val="20"/>
          <w:szCs w:val="20"/>
        </w:rPr>
        <w:t>Trestní řád</w:t>
      </w:r>
      <w:r w:rsidRPr="00251388">
        <w:rPr>
          <w:rFonts w:ascii="Times New Roman" w:hAnsi="Times New Roman"/>
          <w:sz w:val="20"/>
          <w:szCs w:val="20"/>
        </w:rPr>
        <w:t>. 7. vydání. Praha: C. H. Beck, 2013, s. 1777.</w:t>
      </w:r>
    </w:p>
  </w:footnote>
  <w:footnote w:id="30">
    <w:p w14:paraId="0E7979D9" w14:textId="6C4DC5E7" w:rsidR="00813EED" w:rsidRPr="00251388" w:rsidRDefault="00813EED" w:rsidP="008D702C">
      <w:pPr>
        <w:spacing w:after="0" w:line="240" w:lineRule="auto"/>
        <w:jc w:val="both"/>
        <w:rPr>
          <w:rFonts w:ascii="Times New Roman" w:hAnsi="Times New Roman"/>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SCHRAMHAUSER, Jan. Spolupracující obviněný v boji s organizovaným zločinem, úvaha nad platnou právní úpravou. </w:t>
      </w:r>
      <w:r w:rsidRPr="00453AD7">
        <w:rPr>
          <w:rFonts w:ascii="Times New Roman" w:hAnsi="Times New Roman"/>
          <w:i/>
          <w:sz w:val="20"/>
          <w:szCs w:val="20"/>
        </w:rPr>
        <w:t>Trestněprávní revue</w:t>
      </w:r>
      <w:r w:rsidRPr="00251388">
        <w:rPr>
          <w:rFonts w:ascii="Times New Roman" w:hAnsi="Times New Roman"/>
          <w:sz w:val="20"/>
          <w:szCs w:val="20"/>
        </w:rPr>
        <w:t xml:space="preserve">, </w:t>
      </w:r>
      <w:r>
        <w:rPr>
          <w:rFonts w:ascii="Times New Roman" w:hAnsi="Times New Roman"/>
          <w:sz w:val="20"/>
          <w:szCs w:val="20"/>
        </w:rPr>
        <w:t>2012, roč. 11, č. 1, s. 11–16</w:t>
      </w:r>
      <w:r w:rsidRPr="00453AD7">
        <w:rPr>
          <w:rFonts w:ascii="Times New Roman" w:hAnsi="Times New Roman"/>
          <w:sz w:val="20"/>
          <w:szCs w:val="20"/>
        </w:rPr>
        <w:t>.</w:t>
      </w:r>
    </w:p>
  </w:footnote>
  <w:footnote w:id="31">
    <w:p w14:paraId="765738F2" w14:textId="39DDEA6C"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Usnesení Nejvyššího soudu ze dne 1. </w:t>
      </w:r>
      <w:r>
        <w:rPr>
          <w:rFonts w:ascii="Times New Roman" w:hAnsi="Times New Roman"/>
          <w:sz w:val="20"/>
          <w:szCs w:val="20"/>
        </w:rPr>
        <w:t>dubna</w:t>
      </w:r>
      <w:r w:rsidRPr="00251388">
        <w:rPr>
          <w:rFonts w:ascii="Times New Roman" w:hAnsi="Times New Roman"/>
          <w:sz w:val="20"/>
          <w:szCs w:val="20"/>
        </w:rPr>
        <w:t xml:space="preserve"> 2020, sp. zn. 7 Tdo 317/2020</w:t>
      </w:r>
      <w:r>
        <w:rPr>
          <w:rFonts w:ascii="Times New Roman" w:hAnsi="Times New Roman"/>
          <w:sz w:val="20"/>
          <w:szCs w:val="20"/>
        </w:rPr>
        <w:t>.</w:t>
      </w:r>
    </w:p>
  </w:footnote>
  <w:footnote w:id="32">
    <w:p w14:paraId="0B30886A" w14:textId="122395FF" w:rsidR="00813EED" w:rsidRPr="00251388" w:rsidRDefault="00813EED" w:rsidP="008D702C">
      <w:pPr>
        <w:spacing w:after="0" w:line="240" w:lineRule="auto"/>
        <w:jc w:val="both"/>
        <w:textAlignment w:val="center"/>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RŮŽIČKA, Miroslav. § 178a [Spolupracující obviněný]. In: ŠÁMAL, Pavel a kol. </w:t>
      </w:r>
      <w:r w:rsidRPr="00FD59AD">
        <w:rPr>
          <w:rFonts w:ascii="Times New Roman" w:hAnsi="Times New Roman"/>
          <w:i/>
          <w:sz w:val="20"/>
          <w:szCs w:val="20"/>
        </w:rPr>
        <w:t>Trestní řád</w:t>
      </w:r>
      <w:r w:rsidRPr="00251388">
        <w:rPr>
          <w:rFonts w:ascii="Times New Roman" w:hAnsi="Times New Roman"/>
          <w:sz w:val="20"/>
          <w:szCs w:val="20"/>
        </w:rPr>
        <w:t>. 7. vydání. Praha: C. H. Beck, 2013, s. 2322.</w:t>
      </w:r>
    </w:p>
  </w:footnote>
  <w:footnote w:id="33">
    <w:p w14:paraId="484C7D2F" w14:textId="1484622B" w:rsidR="00813EED" w:rsidRPr="00251388" w:rsidRDefault="00813EED" w:rsidP="008D702C">
      <w:pPr>
        <w:spacing w:after="0" w:line="240" w:lineRule="auto"/>
        <w:jc w:val="both"/>
        <w:textAlignment w:val="center"/>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RŮŽIČKA, Miroslav. § 178a [Spolupracující obviněný]. In: ŠÁMAL, Pavel a kol. </w:t>
      </w:r>
      <w:r w:rsidRPr="00FD59AD">
        <w:rPr>
          <w:rFonts w:ascii="Times New Roman" w:hAnsi="Times New Roman"/>
          <w:i/>
          <w:sz w:val="20"/>
          <w:szCs w:val="20"/>
        </w:rPr>
        <w:t>Trestní řád</w:t>
      </w:r>
      <w:r w:rsidRPr="00251388">
        <w:rPr>
          <w:rFonts w:ascii="Times New Roman" w:hAnsi="Times New Roman"/>
          <w:sz w:val="20"/>
          <w:szCs w:val="20"/>
        </w:rPr>
        <w:t>. 7. vydání. Praha: C. H. Beck, 2013, s. 2322–2323.</w:t>
      </w:r>
    </w:p>
  </w:footnote>
  <w:footnote w:id="34">
    <w:p w14:paraId="396B52DC" w14:textId="23940732"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w:t>
      </w:r>
      <w:r>
        <w:rPr>
          <w:rFonts w:ascii="Times New Roman" w:hAnsi="Times New Roman"/>
          <w:sz w:val="20"/>
          <w:szCs w:val="20"/>
        </w:rPr>
        <w:t>Tamtéž</w:t>
      </w:r>
      <w:r w:rsidRPr="00251388">
        <w:rPr>
          <w:rFonts w:ascii="Times New Roman" w:hAnsi="Times New Roman"/>
          <w:sz w:val="20"/>
          <w:szCs w:val="20"/>
        </w:rPr>
        <w:t>, s. 2323.</w:t>
      </w:r>
    </w:p>
  </w:footnote>
  <w:footnote w:id="35">
    <w:p w14:paraId="65569324" w14:textId="1F8A6E1D" w:rsidR="00813EED" w:rsidRPr="00251388" w:rsidRDefault="00813EED" w:rsidP="008D702C">
      <w:pPr>
        <w:spacing w:after="0" w:line="240" w:lineRule="auto"/>
        <w:jc w:val="both"/>
        <w:textAlignment w:val="center"/>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RŮŽIČKA, Miroslav. § 178a [Spolupracující obviněný]. In: ŠÁMAL, Pavel a kol. </w:t>
      </w:r>
      <w:r w:rsidRPr="00FD59AD">
        <w:rPr>
          <w:rFonts w:ascii="Times New Roman" w:hAnsi="Times New Roman"/>
          <w:i/>
          <w:sz w:val="20"/>
          <w:szCs w:val="20"/>
        </w:rPr>
        <w:t>Trestní řád</w:t>
      </w:r>
      <w:r w:rsidRPr="00251388">
        <w:rPr>
          <w:rFonts w:ascii="Times New Roman" w:hAnsi="Times New Roman"/>
          <w:sz w:val="20"/>
          <w:szCs w:val="20"/>
        </w:rPr>
        <w:t>. 7. vydání. Praha: C. H. Beck, 2013, s. 2323–2324.</w:t>
      </w:r>
    </w:p>
  </w:footnote>
  <w:footnote w:id="36">
    <w:p w14:paraId="4557C862" w14:textId="27155935" w:rsidR="00813EED" w:rsidRPr="00251388" w:rsidRDefault="00813EED" w:rsidP="008D702C">
      <w:pPr>
        <w:pStyle w:val="p2"/>
        <w:spacing w:before="0" w:beforeAutospacing="0" w:after="0" w:afterAutospacing="0"/>
        <w:jc w:val="both"/>
        <w:textAlignment w:val="center"/>
        <w:rPr>
          <w:sz w:val="20"/>
          <w:szCs w:val="20"/>
        </w:rPr>
      </w:pPr>
      <w:r w:rsidRPr="00251388">
        <w:rPr>
          <w:rStyle w:val="Znakapoznpodarou"/>
          <w:sz w:val="20"/>
          <w:szCs w:val="20"/>
        </w:rPr>
        <w:footnoteRef/>
      </w:r>
      <w:r w:rsidRPr="00251388">
        <w:rPr>
          <w:sz w:val="20"/>
          <w:szCs w:val="20"/>
        </w:rPr>
        <w:t xml:space="preserve"> Usnesení Ústavního soudu ze dne 13. </w:t>
      </w:r>
      <w:r>
        <w:rPr>
          <w:sz w:val="20"/>
          <w:szCs w:val="20"/>
        </w:rPr>
        <w:t>března</w:t>
      </w:r>
      <w:r w:rsidRPr="00251388">
        <w:rPr>
          <w:sz w:val="20"/>
          <w:szCs w:val="20"/>
        </w:rPr>
        <w:t xml:space="preserve"> 2014, sp. zn. III. ÚS 859/13</w:t>
      </w:r>
      <w:r>
        <w:rPr>
          <w:sz w:val="20"/>
          <w:szCs w:val="20"/>
        </w:rPr>
        <w:t>.</w:t>
      </w:r>
    </w:p>
  </w:footnote>
  <w:footnote w:id="37">
    <w:p w14:paraId="53AF3E8D" w14:textId="34E1C9FA"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KALVODOVÁ, Věra, ŠČERBA, Filip. § 39 [Stanovení druhu a výměry trestu]. In: ŠČERBA, Filip a kol. </w:t>
      </w:r>
      <w:r w:rsidRPr="00330941">
        <w:rPr>
          <w:rFonts w:ascii="Times New Roman" w:hAnsi="Times New Roman"/>
          <w:i/>
        </w:rPr>
        <w:t>Trestní zákoník</w:t>
      </w:r>
      <w:r w:rsidRPr="00251388">
        <w:rPr>
          <w:rFonts w:ascii="Times New Roman" w:hAnsi="Times New Roman"/>
        </w:rPr>
        <w:t>. 1. vydání (1. aktualizace). Praha: C. H. Beck, 2021, marg. č. 37–41.</w:t>
      </w:r>
    </w:p>
  </w:footnote>
  <w:footnote w:id="38">
    <w:p w14:paraId="04FF9718" w14:textId="337EF7FA" w:rsidR="00813EED" w:rsidRPr="00251388" w:rsidRDefault="00813EED" w:rsidP="008D702C">
      <w:pPr>
        <w:spacing w:after="0" w:line="240" w:lineRule="auto"/>
        <w:jc w:val="both"/>
        <w:textAlignment w:val="center"/>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ŠČERBA, Filip. § 46 [Obecné ustanovení]. In: ŠČERBA, Filip a kol. </w:t>
      </w:r>
      <w:r w:rsidRPr="00330941">
        <w:rPr>
          <w:rFonts w:ascii="Times New Roman" w:hAnsi="Times New Roman"/>
          <w:i/>
          <w:sz w:val="20"/>
          <w:szCs w:val="20"/>
        </w:rPr>
        <w:t>Trestní zákoník</w:t>
      </w:r>
      <w:r w:rsidRPr="00251388">
        <w:rPr>
          <w:rFonts w:ascii="Times New Roman" w:hAnsi="Times New Roman"/>
          <w:sz w:val="20"/>
          <w:szCs w:val="20"/>
        </w:rPr>
        <w:t>. 1. vydání (1. aktualizace). Praha: C. H. Beck, 2021, marg. č. 21.</w:t>
      </w:r>
    </w:p>
  </w:footnote>
  <w:footnote w:id="39">
    <w:p w14:paraId="5C542E76" w14:textId="5E4C8CF4" w:rsidR="00813EED" w:rsidRPr="00251388" w:rsidRDefault="00813EED" w:rsidP="008D702C">
      <w:pPr>
        <w:pStyle w:val="p-margin"/>
        <w:spacing w:before="0" w:beforeAutospacing="0" w:after="0" w:afterAutospacing="0"/>
        <w:jc w:val="both"/>
        <w:textAlignment w:val="center"/>
        <w:rPr>
          <w:sz w:val="20"/>
          <w:szCs w:val="20"/>
        </w:rPr>
      </w:pPr>
      <w:r w:rsidRPr="00251388">
        <w:rPr>
          <w:rStyle w:val="Znakapoznpodarou"/>
          <w:sz w:val="20"/>
          <w:szCs w:val="20"/>
        </w:rPr>
        <w:footnoteRef/>
      </w:r>
      <w:r w:rsidRPr="00251388">
        <w:rPr>
          <w:sz w:val="20"/>
          <w:szCs w:val="20"/>
        </w:rPr>
        <w:t xml:space="preserve"> </w:t>
      </w:r>
      <w:r>
        <w:rPr>
          <w:sz w:val="20"/>
          <w:szCs w:val="20"/>
        </w:rPr>
        <w:t>Tamtéž</w:t>
      </w:r>
      <w:r w:rsidRPr="00251388">
        <w:rPr>
          <w:sz w:val="20"/>
          <w:szCs w:val="20"/>
        </w:rPr>
        <w:t>, marg. č. 37–38.</w:t>
      </w:r>
    </w:p>
  </w:footnote>
  <w:footnote w:id="40">
    <w:p w14:paraId="0CE06C7B" w14:textId="4D4F4578"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Usnesení Krajského soudu v Hradci Králové – pobočka Pardubice ze dne 31. </w:t>
      </w:r>
      <w:r>
        <w:rPr>
          <w:rFonts w:ascii="Times New Roman" w:hAnsi="Times New Roman"/>
          <w:sz w:val="20"/>
          <w:szCs w:val="20"/>
        </w:rPr>
        <w:t>srpna</w:t>
      </w:r>
      <w:r w:rsidRPr="00251388">
        <w:rPr>
          <w:rFonts w:ascii="Times New Roman" w:hAnsi="Times New Roman"/>
          <w:sz w:val="20"/>
          <w:szCs w:val="20"/>
        </w:rPr>
        <w:t xml:space="preserve"> 2021, sp. zn. 13 To 183/2021</w:t>
      </w:r>
      <w:r>
        <w:rPr>
          <w:rFonts w:ascii="Times New Roman" w:hAnsi="Times New Roman"/>
          <w:sz w:val="20"/>
          <w:szCs w:val="20"/>
        </w:rPr>
        <w:t>.</w:t>
      </w:r>
    </w:p>
  </w:footnote>
  <w:footnote w:id="41">
    <w:p w14:paraId="7F73F8FF" w14:textId="229D43A3" w:rsidR="00813EED" w:rsidRPr="00251388" w:rsidRDefault="00813EED" w:rsidP="008D702C">
      <w:pPr>
        <w:spacing w:after="0" w:line="240" w:lineRule="auto"/>
        <w:jc w:val="both"/>
        <w:textAlignment w:val="center"/>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Rozsudek Nejvyššího soudu ze dne 19.</w:t>
      </w:r>
      <w:r>
        <w:rPr>
          <w:rFonts w:ascii="Times New Roman" w:hAnsi="Times New Roman"/>
          <w:sz w:val="20"/>
          <w:szCs w:val="20"/>
        </w:rPr>
        <w:t xml:space="preserve"> června</w:t>
      </w:r>
      <w:r w:rsidRPr="00251388">
        <w:rPr>
          <w:rFonts w:ascii="Times New Roman" w:hAnsi="Times New Roman"/>
          <w:sz w:val="20"/>
          <w:szCs w:val="20"/>
        </w:rPr>
        <w:t xml:space="preserve"> 2018, sp. zn. 6 Tz 6/2018</w:t>
      </w:r>
      <w:r>
        <w:rPr>
          <w:rFonts w:ascii="Times New Roman" w:hAnsi="Times New Roman"/>
          <w:sz w:val="20"/>
          <w:szCs w:val="20"/>
        </w:rPr>
        <w:t>.</w:t>
      </w:r>
    </w:p>
  </w:footnote>
  <w:footnote w:id="42">
    <w:p w14:paraId="12342B96" w14:textId="64F189F7"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ŠČERBA, Filip. Změny trestního zákoníku provedené novelou č. 333/2020 Sb. a jejich důsledky. </w:t>
      </w:r>
      <w:r w:rsidRPr="0037270B">
        <w:rPr>
          <w:rFonts w:ascii="Times New Roman" w:hAnsi="Times New Roman"/>
          <w:i/>
          <w:sz w:val="20"/>
          <w:szCs w:val="20"/>
        </w:rPr>
        <w:t>Trestněprávní revue</w:t>
      </w:r>
      <w:r w:rsidRPr="00251388">
        <w:rPr>
          <w:rFonts w:ascii="Times New Roman" w:hAnsi="Times New Roman"/>
          <w:sz w:val="20"/>
          <w:szCs w:val="20"/>
        </w:rPr>
        <w:t>, 2020, č. 4, s. 187</w:t>
      </w:r>
      <w:r>
        <w:rPr>
          <w:rFonts w:ascii="Times New Roman" w:hAnsi="Times New Roman"/>
          <w:sz w:val="20"/>
          <w:szCs w:val="20"/>
        </w:rPr>
        <w:t>–</w:t>
      </w:r>
      <w:r w:rsidRPr="00251388">
        <w:rPr>
          <w:rFonts w:ascii="Times New Roman" w:hAnsi="Times New Roman"/>
          <w:sz w:val="20"/>
          <w:szCs w:val="20"/>
        </w:rPr>
        <w:t>193</w:t>
      </w:r>
      <w:r>
        <w:rPr>
          <w:rFonts w:ascii="Times New Roman" w:hAnsi="Times New Roman"/>
          <w:sz w:val="20"/>
          <w:szCs w:val="20"/>
        </w:rPr>
        <w:t>.</w:t>
      </w:r>
    </w:p>
  </w:footnote>
  <w:footnote w:id="43">
    <w:p w14:paraId="4FC57BD5" w14:textId="0D1E517F"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Zákon č. 333/2020 Sb., kterým se mění zákon č. 40/2009 Sb., trestní zákoník, ve znění pozdějších předpisů, zákon č. 141/1961 Sb., o trestním řízení soudním (trestní řád), ve znění pozdějších předpisů, a některé další zákony, </w:t>
      </w:r>
      <w:r>
        <w:rPr>
          <w:rFonts w:ascii="Times New Roman" w:hAnsi="Times New Roman"/>
          <w:sz w:val="20"/>
          <w:szCs w:val="20"/>
        </w:rPr>
        <w:t>č</w:t>
      </w:r>
      <w:r w:rsidRPr="00251388">
        <w:rPr>
          <w:rFonts w:ascii="Times New Roman" w:hAnsi="Times New Roman"/>
          <w:sz w:val="20"/>
          <w:szCs w:val="20"/>
        </w:rPr>
        <w:t>l. 28</w:t>
      </w:r>
      <w:r>
        <w:rPr>
          <w:rFonts w:ascii="Times New Roman" w:hAnsi="Times New Roman"/>
          <w:sz w:val="20"/>
          <w:szCs w:val="20"/>
        </w:rPr>
        <w:t>.</w:t>
      </w:r>
    </w:p>
  </w:footnote>
  <w:footnote w:id="44">
    <w:p w14:paraId="3F8049CA" w14:textId="18B24FC2"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w:t>
      </w:r>
      <w:r>
        <w:rPr>
          <w:rFonts w:ascii="Times New Roman" w:hAnsi="Times New Roman"/>
          <w:sz w:val="20"/>
          <w:szCs w:val="20"/>
        </w:rPr>
        <w:t>Tamtéž</w:t>
      </w:r>
      <w:r w:rsidRPr="00251388">
        <w:rPr>
          <w:rFonts w:ascii="Times New Roman" w:hAnsi="Times New Roman"/>
          <w:sz w:val="20"/>
          <w:szCs w:val="20"/>
        </w:rPr>
        <w:t xml:space="preserve">, </w:t>
      </w:r>
      <w:r>
        <w:rPr>
          <w:rFonts w:ascii="Times New Roman" w:hAnsi="Times New Roman"/>
          <w:sz w:val="20"/>
          <w:szCs w:val="20"/>
        </w:rPr>
        <w:t>č</w:t>
      </w:r>
      <w:r w:rsidRPr="00251388">
        <w:rPr>
          <w:rFonts w:ascii="Times New Roman" w:hAnsi="Times New Roman"/>
          <w:sz w:val="20"/>
          <w:szCs w:val="20"/>
        </w:rPr>
        <w:t>l. 29</w:t>
      </w:r>
      <w:r>
        <w:rPr>
          <w:rFonts w:ascii="Times New Roman" w:hAnsi="Times New Roman"/>
          <w:sz w:val="20"/>
          <w:szCs w:val="20"/>
        </w:rPr>
        <w:t>.</w:t>
      </w:r>
    </w:p>
  </w:footnote>
  <w:footnote w:id="45">
    <w:p w14:paraId="684EA3FD" w14:textId="5115307C"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 178a </w:t>
      </w:r>
      <w:r>
        <w:rPr>
          <w:rFonts w:ascii="Times New Roman" w:hAnsi="Times New Roman"/>
          <w:sz w:val="20"/>
          <w:szCs w:val="20"/>
        </w:rPr>
        <w:t>z</w:t>
      </w:r>
      <w:r w:rsidRPr="00251388">
        <w:rPr>
          <w:rFonts w:ascii="Times New Roman" w:hAnsi="Times New Roman"/>
          <w:sz w:val="20"/>
          <w:szCs w:val="20"/>
        </w:rPr>
        <w:t>ákon</w:t>
      </w:r>
      <w:r>
        <w:rPr>
          <w:rFonts w:ascii="Times New Roman" w:hAnsi="Times New Roman"/>
          <w:sz w:val="20"/>
          <w:szCs w:val="20"/>
        </w:rPr>
        <w:t>a</w:t>
      </w:r>
      <w:r w:rsidRPr="00251388">
        <w:rPr>
          <w:rFonts w:ascii="Times New Roman" w:hAnsi="Times New Roman"/>
          <w:sz w:val="20"/>
          <w:szCs w:val="20"/>
        </w:rPr>
        <w:t xml:space="preserve"> č. 141/1961 Sb., o trestní</w:t>
      </w:r>
      <w:r>
        <w:rPr>
          <w:rFonts w:ascii="Times New Roman" w:hAnsi="Times New Roman"/>
          <w:sz w:val="20"/>
          <w:szCs w:val="20"/>
        </w:rPr>
        <w:t>m řízení soudním (trestní řád).</w:t>
      </w:r>
    </w:p>
  </w:footnote>
  <w:footnote w:id="46">
    <w:p w14:paraId="5127EE57" w14:textId="27F36AC4"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 278</w:t>
      </w:r>
      <w:r>
        <w:rPr>
          <w:rFonts w:ascii="Times New Roman" w:hAnsi="Times New Roman"/>
          <w:sz w:val="20"/>
          <w:szCs w:val="20"/>
        </w:rPr>
        <w:t xml:space="preserve"> z</w:t>
      </w:r>
      <w:r w:rsidRPr="00251388">
        <w:rPr>
          <w:rFonts w:ascii="Times New Roman" w:hAnsi="Times New Roman"/>
          <w:sz w:val="20"/>
          <w:szCs w:val="20"/>
        </w:rPr>
        <w:t>ákon</w:t>
      </w:r>
      <w:r>
        <w:rPr>
          <w:rFonts w:ascii="Times New Roman" w:hAnsi="Times New Roman"/>
          <w:sz w:val="20"/>
          <w:szCs w:val="20"/>
        </w:rPr>
        <w:t>a</w:t>
      </w:r>
      <w:r w:rsidRPr="00251388">
        <w:rPr>
          <w:rFonts w:ascii="Times New Roman" w:hAnsi="Times New Roman"/>
          <w:sz w:val="20"/>
          <w:szCs w:val="20"/>
        </w:rPr>
        <w:t xml:space="preserve"> č. 141/1961 Sb., o trestní</w:t>
      </w:r>
      <w:r>
        <w:rPr>
          <w:rFonts w:ascii="Times New Roman" w:hAnsi="Times New Roman"/>
          <w:sz w:val="20"/>
          <w:szCs w:val="20"/>
        </w:rPr>
        <w:t>m řízení soudním (trestní řád).</w:t>
      </w:r>
    </w:p>
  </w:footnote>
  <w:footnote w:id="47">
    <w:p w14:paraId="1DBF20EE" w14:textId="7D0077A0" w:rsidR="00813EED" w:rsidRPr="00251388" w:rsidRDefault="00813EED" w:rsidP="008D702C">
      <w:pPr>
        <w:spacing w:after="0" w:line="240" w:lineRule="auto"/>
        <w:jc w:val="both"/>
        <w:rPr>
          <w:rFonts w:ascii="Times New Roman" w:hAnsi="Times New Roman"/>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w:t>
      </w:r>
      <w:bookmarkStart w:id="22" w:name="_Hlk167130419"/>
      <w:r w:rsidRPr="00251388">
        <w:rPr>
          <w:rFonts w:ascii="Times New Roman" w:hAnsi="Times New Roman"/>
          <w:sz w:val="20"/>
          <w:szCs w:val="20"/>
        </w:rPr>
        <w:t xml:space="preserve">Zákon č. 333/2020 Sb., kterým se mění zákon č. 40/2009 Sb., trestní zákoník, ve znění pozdějších předpisů, zákon č. 141/1961 Sb., o trestním řízení soudním (trestní řád), ve znění pozdějších předpisů, a některé další zákony, </w:t>
      </w:r>
      <w:r>
        <w:rPr>
          <w:rFonts w:ascii="Times New Roman" w:hAnsi="Times New Roman"/>
          <w:sz w:val="20"/>
          <w:szCs w:val="20"/>
        </w:rPr>
        <w:t>č</w:t>
      </w:r>
      <w:r w:rsidRPr="00251388">
        <w:rPr>
          <w:rFonts w:ascii="Times New Roman" w:hAnsi="Times New Roman"/>
          <w:sz w:val="20"/>
          <w:szCs w:val="20"/>
        </w:rPr>
        <w:t xml:space="preserve">l. </w:t>
      </w:r>
      <w:bookmarkEnd w:id="22"/>
      <w:r w:rsidRPr="00251388">
        <w:rPr>
          <w:rFonts w:ascii="Times New Roman" w:hAnsi="Times New Roman"/>
          <w:sz w:val="20"/>
          <w:szCs w:val="20"/>
        </w:rPr>
        <w:t>35</w:t>
      </w:r>
      <w:r>
        <w:rPr>
          <w:rFonts w:ascii="Times New Roman" w:hAnsi="Times New Roman"/>
          <w:sz w:val="20"/>
          <w:szCs w:val="20"/>
        </w:rPr>
        <w:t>.</w:t>
      </w:r>
    </w:p>
  </w:footnote>
  <w:footnote w:id="48">
    <w:p w14:paraId="6A3A1F7F" w14:textId="67A88EAD"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283 z</w:t>
      </w:r>
      <w:r>
        <w:rPr>
          <w:rFonts w:ascii="Times New Roman" w:hAnsi="Times New Roman"/>
        </w:rPr>
        <w:t>ákona</w:t>
      </w:r>
      <w:r w:rsidRPr="00251388">
        <w:rPr>
          <w:rFonts w:ascii="Times New Roman" w:hAnsi="Times New Roman"/>
        </w:rPr>
        <w:t xml:space="preserve"> č. 40/2009 Sb., </w:t>
      </w:r>
      <w:r>
        <w:rPr>
          <w:rFonts w:ascii="Times New Roman" w:hAnsi="Times New Roman"/>
        </w:rPr>
        <w:t>t</w:t>
      </w:r>
      <w:r w:rsidRPr="00251388">
        <w:rPr>
          <w:rFonts w:ascii="Times New Roman" w:hAnsi="Times New Roman"/>
        </w:rPr>
        <w:t>restní zákoník</w:t>
      </w:r>
      <w:r>
        <w:rPr>
          <w:rFonts w:ascii="Times New Roman" w:hAnsi="Times New Roman"/>
        </w:rPr>
        <w:t>.</w:t>
      </w:r>
    </w:p>
  </w:footnote>
  <w:footnote w:id="49">
    <w:p w14:paraId="60863815" w14:textId="3A4F50B8"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240 z</w:t>
      </w:r>
      <w:r>
        <w:rPr>
          <w:rFonts w:ascii="Times New Roman" w:hAnsi="Times New Roman"/>
        </w:rPr>
        <w:t>ákona</w:t>
      </w:r>
      <w:r w:rsidRPr="00251388">
        <w:rPr>
          <w:rFonts w:ascii="Times New Roman" w:hAnsi="Times New Roman"/>
        </w:rPr>
        <w:t xml:space="preserve"> č. 40/2009 Sb., </w:t>
      </w:r>
      <w:r>
        <w:rPr>
          <w:rFonts w:ascii="Times New Roman" w:hAnsi="Times New Roman"/>
        </w:rPr>
        <w:t>t</w:t>
      </w:r>
      <w:r w:rsidRPr="00251388">
        <w:rPr>
          <w:rFonts w:ascii="Times New Roman" w:hAnsi="Times New Roman"/>
        </w:rPr>
        <w:t>restní zákoník</w:t>
      </w:r>
      <w:r>
        <w:rPr>
          <w:rFonts w:ascii="Times New Roman" w:hAnsi="Times New Roman"/>
        </w:rPr>
        <w:t>.</w:t>
      </w:r>
    </w:p>
  </w:footnote>
  <w:footnote w:id="50">
    <w:p w14:paraId="00A9A058" w14:textId="41A692C9"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Pr>
          <w:rFonts w:ascii="Times New Roman" w:hAnsi="Times New Roman"/>
        </w:rPr>
        <w:t>V</w:t>
      </w:r>
      <w:r w:rsidRPr="00251388">
        <w:rPr>
          <w:rFonts w:ascii="Times New Roman" w:hAnsi="Times New Roman"/>
        </w:rPr>
        <w:t>iz graf „Četnost použití SO od 1. 1. 2018 do 31. 7. 2023“</w:t>
      </w:r>
      <w:r>
        <w:rPr>
          <w:rFonts w:ascii="Times New Roman" w:hAnsi="Times New Roman"/>
        </w:rPr>
        <w:t>.</w:t>
      </w:r>
    </w:p>
  </w:footnote>
  <w:footnote w:id="51">
    <w:p w14:paraId="631E4C60" w14:textId="711A2C05" w:rsidR="00813EED" w:rsidRPr="00251388" w:rsidRDefault="00813EED" w:rsidP="008D702C">
      <w:pPr>
        <w:pStyle w:val="Textpoznpodarou"/>
        <w:spacing w:after="0" w:line="240" w:lineRule="auto"/>
        <w:jc w:val="both"/>
        <w:rPr>
          <w:rFonts w:ascii="Times New Roman" w:hAnsi="Times New Roman"/>
        </w:rPr>
      </w:pPr>
      <w:r w:rsidRPr="003F53C4">
        <w:rPr>
          <w:rStyle w:val="Znakapoznpodarou"/>
          <w:rFonts w:ascii="Times New Roman" w:hAnsi="Times New Roman"/>
        </w:rPr>
        <w:footnoteRef/>
      </w:r>
      <w:r w:rsidRPr="003F53C4">
        <w:rPr>
          <w:rFonts w:ascii="Times New Roman" w:hAnsi="Times New Roman"/>
        </w:rPr>
        <w:t xml:space="preserve"> Viz strany </w:t>
      </w:r>
      <w:r w:rsidR="003F53C4" w:rsidRPr="003F53C4">
        <w:rPr>
          <w:rFonts w:ascii="Times New Roman" w:hAnsi="Times New Roman"/>
        </w:rPr>
        <w:t>20–21</w:t>
      </w:r>
      <w:r w:rsidRPr="003F53C4">
        <w:rPr>
          <w:rFonts w:ascii="Times New Roman" w:hAnsi="Times New Roman"/>
        </w:rPr>
        <w:t xml:space="preserve"> této diplomové práce.</w:t>
      </w:r>
    </w:p>
  </w:footnote>
  <w:footnote w:id="52">
    <w:p w14:paraId="14BC9704" w14:textId="2980B852"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283 z</w:t>
      </w:r>
      <w:r>
        <w:rPr>
          <w:rFonts w:ascii="Times New Roman" w:hAnsi="Times New Roman"/>
        </w:rPr>
        <w:t>ákona</w:t>
      </w:r>
      <w:r w:rsidRPr="00251388">
        <w:rPr>
          <w:rFonts w:ascii="Times New Roman" w:hAnsi="Times New Roman"/>
        </w:rPr>
        <w:t xml:space="preserve"> č. 40/2009 Sb., </w:t>
      </w:r>
      <w:r>
        <w:rPr>
          <w:rFonts w:ascii="Times New Roman" w:hAnsi="Times New Roman"/>
        </w:rPr>
        <w:t>t</w:t>
      </w:r>
      <w:r w:rsidRPr="00251388">
        <w:rPr>
          <w:rFonts w:ascii="Times New Roman" w:hAnsi="Times New Roman"/>
        </w:rPr>
        <w:t>restní zákoník</w:t>
      </w:r>
      <w:r>
        <w:rPr>
          <w:rFonts w:ascii="Times New Roman" w:hAnsi="Times New Roman"/>
        </w:rPr>
        <w:t>.</w:t>
      </w:r>
    </w:p>
  </w:footnote>
  <w:footnote w:id="53">
    <w:p w14:paraId="63AAF059" w14:textId="76414711"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Pr>
          <w:rFonts w:ascii="Times New Roman" w:hAnsi="Times New Roman"/>
        </w:rPr>
        <w:t>Tamtéž.</w:t>
      </w:r>
    </w:p>
  </w:footnote>
  <w:footnote w:id="54">
    <w:p w14:paraId="434042AA" w14:textId="5A94597B"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Celý výz</w:t>
      </w:r>
      <w:r>
        <w:rPr>
          <w:rFonts w:ascii="Times New Roman" w:hAnsi="Times New Roman"/>
        </w:rPr>
        <w:t>kum dostupný z</w:t>
      </w:r>
      <w:r w:rsidRPr="00251388">
        <w:rPr>
          <w:rFonts w:ascii="Times New Roman" w:hAnsi="Times New Roman"/>
        </w:rPr>
        <w:t xml:space="preserve">: </w:t>
      </w:r>
      <w:r w:rsidRPr="00147959">
        <w:rPr>
          <w:rFonts w:ascii="Times New Roman" w:hAnsi="Times New Roman"/>
        </w:rPr>
        <w:t xml:space="preserve">BUDAYOVÁ, Lucie. Četnost využívání institutu spolupracujícího obviněného a návrhy k jejímu zvýšení. </w:t>
      </w:r>
      <w:r w:rsidRPr="00147959">
        <w:rPr>
          <w:rFonts w:ascii="Times New Roman" w:hAnsi="Times New Roman"/>
          <w:i/>
        </w:rPr>
        <w:t>Bulletin advokacie</w:t>
      </w:r>
      <w:r w:rsidRPr="00147959">
        <w:rPr>
          <w:rFonts w:ascii="Times New Roman" w:hAnsi="Times New Roman"/>
        </w:rPr>
        <w:t xml:space="preserve"> [online]. 4. ledna </w:t>
      </w:r>
      <w:r>
        <w:rPr>
          <w:rFonts w:ascii="Times New Roman" w:hAnsi="Times New Roman"/>
        </w:rPr>
        <w:t xml:space="preserve">2018 </w:t>
      </w:r>
      <w:r w:rsidRPr="00147959">
        <w:rPr>
          <w:rFonts w:ascii="Times New Roman" w:hAnsi="Times New Roman"/>
        </w:rPr>
        <w:t>[cit. 10. dubna 2024]. Dostupné z: http://www.bulletin-advokacie.cz/cetnost-vyuzivani-institutu-spolupracujiciho-obvineneho-a-navrhy-k-jejimu-zvyseni</w:t>
      </w:r>
    </w:p>
  </w:footnote>
  <w:footnote w:id="55">
    <w:p w14:paraId="4244A433" w14:textId="3A5F9CC3"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Celkový počet zahrnuje i údaje získané v rámci okresů, pro účely </w:t>
      </w:r>
      <w:r>
        <w:rPr>
          <w:rFonts w:ascii="Times New Roman" w:hAnsi="Times New Roman"/>
        </w:rPr>
        <w:t>diplomové práce</w:t>
      </w:r>
      <w:r w:rsidRPr="00251388">
        <w:rPr>
          <w:rFonts w:ascii="Times New Roman" w:hAnsi="Times New Roman"/>
        </w:rPr>
        <w:t xml:space="preserve"> </w:t>
      </w:r>
      <w:r>
        <w:rPr>
          <w:rFonts w:ascii="Times New Roman" w:hAnsi="Times New Roman"/>
        </w:rPr>
        <w:t xml:space="preserve">však </w:t>
      </w:r>
      <w:r w:rsidRPr="00251388">
        <w:rPr>
          <w:rFonts w:ascii="Times New Roman" w:hAnsi="Times New Roman"/>
        </w:rPr>
        <w:t xml:space="preserve">pracuji </w:t>
      </w:r>
      <w:r>
        <w:rPr>
          <w:rFonts w:ascii="Times New Roman" w:hAnsi="Times New Roman"/>
        </w:rPr>
        <w:t>výlučně</w:t>
      </w:r>
      <w:r w:rsidRPr="00251388">
        <w:rPr>
          <w:rFonts w:ascii="Times New Roman" w:hAnsi="Times New Roman"/>
        </w:rPr>
        <w:t xml:space="preserve"> s</w:t>
      </w:r>
      <w:r>
        <w:rPr>
          <w:rFonts w:ascii="Times New Roman" w:hAnsi="Times New Roman"/>
        </w:rPr>
        <w:t> krajskými státními zastupitelstvími.</w:t>
      </w:r>
    </w:p>
  </w:footnote>
  <w:footnote w:id="56">
    <w:p w14:paraId="4AAE1DFE" w14:textId="6D9F4381"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283 z</w:t>
      </w:r>
      <w:r>
        <w:rPr>
          <w:rFonts w:ascii="Times New Roman" w:hAnsi="Times New Roman"/>
        </w:rPr>
        <w:t>ákona</w:t>
      </w:r>
      <w:r w:rsidRPr="00251388">
        <w:rPr>
          <w:rFonts w:ascii="Times New Roman" w:hAnsi="Times New Roman"/>
        </w:rPr>
        <w:t xml:space="preserve"> č. 40/2009 Sb., </w:t>
      </w:r>
      <w:r>
        <w:rPr>
          <w:rFonts w:ascii="Times New Roman" w:hAnsi="Times New Roman"/>
        </w:rPr>
        <w:t>t</w:t>
      </w:r>
      <w:r w:rsidRPr="00251388">
        <w:rPr>
          <w:rFonts w:ascii="Times New Roman" w:hAnsi="Times New Roman"/>
        </w:rPr>
        <w:t>restní zákoník</w:t>
      </w:r>
      <w:r>
        <w:rPr>
          <w:rFonts w:ascii="Times New Roman" w:hAnsi="Times New Roman"/>
        </w:rPr>
        <w:t>.</w:t>
      </w:r>
    </w:p>
  </w:footnote>
  <w:footnote w:id="57">
    <w:p w14:paraId="3BB95829" w14:textId="2D49657E"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Pr>
          <w:rFonts w:ascii="Times New Roman" w:hAnsi="Times New Roman"/>
        </w:rPr>
        <w:t xml:space="preserve"> § 205</w:t>
      </w:r>
      <w:r w:rsidRPr="00D3499E">
        <w:rPr>
          <w:rFonts w:ascii="Times New Roman" w:hAnsi="Times New Roman"/>
        </w:rPr>
        <w:t xml:space="preserve"> </w:t>
      </w:r>
      <w:r w:rsidRPr="00251388">
        <w:rPr>
          <w:rFonts w:ascii="Times New Roman" w:hAnsi="Times New Roman"/>
        </w:rPr>
        <w:t>z</w:t>
      </w:r>
      <w:r>
        <w:rPr>
          <w:rFonts w:ascii="Times New Roman" w:hAnsi="Times New Roman"/>
        </w:rPr>
        <w:t>ákona</w:t>
      </w:r>
      <w:r w:rsidRPr="00251388">
        <w:rPr>
          <w:rFonts w:ascii="Times New Roman" w:hAnsi="Times New Roman"/>
        </w:rPr>
        <w:t xml:space="preserve"> č. 40/2009 Sb., </w:t>
      </w:r>
      <w:r>
        <w:rPr>
          <w:rFonts w:ascii="Times New Roman" w:hAnsi="Times New Roman"/>
        </w:rPr>
        <w:t>t</w:t>
      </w:r>
      <w:r w:rsidRPr="00251388">
        <w:rPr>
          <w:rFonts w:ascii="Times New Roman" w:hAnsi="Times New Roman"/>
        </w:rPr>
        <w:t>restní zákoník</w:t>
      </w:r>
      <w:r>
        <w:rPr>
          <w:rFonts w:ascii="Times New Roman" w:hAnsi="Times New Roman"/>
        </w:rPr>
        <w:t>.</w:t>
      </w:r>
    </w:p>
  </w:footnote>
  <w:footnote w:id="58">
    <w:p w14:paraId="2CC4CD78" w14:textId="42BCFABF"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BUDAYOVÁ, Lucie. Četnost využívání institutu spolupracujícího obviněného a návrhy k jejímu zvýšení. </w:t>
      </w:r>
      <w:r w:rsidRPr="00D3499E">
        <w:rPr>
          <w:rFonts w:ascii="Times New Roman" w:hAnsi="Times New Roman"/>
          <w:i/>
          <w:sz w:val="20"/>
          <w:szCs w:val="20"/>
        </w:rPr>
        <w:t>Bulletin advokacie</w:t>
      </w:r>
      <w:r w:rsidRPr="00251388">
        <w:rPr>
          <w:rFonts w:ascii="Times New Roman" w:hAnsi="Times New Roman"/>
          <w:sz w:val="20"/>
          <w:szCs w:val="20"/>
        </w:rPr>
        <w:t>, 2017, č. 11</w:t>
      </w:r>
      <w:r>
        <w:rPr>
          <w:rFonts w:ascii="Times New Roman" w:hAnsi="Times New Roman"/>
          <w:sz w:val="20"/>
          <w:szCs w:val="20"/>
        </w:rPr>
        <w:t xml:space="preserve">, </w:t>
      </w:r>
      <w:r w:rsidRPr="00D3499E">
        <w:rPr>
          <w:rFonts w:ascii="Times New Roman" w:hAnsi="Times New Roman"/>
          <w:sz w:val="20"/>
          <w:szCs w:val="20"/>
        </w:rPr>
        <w:t>s. 33–36.</w:t>
      </w:r>
    </w:p>
  </w:footnote>
  <w:footnote w:id="59">
    <w:p w14:paraId="362AF2D3" w14:textId="18A9ABBF"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283</w:t>
      </w:r>
      <w:r>
        <w:rPr>
          <w:rFonts w:ascii="Times New Roman" w:hAnsi="Times New Roman"/>
        </w:rPr>
        <w:t xml:space="preserve"> </w:t>
      </w:r>
      <w:r w:rsidRPr="00251388">
        <w:rPr>
          <w:rFonts w:ascii="Times New Roman" w:hAnsi="Times New Roman"/>
        </w:rPr>
        <w:t>z</w:t>
      </w:r>
      <w:r>
        <w:rPr>
          <w:rFonts w:ascii="Times New Roman" w:hAnsi="Times New Roman"/>
        </w:rPr>
        <w:t>ákona</w:t>
      </w:r>
      <w:r w:rsidRPr="00251388">
        <w:rPr>
          <w:rFonts w:ascii="Times New Roman" w:hAnsi="Times New Roman"/>
        </w:rPr>
        <w:t xml:space="preserve"> č. 40/2009 Sb., </w:t>
      </w:r>
      <w:r>
        <w:rPr>
          <w:rFonts w:ascii="Times New Roman" w:hAnsi="Times New Roman"/>
        </w:rPr>
        <w:t>t</w:t>
      </w:r>
      <w:r w:rsidRPr="00251388">
        <w:rPr>
          <w:rFonts w:ascii="Times New Roman" w:hAnsi="Times New Roman"/>
        </w:rPr>
        <w:t>restní zákoník</w:t>
      </w:r>
      <w:r>
        <w:rPr>
          <w:rFonts w:ascii="Times New Roman" w:hAnsi="Times New Roman"/>
        </w:rPr>
        <w:t>.</w:t>
      </w:r>
    </w:p>
  </w:footnote>
  <w:footnote w:id="60">
    <w:p w14:paraId="706A2440" w14:textId="435D2E0F" w:rsidR="00813EED" w:rsidRPr="00251388" w:rsidRDefault="00813EED" w:rsidP="008D702C">
      <w:pPr>
        <w:pStyle w:val="Textpoznpodarou"/>
        <w:spacing w:after="0" w:line="240" w:lineRule="auto"/>
        <w:jc w:val="both"/>
        <w:rPr>
          <w:rFonts w:ascii="Times New Roman" w:hAnsi="Times New Roman"/>
        </w:rPr>
      </w:pPr>
      <w:r w:rsidRPr="006C44A4">
        <w:rPr>
          <w:rStyle w:val="Znakapoznpodarou"/>
          <w:rFonts w:ascii="Times New Roman" w:hAnsi="Times New Roman"/>
        </w:rPr>
        <w:footnoteRef/>
      </w:r>
      <w:r w:rsidRPr="006C44A4">
        <w:rPr>
          <w:rFonts w:ascii="Times New Roman" w:hAnsi="Times New Roman"/>
        </w:rPr>
        <w:t xml:space="preserve"> Viz podkapitola 2.1.3 této diplomové práce.</w:t>
      </w:r>
    </w:p>
  </w:footnote>
  <w:footnote w:id="61">
    <w:p w14:paraId="48765510" w14:textId="625FA7E2"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 2</w:t>
      </w:r>
      <w:r>
        <w:rPr>
          <w:rFonts w:ascii="Times New Roman" w:hAnsi="Times New Roman"/>
          <w:sz w:val="20"/>
          <w:szCs w:val="20"/>
        </w:rPr>
        <w:t xml:space="preserve"> z</w:t>
      </w:r>
      <w:r w:rsidRPr="00251388">
        <w:rPr>
          <w:rFonts w:ascii="Times New Roman" w:hAnsi="Times New Roman"/>
          <w:sz w:val="20"/>
          <w:szCs w:val="20"/>
        </w:rPr>
        <w:t>ákon</w:t>
      </w:r>
      <w:r>
        <w:rPr>
          <w:rFonts w:ascii="Times New Roman" w:hAnsi="Times New Roman"/>
          <w:sz w:val="20"/>
          <w:szCs w:val="20"/>
        </w:rPr>
        <w:t>a</w:t>
      </w:r>
      <w:r w:rsidRPr="00251388">
        <w:rPr>
          <w:rFonts w:ascii="Times New Roman" w:hAnsi="Times New Roman"/>
          <w:sz w:val="20"/>
          <w:szCs w:val="20"/>
        </w:rPr>
        <w:t xml:space="preserve"> č. 141/1961 Sb., o trestní</w:t>
      </w:r>
      <w:r>
        <w:rPr>
          <w:rFonts w:ascii="Times New Roman" w:hAnsi="Times New Roman"/>
          <w:sz w:val="20"/>
          <w:szCs w:val="20"/>
        </w:rPr>
        <w:t>m řízení soudním (trestní řád).</w:t>
      </w:r>
    </w:p>
  </w:footnote>
  <w:footnote w:id="62">
    <w:p w14:paraId="523F0975" w14:textId="75407D23"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PÚRY, František, ŠÁMAL, Pavel. Korunní svědek. In: HENDRYCH, Dušan a kol. </w:t>
      </w:r>
      <w:r w:rsidRPr="008D0F34">
        <w:rPr>
          <w:rFonts w:ascii="Times New Roman" w:hAnsi="Times New Roman"/>
          <w:i/>
          <w:sz w:val="20"/>
          <w:szCs w:val="20"/>
        </w:rPr>
        <w:t>Právnický slovník</w:t>
      </w:r>
      <w:r w:rsidRPr="00251388">
        <w:rPr>
          <w:rFonts w:ascii="Times New Roman" w:hAnsi="Times New Roman"/>
          <w:sz w:val="20"/>
          <w:szCs w:val="20"/>
        </w:rPr>
        <w:t>. 3. vydání. Praha: C. H. Beck, 2009.</w:t>
      </w:r>
    </w:p>
  </w:footnote>
  <w:footnote w:id="63">
    <w:p w14:paraId="1CCD2818" w14:textId="324B7409"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MICHORA, Zdeněk. Korunní svědek – minulost, současnost, bu</w:t>
      </w:r>
      <w:r>
        <w:rPr>
          <w:rFonts w:ascii="Times New Roman" w:hAnsi="Times New Roman"/>
        </w:rPr>
        <w:t>doucnost. In FRYŠTÁK, Martin a kol</w:t>
      </w:r>
      <w:r w:rsidRPr="00251388">
        <w:rPr>
          <w:rFonts w:ascii="Times New Roman" w:hAnsi="Times New Roman"/>
        </w:rPr>
        <w:t xml:space="preserve">. (ed.). </w:t>
      </w:r>
      <w:r w:rsidRPr="008D0F34">
        <w:rPr>
          <w:rFonts w:ascii="Times New Roman" w:hAnsi="Times New Roman"/>
          <w:i/>
        </w:rPr>
        <w:t>Dny práva 2016</w:t>
      </w:r>
      <w:r w:rsidRPr="00251388">
        <w:rPr>
          <w:rFonts w:ascii="Times New Roman" w:hAnsi="Times New Roman"/>
        </w:rPr>
        <w:t>. Brno: Masarykova univerzita, 2017, s. 139</w:t>
      </w:r>
      <w:r w:rsidRPr="008D0F34">
        <w:rPr>
          <w:rFonts w:ascii="Times New Roman" w:hAnsi="Times New Roman"/>
        </w:rPr>
        <w:t>–</w:t>
      </w:r>
      <w:r w:rsidRPr="00251388">
        <w:rPr>
          <w:rFonts w:ascii="Times New Roman" w:hAnsi="Times New Roman"/>
        </w:rPr>
        <w:t>140</w:t>
      </w:r>
      <w:r>
        <w:rPr>
          <w:rFonts w:ascii="Times New Roman" w:hAnsi="Times New Roman"/>
        </w:rPr>
        <w:t>.</w:t>
      </w:r>
    </w:p>
  </w:footnote>
  <w:footnote w:id="64">
    <w:p w14:paraId="0E7F02FD" w14:textId="34093C92"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Tamtéž</w:t>
      </w:r>
      <w:r>
        <w:rPr>
          <w:rFonts w:ascii="Times New Roman" w:hAnsi="Times New Roman"/>
        </w:rPr>
        <w:t>.</w:t>
      </w:r>
    </w:p>
  </w:footnote>
  <w:footnote w:id="65">
    <w:p w14:paraId="7AB6B7E7" w14:textId="40BBA503"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 32</w:t>
      </w:r>
      <w:r>
        <w:rPr>
          <w:rFonts w:ascii="Times New Roman" w:hAnsi="Times New Roman"/>
          <w:sz w:val="20"/>
          <w:szCs w:val="20"/>
        </w:rPr>
        <w:t xml:space="preserve"> z</w:t>
      </w:r>
      <w:r w:rsidRPr="00251388">
        <w:rPr>
          <w:rFonts w:ascii="Times New Roman" w:hAnsi="Times New Roman"/>
          <w:sz w:val="20"/>
          <w:szCs w:val="20"/>
        </w:rPr>
        <w:t>ákon</w:t>
      </w:r>
      <w:r>
        <w:rPr>
          <w:rFonts w:ascii="Times New Roman" w:hAnsi="Times New Roman"/>
          <w:sz w:val="20"/>
          <w:szCs w:val="20"/>
        </w:rPr>
        <w:t>a</w:t>
      </w:r>
      <w:r w:rsidRPr="00251388">
        <w:rPr>
          <w:rFonts w:ascii="Times New Roman" w:hAnsi="Times New Roman"/>
          <w:sz w:val="20"/>
          <w:szCs w:val="20"/>
        </w:rPr>
        <w:t xml:space="preserve"> č. 141/1961 Sb., o trestní</w:t>
      </w:r>
      <w:r>
        <w:rPr>
          <w:rFonts w:ascii="Times New Roman" w:hAnsi="Times New Roman"/>
          <w:sz w:val="20"/>
          <w:szCs w:val="20"/>
        </w:rPr>
        <w:t>m řízení soudním (trestní řád).</w:t>
      </w:r>
    </w:p>
  </w:footnote>
  <w:footnote w:id="66">
    <w:p w14:paraId="66A25889" w14:textId="58040F79"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B17295">
        <w:rPr>
          <w:rFonts w:ascii="Times New Roman" w:hAnsi="Times New Roman"/>
          <w:shd w:val="clear" w:color="auto" w:fill="FFFFFF"/>
        </w:rPr>
        <w:t xml:space="preserve">JELÍNEK, Jiří a kol. </w:t>
      </w:r>
      <w:r w:rsidRPr="00B17295">
        <w:rPr>
          <w:rFonts w:ascii="Times New Roman" w:hAnsi="Times New Roman"/>
          <w:i/>
          <w:shd w:val="clear" w:color="auto" w:fill="FFFFFF"/>
        </w:rPr>
        <w:t>Trestní právo procesní: podle stavu k…</w:t>
      </w:r>
      <w:r w:rsidRPr="00B17295">
        <w:rPr>
          <w:rFonts w:ascii="Times New Roman" w:hAnsi="Times New Roman"/>
          <w:shd w:val="clear" w:color="auto" w:fill="FFFFFF"/>
        </w:rPr>
        <w:t xml:space="preserve"> Praha: Leges, 2010</w:t>
      </w:r>
      <w:r>
        <w:rPr>
          <w:rFonts w:ascii="Times New Roman" w:hAnsi="Times New Roman"/>
          <w:shd w:val="clear" w:color="auto" w:fill="FFFFFF"/>
        </w:rPr>
        <w:t>,</w:t>
      </w:r>
      <w:r w:rsidRPr="00251388">
        <w:rPr>
          <w:rFonts w:ascii="Times New Roman" w:hAnsi="Times New Roman"/>
          <w:shd w:val="clear" w:color="auto" w:fill="FFFFFF"/>
        </w:rPr>
        <w:t xml:space="preserve"> s. 139</w:t>
      </w:r>
      <w:r>
        <w:rPr>
          <w:rFonts w:ascii="Times New Roman" w:hAnsi="Times New Roman"/>
          <w:shd w:val="clear" w:color="auto" w:fill="FFFFFF"/>
        </w:rPr>
        <w:t>.</w:t>
      </w:r>
    </w:p>
  </w:footnote>
  <w:footnote w:id="67">
    <w:p w14:paraId="1E5AC379" w14:textId="7252B6F2"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 172</w:t>
      </w:r>
      <w:r>
        <w:rPr>
          <w:rFonts w:ascii="Times New Roman" w:hAnsi="Times New Roman"/>
          <w:sz w:val="20"/>
          <w:szCs w:val="20"/>
        </w:rPr>
        <w:t xml:space="preserve"> z</w:t>
      </w:r>
      <w:r w:rsidRPr="00251388">
        <w:rPr>
          <w:rFonts w:ascii="Times New Roman" w:hAnsi="Times New Roman"/>
          <w:sz w:val="20"/>
          <w:szCs w:val="20"/>
        </w:rPr>
        <w:t>ákon č. 141/1961 Sb., o trestní</w:t>
      </w:r>
      <w:r>
        <w:rPr>
          <w:rFonts w:ascii="Times New Roman" w:hAnsi="Times New Roman"/>
          <w:sz w:val="20"/>
          <w:szCs w:val="20"/>
        </w:rPr>
        <w:t>m řízení soudním (trestní řád).</w:t>
      </w:r>
    </w:p>
  </w:footnote>
  <w:footnote w:id="68">
    <w:p w14:paraId="1B81A737" w14:textId="6C0D7746" w:rsidR="00813EED" w:rsidRPr="00251388" w:rsidRDefault="00813EED" w:rsidP="008D702C">
      <w:pPr>
        <w:spacing w:after="0" w:line="240" w:lineRule="auto"/>
        <w:jc w:val="both"/>
        <w:rPr>
          <w:rFonts w:ascii="Times New Roman" w:hAnsi="Times New Roman"/>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Viz MICHORA, Zdeněk. Expanzivní oportunita v kontextu rekodifikace trestního procesu a spolupracující obviněný. </w:t>
      </w:r>
      <w:r w:rsidRPr="00165EBE">
        <w:rPr>
          <w:rFonts w:ascii="Times New Roman" w:hAnsi="Times New Roman"/>
          <w:i/>
          <w:sz w:val="20"/>
          <w:szCs w:val="20"/>
        </w:rPr>
        <w:t>Trestněprávní revue</w:t>
      </w:r>
      <w:r w:rsidRPr="00251388">
        <w:rPr>
          <w:rFonts w:ascii="Times New Roman" w:hAnsi="Times New Roman"/>
          <w:sz w:val="20"/>
          <w:szCs w:val="20"/>
        </w:rPr>
        <w:t>, 2017, č. 1, s. 1</w:t>
      </w:r>
      <w:r w:rsidRPr="00B17295">
        <w:rPr>
          <w:rFonts w:ascii="Times New Roman" w:hAnsi="Times New Roman"/>
          <w:sz w:val="20"/>
          <w:szCs w:val="20"/>
        </w:rPr>
        <w:t>–</w:t>
      </w:r>
      <w:r w:rsidRPr="00251388">
        <w:rPr>
          <w:rFonts w:ascii="Times New Roman" w:hAnsi="Times New Roman"/>
          <w:sz w:val="20"/>
          <w:szCs w:val="20"/>
        </w:rPr>
        <w:t>7</w:t>
      </w:r>
      <w:r>
        <w:rPr>
          <w:rFonts w:ascii="Times New Roman" w:hAnsi="Times New Roman"/>
          <w:sz w:val="20"/>
          <w:szCs w:val="20"/>
        </w:rPr>
        <w:t>.</w:t>
      </w:r>
    </w:p>
  </w:footnote>
  <w:footnote w:id="69">
    <w:p w14:paraId="6E930D22" w14:textId="36B8F42C"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Usnesení č. 2/1993 Sb., předsednictva České národní rady o vyhlášení Listiny základních práv a svobod jako součásti ústavního pořádku České republiky, </w:t>
      </w:r>
      <w:r>
        <w:rPr>
          <w:rFonts w:ascii="Times New Roman" w:hAnsi="Times New Roman"/>
          <w:sz w:val="20"/>
          <w:szCs w:val="20"/>
        </w:rPr>
        <w:t>č</w:t>
      </w:r>
      <w:r w:rsidRPr="00251388">
        <w:rPr>
          <w:rFonts w:ascii="Times New Roman" w:hAnsi="Times New Roman"/>
          <w:sz w:val="20"/>
          <w:szCs w:val="20"/>
        </w:rPr>
        <w:t>l. 37</w:t>
      </w:r>
      <w:r>
        <w:rPr>
          <w:rFonts w:ascii="Times New Roman" w:hAnsi="Times New Roman"/>
          <w:sz w:val="20"/>
          <w:szCs w:val="20"/>
        </w:rPr>
        <w:t>.</w:t>
      </w:r>
    </w:p>
  </w:footnote>
  <w:footnote w:id="70">
    <w:p w14:paraId="425FC4B9" w14:textId="27DD51B0"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Nález Ústavního soudu ze dne 31. </w:t>
      </w:r>
      <w:r>
        <w:rPr>
          <w:rFonts w:ascii="Times New Roman" w:hAnsi="Times New Roman"/>
          <w:sz w:val="20"/>
          <w:szCs w:val="20"/>
        </w:rPr>
        <w:t>října</w:t>
      </w:r>
      <w:r w:rsidRPr="00251388">
        <w:rPr>
          <w:rFonts w:ascii="Times New Roman" w:hAnsi="Times New Roman"/>
          <w:sz w:val="20"/>
          <w:szCs w:val="20"/>
        </w:rPr>
        <w:t xml:space="preserve"> 2001, sp. zn. Pl. ÚS 15/01</w:t>
      </w:r>
      <w:r>
        <w:rPr>
          <w:rFonts w:ascii="Times New Roman" w:hAnsi="Times New Roman"/>
          <w:sz w:val="20"/>
          <w:szCs w:val="20"/>
        </w:rPr>
        <w:t>.</w:t>
      </w:r>
    </w:p>
  </w:footnote>
  <w:footnote w:id="71">
    <w:p w14:paraId="4942D27D" w14:textId="4CC7CBAC"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Nález Ústavního soudu ze dne 7. </w:t>
      </w:r>
      <w:r>
        <w:rPr>
          <w:rFonts w:ascii="Times New Roman" w:hAnsi="Times New Roman"/>
          <w:sz w:val="20"/>
          <w:szCs w:val="20"/>
        </w:rPr>
        <w:t>srpna</w:t>
      </w:r>
      <w:r w:rsidRPr="00251388">
        <w:rPr>
          <w:rFonts w:ascii="Times New Roman" w:hAnsi="Times New Roman"/>
          <w:sz w:val="20"/>
          <w:szCs w:val="20"/>
        </w:rPr>
        <w:t xml:space="preserve"> 2018, sp. zn. II. ÚS 3525/16</w:t>
      </w:r>
      <w:r>
        <w:rPr>
          <w:rFonts w:ascii="Times New Roman" w:hAnsi="Times New Roman"/>
          <w:sz w:val="20"/>
          <w:szCs w:val="20"/>
        </w:rPr>
        <w:t>.</w:t>
      </w:r>
    </w:p>
  </w:footnote>
  <w:footnote w:id="72">
    <w:p w14:paraId="24E3E71E" w14:textId="0C1465D0"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Trestního stíhání dle české právní úpravy</w:t>
      </w:r>
      <w:r>
        <w:rPr>
          <w:rFonts w:ascii="Times New Roman" w:hAnsi="Times New Roman"/>
        </w:rPr>
        <w:t>.</w:t>
      </w:r>
    </w:p>
  </w:footnote>
  <w:footnote w:id="73">
    <w:p w14:paraId="5302DEBF" w14:textId="0592967C"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Spolupracující obviněný dle české právní úpravy</w:t>
      </w:r>
      <w:r>
        <w:rPr>
          <w:rFonts w:ascii="Times New Roman" w:hAnsi="Times New Roman"/>
        </w:rPr>
        <w:t>.</w:t>
      </w:r>
    </w:p>
  </w:footnote>
  <w:footnote w:id="74">
    <w:p w14:paraId="2AB5ED3A" w14:textId="668BC986"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Pr>
          <w:rFonts w:ascii="Times New Roman" w:hAnsi="Times New Roman"/>
        </w:rPr>
        <w:t> </w:t>
      </w:r>
      <w:r w:rsidRPr="00251388">
        <w:rPr>
          <w:rFonts w:ascii="Times New Roman" w:hAnsi="Times New Roman"/>
        </w:rPr>
        <w:t>GAJDIČIAR, V</w:t>
      </w:r>
      <w:r>
        <w:rPr>
          <w:rFonts w:ascii="Times New Roman" w:hAnsi="Times New Roman"/>
        </w:rPr>
        <w:t>ladimír</w:t>
      </w:r>
      <w:r w:rsidRPr="00251388">
        <w:rPr>
          <w:rFonts w:ascii="Times New Roman" w:hAnsi="Times New Roman"/>
        </w:rPr>
        <w:t>. Zákonnosť dokazovania pri aplikácii inštitútu spolupracujúceho obvineného. In</w:t>
      </w:r>
      <w:r>
        <w:rPr>
          <w:rFonts w:ascii="Times New Roman" w:hAnsi="Times New Roman"/>
        </w:rPr>
        <w:t> </w:t>
      </w:r>
      <w:r w:rsidRPr="00251388">
        <w:rPr>
          <w:rFonts w:ascii="Times New Roman" w:hAnsi="Times New Roman"/>
        </w:rPr>
        <w:t>KOTÁSEK, J</w:t>
      </w:r>
      <w:r>
        <w:rPr>
          <w:rFonts w:ascii="Times New Roman" w:hAnsi="Times New Roman"/>
        </w:rPr>
        <w:t>osef</w:t>
      </w:r>
      <w:r w:rsidRPr="00251388">
        <w:rPr>
          <w:rFonts w:ascii="Times New Roman" w:hAnsi="Times New Roman"/>
        </w:rPr>
        <w:t xml:space="preserve"> </w:t>
      </w:r>
      <w:r>
        <w:rPr>
          <w:rFonts w:ascii="Times New Roman" w:hAnsi="Times New Roman"/>
        </w:rPr>
        <w:t>a kol.</w:t>
      </w:r>
      <w:r w:rsidRPr="00251388">
        <w:rPr>
          <w:rFonts w:ascii="Times New Roman" w:hAnsi="Times New Roman"/>
        </w:rPr>
        <w:t xml:space="preserve"> (e</w:t>
      </w:r>
      <w:r>
        <w:rPr>
          <w:rFonts w:ascii="Times New Roman" w:hAnsi="Times New Roman"/>
        </w:rPr>
        <w:t xml:space="preserve">d.). </w:t>
      </w:r>
      <w:r w:rsidRPr="00BB2B90">
        <w:rPr>
          <w:rFonts w:ascii="Times New Roman" w:hAnsi="Times New Roman"/>
          <w:i/>
        </w:rPr>
        <w:t>Dny práva 2012</w:t>
      </w:r>
      <w:r>
        <w:rPr>
          <w:rFonts w:ascii="Times New Roman" w:hAnsi="Times New Roman"/>
        </w:rPr>
        <w:t>.</w:t>
      </w:r>
      <w:r w:rsidRPr="00251388">
        <w:rPr>
          <w:rFonts w:ascii="Times New Roman" w:hAnsi="Times New Roman"/>
        </w:rPr>
        <w:t xml:space="preserve"> Brno: Masarykova univerzita, 2013, s. 1407</w:t>
      </w:r>
      <w:r>
        <w:rPr>
          <w:rFonts w:ascii="Times New Roman" w:hAnsi="Times New Roman"/>
        </w:rPr>
        <w:t>.</w:t>
      </w:r>
    </w:p>
  </w:footnote>
  <w:footnote w:id="75">
    <w:p w14:paraId="338D8906" w14:textId="561907D4"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KANDALCOVÁ, A</w:t>
      </w:r>
      <w:r>
        <w:rPr>
          <w:rFonts w:ascii="Times New Roman" w:hAnsi="Times New Roman"/>
        </w:rPr>
        <w:t>lena</w:t>
      </w:r>
      <w:r w:rsidRPr="00251388">
        <w:rPr>
          <w:rFonts w:ascii="Times New Roman" w:hAnsi="Times New Roman"/>
        </w:rPr>
        <w:t>. Institut spolupracujícího obviněného v kompar</w:t>
      </w:r>
      <w:r>
        <w:rPr>
          <w:rFonts w:ascii="Times New Roman" w:hAnsi="Times New Roman"/>
        </w:rPr>
        <w:t>ativním pohledu. In FRYŠTÁK, Martin</w:t>
      </w:r>
      <w:r w:rsidRPr="00251388">
        <w:rPr>
          <w:rFonts w:ascii="Times New Roman" w:hAnsi="Times New Roman"/>
        </w:rPr>
        <w:t xml:space="preserve"> </w:t>
      </w:r>
      <w:r>
        <w:rPr>
          <w:rFonts w:ascii="Times New Roman" w:hAnsi="Times New Roman"/>
        </w:rPr>
        <w:t>a kol.</w:t>
      </w:r>
      <w:r w:rsidRPr="00251388">
        <w:rPr>
          <w:rFonts w:ascii="Times New Roman" w:hAnsi="Times New Roman"/>
        </w:rPr>
        <w:t xml:space="preserve"> (ed.). </w:t>
      </w:r>
      <w:r w:rsidRPr="00D2381C">
        <w:rPr>
          <w:rFonts w:ascii="Times New Roman" w:hAnsi="Times New Roman"/>
          <w:i/>
        </w:rPr>
        <w:t>Dny práva 2016</w:t>
      </w:r>
      <w:r w:rsidRPr="00251388">
        <w:rPr>
          <w:rFonts w:ascii="Times New Roman" w:hAnsi="Times New Roman"/>
        </w:rPr>
        <w:t>. Brno: Masarykova univerzita, 2017, s. 97</w:t>
      </w:r>
      <w:r>
        <w:rPr>
          <w:rFonts w:ascii="Times New Roman" w:hAnsi="Times New Roman"/>
        </w:rPr>
        <w:t>.</w:t>
      </w:r>
    </w:p>
  </w:footnote>
  <w:footnote w:id="76">
    <w:p w14:paraId="59AC4DAB" w14:textId="105CDF42"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2</w:t>
      </w:r>
      <w:r>
        <w:rPr>
          <w:rFonts w:ascii="Times New Roman" w:hAnsi="Times New Roman"/>
        </w:rPr>
        <w:t xml:space="preserve">18 odst. 1 zákona </w:t>
      </w:r>
      <w:r w:rsidRPr="00251388">
        <w:rPr>
          <w:rFonts w:ascii="Times New Roman" w:hAnsi="Times New Roman"/>
        </w:rPr>
        <w:t xml:space="preserve">č. 301/2005 Z. z., </w:t>
      </w:r>
      <w:r>
        <w:rPr>
          <w:rFonts w:ascii="Times New Roman" w:hAnsi="Times New Roman"/>
        </w:rPr>
        <w:t>t</w:t>
      </w:r>
      <w:r w:rsidRPr="00251388">
        <w:rPr>
          <w:rFonts w:ascii="Times New Roman" w:hAnsi="Times New Roman"/>
        </w:rPr>
        <w:t xml:space="preserve">restný </w:t>
      </w:r>
      <w:r>
        <w:rPr>
          <w:rFonts w:ascii="Times New Roman" w:hAnsi="Times New Roman"/>
        </w:rPr>
        <w:t>p</w:t>
      </w:r>
      <w:r w:rsidRPr="00251388">
        <w:rPr>
          <w:rFonts w:ascii="Times New Roman" w:hAnsi="Times New Roman"/>
        </w:rPr>
        <w:t>oriadok</w:t>
      </w:r>
      <w:r>
        <w:rPr>
          <w:rFonts w:ascii="Times New Roman" w:hAnsi="Times New Roman"/>
        </w:rPr>
        <w:t>.</w:t>
      </w:r>
    </w:p>
  </w:footnote>
  <w:footnote w:id="77">
    <w:p w14:paraId="0E805D4E" w14:textId="2E005E5D"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V českém právním řádu se používá pojem státní zástupce</w:t>
      </w:r>
      <w:r>
        <w:rPr>
          <w:rFonts w:ascii="Times New Roman" w:hAnsi="Times New Roman"/>
        </w:rPr>
        <w:t>.</w:t>
      </w:r>
    </w:p>
  </w:footnote>
  <w:footnote w:id="78">
    <w:p w14:paraId="329A1910" w14:textId="54839B33"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GAJDIČIAR, V</w:t>
      </w:r>
      <w:r>
        <w:rPr>
          <w:rFonts w:ascii="Times New Roman" w:hAnsi="Times New Roman"/>
        </w:rPr>
        <w:t>ladimír</w:t>
      </w:r>
      <w:r w:rsidRPr="00251388">
        <w:rPr>
          <w:rFonts w:ascii="Times New Roman" w:hAnsi="Times New Roman"/>
        </w:rPr>
        <w:t>. Zákonnosť dokazovania pri aplikácii inštitútu spolupracujúceho obvineného. In</w:t>
      </w:r>
      <w:r>
        <w:rPr>
          <w:rFonts w:ascii="Times New Roman" w:hAnsi="Times New Roman"/>
        </w:rPr>
        <w:t> </w:t>
      </w:r>
      <w:r w:rsidRPr="00251388">
        <w:rPr>
          <w:rFonts w:ascii="Times New Roman" w:hAnsi="Times New Roman"/>
        </w:rPr>
        <w:t>KOTÁSEK, J</w:t>
      </w:r>
      <w:r>
        <w:rPr>
          <w:rFonts w:ascii="Times New Roman" w:hAnsi="Times New Roman"/>
        </w:rPr>
        <w:t>osef</w:t>
      </w:r>
      <w:r w:rsidRPr="00251388">
        <w:rPr>
          <w:rFonts w:ascii="Times New Roman" w:hAnsi="Times New Roman"/>
        </w:rPr>
        <w:t xml:space="preserve"> </w:t>
      </w:r>
      <w:r>
        <w:rPr>
          <w:rFonts w:ascii="Times New Roman" w:hAnsi="Times New Roman"/>
        </w:rPr>
        <w:t>a kol.</w:t>
      </w:r>
      <w:r w:rsidRPr="00251388">
        <w:rPr>
          <w:rFonts w:ascii="Times New Roman" w:hAnsi="Times New Roman"/>
        </w:rPr>
        <w:t xml:space="preserve"> (e</w:t>
      </w:r>
      <w:r>
        <w:rPr>
          <w:rFonts w:ascii="Times New Roman" w:hAnsi="Times New Roman"/>
        </w:rPr>
        <w:t xml:space="preserve">d.). </w:t>
      </w:r>
      <w:r w:rsidRPr="00BB2B90">
        <w:rPr>
          <w:rFonts w:ascii="Times New Roman" w:hAnsi="Times New Roman"/>
          <w:i/>
        </w:rPr>
        <w:t>Dny práva 2012</w:t>
      </w:r>
      <w:r>
        <w:rPr>
          <w:rFonts w:ascii="Times New Roman" w:hAnsi="Times New Roman"/>
        </w:rPr>
        <w:t>.</w:t>
      </w:r>
      <w:r w:rsidRPr="00251388">
        <w:rPr>
          <w:rFonts w:ascii="Times New Roman" w:hAnsi="Times New Roman"/>
        </w:rPr>
        <w:t xml:space="preserve"> Brno: Masarykova univerzita, 2013, s. 1407</w:t>
      </w:r>
      <w:r>
        <w:rPr>
          <w:rFonts w:ascii="Times New Roman" w:hAnsi="Times New Roman"/>
        </w:rPr>
        <w:t>.</w:t>
      </w:r>
    </w:p>
  </w:footnote>
  <w:footnote w:id="79">
    <w:p w14:paraId="51E19359" w14:textId="2F935930"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Pr>
          <w:rFonts w:ascii="Times New Roman" w:hAnsi="Times New Roman"/>
        </w:rPr>
        <w:t xml:space="preserve"> § 205 odst. 1 zákona</w:t>
      </w:r>
      <w:r w:rsidRPr="00251388">
        <w:rPr>
          <w:rFonts w:ascii="Times New Roman" w:hAnsi="Times New Roman"/>
        </w:rPr>
        <w:t xml:space="preserve"> č. 301/2005 Z. z., </w:t>
      </w:r>
      <w:r>
        <w:rPr>
          <w:rFonts w:ascii="Times New Roman" w:hAnsi="Times New Roman"/>
        </w:rPr>
        <w:t>t</w:t>
      </w:r>
      <w:r w:rsidRPr="00251388">
        <w:rPr>
          <w:rFonts w:ascii="Times New Roman" w:hAnsi="Times New Roman"/>
        </w:rPr>
        <w:t xml:space="preserve">restný </w:t>
      </w:r>
      <w:r>
        <w:rPr>
          <w:rFonts w:ascii="Times New Roman" w:hAnsi="Times New Roman"/>
        </w:rPr>
        <w:t>p</w:t>
      </w:r>
      <w:r w:rsidRPr="00251388">
        <w:rPr>
          <w:rFonts w:ascii="Times New Roman" w:hAnsi="Times New Roman"/>
        </w:rPr>
        <w:t>oriadok</w:t>
      </w:r>
      <w:r>
        <w:rPr>
          <w:rFonts w:ascii="Times New Roman" w:hAnsi="Times New Roman"/>
        </w:rPr>
        <w:t>.</w:t>
      </w:r>
    </w:p>
  </w:footnote>
  <w:footnote w:id="80">
    <w:p w14:paraId="197C3043" w14:textId="57E5CE7D"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Pr>
          <w:rFonts w:ascii="Times New Roman" w:hAnsi="Times New Roman"/>
        </w:rPr>
        <w:t xml:space="preserve"> § 206 zákona</w:t>
      </w:r>
      <w:r w:rsidRPr="00251388">
        <w:rPr>
          <w:rFonts w:ascii="Times New Roman" w:hAnsi="Times New Roman"/>
        </w:rPr>
        <w:t xml:space="preserve"> č. 301/2005 Z. z., </w:t>
      </w:r>
      <w:r>
        <w:rPr>
          <w:rFonts w:ascii="Times New Roman" w:hAnsi="Times New Roman"/>
        </w:rPr>
        <w:t>t</w:t>
      </w:r>
      <w:r w:rsidRPr="00251388">
        <w:rPr>
          <w:rFonts w:ascii="Times New Roman" w:hAnsi="Times New Roman"/>
        </w:rPr>
        <w:t xml:space="preserve">restný </w:t>
      </w:r>
      <w:r>
        <w:rPr>
          <w:rFonts w:ascii="Times New Roman" w:hAnsi="Times New Roman"/>
        </w:rPr>
        <w:t>p</w:t>
      </w:r>
      <w:r w:rsidRPr="00251388">
        <w:rPr>
          <w:rFonts w:ascii="Times New Roman" w:hAnsi="Times New Roman"/>
        </w:rPr>
        <w:t>oriadok</w:t>
      </w:r>
      <w:r>
        <w:rPr>
          <w:rFonts w:ascii="Times New Roman" w:hAnsi="Times New Roman"/>
        </w:rPr>
        <w:t>.</w:t>
      </w:r>
    </w:p>
  </w:footnote>
  <w:footnote w:id="81">
    <w:p w14:paraId="6DA13884" w14:textId="0E236257"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205 odst. 3</w:t>
      </w:r>
      <w:r>
        <w:rPr>
          <w:rFonts w:ascii="Times New Roman" w:hAnsi="Times New Roman"/>
        </w:rPr>
        <w:t xml:space="preserve"> zákona</w:t>
      </w:r>
      <w:r w:rsidRPr="00251388">
        <w:rPr>
          <w:rFonts w:ascii="Times New Roman" w:hAnsi="Times New Roman"/>
        </w:rPr>
        <w:t xml:space="preserve"> č. 301/2005 Z. z., </w:t>
      </w:r>
      <w:r>
        <w:rPr>
          <w:rFonts w:ascii="Times New Roman" w:hAnsi="Times New Roman"/>
        </w:rPr>
        <w:t>t</w:t>
      </w:r>
      <w:r w:rsidRPr="00251388">
        <w:rPr>
          <w:rFonts w:ascii="Times New Roman" w:hAnsi="Times New Roman"/>
        </w:rPr>
        <w:t xml:space="preserve">restný </w:t>
      </w:r>
      <w:r>
        <w:rPr>
          <w:rFonts w:ascii="Times New Roman" w:hAnsi="Times New Roman"/>
        </w:rPr>
        <w:t>p</w:t>
      </w:r>
      <w:r w:rsidRPr="00251388">
        <w:rPr>
          <w:rFonts w:ascii="Times New Roman" w:hAnsi="Times New Roman"/>
        </w:rPr>
        <w:t>oriadok</w:t>
      </w:r>
      <w:r>
        <w:rPr>
          <w:rFonts w:ascii="Times New Roman" w:hAnsi="Times New Roman"/>
        </w:rPr>
        <w:t>.</w:t>
      </w:r>
    </w:p>
  </w:footnote>
  <w:footnote w:id="82">
    <w:p w14:paraId="08B2F102" w14:textId="04CF357E"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Přípravné řízení dle české právní úpravy</w:t>
      </w:r>
      <w:r>
        <w:rPr>
          <w:rFonts w:ascii="Times New Roman" w:hAnsi="Times New Roman"/>
        </w:rPr>
        <w:t>.</w:t>
      </w:r>
    </w:p>
  </w:footnote>
  <w:footnote w:id="83">
    <w:p w14:paraId="3FCA0D07" w14:textId="756B62E9"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Pr>
          <w:rFonts w:ascii="Times New Roman" w:hAnsi="Times New Roman"/>
        </w:rPr>
        <w:t xml:space="preserve"> § 39 odst. 2</w:t>
      </w:r>
      <w:r w:rsidRPr="00251388">
        <w:rPr>
          <w:rFonts w:ascii="Times New Roman" w:hAnsi="Times New Roman"/>
        </w:rPr>
        <w:t xml:space="preserve"> písm. b)</w:t>
      </w:r>
      <w:r>
        <w:rPr>
          <w:rFonts w:ascii="Times New Roman" w:hAnsi="Times New Roman"/>
        </w:rPr>
        <w:t xml:space="preserve"> zákona</w:t>
      </w:r>
      <w:r w:rsidRPr="00251388">
        <w:rPr>
          <w:rFonts w:ascii="Times New Roman" w:hAnsi="Times New Roman"/>
        </w:rPr>
        <w:t xml:space="preserve"> č. 300/2005</w:t>
      </w:r>
      <w:r>
        <w:rPr>
          <w:rFonts w:ascii="Times New Roman" w:hAnsi="Times New Roman"/>
        </w:rPr>
        <w:t xml:space="preserve"> Z. z.</w:t>
      </w:r>
      <w:r w:rsidRPr="00251388">
        <w:rPr>
          <w:rFonts w:ascii="Times New Roman" w:hAnsi="Times New Roman"/>
        </w:rPr>
        <w:t xml:space="preserve">, </w:t>
      </w:r>
      <w:r>
        <w:rPr>
          <w:rFonts w:ascii="Times New Roman" w:hAnsi="Times New Roman"/>
        </w:rPr>
        <w:t>t</w:t>
      </w:r>
      <w:r w:rsidRPr="00251388">
        <w:rPr>
          <w:rFonts w:ascii="Times New Roman" w:hAnsi="Times New Roman"/>
        </w:rPr>
        <w:t>restný zákon</w:t>
      </w:r>
      <w:r>
        <w:rPr>
          <w:rFonts w:ascii="Times New Roman" w:hAnsi="Times New Roman"/>
        </w:rPr>
        <w:t>.</w:t>
      </w:r>
    </w:p>
  </w:footnote>
  <w:footnote w:id="84">
    <w:p w14:paraId="255AC011" w14:textId="317FB101" w:rsidR="00813EED" w:rsidRPr="00251388" w:rsidRDefault="00813EED" w:rsidP="008D702C">
      <w:pPr>
        <w:pStyle w:val="Textpoznpodarou"/>
        <w:spacing w:after="0" w:line="240" w:lineRule="auto"/>
        <w:jc w:val="both"/>
        <w:rPr>
          <w:rFonts w:ascii="Times New Roman" w:hAnsi="Times New Roman"/>
        </w:rPr>
      </w:pPr>
      <w:r w:rsidRPr="001A0A5E">
        <w:rPr>
          <w:rStyle w:val="Znakapoznpodarou"/>
          <w:rFonts w:ascii="Times New Roman" w:hAnsi="Times New Roman"/>
        </w:rPr>
        <w:footnoteRef/>
      </w:r>
      <w:r w:rsidRPr="001A0A5E">
        <w:rPr>
          <w:rFonts w:ascii="Times New Roman" w:hAnsi="Times New Roman"/>
        </w:rPr>
        <w:t xml:space="preserve"> Viz podkapitola 2.1.1 Trestní řád této diplomové práce.</w:t>
      </w:r>
    </w:p>
  </w:footnote>
  <w:footnote w:id="85">
    <w:p w14:paraId="04A634CD" w14:textId="71E6A243"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Dočasné odložení trestního stíhání</w:t>
      </w:r>
      <w:r>
        <w:rPr>
          <w:rFonts w:ascii="Times New Roman" w:hAnsi="Times New Roman"/>
        </w:rPr>
        <w:t>.</w:t>
      </w:r>
    </w:p>
  </w:footnote>
  <w:footnote w:id="86">
    <w:p w14:paraId="1FB0DB1B" w14:textId="37EBE930"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Přerušení trestního stíhání</w:t>
      </w:r>
      <w:r>
        <w:rPr>
          <w:rFonts w:ascii="Times New Roman" w:hAnsi="Times New Roman"/>
        </w:rPr>
        <w:t>.</w:t>
      </w:r>
    </w:p>
  </w:footnote>
  <w:footnote w:id="87">
    <w:p w14:paraId="36722595" w14:textId="0DAF6474"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KANDALCOVÁ, A</w:t>
      </w:r>
      <w:r>
        <w:rPr>
          <w:rFonts w:ascii="Times New Roman" w:hAnsi="Times New Roman"/>
        </w:rPr>
        <w:t>lena</w:t>
      </w:r>
      <w:r w:rsidRPr="00251388">
        <w:rPr>
          <w:rFonts w:ascii="Times New Roman" w:hAnsi="Times New Roman"/>
        </w:rPr>
        <w:t>. Institut spolupracujícího obviněného v kompar</w:t>
      </w:r>
      <w:r>
        <w:rPr>
          <w:rFonts w:ascii="Times New Roman" w:hAnsi="Times New Roman"/>
        </w:rPr>
        <w:t>ativním pohledu. In FRYŠTÁK, Martin a kol.</w:t>
      </w:r>
      <w:r w:rsidRPr="00251388">
        <w:rPr>
          <w:rFonts w:ascii="Times New Roman" w:hAnsi="Times New Roman"/>
        </w:rPr>
        <w:t xml:space="preserve"> (ed.). </w:t>
      </w:r>
      <w:r w:rsidRPr="008E1175">
        <w:rPr>
          <w:rFonts w:ascii="Times New Roman" w:hAnsi="Times New Roman"/>
          <w:i/>
        </w:rPr>
        <w:t>Dny práva 2016</w:t>
      </w:r>
      <w:r w:rsidRPr="00251388">
        <w:rPr>
          <w:rFonts w:ascii="Times New Roman" w:hAnsi="Times New Roman"/>
        </w:rPr>
        <w:t>. Brno: Masarykova univerzita, 2017, s. 81</w:t>
      </w:r>
      <w:r>
        <w:rPr>
          <w:rFonts w:ascii="Times New Roman" w:hAnsi="Times New Roman"/>
        </w:rPr>
        <w:t>–</w:t>
      </w:r>
      <w:r w:rsidRPr="00251388">
        <w:rPr>
          <w:rFonts w:ascii="Times New Roman" w:hAnsi="Times New Roman"/>
        </w:rPr>
        <w:t>82</w:t>
      </w:r>
      <w:r>
        <w:rPr>
          <w:rFonts w:ascii="Times New Roman" w:hAnsi="Times New Roman"/>
        </w:rPr>
        <w:t>.</w:t>
      </w:r>
    </w:p>
  </w:footnote>
  <w:footnote w:id="88">
    <w:p w14:paraId="3BD8BDA5" w14:textId="2F49879E"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Do českého jazyka bych zvolil překlad „dohoda o vině a trestu“</w:t>
      </w:r>
      <w:r>
        <w:rPr>
          <w:rFonts w:ascii="Times New Roman" w:hAnsi="Times New Roman"/>
        </w:rPr>
        <w:t>.</w:t>
      </w:r>
    </w:p>
  </w:footnote>
  <w:footnote w:id="89">
    <w:p w14:paraId="0B53855E" w14:textId="2685046A"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8E1175">
        <w:rPr>
          <w:rFonts w:ascii="Times New Roman" w:hAnsi="Times New Roman"/>
        </w:rPr>
        <w:t xml:space="preserve">MALONE, Carlie. Plea Bargaining and Collateral Consequences: An Experimental Analysis. </w:t>
      </w:r>
      <w:r w:rsidRPr="008E1175">
        <w:rPr>
          <w:rFonts w:ascii="Times New Roman" w:hAnsi="Times New Roman"/>
          <w:i/>
        </w:rPr>
        <w:t>Vanderbilt Law Review</w:t>
      </w:r>
      <w:r w:rsidRPr="008E1175">
        <w:rPr>
          <w:rFonts w:ascii="Times New Roman" w:hAnsi="Times New Roman"/>
        </w:rPr>
        <w:t xml:space="preserve"> [online]. 2020, roč. 73, č. 4, s. 1161–1208 [cit. 20. května 2024]</w:t>
      </w:r>
      <w:r>
        <w:rPr>
          <w:rFonts w:ascii="Times New Roman" w:hAnsi="Times New Roman"/>
        </w:rPr>
        <w:t>.</w:t>
      </w:r>
      <w:r w:rsidRPr="008E1175">
        <w:rPr>
          <w:rFonts w:ascii="Times New Roman" w:hAnsi="Times New Roman"/>
        </w:rPr>
        <w:t xml:space="preserve"> Dostupné z: https://scholarship.law.vanderbilt.edu/cgi/viewcontent.cgi?article=3476&amp;context=vlr</w:t>
      </w:r>
    </w:p>
  </w:footnote>
  <w:footnote w:id="90">
    <w:p w14:paraId="78DB9DEE" w14:textId="25C7BBF6"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553E32">
        <w:rPr>
          <w:rFonts w:ascii="Times New Roman" w:eastAsia="Calibri" w:hAnsi="Times New Roman"/>
          <w:lang w:eastAsia="en-US"/>
        </w:rPr>
        <w:t xml:space="preserve">DEVERS, Lindsey. Plea and Charge Bargaining: Research Summary. </w:t>
      </w:r>
      <w:r w:rsidRPr="00553E32">
        <w:rPr>
          <w:rFonts w:ascii="Times New Roman" w:eastAsia="Calibri" w:hAnsi="Times New Roman"/>
          <w:i/>
          <w:lang w:eastAsia="en-US"/>
        </w:rPr>
        <w:t xml:space="preserve">Bureau of Justice Assistance U. S. </w:t>
      </w:r>
      <w:r w:rsidRPr="00553E32">
        <w:rPr>
          <w:rFonts w:ascii="Times New Roman" w:eastAsia="Calibri" w:hAnsi="Times New Roman"/>
          <w:lang w:eastAsia="en-US"/>
        </w:rPr>
        <w:t>[online].</w:t>
      </w:r>
      <w:r>
        <w:rPr>
          <w:rFonts w:ascii="Times New Roman" w:eastAsia="Calibri" w:hAnsi="Times New Roman"/>
          <w:lang w:eastAsia="en-US"/>
        </w:rPr>
        <w:t> </w:t>
      </w:r>
      <w:r w:rsidRPr="00553E32">
        <w:rPr>
          <w:rFonts w:ascii="Times New Roman" w:eastAsia="Calibri" w:hAnsi="Times New Roman"/>
          <w:lang w:eastAsia="en-US"/>
        </w:rPr>
        <w:t xml:space="preserve">2011 [cit. 20. května 2024]. Dostupné z: </w:t>
      </w:r>
      <w:r w:rsidRPr="005A09EA">
        <w:rPr>
          <w:rFonts w:ascii="Times New Roman" w:eastAsia="Calibri" w:hAnsi="Times New Roman"/>
          <w:lang w:eastAsia="en-US"/>
        </w:rPr>
        <w:t>https://www.scribd.com/document/538684677/PleaBargaining</w:t>
      </w:r>
      <w:r w:rsidRPr="00553E32">
        <w:rPr>
          <w:rFonts w:ascii="Times New Roman" w:eastAsia="Calibri" w:hAnsi="Times New Roman"/>
          <w:lang w:eastAsia="en-US"/>
        </w:rPr>
        <w:t>ResearchSummary-1</w:t>
      </w:r>
    </w:p>
  </w:footnote>
  <w:footnote w:id="91">
    <w:p w14:paraId="4803DE54" w14:textId="08D69587"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8E1175">
        <w:rPr>
          <w:rFonts w:ascii="Times New Roman" w:hAnsi="Times New Roman"/>
        </w:rPr>
        <w:t xml:space="preserve">MALONE, Carlie. Plea Bargaining and Collateral Consequences: An Experimental Analysis. </w:t>
      </w:r>
      <w:r w:rsidRPr="008E1175">
        <w:rPr>
          <w:rFonts w:ascii="Times New Roman" w:hAnsi="Times New Roman"/>
          <w:i/>
        </w:rPr>
        <w:t>Vanderbilt Law</w:t>
      </w:r>
      <w:r>
        <w:rPr>
          <w:rFonts w:ascii="Times New Roman" w:hAnsi="Times New Roman"/>
          <w:i/>
        </w:rPr>
        <w:t> </w:t>
      </w:r>
      <w:r w:rsidRPr="008E1175">
        <w:rPr>
          <w:rFonts w:ascii="Times New Roman" w:hAnsi="Times New Roman"/>
          <w:i/>
        </w:rPr>
        <w:t>Review</w:t>
      </w:r>
      <w:r w:rsidRPr="008E1175">
        <w:rPr>
          <w:rFonts w:ascii="Times New Roman" w:hAnsi="Times New Roman"/>
        </w:rPr>
        <w:t xml:space="preserve"> [online]. 2020, roč. 73, č. 4, s. 1161–1208 [cit. 20. května 2024]</w:t>
      </w:r>
      <w:r>
        <w:rPr>
          <w:rFonts w:ascii="Times New Roman" w:hAnsi="Times New Roman"/>
        </w:rPr>
        <w:t>.</w:t>
      </w:r>
      <w:r w:rsidRPr="008E1175">
        <w:rPr>
          <w:rFonts w:ascii="Times New Roman" w:hAnsi="Times New Roman"/>
        </w:rPr>
        <w:t xml:space="preserve"> Dostupné z: https://scholarship.law.vanderbilt.edu/cgi/viewcontent.cgi?article=3476&amp;context=vlr</w:t>
      </w:r>
    </w:p>
  </w:footnote>
  <w:footnote w:id="92">
    <w:p w14:paraId="4C5D0D80" w14:textId="5F5D1703"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95053A">
        <w:rPr>
          <w:rFonts w:ascii="Times New Roman" w:hAnsi="Times New Roman"/>
        </w:rPr>
        <w:t xml:space="preserve">BEALL, George. Principles of Plea Bargaining. </w:t>
      </w:r>
      <w:r w:rsidRPr="0095053A">
        <w:rPr>
          <w:rFonts w:ascii="Times New Roman" w:hAnsi="Times New Roman"/>
          <w:i/>
        </w:rPr>
        <w:t>Law eCommons</w:t>
      </w:r>
      <w:r w:rsidRPr="0095053A">
        <w:rPr>
          <w:rFonts w:ascii="Times New Roman" w:hAnsi="Times New Roman"/>
        </w:rPr>
        <w:t xml:space="preserve"> [online]. 2015, roč. 9, č. 1 [cit. 20. května 2024]. Dostupné z: http://lawecommons.luc.edu/luclj/vol9/iss1/5</w:t>
      </w:r>
    </w:p>
  </w:footnote>
  <w:footnote w:id="93">
    <w:p w14:paraId="15C3B177" w14:textId="3746283A"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Dohoda o vině</w:t>
      </w:r>
      <w:r>
        <w:rPr>
          <w:rFonts w:ascii="Times New Roman" w:hAnsi="Times New Roman"/>
        </w:rPr>
        <w:t>.</w:t>
      </w:r>
    </w:p>
  </w:footnote>
  <w:footnote w:id="94">
    <w:p w14:paraId="0F439A64" w14:textId="112EC74C"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Pr>
          <w:rFonts w:ascii="Times New Roman" w:hAnsi="Times New Roman"/>
        </w:rPr>
        <w:t>Tamtéž.</w:t>
      </w:r>
    </w:p>
  </w:footnote>
  <w:footnote w:id="95">
    <w:p w14:paraId="2868F3F5" w14:textId="29286D97"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Dohoda o trestu</w:t>
      </w:r>
      <w:r>
        <w:rPr>
          <w:rFonts w:ascii="Times New Roman" w:hAnsi="Times New Roman"/>
        </w:rPr>
        <w:t>.</w:t>
      </w:r>
    </w:p>
  </w:footnote>
  <w:footnote w:id="96">
    <w:p w14:paraId="114EEFBA" w14:textId="37186871"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95053A">
        <w:rPr>
          <w:rFonts w:ascii="Times New Roman" w:hAnsi="Times New Roman"/>
        </w:rPr>
        <w:t xml:space="preserve">BEALL, George. Principles of Plea Bargaining. </w:t>
      </w:r>
      <w:r w:rsidRPr="0095053A">
        <w:rPr>
          <w:rFonts w:ascii="Times New Roman" w:hAnsi="Times New Roman"/>
          <w:i/>
        </w:rPr>
        <w:t>Law eCommons</w:t>
      </w:r>
      <w:r w:rsidRPr="0095053A">
        <w:rPr>
          <w:rFonts w:ascii="Times New Roman" w:hAnsi="Times New Roman"/>
        </w:rPr>
        <w:t xml:space="preserve"> [online]. 2015, roč. 9, č. 1 [cit. 20. května 2024]. Dostupné z: http://lawecommons.luc.edu/luclj/vol9/iss1/5</w:t>
      </w:r>
    </w:p>
  </w:footnote>
  <w:footnote w:id="97">
    <w:p w14:paraId="419523D1" w14:textId="7CD4A0BD"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Tamtéž.</w:t>
      </w:r>
    </w:p>
  </w:footnote>
  <w:footnote w:id="98">
    <w:p w14:paraId="491E5DEE" w14:textId="53DF882E"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AA1E7B">
        <w:rPr>
          <w:rFonts w:ascii="Times New Roman" w:hAnsi="Times New Roman"/>
        </w:rPr>
        <w:t xml:space="preserve">HUGHES, Graham. Agreements for Cooperation in Criminal Cases. </w:t>
      </w:r>
      <w:r w:rsidRPr="00AA1E7B">
        <w:rPr>
          <w:rFonts w:ascii="Times New Roman" w:hAnsi="Times New Roman"/>
          <w:i/>
        </w:rPr>
        <w:t>Vanderbilt Law Review</w:t>
      </w:r>
      <w:r w:rsidRPr="00AA1E7B">
        <w:rPr>
          <w:rFonts w:ascii="Times New Roman" w:hAnsi="Times New Roman"/>
        </w:rPr>
        <w:t xml:space="preserve"> [online]. 1992, roč.</w:t>
      </w:r>
      <w:r>
        <w:rPr>
          <w:rFonts w:ascii="Times New Roman" w:hAnsi="Times New Roman"/>
        </w:rPr>
        <w:t> </w:t>
      </w:r>
      <w:r w:rsidRPr="00AA1E7B">
        <w:rPr>
          <w:rFonts w:ascii="Times New Roman" w:hAnsi="Times New Roman"/>
        </w:rPr>
        <w:t>45, č. 1 [cit. 20. května 2024]</w:t>
      </w:r>
      <w:r>
        <w:rPr>
          <w:rFonts w:ascii="Times New Roman" w:hAnsi="Times New Roman"/>
        </w:rPr>
        <w:t>.</w:t>
      </w:r>
      <w:r w:rsidRPr="00AA1E7B">
        <w:rPr>
          <w:rFonts w:ascii="Times New Roman" w:hAnsi="Times New Roman"/>
        </w:rPr>
        <w:t xml:space="preserve"> Dostupné z: https://scholarship.law.vanderbilt.edu/vlr/vol45/iss1/1</w:t>
      </w:r>
    </w:p>
  </w:footnote>
  <w:footnote w:id="99">
    <w:p w14:paraId="7F0F7D12" w14:textId="32CDE29B"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AA1E7B">
        <w:rPr>
          <w:rFonts w:ascii="Times New Roman" w:hAnsi="Times New Roman"/>
        </w:rPr>
        <w:t xml:space="preserve">STRANG, Robert R. Plea bargaining, Cooperation agreements and Imunnity orders. In </w:t>
      </w:r>
      <w:r w:rsidRPr="00AA1E7B">
        <w:rPr>
          <w:rFonts w:ascii="Times New Roman" w:hAnsi="Times New Roman"/>
          <w:i/>
        </w:rPr>
        <w:t>Work Product of the 155th International Training Course</w:t>
      </w:r>
      <w:r w:rsidRPr="00AA1E7B">
        <w:rPr>
          <w:rFonts w:ascii="Times New Roman" w:hAnsi="Times New Roman"/>
        </w:rPr>
        <w:t>. United Nations Asia and Far East Institute for the Prevention of Crime and the Treatm</w:t>
      </w:r>
      <w:r>
        <w:rPr>
          <w:rFonts w:ascii="Times New Roman" w:hAnsi="Times New Roman"/>
        </w:rPr>
        <w:t>ent of Offenders, 2014</w:t>
      </w:r>
      <w:r w:rsidRPr="00251388">
        <w:rPr>
          <w:rFonts w:ascii="Times New Roman" w:hAnsi="Times New Roman"/>
        </w:rPr>
        <w:t>, s. 32</w:t>
      </w:r>
      <w:r>
        <w:rPr>
          <w:rFonts w:ascii="Times New Roman" w:hAnsi="Times New Roman"/>
        </w:rPr>
        <w:t>–</w:t>
      </w:r>
      <w:r w:rsidRPr="00251388">
        <w:rPr>
          <w:rFonts w:ascii="Times New Roman" w:hAnsi="Times New Roman"/>
        </w:rPr>
        <w:t>35.</w:t>
      </w:r>
    </w:p>
  </w:footnote>
  <w:footnote w:id="100">
    <w:p w14:paraId="4EE4E428" w14:textId="3B6CD9C6"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KANDALCOVÁ, A</w:t>
      </w:r>
      <w:r>
        <w:rPr>
          <w:rFonts w:ascii="Times New Roman" w:hAnsi="Times New Roman"/>
        </w:rPr>
        <w:t>lena</w:t>
      </w:r>
      <w:r w:rsidRPr="00251388">
        <w:rPr>
          <w:rFonts w:ascii="Times New Roman" w:hAnsi="Times New Roman"/>
        </w:rPr>
        <w:t>. Institut spolupracujícího obviněného v komparativním pohledu. In FRYŠTÁK, M</w:t>
      </w:r>
      <w:r>
        <w:rPr>
          <w:rFonts w:ascii="Times New Roman" w:hAnsi="Times New Roman"/>
        </w:rPr>
        <w:t>artin a kol.</w:t>
      </w:r>
      <w:r w:rsidRPr="00251388">
        <w:rPr>
          <w:rFonts w:ascii="Times New Roman" w:hAnsi="Times New Roman"/>
        </w:rPr>
        <w:t xml:space="preserve"> (ed.). </w:t>
      </w:r>
      <w:r w:rsidRPr="00AA1E7B">
        <w:rPr>
          <w:rFonts w:ascii="Times New Roman" w:hAnsi="Times New Roman"/>
          <w:i/>
        </w:rPr>
        <w:t>Dny práva 2016</w:t>
      </w:r>
      <w:r w:rsidRPr="00251388">
        <w:rPr>
          <w:rFonts w:ascii="Times New Roman" w:hAnsi="Times New Roman"/>
        </w:rPr>
        <w:t>. Brno: Masarykova univerzita, 2017, s. 83</w:t>
      </w:r>
      <w:r>
        <w:rPr>
          <w:rFonts w:ascii="Times New Roman" w:hAnsi="Times New Roman"/>
        </w:rPr>
        <w:t>.</w:t>
      </w:r>
    </w:p>
  </w:footnote>
  <w:footnote w:id="101">
    <w:p w14:paraId="192F12E1" w14:textId="2929FF2F" w:rsidR="00813EED" w:rsidRPr="00817E4B" w:rsidRDefault="00813EED" w:rsidP="008D702C">
      <w:pPr>
        <w:pStyle w:val="Textpoznpodarou"/>
        <w:spacing w:after="0" w:line="240" w:lineRule="auto"/>
        <w:jc w:val="both"/>
        <w:rPr>
          <w:rFonts w:ascii="Times New Roman" w:hAnsi="Times New Roman"/>
          <w:b/>
          <w:bCs/>
          <w:iCs/>
        </w:rPr>
      </w:pPr>
      <w:r w:rsidRPr="00251388">
        <w:rPr>
          <w:rFonts w:ascii="Times New Roman" w:hAnsi="Times New Roman"/>
          <w:vertAlign w:val="superscript"/>
        </w:rPr>
        <w:footnoteRef/>
      </w:r>
      <w:r w:rsidRPr="00251388">
        <w:rPr>
          <w:rFonts w:ascii="Times New Roman" w:hAnsi="Times New Roman"/>
        </w:rPr>
        <w:t xml:space="preserve"> </w:t>
      </w:r>
      <w:r w:rsidRPr="008A1971">
        <w:rPr>
          <w:rFonts w:ascii="Times New Roman" w:hAnsi="Times New Roman"/>
        </w:rPr>
        <w:t xml:space="preserve">9-21.100: Eligibility for the Witness Security Program. </w:t>
      </w:r>
      <w:r w:rsidRPr="008A1971">
        <w:rPr>
          <w:rFonts w:ascii="Times New Roman" w:hAnsi="Times New Roman"/>
          <w:i/>
        </w:rPr>
        <w:t>U.S. Department of Justice</w:t>
      </w:r>
      <w:r w:rsidRPr="008A1971">
        <w:rPr>
          <w:rFonts w:ascii="Times New Roman" w:hAnsi="Times New Roman"/>
        </w:rPr>
        <w:t xml:space="preserve"> [online]. [cit. 22. května </w:t>
      </w:r>
      <w:r w:rsidRPr="00817E4B">
        <w:rPr>
          <w:rFonts w:ascii="Times New Roman" w:hAnsi="Times New Roman"/>
        </w:rPr>
        <w:t>2024]. Dostupné z: https://www.justice.gov/jm/jm-9-21000-witness-security#9-21.100</w:t>
      </w:r>
    </w:p>
  </w:footnote>
  <w:footnote w:id="102">
    <w:p w14:paraId="26A3D181" w14:textId="02731251"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18 U. S. C. 6001-6005</w:t>
      </w:r>
      <w:r>
        <w:rPr>
          <w:rFonts w:ascii="Times New Roman" w:hAnsi="Times New Roman"/>
        </w:rPr>
        <w:t>.</w:t>
      </w:r>
    </w:p>
  </w:footnote>
  <w:footnote w:id="103">
    <w:p w14:paraId="7391FDCE" w14:textId="7C2D135C"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Nejedná se o spolupracujícího obviněného ve smyslu české právní úpravy</w:t>
      </w:r>
      <w:r>
        <w:rPr>
          <w:rFonts w:ascii="Times New Roman" w:hAnsi="Times New Roman"/>
        </w:rPr>
        <w:t>.</w:t>
      </w:r>
    </w:p>
  </w:footnote>
  <w:footnote w:id="104">
    <w:p w14:paraId="663C5F6E" w14:textId="76FD4775"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AA1E7B">
        <w:rPr>
          <w:rFonts w:ascii="Times New Roman" w:hAnsi="Times New Roman"/>
        </w:rPr>
        <w:t xml:space="preserve">STRANG, Robert R. Plea bargaining, Cooperation agreements and Imunnity orders. In </w:t>
      </w:r>
      <w:r w:rsidRPr="00AA1E7B">
        <w:rPr>
          <w:rFonts w:ascii="Times New Roman" w:hAnsi="Times New Roman"/>
          <w:i/>
        </w:rPr>
        <w:t>Work Product of the 155th International Training Course</w:t>
      </w:r>
      <w:r w:rsidRPr="00AA1E7B">
        <w:rPr>
          <w:rFonts w:ascii="Times New Roman" w:hAnsi="Times New Roman"/>
        </w:rPr>
        <w:t>. United Nations Asia and Far East Institute for the Prevention of Crime and the Treatm</w:t>
      </w:r>
      <w:r>
        <w:rPr>
          <w:rFonts w:ascii="Times New Roman" w:hAnsi="Times New Roman"/>
        </w:rPr>
        <w:t>ent of Offenders, 2014</w:t>
      </w:r>
      <w:r w:rsidRPr="00251388">
        <w:rPr>
          <w:rFonts w:ascii="Times New Roman" w:hAnsi="Times New Roman"/>
        </w:rPr>
        <w:t>, s. 35</w:t>
      </w:r>
      <w:r>
        <w:rPr>
          <w:rFonts w:ascii="Times New Roman" w:hAnsi="Times New Roman"/>
        </w:rPr>
        <w:t>–</w:t>
      </w:r>
      <w:r w:rsidRPr="00251388">
        <w:rPr>
          <w:rFonts w:ascii="Times New Roman" w:hAnsi="Times New Roman"/>
        </w:rPr>
        <w:t>36.</w:t>
      </w:r>
    </w:p>
  </w:footnote>
  <w:footnote w:id="105">
    <w:p w14:paraId="54C1BB4B" w14:textId="62ECED19"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Pr>
          <w:rFonts w:ascii="Times New Roman" w:hAnsi="Times New Roman"/>
        </w:rPr>
        <w:t xml:space="preserve"> § 314</w:t>
      </w:r>
      <w:r w:rsidRPr="00251388">
        <w:rPr>
          <w:rFonts w:ascii="Times New Roman" w:hAnsi="Times New Roman"/>
        </w:rPr>
        <w:t xml:space="preserve"> z</w:t>
      </w:r>
      <w:r>
        <w:rPr>
          <w:rFonts w:ascii="Times New Roman" w:hAnsi="Times New Roman"/>
        </w:rPr>
        <w:t>ákona</w:t>
      </w:r>
      <w:r w:rsidRPr="00251388">
        <w:rPr>
          <w:rFonts w:ascii="Times New Roman" w:hAnsi="Times New Roman"/>
        </w:rPr>
        <w:t xml:space="preserve"> č. 141/1961 Sb., </w:t>
      </w:r>
      <w:r>
        <w:rPr>
          <w:rFonts w:ascii="Times New Roman" w:hAnsi="Times New Roman"/>
        </w:rPr>
        <w:t>t</w:t>
      </w:r>
      <w:r w:rsidRPr="00251388">
        <w:rPr>
          <w:rFonts w:ascii="Times New Roman" w:hAnsi="Times New Roman"/>
        </w:rPr>
        <w:t>restní řád</w:t>
      </w:r>
      <w:r>
        <w:rPr>
          <w:rFonts w:ascii="Times New Roman" w:hAnsi="Times New Roman"/>
        </w:rPr>
        <w:t>.</w:t>
      </w:r>
    </w:p>
  </w:footnote>
  <w:footnote w:id="106">
    <w:p w14:paraId="294A8871" w14:textId="7F0361A9" w:rsidR="00813EED" w:rsidRPr="00251388" w:rsidRDefault="00813EED" w:rsidP="008D702C">
      <w:pPr>
        <w:pStyle w:val="Textpoznpodarou"/>
        <w:spacing w:after="0" w:line="240" w:lineRule="auto"/>
        <w:jc w:val="both"/>
        <w:rPr>
          <w:rFonts w:ascii="Times New Roman" w:hAnsi="Times New Roman"/>
        </w:rPr>
      </w:pPr>
      <w:r w:rsidRPr="00C557C9">
        <w:rPr>
          <w:rStyle w:val="Znakapoznpodarou"/>
          <w:rFonts w:ascii="Times New Roman" w:hAnsi="Times New Roman"/>
        </w:rPr>
        <w:footnoteRef/>
      </w:r>
      <w:r w:rsidRPr="00C557C9">
        <w:rPr>
          <w:rFonts w:ascii="Times New Roman" w:hAnsi="Times New Roman"/>
        </w:rPr>
        <w:t xml:space="preserve"> Viz kapitola 2.3.1 Zásada legality této diplomové práce.</w:t>
      </w:r>
    </w:p>
  </w:footnote>
  <w:footnote w:id="107">
    <w:p w14:paraId="0A3B8848" w14:textId="0F2DCAF8" w:rsidR="00813EED" w:rsidRPr="00251388" w:rsidRDefault="00813EED" w:rsidP="008D702C">
      <w:pPr>
        <w:pStyle w:val="Textpoznpodarou"/>
        <w:spacing w:after="0" w:line="240" w:lineRule="auto"/>
        <w:jc w:val="both"/>
        <w:rPr>
          <w:rFonts w:ascii="Times New Roman" w:hAnsi="Times New Roman"/>
        </w:rPr>
      </w:pPr>
      <w:r w:rsidRPr="00C557C9">
        <w:rPr>
          <w:rStyle w:val="Znakapoznpodarou"/>
          <w:rFonts w:ascii="Times New Roman" w:hAnsi="Times New Roman"/>
        </w:rPr>
        <w:footnoteRef/>
      </w:r>
      <w:r w:rsidRPr="00C557C9">
        <w:rPr>
          <w:rFonts w:ascii="Times New Roman" w:hAnsi="Times New Roman"/>
        </w:rPr>
        <w:t xml:space="preserve"> Viz kapitola této diplomové práce 1.1 Právní úprava.</w:t>
      </w:r>
    </w:p>
  </w:footnote>
  <w:footnote w:id="108">
    <w:p w14:paraId="5963AD0C" w14:textId="36D21DA6"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41239F">
        <w:rPr>
          <w:rFonts w:ascii="Times New Roman" w:hAnsi="Times New Roman"/>
        </w:rPr>
        <w:t xml:space="preserve">WELSCHEN, Thomas. </w:t>
      </w:r>
      <w:r w:rsidRPr="00001C73">
        <w:rPr>
          <w:rFonts w:ascii="Times New Roman" w:hAnsi="Times New Roman"/>
          <w:i/>
        </w:rPr>
        <w:t xml:space="preserve">Pentiti, dissociati e detenzione preventiva negli anni 70-80 [da Cap. 9 del libro 'Il Complesso Italiano' di </w:t>
      </w:r>
      <w:r>
        <w:rPr>
          <w:rFonts w:ascii="Times New Roman" w:hAnsi="Times New Roman"/>
          <w:i/>
        </w:rPr>
        <w:t>Tom Welschen-versione pubblica]</w:t>
      </w:r>
      <w:r w:rsidRPr="0041239F">
        <w:rPr>
          <w:rFonts w:ascii="Times New Roman" w:hAnsi="Times New Roman"/>
        </w:rPr>
        <w:t xml:space="preserve"> [online]. 2020 [cit. 12. června 2024]</w:t>
      </w:r>
      <w:r>
        <w:rPr>
          <w:rFonts w:ascii="Times New Roman" w:hAnsi="Times New Roman"/>
        </w:rPr>
        <w:t>.</w:t>
      </w:r>
      <w:r w:rsidRPr="0041239F">
        <w:rPr>
          <w:rFonts w:ascii="Times New Roman" w:hAnsi="Times New Roman"/>
        </w:rPr>
        <w:t xml:space="preserve"> Dostupné z: https://www.researchgate.net/publication/341622488_Pentiti_dissociati_e_detenzione_preventiva_negli_anni_70-80_da_Cap_9_del_libro_'Il_Complesso_Italiano'_di_Tom_Welschen-versione_pubblica</w:t>
      </w:r>
    </w:p>
  </w:footnote>
  <w:footnote w:id="109">
    <w:p w14:paraId="35E7B5C4" w14:textId="1CC399DE"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001C73">
        <w:rPr>
          <w:rFonts w:ascii="Times New Roman" w:hAnsi="Times New Roman"/>
        </w:rPr>
        <w:t xml:space="preserve">CANOPOLI, Elena. Il coraggio di opporsi Tutela e protezione nei confronti di chi denuncia la criminalità organizzata. </w:t>
      </w:r>
      <w:r w:rsidRPr="00001C73">
        <w:rPr>
          <w:rFonts w:ascii="Times New Roman" w:hAnsi="Times New Roman"/>
          <w:i/>
        </w:rPr>
        <w:t>Centro Ricerca Sicurezza e Terrorismo</w:t>
      </w:r>
      <w:r w:rsidRPr="00001C73">
        <w:rPr>
          <w:rFonts w:ascii="Times New Roman" w:hAnsi="Times New Roman"/>
        </w:rPr>
        <w:t xml:space="preserve"> [online]. 2021 [cit. 14. června 2024]. Dostupné z: </w:t>
      </w:r>
      <w:r w:rsidRPr="00FB12AA">
        <w:rPr>
          <w:rFonts w:ascii="Times New Roman" w:hAnsi="Times New Roman"/>
        </w:rPr>
        <w:t>https://www.dirittopenaleglobalizzazione.it/wp-content/uploads/2021/01/Canopoli.pdf</w:t>
      </w:r>
    </w:p>
  </w:footnote>
  <w:footnote w:id="110">
    <w:p w14:paraId="3729ABFB" w14:textId="33BE7843"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Doslovný překlad „kající se“</w:t>
      </w:r>
      <w:r>
        <w:rPr>
          <w:rFonts w:ascii="Times New Roman" w:hAnsi="Times New Roman"/>
        </w:rPr>
        <w:t xml:space="preserve">, tj. osoba </w:t>
      </w:r>
      <w:r w:rsidRPr="00251388">
        <w:rPr>
          <w:rFonts w:ascii="Times New Roman" w:hAnsi="Times New Roman"/>
        </w:rPr>
        <w:t xml:space="preserve">kající se za své „hříchy“ vůči společnosti spočívající v účasti na organizované zločinecké skupině, která nyní spolupracuje se státním zástupcem, aby </w:t>
      </w:r>
      <w:r>
        <w:rPr>
          <w:rFonts w:ascii="Times New Roman" w:hAnsi="Times New Roman"/>
        </w:rPr>
        <w:t xml:space="preserve">tím </w:t>
      </w:r>
      <w:r w:rsidRPr="00251388">
        <w:rPr>
          <w:rFonts w:ascii="Times New Roman" w:hAnsi="Times New Roman"/>
        </w:rPr>
        <w:t>odčinila své hříchy</w:t>
      </w:r>
      <w:r>
        <w:rPr>
          <w:rFonts w:ascii="Times New Roman" w:hAnsi="Times New Roman"/>
        </w:rPr>
        <w:t>.</w:t>
      </w:r>
    </w:p>
  </w:footnote>
  <w:footnote w:id="111">
    <w:p w14:paraId="67DC633D" w14:textId="043EB76F" w:rsidR="00813EED"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Jedná se spíš o prvního „moderního pentitu“, mezi úplně první „pentity“ lze řadit Melchiorre</w:t>
      </w:r>
      <w:r>
        <w:rPr>
          <w:rFonts w:ascii="Times New Roman" w:hAnsi="Times New Roman"/>
        </w:rPr>
        <w:t>ho</w:t>
      </w:r>
      <w:r w:rsidRPr="00251388">
        <w:rPr>
          <w:rFonts w:ascii="Times New Roman" w:hAnsi="Times New Roman"/>
        </w:rPr>
        <w:t xml:space="preserve"> Allegr</w:t>
      </w:r>
      <w:r>
        <w:rPr>
          <w:rFonts w:ascii="Times New Roman" w:hAnsi="Times New Roman"/>
        </w:rPr>
        <w:t>u</w:t>
      </w:r>
      <w:r w:rsidRPr="00251388">
        <w:rPr>
          <w:rFonts w:ascii="Times New Roman" w:hAnsi="Times New Roman"/>
        </w:rPr>
        <w:t xml:space="preserve"> z roku 1937</w:t>
      </w:r>
      <w:r>
        <w:rPr>
          <w:rFonts w:ascii="Times New Roman" w:hAnsi="Times New Roman"/>
        </w:rPr>
        <w:t>.</w:t>
      </w:r>
    </w:p>
    <w:p w14:paraId="2C1404FE" w14:textId="73742F52" w:rsidR="00813EED" w:rsidRPr="00251388" w:rsidRDefault="00813EED" w:rsidP="008D702C">
      <w:pPr>
        <w:pStyle w:val="Textpoznpodarou"/>
        <w:spacing w:after="0" w:line="240" w:lineRule="auto"/>
        <w:jc w:val="both"/>
        <w:rPr>
          <w:rFonts w:ascii="Times New Roman" w:hAnsi="Times New Roman"/>
        </w:rPr>
      </w:pPr>
      <w:r w:rsidRPr="009851AF">
        <w:rPr>
          <w:rFonts w:ascii="Times New Roman" w:hAnsi="Times New Roman"/>
        </w:rPr>
        <w:t xml:space="preserve">TURATI, Filippo. </w:t>
      </w:r>
      <w:r w:rsidRPr="009851AF">
        <w:rPr>
          <w:rFonts w:ascii="Times New Roman" w:hAnsi="Times New Roman"/>
          <w:i/>
        </w:rPr>
        <w:t>Società e Cultura</w:t>
      </w:r>
      <w:r w:rsidRPr="009851AF">
        <w:rPr>
          <w:rFonts w:ascii="Times New Roman" w:hAnsi="Times New Roman"/>
        </w:rPr>
        <w:t xml:space="preserve"> [online]. [cit. 14. června 2024]. Dostupné z: https://flore.unifi.it/bitstream/2158/</w:t>
      </w:r>
      <w:r>
        <w:rPr>
          <w:rFonts w:ascii="Times New Roman" w:hAnsi="Times New Roman"/>
        </w:rPr>
        <w:br/>
      </w:r>
      <w:r w:rsidRPr="009851AF">
        <w:rPr>
          <w:rFonts w:ascii="Times New Roman" w:hAnsi="Times New Roman"/>
        </w:rPr>
        <w:t>590501/1/tesi%20dottorato.pdf</w:t>
      </w:r>
    </w:p>
  </w:footnote>
  <w:footnote w:id="112">
    <w:p w14:paraId="7D3DE206" w14:textId="0A54AAAC"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Obdoba státního zástupce v České republice</w:t>
      </w:r>
      <w:r>
        <w:rPr>
          <w:rFonts w:ascii="Times New Roman" w:hAnsi="Times New Roman"/>
        </w:rPr>
        <w:t>.</w:t>
      </w:r>
    </w:p>
  </w:footnote>
  <w:footnote w:id="113">
    <w:p w14:paraId="4602B9DD" w14:textId="127BC987"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Mafie v</w:t>
      </w:r>
      <w:r>
        <w:rPr>
          <w:rFonts w:ascii="Times New Roman" w:hAnsi="Times New Roman"/>
        </w:rPr>
        <w:t xml:space="preserve"> </w:t>
      </w:r>
      <w:r w:rsidRPr="00251388">
        <w:rPr>
          <w:rFonts w:ascii="Times New Roman" w:hAnsi="Times New Roman"/>
        </w:rPr>
        <w:t>Itálii</w:t>
      </w:r>
      <w:r>
        <w:rPr>
          <w:rFonts w:ascii="Times New Roman" w:hAnsi="Times New Roman"/>
        </w:rPr>
        <w:t>.</w:t>
      </w:r>
    </w:p>
  </w:footnote>
  <w:footnote w:id="114">
    <w:p w14:paraId="0C1FEBB7" w14:textId="2DC335B6"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Rozebráno v následující kapitole</w:t>
      </w:r>
      <w:r>
        <w:rPr>
          <w:rFonts w:ascii="Times New Roman" w:hAnsi="Times New Roman"/>
        </w:rPr>
        <w:t>.</w:t>
      </w:r>
    </w:p>
  </w:footnote>
  <w:footnote w:id="115">
    <w:p w14:paraId="669A9CBE" w14:textId="7071DB57"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56638B">
        <w:rPr>
          <w:rFonts w:ascii="Times New Roman" w:hAnsi="Times New Roman"/>
        </w:rPr>
        <w:t xml:space="preserve">D’ALESSIO, Valeria. Il „pentito“ dissidio interiore tra onore, rispetto verso il clan e senso di giustizia. </w:t>
      </w:r>
      <w:r w:rsidRPr="0056638B">
        <w:rPr>
          <w:rFonts w:ascii="Times New Roman" w:hAnsi="Times New Roman"/>
          <w:i/>
        </w:rPr>
        <w:t>Ius in itinere</w:t>
      </w:r>
      <w:r w:rsidRPr="0056638B">
        <w:rPr>
          <w:rFonts w:ascii="Times New Roman" w:hAnsi="Times New Roman"/>
        </w:rPr>
        <w:t xml:space="preserve"> [online]. 2017 [cit. 14. června 2024]. Dostupné z: https://www.iusinitinere.it/pentito-dissidio-interiore-onore-rispetto-verso-clansenso-giustizia-4319</w:t>
      </w:r>
    </w:p>
  </w:footnote>
  <w:footnote w:id="116">
    <w:p w14:paraId="3871F724" w14:textId="7BC8FA37"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Pr>
          <w:rFonts w:ascii="Times New Roman" w:hAnsi="Times New Roman"/>
        </w:rPr>
        <w:t>Tamtéž.</w:t>
      </w:r>
    </w:p>
  </w:footnote>
  <w:footnote w:id="117">
    <w:p w14:paraId="64A6736B" w14:textId="69676CFB"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Italský trestní zákoník</w:t>
      </w:r>
      <w:r>
        <w:rPr>
          <w:rFonts w:ascii="Times New Roman" w:hAnsi="Times New Roman"/>
        </w:rPr>
        <w:t>.</w:t>
      </w:r>
    </w:p>
  </w:footnote>
  <w:footnote w:id="118">
    <w:p w14:paraId="5FE2EBB9" w14:textId="2FFBE54E"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56638B">
        <w:rPr>
          <w:rFonts w:ascii="Times New Roman" w:hAnsi="Times New Roman"/>
        </w:rPr>
        <w:t xml:space="preserve">D’ALESSIO, Valeria. Il „pentito“ dissidio interiore tra onore, rispetto verso il clan e senso di giustizia. </w:t>
      </w:r>
      <w:r w:rsidRPr="0056638B">
        <w:rPr>
          <w:rFonts w:ascii="Times New Roman" w:hAnsi="Times New Roman"/>
          <w:i/>
        </w:rPr>
        <w:t>Ius in itinere</w:t>
      </w:r>
      <w:r w:rsidRPr="0056638B">
        <w:rPr>
          <w:rFonts w:ascii="Times New Roman" w:hAnsi="Times New Roman"/>
        </w:rPr>
        <w:t xml:space="preserve"> [online]. 2017 [cit. 14. června 2024]. Dostupné z: https://www.iusinitinere.it/pentito-dissidio-interiore-onore-rispetto-verso-clansenso-giustizia-4319</w:t>
      </w:r>
    </w:p>
  </w:footnote>
  <w:footnote w:id="119">
    <w:p w14:paraId="0B6C12D2" w14:textId="37432404"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Obdoba hejtmana v</w:t>
      </w:r>
      <w:r>
        <w:rPr>
          <w:rFonts w:ascii="Times New Roman" w:hAnsi="Times New Roman"/>
        </w:rPr>
        <w:t xml:space="preserve"> </w:t>
      </w:r>
      <w:r w:rsidRPr="00251388">
        <w:rPr>
          <w:rFonts w:ascii="Times New Roman" w:hAnsi="Times New Roman"/>
        </w:rPr>
        <w:t>Č</w:t>
      </w:r>
      <w:r>
        <w:rPr>
          <w:rFonts w:ascii="Times New Roman" w:hAnsi="Times New Roman"/>
        </w:rPr>
        <w:t>eské republice.</w:t>
      </w:r>
    </w:p>
  </w:footnote>
  <w:footnote w:id="120">
    <w:p w14:paraId="1B1D82AA" w14:textId="020718D0"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56638B">
        <w:rPr>
          <w:rFonts w:ascii="Times New Roman" w:hAnsi="Times New Roman"/>
        </w:rPr>
        <w:t xml:space="preserve">D’ALESSIO, Valeria. Il „pentito“ dissidio interiore tra onore, rispetto verso il clan e senso di giustizia. </w:t>
      </w:r>
      <w:r w:rsidRPr="0056638B">
        <w:rPr>
          <w:rFonts w:ascii="Times New Roman" w:hAnsi="Times New Roman"/>
          <w:i/>
        </w:rPr>
        <w:t>Ius in</w:t>
      </w:r>
      <w:r>
        <w:rPr>
          <w:rFonts w:ascii="Times New Roman" w:hAnsi="Times New Roman"/>
          <w:i/>
        </w:rPr>
        <w:t> </w:t>
      </w:r>
      <w:r w:rsidRPr="0056638B">
        <w:rPr>
          <w:rFonts w:ascii="Times New Roman" w:hAnsi="Times New Roman"/>
          <w:i/>
        </w:rPr>
        <w:t>itinere</w:t>
      </w:r>
      <w:r w:rsidRPr="0056638B">
        <w:rPr>
          <w:rFonts w:ascii="Times New Roman" w:hAnsi="Times New Roman"/>
        </w:rPr>
        <w:t xml:space="preserve"> [online]. 2017 [cit. 14. června 2024]. Dostupné z: https://www.iusinitinere.it/pentito-dissidio-interiore-onore-rispetto-verso-clansenso-giustizia-4319</w:t>
      </w:r>
    </w:p>
  </w:footnote>
  <w:footnote w:id="121">
    <w:p w14:paraId="1DF5DEB9" w14:textId="639C4FCD" w:rsidR="00813EED" w:rsidRPr="00251388" w:rsidRDefault="00813EED" w:rsidP="008D702C">
      <w:pPr>
        <w:pStyle w:val="Textpoznpodarou"/>
        <w:spacing w:after="0" w:line="240" w:lineRule="auto"/>
        <w:jc w:val="both"/>
        <w:rPr>
          <w:rFonts w:ascii="Times New Roman" w:hAnsi="Times New Roman"/>
        </w:rPr>
      </w:pPr>
      <w:r w:rsidRPr="004F1579">
        <w:rPr>
          <w:rStyle w:val="Znakapoznpodarou"/>
          <w:rFonts w:ascii="Times New Roman" w:hAnsi="Times New Roman"/>
        </w:rPr>
        <w:footnoteRef/>
      </w:r>
      <w:r w:rsidRPr="004F1579">
        <w:rPr>
          <w:rFonts w:ascii="Times New Roman" w:hAnsi="Times New Roman"/>
        </w:rPr>
        <w:t xml:space="preserve"> Více k možnostem ochrany v podkapitole 3.3.2 Testimone di giustizia.</w:t>
      </w:r>
    </w:p>
  </w:footnote>
  <w:footnote w:id="122">
    <w:p w14:paraId="4BAF16E8" w14:textId="24561B2F"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Legge 26 luglio 1975, n. 354, 41-bis, odst. 1 a 2</w:t>
      </w:r>
      <w:r>
        <w:rPr>
          <w:rFonts w:ascii="Times New Roman" w:hAnsi="Times New Roman"/>
        </w:rPr>
        <w:t>.</w:t>
      </w:r>
    </w:p>
  </w:footnote>
  <w:footnote w:id="123">
    <w:p w14:paraId="00E0F00F" w14:textId="165DA109"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Míněno mezi různými mafiemi</w:t>
      </w:r>
      <w:r>
        <w:rPr>
          <w:rFonts w:ascii="Times New Roman" w:hAnsi="Times New Roman"/>
        </w:rPr>
        <w:t>.</w:t>
      </w:r>
    </w:p>
  </w:footnote>
  <w:footnote w:id="124">
    <w:p w14:paraId="2D768675" w14:textId="20F78A46"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Legge 26 luglio 1975, n. 354, 41-bis, 2-quater</w:t>
      </w:r>
      <w:r>
        <w:rPr>
          <w:rFonts w:ascii="Times New Roman" w:hAnsi="Times New Roman"/>
        </w:rPr>
        <w:t>.</w:t>
      </w:r>
    </w:p>
  </w:footnote>
  <w:footnote w:id="125">
    <w:p w14:paraId="75E21105" w14:textId="53805527"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Např. Case of Enea v. Italy, Case of Ganci v. Italy</w:t>
      </w:r>
      <w:r>
        <w:rPr>
          <w:rFonts w:ascii="Times New Roman" w:hAnsi="Times New Roman"/>
        </w:rPr>
        <w:t>.</w:t>
      </w:r>
    </w:p>
  </w:footnote>
  <w:footnote w:id="126">
    <w:p w14:paraId="3B9042CE" w14:textId="7A6FDE8D"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Čl</w:t>
      </w:r>
      <w:r>
        <w:rPr>
          <w:rFonts w:ascii="Times New Roman" w:hAnsi="Times New Roman"/>
        </w:rPr>
        <w:t>.</w:t>
      </w:r>
      <w:r w:rsidRPr="00251388">
        <w:rPr>
          <w:rFonts w:ascii="Times New Roman" w:hAnsi="Times New Roman"/>
        </w:rPr>
        <w:t xml:space="preserve"> 2 z</w:t>
      </w:r>
      <w:r>
        <w:rPr>
          <w:rFonts w:ascii="Times New Roman" w:hAnsi="Times New Roman"/>
        </w:rPr>
        <w:t>ákona</w:t>
      </w:r>
      <w:r w:rsidRPr="00251388">
        <w:rPr>
          <w:rFonts w:ascii="Times New Roman" w:hAnsi="Times New Roman"/>
        </w:rPr>
        <w:t xml:space="preserve"> č. 6 ze dne 11. ledna 2018</w:t>
      </w:r>
      <w:r>
        <w:rPr>
          <w:rFonts w:ascii="Times New Roman" w:hAnsi="Times New Roman"/>
        </w:rPr>
        <w:t>.</w:t>
      </w:r>
    </w:p>
  </w:footnote>
  <w:footnote w:id="127">
    <w:p w14:paraId="4E1E1754" w14:textId="30B9BA3D"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Čl</w:t>
      </w:r>
      <w:r>
        <w:rPr>
          <w:rFonts w:ascii="Times New Roman" w:hAnsi="Times New Roman"/>
        </w:rPr>
        <w:t>.</w:t>
      </w:r>
      <w:r w:rsidRPr="00251388">
        <w:rPr>
          <w:rFonts w:ascii="Times New Roman" w:hAnsi="Times New Roman"/>
        </w:rPr>
        <w:t xml:space="preserve"> 5 z</w:t>
      </w:r>
      <w:r>
        <w:rPr>
          <w:rFonts w:ascii="Times New Roman" w:hAnsi="Times New Roman"/>
        </w:rPr>
        <w:t>ákona</w:t>
      </w:r>
      <w:r w:rsidRPr="00251388">
        <w:rPr>
          <w:rFonts w:ascii="Times New Roman" w:hAnsi="Times New Roman"/>
        </w:rPr>
        <w:t xml:space="preserve"> č. 6 ze dne 11. ledna 2018</w:t>
      </w:r>
      <w:r>
        <w:rPr>
          <w:rFonts w:ascii="Times New Roman" w:hAnsi="Times New Roman"/>
        </w:rPr>
        <w:t>.</w:t>
      </w:r>
    </w:p>
  </w:footnote>
  <w:footnote w:id="128">
    <w:p w14:paraId="3CD07002" w14:textId="774A389E"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Pr>
          <w:rFonts w:ascii="Times New Roman" w:hAnsi="Times New Roman"/>
        </w:rPr>
        <w:t>Tamtéž, č</w:t>
      </w:r>
      <w:r w:rsidRPr="00251388">
        <w:rPr>
          <w:rFonts w:ascii="Times New Roman" w:hAnsi="Times New Roman"/>
        </w:rPr>
        <w:t>l</w:t>
      </w:r>
      <w:r>
        <w:rPr>
          <w:rFonts w:ascii="Times New Roman" w:hAnsi="Times New Roman"/>
        </w:rPr>
        <w:t>.</w:t>
      </w:r>
      <w:r w:rsidRPr="00251388">
        <w:rPr>
          <w:rFonts w:ascii="Times New Roman" w:hAnsi="Times New Roman"/>
        </w:rPr>
        <w:t xml:space="preserve"> 6</w:t>
      </w:r>
      <w:r>
        <w:rPr>
          <w:rFonts w:ascii="Times New Roman" w:hAnsi="Times New Roman"/>
        </w:rPr>
        <w:t>.</w:t>
      </w:r>
    </w:p>
  </w:footnote>
  <w:footnote w:id="129">
    <w:p w14:paraId="6019037F" w14:textId="26A081DE"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Pr>
          <w:rFonts w:ascii="Times New Roman" w:hAnsi="Times New Roman"/>
        </w:rPr>
        <w:t xml:space="preserve"> Tamtéž, čl. 7</w:t>
      </w:r>
      <w:r w:rsidRPr="004F1579">
        <w:rPr>
          <w:rFonts w:ascii="Times New Roman" w:hAnsi="Times New Roman"/>
        </w:rPr>
        <w:t>.</w:t>
      </w:r>
    </w:p>
  </w:footnote>
  <w:footnote w:id="130">
    <w:p w14:paraId="4D87B5D9" w14:textId="7DC62135"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1B238B">
        <w:rPr>
          <w:rFonts w:ascii="Times New Roman" w:hAnsi="Times New Roman"/>
        </w:rPr>
        <w:t xml:space="preserve">STAMPANONI BASSI, Guido. Profili processuali della disciplina sui cosiddetti “collaboratori di giustizia”. </w:t>
      </w:r>
      <w:r w:rsidRPr="001B238B">
        <w:rPr>
          <w:rFonts w:ascii="Times New Roman" w:hAnsi="Times New Roman"/>
          <w:i/>
        </w:rPr>
        <w:t>Libera università maria ss. assunta</w:t>
      </w:r>
      <w:r w:rsidRPr="001B238B">
        <w:rPr>
          <w:rFonts w:ascii="Times New Roman" w:hAnsi="Times New Roman"/>
        </w:rPr>
        <w:t xml:space="preserve"> [online]. [cit. 10. června 2024]. Dostupné z: https://www.giurisprudenzapenale.com/wp-content/uploads/2013/09/tesi-collaboratori-giustizia.pdf</w:t>
      </w:r>
    </w:p>
  </w:footnote>
  <w:footnote w:id="131">
    <w:p w14:paraId="30526783" w14:textId="5F7D95C7" w:rsidR="00813EED" w:rsidRPr="00251388" w:rsidRDefault="00813EED" w:rsidP="008D702C">
      <w:pPr>
        <w:pStyle w:val="Textpoznpodarou"/>
        <w:spacing w:after="0" w:line="240" w:lineRule="auto"/>
        <w:jc w:val="both"/>
        <w:rPr>
          <w:b/>
          <w:bCs/>
        </w:rPr>
      </w:pPr>
      <w:r w:rsidRPr="00251388">
        <w:rPr>
          <w:rFonts w:ascii="Times New Roman" w:hAnsi="Times New Roman"/>
          <w:vertAlign w:val="superscript"/>
        </w:rPr>
        <w:footnoteRef/>
      </w:r>
      <w:r w:rsidRPr="00251388">
        <w:rPr>
          <w:rFonts w:ascii="Times New Roman" w:hAnsi="Times New Roman"/>
        </w:rPr>
        <w:t xml:space="preserve"> </w:t>
      </w:r>
      <w:r w:rsidRPr="001B238B">
        <w:rPr>
          <w:rFonts w:ascii="Times New Roman" w:hAnsi="Times New Roman"/>
        </w:rPr>
        <w:t xml:space="preserve">Italské mafie, o kterých se nemluví. </w:t>
      </w:r>
      <w:r w:rsidRPr="001B238B">
        <w:rPr>
          <w:rFonts w:ascii="Times New Roman" w:hAnsi="Times New Roman"/>
          <w:i/>
        </w:rPr>
        <w:t>ČT24</w:t>
      </w:r>
      <w:r w:rsidRPr="001B238B">
        <w:rPr>
          <w:rFonts w:ascii="Times New Roman" w:hAnsi="Times New Roman"/>
        </w:rPr>
        <w:t xml:space="preserve"> [online]. </w:t>
      </w:r>
      <w:r>
        <w:rPr>
          <w:rFonts w:ascii="Times New Roman" w:hAnsi="Times New Roman"/>
        </w:rPr>
        <w:t xml:space="preserve">7. srpna </w:t>
      </w:r>
      <w:r w:rsidRPr="001B238B">
        <w:rPr>
          <w:rFonts w:ascii="Times New Roman" w:hAnsi="Times New Roman"/>
        </w:rPr>
        <w:t>2017 [cit. 14. června 2024]. Dostupné z: https://ct24.ceskatelevize.cz/clanek/relax/italske-mafie-o-kterych-se-nemluvi-92555</w:t>
      </w:r>
    </w:p>
  </w:footnote>
  <w:footnote w:id="132">
    <w:p w14:paraId="17DD30D9" w14:textId="05020840"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C457BD">
        <w:rPr>
          <w:rFonts w:ascii="Times New Roman" w:hAnsi="Times New Roman"/>
          <w:shd w:val="clear" w:color="auto" w:fill="FFFFFF"/>
        </w:rPr>
        <w:t xml:space="preserve">MARTINO, Paolo. Per la storia della ’ndranghita. </w:t>
      </w:r>
      <w:r w:rsidRPr="00C457BD">
        <w:rPr>
          <w:rFonts w:ascii="Times New Roman" w:hAnsi="Times New Roman"/>
          <w:i/>
          <w:shd w:val="clear" w:color="auto" w:fill="FFFFFF"/>
        </w:rPr>
        <w:t>Dell'Università di Roma</w:t>
      </w:r>
      <w:r w:rsidRPr="00C457BD">
        <w:rPr>
          <w:rFonts w:ascii="Times New Roman" w:hAnsi="Times New Roman"/>
          <w:shd w:val="clear" w:color="auto" w:fill="FFFFFF"/>
        </w:rPr>
        <w:t xml:space="preserve"> [online]. 1988 [cit. 15. června 2024]. Dostupné z: https://lumsa.it/sites/default/files/Per%20la%20storia.pdf</w:t>
      </w:r>
    </w:p>
  </w:footnote>
  <w:footnote w:id="133">
    <w:p w14:paraId="6565F33A" w14:textId="453C2A95"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sidRPr="00C457BD">
        <w:rPr>
          <w:rFonts w:ascii="Times New Roman" w:hAnsi="Times New Roman"/>
        </w:rPr>
        <w:t xml:space="preserve">COLIMBERTI, Mariantonietta. Sono un pm da strada e non ho paura. </w:t>
      </w:r>
      <w:r w:rsidRPr="00D3192C">
        <w:rPr>
          <w:rFonts w:ascii="Times New Roman" w:hAnsi="Times New Roman"/>
          <w:i/>
        </w:rPr>
        <w:t>Arel la rivista</w:t>
      </w:r>
      <w:r w:rsidRPr="00C457BD">
        <w:rPr>
          <w:rFonts w:ascii="Times New Roman" w:hAnsi="Times New Roman"/>
        </w:rPr>
        <w:t xml:space="preserve"> [online]. 2014, č. </w:t>
      </w:r>
      <w:r>
        <w:rPr>
          <w:rFonts w:ascii="Times New Roman" w:hAnsi="Times New Roman"/>
        </w:rPr>
        <w:t>11</w:t>
      </w:r>
      <w:r w:rsidRPr="00C457BD">
        <w:rPr>
          <w:rFonts w:ascii="Times New Roman" w:hAnsi="Times New Roman"/>
        </w:rPr>
        <w:t xml:space="preserve"> [cit. 14.</w:t>
      </w:r>
      <w:r>
        <w:rPr>
          <w:rFonts w:ascii="Times New Roman" w:hAnsi="Times New Roman"/>
        </w:rPr>
        <w:t> </w:t>
      </w:r>
      <w:r w:rsidRPr="00C457BD">
        <w:rPr>
          <w:rFonts w:ascii="Times New Roman" w:hAnsi="Times New Roman"/>
        </w:rPr>
        <w:t>června 2024]. Dostupné z: https://www.arel.it/wp-content/uploads/2014/11/Intervista-con-Alessandra-Dolci.pdf</w:t>
      </w:r>
      <w:r>
        <w:rPr>
          <w:rFonts w:ascii="Times New Roman" w:hAnsi="Times New Roman"/>
        </w:rPr>
        <w:t>, s. 38.</w:t>
      </w:r>
    </w:p>
  </w:footnote>
  <w:footnote w:id="134">
    <w:p w14:paraId="5F07A533" w14:textId="5A731D78"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1 od</w:t>
      </w:r>
      <w:r>
        <w:rPr>
          <w:rFonts w:ascii="Times New Roman" w:hAnsi="Times New Roman"/>
        </w:rPr>
        <w:t>st. 1</w:t>
      </w:r>
      <w:r w:rsidRPr="00251388">
        <w:rPr>
          <w:rFonts w:ascii="Times New Roman" w:hAnsi="Times New Roman"/>
        </w:rPr>
        <w:t xml:space="preserve"> z</w:t>
      </w:r>
      <w:r>
        <w:rPr>
          <w:rFonts w:ascii="Times New Roman" w:hAnsi="Times New Roman"/>
        </w:rPr>
        <w:t>ákona</w:t>
      </w:r>
      <w:r w:rsidRPr="00251388">
        <w:rPr>
          <w:rFonts w:ascii="Times New Roman" w:hAnsi="Times New Roman"/>
        </w:rPr>
        <w:t xml:space="preserve"> č. 137/2001 Sb., o zvláštní ochraně svědka a dalších osob v</w:t>
      </w:r>
      <w:r>
        <w:rPr>
          <w:rFonts w:ascii="Times New Roman" w:hAnsi="Times New Roman"/>
        </w:rPr>
        <w:t xml:space="preserve"> souvislosti s trestním řízením.</w:t>
      </w:r>
    </w:p>
  </w:footnote>
  <w:footnote w:id="135">
    <w:p w14:paraId="06BB001E" w14:textId="2FD7F9AC"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55 odst. 2. z</w:t>
      </w:r>
      <w:r>
        <w:rPr>
          <w:rFonts w:ascii="Times New Roman" w:hAnsi="Times New Roman"/>
        </w:rPr>
        <w:t>ákona</w:t>
      </w:r>
      <w:r w:rsidRPr="00251388">
        <w:rPr>
          <w:rFonts w:ascii="Times New Roman" w:hAnsi="Times New Roman"/>
        </w:rPr>
        <w:t xml:space="preserve"> č. 141/1961 Sb.</w:t>
      </w:r>
      <w:r>
        <w:rPr>
          <w:rFonts w:ascii="Times New Roman" w:hAnsi="Times New Roman"/>
        </w:rPr>
        <w:t>,</w:t>
      </w:r>
      <w:r w:rsidRPr="00251388">
        <w:rPr>
          <w:rFonts w:ascii="Times New Roman" w:hAnsi="Times New Roman"/>
        </w:rPr>
        <w:t xml:space="preserve"> </w:t>
      </w:r>
      <w:r>
        <w:rPr>
          <w:rFonts w:ascii="Times New Roman" w:hAnsi="Times New Roman"/>
        </w:rPr>
        <w:t>t</w:t>
      </w:r>
      <w:r w:rsidRPr="00251388">
        <w:rPr>
          <w:rFonts w:ascii="Times New Roman" w:hAnsi="Times New Roman"/>
        </w:rPr>
        <w:t>restní řád</w:t>
      </w:r>
      <w:r>
        <w:rPr>
          <w:rFonts w:ascii="Times New Roman" w:hAnsi="Times New Roman"/>
        </w:rPr>
        <w:t>.</w:t>
      </w:r>
    </w:p>
  </w:footnote>
  <w:footnote w:id="136">
    <w:p w14:paraId="6C861BFE" w14:textId="6DDD5539"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50 odst. 1 z</w:t>
      </w:r>
      <w:r>
        <w:rPr>
          <w:rFonts w:ascii="Times New Roman" w:hAnsi="Times New Roman"/>
        </w:rPr>
        <w:t>ákona</w:t>
      </w:r>
      <w:r w:rsidRPr="00251388">
        <w:rPr>
          <w:rFonts w:ascii="Times New Roman" w:hAnsi="Times New Roman"/>
        </w:rPr>
        <w:t xml:space="preserve"> č. 273/2008 Sb., o Policii České republiky</w:t>
      </w:r>
      <w:r>
        <w:rPr>
          <w:rFonts w:ascii="Times New Roman" w:hAnsi="Times New Roman"/>
        </w:rPr>
        <w:t>.</w:t>
      </w:r>
    </w:p>
  </w:footnote>
  <w:footnote w:id="137">
    <w:p w14:paraId="11EF54C6" w14:textId="2D2417BD"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Z</w:t>
      </w:r>
      <w:r>
        <w:rPr>
          <w:rFonts w:ascii="Times New Roman" w:hAnsi="Times New Roman"/>
        </w:rPr>
        <w:t>ákon</w:t>
      </w:r>
      <w:r w:rsidRPr="00251388">
        <w:rPr>
          <w:rFonts w:ascii="Times New Roman" w:hAnsi="Times New Roman"/>
        </w:rPr>
        <w:t xml:space="preserve"> č. 141/1961 Sb</w:t>
      </w:r>
      <w:r>
        <w:rPr>
          <w:rFonts w:ascii="Times New Roman" w:hAnsi="Times New Roman"/>
        </w:rPr>
        <w:t>.</w:t>
      </w:r>
      <w:r w:rsidRPr="00251388">
        <w:rPr>
          <w:rFonts w:ascii="Times New Roman" w:hAnsi="Times New Roman"/>
        </w:rPr>
        <w:t xml:space="preserve">, </w:t>
      </w:r>
      <w:r>
        <w:rPr>
          <w:rFonts w:ascii="Times New Roman" w:hAnsi="Times New Roman"/>
        </w:rPr>
        <w:t>t</w:t>
      </w:r>
      <w:r w:rsidRPr="00251388">
        <w:rPr>
          <w:rFonts w:ascii="Times New Roman" w:hAnsi="Times New Roman"/>
        </w:rPr>
        <w:t>restní řád a z</w:t>
      </w:r>
      <w:r>
        <w:rPr>
          <w:rFonts w:ascii="Times New Roman" w:hAnsi="Times New Roman"/>
        </w:rPr>
        <w:t>ákon</w:t>
      </w:r>
      <w:r w:rsidRPr="00251388">
        <w:rPr>
          <w:rFonts w:ascii="Times New Roman" w:hAnsi="Times New Roman"/>
        </w:rPr>
        <w:t xml:space="preserve"> č. 273/2008 Sb., o Policii České republiky</w:t>
      </w:r>
      <w:r>
        <w:rPr>
          <w:rFonts w:ascii="Times New Roman" w:hAnsi="Times New Roman"/>
        </w:rPr>
        <w:t>.</w:t>
      </w:r>
    </w:p>
  </w:footnote>
  <w:footnote w:id="138">
    <w:p w14:paraId="0E8AA020" w14:textId="1843C843"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w:t>
      </w:r>
      <w:r>
        <w:rPr>
          <w:rFonts w:ascii="Times New Roman" w:hAnsi="Times New Roman"/>
        </w:rPr>
        <w:t xml:space="preserve"> 3 odst. 1 zákona</w:t>
      </w:r>
      <w:r w:rsidRPr="00251388">
        <w:rPr>
          <w:rFonts w:ascii="Times New Roman" w:hAnsi="Times New Roman"/>
        </w:rPr>
        <w:t xml:space="preserve"> č. 137/2001 Sb., o zvláštní ochraně svědka a dalších osob v souvislosti s trestním řízením a</w:t>
      </w:r>
      <w:r>
        <w:rPr>
          <w:rFonts w:ascii="Times New Roman" w:hAnsi="Times New Roman"/>
        </w:rPr>
        <w:t> </w:t>
      </w:r>
      <w:r w:rsidRPr="00251388">
        <w:rPr>
          <w:rFonts w:ascii="Times New Roman" w:hAnsi="Times New Roman"/>
        </w:rPr>
        <w:t>o</w:t>
      </w:r>
      <w:r>
        <w:rPr>
          <w:rFonts w:ascii="Times New Roman" w:hAnsi="Times New Roman"/>
        </w:rPr>
        <w:t> </w:t>
      </w:r>
      <w:r w:rsidRPr="00251388">
        <w:rPr>
          <w:rFonts w:ascii="Times New Roman" w:hAnsi="Times New Roman"/>
        </w:rPr>
        <w:t>změně zákona č. 99/1963 Sb., občanský soudní řád, ve znění pozdějších předpisů</w:t>
      </w:r>
      <w:r>
        <w:rPr>
          <w:rFonts w:ascii="Times New Roman" w:hAnsi="Times New Roman"/>
        </w:rPr>
        <w:t>.</w:t>
      </w:r>
    </w:p>
  </w:footnote>
  <w:footnote w:id="139">
    <w:p w14:paraId="5C299436" w14:textId="4ED6E27E"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3 odst. 2 z</w:t>
      </w:r>
      <w:r>
        <w:rPr>
          <w:rFonts w:ascii="Times New Roman" w:hAnsi="Times New Roman"/>
        </w:rPr>
        <w:t>ákona</w:t>
      </w:r>
      <w:r w:rsidRPr="00251388">
        <w:rPr>
          <w:rFonts w:ascii="Times New Roman" w:hAnsi="Times New Roman"/>
        </w:rPr>
        <w:t xml:space="preserve"> č. 137/2001 Sb., o zvláštní ochraně svědka a dalších osob v souvislosti s trestním řízením a</w:t>
      </w:r>
      <w:r>
        <w:rPr>
          <w:rFonts w:ascii="Times New Roman" w:hAnsi="Times New Roman"/>
        </w:rPr>
        <w:t> </w:t>
      </w:r>
      <w:r w:rsidRPr="00251388">
        <w:rPr>
          <w:rFonts w:ascii="Times New Roman" w:hAnsi="Times New Roman"/>
        </w:rPr>
        <w:t>o</w:t>
      </w:r>
      <w:r>
        <w:rPr>
          <w:rFonts w:ascii="Times New Roman" w:hAnsi="Times New Roman"/>
        </w:rPr>
        <w:t> </w:t>
      </w:r>
      <w:r w:rsidRPr="00251388">
        <w:rPr>
          <w:rFonts w:ascii="Times New Roman" w:hAnsi="Times New Roman"/>
        </w:rPr>
        <w:t>změně zákona č. 99/1963 Sb., občanský soudní řád, ve znění pozdějších předpisů</w:t>
      </w:r>
      <w:r>
        <w:rPr>
          <w:rFonts w:ascii="Times New Roman" w:hAnsi="Times New Roman"/>
        </w:rPr>
        <w:t>.</w:t>
      </w:r>
    </w:p>
  </w:footnote>
  <w:footnote w:id="140">
    <w:p w14:paraId="0B6028BD" w14:textId="05DB790E"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Dle předchozí věty</w:t>
      </w:r>
      <w:r>
        <w:rPr>
          <w:rFonts w:ascii="Times New Roman" w:hAnsi="Times New Roman"/>
        </w:rPr>
        <w:t>.</w:t>
      </w:r>
    </w:p>
  </w:footnote>
  <w:footnote w:id="141">
    <w:p w14:paraId="1112E7DA" w14:textId="09B53D04"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 6 a § 7 z</w:t>
      </w:r>
      <w:r>
        <w:rPr>
          <w:rFonts w:ascii="Times New Roman" w:hAnsi="Times New Roman"/>
        </w:rPr>
        <w:t>ákona</w:t>
      </w:r>
      <w:r w:rsidRPr="00251388">
        <w:rPr>
          <w:rFonts w:ascii="Times New Roman" w:hAnsi="Times New Roman"/>
        </w:rPr>
        <w:t xml:space="preserve"> č. 137/2001 Sb., o zvláštní ochraně svědka a dalších osob v souvislosti s trestním řízením a</w:t>
      </w:r>
      <w:r>
        <w:rPr>
          <w:rFonts w:ascii="Times New Roman" w:hAnsi="Times New Roman"/>
        </w:rPr>
        <w:t> </w:t>
      </w:r>
      <w:r w:rsidRPr="00251388">
        <w:rPr>
          <w:rFonts w:ascii="Times New Roman" w:hAnsi="Times New Roman"/>
        </w:rPr>
        <w:t>o</w:t>
      </w:r>
      <w:r>
        <w:rPr>
          <w:rFonts w:ascii="Times New Roman" w:hAnsi="Times New Roman"/>
        </w:rPr>
        <w:t> </w:t>
      </w:r>
      <w:r w:rsidRPr="00251388">
        <w:rPr>
          <w:rFonts w:ascii="Times New Roman" w:hAnsi="Times New Roman"/>
        </w:rPr>
        <w:t>změně zákona č. 99/1963 Sb., občanský soudní řád, ve znění pozdějších předpisů</w:t>
      </w:r>
      <w:r>
        <w:rPr>
          <w:rFonts w:ascii="Times New Roman" w:hAnsi="Times New Roman"/>
        </w:rPr>
        <w:t>.</w:t>
      </w:r>
    </w:p>
  </w:footnote>
  <w:footnote w:id="142">
    <w:p w14:paraId="3C146B6D" w14:textId="00FBA355"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Podrobněji k okolnostem, které jsou posuzovány § 178a odst. 1 písm. c) </w:t>
      </w:r>
      <w:bookmarkStart w:id="48" w:name="_Hlk169447114"/>
      <w:r w:rsidRPr="00251388">
        <w:rPr>
          <w:rFonts w:ascii="Times New Roman" w:hAnsi="Times New Roman"/>
          <w:sz w:val="20"/>
          <w:szCs w:val="20"/>
        </w:rPr>
        <w:t>zákona č. 141/1961 Sb., o trestním řízení soudním (trestní řád)</w:t>
      </w:r>
      <w:bookmarkEnd w:id="48"/>
      <w:r>
        <w:rPr>
          <w:rFonts w:ascii="Times New Roman" w:hAnsi="Times New Roman"/>
          <w:sz w:val="20"/>
          <w:szCs w:val="20"/>
        </w:rPr>
        <w:t>.</w:t>
      </w:r>
    </w:p>
  </w:footnote>
  <w:footnote w:id="143">
    <w:p w14:paraId="01ED9412" w14:textId="7E286874"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Viz </w:t>
      </w:r>
      <w:r>
        <w:rPr>
          <w:rFonts w:ascii="Times New Roman" w:hAnsi="Times New Roman"/>
        </w:rPr>
        <w:t>pod</w:t>
      </w:r>
      <w:r w:rsidRPr="00251388">
        <w:rPr>
          <w:rFonts w:ascii="Times New Roman" w:hAnsi="Times New Roman"/>
        </w:rPr>
        <w:t>kapitola 2.1.2</w:t>
      </w:r>
      <w:r>
        <w:rPr>
          <w:rFonts w:ascii="Times New Roman" w:hAnsi="Times New Roman"/>
        </w:rPr>
        <w:t xml:space="preserve"> T</w:t>
      </w:r>
      <w:r w:rsidRPr="00251388">
        <w:rPr>
          <w:rFonts w:ascii="Times New Roman" w:hAnsi="Times New Roman"/>
        </w:rPr>
        <w:t>restní zákoník</w:t>
      </w:r>
      <w:r>
        <w:rPr>
          <w:rFonts w:ascii="Times New Roman" w:hAnsi="Times New Roman"/>
        </w:rPr>
        <w:t>.</w:t>
      </w:r>
    </w:p>
  </w:footnote>
  <w:footnote w:id="144">
    <w:p w14:paraId="14B28DB1" w14:textId="6F3C2911"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Viz </w:t>
      </w:r>
      <w:r>
        <w:rPr>
          <w:rFonts w:ascii="Times New Roman" w:hAnsi="Times New Roman"/>
        </w:rPr>
        <w:t>pod</w:t>
      </w:r>
      <w:r w:rsidRPr="00251388">
        <w:rPr>
          <w:rFonts w:ascii="Times New Roman" w:hAnsi="Times New Roman"/>
        </w:rPr>
        <w:t>kapitola 3.1 Slovenská republika</w:t>
      </w:r>
      <w:r>
        <w:rPr>
          <w:rFonts w:ascii="Times New Roman" w:hAnsi="Times New Roman"/>
        </w:rPr>
        <w:t>.</w:t>
      </w:r>
    </w:p>
  </w:footnote>
  <w:footnote w:id="145">
    <w:p w14:paraId="5B810B65" w14:textId="4DC6568C" w:rsidR="00813EED" w:rsidRPr="00BE5086" w:rsidRDefault="00813EED" w:rsidP="008D702C">
      <w:pPr>
        <w:pStyle w:val="Textpoznpodarou"/>
        <w:spacing w:after="0" w:line="240" w:lineRule="auto"/>
        <w:jc w:val="both"/>
        <w:rPr>
          <w:rFonts w:ascii="Times New Roman" w:hAnsi="Times New Roman"/>
        </w:rPr>
      </w:pPr>
      <w:r w:rsidRPr="00BE5086">
        <w:rPr>
          <w:rStyle w:val="Znakapoznpodarou"/>
          <w:rFonts w:ascii="Times New Roman" w:hAnsi="Times New Roman"/>
        </w:rPr>
        <w:footnoteRef/>
      </w:r>
      <w:r w:rsidRPr="00BE5086">
        <w:rPr>
          <w:rFonts w:ascii="Times New Roman" w:hAnsi="Times New Roman"/>
        </w:rPr>
        <w:t xml:space="preserve"> Viz § 178a odst. 1 zákona č. 141/1961 Sb., o trestním řízení soudním (trestní řád).</w:t>
      </w:r>
    </w:p>
  </w:footnote>
  <w:footnote w:id="146">
    <w:p w14:paraId="772352E4" w14:textId="720065FC" w:rsidR="00813EED" w:rsidRPr="00BE5086" w:rsidRDefault="00813EED" w:rsidP="008D702C">
      <w:pPr>
        <w:pStyle w:val="Textpoznpodarou"/>
        <w:spacing w:after="0" w:line="240" w:lineRule="auto"/>
        <w:jc w:val="both"/>
        <w:rPr>
          <w:rFonts w:ascii="Times New Roman" w:hAnsi="Times New Roman"/>
        </w:rPr>
      </w:pPr>
      <w:r w:rsidRPr="00BE5086">
        <w:rPr>
          <w:rStyle w:val="Znakapoznpodarou"/>
          <w:rFonts w:ascii="Times New Roman" w:hAnsi="Times New Roman"/>
        </w:rPr>
        <w:footnoteRef/>
      </w:r>
      <w:r w:rsidRPr="00BE5086">
        <w:rPr>
          <w:rFonts w:ascii="Times New Roman" w:hAnsi="Times New Roman"/>
        </w:rPr>
        <w:t xml:space="preserve"> Viz podkapitola 3.2 Spojené státy Americké.</w:t>
      </w:r>
    </w:p>
  </w:footnote>
  <w:footnote w:id="147">
    <w:p w14:paraId="4DD9286A" w14:textId="14557BA5" w:rsidR="00813EED" w:rsidRPr="00BE5086" w:rsidRDefault="00813EED" w:rsidP="008D702C">
      <w:pPr>
        <w:pStyle w:val="Textpoznpodarou"/>
        <w:spacing w:after="0" w:line="240" w:lineRule="auto"/>
        <w:jc w:val="both"/>
        <w:rPr>
          <w:rFonts w:ascii="Times New Roman" w:hAnsi="Times New Roman"/>
        </w:rPr>
      </w:pPr>
      <w:r w:rsidRPr="00BE5086">
        <w:rPr>
          <w:rStyle w:val="Znakapoznpodarou"/>
          <w:rFonts w:ascii="Times New Roman" w:hAnsi="Times New Roman"/>
        </w:rPr>
        <w:footnoteRef/>
      </w:r>
      <w:r w:rsidRPr="00BE5086">
        <w:rPr>
          <w:rFonts w:ascii="Times New Roman" w:hAnsi="Times New Roman"/>
        </w:rPr>
        <w:t xml:space="preserve"> Viz podkapitola 3.2.4 Dílčí závěr k právní úpravě USA.</w:t>
      </w:r>
    </w:p>
  </w:footnote>
  <w:footnote w:id="148">
    <w:p w14:paraId="6E19DD2A" w14:textId="2E752F9A" w:rsidR="00813EED" w:rsidRPr="00251388" w:rsidRDefault="00813EED" w:rsidP="008D702C">
      <w:pPr>
        <w:pStyle w:val="Textpoznpodarou"/>
        <w:spacing w:after="0" w:line="240" w:lineRule="auto"/>
        <w:jc w:val="both"/>
        <w:rPr>
          <w:rFonts w:ascii="Times New Roman" w:hAnsi="Times New Roman"/>
        </w:rPr>
      </w:pPr>
      <w:r w:rsidRPr="00BE5086">
        <w:rPr>
          <w:rStyle w:val="Znakapoznpodarou"/>
          <w:rFonts w:ascii="Times New Roman" w:hAnsi="Times New Roman"/>
        </w:rPr>
        <w:footnoteRef/>
      </w:r>
      <w:r w:rsidRPr="00BE5086">
        <w:rPr>
          <w:rFonts w:ascii="Times New Roman" w:hAnsi="Times New Roman"/>
        </w:rPr>
        <w:t xml:space="preserve"> Viz podkapitola 3.3.3 Dílčí závěr k italské právní úpravě.</w:t>
      </w:r>
    </w:p>
  </w:footnote>
  <w:footnote w:id="149">
    <w:p w14:paraId="4F7BDA76" w14:textId="59B02BD9"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Viz </w:t>
      </w:r>
      <w:r>
        <w:rPr>
          <w:rFonts w:ascii="Times New Roman" w:hAnsi="Times New Roman"/>
        </w:rPr>
        <w:t>pod</w:t>
      </w:r>
      <w:r w:rsidRPr="00251388">
        <w:rPr>
          <w:rFonts w:ascii="Times New Roman" w:hAnsi="Times New Roman"/>
        </w:rPr>
        <w:t>kapitola 3.3.2 Testimone di giustizia</w:t>
      </w:r>
      <w:r>
        <w:rPr>
          <w:rFonts w:ascii="Times New Roman" w:hAnsi="Times New Roman"/>
        </w:rPr>
        <w:t>.</w:t>
      </w:r>
    </w:p>
  </w:footnote>
  <w:footnote w:id="150">
    <w:p w14:paraId="7EE23412" w14:textId="2EC4F188" w:rsidR="00813EED" w:rsidRPr="00251388" w:rsidRDefault="00813EED" w:rsidP="008D702C">
      <w:pPr>
        <w:pStyle w:val="Textpoznpodarou"/>
        <w:spacing w:after="0" w:line="240" w:lineRule="auto"/>
        <w:jc w:val="both"/>
        <w:rPr>
          <w:rFonts w:ascii="Times New Roman" w:hAnsi="Times New Roman"/>
        </w:rPr>
      </w:pPr>
      <w:r w:rsidRPr="00251388">
        <w:rPr>
          <w:rStyle w:val="Znakapoznpodarou"/>
          <w:rFonts w:ascii="Times New Roman" w:hAnsi="Times New Roman"/>
        </w:rPr>
        <w:footnoteRef/>
      </w:r>
      <w:r w:rsidRPr="00251388">
        <w:rPr>
          <w:rFonts w:ascii="Times New Roman" w:hAnsi="Times New Roman"/>
        </w:rPr>
        <w:t xml:space="preserve"> Opět zákon č. 169/1999 Sb., zákon o výkonu trestu odnětí svobody, vůbec nepracuje s institutem spolupracující obviněný</w:t>
      </w:r>
      <w:r>
        <w:rPr>
          <w:rFonts w:ascii="Times New Roman" w:hAnsi="Times New Roman"/>
        </w:rPr>
        <w:t>.</w:t>
      </w:r>
    </w:p>
  </w:footnote>
  <w:footnote w:id="151">
    <w:p w14:paraId="2564797F" w14:textId="66062E6F"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 56</w:t>
      </w:r>
      <w:r>
        <w:rPr>
          <w:rFonts w:ascii="Times New Roman" w:hAnsi="Times New Roman"/>
          <w:sz w:val="20"/>
          <w:szCs w:val="20"/>
        </w:rPr>
        <w:t xml:space="preserve"> z</w:t>
      </w:r>
      <w:r w:rsidRPr="00251388">
        <w:rPr>
          <w:rFonts w:ascii="Times New Roman" w:hAnsi="Times New Roman"/>
          <w:sz w:val="20"/>
          <w:szCs w:val="20"/>
        </w:rPr>
        <w:t>ákon</w:t>
      </w:r>
      <w:r>
        <w:rPr>
          <w:rFonts w:ascii="Times New Roman" w:hAnsi="Times New Roman"/>
          <w:sz w:val="20"/>
          <w:szCs w:val="20"/>
        </w:rPr>
        <w:t>a</w:t>
      </w:r>
      <w:r w:rsidRPr="00251388">
        <w:rPr>
          <w:rFonts w:ascii="Times New Roman" w:hAnsi="Times New Roman"/>
          <w:sz w:val="20"/>
          <w:szCs w:val="20"/>
        </w:rPr>
        <w:t xml:space="preserve"> č. 40/2009 Sb., </w:t>
      </w:r>
      <w:r>
        <w:rPr>
          <w:rFonts w:ascii="Times New Roman" w:hAnsi="Times New Roman"/>
          <w:sz w:val="20"/>
          <w:szCs w:val="20"/>
        </w:rPr>
        <w:t>t</w:t>
      </w:r>
      <w:r w:rsidRPr="00251388">
        <w:rPr>
          <w:rFonts w:ascii="Times New Roman" w:hAnsi="Times New Roman"/>
          <w:sz w:val="20"/>
          <w:szCs w:val="20"/>
        </w:rPr>
        <w:t>restní zákoník</w:t>
      </w:r>
      <w:r>
        <w:rPr>
          <w:rFonts w:ascii="Times New Roman" w:hAnsi="Times New Roman"/>
          <w:sz w:val="20"/>
          <w:szCs w:val="20"/>
        </w:rPr>
        <w:t>.</w:t>
      </w:r>
    </w:p>
  </w:footnote>
  <w:footnote w:id="152">
    <w:p w14:paraId="6BBDAFD3" w14:textId="3B8085C2"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PÚRY, František. § 56 [Výkon trestu odnětí svobody]. In: ŠÁMAL, Pavel a kol. </w:t>
      </w:r>
      <w:r w:rsidRPr="00164018">
        <w:rPr>
          <w:rFonts w:ascii="Times New Roman" w:hAnsi="Times New Roman"/>
          <w:i/>
          <w:sz w:val="20"/>
          <w:szCs w:val="20"/>
        </w:rPr>
        <w:t>Trestní zákoník</w:t>
      </w:r>
      <w:r w:rsidRPr="00251388">
        <w:rPr>
          <w:rFonts w:ascii="Times New Roman" w:hAnsi="Times New Roman"/>
          <w:sz w:val="20"/>
          <w:szCs w:val="20"/>
        </w:rPr>
        <w:t>. 3. vydání. Praha: C. H. Beck, 2023, s. 1053, marg. č. 1.</w:t>
      </w:r>
    </w:p>
  </w:footnote>
  <w:footnote w:id="153">
    <w:p w14:paraId="20E1E122" w14:textId="45FCE8C9"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Momentálně zařazení do některého ze stupňů zabezpečení provádí </w:t>
      </w:r>
      <w:r>
        <w:rPr>
          <w:rFonts w:ascii="Times New Roman" w:hAnsi="Times New Roman"/>
          <w:sz w:val="20"/>
          <w:szCs w:val="20"/>
          <w:shd w:val="clear" w:color="auto" w:fill="FFFFFF"/>
        </w:rPr>
        <w:t>G</w:t>
      </w:r>
      <w:r w:rsidRPr="00251388">
        <w:rPr>
          <w:rFonts w:ascii="Times New Roman" w:hAnsi="Times New Roman"/>
          <w:sz w:val="20"/>
          <w:szCs w:val="20"/>
          <w:shd w:val="clear" w:color="auto" w:fill="FFFFFF"/>
        </w:rPr>
        <w:t>enerální ředitelství Vězeňské služby</w:t>
      </w:r>
      <w:r>
        <w:rPr>
          <w:rFonts w:ascii="Times New Roman" w:hAnsi="Times New Roman"/>
          <w:sz w:val="20"/>
          <w:szCs w:val="20"/>
          <w:shd w:val="clear" w:color="auto" w:fill="FFFFFF"/>
        </w:rPr>
        <w:t xml:space="preserve"> České republiky</w:t>
      </w:r>
      <w:r w:rsidRPr="00251388">
        <w:rPr>
          <w:rFonts w:ascii="Times New Roman" w:hAnsi="Times New Roman"/>
          <w:sz w:val="20"/>
          <w:szCs w:val="20"/>
          <w:shd w:val="clear" w:color="auto" w:fill="FFFFFF"/>
        </w:rPr>
        <w:t xml:space="preserve"> ve spolupráci s ředitelem </w:t>
      </w:r>
      <w:bookmarkStart w:id="49" w:name="highlightHit_30"/>
      <w:bookmarkEnd w:id="49"/>
      <w:r w:rsidRPr="00251388">
        <w:rPr>
          <w:rFonts w:ascii="Times New Roman" w:hAnsi="Times New Roman"/>
          <w:sz w:val="20"/>
          <w:szCs w:val="20"/>
          <w:shd w:val="clear" w:color="auto" w:fill="FFFFFF"/>
        </w:rPr>
        <w:t>věznice, ve které odsouzený nastoupil k výkonu trestu dle §</w:t>
      </w:r>
      <w:r>
        <w:rPr>
          <w:rFonts w:ascii="Times New Roman" w:hAnsi="Times New Roman"/>
          <w:sz w:val="20"/>
          <w:szCs w:val="20"/>
          <w:shd w:val="clear" w:color="auto" w:fill="FFFFFF"/>
        </w:rPr>
        <w:t xml:space="preserve"> </w:t>
      </w:r>
      <w:r w:rsidRPr="00251388">
        <w:rPr>
          <w:rFonts w:ascii="Times New Roman" w:hAnsi="Times New Roman"/>
          <w:sz w:val="20"/>
          <w:szCs w:val="20"/>
          <w:shd w:val="clear" w:color="auto" w:fill="FFFFFF"/>
        </w:rPr>
        <w:t xml:space="preserve">9 odst. 3 </w:t>
      </w:r>
      <w:r>
        <w:rPr>
          <w:rFonts w:ascii="Times New Roman" w:hAnsi="Times New Roman"/>
          <w:sz w:val="20"/>
          <w:szCs w:val="20"/>
        </w:rPr>
        <w:t>z</w:t>
      </w:r>
      <w:r w:rsidRPr="00251388">
        <w:rPr>
          <w:rFonts w:ascii="Times New Roman" w:hAnsi="Times New Roman"/>
          <w:sz w:val="20"/>
          <w:szCs w:val="20"/>
        </w:rPr>
        <w:t>ákona č.</w:t>
      </w:r>
      <w:r>
        <w:rPr>
          <w:rFonts w:ascii="Times New Roman" w:hAnsi="Times New Roman"/>
          <w:sz w:val="20"/>
          <w:szCs w:val="20"/>
        </w:rPr>
        <w:t> </w:t>
      </w:r>
      <w:r w:rsidRPr="00251388">
        <w:rPr>
          <w:rFonts w:ascii="Times New Roman" w:hAnsi="Times New Roman"/>
          <w:sz w:val="20"/>
          <w:szCs w:val="20"/>
        </w:rPr>
        <w:t>169/1999 Sb., o výkonu trestu odnětí svobody a o změně některých souvisejících zákonů</w:t>
      </w:r>
      <w:r>
        <w:rPr>
          <w:rFonts w:ascii="Times New Roman" w:hAnsi="Times New Roman"/>
          <w:sz w:val="20"/>
          <w:szCs w:val="20"/>
        </w:rPr>
        <w:t>.</w:t>
      </w:r>
    </w:p>
  </w:footnote>
  <w:footnote w:id="154">
    <w:p w14:paraId="00A4B582" w14:textId="421B8819" w:rsidR="00813EED" w:rsidRPr="00251388" w:rsidRDefault="00813EED" w:rsidP="008D702C">
      <w:pPr>
        <w:spacing w:after="0" w:line="240" w:lineRule="auto"/>
        <w:jc w:val="both"/>
        <w:rPr>
          <w:rFonts w:ascii="Times New Roman" w:hAnsi="Times New Roman"/>
          <w:sz w:val="20"/>
          <w:szCs w:val="20"/>
        </w:rPr>
      </w:pPr>
      <w:r w:rsidRPr="00251388">
        <w:rPr>
          <w:rStyle w:val="Znakapoznpodarou"/>
          <w:rFonts w:ascii="Times New Roman" w:hAnsi="Times New Roman"/>
          <w:sz w:val="20"/>
          <w:szCs w:val="20"/>
        </w:rPr>
        <w:footnoteRef/>
      </w:r>
      <w:r w:rsidRPr="00251388">
        <w:rPr>
          <w:rFonts w:ascii="Times New Roman" w:hAnsi="Times New Roman"/>
          <w:sz w:val="20"/>
          <w:szCs w:val="20"/>
        </w:rPr>
        <w:t xml:space="preserve"> JECH, Kryštof. Výběr problematických aspektů institutu spolupracujícího obviněného v současném právním řádu České republiky I. </w:t>
      </w:r>
      <w:r w:rsidRPr="00164018">
        <w:rPr>
          <w:rFonts w:ascii="Times New Roman" w:hAnsi="Times New Roman"/>
          <w:i/>
          <w:sz w:val="20"/>
          <w:szCs w:val="20"/>
        </w:rPr>
        <w:t>Trestněprávní revue</w:t>
      </w:r>
      <w:r w:rsidRPr="00251388">
        <w:rPr>
          <w:rFonts w:ascii="Times New Roman" w:hAnsi="Times New Roman"/>
          <w:sz w:val="20"/>
          <w:szCs w:val="20"/>
        </w:rPr>
        <w:t>, 2023, č. 3, s. 135.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A34"/>
    <w:multiLevelType w:val="hybridMultilevel"/>
    <w:tmpl w:val="25244642"/>
    <w:lvl w:ilvl="0" w:tplc="E4620F06">
      <w:start w:val="1"/>
      <w:numFmt w:val="lowerLetter"/>
      <w:lvlText w:val="%1)"/>
      <w:lvlJc w:val="left"/>
      <w:pPr>
        <w:ind w:left="720" w:hanging="360"/>
      </w:pPr>
      <w:rPr>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40BAD"/>
    <w:multiLevelType w:val="hybridMultilevel"/>
    <w:tmpl w:val="2BE2CF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B61CD"/>
    <w:multiLevelType w:val="hybridMultilevel"/>
    <w:tmpl w:val="A788A5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AA0DEC"/>
    <w:multiLevelType w:val="hybridMultilevel"/>
    <w:tmpl w:val="A6FA7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9D4FB4"/>
    <w:multiLevelType w:val="hybridMultilevel"/>
    <w:tmpl w:val="C8ACF6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495866"/>
    <w:multiLevelType w:val="hybridMultilevel"/>
    <w:tmpl w:val="CB4013C6"/>
    <w:lvl w:ilvl="0" w:tplc="DC96079E">
      <w:start w:val="1"/>
      <w:numFmt w:val="lowerLetter"/>
      <w:lvlText w:val="%1)"/>
      <w:lvlJc w:val="left"/>
      <w:pPr>
        <w:ind w:left="720" w:hanging="360"/>
      </w:pPr>
      <w:rPr>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DF2470"/>
    <w:multiLevelType w:val="hybridMultilevel"/>
    <w:tmpl w:val="77649C28"/>
    <w:lvl w:ilvl="0" w:tplc="29642E4C">
      <w:start w:val="1"/>
      <w:numFmt w:val="lowerLetter"/>
      <w:lvlText w:val="%1)"/>
      <w:lvlJc w:val="left"/>
      <w:pPr>
        <w:ind w:left="720" w:hanging="360"/>
      </w:pPr>
      <w:rPr>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146CF2"/>
    <w:multiLevelType w:val="hybridMultilevel"/>
    <w:tmpl w:val="888AA7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745699"/>
    <w:multiLevelType w:val="hybridMultilevel"/>
    <w:tmpl w:val="5C1E7D2C"/>
    <w:lvl w:ilvl="0" w:tplc="9ABCBA4E">
      <w:start w:val="1"/>
      <w:numFmt w:val="lowerLetter"/>
      <w:lvlText w:val="%1)"/>
      <w:lvlJc w:val="left"/>
      <w:pPr>
        <w:ind w:left="720" w:hanging="360"/>
      </w:pPr>
      <w:rPr>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CB0C09"/>
    <w:multiLevelType w:val="hybridMultilevel"/>
    <w:tmpl w:val="D8EA0D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835013"/>
    <w:multiLevelType w:val="hybridMultilevel"/>
    <w:tmpl w:val="538EFF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5E50A7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621169A6"/>
    <w:multiLevelType w:val="hybridMultilevel"/>
    <w:tmpl w:val="AAC014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6A7D04"/>
    <w:multiLevelType w:val="hybridMultilevel"/>
    <w:tmpl w:val="6C18432C"/>
    <w:lvl w:ilvl="0" w:tplc="3CD8BE7A">
      <w:start w:val="1"/>
      <w:numFmt w:val="lowerLetter"/>
      <w:lvlText w:val="%1)"/>
      <w:lvlJc w:val="left"/>
      <w:pPr>
        <w:ind w:left="720" w:hanging="360"/>
      </w:pPr>
      <w:rPr>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FB48F9"/>
    <w:multiLevelType w:val="hybridMultilevel"/>
    <w:tmpl w:val="BF54ADA4"/>
    <w:lvl w:ilvl="0" w:tplc="0E461916">
      <w:start w:val="1"/>
      <w:numFmt w:val="lowerLetter"/>
      <w:lvlText w:val="%1)"/>
      <w:lvlJc w:val="left"/>
      <w:pPr>
        <w:ind w:left="720" w:hanging="360"/>
      </w:pPr>
      <w:rPr>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244DBC"/>
    <w:multiLevelType w:val="hybridMultilevel"/>
    <w:tmpl w:val="A43404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BC540E"/>
    <w:multiLevelType w:val="hybridMultilevel"/>
    <w:tmpl w:val="A7B44D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5524200">
    <w:abstractNumId w:val="9"/>
  </w:num>
  <w:num w:numId="2" w16cid:durableId="558711288">
    <w:abstractNumId w:val="11"/>
  </w:num>
  <w:num w:numId="3" w16cid:durableId="399333572">
    <w:abstractNumId w:val="10"/>
  </w:num>
  <w:num w:numId="4" w16cid:durableId="73164000">
    <w:abstractNumId w:val="2"/>
  </w:num>
  <w:num w:numId="5" w16cid:durableId="545027631">
    <w:abstractNumId w:val="4"/>
  </w:num>
  <w:num w:numId="6" w16cid:durableId="578444677">
    <w:abstractNumId w:val="8"/>
  </w:num>
  <w:num w:numId="7" w16cid:durableId="311059443">
    <w:abstractNumId w:val="0"/>
  </w:num>
  <w:num w:numId="8" w16cid:durableId="953747848">
    <w:abstractNumId w:val="6"/>
  </w:num>
  <w:num w:numId="9" w16cid:durableId="294411365">
    <w:abstractNumId w:val="13"/>
  </w:num>
  <w:num w:numId="10" w16cid:durableId="560410226">
    <w:abstractNumId w:val="12"/>
  </w:num>
  <w:num w:numId="11" w16cid:durableId="972713675">
    <w:abstractNumId w:val="7"/>
  </w:num>
  <w:num w:numId="12" w16cid:durableId="2078043117">
    <w:abstractNumId w:val="16"/>
  </w:num>
  <w:num w:numId="13" w16cid:durableId="1101216430">
    <w:abstractNumId w:val="1"/>
  </w:num>
  <w:num w:numId="14" w16cid:durableId="1916165103">
    <w:abstractNumId w:val="15"/>
  </w:num>
  <w:num w:numId="15" w16cid:durableId="1234705229">
    <w:abstractNumId w:val="3"/>
  </w:num>
  <w:num w:numId="16" w16cid:durableId="1707102324">
    <w:abstractNumId w:val="5"/>
  </w:num>
  <w:num w:numId="17" w16cid:durableId="180102657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01C"/>
    <w:rsid w:val="00001C73"/>
    <w:rsid w:val="00003243"/>
    <w:rsid w:val="00005499"/>
    <w:rsid w:val="000113F1"/>
    <w:rsid w:val="00023073"/>
    <w:rsid w:val="00032EF4"/>
    <w:rsid w:val="00033072"/>
    <w:rsid w:val="00034D2E"/>
    <w:rsid w:val="00035E30"/>
    <w:rsid w:val="00036028"/>
    <w:rsid w:val="00037588"/>
    <w:rsid w:val="00042619"/>
    <w:rsid w:val="00045010"/>
    <w:rsid w:val="00047269"/>
    <w:rsid w:val="0005768D"/>
    <w:rsid w:val="00057B0B"/>
    <w:rsid w:val="00061FA9"/>
    <w:rsid w:val="0006742A"/>
    <w:rsid w:val="000704A4"/>
    <w:rsid w:val="00073C2D"/>
    <w:rsid w:val="00076230"/>
    <w:rsid w:val="000807CA"/>
    <w:rsid w:val="00083540"/>
    <w:rsid w:val="00084D5D"/>
    <w:rsid w:val="00085991"/>
    <w:rsid w:val="00094174"/>
    <w:rsid w:val="00094EA4"/>
    <w:rsid w:val="00096C0C"/>
    <w:rsid w:val="000A01F6"/>
    <w:rsid w:val="000A055C"/>
    <w:rsid w:val="000A76CC"/>
    <w:rsid w:val="000A7812"/>
    <w:rsid w:val="000C37A1"/>
    <w:rsid w:val="000C6522"/>
    <w:rsid w:val="000D1149"/>
    <w:rsid w:val="000E14D4"/>
    <w:rsid w:val="000E3082"/>
    <w:rsid w:val="000E6441"/>
    <w:rsid w:val="000F14BC"/>
    <w:rsid w:val="000F2166"/>
    <w:rsid w:val="000F2D0C"/>
    <w:rsid w:val="000F5A62"/>
    <w:rsid w:val="000F6DF4"/>
    <w:rsid w:val="00102CBE"/>
    <w:rsid w:val="00104C06"/>
    <w:rsid w:val="0010618D"/>
    <w:rsid w:val="001103E7"/>
    <w:rsid w:val="00110B4B"/>
    <w:rsid w:val="00111296"/>
    <w:rsid w:val="00113265"/>
    <w:rsid w:val="00113E03"/>
    <w:rsid w:val="00115A28"/>
    <w:rsid w:val="00116588"/>
    <w:rsid w:val="00116610"/>
    <w:rsid w:val="00123707"/>
    <w:rsid w:val="0013556E"/>
    <w:rsid w:val="00135CA4"/>
    <w:rsid w:val="00140818"/>
    <w:rsid w:val="00147959"/>
    <w:rsid w:val="00147F5D"/>
    <w:rsid w:val="00150533"/>
    <w:rsid w:val="00150689"/>
    <w:rsid w:val="00155A82"/>
    <w:rsid w:val="00155AD9"/>
    <w:rsid w:val="00155BA6"/>
    <w:rsid w:val="00161C6F"/>
    <w:rsid w:val="00164018"/>
    <w:rsid w:val="001646FF"/>
    <w:rsid w:val="00165117"/>
    <w:rsid w:val="00165EBE"/>
    <w:rsid w:val="00170053"/>
    <w:rsid w:val="00170970"/>
    <w:rsid w:val="00174467"/>
    <w:rsid w:val="00176474"/>
    <w:rsid w:val="00177F0D"/>
    <w:rsid w:val="00181176"/>
    <w:rsid w:val="001818AA"/>
    <w:rsid w:val="00182431"/>
    <w:rsid w:val="00186B4A"/>
    <w:rsid w:val="00192712"/>
    <w:rsid w:val="0019504F"/>
    <w:rsid w:val="00195EA5"/>
    <w:rsid w:val="00197DE5"/>
    <w:rsid w:val="001A0A5E"/>
    <w:rsid w:val="001A0B06"/>
    <w:rsid w:val="001A4B86"/>
    <w:rsid w:val="001A75F4"/>
    <w:rsid w:val="001B238B"/>
    <w:rsid w:val="001B4769"/>
    <w:rsid w:val="001B7726"/>
    <w:rsid w:val="001D295B"/>
    <w:rsid w:val="001D6D75"/>
    <w:rsid w:val="001D7B34"/>
    <w:rsid w:val="001E4908"/>
    <w:rsid w:val="001E5EAD"/>
    <w:rsid w:val="001F4422"/>
    <w:rsid w:val="001F742F"/>
    <w:rsid w:val="00206501"/>
    <w:rsid w:val="00206DA8"/>
    <w:rsid w:val="00207C8C"/>
    <w:rsid w:val="00207EC0"/>
    <w:rsid w:val="00211D29"/>
    <w:rsid w:val="00213504"/>
    <w:rsid w:val="00214B5A"/>
    <w:rsid w:val="00215CC7"/>
    <w:rsid w:val="00217611"/>
    <w:rsid w:val="002302FD"/>
    <w:rsid w:val="00231740"/>
    <w:rsid w:val="00234D50"/>
    <w:rsid w:val="00235301"/>
    <w:rsid w:val="00236614"/>
    <w:rsid w:val="0024247C"/>
    <w:rsid w:val="0024283D"/>
    <w:rsid w:val="00242FBA"/>
    <w:rsid w:val="002460D7"/>
    <w:rsid w:val="002464B0"/>
    <w:rsid w:val="00247E5F"/>
    <w:rsid w:val="00251388"/>
    <w:rsid w:val="002525EA"/>
    <w:rsid w:val="0025479B"/>
    <w:rsid w:val="00256112"/>
    <w:rsid w:val="00260526"/>
    <w:rsid w:val="002666F6"/>
    <w:rsid w:val="002707B2"/>
    <w:rsid w:val="002713F2"/>
    <w:rsid w:val="0027150B"/>
    <w:rsid w:val="00271EF6"/>
    <w:rsid w:val="0028325F"/>
    <w:rsid w:val="00283BA5"/>
    <w:rsid w:val="00286C76"/>
    <w:rsid w:val="002875AF"/>
    <w:rsid w:val="002876C1"/>
    <w:rsid w:val="00287B6E"/>
    <w:rsid w:val="0029122F"/>
    <w:rsid w:val="0029134F"/>
    <w:rsid w:val="00296FFA"/>
    <w:rsid w:val="0029780C"/>
    <w:rsid w:val="002A091C"/>
    <w:rsid w:val="002B0EB3"/>
    <w:rsid w:val="002B12FF"/>
    <w:rsid w:val="002B26A4"/>
    <w:rsid w:val="002B5A9B"/>
    <w:rsid w:val="002B740A"/>
    <w:rsid w:val="002C4314"/>
    <w:rsid w:val="002D1E4A"/>
    <w:rsid w:val="002D4F81"/>
    <w:rsid w:val="002D5DE7"/>
    <w:rsid w:val="002E1D45"/>
    <w:rsid w:val="002E43FA"/>
    <w:rsid w:val="002E5514"/>
    <w:rsid w:val="002E7DD3"/>
    <w:rsid w:val="002F0523"/>
    <w:rsid w:val="002F0998"/>
    <w:rsid w:val="002F451D"/>
    <w:rsid w:val="002F5CB6"/>
    <w:rsid w:val="003028CD"/>
    <w:rsid w:val="00304380"/>
    <w:rsid w:val="00310976"/>
    <w:rsid w:val="00311DAA"/>
    <w:rsid w:val="003158D1"/>
    <w:rsid w:val="00316CD0"/>
    <w:rsid w:val="00322FEF"/>
    <w:rsid w:val="00326DC0"/>
    <w:rsid w:val="0032777D"/>
    <w:rsid w:val="00330941"/>
    <w:rsid w:val="00335AE7"/>
    <w:rsid w:val="00341FA3"/>
    <w:rsid w:val="00345DCC"/>
    <w:rsid w:val="00346734"/>
    <w:rsid w:val="0035010C"/>
    <w:rsid w:val="003534B5"/>
    <w:rsid w:val="00357472"/>
    <w:rsid w:val="00357C32"/>
    <w:rsid w:val="00357E38"/>
    <w:rsid w:val="00360F04"/>
    <w:rsid w:val="003666FA"/>
    <w:rsid w:val="0037270B"/>
    <w:rsid w:val="0037414B"/>
    <w:rsid w:val="003755B0"/>
    <w:rsid w:val="003816E6"/>
    <w:rsid w:val="003962F0"/>
    <w:rsid w:val="003A122E"/>
    <w:rsid w:val="003A1959"/>
    <w:rsid w:val="003A2C5F"/>
    <w:rsid w:val="003A78D1"/>
    <w:rsid w:val="003A79B5"/>
    <w:rsid w:val="003B27C9"/>
    <w:rsid w:val="003B2BEB"/>
    <w:rsid w:val="003B3822"/>
    <w:rsid w:val="003B39E4"/>
    <w:rsid w:val="003C05BB"/>
    <w:rsid w:val="003C4853"/>
    <w:rsid w:val="003D45D6"/>
    <w:rsid w:val="003D64D3"/>
    <w:rsid w:val="003E545F"/>
    <w:rsid w:val="003F1E38"/>
    <w:rsid w:val="003F2147"/>
    <w:rsid w:val="003F28E6"/>
    <w:rsid w:val="003F53C4"/>
    <w:rsid w:val="003F5483"/>
    <w:rsid w:val="00400527"/>
    <w:rsid w:val="0040095E"/>
    <w:rsid w:val="00401D26"/>
    <w:rsid w:val="00403594"/>
    <w:rsid w:val="004035AD"/>
    <w:rsid w:val="00405F9C"/>
    <w:rsid w:val="004106C3"/>
    <w:rsid w:val="00411EA6"/>
    <w:rsid w:val="0041239F"/>
    <w:rsid w:val="00412C59"/>
    <w:rsid w:val="00415FC5"/>
    <w:rsid w:val="00417337"/>
    <w:rsid w:val="00420252"/>
    <w:rsid w:val="00420AAE"/>
    <w:rsid w:val="00421C2C"/>
    <w:rsid w:val="00436833"/>
    <w:rsid w:val="00440670"/>
    <w:rsid w:val="00441291"/>
    <w:rsid w:val="00447135"/>
    <w:rsid w:val="00450832"/>
    <w:rsid w:val="00453AD7"/>
    <w:rsid w:val="0045573C"/>
    <w:rsid w:val="00456FC9"/>
    <w:rsid w:val="00462F55"/>
    <w:rsid w:val="0046659B"/>
    <w:rsid w:val="00466A40"/>
    <w:rsid w:val="00470563"/>
    <w:rsid w:val="004733BD"/>
    <w:rsid w:val="0047407E"/>
    <w:rsid w:val="0047747A"/>
    <w:rsid w:val="0048420D"/>
    <w:rsid w:val="0048677E"/>
    <w:rsid w:val="00486C06"/>
    <w:rsid w:val="0049004A"/>
    <w:rsid w:val="004906B5"/>
    <w:rsid w:val="00492E92"/>
    <w:rsid w:val="004A145A"/>
    <w:rsid w:val="004A46D6"/>
    <w:rsid w:val="004A552F"/>
    <w:rsid w:val="004A6942"/>
    <w:rsid w:val="004A7034"/>
    <w:rsid w:val="004B3A33"/>
    <w:rsid w:val="004C394A"/>
    <w:rsid w:val="004C4CEB"/>
    <w:rsid w:val="004D2C0F"/>
    <w:rsid w:val="004D4280"/>
    <w:rsid w:val="004E1FC6"/>
    <w:rsid w:val="004F0F41"/>
    <w:rsid w:val="004F1579"/>
    <w:rsid w:val="004F3223"/>
    <w:rsid w:val="00503557"/>
    <w:rsid w:val="005054FF"/>
    <w:rsid w:val="00505981"/>
    <w:rsid w:val="005066D7"/>
    <w:rsid w:val="00510747"/>
    <w:rsid w:val="00511064"/>
    <w:rsid w:val="005128D4"/>
    <w:rsid w:val="00512F96"/>
    <w:rsid w:val="00513CC8"/>
    <w:rsid w:val="00514B53"/>
    <w:rsid w:val="00522B7C"/>
    <w:rsid w:val="005270C8"/>
    <w:rsid w:val="00533F00"/>
    <w:rsid w:val="00534E8D"/>
    <w:rsid w:val="00543A19"/>
    <w:rsid w:val="00546177"/>
    <w:rsid w:val="005466A8"/>
    <w:rsid w:val="00547CE1"/>
    <w:rsid w:val="00550E14"/>
    <w:rsid w:val="00553D9A"/>
    <w:rsid w:val="00553D9C"/>
    <w:rsid w:val="00553E32"/>
    <w:rsid w:val="00561604"/>
    <w:rsid w:val="0056329C"/>
    <w:rsid w:val="00564876"/>
    <w:rsid w:val="0056638B"/>
    <w:rsid w:val="005812D5"/>
    <w:rsid w:val="00581FA6"/>
    <w:rsid w:val="00582BB9"/>
    <w:rsid w:val="00585E2B"/>
    <w:rsid w:val="00587249"/>
    <w:rsid w:val="005920B0"/>
    <w:rsid w:val="005A09EA"/>
    <w:rsid w:val="005A39D9"/>
    <w:rsid w:val="005A511F"/>
    <w:rsid w:val="005C1965"/>
    <w:rsid w:val="005C33FF"/>
    <w:rsid w:val="005C55AB"/>
    <w:rsid w:val="005C5FCA"/>
    <w:rsid w:val="005C687E"/>
    <w:rsid w:val="005D046B"/>
    <w:rsid w:val="005D2622"/>
    <w:rsid w:val="005D7F4E"/>
    <w:rsid w:val="005E03E7"/>
    <w:rsid w:val="005E0A69"/>
    <w:rsid w:val="005E0D1A"/>
    <w:rsid w:val="005E1746"/>
    <w:rsid w:val="005E28D1"/>
    <w:rsid w:val="005E46CA"/>
    <w:rsid w:val="005E7D2B"/>
    <w:rsid w:val="005F4278"/>
    <w:rsid w:val="005F4293"/>
    <w:rsid w:val="005F6463"/>
    <w:rsid w:val="005F7173"/>
    <w:rsid w:val="006003EB"/>
    <w:rsid w:val="00605806"/>
    <w:rsid w:val="00606E07"/>
    <w:rsid w:val="00606EA5"/>
    <w:rsid w:val="00614356"/>
    <w:rsid w:val="0061527D"/>
    <w:rsid w:val="006158EB"/>
    <w:rsid w:val="006159F7"/>
    <w:rsid w:val="006325E6"/>
    <w:rsid w:val="00634433"/>
    <w:rsid w:val="00634AA1"/>
    <w:rsid w:val="00640DBA"/>
    <w:rsid w:val="00641190"/>
    <w:rsid w:val="00644BE3"/>
    <w:rsid w:val="0064610B"/>
    <w:rsid w:val="00652F75"/>
    <w:rsid w:val="00653BEB"/>
    <w:rsid w:val="00657C45"/>
    <w:rsid w:val="00661488"/>
    <w:rsid w:val="00661A0D"/>
    <w:rsid w:val="00663CE2"/>
    <w:rsid w:val="0067200C"/>
    <w:rsid w:val="00672430"/>
    <w:rsid w:val="00674035"/>
    <w:rsid w:val="00677D3C"/>
    <w:rsid w:val="0068023A"/>
    <w:rsid w:val="0068541A"/>
    <w:rsid w:val="00687D1A"/>
    <w:rsid w:val="006927E2"/>
    <w:rsid w:val="00694CA6"/>
    <w:rsid w:val="006A2310"/>
    <w:rsid w:val="006B0286"/>
    <w:rsid w:val="006B0F3C"/>
    <w:rsid w:val="006B188D"/>
    <w:rsid w:val="006B4793"/>
    <w:rsid w:val="006C18F7"/>
    <w:rsid w:val="006C4498"/>
    <w:rsid w:val="006C44A4"/>
    <w:rsid w:val="006C6563"/>
    <w:rsid w:val="006C65A5"/>
    <w:rsid w:val="006D001C"/>
    <w:rsid w:val="006D19F9"/>
    <w:rsid w:val="006D2352"/>
    <w:rsid w:val="006D36C7"/>
    <w:rsid w:val="006D3D84"/>
    <w:rsid w:val="006D48CD"/>
    <w:rsid w:val="006D5E83"/>
    <w:rsid w:val="006E0706"/>
    <w:rsid w:val="006E1DE1"/>
    <w:rsid w:val="006E2FDC"/>
    <w:rsid w:val="006E4219"/>
    <w:rsid w:val="006E701E"/>
    <w:rsid w:val="006F30F9"/>
    <w:rsid w:val="006F3A1D"/>
    <w:rsid w:val="006F6436"/>
    <w:rsid w:val="00700F25"/>
    <w:rsid w:val="00704036"/>
    <w:rsid w:val="007042A5"/>
    <w:rsid w:val="00706911"/>
    <w:rsid w:val="00706A37"/>
    <w:rsid w:val="00712D56"/>
    <w:rsid w:val="00715E2A"/>
    <w:rsid w:val="007176F4"/>
    <w:rsid w:val="00723BB3"/>
    <w:rsid w:val="00725077"/>
    <w:rsid w:val="0072510D"/>
    <w:rsid w:val="00726C7D"/>
    <w:rsid w:val="007307A2"/>
    <w:rsid w:val="00730E4D"/>
    <w:rsid w:val="007326C9"/>
    <w:rsid w:val="007335AF"/>
    <w:rsid w:val="0073437A"/>
    <w:rsid w:val="00734A20"/>
    <w:rsid w:val="00734E5E"/>
    <w:rsid w:val="00736D85"/>
    <w:rsid w:val="00740D25"/>
    <w:rsid w:val="00741A30"/>
    <w:rsid w:val="0074346A"/>
    <w:rsid w:val="00744D13"/>
    <w:rsid w:val="007460C5"/>
    <w:rsid w:val="00746B9C"/>
    <w:rsid w:val="007554AD"/>
    <w:rsid w:val="00760AD1"/>
    <w:rsid w:val="00761130"/>
    <w:rsid w:val="0076149E"/>
    <w:rsid w:val="00765C96"/>
    <w:rsid w:val="00766EDB"/>
    <w:rsid w:val="00773865"/>
    <w:rsid w:val="007747C0"/>
    <w:rsid w:val="00777349"/>
    <w:rsid w:val="00777F28"/>
    <w:rsid w:val="0078505A"/>
    <w:rsid w:val="00787774"/>
    <w:rsid w:val="00790A24"/>
    <w:rsid w:val="00791744"/>
    <w:rsid w:val="00791F75"/>
    <w:rsid w:val="007929D2"/>
    <w:rsid w:val="00792AD1"/>
    <w:rsid w:val="00792D11"/>
    <w:rsid w:val="007A106C"/>
    <w:rsid w:val="007A31E0"/>
    <w:rsid w:val="007A3981"/>
    <w:rsid w:val="007A7ACC"/>
    <w:rsid w:val="007A7EBA"/>
    <w:rsid w:val="007B1B1A"/>
    <w:rsid w:val="007B1DFE"/>
    <w:rsid w:val="007B22D3"/>
    <w:rsid w:val="007B490C"/>
    <w:rsid w:val="007B6366"/>
    <w:rsid w:val="007B678E"/>
    <w:rsid w:val="007C2545"/>
    <w:rsid w:val="007C2D7C"/>
    <w:rsid w:val="007C3FFC"/>
    <w:rsid w:val="007C4F2D"/>
    <w:rsid w:val="007C78A8"/>
    <w:rsid w:val="007D2E05"/>
    <w:rsid w:val="007D337A"/>
    <w:rsid w:val="007D372D"/>
    <w:rsid w:val="007D469B"/>
    <w:rsid w:val="007D483F"/>
    <w:rsid w:val="007D7B49"/>
    <w:rsid w:val="007E06A9"/>
    <w:rsid w:val="007E123E"/>
    <w:rsid w:val="007E7486"/>
    <w:rsid w:val="007E774B"/>
    <w:rsid w:val="007F35F1"/>
    <w:rsid w:val="007F4842"/>
    <w:rsid w:val="00803B5A"/>
    <w:rsid w:val="00804DF9"/>
    <w:rsid w:val="00805118"/>
    <w:rsid w:val="0081148A"/>
    <w:rsid w:val="00813EED"/>
    <w:rsid w:val="00817E4B"/>
    <w:rsid w:val="00823258"/>
    <w:rsid w:val="008249DC"/>
    <w:rsid w:val="00827B4A"/>
    <w:rsid w:val="008363D3"/>
    <w:rsid w:val="00840437"/>
    <w:rsid w:val="0084456F"/>
    <w:rsid w:val="00846220"/>
    <w:rsid w:val="00852045"/>
    <w:rsid w:val="00852685"/>
    <w:rsid w:val="0085400D"/>
    <w:rsid w:val="00855C64"/>
    <w:rsid w:val="00860C53"/>
    <w:rsid w:val="00861400"/>
    <w:rsid w:val="00861EF0"/>
    <w:rsid w:val="0086204A"/>
    <w:rsid w:val="00863D2A"/>
    <w:rsid w:val="00867A0B"/>
    <w:rsid w:val="00871490"/>
    <w:rsid w:val="008766E7"/>
    <w:rsid w:val="00882722"/>
    <w:rsid w:val="0088469A"/>
    <w:rsid w:val="0089242C"/>
    <w:rsid w:val="008953C8"/>
    <w:rsid w:val="00897B70"/>
    <w:rsid w:val="008A1971"/>
    <w:rsid w:val="008B038B"/>
    <w:rsid w:val="008B28FD"/>
    <w:rsid w:val="008B3ADB"/>
    <w:rsid w:val="008C009B"/>
    <w:rsid w:val="008C25E8"/>
    <w:rsid w:val="008C60E4"/>
    <w:rsid w:val="008C64FF"/>
    <w:rsid w:val="008D0660"/>
    <w:rsid w:val="008D0F34"/>
    <w:rsid w:val="008D5BF4"/>
    <w:rsid w:val="008D6365"/>
    <w:rsid w:val="008D702C"/>
    <w:rsid w:val="008E1175"/>
    <w:rsid w:val="008E2B7A"/>
    <w:rsid w:val="008E4C21"/>
    <w:rsid w:val="008E66C9"/>
    <w:rsid w:val="008E73D7"/>
    <w:rsid w:val="008F21E6"/>
    <w:rsid w:val="008F2C6E"/>
    <w:rsid w:val="008F7D63"/>
    <w:rsid w:val="0090229B"/>
    <w:rsid w:val="00903486"/>
    <w:rsid w:val="0090509D"/>
    <w:rsid w:val="009144D1"/>
    <w:rsid w:val="00914639"/>
    <w:rsid w:val="009176B5"/>
    <w:rsid w:val="00922801"/>
    <w:rsid w:val="00922C98"/>
    <w:rsid w:val="00922F52"/>
    <w:rsid w:val="009260C0"/>
    <w:rsid w:val="00926BFF"/>
    <w:rsid w:val="00931903"/>
    <w:rsid w:val="00931FED"/>
    <w:rsid w:val="0093418F"/>
    <w:rsid w:val="00937E41"/>
    <w:rsid w:val="0094077F"/>
    <w:rsid w:val="009425BB"/>
    <w:rsid w:val="00942629"/>
    <w:rsid w:val="00943EC1"/>
    <w:rsid w:val="00946573"/>
    <w:rsid w:val="0095053A"/>
    <w:rsid w:val="0095160F"/>
    <w:rsid w:val="00951D16"/>
    <w:rsid w:val="00952567"/>
    <w:rsid w:val="00953C9B"/>
    <w:rsid w:val="009541FB"/>
    <w:rsid w:val="00957041"/>
    <w:rsid w:val="0095734E"/>
    <w:rsid w:val="0095746A"/>
    <w:rsid w:val="0096296F"/>
    <w:rsid w:val="009643A5"/>
    <w:rsid w:val="00973814"/>
    <w:rsid w:val="009740CC"/>
    <w:rsid w:val="00974C8B"/>
    <w:rsid w:val="00974D76"/>
    <w:rsid w:val="009761B3"/>
    <w:rsid w:val="00976FD4"/>
    <w:rsid w:val="009851AF"/>
    <w:rsid w:val="00985C2F"/>
    <w:rsid w:val="00990AF9"/>
    <w:rsid w:val="00991835"/>
    <w:rsid w:val="00995F0C"/>
    <w:rsid w:val="009969E3"/>
    <w:rsid w:val="00996FDB"/>
    <w:rsid w:val="009A078E"/>
    <w:rsid w:val="009A3EDC"/>
    <w:rsid w:val="009A411E"/>
    <w:rsid w:val="009A4F71"/>
    <w:rsid w:val="009B055F"/>
    <w:rsid w:val="009B63A6"/>
    <w:rsid w:val="009B6ABA"/>
    <w:rsid w:val="009C05F1"/>
    <w:rsid w:val="009C51C4"/>
    <w:rsid w:val="009C524F"/>
    <w:rsid w:val="009D1797"/>
    <w:rsid w:val="009D1961"/>
    <w:rsid w:val="009D3E8D"/>
    <w:rsid w:val="009D784B"/>
    <w:rsid w:val="009E07BF"/>
    <w:rsid w:val="009E0AE7"/>
    <w:rsid w:val="009E4429"/>
    <w:rsid w:val="009E6DF5"/>
    <w:rsid w:val="009F2255"/>
    <w:rsid w:val="009F33C8"/>
    <w:rsid w:val="009F5487"/>
    <w:rsid w:val="00A11203"/>
    <w:rsid w:val="00A15CCB"/>
    <w:rsid w:val="00A165F4"/>
    <w:rsid w:val="00A21984"/>
    <w:rsid w:val="00A22F17"/>
    <w:rsid w:val="00A23F11"/>
    <w:rsid w:val="00A2400B"/>
    <w:rsid w:val="00A25058"/>
    <w:rsid w:val="00A25983"/>
    <w:rsid w:val="00A27250"/>
    <w:rsid w:val="00A31641"/>
    <w:rsid w:val="00A32C97"/>
    <w:rsid w:val="00A50CD2"/>
    <w:rsid w:val="00A519BD"/>
    <w:rsid w:val="00A52343"/>
    <w:rsid w:val="00A61218"/>
    <w:rsid w:val="00A61D8A"/>
    <w:rsid w:val="00A62A1F"/>
    <w:rsid w:val="00A63D3D"/>
    <w:rsid w:val="00A64B23"/>
    <w:rsid w:val="00A66255"/>
    <w:rsid w:val="00A70CB0"/>
    <w:rsid w:val="00A73249"/>
    <w:rsid w:val="00A76731"/>
    <w:rsid w:val="00A8190C"/>
    <w:rsid w:val="00A820F8"/>
    <w:rsid w:val="00A83401"/>
    <w:rsid w:val="00A85A5D"/>
    <w:rsid w:val="00A91C34"/>
    <w:rsid w:val="00A934A5"/>
    <w:rsid w:val="00AA1E7B"/>
    <w:rsid w:val="00AA29D5"/>
    <w:rsid w:val="00AA3AA6"/>
    <w:rsid w:val="00AA7D4C"/>
    <w:rsid w:val="00AB1D3A"/>
    <w:rsid w:val="00AB38AF"/>
    <w:rsid w:val="00AB3FCD"/>
    <w:rsid w:val="00AC392A"/>
    <w:rsid w:val="00AC48AE"/>
    <w:rsid w:val="00AC623D"/>
    <w:rsid w:val="00AC6F3E"/>
    <w:rsid w:val="00AC7A79"/>
    <w:rsid w:val="00AD035C"/>
    <w:rsid w:val="00AD3F80"/>
    <w:rsid w:val="00AE0154"/>
    <w:rsid w:val="00AE2488"/>
    <w:rsid w:val="00AF5F73"/>
    <w:rsid w:val="00AF610A"/>
    <w:rsid w:val="00B01223"/>
    <w:rsid w:val="00B04BF9"/>
    <w:rsid w:val="00B06C72"/>
    <w:rsid w:val="00B06FA9"/>
    <w:rsid w:val="00B17295"/>
    <w:rsid w:val="00B172B2"/>
    <w:rsid w:val="00B2175B"/>
    <w:rsid w:val="00B22A76"/>
    <w:rsid w:val="00B247E4"/>
    <w:rsid w:val="00B2561C"/>
    <w:rsid w:val="00B311F5"/>
    <w:rsid w:val="00B32072"/>
    <w:rsid w:val="00B327A0"/>
    <w:rsid w:val="00B35E49"/>
    <w:rsid w:val="00B4170C"/>
    <w:rsid w:val="00B50B99"/>
    <w:rsid w:val="00B5365C"/>
    <w:rsid w:val="00B54DA3"/>
    <w:rsid w:val="00B62C88"/>
    <w:rsid w:val="00B63B39"/>
    <w:rsid w:val="00B64C29"/>
    <w:rsid w:val="00B654E4"/>
    <w:rsid w:val="00B65F08"/>
    <w:rsid w:val="00B665DB"/>
    <w:rsid w:val="00B76609"/>
    <w:rsid w:val="00B76E3C"/>
    <w:rsid w:val="00B81BAF"/>
    <w:rsid w:val="00B852AB"/>
    <w:rsid w:val="00B85D78"/>
    <w:rsid w:val="00B85F38"/>
    <w:rsid w:val="00B90A50"/>
    <w:rsid w:val="00B91B98"/>
    <w:rsid w:val="00B9459E"/>
    <w:rsid w:val="00BA44F4"/>
    <w:rsid w:val="00BA4824"/>
    <w:rsid w:val="00BB2B90"/>
    <w:rsid w:val="00BB47FF"/>
    <w:rsid w:val="00BB6EA2"/>
    <w:rsid w:val="00BC17CD"/>
    <w:rsid w:val="00BC30E5"/>
    <w:rsid w:val="00BC42DD"/>
    <w:rsid w:val="00BC44E4"/>
    <w:rsid w:val="00BC6E8F"/>
    <w:rsid w:val="00BD0361"/>
    <w:rsid w:val="00BD03A4"/>
    <w:rsid w:val="00BD0AC9"/>
    <w:rsid w:val="00BD0DB0"/>
    <w:rsid w:val="00BE4516"/>
    <w:rsid w:val="00BE5086"/>
    <w:rsid w:val="00BE55DB"/>
    <w:rsid w:val="00BF3958"/>
    <w:rsid w:val="00BF3A4F"/>
    <w:rsid w:val="00BF3D0A"/>
    <w:rsid w:val="00BF60EC"/>
    <w:rsid w:val="00BF7520"/>
    <w:rsid w:val="00C0151A"/>
    <w:rsid w:val="00C0152B"/>
    <w:rsid w:val="00C026B4"/>
    <w:rsid w:val="00C02791"/>
    <w:rsid w:val="00C12E17"/>
    <w:rsid w:val="00C17CC7"/>
    <w:rsid w:val="00C2180F"/>
    <w:rsid w:val="00C27416"/>
    <w:rsid w:val="00C34E12"/>
    <w:rsid w:val="00C36989"/>
    <w:rsid w:val="00C443E1"/>
    <w:rsid w:val="00C457BD"/>
    <w:rsid w:val="00C47AF7"/>
    <w:rsid w:val="00C47FBB"/>
    <w:rsid w:val="00C505E3"/>
    <w:rsid w:val="00C516AE"/>
    <w:rsid w:val="00C5253F"/>
    <w:rsid w:val="00C53786"/>
    <w:rsid w:val="00C5489A"/>
    <w:rsid w:val="00C557C9"/>
    <w:rsid w:val="00C6363F"/>
    <w:rsid w:val="00C64419"/>
    <w:rsid w:val="00C64470"/>
    <w:rsid w:val="00C65136"/>
    <w:rsid w:val="00C65D05"/>
    <w:rsid w:val="00C71955"/>
    <w:rsid w:val="00C80C21"/>
    <w:rsid w:val="00C83524"/>
    <w:rsid w:val="00C84191"/>
    <w:rsid w:val="00C85E5D"/>
    <w:rsid w:val="00C90F3A"/>
    <w:rsid w:val="00C92BDC"/>
    <w:rsid w:val="00C93705"/>
    <w:rsid w:val="00C967B9"/>
    <w:rsid w:val="00C97760"/>
    <w:rsid w:val="00CA1F2D"/>
    <w:rsid w:val="00CA6331"/>
    <w:rsid w:val="00CA6A5A"/>
    <w:rsid w:val="00CA7D7D"/>
    <w:rsid w:val="00CB0E39"/>
    <w:rsid w:val="00CB5299"/>
    <w:rsid w:val="00CB6015"/>
    <w:rsid w:val="00CC6DE9"/>
    <w:rsid w:val="00CC7AEB"/>
    <w:rsid w:val="00CD0FE5"/>
    <w:rsid w:val="00CD4499"/>
    <w:rsid w:val="00CD5072"/>
    <w:rsid w:val="00CE13BE"/>
    <w:rsid w:val="00CE23AC"/>
    <w:rsid w:val="00CE2919"/>
    <w:rsid w:val="00CE79A2"/>
    <w:rsid w:val="00CF17D5"/>
    <w:rsid w:val="00CF2530"/>
    <w:rsid w:val="00CF4D23"/>
    <w:rsid w:val="00CF62B6"/>
    <w:rsid w:val="00D04894"/>
    <w:rsid w:val="00D10C0C"/>
    <w:rsid w:val="00D12F93"/>
    <w:rsid w:val="00D163EF"/>
    <w:rsid w:val="00D20B35"/>
    <w:rsid w:val="00D21723"/>
    <w:rsid w:val="00D2381C"/>
    <w:rsid w:val="00D3192C"/>
    <w:rsid w:val="00D3363B"/>
    <w:rsid w:val="00D33AF2"/>
    <w:rsid w:val="00D3499E"/>
    <w:rsid w:val="00D40A7A"/>
    <w:rsid w:val="00D51C25"/>
    <w:rsid w:val="00D5287B"/>
    <w:rsid w:val="00D53ABC"/>
    <w:rsid w:val="00D5509C"/>
    <w:rsid w:val="00D551B1"/>
    <w:rsid w:val="00D6040F"/>
    <w:rsid w:val="00D64732"/>
    <w:rsid w:val="00D6774B"/>
    <w:rsid w:val="00D7558F"/>
    <w:rsid w:val="00D7659A"/>
    <w:rsid w:val="00D825CB"/>
    <w:rsid w:val="00D832C3"/>
    <w:rsid w:val="00D8644B"/>
    <w:rsid w:val="00D95DB4"/>
    <w:rsid w:val="00D975A0"/>
    <w:rsid w:val="00DA4532"/>
    <w:rsid w:val="00DA5F6F"/>
    <w:rsid w:val="00DA68C6"/>
    <w:rsid w:val="00DB15F4"/>
    <w:rsid w:val="00DB42C1"/>
    <w:rsid w:val="00DB7835"/>
    <w:rsid w:val="00DC1E0F"/>
    <w:rsid w:val="00DD0CD6"/>
    <w:rsid w:val="00DD0FA5"/>
    <w:rsid w:val="00DD11A5"/>
    <w:rsid w:val="00DD1E84"/>
    <w:rsid w:val="00DE19E3"/>
    <w:rsid w:val="00DE22C4"/>
    <w:rsid w:val="00DE5168"/>
    <w:rsid w:val="00DE5C97"/>
    <w:rsid w:val="00DE6455"/>
    <w:rsid w:val="00DF1B2B"/>
    <w:rsid w:val="00DF40C9"/>
    <w:rsid w:val="00DF68C8"/>
    <w:rsid w:val="00DF7845"/>
    <w:rsid w:val="00E0363F"/>
    <w:rsid w:val="00E15801"/>
    <w:rsid w:val="00E159F2"/>
    <w:rsid w:val="00E1777A"/>
    <w:rsid w:val="00E2385E"/>
    <w:rsid w:val="00E242A5"/>
    <w:rsid w:val="00E26293"/>
    <w:rsid w:val="00E262D2"/>
    <w:rsid w:val="00E32F39"/>
    <w:rsid w:val="00E3581B"/>
    <w:rsid w:val="00E36B45"/>
    <w:rsid w:val="00E416FD"/>
    <w:rsid w:val="00E4229D"/>
    <w:rsid w:val="00E43220"/>
    <w:rsid w:val="00E46F86"/>
    <w:rsid w:val="00E50A2F"/>
    <w:rsid w:val="00E50CA6"/>
    <w:rsid w:val="00E51C16"/>
    <w:rsid w:val="00E5290C"/>
    <w:rsid w:val="00E54D77"/>
    <w:rsid w:val="00E556AF"/>
    <w:rsid w:val="00E55BA8"/>
    <w:rsid w:val="00E612B3"/>
    <w:rsid w:val="00E63590"/>
    <w:rsid w:val="00E67443"/>
    <w:rsid w:val="00E67711"/>
    <w:rsid w:val="00E743F8"/>
    <w:rsid w:val="00E81B9C"/>
    <w:rsid w:val="00E85359"/>
    <w:rsid w:val="00E864C3"/>
    <w:rsid w:val="00E87C48"/>
    <w:rsid w:val="00E92EBC"/>
    <w:rsid w:val="00E943B1"/>
    <w:rsid w:val="00E96283"/>
    <w:rsid w:val="00E97A4E"/>
    <w:rsid w:val="00EB2033"/>
    <w:rsid w:val="00EB255D"/>
    <w:rsid w:val="00EB39F9"/>
    <w:rsid w:val="00EB4CE8"/>
    <w:rsid w:val="00EB7B3D"/>
    <w:rsid w:val="00EC4D05"/>
    <w:rsid w:val="00EC5CEC"/>
    <w:rsid w:val="00EC68BC"/>
    <w:rsid w:val="00ED0569"/>
    <w:rsid w:val="00ED1F13"/>
    <w:rsid w:val="00ED4512"/>
    <w:rsid w:val="00ED4BA0"/>
    <w:rsid w:val="00ED59E7"/>
    <w:rsid w:val="00ED5F05"/>
    <w:rsid w:val="00EE0C8D"/>
    <w:rsid w:val="00EE3DC1"/>
    <w:rsid w:val="00EE5D69"/>
    <w:rsid w:val="00EF22BA"/>
    <w:rsid w:val="00EF655A"/>
    <w:rsid w:val="00F000E1"/>
    <w:rsid w:val="00F00964"/>
    <w:rsid w:val="00F04D79"/>
    <w:rsid w:val="00F07F17"/>
    <w:rsid w:val="00F144F6"/>
    <w:rsid w:val="00F14DFF"/>
    <w:rsid w:val="00F15F80"/>
    <w:rsid w:val="00F17453"/>
    <w:rsid w:val="00F20486"/>
    <w:rsid w:val="00F24177"/>
    <w:rsid w:val="00F2568D"/>
    <w:rsid w:val="00F26118"/>
    <w:rsid w:val="00F30174"/>
    <w:rsid w:val="00F35123"/>
    <w:rsid w:val="00F430EE"/>
    <w:rsid w:val="00F43376"/>
    <w:rsid w:val="00F45A78"/>
    <w:rsid w:val="00F46543"/>
    <w:rsid w:val="00F5372C"/>
    <w:rsid w:val="00F53A5E"/>
    <w:rsid w:val="00F56D53"/>
    <w:rsid w:val="00F56F72"/>
    <w:rsid w:val="00F56F92"/>
    <w:rsid w:val="00F6115E"/>
    <w:rsid w:val="00F6168F"/>
    <w:rsid w:val="00F632E0"/>
    <w:rsid w:val="00F729C6"/>
    <w:rsid w:val="00F746E0"/>
    <w:rsid w:val="00F75643"/>
    <w:rsid w:val="00F76860"/>
    <w:rsid w:val="00F76A53"/>
    <w:rsid w:val="00F8053A"/>
    <w:rsid w:val="00F81C8B"/>
    <w:rsid w:val="00F81D48"/>
    <w:rsid w:val="00F822A1"/>
    <w:rsid w:val="00F8278F"/>
    <w:rsid w:val="00F83176"/>
    <w:rsid w:val="00F870F8"/>
    <w:rsid w:val="00F97626"/>
    <w:rsid w:val="00FA0DCC"/>
    <w:rsid w:val="00FA1191"/>
    <w:rsid w:val="00FA296E"/>
    <w:rsid w:val="00FA3EE5"/>
    <w:rsid w:val="00FB12AA"/>
    <w:rsid w:val="00FB2562"/>
    <w:rsid w:val="00FC5BF4"/>
    <w:rsid w:val="00FC5CAF"/>
    <w:rsid w:val="00FD0538"/>
    <w:rsid w:val="00FD59AD"/>
    <w:rsid w:val="00FD7E1F"/>
    <w:rsid w:val="00FE14ED"/>
    <w:rsid w:val="00FE5784"/>
    <w:rsid w:val="00FE7356"/>
    <w:rsid w:val="00FE76DF"/>
    <w:rsid w:val="00FF0BC3"/>
    <w:rsid w:val="00FF31C1"/>
    <w:rsid w:val="00FF51DC"/>
    <w:rsid w:val="00FF60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F0764"/>
  <w14:defaultImageDpi w14:val="0"/>
  <w15:docId w15:val="{D06F1BAF-1E96-44BB-9C14-54AD6D4F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160" w:line="259" w:lineRule="auto"/>
    </w:pPr>
    <w:rPr>
      <w:sz w:val="22"/>
      <w:szCs w:val="22"/>
    </w:rPr>
  </w:style>
  <w:style w:type="paragraph" w:styleId="Nadpis1">
    <w:name w:val="heading 1"/>
    <w:basedOn w:val="Normln"/>
    <w:next w:val="Normln"/>
    <w:link w:val="Nadpis1Char"/>
    <w:uiPriority w:val="9"/>
    <w:qFormat/>
    <w:rsid w:val="005066D7"/>
    <w:pPr>
      <w:keepNext/>
      <w:numPr>
        <w:numId w:val="2"/>
      </w:numPr>
      <w:spacing w:after="240" w:line="360" w:lineRule="auto"/>
      <w:outlineLvl w:val="0"/>
    </w:pPr>
    <w:rPr>
      <w:rFonts w:ascii="Times New Roman" w:hAnsi="Times New Roman"/>
      <w:b/>
      <w:bCs/>
      <w:kern w:val="32"/>
      <w:sz w:val="32"/>
      <w:szCs w:val="32"/>
    </w:rPr>
  </w:style>
  <w:style w:type="paragraph" w:styleId="Nadpis2">
    <w:name w:val="heading 2"/>
    <w:basedOn w:val="Normln"/>
    <w:next w:val="Normln"/>
    <w:link w:val="Nadpis2Char"/>
    <w:uiPriority w:val="9"/>
    <w:unhideWhenUsed/>
    <w:qFormat/>
    <w:rsid w:val="007C2545"/>
    <w:pPr>
      <w:keepNext/>
      <w:numPr>
        <w:ilvl w:val="1"/>
        <w:numId w:val="2"/>
      </w:numPr>
      <w:spacing w:before="240" w:after="240" w:line="360" w:lineRule="auto"/>
      <w:outlineLvl w:val="1"/>
    </w:pPr>
    <w:rPr>
      <w:rFonts w:ascii="Times New Roman" w:hAnsi="Times New Roman"/>
      <w:b/>
      <w:bCs/>
      <w:iCs/>
      <w:sz w:val="28"/>
      <w:szCs w:val="28"/>
    </w:rPr>
  </w:style>
  <w:style w:type="paragraph" w:styleId="Nadpis3">
    <w:name w:val="heading 3"/>
    <w:basedOn w:val="Normln"/>
    <w:next w:val="Normln"/>
    <w:link w:val="Nadpis3Char"/>
    <w:uiPriority w:val="9"/>
    <w:unhideWhenUsed/>
    <w:qFormat/>
    <w:rsid w:val="003755B0"/>
    <w:pPr>
      <w:keepNext/>
      <w:numPr>
        <w:ilvl w:val="2"/>
        <w:numId w:val="2"/>
      </w:numPr>
      <w:spacing w:before="240" w:after="240" w:line="360" w:lineRule="auto"/>
      <w:outlineLvl w:val="2"/>
    </w:pPr>
    <w:rPr>
      <w:rFonts w:ascii="Times New Roman" w:hAnsi="Times New Roman"/>
      <w:b/>
      <w:bCs/>
      <w:sz w:val="24"/>
      <w:szCs w:val="26"/>
    </w:rPr>
  </w:style>
  <w:style w:type="paragraph" w:styleId="Nadpis4">
    <w:name w:val="heading 4"/>
    <w:basedOn w:val="Normln"/>
    <w:next w:val="Normln"/>
    <w:link w:val="Nadpis4Char"/>
    <w:uiPriority w:val="9"/>
    <w:unhideWhenUsed/>
    <w:qFormat/>
    <w:rsid w:val="00F75643"/>
    <w:pPr>
      <w:keepNext/>
      <w:numPr>
        <w:ilvl w:val="3"/>
        <w:numId w:val="2"/>
      </w:numPr>
      <w:spacing w:before="240" w:after="60"/>
      <w:outlineLvl w:val="3"/>
    </w:pPr>
    <w:rPr>
      <w:b/>
      <w:bCs/>
      <w:sz w:val="28"/>
      <w:szCs w:val="28"/>
    </w:rPr>
  </w:style>
  <w:style w:type="paragraph" w:styleId="Nadpis5">
    <w:name w:val="heading 5"/>
    <w:basedOn w:val="Normln"/>
    <w:next w:val="Normln"/>
    <w:link w:val="Nadpis5Char"/>
    <w:uiPriority w:val="9"/>
    <w:unhideWhenUsed/>
    <w:qFormat/>
    <w:rsid w:val="001646FF"/>
    <w:pPr>
      <w:numPr>
        <w:ilvl w:val="4"/>
        <w:numId w:val="2"/>
      </w:numPr>
      <w:spacing w:before="240" w:after="60"/>
      <w:outlineLvl w:val="4"/>
    </w:pPr>
    <w:rPr>
      <w:b/>
      <w:bCs/>
      <w:i/>
      <w:iCs/>
      <w:sz w:val="26"/>
      <w:szCs w:val="26"/>
    </w:rPr>
  </w:style>
  <w:style w:type="paragraph" w:styleId="Nadpis6">
    <w:name w:val="heading 6"/>
    <w:basedOn w:val="Normln"/>
    <w:next w:val="Normln"/>
    <w:link w:val="Nadpis6Char"/>
    <w:uiPriority w:val="9"/>
    <w:unhideWhenUsed/>
    <w:qFormat/>
    <w:rsid w:val="001646FF"/>
    <w:pPr>
      <w:numPr>
        <w:ilvl w:val="5"/>
        <w:numId w:val="2"/>
      </w:numPr>
      <w:spacing w:before="240" w:after="60"/>
      <w:outlineLvl w:val="5"/>
    </w:pPr>
    <w:rPr>
      <w:b/>
      <w:bCs/>
    </w:rPr>
  </w:style>
  <w:style w:type="paragraph" w:styleId="Nadpis7">
    <w:name w:val="heading 7"/>
    <w:basedOn w:val="Normln"/>
    <w:next w:val="Normln"/>
    <w:link w:val="Nadpis7Char"/>
    <w:uiPriority w:val="9"/>
    <w:semiHidden/>
    <w:unhideWhenUsed/>
    <w:qFormat/>
    <w:rsid w:val="007C2545"/>
    <w:pPr>
      <w:numPr>
        <w:ilvl w:val="6"/>
        <w:numId w:val="2"/>
      </w:numPr>
      <w:spacing w:before="240" w:after="60"/>
      <w:outlineLvl w:val="6"/>
    </w:pPr>
    <w:rPr>
      <w:sz w:val="24"/>
      <w:szCs w:val="24"/>
    </w:rPr>
  </w:style>
  <w:style w:type="paragraph" w:styleId="Nadpis8">
    <w:name w:val="heading 8"/>
    <w:basedOn w:val="Normln"/>
    <w:next w:val="Normln"/>
    <w:link w:val="Nadpis8Char"/>
    <w:uiPriority w:val="9"/>
    <w:semiHidden/>
    <w:unhideWhenUsed/>
    <w:qFormat/>
    <w:rsid w:val="007C2545"/>
    <w:pPr>
      <w:numPr>
        <w:ilvl w:val="7"/>
        <w:numId w:val="2"/>
      </w:numPr>
      <w:spacing w:before="240" w:after="60"/>
      <w:outlineLvl w:val="7"/>
    </w:pPr>
    <w:rPr>
      <w:i/>
      <w:iCs/>
      <w:sz w:val="24"/>
      <w:szCs w:val="24"/>
    </w:rPr>
  </w:style>
  <w:style w:type="paragraph" w:styleId="Nadpis9">
    <w:name w:val="heading 9"/>
    <w:basedOn w:val="Normln"/>
    <w:next w:val="Normln"/>
    <w:link w:val="Nadpis9Char"/>
    <w:uiPriority w:val="9"/>
    <w:semiHidden/>
    <w:unhideWhenUsed/>
    <w:qFormat/>
    <w:rsid w:val="007C2545"/>
    <w:pPr>
      <w:numPr>
        <w:ilvl w:val="8"/>
        <w:numId w:val="2"/>
      </w:numPr>
      <w:spacing w:before="240" w:after="60"/>
      <w:outlineLvl w:val="8"/>
    </w:pPr>
    <w:rPr>
      <w:rFonts w:ascii="Calibri Light" w:hAnsi="Calibri Ligh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5066D7"/>
    <w:rPr>
      <w:rFonts w:ascii="Times New Roman" w:hAnsi="Times New Roman"/>
      <w:b/>
      <w:bCs/>
      <w:kern w:val="32"/>
      <w:sz w:val="32"/>
      <w:szCs w:val="32"/>
    </w:rPr>
  </w:style>
  <w:style w:type="character" w:customStyle="1" w:styleId="Nadpis2Char">
    <w:name w:val="Nadpis 2 Char"/>
    <w:link w:val="Nadpis2"/>
    <w:uiPriority w:val="9"/>
    <w:locked/>
    <w:rsid w:val="007C2545"/>
    <w:rPr>
      <w:rFonts w:ascii="Times New Roman" w:hAnsi="Times New Roman"/>
      <w:b/>
      <w:bCs/>
      <w:iCs/>
      <w:sz w:val="28"/>
      <w:szCs w:val="28"/>
    </w:rPr>
  </w:style>
  <w:style w:type="character" w:customStyle="1" w:styleId="Nadpis3Char">
    <w:name w:val="Nadpis 3 Char"/>
    <w:link w:val="Nadpis3"/>
    <w:uiPriority w:val="9"/>
    <w:locked/>
    <w:rsid w:val="003755B0"/>
    <w:rPr>
      <w:rFonts w:ascii="Times New Roman" w:hAnsi="Times New Roman"/>
      <w:b/>
      <w:bCs/>
      <w:sz w:val="24"/>
      <w:szCs w:val="26"/>
    </w:rPr>
  </w:style>
  <w:style w:type="paragraph" w:customStyle="1" w:styleId="p2">
    <w:name w:val="p2"/>
    <w:basedOn w:val="Normln"/>
    <w:rsid w:val="00A21984"/>
    <w:pPr>
      <w:spacing w:before="100" w:beforeAutospacing="1" w:after="100" w:afterAutospacing="1" w:line="240" w:lineRule="auto"/>
    </w:pPr>
    <w:rPr>
      <w:rFonts w:ascii="Times New Roman" w:hAnsi="Times New Roman"/>
      <w:sz w:val="24"/>
      <w:szCs w:val="24"/>
    </w:rPr>
  </w:style>
  <w:style w:type="character" w:customStyle="1" w:styleId="highlight">
    <w:name w:val="highlight"/>
    <w:rsid w:val="00A21984"/>
    <w:rPr>
      <w:rFonts w:cs="Times New Roman"/>
    </w:rPr>
  </w:style>
  <w:style w:type="character" w:styleId="Hypertextovodkaz">
    <w:name w:val="Hyperlink"/>
    <w:uiPriority w:val="99"/>
    <w:unhideWhenUsed/>
    <w:rsid w:val="00113E03"/>
    <w:rPr>
      <w:rFonts w:cs="Times New Roman"/>
      <w:color w:val="0000FF"/>
      <w:u w:val="single"/>
    </w:rPr>
  </w:style>
  <w:style w:type="character" w:customStyle="1" w:styleId="highlight-disabled">
    <w:name w:val="highlight-disabled"/>
    <w:rsid w:val="00113E03"/>
    <w:rPr>
      <w:rFonts w:cs="Times New Roman"/>
    </w:rPr>
  </w:style>
  <w:style w:type="paragraph" w:styleId="Textpoznpodarou">
    <w:name w:val="footnote text"/>
    <w:basedOn w:val="Normln"/>
    <w:link w:val="TextpoznpodarouChar"/>
    <w:uiPriority w:val="99"/>
    <w:unhideWhenUsed/>
    <w:rsid w:val="006C65A5"/>
    <w:rPr>
      <w:sz w:val="20"/>
      <w:szCs w:val="20"/>
    </w:rPr>
  </w:style>
  <w:style w:type="character" w:customStyle="1" w:styleId="TextpoznpodarouChar">
    <w:name w:val="Text pozn. pod čarou Char"/>
    <w:link w:val="Textpoznpodarou"/>
    <w:uiPriority w:val="99"/>
    <w:locked/>
    <w:rsid w:val="006C65A5"/>
    <w:rPr>
      <w:rFonts w:cs="Times New Roman"/>
      <w:sz w:val="20"/>
      <w:szCs w:val="20"/>
    </w:rPr>
  </w:style>
  <w:style w:type="character" w:styleId="Znakapoznpodarou">
    <w:name w:val="footnote reference"/>
    <w:uiPriority w:val="99"/>
    <w:semiHidden/>
    <w:unhideWhenUsed/>
    <w:rsid w:val="006C65A5"/>
    <w:rPr>
      <w:rFonts w:cs="Times New Roman"/>
      <w:vertAlign w:val="superscript"/>
    </w:rPr>
  </w:style>
  <w:style w:type="paragraph" w:styleId="Normlnweb">
    <w:name w:val="Normal (Web)"/>
    <w:basedOn w:val="Normln"/>
    <w:uiPriority w:val="99"/>
    <w:semiHidden/>
    <w:unhideWhenUsed/>
    <w:rsid w:val="006C65A5"/>
    <w:pPr>
      <w:spacing w:before="100" w:beforeAutospacing="1" w:after="100" w:afterAutospacing="1" w:line="240" w:lineRule="auto"/>
    </w:pPr>
    <w:rPr>
      <w:rFonts w:ascii="Times New Roman" w:hAnsi="Times New Roman"/>
      <w:sz w:val="24"/>
      <w:szCs w:val="24"/>
    </w:rPr>
  </w:style>
  <w:style w:type="paragraph" w:customStyle="1" w:styleId="p-margin">
    <w:name w:val="p-margin"/>
    <w:basedOn w:val="Normln"/>
    <w:rsid w:val="00DF40C9"/>
    <w:pPr>
      <w:spacing w:before="100" w:beforeAutospacing="1" w:after="100" w:afterAutospacing="1" w:line="240" w:lineRule="auto"/>
    </w:pPr>
    <w:rPr>
      <w:rFonts w:ascii="Times New Roman" w:hAnsi="Times New Roman"/>
      <w:sz w:val="24"/>
      <w:szCs w:val="24"/>
    </w:rPr>
  </w:style>
  <w:style w:type="paragraph" w:customStyle="1" w:styleId="j-veta">
    <w:name w:val="j-veta"/>
    <w:basedOn w:val="Normln"/>
    <w:rsid w:val="00CA7D7D"/>
    <w:pPr>
      <w:spacing w:before="100" w:beforeAutospacing="1" w:after="100" w:afterAutospacing="1" w:line="240" w:lineRule="auto"/>
    </w:pPr>
    <w:rPr>
      <w:rFonts w:ascii="Times New Roman" w:hAnsi="Times New Roman"/>
      <w:sz w:val="24"/>
      <w:szCs w:val="24"/>
    </w:rPr>
  </w:style>
  <w:style w:type="paragraph" w:customStyle="1" w:styleId="empty-p">
    <w:name w:val="empty-p"/>
    <w:basedOn w:val="Normln"/>
    <w:rsid w:val="00CA7D7D"/>
    <w:pPr>
      <w:spacing w:before="100" w:beforeAutospacing="1" w:after="100" w:afterAutospacing="1" w:line="240" w:lineRule="auto"/>
    </w:pPr>
    <w:rPr>
      <w:rFonts w:ascii="Times New Roman" w:hAnsi="Times New Roman"/>
      <w:sz w:val="24"/>
      <w:szCs w:val="24"/>
    </w:rPr>
  </w:style>
  <w:style w:type="paragraph" w:customStyle="1" w:styleId="j-line">
    <w:name w:val="j-line"/>
    <w:basedOn w:val="Normln"/>
    <w:rsid w:val="00CA7D7D"/>
    <w:pPr>
      <w:spacing w:before="100" w:beforeAutospacing="1" w:after="100" w:afterAutospacing="1" w:line="240" w:lineRule="auto"/>
    </w:pPr>
    <w:rPr>
      <w:rFonts w:ascii="Times New Roman" w:hAnsi="Times New Roman"/>
      <w:sz w:val="24"/>
      <w:szCs w:val="24"/>
    </w:rPr>
  </w:style>
  <w:style w:type="paragraph" w:customStyle="1" w:styleId="j-k">
    <w:name w:val="j-k"/>
    <w:basedOn w:val="Normln"/>
    <w:rsid w:val="00CA7D7D"/>
    <w:pPr>
      <w:spacing w:before="100" w:beforeAutospacing="1" w:after="100" w:afterAutospacing="1" w:line="240" w:lineRule="auto"/>
    </w:pPr>
    <w:rPr>
      <w:rFonts w:ascii="Times New Roman" w:hAnsi="Times New Roman"/>
      <w:sz w:val="24"/>
      <w:szCs w:val="24"/>
    </w:rPr>
  </w:style>
  <w:style w:type="character" w:customStyle="1" w:styleId="Nadpis4Char">
    <w:name w:val="Nadpis 4 Char"/>
    <w:link w:val="Nadpis4"/>
    <w:uiPriority w:val="9"/>
    <w:rsid w:val="00F75643"/>
    <w:rPr>
      <w:b/>
      <w:bCs/>
      <w:sz w:val="28"/>
      <w:szCs w:val="28"/>
    </w:rPr>
  </w:style>
  <w:style w:type="character" w:customStyle="1" w:styleId="Nevyeenzmnka1">
    <w:name w:val="Nevyřešená zmínka1"/>
    <w:uiPriority w:val="99"/>
    <w:semiHidden/>
    <w:unhideWhenUsed/>
    <w:rsid w:val="004B3A33"/>
    <w:rPr>
      <w:color w:val="605E5C"/>
      <w:shd w:val="clear" w:color="auto" w:fill="E1DFDD"/>
    </w:rPr>
  </w:style>
  <w:style w:type="character" w:customStyle="1" w:styleId="Nadpis5Char">
    <w:name w:val="Nadpis 5 Char"/>
    <w:link w:val="Nadpis5"/>
    <w:uiPriority w:val="9"/>
    <w:rsid w:val="001646FF"/>
    <w:rPr>
      <w:b/>
      <w:bCs/>
      <w:i/>
      <w:iCs/>
      <w:sz w:val="26"/>
      <w:szCs w:val="26"/>
    </w:rPr>
  </w:style>
  <w:style w:type="character" w:customStyle="1" w:styleId="Nadpis6Char">
    <w:name w:val="Nadpis 6 Char"/>
    <w:link w:val="Nadpis6"/>
    <w:uiPriority w:val="9"/>
    <w:rsid w:val="001646FF"/>
    <w:rPr>
      <w:b/>
      <w:bCs/>
      <w:sz w:val="22"/>
      <w:szCs w:val="22"/>
    </w:rPr>
  </w:style>
  <w:style w:type="character" w:styleId="Zdraznn">
    <w:name w:val="Emphasis"/>
    <w:uiPriority w:val="20"/>
    <w:qFormat/>
    <w:rsid w:val="0073437A"/>
    <w:rPr>
      <w:i/>
      <w:iCs/>
    </w:rPr>
  </w:style>
  <w:style w:type="paragraph" w:customStyle="1" w:styleId="format">
    <w:name w:val="format"/>
    <w:basedOn w:val="Normln"/>
    <w:qFormat/>
    <w:rsid w:val="00E262D2"/>
    <w:pPr>
      <w:spacing w:after="0" w:line="360" w:lineRule="auto"/>
      <w:ind w:firstLine="680"/>
      <w:jc w:val="both"/>
    </w:pPr>
    <w:rPr>
      <w:rFonts w:ascii="Times New Roman" w:hAnsi="Times New Roman"/>
      <w:sz w:val="24"/>
      <w:szCs w:val="24"/>
    </w:rPr>
  </w:style>
  <w:style w:type="paragraph" w:styleId="Zhlav">
    <w:name w:val="header"/>
    <w:basedOn w:val="Normln"/>
    <w:link w:val="ZhlavChar"/>
    <w:uiPriority w:val="99"/>
    <w:unhideWhenUsed/>
    <w:rsid w:val="005066D7"/>
    <w:pPr>
      <w:tabs>
        <w:tab w:val="center" w:pos="4536"/>
        <w:tab w:val="right" w:pos="9072"/>
      </w:tabs>
    </w:pPr>
  </w:style>
  <w:style w:type="character" w:customStyle="1" w:styleId="ZhlavChar">
    <w:name w:val="Záhlaví Char"/>
    <w:link w:val="Zhlav"/>
    <w:uiPriority w:val="99"/>
    <w:rsid w:val="005066D7"/>
    <w:rPr>
      <w:sz w:val="22"/>
      <w:szCs w:val="22"/>
    </w:rPr>
  </w:style>
  <w:style w:type="paragraph" w:styleId="Zpat">
    <w:name w:val="footer"/>
    <w:basedOn w:val="Normln"/>
    <w:link w:val="ZpatChar"/>
    <w:uiPriority w:val="99"/>
    <w:unhideWhenUsed/>
    <w:rsid w:val="005066D7"/>
    <w:pPr>
      <w:tabs>
        <w:tab w:val="center" w:pos="4536"/>
        <w:tab w:val="right" w:pos="9072"/>
      </w:tabs>
    </w:pPr>
  </w:style>
  <w:style w:type="character" w:customStyle="1" w:styleId="ZpatChar">
    <w:name w:val="Zápatí Char"/>
    <w:link w:val="Zpat"/>
    <w:uiPriority w:val="99"/>
    <w:rsid w:val="005066D7"/>
    <w:rPr>
      <w:sz w:val="22"/>
      <w:szCs w:val="22"/>
    </w:rPr>
  </w:style>
  <w:style w:type="character" w:customStyle="1" w:styleId="Nadpis7Char">
    <w:name w:val="Nadpis 7 Char"/>
    <w:link w:val="Nadpis7"/>
    <w:uiPriority w:val="9"/>
    <w:semiHidden/>
    <w:rsid w:val="007C2545"/>
    <w:rPr>
      <w:sz w:val="24"/>
      <w:szCs w:val="24"/>
    </w:rPr>
  </w:style>
  <w:style w:type="character" w:customStyle="1" w:styleId="Nadpis8Char">
    <w:name w:val="Nadpis 8 Char"/>
    <w:link w:val="Nadpis8"/>
    <w:uiPriority w:val="9"/>
    <w:semiHidden/>
    <w:rsid w:val="007C2545"/>
    <w:rPr>
      <w:i/>
      <w:iCs/>
      <w:sz w:val="24"/>
      <w:szCs w:val="24"/>
    </w:rPr>
  </w:style>
  <w:style w:type="character" w:customStyle="1" w:styleId="Nadpis9Char">
    <w:name w:val="Nadpis 9 Char"/>
    <w:link w:val="Nadpis9"/>
    <w:uiPriority w:val="9"/>
    <w:semiHidden/>
    <w:rsid w:val="007C2545"/>
    <w:rPr>
      <w:rFonts w:ascii="Calibri Light" w:hAnsi="Calibri Light"/>
      <w:sz w:val="22"/>
      <w:szCs w:val="22"/>
    </w:rPr>
  </w:style>
  <w:style w:type="paragraph" w:styleId="Revize">
    <w:name w:val="Revision"/>
    <w:hidden/>
    <w:uiPriority w:val="99"/>
    <w:semiHidden/>
    <w:rsid w:val="0005768D"/>
    <w:rPr>
      <w:sz w:val="22"/>
      <w:szCs w:val="22"/>
    </w:rPr>
  </w:style>
  <w:style w:type="paragraph" w:styleId="Textbubliny">
    <w:name w:val="Balloon Text"/>
    <w:basedOn w:val="Normln"/>
    <w:link w:val="TextbublinyChar"/>
    <w:uiPriority w:val="99"/>
    <w:semiHidden/>
    <w:unhideWhenUsed/>
    <w:rsid w:val="00B654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4E4"/>
    <w:rPr>
      <w:rFonts w:ascii="Tahoma" w:hAnsi="Tahoma" w:cs="Tahoma"/>
      <w:sz w:val="16"/>
      <w:szCs w:val="16"/>
    </w:rPr>
  </w:style>
  <w:style w:type="paragraph" w:styleId="Obsah1">
    <w:name w:val="toc 1"/>
    <w:basedOn w:val="Normln"/>
    <w:next w:val="Normln"/>
    <w:autoRedefine/>
    <w:uiPriority w:val="39"/>
    <w:unhideWhenUsed/>
    <w:rsid w:val="004733BD"/>
    <w:pPr>
      <w:tabs>
        <w:tab w:val="left" w:pos="440"/>
        <w:tab w:val="right" w:leader="dot" w:pos="9395"/>
      </w:tabs>
      <w:spacing w:before="120" w:after="120" w:line="360" w:lineRule="auto"/>
    </w:pPr>
    <w:rPr>
      <w:rFonts w:ascii="Times New Roman" w:hAnsi="Times New Roman"/>
      <w:b/>
      <w:sz w:val="24"/>
    </w:rPr>
  </w:style>
  <w:style w:type="paragraph" w:styleId="Obsah2">
    <w:name w:val="toc 2"/>
    <w:basedOn w:val="Normln"/>
    <w:next w:val="Normln"/>
    <w:autoRedefine/>
    <w:uiPriority w:val="39"/>
    <w:unhideWhenUsed/>
    <w:rsid w:val="004733BD"/>
    <w:pPr>
      <w:spacing w:after="0" w:line="360" w:lineRule="auto"/>
      <w:ind w:left="227"/>
    </w:pPr>
    <w:rPr>
      <w:rFonts w:ascii="Times New Roman" w:hAnsi="Times New Roman"/>
      <w:sz w:val="24"/>
    </w:rPr>
  </w:style>
  <w:style w:type="paragraph" w:styleId="Obsah3">
    <w:name w:val="toc 3"/>
    <w:basedOn w:val="Normln"/>
    <w:next w:val="Normln"/>
    <w:autoRedefine/>
    <w:uiPriority w:val="39"/>
    <w:unhideWhenUsed/>
    <w:rsid w:val="004733BD"/>
    <w:pPr>
      <w:spacing w:after="0" w:line="360" w:lineRule="auto"/>
      <w:ind w:left="454"/>
    </w:pPr>
    <w:rPr>
      <w:rFonts w:ascii="Times New Roman" w:hAnsi="Times New Roman"/>
      <w:sz w:val="24"/>
    </w:rPr>
  </w:style>
  <w:style w:type="paragraph" w:styleId="Titulek">
    <w:name w:val="caption"/>
    <w:basedOn w:val="Normln"/>
    <w:next w:val="Normln"/>
    <w:uiPriority w:val="35"/>
    <w:semiHidden/>
    <w:unhideWhenUsed/>
    <w:qFormat/>
    <w:rsid w:val="005F4278"/>
    <w:pPr>
      <w:spacing w:after="200" w:line="240" w:lineRule="auto"/>
    </w:pPr>
    <w:rPr>
      <w:b/>
      <w:bCs/>
      <w:color w:val="4472C4" w:themeColor="accent1"/>
      <w:sz w:val="18"/>
      <w:szCs w:val="18"/>
    </w:rPr>
  </w:style>
  <w:style w:type="paragraph" w:styleId="Seznamobrzk">
    <w:name w:val="table of figures"/>
    <w:basedOn w:val="Normln"/>
    <w:next w:val="Normln"/>
    <w:uiPriority w:val="99"/>
    <w:unhideWhenUsed/>
    <w:rsid w:val="00653BEB"/>
    <w:pPr>
      <w:spacing w:after="0" w:line="36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96190">
      <w:bodyDiv w:val="1"/>
      <w:marLeft w:val="0"/>
      <w:marRight w:val="0"/>
      <w:marTop w:val="0"/>
      <w:marBottom w:val="0"/>
      <w:divBdr>
        <w:top w:val="none" w:sz="0" w:space="0" w:color="auto"/>
        <w:left w:val="none" w:sz="0" w:space="0" w:color="auto"/>
        <w:bottom w:val="none" w:sz="0" w:space="0" w:color="auto"/>
        <w:right w:val="none" w:sz="0" w:space="0" w:color="auto"/>
      </w:divBdr>
    </w:div>
    <w:div w:id="1037661469">
      <w:marLeft w:val="0"/>
      <w:marRight w:val="0"/>
      <w:marTop w:val="0"/>
      <w:marBottom w:val="0"/>
      <w:divBdr>
        <w:top w:val="none" w:sz="0" w:space="0" w:color="auto"/>
        <w:left w:val="none" w:sz="0" w:space="0" w:color="auto"/>
        <w:bottom w:val="none" w:sz="0" w:space="0" w:color="auto"/>
        <w:right w:val="none" w:sz="0" w:space="0" w:color="auto"/>
      </w:divBdr>
    </w:div>
    <w:div w:id="1037661470">
      <w:marLeft w:val="0"/>
      <w:marRight w:val="0"/>
      <w:marTop w:val="0"/>
      <w:marBottom w:val="0"/>
      <w:divBdr>
        <w:top w:val="none" w:sz="0" w:space="0" w:color="auto"/>
        <w:left w:val="none" w:sz="0" w:space="0" w:color="auto"/>
        <w:bottom w:val="none" w:sz="0" w:space="0" w:color="auto"/>
        <w:right w:val="none" w:sz="0" w:space="0" w:color="auto"/>
      </w:divBdr>
    </w:div>
    <w:div w:id="1037661471">
      <w:marLeft w:val="0"/>
      <w:marRight w:val="0"/>
      <w:marTop w:val="0"/>
      <w:marBottom w:val="0"/>
      <w:divBdr>
        <w:top w:val="none" w:sz="0" w:space="0" w:color="auto"/>
        <w:left w:val="none" w:sz="0" w:space="0" w:color="auto"/>
        <w:bottom w:val="none" w:sz="0" w:space="0" w:color="auto"/>
        <w:right w:val="none" w:sz="0" w:space="0" w:color="auto"/>
      </w:divBdr>
      <w:divsChild>
        <w:div w:id="1037661483">
          <w:marLeft w:val="0"/>
          <w:marRight w:val="0"/>
          <w:marTop w:val="200"/>
          <w:marBottom w:val="100"/>
          <w:divBdr>
            <w:top w:val="none" w:sz="0" w:space="0" w:color="auto"/>
            <w:left w:val="none" w:sz="0" w:space="0" w:color="auto"/>
            <w:bottom w:val="none" w:sz="0" w:space="0" w:color="auto"/>
            <w:right w:val="none" w:sz="0" w:space="0" w:color="auto"/>
          </w:divBdr>
        </w:div>
      </w:divsChild>
    </w:div>
    <w:div w:id="1037661474">
      <w:marLeft w:val="0"/>
      <w:marRight w:val="0"/>
      <w:marTop w:val="0"/>
      <w:marBottom w:val="0"/>
      <w:divBdr>
        <w:top w:val="none" w:sz="0" w:space="0" w:color="auto"/>
        <w:left w:val="none" w:sz="0" w:space="0" w:color="auto"/>
        <w:bottom w:val="none" w:sz="0" w:space="0" w:color="auto"/>
        <w:right w:val="none" w:sz="0" w:space="0" w:color="auto"/>
      </w:divBdr>
      <w:divsChild>
        <w:div w:id="1037661472">
          <w:marLeft w:val="0"/>
          <w:marRight w:val="0"/>
          <w:marTop w:val="384"/>
          <w:marBottom w:val="0"/>
          <w:divBdr>
            <w:top w:val="none" w:sz="0" w:space="0" w:color="auto"/>
            <w:left w:val="none" w:sz="0" w:space="0" w:color="auto"/>
            <w:bottom w:val="none" w:sz="0" w:space="0" w:color="auto"/>
            <w:right w:val="none" w:sz="0" w:space="0" w:color="auto"/>
          </w:divBdr>
        </w:div>
        <w:div w:id="1037661473">
          <w:marLeft w:val="0"/>
          <w:marRight w:val="0"/>
          <w:marTop w:val="384"/>
          <w:marBottom w:val="0"/>
          <w:divBdr>
            <w:top w:val="none" w:sz="0" w:space="0" w:color="auto"/>
            <w:left w:val="none" w:sz="0" w:space="0" w:color="auto"/>
            <w:bottom w:val="none" w:sz="0" w:space="0" w:color="auto"/>
            <w:right w:val="none" w:sz="0" w:space="0" w:color="auto"/>
          </w:divBdr>
        </w:div>
        <w:div w:id="1037661477">
          <w:marLeft w:val="0"/>
          <w:marRight w:val="0"/>
          <w:marTop w:val="384"/>
          <w:marBottom w:val="0"/>
          <w:divBdr>
            <w:top w:val="none" w:sz="0" w:space="0" w:color="auto"/>
            <w:left w:val="none" w:sz="0" w:space="0" w:color="auto"/>
            <w:bottom w:val="none" w:sz="0" w:space="0" w:color="auto"/>
            <w:right w:val="none" w:sz="0" w:space="0" w:color="auto"/>
          </w:divBdr>
        </w:div>
        <w:div w:id="1037661515">
          <w:marLeft w:val="0"/>
          <w:marRight w:val="0"/>
          <w:marTop w:val="384"/>
          <w:marBottom w:val="0"/>
          <w:divBdr>
            <w:top w:val="none" w:sz="0" w:space="0" w:color="auto"/>
            <w:left w:val="none" w:sz="0" w:space="0" w:color="auto"/>
            <w:bottom w:val="none" w:sz="0" w:space="0" w:color="auto"/>
            <w:right w:val="none" w:sz="0" w:space="0" w:color="auto"/>
          </w:divBdr>
        </w:div>
      </w:divsChild>
    </w:div>
    <w:div w:id="1037661484">
      <w:marLeft w:val="0"/>
      <w:marRight w:val="0"/>
      <w:marTop w:val="0"/>
      <w:marBottom w:val="0"/>
      <w:divBdr>
        <w:top w:val="none" w:sz="0" w:space="0" w:color="auto"/>
        <w:left w:val="none" w:sz="0" w:space="0" w:color="auto"/>
        <w:bottom w:val="none" w:sz="0" w:space="0" w:color="auto"/>
        <w:right w:val="none" w:sz="0" w:space="0" w:color="auto"/>
      </w:divBdr>
      <w:divsChild>
        <w:div w:id="1037661479">
          <w:marLeft w:val="0"/>
          <w:marRight w:val="0"/>
          <w:marTop w:val="200"/>
          <w:marBottom w:val="100"/>
          <w:divBdr>
            <w:top w:val="none" w:sz="0" w:space="0" w:color="auto"/>
            <w:left w:val="none" w:sz="0" w:space="0" w:color="auto"/>
            <w:bottom w:val="none" w:sz="0" w:space="0" w:color="auto"/>
            <w:right w:val="none" w:sz="0" w:space="0" w:color="auto"/>
          </w:divBdr>
        </w:div>
      </w:divsChild>
    </w:div>
    <w:div w:id="1037661487">
      <w:marLeft w:val="0"/>
      <w:marRight w:val="0"/>
      <w:marTop w:val="0"/>
      <w:marBottom w:val="0"/>
      <w:divBdr>
        <w:top w:val="none" w:sz="0" w:space="0" w:color="auto"/>
        <w:left w:val="none" w:sz="0" w:space="0" w:color="auto"/>
        <w:bottom w:val="none" w:sz="0" w:space="0" w:color="auto"/>
        <w:right w:val="none" w:sz="0" w:space="0" w:color="auto"/>
      </w:divBdr>
      <w:divsChild>
        <w:div w:id="1037661481">
          <w:marLeft w:val="0"/>
          <w:marRight w:val="0"/>
          <w:marTop w:val="200"/>
          <w:marBottom w:val="100"/>
          <w:divBdr>
            <w:top w:val="none" w:sz="0" w:space="0" w:color="auto"/>
            <w:left w:val="none" w:sz="0" w:space="0" w:color="auto"/>
            <w:bottom w:val="none" w:sz="0" w:space="0" w:color="auto"/>
            <w:right w:val="none" w:sz="0" w:space="0" w:color="auto"/>
          </w:divBdr>
          <w:divsChild>
            <w:div w:id="1037661478">
              <w:marLeft w:val="0"/>
              <w:marRight w:val="0"/>
              <w:marTop w:val="384"/>
              <w:marBottom w:val="0"/>
              <w:divBdr>
                <w:top w:val="none" w:sz="0" w:space="0" w:color="auto"/>
                <w:left w:val="none" w:sz="0" w:space="0" w:color="auto"/>
                <w:bottom w:val="none" w:sz="0" w:space="0" w:color="auto"/>
                <w:right w:val="none" w:sz="0" w:space="0" w:color="auto"/>
              </w:divBdr>
            </w:div>
            <w:div w:id="1037661482">
              <w:marLeft w:val="0"/>
              <w:marRight w:val="0"/>
              <w:marTop w:val="384"/>
              <w:marBottom w:val="0"/>
              <w:divBdr>
                <w:top w:val="none" w:sz="0" w:space="0" w:color="auto"/>
                <w:left w:val="none" w:sz="0" w:space="0" w:color="auto"/>
                <w:bottom w:val="none" w:sz="0" w:space="0" w:color="auto"/>
                <w:right w:val="none" w:sz="0" w:space="0" w:color="auto"/>
              </w:divBdr>
            </w:div>
            <w:div w:id="1037661486">
              <w:marLeft w:val="0"/>
              <w:marRight w:val="0"/>
              <w:marTop w:val="384"/>
              <w:marBottom w:val="0"/>
              <w:divBdr>
                <w:top w:val="none" w:sz="0" w:space="0" w:color="auto"/>
                <w:left w:val="none" w:sz="0" w:space="0" w:color="auto"/>
                <w:bottom w:val="none" w:sz="0" w:space="0" w:color="auto"/>
                <w:right w:val="none" w:sz="0" w:space="0" w:color="auto"/>
              </w:divBdr>
            </w:div>
            <w:div w:id="1037661492">
              <w:marLeft w:val="0"/>
              <w:marRight w:val="0"/>
              <w:marTop w:val="384"/>
              <w:marBottom w:val="0"/>
              <w:divBdr>
                <w:top w:val="none" w:sz="0" w:space="0" w:color="auto"/>
                <w:left w:val="none" w:sz="0" w:space="0" w:color="auto"/>
                <w:bottom w:val="none" w:sz="0" w:space="0" w:color="auto"/>
                <w:right w:val="none" w:sz="0" w:space="0" w:color="auto"/>
              </w:divBdr>
            </w:div>
          </w:divsChild>
        </w:div>
      </w:divsChild>
    </w:div>
    <w:div w:id="1037661489">
      <w:marLeft w:val="0"/>
      <w:marRight w:val="0"/>
      <w:marTop w:val="0"/>
      <w:marBottom w:val="0"/>
      <w:divBdr>
        <w:top w:val="none" w:sz="0" w:space="0" w:color="auto"/>
        <w:left w:val="none" w:sz="0" w:space="0" w:color="auto"/>
        <w:bottom w:val="none" w:sz="0" w:space="0" w:color="auto"/>
        <w:right w:val="none" w:sz="0" w:space="0" w:color="auto"/>
      </w:divBdr>
      <w:divsChild>
        <w:div w:id="1037661475">
          <w:marLeft w:val="0"/>
          <w:marRight w:val="0"/>
          <w:marTop w:val="200"/>
          <w:marBottom w:val="100"/>
          <w:divBdr>
            <w:top w:val="none" w:sz="0" w:space="0" w:color="auto"/>
            <w:left w:val="none" w:sz="0" w:space="0" w:color="auto"/>
            <w:bottom w:val="none" w:sz="0" w:space="0" w:color="auto"/>
            <w:right w:val="none" w:sz="0" w:space="0" w:color="auto"/>
          </w:divBdr>
        </w:div>
      </w:divsChild>
    </w:div>
    <w:div w:id="1037661490">
      <w:marLeft w:val="0"/>
      <w:marRight w:val="0"/>
      <w:marTop w:val="0"/>
      <w:marBottom w:val="0"/>
      <w:divBdr>
        <w:top w:val="none" w:sz="0" w:space="0" w:color="auto"/>
        <w:left w:val="none" w:sz="0" w:space="0" w:color="auto"/>
        <w:bottom w:val="none" w:sz="0" w:space="0" w:color="auto"/>
        <w:right w:val="none" w:sz="0" w:space="0" w:color="auto"/>
      </w:divBdr>
      <w:divsChild>
        <w:div w:id="1037661480">
          <w:marLeft w:val="0"/>
          <w:marRight w:val="0"/>
          <w:marTop w:val="0"/>
          <w:marBottom w:val="100"/>
          <w:divBdr>
            <w:top w:val="none" w:sz="0" w:space="0" w:color="auto"/>
            <w:left w:val="none" w:sz="0" w:space="0" w:color="auto"/>
            <w:bottom w:val="none" w:sz="0" w:space="0" w:color="auto"/>
            <w:right w:val="none" w:sz="0" w:space="0" w:color="auto"/>
          </w:divBdr>
        </w:div>
      </w:divsChild>
    </w:div>
    <w:div w:id="1037661491">
      <w:marLeft w:val="0"/>
      <w:marRight w:val="0"/>
      <w:marTop w:val="0"/>
      <w:marBottom w:val="0"/>
      <w:divBdr>
        <w:top w:val="none" w:sz="0" w:space="0" w:color="auto"/>
        <w:left w:val="none" w:sz="0" w:space="0" w:color="auto"/>
        <w:bottom w:val="none" w:sz="0" w:space="0" w:color="auto"/>
        <w:right w:val="none" w:sz="0" w:space="0" w:color="auto"/>
      </w:divBdr>
      <w:divsChild>
        <w:div w:id="1037661485">
          <w:marLeft w:val="375"/>
          <w:marRight w:val="375"/>
          <w:marTop w:val="105"/>
          <w:marBottom w:val="0"/>
          <w:divBdr>
            <w:top w:val="none" w:sz="0" w:space="0" w:color="auto"/>
            <w:left w:val="none" w:sz="0" w:space="0" w:color="auto"/>
            <w:bottom w:val="none" w:sz="0" w:space="0" w:color="auto"/>
            <w:right w:val="none" w:sz="0" w:space="0" w:color="auto"/>
          </w:divBdr>
        </w:div>
      </w:divsChild>
    </w:div>
    <w:div w:id="1037661493">
      <w:marLeft w:val="0"/>
      <w:marRight w:val="0"/>
      <w:marTop w:val="0"/>
      <w:marBottom w:val="0"/>
      <w:divBdr>
        <w:top w:val="none" w:sz="0" w:space="0" w:color="auto"/>
        <w:left w:val="none" w:sz="0" w:space="0" w:color="auto"/>
        <w:bottom w:val="none" w:sz="0" w:space="0" w:color="auto"/>
        <w:right w:val="none" w:sz="0" w:space="0" w:color="auto"/>
      </w:divBdr>
    </w:div>
    <w:div w:id="1037661494">
      <w:marLeft w:val="0"/>
      <w:marRight w:val="0"/>
      <w:marTop w:val="0"/>
      <w:marBottom w:val="0"/>
      <w:divBdr>
        <w:top w:val="none" w:sz="0" w:space="0" w:color="auto"/>
        <w:left w:val="none" w:sz="0" w:space="0" w:color="auto"/>
        <w:bottom w:val="none" w:sz="0" w:space="0" w:color="auto"/>
        <w:right w:val="none" w:sz="0" w:space="0" w:color="auto"/>
      </w:divBdr>
    </w:div>
    <w:div w:id="1037661495">
      <w:marLeft w:val="0"/>
      <w:marRight w:val="0"/>
      <w:marTop w:val="0"/>
      <w:marBottom w:val="0"/>
      <w:divBdr>
        <w:top w:val="none" w:sz="0" w:space="0" w:color="auto"/>
        <w:left w:val="none" w:sz="0" w:space="0" w:color="auto"/>
        <w:bottom w:val="none" w:sz="0" w:space="0" w:color="auto"/>
        <w:right w:val="none" w:sz="0" w:space="0" w:color="auto"/>
      </w:divBdr>
    </w:div>
    <w:div w:id="1037661496">
      <w:marLeft w:val="0"/>
      <w:marRight w:val="0"/>
      <w:marTop w:val="0"/>
      <w:marBottom w:val="0"/>
      <w:divBdr>
        <w:top w:val="none" w:sz="0" w:space="0" w:color="auto"/>
        <w:left w:val="none" w:sz="0" w:space="0" w:color="auto"/>
        <w:bottom w:val="none" w:sz="0" w:space="0" w:color="auto"/>
        <w:right w:val="none" w:sz="0" w:space="0" w:color="auto"/>
      </w:divBdr>
      <w:divsChild>
        <w:div w:id="1037661497">
          <w:marLeft w:val="375"/>
          <w:marRight w:val="375"/>
          <w:marTop w:val="105"/>
          <w:marBottom w:val="0"/>
          <w:divBdr>
            <w:top w:val="none" w:sz="0" w:space="0" w:color="auto"/>
            <w:left w:val="none" w:sz="0" w:space="0" w:color="auto"/>
            <w:bottom w:val="none" w:sz="0" w:space="0" w:color="auto"/>
            <w:right w:val="none" w:sz="0" w:space="0" w:color="auto"/>
          </w:divBdr>
        </w:div>
      </w:divsChild>
    </w:div>
    <w:div w:id="1037661498">
      <w:marLeft w:val="0"/>
      <w:marRight w:val="0"/>
      <w:marTop w:val="0"/>
      <w:marBottom w:val="0"/>
      <w:divBdr>
        <w:top w:val="none" w:sz="0" w:space="0" w:color="auto"/>
        <w:left w:val="none" w:sz="0" w:space="0" w:color="auto"/>
        <w:bottom w:val="none" w:sz="0" w:space="0" w:color="auto"/>
        <w:right w:val="none" w:sz="0" w:space="0" w:color="auto"/>
      </w:divBdr>
    </w:div>
    <w:div w:id="1037661499">
      <w:marLeft w:val="0"/>
      <w:marRight w:val="0"/>
      <w:marTop w:val="0"/>
      <w:marBottom w:val="0"/>
      <w:divBdr>
        <w:top w:val="none" w:sz="0" w:space="0" w:color="auto"/>
        <w:left w:val="none" w:sz="0" w:space="0" w:color="auto"/>
        <w:bottom w:val="none" w:sz="0" w:space="0" w:color="auto"/>
        <w:right w:val="none" w:sz="0" w:space="0" w:color="auto"/>
      </w:divBdr>
    </w:div>
    <w:div w:id="1037661500">
      <w:marLeft w:val="0"/>
      <w:marRight w:val="0"/>
      <w:marTop w:val="0"/>
      <w:marBottom w:val="0"/>
      <w:divBdr>
        <w:top w:val="none" w:sz="0" w:space="0" w:color="auto"/>
        <w:left w:val="none" w:sz="0" w:space="0" w:color="auto"/>
        <w:bottom w:val="none" w:sz="0" w:space="0" w:color="auto"/>
        <w:right w:val="none" w:sz="0" w:space="0" w:color="auto"/>
      </w:divBdr>
    </w:div>
    <w:div w:id="1037661502">
      <w:marLeft w:val="0"/>
      <w:marRight w:val="0"/>
      <w:marTop w:val="0"/>
      <w:marBottom w:val="0"/>
      <w:divBdr>
        <w:top w:val="none" w:sz="0" w:space="0" w:color="auto"/>
        <w:left w:val="none" w:sz="0" w:space="0" w:color="auto"/>
        <w:bottom w:val="none" w:sz="0" w:space="0" w:color="auto"/>
        <w:right w:val="none" w:sz="0" w:space="0" w:color="auto"/>
      </w:divBdr>
      <w:divsChild>
        <w:div w:id="1037661501">
          <w:marLeft w:val="375"/>
          <w:marRight w:val="375"/>
          <w:marTop w:val="105"/>
          <w:marBottom w:val="0"/>
          <w:divBdr>
            <w:top w:val="none" w:sz="0" w:space="0" w:color="auto"/>
            <w:left w:val="none" w:sz="0" w:space="0" w:color="auto"/>
            <w:bottom w:val="none" w:sz="0" w:space="0" w:color="auto"/>
            <w:right w:val="none" w:sz="0" w:space="0" w:color="auto"/>
          </w:divBdr>
        </w:div>
      </w:divsChild>
    </w:div>
    <w:div w:id="1037661503">
      <w:marLeft w:val="0"/>
      <w:marRight w:val="0"/>
      <w:marTop w:val="0"/>
      <w:marBottom w:val="0"/>
      <w:divBdr>
        <w:top w:val="none" w:sz="0" w:space="0" w:color="auto"/>
        <w:left w:val="none" w:sz="0" w:space="0" w:color="auto"/>
        <w:bottom w:val="none" w:sz="0" w:space="0" w:color="auto"/>
        <w:right w:val="none" w:sz="0" w:space="0" w:color="auto"/>
      </w:divBdr>
    </w:div>
    <w:div w:id="1037661504">
      <w:marLeft w:val="0"/>
      <w:marRight w:val="0"/>
      <w:marTop w:val="0"/>
      <w:marBottom w:val="0"/>
      <w:divBdr>
        <w:top w:val="none" w:sz="0" w:space="0" w:color="auto"/>
        <w:left w:val="none" w:sz="0" w:space="0" w:color="auto"/>
        <w:bottom w:val="none" w:sz="0" w:space="0" w:color="auto"/>
        <w:right w:val="none" w:sz="0" w:space="0" w:color="auto"/>
      </w:divBdr>
    </w:div>
    <w:div w:id="1037661505">
      <w:marLeft w:val="0"/>
      <w:marRight w:val="0"/>
      <w:marTop w:val="0"/>
      <w:marBottom w:val="0"/>
      <w:divBdr>
        <w:top w:val="none" w:sz="0" w:space="0" w:color="auto"/>
        <w:left w:val="none" w:sz="0" w:space="0" w:color="auto"/>
        <w:bottom w:val="none" w:sz="0" w:space="0" w:color="auto"/>
        <w:right w:val="none" w:sz="0" w:space="0" w:color="auto"/>
      </w:divBdr>
    </w:div>
    <w:div w:id="1037661507">
      <w:marLeft w:val="0"/>
      <w:marRight w:val="0"/>
      <w:marTop w:val="0"/>
      <w:marBottom w:val="0"/>
      <w:divBdr>
        <w:top w:val="none" w:sz="0" w:space="0" w:color="auto"/>
        <w:left w:val="none" w:sz="0" w:space="0" w:color="auto"/>
        <w:bottom w:val="none" w:sz="0" w:space="0" w:color="auto"/>
        <w:right w:val="none" w:sz="0" w:space="0" w:color="auto"/>
      </w:divBdr>
    </w:div>
    <w:div w:id="1037661508">
      <w:marLeft w:val="0"/>
      <w:marRight w:val="0"/>
      <w:marTop w:val="0"/>
      <w:marBottom w:val="0"/>
      <w:divBdr>
        <w:top w:val="none" w:sz="0" w:space="0" w:color="auto"/>
        <w:left w:val="none" w:sz="0" w:space="0" w:color="auto"/>
        <w:bottom w:val="none" w:sz="0" w:space="0" w:color="auto"/>
        <w:right w:val="none" w:sz="0" w:space="0" w:color="auto"/>
      </w:divBdr>
    </w:div>
    <w:div w:id="1037661509">
      <w:marLeft w:val="0"/>
      <w:marRight w:val="0"/>
      <w:marTop w:val="0"/>
      <w:marBottom w:val="0"/>
      <w:divBdr>
        <w:top w:val="none" w:sz="0" w:space="0" w:color="auto"/>
        <w:left w:val="none" w:sz="0" w:space="0" w:color="auto"/>
        <w:bottom w:val="none" w:sz="0" w:space="0" w:color="auto"/>
        <w:right w:val="none" w:sz="0" w:space="0" w:color="auto"/>
      </w:divBdr>
      <w:divsChild>
        <w:div w:id="1037661506">
          <w:marLeft w:val="0"/>
          <w:marRight w:val="0"/>
          <w:marTop w:val="200"/>
          <w:marBottom w:val="100"/>
          <w:divBdr>
            <w:top w:val="none" w:sz="0" w:space="0" w:color="auto"/>
            <w:left w:val="none" w:sz="0" w:space="0" w:color="auto"/>
            <w:bottom w:val="none" w:sz="0" w:space="0" w:color="auto"/>
            <w:right w:val="none" w:sz="0" w:space="0" w:color="auto"/>
          </w:divBdr>
        </w:div>
      </w:divsChild>
    </w:div>
    <w:div w:id="1037661510">
      <w:marLeft w:val="0"/>
      <w:marRight w:val="0"/>
      <w:marTop w:val="0"/>
      <w:marBottom w:val="0"/>
      <w:divBdr>
        <w:top w:val="none" w:sz="0" w:space="0" w:color="auto"/>
        <w:left w:val="none" w:sz="0" w:space="0" w:color="auto"/>
        <w:bottom w:val="none" w:sz="0" w:space="0" w:color="auto"/>
        <w:right w:val="none" w:sz="0" w:space="0" w:color="auto"/>
      </w:divBdr>
    </w:div>
    <w:div w:id="1037661511">
      <w:marLeft w:val="0"/>
      <w:marRight w:val="0"/>
      <w:marTop w:val="0"/>
      <w:marBottom w:val="0"/>
      <w:divBdr>
        <w:top w:val="none" w:sz="0" w:space="0" w:color="auto"/>
        <w:left w:val="none" w:sz="0" w:space="0" w:color="auto"/>
        <w:bottom w:val="none" w:sz="0" w:space="0" w:color="auto"/>
        <w:right w:val="none" w:sz="0" w:space="0" w:color="auto"/>
      </w:divBdr>
    </w:div>
    <w:div w:id="1037661512">
      <w:marLeft w:val="0"/>
      <w:marRight w:val="0"/>
      <w:marTop w:val="0"/>
      <w:marBottom w:val="0"/>
      <w:divBdr>
        <w:top w:val="none" w:sz="0" w:space="0" w:color="auto"/>
        <w:left w:val="none" w:sz="0" w:space="0" w:color="auto"/>
        <w:bottom w:val="none" w:sz="0" w:space="0" w:color="auto"/>
        <w:right w:val="none" w:sz="0" w:space="0" w:color="auto"/>
      </w:divBdr>
      <w:divsChild>
        <w:div w:id="1037661488">
          <w:marLeft w:val="0"/>
          <w:marRight w:val="0"/>
          <w:marTop w:val="200"/>
          <w:marBottom w:val="100"/>
          <w:divBdr>
            <w:top w:val="none" w:sz="0" w:space="0" w:color="auto"/>
            <w:left w:val="none" w:sz="0" w:space="0" w:color="auto"/>
            <w:bottom w:val="none" w:sz="0" w:space="0" w:color="auto"/>
            <w:right w:val="none" w:sz="0" w:space="0" w:color="auto"/>
          </w:divBdr>
        </w:div>
      </w:divsChild>
    </w:div>
    <w:div w:id="1037661513">
      <w:marLeft w:val="0"/>
      <w:marRight w:val="0"/>
      <w:marTop w:val="0"/>
      <w:marBottom w:val="0"/>
      <w:divBdr>
        <w:top w:val="none" w:sz="0" w:space="0" w:color="auto"/>
        <w:left w:val="none" w:sz="0" w:space="0" w:color="auto"/>
        <w:bottom w:val="none" w:sz="0" w:space="0" w:color="auto"/>
        <w:right w:val="none" w:sz="0" w:space="0" w:color="auto"/>
      </w:divBdr>
      <w:divsChild>
        <w:div w:id="1037661476">
          <w:marLeft w:val="0"/>
          <w:marRight w:val="0"/>
          <w:marTop w:val="0"/>
          <w:marBottom w:val="100"/>
          <w:divBdr>
            <w:top w:val="none" w:sz="0" w:space="0" w:color="auto"/>
            <w:left w:val="none" w:sz="0" w:space="0" w:color="auto"/>
            <w:bottom w:val="none" w:sz="0" w:space="0" w:color="auto"/>
            <w:right w:val="none" w:sz="0" w:space="0" w:color="auto"/>
          </w:divBdr>
        </w:div>
      </w:divsChild>
    </w:div>
    <w:div w:id="1037661514">
      <w:marLeft w:val="0"/>
      <w:marRight w:val="0"/>
      <w:marTop w:val="0"/>
      <w:marBottom w:val="0"/>
      <w:divBdr>
        <w:top w:val="none" w:sz="0" w:space="0" w:color="auto"/>
        <w:left w:val="none" w:sz="0" w:space="0" w:color="auto"/>
        <w:bottom w:val="none" w:sz="0" w:space="0" w:color="auto"/>
        <w:right w:val="none" w:sz="0" w:space="0" w:color="auto"/>
      </w:divBdr>
      <w:divsChild>
        <w:div w:id="1037661468">
          <w:marLeft w:val="0"/>
          <w:marRight w:val="0"/>
          <w:marTop w:val="200"/>
          <w:marBottom w:val="100"/>
          <w:divBdr>
            <w:top w:val="none" w:sz="0" w:space="0" w:color="auto"/>
            <w:left w:val="none" w:sz="0" w:space="0" w:color="auto"/>
            <w:bottom w:val="none" w:sz="0" w:space="0" w:color="auto"/>
            <w:right w:val="none" w:sz="0" w:space="0" w:color="auto"/>
          </w:divBdr>
        </w:div>
      </w:divsChild>
    </w:div>
    <w:div w:id="1211386125">
      <w:bodyDiv w:val="1"/>
      <w:marLeft w:val="0"/>
      <w:marRight w:val="0"/>
      <w:marTop w:val="0"/>
      <w:marBottom w:val="0"/>
      <w:divBdr>
        <w:top w:val="none" w:sz="0" w:space="0" w:color="auto"/>
        <w:left w:val="none" w:sz="0" w:space="0" w:color="auto"/>
        <w:bottom w:val="none" w:sz="0" w:space="0" w:color="auto"/>
        <w:right w:val="none" w:sz="0" w:space="0" w:color="auto"/>
      </w:divBdr>
    </w:div>
    <w:div w:id="1740516824">
      <w:bodyDiv w:val="1"/>
      <w:marLeft w:val="0"/>
      <w:marRight w:val="0"/>
      <w:marTop w:val="0"/>
      <w:marBottom w:val="0"/>
      <w:divBdr>
        <w:top w:val="none" w:sz="0" w:space="0" w:color="auto"/>
        <w:left w:val="none" w:sz="0" w:space="0" w:color="auto"/>
        <w:bottom w:val="none" w:sz="0" w:space="0" w:color="auto"/>
        <w:right w:val="none" w:sz="0" w:space="0" w:color="auto"/>
      </w:divBdr>
    </w:div>
    <w:div w:id="1902249792">
      <w:bodyDiv w:val="1"/>
      <w:marLeft w:val="0"/>
      <w:marRight w:val="0"/>
      <w:marTop w:val="0"/>
      <w:marBottom w:val="0"/>
      <w:divBdr>
        <w:top w:val="none" w:sz="0" w:space="0" w:color="auto"/>
        <w:left w:val="none" w:sz="0" w:space="0" w:color="auto"/>
        <w:bottom w:val="none" w:sz="0" w:space="0" w:color="auto"/>
        <w:right w:val="none" w:sz="0" w:space="0" w:color="auto"/>
      </w:divBdr>
    </w:div>
    <w:div w:id="19587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eck-online.cz/bo/document-view.seam?documentId=onrf6mjzgyyv6mjugexhazrrg44gc&amp;refSource=text" TargetMode="Externa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ct24.ceskatelevize.cz/clanek/relax/italske-mafie-o-kterych-se-nemluvi-92555" TargetMode="External"/><Relationship Id="rId2" Type="http://schemas.openxmlformats.org/officeDocument/2006/relationships/numbering" Target="numbering.xml"/><Relationship Id="rId16" Type="http://schemas.openxmlformats.org/officeDocument/2006/relationships/hyperlink" Target="http://lawecommons.luc.edu/luclj/vol9/iss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www.justice.gov/jm/jm-9-21000-witness-security"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beck-online.cz/bo/document-view.seam?documentId=onrf6mrqga4v6nbqfzygmnbr&amp;refSource=text"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HRISTIAN\Desktop\tabulka%20osob%20S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HRISTIAN\Desktop\tabulka%20osob%20SO.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HRISTIAN\Desktop\tabulka%20osob%20SO.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CHRISTIAN\Desktop\tabulka%20osob%20SO.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List1!$AE$8</c:f>
              <c:strCache>
                <c:ptCount val="1"/>
                <c:pt idx="0">
                  <c:v>TČ</c:v>
                </c:pt>
              </c:strCache>
            </c:strRef>
          </c:tx>
          <c:spPr>
            <a:solidFill>
              <a:schemeClr val="accent1"/>
            </a:solidFill>
            <a:ln>
              <a:noFill/>
            </a:ln>
            <a:effectLst/>
          </c:spPr>
          <c:invertIfNegative val="0"/>
          <c:cat>
            <c:strRef>
              <c:f>List1!$AB$9:$AD$21</c:f>
              <c:strCache>
                <c:ptCount val="13"/>
                <c:pt idx="0">
                  <c:v>Hlava I.</c:v>
                </c:pt>
                <c:pt idx="1">
                  <c:v>Hlava II.</c:v>
                </c:pt>
                <c:pt idx="2">
                  <c:v>Hlava III.</c:v>
                </c:pt>
                <c:pt idx="3">
                  <c:v>Hlava IV.</c:v>
                </c:pt>
                <c:pt idx="4">
                  <c:v>Hlava V.</c:v>
                </c:pt>
                <c:pt idx="5">
                  <c:v>Hlava VI.</c:v>
                </c:pt>
                <c:pt idx="6">
                  <c:v>Hlava VII.</c:v>
                </c:pt>
                <c:pt idx="7">
                  <c:v>Hlava VIII.</c:v>
                </c:pt>
                <c:pt idx="8">
                  <c:v>Hlava IX.</c:v>
                </c:pt>
                <c:pt idx="9">
                  <c:v>Hlava X.</c:v>
                </c:pt>
                <c:pt idx="10">
                  <c:v>Hlava XI.</c:v>
                </c:pt>
                <c:pt idx="11">
                  <c:v>Hlava XII.</c:v>
                </c:pt>
                <c:pt idx="12">
                  <c:v>Hlava XIII.</c:v>
                </c:pt>
              </c:strCache>
            </c:strRef>
          </c:cat>
          <c:val>
            <c:numRef>
              <c:f>List1!$AE$9:$AE$21</c:f>
              <c:numCache>
                <c:formatCode>General</c:formatCode>
                <c:ptCount val="13"/>
                <c:pt idx="0">
                  <c:v>1</c:v>
                </c:pt>
                <c:pt idx="1">
                  <c:v>2</c:v>
                </c:pt>
                <c:pt idx="2">
                  <c:v>1</c:v>
                </c:pt>
                <c:pt idx="3">
                  <c:v>1</c:v>
                </c:pt>
                <c:pt idx="4">
                  <c:v>4</c:v>
                </c:pt>
                <c:pt idx="5">
                  <c:v>6</c:v>
                </c:pt>
                <c:pt idx="6">
                  <c:v>7</c:v>
                </c:pt>
                <c:pt idx="7">
                  <c:v>0</c:v>
                </c:pt>
                <c:pt idx="8">
                  <c:v>0</c:v>
                </c:pt>
                <c:pt idx="9">
                  <c:v>4</c:v>
                </c:pt>
                <c:pt idx="10">
                  <c:v>0</c:v>
                </c:pt>
                <c:pt idx="11">
                  <c:v>0</c:v>
                </c:pt>
                <c:pt idx="12">
                  <c:v>0</c:v>
                </c:pt>
              </c:numCache>
            </c:numRef>
          </c:val>
          <c:extLst>
            <c:ext xmlns:c16="http://schemas.microsoft.com/office/drawing/2014/chart" uri="{C3380CC4-5D6E-409C-BE32-E72D297353CC}">
              <c16:uniqueId val="{00000000-32A9-4964-974D-9363F68086E4}"/>
            </c:ext>
          </c:extLst>
        </c:ser>
        <c:ser>
          <c:idx val="1"/>
          <c:order val="1"/>
          <c:tx>
            <c:strRef>
              <c:f>List1!$AF$8</c:f>
              <c:strCache>
                <c:ptCount val="1"/>
              </c:strCache>
            </c:strRef>
          </c:tx>
          <c:spPr>
            <a:solidFill>
              <a:schemeClr val="accent2"/>
            </a:solidFill>
            <a:ln>
              <a:noFill/>
            </a:ln>
            <a:effectLst/>
          </c:spPr>
          <c:invertIfNegative val="0"/>
          <c:cat>
            <c:strRef>
              <c:f>List1!$AB$9:$AD$21</c:f>
              <c:strCache>
                <c:ptCount val="13"/>
                <c:pt idx="0">
                  <c:v>Hlava I.</c:v>
                </c:pt>
                <c:pt idx="1">
                  <c:v>Hlava II.</c:v>
                </c:pt>
                <c:pt idx="2">
                  <c:v>Hlava III.</c:v>
                </c:pt>
                <c:pt idx="3">
                  <c:v>Hlava IV.</c:v>
                </c:pt>
                <c:pt idx="4">
                  <c:v>Hlava V.</c:v>
                </c:pt>
                <c:pt idx="5">
                  <c:v>Hlava VI.</c:v>
                </c:pt>
                <c:pt idx="6">
                  <c:v>Hlava VII.</c:v>
                </c:pt>
                <c:pt idx="7">
                  <c:v>Hlava VIII.</c:v>
                </c:pt>
                <c:pt idx="8">
                  <c:v>Hlava IX.</c:v>
                </c:pt>
                <c:pt idx="9">
                  <c:v>Hlava X.</c:v>
                </c:pt>
                <c:pt idx="10">
                  <c:v>Hlava XI.</c:v>
                </c:pt>
                <c:pt idx="11">
                  <c:v>Hlava XII.</c:v>
                </c:pt>
                <c:pt idx="12">
                  <c:v>Hlava XIII.</c:v>
                </c:pt>
              </c:strCache>
            </c:strRef>
          </c:cat>
          <c:val>
            <c:numRef>
              <c:f>List1!$AF$9:$AF$21</c:f>
              <c:numCache>
                <c:formatCode>General</c:formatCode>
                <c:ptCount val="13"/>
              </c:numCache>
            </c:numRef>
          </c:val>
          <c:extLst>
            <c:ext xmlns:c16="http://schemas.microsoft.com/office/drawing/2014/chart" uri="{C3380CC4-5D6E-409C-BE32-E72D297353CC}">
              <c16:uniqueId val="{00000001-32A9-4964-974D-9363F68086E4}"/>
            </c:ext>
          </c:extLst>
        </c:ser>
        <c:dLbls>
          <c:showLegendKey val="0"/>
          <c:showVal val="0"/>
          <c:showCatName val="0"/>
          <c:showSerName val="0"/>
          <c:showPercent val="0"/>
          <c:showBubbleSize val="0"/>
        </c:dLbls>
        <c:gapWidth val="150"/>
        <c:overlap val="100"/>
        <c:axId val="674934272"/>
        <c:axId val="679374208"/>
      </c:barChart>
      <c:catAx>
        <c:axId val="67493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79374208"/>
        <c:crosses val="autoZero"/>
        <c:auto val="1"/>
        <c:lblAlgn val="ctr"/>
        <c:lblOffset val="100"/>
        <c:noMultiLvlLbl val="0"/>
      </c:catAx>
      <c:valAx>
        <c:axId val="67937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74934272"/>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756167979002626"/>
          <c:y val="0.22004447360746568"/>
          <c:w val="0.34487685914260718"/>
          <c:h val="0.57479476523767858"/>
        </c:manualLayout>
      </c:layout>
      <c:pieChart>
        <c:varyColors val="1"/>
        <c:ser>
          <c:idx val="0"/>
          <c:order val="0"/>
          <c:tx>
            <c:strRef>
              <c:f>List1!$W$28</c:f>
              <c:strCache>
                <c:ptCount val="1"/>
                <c:pt idx="0">
                  <c:v>KSZ Ostrava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3B-47F0-9C35-FC7B465B74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3B-47F0-9C35-FC7B465B74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3B-47F0-9C35-FC7B465B74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3B-47F0-9C35-FC7B465B74BE}"/>
              </c:ext>
            </c:extLst>
          </c:dPt>
          <c:dLbls>
            <c:dLbl>
              <c:idx val="0"/>
              <c:layout>
                <c:manualLayout>
                  <c:x val="6.9444444444444448E-2"/>
                  <c:y val="-9.2592592592592587E-3"/>
                </c:manualLayout>
              </c:layout>
              <c:tx>
                <c:rich>
                  <a:bodyPr/>
                  <a:lstStyle/>
                  <a:p>
                    <a:r>
                      <a:rPr lang="en-US"/>
                      <a:t>Hlava III.
4 %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33B-47F0-9C35-FC7B465B74BE}"/>
                </c:ext>
              </c:extLst>
            </c:dLbl>
            <c:dLbl>
              <c:idx val="1"/>
              <c:layout>
                <c:manualLayout>
                  <c:x val="3.3333333333333229E-2"/>
                  <c:y val="6.9444444444444448E-2"/>
                </c:manualLayout>
              </c:layout>
              <c:tx>
                <c:rich>
                  <a:bodyPr/>
                  <a:lstStyle/>
                  <a:p>
                    <a:r>
                      <a:rPr lang="en-US"/>
                      <a:t>Hlava VI.
16 %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33B-47F0-9C35-FC7B465B74BE}"/>
                </c:ext>
              </c:extLst>
            </c:dLbl>
            <c:dLbl>
              <c:idx val="2"/>
              <c:layout>
                <c:manualLayout>
                  <c:x val="-4.166666666666672E-2"/>
                  <c:y val="-1.8518518518518604E-2"/>
                </c:manualLayout>
              </c:layout>
              <c:tx>
                <c:rich>
                  <a:bodyPr/>
                  <a:lstStyle/>
                  <a:p>
                    <a:r>
                      <a:rPr lang="en-US"/>
                      <a:t>Hlava VII.
76 %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33B-47F0-9C35-FC7B465B74BE}"/>
                </c:ext>
              </c:extLst>
            </c:dLbl>
            <c:dLbl>
              <c:idx val="3"/>
              <c:layout>
                <c:manualLayout>
                  <c:x val="-5.0925337632079971E-17"/>
                  <c:y val="-3.2407407407407419E-2"/>
                </c:manualLayout>
              </c:layout>
              <c:tx>
                <c:rich>
                  <a:bodyPr/>
                  <a:lstStyle/>
                  <a:p>
                    <a:r>
                      <a:rPr lang="en-US"/>
                      <a:t>Hlava X.
4 %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633B-47F0-9C35-FC7B465B74B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List1!$T$29:$V$32</c:f>
              <c:strCache>
                <c:ptCount val="4"/>
                <c:pt idx="0">
                  <c:v>Hlava III.</c:v>
                </c:pt>
                <c:pt idx="1">
                  <c:v>Hlava VI.</c:v>
                </c:pt>
                <c:pt idx="2">
                  <c:v>Hlava VII.</c:v>
                </c:pt>
                <c:pt idx="3">
                  <c:v>Hlava X.</c:v>
                </c:pt>
              </c:strCache>
            </c:strRef>
          </c:cat>
          <c:val>
            <c:numRef>
              <c:f>List1!$W$29:$W$32</c:f>
              <c:numCache>
                <c:formatCode>General</c:formatCode>
                <c:ptCount val="4"/>
                <c:pt idx="0">
                  <c:v>1</c:v>
                </c:pt>
                <c:pt idx="1">
                  <c:v>4</c:v>
                </c:pt>
                <c:pt idx="2">
                  <c:v>19</c:v>
                </c:pt>
                <c:pt idx="3">
                  <c:v>1</c:v>
                </c:pt>
              </c:numCache>
            </c:numRef>
          </c:val>
          <c:extLst>
            <c:ext xmlns:c16="http://schemas.microsoft.com/office/drawing/2014/chart" uri="{C3380CC4-5D6E-409C-BE32-E72D297353CC}">
              <c16:uniqueId val="{00000008-633B-47F0-9C35-FC7B465B74BE}"/>
            </c:ext>
          </c:extLst>
        </c:ser>
        <c:ser>
          <c:idx val="1"/>
          <c:order val="1"/>
          <c:tx>
            <c:strRef>
              <c:f>List1!$X$28</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633B-47F0-9C35-FC7B465B74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633B-47F0-9C35-FC7B465B74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633B-47F0-9C35-FC7B465B74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633B-47F0-9C35-FC7B465B74B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List1!$T$29:$V$32</c:f>
              <c:strCache>
                <c:ptCount val="4"/>
                <c:pt idx="0">
                  <c:v>Hlava III.</c:v>
                </c:pt>
                <c:pt idx="1">
                  <c:v>Hlava VI.</c:v>
                </c:pt>
                <c:pt idx="2">
                  <c:v>Hlava VII.</c:v>
                </c:pt>
                <c:pt idx="3">
                  <c:v>Hlava X.</c:v>
                </c:pt>
              </c:strCache>
            </c:strRef>
          </c:cat>
          <c:val>
            <c:numRef>
              <c:f>List1!$X$29:$X$32</c:f>
              <c:numCache>
                <c:formatCode>General</c:formatCode>
                <c:ptCount val="4"/>
              </c:numCache>
            </c:numRef>
          </c:val>
          <c:extLst>
            <c:ext xmlns:c16="http://schemas.microsoft.com/office/drawing/2014/chart" uri="{C3380CC4-5D6E-409C-BE32-E72D297353CC}">
              <c16:uniqueId val="{00000011-633B-47F0-9C35-FC7B465B74BE}"/>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588545781281197"/>
          <c:y val="0.14432871194298064"/>
          <c:w val="0.34418029977657749"/>
          <c:h val="0.6895002694199649"/>
        </c:manualLayout>
      </c:layout>
      <c:pieChart>
        <c:varyColors val="1"/>
        <c:ser>
          <c:idx val="0"/>
          <c:order val="0"/>
          <c:tx>
            <c:strRef>
              <c:f>List1!$J$41</c:f>
              <c:strCache>
                <c:ptCount val="1"/>
                <c:pt idx="0">
                  <c:v>KSZ Ostrava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322-4392-B5F5-B932A8857F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322-4392-B5F5-B932A8857F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322-4392-B5F5-B932A8857FE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322-4392-B5F5-B932A8857FE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322-4392-B5F5-B932A8857FEF}"/>
              </c:ext>
            </c:extLst>
          </c:dPt>
          <c:dLbls>
            <c:dLbl>
              <c:idx val="0"/>
              <c:tx>
                <c:rich>
                  <a:bodyPr/>
                  <a:lstStyle/>
                  <a:p>
                    <a:r>
                      <a:rPr lang="en-US"/>
                      <a:t>§ 283
64 %</a:t>
                    </a: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4322-4392-B5F5-B932A8857FEF}"/>
                </c:ext>
              </c:extLst>
            </c:dLbl>
            <c:dLbl>
              <c:idx val="1"/>
              <c:layout>
                <c:manualLayout>
                  <c:x val="-4.1666666666666692E-2"/>
                  <c:y val="0"/>
                </c:manualLayout>
              </c:layout>
              <c:tx>
                <c:rich>
                  <a:bodyPr/>
                  <a:lstStyle/>
                  <a:p>
                    <a:r>
                      <a:rPr lang="en-US"/>
                      <a:t>§ 240
18 %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4322-4392-B5F5-B932A8857FEF}"/>
                </c:ext>
              </c:extLst>
            </c:dLbl>
            <c:dLbl>
              <c:idx val="2"/>
              <c:layout>
                <c:manualLayout>
                  <c:x val="-3.3333333333333333E-2"/>
                  <c:y val="2.7777777777777776E-2"/>
                </c:manualLayout>
              </c:layout>
              <c:tx>
                <c:rich>
                  <a:bodyPr/>
                  <a:lstStyle/>
                  <a:p>
                    <a:r>
                      <a:rPr lang="en-US"/>
                      <a:t>§ 279
9 %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4322-4392-B5F5-B932A8857FEF}"/>
                </c:ext>
              </c:extLst>
            </c:dLbl>
            <c:dLbl>
              <c:idx val="3"/>
              <c:layout>
                <c:manualLayout>
                  <c:x val="-8.3333333333333332E-3"/>
                  <c:y val="-4.1666666666666664E-2"/>
                </c:manualLayout>
              </c:layout>
              <c:tx>
                <c:rich>
                  <a:bodyPr/>
                  <a:lstStyle/>
                  <a:p>
                    <a:r>
                      <a:rPr lang="en-US"/>
                      <a:t>§ 337
4 %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4322-4392-B5F5-B932A8857FEF}"/>
                </c:ext>
              </c:extLst>
            </c:dLbl>
            <c:dLbl>
              <c:idx val="4"/>
              <c:layout>
                <c:manualLayout>
                  <c:x val="2.5000000000000001E-2"/>
                  <c:y val="-3.7037037037037049E-2"/>
                </c:manualLayout>
              </c:layout>
              <c:tx>
                <c:rich>
                  <a:bodyPr/>
                  <a:lstStyle/>
                  <a:p>
                    <a:r>
                      <a:rPr lang="en-US"/>
                      <a:t>§ 186
5 %</a:t>
                    </a:r>
                  </a:p>
                </c:rich>
              </c:tx>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4322-4392-B5F5-B932A8857FE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List1!$G$42:$I$46</c:f>
              <c:strCache>
                <c:ptCount val="5"/>
                <c:pt idx="0">
                  <c:v>§ 283</c:v>
                </c:pt>
                <c:pt idx="1">
                  <c:v>§ 240</c:v>
                </c:pt>
                <c:pt idx="2">
                  <c:v>§ 279</c:v>
                </c:pt>
                <c:pt idx="3">
                  <c:v>§ 337</c:v>
                </c:pt>
                <c:pt idx="4">
                  <c:v>§ 186</c:v>
                </c:pt>
              </c:strCache>
            </c:strRef>
          </c:cat>
          <c:val>
            <c:numRef>
              <c:f>List1!$J$42:$J$46</c:f>
              <c:numCache>
                <c:formatCode>General</c:formatCode>
                <c:ptCount val="5"/>
                <c:pt idx="0">
                  <c:v>14</c:v>
                </c:pt>
                <c:pt idx="1">
                  <c:v>4</c:v>
                </c:pt>
                <c:pt idx="2">
                  <c:v>2</c:v>
                </c:pt>
                <c:pt idx="3">
                  <c:v>1</c:v>
                </c:pt>
                <c:pt idx="4">
                  <c:v>1</c:v>
                </c:pt>
              </c:numCache>
            </c:numRef>
          </c:val>
          <c:extLst>
            <c:ext xmlns:c16="http://schemas.microsoft.com/office/drawing/2014/chart" uri="{C3380CC4-5D6E-409C-BE32-E72D297353CC}">
              <c16:uniqueId val="{0000000A-4322-4392-B5F5-B932A8857FEF}"/>
            </c:ext>
          </c:extLst>
        </c:ser>
        <c:ser>
          <c:idx val="1"/>
          <c:order val="1"/>
          <c:tx>
            <c:strRef>
              <c:f>List1!$K$41</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C-4322-4392-B5F5-B932A8857FE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4322-4392-B5F5-B932A8857FE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4322-4392-B5F5-B932A8857FE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4322-4392-B5F5-B932A8857FE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4322-4392-B5F5-B932A8857FE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List1!$G$42:$I$46</c:f>
              <c:strCache>
                <c:ptCount val="5"/>
                <c:pt idx="0">
                  <c:v>§ 283</c:v>
                </c:pt>
                <c:pt idx="1">
                  <c:v>§ 240</c:v>
                </c:pt>
                <c:pt idx="2">
                  <c:v>§ 279</c:v>
                </c:pt>
                <c:pt idx="3">
                  <c:v>§ 337</c:v>
                </c:pt>
                <c:pt idx="4">
                  <c:v>§ 186</c:v>
                </c:pt>
              </c:strCache>
            </c:strRef>
          </c:cat>
          <c:val>
            <c:numRef>
              <c:f>List1!$K$42:$K$46</c:f>
              <c:numCache>
                <c:formatCode>General</c:formatCode>
                <c:ptCount val="5"/>
              </c:numCache>
            </c:numRef>
          </c:val>
          <c:extLst>
            <c:ext xmlns:c16="http://schemas.microsoft.com/office/drawing/2014/chart" uri="{C3380CC4-5D6E-409C-BE32-E72D297353CC}">
              <c16:uniqueId val="{00000015-4322-4392-B5F5-B932A8857FEF}"/>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List1!$V$63</c:f>
              <c:strCache>
                <c:ptCount val="1"/>
                <c:pt idx="0">
                  <c:v>počet osob</c:v>
                </c:pt>
              </c:strCache>
            </c:strRef>
          </c:tx>
          <c:spPr>
            <a:solidFill>
              <a:schemeClr val="accent1"/>
            </a:solidFill>
            <a:ln>
              <a:noFill/>
            </a:ln>
            <a:effectLst/>
            <a:sp3d/>
          </c:spPr>
          <c:invertIfNegative val="0"/>
          <c:cat>
            <c:strRef>
              <c:f>List1!$S$64:$U$69</c:f>
              <c:strCache>
                <c:ptCount val="6"/>
                <c:pt idx="0">
                  <c:v>KSZ Ostrava</c:v>
                </c:pt>
                <c:pt idx="1">
                  <c:v>KSZ Plzeň</c:v>
                </c:pt>
                <c:pt idx="2">
                  <c:v>KSZ Praha</c:v>
                </c:pt>
                <c:pt idx="3">
                  <c:v>KSZ České Budějovice</c:v>
                </c:pt>
                <c:pt idx="4">
                  <c:v>KSZ Ústí nad Labem</c:v>
                </c:pt>
                <c:pt idx="5">
                  <c:v>KSZ Hradec Králové</c:v>
                </c:pt>
              </c:strCache>
            </c:strRef>
          </c:cat>
          <c:val>
            <c:numRef>
              <c:f>List1!$V$64:$V$69</c:f>
              <c:numCache>
                <c:formatCode>General</c:formatCode>
                <c:ptCount val="6"/>
                <c:pt idx="0">
                  <c:v>8</c:v>
                </c:pt>
                <c:pt idx="1">
                  <c:v>3</c:v>
                </c:pt>
                <c:pt idx="2">
                  <c:v>4</c:v>
                </c:pt>
                <c:pt idx="3">
                  <c:v>2</c:v>
                </c:pt>
                <c:pt idx="4">
                  <c:v>16</c:v>
                </c:pt>
                <c:pt idx="5">
                  <c:v>2</c:v>
                </c:pt>
              </c:numCache>
            </c:numRef>
          </c:val>
          <c:extLst>
            <c:ext xmlns:c16="http://schemas.microsoft.com/office/drawing/2014/chart" uri="{C3380CC4-5D6E-409C-BE32-E72D297353CC}">
              <c16:uniqueId val="{00000000-39C4-4273-9C3D-2D917F828778}"/>
            </c:ext>
          </c:extLst>
        </c:ser>
        <c:ser>
          <c:idx val="1"/>
          <c:order val="1"/>
          <c:tx>
            <c:strRef>
              <c:f>List1!$W$63</c:f>
              <c:strCache>
                <c:ptCount val="1"/>
              </c:strCache>
            </c:strRef>
          </c:tx>
          <c:spPr>
            <a:solidFill>
              <a:schemeClr val="accent2"/>
            </a:solidFill>
            <a:ln>
              <a:noFill/>
            </a:ln>
            <a:effectLst/>
            <a:sp3d/>
          </c:spPr>
          <c:invertIfNegative val="0"/>
          <c:cat>
            <c:strRef>
              <c:f>List1!$S$64:$U$69</c:f>
              <c:strCache>
                <c:ptCount val="6"/>
                <c:pt idx="0">
                  <c:v>KSZ Ostrava</c:v>
                </c:pt>
                <c:pt idx="1">
                  <c:v>KSZ Plzeň</c:v>
                </c:pt>
                <c:pt idx="2">
                  <c:v>KSZ Praha</c:v>
                </c:pt>
                <c:pt idx="3">
                  <c:v>KSZ České Budějovice</c:v>
                </c:pt>
                <c:pt idx="4">
                  <c:v>KSZ Ústí nad Labem</c:v>
                </c:pt>
                <c:pt idx="5">
                  <c:v>KSZ Hradec Králové</c:v>
                </c:pt>
              </c:strCache>
            </c:strRef>
          </c:cat>
          <c:val>
            <c:numRef>
              <c:f>List1!$W$64:$W$69</c:f>
              <c:numCache>
                <c:formatCode>General</c:formatCode>
                <c:ptCount val="6"/>
              </c:numCache>
            </c:numRef>
          </c:val>
          <c:extLst>
            <c:ext xmlns:c16="http://schemas.microsoft.com/office/drawing/2014/chart" uri="{C3380CC4-5D6E-409C-BE32-E72D297353CC}">
              <c16:uniqueId val="{00000001-39C4-4273-9C3D-2D917F828778}"/>
            </c:ext>
          </c:extLst>
        </c:ser>
        <c:dLbls>
          <c:showLegendKey val="0"/>
          <c:showVal val="0"/>
          <c:showCatName val="0"/>
          <c:showSerName val="0"/>
          <c:showPercent val="0"/>
          <c:showBubbleSize val="0"/>
        </c:dLbls>
        <c:gapWidth val="150"/>
        <c:shape val="box"/>
        <c:axId val="671798784"/>
        <c:axId val="679347904"/>
        <c:axId val="0"/>
      </c:bar3DChart>
      <c:catAx>
        <c:axId val="671798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79347904"/>
        <c:crosses val="autoZero"/>
        <c:auto val="1"/>
        <c:lblAlgn val="ctr"/>
        <c:lblOffset val="100"/>
        <c:noMultiLvlLbl val="0"/>
      </c:catAx>
      <c:valAx>
        <c:axId val="67934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71798784"/>
        <c:crosses val="autoZero"/>
        <c:crossBetween val="between"/>
      </c:val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BB725-DB24-486B-AE50-441C817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61</Pages>
  <Words>14491</Words>
  <Characters>85498</Characters>
  <Application>Microsoft Office Word</Application>
  <DocSecurity>0</DocSecurity>
  <Lines>712</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Tvzrník</dc:creator>
  <cp:lastModifiedBy>Tvrznik Christian</cp:lastModifiedBy>
  <cp:revision>98</cp:revision>
  <cp:lastPrinted>2024-06-30T09:23:00Z</cp:lastPrinted>
  <dcterms:created xsi:type="dcterms:W3CDTF">2024-06-29T12:06:00Z</dcterms:created>
  <dcterms:modified xsi:type="dcterms:W3CDTF">2024-06-30T10:48:00Z</dcterms:modified>
</cp:coreProperties>
</file>