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A7" w:rsidRPr="00267C8A" w:rsidRDefault="00865CA7" w:rsidP="00865CA7">
      <w:pPr>
        <w:spacing w:line="360" w:lineRule="auto"/>
        <w:jc w:val="center"/>
        <w:rPr>
          <w:sz w:val="32"/>
          <w:szCs w:val="32"/>
          <w:lang w:bidi="en-US"/>
        </w:rPr>
      </w:pPr>
      <w:r w:rsidRPr="00267C8A">
        <w:rPr>
          <w:sz w:val="32"/>
          <w:szCs w:val="32"/>
          <w:lang w:bidi="en-US"/>
        </w:rPr>
        <w:t>Univerzita Palackého v Olomouci</w:t>
      </w:r>
    </w:p>
    <w:p w:rsidR="00865CA7" w:rsidRPr="00267C8A" w:rsidRDefault="00865CA7" w:rsidP="00865CA7">
      <w:pPr>
        <w:spacing w:line="360" w:lineRule="auto"/>
        <w:jc w:val="center"/>
        <w:rPr>
          <w:sz w:val="32"/>
          <w:szCs w:val="32"/>
          <w:lang w:bidi="en-US"/>
        </w:rPr>
      </w:pPr>
      <w:r w:rsidRPr="00267C8A">
        <w:rPr>
          <w:sz w:val="32"/>
          <w:szCs w:val="32"/>
          <w:lang w:bidi="en-US"/>
        </w:rPr>
        <w:t>Právnická fakulta</w:t>
      </w:r>
    </w:p>
    <w:p w:rsidR="00865CA7" w:rsidRPr="00267C8A" w:rsidRDefault="00865CA7" w:rsidP="00865CA7">
      <w:pPr>
        <w:jc w:val="center"/>
        <w:rPr>
          <w:b/>
          <w:lang w:bidi="en-US"/>
        </w:rPr>
      </w:pPr>
    </w:p>
    <w:p w:rsidR="00865CA7" w:rsidRPr="00267C8A" w:rsidRDefault="00865CA7" w:rsidP="00865CA7">
      <w:pPr>
        <w:jc w:val="center"/>
        <w:rPr>
          <w:b/>
          <w:lang w:bidi="en-US"/>
        </w:rPr>
      </w:pPr>
    </w:p>
    <w:p w:rsidR="00865CA7" w:rsidRPr="00267C8A" w:rsidRDefault="00865CA7" w:rsidP="00865CA7">
      <w:pPr>
        <w:jc w:val="center"/>
        <w:rPr>
          <w:b/>
          <w:lang w:bidi="en-US"/>
        </w:rPr>
      </w:pPr>
    </w:p>
    <w:p w:rsidR="00865CA7" w:rsidRPr="00267C8A" w:rsidRDefault="00865CA7" w:rsidP="00865CA7">
      <w:pPr>
        <w:jc w:val="center"/>
        <w:rPr>
          <w:b/>
          <w:lang w:bidi="en-US"/>
        </w:rPr>
      </w:pPr>
    </w:p>
    <w:p w:rsidR="00865CA7" w:rsidRPr="00267C8A" w:rsidRDefault="00865CA7" w:rsidP="00865CA7">
      <w:pPr>
        <w:jc w:val="center"/>
        <w:rPr>
          <w:b/>
          <w:lang w:bidi="en-US"/>
        </w:rPr>
      </w:pPr>
    </w:p>
    <w:p w:rsidR="00865CA7" w:rsidRPr="00267C8A" w:rsidRDefault="00865CA7" w:rsidP="00865CA7">
      <w:pPr>
        <w:rPr>
          <w:b/>
          <w:sz w:val="40"/>
          <w:szCs w:val="40"/>
          <w:lang w:bidi="en-US"/>
        </w:rPr>
      </w:pPr>
    </w:p>
    <w:p w:rsidR="00865CA7" w:rsidRPr="00267C8A" w:rsidRDefault="00865CA7" w:rsidP="00865CA7">
      <w:pPr>
        <w:jc w:val="center"/>
        <w:rPr>
          <w:sz w:val="40"/>
          <w:szCs w:val="40"/>
          <w:lang w:bidi="en-US"/>
        </w:rPr>
      </w:pPr>
      <w:r>
        <w:rPr>
          <w:sz w:val="40"/>
          <w:szCs w:val="40"/>
          <w:lang w:val="en-US" w:bidi="en-US"/>
        </w:rPr>
        <w:t>Michaela Jelínková</w:t>
      </w:r>
    </w:p>
    <w:p w:rsidR="00865CA7" w:rsidRPr="00267C8A" w:rsidRDefault="00865CA7" w:rsidP="00865CA7">
      <w:pPr>
        <w:jc w:val="center"/>
        <w:rPr>
          <w:b/>
          <w:sz w:val="40"/>
          <w:szCs w:val="40"/>
          <w:lang w:bidi="en-US"/>
        </w:rPr>
      </w:pPr>
    </w:p>
    <w:p w:rsidR="00865CA7" w:rsidRPr="00267C8A" w:rsidRDefault="00865CA7" w:rsidP="00865CA7">
      <w:pPr>
        <w:jc w:val="center"/>
        <w:rPr>
          <w:b/>
          <w:sz w:val="40"/>
          <w:szCs w:val="40"/>
          <w:lang w:bidi="en-US"/>
        </w:rPr>
      </w:pPr>
      <w:r>
        <w:rPr>
          <w:b/>
          <w:sz w:val="40"/>
          <w:szCs w:val="40"/>
          <w:lang w:val="en-US" w:bidi="en-US"/>
        </w:rPr>
        <w:t>Posloupnost proti testamentu</w:t>
      </w:r>
    </w:p>
    <w:p w:rsidR="00865CA7" w:rsidRPr="00267C8A" w:rsidRDefault="00865CA7" w:rsidP="00865CA7">
      <w:pPr>
        <w:jc w:val="center"/>
        <w:rPr>
          <w:b/>
          <w:sz w:val="32"/>
          <w:szCs w:val="32"/>
          <w:lang w:bidi="en-US"/>
        </w:rPr>
      </w:pPr>
    </w:p>
    <w:p w:rsidR="00865CA7" w:rsidRPr="00267C8A" w:rsidRDefault="00865CA7" w:rsidP="00865CA7">
      <w:pPr>
        <w:jc w:val="center"/>
        <w:rPr>
          <w:sz w:val="32"/>
          <w:szCs w:val="32"/>
          <w:lang w:bidi="en-US"/>
        </w:rPr>
      </w:pPr>
      <w:r w:rsidRPr="00267C8A">
        <w:rPr>
          <w:sz w:val="32"/>
          <w:szCs w:val="32"/>
          <w:lang w:bidi="en-US"/>
        </w:rPr>
        <w:t>Diplomová práce</w:t>
      </w:r>
    </w:p>
    <w:p w:rsidR="00865CA7" w:rsidRPr="00267C8A" w:rsidRDefault="00865CA7" w:rsidP="00865CA7">
      <w:pPr>
        <w:jc w:val="center"/>
        <w:rPr>
          <w:lang w:bidi="en-US"/>
        </w:rPr>
      </w:pPr>
    </w:p>
    <w:p w:rsidR="00865CA7" w:rsidRPr="00267C8A" w:rsidRDefault="00865CA7" w:rsidP="00865CA7">
      <w:pPr>
        <w:jc w:val="center"/>
        <w:rPr>
          <w:lang w:bidi="en-US"/>
        </w:rPr>
      </w:pPr>
    </w:p>
    <w:p w:rsidR="00865CA7" w:rsidRPr="00267C8A" w:rsidRDefault="00865CA7" w:rsidP="00865CA7">
      <w:pPr>
        <w:jc w:val="center"/>
        <w:rPr>
          <w:lang w:bidi="en-US"/>
        </w:rPr>
      </w:pPr>
    </w:p>
    <w:p w:rsidR="00865CA7" w:rsidRPr="00267C8A" w:rsidRDefault="00865CA7" w:rsidP="00865CA7">
      <w:pPr>
        <w:jc w:val="center"/>
        <w:rPr>
          <w:lang w:bidi="en-US"/>
        </w:rPr>
      </w:pPr>
    </w:p>
    <w:p w:rsidR="00865CA7" w:rsidRPr="00267C8A" w:rsidRDefault="00865CA7" w:rsidP="00865CA7">
      <w:pPr>
        <w:jc w:val="center"/>
        <w:rPr>
          <w:lang w:bidi="en-US"/>
        </w:rPr>
      </w:pPr>
    </w:p>
    <w:p w:rsidR="00865CA7" w:rsidRPr="00267C8A" w:rsidRDefault="00865CA7" w:rsidP="00865CA7">
      <w:pPr>
        <w:jc w:val="center"/>
        <w:rPr>
          <w:lang w:bidi="en-US"/>
        </w:rPr>
      </w:pPr>
    </w:p>
    <w:p w:rsidR="00865CA7" w:rsidRPr="00267C8A" w:rsidRDefault="00865CA7" w:rsidP="00865CA7">
      <w:pPr>
        <w:rPr>
          <w:b/>
          <w:sz w:val="32"/>
          <w:szCs w:val="32"/>
          <w:lang w:bidi="en-US"/>
        </w:rPr>
      </w:pPr>
    </w:p>
    <w:p w:rsidR="00865CA7" w:rsidRPr="00267C8A" w:rsidRDefault="00865CA7" w:rsidP="00865CA7">
      <w:pPr>
        <w:rPr>
          <w:b/>
          <w:sz w:val="32"/>
          <w:szCs w:val="32"/>
          <w:lang w:bidi="en-US"/>
        </w:rPr>
      </w:pPr>
    </w:p>
    <w:p w:rsidR="00865CA7" w:rsidRPr="00267C8A" w:rsidRDefault="00865CA7" w:rsidP="00865CA7">
      <w:pPr>
        <w:rPr>
          <w:b/>
          <w:sz w:val="32"/>
          <w:szCs w:val="32"/>
          <w:lang w:bidi="en-US"/>
        </w:rPr>
      </w:pPr>
    </w:p>
    <w:p w:rsidR="00865CA7" w:rsidRPr="00267C8A" w:rsidRDefault="00865CA7" w:rsidP="00865CA7">
      <w:pPr>
        <w:jc w:val="center"/>
        <w:rPr>
          <w:sz w:val="32"/>
          <w:szCs w:val="32"/>
          <w:lang w:bidi="en-US"/>
        </w:rPr>
      </w:pPr>
      <w:r>
        <w:rPr>
          <w:sz w:val="32"/>
          <w:szCs w:val="32"/>
          <w:lang w:bidi="en-US"/>
        </w:rPr>
        <w:t>Olomouc 2016</w:t>
      </w:r>
    </w:p>
    <w:p w:rsidR="00865CA7" w:rsidRPr="00267C8A" w:rsidRDefault="00865CA7" w:rsidP="00865CA7">
      <w:pPr>
        <w:jc w:val="center"/>
        <w:rPr>
          <w:lang w:bidi="en-US"/>
        </w:rPr>
      </w:pPr>
    </w:p>
    <w:p w:rsidR="00865CA7" w:rsidRDefault="00865CA7" w:rsidP="00865CA7">
      <w:pPr>
        <w:rPr>
          <w:lang w:bidi="en-US"/>
        </w:rPr>
      </w:pPr>
    </w:p>
    <w:p w:rsidR="00865CA7" w:rsidRDefault="00865CA7" w:rsidP="00865CA7">
      <w:pPr>
        <w:rPr>
          <w:lang w:bidi="en-US"/>
        </w:rPr>
      </w:pPr>
    </w:p>
    <w:p w:rsidR="00865CA7" w:rsidRDefault="00865CA7" w:rsidP="00865CA7">
      <w:pPr>
        <w:rPr>
          <w:lang w:bidi="en-US"/>
        </w:rPr>
      </w:pPr>
    </w:p>
    <w:p w:rsidR="00865CA7" w:rsidRDefault="00865CA7" w:rsidP="00865CA7">
      <w:pPr>
        <w:rPr>
          <w:lang w:bidi="en-US"/>
        </w:rPr>
      </w:pPr>
    </w:p>
    <w:p w:rsidR="00865CA7" w:rsidRDefault="00865CA7" w:rsidP="00865CA7">
      <w:pPr>
        <w:rPr>
          <w:lang w:bidi="en-US"/>
        </w:rPr>
      </w:pPr>
    </w:p>
    <w:p w:rsidR="00865CA7" w:rsidRDefault="00865CA7" w:rsidP="00865CA7">
      <w:pPr>
        <w:rPr>
          <w:lang w:bidi="en-US"/>
        </w:rPr>
      </w:pPr>
    </w:p>
    <w:p w:rsidR="00865CA7" w:rsidRDefault="00865CA7" w:rsidP="00865CA7">
      <w:pPr>
        <w:rPr>
          <w:lang w:bidi="en-US"/>
        </w:rPr>
      </w:pPr>
    </w:p>
    <w:p w:rsidR="00865CA7" w:rsidRDefault="00865CA7" w:rsidP="00865CA7">
      <w:pPr>
        <w:rPr>
          <w:lang w:bidi="en-US"/>
        </w:rPr>
      </w:pPr>
    </w:p>
    <w:p w:rsidR="00865CA7" w:rsidRDefault="00865CA7" w:rsidP="00865CA7">
      <w:pPr>
        <w:rPr>
          <w:lang w:bidi="en-US"/>
        </w:rPr>
      </w:pPr>
    </w:p>
    <w:p w:rsidR="00865CA7" w:rsidRDefault="00865CA7" w:rsidP="00865CA7">
      <w:pPr>
        <w:rPr>
          <w:lang w:bidi="en-US"/>
        </w:rPr>
      </w:pPr>
    </w:p>
    <w:p w:rsidR="00865CA7" w:rsidRDefault="00865CA7" w:rsidP="00865CA7">
      <w:pPr>
        <w:rPr>
          <w:lang w:bidi="en-US"/>
        </w:rPr>
      </w:pPr>
    </w:p>
    <w:p w:rsidR="00865CA7" w:rsidRDefault="00865CA7" w:rsidP="00865CA7">
      <w:pPr>
        <w:rPr>
          <w:lang w:bidi="en-US"/>
        </w:rPr>
      </w:pPr>
    </w:p>
    <w:p w:rsidR="00865CA7" w:rsidRDefault="00865CA7" w:rsidP="00865CA7">
      <w:pPr>
        <w:rPr>
          <w:lang w:bidi="en-US"/>
        </w:rPr>
      </w:pPr>
    </w:p>
    <w:p w:rsidR="00865CA7" w:rsidRDefault="00865CA7" w:rsidP="00865CA7">
      <w:pPr>
        <w:rPr>
          <w:lang w:bidi="en-US"/>
        </w:rPr>
      </w:pPr>
    </w:p>
    <w:p w:rsidR="00865CA7" w:rsidRDefault="00865CA7" w:rsidP="00865CA7">
      <w:pPr>
        <w:rPr>
          <w:lang w:bidi="en-US"/>
        </w:rPr>
      </w:pPr>
    </w:p>
    <w:p w:rsidR="00865CA7" w:rsidRDefault="00865CA7" w:rsidP="00865CA7">
      <w:pPr>
        <w:rPr>
          <w:lang w:bidi="en-US"/>
        </w:rPr>
      </w:pPr>
    </w:p>
    <w:p w:rsidR="00865CA7" w:rsidRDefault="00865CA7" w:rsidP="00865CA7">
      <w:pPr>
        <w:rPr>
          <w:lang w:bidi="en-US"/>
        </w:rPr>
      </w:pPr>
    </w:p>
    <w:p w:rsidR="00865CA7" w:rsidRDefault="00865CA7" w:rsidP="00865CA7">
      <w:pPr>
        <w:rPr>
          <w:lang w:bidi="en-US"/>
        </w:rPr>
      </w:pPr>
    </w:p>
    <w:p w:rsidR="00865CA7" w:rsidRPr="00267C8A" w:rsidRDefault="00865CA7" w:rsidP="00865CA7">
      <w:pPr>
        <w:rPr>
          <w:lang w:bidi="en-US"/>
        </w:rPr>
      </w:pPr>
    </w:p>
    <w:p w:rsidR="00865CA7" w:rsidRPr="00267C8A" w:rsidRDefault="00865CA7" w:rsidP="00865CA7">
      <w:pPr>
        <w:spacing w:line="360" w:lineRule="auto"/>
        <w:rPr>
          <w:lang w:bidi="en-US"/>
        </w:rPr>
      </w:pPr>
      <w:r w:rsidRPr="00267C8A">
        <w:rPr>
          <w:lang w:bidi="en-US"/>
        </w:rPr>
        <w:t xml:space="preserve">„Prohlašuji, že jsem tuto diplomovou práci na téma </w:t>
      </w:r>
      <w:r>
        <w:rPr>
          <w:lang w:bidi="en-US"/>
        </w:rPr>
        <w:t xml:space="preserve">Posloupnost proti testamentu </w:t>
      </w:r>
      <w:r w:rsidRPr="00267C8A">
        <w:rPr>
          <w:lang w:bidi="en-US"/>
        </w:rPr>
        <w:t>vypracoval</w:t>
      </w:r>
      <w:r>
        <w:rPr>
          <w:lang w:bidi="en-US"/>
        </w:rPr>
        <w:t>a</w:t>
      </w:r>
      <w:r w:rsidRPr="00267C8A">
        <w:rPr>
          <w:lang w:bidi="en-US"/>
        </w:rPr>
        <w:t xml:space="preserve"> samostatně a řádně jsem citoval</w:t>
      </w:r>
      <w:r>
        <w:rPr>
          <w:lang w:bidi="en-US"/>
        </w:rPr>
        <w:t>a</w:t>
      </w:r>
      <w:r w:rsidRPr="00267C8A">
        <w:rPr>
          <w:lang w:bidi="en-US"/>
        </w:rPr>
        <w:t xml:space="preserve"> všechny použité zdroje.“</w:t>
      </w:r>
    </w:p>
    <w:p w:rsidR="00865CA7" w:rsidRPr="00267C8A" w:rsidRDefault="00865CA7" w:rsidP="00865CA7">
      <w:pPr>
        <w:spacing w:line="360" w:lineRule="auto"/>
        <w:rPr>
          <w:lang w:bidi="en-US"/>
        </w:rPr>
      </w:pPr>
    </w:p>
    <w:p w:rsidR="00865CA7" w:rsidRPr="00267C8A" w:rsidRDefault="00865CA7" w:rsidP="00865CA7">
      <w:pPr>
        <w:spacing w:line="360" w:lineRule="auto"/>
        <w:rPr>
          <w:lang w:bidi="en-US"/>
        </w:rPr>
      </w:pPr>
      <w:r w:rsidRPr="00267C8A">
        <w:rPr>
          <w:lang w:bidi="en-US"/>
        </w:rPr>
        <w:t>V</w:t>
      </w:r>
      <w:r>
        <w:rPr>
          <w:lang w:bidi="en-US"/>
        </w:rPr>
        <w:t xml:space="preserve"> Chotěboři </w:t>
      </w:r>
      <w:r w:rsidRPr="00267C8A">
        <w:rPr>
          <w:lang w:bidi="en-US"/>
        </w:rPr>
        <w:t xml:space="preserve">dne </w:t>
      </w:r>
    </w:p>
    <w:p w:rsidR="00865CA7" w:rsidRPr="00267C8A" w:rsidRDefault="00865CA7" w:rsidP="00865CA7">
      <w:pPr>
        <w:spacing w:line="360" w:lineRule="auto"/>
        <w:jc w:val="right"/>
        <w:rPr>
          <w:lang w:bidi="en-US"/>
        </w:rPr>
      </w:pPr>
      <w:r>
        <w:rPr>
          <w:lang w:bidi="en-US"/>
        </w:rPr>
        <w:t>.....</w:t>
      </w:r>
      <w:r w:rsidRPr="00267C8A">
        <w:rPr>
          <w:lang w:bidi="en-US"/>
        </w:rPr>
        <w:t>…………………………</w:t>
      </w:r>
    </w:p>
    <w:p w:rsidR="00865CA7" w:rsidRDefault="00865CA7" w:rsidP="00865CA7">
      <w:pPr>
        <w:spacing w:line="360" w:lineRule="auto"/>
        <w:ind w:left="5664" w:firstLine="708"/>
        <w:jc w:val="center"/>
        <w:rPr>
          <w:lang w:bidi="en-US"/>
        </w:rPr>
      </w:pPr>
      <w:r>
        <w:rPr>
          <w:lang w:bidi="en-US"/>
        </w:rPr>
        <w:t>Michaela Jelínková</w:t>
      </w:r>
    </w:p>
    <w:p w:rsidR="00865CA7" w:rsidRDefault="00865CA7" w:rsidP="00865CA7">
      <w:pPr>
        <w:spacing w:line="360" w:lineRule="auto"/>
        <w:rPr>
          <w:b/>
          <w:lang w:bidi="en-US"/>
        </w:rPr>
      </w:pPr>
    </w:p>
    <w:p w:rsidR="00865CA7" w:rsidRDefault="00865CA7" w:rsidP="00865CA7">
      <w:pPr>
        <w:spacing w:line="360" w:lineRule="auto"/>
        <w:rPr>
          <w:b/>
          <w:lang w:bidi="en-US"/>
        </w:rPr>
      </w:pPr>
    </w:p>
    <w:p w:rsidR="00865CA7" w:rsidRDefault="00865CA7" w:rsidP="00865CA7">
      <w:pPr>
        <w:spacing w:line="360" w:lineRule="auto"/>
        <w:rPr>
          <w:b/>
          <w:lang w:bidi="en-US"/>
        </w:rPr>
      </w:pPr>
    </w:p>
    <w:p w:rsidR="00865CA7" w:rsidRDefault="00865CA7" w:rsidP="00865CA7">
      <w:pPr>
        <w:spacing w:line="360" w:lineRule="auto"/>
        <w:rPr>
          <w:b/>
          <w:lang w:bidi="en-US"/>
        </w:rPr>
      </w:pPr>
    </w:p>
    <w:p w:rsidR="00865CA7" w:rsidRDefault="00865CA7" w:rsidP="00865CA7">
      <w:pPr>
        <w:spacing w:line="360" w:lineRule="auto"/>
        <w:rPr>
          <w:b/>
          <w:lang w:bidi="en-US"/>
        </w:rPr>
      </w:pPr>
    </w:p>
    <w:p w:rsidR="00865CA7" w:rsidRDefault="00865CA7" w:rsidP="00865CA7">
      <w:pPr>
        <w:spacing w:line="360" w:lineRule="auto"/>
        <w:rPr>
          <w:b/>
          <w:lang w:bidi="en-US"/>
        </w:rPr>
      </w:pPr>
    </w:p>
    <w:p w:rsidR="00865CA7" w:rsidRDefault="00865CA7" w:rsidP="00865CA7">
      <w:pPr>
        <w:spacing w:line="360" w:lineRule="auto"/>
        <w:rPr>
          <w:b/>
          <w:lang w:bidi="en-US"/>
        </w:rPr>
      </w:pPr>
    </w:p>
    <w:p w:rsidR="00865CA7" w:rsidRDefault="00865CA7" w:rsidP="00865CA7">
      <w:pPr>
        <w:spacing w:line="360" w:lineRule="auto"/>
        <w:rPr>
          <w:b/>
          <w:lang w:bidi="en-US"/>
        </w:rPr>
      </w:pPr>
    </w:p>
    <w:p w:rsidR="00865CA7" w:rsidRDefault="00865CA7" w:rsidP="00865CA7">
      <w:pPr>
        <w:spacing w:line="360" w:lineRule="auto"/>
        <w:rPr>
          <w:b/>
          <w:lang w:bidi="en-US"/>
        </w:rPr>
      </w:pPr>
    </w:p>
    <w:p w:rsidR="00865CA7" w:rsidRDefault="00865CA7" w:rsidP="00865CA7">
      <w:pPr>
        <w:spacing w:line="360" w:lineRule="auto"/>
        <w:rPr>
          <w:b/>
          <w:lang w:bidi="en-US"/>
        </w:rPr>
      </w:pPr>
    </w:p>
    <w:p w:rsidR="00865CA7" w:rsidRDefault="00865CA7" w:rsidP="00865CA7">
      <w:pPr>
        <w:spacing w:line="360" w:lineRule="auto"/>
        <w:rPr>
          <w:b/>
          <w:lang w:bidi="en-US"/>
        </w:rPr>
      </w:pPr>
    </w:p>
    <w:p w:rsidR="00865CA7" w:rsidRDefault="00865CA7" w:rsidP="00865CA7">
      <w:pPr>
        <w:spacing w:line="360" w:lineRule="auto"/>
        <w:rPr>
          <w:b/>
          <w:lang w:bidi="en-US"/>
        </w:rPr>
      </w:pPr>
    </w:p>
    <w:p w:rsidR="00865CA7" w:rsidRDefault="00865CA7" w:rsidP="00865CA7">
      <w:pPr>
        <w:spacing w:line="360" w:lineRule="auto"/>
        <w:rPr>
          <w:b/>
          <w:lang w:bidi="en-US"/>
        </w:rPr>
      </w:pPr>
    </w:p>
    <w:p w:rsidR="00865CA7" w:rsidRDefault="00865CA7" w:rsidP="00865CA7">
      <w:pPr>
        <w:spacing w:line="360" w:lineRule="auto"/>
        <w:rPr>
          <w:b/>
          <w:lang w:bidi="en-US"/>
        </w:rPr>
      </w:pPr>
    </w:p>
    <w:p w:rsidR="00865CA7" w:rsidRDefault="00865CA7" w:rsidP="00865CA7">
      <w:pPr>
        <w:spacing w:line="360" w:lineRule="auto"/>
        <w:rPr>
          <w:b/>
          <w:lang w:bidi="en-US"/>
        </w:rPr>
      </w:pPr>
    </w:p>
    <w:p w:rsidR="00865CA7" w:rsidRDefault="00865CA7" w:rsidP="00865CA7">
      <w:pPr>
        <w:spacing w:line="360" w:lineRule="auto"/>
        <w:rPr>
          <w:b/>
          <w:lang w:bidi="en-US"/>
        </w:rPr>
      </w:pPr>
    </w:p>
    <w:p w:rsidR="00865CA7" w:rsidRDefault="00865CA7" w:rsidP="00865CA7">
      <w:pPr>
        <w:spacing w:line="360" w:lineRule="auto"/>
        <w:rPr>
          <w:b/>
          <w:lang w:bidi="en-US"/>
        </w:rPr>
      </w:pPr>
    </w:p>
    <w:p w:rsidR="00865CA7" w:rsidRPr="00267C8A" w:rsidRDefault="00865CA7" w:rsidP="00865CA7">
      <w:pPr>
        <w:spacing w:line="360" w:lineRule="auto"/>
        <w:rPr>
          <w:b/>
          <w:lang w:bidi="en-US"/>
        </w:rPr>
      </w:pPr>
      <w:r w:rsidRPr="00267C8A">
        <w:rPr>
          <w:b/>
          <w:lang w:bidi="en-US"/>
        </w:rPr>
        <w:t>Poděkování</w:t>
      </w:r>
    </w:p>
    <w:p w:rsidR="00865CA7" w:rsidRDefault="00865CA7" w:rsidP="00865CA7">
      <w:pPr>
        <w:spacing w:line="360" w:lineRule="auto"/>
        <w:ind w:firstLine="708"/>
        <w:rPr>
          <w:szCs w:val="24"/>
          <w:lang w:bidi="en-US"/>
        </w:rPr>
      </w:pPr>
      <w:r w:rsidRPr="00267C8A">
        <w:rPr>
          <w:szCs w:val="24"/>
          <w:lang w:bidi="en-US"/>
        </w:rPr>
        <w:t>Na tomto místě děk</w:t>
      </w:r>
      <w:r w:rsidR="00067077">
        <w:rPr>
          <w:szCs w:val="24"/>
          <w:lang w:bidi="en-US"/>
        </w:rPr>
        <w:t>uji JUDr. Petru Dostalíkovi, Ph.</w:t>
      </w:r>
      <w:r w:rsidRPr="00267C8A">
        <w:rPr>
          <w:szCs w:val="24"/>
          <w:lang w:bidi="en-US"/>
        </w:rPr>
        <w:t>D., za jeho odborné vedení a ochotný přístup při vypracování mé diplomové práce. Také děkuji své rodině za jejich velkou trpělivost a podporu během dosavadního studia.</w:t>
      </w:r>
    </w:p>
    <w:p w:rsidR="00865CA7" w:rsidRPr="002A26E8" w:rsidRDefault="00865CA7" w:rsidP="00865CA7">
      <w:pPr>
        <w:jc w:val="left"/>
        <w:rPr>
          <w:szCs w:val="24"/>
          <w:lang w:bidi="en-US"/>
        </w:rPr>
      </w:pPr>
      <w:r>
        <w:rPr>
          <w:szCs w:val="24"/>
          <w:lang w:bidi="en-US"/>
        </w:rPr>
        <w:br w:type="page"/>
      </w:r>
    </w:p>
    <w:sdt>
      <w:sdtPr>
        <w:rPr>
          <w:rFonts w:ascii="Times New Roman" w:eastAsiaTheme="minorHAnsi" w:hAnsi="Times New Roman" w:cstheme="minorBidi"/>
          <w:b w:val="0"/>
          <w:bCs w:val="0"/>
          <w:color w:val="auto"/>
          <w:sz w:val="24"/>
          <w:szCs w:val="22"/>
        </w:rPr>
        <w:id w:val="8190474"/>
        <w:docPartObj>
          <w:docPartGallery w:val="Table of Contents"/>
          <w:docPartUnique/>
        </w:docPartObj>
      </w:sdtPr>
      <w:sdtContent>
        <w:p w:rsidR="00E7605E" w:rsidRPr="00E7605E" w:rsidRDefault="00E7605E">
          <w:pPr>
            <w:pStyle w:val="Nadpisobsahu"/>
            <w:rPr>
              <w:color w:val="auto"/>
            </w:rPr>
          </w:pPr>
          <w:r w:rsidRPr="00E7605E">
            <w:rPr>
              <w:color w:val="auto"/>
            </w:rPr>
            <w:t>Obsah</w:t>
          </w:r>
        </w:p>
        <w:p w:rsidR="00050FD7" w:rsidRDefault="00226974">
          <w:pPr>
            <w:pStyle w:val="Obsah1"/>
            <w:tabs>
              <w:tab w:val="right" w:leader="dot" w:pos="9062"/>
            </w:tabs>
            <w:rPr>
              <w:rFonts w:asciiTheme="minorHAnsi" w:eastAsiaTheme="minorEastAsia" w:hAnsiTheme="minorHAnsi"/>
              <w:noProof/>
              <w:sz w:val="22"/>
              <w:lang w:eastAsia="cs-CZ"/>
            </w:rPr>
          </w:pPr>
          <w:r w:rsidRPr="00E7605E">
            <w:fldChar w:fldCharType="begin"/>
          </w:r>
          <w:r w:rsidR="00E7605E" w:rsidRPr="00E7605E">
            <w:instrText xml:space="preserve"> TOC \o "1-3" \h \z \u </w:instrText>
          </w:r>
          <w:r w:rsidRPr="00E7605E">
            <w:fldChar w:fldCharType="separate"/>
          </w:r>
          <w:hyperlink w:anchor="_Toc449513888" w:history="1">
            <w:r w:rsidR="00050FD7" w:rsidRPr="00192683">
              <w:rPr>
                <w:rStyle w:val="Hypertextovodkaz"/>
                <w:noProof/>
              </w:rPr>
              <w:t>Seznam použitých zkratek</w:t>
            </w:r>
            <w:r w:rsidR="00050FD7">
              <w:rPr>
                <w:noProof/>
                <w:webHidden/>
              </w:rPr>
              <w:tab/>
            </w:r>
            <w:r w:rsidR="00050FD7">
              <w:rPr>
                <w:noProof/>
                <w:webHidden/>
              </w:rPr>
              <w:fldChar w:fldCharType="begin"/>
            </w:r>
            <w:r w:rsidR="00050FD7">
              <w:rPr>
                <w:noProof/>
                <w:webHidden/>
              </w:rPr>
              <w:instrText xml:space="preserve"> PAGEREF _Toc449513888 \h </w:instrText>
            </w:r>
            <w:r w:rsidR="00050FD7">
              <w:rPr>
                <w:noProof/>
                <w:webHidden/>
              </w:rPr>
            </w:r>
            <w:r w:rsidR="00050FD7">
              <w:rPr>
                <w:noProof/>
                <w:webHidden/>
              </w:rPr>
              <w:fldChar w:fldCharType="separate"/>
            </w:r>
            <w:r w:rsidR="00DE2FD1">
              <w:rPr>
                <w:noProof/>
                <w:webHidden/>
              </w:rPr>
              <w:t>6</w:t>
            </w:r>
            <w:r w:rsidR="00050FD7">
              <w:rPr>
                <w:noProof/>
                <w:webHidden/>
              </w:rPr>
              <w:fldChar w:fldCharType="end"/>
            </w:r>
          </w:hyperlink>
        </w:p>
        <w:p w:rsidR="00050FD7" w:rsidRDefault="00050FD7">
          <w:pPr>
            <w:pStyle w:val="Obsah1"/>
            <w:tabs>
              <w:tab w:val="right" w:leader="dot" w:pos="9062"/>
            </w:tabs>
            <w:rPr>
              <w:rFonts w:asciiTheme="minorHAnsi" w:eastAsiaTheme="minorEastAsia" w:hAnsiTheme="minorHAnsi"/>
              <w:noProof/>
              <w:sz w:val="22"/>
              <w:lang w:eastAsia="cs-CZ"/>
            </w:rPr>
          </w:pPr>
          <w:hyperlink w:anchor="_Toc449513889" w:history="1">
            <w:r w:rsidRPr="00192683">
              <w:rPr>
                <w:rStyle w:val="Hypertextovodkaz"/>
                <w:noProof/>
              </w:rPr>
              <w:t>Úvod</w:t>
            </w:r>
            <w:r>
              <w:rPr>
                <w:noProof/>
                <w:webHidden/>
              </w:rPr>
              <w:tab/>
            </w:r>
            <w:r>
              <w:rPr>
                <w:noProof/>
                <w:webHidden/>
              </w:rPr>
              <w:fldChar w:fldCharType="begin"/>
            </w:r>
            <w:r>
              <w:rPr>
                <w:noProof/>
                <w:webHidden/>
              </w:rPr>
              <w:instrText xml:space="preserve"> PAGEREF _Toc449513889 \h </w:instrText>
            </w:r>
            <w:r>
              <w:rPr>
                <w:noProof/>
                <w:webHidden/>
              </w:rPr>
            </w:r>
            <w:r>
              <w:rPr>
                <w:noProof/>
                <w:webHidden/>
              </w:rPr>
              <w:fldChar w:fldCharType="separate"/>
            </w:r>
            <w:r w:rsidR="00DE2FD1">
              <w:rPr>
                <w:noProof/>
                <w:webHidden/>
              </w:rPr>
              <w:t>7</w:t>
            </w:r>
            <w:r>
              <w:rPr>
                <w:noProof/>
                <w:webHidden/>
              </w:rPr>
              <w:fldChar w:fldCharType="end"/>
            </w:r>
          </w:hyperlink>
        </w:p>
        <w:p w:rsidR="00050FD7" w:rsidRDefault="00050FD7">
          <w:pPr>
            <w:pStyle w:val="Obsah1"/>
            <w:tabs>
              <w:tab w:val="right" w:leader="dot" w:pos="9062"/>
            </w:tabs>
            <w:rPr>
              <w:rFonts w:asciiTheme="minorHAnsi" w:eastAsiaTheme="minorEastAsia" w:hAnsiTheme="minorHAnsi"/>
              <w:noProof/>
              <w:sz w:val="22"/>
              <w:lang w:eastAsia="cs-CZ"/>
            </w:rPr>
          </w:pPr>
          <w:hyperlink w:anchor="_Toc449513890" w:history="1">
            <w:r w:rsidRPr="00192683">
              <w:rPr>
                <w:rStyle w:val="Hypertextovodkaz"/>
                <w:noProof/>
              </w:rPr>
              <w:t>1. Posloupnost proti testamentu podle římského práva</w:t>
            </w:r>
            <w:r>
              <w:rPr>
                <w:noProof/>
                <w:webHidden/>
              </w:rPr>
              <w:tab/>
            </w:r>
            <w:r>
              <w:rPr>
                <w:noProof/>
                <w:webHidden/>
              </w:rPr>
              <w:fldChar w:fldCharType="begin"/>
            </w:r>
            <w:r>
              <w:rPr>
                <w:noProof/>
                <w:webHidden/>
              </w:rPr>
              <w:instrText xml:space="preserve"> PAGEREF _Toc449513890 \h </w:instrText>
            </w:r>
            <w:r>
              <w:rPr>
                <w:noProof/>
                <w:webHidden/>
              </w:rPr>
            </w:r>
            <w:r>
              <w:rPr>
                <w:noProof/>
                <w:webHidden/>
              </w:rPr>
              <w:fldChar w:fldCharType="separate"/>
            </w:r>
            <w:r w:rsidR="00DE2FD1">
              <w:rPr>
                <w:noProof/>
                <w:webHidden/>
              </w:rPr>
              <w:t>9</w:t>
            </w:r>
            <w:r>
              <w:rPr>
                <w:noProof/>
                <w:webHidden/>
              </w:rPr>
              <w:fldChar w:fldCharType="end"/>
            </w:r>
          </w:hyperlink>
        </w:p>
        <w:p w:rsidR="00050FD7" w:rsidRDefault="00050FD7">
          <w:pPr>
            <w:pStyle w:val="Obsah2"/>
            <w:tabs>
              <w:tab w:val="right" w:leader="dot" w:pos="9062"/>
            </w:tabs>
            <w:rPr>
              <w:rFonts w:asciiTheme="minorHAnsi" w:eastAsiaTheme="minorEastAsia" w:hAnsiTheme="minorHAnsi"/>
              <w:noProof/>
              <w:sz w:val="22"/>
              <w:lang w:eastAsia="cs-CZ"/>
            </w:rPr>
          </w:pPr>
          <w:hyperlink w:anchor="_Toc449513891" w:history="1">
            <w:r w:rsidRPr="00192683">
              <w:rPr>
                <w:rStyle w:val="Hypertextovodkaz"/>
                <w:noProof/>
              </w:rPr>
              <w:t>1.1 Úvod do tématu</w:t>
            </w:r>
            <w:r>
              <w:rPr>
                <w:noProof/>
                <w:webHidden/>
              </w:rPr>
              <w:tab/>
            </w:r>
            <w:r>
              <w:rPr>
                <w:noProof/>
                <w:webHidden/>
              </w:rPr>
              <w:fldChar w:fldCharType="begin"/>
            </w:r>
            <w:r>
              <w:rPr>
                <w:noProof/>
                <w:webHidden/>
              </w:rPr>
              <w:instrText xml:space="preserve"> PAGEREF _Toc449513891 \h </w:instrText>
            </w:r>
            <w:r>
              <w:rPr>
                <w:noProof/>
                <w:webHidden/>
              </w:rPr>
            </w:r>
            <w:r>
              <w:rPr>
                <w:noProof/>
                <w:webHidden/>
              </w:rPr>
              <w:fldChar w:fldCharType="separate"/>
            </w:r>
            <w:r w:rsidR="00DE2FD1">
              <w:rPr>
                <w:noProof/>
                <w:webHidden/>
              </w:rPr>
              <w:t>9</w:t>
            </w:r>
            <w:r>
              <w:rPr>
                <w:noProof/>
                <w:webHidden/>
              </w:rPr>
              <w:fldChar w:fldCharType="end"/>
            </w:r>
          </w:hyperlink>
        </w:p>
        <w:p w:rsidR="00050FD7" w:rsidRDefault="00050FD7">
          <w:pPr>
            <w:pStyle w:val="Obsah2"/>
            <w:tabs>
              <w:tab w:val="right" w:leader="dot" w:pos="9062"/>
            </w:tabs>
            <w:rPr>
              <w:rFonts w:asciiTheme="minorHAnsi" w:eastAsiaTheme="minorEastAsia" w:hAnsiTheme="minorHAnsi"/>
              <w:noProof/>
              <w:sz w:val="22"/>
              <w:lang w:eastAsia="cs-CZ"/>
            </w:rPr>
          </w:pPr>
          <w:hyperlink w:anchor="_Toc449513892" w:history="1">
            <w:r w:rsidRPr="00192683">
              <w:rPr>
                <w:rStyle w:val="Hypertextovodkaz"/>
                <w:noProof/>
              </w:rPr>
              <w:t>1.2 Posloupnost proti testamentu podle římského práva klasického</w:t>
            </w:r>
            <w:r>
              <w:rPr>
                <w:noProof/>
                <w:webHidden/>
              </w:rPr>
              <w:tab/>
            </w:r>
            <w:r>
              <w:rPr>
                <w:noProof/>
                <w:webHidden/>
              </w:rPr>
              <w:fldChar w:fldCharType="begin"/>
            </w:r>
            <w:r>
              <w:rPr>
                <w:noProof/>
                <w:webHidden/>
              </w:rPr>
              <w:instrText xml:space="preserve"> PAGEREF _Toc449513892 \h </w:instrText>
            </w:r>
            <w:r>
              <w:rPr>
                <w:noProof/>
                <w:webHidden/>
              </w:rPr>
            </w:r>
            <w:r>
              <w:rPr>
                <w:noProof/>
                <w:webHidden/>
              </w:rPr>
              <w:fldChar w:fldCharType="separate"/>
            </w:r>
            <w:r w:rsidR="00DE2FD1">
              <w:rPr>
                <w:noProof/>
                <w:webHidden/>
              </w:rPr>
              <w:t>10</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893" w:history="1">
            <w:r w:rsidRPr="00192683">
              <w:rPr>
                <w:rStyle w:val="Hypertextovodkaz"/>
                <w:noProof/>
              </w:rPr>
              <w:t>1. 2. 1 Formální práva nepominutelných dědiců</w:t>
            </w:r>
            <w:r>
              <w:rPr>
                <w:noProof/>
                <w:webHidden/>
              </w:rPr>
              <w:tab/>
            </w:r>
            <w:r>
              <w:rPr>
                <w:noProof/>
                <w:webHidden/>
              </w:rPr>
              <w:fldChar w:fldCharType="begin"/>
            </w:r>
            <w:r>
              <w:rPr>
                <w:noProof/>
                <w:webHidden/>
              </w:rPr>
              <w:instrText xml:space="preserve"> PAGEREF _Toc449513893 \h </w:instrText>
            </w:r>
            <w:r>
              <w:rPr>
                <w:noProof/>
                <w:webHidden/>
              </w:rPr>
            </w:r>
            <w:r>
              <w:rPr>
                <w:noProof/>
                <w:webHidden/>
              </w:rPr>
              <w:fldChar w:fldCharType="separate"/>
            </w:r>
            <w:r w:rsidR="00DE2FD1">
              <w:rPr>
                <w:noProof/>
                <w:webHidden/>
              </w:rPr>
              <w:t>10</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894" w:history="1">
            <w:r w:rsidRPr="00192683">
              <w:rPr>
                <w:rStyle w:val="Hypertextovodkaz"/>
                <w:noProof/>
              </w:rPr>
              <w:t>1. 2. 2 Materiální práva nepominutelných dědiců</w:t>
            </w:r>
            <w:r>
              <w:rPr>
                <w:noProof/>
                <w:webHidden/>
              </w:rPr>
              <w:tab/>
            </w:r>
            <w:r>
              <w:rPr>
                <w:noProof/>
                <w:webHidden/>
              </w:rPr>
              <w:fldChar w:fldCharType="begin"/>
            </w:r>
            <w:r>
              <w:rPr>
                <w:noProof/>
                <w:webHidden/>
              </w:rPr>
              <w:instrText xml:space="preserve"> PAGEREF _Toc449513894 \h </w:instrText>
            </w:r>
            <w:r>
              <w:rPr>
                <w:noProof/>
                <w:webHidden/>
              </w:rPr>
            </w:r>
            <w:r>
              <w:rPr>
                <w:noProof/>
                <w:webHidden/>
              </w:rPr>
              <w:fldChar w:fldCharType="separate"/>
            </w:r>
            <w:r w:rsidR="00DE2FD1">
              <w:rPr>
                <w:noProof/>
                <w:webHidden/>
              </w:rPr>
              <w:t>18</w:t>
            </w:r>
            <w:r>
              <w:rPr>
                <w:noProof/>
                <w:webHidden/>
              </w:rPr>
              <w:fldChar w:fldCharType="end"/>
            </w:r>
          </w:hyperlink>
        </w:p>
        <w:p w:rsidR="00050FD7" w:rsidRDefault="00050FD7">
          <w:pPr>
            <w:pStyle w:val="Obsah2"/>
            <w:tabs>
              <w:tab w:val="right" w:leader="dot" w:pos="9062"/>
            </w:tabs>
            <w:rPr>
              <w:rFonts w:asciiTheme="minorHAnsi" w:eastAsiaTheme="minorEastAsia" w:hAnsiTheme="minorHAnsi"/>
              <w:noProof/>
              <w:sz w:val="22"/>
              <w:lang w:eastAsia="cs-CZ"/>
            </w:rPr>
          </w:pPr>
          <w:hyperlink w:anchor="_Toc449513895" w:history="1">
            <w:r w:rsidRPr="00192683">
              <w:rPr>
                <w:rStyle w:val="Hypertextovodkaz"/>
                <w:noProof/>
              </w:rPr>
              <w:t>1. 3 Posloupnost proti testamentu podle římského práva justiniánského</w:t>
            </w:r>
            <w:r>
              <w:rPr>
                <w:noProof/>
                <w:webHidden/>
              </w:rPr>
              <w:tab/>
            </w:r>
            <w:r>
              <w:rPr>
                <w:noProof/>
                <w:webHidden/>
              </w:rPr>
              <w:fldChar w:fldCharType="begin"/>
            </w:r>
            <w:r>
              <w:rPr>
                <w:noProof/>
                <w:webHidden/>
              </w:rPr>
              <w:instrText xml:space="preserve"> PAGEREF _Toc449513895 \h </w:instrText>
            </w:r>
            <w:r>
              <w:rPr>
                <w:noProof/>
                <w:webHidden/>
              </w:rPr>
            </w:r>
            <w:r>
              <w:rPr>
                <w:noProof/>
                <w:webHidden/>
              </w:rPr>
              <w:fldChar w:fldCharType="separate"/>
            </w:r>
            <w:r w:rsidR="00DE2FD1">
              <w:rPr>
                <w:noProof/>
                <w:webHidden/>
              </w:rPr>
              <w:t>19</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896" w:history="1">
            <w:r w:rsidRPr="00192683">
              <w:rPr>
                <w:rStyle w:val="Hypertextovodkaz"/>
                <w:noProof/>
              </w:rPr>
              <w:t>1. 3. 1 Formální práva nepominutelných dědiců</w:t>
            </w:r>
            <w:r>
              <w:rPr>
                <w:noProof/>
                <w:webHidden/>
              </w:rPr>
              <w:tab/>
            </w:r>
            <w:r>
              <w:rPr>
                <w:noProof/>
                <w:webHidden/>
              </w:rPr>
              <w:fldChar w:fldCharType="begin"/>
            </w:r>
            <w:r>
              <w:rPr>
                <w:noProof/>
                <w:webHidden/>
              </w:rPr>
              <w:instrText xml:space="preserve"> PAGEREF _Toc449513896 \h </w:instrText>
            </w:r>
            <w:r>
              <w:rPr>
                <w:noProof/>
                <w:webHidden/>
              </w:rPr>
            </w:r>
            <w:r>
              <w:rPr>
                <w:noProof/>
                <w:webHidden/>
              </w:rPr>
              <w:fldChar w:fldCharType="separate"/>
            </w:r>
            <w:r w:rsidR="00DE2FD1">
              <w:rPr>
                <w:noProof/>
                <w:webHidden/>
              </w:rPr>
              <w:t>19</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897" w:history="1">
            <w:r w:rsidRPr="00192683">
              <w:rPr>
                <w:rStyle w:val="Hypertextovodkaz"/>
                <w:noProof/>
              </w:rPr>
              <w:t>1. 3. 2 Materiální práva nepominutelných dědiců</w:t>
            </w:r>
            <w:r>
              <w:rPr>
                <w:noProof/>
                <w:webHidden/>
              </w:rPr>
              <w:tab/>
            </w:r>
            <w:r>
              <w:rPr>
                <w:noProof/>
                <w:webHidden/>
              </w:rPr>
              <w:fldChar w:fldCharType="begin"/>
            </w:r>
            <w:r>
              <w:rPr>
                <w:noProof/>
                <w:webHidden/>
              </w:rPr>
              <w:instrText xml:space="preserve"> PAGEREF _Toc449513897 \h </w:instrText>
            </w:r>
            <w:r>
              <w:rPr>
                <w:noProof/>
                <w:webHidden/>
              </w:rPr>
            </w:r>
            <w:r>
              <w:rPr>
                <w:noProof/>
                <w:webHidden/>
              </w:rPr>
              <w:fldChar w:fldCharType="separate"/>
            </w:r>
            <w:r w:rsidR="00DE2FD1">
              <w:rPr>
                <w:noProof/>
                <w:webHidden/>
              </w:rPr>
              <w:t>23</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898" w:history="1">
            <w:r w:rsidRPr="00192683">
              <w:rPr>
                <w:rStyle w:val="Hypertextovodkaz"/>
                <w:noProof/>
              </w:rPr>
              <w:t>1. 3. 3 Novela 115 a její vliv na posloupnost proti testamentu</w:t>
            </w:r>
            <w:r>
              <w:rPr>
                <w:noProof/>
                <w:webHidden/>
              </w:rPr>
              <w:tab/>
            </w:r>
            <w:r>
              <w:rPr>
                <w:noProof/>
                <w:webHidden/>
              </w:rPr>
              <w:fldChar w:fldCharType="begin"/>
            </w:r>
            <w:r>
              <w:rPr>
                <w:noProof/>
                <w:webHidden/>
              </w:rPr>
              <w:instrText xml:space="preserve"> PAGEREF _Toc449513898 \h </w:instrText>
            </w:r>
            <w:r>
              <w:rPr>
                <w:noProof/>
                <w:webHidden/>
              </w:rPr>
            </w:r>
            <w:r>
              <w:rPr>
                <w:noProof/>
                <w:webHidden/>
              </w:rPr>
              <w:fldChar w:fldCharType="separate"/>
            </w:r>
            <w:r w:rsidR="00DE2FD1">
              <w:rPr>
                <w:noProof/>
                <w:webHidden/>
              </w:rPr>
              <w:t>25</w:t>
            </w:r>
            <w:r>
              <w:rPr>
                <w:noProof/>
                <w:webHidden/>
              </w:rPr>
              <w:fldChar w:fldCharType="end"/>
            </w:r>
          </w:hyperlink>
        </w:p>
        <w:p w:rsidR="00050FD7" w:rsidRDefault="00050FD7">
          <w:pPr>
            <w:pStyle w:val="Obsah2"/>
            <w:tabs>
              <w:tab w:val="right" w:leader="dot" w:pos="9062"/>
            </w:tabs>
            <w:rPr>
              <w:rFonts w:asciiTheme="minorHAnsi" w:eastAsiaTheme="minorEastAsia" w:hAnsiTheme="minorHAnsi"/>
              <w:noProof/>
              <w:sz w:val="22"/>
              <w:lang w:eastAsia="cs-CZ"/>
            </w:rPr>
          </w:pPr>
          <w:hyperlink w:anchor="_Toc449513899" w:history="1">
            <w:r w:rsidRPr="00192683">
              <w:rPr>
                <w:rStyle w:val="Hypertextovodkaz"/>
                <w:noProof/>
              </w:rPr>
              <w:t>1. 4 Shrnutí římské úpravy posloupnosti proti testamentu</w:t>
            </w:r>
            <w:r>
              <w:rPr>
                <w:noProof/>
                <w:webHidden/>
              </w:rPr>
              <w:tab/>
            </w:r>
            <w:r>
              <w:rPr>
                <w:noProof/>
                <w:webHidden/>
              </w:rPr>
              <w:fldChar w:fldCharType="begin"/>
            </w:r>
            <w:r>
              <w:rPr>
                <w:noProof/>
                <w:webHidden/>
              </w:rPr>
              <w:instrText xml:space="preserve"> PAGEREF _Toc449513899 \h </w:instrText>
            </w:r>
            <w:r>
              <w:rPr>
                <w:noProof/>
                <w:webHidden/>
              </w:rPr>
            </w:r>
            <w:r>
              <w:rPr>
                <w:noProof/>
                <w:webHidden/>
              </w:rPr>
              <w:fldChar w:fldCharType="separate"/>
            </w:r>
            <w:r w:rsidR="00DE2FD1">
              <w:rPr>
                <w:noProof/>
                <w:webHidden/>
              </w:rPr>
              <w:t>26</w:t>
            </w:r>
            <w:r>
              <w:rPr>
                <w:noProof/>
                <w:webHidden/>
              </w:rPr>
              <w:fldChar w:fldCharType="end"/>
            </w:r>
          </w:hyperlink>
        </w:p>
        <w:p w:rsidR="00050FD7" w:rsidRDefault="00050FD7">
          <w:pPr>
            <w:pStyle w:val="Obsah1"/>
            <w:tabs>
              <w:tab w:val="right" w:leader="dot" w:pos="9062"/>
            </w:tabs>
            <w:rPr>
              <w:rFonts w:asciiTheme="minorHAnsi" w:eastAsiaTheme="minorEastAsia" w:hAnsiTheme="minorHAnsi"/>
              <w:noProof/>
              <w:sz w:val="22"/>
              <w:lang w:eastAsia="cs-CZ"/>
            </w:rPr>
          </w:pPr>
          <w:hyperlink w:anchor="_Toc449513900" w:history="1">
            <w:r w:rsidRPr="00192683">
              <w:rPr>
                <w:rStyle w:val="Hypertextovodkaz"/>
                <w:noProof/>
              </w:rPr>
              <w:t>2. Posloupnost proti testamentu podle rakouského obecného zákoníku občanského a vládního návrhu občanského zákoníku z roku 1937</w:t>
            </w:r>
            <w:r>
              <w:rPr>
                <w:noProof/>
                <w:webHidden/>
              </w:rPr>
              <w:tab/>
            </w:r>
            <w:r>
              <w:rPr>
                <w:noProof/>
                <w:webHidden/>
              </w:rPr>
              <w:fldChar w:fldCharType="begin"/>
            </w:r>
            <w:r>
              <w:rPr>
                <w:noProof/>
                <w:webHidden/>
              </w:rPr>
              <w:instrText xml:space="preserve"> PAGEREF _Toc449513900 \h </w:instrText>
            </w:r>
            <w:r>
              <w:rPr>
                <w:noProof/>
                <w:webHidden/>
              </w:rPr>
            </w:r>
            <w:r>
              <w:rPr>
                <w:noProof/>
                <w:webHidden/>
              </w:rPr>
              <w:fldChar w:fldCharType="separate"/>
            </w:r>
            <w:r w:rsidR="00DE2FD1">
              <w:rPr>
                <w:noProof/>
                <w:webHidden/>
              </w:rPr>
              <w:t>27</w:t>
            </w:r>
            <w:r>
              <w:rPr>
                <w:noProof/>
                <w:webHidden/>
              </w:rPr>
              <w:fldChar w:fldCharType="end"/>
            </w:r>
          </w:hyperlink>
        </w:p>
        <w:p w:rsidR="00050FD7" w:rsidRDefault="00050FD7">
          <w:pPr>
            <w:pStyle w:val="Obsah2"/>
            <w:tabs>
              <w:tab w:val="right" w:leader="dot" w:pos="9062"/>
            </w:tabs>
            <w:rPr>
              <w:rFonts w:asciiTheme="minorHAnsi" w:eastAsiaTheme="minorEastAsia" w:hAnsiTheme="minorHAnsi"/>
              <w:noProof/>
              <w:sz w:val="22"/>
              <w:lang w:eastAsia="cs-CZ"/>
            </w:rPr>
          </w:pPr>
          <w:hyperlink w:anchor="_Toc449513901" w:history="1">
            <w:r w:rsidRPr="00192683">
              <w:rPr>
                <w:rStyle w:val="Hypertextovodkaz"/>
                <w:noProof/>
              </w:rPr>
              <w:t>2.1 Vývoj právní úpravy</w:t>
            </w:r>
            <w:r>
              <w:rPr>
                <w:noProof/>
                <w:webHidden/>
              </w:rPr>
              <w:tab/>
            </w:r>
            <w:r>
              <w:rPr>
                <w:noProof/>
                <w:webHidden/>
              </w:rPr>
              <w:fldChar w:fldCharType="begin"/>
            </w:r>
            <w:r>
              <w:rPr>
                <w:noProof/>
                <w:webHidden/>
              </w:rPr>
              <w:instrText xml:space="preserve"> PAGEREF _Toc449513901 \h </w:instrText>
            </w:r>
            <w:r>
              <w:rPr>
                <w:noProof/>
                <w:webHidden/>
              </w:rPr>
            </w:r>
            <w:r>
              <w:rPr>
                <w:noProof/>
                <w:webHidden/>
              </w:rPr>
              <w:fldChar w:fldCharType="separate"/>
            </w:r>
            <w:r w:rsidR="00DE2FD1">
              <w:rPr>
                <w:noProof/>
                <w:webHidden/>
              </w:rPr>
              <w:t>27</w:t>
            </w:r>
            <w:r>
              <w:rPr>
                <w:noProof/>
                <w:webHidden/>
              </w:rPr>
              <w:fldChar w:fldCharType="end"/>
            </w:r>
          </w:hyperlink>
        </w:p>
        <w:p w:rsidR="00050FD7" w:rsidRDefault="00050FD7">
          <w:pPr>
            <w:pStyle w:val="Obsah2"/>
            <w:tabs>
              <w:tab w:val="right" w:leader="dot" w:pos="9062"/>
            </w:tabs>
            <w:rPr>
              <w:rFonts w:asciiTheme="minorHAnsi" w:eastAsiaTheme="minorEastAsia" w:hAnsiTheme="minorHAnsi"/>
              <w:noProof/>
              <w:sz w:val="22"/>
              <w:lang w:eastAsia="cs-CZ"/>
            </w:rPr>
          </w:pPr>
          <w:hyperlink w:anchor="_Toc449513902" w:history="1">
            <w:r w:rsidRPr="00192683">
              <w:rPr>
                <w:rStyle w:val="Hypertextovodkaz"/>
                <w:noProof/>
              </w:rPr>
              <w:t>2. 2 Právní úprava dle ABGB</w:t>
            </w:r>
            <w:r>
              <w:rPr>
                <w:noProof/>
                <w:webHidden/>
              </w:rPr>
              <w:tab/>
            </w:r>
            <w:r>
              <w:rPr>
                <w:noProof/>
                <w:webHidden/>
              </w:rPr>
              <w:fldChar w:fldCharType="begin"/>
            </w:r>
            <w:r>
              <w:rPr>
                <w:noProof/>
                <w:webHidden/>
              </w:rPr>
              <w:instrText xml:space="preserve"> PAGEREF _Toc449513902 \h </w:instrText>
            </w:r>
            <w:r>
              <w:rPr>
                <w:noProof/>
                <w:webHidden/>
              </w:rPr>
            </w:r>
            <w:r>
              <w:rPr>
                <w:noProof/>
                <w:webHidden/>
              </w:rPr>
              <w:fldChar w:fldCharType="separate"/>
            </w:r>
            <w:r w:rsidR="00DE2FD1">
              <w:rPr>
                <w:noProof/>
                <w:webHidden/>
              </w:rPr>
              <w:t>28</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903" w:history="1">
            <w:r w:rsidRPr="00192683">
              <w:rPr>
                <w:rStyle w:val="Hypertextovodkaz"/>
                <w:noProof/>
              </w:rPr>
              <w:t>2. 2. 1 Nepominutelný dědic a jeho vydědění</w:t>
            </w:r>
            <w:r>
              <w:rPr>
                <w:noProof/>
                <w:webHidden/>
              </w:rPr>
              <w:tab/>
            </w:r>
            <w:r>
              <w:rPr>
                <w:noProof/>
                <w:webHidden/>
              </w:rPr>
              <w:fldChar w:fldCharType="begin"/>
            </w:r>
            <w:r>
              <w:rPr>
                <w:noProof/>
                <w:webHidden/>
              </w:rPr>
              <w:instrText xml:space="preserve"> PAGEREF _Toc449513903 \h </w:instrText>
            </w:r>
            <w:r>
              <w:rPr>
                <w:noProof/>
                <w:webHidden/>
              </w:rPr>
            </w:r>
            <w:r>
              <w:rPr>
                <w:noProof/>
                <w:webHidden/>
              </w:rPr>
              <w:fldChar w:fldCharType="separate"/>
            </w:r>
            <w:r w:rsidR="00DE2FD1">
              <w:rPr>
                <w:noProof/>
                <w:webHidden/>
              </w:rPr>
              <w:t>28</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904" w:history="1">
            <w:r w:rsidRPr="00192683">
              <w:rPr>
                <w:rStyle w:val="Hypertextovodkaz"/>
                <w:noProof/>
              </w:rPr>
              <w:t>2. 2. 2 Povinný díl a jeho výše, právo na povinný díl</w:t>
            </w:r>
            <w:r>
              <w:rPr>
                <w:noProof/>
                <w:webHidden/>
              </w:rPr>
              <w:tab/>
            </w:r>
            <w:r>
              <w:rPr>
                <w:noProof/>
                <w:webHidden/>
              </w:rPr>
              <w:fldChar w:fldCharType="begin"/>
            </w:r>
            <w:r>
              <w:rPr>
                <w:noProof/>
                <w:webHidden/>
              </w:rPr>
              <w:instrText xml:space="preserve"> PAGEREF _Toc449513904 \h </w:instrText>
            </w:r>
            <w:r>
              <w:rPr>
                <w:noProof/>
                <w:webHidden/>
              </w:rPr>
            </w:r>
            <w:r>
              <w:rPr>
                <w:noProof/>
                <w:webHidden/>
              </w:rPr>
              <w:fldChar w:fldCharType="separate"/>
            </w:r>
            <w:r w:rsidR="00DE2FD1">
              <w:rPr>
                <w:noProof/>
                <w:webHidden/>
              </w:rPr>
              <w:t>31</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905" w:history="1">
            <w:r w:rsidRPr="00192683">
              <w:rPr>
                <w:rStyle w:val="Hypertextovodkaz"/>
                <w:noProof/>
              </w:rPr>
              <w:t>2. 2. 3 Ochrana nepominutelného dědice a právo na nutnou výživu</w:t>
            </w:r>
            <w:r>
              <w:rPr>
                <w:noProof/>
                <w:webHidden/>
              </w:rPr>
              <w:tab/>
            </w:r>
            <w:r>
              <w:rPr>
                <w:noProof/>
                <w:webHidden/>
              </w:rPr>
              <w:fldChar w:fldCharType="begin"/>
            </w:r>
            <w:r>
              <w:rPr>
                <w:noProof/>
                <w:webHidden/>
              </w:rPr>
              <w:instrText xml:space="preserve"> PAGEREF _Toc449513905 \h </w:instrText>
            </w:r>
            <w:r>
              <w:rPr>
                <w:noProof/>
                <w:webHidden/>
              </w:rPr>
            </w:r>
            <w:r>
              <w:rPr>
                <w:noProof/>
                <w:webHidden/>
              </w:rPr>
              <w:fldChar w:fldCharType="separate"/>
            </w:r>
            <w:r w:rsidR="00DE2FD1">
              <w:rPr>
                <w:noProof/>
                <w:webHidden/>
              </w:rPr>
              <w:t>33</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906" w:history="1">
            <w:r w:rsidRPr="00192683">
              <w:rPr>
                <w:rStyle w:val="Hypertextovodkaz"/>
                <w:noProof/>
              </w:rPr>
              <w:t>2. 2. 4 Srovnání právní úpravy</w:t>
            </w:r>
            <w:r>
              <w:rPr>
                <w:noProof/>
                <w:webHidden/>
              </w:rPr>
              <w:tab/>
            </w:r>
            <w:r>
              <w:rPr>
                <w:noProof/>
                <w:webHidden/>
              </w:rPr>
              <w:fldChar w:fldCharType="begin"/>
            </w:r>
            <w:r>
              <w:rPr>
                <w:noProof/>
                <w:webHidden/>
              </w:rPr>
              <w:instrText xml:space="preserve"> PAGEREF _Toc449513906 \h </w:instrText>
            </w:r>
            <w:r>
              <w:rPr>
                <w:noProof/>
                <w:webHidden/>
              </w:rPr>
            </w:r>
            <w:r>
              <w:rPr>
                <w:noProof/>
                <w:webHidden/>
              </w:rPr>
              <w:fldChar w:fldCharType="separate"/>
            </w:r>
            <w:r w:rsidR="00DE2FD1">
              <w:rPr>
                <w:noProof/>
                <w:webHidden/>
              </w:rPr>
              <w:t>37</w:t>
            </w:r>
            <w:r>
              <w:rPr>
                <w:noProof/>
                <w:webHidden/>
              </w:rPr>
              <w:fldChar w:fldCharType="end"/>
            </w:r>
          </w:hyperlink>
        </w:p>
        <w:p w:rsidR="00050FD7" w:rsidRDefault="00050FD7">
          <w:pPr>
            <w:pStyle w:val="Obsah2"/>
            <w:tabs>
              <w:tab w:val="right" w:leader="dot" w:pos="9062"/>
            </w:tabs>
            <w:rPr>
              <w:rFonts w:asciiTheme="minorHAnsi" w:eastAsiaTheme="minorEastAsia" w:hAnsiTheme="minorHAnsi"/>
              <w:noProof/>
              <w:sz w:val="22"/>
              <w:lang w:eastAsia="cs-CZ"/>
            </w:rPr>
          </w:pPr>
          <w:hyperlink w:anchor="_Toc449513907" w:history="1">
            <w:r w:rsidRPr="00192683">
              <w:rPr>
                <w:rStyle w:val="Hypertextovodkaz"/>
                <w:noProof/>
              </w:rPr>
              <w:t>2. 3 Právní úprava dle vládního návrhu občanského zákoníku z roku 1937</w:t>
            </w:r>
            <w:r>
              <w:rPr>
                <w:noProof/>
                <w:webHidden/>
              </w:rPr>
              <w:tab/>
            </w:r>
            <w:r>
              <w:rPr>
                <w:noProof/>
                <w:webHidden/>
              </w:rPr>
              <w:fldChar w:fldCharType="begin"/>
            </w:r>
            <w:r>
              <w:rPr>
                <w:noProof/>
                <w:webHidden/>
              </w:rPr>
              <w:instrText xml:space="preserve"> PAGEREF _Toc449513907 \h </w:instrText>
            </w:r>
            <w:r>
              <w:rPr>
                <w:noProof/>
                <w:webHidden/>
              </w:rPr>
            </w:r>
            <w:r>
              <w:rPr>
                <w:noProof/>
                <w:webHidden/>
              </w:rPr>
              <w:fldChar w:fldCharType="separate"/>
            </w:r>
            <w:r w:rsidR="00DE2FD1">
              <w:rPr>
                <w:noProof/>
                <w:webHidden/>
              </w:rPr>
              <w:t>38</w:t>
            </w:r>
            <w:r>
              <w:rPr>
                <w:noProof/>
                <w:webHidden/>
              </w:rPr>
              <w:fldChar w:fldCharType="end"/>
            </w:r>
          </w:hyperlink>
        </w:p>
        <w:p w:rsidR="00050FD7" w:rsidRDefault="00050FD7">
          <w:pPr>
            <w:pStyle w:val="Obsah1"/>
            <w:tabs>
              <w:tab w:val="right" w:leader="dot" w:pos="9062"/>
            </w:tabs>
            <w:rPr>
              <w:rFonts w:asciiTheme="minorHAnsi" w:eastAsiaTheme="minorEastAsia" w:hAnsiTheme="minorHAnsi"/>
              <w:noProof/>
              <w:sz w:val="22"/>
              <w:lang w:eastAsia="cs-CZ"/>
            </w:rPr>
          </w:pPr>
          <w:hyperlink w:anchor="_Toc449513908" w:history="1">
            <w:r w:rsidRPr="00192683">
              <w:rPr>
                <w:rStyle w:val="Hypertextovodkaz"/>
                <w:noProof/>
              </w:rPr>
              <w:t>3. Posloupnost proti testamentu podle občanského zákoníku z roku 1950 a občanského zákoníku z roku 1964</w:t>
            </w:r>
            <w:r>
              <w:rPr>
                <w:noProof/>
                <w:webHidden/>
              </w:rPr>
              <w:tab/>
            </w:r>
            <w:r>
              <w:rPr>
                <w:noProof/>
                <w:webHidden/>
              </w:rPr>
              <w:fldChar w:fldCharType="begin"/>
            </w:r>
            <w:r>
              <w:rPr>
                <w:noProof/>
                <w:webHidden/>
              </w:rPr>
              <w:instrText xml:space="preserve"> PAGEREF _Toc449513908 \h </w:instrText>
            </w:r>
            <w:r>
              <w:rPr>
                <w:noProof/>
                <w:webHidden/>
              </w:rPr>
            </w:r>
            <w:r>
              <w:rPr>
                <w:noProof/>
                <w:webHidden/>
              </w:rPr>
              <w:fldChar w:fldCharType="separate"/>
            </w:r>
            <w:r w:rsidR="00DE2FD1">
              <w:rPr>
                <w:noProof/>
                <w:webHidden/>
              </w:rPr>
              <w:t>41</w:t>
            </w:r>
            <w:r>
              <w:rPr>
                <w:noProof/>
                <w:webHidden/>
              </w:rPr>
              <w:fldChar w:fldCharType="end"/>
            </w:r>
          </w:hyperlink>
        </w:p>
        <w:p w:rsidR="00050FD7" w:rsidRDefault="00050FD7">
          <w:pPr>
            <w:pStyle w:val="Obsah2"/>
            <w:tabs>
              <w:tab w:val="right" w:leader="dot" w:pos="9062"/>
            </w:tabs>
            <w:rPr>
              <w:rFonts w:asciiTheme="minorHAnsi" w:eastAsiaTheme="minorEastAsia" w:hAnsiTheme="minorHAnsi"/>
              <w:noProof/>
              <w:sz w:val="22"/>
              <w:lang w:eastAsia="cs-CZ"/>
            </w:rPr>
          </w:pPr>
          <w:hyperlink w:anchor="_Toc449513909" w:history="1">
            <w:r w:rsidRPr="00192683">
              <w:rPr>
                <w:rStyle w:val="Hypertextovodkaz"/>
                <w:noProof/>
              </w:rPr>
              <w:t>3. 1 Vývoj právní úpravy</w:t>
            </w:r>
            <w:r>
              <w:rPr>
                <w:noProof/>
                <w:webHidden/>
              </w:rPr>
              <w:tab/>
            </w:r>
            <w:r>
              <w:rPr>
                <w:noProof/>
                <w:webHidden/>
              </w:rPr>
              <w:fldChar w:fldCharType="begin"/>
            </w:r>
            <w:r>
              <w:rPr>
                <w:noProof/>
                <w:webHidden/>
              </w:rPr>
              <w:instrText xml:space="preserve"> PAGEREF _Toc449513909 \h </w:instrText>
            </w:r>
            <w:r>
              <w:rPr>
                <w:noProof/>
                <w:webHidden/>
              </w:rPr>
            </w:r>
            <w:r>
              <w:rPr>
                <w:noProof/>
                <w:webHidden/>
              </w:rPr>
              <w:fldChar w:fldCharType="separate"/>
            </w:r>
            <w:r w:rsidR="00DE2FD1">
              <w:rPr>
                <w:noProof/>
                <w:webHidden/>
              </w:rPr>
              <w:t>41</w:t>
            </w:r>
            <w:r>
              <w:rPr>
                <w:noProof/>
                <w:webHidden/>
              </w:rPr>
              <w:fldChar w:fldCharType="end"/>
            </w:r>
          </w:hyperlink>
        </w:p>
        <w:p w:rsidR="00050FD7" w:rsidRDefault="00050FD7">
          <w:pPr>
            <w:pStyle w:val="Obsah2"/>
            <w:tabs>
              <w:tab w:val="right" w:leader="dot" w:pos="9062"/>
            </w:tabs>
            <w:rPr>
              <w:rFonts w:asciiTheme="minorHAnsi" w:eastAsiaTheme="minorEastAsia" w:hAnsiTheme="minorHAnsi"/>
              <w:noProof/>
              <w:sz w:val="22"/>
              <w:lang w:eastAsia="cs-CZ"/>
            </w:rPr>
          </w:pPr>
          <w:hyperlink w:anchor="_Toc449513910" w:history="1">
            <w:r w:rsidRPr="00192683">
              <w:rPr>
                <w:rStyle w:val="Hypertextovodkaz"/>
                <w:noProof/>
              </w:rPr>
              <w:t>3. 2 Právní úprava dle občanského zákoníku z roku 1950</w:t>
            </w:r>
            <w:r>
              <w:rPr>
                <w:noProof/>
                <w:webHidden/>
              </w:rPr>
              <w:tab/>
            </w:r>
            <w:r>
              <w:rPr>
                <w:noProof/>
                <w:webHidden/>
              </w:rPr>
              <w:fldChar w:fldCharType="begin"/>
            </w:r>
            <w:r>
              <w:rPr>
                <w:noProof/>
                <w:webHidden/>
              </w:rPr>
              <w:instrText xml:space="preserve"> PAGEREF _Toc449513910 \h </w:instrText>
            </w:r>
            <w:r>
              <w:rPr>
                <w:noProof/>
                <w:webHidden/>
              </w:rPr>
            </w:r>
            <w:r>
              <w:rPr>
                <w:noProof/>
                <w:webHidden/>
              </w:rPr>
              <w:fldChar w:fldCharType="separate"/>
            </w:r>
            <w:r w:rsidR="00DE2FD1">
              <w:rPr>
                <w:noProof/>
                <w:webHidden/>
              </w:rPr>
              <w:t>41</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911" w:history="1">
            <w:r w:rsidRPr="00192683">
              <w:rPr>
                <w:rStyle w:val="Hypertextovodkaz"/>
                <w:noProof/>
              </w:rPr>
              <w:t>3. 2. 1 Nepominutelný dědic a jeho vydědění</w:t>
            </w:r>
            <w:r>
              <w:rPr>
                <w:noProof/>
                <w:webHidden/>
              </w:rPr>
              <w:tab/>
            </w:r>
            <w:r>
              <w:rPr>
                <w:noProof/>
                <w:webHidden/>
              </w:rPr>
              <w:fldChar w:fldCharType="begin"/>
            </w:r>
            <w:r>
              <w:rPr>
                <w:noProof/>
                <w:webHidden/>
              </w:rPr>
              <w:instrText xml:space="preserve"> PAGEREF _Toc449513911 \h </w:instrText>
            </w:r>
            <w:r>
              <w:rPr>
                <w:noProof/>
                <w:webHidden/>
              </w:rPr>
            </w:r>
            <w:r>
              <w:rPr>
                <w:noProof/>
                <w:webHidden/>
              </w:rPr>
              <w:fldChar w:fldCharType="separate"/>
            </w:r>
            <w:r w:rsidR="00DE2FD1">
              <w:rPr>
                <w:noProof/>
                <w:webHidden/>
              </w:rPr>
              <w:t>42</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912" w:history="1">
            <w:r w:rsidRPr="00192683">
              <w:rPr>
                <w:rStyle w:val="Hypertextovodkaz"/>
                <w:noProof/>
              </w:rPr>
              <w:t>3. 2. 2 Povinný díl a jeho výše, právo na povinný díl</w:t>
            </w:r>
            <w:r>
              <w:rPr>
                <w:noProof/>
                <w:webHidden/>
              </w:rPr>
              <w:tab/>
            </w:r>
            <w:r>
              <w:rPr>
                <w:noProof/>
                <w:webHidden/>
              </w:rPr>
              <w:fldChar w:fldCharType="begin"/>
            </w:r>
            <w:r>
              <w:rPr>
                <w:noProof/>
                <w:webHidden/>
              </w:rPr>
              <w:instrText xml:space="preserve"> PAGEREF _Toc449513912 \h </w:instrText>
            </w:r>
            <w:r>
              <w:rPr>
                <w:noProof/>
                <w:webHidden/>
              </w:rPr>
            </w:r>
            <w:r>
              <w:rPr>
                <w:noProof/>
                <w:webHidden/>
              </w:rPr>
              <w:fldChar w:fldCharType="separate"/>
            </w:r>
            <w:r w:rsidR="00DE2FD1">
              <w:rPr>
                <w:noProof/>
                <w:webHidden/>
              </w:rPr>
              <w:t>44</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913" w:history="1">
            <w:r w:rsidRPr="00192683">
              <w:rPr>
                <w:rStyle w:val="Hypertextovodkaz"/>
                <w:noProof/>
              </w:rPr>
              <w:t>3. 2. 3 Ochrana nepominutelného dědice a zaopatření dalších osob</w:t>
            </w:r>
            <w:r>
              <w:rPr>
                <w:noProof/>
                <w:webHidden/>
              </w:rPr>
              <w:tab/>
            </w:r>
            <w:r>
              <w:rPr>
                <w:noProof/>
                <w:webHidden/>
              </w:rPr>
              <w:fldChar w:fldCharType="begin"/>
            </w:r>
            <w:r>
              <w:rPr>
                <w:noProof/>
                <w:webHidden/>
              </w:rPr>
              <w:instrText xml:space="preserve"> PAGEREF _Toc449513913 \h </w:instrText>
            </w:r>
            <w:r>
              <w:rPr>
                <w:noProof/>
                <w:webHidden/>
              </w:rPr>
            </w:r>
            <w:r>
              <w:rPr>
                <w:noProof/>
                <w:webHidden/>
              </w:rPr>
              <w:fldChar w:fldCharType="separate"/>
            </w:r>
            <w:r w:rsidR="00DE2FD1">
              <w:rPr>
                <w:noProof/>
                <w:webHidden/>
              </w:rPr>
              <w:t>45</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914" w:history="1">
            <w:r w:rsidRPr="00192683">
              <w:rPr>
                <w:rStyle w:val="Hypertextovodkaz"/>
                <w:noProof/>
              </w:rPr>
              <w:t>3. 2. 4 Shrnutí právní úpravy</w:t>
            </w:r>
            <w:r>
              <w:rPr>
                <w:noProof/>
                <w:webHidden/>
              </w:rPr>
              <w:tab/>
            </w:r>
            <w:r>
              <w:rPr>
                <w:noProof/>
                <w:webHidden/>
              </w:rPr>
              <w:fldChar w:fldCharType="begin"/>
            </w:r>
            <w:r>
              <w:rPr>
                <w:noProof/>
                <w:webHidden/>
              </w:rPr>
              <w:instrText xml:space="preserve"> PAGEREF _Toc449513914 \h </w:instrText>
            </w:r>
            <w:r>
              <w:rPr>
                <w:noProof/>
                <w:webHidden/>
              </w:rPr>
            </w:r>
            <w:r>
              <w:rPr>
                <w:noProof/>
                <w:webHidden/>
              </w:rPr>
              <w:fldChar w:fldCharType="separate"/>
            </w:r>
            <w:r w:rsidR="00DE2FD1">
              <w:rPr>
                <w:noProof/>
                <w:webHidden/>
              </w:rPr>
              <w:t>46</w:t>
            </w:r>
            <w:r>
              <w:rPr>
                <w:noProof/>
                <w:webHidden/>
              </w:rPr>
              <w:fldChar w:fldCharType="end"/>
            </w:r>
          </w:hyperlink>
        </w:p>
        <w:p w:rsidR="00050FD7" w:rsidRDefault="00050FD7">
          <w:pPr>
            <w:pStyle w:val="Obsah2"/>
            <w:tabs>
              <w:tab w:val="right" w:leader="dot" w:pos="9062"/>
            </w:tabs>
            <w:rPr>
              <w:rFonts w:asciiTheme="minorHAnsi" w:eastAsiaTheme="minorEastAsia" w:hAnsiTheme="minorHAnsi"/>
              <w:noProof/>
              <w:sz w:val="22"/>
              <w:lang w:eastAsia="cs-CZ"/>
            </w:rPr>
          </w:pPr>
          <w:hyperlink w:anchor="_Toc449513915" w:history="1">
            <w:r w:rsidRPr="00192683">
              <w:rPr>
                <w:rStyle w:val="Hypertextovodkaz"/>
                <w:noProof/>
              </w:rPr>
              <w:t>3. 3 Právní úprava dle občanského zákoníku z roku 1964</w:t>
            </w:r>
            <w:r>
              <w:rPr>
                <w:noProof/>
                <w:webHidden/>
              </w:rPr>
              <w:tab/>
            </w:r>
            <w:r>
              <w:rPr>
                <w:noProof/>
                <w:webHidden/>
              </w:rPr>
              <w:fldChar w:fldCharType="begin"/>
            </w:r>
            <w:r>
              <w:rPr>
                <w:noProof/>
                <w:webHidden/>
              </w:rPr>
              <w:instrText xml:space="preserve"> PAGEREF _Toc449513915 \h </w:instrText>
            </w:r>
            <w:r>
              <w:rPr>
                <w:noProof/>
                <w:webHidden/>
              </w:rPr>
            </w:r>
            <w:r>
              <w:rPr>
                <w:noProof/>
                <w:webHidden/>
              </w:rPr>
              <w:fldChar w:fldCharType="separate"/>
            </w:r>
            <w:r w:rsidR="00DE2FD1">
              <w:rPr>
                <w:noProof/>
                <w:webHidden/>
              </w:rPr>
              <w:t>47</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916" w:history="1">
            <w:r w:rsidRPr="00192683">
              <w:rPr>
                <w:rStyle w:val="Hypertextovodkaz"/>
                <w:noProof/>
              </w:rPr>
              <w:t>3. 3. 1 Nepominutelný dědic a jeho vydědění</w:t>
            </w:r>
            <w:r>
              <w:rPr>
                <w:noProof/>
                <w:webHidden/>
              </w:rPr>
              <w:tab/>
            </w:r>
            <w:r>
              <w:rPr>
                <w:noProof/>
                <w:webHidden/>
              </w:rPr>
              <w:fldChar w:fldCharType="begin"/>
            </w:r>
            <w:r>
              <w:rPr>
                <w:noProof/>
                <w:webHidden/>
              </w:rPr>
              <w:instrText xml:space="preserve"> PAGEREF _Toc449513916 \h </w:instrText>
            </w:r>
            <w:r>
              <w:rPr>
                <w:noProof/>
                <w:webHidden/>
              </w:rPr>
            </w:r>
            <w:r>
              <w:rPr>
                <w:noProof/>
                <w:webHidden/>
              </w:rPr>
              <w:fldChar w:fldCharType="separate"/>
            </w:r>
            <w:r w:rsidR="00DE2FD1">
              <w:rPr>
                <w:noProof/>
                <w:webHidden/>
              </w:rPr>
              <w:t>47</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917" w:history="1">
            <w:r w:rsidRPr="00192683">
              <w:rPr>
                <w:rStyle w:val="Hypertextovodkaz"/>
                <w:noProof/>
              </w:rPr>
              <w:t>3. 3. 2 Povinný díl a jeho výše, právo na povinný díl</w:t>
            </w:r>
            <w:r>
              <w:rPr>
                <w:noProof/>
                <w:webHidden/>
              </w:rPr>
              <w:tab/>
            </w:r>
            <w:r>
              <w:rPr>
                <w:noProof/>
                <w:webHidden/>
              </w:rPr>
              <w:fldChar w:fldCharType="begin"/>
            </w:r>
            <w:r>
              <w:rPr>
                <w:noProof/>
                <w:webHidden/>
              </w:rPr>
              <w:instrText xml:space="preserve"> PAGEREF _Toc449513917 \h </w:instrText>
            </w:r>
            <w:r>
              <w:rPr>
                <w:noProof/>
                <w:webHidden/>
              </w:rPr>
            </w:r>
            <w:r>
              <w:rPr>
                <w:noProof/>
                <w:webHidden/>
              </w:rPr>
              <w:fldChar w:fldCharType="separate"/>
            </w:r>
            <w:r w:rsidR="00DE2FD1">
              <w:rPr>
                <w:noProof/>
                <w:webHidden/>
              </w:rPr>
              <w:t>49</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918" w:history="1">
            <w:r w:rsidRPr="00192683">
              <w:rPr>
                <w:rStyle w:val="Hypertextovodkaz"/>
                <w:noProof/>
              </w:rPr>
              <w:t>3. 3. 3 Ochrana nepominutelného dědice</w:t>
            </w:r>
            <w:r>
              <w:rPr>
                <w:noProof/>
                <w:webHidden/>
              </w:rPr>
              <w:tab/>
            </w:r>
            <w:r>
              <w:rPr>
                <w:noProof/>
                <w:webHidden/>
              </w:rPr>
              <w:fldChar w:fldCharType="begin"/>
            </w:r>
            <w:r>
              <w:rPr>
                <w:noProof/>
                <w:webHidden/>
              </w:rPr>
              <w:instrText xml:space="preserve"> PAGEREF _Toc449513918 \h </w:instrText>
            </w:r>
            <w:r>
              <w:rPr>
                <w:noProof/>
                <w:webHidden/>
              </w:rPr>
            </w:r>
            <w:r>
              <w:rPr>
                <w:noProof/>
                <w:webHidden/>
              </w:rPr>
              <w:fldChar w:fldCharType="separate"/>
            </w:r>
            <w:r w:rsidR="00DE2FD1">
              <w:rPr>
                <w:noProof/>
                <w:webHidden/>
              </w:rPr>
              <w:t>49</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919" w:history="1">
            <w:r w:rsidRPr="00192683">
              <w:rPr>
                <w:rStyle w:val="Hypertextovodkaz"/>
                <w:noProof/>
              </w:rPr>
              <w:t>3. 3. 4 Shrnutí právní úpravy</w:t>
            </w:r>
            <w:r>
              <w:rPr>
                <w:noProof/>
                <w:webHidden/>
              </w:rPr>
              <w:tab/>
            </w:r>
            <w:r>
              <w:rPr>
                <w:noProof/>
                <w:webHidden/>
              </w:rPr>
              <w:fldChar w:fldCharType="begin"/>
            </w:r>
            <w:r>
              <w:rPr>
                <w:noProof/>
                <w:webHidden/>
              </w:rPr>
              <w:instrText xml:space="preserve"> PAGEREF _Toc449513919 \h </w:instrText>
            </w:r>
            <w:r>
              <w:rPr>
                <w:noProof/>
                <w:webHidden/>
              </w:rPr>
            </w:r>
            <w:r>
              <w:rPr>
                <w:noProof/>
                <w:webHidden/>
              </w:rPr>
              <w:fldChar w:fldCharType="separate"/>
            </w:r>
            <w:r w:rsidR="00DE2FD1">
              <w:rPr>
                <w:noProof/>
                <w:webHidden/>
              </w:rPr>
              <w:t>51</w:t>
            </w:r>
            <w:r>
              <w:rPr>
                <w:noProof/>
                <w:webHidden/>
              </w:rPr>
              <w:fldChar w:fldCharType="end"/>
            </w:r>
          </w:hyperlink>
        </w:p>
        <w:p w:rsidR="00050FD7" w:rsidRDefault="00050FD7">
          <w:pPr>
            <w:pStyle w:val="Obsah1"/>
            <w:tabs>
              <w:tab w:val="right" w:leader="dot" w:pos="9062"/>
            </w:tabs>
            <w:rPr>
              <w:rFonts w:asciiTheme="minorHAnsi" w:eastAsiaTheme="minorEastAsia" w:hAnsiTheme="minorHAnsi"/>
              <w:noProof/>
              <w:sz w:val="22"/>
              <w:lang w:eastAsia="cs-CZ"/>
            </w:rPr>
          </w:pPr>
          <w:hyperlink w:anchor="_Toc449513920" w:history="1">
            <w:r w:rsidRPr="00192683">
              <w:rPr>
                <w:rStyle w:val="Hypertextovodkaz"/>
                <w:noProof/>
              </w:rPr>
              <w:t>4. Posloupnost proti testamentu podle občanského zákoníku z roku 2012</w:t>
            </w:r>
            <w:r>
              <w:rPr>
                <w:noProof/>
                <w:webHidden/>
              </w:rPr>
              <w:tab/>
            </w:r>
            <w:r>
              <w:rPr>
                <w:noProof/>
                <w:webHidden/>
              </w:rPr>
              <w:fldChar w:fldCharType="begin"/>
            </w:r>
            <w:r>
              <w:rPr>
                <w:noProof/>
                <w:webHidden/>
              </w:rPr>
              <w:instrText xml:space="preserve"> PAGEREF _Toc449513920 \h </w:instrText>
            </w:r>
            <w:r>
              <w:rPr>
                <w:noProof/>
                <w:webHidden/>
              </w:rPr>
            </w:r>
            <w:r>
              <w:rPr>
                <w:noProof/>
                <w:webHidden/>
              </w:rPr>
              <w:fldChar w:fldCharType="separate"/>
            </w:r>
            <w:r w:rsidR="00DE2FD1">
              <w:rPr>
                <w:noProof/>
                <w:webHidden/>
              </w:rPr>
              <w:t>52</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921" w:history="1">
            <w:r w:rsidRPr="00192683">
              <w:rPr>
                <w:rStyle w:val="Hypertextovodkaz"/>
                <w:noProof/>
              </w:rPr>
              <w:t>4. 1 Nepominutelný dědic a jeho vydědění</w:t>
            </w:r>
            <w:r>
              <w:rPr>
                <w:noProof/>
                <w:webHidden/>
              </w:rPr>
              <w:tab/>
            </w:r>
            <w:r>
              <w:rPr>
                <w:noProof/>
                <w:webHidden/>
              </w:rPr>
              <w:fldChar w:fldCharType="begin"/>
            </w:r>
            <w:r>
              <w:rPr>
                <w:noProof/>
                <w:webHidden/>
              </w:rPr>
              <w:instrText xml:space="preserve"> PAGEREF _Toc449513921 \h </w:instrText>
            </w:r>
            <w:r>
              <w:rPr>
                <w:noProof/>
                <w:webHidden/>
              </w:rPr>
            </w:r>
            <w:r>
              <w:rPr>
                <w:noProof/>
                <w:webHidden/>
              </w:rPr>
              <w:fldChar w:fldCharType="separate"/>
            </w:r>
            <w:r w:rsidR="00DE2FD1">
              <w:rPr>
                <w:noProof/>
                <w:webHidden/>
              </w:rPr>
              <w:t>52</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922" w:history="1">
            <w:r w:rsidRPr="00192683">
              <w:rPr>
                <w:rStyle w:val="Hypertextovodkaz"/>
                <w:noProof/>
              </w:rPr>
              <w:t>4. 2 Povinný díl a jeho výše</w:t>
            </w:r>
            <w:r>
              <w:rPr>
                <w:noProof/>
                <w:webHidden/>
              </w:rPr>
              <w:tab/>
            </w:r>
            <w:r>
              <w:rPr>
                <w:noProof/>
                <w:webHidden/>
              </w:rPr>
              <w:fldChar w:fldCharType="begin"/>
            </w:r>
            <w:r>
              <w:rPr>
                <w:noProof/>
                <w:webHidden/>
              </w:rPr>
              <w:instrText xml:space="preserve"> PAGEREF _Toc449513922 \h </w:instrText>
            </w:r>
            <w:r>
              <w:rPr>
                <w:noProof/>
                <w:webHidden/>
              </w:rPr>
            </w:r>
            <w:r>
              <w:rPr>
                <w:noProof/>
                <w:webHidden/>
              </w:rPr>
              <w:fldChar w:fldCharType="separate"/>
            </w:r>
            <w:r w:rsidR="00DE2FD1">
              <w:rPr>
                <w:noProof/>
                <w:webHidden/>
              </w:rPr>
              <w:t>56</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923" w:history="1">
            <w:r w:rsidRPr="00192683">
              <w:rPr>
                <w:rStyle w:val="Hypertextovodkaz"/>
                <w:noProof/>
              </w:rPr>
              <w:t>4. 3 Ochrana nepominutelného dědice</w:t>
            </w:r>
            <w:r>
              <w:rPr>
                <w:noProof/>
                <w:webHidden/>
              </w:rPr>
              <w:tab/>
            </w:r>
            <w:r>
              <w:rPr>
                <w:noProof/>
                <w:webHidden/>
              </w:rPr>
              <w:fldChar w:fldCharType="begin"/>
            </w:r>
            <w:r>
              <w:rPr>
                <w:noProof/>
                <w:webHidden/>
              </w:rPr>
              <w:instrText xml:space="preserve"> PAGEREF _Toc449513923 \h </w:instrText>
            </w:r>
            <w:r>
              <w:rPr>
                <w:noProof/>
                <w:webHidden/>
              </w:rPr>
            </w:r>
            <w:r>
              <w:rPr>
                <w:noProof/>
                <w:webHidden/>
              </w:rPr>
              <w:fldChar w:fldCharType="separate"/>
            </w:r>
            <w:r w:rsidR="00DE2FD1">
              <w:rPr>
                <w:noProof/>
                <w:webHidden/>
              </w:rPr>
              <w:t>57</w:t>
            </w:r>
            <w:r>
              <w:rPr>
                <w:noProof/>
                <w:webHidden/>
              </w:rPr>
              <w:fldChar w:fldCharType="end"/>
            </w:r>
          </w:hyperlink>
        </w:p>
        <w:p w:rsidR="00050FD7" w:rsidRDefault="00050FD7">
          <w:pPr>
            <w:pStyle w:val="Obsah3"/>
            <w:tabs>
              <w:tab w:val="right" w:leader="dot" w:pos="9062"/>
            </w:tabs>
            <w:rPr>
              <w:rFonts w:asciiTheme="minorHAnsi" w:eastAsiaTheme="minorEastAsia" w:hAnsiTheme="minorHAnsi"/>
              <w:noProof/>
              <w:sz w:val="22"/>
              <w:lang w:eastAsia="cs-CZ"/>
            </w:rPr>
          </w:pPr>
          <w:hyperlink w:anchor="_Toc449513924" w:history="1">
            <w:r w:rsidRPr="00192683">
              <w:rPr>
                <w:rStyle w:val="Hypertextovodkaz"/>
                <w:noProof/>
              </w:rPr>
              <w:t>4. 4 Shrnutí právní úpravy</w:t>
            </w:r>
            <w:r>
              <w:rPr>
                <w:noProof/>
                <w:webHidden/>
              </w:rPr>
              <w:tab/>
            </w:r>
            <w:r>
              <w:rPr>
                <w:noProof/>
                <w:webHidden/>
              </w:rPr>
              <w:fldChar w:fldCharType="begin"/>
            </w:r>
            <w:r>
              <w:rPr>
                <w:noProof/>
                <w:webHidden/>
              </w:rPr>
              <w:instrText xml:space="preserve"> PAGEREF _Toc449513924 \h </w:instrText>
            </w:r>
            <w:r>
              <w:rPr>
                <w:noProof/>
                <w:webHidden/>
              </w:rPr>
            </w:r>
            <w:r>
              <w:rPr>
                <w:noProof/>
                <w:webHidden/>
              </w:rPr>
              <w:fldChar w:fldCharType="separate"/>
            </w:r>
            <w:r w:rsidR="00DE2FD1">
              <w:rPr>
                <w:noProof/>
                <w:webHidden/>
              </w:rPr>
              <w:t>58</w:t>
            </w:r>
            <w:r>
              <w:rPr>
                <w:noProof/>
                <w:webHidden/>
              </w:rPr>
              <w:fldChar w:fldCharType="end"/>
            </w:r>
          </w:hyperlink>
        </w:p>
        <w:p w:rsidR="00050FD7" w:rsidRDefault="00050FD7">
          <w:pPr>
            <w:pStyle w:val="Obsah1"/>
            <w:tabs>
              <w:tab w:val="right" w:leader="dot" w:pos="9062"/>
            </w:tabs>
            <w:rPr>
              <w:rFonts w:asciiTheme="minorHAnsi" w:eastAsiaTheme="minorEastAsia" w:hAnsiTheme="minorHAnsi"/>
              <w:noProof/>
              <w:sz w:val="22"/>
              <w:lang w:eastAsia="cs-CZ"/>
            </w:rPr>
          </w:pPr>
          <w:hyperlink w:anchor="_Toc449513925" w:history="1">
            <w:r w:rsidRPr="00192683">
              <w:rPr>
                <w:rStyle w:val="Hypertextovodkaz"/>
                <w:noProof/>
              </w:rPr>
              <w:t>Závěr</w:t>
            </w:r>
            <w:r>
              <w:rPr>
                <w:noProof/>
                <w:webHidden/>
              </w:rPr>
              <w:tab/>
            </w:r>
            <w:r>
              <w:rPr>
                <w:noProof/>
                <w:webHidden/>
              </w:rPr>
              <w:fldChar w:fldCharType="begin"/>
            </w:r>
            <w:r>
              <w:rPr>
                <w:noProof/>
                <w:webHidden/>
              </w:rPr>
              <w:instrText xml:space="preserve"> PAGEREF _Toc449513925 \h </w:instrText>
            </w:r>
            <w:r>
              <w:rPr>
                <w:noProof/>
                <w:webHidden/>
              </w:rPr>
            </w:r>
            <w:r>
              <w:rPr>
                <w:noProof/>
                <w:webHidden/>
              </w:rPr>
              <w:fldChar w:fldCharType="separate"/>
            </w:r>
            <w:r w:rsidR="00DE2FD1">
              <w:rPr>
                <w:noProof/>
                <w:webHidden/>
              </w:rPr>
              <w:t>60</w:t>
            </w:r>
            <w:r>
              <w:rPr>
                <w:noProof/>
                <w:webHidden/>
              </w:rPr>
              <w:fldChar w:fldCharType="end"/>
            </w:r>
          </w:hyperlink>
        </w:p>
        <w:p w:rsidR="00050FD7" w:rsidRDefault="00050FD7">
          <w:pPr>
            <w:pStyle w:val="Obsah1"/>
            <w:tabs>
              <w:tab w:val="right" w:leader="dot" w:pos="9062"/>
            </w:tabs>
            <w:rPr>
              <w:rFonts w:asciiTheme="minorHAnsi" w:eastAsiaTheme="minorEastAsia" w:hAnsiTheme="minorHAnsi"/>
              <w:noProof/>
              <w:sz w:val="22"/>
              <w:lang w:eastAsia="cs-CZ"/>
            </w:rPr>
          </w:pPr>
          <w:hyperlink w:anchor="_Toc449513926" w:history="1">
            <w:r w:rsidRPr="00192683">
              <w:rPr>
                <w:rStyle w:val="Hypertextovodkaz"/>
                <w:noProof/>
              </w:rPr>
              <w:t>Seznam použitých zdrojů</w:t>
            </w:r>
            <w:r>
              <w:rPr>
                <w:noProof/>
                <w:webHidden/>
              </w:rPr>
              <w:tab/>
            </w:r>
            <w:r>
              <w:rPr>
                <w:noProof/>
                <w:webHidden/>
              </w:rPr>
              <w:fldChar w:fldCharType="begin"/>
            </w:r>
            <w:r>
              <w:rPr>
                <w:noProof/>
                <w:webHidden/>
              </w:rPr>
              <w:instrText xml:space="preserve"> PAGEREF _Toc449513926 \h </w:instrText>
            </w:r>
            <w:r>
              <w:rPr>
                <w:noProof/>
                <w:webHidden/>
              </w:rPr>
            </w:r>
            <w:r>
              <w:rPr>
                <w:noProof/>
                <w:webHidden/>
              </w:rPr>
              <w:fldChar w:fldCharType="separate"/>
            </w:r>
            <w:r w:rsidR="00DE2FD1">
              <w:rPr>
                <w:noProof/>
                <w:webHidden/>
              </w:rPr>
              <w:t>63</w:t>
            </w:r>
            <w:r>
              <w:rPr>
                <w:noProof/>
                <w:webHidden/>
              </w:rPr>
              <w:fldChar w:fldCharType="end"/>
            </w:r>
          </w:hyperlink>
        </w:p>
        <w:p w:rsidR="00050FD7" w:rsidRDefault="00050FD7">
          <w:pPr>
            <w:pStyle w:val="Obsah1"/>
            <w:tabs>
              <w:tab w:val="right" w:leader="dot" w:pos="9062"/>
            </w:tabs>
            <w:rPr>
              <w:rFonts w:asciiTheme="minorHAnsi" w:eastAsiaTheme="minorEastAsia" w:hAnsiTheme="minorHAnsi"/>
              <w:noProof/>
              <w:sz w:val="22"/>
              <w:lang w:eastAsia="cs-CZ"/>
            </w:rPr>
          </w:pPr>
          <w:hyperlink w:anchor="_Toc449513927" w:history="1">
            <w:r w:rsidRPr="00192683">
              <w:rPr>
                <w:rStyle w:val="Hypertextovodkaz"/>
                <w:noProof/>
              </w:rPr>
              <w:t>Shrnutí</w:t>
            </w:r>
            <w:r>
              <w:rPr>
                <w:noProof/>
                <w:webHidden/>
              </w:rPr>
              <w:tab/>
            </w:r>
            <w:r>
              <w:rPr>
                <w:noProof/>
                <w:webHidden/>
              </w:rPr>
              <w:fldChar w:fldCharType="begin"/>
            </w:r>
            <w:r>
              <w:rPr>
                <w:noProof/>
                <w:webHidden/>
              </w:rPr>
              <w:instrText xml:space="preserve"> PAGEREF _Toc449513927 \h </w:instrText>
            </w:r>
            <w:r>
              <w:rPr>
                <w:noProof/>
                <w:webHidden/>
              </w:rPr>
            </w:r>
            <w:r>
              <w:rPr>
                <w:noProof/>
                <w:webHidden/>
              </w:rPr>
              <w:fldChar w:fldCharType="separate"/>
            </w:r>
            <w:r w:rsidR="00DE2FD1">
              <w:rPr>
                <w:noProof/>
                <w:webHidden/>
              </w:rPr>
              <w:t>69</w:t>
            </w:r>
            <w:r>
              <w:rPr>
                <w:noProof/>
                <w:webHidden/>
              </w:rPr>
              <w:fldChar w:fldCharType="end"/>
            </w:r>
          </w:hyperlink>
        </w:p>
        <w:p w:rsidR="00050FD7" w:rsidRDefault="00050FD7">
          <w:pPr>
            <w:pStyle w:val="Obsah1"/>
            <w:tabs>
              <w:tab w:val="right" w:leader="dot" w:pos="9062"/>
            </w:tabs>
            <w:rPr>
              <w:rFonts w:asciiTheme="minorHAnsi" w:eastAsiaTheme="minorEastAsia" w:hAnsiTheme="minorHAnsi"/>
              <w:noProof/>
              <w:sz w:val="22"/>
              <w:lang w:eastAsia="cs-CZ"/>
            </w:rPr>
          </w:pPr>
          <w:hyperlink w:anchor="_Toc449513928" w:history="1">
            <w:r w:rsidRPr="00192683">
              <w:rPr>
                <w:rStyle w:val="Hypertextovodkaz"/>
                <w:noProof/>
              </w:rPr>
              <w:t>Summary</w:t>
            </w:r>
            <w:r>
              <w:rPr>
                <w:noProof/>
                <w:webHidden/>
              </w:rPr>
              <w:tab/>
            </w:r>
            <w:r>
              <w:rPr>
                <w:noProof/>
                <w:webHidden/>
              </w:rPr>
              <w:fldChar w:fldCharType="begin"/>
            </w:r>
            <w:r>
              <w:rPr>
                <w:noProof/>
                <w:webHidden/>
              </w:rPr>
              <w:instrText xml:space="preserve"> PAGEREF _Toc449513928 \h </w:instrText>
            </w:r>
            <w:r>
              <w:rPr>
                <w:noProof/>
                <w:webHidden/>
              </w:rPr>
            </w:r>
            <w:r>
              <w:rPr>
                <w:noProof/>
                <w:webHidden/>
              </w:rPr>
              <w:fldChar w:fldCharType="separate"/>
            </w:r>
            <w:r w:rsidR="00DE2FD1">
              <w:rPr>
                <w:noProof/>
                <w:webHidden/>
              </w:rPr>
              <w:t>70</w:t>
            </w:r>
            <w:r>
              <w:rPr>
                <w:noProof/>
                <w:webHidden/>
              </w:rPr>
              <w:fldChar w:fldCharType="end"/>
            </w:r>
          </w:hyperlink>
        </w:p>
        <w:p w:rsidR="00050FD7" w:rsidRDefault="00050FD7">
          <w:pPr>
            <w:pStyle w:val="Obsah1"/>
            <w:tabs>
              <w:tab w:val="right" w:leader="dot" w:pos="9062"/>
            </w:tabs>
            <w:rPr>
              <w:rFonts w:asciiTheme="minorHAnsi" w:eastAsiaTheme="minorEastAsia" w:hAnsiTheme="minorHAnsi"/>
              <w:noProof/>
              <w:sz w:val="22"/>
              <w:lang w:eastAsia="cs-CZ"/>
            </w:rPr>
          </w:pPr>
          <w:hyperlink w:anchor="_Toc449513929" w:history="1">
            <w:r w:rsidRPr="00192683">
              <w:rPr>
                <w:rStyle w:val="Hypertextovodkaz"/>
                <w:noProof/>
              </w:rPr>
              <w:t>Klíčová slova</w:t>
            </w:r>
            <w:r>
              <w:rPr>
                <w:noProof/>
                <w:webHidden/>
              </w:rPr>
              <w:tab/>
            </w:r>
            <w:r>
              <w:rPr>
                <w:noProof/>
                <w:webHidden/>
              </w:rPr>
              <w:fldChar w:fldCharType="begin"/>
            </w:r>
            <w:r>
              <w:rPr>
                <w:noProof/>
                <w:webHidden/>
              </w:rPr>
              <w:instrText xml:space="preserve"> PAGEREF _Toc449513929 \h </w:instrText>
            </w:r>
            <w:r>
              <w:rPr>
                <w:noProof/>
                <w:webHidden/>
              </w:rPr>
            </w:r>
            <w:r>
              <w:rPr>
                <w:noProof/>
                <w:webHidden/>
              </w:rPr>
              <w:fldChar w:fldCharType="separate"/>
            </w:r>
            <w:r w:rsidR="00DE2FD1">
              <w:rPr>
                <w:noProof/>
                <w:webHidden/>
              </w:rPr>
              <w:t>71</w:t>
            </w:r>
            <w:r>
              <w:rPr>
                <w:noProof/>
                <w:webHidden/>
              </w:rPr>
              <w:fldChar w:fldCharType="end"/>
            </w:r>
          </w:hyperlink>
        </w:p>
        <w:p w:rsidR="00E7605E" w:rsidRPr="00E7605E" w:rsidRDefault="00226974">
          <w:r w:rsidRPr="00E7605E">
            <w:fldChar w:fldCharType="end"/>
          </w:r>
        </w:p>
      </w:sdtContent>
    </w:sdt>
    <w:p w:rsidR="00E7605E" w:rsidRPr="00E7605E" w:rsidRDefault="00E7605E">
      <w:pPr>
        <w:jc w:val="left"/>
        <w:rPr>
          <w:rFonts w:eastAsiaTheme="majorEastAsia" w:cstheme="majorBidi"/>
          <w:b/>
          <w:bCs/>
          <w:sz w:val="32"/>
          <w:szCs w:val="28"/>
        </w:rPr>
      </w:pPr>
      <w:r w:rsidRPr="00E7605E">
        <w:br w:type="page"/>
      </w:r>
    </w:p>
    <w:p w:rsidR="00865CA7" w:rsidRDefault="00865CA7" w:rsidP="00865CA7">
      <w:pPr>
        <w:pStyle w:val="Nadpis1"/>
      </w:pPr>
      <w:bookmarkStart w:id="0" w:name="_Toc449513888"/>
      <w:r>
        <w:lastRenderedPageBreak/>
        <w:t>Seznam použitých zkratek</w:t>
      </w:r>
      <w:bookmarkEnd w:id="0"/>
    </w:p>
    <w:p w:rsidR="00865CA7" w:rsidRDefault="00865CA7" w:rsidP="00865CA7"/>
    <w:p w:rsidR="004E48A3" w:rsidRDefault="004E48A3" w:rsidP="00865CA7">
      <w:r>
        <w:t>ABGB</w:t>
      </w:r>
      <w:r w:rsidR="00C24D60">
        <w:tab/>
      </w:r>
      <w:r w:rsidR="00C24D60">
        <w:tab/>
      </w:r>
      <w:r w:rsidR="00C24D60" w:rsidRPr="00C24D60">
        <w:t>zákon č. 946/1811 Sb., obecný zákoník občanský ve znění pozdějších předpisů</w:t>
      </w:r>
    </w:p>
    <w:p w:rsidR="004E48A3" w:rsidRDefault="004E48A3" w:rsidP="00865CA7">
      <w:r>
        <w:t>VN 37</w:t>
      </w:r>
      <w:r w:rsidR="00C24D60">
        <w:tab/>
      </w:r>
      <w:r w:rsidR="00C24D60">
        <w:tab/>
        <w:t>vládní návrh občanského zákoníku z roku 1937</w:t>
      </w:r>
    </w:p>
    <w:p w:rsidR="002B09E7" w:rsidRDefault="004E48A3" w:rsidP="00865CA7">
      <w:r>
        <w:t>OZ 50</w:t>
      </w:r>
      <w:r w:rsidR="00C24D60">
        <w:tab/>
      </w:r>
      <w:r w:rsidR="00C24D60">
        <w:tab/>
      </w:r>
      <w:r w:rsidR="00C24D60" w:rsidRPr="00C24D60">
        <w:t>zákon č. 141/1950 Sb., občanský zákoník ve znění pozdějších předpisů</w:t>
      </w:r>
    </w:p>
    <w:p w:rsidR="00C24D60" w:rsidRDefault="002B09E7" w:rsidP="00C24D60">
      <w:pPr>
        <w:tabs>
          <w:tab w:val="left" w:pos="1418"/>
        </w:tabs>
        <w:spacing w:after="120" w:line="360" w:lineRule="auto"/>
        <w:rPr>
          <w:szCs w:val="24"/>
        </w:rPr>
      </w:pPr>
      <w:r>
        <w:t>OZ 64</w:t>
      </w:r>
      <w:r w:rsidR="00C24D60">
        <w:tab/>
      </w:r>
      <w:r w:rsidR="00C24D60" w:rsidRPr="00267C8A">
        <w:rPr>
          <w:szCs w:val="24"/>
        </w:rPr>
        <w:t>zákon č. 40/1964 Sb., občanský zákoník ve znění pozdějších předpisů</w:t>
      </w:r>
    </w:p>
    <w:p w:rsidR="00C24D60" w:rsidRPr="00267C8A" w:rsidRDefault="00C24D60" w:rsidP="00C24D60">
      <w:pPr>
        <w:tabs>
          <w:tab w:val="left" w:pos="1418"/>
        </w:tabs>
        <w:spacing w:after="120" w:line="360" w:lineRule="auto"/>
        <w:rPr>
          <w:szCs w:val="24"/>
        </w:rPr>
      </w:pPr>
      <w:r>
        <w:rPr>
          <w:szCs w:val="24"/>
        </w:rPr>
        <w:t>NOZ</w:t>
      </w:r>
      <w:r>
        <w:rPr>
          <w:szCs w:val="24"/>
        </w:rPr>
        <w:tab/>
      </w:r>
      <w:r w:rsidRPr="00C24D60">
        <w:rPr>
          <w:szCs w:val="24"/>
        </w:rPr>
        <w:t>zákon č. 89/2012 Sb., občanský zákoník ve znění pozdějších předpisů</w:t>
      </w:r>
    </w:p>
    <w:p w:rsidR="00865CA7" w:rsidRDefault="00865CA7" w:rsidP="00865CA7">
      <w:r>
        <w:br w:type="page"/>
      </w:r>
    </w:p>
    <w:p w:rsidR="00C24D60" w:rsidRDefault="00C24D60" w:rsidP="00C24D60">
      <w:pPr>
        <w:pStyle w:val="Nadpis1"/>
      </w:pPr>
      <w:bookmarkStart w:id="1" w:name="_Toc449513889"/>
      <w:r>
        <w:lastRenderedPageBreak/>
        <w:t>Úvod</w:t>
      </w:r>
      <w:bookmarkEnd w:id="1"/>
    </w:p>
    <w:p w:rsidR="00913353" w:rsidRDefault="001A1006" w:rsidP="001A1006">
      <w:pPr>
        <w:spacing w:line="360" w:lineRule="auto"/>
        <w:contextualSpacing/>
      </w:pPr>
      <w:r>
        <w:tab/>
        <w:t>Stejně jako dnes i v dávných dobách se</w:t>
      </w:r>
      <w:r w:rsidR="00870F31">
        <w:t xml:space="preserve"> vývojem společnosti rozvíjela</w:t>
      </w:r>
      <w:r>
        <w:t xml:space="preserve"> práva jednotlivých osob na pozůstalostní majetek svých před</w:t>
      </w:r>
      <w:r w:rsidR="002C73A5">
        <w:t>ků</w:t>
      </w:r>
      <w:r>
        <w:t>. Zanech</w:t>
      </w:r>
      <w:r w:rsidR="0067005E">
        <w:t>á</w:t>
      </w:r>
      <w:r>
        <w:t xml:space="preserve">ní pozůstalosti bylo dříve bráno jako projev určité solidarity ve prospěch svých potomků </w:t>
      </w:r>
      <w:r w:rsidR="00870F31">
        <w:t>a dalších osob</w:t>
      </w:r>
      <w:r w:rsidR="00A970D4">
        <w:t>,</w:t>
      </w:r>
      <w:r w:rsidR="00870F31">
        <w:t xml:space="preserve"> </w:t>
      </w:r>
      <w:r>
        <w:t>s cílem</w:t>
      </w:r>
      <w:r w:rsidR="0067005E">
        <w:t xml:space="preserve"> zajistit</w:t>
      </w:r>
      <w:r w:rsidR="00870F31">
        <w:t xml:space="preserve"> je</w:t>
      </w:r>
      <w:r>
        <w:t xml:space="preserve"> na dobu po </w:t>
      </w:r>
      <w:r w:rsidR="002C73A5">
        <w:t>smr</w:t>
      </w:r>
      <w:r>
        <w:t>ti blízké osoby</w:t>
      </w:r>
      <w:r w:rsidR="00870F31">
        <w:t xml:space="preserve"> i do budoucna</w:t>
      </w:r>
      <w:r>
        <w:t>.</w:t>
      </w:r>
      <w:r w:rsidR="00870F31">
        <w:t xml:space="preserve"> K </w:t>
      </w:r>
      <w:r w:rsidR="00913353">
        <w:t>takovému</w:t>
      </w:r>
      <w:r w:rsidR="00870F31">
        <w:t xml:space="preserve"> účelu se vyvinula určitá právní jednání, která měl zůstavitel k dispozici pro </w:t>
      </w:r>
      <w:r w:rsidR="009313A9">
        <w:t xml:space="preserve">naložení se svým </w:t>
      </w:r>
      <w:r w:rsidR="00BB1444">
        <w:t>majetkem</w:t>
      </w:r>
      <w:r w:rsidR="009313A9">
        <w:t>.</w:t>
      </w:r>
      <w:r w:rsidR="00BB1444">
        <w:t xml:space="preserve"> </w:t>
      </w:r>
      <w:r w:rsidR="00A970D4">
        <w:t>Již v římském právu, které</w:t>
      </w:r>
      <w:r w:rsidR="00913353">
        <w:t xml:space="preserve"> se ukázal</w:t>
      </w:r>
      <w:r w:rsidR="00A970D4">
        <w:t>o</w:t>
      </w:r>
      <w:r w:rsidR="00913353">
        <w:t xml:space="preserve"> být stěžejní</w:t>
      </w:r>
      <w:r w:rsidR="00A970D4">
        <w:t>m</w:t>
      </w:r>
      <w:r w:rsidR="00913353">
        <w:t xml:space="preserve"> pro kontinentální právní systém v Evropě, začaly být kladeny na testamenty zůstavitelů požadavky, které bylo nutno splnit. Pokud tak zůstavitel neučinil, mohli se dědici, kterým bylo takovým poř</w:t>
      </w:r>
      <w:r w:rsidR="00A970D4">
        <w:t xml:space="preserve">ízením </w:t>
      </w:r>
      <w:r w:rsidR="00594A3C">
        <w:t>ublíženo</w:t>
      </w:r>
      <w:r w:rsidR="00A970D4">
        <w:t xml:space="preserve"> domáhat nápravy svých práv.</w:t>
      </w:r>
    </w:p>
    <w:p w:rsidR="00F4741F" w:rsidRDefault="00913353" w:rsidP="001A1006">
      <w:pPr>
        <w:spacing w:line="360" w:lineRule="auto"/>
        <w:contextualSpacing/>
      </w:pPr>
      <w:r>
        <w:tab/>
        <w:t xml:space="preserve">S </w:t>
      </w:r>
      <w:r w:rsidR="00E80906">
        <w:t xml:space="preserve">touto matérií </w:t>
      </w:r>
      <w:r>
        <w:t>souvisí téma mé diplomové práce s názvem „Posloupnost proti testamentu“. Jejím obsahem je úzká problematika související s nenaplněním formálních</w:t>
      </w:r>
      <w:r w:rsidR="00A970D4">
        <w:t xml:space="preserve"> a </w:t>
      </w:r>
      <w:r w:rsidR="00A636BC">
        <w:t xml:space="preserve">materiálních </w:t>
      </w:r>
      <w:r>
        <w:t>znaků závěti</w:t>
      </w:r>
      <w:r w:rsidR="00E80906">
        <w:t xml:space="preserve"> zůstavitelem, zásahem do práv osob zůstavitelovi blízkých a jejich následnými možnostmi obrany proti takovému zásahu. Posloupnost proti testamentu je možno považovat za určité „</w:t>
      </w:r>
      <w:r w:rsidR="00E80906" w:rsidRPr="00F4741F">
        <w:rPr>
          <w:i/>
        </w:rPr>
        <w:t>institucionální vyjádření interpretace testamentu</w:t>
      </w:r>
      <w:r w:rsidR="00E80906">
        <w:t>“</w:t>
      </w:r>
      <w:r w:rsidR="00E80906">
        <w:rPr>
          <w:rStyle w:val="Znakapoznpodarou"/>
        </w:rPr>
        <w:footnoteReference w:id="2"/>
      </w:r>
      <w:r w:rsidR="00F4741F">
        <w:t>, které má za následek zrušení závěti a nástup dědiců na základě zákonné dědické posloupnosti.</w:t>
      </w:r>
    </w:p>
    <w:p w:rsidR="00E13BD6" w:rsidRDefault="00F4741F" w:rsidP="001A1006">
      <w:pPr>
        <w:spacing w:line="360" w:lineRule="auto"/>
        <w:contextualSpacing/>
      </w:pPr>
      <w:r>
        <w:tab/>
        <w:t>Ač se toto téma zdá ryze historické, má významné přesahy i do nynější doby a platného a účinného práva. Souvisí s velmi populárním a často diskutovaným pojmem nepominutelný dědic</w:t>
      </w:r>
      <w:r w:rsidR="002B33BC">
        <w:t>, který se zejména po rekodifikaci soukromého práva v České republice dočkal celkem široké právní úpravy v občanském zákoníku.</w:t>
      </w:r>
      <w:r w:rsidR="002B33BC">
        <w:rPr>
          <w:rStyle w:val="Znakapoznpodarou"/>
        </w:rPr>
        <w:footnoteReference w:id="3"/>
      </w:r>
      <w:r w:rsidR="00DF4795">
        <w:t xml:space="preserve"> </w:t>
      </w:r>
      <w:r w:rsidR="006E16E7">
        <w:t xml:space="preserve">Ten dle své důvodové zprávy vychází právě z </w:t>
      </w:r>
      <w:r w:rsidR="00A970D4">
        <w:t xml:space="preserve">kvalitních </w:t>
      </w:r>
      <w:r w:rsidR="006E16E7">
        <w:t>histo</w:t>
      </w:r>
      <w:r w:rsidR="00A970D4">
        <w:t>rických úprav platných na našem území, ale rovněž bere ohled i na právní úpravy soukromého práva v zahraničí.</w:t>
      </w:r>
    </w:p>
    <w:p w:rsidR="00E13BD6" w:rsidRDefault="00E13BD6" w:rsidP="001A1006">
      <w:pPr>
        <w:spacing w:line="360" w:lineRule="auto"/>
        <w:contextualSpacing/>
      </w:pPr>
      <w:r>
        <w:tab/>
        <w:t>Můžeme říci, že každý z nás se za svůj život dostane nějakým způsobem</w:t>
      </w:r>
      <w:r w:rsidR="00E7124C">
        <w:t xml:space="preserve"> do kontaktu s dědickým právem.</w:t>
      </w:r>
      <w:r w:rsidR="00A970D4">
        <w:t xml:space="preserve"> Ať již se ocitne v postavení zůstavitele, který bude rozhodovat o tom, co se stane s jeho majetkem po jeho odchodu, anebo v postavení dědice či odkazovníka, který nabyde pozůstalost po někom jiném. Vždy bude třeba, aby měl</w:t>
      </w:r>
      <w:r w:rsidR="00044C09">
        <w:t xml:space="preserve"> člověk</w:t>
      </w:r>
      <w:r w:rsidR="00A970D4">
        <w:t xml:space="preserve"> ponětí o svých právech.</w:t>
      </w:r>
      <w:r w:rsidR="00E7124C">
        <w:t xml:space="preserve"> </w:t>
      </w:r>
      <w:r>
        <w:t xml:space="preserve">Proto lze </w:t>
      </w:r>
      <w:r w:rsidR="00E7124C">
        <w:t>pokládat</w:t>
      </w:r>
      <w:r>
        <w:t xml:space="preserve"> za důležité, </w:t>
      </w:r>
      <w:r w:rsidR="00E7124C">
        <w:t xml:space="preserve">že </w:t>
      </w:r>
      <w:r>
        <w:t xml:space="preserve">ke správnému pochopení právní úpravy a následné možnosti </w:t>
      </w:r>
      <w:r w:rsidR="00580CAB">
        <w:t>aplikace</w:t>
      </w:r>
      <w:r>
        <w:t xml:space="preserve"> práva v praxi,</w:t>
      </w:r>
      <w:r w:rsidR="00E7124C">
        <w:t xml:space="preserve"> je třeba</w:t>
      </w:r>
      <w:r>
        <w:t xml:space="preserve"> lépe poznat ideové základy a vývoj </w:t>
      </w:r>
      <w:r w:rsidR="00E7124C">
        <w:t>dědického práva</w:t>
      </w:r>
      <w:r>
        <w:t xml:space="preserve"> v historii.</w:t>
      </w:r>
    </w:p>
    <w:p w:rsidR="00187DFB" w:rsidRDefault="00E13BD6" w:rsidP="001A1006">
      <w:pPr>
        <w:spacing w:line="360" w:lineRule="auto"/>
        <w:contextualSpacing/>
      </w:pPr>
      <w:r>
        <w:tab/>
        <w:t>Cílem mé diplomové práce bude zmapovat vývoj posloupnosti proti testamentu</w:t>
      </w:r>
      <w:r w:rsidR="00A970D4">
        <w:t>, jakožto poměrně úzké problematiky dědického práva</w:t>
      </w:r>
      <w:r w:rsidR="00DA1A93">
        <w:t>, a její vliv na další právní úpravy</w:t>
      </w:r>
      <w:r w:rsidR="002C73A5">
        <w:t xml:space="preserve">. Jeví se přirozené </w:t>
      </w:r>
      <w:r w:rsidR="00A970D4">
        <w:t>začít zkoumat ins</w:t>
      </w:r>
      <w:r w:rsidR="00044C09">
        <w:t>t</w:t>
      </w:r>
      <w:r w:rsidR="00A636BC">
        <w:t>itut již</w:t>
      </w:r>
      <w:r>
        <w:t xml:space="preserve"> od římského práva, </w:t>
      </w:r>
      <w:r w:rsidR="00594A3C">
        <w:t>kde tato posloupnost vznikla</w:t>
      </w:r>
      <w:r w:rsidR="00A970D4">
        <w:t>.</w:t>
      </w:r>
      <w:r w:rsidR="00044C09">
        <w:t xml:space="preserve"> Zde se v </w:t>
      </w:r>
      <w:r w:rsidR="002C73A5">
        <w:t>rámci této posloupnosti vyvinula</w:t>
      </w:r>
      <w:r w:rsidR="00044C09">
        <w:t xml:space="preserve"> formální a materiální práva osob, které byly zůstaviteli </w:t>
      </w:r>
      <w:r w:rsidR="00044C09">
        <w:lastRenderedPageBreak/>
        <w:t>blízké. Hovoříme zde již o prvních nepominutelných dědicích.</w:t>
      </w:r>
      <w:r w:rsidR="00044C09">
        <w:rPr>
          <w:rStyle w:val="Znakapoznpodarou"/>
        </w:rPr>
        <w:footnoteReference w:id="4"/>
      </w:r>
      <w:r w:rsidR="00044C09">
        <w:t xml:space="preserve"> </w:t>
      </w:r>
      <w:r w:rsidR="00DA1A93">
        <w:t>Právě daného vymezení práv se chci držet při tvorbě své diplomové práce</w:t>
      </w:r>
      <w:r w:rsidR="005C5FBC">
        <w:t>, kde</w:t>
      </w:r>
      <w:r w:rsidR="00187DFB">
        <w:t xml:space="preserve"> </w:t>
      </w:r>
      <w:r w:rsidR="00B45BEF">
        <w:t>bych ráda</w:t>
      </w:r>
      <w:r w:rsidR="00187DFB">
        <w:t xml:space="preserve"> jednotlivé prvky formálních a materiálních práv </w:t>
      </w:r>
      <w:r w:rsidR="00B45BEF">
        <w:t>srovnala</w:t>
      </w:r>
      <w:r w:rsidR="00187DFB">
        <w:t xml:space="preserve"> napříč historickým</w:t>
      </w:r>
      <w:r w:rsidR="00580CAB">
        <w:t>i úpravami</w:t>
      </w:r>
      <w:r w:rsidR="00B45BEF">
        <w:t>, a to i s ohledem na omezení zůstavitelovy vůle pořídit pro případ smrti</w:t>
      </w:r>
    </w:p>
    <w:p w:rsidR="00904F9F" w:rsidRDefault="00904F9F" w:rsidP="001A1006">
      <w:pPr>
        <w:spacing w:line="360" w:lineRule="auto"/>
        <w:contextualSpacing/>
      </w:pPr>
      <w:r>
        <w:tab/>
      </w:r>
      <w:r w:rsidRPr="00904F9F">
        <w:t xml:space="preserve">Při tvorbě diplomové práce budu vycházet z komentářů, dobové literatury, odborných článků a v neposlední řadě z judikatury, která podstatným způsobem </w:t>
      </w:r>
      <w:r w:rsidR="002C73A5">
        <w:t>dovytvářela</w:t>
      </w:r>
      <w:r w:rsidRPr="00904F9F">
        <w:t xml:space="preserve"> právo. V rámci kapitoly týkající se římského práva budu vycházet </w:t>
      </w:r>
      <w:r w:rsidR="00806C1D">
        <w:t>i z přímých pramenů římského</w:t>
      </w:r>
      <w:r w:rsidRPr="00904F9F">
        <w:t xml:space="preserve"> práva. Právě ty nám jsou schopny poskytnout </w:t>
      </w:r>
      <w:r w:rsidR="00806C1D">
        <w:t>ucelený pohl</w:t>
      </w:r>
      <w:r w:rsidRPr="00904F9F">
        <w:t xml:space="preserve">ed na právní uspořádání dědického práva ve starém Římě. Při  psaní budu </w:t>
      </w:r>
      <w:r w:rsidR="00A636BC">
        <w:t>čerpat z</w:t>
      </w:r>
      <w:r w:rsidRPr="00904F9F">
        <w:t xml:space="preserve"> Gaiov</w:t>
      </w:r>
      <w:r w:rsidR="00A636BC">
        <w:t>y Učebnice práva, Justiniánových I</w:t>
      </w:r>
      <w:r w:rsidRPr="00904F9F">
        <w:t xml:space="preserve">nstitucí, </w:t>
      </w:r>
      <w:r w:rsidR="00806C1D">
        <w:t>a rovněž</w:t>
      </w:r>
      <w:r w:rsidRPr="00904F9F">
        <w:t xml:space="preserve"> z Digest, které jsou považovány</w:t>
      </w:r>
      <w:r w:rsidR="00DD7B5C">
        <w:t xml:space="preserve"> za stěžejní pramen. Při práci s</w:t>
      </w:r>
      <w:r w:rsidRPr="00904F9F">
        <w:t xml:space="preserve"> Digesty budu vycházet jak z jejich latinského znění, které je dostupné na internetových stránkách</w:t>
      </w:r>
      <w:r w:rsidR="00806C1D">
        <w:rPr>
          <w:rStyle w:val="Znakapoznpodarou"/>
        </w:rPr>
        <w:footnoteReference w:id="5"/>
      </w:r>
      <w:r w:rsidRPr="00904F9F">
        <w:t xml:space="preserve">, tak i pro lepší pochopení </w:t>
      </w:r>
      <w:r w:rsidR="00594A3C">
        <w:t xml:space="preserve">textu </w:t>
      </w:r>
      <w:r w:rsidRPr="00904F9F">
        <w:t>z anglického překladu P. S. Scotta</w:t>
      </w:r>
      <w:r w:rsidR="00806C1D">
        <w:rPr>
          <w:rStyle w:val="Znakapoznpodarou"/>
        </w:rPr>
        <w:footnoteReference w:id="6"/>
      </w:r>
      <w:r w:rsidRPr="00904F9F">
        <w:t xml:space="preserve">. </w:t>
      </w:r>
    </w:p>
    <w:p w:rsidR="00D00C7E" w:rsidRDefault="00187DFB" w:rsidP="007A3ED6">
      <w:pPr>
        <w:spacing w:line="360" w:lineRule="auto"/>
        <w:contextualSpacing/>
      </w:pPr>
      <w:r>
        <w:tab/>
      </w:r>
    </w:p>
    <w:p w:rsidR="00C95EF1" w:rsidRDefault="00C95EF1">
      <w:pPr>
        <w:jc w:val="left"/>
      </w:pPr>
      <w:r>
        <w:br w:type="page"/>
      </w:r>
    </w:p>
    <w:p w:rsidR="00325025" w:rsidRPr="00E7605E" w:rsidRDefault="00347FAB" w:rsidP="00347FAB">
      <w:pPr>
        <w:pStyle w:val="Nadpis1"/>
      </w:pPr>
      <w:bookmarkStart w:id="2" w:name="_Toc449513890"/>
      <w:r w:rsidRPr="00E7605E">
        <w:lastRenderedPageBreak/>
        <w:t>1. Po</w:t>
      </w:r>
      <w:r w:rsidR="00325025" w:rsidRPr="00E7605E">
        <w:t>sloupnost proti testamentu podle římského práva</w:t>
      </w:r>
      <w:bookmarkEnd w:id="2"/>
    </w:p>
    <w:p w:rsidR="00867B8E" w:rsidRPr="00E7605E" w:rsidRDefault="00325025" w:rsidP="005320AA">
      <w:pPr>
        <w:pStyle w:val="Nadpis2"/>
        <w:spacing w:line="360" w:lineRule="auto"/>
      </w:pPr>
      <w:bookmarkStart w:id="3" w:name="_Toc449513891"/>
      <w:r w:rsidRPr="00E7605E">
        <w:t xml:space="preserve">1.1 </w:t>
      </w:r>
      <w:r w:rsidR="00FF33A2" w:rsidRPr="00E7605E">
        <w:t>Úvod</w:t>
      </w:r>
      <w:r w:rsidRPr="00E7605E">
        <w:t xml:space="preserve"> do tématu</w:t>
      </w:r>
      <w:bookmarkEnd w:id="3"/>
    </w:p>
    <w:p w:rsidR="004D2038" w:rsidRDefault="00325025" w:rsidP="005C4673">
      <w:pPr>
        <w:spacing w:line="360" w:lineRule="auto"/>
        <w:contextualSpacing/>
      </w:pPr>
      <w:r w:rsidRPr="00E7605E">
        <w:tab/>
      </w:r>
      <w:r w:rsidR="005320AA" w:rsidRPr="00E7605E">
        <w:t xml:space="preserve"> </w:t>
      </w:r>
      <w:r w:rsidR="00841D36">
        <w:t xml:space="preserve">Dědické právo je ze subjektivního hlediska vždy spojeno se smrtí člověka. Ta je sama o sobě považována za jeden z předpokladů dědění. </w:t>
      </w:r>
      <w:r w:rsidR="00B2670C" w:rsidRPr="00E7605E">
        <w:t xml:space="preserve">Smrt </w:t>
      </w:r>
      <w:r w:rsidR="004D2038">
        <w:t>lze</w:t>
      </w:r>
      <w:r w:rsidR="00B2670C" w:rsidRPr="00E7605E">
        <w:t xml:space="preserve"> z právního hlediska </w:t>
      </w:r>
      <w:r w:rsidR="004D2038">
        <w:t>považovat</w:t>
      </w:r>
      <w:r w:rsidR="005C4673" w:rsidRPr="00E7605E">
        <w:t xml:space="preserve"> za právní skutečnost, při které není přítomen volní prvek, tedy není</w:t>
      </w:r>
      <w:r w:rsidR="004D2038">
        <w:t xml:space="preserve"> zde</w:t>
      </w:r>
      <w:r w:rsidR="005C4673" w:rsidRPr="00E7605E">
        <w:t xml:space="preserve"> podstatné</w:t>
      </w:r>
      <w:r w:rsidR="004D2038">
        <w:t xml:space="preserve"> volní chování jednotlivce</w:t>
      </w:r>
      <w:r w:rsidR="005C4673" w:rsidRPr="00E7605E">
        <w:t>.</w:t>
      </w:r>
      <w:r w:rsidR="005C4673" w:rsidRPr="00E7605E">
        <w:rPr>
          <w:rStyle w:val="Znakapoznpodarou"/>
        </w:rPr>
        <w:footnoteReference w:id="7"/>
      </w:r>
      <w:r w:rsidR="00DA4A1C" w:rsidRPr="00E7605E">
        <w:t xml:space="preserve"> </w:t>
      </w:r>
    </w:p>
    <w:p w:rsidR="00CB4921" w:rsidRPr="00E7605E" w:rsidRDefault="004D2038" w:rsidP="005C4673">
      <w:pPr>
        <w:spacing w:line="360" w:lineRule="auto"/>
        <w:contextualSpacing/>
      </w:pPr>
      <w:r>
        <w:tab/>
      </w:r>
      <w:r w:rsidR="001E4817" w:rsidRPr="00E7605E">
        <w:t>S</w:t>
      </w:r>
      <w:r>
        <w:t>mrtí, jakožto</w:t>
      </w:r>
      <w:r w:rsidR="001E4817" w:rsidRPr="00E7605E">
        <w:t xml:space="preserve"> právní událostí</w:t>
      </w:r>
      <w:r>
        <w:t>,</w:t>
      </w:r>
      <w:r w:rsidR="001E4817" w:rsidRPr="00E7605E">
        <w:t xml:space="preserve"> </w:t>
      </w:r>
      <w:r>
        <w:t>vždy</w:t>
      </w:r>
      <w:r w:rsidR="001E4817" w:rsidRPr="00E7605E">
        <w:t xml:space="preserve"> zanikají právní poměry rodinné, nezanikají však právní </w:t>
      </w:r>
      <w:r>
        <w:t>vztahy</w:t>
      </w:r>
      <w:r w:rsidR="001E4817" w:rsidRPr="00E7605E">
        <w:t xml:space="preserve"> majetkové. Ty přetrvávají i nadále</w:t>
      </w:r>
      <w:r w:rsidR="00841D36">
        <w:t>, a na místo zemřelého (</w:t>
      </w:r>
      <w:r w:rsidR="001E4817" w:rsidRPr="00E7605E">
        <w:t xml:space="preserve">dále osoby </w:t>
      </w:r>
      <w:r w:rsidR="006906D1">
        <w:t>„</w:t>
      </w:r>
      <w:r w:rsidR="001E4817" w:rsidRPr="00E7605E">
        <w:t>zůstavitele</w:t>
      </w:r>
      <w:r w:rsidR="006906D1">
        <w:t>“</w:t>
      </w:r>
      <w:r w:rsidR="00841D36">
        <w:t>) nastupuje osoba jiná (</w:t>
      </w:r>
      <w:r w:rsidR="00EE11A5">
        <w:t>dále jen „</w:t>
      </w:r>
      <w:r w:rsidR="001E4817" w:rsidRPr="00E7605E">
        <w:t>dědic</w:t>
      </w:r>
      <w:r w:rsidR="00EE11A5">
        <w:t>“</w:t>
      </w:r>
      <w:r w:rsidR="00841D36">
        <w:t>)</w:t>
      </w:r>
      <w:r w:rsidR="001E4817" w:rsidRPr="00E7605E">
        <w:t>.</w:t>
      </w:r>
      <w:r w:rsidR="003969B0" w:rsidRPr="00E7605E">
        <w:t xml:space="preserve"> Na něho bezprostředně přecházejí jak veškerá majetková práva, tak i majetkové povinnosti zůstavitele jako jeden celek.</w:t>
      </w:r>
      <w:r w:rsidR="00F31084" w:rsidRPr="00E7605E">
        <w:t xml:space="preserve"> Tuto univerzální </w:t>
      </w:r>
      <w:r w:rsidR="00A030A3" w:rsidRPr="00E7605E">
        <w:t xml:space="preserve">(celkovou) </w:t>
      </w:r>
      <w:r w:rsidR="00F31084" w:rsidRPr="00E7605E">
        <w:t>sukcesi práv a povinností ze zůstavitele na dědice označujeme termínem dědická posloupnost.</w:t>
      </w:r>
      <w:r>
        <w:rPr>
          <w:rStyle w:val="Znakapoznpodarou"/>
        </w:rPr>
        <w:footnoteReference w:id="8"/>
      </w:r>
      <w:r w:rsidR="00CB4921" w:rsidRPr="00E7605E">
        <w:t xml:space="preserve"> </w:t>
      </w:r>
    </w:p>
    <w:p w:rsidR="00330C9B" w:rsidRDefault="0079344A" w:rsidP="005C4673">
      <w:pPr>
        <w:spacing w:line="360" w:lineRule="auto"/>
        <w:contextualSpacing/>
      </w:pPr>
      <w:r w:rsidRPr="00E7605E">
        <w:tab/>
      </w:r>
      <w:r w:rsidR="00413558" w:rsidRPr="00E7605E">
        <w:t xml:space="preserve">Na dědice </w:t>
      </w:r>
      <w:r w:rsidR="00C47CDA">
        <w:t>v období klasického práva římského přecházely</w:t>
      </w:r>
      <w:r w:rsidR="00413558" w:rsidRPr="00E7605E">
        <w:t xml:space="preserve"> majetkové poměry zůstavitele,</w:t>
      </w:r>
      <w:r w:rsidR="00294A9B" w:rsidRPr="00E7605E">
        <w:t xml:space="preserve"> zkráceně</w:t>
      </w:r>
      <w:r w:rsidR="00413558" w:rsidRPr="00E7605E">
        <w:t xml:space="preserve"> dědictví, tzv. nastoupením dědictví (</w:t>
      </w:r>
      <w:r w:rsidR="00413558" w:rsidRPr="00C47CDA">
        <w:rPr>
          <w:i/>
        </w:rPr>
        <w:t>adi</w:t>
      </w:r>
      <w:r w:rsidR="00C663EE" w:rsidRPr="00C47CDA">
        <w:rPr>
          <w:i/>
        </w:rPr>
        <w:t>cio hereditatis</w:t>
      </w:r>
      <w:r w:rsidR="00330C9B">
        <w:t>). Z</w:t>
      </w:r>
      <w:r w:rsidR="00C47CDA">
        <w:t>áleželo</w:t>
      </w:r>
      <w:r w:rsidR="00413558" w:rsidRPr="00E7605E">
        <w:t xml:space="preserve"> pouze na </w:t>
      </w:r>
      <w:r w:rsidR="00294A9B" w:rsidRPr="00E7605E">
        <w:t>něm</w:t>
      </w:r>
      <w:r w:rsidR="00C663EE" w:rsidRPr="00E7605E">
        <w:t xml:space="preserve">, zda </w:t>
      </w:r>
      <w:r w:rsidR="00C47CDA">
        <w:t xml:space="preserve">je </w:t>
      </w:r>
      <w:r w:rsidR="00413558" w:rsidRPr="00E7605E">
        <w:t>práva a povinnosti po zůstaviteli ochoten přijmout či nikoli</w:t>
      </w:r>
      <w:r w:rsidR="00594D0E" w:rsidRPr="00E7605E">
        <w:t>. Univerzální sukcese v sobě zahrnovala nejen přechod práv po zůstaviteli, ale rovněž pro dědice znamenala povinnost ručit za dluhy zůstavitele v případě pozůstalosti, která byla zatížena dluhy.</w:t>
      </w:r>
      <w:r w:rsidR="00330C9B">
        <w:rPr>
          <w:rStyle w:val="Znakapoznpodarou"/>
        </w:rPr>
        <w:footnoteReference w:id="9"/>
      </w:r>
      <w:r w:rsidR="00413558" w:rsidRPr="00E7605E">
        <w:t xml:space="preserve"> </w:t>
      </w:r>
      <w:r w:rsidR="00594D0E" w:rsidRPr="00E7605E">
        <w:t>Kolikrát</w:t>
      </w:r>
      <w:r w:rsidR="00330C9B">
        <w:t xml:space="preserve"> mohla být</w:t>
      </w:r>
      <w:r w:rsidR="00594D0E" w:rsidRPr="00E7605E">
        <w:t xml:space="preserve"> p</w:t>
      </w:r>
      <w:r w:rsidR="00294A9B" w:rsidRPr="00E7605E">
        <w:t>rávě ta</w:t>
      </w:r>
      <w:r w:rsidR="00594D0E" w:rsidRPr="00E7605E">
        <w:t>to</w:t>
      </w:r>
      <w:r w:rsidR="00294A9B" w:rsidRPr="00E7605E">
        <w:t xml:space="preserve"> skutečnost</w:t>
      </w:r>
      <w:r w:rsidR="00594D0E" w:rsidRPr="00E7605E">
        <w:t xml:space="preserve"> </w:t>
      </w:r>
      <w:r w:rsidR="00294A9B" w:rsidRPr="00E7605E">
        <w:t>rozhodující pro nástup dědictví</w:t>
      </w:r>
      <w:r w:rsidR="001B2707">
        <w:t xml:space="preserve">, jelikož v případě, když </w:t>
      </w:r>
      <w:r w:rsidR="004F5AE2">
        <w:t>by dluhy zůstavitele mnohonásobně převyšovaly hodnotu jeho pozůstalosti, bylo by nespravedlivé požadovat po dědici, aby takové dědictví přijal.</w:t>
      </w:r>
    </w:p>
    <w:p w:rsidR="008667D2" w:rsidRPr="00E7605E" w:rsidRDefault="00330C9B" w:rsidP="00330C9B">
      <w:pPr>
        <w:spacing w:line="360" w:lineRule="auto"/>
        <w:contextualSpacing/>
      </w:pPr>
      <w:r>
        <w:tab/>
      </w:r>
      <w:r w:rsidR="00594D0E" w:rsidRPr="00E7605E">
        <w:t xml:space="preserve"> </w:t>
      </w:r>
      <w:r w:rsidR="00543149" w:rsidRPr="00E7605E">
        <w:t>Skute</w:t>
      </w:r>
      <w:r w:rsidR="00D841A1">
        <w:t>čnosti, kterými se dědici nabízela</w:t>
      </w:r>
      <w:r w:rsidR="00543149" w:rsidRPr="00E7605E">
        <w:t xml:space="preserve"> možnost dědictví nabýt, nazýváme del</w:t>
      </w:r>
      <w:r w:rsidR="00CB3A1E">
        <w:t xml:space="preserve">ační </w:t>
      </w:r>
      <w:r>
        <w:t xml:space="preserve">důvody nebo také tituly. </w:t>
      </w:r>
      <w:r w:rsidR="00734BA9" w:rsidRPr="00E7605E">
        <w:t>Titulem pro nabytí dědictví v římském právu mohlo být</w:t>
      </w:r>
      <w:r>
        <w:t xml:space="preserve"> poslední</w:t>
      </w:r>
      <w:r w:rsidR="00734BA9" w:rsidRPr="00E7605E">
        <w:t xml:space="preserve"> </w:t>
      </w:r>
      <w:r w:rsidR="00BD5920" w:rsidRPr="00E7605E">
        <w:t>pořízení (</w:t>
      </w:r>
      <w:r w:rsidR="00BD5920" w:rsidRPr="00D841A1">
        <w:rPr>
          <w:i/>
        </w:rPr>
        <w:t>testamentum</w:t>
      </w:r>
      <w:r w:rsidR="00BD5920" w:rsidRPr="00E7605E">
        <w:t>) nebo zákon.</w:t>
      </w:r>
      <w:r w:rsidR="00294A9B" w:rsidRPr="00E7605E">
        <w:rPr>
          <w:rStyle w:val="Znakapoznpodarou"/>
        </w:rPr>
        <w:footnoteReference w:id="10"/>
      </w:r>
      <w:r w:rsidR="00D841A1">
        <w:t xml:space="preserve"> </w:t>
      </w:r>
      <w:r>
        <w:t xml:space="preserve">Poslední pořízení, neboli závěť, </w:t>
      </w:r>
      <w:r w:rsidR="00BD5920" w:rsidRPr="00E7605E">
        <w:t xml:space="preserve">je jednostranné </w:t>
      </w:r>
      <w:r>
        <w:t>právní jednání</w:t>
      </w:r>
      <w:r w:rsidR="00BD5920" w:rsidRPr="00E7605E">
        <w:t xml:space="preserve"> pro případ smrti, které obsahovalo určení jednoho nebo více osob za dědice po zůstaviteli. </w:t>
      </w:r>
      <w:r w:rsidR="00CB3A1E">
        <w:t>Pořízení</w:t>
      </w:r>
      <w:r w:rsidR="00BD5920" w:rsidRPr="00E7605E">
        <w:t xml:space="preserve"> mohlo </w:t>
      </w:r>
      <w:r w:rsidR="00CB3A1E">
        <w:t>dále</w:t>
      </w:r>
      <w:r w:rsidR="00BD5920" w:rsidRPr="00E7605E">
        <w:t xml:space="preserve"> obsah</w:t>
      </w:r>
      <w:r w:rsidR="00872A60">
        <w:t>ovat i jiná nařízení, jako např.</w:t>
      </w:r>
      <w:r w:rsidR="00BD5920" w:rsidRPr="00E7605E">
        <w:t xml:space="preserve"> odkaz konkrétní věci jiné osobě, jmenování poručníka, stanovení podmínky a další.</w:t>
      </w:r>
      <w:r w:rsidR="00A474CD" w:rsidRPr="00E7605E">
        <w:rPr>
          <w:rStyle w:val="Znakapoznpodarou"/>
        </w:rPr>
        <w:footnoteReference w:id="11"/>
      </w:r>
      <w:r w:rsidR="00BD5920" w:rsidRPr="00E7605E">
        <w:t xml:space="preserve"> </w:t>
      </w:r>
      <w:r w:rsidR="009E07CC" w:rsidRPr="00E7605E">
        <w:t xml:space="preserve">V případě, kdy zůstavitel </w:t>
      </w:r>
      <w:r w:rsidR="009E07CC" w:rsidRPr="00E7605E">
        <w:lastRenderedPageBreak/>
        <w:t>nezanechal žádné pořízení, pořízení nebylo platné</w:t>
      </w:r>
      <w:r w:rsidR="00A95229" w:rsidRPr="00E7605E">
        <w:t>,</w:t>
      </w:r>
      <w:r w:rsidR="0086662E">
        <w:t xml:space="preserve"> a</w:t>
      </w:r>
      <w:r w:rsidR="009E07CC" w:rsidRPr="00E7605E">
        <w:t>nebo pokud platnosti či účinnosti pozbylo, nastupovalo dě</w:t>
      </w:r>
      <w:r w:rsidR="0086662E">
        <w:t>dění podle zákonné posloupnosti, tzv. intestátní</w:t>
      </w:r>
      <w:r w:rsidR="009E07CC" w:rsidRPr="00E7605E">
        <w:t>.</w:t>
      </w:r>
      <w:r w:rsidR="009E07CC" w:rsidRPr="00E7605E">
        <w:rPr>
          <w:rStyle w:val="Znakapoznpodarou"/>
        </w:rPr>
        <w:footnoteReference w:id="12"/>
      </w:r>
      <w:r w:rsidR="008667D2" w:rsidRPr="00E7605E">
        <w:t xml:space="preserve"> </w:t>
      </w:r>
    </w:p>
    <w:p w:rsidR="00AA7FC0" w:rsidRDefault="00AA7FC0" w:rsidP="00AA7FC0">
      <w:pPr>
        <w:spacing w:line="360" w:lineRule="auto"/>
        <w:ind w:firstLine="708"/>
        <w:contextualSpacing/>
      </w:pPr>
      <w:r>
        <w:t>Vzhledem k římské zásadě „</w:t>
      </w:r>
      <w:r>
        <w:rPr>
          <w:i/>
        </w:rPr>
        <w:t xml:space="preserve">Nemo pro parte testatus pro parte intestatus decedere potest“, </w:t>
      </w:r>
      <w:r>
        <w:t xml:space="preserve">se mohlo v římském právu dědit </w:t>
      </w:r>
      <w:r w:rsidR="00872A60">
        <w:t xml:space="preserve">vždy </w:t>
      </w:r>
      <w:r>
        <w:t>jen na základě jedné posloupnosti. Nešlo uplatnit, aby zůstavitel rozhodl o části svého majetku závětí a zbytek majetku připadl zákonným dědicům, jak to známe dnes. V případě, kdy zůstavitel pořídil o části své pozůstalosti závětí, zbytek pozůstalosti se rovnoměrně rozdělil ostatním závětním dědicům – došlo k tzv. přírůstku (</w:t>
      </w:r>
      <w:r>
        <w:rPr>
          <w:i/>
        </w:rPr>
        <w:t>akrescenci)</w:t>
      </w:r>
      <w:r>
        <w:t xml:space="preserve"> dědického podílu.</w:t>
      </w:r>
      <w:r>
        <w:rPr>
          <w:rStyle w:val="Znakapoznpodarou"/>
        </w:rPr>
        <w:footnoteReference w:id="13"/>
      </w:r>
      <w:r>
        <w:t xml:space="preserve"> </w:t>
      </w:r>
    </w:p>
    <w:p w:rsidR="00AA7FC0" w:rsidRDefault="00AA7FC0" w:rsidP="00AA7FC0">
      <w:pPr>
        <w:spacing w:line="360" w:lineRule="auto"/>
        <w:ind w:firstLine="708"/>
        <w:contextualSpacing/>
      </w:pPr>
      <w:r>
        <w:t>K přírůstku dědického podílu docházelo i v případě, když některý z dědiců nemohl dědit a zároveň neměl potomky, na které by přešlo jeho právo. Rozlišovalo se při tom nabytí přírůstku na základě závěti a zákona. V případě testamentární posloupnosti nabývali právo k pozůstalosti dědici zmínění v jedné větě s tím, který nemohl dědit. U intestátní posloupnosti nabývali právo dědici z jednoho kmene nebo linie.</w:t>
      </w:r>
      <w:r>
        <w:rPr>
          <w:rStyle w:val="Znakapoznpodarou"/>
        </w:rPr>
        <w:footnoteReference w:id="14"/>
      </w:r>
    </w:p>
    <w:p w:rsidR="00AA7FC0" w:rsidRPr="00E11E97" w:rsidRDefault="00AA7FC0" w:rsidP="007F0AF0">
      <w:pPr>
        <w:spacing w:line="360" w:lineRule="auto"/>
        <w:ind w:firstLine="709"/>
        <w:contextualSpacing/>
      </w:pPr>
      <w:r>
        <w:t xml:space="preserve">Výjimkou ze zásady </w:t>
      </w:r>
      <w:r w:rsidRPr="00D63B0F">
        <w:rPr>
          <w:i/>
        </w:rPr>
        <w:t>„Nemo pro parte…“</w:t>
      </w:r>
      <w:r>
        <w:t xml:space="preserve"> byla posloupnost proti testamentu, která se v </w:t>
      </w:r>
      <w:r w:rsidRPr="00E7605E">
        <w:t xml:space="preserve"> klasickém období římského práva </w:t>
      </w:r>
      <w:r>
        <w:t>začala</w:t>
      </w:r>
      <w:r w:rsidRPr="00E7605E">
        <w:t xml:space="preserve"> </w:t>
      </w:r>
      <w:r>
        <w:t xml:space="preserve">uplatňovat jako další druh dědické posloupnosti vedle posloupnosti testamentární. </w:t>
      </w:r>
      <w:r w:rsidR="007F0AF0">
        <w:t>Tato posloupnost zaručovala</w:t>
      </w:r>
      <w:r>
        <w:t xml:space="preserve"> svými důsledky</w:t>
      </w:r>
      <w:r w:rsidRPr="00E7605E">
        <w:t xml:space="preserve"> právo na dědictví</w:t>
      </w:r>
      <w:r>
        <w:t xml:space="preserve"> nepominutelným</w:t>
      </w:r>
      <w:r w:rsidRPr="00E7605E">
        <w:t xml:space="preserve"> dědicům.</w:t>
      </w:r>
      <w:r w:rsidRPr="00E7605E">
        <w:rPr>
          <w:rStyle w:val="Znakapoznpodarou"/>
        </w:rPr>
        <w:footnoteReference w:id="15"/>
      </w:r>
      <w:r>
        <w:t xml:space="preserve"> Jak již bylo zmíněno v úvodu práce, je otázkou, zda posloupnost proti testamentu můžeme považovat za samostatný druh posloupnosti, nebo spíš za důsledek nesplnění formálních povinností zůstavitele týkající se závěti. V této kapitole se pokusíme přiblížit základní aspekty této posloupnosti.</w:t>
      </w:r>
    </w:p>
    <w:p w:rsidR="00C3730B" w:rsidRPr="00E7605E" w:rsidRDefault="00C3730B" w:rsidP="00C3730B">
      <w:pPr>
        <w:spacing w:line="360" w:lineRule="auto"/>
        <w:ind w:firstLine="709"/>
        <w:contextualSpacing/>
      </w:pPr>
    </w:p>
    <w:p w:rsidR="00690557" w:rsidRPr="00E7605E" w:rsidRDefault="00467F38" w:rsidP="00690557">
      <w:pPr>
        <w:pStyle w:val="Nadpis2"/>
      </w:pPr>
      <w:bookmarkStart w:id="4" w:name="_Toc449513892"/>
      <w:r w:rsidRPr="00E7605E">
        <w:t>1.2 Posloupnost proti te</w:t>
      </w:r>
      <w:r w:rsidR="002949E9" w:rsidRPr="00E7605E">
        <w:t>stamentu podle římského práva klasického</w:t>
      </w:r>
      <w:bookmarkEnd w:id="4"/>
    </w:p>
    <w:p w:rsidR="00690557" w:rsidRPr="00E7605E" w:rsidRDefault="00816EA4" w:rsidP="002E59E5">
      <w:pPr>
        <w:pStyle w:val="Nadpis3"/>
      </w:pPr>
      <w:bookmarkStart w:id="5" w:name="_Toc449513893"/>
      <w:r>
        <w:t>1. 2. 1</w:t>
      </w:r>
      <w:r w:rsidR="00690557" w:rsidRPr="00E7605E">
        <w:t xml:space="preserve"> Formální práva nepominutelných dědiců</w:t>
      </w:r>
      <w:bookmarkEnd w:id="5"/>
      <w:r w:rsidR="00690557" w:rsidRPr="00E7605E">
        <w:t xml:space="preserve"> </w:t>
      </w:r>
    </w:p>
    <w:p w:rsidR="00EF05F9" w:rsidRPr="00E7605E" w:rsidRDefault="00690557" w:rsidP="00137D52">
      <w:pPr>
        <w:spacing w:line="360" w:lineRule="auto"/>
        <w:contextualSpacing/>
      </w:pPr>
      <w:r w:rsidRPr="00E7605E">
        <w:tab/>
      </w:r>
      <w:r w:rsidR="008B2A06" w:rsidRPr="00E7605E">
        <w:t>Souhrn</w:t>
      </w:r>
      <w:r w:rsidR="00080EA3" w:rsidRPr="00E7605E">
        <w:t xml:space="preserve"> obyčejového práva, který je obsahem</w:t>
      </w:r>
      <w:r w:rsidR="002F18F0" w:rsidRPr="00E7605E">
        <w:t> </w:t>
      </w:r>
      <w:r w:rsidR="00080EA3" w:rsidRPr="00E7605E">
        <w:t>zákona</w:t>
      </w:r>
      <w:r w:rsidR="002F18F0" w:rsidRPr="00E7605E">
        <w:t xml:space="preserve"> dvanácti desek z poloviny pátého století před naším letopočtem</w:t>
      </w:r>
      <w:r w:rsidR="00C10681" w:rsidRPr="00E7605E">
        <w:t>,</w:t>
      </w:r>
      <w:r w:rsidR="002F18F0" w:rsidRPr="00E7605E">
        <w:t xml:space="preserve"> </w:t>
      </w:r>
      <w:r w:rsidR="00080EA3" w:rsidRPr="00E7605E">
        <w:t>stanovil zůstavitelovu testovací volnost. Můžeme tak dovozovat z páté desky, která obsahovala ustanovení „</w:t>
      </w:r>
      <w:r w:rsidR="00080EA3" w:rsidRPr="00E7605E">
        <w:rPr>
          <w:i/>
        </w:rPr>
        <w:t>Uti legassit super pecunia tutelave suae rei, ita ius esto“</w:t>
      </w:r>
      <w:r w:rsidR="00C10681" w:rsidRPr="00E7605E">
        <w:rPr>
          <w:rStyle w:val="Znakapoznpodarou"/>
          <w:i/>
        </w:rPr>
        <w:footnoteReference w:id="16"/>
      </w:r>
      <w:r w:rsidR="00080EA3" w:rsidRPr="00E7605E">
        <w:rPr>
          <w:i/>
        </w:rPr>
        <w:t xml:space="preserve">, </w:t>
      </w:r>
      <w:r w:rsidR="007B1189">
        <w:t>volně přeložitelné jako</w:t>
      </w:r>
      <w:r w:rsidR="00080EA3" w:rsidRPr="00E7605E">
        <w:t xml:space="preserve"> </w:t>
      </w:r>
      <w:r w:rsidR="00C10681" w:rsidRPr="00E7605E">
        <w:t>„</w:t>
      </w:r>
      <w:r w:rsidR="00EF05F9" w:rsidRPr="00E7605E">
        <w:t>ten, kdo roz</w:t>
      </w:r>
      <w:r w:rsidR="00C10681" w:rsidRPr="00E7605E">
        <w:t xml:space="preserve">hodl o svém majetku nebo o poručenství nad svým majetkem, tak je po právu“. </w:t>
      </w:r>
      <w:r w:rsidR="00EF05F9" w:rsidRPr="00E7605E">
        <w:t xml:space="preserve">Zůstavitel si sám mohl zvolit, koho ze svých blízkých ustanoví jako následovníka svých majetkových poměrů. </w:t>
      </w:r>
    </w:p>
    <w:p w:rsidR="00EF05F9" w:rsidRPr="00E7605E" w:rsidRDefault="00EF05F9" w:rsidP="00EF05F9">
      <w:pPr>
        <w:spacing w:line="360" w:lineRule="auto"/>
        <w:ind w:firstLine="708"/>
        <w:contextualSpacing/>
      </w:pPr>
      <w:r w:rsidRPr="00E7605E">
        <w:lastRenderedPageBreak/>
        <w:t xml:space="preserve">V případě, kdy zůstavitel žádného ze svých zákonných dědiců do testamentu neobsáhl, byli </w:t>
      </w:r>
      <w:r w:rsidR="007F0AF0">
        <w:t xml:space="preserve">tito </w:t>
      </w:r>
      <w:r w:rsidR="00C17B81">
        <w:t>dědici</w:t>
      </w:r>
      <w:r w:rsidR="007B1189">
        <w:t xml:space="preserve"> </w:t>
      </w:r>
      <w:r w:rsidRPr="00E7605E">
        <w:t>podle nejstarší</w:t>
      </w:r>
      <w:r w:rsidR="007B1189">
        <w:t>ho práva z dědictví vyloučeni</w:t>
      </w:r>
      <w:r w:rsidRPr="00E7605E">
        <w:t>. Toto se týkalo i tzv. dědiců v</w:t>
      </w:r>
      <w:r w:rsidR="00C663EE" w:rsidRPr="00E7605E">
        <w:t>lastních (</w:t>
      </w:r>
      <w:r w:rsidR="00C663EE" w:rsidRPr="007B1189">
        <w:rPr>
          <w:i/>
        </w:rPr>
        <w:t>sui heredes</w:t>
      </w:r>
      <w:r w:rsidR="007B1189">
        <w:t>), což</w:t>
      </w:r>
      <w:r w:rsidR="00C663EE" w:rsidRPr="00E7605E">
        <w:t xml:space="preserve"> byly</w:t>
      </w:r>
      <w:r w:rsidRPr="00E7605E">
        <w:t xml:space="preserve"> osoby</w:t>
      </w:r>
      <w:r w:rsidR="00C663EE" w:rsidRPr="00E7605E">
        <w:t>, které měl zůstavitel v přímé moci</w:t>
      </w:r>
      <w:r w:rsidRPr="00E7605E">
        <w:t>.</w:t>
      </w:r>
      <w:r w:rsidRPr="00E7605E">
        <w:rPr>
          <w:rStyle w:val="Znakapoznpodarou"/>
        </w:rPr>
        <w:footnoteReference w:id="17"/>
      </w:r>
      <w:r w:rsidRPr="00E7605E">
        <w:t xml:space="preserve"> </w:t>
      </w:r>
    </w:p>
    <w:p w:rsidR="008B70FB" w:rsidRPr="00E7605E" w:rsidRDefault="006906D1" w:rsidP="00EF05F9">
      <w:pPr>
        <w:spacing w:line="360" w:lineRule="auto"/>
        <w:ind w:firstLine="708"/>
        <w:contextualSpacing/>
      </w:pPr>
      <w:r>
        <w:t>Můžeme vypozorovat z poznámek klasických právníků, že již</w:t>
      </w:r>
      <w:r w:rsidR="00BD2531" w:rsidRPr="00E7605E">
        <w:t xml:space="preserve"> za období republiky došlo ke změnám, </w:t>
      </w:r>
      <w:r>
        <w:t>které se týkaly</w:t>
      </w:r>
      <w:r w:rsidR="00BD2531" w:rsidRPr="00E7605E">
        <w:t xml:space="preserve"> omezení testovací volnosti </w:t>
      </w:r>
      <w:r w:rsidR="00396B4C" w:rsidRPr="00E7605E">
        <w:t>zůstavitele ve p</w:t>
      </w:r>
      <w:r w:rsidR="008A343F">
        <w:t>rospěch některých jeho dědiců</w:t>
      </w:r>
      <w:r>
        <w:t>.</w:t>
      </w:r>
    </w:p>
    <w:p w:rsidR="00E0657B" w:rsidRDefault="00E0657B" w:rsidP="007F0AF0">
      <w:pPr>
        <w:spacing w:line="360" w:lineRule="auto"/>
        <w:contextualSpacing/>
        <w:rPr>
          <w:i/>
        </w:rPr>
      </w:pPr>
    </w:p>
    <w:p w:rsidR="00F02BF4" w:rsidRPr="00E7605E" w:rsidRDefault="00F02BF4" w:rsidP="008B70FB">
      <w:pPr>
        <w:spacing w:line="360" w:lineRule="auto"/>
        <w:ind w:firstLine="708"/>
        <w:contextualSpacing/>
        <w:rPr>
          <w:i/>
        </w:rPr>
      </w:pPr>
      <w:r w:rsidRPr="00E7605E">
        <w:rPr>
          <w:i/>
        </w:rPr>
        <w:t>Fragment Dig. 28. 2. 30</w:t>
      </w:r>
    </w:p>
    <w:p w:rsidR="008B70FB" w:rsidRPr="00E7605E" w:rsidRDefault="008B70FB" w:rsidP="008B70FB">
      <w:pPr>
        <w:spacing w:line="360" w:lineRule="auto"/>
        <w:ind w:firstLine="708"/>
        <w:contextualSpacing/>
        <w:rPr>
          <w:i/>
        </w:rPr>
      </w:pPr>
      <w:r w:rsidRPr="00E7605E">
        <w:rPr>
          <w:i/>
        </w:rPr>
        <w:t>Gaius libro 17 ad edictum provinciale</w:t>
      </w:r>
    </w:p>
    <w:p w:rsidR="008B70FB" w:rsidRPr="00E7605E" w:rsidRDefault="008B70FB" w:rsidP="008B70FB">
      <w:pPr>
        <w:spacing w:line="360" w:lineRule="auto"/>
        <w:ind w:firstLine="708"/>
        <w:contextualSpacing/>
        <w:rPr>
          <w:i/>
        </w:rPr>
      </w:pPr>
    </w:p>
    <w:p w:rsidR="008B70FB" w:rsidRPr="00E7605E" w:rsidRDefault="008B70FB" w:rsidP="008B70FB">
      <w:pPr>
        <w:spacing w:line="360" w:lineRule="auto"/>
        <w:ind w:firstLine="708"/>
        <w:contextualSpacing/>
      </w:pPr>
      <w:r w:rsidRPr="00E7605E">
        <w:rPr>
          <w:i/>
        </w:rPr>
        <w:t>Inter cetera, quae ad ordinanda testamenta necessario desiderantur, principale ius est de liberis heredibus instituendis vel exheredandis, ne praeteritis istis rumpatur testamentum: namque filio qui in potestate est praeterito inutile est testamentum.</w:t>
      </w:r>
      <w:r w:rsidRPr="00E7605E">
        <w:rPr>
          <w:rStyle w:val="Znakapoznpodarou"/>
          <w:i/>
        </w:rPr>
        <w:footnoteReference w:id="18"/>
      </w:r>
    </w:p>
    <w:p w:rsidR="008A343F" w:rsidRDefault="008A343F" w:rsidP="00EF05F9">
      <w:pPr>
        <w:spacing w:line="360" w:lineRule="auto"/>
        <w:ind w:firstLine="708"/>
        <w:contextualSpacing/>
      </w:pPr>
    </w:p>
    <w:p w:rsidR="007B1189" w:rsidRDefault="006A779B" w:rsidP="00EF05F9">
      <w:pPr>
        <w:spacing w:line="360" w:lineRule="auto"/>
        <w:ind w:firstLine="708"/>
        <w:contextualSpacing/>
      </w:pPr>
      <w:r>
        <w:t>Z prvního</w:t>
      </w:r>
      <w:r w:rsidR="007B1189">
        <w:t xml:space="preserve"> uvedeného fragmentu</w:t>
      </w:r>
      <w:r w:rsidR="008B70FB" w:rsidRPr="00E7605E">
        <w:t xml:space="preserve"> vyplývá, že povinností zůstavitele </w:t>
      </w:r>
      <w:r w:rsidR="00BF1B6E" w:rsidRPr="00E7605E">
        <w:t>bylo</w:t>
      </w:r>
      <w:r w:rsidR="008A343F">
        <w:t>, aby ve své závěti</w:t>
      </w:r>
      <w:r w:rsidR="008B70FB" w:rsidRPr="00E7605E">
        <w:t xml:space="preserve"> jmenoval nebo vydědil své děti. Pokud by tak </w:t>
      </w:r>
      <w:r w:rsidR="007B1189">
        <w:t xml:space="preserve">zůstavitel </w:t>
      </w:r>
      <w:r w:rsidR="008B70FB" w:rsidRPr="00E7605E">
        <w:t xml:space="preserve">neučinil, závěť by byla </w:t>
      </w:r>
      <w:r w:rsidR="00BF1B6E" w:rsidRPr="00E7605E">
        <w:t>prolomena</w:t>
      </w:r>
      <w:r w:rsidR="008B70FB" w:rsidRPr="00E7605E">
        <w:t xml:space="preserve">. </w:t>
      </w:r>
      <w:r w:rsidR="00DE3E6B" w:rsidRPr="00E7605E">
        <w:t xml:space="preserve">Gaius </w:t>
      </w:r>
      <w:r w:rsidR="00DE3E6B">
        <w:t>shodně vyvodil</w:t>
      </w:r>
      <w:r w:rsidR="00DE3E6B" w:rsidRPr="00E7605E">
        <w:t xml:space="preserve">, že v případě, když by zůstavitel opomenul v závěti syna, kterého má ve své moci, </w:t>
      </w:r>
      <w:r w:rsidR="00DE3E6B">
        <w:t>byla by závěť</w:t>
      </w:r>
      <w:r w:rsidR="00DE3E6B" w:rsidRPr="00E7605E">
        <w:t xml:space="preserve"> </w:t>
      </w:r>
      <w:r w:rsidR="00DE3E6B" w:rsidRPr="00851EE4">
        <w:t xml:space="preserve">neplatná. To, že se zůstavitelův syn těšil zvláštnímu postavení, můžeme dovozovat </w:t>
      </w:r>
      <w:r w:rsidRPr="00851EE4">
        <w:t>jak</w:t>
      </w:r>
      <w:r w:rsidR="00DE3E6B" w:rsidRPr="00851EE4">
        <w:t xml:space="preserve"> z druhé knihy Gaiových Institucí</w:t>
      </w:r>
      <w:r w:rsidRPr="00851EE4">
        <w:t>,</w:t>
      </w:r>
      <w:r w:rsidR="00DE3E6B" w:rsidRPr="00851EE4">
        <w:rPr>
          <w:rStyle w:val="Znakapoznpodarou"/>
          <w:i/>
        </w:rPr>
        <w:footnoteReference w:id="19"/>
      </w:r>
      <w:r w:rsidR="00DE3E6B" w:rsidRPr="00851EE4">
        <w:t xml:space="preserve"> </w:t>
      </w:r>
      <w:r w:rsidRPr="00851EE4">
        <w:t>tak i z Digest</w:t>
      </w:r>
      <w:r w:rsidRPr="00851EE4">
        <w:rPr>
          <w:vertAlign w:val="superscript"/>
        </w:rPr>
        <w:footnoteReference w:id="20"/>
      </w:r>
      <w:r w:rsidRPr="00851EE4">
        <w:t xml:space="preserve">. </w:t>
      </w:r>
      <w:r w:rsidR="00FD7F59" w:rsidRPr="00851EE4">
        <w:t xml:space="preserve">Již zde můžeme vidět počátek formování </w:t>
      </w:r>
      <w:r w:rsidR="00345D22" w:rsidRPr="00851EE4">
        <w:t xml:space="preserve">formálních </w:t>
      </w:r>
      <w:r w:rsidR="00FD7F59" w:rsidRPr="00851EE4">
        <w:t>pravidel, kterých se zůstavitel</w:t>
      </w:r>
      <w:r w:rsidR="00FD7F59">
        <w:t xml:space="preserve"> musel držet, aby po jeho smrti nedošlo ke zneplatnění jeho závěti. Další fragmenty nám poskytnou náhled na podrobnější zásady, které byly v římském právu spojené s pořizováním závěti.</w:t>
      </w:r>
    </w:p>
    <w:p w:rsidR="00900C25" w:rsidRPr="00E7605E" w:rsidRDefault="00900C25" w:rsidP="00774FD8">
      <w:pPr>
        <w:spacing w:line="360" w:lineRule="auto"/>
        <w:ind w:firstLine="708"/>
        <w:contextualSpacing/>
        <w:rPr>
          <w:i/>
        </w:rPr>
      </w:pPr>
    </w:p>
    <w:p w:rsidR="00774FD8" w:rsidRPr="00FD7F59" w:rsidRDefault="00774FD8" w:rsidP="00774FD8">
      <w:pPr>
        <w:spacing w:line="360" w:lineRule="auto"/>
        <w:ind w:firstLine="708"/>
        <w:contextualSpacing/>
        <w:rPr>
          <w:i/>
        </w:rPr>
      </w:pPr>
      <w:r w:rsidRPr="00FD7F59">
        <w:rPr>
          <w:i/>
        </w:rPr>
        <w:t>Fragment Dig. 28. 2. 17</w:t>
      </w:r>
    </w:p>
    <w:p w:rsidR="00774FD8" w:rsidRPr="00FD7F59" w:rsidRDefault="00774FD8" w:rsidP="00774FD8">
      <w:pPr>
        <w:spacing w:line="360" w:lineRule="auto"/>
        <w:ind w:firstLine="708"/>
        <w:contextualSpacing/>
        <w:rPr>
          <w:i/>
        </w:rPr>
      </w:pPr>
      <w:r w:rsidRPr="00FD7F59">
        <w:rPr>
          <w:i/>
        </w:rPr>
        <w:t>Florentinus libro decimo institutionum</w:t>
      </w:r>
    </w:p>
    <w:p w:rsidR="00774FD8" w:rsidRPr="00FD7F59" w:rsidRDefault="00774FD8" w:rsidP="00774FD8">
      <w:pPr>
        <w:spacing w:line="360" w:lineRule="auto"/>
        <w:ind w:firstLine="708"/>
        <w:contextualSpacing/>
        <w:rPr>
          <w:i/>
        </w:rPr>
      </w:pPr>
      <w:r w:rsidRPr="00FD7F59">
        <w:rPr>
          <w:i/>
        </w:rPr>
        <w:t>Filii etiam hoc modo exheredantur "filius exheres sit": "filius exheres erit".</w:t>
      </w:r>
      <w:r w:rsidRPr="00FD7F59">
        <w:rPr>
          <w:rStyle w:val="Znakapoznpodarou"/>
          <w:i/>
        </w:rPr>
        <w:footnoteReference w:id="21"/>
      </w:r>
    </w:p>
    <w:p w:rsidR="00E0657B" w:rsidRDefault="00E0657B" w:rsidP="00774FD8">
      <w:pPr>
        <w:spacing w:line="360" w:lineRule="auto"/>
        <w:ind w:firstLine="708"/>
        <w:contextualSpacing/>
      </w:pPr>
    </w:p>
    <w:p w:rsidR="00A77820" w:rsidRDefault="00A77820" w:rsidP="00774FD8">
      <w:pPr>
        <w:spacing w:line="360" w:lineRule="auto"/>
        <w:ind w:firstLine="708"/>
        <w:contextualSpacing/>
      </w:pPr>
    </w:p>
    <w:p w:rsidR="00774FD8" w:rsidRDefault="00774FD8" w:rsidP="00774FD8">
      <w:pPr>
        <w:spacing w:line="360" w:lineRule="auto"/>
        <w:ind w:firstLine="708"/>
        <w:contextualSpacing/>
        <w:rPr>
          <w:bCs/>
        </w:rPr>
      </w:pPr>
      <w:r w:rsidRPr="00FD7F59">
        <w:t xml:space="preserve">Florentinus se ve svém fragmentu zabýval způsobem vydědění syna jakožto potomka zůstavitele. Byl toho názoru, že by měla být použita následující slova: </w:t>
      </w:r>
      <w:r w:rsidRPr="00FD7F59">
        <w:rPr>
          <w:bCs/>
        </w:rPr>
        <w:t>„Nechť je můj syn vyděděn“. „Můj syn by mě</w:t>
      </w:r>
      <w:r w:rsidR="00C17B81">
        <w:rPr>
          <w:bCs/>
        </w:rPr>
        <w:t>l</w:t>
      </w:r>
      <w:r w:rsidRPr="00FD7F59">
        <w:rPr>
          <w:bCs/>
        </w:rPr>
        <w:t xml:space="preserve"> být vyděděný“.</w:t>
      </w:r>
    </w:p>
    <w:p w:rsidR="00E0657B" w:rsidRPr="00E0657B" w:rsidRDefault="00AA0368" w:rsidP="00E0657B">
      <w:pPr>
        <w:spacing w:line="360" w:lineRule="auto"/>
        <w:ind w:firstLine="708"/>
        <w:contextualSpacing/>
      </w:pPr>
      <w:r w:rsidRPr="00AA0368">
        <w:t>Právník Ulpianus se zabýval otázkou, jakou formou by mělo být vydědění stanoveno, zda je nutné zmínit jméno, titul či příjmení, nebo zda postačí pouze jedno z toho. Dospěl k závěru, že potomek bude platně vyděděn, pokud bude určen jednou z výše uvedených možností.</w:t>
      </w:r>
      <w:r w:rsidRPr="00AA0368">
        <w:rPr>
          <w:vertAlign w:val="superscript"/>
        </w:rPr>
        <w:footnoteReference w:id="22"/>
      </w:r>
    </w:p>
    <w:p w:rsidR="00A77820" w:rsidRDefault="00A77820" w:rsidP="00EF05F9">
      <w:pPr>
        <w:spacing w:line="360" w:lineRule="auto"/>
        <w:ind w:firstLine="708"/>
        <w:contextualSpacing/>
        <w:rPr>
          <w:i/>
        </w:rPr>
      </w:pPr>
    </w:p>
    <w:p w:rsidR="00C57344" w:rsidRPr="00E7605E" w:rsidRDefault="003350E6" w:rsidP="00EF05F9">
      <w:pPr>
        <w:spacing w:line="360" w:lineRule="auto"/>
        <w:ind w:firstLine="708"/>
        <w:contextualSpacing/>
        <w:rPr>
          <w:i/>
        </w:rPr>
      </w:pPr>
      <w:r w:rsidRPr="00E7605E">
        <w:rPr>
          <w:i/>
        </w:rPr>
        <w:t>Fragment Dig. 28. 2. 2.</w:t>
      </w:r>
    </w:p>
    <w:p w:rsidR="003350E6" w:rsidRPr="00E7605E" w:rsidRDefault="003350E6" w:rsidP="003350E6">
      <w:pPr>
        <w:spacing w:line="360" w:lineRule="auto"/>
        <w:ind w:firstLine="708"/>
        <w:contextualSpacing/>
        <w:rPr>
          <w:i/>
        </w:rPr>
      </w:pPr>
      <w:r w:rsidRPr="00E7605E">
        <w:rPr>
          <w:i/>
        </w:rPr>
        <w:t>Ulpianus libro sexto regularum</w:t>
      </w:r>
    </w:p>
    <w:p w:rsidR="003350E6" w:rsidRDefault="003350E6" w:rsidP="003350E6">
      <w:pPr>
        <w:spacing w:line="360" w:lineRule="auto"/>
        <w:ind w:firstLine="708"/>
        <w:contextualSpacing/>
        <w:rPr>
          <w:i/>
        </w:rPr>
      </w:pPr>
      <w:r w:rsidRPr="00E7605E">
        <w:rPr>
          <w:i/>
        </w:rPr>
        <w:t>Nominatim exheredatus filius et ita videtur "filius meus exheres esto", si nec nomen eius expressum sit, si modo unicus sit: nam si plures sunt filii, benigna interpretatione potius a plerisque respondetur nullum exheredatum esse.</w:t>
      </w:r>
      <w:r w:rsidRPr="00E7605E">
        <w:rPr>
          <w:rStyle w:val="Znakapoznpodarou"/>
          <w:i/>
        </w:rPr>
        <w:footnoteReference w:id="23"/>
      </w:r>
    </w:p>
    <w:p w:rsidR="00B01708" w:rsidRPr="00E7605E" w:rsidRDefault="00B01708" w:rsidP="003350E6">
      <w:pPr>
        <w:spacing w:line="360" w:lineRule="auto"/>
        <w:ind w:firstLine="708"/>
        <w:contextualSpacing/>
        <w:rPr>
          <w:i/>
        </w:rPr>
      </w:pPr>
    </w:p>
    <w:p w:rsidR="003350E6" w:rsidRPr="00E7605E" w:rsidRDefault="00AA0368" w:rsidP="00C458DB">
      <w:pPr>
        <w:spacing w:line="360" w:lineRule="auto"/>
        <w:ind w:firstLine="708"/>
        <w:contextualSpacing/>
      </w:pPr>
      <w:r>
        <w:t xml:space="preserve">V návaznosti na výše zmíněný názor Ulpiana lze zmínit i to, že se dále </w:t>
      </w:r>
      <w:r w:rsidR="00C458DB" w:rsidRPr="00E7605E">
        <w:t>zabýval</w:t>
      </w:r>
      <w:r w:rsidR="00774FD8" w:rsidRPr="00E7605E">
        <w:t xml:space="preserve"> otázkou, jakou roli hraje při vydě</w:t>
      </w:r>
      <w:r w:rsidR="00C458DB" w:rsidRPr="00E7605E">
        <w:t xml:space="preserve">dění závětí uvedení </w:t>
      </w:r>
      <w:r>
        <w:t xml:space="preserve">konkrétního </w:t>
      </w:r>
      <w:r w:rsidR="00C458DB" w:rsidRPr="00E7605E">
        <w:t>jména syna</w:t>
      </w:r>
      <w:r w:rsidR="00774FD8" w:rsidRPr="00E7605E">
        <w:t xml:space="preserve">. Je nepochybné, že v případě, kdy </w:t>
      </w:r>
      <w:r w:rsidR="00C458DB" w:rsidRPr="00E7605E">
        <w:t>měl</w:t>
      </w:r>
      <w:r w:rsidR="00774FD8" w:rsidRPr="00E7605E">
        <w:t xml:space="preserve"> zůstavitel pouze jednoho syna, </w:t>
      </w:r>
      <w:r w:rsidR="00710551" w:rsidRPr="00E7605E">
        <w:t>nemělo by mít</w:t>
      </w:r>
      <w:r w:rsidR="00C458DB" w:rsidRPr="00E7605E">
        <w:t xml:space="preserve"> nezmínění jeho jména</w:t>
      </w:r>
      <w:r w:rsidR="00710551" w:rsidRPr="00E7605E">
        <w:t xml:space="preserve"> </w:t>
      </w:r>
      <w:r w:rsidR="00C458DB" w:rsidRPr="00E7605E">
        <w:t>vliv na platnost vydědění. V případě, kdy</w:t>
      </w:r>
      <w:r w:rsidR="00FD7F59">
        <w:t>ž</w:t>
      </w:r>
      <w:r w:rsidR="00C458DB" w:rsidRPr="00E7605E">
        <w:t xml:space="preserve"> by však měl synů více</w:t>
      </w:r>
      <w:r w:rsidR="00FD7F59">
        <w:t>,</w:t>
      </w:r>
      <w:r w:rsidR="00C458DB" w:rsidRPr="00E7605E">
        <w:t xml:space="preserve"> a on </w:t>
      </w:r>
      <w:r w:rsidR="001B06DB" w:rsidRPr="00E7605E">
        <w:t>by</w:t>
      </w:r>
      <w:r w:rsidR="00C458DB" w:rsidRPr="00E7605E">
        <w:t xml:space="preserve"> jméno syna nezmínil, nemělo by takové vydědění žádné právní následky</w:t>
      </w:r>
      <w:r w:rsidR="001B06DB" w:rsidRPr="00E7605E">
        <w:t xml:space="preserve"> a nebyl by vyděděn žádný ze synů</w:t>
      </w:r>
      <w:r w:rsidR="00837703" w:rsidRPr="00E7605E">
        <w:t>. Závěť by poté byla neplatná, z důvodu opominutí dědice</w:t>
      </w:r>
      <w:r w:rsidR="00FD7F59">
        <w:t>, jak je uvedeno v Digestech</w:t>
      </w:r>
      <w:r w:rsidR="00837703" w:rsidRPr="00E7605E">
        <w:t>.</w:t>
      </w:r>
      <w:r w:rsidR="00837703" w:rsidRPr="00E7605E">
        <w:rPr>
          <w:rStyle w:val="Znakapoznpodarou"/>
        </w:rPr>
        <w:footnoteReference w:id="24"/>
      </w:r>
    </w:p>
    <w:p w:rsidR="00632DE5" w:rsidRPr="00E7605E" w:rsidRDefault="001B06DB" w:rsidP="001B06DB">
      <w:pPr>
        <w:spacing w:line="360" w:lineRule="auto"/>
        <w:ind w:firstLine="708"/>
        <w:contextualSpacing/>
      </w:pPr>
      <w:r w:rsidRPr="00E7605E">
        <w:t xml:space="preserve">Gaius ve </w:t>
      </w:r>
      <w:r w:rsidRPr="00851EE4">
        <w:t>svých Institucích shodně</w:t>
      </w:r>
      <w:r w:rsidRPr="00E7605E">
        <w:t xml:space="preserve"> uvádí pravidla ohledně jmenovitého vydědění syna</w:t>
      </w:r>
      <w:r w:rsidR="00211783">
        <w:t>,</w:t>
      </w:r>
      <w:r w:rsidRPr="00E7605E">
        <w:t xml:space="preserve"> a navíc </w:t>
      </w:r>
      <w:r w:rsidR="00FD7F59">
        <w:t>se zabývá otázkou osudu závěti</w:t>
      </w:r>
      <w:r w:rsidR="00E14B57" w:rsidRPr="00E7605E">
        <w:t>,</w:t>
      </w:r>
      <w:r w:rsidRPr="00E7605E">
        <w:t xml:space="preserve"> když by syn zemřel ještě za života zůstavitele. Sabiniáni prosazovali názor, že by se jednalo o neplatný testament. Tento závěr byl stěžejní oproti</w:t>
      </w:r>
      <w:r w:rsidR="00632DE5" w:rsidRPr="00E7605E">
        <w:t xml:space="preserve"> závěrům školy Prekuliánů</w:t>
      </w:r>
      <w:r w:rsidR="00753F61" w:rsidRPr="00E7605E">
        <w:rPr>
          <w:rStyle w:val="Znakapoznpodarou"/>
        </w:rPr>
        <w:footnoteReference w:id="25"/>
      </w:r>
      <w:r w:rsidR="00632DE5" w:rsidRPr="00E7605E">
        <w:t xml:space="preserve">, kteří zastávali názor, že v případě smrti syna ještě za života zůstavitele, nestává se syn nesprávně vyděděný překážkou pro nástup ostatních dědiců, jelikož již prakticky nebrání ve výkonu testamentu. </w:t>
      </w:r>
    </w:p>
    <w:p w:rsidR="00FD7F59" w:rsidRDefault="00E14B57" w:rsidP="00EF05F9">
      <w:pPr>
        <w:spacing w:line="360" w:lineRule="auto"/>
        <w:ind w:firstLine="708"/>
        <w:contextualSpacing/>
      </w:pPr>
      <w:r w:rsidRPr="00E7605E">
        <w:t xml:space="preserve">Paulus řešil ve svém fragmentu </w:t>
      </w:r>
      <w:r w:rsidR="00345D22">
        <w:t>platnost závěti,</w:t>
      </w:r>
      <w:r w:rsidRPr="00E7605E">
        <w:t xml:space="preserve"> která sice byla sepsána, syn v ní byl opomenut</w:t>
      </w:r>
      <w:r w:rsidR="00211783">
        <w:t>,</w:t>
      </w:r>
      <w:r w:rsidRPr="00E7605E">
        <w:t xml:space="preserve"> a</w:t>
      </w:r>
      <w:r w:rsidR="00211783">
        <w:t>le</w:t>
      </w:r>
      <w:r w:rsidRPr="00E7605E">
        <w:t xml:space="preserve"> zemřel ještě za života zůstavitele. Paulus dospěl k závěru, že taková závěť by nebyla platná a v případě, když by existovala závěť </w:t>
      </w:r>
      <w:r w:rsidR="00D6558A">
        <w:t>dříve</w:t>
      </w:r>
      <w:r w:rsidRPr="00E7605E">
        <w:t xml:space="preserve"> </w:t>
      </w:r>
      <w:r w:rsidR="00D6558A">
        <w:t>sepsaná, tak by</w:t>
      </w:r>
      <w:r w:rsidR="003E41AC">
        <w:t xml:space="preserve"> touto novější závětí</w:t>
      </w:r>
      <w:r w:rsidR="00D6558A">
        <w:t xml:space="preserve"> </w:t>
      </w:r>
      <w:r w:rsidR="00D6558A">
        <w:lastRenderedPageBreak/>
        <w:t>nebyla</w:t>
      </w:r>
      <w:r w:rsidRPr="00E7605E">
        <w:t xml:space="preserve"> zrušena.</w:t>
      </w:r>
      <w:r w:rsidRPr="00E7605E">
        <w:rPr>
          <w:rStyle w:val="Znakapoznpodarou"/>
        </w:rPr>
        <w:footnoteReference w:id="26"/>
      </w:r>
      <w:r w:rsidR="00D6558A">
        <w:t xml:space="preserve"> K tomuto názoru se lze při</w:t>
      </w:r>
      <w:r w:rsidRPr="00E7605E">
        <w:t>klonit, jelikož i přesto, že by daný s</w:t>
      </w:r>
      <w:r w:rsidR="003E41AC">
        <w:t>yn již nemohl ze závěti nijak</w:t>
      </w:r>
      <w:r w:rsidRPr="00E7605E">
        <w:t xml:space="preserve"> profitovat a nemohl by tedy ani napadnout platnost takové závěti, závěť by nesplňovala formální požadavky, které na </w:t>
      </w:r>
      <w:r w:rsidR="003E41AC">
        <w:t xml:space="preserve">ní </w:t>
      </w:r>
      <w:r w:rsidR="00FD7F59">
        <w:t>byly</w:t>
      </w:r>
      <w:r w:rsidRPr="00E7605E">
        <w:t xml:space="preserve"> kladeny</w:t>
      </w:r>
      <w:r w:rsidR="003E41AC">
        <w:t>,</w:t>
      </w:r>
      <w:r w:rsidRPr="00E7605E">
        <w:t xml:space="preserve"> a mezi které </w:t>
      </w:r>
      <w:r w:rsidR="00FD7F59">
        <w:t>patřilo</w:t>
      </w:r>
      <w:r w:rsidRPr="00E7605E">
        <w:t xml:space="preserve"> i vydědění nebo jmenování dědice.</w:t>
      </w:r>
      <w:r w:rsidR="007032D6" w:rsidRPr="00E7605E">
        <w:t xml:space="preserve"> </w:t>
      </w:r>
    </w:p>
    <w:p w:rsidR="004D644A" w:rsidRDefault="007032D6" w:rsidP="00EF05F9">
      <w:pPr>
        <w:spacing w:line="360" w:lineRule="auto"/>
        <w:ind w:firstLine="708"/>
        <w:contextualSpacing/>
      </w:pPr>
      <w:r w:rsidRPr="00E7605E">
        <w:t>Tento závěr podtrhuje též další z fragmentů, ve kterém stojí, že za neplatnou závěť, jinými slovy za závěť, která není v souladu se zákonem, považujeme takovou, která nesplňuje formální náležitosti.</w:t>
      </w:r>
      <w:r w:rsidRPr="00E7605E">
        <w:rPr>
          <w:rStyle w:val="Znakapoznpodarou"/>
        </w:rPr>
        <w:footnoteReference w:id="27"/>
      </w:r>
    </w:p>
    <w:p w:rsidR="004D644A" w:rsidRPr="00E7605E" w:rsidRDefault="00FD7F59" w:rsidP="00EF05F9">
      <w:pPr>
        <w:spacing w:line="360" w:lineRule="auto"/>
        <w:ind w:firstLine="708"/>
        <w:contextualSpacing/>
      </w:pPr>
      <w:r w:rsidRPr="00FD7F59">
        <w:t xml:space="preserve">Důvody vydědění mohly být dle dobových pramenů různé. Dle Ulpiana mohl zůstavitel vydědit svého potomka z důvodu hanby nebo kvůli způsobení újmy zůstaviteli potomkem. Na druhou stranu mohl zůstavitel přistoupit k vydědění též z důvodu ochrany </w:t>
      </w:r>
      <w:r w:rsidR="00345D22">
        <w:t>jmění</w:t>
      </w:r>
      <w:r w:rsidRPr="00FD7F59">
        <w:t xml:space="preserve"> svých </w:t>
      </w:r>
      <w:r w:rsidR="007A6658">
        <w:t>dětí</w:t>
      </w:r>
      <w:r w:rsidRPr="00FD7F59">
        <w:t>.</w:t>
      </w:r>
      <w:r w:rsidRPr="00FD7F59">
        <w:rPr>
          <w:vertAlign w:val="superscript"/>
        </w:rPr>
        <w:footnoteReference w:id="28"/>
      </w:r>
      <w:r w:rsidRPr="00FD7F59">
        <w:t xml:space="preserve"> Nabízí se myšlenka předluženého dědictví, a s ohledem na univerzální sukcesi, kdy dědic nabývá jak aktiva, tak i pasiva, by tak mohl zůstavitel</w:t>
      </w:r>
      <w:r w:rsidR="00211783">
        <w:t xml:space="preserve"> vyděděním</w:t>
      </w:r>
      <w:r w:rsidRPr="00FD7F59">
        <w:t xml:space="preserve"> předejít zkrácení majetku dědice kvůli vlastním dluhům.</w:t>
      </w:r>
    </w:p>
    <w:p w:rsidR="00857EDC" w:rsidRPr="00E7605E" w:rsidRDefault="00AA0368" w:rsidP="00E0546B">
      <w:pPr>
        <w:spacing w:line="360" w:lineRule="auto"/>
        <w:ind w:firstLine="708"/>
        <w:contextualSpacing/>
      </w:pPr>
      <w:r>
        <w:t>Odlišný</w:t>
      </w:r>
      <w:r w:rsidR="00443209">
        <w:t xml:space="preserve"> přístup </w:t>
      </w:r>
      <w:r w:rsidR="00345D22">
        <w:t>ve</w:t>
      </w:r>
      <w:r>
        <w:t xml:space="preserve"> jmenování a vydědění závětí </w:t>
      </w:r>
      <w:r w:rsidR="00443209">
        <w:t xml:space="preserve">můžeme shledávat </w:t>
      </w:r>
      <w:r w:rsidR="008A7750" w:rsidRPr="00E7605E">
        <w:t>vůči všem ostatním potomkům,</w:t>
      </w:r>
      <w:r w:rsidR="00625840" w:rsidRPr="00E7605E">
        <w:t xml:space="preserve"> </w:t>
      </w:r>
      <w:r>
        <w:t>konkrétně</w:t>
      </w:r>
      <w:r w:rsidR="00625840" w:rsidRPr="00E7605E">
        <w:t xml:space="preserve"> vůči dcerám, </w:t>
      </w:r>
      <w:r w:rsidR="00DB262C" w:rsidRPr="00E7605E">
        <w:t>vnukům</w:t>
      </w:r>
      <w:r w:rsidR="00625840" w:rsidRPr="00E7605E">
        <w:t xml:space="preserve"> a dalším</w:t>
      </w:r>
      <w:r w:rsidR="00DB262C" w:rsidRPr="00E7605E">
        <w:t>,</w:t>
      </w:r>
      <w:r w:rsidR="008A7750" w:rsidRPr="00E7605E">
        <w:t xml:space="preserve"> bez ohledu na </w:t>
      </w:r>
      <w:r w:rsidR="00DB262C" w:rsidRPr="00E7605E">
        <w:t xml:space="preserve">jejich </w:t>
      </w:r>
      <w:r w:rsidR="008A7750" w:rsidRPr="00E7605E">
        <w:t xml:space="preserve">pohlaví. </w:t>
      </w:r>
      <w:r w:rsidR="00163E69" w:rsidRPr="00E7605E">
        <w:t>Ty</w:t>
      </w:r>
      <w:r w:rsidR="007A6658">
        <w:t xml:space="preserve"> bylo možné</w:t>
      </w:r>
      <w:r w:rsidR="008A7750" w:rsidRPr="00E7605E">
        <w:t xml:space="preserve"> vydědit</w:t>
      </w:r>
      <w:r w:rsidR="00F2232E" w:rsidRPr="00E7605E">
        <w:t xml:space="preserve"> všeobecným prohlášením</w:t>
      </w:r>
      <w:r w:rsidR="008A7750" w:rsidRPr="00E7605E">
        <w:t>, aniž by je bylo třeba jmenovat.</w:t>
      </w:r>
      <w:r w:rsidR="00DB262C" w:rsidRPr="00E7605E">
        <w:t xml:space="preserve"> V případě, kdy byly tyto osoby zůstavitelem opomenuty, nedocházelo k neplatnosti testamentu, ale</w:t>
      </w:r>
      <w:r w:rsidR="00F2232E" w:rsidRPr="00E7605E">
        <w:t xml:space="preserve"> tyto osoby dědily vedle dědiců v závěti neopomenutých. Rozsah dědictví </w:t>
      </w:r>
      <w:r w:rsidR="00652BB3">
        <w:t xml:space="preserve">byl </w:t>
      </w:r>
      <w:r w:rsidR="00E0546B">
        <w:t>pro dědice dle testamentu určen odlišně. Záleželo na tom, zda šlo o dědice vlastní</w:t>
      </w:r>
      <w:r w:rsidR="00857EDC" w:rsidRPr="00E7605E">
        <w:t xml:space="preserve"> (</w:t>
      </w:r>
      <w:r w:rsidR="00857EDC" w:rsidRPr="00443209">
        <w:rPr>
          <w:i/>
        </w:rPr>
        <w:t>sui heredes</w:t>
      </w:r>
      <w:r w:rsidR="00E0546B">
        <w:t>) nebo dědice</w:t>
      </w:r>
      <w:r w:rsidR="00F2232E" w:rsidRPr="00E7605E">
        <w:t xml:space="preserve"> cizí (</w:t>
      </w:r>
      <w:r w:rsidR="00F2232E" w:rsidRPr="00443209">
        <w:rPr>
          <w:i/>
        </w:rPr>
        <w:t>heredes extran</w:t>
      </w:r>
      <w:r w:rsidR="00857EDC" w:rsidRPr="00443209">
        <w:rPr>
          <w:i/>
        </w:rPr>
        <w:t>ei</w:t>
      </w:r>
      <w:r w:rsidR="00857EDC" w:rsidRPr="00E7605E">
        <w:t xml:space="preserve">). </w:t>
      </w:r>
      <w:r w:rsidR="00E0546B">
        <w:t>Dědici</w:t>
      </w:r>
      <w:r w:rsidR="00857EDC" w:rsidRPr="00E7605E">
        <w:t xml:space="preserve"> vlastní přirůstali k ostatním dědicům a v případě, k</w:t>
      </w:r>
      <w:r w:rsidR="00BE64A4" w:rsidRPr="00E7605E">
        <w:t>dy měli dědit dva synové a opome</w:t>
      </w:r>
      <w:r w:rsidR="00857EDC" w:rsidRPr="00E7605E">
        <w:t xml:space="preserve">nutá dcera, tak dcera měla nárok na třetinu dědictví. Pokud měli dle testamentu dědit </w:t>
      </w:r>
      <w:r w:rsidR="00E0546B">
        <w:t>dědici</w:t>
      </w:r>
      <w:r w:rsidR="00857EDC" w:rsidRPr="00E7605E">
        <w:t xml:space="preserve"> ciz</w:t>
      </w:r>
      <w:r w:rsidR="00BB7E9B" w:rsidRPr="00E7605E">
        <w:t>í a dcera zůstavitele byla opome</w:t>
      </w:r>
      <w:r w:rsidR="00857EDC" w:rsidRPr="00E7605E">
        <w:t>nuta, měla vedle dědiců cizích právo na polovinu pozůstalosti.</w:t>
      </w:r>
      <w:r w:rsidR="009D0007" w:rsidRPr="00E7605E">
        <w:rPr>
          <w:rStyle w:val="Znakapoznpodarou"/>
        </w:rPr>
        <w:footnoteReference w:id="29"/>
      </w:r>
    </w:p>
    <w:p w:rsidR="005573DA" w:rsidRPr="00E7605E" w:rsidRDefault="00857EDC" w:rsidP="00857EDC">
      <w:pPr>
        <w:spacing w:line="360" w:lineRule="auto"/>
        <w:ind w:firstLine="708"/>
        <w:contextualSpacing/>
      </w:pPr>
      <w:r w:rsidRPr="00E7605E">
        <w:t>Za zmínění stojí rovněž i postavení potomka v době smrti zůstavitele nena</w:t>
      </w:r>
      <w:r w:rsidR="00187B49" w:rsidRPr="00E7605E">
        <w:t>rozeného, tzv. pohrobka (</w:t>
      </w:r>
      <w:r w:rsidR="00187B49" w:rsidRPr="00443209">
        <w:rPr>
          <w:i/>
        </w:rPr>
        <w:t>postumi sui</w:t>
      </w:r>
      <w:r w:rsidRPr="00443209">
        <w:rPr>
          <w:i/>
        </w:rPr>
        <w:t>).</w:t>
      </w:r>
      <w:r w:rsidR="00753F61" w:rsidRPr="00E7605E">
        <w:t xml:space="preserve"> </w:t>
      </w:r>
      <w:r w:rsidR="005573DA" w:rsidRPr="00E7605E">
        <w:t>Pohrobka mohl v závěti ustanovit za dědice nebo vydědit zůstavitel</w:t>
      </w:r>
      <w:r w:rsidR="00443209">
        <w:t>,</w:t>
      </w:r>
      <w:r w:rsidR="005573DA" w:rsidRPr="00E7605E">
        <w:t xml:space="preserve"> který byl svobodný, i který byl v manželském svazku. Jakmile tak v závěti učinil zůstavitel, který byl ženatý, platilo toto jmenování nebo vydědění jak na dítě, které měl se současnou manželkou, tak i na děti s jakoukoli jinou ženou.</w:t>
      </w:r>
      <w:r w:rsidR="005573DA" w:rsidRPr="00E7605E">
        <w:rPr>
          <w:rStyle w:val="Znakapoznpodarou"/>
        </w:rPr>
        <w:footnoteReference w:id="30"/>
      </w:r>
      <w:r w:rsidR="0026610C" w:rsidRPr="00E7605E">
        <w:t xml:space="preserve"> Obdobně vyplývá z dalšího </w:t>
      </w:r>
      <w:r w:rsidR="0026610C" w:rsidRPr="00E7605E">
        <w:lastRenderedPageBreak/>
        <w:t>fragmentu, že v případě, kdy se zůstavitel ožení po sepsání závěti, ve které jmenoval pohrobka, tak se pohrobkem jmenovaným za dědice stane ten, který vzejde z následujícího manželství po sepsání závěti.</w:t>
      </w:r>
      <w:r w:rsidR="0026610C" w:rsidRPr="00E7605E">
        <w:rPr>
          <w:rStyle w:val="Znakapoznpodarou"/>
        </w:rPr>
        <w:footnoteReference w:id="31"/>
      </w:r>
    </w:p>
    <w:p w:rsidR="0010372D" w:rsidRPr="00E7605E" w:rsidRDefault="0010372D" w:rsidP="00857EDC">
      <w:pPr>
        <w:spacing w:line="360" w:lineRule="auto"/>
        <w:ind w:firstLine="708"/>
        <w:contextualSpacing/>
      </w:pPr>
      <w:r w:rsidRPr="00E7605E">
        <w:t xml:space="preserve">Ulpianus se v </w:t>
      </w:r>
      <w:r w:rsidR="007F688A" w:rsidRPr="00E7605E">
        <w:t>jiném</w:t>
      </w:r>
      <w:r w:rsidR="007A6658">
        <w:t xml:space="preserve"> fragmentu zabýval</w:t>
      </w:r>
      <w:r w:rsidRPr="00E7605E">
        <w:t xml:space="preserve"> otázkou, zda se povinnost vydědit nebo jmenovat svého dědice vztahuje též na z</w:t>
      </w:r>
      <w:r w:rsidR="007F688A" w:rsidRPr="00E7605E">
        <w:t xml:space="preserve">ůstavitele, který je impotentní a nemůže tak mít vlastní </w:t>
      </w:r>
      <w:r w:rsidR="000A429F">
        <w:t>potomky</w:t>
      </w:r>
      <w:r w:rsidR="007F688A" w:rsidRPr="00E7605E">
        <w:t>. K této otázce se vyjádřili i jiní klasičtí právníci s tím, že impotence není překážkou pro sepsání závěti obsahující vydědění, jelikož takový zůstavitel sice nemůže mít vlastní děti, ale může se oženit a děti adoptovat.</w:t>
      </w:r>
      <w:r w:rsidR="007F688A" w:rsidRPr="00E7605E">
        <w:rPr>
          <w:rStyle w:val="Znakapoznpodarou"/>
        </w:rPr>
        <w:footnoteReference w:id="32"/>
      </w:r>
      <w:r w:rsidR="007F688A" w:rsidRPr="00E7605E">
        <w:t xml:space="preserve"> </w:t>
      </w:r>
      <w:r w:rsidRPr="00E7605E">
        <w:t xml:space="preserve"> </w:t>
      </w:r>
    </w:p>
    <w:p w:rsidR="00345D22" w:rsidRDefault="00AE52C4" w:rsidP="00857EDC">
      <w:pPr>
        <w:spacing w:line="360" w:lineRule="auto"/>
        <w:ind w:firstLine="708"/>
        <w:contextualSpacing/>
      </w:pPr>
      <w:r w:rsidRPr="00E7605E">
        <w:t xml:space="preserve">Pokud zůstavitel </w:t>
      </w:r>
      <w:r w:rsidR="00AE4050" w:rsidRPr="00E7605E">
        <w:t>opomenul</w:t>
      </w:r>
      <w:r w:rsidRPr="00E7605E">
        <w:t xml:space="preserve"> v</w:t>
      </w:r>
      <w:r w:rsidR="0030006D" w:rsidRPr="00E7605E">
        <w:t xml:space="preserve"> testamentu zmínit takového potomka, ať již </w:t>
      </w:r>
      <w:r w:rsidR="00AE4050" w:rsidRPr="00E7605E">
        <w:t>šlo</w:t>
      </w:r>
      <w:r w:rsidR="0030006D" w:rsidRPr="00E7605E">
        <w:t xml:space="preserve"> o nenarozeného syna nebo některého z tzv. ostatních potomků, tak taková závěť </w:t>
      </w:r>
      <w:r w:rsidR="00AE4050" w:rsidRPr="00E7605E">
        <w:t>byla</w:t>
      </w:r>
      <w:r w:rsidR="0030006D" w:rsidRPr="00E7605E">
        <w:t xml:space="preserve"> zpočátku platná. Po narození pohrobka však </w:t>
      </w:r>
      <w:r w:rsidR="00AE4050" w:rsidRPr="00E7605E">
        <w:t>docházelo</w:t>
      </w:r>
      <w:r w:rsidR="0030006D" w:rsidRPr="00E7605E">
        <w:t xml:space="preserve"> z důvodu vzniku agnátského příbuzenství vůči zůstaviteli</w:t>
      </w:r>
      <w:r w:rsidR="002761F1" w:rsidRPr="00E7605E">
        <w:t xml:space="preserve"> ke zneplatnění testamentu.</w:t>
      </w:r>
      <w:r w:rsidR="00451C50" w:rsidRPr="00E7605E">
        <w:rPr>
          <w:rStyle w:val="Znakapoznpodarou"/>
        </w:rPr>
        <w:footnoteReference w:id="33"/>
      </w:r>
      <w:r w:rsidR="00AE4050" w:rsidRPr="00E7605E">
        <w:t xml:space="preserve"> </w:t>
      </w:r>
    </w:p>
    <w:p w:rsidR="00FA03ED" w:rsidRPr="00E7605E" w:rsidRDefault="00D676E4" w:rsidP="00857EDC">
      <w:pPr>
        <w:spacing w:line="360" w:lineRule="auto"/>
        <w:ind w:firstLine="708"/>
        <w:contextualSpacing/>
      </w:pPr>
      <w:r w:rsidRPr="00E7605E">
        <w:t>Stejně</w:t>
      </w:r>
      <w:r w:rsidR="00B51739" w:rsidRPr="00E7605E">
        <w:t>,</w:t>
      </w:r>
      <w:r w:rsidR="007A6658">
        <w:t xml:space="preserve"> jak bylo možné</w:t>
      </w:r>
      <w:r w:rsidRPr="00E7605E">
        <w:t xml:space="preserve"> pohrobka zahrnout do testamentu, tak bylo možné ho i vydědit.</w:t>
      </w:r>
      <w:r w:rsidR="00451C50" w:rsidRPr="00E7605E">
        <w:rPr>
          <w:rStyle w:val="Znakapoznpodarou"/>
        </w:rPr>
        <w:footnoteReference w:id="34"/>
      </w:r>
      <w:r w:rsidRPr="00E7605E">
        <w:t xml:space="preserve"> Tímto </w:t>
      </w:r>
      <w:r w:rsidR="00B51739" w:rsidRPr="00E7605E">
        <w:t>mohl</w:t>
      </w:r>
      <w:r w:rsidRPr="00E7605E">
        <w:t xml:space="preserve"> zůstavitel zabránit pozdějšímu zrušení testamentu z důvodu neplatnosti. </w:t>
      </w:r>
    </w:p>
    <w:p w:rsidR="00900C25" w:rsidRPr="00E7605E" w:rsidRDefault="00900C25" w:rsidP="00857EDC">
      <w:pPr>
        <w:spacing w:line="360" w:lineRule="auto"/>
        <w:ind w:firstLine="708"/>
        <w:contextualSpacing/>
        <w:rPr>
          <w:i/>
        </w:rPr>
      </w:pPr>
    </w:p>
    <w:p w:rsidR="00233261" w:rsidRPr="00E7605E" w:rsidRDefault="00233261" w:rsidP="00857EDC">
      <w:pPr>
        <w:spacing w:line="360" w:lineRule="auto"/>
        <w:ind w:firstLine="708"/>
        <w:contextualSpacing/>
        <w:rPr>
          <w:i/>
        </w:rPr>
      </w:pPr>
      <w:r w:rsidRPr="00E7605E">
        <w:rPr>
          <w:i/>
        </w:rPr>
        <w:t>Fragment Dig. 28. 3. 3.</w:t>
      </w:r>
    </w:p>
    <w:p w:rsidR="00233261" w:rsidRPr="00E7605E" w:rsidRDefault="00233261" w:rsidP="00233261">
      <w:pPr>
        <w:spacing w:line="360" w:lineRule="auto"/>
        <w:ind w:firstLine="708"/>
        <w:contextualSpacing/>
        <w:rPr>
          <w:i/>
        </w:rPr>
      </w:pPr>
      <w:r w:rsidRPr="00E7605E">
        <w:rPr>
          <w:i/>
        </w:rPr>
        <w:t>Ulpianus libro tertio ad Sabinum</w:t>
      </w:r>
    </w:p>
    <w:p w:rsidR="00233261" w:rsidRDefault="00233261" w:rsidP="00857EDC">
      <w:pPr>
        <w:spacing w:line="360" w:lineRule="auto"/>
        <w:ind w:firstLine="708"/>
        <w:contextualSpacing/>
        <w:rPr>
          <w:vertAlign w:val="superscript"/>
        </w:rPr>
      </w:pPr>
      <w:r w:rsidRPr="00E7605E">
        <w:rPr>
          <w:i/>
        </w:rPr>
        <w:t>pr. Postumi per virilem sexum descendentes ad similitudinem filiorum nominatim exheredandi sunt, ne testamentum adgnascendo rumpant.</w:t>
      </w:r>
      <w:r w:rsidRPr="00E7605E">
        <w:rPr>
          <w:vertAlign w:val="superscript"/>
        </w:rPr>
        <w:t xml:space="preserve"> </w:t>
      </w:r>
      <w:r w:rsidRPr="00E7605E">
        <w:rPr>
          <w:i/>
          <w:vertAlign w:val="superscript"/>
        </w:rPr>
        <w:footnoteReference w:id="35"/>
      </w:r>
    </w:p>
    <w:p w:rsidR="002C045A" w:rsidRPr="00E7605E" w:rsidRDefault="002C045A" w:rsidP="00857EDC">
      <w:pPr>
        <w:spacing w:line="360" w:lineRule="auto"/>
        <w:ind w:firstLine="708"/>
        <w:contextualSpacing/>
        <w:rPr>
          <w:i/>
        </w:rPr>
      </w:pPr>
    </w:p>
    <w:p w:rsidR="0082569A" w:rsidRPr="00E7605E" w:rsidRDefault="0003101E" w:rsidP="00857EDC">
      <w:pPr>
        <w:spacing w:line="360" w:lineRule="auto"/>
        <w:ind w:firstLine="708"/>
        <w:contextualSpacing/>
      </w:pPr>
      <w:r w:rsidRPr="00E7605E">
        <w:t>Jak vyplývá z výše uved</w:t>
      </w:r>
      <w:r w:rsidR="00233261" w:rsidRPr="00E7605E">
        <w:t>eného fragmentu, v</w:t>
      </w:r>
      <w:r w:rsidR="00D676E4" w:rsidRPr="00E7605E">
        <w:t>ydědění pohrobka</w:t>
      </w:r>
      <w:r w:rsidR="007C554F" w:rsidRPr="00E7605E">
        <w:t xml:space="preserve"> z formálního hlediska</w:t>
      </w:r>
      <w:r w:rsidR="00D676E4" w:rsidRPr="00E7605E">
        <w:t xml:space="preserve"> bylo založeno na takřka stejném principu, jako vydědění dědiců již narozených. Pohrobka mužského pohlaví bylo nutno vydědit jmenovitě</w:t>
      </w:r>
      <w:r w:rsidR="002C045A">
        <w:t>,</w:t>
      </w:r>
      <w:r w:rsidR="00D676E4" w:rsidRPr="00E7605E">
        <w:t xml:space="preserve"> u</w:t>
      </w:r>
      <w:r w:rsidR="0030006D" w:rsidRPr="00E7605E">
        <w:t xml:space="preserve"> </w:t>
      </w:r>
      <w:r w:rsidR="00D676E4" w:rsidRPr="00E7605E">
        <w:t>pohrobků ženského pohlaví postačilo vydědění mezi ostatními</w:t>
      </w:r>
      <w:r w:rsidR="00B51739" w:rsidRPr="00E7605E">
        <w:t>, p</w:t>
      </w:r>
      <w:r w:rsidR="001842C3" w:rsidRPr="00E7605E">
        <w:t>řičemž bylo v případě žen pamatováno na zanechání odkazu.</w:t>
      </w:r>
      <w:r w:rsidR="00857EDC" w:rsidRPr="00E7605E">
        <w:t xml:space="preserve"> </w:t>
      </w:r>
      <w:r w:rsidR="00681411" w:rsidRPr="00E7605E">
        <w:rPr>
          <w:rStyle w:val="Znakapoznpodarou"/>
        </w:rPr>
        <w:footnoteReference w:id="36"/>
      </w:r>
    </w:p>
    <w:p w:rsidR="00857EDC" w:rsidRPr="00E7605E" w:rsidRDefault="00857EDC" w:rsidP="00857EDC">
      <w:pPr>
        <w:spacing w:line="360" w:lineRule="auto"/>
        <w:ind w:firstLine="708"/>
        <w:contextualSpacing/>
      </w:pPr>
      <w:r w:rsidRPr="00E7605E">
        <w:t xml:space="preserve"> </w:t>
      </w:r>
      <w:r w:rsidR="00B719A7" w:rsidRPr="00E7605E">
        <w:t>Právní věda v římském právu klasickém se zabývala rovněž postavením dalších osob zůstaviteli blízkých. Za zmínění stojí práva osob, která vstoupila na místo vlastních dědiců, práva osob emancipovaných a adoptovaných</w:t>
      </w:r>
      <w:r w:rsidR="00211783">
        <w:t>,</w:t>
      </w:r>
      <w:r w:rsidR="00B719A7" w:rsidRPr="00E7605E">
        <w:t xml:space="preserve"> a rovněž osob, u kterých otec dvakrát provedenou mancipací zrušil testament. </w:t>
      </w:r>
    </w:p>
    <w:p w:rsidR="0058221C" w:rsidRPr="00E7605E" w:rsidRDefault="00132B91" w:rsidP="00857EDC">
      <w:pPr>
        <w:spacing w:line="360" w:lineRule="auto"/>
        <w:ind w:firstLine="708"/>
        <w:contextualSpacing/>
      </w:pPr>
      <w:r>
        <w:lastRenderedPageBreak/>
        <w:t>V případě osob, které nastoupily</w:t>
      </w:r>
      <w:r w:rsidR="00AF57EE" w:rsidRPr="00E7605E">
        <w:t xml:space="preserve"> n</w:t>
      </w:r>
      <w:r>
        <w:t>a místo dědiců vlastních a staly</w:t>
      </w:r>
      <w:r w:rsidR="00AF57EE" w:rsidRPr="00E7605E">
        <w:t xml:space="preserve"> se tak víceméně vlastními dědici svých předků, shledáváme, že jejich postavení v dědickém právu</w:t>
      </w:r>
      <w:r>
        <w:t xml:space="preserve"> </w:t>
      </w:r>
      <w:r w:rsidRPr="00E7605E">
        <w:t>bylo</w:t>
      </w:r>
      <w:r w:rsidR="00AF57EE" w:rsidRPr="00E7605E">
        <w:t xml:space="preserve"> takřka stejné jako v případě pohrobků. </w:t>
      </w:r>
      <w:r w:rsidR="00B31FD3" w:rsidRPr="00E7605E">
        <w:t>Jedná se o situaci</w:t>
      </w:r>
      <w:r w:rsidR="00236FF2" w:rsidRPr="00E7605E">
        <w:t>,</w:t>
      </w:r>
      <w:r w:rsidR="00B31FD3" w:rsidRPr="00E7605E">
        <w:t xml:space="preserve"> kdy zemřel syn zůstavitele, kterého měl zůstavitel ve své moci, a na jeho místo </w:t>
      </w:r>
      <w:r w:rsidR="00236FF2" w:rsidRPr="00E7605E">
        <w:t>nastoupil</w:t>
      </w:r>
      <w:r w:rsidR="00B31FD3" w:rsidRPr="00E7605E">
        <w:t>y</w:t>
      </w:r>
      <w:r w:rsidR="00236FF2" w:rsidRPr="00E7605E">
        <w:t xml:space="preserve"> v</w:t>
      </w:r>
      <w:r w:rsidR="00390C7D" w:rsidRPr="00E7605E">
        <w:t xml:space="preserve"> dědění </w:t>
      </w:r>
      <w:r w:rsidR="00236FF2" w:rsidRPr="00E7605E">
        <w:t>jeho děti (vnuk či vnučka zůstavitele)</w:t>
      </w:r>
      <w:r w:rsidR="008D62A8" w:rsidRPr="00E7605E">
        <w:t xml:space="preserve"> jako </w:t>
      </w:r>
      <w:r w:rsidR="00E0546B">
        <w:t>dědici</w:t>
      </w:r>
      <w:r w:rsidR="008D62A8" w:rsidRPr="00E7605E">
        <w:t xml:space="preserve"> vlastní</w:t>
      </w:r>
      <w:r w:rsidR="00236FF2" w:rsidRPr="00E7605E">
        <w:t>.</w:t>
      </w:r>
      <w:r w:rsidR="008D62A8" w:rsidRPr="00E7605E">
        <w:t xml:space="preserve"> Pokud zůstavitel za</w:t>
      </w:r>
      <w:r w:rsidR="00B31FD3" w:rsidRPr="00E7605E">
        <w:t xml:space="preserve">nechal testament, </w:t>
      </w:r>
      <w:r w:rsidR="008D62A8" w:rsidRPr="00E7605E">
        <w:t>ve kterém ustanovil syna dědicem</w:t>
      </w:r>
      <w:r>
        <w:t xml:space="preserve"> ne</w:t>
      </w:r>
      <w:r w:rsidR="00932BC6" w:rsidRPr="00E7605E">
        <w:t>bo ho vydědil,</w:t>
      </w:r>
      <w:r w:rsidR="008D62A8" w:rsidRPr="00E7605E">
        <w:t xml:space="preserve"> </w:t>
      </w:r>
      <w:r w:rsidR="00E0546B">
        <w:t>a</w:t>
      </w:r>
      <w:r w:rsidR="00BF508A" w:rsidRPr="00E7605E">
        <w:t xml:space="preserve"> pokud nechtěl, aby v případě smrti </w:t>
      </w:r>
      <w:r w:rsidR="00B31FD3" w:rsidRPr="00E7605E">
        <w:t xml:space="preserve">syna a po nástupu „nových vlastních dědiců“ byl jeho testament zrušen pro nedostatek formy, </w:t>
      </w:r>
      <w:r>
        <w:t xml:space="preserve">musel ustanovit za dědice nebo vydědit rovněž </w:t>
      </w:r>
      <w:r w:rsidR="00BC3B32">
        <w:t>děti</w:t>
      </w:r>
      <w:r w:rsidR="00B31FD3" w:rsidRPr="00E7605E">
        <w:t xml:space="preserve"> </w:t>
      </w:r>
      <w:r w:rsidR="00BC3B32">
        <w:t>svého syna</w:t>
      </w:r>
      <w:r w:rsidR="00B31FD3" w:rsidRPr="00E7605E">
        <w:t>.</w:t>
      </w:r>
      <w:r w:rsidR="00403E43" w:rsidRPr="00E7605E">
        <w:rPr>
          <w:rStyle w:val="Znakapoznpodarou"/>
        </w:rPr>
        <w:footnoteReference w:id="37"/>
      </w:r>
      <w:r w:rsidR="00B31FD3" w:rsidRPr="00E7605E">
        <w:t xml:space="preserve"> </w:t>
      </w:r>
      <w:r w:rsidR="00390C7D" w:rsidRPr="00E7605E">
        <w:t>Pro formu vydědění platily stejné podmínky jako u obecného vydědění.</w:t>
      </w:r>
      <w:r w:rsidR="00390C7D" w:rsidRPr="00E7605E">
        <w:rPr>
          <w:rStyle w:val="Znakapoznpodarou"/>
        </w:rPr>
        <w:footnoteReference w:id="38"/>
      </w:r>
    </w:p>
    <w:p w:rsidR="0056347C" w:rsidRPr="00E7605E" w:rsidRDefault="00320456" w:rsidP="008B62F2">
      <w:pPr>
        <w:spacing w:line="360" w:lineRule="auto"/>
        <w:ind w:firstLine="708"/>
        <w:contextualSpacing/>
      </w:pPr>
      <w:r w:rsidRPr="00E7605E">
        <w:t xml:space="preserve">Odlišný postoj měla právní věda k dědicům, </w:t>
      </w:r>
      <w:r w:rsidR="003B123E" w:rsidRPr="00E7605E">
        <w:t>kteří</w:t>
      </w:r>
      <w:r w:rsidRPr="00E7605E">
        <w:t xml:space="preserve"> měli dědit jako osoby propuštěné z moci otcovské, tj. emancipované.</w:t>
      </w:r>
      <w:r w:rsidRPr="00E7605E">
        <w:rPr>
          <w:rStyle w:val="Znakapoznpodarou"/>
        </w:rPr>
        <w:footnoteReference w:id="39"/>
      </w:r>
      <w:r w:rsidR="00B448A3" w:rsidRPr="00E7605E">
        <w:t xml:space="preserve"> Takové osoby již nebyly považovány za dědice vlastní a z toho důvodu pro ně neplatila pravidla o povinném ustanovení nebo vydědění dědice.</w:t>
      </w:r>
      <w:r w:rsidR="00403E43" w:rsidRPr="00E7605E">
        <w:rPr>
          <w:rStyle w:val="Znakapoznpodarou"/>
        </w:rPr>
        <w:footnoteReference w:id="40"/>
      </w:r>
      <w:r w:rsidR="00B448A3" w:rsidRPr="00E7605E">
        <w:t xml:space="preserve"> </w:t>
      </w:r>
    </w:p>
    <w:p w:rsidR="0056347C" w:rsidRPr="00E7605E" w:rsidRDefault="001444C7" w:rsidP="008B62F2">
      <w:pPr>
        <w:spacing w:line="360" w:lineRule="auto"/>
        <w:ind w:firstLine="708"/>
        <w:contextualSpacing/>
      </w:pPr>
      <w:r w:rsidRPr="00677919">
        <w:t>Na druhou stranu se e</w:t>
      </w:r>
      <w:r w:rsidR="0056347C" w:rsidRPr="00677919">
        <w:t xml:space="preserve">mancipací </w:t>
      </w:r>
      <w:r w:rsidRPr="00677919">
        <w:t xml:space="preserve">zabýval v jednom ze svých </w:t>
      </w:r>
      <w:r w:rsidR="0056347C" w:rsidRPr="00677919">
        <w:t>fragmentu Marcianus, který emancipovanému synovi přiznal právo napadnout závěť z důvodu opomenutí vydědění či jmenování svého bratra, jakožto řádného dědice v testamentu. Marcianus říká, ž</w:t>
      </w:r>
      <w:r w:rsidR="00BC3B32">
        <w:t>e k zákonnému nástupnictví bude oprávněný</w:t>
      </w:r>
      <w:r w:rsidR="0056347C" w:rsidRPr="00677919">
        <w:t xml:space="preserve"> jak opominutý řádný dědic, tak i emancipovaný syn.</w:t>
      </w:r>
      <w:r w:rsidR="0056347C" w:rsidRPr="00677919">
        <w:rPr>
          <w:rStyle w:val="Znakapoznpodarou"/>
        </w:rPr>
        <w:footnoteReference w:id="41"/>
      </w:r>
      <w:r w:rsidR="00D547A0" w:rsidRPr="00677919">
        <w:t xml:space="preserve"> Lze vidět, že názory </w:t>
      </w:r>
      <w:r w:rsidR="00262DDB" w:rsidRPr="00677919">
        <w:t>na postavení emancipovaných potomků byly různé.</w:t>
      </w:r>
      <w:r w:rsidR="00262DDB">
        <w:t xml:space="preserve"> </w:t>
      </w:r>
    </w:p>
    <w:p w:rsidR="004E3F6C" w:rsidRPr="00E7605E" w:rsidRDefault="00B970D8" w:rsidP="008B62F2">
      <w:pPr>
        <w:spacing w:line="360" w:lineRule="auto"/>
        <w:ind w:firstLine="708"/>
        <w:contextualSpacing/>
      </w:pPr>
      <w:r w:rsidRPr="00E7605E">
        <w:t>Dědici, kteří byli zůstavitelem adoptováni, zaujímali stejné postavení jako dědici vlastní.</w:t>
      </w:r>
      <w:r w:rsidR="003C5460" w:rsidRPr="00E7605E">
        <w:t xml:space="preserve"> </w:t>
      </w:r>
      <w:r w:rsidR="00E86A8F" w:rsidRPr="00E7605E">
        <w:t>Pokud však</w:t>
      </w:r>
      <w:r w:rsidR="00625840" w:rsidRPr="00E7605E">
        <w:t xml:space="preserve"> byly</w:t>
      </w:r>
      <w:r w:rsidR="00E86A8F" w:rsidRPr="00E7605E">
        <w:t xml:space="preserve"> adoptivní děti sv</w:t>
      </w:r>
      <w:r w:rsidR="00502CE1" w:rsidRPr="00E7605E">
        <w:t>ým adoptivním otcem emancipovány</w:t>
      </w:r>
      <w:r w:rsidR="00E86A8F" w:rsidRPr="00E7605E">
        <w:t xml:space="preserve">, </w:t>
      </w:r>
      <w:r w:rsidR="00625840" w:rsidRPr="00E7605E">
        <w:t>vracely</w:t>
      </w:r>
      <w:r w:rsidR="00E86A8F" w:rsidRPr="00E7605E">
        <w:t xml:space="preserve"> se do takového postavení, v jakém byly, než došlo k adopci. </w:t>
      </w:r>
      <w:r w:rsidR="00433604">
        <w:t>Pokud zůstavitel adoptoval syna až po sepsání závěti, d</w:t>
      </w:r>
      <w:r w:rsidR="00625840" w:rsidRPr="00E7605E">
        <w:t>ocházelo</w:t>
      </w:r>
      <w:r w:rsidR="00811FE4" w:rsidRPr="00E7605E">
        <w:t xml:space="preserve"> ke zrušení takového testamentu kvůli vzniku agnátského vztahu k novému vlastnímu dědici.</w:t>
      </w:r>
      <w:r w:rsidR="00403E43" w:rsidRPr="00E7605E">
        <w:rPr>
          <w:rStyle w:val="Znakapoznpodarou"/>
        </w:rPr>
        <w:footnoteReference w:id="42"/>
      </w:r>
      <w:r w:rsidR="00811FE4" w:rsidRPr="00E7605E">
        <w:t xml:space="preserve"> </w:t>
      </w:r>
      <w:r w:rsidR="00433604">
        <w:t>Gaius navíc uvedl</w:t>
      </w:r>
      <w:r w:rsidR="00CB1557" w:rsidRPr="00E7605E">
        <w:t xml:space="preserve">, že ke zrušení testamentu </w:t>
      </w:r>
      <w:r w:rsidR="00433604">
        <w:t>došlo</w:t>
      </w:r>
      <w:r w:rsidR="00CB1557" w:rsidRPr="00E7605E">
        <w:t xml:space="preserve"> též </w:t>
      </w:r>
      <w:r w:rsidR="00625840" w:rsidRPr="00E7605E">
        <w:t xml:space="preserve">v </w:t>
      </w:r>
      <w:r w:rsidR="00CB1557" w:rsidRPr="00E7605E">
        <w:t>případě, kdy</w:t>
      </w:r>
      <w:r w:rsidR="00BC3B32">
        <w:t>ž</w:t>
      </w:r>
      <w:r w:rsidR="00CB1557" w:rsidRPr="00E7605E">
        <w:t xml:space="preserve"> </w:t>
      </w:r>
      <w:r w:rsidR="00433604">
        <w:t>byl</w:t>
      </w:r>
      <w:r w:rsidR="00CB1557" w:rsidRPr="00E7605E">
        <w:t xml:space="preserve"> syn zůstavitelem dvakrát provedenou</w:t>
      </w:r>
      <w:r w:rsidR="00E0546B">
        <w:t xml:space="preserve"> mancipací propuštěn na svobodu z toho důvodu, že</w:t>
      </w:r>
      <w:r w:rsidR="00CB1557" w:rsidRPr="00E7605E">
        <w:t xml:space="preserve"> se syn </w:t>
      </w:r>
      <w:r w:rsidR="00433604">
        <w:t>vrátil</w:t>
      </w:r>
      <w:r w:rsidR="00CB1557" w:rsidRPr="00E7605E">
        <w:t xml:space="preserve"> zpět do otcovské </w:t>
      </w:r>
      <w:r w:rsidR="00433604">
        <w:t>moci</w:t>
      </w:r>
      <w:r w:rsidR="00CB1557" w:rsidRPr="00E7605E">
        <w:t>.</w:t>
      </w:r>
      <w:r w:rsidR="00CB1557" w:rsidRPr="00E7605E">
        <w:rPr>
          <w:rStyle w:val="Znakapoznpodarou"/>
        </w:rPr>
        <w:footnoteReference w:id="43"/>
      </w:r>
    </w:p>
    <w:p w:rsidR="004E3F6C" w:rsidRPr="00E7605E" w:rsidRDefault="002F3878" w:rsidP="00F40B30">
      <w:pPr>
        <w:spacing w:line="360" w:lineRule="auto"/>
        <w:ind w:firstLine="709"/>
        <w:contextualSpacing/>
      </w:pPr>
      <w:r w:rsidRPr="00E7605E">
        <w:t>V</w:t>
      </w:r>
      <w:r w:rsidR="004A6D4B">
        <w:t>e výše</w:t>
      </w:r>
      <w:r w:rsidRPr="00E7605E">
        <w:t xml:space="preserve"> </w:t>
      </w:r>
      <w:r w:rsidR="00625840" w:rsidRPr="00E7605E">
        <w:t xml:space="preserve">uvedených případech se </w:t>
      </w:r>
      <w:r w:rsidR="008377F0" w:rsidRPr="00E7605E">
        <w:t>tedy</w:t>
      </w:r>
      <w:r w:rsidR="004A6D4B">
        <w:t xml:space="preserve"> jednalo</w:t>
      </w:r>
      <w:r w:rsidR="008377F0" w:rsidRPr="00E7605E">
        <w:t xml:space="preserve"> </w:t>
      </w:r>
      <w:r w:rsidR="00625840" w:rsidRPr="00E7605E">
        <w:t>víceméně</w:t>
      </w:r>
      <w:r w:rsidR="008377F0" w:rsidRPr="00E7605E">
        <w:t xml:space="preserve"> o pouhé formální požadavky</w:t>
      </w:r>
      <w:r w:rsidR="004A6D4B">
        <w:t xml:space="preserve">, které se týkaly jmenování nebo vydědění </w:t>
      </w:r>
      <w:r w:rsidR="00433604">
        <w:t>dědice</w:t>
      </w:r>
      <w:r w:rsidR="004A6D4B">
        <w:t>. Jejich</w:t>
      </w:r>
      <w:r w:rsidR="008377F0" w:rsidRPr="00E7605E">
        <w:t xml:space="preserve"> </w:t>
      </w:r>
      <w:r w:rsidR="004A6D4B">
        <w:t xml:space="preserve">případné </w:t>
      </w:r>
      <w:r w:rsidR="008377F0" w:rsidRPr="00E7605E">
        <w:t>porušení mohlo mít za následek neplatnost testamentu.</w:t>
      </w:r>
      <w:r w:rsidR="007B2E70" w:rsidRPr="00E7605E">
        <w:t xml:space="preserve"> Kromě požadované slovní formulace, musel být daný nepominutelný dědic vyděděn vůči všem </w:t>
      </w:r>
      <w:r w:rsidR="00771DA7" w:rsidRPr="00E7605E">
        <w:t>dědicům společně</w:t>
      </w:r>
      <w:r w:rsidR="007B2E70" w:rsidRPr="00E7605E">
        <w:t xml:space="preserve"> povolaným</w:t>
      </w:r>
      <w:r w:rsidR="00433604">
        <w:t>,</w:t>
      </w:r>
      <w:r w:rsidR="007B2E70" w:rsidRPr="00E7605E">
        <w:t xml:space="preserve"> a rovněž se </w:t>
      </w:r>
      <w:r w:rsidR="00771DA7" w:rsidRPr="00E7605E">
        <w:t>muselo</w:t>
      </w:r>
      <w:r w:rsidR="007B2E70" w:rsidRPr="00E7605E">
        <w:t xml:space="preserve"> </w:t>
      </w:r>
      <w:r w:rsidR="007B2E70" w:rsidRPr="00E7605E">
        <w:lastRenderedPageBreak/>
        <w:t xml:space="preserve">vydědění vztahovat </w:t>
      </w:r>
      <w:r w:rsidR="00771DA7" w:rsidRPr="00E7605E">
        <w:t>na celé</w:t>
      </w:r>
      <w:r w:rsidR="007B2E70" w:rsidRPr="00E7605E">
        <w:t xml:space="preserve"> dědictví.</w:t>
      </w:r>
      <w:r w:rsidR="00771DA7" w:rsidRPr="00E7605E">
        <w:rPr>
          <w:rStyle w:val="Znakapoznpodarou"/>
        </w:rPr>
        <w:footnoteReference w:id="44"/>
      </w:r>
      <w:r w:rsidR="00771DA7" w:rsidRPr="00E7605E">
        <w:t xml:space="preserve"> </w:t>
      </w:r>
      <w:r w:rsidR="001D3AE8">
        <w:t>Nepostačilo tedy pouhé</w:t>
      </w:r>
      <w:r w:rsidR="007B2E70" w:rsidRPr="000449AE">
        <w:t xml:space="preserve"> </w:t>
      </w:r>
      <w:r w:rsidR="00A81E1F" w:rsidRPr="000449AE">
        <w:t>nařízení, že</w:t>
      </w:r>
      <w:r w:rsidR="00771DA7" w:rsidRPr="000449AE">
        <w:t xml:space="preserve"> daný dědic neměl</w:t>
      </w:r>
      <w:r w:rsidR="007B2E70" w:rsidRPr="000449AE">
        <w:t xml:space="preserve"> po smrti zůstavitele obdržet konkrétní věc.</w:t>
      </w:r>
      <w:r w:rsidR="007B2E70" w:rsidRPr="00E7605E">
        <w:t xml:space="preserve"> </w:t>
      </w:r>
    </w:p>
    <w:p w:rsidR="00536014" w:rsidRPr="00E7605E" w:rsidRDefault="00BC3B32" w:rsidP="00F40B30">
      <w:pPr>
        <w:spacing w:line="360" w:lineRule="auto"/>
        <w:ind w:firstLine="709"/>
        <w:contextualSpacing/>
      </w:pPr>
      <w:r>
        <w:t>Z</w:t>
      </w:r>
      <w:r w:rsidR="002F3878" w:rsidRPr="00E7605E">
        <w:t>míněná</w:t>
      </w:r>
      <w:r w:rsidR="008421C1" w:rsidRPr="00E7605E">
        <w:t xml:space="preserve"> práva dědiců, které zákon nedovoloval opomenout, označujeme jako formáln</w:t>
      </w:r>
      <w:r w:rsidR="00BF69B8" w:rsidRPr="00E7605E">
        <w:t xml:space="preserve">í práva nepominutelných dědiců, přičemž je nutno zmínit, že tato pravidla byla akceptována jak civilním právem, tak i rovněž prétorem, který posloupnost proti testamentu realizoval v praxi </w:t>
      </w:r>
      <w:r w:rsidR="00625840" w:rsidRPr="00E7605E">
        <w:t>u dědiců</w:t>
      </w:r>
      <w:r w:rsidR="00BF69B8" w:rsidRPr="00E7605E">
        <w:t>, které považoval za nepominutelné (</w:t>
      </w:r>
      <w:r w:rsidR="00BF69B8" w:rsidRPr="002253D9">
        <w:rPr>
          <w:i/>
        </w:rPr>
        <w:t>bonorum possessio contra tabulas</w:t>
      </w:r>
      <w:r w:rsidR="00BF69B8" w:rsidRPr="00E7605E">
        <w:t>).</w:t>
      </w:r>
      <w:r w:rsidR="00BF69B8" w:rsidRPr="00E7605E">
        <w:rPr>
          <w:rStyle w:val="Znakapoznpodarou"/>
        </w:rPr>
        <w:footnoteReference w:id="45"/>
      </w:r>
    </w:p>
    <w:p w:rsidR="00625840" w:rsidRPr="00E7605E" w:rsidRDefault="00EB6DBE" w:rsidP="00F40B30">
      <w:pPr>
        <w:spacing w:line="360" w:lineRule="auto"/>
        <w:ind w:firstLine="709"/>
        <w:contextualSpacing/>
      </w:pPr>
      <w:r w:rsidRPr="00E7605E">
        <w:t>Prétorské právo měl</w:t>
      </w:r>
      <w:r w:rsidR="00F53041">
        <w:t>o</w:t>
      </w:r>
      <w:r w:rsidRPr="00E7605E">
        <w:t xml:space="preserve"> v římském právu dědickém velký vliv na práva případných dědiců. Prétor poskytoval dědici ochranu v podobě udělení držby pozůstalosti, a to na základě jím vydaného zvláštního interdiktu. Ten byl vydán poté, co mu byla doručena žádost o udělení držby pozůstalosti dědicem.</w:t>
      </w:r>
      <w:r w:rsidRPr="00E7605E">
        <w:rPr>
          <w:rStyle w:val="Znakapoznpodarou"/>
        </w:rPr>
        <w:footnoteReference w:id="46"/>
      </w:r>
      <w:r w:rsidR="00AE7EC6" w:rsidRPr="00E7605E">
        <w:t xml:space="preserve"> Prétorský edikt stanovil, že děti (</w:t>
      </w:r>
      <w:r w:rsidR="00AE7EC6" w:rsidRPr="00A46729">
        <w:rPr>
          <w:i/>
        </w:rPr>
        <w:t>liberi</w:t>
      </w:r>
      <w:r w:rsidR="00AE7EC6" w:rsidRPr="00E7605E">
        <w:t>) zůstavitele musí být buď ustanoveni za dědice</w:t>
      </w:r>
      <w:r w:rsidR="00BB7E9B" w:rsidRPr="00E7605E">
        <w:t>, a</w:t>
      </w:r>
      <w:r w:rsidR="00AE7EC6" w:rsidRPr="00E7605E">
        <w:t xml:space="preserve">nebo musí být v testamentu vyděděni. Rozdíl oproti civilní posloupnosti spočíval v tom, že zde museli být jmenovitě označeni všichni potomci mužského pohlaví, nikoli jen syn zůstavitele. Ženy mohly být vyděděny stejně jako v civilním právu mezi ostatními. </w:t>
      </w:r>
    </w:p>
    <w:p w:rsidR="009F7DD1" w:rsidRDefault="00B32119" w:rsidP="00F40B30">
      <w:pPr>
        <w:spacing w:line="360" w:lineRule="auto"/>
        <w:ind w:firstLine="709"/>
        <w:contextualSpacing/>
      </w:pPr>
      <w:r w:rsidRPr="00BC3B32">
        <w:t>V případě neplatnosti testamentu se mohli o držbu pozůstalosti ucházet všichni potomci, včetně těch vyděděných. Nedošlo-li k neplatnosti testamentu podle civilního práva a přesto byli nepominutelní potomci v testamentu opomenuti (bez vydědění opomenutý emancipovaný nebo jiný vlastní dědic</w:t>
      </w:r>
      <w:r w:rsidRPr="00E7605E">
        <w:t xml:space="preserve"> než syn)</w:t>
      </w:r>
      <w:r w:rsidR="00F53041">
        <w:t>,</w:t>
      </w:r>
      <w:r w:rsidRPr="00E7605E">
        <w:t xml:space="preserve"> mohli</w:t>
      </w:r>
      <w:r w:rsidR="002B63E1" w:rsidRPr="00E7605E">
        <w:t xml:space="preserve"> ti</w:t>
      </w:r>
      <w:r w:rsidR="00B964B3">
        <w:t>to ne</w:t>
      </w:r>
      <w:r w:rsidR="00E632C8">
        <w:t>pomi</w:t>
      </w:r>
      <w:r w:rsidR="002B63E1" w:rsidRPr="00E7605E">
        <w:t>nutelní</w:t>
      </w:r>
      <w:r w:rsidRPr="00E7605E">
        <w:t xml:space="preserve"> potomci žádat držbu pozůstalosti proti posloupnosti. </w:t>
      </w:r>
      <w:r w:rsidR="00FA4EBE" w:rsidRPr="00E7605E">
        <w:t xml:space="preserve">Udělení držby ponechalo testament platným, </w:t>
      </w:r>
      <w:r w:rsidR="002B63E1" w:rsidRPr="00E7605E">
        <w:t>zruš</w:t>
      </w:r>
      <w:r w:rsidR="0066763C">
        <w:t>ilo se pouze jmenování dědiců</w:t>
      </w:r>
      <w:r w:rsidR="002B63E1" w:rsidRPr="00E7605E">
        <w:t xml:space="preserve">. </w:t>
      </w:r>
      <w:r w:rsidR="00B964B3">
        <w:t xml:space="preserve">O </w:t>
      </w:r>
      <w:r w:rsidR="002B63E1" w:rsidRPr="00E7605E">
        <w:t>držbu pozůstalosti proti testamentu se poté mohli ucházet rovněž dědici, kteří sice byli v testamentu jmenováni</w:t>
      </w:r>
      <w:r w:rsidR="008D73EF" w:rsidRPr="00E7605E">
        <w:t>,</w:t>
      </w:r>
      <w:r w:rsidR="0016454A" w:rsidRPr="00E7605E">
        <w:t xml:space="preserve"> ale jejich jmenování</w:t>
      </w:r>
      <w:r w:rsidR="002B63E1" w:rsidRPr="00E7605E">
        <w:t xml:space="preserve"> bylo následně zrušeno. O držbu </w:t>
      </w:r>
      <w:r w:rsidR="002B63E1" w:rsidRPr="007C6167">
        <w:rPr>
          <w:i/>
        </w:rPr>
        <w:t>contra tabulas</w:t>
      </w:r>
      <w:r w:rsidR="002B63E1" w:rsidRPr="00E7605E">
        <w:t xml:space="preserve"> s</w:t>
      </w:r>
      <w:r w:rsidR="00B964B3">
        <w:t>e nemohli ucházet pouze dědici</w:t>
      </w:r>
      <w:r w:rsidR="002B63E1" w:rsidRPr="00E7605E">
        <w:t xml:space="preserve"> </w:t>
      </w:r>
      <w:r w:rsidR="00B964B3">
        <w:t>v testamentu vydědění a dědici</w:t>
      </w:r>
      <w:r w:rsidR="002B63E1" w:rsidRPr="00E7605E">
        <w:t xml:space="preserve"> cizí (</w:t>
      </w:r>
      <w:r w:rsidR="002B63E1" w:rsidRPr="007C6167">
        <w:rPr>
          <w:i/>
        </w:rPr>
        <w:t>extranei</w:t>
      </w:r>
      <w:r w:rsidR="002B63E1" w:rsidRPr="00E7605E">
        <w:t>).</w:t>
      </w:r>
      <w:r w:rsidR="0050541A" w:rsidRPr="00E7605E">
        <w:rPr>
          <w:rStyle w:val="Znakapoznpodarou"/>
        </w:rPr>
        <w:footnoteReference w:id="47"/>
      </w:r>
      <w:r w:rsidR="002B63E1" w:rsidRPr="00E7605E">
        <w:t xml:space="preserve"> </w:t>
      </w:r>
    </w:p>
    <w:p w:rsidR="0077466A" w:rsidRPr="009F4866" w:rsidRDefault="0077466A" w:rsidP="0077466A">
      <w:pPr>
        <w:spacing w:line="360" w:lineRule="auto"/>
        <w:ind w:firstLine="709"/>
        <w:contextualSpacing/>
      </w:pPr>
      <w:r>
        <w:t xml:space="preserve">Pokud byli povoláni k dědění po zůstaviteli dědici vlastní a emancipovaní, měl prétor možnost „uspořádat“ jednotlivé dědické podíly, které měly připadnout dědicům, s ohledem na </w:t>
      </w:r>
      <w:r w:rsidR="00C9076A">
        <w:t xml:space="preserve">jejich </w:t>
      </w:r>
      <w:r>
        <w:t xml:space="preserve">postavení a jejich možnost nabývat práv pro sebe nebo pro jiné osoby. Tím, že emancipované osoby mohly nabývat majetek </w:t>
      </w:r>
      <w:r w:rsidRPr="00C9076A">
        <w:t>již samy sobě, se</w:t>
      </w:r>
      <w:r>
        <w:t xml:space="preserve"> dostávaly do lepšího postavení než osoby </w:t>
      </w:r>
      <w:r w:rsidRPr="0030583C">
        <w:rPr>
          <w:i/>
        </w:rPr>
        <w:t>sui heredes</w:t>
      </w:r>
      <w:r>
        <w:t xml:space="preserve">, které jako součást rodiny rozvíjely jen majetek spadající do ní. Proto byla emancipovaným osobám, které měly dědit dle zákonné posloupnosti nebo se ucházely o držbu pozůstalosti proti testamentu, uložena povinnost vnést do celkového majetku po </w:t>
      </w:r>
      <w:r>
        <w:lastRenderedPageBreak/>
        <w:t>zůstaviteli to, co měla emancipovaná osoba ve vlastnictví v době smrti zůstavitele.</w:t>
      </w:r>
      <w:r>
        <w:rPr>
          <w:rStyle w:val="Znakapoznpodarou"/>
        </w:rPr>
        <w:footnoteReference w:id="48"/>
      </w:r>
      <w:r w:rsidR="00C9076A">
        <w:t xml:space="preserve"> Povinnost kol</w:t>
      </w:r>
      <w:r w:rsidR="003B1D58">
        <w:t>l</w:t>
      </w:r>
      <w:r w:rsidR="00C9076A">
        <w:t>ace</w:t>
      </w:r>
      <w:r>
        <w:t xml:space="preserve"> se netýkala jen emancipovaných osob, ale všech těch, které byly v době smrti zůstavitele osobami mimo moc </w:t>
      </w:r>
      <w:r>
        <w:rPr>
          <w:i/>
        </w:rPr>
        <w:t>patera familias.</w:t>
      </w:r>
      <w:r>
        <w:t xml:space="preserve"> Spadala sem třeba i osoba, která adopcí vystoupila z rodiny.</w:t>
      </w:r>
      <w:r>
        <w:rPr>
          <w:rStyle w:val="Znakapoznpodarou"/>
        </w:rPr>
        <w:footnoteReference w:id="49"/>
      </w:r>
    </w:p>
    <w:p w:rsidR="0077466A" w:rsidRDefault="0077466A" w:rsidP="0077466A">
      <w:pPr>
        <w:spacing w:line="360" w:lineRule="auto"/>
        <w:ind w:firstLine="709"/>
        <w:contextualSpacing/>
      </w:pPr>
      <w:r>
        <w:t xml:space="preserve">Povinné osoby tak mohly </w:t>
      </w:r>
      <w:r w:rsidR="006A235F">
        <w:t>kol</w:t>
      </w:r>
      <w:r w:rsidR="003B1D58">
        <w:t>l</w:t>
      </w:r>
      <w:r w:rsidR="006A235F">
        <w:t xml:space="preserve">aci </w:t>
      </w:r>
      <w:r>
        <w:t>učinit několika způsoby, mezi které spadal stipulační slib, zaručení se, nebo zástava pojištěného. Později přibyla povinnému možnost přímo vydat to, co bylo předmětem kol</w:t>
      </w:r>
      <w:r w:rsidR="003B1D58">
        <w:t>l</w:t>
      </w:r>
      <w:r>
        <w:t>ace nebo si nechat snížit dědický podíl.</w:t>
      </w:r>
      <w:r>
        <w:rPr>
          <w:rStyle w:val="Znakapoznpodarou"/>
        </w:rPr>
        <w:footnoteReference w:id="50"/>
      </w:r>
      <w:r>
        <w:t xml:space="preserve"> Započtení majetku mohl požadovat jen dědic vlastní, kterému emancipovaná osoba nespravedlivým způsobem konkurovala v dědickém právu.</w:t>
      </w:r>
      <w:r>
        <w:rPr>
          <w:rStyle w:val="Znakapoznpodarou"/>
        </w:rPr>
        <w:footnoteReference w:id="51"/>
      </w:r>
      <w:r>
        <w:t xml:space="preserve"> </w:t>
      </w:r>
    </w:p>
    <w:p w:rsidR="0077466A" w:rsidRDefault="0077466A" w:rsidP="0077466A">
      <w:pPr>
        <w:spacing w:line="360" w:lineRule="auto"/>
        <w:ind w:firstLine="709"/>
        <w:contextualSpacing/>
      </w:pPr>
      <w:r>
        <w:t>Pokud se povinný dědic zdráhal splnit kol</w:t>
      </w:r>
      <w:r w:rsidR="003B1D58">
        <w:t>l</w:t>
      </w:r>
      <w:r>
        <w:t>ační povinnost, byla mu odepřena možnost použití dědických žalob. Dodatečné splnění takové povinnosti mělo za následek opětovnou možnost využití ochrany skrze dědické žaloby. Nemohl-li povinný poskytnout započtení z důvodu nedostatku majetku, mohl být jeho dědický podíl vydán oprávněným dědicům, pokud poskytli jistotu navrácení podílu povinnému. V jiném případě byl dán dědický podíl opatrovníkovi.</w:t>
      </w:r>
      <w:r>
        <w:rPr>
          <w:rStyle w:val="Znakapoznpodarou"/>
        </w:rPr>
        <w:footnoteReference w:id="52"/>
      </w:r>
    </w:p>
    <w:p w:rsidR="0077466A" w:rsidRDefault="0077466A" w:rsidP="0077466A">
      <w:pPr>
        <w:spacing w:line="360" w:lineRule="auto"/>
        <w:ind w:firstLine="709"/>
        <w:contextualSpacing/>
      </w:pPr>
      <w:r>
        <w:t>Prétor poskytoval dědicům ochranu v podobě započtení též v případě dcery zůstavitele, které bylo poskytnuto věno</w:t>
      </w:r>
      <w:r w:rsidR="001E3BD8">
        <w:t>,</w:t>
      </w:r>
      <w:r>
        <w:t xml:space="preserve"> a i po smrti zůstavitele byla součástí jeho rodiny. Dědicové vlastní tedy měli i v tomto případě právo požadovat započtení věna do celkové pozůstalosti v případě, kdy měla dcera dědit dle zákona nebo se ucházela o držbu pozůstalosti proti testamentu.</w:t>
      </w:r>
      <w:r>
        <w:rPr>
          <w:rStyle w:val="Znakapoznpodarou"/>
        </w:rPr>
        <w:footnoteReference w:id="53"/>
      </w:r>
    </w:p>
    <w:p w:rsidR="0016454A" w:rsidRPr="00E7605E" w:rsidRDefault="00693755" w:rsidP="00F40B30">
      <w:pPr>
        <w:spacing w:line="360" w:lineRule="auto"/>
        <w:ind w:firstLine="709"/>
        <w:contextualSpacing/>
      </w:pPr>
      <w:r w:rsidRPr="00E7605E">
        <w:t xml:space="preserve">Prétorská posloupnost proti testamentu měla význam tedy v tom, že </w:t>
      </w:r>
      <w:r w:rsidR="00B964B3">
        <w:t>nepominutelní dědici</w:t>
      </w:r>
      <w:r w:rsidRPr="00E7605E">
        <w:t xml:space="preserve"> zde </w:t>
      </w:r>
      <w:r w:rsidR="00977132" w:rsidRPr="00E7605E">
        <w:t>měli práva</w:t>
      </w:r>
      <w:r w:rsidRPr="00E7605E">
        <w:t xml:space="preserve"> podle svých intestátních podílů.</w:t>
      </w:r>
      <w:r w:rsidR="005A187E" w:rsidRPr="00E7605E">
        <w:rPr>
          <w:rStyle w:val="Znakapoznpodarou"/>
        </w:rPr>
        <w:footnoteReference w:id="54"/>
      </w:r>
      <w:r w:rsidR="00977132" w:rsidRPr="00E7605E">
        <w:t xml:space="preserve"> Samotné povolání prétorem k pozůstalosti však ještě neznamenalo, že se stan</w:t>
      </w:r>
      <w:r w:rsidR="00B964B3">
        <w:t>ou dědici dle civilního práva. To</w:t>
      </w:r>
      <w:r w:rsidR="00977132" w:rsidRPr="00E7605E">
        <w:t xml:space="preserve"> bylo možné jen na základě zákona nebo normy jiné právní síly. Osoba, které byla prétorem poskytnuta držba pozůstalosti</w:t>
      </w:r>
      <w:r w:rsidR="00932BC6" w:rsidRPr="00E7605E">
        <w:t>,</w:t>
      </w:r>
      <w:r w:rsidR="00977132" w:rsidRPr="00E7605E">
        <w:t xml:space="preserve"> se pouze dostával</w:t>
      </w:r>
      <w:r w:rsidR="009471ED" w:rsidRPr="00E7605E">
        <w:t>a</w:t>
      </w:r>
      <w:r w:rsidR="00977132" w:rsidRPr="00E7605E">
        <w:t xml:space="preserve"> do stejného postavení</w:t>
      </w:r>
      <w:r w:rsidR="002F2788" w:rsidRPr="00E7605E">
        <w:t>,</w:t>
      </w:r>
      <w:r w:rsidR="00977132" w:rsidRPr="00E7605E">
        <w:t xml:space="preserve"> jako měl dědic dle zákona.</w:t>
      </w:r>
      <w:r w:rsidR="00977132" w:rsidRPr="00E7605E">
        <w:rPr>
          <w:rStyle w:val="Znakapoznpodarou"/>
        </w:rPr>
        <w:footnoteReference w:id="55"/>
      </w:r>
    </w:p>
    <w:p w:rsidR="00690557" w:rsidRPr="00E7605E" w:rsidRDefault="00690557" w:rsidP="00F40B30">
      <w:pPr>
        <w:spacing w:line="360" w:lineRule="auto"/>
        <w:ind w:firstLine="709"/>
        <w:contextualSpacing/>
      </w:pPr>
    </w:p>
    <w:p w:rsidR="00137D52" w:rsidRPr="00137D52" w:rsidRDefault="00816EA4" w:rsidP="002E59E5">
      <w:pPr>
        <w:pStyle w:val="Nadpis3"/>
      </w:pPr>
      <w:bookmarkStart w:id="6" w:name="_Toc449513894"/>
      <w:r>
        <w:lastRenderedPageBreak/>
        <w:t>1. 2. 2</w:t>
      </w:r>
      <w:r w:rsidR="00690557" w:rsidRPr="00E7605E">
        <w:t xml:space="preserve"> Materiální práva nepominutelných dědiců</w:t>
      </w:r>
      <w:bookmarkEnd w:id="6"/>
    </w:p>
    <w:p w:rsidR="001077D0" w:rsidRPr="00E7605E" w:rsidRDefault="00567C25" w:rsidP="00137D52">
      <w:pPr>
        <w:spacing w:line="360" w:lineRule="auto"/>
        <w:ind w:firstLine="709"/>
        <w:contextualSpacing/>
      </w:pPr>
      <w:r w:rsidRPr="00E7605E">
        <w:t>Vedle formálních práv nepominutelných dědiců existovaly i tzv. práva materiální. Ta původně vyplývala z jakéhosi morálního závazku zůstavitele vůči svým nejbližším, zanechat jim část svého majetku. Pro zůstavitele nebyly v tomto případě stěžejní rodinné vztahy agnátské, nýbrž vztahy</w:t>
      </w:r>
      <w:r w:rsidR="001E3BD8">
        <w:t xml:space="preserve"> kognátské</w:t>
      </w:r>
      <w:r w:rsidRPr="00E7605E">
        <w:t xml:space="preserve"> zalo</w:t>
      </w:r>
      <w:r w:rsidR="00F71C38">
        <w:t>žené na pokrevním příbuzenství</w:t>
      </w:r>
      <w:r w:rsidRPr="00E7605E">
        <w:t>. Rozhodující zde byly city mezi osobami, nikoli právo.</w:t>
      </w:r>
      <w:r w:rsidR="00E13DF7" w:rsidRPr="00E13DF7">
        <w:rPr>
          <w:rStyle w:val="Znakapoznpodarou"/>
        </w:rPr>
        <w:t xml:space="preserve"> </w:t>
      </w:r>
      <w:r w:rsidR="00E13DF7" w:rsidRPr="00E7605E">
        <w:rPr>
          <w:rStyle w:val="Znakapoznpodarou"/>
        </w:rPr>
        <w:footnoteReference w:id="56"/>
      </w:r>
    </w:p>
    <w:p w:rsidR="00F41A63" w:rsidRPr="00E7605E" w:rsidRDefault="001077D0" w:rsidP="00F41A63">
      <w:pPr>
        <w:spacing w:line="360" w:lineRule="auto"/>
        <w:ind w:firstLine="709"/>
        <w:contextualSpacing/>
      </w:pPr>
      <w:r w:rsidRPr="00E7605E">
        <w:t xml:space="preserve">Zpočátku </w:t>
      </w:r>
      <w:r w:rsidR="00E13DF7">
        <w:t>se rozcházely názory na to,</w:t>
      </w:r>
      <w:r w:rsidRPr="00E7605E">
        <w:t xml:space="preserve"> kdo spadá mezi osoby, kterým by příslušelo právo na povinný díl (</w:t>
      </w:r>
      <w:r w:rsidRPr="000E7225">
        <w:rPr>
          <w:i/>
        </w:rPr>
        <w:t>portio debita</w:t>
      </w:r>
      <w:r w:rsidRPr="00E7605E">
        <w:t>)</w:t>
      </w:r>
      <w:r w:rsidR="00E13DF7">
        <w:t>. Povinný díl byl</w:t>
      </w:r>
      <w:r w:rsidRPr="00E7605E">
        <w:t xml:space="preserve"> část</w:t>
      </w:r>
      <w:r w:rsidR="00E13DF7">
        <w:t>í</w:t>
      </w:r>
      <w:r w:rsidRPr="00E7605E">
        <w:t xml:space="preserve"> pozůstalosti, která </w:t>
      </w:r>
      <w:r w:rsidR="005F500F" w:rsidRPr="00E7605E">
        <w:t>měla připadnout dědici</w:t>
      </w:r>
      <w:r w:rsidR="00E13DF7">
        <w:t xml:space="preserve"> blízkému zůstaviteli</w:t>
      </w:r>
      <w:r w:rsidR="00602D47" w:rsidRPr="00E7605E">
        <w:t xml:space="preserve">. </w:t>
      </w:r>
      <w:r w:rsidRPr="00E7605E">
        <w:t xml:space="preserve">Během druhého století </w:t>
      </w:r>
      <w:r w:rsidR="002D54FB" w:rsidRPr="00E7605E">
        <w:t xml:space="preserve">našeho letopočtu </w:t>
      </w:r>
      <w:r w:rsidRPr="00E7605E">
        <w:t xml:space="preserve">se ustálila pravidla, která právní nárok na povinný díl z pozůstalosti přiznávala descendentům, ascendentům a </w:t>
      </w:r>
      <w:r w:rsidR="00A629BC" w:rsidRPr="00E7605E">
        <w:t xml:space="preserve">pokrevním </w:t>
      </w:r>
      <w:r w:rsidRPr="00E7605E">
        <w:t>sourozencům</w:t>
      </w:r>
      <w:r w:rsidR="00A629BC" w:rsidRPr="00E7605E">
        <w:t xml:space="preserve"> zůstavitele. </w:t>
      </w:r>
      <w:r w:rsidR="00A21B9A">
        <w:t>S</w:t>
      </w:r>
      <w:r w:rsidR="00E13DF7">
        <w:t xml:space="preserve">ourozenci měli </w:t>
      </w:r>
      <w:r w:rsidR="006F4046" w:rsidRPr="00E7605E">
        <w:t>p</w:t>
      </w:r>
      <w:r w:rsidR="00A629BC" w:rsidRPr="00E7605E">
        <w:t>rávo na povinný podíl jen v případě, kdy byla v testamentu ustanovena za dědice osoba odsouzená trestním řízením (</w:t>
      </w:r>
      <w:r w:rsidR="00A629BC" w:rsidRPr="000E7225">
        <w:rPr>
          <w:i/>
        </w:rPr>
        <w:t>persona infamis</w:t>
      </w:r>
      <w:r w:rsidR="00A629BC" w:rsidRPr="00E7605E">
        <w:t>) nebo osoba mající špatnou pověst u spoluobčanů (</w:t>
      </w:r>
      <w:r w:rsidR="00A629BC" w:rsidRPr="000E7225">
        <w:rPr>
          <w:i/>
        </w:rPr>
        <w:t>persona turpis</w:t>
      </w:r>
      <w:r w:rsidR="00A629BC" w:rsidRPr="00E7605E">
        <w:t>)</w:t>
      </w:r>
      <w:r w:rsidR="00BA1E02" w:rsidRPr="00E7605E">
        <w:t>. Vzhledem k tomu, že osoby adoptované měly po dobu adopce stejné pos</w:t>
      </w:r>
      <w:r w:rsidR="00E0546B">
        <w:t>tavení jako dědici vlastní, měly</w:t>
      </w:r>
      <w:r w:rsidR="00BA1E02" w:rsidRPr="00E7605E">
        <w:t xml:space="preserve"> též stejné právo na povinný díl. </w:t>
      </w:r>
      <w:r w:rsidR="000F124A" w:rsidRPr="00E7605E">
        <w:rPr>
          <w:rStyle w:val="Znakapoznpodarou"/>
        </w:rPr>
        <w:footnoteReference w:id="57"/>
      </w:r>
      <w:r w:rsidR="00F41A63" w:rsidRPr="00E7605E">
        <w:t xml:space="preserve"> </w:t>
      </w:r>
    </w:p>
    <w:p w:rsidR="001B70C8" w:rsidRPr="00E7605E" w:rsidRDefault="00F41A63" w:rsidP="00F41A63">
      <w:pPr>
        <w:spacing w:line="360" w:lineRule="auto"/>
        <w:ind w:firstLine="709"/>
        <w:contextualSpacing/>
      </w:pPr>
      <w:r w:rsidRPr="00E7605E">
        <w:t>Právo na povinný díl byla oprávněna požadovat pouze osoba, která byla na svém právu zkrácena a zároveň byla</w:t>
      </w:r>
      <w:r w:rsidR="005E5EE4" w:rsidRPr="00E7605E">
        <w:t xml:space="preserve"> dle zákonné posloupnosti</w:t>
      </w:r>
      <w:r w:rsidRPr="00E7605E">
        <w:t xml:space="preserve"> nejbližší zůstaviteli</w:t>
      </w:r>
      <w:r w:rsidR="005E5EE4" w:rsidRPr="00E7605E">
        <w:t>,</w:t>
      </w:r>
      <w:r w:rsidRPr="00E7605E">
        <w:t xml:space="preserve"> ať již podle práva civilního nebo prétorského.</w:t>
      </w:r>
      <w:r w:rsidRPr="00E7605E">
        <w:rPr>
          <w:rStyle w:val="Znakapoznpodarou"/>
        </w:rPr>
        <w:footnoteReference w:id="58"/>
      </w:r>
      <w:r w:rsidRPr="00E7605E">
        <w:t xml:space="preserve"> Pokud </w:t>
      </w:r>
      <w:r w:rsidR="00A21B9A">
        <w:t xml:space="preserve">nejbližší </w:t>
      </w:r>
      <w:r w:rsidRPr="00E7605E">
        <w:t>dědic zůstav</w:t>
      </w:r>
      <w:r w:rsidR="00A21B9A">
        <w:t>itele</w:t>
      </w:r>
      <w:r w:rsidRPr="00E7605E">
        <w:t xml:space="preserve"> nemohl </w:t>
      </w:r>
      <w:r w:rsidR="00E22A6E">
        <w:t xml:space="preserve">žalobou </w:t>
      </w:r>
      <w:r w:rsidRPr="00E7605E">
        <w:t>uplatňovat právo na povinný díl, byl k ní oprávněný následující dědic</w:t>
      </w:r>
      <w:r w:rsidR="005E5EE4" w:rsidRPr="00E7605E">
        <w:t xml:space="preserve">, který by byl nejbližším zákonným dědicem, </w:t>
      </w:r>
      <w:r w:rsidR="00E0546B">
        <w:t>na místo</w:t>
      </w:r>
      <w:r w:rsidR="005E5EE4" w:rsidRPr="00E7605E">
        <w:t xml:space="preserve"> toho původního, který odpadl</w:t>
      </w:r>
      <w:r w:rsidR="0099618E">
        <w:t xml:space="preserve"> (</w:t>
      </w:r>
      <w:r w:rsidR="0099618E">
        <w:rPr>
          <w:i/>
        </w:rPr>
        <w:t>successio in querellam)</w:t>
      </w:r>
      <w:r w:rsidR="005E5EE4" w:rsidRPr="00E7605E">
        <w:t xml:space="preserve">. </w:t>
      </w:r>
      <w:r w:rsidR="00224E39">
        <w:rPr>
          <w:rStyle w:val="Znakapoznpodarou"/>
        </w:rPr>
        <w:footnoteReference w:id="59"/>
      </w:r>
    </w:p>
    <w:p w:rsidR="00546CE7" w:rsidRPr="00E7605E" w:rsidRDefault="001B70C8" w:rsidP="00E0546B">
      <w:pPr>
        <w:spacing w:line="360" w:lineRule="auto"/>
        <w:ind w:firstLine="709"/>
        <w:contextualSpacing/>
      </w:pPr>
      <w:r w:rsidRPr="00E7605E">
        <w:t>V</w:t>
      </w:r>
      <w:r w:rsidR="00E22A6E">
        <w:t>ýše povinného dílu, která</w:t>
      </w:r>
      <w:r w:rsidRPr="00E7605E">
        <w:t xml:space="preserve"> by zaručoval</w:t>
      </w:r>
      <w:r w:rsidR="00E22A6E">
        <w:t>a</w:t>
      </w:r>
      <w:r w:rsidRPr="00E7605E">
        <w:t xml:space="preserve"> nepominutelnému dědici účast na pozůstalosti, nebyla ze začátku pevně stanovena. </w:t>
      </w:r>
      <w:r w:rsidR="00E0546B">
        <w:t>Rozsah záležel především</w:t>
      </w:r>
      <w:r w:rsidRPr="00E7605E">
        <w:t xml:space="preserve"> na rozhodnutí soudu. Jeho výše byla nejspíš stanovena až postupem času, a to zřejmě podle Falcidiova zákona z roku 40 před Kristem, který se týkal dědických odkazů. Výše byla určena na jednu čtvrtinu ze zákonného podílu, který by dědic obdržel v případě intestátní posloupnosti.</w:t>
      </w:r>
      <w:r w:rsidR="00224E39">
        <w:rPr>
          <w:rStyle w:val="Znakapoznpodarou"/>
        </w:rPr>
        <w:footnoteReference w:id="60"/>
      </w:r>
    </w:p>
    <w:p w:rsidR="00771DA7" w:rsidRPr="00D5729C" w:rsidRDefault="00546CE7" w:rsidP="00546CE7">
      <w:pPr>
        <w:spacing w:line="360" w:lineRule="auto"/>
        <w:ind w:firstLine="709"/>
        <w:contextualSpacing/>
      </w:pPr>
      <w:r w:rsidRPr="00E7605E">
        <w:t>Způsob zanechání povinného dílu dědicům byl ponechán na vůli zůstavitele. Mohl být dědici zůstaven</w:t>
      </w:r>
      <w:r w:rsidR="00F71C38">
        <w:t xml:space="preserve"> klasicky závětí, formou odkazu</w:t>
      </w:r>
      <w:r w:rsidRPr="00E7605E">
        <w:t xml:space="preserve"> nebo i jiným způsobem. Později se akceptovalo i právní jednání učiněné mezi živými formou věna u dcery (</w:t>
      </w:r>
      <w:r w:rsidRPr="0099618E">
        <w:rPr>
          <w:i/>
        </w:rPr>
        <w:t>dotis</w:t>
      </w:r>
      <w:r w:rsidRPr="00E7605E">
        <w:t>)</w:t>
      </w:r>
      <w:r w:rsidR="006B130A" w:rsidRPr="00E7605E">
        <w:t xml:space="preserve">, </w:t>
      </w:r>
      <w:r w:rsidR="00BB7E9B" w:rsidRPr="00E7605E">
        <w:t>darováním,</w:t>
      </w:r>
      <w:r w:rsidR="00FA25B1" w:rsidRPr="00E7605E">
        <w:t xml:space="preserve"> </w:t>
      </w:r>
      <w:r w:rsidR="00FA25B1" w:rsidRPr="00D5729C">
        <w:lastRenderedPageBreak/>
        <w:t>a</w:t>
      </w:r>
      <w:r w:rsidRPr="00D5729C">
        <w:t>nebo smluvením koupitelného úřadu (</w:t>
      </w:r>
      <w:r w:rsidRPr="00D5729C">
        <w:rPr>
          <w:i/>
        </w:rPr>
        <w:t>militia</w:t>
      </w:r>
      <w:r w:rsidRPr="00D5729C">
        <w:t>).</w:t>
      </w:r>
      <w:r w:rsidR="004858D9" w:rsidRPr="00D5729C">
        <w:t xml:space="preserve"> Podstatné bylo, aby samotné zanechání povinného dílu nebylo zatíženo některým vedlejším ustanovením (podmínka, určení času).</w:t>
      </w:r>
      <w:r w:rsidR="005E5EE4" w:rsidRPr="00D5729C">
        <w:rPr>
          <w:rStyle w:val="Znakapoznpodarou"/>
        </w:rPr>
        <w:footnoteReference w:id="61"/>
      </w:r>
    </w:p>
    <w:p w:rsidR="00484AB7" w:rsidRPr="00E7605E" w:rsidRDefault="00484AB7" w:rsidP="004858D9">
      <w:pPr>
        <w:tabs>
          <w:tab w:val="left" w:pos="3990"/>
        </w:tabs>
        <w:spacing w:line="360" w:lineRule="auto"/>
        <w:ind w:firstLine="709"/>
        <w:contextualSpacing/>
      </w:pPr>
      <w:r w:rsidRPr="00D5729C">
        <w:t xml:space="preserve">Jako </w:t>
      </w:r>
      <w:r w:rsidR="00E22A6E" w:rsidRPr="00D5729C">
        <w:t xml:space="preserve">na </w:t>
      </w:r>
      <w:r w:rsidRPr="00D5729C">
        <w:t xml:space="preserve">projev zůstavitelovi volnosti při nakládání se svým majetkem můžeme nahlížet i na to, že byl oprávněný některého ze svých nepominutelných dědiců z práva na povinný díl vyloučit. K tomu však mohlo dojít jen zřídkakdy. </w:t>
      </w:r>
      <w:r w:rsidR="00DE1F81" w:rsidRPr="00D5729C">
        <w:t>Zůstavitel musel mít pro vyloučení dědice závažný důvod, který byl též povinen uvést.</w:t>
      </w:r>
      <w:r w:rsidR="008108E0" w:rsidRPr="00D5729C">
        <w:t xml:space="preserve"> Závažnost takového důvodu poté posuzoval soud.</w:t>
      </w:r>
      <w:r w:rsidR="00DE1F81" w:rsidRPr="00D5729C">
        <w:rPr>
          <w:rStyle w:val="Znakapoznpodarou"/>
        </w:rPr>
        <w:footnoteReference w:id="62"/>
      </w:r>
      <w:r w:rsidR="008108E0" w:rsidRPr="00D5729C">
        <w:t xml:space="preserve"> Zůstavitel mohl vyloučit dědice nejen kvůli jeho špatnému chování, ale též pro jeho dobro – např. v případě osoby marnotratné, kdy odkázal podíl jeho potomkovi.</w:t>
      </w:r>
      <w:r w:rsidR="00DF6791" w:rsidRPr="00D5729C">
        <w:rPr>
          <w:rStyle w:val="Znakapoznpodarou"/>
        </w:rPr>
        <w:footnoteReference w:id="63"/>
      </w:r>
      <w:r w:rsidR="008108E0" w:rsidRPr="00E7605E">
        <w:t xml:space="preserve"> </w:t>
      </w:r>
    </w:p>
    <w:p w:rsidR="007C5E91" w:rsidRDefault="00C36283" w:rsidP="007C5E91">
      <w:pPr>
        <w:tabs>
          <w:tab w:val="left" w:pos="3990"/>
        </w:tabs>
        <w:spacing w:line="360" w:lineRule="auto"/>
        <w:ind w:firstLine="709"/>
        <w:contextualSpacing/>
      </w:pPr>
      <w:r w:rsidRPr="00E7605E">
        <w:t xml:space="preserve">Mezi materiální práva nepominutelných dědiců patřila rovněž procesní obrana proti odepření povinného dílu dědici zůstavitelem. Dědic se mohl proti takovému jednání bránit žalobou </w:t>
      </w:r>
      <w:r w:rsidR="00E418A2">
        <w:t xml:space="preserve">na neplatnost závěti </w:t>
      </w:r>
      <w:r w:rsidRPr="00E7605E">
        <w:t>(</w:t>
      </w:r>
      <w:r w:rsidRPr="00E418A2">
        <w:rPr>
          <w:i/>
        </w:rPr>
        <w:t>qurella inofficiosi testamenti</w:t>
      </w:r>
      <w:r w:rsidRPr="00E7605E">
        <w:t>), která směřovala proti</w:t>
      </w:r>
      <w:r w:rsidR="00BE6455" w:rsidRPr="00E7605E">
        <w:t xml:space="preserve"> testamentu zasahujícím do jeho práv.</w:t>
      </w:r>
      <w:r w:rsidR="00224E39">
        <w:t xml:space="preserve"> Smyslem této žaloby bylo poukázat na rozpor poslední vůle zůstavitele s </w:t>
      </w:r>
      <w:r w:rsidR="007C5E91">
        <w:t>jeho morálními povinnostmi.</w:t>
      </w:r>
      <w:r w:rsidR="007C5E91">
        <w:rPr>
          <w:rStyle w:val="Znakapoznpodarou"/>
        </w:rPr>
        <w:footnoteReference w:id="64"/>
      </w:r>
      <w:r w:rsidR="00BE6455" w:rsidRPr="00E7605E">
        <w:t xml:space="preserve"> </w:t>
      </w:r>
    </w:p>
    <w:p w:rsidR="00163E69" w:rsidRPr="00E7605E" w:rsidRDefault="00092881" w:rsidP="007C5E91">
      <w:pPr>
        <w:tabs>
          <w:tab w:val="left" w:pos="3990"/>
        </w:tabs>
        <w:spacing w:line="360" w:lineRule="auto"/>
        <w:ind w:firstLine="709"/>
        <w:contextualSpacing/>
      </w:pPr>
      <w:r w:rsidRPr="00E7605E">
        <w:t>Této ochrany mohl využít</w:t>
      </w:r>
      <w:r w:rsidR="00BE6455" w:rsidRPr="00E7605E">
        <w:t xml:space="preserve"> jen ten dědic, který měl od pré</w:t>
      </w:r>
      <w:r w:rsidRPr="00E7605E">
        <w:t xml:space="preserve">tora udělenou držbu pozůstalosti </w:t>
      </w:r>
      <w:r w:rsidR="007D77E1" w:rsidRPr="00E418A2">
        <w:rPr>
          <w:i/>
        </w:rPr>
        <w:t>intesta</w:t>
      </w:r>
      <w:r w:rsidRPr="00E418A2">
        <w:rPr>
          <w:i/>
        </w:rPr>
        <w:t>ti</w:t>
      </w:r>
      <w:r w:rsidRPr="00E7605E">
        <w:t>, která „</w:t>
      </w:r>
      <w:r w:rsidR="005D4B91" w:rsidRPr="00E7605E">
        <w:t>dosvědčovala</w:t>
      </w:r>
      <w:r w:rsidRPr="00E7605E">
        <w:t>“ jeho dědické právo pro případný soudní spor.</w:t>
      </w:r>
      <w:r w:rsidR="007D77E1" w:rsidRPr="00E7605E">
        <w:t xml:space="preserve"> Žalobu bylo nutno směřovat proti dědici, který na zák</w:t>
      </w:r>
      <w:r w:rsidR="00E0546B">
        <w:t>ladě testamentu nabyl dědictví. P</w:t>
      </w:r>
      <w:r w:rsidR="007D77E1" w:rsidRPr="00E7605E">
        <w:t xml:space="preserve">okud bylo dědiců více, tak bylo nutné ji podat proti všem najednou. </w:t>
      </w:r>
      <w:r w:rsidR="00BE6455" w:rsidRPr="00E7605E">
        <w:t>Cílem opominutého dědi</w:t>
      </w:r>
      <w:r w:rsidR="009A02D7" w:rsidRPr="00E7605E">
        <w:t xml:space="preserve">ce bylo získat svůj povinný díl. </w:t>
      </w:r>
      <w:r w:rsidR="00BE6455" w:rsidRPr="00E7605E">
        <w:t xml:space="preserve"> </w:t>
      </w:r>
      <w:r w:rsidR="007C5E91">
        <w:t>Oprávnění podat žalobu nepřecházelo na dědice oprávněného z žaloby a</w:t>
      </w:r>
      <w:r w:rsidR="00FA25B1" w:rsidRPr="00E7605E">
        <w:t xml:space="preserve"> zanikalo</w:t>
      </w:r>
      <w:r w:rsidR="009A02D7" w:rsidRPr="00E7605E">
        <w:t xml:space="preserve"> uznání</w:t>
      </w:r>
      <w:r w:rsidR="002E6909" w:rsidRPr="00E7605E">
        <w:t>m testamentu, smírem nebo uplynu</w:t>
      </w:r>
      <w:r w:rsidR="009A02D7" w:rsidRPr="00E7605E">
        <w:t xml:space="preserve">tím pěti let od doby, kdy dědic ze závěti přijal dědictví. </w:t>
      </w:r>
      <w:r w:rsidR="002E6909" w:rsidRPr="00E7605E">
        <w:t>Navíc bylo možné použít tuto žalobu i k doplnění té části povinného dílu, která mu měla být zanechána. Vedle „kverely“ existovaly též jiné žaloby</w:t>
      </w:r>
      <w:r w:rsidR="00B83B04" w:rsidRPr="00E7605E">
        <w:t xml:space="preserve"> pro případ, že zůstavitel zkrátil dědice právním jednáním učiněným ještě za života. Byly jimi žaloba na</w:t>
      </w:r>
      <w:r w:rsidR="002E6909" w:rsidRPr="00E7605E">
        <w:t xml:space="preserve"> zrušení darování nebo poskytnutí věna. </w:t>
      </w:r>
      <w:r w:rsidR="00B83B04" w:rsidRPr="00E7605E">
        <w:rPr>
          <w:rStyle w:val="Znakapoznpodarou"/>
        </w:rPr>
        <w:footnoteReference w:id="65"/>
      </w:r>
    </w:p>
    <w:p w:rsidR="00FA25B1" w:rsidRPr="00E7605E" w:rsidRDefault="00FA25B1" w:rsidP="00FA25B1">
      <w:pPr>
        <w:tabs>
          <w:tab w:val="left" w:pos="3990"/>
        </w:tabs>
        <w:spacing w:line="360" w:lineRule="auto"/>
        <w:contextualSpacing/>
      </w:pPr>
    </w:p>
    <w:p w:rsidR="001A57C3" w:rsidRPr="00E7605E" w:rsidRDefault="00FA25B1" w:rsidP="00690557">
      <w:pPr>
        <w:pStyle w:val="Nadpis2"/>
      </w:pPr>
      <w:bookmarkStart w:id="7" w:name="_Toc449513895"/>
      <w:r w:rsidRPr="00E7605E">
        <w:t>1.</w:t>
      </w:r>
      <w:r w:rsidR="00E856F7">
        <w:t xml:space="preserve"> </w:t>
      </w:r>
      <w:r w:rsidR="00816EA4">
        <w:t>3</w:t>
      </w:r>
      <w:r w:rsidRPr="00E7605E">
        <w:t xml:space="preserve"> Posloupnost proti testamentu </w:t>
      </w:r>
      <w:r w:rsidR="00DC088C">
        <w:t>podle římského</w:t>
      </w:r>
      <w:r w:rsidRPr="00E7605E">
        <w:t xml:space="preserve"> práva justiniánské</w:t>
      </w:r>
      <w:r w:rsidR="00DC088C">
        <w:t>ho</w:t>
      </w:r>
      <w:bookmarkEnd w:id="7"/>
    </w:p>
    <w:p w:rsidR="00690557" w:rsidRPr="00E7605E" w:rsidRDefault="00690557" w:rsidP="002E59E5">
      <w:pPr>
        <w:pStyle w:val="Nadpis3"/>
      </w:pPr>
      <w:bookmarkStart w:id="8" w:name="_Toc449513896"/>
      <w:r w:rsidRPr="00E7605E">
        <w:t>1. 3. 1 Formální práva nepominutelných dědiců</w:t>
      </w:r>
      <w:bookmarkEnd w:id="8"/>
    </w:p>
    <w:p w:rsidR="003B0194" w:rsidRPr="00E7605E" w:rsidRDefault="00086D4F" w:rsidP="00137D52">
      <w:pPr>
        <w:spacing w:line="360" w:lineRule="auto"/>
        <w:ind w:firstLine="708"/>
        <w:contextualSpacing/>
      </w:pPr>
      <w:r w:rsidRPr="00E7605E">
        <w:t>Doba justiniánská se datuje k první polovině šestého století našeho letopočtu, kdy se vlády ujal</w:t>
      </w:r>
      <w:r w:rsidR="00E85AE2" w:rsidRPr="00E7605E">
        <w:t xml:space="preserve"> v již rozdělené římské říši</w:t>
      </w:r>
      <w:r w:rsidRPr="00E7605E">
        <w:t xml:space="preserve"> byzantský císař Justinián I.</w:t>
      </w:r>
      <w:r w:rsidR="00E85AE2" w:rsidRPr="00E7605E">
        <w:t xml:space="preserve"> Panovník východořímské </w:t>
      </w:r>
      <w:r w:rsidR="00E85AE2" w:rsidRPr="00E7605E">
        <w:lastRenderedPageBreak/>
        <w:t>(později byzantské) říše</w:t>
      </w:r>
      <w:r w:rsidR="00371C61" w:rsidRPr="00E7605E">
        <w:t xml:space="preserve"> po svém nástupu usiloval o navrácení všech ztracených území, která dříve patřila k Římu, a o celkové znovuobnovení dřívější prosperity země.</w:t>
      </w:r>
      <w:r w:rsidR="005A0BAD" w:rsidRPr="00E7605E">
        <w:t xml:space="preserve"> S tím byly spojeny pokusy o reformy uvnitř </w:t>
      </w:r>
      <w:r w:rsidR="00C336CC">
        <w:t>státu</w:t>
      </w:r>
      <w:r w:rsidR="005A0BAD" w:rsidRPr="00E7605E">
        <w:t>, které by byly způsobilé urovnat otrokářský systém a stabilizovat hospodářství a politiku země.</w:t>
      </w:r>
      <w:r w:rsidR="00C336CC">
        <w:t xml:space="preserve"> Změn v oblasti práva se nevyhnulo</w:t>
      </w:r>
      <w:r w:rsidR="00270FE8" w:rsidRPr="00E7605E">
        <w:t xml:space="preserve"> ani odvětví práva dědického, byť většina z něho zůstala stejná</w:t>
      </w:r>
      <w:r w:rsidR="0003101E" w:rsidRPr="00E7605E">
        <w:t>,</w:t>
      </w:r>
      <w:r w:rsidR="00270FE8" w:rsidRPr="00E7605E">
        <w:t xml:space="preserve"> jak bylo zažito z</w:t>
      </w:r>
      <w:r w:rsidR="00D5729C">
        <w:t> </w:t>
      </w:r>
      <w:r w:rsidR="00270FE8" w:rsidRPr="00E7605E">
        <w:t>dob</w:t>
      </w:r>
      <w:r w:rsidR="00D5729C">
        <w:t xml:space="preserve"> klasického</w:t>
      </w:r>
      <w:r w:rsidR="00270FE8" w:rsidRPr="00E7605E">
        <w:t xml:space="preserve"> římského práva</w:t>
      </w:r>
      <w:r w:rsidR="003B0194" w:rsidRPr="00E7605E">
        <w:t xml:space="preserve">. </w:t>
      </w:r>
      <w:r w:rsidR="0003101E" w:rsidRPr="00E7605E">
        <w:t>Právní úprava z té doby byla uznávána takovou měrou, že si zasloužila být uspořádána</w:t>
      </w:r>
      <w:r w:rsidR="003B0194" w:rsidRPr="00E7605E">
        <w:t xml:space="preserve"> do rozsáhlé </w:t>
      </w:r>
      <w:r w:rsidR="00FD58EA" w:rsidRPr="00E7605E">
        <w:t>sbírky</w:t>
      </w:r>
      <w:r w:rsidR="00E20769" w:rsidRPr="00E7605E">
        <w:t xml:space="preserve"> práva klasických právníků, tzv.</w:t>
      </w:r>
      <w:r w:rsidR="00FD58EA" w:rsidRPr="00E7605E">
        <w:t xml:space="preserve"> Digest. </w:t>
      </w:r>
      <w:r w:rsidR="00795FCB">
        <w:t>Kvůli velmi</w:t>
      </w:r>
      <w:r w:rsidR="0003101E" w:rsidRPr="00E7605E">
        <w:t xml:space="preserve"> kvalitní úpravě dědického práva z předchozí doby se z ní hojně vycházelo při aplikaci právních pravidel i za vlády Justiniána.</w:t>
      </w:r>
      <w:r w:rsidR="00434530" w:rsidRPr="00E7605E">
        <w:rPr>
          <w:rStyle w:val="Znakapoznpodarou"/>
        </w:rPr>
        <w:footnoteReference w:id="66"/>
      </w:r>
      <w:r w:rsidR="0003101E" w:rsidRPr="00E7605E">
        <w:t xml:space="preserve"> </w:t>
      </w:r>
    </w:p>
    <w:p w:rsidR="0003101E" w:rsidRPr="00E7605E" w:rsidRDefault="0062291D" w:rsidP="00382CD9">
      <w:pPr>
        <w:spacing w:line="360" w:lineRule="auto"/>
        <w:ind w:firstLine="708"/>
        <w:contextualSpacing/>
      </w:pPr>
      <w:r w:rsidRPr="00E7605E">
        <w:t xml:space="preserve">Co se </w:t>
      </w:r>
      <w:r w:rsidR="00795FCB">
        <w:t>týče</w:t>
      </w:r>
      <w:r w:rsidRPr="00E7605E">
        <w:t xml:space="preserve"> formálních práv nepominutelných dědiců</w:t>
      </w:r>
      <w:r w:rsidR="00C336CC">
        <w:t>,</w:t>
      </w:r>
      <w:r w:rsidRPr="00E7605E">
        <w:t xml:space="preserve"> zpočátku vlády Justiniána zůstaly víceméně veškeré povinnosti zůstavitele vůči svým potomkům </w:t>
      </w:r>
      <w:r w:rsidR="002C0D72">
        <w:t>stejné</w:t>
      </w:r>
      <w:r w:rsidRPr="00E7605E">
        <w:t xml:space="preserve">. </w:t>
      </w:r>
      <w:r w:rsidR="000B35EA" w:rsidRPr="00E7605E">
        <w:t>Platnost závěti byla naplněna</w:t>
      </w:r>
      <w:r w:rsidR="0075684A" w:rsidRPr="00E7605E">
        <w:t xml:space="preserve"> (včetně splnění dalších formálních po</w:t>
      </w:r>
      <w:r w:rsidR="002C0D72">
        <w:t>žadavků</w:t>
      </w:r>
      <w:r w:rsidR="0075684A" w:rsidRPr="00E7605E">
        <w:t>)</w:t>
      </w:r>
      <w:r w:rsidR="000B35EA" w:rsidRPr="00E7605E">
        <w:t xml:space="preserve"> v okamžiku, kdy zůstavitel </w:t>
      </w:r>
      <w:r w:rsidR="0075684A" w:rsidRPr="00E7605E">
        <w:t>ve své závěti</w:t>
      </w:r>
      <w:r w:rsidR="0039272B" w:rsidRPr="00E7605E">
        <w:t xml:space="preserve"> dědice</w:t>
      </w:r>
      <w:r w:rsidR="0075684A" w:rsidRPr="00E7605E">
        <w:t xml:space="preserve"> ustanovil</w:t>
      </w:r>
      <w:r w:rsidR="00D5729C">
        <w:t xml:space="preserve"> </w:t>
      </w:r>
      <w:r w:rsidR="0075684A" w:rsidRPr="00E7605E">
        <w:t>nebo ho vydědil</w:t>
      </w:r>
      <w:r w:rsidR="000B35EA" w:rsidRPr="00E7605E">
        <w:t xml:space="preserve">. V případě syna, </w:t>
      </w:r>
      <w:r w:rsidR="005B294A" w:rsidRPr="00E7605E">
        <w:t xml:space="preserve">muselo dojít k ustanovení nebo vydědění jmenovitě. </w:t>
      </w:r>
      <w:r w:rsidR="0075684A" w:rsidRPr="00E7605E">
        <w:t xml:space="preserve">Důsledkem </w:t>
      </w:r>
      <w:r w:rsidR="00C336CC">
        <w:t xml:space="preserve">nenaplnění požadavku </w:t>
      </w:r>
      <w:r w:rsidR="0075684A" w:rsidRPr="00E7605E">
        <w:t xml:space="preserve">bylo, že by podle </w:t>
      </w:r>
      <w:r w:rsidR="00D5729C">
        <w:t>závěti</w:t>
      </w:r>
      <w:r w:rsidR="0075684A" w:rsidRPr="00E7605E">
        <w:t xml:space="preserve"> nemohl nabýt dědictví nikdo. </w:t>
      </w:r>
      <w:r w:rsidR="00C336CC">
        <w:t xml:space="preserve">K obdobnému prolomení závěti </w:t>
      </w:r>
      <w:r w:rsidR="003B3CF3" w:rsidRPr="00E7605E">
        <w:t>došlo i v případě, kdy syn zůstavitele zemřel ještě za života otce</w:t>
      </w:r>
      <w:r w:rsidR="00A7528D" w:rsidRPr="00E7605E">
        <w:t xml:space="preserve"> </w:t>
      </w:r>
      <w:r w:rsidR="00874BD9" w:rsidRPr="00E7605E">
        <w:t>Na ustanovení či vydědění</w:t>
      </w:r>
      <w:r w:rsidR="00A7528D" w:rsidRPr="00E7605E">
        <w:t xml:space="preserve"> sester a</w:t>
      </w:r>
      <w:r w:rsidR="00874BD9" w:rsidRPr="00E7605E">
        <w:t xml:space="preserve"> dalších</w:t>
      </w:r>
      <w:r w:rsidR="00A7528D" w:rsidRPr="00E7605E">
        <w:t xml:space="preserve"> potomků </w:t>
      </w:r>
      <w:r w:rsidR="00874BD9" w:rsidRPr="00E7605E">
        <w:t>obou pohlaví v mužské linii bylo kla</w:t>
      </w:r>
      <w:r w:rsidR="005D58D1">
        <w:t xml:space="preserve">deno méně požadavků. </w:t>
      </w:r>
      <w:r w:rsidR="00FE0A42" w:rsidRPr="00E7605E">
        <w:t>Postačilo, když je zůstavitel ustanovil či vydědil pouze obecným způsobem</w:t>
      </w:r>
      <w:r w:rsidR="005D58D1">
        <w:t>.</w:t>
      </w:r>
      <w:r w:rsidR="00FF61B8" w:rsidRPr="00E7605E">
        <w:rPr>
          <w:rStyle w:val="Znakapoznpodarou"/>
        </w:rPr>
        <w:footnoteReference w:id="67"/>
      </w:r>
      <w:r w:rsidR="00382CD9" w:rsidRPr="00E7605E">
        <w:t xml:space="preserve"> </w:t>
      </w:r>
      <w:r w:rsidR="005D58D1">
        <w:t xml:space="preserve">Matka potomka ani její otec neměli </w:t>
      </w:r>
      <w:r w:rsidR="002B5D7C">
        <w:t>povinnost</w:t>
      </w:r>
      <w:r w:rsidR="00382CD9" w:rsidRPr="00E7605E">
        <w:t xml:space="preserve"> </w:t>
      </w:r>
      <w:r w:rsidR="002B5D7C">
        <w:t>tohoto potomka</w:t>
      </w:r>
      <w:r w:rsidR="00382CD9" w:rsidRPr="00E7605E">
        <w:t xml:space="preserve"> </w:t>
      </w:r>
      <w:r w:rsidR="002B5D7C">
        <w:t xml:space="preserve">ustanovit ani vydědit. Pokud skutečně došlo k opomenutí potomka, </w:t>
      </w:r>
      <w:r w:rsidR="00382CD9" w:rsidRPr="00E7605E">
        <w:t xml:space="preserve">považovalo se </w:t>
      </w:r>
      <w:r w:rsidR="002B5D7C">
        <w:t>toto</w:t>
      </w:r>
      <w:r w:rsidR="00382CD9" w:rsidRPr="00E7605E">
        <w:t xml:space="preserve"> opomenutí za jmenovité vydědění otcem, ať již se opomenutí posuzovalo podle práva civilního nebo prétorského.</w:t>
      </w:r>
      <w:r w:rsidR="00382CD9" w:rsidRPr="00E7605E">
        <w:rPr>
          <w:rStyle w:val="Znakapoznpodarou"/>
        </w:rPr>
        <w:footnoteReference w:id="68"/>
      </w:r>
      <w:r w:rsidR="00382CD9" w:rsidRPr="00E7605E">
        <w:t xml:space="preserve">  </w:t>
      </w:r>
    </w:p>
    <w:p w:rsidR="00A7528D" w:rsidRPr="00E7605E" w:rsidRDefault="008858B7" w:rsidP="0003101E">
      <w:pPr>
        <w:spacing w:line="360" w:lineRule="auto"/>
        <w:ind w:firstLine="708"/>
        <w:contextualSpacing/>
      </w:pPr>
      <w:r w:rsidRPr="00E7605E">
        <w:t xml:space="preserve">V případě </w:t>
      </w:r>
      <w:r w:rsidR="002B5D7C">
        <w:t>pohrobků</w:t>
      </w:r>
      <w:r w:rsidRPr="00E7605E">
        <w:t xml:space="preserve"> byla pravidla opět stejná. Všichni potomci mužského pohlaví mus</w:t>
      </w:r>
      <w:r w:rsidR="00822A00" w:rsidRPr="00E7605E">
        <w:t>eli být buď jmenovitě ustanoveni</w:t>
      </w:r>
      <w:r w:rsidR="00D5729C">
        <w:t>,</w:t>
      </w:r>
      <w:r w:rsidR="00C336CC">
        <w:t xml:space="preserve"> </w:t>
      </w:r>
      <w:r w:rsidR="00D5729C">
        <w:t>a</w:t>
      </w:r>
      <w:r w:rsidRPr="00E7605E">
        <w:t>nebo vyděděni. Pro ustanovení</w:t>
      </w:r>
      <w:r w:rsidR="00046AE5">
        <w:t xml:space="preserve"> pohrobka dědicem</w:t>
      </w:r>
      <w:r w:rsidRPr="00E7605E">
        <w:t xml:space="preserve"> platila stejná pravidla jako u </w:t>
      </w:r>
      <w:r w:rsidR="00CA1CA2" w:rsidRPr="00E7605E">
        <w:t>syn</w:t>
      </w:r>
      <w:r w:rsidRPr="00E7605E">
        <w:t xml:space="preserve">ů. </w:t>
      </w:r>
      <w:r w:rsidR="00CA1CA2" w:rsidRPr="00E7605E">
        <w:t>Závěť, kde tak nebylo zůstavitelem učiněno, byla sice zpočátku platná, po narození pohrobka však platnosti pozbývala a byla zrušena.</w:t>
      </w:r>
      <w:r w:rsidR="00E561CF" w:rsidRPr="00E7605E">
        <w:t xml:space="preserve"> Pohrobek ženského pohlaví mohl být ustanoven nebo vyděděn obecným způsobem, stejně jako ženský potomek narozený za života zůstavitele. Pokud však byl vyděděn, bylo nutné takové osobě odkázat alespoň něco drobného, aby se </w:t>
      </w:r>
      <w:r w:rsidR="00046AE5">
        <w:t>nezdálo</w:t>
      </w:r>
      <w:r w:rsidR="00F61DBF" w:rsidRPr="00E7605E">
        <w:t>, že na ni zůstavitel zapomněl.</w:t>
      </w:r>
      <w:r w:rsidR="00FF61B8" w:rsidRPr="00E7605E">
        <w:rPr>
          <w:rStyle w:val="Znakapoznpodarou"/>
        </w:rPr>
        <w:t xml:space="preserve"> </w:t>
      </w:r>
      <w:r w:rsidR="00FF61B8" w:rsidRPr="00E7605E">
        <w:rPr>
          <w:rStyle w:val="Znakapoznpodarou"/>
        </w:rPr>
        <w:footnoteReference w:id="69"/>
      </w:r>
    </w:p>
    <w:p w:rsidR="00F61DBF" w:rsidRPr="00E7605E" w:rsidRDefault="00C336CC" w:rsidP="0003101E">
      <w:pPr>
        <w:spacing w:line="360" w:lineRule="auto"/>
        <w:ind w:firstLine="708"/>
        <w:contextualSpacing/>
      </w:pPr>
      <w:r>
        <w:lastRenderedPageBreak/>
        <w:t>Justiniánovy I</w:t>
      </w:r>
      <w:r w:rsidR="00F61DBF" w:rsidRPr="00E7605E">
        <w:t xml:space="preserve">nstituce </w:t>
      </w:r>
      <w:r w:rsidR="00F61DBF" w:rsidRPr="00046AE5">
        <w:t xml:space="preserve">upravují </w:t>
      </w:r>
      <w:r w:rsidR="00046AE5" w:rsidRPr="00046AE5">
        <w:t>shodně s Gaiovou U</w:t>
      </w:r>
      <w:r w:rsidR="00F61DBF" w:rsidRPr="00046AE5">
        <w:t>čebnicí též práva dědiců, kteří se dostali do postavení dědiců vlastních</w:t>
      </w:r>
      <w:r w:rsidR="00D50965" w:rsidRPr="00046AE5">
        <w:rPr>
          <w:rStyle w:val="Znakapoznpodarou"/>
        </w:rPr>
        <w:footnoteReference w:id="70"/>
      </w:r>
      <w:r w:rsidR="00C82B1B" w:rsidRPr="00046AE5">
        <w:t xml:space="preserve"> a dětí adoptovaných.</w:t>
      </w:r>
      <w:r w:rsidR="00C82B1B" w:rsidRPr="00046AE5">
        <w:rPr>
          <w:rStyle w:val="Znakapoznpodarou"/>
        </w:rPr>
        <w:footnoteReference w:id="71"/>
      </w:r>
      <w:r w:rsidR="00F61DBF" w:rsidRPr="00046AE5">
        <w:t xml:space="preserve"> </w:t>
      </w:r>
      <w:r w:rsidRPr="00046AE5">
        <w:t>Rovněž měly</w:t>
      </w:r>
      <w:r w:rsidR="0016428A" w:rsidRPr="00E7605E">
        <w:t xml:space="preserve"> stejná práva jako v době klasické osoby propuštěné z </w:t>
      </w:r>
      <w:r w:rsidR="000620A5" w:rsidRPr="00E7605E">
        <w:t>otcovské</w:t>
      </w:r>
      <w:r w:rsidR="0016428A" w:rsidRPr="00E7605E">
        <w:t xml:space="preserve"> moci</w:t>
      </w:r>
      <w:r w:rsidR="00B615D6" w:rsidRPr="00E7605E">
        <w:t xml:space="preserve">. </w:t>
      </w:r>
      <w:r w:rsidR="000620A5" w:rsidRPr="00E7605E">
        <w:t>Na ro</w:t>
      </w:r>
      <w:r w:rsidR="00AF0A85">
        <w:t>zdíl od Gaiovy U</w:t>
      </w:r>
      <w:r>
        <w:t>čebnice jsou v I</w:t>
      </w:r>
      <w:r w:rsidR="000620A5" w:rsidRPr="00E7605E">
        <w:t>nstitucích Justiniána zřetelné zásahy prétorů do civilního práva</w:t>
      </w:r>
      <w:r w:rsidR="00D50965" w:rsidRPr="00E7605E">
        <w:t>, kdy nařídil</w:t>
      </w:r>
      <w:r w:rsidR="0072201D" w:rsidRPr="00E7605E">
        <w:t>i</w:t>
      </w:r>
      <w:r w:rsidR="00D50965" w:rsidRPr="00E7605E">
        <w:t xml:space="preserve"> </w:t>
      </w:r>
      <w:r>
        <w:t>v rámci ochrany dědiců, aby byly ustanoveny za dědice nebo vyděděny</w:t>
      </w:r>
      <w:r w:rsidR="00D50965" w:rsidRPr="00E7605E">
        <w:t xml:space="preserve"> také osoby emancipované, přestože se nejednalo o dědice vlastní.</w:t>
      </w:r>
      <w:r w:rsidR="00997156" w:rsidRPr="00E7605E">
        <w:t xml:space="preserve"> </w:t>
      </w:r>
      <w:r w:rsidR="00E54ED0" w:rsidRPr="00E7605E">
        <w:t>Prétor byl připraven poskytnout svoji ochranu prostřednictvím držby pozůstalosti proti závěti těm emancipovaným osobám, které nebyly v závěti ustanoveny za dědice ani vyděděny.</w:t>
      </w:r>
      <w:r w:rsidR="00D50965" w:rsidRPr="00E7605E">
        <w:rPr>
          <w:rStyle w:val="Znakapoznpodarou"/>
        </w:rPr>
        <w:footnoteReference w:id="72"/>
      </w:r>
      <w:r w:rsidR="008834EF" w:rsidRPr="00E7605E">
        <w:t xml:space="preserve"> </w:t>
      </w:r>
    </w:p>
    <w:p w:rsidR="004513E2" w:rsidRDefault="000A6F2E" w:rsidP="00735835">
      <w:pPr>
        <w:spacing w:line="360" w:lineRule="auto"/>
        <w:ind w:firstLine="708"/>
        <w:contextualSpacing/>
      </w:pPr>
      <w:r w:rsidRPr="00E7605E">
        <w:t>Tato</w:t>
      </w:r>
      <w:r w:rsidR="00F77E6E">
        <w:t xml:space="preserve"> úprava fungovala do roku 531</w:t>
      </w:r>
      <w:r w:rsidR="00AF0A85">
        <w:t xml:space="preserve"> po Kristu</w:t>
      </w:r>
      <w:r w:rsidRPr="00E7605E">
        <w:t>, kdy byla přijat</w:t>
      </w:r>
      <w:r w:rsidR="00735835" w:rsidRPr="00E7605E">
        <w:t>a konstitu</w:t>
      </w:r>
      <w:r w:rsidR="00E20769" w:rsidRPr="00E7605E">
        <w:t>ce, jak vyplývá z K</w:t>
      </w:r>
      <w:r w:rsidRPr="00E7605E">
        <w:t xml:space="preserve">odexu </w:t>
      </w:r>
      <w:r w:rsidR="002C0D72">
        <w:t>Justiniána z roku 529</w:t>
      </w:r>
      <w:r w:rsidR="00AF0A85">
        <w:t xml:space="preserve"> po Kristu</w:t>
      </w:r>
      <w:r w:rsidR="002C0D72">
        <w:t xml:space="preserve">. </w:t>
      </w:r>
      <w:r w:rsidRPr="00E7605E">
        <w:t xml:space="preserve">V jednom z fragmentů, který se týká právě rozdílu mezi testamentární a intestátní posloupností, je ze začátku kritizován zastaralý rozdílný přístup vůči dědicům z testamentární posloupnosti, kde dědici mužského pohlaví </w:t>
      </w:r>
      <w:r w:rsidR="002B07FD" w:rsidRPr="00E7605E">
        <w:t>měli</w:t>
      </w:r>
      <w:r w:rsidRPr="00E7605E">
        <w:t xml:space="preserve"> výhodnější práva než dědici pohlaví ženského, a vůči dědicům z posloupnosti zákonné, kde </w:t>
      </w:r>
      <w:r w:rsidR="004513E2">
        <w:t>byl</w:t>
      </w:r>
      <w:r w:rsidRPr="00E7605E">
        <w:t xml:space="preserve"> přistup k dědicům obou pohlaví víceméně vyrovnaný. </w:t>
      </w:r>
      <w:r w:rsidR="00735835" w:rsidRPr="00E7605E">
        <w:t xml:space="preserve">Na základě uvědomění si tohoto chybného přístupu k dědicům bylo nařízeno, aby muži i ženy měli v případě dědického nástupnictví na základě závěti rovné postavení, aby ženy byly zvýhodněny přímo v ustanovení závěti a </w:t>
      </w:r>
      <w:r w:rsidR="00AF0A85">
        <w:t xml:space="preserve">aby </w:t>
      </w:r>
      <w:r w:rsidR="00735835" w:rsidRPr="00E7605E">
        <w:t xml:space="preserve">případné vydědění </w:t>
      </w:r>
      <w:r w:rsidR="00AF0A85">
        <w:t>bylo</w:t>
      </w:r>
      <w:r w:rsidR="00735835" w:rsidRPr="00E7605E">
        <w:t xml:space="preserve"> stanoveno stejným a srozumitelným jazykem. Dále bylo stanoveno, že </w:t>
      </w:r>
      <w:r w:rsidR="00AF0A85">
        <w:t xml:space="preserve">by </w:t>
      </w:r>
      <w:r w:rsidR="00735835" w:rsidRPr="00E7605E">
        <w:t>dcera měla mít právo na držbu pozůstalosti proti testamentu stejně jako syn, který je svým vlastním pánem nebo je emancipovaný.</w:t>
      </w:r>
      <w:r w:rsidR="004513E2">
        <w:rPr>
          <w:rStyle w:val="Znakapoznpodarou"/>
        </w:rPr>
        <w:footnoteReference w:id="73"/>
      </w:r>
      <w:r w:rsidR="004513E2">
        <w:t xml:space="preserve"> </w:t>
      </w:r>
      <w:r w:rsidR="004B6DA1" w:rsidRPr="00E7605E">
        <w:t>Z toho vyplývá, že v případě, kdy</w:t>
      </w:r>
      <w:r w:rsidR="00C336CC">
        <w:t>ž</w:t>
      </w:r>
      <w:r w:rsidR="004B6DA1" w:rsidRPr="00E7605E">
        <w:t xml:space="preserve"> by dcera </w:t>
      </w:r>
      <w:r w:rsidR="00C336CC">
        <w:t xml:space="preserve">byla </w:t>
      </w:r>
      <w:r w:rsidR="004B6DA1" w:rsidRPr="00E7605E">
        <w:t xml:space="preserve">závětí </w:t>
      </w:r>
      <w:r w:rsidR="00C336CC">
        <w:t>o</w:t>
      </w:r>
      <w:r w:rsidR="004B6DA1" w:rsidRPr="00E7605E">
        <w:t xml:space="preserve">pominuta, mohla by se svým právním jednáním pokusit o zrušení závěti stejně jako emancipovaný syn nebo syn nezávislý na moci otcovské. </w:t>
      </w:r>
    </w:p>
    <w:p w:rsidR="0055792E" w:rsidRPr="00E7605E" w:rsidRDefault="004B6DA1" w:rsidP="00735835">
      <w:pPr>
        <w:spacing w:line="360" w:lineRule="auto"/>
        <w:ind w:firstLine="708"/>
        <w:contextualSpacing/>
      </w:pPr>
      <w:r w:rsidRPr="00E7605E">
        <w:t xml:space="preserve">Dále bylo stanoveno, že toto pravidlo, </w:t>
      </w:r>
      <w:r w:rsidR="00E61098" w:rsidRPr="00E7605E">
        <w:t xml:space="preserve">se vztahuje nikoli jen na dcery zůstavitele, ale rovněž na vnuky a vnučky narozené v mužské linii, byť se narodili i později. Závěrem můžeme </w:t>
      </w:r>
      <w:r w:rsidR="00795FCB">
        <w:t>uvést</w:t>
      </w:r>
      <w:r w:rsidR="00E61098" w:rsidRPr="00E7605E">
        <w:t xml:space="preserve">, že povinnost být vyděděn se </w:t>
      </w:r>
      <w:r w:rsidR="004513E2">
        <w:t>vztahovala</w:t>
      </w:r>
      <w:r w:rsidR="00E61098" w:rsidRPr="00E7605E">
        <w:t xml:space="preserve"> na všechny potomky v mužské linii</w:t>
      </w:r>
      <w:r w:rsidR="007C6A1F">
        <w:t xml:space="preserve"> civilní i prétorské posloupnosti</w:t>
      </w:r>
      <w:r w:rsidR="00E61098" w:rsidRPr="00E7605E">
        <w:t xml:space="preserve">, bez ohledu na to, zda </w:t>
      </w:r>
      <w:r w:rsidR="004513E2">
        <w:t>byli</w:t>
      </w:r>
      <w:r w:rsidR="00C336CC">
        <w:t xml:space="preserve"> potomci</w:t>
      </w:r>
      <w:r w:rsidR="00E61098" w:rsidRPr="00E7605E">
        <w:t xml:space="preserve"> podřízeni moci otcovské nebo </w:t>
      </w:r>
      <w:r w:rsidR="004513E2">
        <w:t>z ní byli</w:t>
      </w:r>
      <w:r w:rsidR="00E61098" w:rsidRPr="00E7605E">
        <w:t xml:space="preserve"> vyloučeni. Opomenutí vydědit potomky by mělo za následek neplatnost závěti a na pozůstalost by pak měli právo jak synové podřízeni moci otcovské, tak i ti emancipovaní.</w:t>
      </w:r>
      <w:r w:rsidR="000A6F2E" w:rsidRPr="00E7605E">
        <w:rPr>
          <w:rStyle w:val="Znakapoznpodarou"/>
        </w:rPr>
        <w:footnoteReference w:id="74"/>
      </w:r>
    </w:p>
    <w:p w:rsidR="00EE100C" w:rsidRPr="00E7605E" w:rsidRDefault="00945626" w:rsidP="00735835">
      <w:pPr>
        <w:spacing w:line="360" w:lineRule="auto"/>
        <w:ind w:firstLine="708"/>
        <w:contextualSpacing/>
      </w:pPr>
      <w:r w:rsidRPr="002E6FD2">
        <w:lastRenderedPageBreak/>
        <w:t>Za zmínění stojí rovně</w:t>
      </w:r>
      <w:r w:rsidR="00630E15" w:rsidRPr="002E6FD2">
        <w:t>ž práva dětí adoptovaných, které byly</w:t>
      </w:r>
      <w:r w:rsidRPr="002E6FD2">
        <w:t xml:space="preserve"> na základě přijetí </w:t>
      </w:r>
      <w:r w:rsidR="00391852" w:rsidRPr="002E6FD2">
        <w:t>Kodexu</w:t>
      </w:r>
      <w:r w:rsidR="00630E15" w:rsidRPr="002E6FD2">
        <w:t xml:space="preserve"> Justiniána též pozměněny</w:t>
      </w:r>
      <w:r w:rsidR="003972FA" w:rsidRPr="002E6FD2">
        <w:t>. V prvé řadě vyplynul mezi klasik</w:t>
      </w:r>
      <w:r w:rsidR="000162B3" w:rsidRPr="002E6FD2">
        <w:t>y římského práva spor o to, zda</w:t>
      </w:r>
      <w:r w:rsidR="003972FA" w:rsidRPr="002E6FD2">
        <w:t xml:space="preserve"> dítě, které bylo pod mocí otcovskou a následně bylo adoptováno jiným, má v případě opomenutí v závěti vlastním</w:t>
      </w:r>
      <w:r w:rsidR="000F0DDB" w:rsidRPr="002E6FD2">
        <w:t xml:space="preserve"> pokrevním otcem právo na majetek.</w:t>
      </w:r>
      <w:r w:rsidR="006A6EDF" w:rsidRPr="002E6FD2">
        <w:t xml:space="preserve"> Papinianus takovému dítěti právo na podání žaloby</w:t>
      </w:r>
      <w:r w:rsidR="000162B3" w:rsidRPr="002E6FD2">
        <w:t xml:space="preserve"> </w:t>
      </w:r>
      <w:r w:rsidR="002E6FD2">
        <w:t xml:space="preserve">proti závěti </w:t>
      </w:r>
      <w:r w:rsidR="000162B3" w:rsidRPr="002E6FD2">
        <w:t>odepřel</w:t>
      </w:r>
      <w:r w:rsidR="006A6EDF" w:rsidRPr="002E6FD2">
        <w:t xml:space="preserve">, naproti tomu Martianus </w:t>
      </w:r>
      <w:r w:rsidR="000162B3" w:rsidRPr="002E6FD2">
        <w:t>byl</w:t>
      </w:r>
      <w:r w:rsidR="006A6EDF" w:rsidRPr="002E6FD2">
        <w:t xml:space="preserve"> </w:t>
      </w:r>
      <w:r w:rsidR="000162B3" w:rsidRPr="002E6FD2">
        <w:t>odlišného</w:t>
      </w:r>
      <w:r w:rsidR="006A6EDF" w:rsidRPr="002E6FD2">
        <w:t xml:space="preserve"> názor</w:t>
      </w:r>
      <w:r w:rsidR="000162B3" w:rsidRPr="002E6FD2">
        <w:t>u</w:t>
      </w:r>
      <w:r w:rsidR="00EE100C" w:rsidRPr="002E6FD2">
        <w:t>. Domníval se, že potomek by měl mít právo domáhat se majetku po pokrevním otci v případě, kdy by jeho adoptivní otec byl chudý a neměl prostředky na jeho zaopatření.</w:t>
      </w:r>
      <w:r w:rsidR="004E3110" w:rsidRPr="002E6FD2">
        <w:rPr>
          <w:rStyle w:val="Znakapoznpodarou"/>
        </w:rPr>
        <w:footnoteReference w:id="75"/>
      </w:r>
    </w:p>
    <w:p w:rsidR="000579D1" w:rsidRPr="00E7605E" w:rsidRDefault="000162B3" w:rsidP="00C97AF5">
      <w:pPr>
        <w:spacing w:line="360" w:lineRule="auto"/>
        <w:ind w:firstLine="708"/>
        <w:contextualSpacing/>
      </w:pPr>
      <w:r w:rsidRPr="00E7605E">
        <w:t>Dále je v K</w:t>
      </w:r>
      <w:r w:rsidR="00C97AF5" w:rsidRPr="00E7605E">
        <w:t>odexu řešena situace, kdy pokrevní otec adoptovaného dítěte zemře a ado</w:t>
      </w:r>
      <w:r w:rsidR="006F6B21">
        <w:t>ptivní otec</w:t>
      </w:r>
      <w:r w:rsidR="00F61729">
        <w:t xml:space="preserve"> poté</w:t>
      </w:r>
      <w:r w:rsidR="006F6B21">
        <w:t xml:space="preserve"> ustoupí od adopce, </w:t>
      </w:r>
      <w:r w:rsidR="00182296">
        <w:t>tedy</w:t>
      </w:r>
      <w:r w:rsidR="006F6B21">
        <w:t xml:space="preserve"> </w:t>
      </w:r>
      <w:r w:rsidR="001D6C15">
        <w:t>propustí syna ze své moci</w:t>
      </w:r>
      <w:r w:rsidR="00C97AF5" w:rsidRPr="000E0EF0">
        <w:t xml:space="preserve">. </w:t>
      </w:r>
      <w:r w:rsidR="00DF6E95" w:rsidRPr="000E0EF0">
        <w:t>Otázkou zůstává, zda dítěti odpadá možnost napadnout závěť pokrevního otce</w:t>
      </w:r>
      <w:r w:rsidR="000B2E9C" w:rsidRPr="000E0EF0">
        <w:t xml:space="preserve"> kvůli opomenutí</w:t>
      </w:r>
      <w:r w:rsidR="00DF6E95" w:rsidRPr="000E0EF0">
        <w:t xml:space="preserve"> </w:t>
      </w:r>
      <w:r w:rsidR="00752875" w:rsidRPr="000E0EF0">
        <w:t>z toho důvodu, že v</w:t>
      </w:r>
      <w:r w:rsidR="00DF6E95" w:rsidRPr="000E0EF0">
        <w:t> době smrti</w:t>
      </w:r>
      <w:r w:rsidR="000E0EF0" w:rsidRPr="000E0EF0">
        <w:t xml:space="preserve"> svého pokrevního otce</w:t>
      </w:r>
      <w:r w:rsidR="00DF6E95" w:rsidRPr="000E0EF0">
        <w:t xml:space="preserve"> nepatřil do</w:t>
      </w:r>
      <w:r w:rsidR="000E0EF0" w:rsidRPr="000E0EF0">
        <w:t xml:space="preserve"> jeho</w:t>
      </w:r>
      <w:r w:rsidR="00DF6E95" w:rsidRPr="000E0EF0">
        <w:t xml:space="preserve"> rodiny</w:t>
      </w:r>
      <w:r w:rsidR="00DF6E95" w:rsidRPr="00E7605E">
        <w:t xml:space="preserve">. </w:t>
      </w:r>
      <w:r w:rsidR="00D4224C" w:rsidRPr="00E7605E">
        <w:t>V K</w:t>
      </w:r>
      <w:r w:rsidR="003D3268" w:rsidRPr="00E7605E">
        <w:t xml:space="preserve">odexu bylo na tuto otázku </w:t>
      </w:r>
      <w:r w:rsidR="00795FCB">
        <w:t>odpovězeno tak, že v případě</w:t>
      </w:r>
      <w:r w:rsidR="003D3268" w:rsidRPr="00E7605E">
        <w:t xml:space="preserve">, kde došlo k adopci cizí osoby, </w:t>
      </w:r>
      <w:r w:rsidR="005E52EA" w:rsidRPr="00E7605E">
        <w:t>jsou</w:t>
      </w:r>
      <w:r w:rsidR="00805A7B" w:rsidRPr="00E7605E">
        <w:t xml:space="preserve"> práva pokrevního otce </w:t>
      </w:r>
      <w:r w:rsidR="001D6C15">
        <w:t>ztracena. N</w:t>
      </w:r>
      <w:r w:rsidR="00805A7B" w:rsidRPr="00E7605E">
        <w:t>ení tomu však v případě, kdy nedojde k přechodu syna do jiné rodiny.</w:t>
      </w:r>
      <w:r w:rsidR="006F6B21" w:rsidRPr="006F6B21">
        <w:rPr>
          <w:rStyle w:val="Znakapoznpodarou"/>
        </w:rPr>
        <w:t xml:space="preserve"> </w:t>
      </w:r>
      <w:r w:rsidR="006F6B21">
        <w:rPr>
          <w:rStyle w:val="Znakapoznpodarou"/>
        </w:rPr>
        <w:footnoteReference w:id="76"/>
      </w:r>
      <w:r w:rsidR="000B2E9C" w:rsidRPr="00E7605E">
        <w:t xml:space="preserve"> </w:t>
      </w:r>
      <w:r w:rsidR="00480167" w:rsidRPr="00E7605E">
        <w:t xml:space="preserve">Otázkou </w:t>
      </w:r>
      <w:r w:rsidR="00D4224C" w:rsidRPr="00E7605E">
        <w:t>je</w:t>
      </w:r>
      <w:r w:rsidR="00480167" w:rsidRPr="00E7605E">
        <w:t>, zda by se toto řešení dalo aplikovat i na tento problém, jelikož zde fakticky k přechodu do jiné rodiny došlo, ale následně z ní potomek vystoupil skrze provedenou emancipaci.</w:t>
      </w:r>
    </w:p>
    <w:p w:rsidR="00B4734A" w:rsidRPr="00E7605E" w:rsidRDefault="0018036A" w:rsidP="00526C0C">
      <w:pPr>
        <w:spacing w:line="360" w:lineRule="auto"/>
        <w:ind w:firstLine="708"/>
        <w:contextualSpacing/>
      </w:pPr>
      <w:r>
        <w:t>Odlišně se dalo pohlížet na situaci</w:t>
      </w:r>
      <w:r w:rsidR="000579D1" w:rsidRPr="00E7605E">
        <w:t xml:space="preserve">, kdy zůstavitel dal syna k adopci svému dědovi z matčiny nebo otcovy </w:t>
      </w:r>
      <w:r w:rsidR="00A038C0" w:rsidRPr="00E7605E">
        <w:t>strany</w:t>
      </w:r>
      <w:r>
        <w:t>.</w:t>
      </w:r>
      <w:r w:rsidR="00A038C0" w:rsidRPr="00E7605E">
        <w:t xml:space="preserve"> </w:t>
      </w:r>
      <w:r>
        <w:t>Došlo zde ke kombinaci práv přirozených (mezi příbuznými) a práv vyplývajících z adopce.</w:t>
      </w:r>
      <w:r w:rsidR="009A7B46" w:rsidRPr="00E7605E">
        <w:t xml:space="preserve"> V takovém </w:t>
      </w:r>
      <w:r w:rsidR="00EF15D2" w:rsidRPr="00E7605E">
        <w:t>případě se uplatnil</w:t>
      </w:r>
      <w:r w:rsidR="009A7B46" w:rsidRPr="00E7605E">
        <w:t xml:space="preserve"> </w:t>
      </w:r>
      <w:r w:rsidR="004B50CD" w:rsidRPr="00E7605E">
        <w:t>názor</w:t>
      </w:r>
      <w:r w:rsidR="009A7B46" w:rsidRPr="00E7605E">
        <w:t xml:space="preserve"> Papiniana, který tvrdil, </w:t>
      </w:r>
      <w:r w:rsidR="00B4734A" w:rsidRPr="00E7605E">
        <w:t xml:space="preserve">že </w:t>
      </w:r>
      <w:r w:rsidR="009A7B46" w:rsidRPr="00E7605E">
        <w:t>syn</w:t>
      </w:r>
      <w:r w:rsidR="00B4734A" w:rsidRPr="00E7605E">
        <w:t xml:space="preserve"> adopcí</w:t>
      </w:r>
      <w:r w:rsidR="009A7B46" w:rsidRPr="00E7605E">
        <w:t xml:space="preserve"> </w:t>
      </w:r>
      <w:r w:rsidR="00B4734A" w:rsidRPr="00E7605E">
        <w:t xml:space="preserve">pozbyl </w:t>
      </w:r>
      <w:r w:rsidR="009A7B46" w:rsidRPr="00E7605E">
        <w:t>možnosti domáhat se práv na majetek po svém pokrevním</w:t>
      </w:r>
      <w:r w:rsidR="00B4734A" w:rsidRPr="00E7605E">
        <w:t xml:space="preserve"> otci</w:t>
      </w:r>
      <w:r w:rsidR="009A7B46" w:rsidRPr="00E7605E">
        <w:t>.</w:t>
      </w:r>
      <w:r w:rsidR="005E1241" w:rsidRPr="00E7605E">
        <w:t xml:space="preserve"> Tomuto adoptivnímu synovi </w:t>
      </w:r>
      <w:r w:rsidR="00914331">
        <w:t>tak</w:t>
      </w:r>
      <w:r w:rsidR="005E1241" w:rsidRPr="00E7605E">
        <w:t xml:space="preserve"> nebylo povoleno zasahovat do majetkových práv pokrevního otce a musel ctít moc otce adoptivního.</w:t>
      </w:r>
      <w:r w:rsidRPr="0018036A">
        <w:rPr>
          <w:rStyle w:val="Znakapoznpodarou"/>
        </w:rPr>
        <w:t xml:space="preserve"> </w:t>
      </w:r>
      <w:r w:rsidRPr="00E7605E">
        <w:rPr>
          <w:rStyle w:val="Znakapoznpodarou"/>
        </w:rPr>
        <w:footnoteReference w:id="77"/>
      </w:r>
      <w:r w:rsidR="00105335" w:rsidRPr="00E7605E">
        <w:t xml:space="preserve"> </w:t>
      </w:r>
      <w:r w:rsidR="00925DFB" w:rsidRPr="00E7605E">
        <w:t>Důvodem takového závěru mohlo být to, že v tomto případě měl adoptivní otec k adoptovanému synovi bližší pouto</w:t>
      </w:r>
      <w:r w:rsidR="006A2172" w:rsidRPr="00E7605E">
        <w:t>,</w:t>
      </w:r>
      <w:r w:rsidR="00925DFB" w:rsidRPr="00E7605E">
        <w:t xml:space="preserve"> než pokud by se </w:t>
      </w:r>
      <w:r w:rsidR="006A2172" w:rsidRPr="00E7605E">
        <w:t xml:space="preserve">stala adoptivním otcem osoba </w:t>
      </w:r>
      <w:r w:rsidR="00925DFB" w:rsidRPr="00E7605E">
        <w:t>cizí.</w:t>
      </w:r>
      <w:r w:rsidR="006A2172" w:rsidRPr="00E7605E">
        <w:t xml:space="preserve"> B</w:t>
      </w:r>
      <w:r w:rsidR="00925DFB" w:rsidRPr="00E7605E">
        <w:t>yl zde</w:t>
      </w:r>
      <w:r w:rsidR="006A2172" w:rsidRPr="00E7605E">
        <w:t xml:space="preserve"> navíc</w:t>
      </w:r>
      <w:r w:rsidR="00925DFB" w:rsidRPr="00E7605E">
        <w:t xml:space="preserve"> předpoklad, že zde nebudou v budoucnu problémy se zanecháním majetku adoptivnímu synovi, který přeci jen požíval práv jako dědic vlastní</w:t>
      </w:r>
      <w:r w:rsidR="004B50CD" w:rsidRPr="00E7605E">
        <w:t>, což bylo v tomto případě umocněno i pokrevním příbuzenstvím</w:t>
      </w:r>
      <w:r w:rsidR="00925DFB" w:rsidRPr="00E7605E">
        <w:t>.</w:t>
      </w:r>
    </w:p>
    <w:p w:rsidR="00A77820" w:rsidRDefault="00AE5B7A" w:rsidP="00A77820">
      <w:pPr>
        <w:spacing w:line="360" w:lineRule="auto"/>
        <w:ind w:firstLine="708"/>
        <w:contextualSpacing/>
      </w:pPr>
      <w:r w:rsidRPr="00E7605E">
        <w:t>Výhodou adoptovaného potomka, který zůstal nadále v moci adoptivního otce</w:t>
      </w:r>
      <w:r w:rsidR="00C87AE4" w:rsidRPr="00E7605E">
        <w:t>,</w:t>
      </w:r>
      <w:r w:rsidRPr="00E7605E">
        <w:t xml:space="preserve"> </w:t>
      </w:r>
      <w:r w:rsidR="00C81723" w:rsidRPr="00E7605E">
        <w:t>bylo</w:t>
      </w:r>
      <w:r w:rsidRPr="00E7605E">
        <w:t xml:space="preserve">, </w:t>
      </w:r>
      <w:r w:rsidR="00CF509B" w:rsidRPr="00E7605E">
        <w:t xml:space="preserve">že </w:t>
      </w:r>
      <w:r w:rsidR="00C81723" w:rsidRPr="00E7605E">
        <w:t>nemohl</w:t>
      </w:r>
      <w:r w:rsidR="00CF509B" w:rsidRPr="00E7605E">
        <w:t xml:space="preserve"> být ošizen z nástupnického práva po svém adoptivním otci</w:t>
      </w:r>
      <w:r w:rsidR="00F23207" w:rsidRPr="00E7605E">
        <w:t>,</w:t>
      </w:r>
      <w:r w:rsidR="00CF509B" w:rsidRPr="00E7605E">
        <w:t xml:space="preserve"> pokud by zemřel bez závěti. </w:t>
      </w:r>
      <w:r w:rsidR="00C81723" w:rsidRPr="00E7605E">
        <w:t>Na druhou stranu</w:t>
      </w:r>
      <w:r w:rsidR="00F23207" w:rsidRPr="00E7605E">
        <w:t xml:space="preserve"> pro něj </w:t>
      </w:r>
      <w:r w:rsidR="00C81723" w:rsidRPr="00E7605E">
        <w:t xml:space="preserve">bylo </w:t>
      </w:r>
      <w:r w:rsidR="00F23207" w:rsidRPr="00E7605E">
        <w:t xml:space="preserve">výhodné i to, že </w:t>
      </w:r>
      <w:r w:rsidR="00C81723" w:rsidRPr="00E7605E">
        <w:t>mohl</w:t>
      </w:r>
      <w:r w:rsidR="00F23207" w:rsidRPr="00E7605E">
        <w:t xml:space="preserve"> být dědicem </w:t>
      </w:r>
      <w:r w:rsidR="00AE757C" w:rsidRPr="00E7605E">
        <w:t>svého</w:t>
      </w:r>
      <w:r w:rsidR="00F23207" w:rsidRPr="00E7605E">
        <w:t xml:space="preserve"> p</w:t>
      </w:r>
      <w:r w:rsidR="00AE757C" w:rsidRPr="00E7605E">
        <w:t>okrevního otce</w:t>
      </w:r>
      <w:r w:rsidR="00F23207" w:rsidRPr="00E7605E">
        <w:t xml:space="preserve"> na základě závěti.</w:t>
      </w:r>
      <w:r w:rsidR="00F23207" w:rsidRPr="00E7605E">
        <w:rPr>
          <w:rStyle w:val="Znakapoznpodarou"/>
        </w:rPr>
        <w:footnoteReference w:id="78"/>
      </w:r>
      <w:r w:rsidR="00AA02C5" w:rsidRPr="00E7605E">
        <w:t xml:space="preserve"> Nutno dodat, že </w:t>
      </w:r>
      <w:r w:rsidR="00C81723" w:rsidRPr="00E7605E">
        <w:t>Kodex</w:t>
      </w:r>
      <w:r w:rsidR="001713B7" w:rsidRPr="00E7605E">
        <w:t xml:space="preserve"> opět s ohledem na </w:t>
      </w:r>
      <w:r w:rsidR="00AE757C" w:rsidRPr="00E7605E">
        <w:t>příznivější</w:t>
      </w:r>
      <w:r w:rsidR="001713B7" w:rsidRPr="00E7605E">
        <w:t xml:space="preserve"> postavení </w:t>
      </w:r>
      <w:r w:rsidR="001713B7" w:rsidRPr="00E7605E">
        <w:lastRenderedPageBreak/>
        <w:t xml:space="preserve">ženského pohlaví </w:t>
      </w:r>
      <w:r w:rsidR="00C81723" w:rsidRPr="00E7605E">
        <w:t>přiznával</w:t>
      </w:r>
      <w:r w:rsidR="001713B7" w:rsidRPr="00E7605E">
        <w:t xml:space="preserve"> veškerá práva adoptovaných synů též adopt</w:t>
      </w:r>
      <w:r w:rsidR="00AA02C5" w:rsidRPr="00E7605E">
        <w:t>ovaným dcerám, vnukům a vnučkám</w:t>
      </w:r>
      <w:r w:rsidR="009B26D9">
        <w:t>,</w:t>
      </w:r>
      <w:r w:rsidR="00AA02C5" w:rsidRPr="00E7605E">
        <w:t xml:space="preserve"> a rovněž jejich potomkům obou pohlaví, kteří </w:t>
      </w:r>
      <w:r w:rsidR="00C81723" w:rsidRPr="00E7605E">
        <w:t>byli</w:t>
      </w:r>
      <w:r w:rsidR="00AA02C5" w:rsidRPr="00E7605E">
        <w:t xml:space="preserve"> pod mocí otcovskou.</w:t>
      </w:r>
      <w:r w:rsidR="00AA02C5" w:rsidRPr="00E7605E">
        <w:rPr>
          <w:rStyle w:val="Znakapoznpodarou"/>
        </w:rPr>
        <w:footnoteReference w:id="79"/>
      </w:r>
    </w:p>
    <w:p w:rsidR="00ED7F61" w:rsidRPr="00E7605E" w:rsidRDefault="00ED7F61" w:rsidP="00A77820">
      <w:pPr>
        <w:spacing w:line="360" w:lineRule="auto"/>
        <w:ind w:firstLine="708"/>
        <w:contextualSpacing/>
      </w:pPr>
      <w:r w:rsidRPr="00E7605E">
        <w:tab/>
      </w:r>
    </w:p>
    <w:p w:rsidR="00ED7F61" w:rsidRPr="00E7605E" w:rsidRDefault="00690557" w:rsidP="002E59E5">
      <w:pPr>
        <w:pStyle w:val="Nadpis3"/>
      </w:pPr>
      <w:bookmarkStart w:id="9" w:name="_Toc449513897"/>
      <w:r w:rsidRPr="00E7605E">
        <w:t>1. 3. 2 Materiální práva nepominutelných dědiců</w:t>
      </w:r>
      <w:bookmarkEnd w:id="9"/>
    </w:p>
    <w:p w:rsidR="0024543A" w:rsidRDefault="00C02B93" w:rsidP="00137D52">
      <w:pPr>
        <w:spacing w:line="360" w:lineRule="auto"/>
        <w:contextualSpacing/>
      </w:pPr>
      <w:r w:rsidRPr="00E7605E">
        <w:tab/>
        <w:t>Právní úprava povinnosti zůstavitele stanovit ve své závěti část pozůstalosti jako povinný díl ve prospěch nepominut</w:t>
      </w:r>
      <w:r w:rsidR="00DA070C" w:rsidRPr="00E7605E">
        <w:t>e</w:t>
      </w:r>
      <w:r w:rsidRPr="00E7605E">
        <w:t xml:space="preserve">lných dědiců zůstala až na pár odchylek totožná s úpravou předchozí. </w:t>
      </w:r>
      <w:r w:rsidR="0024543A">
        <w:t>Právo na povinný díl mělo být prostředkem</w:t>
      </w:r>
      <w:r w:rsidR="00DA070C" w:rsidRPr="00E7605E">
        <w:t xml:space="preserve"> pro zachování jednoty rodiny</w:t>
      </w:r>
      <w:r w:rsidR="0024543A">
        <w:t>.</w:t>
      </w:r>
      <w:r w:rsidR="000148C8" w:rsidRPr="00E7605E">
        <w:rPr>
          <w:rStyle w:val="Znakapoznpodarou"/>
        </w:rPr>
        <w:footnoteReference w:id="80"/>
      </w:r>
    </w:p>
    <w:p w:rsidR="00AE3BF5" w:rsidRDefault="0024543A" w:rsidP="00AB382B">
      <w:pPr>
        <w:spacing w:line="360" w:lineRule="auto"/>
        <w:contextualSpacing/>
      </w:pPr>
      <w:r>
        <w:tab/>
        <w:t xml:space="preserve">Povinný díl </w:t>
      </w:r>
      <w:r w:rsidR="00DA070C" w:rsidRPr="00E7605E">
        <w:t>patřil potomků</w:t>
      </w:r>
      <w:r>
        <w:t>m</w:t>
      </w:r>
      <w:r w:rsidR="00DA070C" w:rsidRPr="00E7605E">
        <w:t xml:space="preserve">, předkům a v některých případech rovněž sourozencům zůstavitele. </w:t>
      </w:r>
      <w:r w:rsidR="00FB4B2E" w:rsidRPr="00E7605E">
        <w:t>Shodně zůstalo</w:t>
      </w:r>
      <w:r>
        <w:t xml:space="preserve"> s předchozí úpravou</w:t>
      </w:r>
      <w:r w:rsidR="001E6EFC">
        <w:t xml:space="preserve"> i to</w:t>
      </w:r>
      <w:r w:rsidR="00FB4B2E" w:rsidRPr="00E7605E">
        <w:t>, že se svého povinného dílu mohli</w:t>
      </w:r>
      <w:r w:rsidR="001E6EFC">
        <w:t xml:space="preserve"> </w:t>
      </w:r>
      <w:r w:rsidR="001E6EFC" w:rsidRPr="00E7605E">
        <w:t>domáhat</w:t>
      </w:r>
      <w:r w:rsidR="001E6EFC">
        <w:t xml:space="preserve"> jen ti</w:t>
      </w:r>
      <w:r w:rsidR="00FB4B2E" w:rsidRPr="00E7605E">
        <w:t>, kteří byli nejbližšími dědici z intestátní posloupnosti civilní či prétorské.</w:t>
      </w:r>
      <w:r>
        <w:t xml:space="preserve"> </w:t>
      </w:r>
      <w:r w:rsidR="00AE3BF5">
        <w:rPr>
          <w:rStyle w:val="Znakapoznpodarou"/>
        </w:rPr>
        <w:footnoteReference w:id="81"/>
      </w:r>
    </w:p>
    <w:p w:rsidR="00AE3BF5" w:rsidRDefault="00AE3BF5" w:rsidP="00AB382B">
      <w:pPr>
        <w:spacing w:line="360" w:lineRule="auto"/>
        <w:contextualSpacing/>
      </w:pPr>
      <w:r>
        <w:tab/>
      </w:r>
      <w:r w:rsidR="004B18DD" w:rsidRPr="00E7605E">
        <w:t>Ke změně práva na povinný díl došlo u dětí adoptovaných.</w:t>
      </w:r>
      <w:r w:rsidR="00096EDD" w:rsidRPr="00E7605E">
        <w:t xml:space="preserve"> Tam, kde došlo k úplné adopci (</w:t>
      </w:r>
      <w:r w:rsidR="00096EDD" w:rsidRPr="00E7605E">
        <w:rPr>
          <w:i/>
        </w:rPr>
        <w:t>plene adoptati a adrogati</w:t>
      </w:r>
      <w:r w:rsidR="00D51755">
        <w:rPr>
          <w:i/>
        </w:rPr>
        <w:t>m)</w:t>
      </w:r>
      <w:r w:rsidR="00D51755" w:rsidRPr="00D51755">
        <w:t>,</w:t>
      </w:r>
      <w:r w:rsidR="00D51755">
        <w:t xml:space="preserve"> </w:t>
      </w:r>
      <w:r w:rsidR="00096EDD" w:rsidRPr="00E7605E">
        <w:t>právo na povinný díl náleželo dítěti proti osobě adoptanta, nikoli</w:t>
      </w:r>
      <w:r w:rsidR="00E7605E" w:rsidRPr="00E7605E">
        <w:t xml:space="preserve"> proti pokrevnímu</w:t>
      </w:r>
      <w:r w:rsidR="00096EDD" w:rsidRPr="00E7605E">
        <w:t xml:space="preserve"> otc</w:t>
      </w:r>
      <w:r w:rsidR="008A5A23">
        <w:t>i</w:t>
      </w:r>
      <w:r w:rsidR="00096EDD" w:rsidRPr="00E7605E">
        <w:t>. V případě adopce neúplné (</w:t>
      </w:r>
      <w:r w:rsidR="00096EDD" w:rsidRPr="00E7605E">
        <w:rPr>
          <w:i/>
        </w:rPr>
        <w:t>minus plene adoptatus</w:t>
      </w:r>
      <w:r w:rsidR="00096EDD" w:rsidRPr="00E7605E">
        <w:t>)</w:t>
      </w:r>
      <w:r w:rsidR="00B1678B" w:rsidRPr="00D51755">
        <w:rPr>
          <w:rStyle w:val="Znakapoznpodarou"/>
        </w:rPr>
        <w:footnoteReference w:id="82"/>
      </w:r>
      <w:r w:rsidR="0024543A">
        <w:t>,</w:t>
      </w:r>
      <w:r w:rsidR="00096EDD" w:rsidRPr="00E7605E">
        <w:t xml:space="preserve"> zůstávalo dítěti právo na povinný díl po svém pokrevním otci. Naproti adoptivnímu otci měl pr</w:t>
      </w:r>
      <w:r w:rsidR="008A5A23">
        <w:t>á</w:t>
      </w:r>
      <w:r w:rsidR="00096EDD" w:rsidRPr="00E7605E">
        <w:t>va z intestátní posloupnosti.</w:t>
      </w:r>
      <w:r w:rsidR="00096EDD" w:rsidRPr="00E7605E">
        <w:rPr>
          <w:rStyle w:val="Znakapoznpodarou"/>
        </w:rPr>
        <w:footnoteReference w:id="83"/>
      </w:r>
      <w:r w:rsidR="003839F5" w:rsidRPr="00E7605E">
        <w:t xml:space="preserve"> </w:t>
      </w:r>
    </w:p>
    <w:p w:rsidR="002B7581" w:rsidRDefault="00AE3BF5" w:rsidP="00AB382B">
      <w:pPr>
        <w:spacing w:line="360" w:lineRule="auto"/>
        <w:contextualSpacing/>
      </w:pPr>
      <w:r>
        <w:tab/>
      </w:r>
      <w:r w:rsidR="003839F5" w:rsidRPr="00E7605E">
        <w:t>Dále bylo stanov</w:t>
      </w:r>
      <w:r w:rsidR="008A5A23">
        <w:t>e</w:t>
      </w:r>
      <w:r w:rsidR="003839F5" w:rsidRPr="00E7605E">
        <w:t>no, že právo domáhat se povinného dílu mají nemanželské děti pouze po své matce, niko</w:t>
      </w:r>
      <w:r>
        <w:t>li po otci a jeho příbuzným. P</w:t>
      </w:r>
      <w:r w:rsidR="003839F5" w:rsidRPr="00E7605E">
        <w:t>odobné pravidlo se vázalo i k potomkům konkubín, byť jim bylo přiznáno omezené intestátní právo.</w:t>
      </w:r>
      <w:r w:rsidR="003839F5" w:rsidRPr="00E7605E">
        <w:rPr>
          <w:rStyle w:val="Znakapoznpodarou"/>
        </w:rPr>
        <w:footnoteReference w:id="84"/>
      </w:r>
    </w:p>
    <w:p w:rsidR="00E7605E" w:rsidRDefault="00E7605E" w:rsidP="00AB382B">
      <w:pPr>
        <w:spacing w:line="360" w:lineRule="auto"/>
        <w:contextualSpacing/>
      </w:pPr>
      <w:r>
        <w:tab/>
      </w:r>
      <w:r w:rsidR="00CC294A">
        <w:t>Velikost</w:t>
      </w:r>
      <w:r>
        <w:t xml:space="preserve"> povinného dílu byla odvislá od </w:t>
      </w:r>
      <w:r w:rsidR="00CC294A">
        <w:t xml:space="preserve">celkové výše hodnoty pozůstalosti v době smrti zůstavitele. </w:t>
      </w:r>
      <w:r w:rsidR="00CC294A" w:rsidRPr="00097EC9">
        <w:t>Celková výše povinného dílu poté závisela na počtu dědiců</w:t>
      </w:r>
      <w:r w:rsidR="0062518E" w:rsidRPr="00097EC9">
        <w:t>, do kterých se započítávali i ti, co nemohl</w:t>
      </w:r>
      <w:r w:rsidR="008A5A23" w:rsidRPr="00097EC9">
        <w:t>i být dědici nebo byli vyděděni</w:t>
      </w:r>
      <w:r w:rsidR="00CC294A" w:rsidRPr="00097EC9">
        <w:t>.</w:t>
      </w:r>
      <w:r w:rsidR="00097EC9">
        <w:t xml:space="preserve"> V případě, kdy </w:t>
      </w:r>
      <w:r w:rsidR="003F3C78">
        <w:t>byli dědici</w:t>
      </w:r>
      <w:r w:rsidR="00097EC9">
        <w:t xml:space="preserve"> čtyři, výše povinného dílu byla 1/3 z dědického podílu vycházejícího </w:t>
      </w:r>
      <w:r w:rsidR="00E5294E">
        <w:t>z intestátní posloupnosti</w:t>
      </w:r>
      <w:r w:rsidR="00CC294A">
        <w:t>. Pokud bylo dědiců více</w:t>
      </w:r>
      <w:r w:rsidR="00E5294E">
        <w:t>,</w:t>
      </w:r>
      <w:r w:rsidR="00CC294A">
        <w:t xml:space="preserve"> než v pře</w:t>
      </w:r>
      <w:r w:rsidR="008A5A23">
        <w:t>d</w:t>
      </w:r>
      <w:r w:rsidR="00CC294A">
        <w:t>chozím případě, byla velikost povinného dílu stanovena na 1/2 z dědického podílu každého dědice.</w:t>
      </w:r>
      <w:r w:rsidR="00CC294A">
        <w:rPr>
          <w:rStyle w:val="Znakapoznpodarou"/>
        </w:rPr>
        <w:footnoteReference w:id="85"/>
      </w:r>
    </w:p>
    <w:p w:rsidR="00A71215" w:rsidRDefault="003B1D58" w:rsidP="00AB382B">
      <w:pPr>
        <w:spacing w:line="360" w:lineRule="auto"/>
        <w:contextualSpacing/>
      </w:pPr>
      <w:r>
        <w:tab/>
        <w:t xml:space="preserve">Ke změnám v justiniánském právu došlo i u </w:t>
      </w:r>
      <w:r w:rsidR="00A71215">
        <w:t xml:space="preserve">povinnosti započíst majetek, která měla již v tomto období povahu všeobecné kollační povinnosti descendentů dědicích ze zákona. </w:t>
      </w:r>
      <w:r w:rsidR="00E13216">
        <w:t xml:space="preserve">Nepostihovala tedy pouze osoby nepodléhající moci otcovské, ale obecně veškeré potomky </w:t>
      </w:r>
      <w:r w:rsidR="00E13216">
        <w:lastRenderedPageBreak/>
        <w:t>zůstavitele. Tito p</w:t>
      </w:r>
      <w:r w:rsidR="00C748E5">
        <w:t xml:space="preserve">otomci byli povinni započíst </w:t>
      </w:r>
      <w:r w:rsidR="00F74D07">
        <w:t xml:space="preserve">na svůj dědický podíl </w:t>
      </w:r>
      <w:r w:rsidR="00C748E5">
        <w:t>vše, co od zůstavitele obdrželi za jeho života. Potomek byl povinen započíst do svého dědického podílu věno, dary poskytnuté před uzavřením manželství</w:t>
      </w:r>
      <w:r w:rsidR="000107B6">
        <w:t xml:space="preserve"> </w:t>
      </w:r>
      <w:r w:rsidR="00444A62">
        <w:t>i</w:t>
      </w:r>
      <w:r w:rsidR="000107B6">
        <w:t xml:space="preserve"> koupitelná úřednická místa (</w:t>
      </w:r>
      <w:r w:rsidR="000107B6">
        <w:rPr>
          <w:i/>
        </w:rPr>
        <w:t>militia)</w:t>
      </w:r>
      <w:r w:rsidR="000107B6">
        <w:t>.</w:t>
      </w:r>
      <w:r w:rsidR="00E13216">
        <w:rPr>
          <w:rStyle w:val="Znakapoznpodarou"/>
        </w:rPr>
        <w:footnoteReference w:id="86"/>
      </w:r>
      <w:r w:rsidR="00444A62">
        <w:t xml:space="preserve"> </w:t>
      </w:r>
      <w:r w:rsidR="00F74D07">
        <w:t>Obyčejná d</w:t>
      </w:r>
      <w:r w:rsidR="00444A62">
        <w:t>arování učiněná za života z</w:t>
      </w:r>
      <w:r w:rsidR="002B2C06">
        <w:t xml:space="preserve">ůstavitele se započítávala jen tehdy, když dal zůstavitel </w:t>
      </w:r>
      <w:r w:rsidR="005D17D9">
        <w:t xml:space="preserve">ke kollaci </w:t>
      </w:r>
      <w:r w:rsidR="002B2C06">
        <w:t>příka</w:t>
      </w:r>
      <w:r w:rsidR="005D17D9">
        <w:t>z.</w:t>
      </w:r>
      <w:r w:rsidR="005D17D9">
        <w:rPr>
          <w:rStyle w:val="Znakapoznpodarou"/>
        </w:rPr>
        <w:footnoteReference w:id="87"/>
      </w:r>
    </w:p>
    <w:p w:rsidR="00D52A05" w:rsidRDefault="00D52A05" w:rsidP="00AB382B">
      <w:pPr>
        <w:spacing w:line="360" w:lineRule="auto"/>
        <w:contextualSpacing/>
      </w:pPr>
      <w:r>
        <w:tab/>
        <w:t xml:space="preserve">I v této době bylo běžné zanechat v závěti vedle </w:t>
      </w:r>
      <w:r w:rsidR="003E5580">
        <w:t>určení</w:t>
      </w:r>
      <w:r>
        <w:t xml:space="preserve"> dědice nebo jeho vydědění některá z vedlejších ustanovení. Ta byla obecně platná. Jednalo-li se však o vedlejší ustanovení, které se nějakým způsobem týkalo povinného dílu (např. jeho výše, vyloučení), hledělo se na takové ustanovení</w:t>
      </w:r>
      <w:r w:rsidR="008A5A23">
        <w:t>,</w:t>
      </w:r>
      <w:r>
        <w:t xml:space="preserve"> jako kdyby nebylo učiněno. Pokud se však takové ustanov</w:t>
      </w:r>
      <w:r w:rsidR="008A5A23">
        <w:t>e</w:t>
      </w:r>
      <w:r>
        <w:t>ní týkalo poskytnutí majetkového plnění nad výši povinného dílu, bylo již platné.</w:t>
      </w:r>
      <w:r>
        <w:rPr>
          <w:rStyle w:val="Znakapoznpodarou"/>
        </w:rPr>
        <w:footnoteReference w:id="88"/>
      </w:r>
    </w:p>
    <w:p w:rsidR="003E5580" w:rsidRDefault="00E15469" w:rsidP="00AB382B">
      <w:pPr>
        <w:spacing w:line="360" w:lineRule="auto"/>
        <w:contextualSpacing/>
      </w:pPr>
      <w:r>
        <w:tab/>
        <w:t>Z</w:t>
      </w:r>
      <w:r w:rsidR="003E5580">
        <w:t>a Justinián</w:t>
      </w:r>
      <w:r w:rsidR="0059198D">
        <w:t>a I. měli nepominutelní dědici</w:t>
      </w:r>
      <w:r w:rsidR="003E5580">
        <w:t xml:space="preserve"> </w:t>
      </w:r>
      <w:r>
        <w:t xml:space="preserve">několik </w:t>
      </w:r>
      <w:r w:rsidR="00A47505">
        <w:t xml:space="preserve">možných </w:t>
      </w:r>
      <w:r w:rsidR="003E5580">
        <w:t xml:space="preserve">prostředků obrany proti bezdůvodnému vydědění nebo opomenutí závětí. </w:t>
      </w:r>
      <w:r w:rsidR="005E6237">
        <w:t xml:space="preserve">Dědic mohl </w:t>
      </w:r>
      <w:r w:rsidR="00733581">
        <w:t>použít žalobu</w:t>
      </w:r>
      <w:r w:rsidR="005E6237">
        <w:t xml:space="preserve"> proti nespravedlivé závěti</w:t>
      </w:r>
      <w:r w:rsidR="00CB3CE6">
        <w:t xml:space="preserve"> </w:t>
      </w:r>
      <w:r w:rsidR="005E6237">
        <w:t>v případě, kdy rodi</w:t>
      </w:r>
      <w:r w:rsidR="00A47505">
        <w:t>če v době pořízení závěti nebyli</w:t>
      </w:r>
      <w:r w:rsidR="005E6237">
        <w:t xml:space="preserve"> zdravé mysli. </w:t>
      </w:r>
      <w:r w:rsidR="00914331">
        <w:t>Jednalo se o situaci, kdy</w:t>
      </w:r>
      <w:r w:rsidR="005E6237">
        <w:t xml:space="preserve"> sice byli </w:t>
      </w:r>
      <w:r w:rsidR="005E6237" w:rsidRPr="00131C8F">
        <w:t>psychicky v pořádku, ale nesplnili v závěti požadavky, které na ně byly kladeny vůči vlastní rodině</w:t>
      </w:r>
      <w:r w:rsidR="00E567D2" w:rsidRPr="00131C8F">
        <w:t>. Žalobu proti nespravedlivé závěti mohli podat žalobci jen v případě, kdy jim v testamentu nebylo zanecháno nic.</w:t>
      </w:r>
      <w:r w:rsidR="0023451E" w:rsidRPr="00131C8F">
        <w:rPr>
          <w:rStyle w:val="Znakapoznpodarou"/>
        </w:rPr>
        <w:footnoteReference w:id="89"/>
      </w:r>
      <w:r w:rsidR="005E6237">
        <w:t xml:space="preserve"> </w:t>
      </w:r>
      <w:r w:rsidR="00A777EC">
        <w:t>Tohoto prostředku obrany mohly</w:t>
      </w:r>
      <w:r w:rsidR="00E76687">
        <w:t xml:space="preserve"> využít nejen děti zůstavitele, ale rovněž jeho rodiče. Sourozenci zůstavitele mohli </w:t>
      </w:r>
      <w:r w:rsidR="00A777EC">
        <w:t>podat</w:t>
      </w:r>
      <w:r w:rsidR="00733581">
        <w:t xml:space="preserve"> žalobu</w:t>
      </w:r>
      <w:r w:rsidR="00E76687">
        <w:t xml:space="preserve"> jen v určitých případech. Vzdálení příbuzní by v žalobě pravděpodobně nebyli úspěšní.</w:t>
      </w:r>
      <w:r w:rsidR="0023451E">
        <w:rPr>
          <w:rStyle w:val="Znakapoznpodarou"/>
        </w:rPr>
        <w:footnoteReference w:id="90"/>
      </w:r>
      <w:r w:rsidR="00E76687">
        <w:t xml:space="preserve"> </w:t>
      </w:r>
    </w:p>
    <w:p w:rsidR="0023451E" w:rsidRDefault="0023451E" w:rsidP="00733581">
      <w:pPr>
        <w:spacing w:line="360" w:lineRule="auto"/>
        <w:contextualSpacing/>
      </w:pPr>
      <w:r>
        <w:tab/>
        <w:t>Druhým prostředkem obrany byla žaloba na doplnění povinného dílu (</w:t>
      </w:r>
      <w:r>
        <w:rPr>
          <w:i/>
        </w:rPr>
        <w:t>accio suppletoria)</w:t>
      </w:r>
      <w:r>
        <w:t>, kterou mohl využ</w:t>
      </w:r>
      <w:r w:rsidR="008A5A23">
        <w:t>í</w:t>
      </w:r>
      <w:r>
        <w:t>t dědic v případ</w:t>
      </w:r>
      <w:r w:rsidR="0059198D">
        <w:t>ě, kdy mu byla</w:t>
      </w:r>
      <w:r>
        <w:t xml:space="preserve"> závětí zanechána</w:t>
      </w:r>
      <w:r w:rsidR="0059198D">
        <w:t xml:space="preserve"> jen</w:t>
      </w:r>
      <w:r>
        <w:t xml:space="preserve"> část</w:t>
      </w:r>
      <w:r w:rsidR="0059198D">
        <w:t xml:space="preserve"> jeho povinného dílu.</w:t>
      </w:r>
      <w:r>
        <w:rPr>
          <w:rStyle w:val="Znakapoznpodarou"/>
        </w:rPr>
        <w:footnoteReference w:id="91"/>
      </w:r>
      <w:r>
        <w:t xml:space="preserve"> </w:t>
      </w:r>
      <w:r w:rsidR="00733581">
        <w:t xml:space="preserve"> </w:t>
      </w:r>
      <w:r w:rsidR="0018181A">
        <w:t>Oproti kverele se tato žaloba promlčovala ve 30 letech a neodpadala v případě, kdy oprávněný přijal, co mu bylo zůstaveno testamentem. Navíc tato žaloba nebyla vázána pouze na osobu nepominutelného dědice</w:t>
      </w:r>
      <w:r w:rsidR="00733581">
        <w:t>. Pokud ji nepominutelný dědic za svého života nepoužil, přecházela na jeho potomka.</w:t>
      </w:r>
      <w:r w:rsidR="0018181A">
        <w:rPr>
          <w:rStyle w:val="Znakapoznpodarou"/>
        </w:rPr>
        <w:footnoteReference w:id="92"/>
      </w:r>
    </w:p>
    <w:p w:rsidR="00914331" w:rsidRDefault="00914331" w:rsidP="002E59E5">
      <w:pPr>
        <w:pStyle w:val="Nadpis3"/>
      </w:pPr>
    </w:p>
    <w:p w:rsidR="00C87AE4" w:rsidRPr="00E7605E" w:rsidRDefault="003D136E" w:rsidP="002E59E5">
      <w:pPr>
        <w:pStyle w:val="Nadpis3"/>
      </w:pPr>
      <w:bookmarkStart w:id="10" w:name="_Toc449513898"/>
      <w:r>
        <w:t>1. 3. 3 Nove</w:t>
      </w:r>
      <w:r w:rsidR="00690557" w:rsidRPr="00E7605E">
        <w:t>la 115 a její vliv na posloupnost proti testamentu</w:t>
      </w:r>
      <w:bookmarkEnd w:id="10"/>
    </w:p>
    <w:p w:rsidR="003B0194" w:rsidRDefault="00A4116B" w:rsidP="00137D52">
      <w:pPr>
        <w:spacing w:line="360" w:lineRule="auto"/>
        <w:ind w:firstLine="708"/>
        <w:contextualSpacing/>
      </w:pPr>
      <w:r>
        <w:t>Některá ustanovení Kodexu</w:t>
      </w:r>
      <w:r w:rsidR="00306E41">
        <w:t xml:space="preserve"> Justiniána si v průběhu následujících let po jeho přijetí vyžádal</w:t>
      </w:r>
      <w:r w:rsidR="00EF14FF">
        <w:t>a</w:t>
      </w:r>
      <w:r w:rsidR="00306E41">
        <w:t xml:space="preserve"> několik změn. Jedna z nejpodstatnějších novel, která se týkala formálních i materiálních práv nepominutelných dědiců, byla novela 115 z roku 542</w:t>
      </w:r>
      <w:r w:rsidR="00FF036B">
        <w:t xml:space="preserve"> po Kristu</w:t>
      </w:r>
      <w:r w:rsidR="00306E41">
        <w:t>.</w:t>
      </w:r>
      <w:r w:rsidR="00EF14FF">
        <w:t xml:space="preserve"> Můžeme říci, že na základě této novely byla slouč</w:t>
      </w:r>
      <w:r w:rsidR="009F56D3">
        <w:t>ena formální a materiální práva nepominutelných dědiců. Byla zde totiž</w:t>
      </w:r>
      <w:r w:rsidR="00EF14FF">
        <w:t xml:space="preserve"> stanovena </w:t>
      </w:r>
      <w:r w:rsidR="002E5B73">
        <w:t xml:space="preserve">jak povinnost otce, matky, děda, </w:t>
      </w:r>
      <w:r w:rsidR="00EF14FF">
        <w:t>babičky a dalších, stanovit ve své závěti dědice nebo ho vydědit,</w:t>
      </w:r>
      <w:r w:rsidR="00061B2A">
        <w:t xml:space="preserve"> </w:t>
      </w:r>
      <w:r w:rsidR="009F56D3">
        <w:t>ale</w:t>
      </w:r>
      <w:r w:rsidR="00061B2A">
        <w:t xml:space="preserve"> i</w:t>
      </w:r>
      <w:r w:rsidR="00EF14FF">
        <w:t xml:space="preserve"> zároveň takovou závětí určit povinný díl.</w:t>
      </w:r>
      <w:r w:rsidR="00D73352">
        <w:t xml:space="preserve"> </w:t>
      </w:r>
      <w:r w:rsidR="00D73352" w:rsidRPr="00D73352">
        <w:t xml:space="preserve">V novele nebyly zachyceny žádné poznatky ohledně sourozenců zůstavitele, můžeme </w:t>
      </w:r>
      <w:r w:rsidR="009F56D3">
        <w:t>tedy</w:t>
      </w:r>
      <w:r w:rsidR="00914331">
        <w:t xml:space="preserve"> </w:t>
      </w:r>
      <w:r w:rsidR="00D73352" w:rsidRPr="00D73352">
        <w:t xml:space="preserve">dovozovat, že jejich postavení bylo </w:t>
      </w:r>
      <w:r w:rsidR="00882A9A">
        <w:t>stejné</w:t>
      </w:r>
      <w:r w:rsidR="00D73352" w:rsidRPr="00D73352">
        <w:t xml:space="preserve"> jako podle předchozí úpravy.</w:t>
      </w:r>
      <w:r w:rsidR="00B733D2" w:rsidRPr="00B733D2">
        <w:rPr>
          <w:vertAlign w:val="superscript"/>
        </w:rPr>
        <w:t xml:space="preserve"> </w:t>
      </w:r>
      <w:r w:rsidR="00B733D2" w:rsidRPr="00B733D2">
        <w:rPr>
          <w:vertAlign w:val="superscript"/>
        </w:rPr>
        <w:footnoteReference w:id="93"/>
      </w:r>
    </w:p>
    <w:p w:rsidR="007719FD" w:rsidRDefault="00ED4225" w:rsidP="005A0BAD">
      <w:pPr>
        <w:spacing w:line="360" w:lineRule="auto"/>
        <w:ind w:firstLine="708"/>
        <w:contextualSpacing/>
      </w:pPr>
      <w:r>
        <w:t xml:space="preserve">Novela </w:t>
      </w:r>
      <w:r w:rsidR="000865BF">
        <w:t xml:space="preserve">dále </w:t>
      </w:r>
      <w:r>
        <w:t xml:space="preserve">pozměnila </w:t>
      </w:r>
      <w:r w:rsidR="00B7458B">
        <w:t xml:space="preserve">otázky týkající se vydědění. </w:t>
      </w:r>
      <w:r w:rsidR="00BB604E">
        <w:t>Zůstavitel, který se rozhodl vydědit svého potom</w:t>
      </w:r>
      <w:r w:rsidR="007719FD">
        <w:t>ka, musel v závěti uvést důvod, přičemž důvod vydědění museli prokáza</w:t>
      </w:r>
      <w:r w:rsidR="00CA6F9C">
        <w:t xml:space="preserve">t </w:t>
      </w:r>
      <w:r w:rsidR="00B06346">
        <w:t>dědici</w:t>
      </w:r>
      <w:r w:rsidR="00CA6F9C">
        <w:t xml:space="preserve"> v závěti ustanovení. </w:t>
      </w:r>
      <w:r w:rsidR="007502FE">
        <w:t>Pokud zůstavitel uvedl důvod vydědění jiný, bylo toto ustanovení považováno za neplatné</w:t>
      </w:r>
      <w:r w:rsidR="009F56D3">
        <w:t>. Místo dědiců testamentárních pak</w:t>
      </w:r>
      <w:r w:rsidR="00B733D2">
        <w:t xml:space="preserve"> nastupovali neplatně vydědění nepominutelní dědici na základě in</w:t>
      </w:r>
      <w:r w:rsidR="00014939">
        <w:t>testátní posloupnosti. J</w:t>
      </w:r>
      <w:r w:rsidR="00F61BE3" w:rsidRPr="00E567D2">
        <w:t>iná ustanovení závěti platnosti nepozbyly.</w:t>
      </w:r>
      <w:r w:rsidR="00B733D2" w:rsidRPr="00E567D2">
        <w:rPr>
          <w:rStyle w:val="Znakapoznpodarou"/>
        </w:rPr>
        <w:footnoteReference w:id="94"/>
      </w:r>
    </w:p>
    <w:p w:rsidR="00ED4225" w:rsidRDefault="00583BE0" w:rsidP="005A0BAD">
      <w:pPr>
        <w:spacing w:line="360" w:lineRule="auto"/>
        <w:ind w:firstLine="708"/>
        <w:contextualSpacing/>
      </w:pPr>
      <w:r>
        <w:t xml:space="preserve">Novela tyto důvody </w:t>
      </w:r>
      <w:r w:rsidR="00F61BE3">
        <w:t xml:space="preserve">stanovila </w:t>
      </w:r>
      <w:r>
        <w:t xml:space="preserve">explicitně a uvedla, </w:t>
      </w:r>
      <w:r w:rsidR="00CE72B4">
        <w:t xml:space="preserve">že </w:t>
      </w:r>
      <w:r>
        <w:t xml:space="preserve">zůstavitel </w:t>
      </w:r>
      <w:r w:rsidR="00CE72B4">
        <w:t xml:space="preserve">není oprávněn </w:t>
      </w:r>
      <w:r w:rsidR="000865BF">
        <w:t xml:space="preserve">uvést </w:t>
      </w:r>
      <w:r w:rsidR="00CE72B4">
        <w:t xml:space="preserve">jiný </w:t>
      </w:r>
      <w:r w:rsidR="000865BF">
        <w:t xml:space="preserve">důvod </w:t>
      </w:r>
      <w:r w:rsidR="00CE72B4">
        <w:t>vydědění</w:t>
      </w:r>
      <w:r w:rsidR="000865BF">
        <w:t>, než</w:t>
      </w:r>
      <w:r w:rsidR="00882A9A">
        <w:t xml:space="preserve"> který</w:t>
      </w:r>
      <w:r w:rsidR="000865BF">
        <w:t xml:space="preserve"> </w:t>
      </w:r>
      <w:r w:rsidR="00CE72B4">
        <w:t>je</w:t>
      </w:r>
      <w:r w:rsidR="000865BF">
        <w:t xml:space="preserve"> vyjmenovaný novelou.</w:t>
      </w:r>
      <w:r w:rsidR="0020285B" w:rsidRPr="0020285B">
        <w:rPr>
          <w:rStyle w:val="Znakapoznpodarou"/>
        </w:rPr>
        <w:t xml:space="preserve"> </w:t>
      </w:r>
      <w:r w:rsidR="00914331">
        <w:t>Novela</w:t>
      </w:r>
      <w:r w:rsidR="00882A9A">
        <w:t xml:space="preserve"> </w:t>
      </w:r>
      <w:r w:rsidR="00CE72B4">
        <w:t>stanovila</w:t>
      </w:r>
      <w:r w:rsidR="00882A9A">
        <w:t xml:space="preserve"> </w:t>
      </w:r>
      <w:r w:rsidR="00F61BE3">
        <w:t>1</w:t>
      </w:r>
      <w:r w:rsidR="00C962EB">
        <w:t>4 důvodů pro vydědění descenden</w:t>
      </w:r>
      <w:r w:rsidR="00F61BE3">
        <w:t>tů a 8 důvodů pro vydědění ascendentů.</w:t>
      </w:r>
      <w:r w:rsidR="00F74297">
        <w:t xml:space="preserve"> Dítě </w:t>
      </w:r>
      <w:r w:rsidR="004632D0">
        <w:t>mohlo</w:t>
      </w:r>
      <w:r w:rsidR="00F74297">
        <w:t xml:space="preserve"> být vyděděno v případě, kdy fyzicky napadlo rodiče, dopustilo se vůči němu nepřiměřené a hrubé urážky, </w:t>
      </w:r>
      <w:r w:rsidR="00914331">
        <w:t>pokud</w:t>
      </w:r>
      <w:r w:rsidR="00F74297">
        <w:t xml:space="preserve"> bylo obžalováno z trestného činu proti rodiči nebo se pokusilo rodiče připravit o život.</w:t>
      </w:r>
      <w:r w:rsidR="00F61BE3">
        <w:t xml:space="preserve"> </w:t>
      </w:r>
      <w:r w:rsidR="00C962EB">
        <w:t xml:space="preserve"> Vyděděno mohlo být i v případě, kdy se odmít</w:t>
      </w:r>
      <w:r w:rsidR="00882A9A">
        <w:t>l</w:t>
      </w:r>
      <w:r w:rsidR="00C962EB">
        <w:t>o postarat o nemocné</w:t>
      </w:r>
      <w:r w:rsidR="004632D0">
        <w:t>ho</w:t>
      </w:r>
      <w:r w:rsidR="00C962EB">
        <w:t xml:space="preserve"> rodiče nebo mu pomoci s dluhy, na které sám nestačil. Tento důvod se však týkal pouze mužských potomků.</w:t>
      </w:r>
      <w:r w:rsidR="004632D0">
        <w:t xml:space="preserve"> Další důvody byly menší závažnosti, avšak jejich důsledky byly neméně podstatné.</w:t>
      </w:r>
      <w:r w:rsidR="0020285B">
        <w:rPr>
          <w:rStyle w:val="Znakapoznpodarou"/>
        </w:rPr>
        <w:footnoteReference w:id="95"/>
      </w:r>
      <w:r w:rsidR="00C962EB">
        <w:t xml:space="preserve"> </w:t>
      </w:r>
    </w:p>
    <w:p w:rsidR="004632D0" w:rsidRDefault="004632D0" w:rsidP="005A0BAD">
      <w:pPr>
        <w:spacing w:line="360" w:lineRule="auto"/>
        <w:ind w:firstLine="708"/>
        <w:contextualSpacing/>
      </w:pPr>
      <w:r>
        <w:t>Důvody pro vydědění rodiče je</w:t>
      </w:r>
      <w:r w:rsidR="001143E2">
        <w:t>ho</w:t>
      </w:r>
      <w:r>
        <w:t xml:space="preserve"> potomk</w:t>
      </w:r>
      <w:r w:rsidR="00A073CB">
        <w:t>em byly podobné. Též sem patřila</w:t>
      </w:r>
      <w:r w:rsidR="00B06346">
        <w:t xml:space="preserve"> zaviněná smrt potomka či </w:t>
      </w:r>
      <w:r>
        <w:t xml:space="preserve">pokus o přivodění </w:t>
      </w:r>
      <w:r w:rsidR="00B06346">
        <w:t xml:space="preserve">jeho </w:t>
      </w:r>
      <w:r>
        <w:t xml:space="preserve">smrti rodičem, sexuální poměr otce se snachou nebo synovou konkubínou, </w:t>
      </w:r>
      <w:r w:rsidR="001143E2">
        <w:t>bránění rodiče dítěti v učinění závěti a tím pádem zasahování do dispozice dítěte s jeho majetkem.</w:t>
      </w:r>
      <w:r w:rsidR="001143E2">
        <w:rPr>
          <w:rStyle w:val="Znakapoznpodarou"/>
        </w:rPr>
        <w:footnoteReference w:id="96"/>
      </w:r>
    </w:p>
    <w:p w:rsidR="00FF13C4" w:rsidRDefault="00FF13C4" w:rsidP="00FF13C4">
      <w:pPr>
        <w:spacing w:line="360" w:lineRule="auto"/>
        <w:contextualSpacing/>
      </w:pPr>
    </w:p>
    <w:p w:rsidR="00026AE6" w:rsidRDefault="00FF13C4" w:rsidP="00137D52">
      <w:pPr>
        <w:pStyle w:val="Nadpis2"/>
        <w:spacing w:line="360" w:lineRule="auto"/>
      </w:pPr>
      <w:bookmarkStart w:id="11" w:name="_Toc449513899"/>
      <w:r>
        <w:t xml:space="preserve">1. 4 Shrnutí římské </w:t>
      </w:r>
      <w:r w:rsidR="00441AE3">
        <w:t>úpravy</w:t>
      </w:r>
      <w:r w:rsidR="009B0AF9">
        <w:t xml:space="preserve"> posloupnosti proti testamentu</w:t>
      </w:r>
      <w:bookmarkEnd w:id="11"/>
      <w:r w:rsidR="003D05F0">
        <w:tab/>
      </w:r>
    </w:p>
    <w:p w:rsidR="009B0AF9" w:rsidRDefault="003D05F0" w:rsidP="00137D52">
      <w:pPr>
        <w:spacing w:line="360" w:lineRule="auto"/>
        <w:ind w:firstLine="708"/>
        <w:contextualSpacing/>
      </w:pPr>
      <w:r>
        <w:t xml:space="preserve">Římské právo dědické prošlo během několika staletí velkým posunem, přičemž každá z etap </w:t>
      </w:r>
      <w:r w:rsidR="00E17EE9">
        <w:t>právní systém st</w:t>
      </w:r>
      <w:r w:rsidR="00521FC5">
        <w:t>arověkého</w:t>
      </w:r>
      <w:r w:rsidR="00E17EE9">
        <w:t xml:space="preserve"> Říma</w:t>
      </w:r>
      <w:r w:rsidR="00C54E06">
        <w:t xml:space="preserve"> svým způsobem</w:t>
      </w:r>
      <w:r w:rsidR="00E17EE9">
        <w:t xml:space="preserve"> zdokonalila. O jeho dokonalosti svědčí i fakt, ž</w:t>
      </w:r>
      <w:r w:rsidR="009B0AF9">
        <w:t xml:space="preserve">e </w:t>
      </w:r>
      <w:r w:rsidR="00C54E06">
        <w:t>se římské právo stalo</w:t>
      </w:r>
      <w:r w:rsidR="009B0AF9">
        <w:t xml:space="preserve"> inspiračním zdrojem pro další soukromoprávní úpravy. </w:t>
      </w:r>
    </w:p>
    <w:p w:rsidR="00190EA4" w:rsidRDefault="009B0AF9" w:rsidP="00843B47">
      <w:pPr>
        <w:spacing w:line="360" w:lineRule="auto"/>
        <w:contextualSpacing/>
      </w:pPr>
      <w:r>
        <w:tab/>
      </w:r>
      <w:r w:rsidR="00521FC5">
        <w:t>Počáteční volnost zůstavitele testovat bez</w:t>
      </w:r>
      <w:r w:rsidR="00A45568">
        <w:t xml:space="preserve"> obavy z</w:t>
      </w:r>
      <w:r w:rsidR="00521FC5">
        <w:t xml:space="preserve"> možné sankce </w:t>
      </w:r>
      <w:r w:rsidR="00A45568">
        <w:t xml:space="preserve">ve formě </w:t>
      </w:r>
      <w:r w:rsidR="00521FC5">
        <w:t xml:space="preserve">zrušení závěti, </w:t>
      </w:r>
      <w:r w:rsidR="00A45568">
        <w:t>jak praví zákon dvanácti desek, se postupně vyvíjela k formalizaci práva</w:t>
      </w:r>
      <w:r w:rsidR="00843B47">
        <w:t>. Během období republiky</w:t>
      </w:r>
      <w:r w:rsidR="0013466D">
        <w:t xml:space="preserve"> byl důraz kladen na zachování požadované formy závěti, kde bylo povinností zůstavitele nepominutelného potomka jme</w:t>
      </w:r>
      <w:r w:rsidR="00187D11">
        <w:t>novat či vydědit, p</w:t>
      </w:r>
      <w:r w:rsidR="00BC6870">
        <w:t xml:space="preserve">řičemž potomci mužského pohlaví zastávali silnější postavení než potomci ženského. </w:t>
      </w:r>
      <w:r w:rsidR="00A5000A">
        <w:t>Syn mohl napadením závěti pro její neplatnost</w:t>
      </w:r>
      <w:r w:rsidR="00F1510B">
        <w:t xml:space="preserve"> d</w:t>
      </w:r>
      <w:r w:rsidR="00774B92">
        <w:t>osáhnout zrušení testamentu. V</w:t>
      </w:r>
      <w:r w:rsidR="00A5000A">
        <w:t xml:space="preserve"> </w:t>
      </w:r>
      <w:r w:rsidR="00F1510B">
        <w:t>takovém případě nastávala zákonná posloupnos</w:t>
      </w:r>
      <w:r w:rsidR="00F21812">
        <w:t xml:space="preserve">t, což bylo stěžejním důsledkem posloupnosti proti testamentu. </w:t>
      </w:r>
      <w:r w:rsidR="00DF7406">
        <w:t xml:space="preserve">Jejím materiálním projevem bylo </w:t>
      </w:r>
      <w:r w:rsidR="00190EA4">
        <w:t>jednak právo na povinný díl, tak i obrana nepominutelného dědice před zásahem do tohoto práva.</w:t>
      </w:r>
    </w:p>
    <w:p w:rsidR="00187D11" w:rsidRDefault="00190EA4" w:rsidP="00843B47">
      <w:pPr>
        <w:spacing w:line="360" w:lineRule="auto"/>
        <w:contextualSpacing/>
      </w:pPr>
      <w:r>
        <w:tab/>
      </w:r>
      <w:r w:rsidR="00F14372">
        <w:t>V období justiniánském došlo po kodifikaci práva k</w:t>
      </w:r>
      <w:r w:rsidR="00D93B79">
        <w:t>e zlepšení postavení ženských potomků, kte</w:t>
      </w:r>
      <w:r w:rsidR="00026AE6">
        <w:t>ří</w:t>
      </w:r>
      <w:r w:rsidR="00D93B79">
        <w:t xml:space="preserve"> mohl</w:t>
      </w:r>
      <w:r w:rsidR="00026AE6">
        <w:t>i</w:t>
      </w:r>
      <w:r w:rsidR="00D93B79">
        <w:t xml:space="preserve"> stejně jako synové či pohrobci mužského pokolení docílit zrušení testamentu z důvodu neplatnosti</w:t>
      </w:r>
      <w:r w:rsidR="00E567D2">
        <w:t>. Zlepšení</w:t>
      </w:r>
      <w:r w:rsidR="00844686" w:rsidRPr="00844686">
        <w:t xml:space="preserve"> postavení žen </w:t>
      </w:r>
      <w:r w:rsidR="00E12661">
        <w:t xml:space="preserve">byl </w:t>
      </w:r>
      <w:r w:rsidR="00844686" w:rsidRPr="00844686">
        <w:t>tak</w:t>
      </w:r>
      <w:r w:rsidR="006A2B98">
        <w:t>y</w:t>
      </w:r>
      <w:r w:rsidR="00844686" w:rsidRPr="00844686">
        <w:t xml:space="preserve"> jeden z důvodů, proč </w:t>
      </w:r>
      <w:r w:rsidR="006A2B98">
        <w:t>bylo ke kodifikaci přistoupeno.</w:t>
      </w:r>
      <w:r w:rsidR="00D93B79">
        <w:t xml:space="preserve"> V rámci materiálních práv došlo ke změně výše povinného dílu, který se odvíjel od počtu dědiců po zůstaviteli.</w:t>
      </w:r>
      <w:r w:rsidR="006D7D3A">
        <w:t xml:space="preserve"> Nepominutelný dědic se mohl bránit jednak žalobou proti nespravedlivé závěti, </w:t>
      </w:r>
      <w:r w:rsidR="006A2B98">
        <w:t>tak i</w:t>
      </w:r>
      <w:r w:rsidR="006D7D3A">
        <w:t xml:space="preserve"> žalobou na doplnění povinného dílu.</w:t>
      </w:r>
    </w:p>
    <w:p w:rsidR="003451C1" w:rsidRDefault="00026AE6" w:rsidP="003451C1">
      <w:pPr>
        <w:spacing w:line="360" w:lineRule="auto"/>
        <w:ind w:firstLine="708"/>
        <w:contextualSpacing/>
      </w:pPr>
      <w:r>
        <w:t>Ke stěžejním změnám došlo po přijetí novely 115</w:t>
      </w:r>
      <w:r w:rsidR="00D7119F">
        <w:t xml:space="preserve"> Kodexu Justiniána</w:t>
      </w:r>
      <w:r>
        <w:t>, která sloučila formální a materiální práva nepominutelných dědiců</w:t>
      </w:r>
      <w:r w:rsidR="00020EDC">
        <w:t>. Zůstavitel tedy musel dědice jak zmínit v závěti, tak mu závě</w:t>
      </w:r>
      <w:r w:rsidR="003451C1">
        <w:t xml:space="preserve">tí zanechat i povinný díl. Novela zakotvila povinnost zůstavitele zdůvodnit vydědění svého nepominutelného dědice a rovněž </w:t>
      </w:r>
      <w:r w:rsidR="009D458A">
        <w:t>uvést důvod</w:t>
      </w:r>
      <w:r w:rsidR="003451C1">
        <w:t>.</w:t>
      </w:r>
      <w:r w:rsidR="006C52BB">
        <w:t xml:space="preserve"> </w:t>
      </w:r>
      <w:r w:rsidR="003451C1">
        <w:t>Povinné uvedení důvodu vydědění bylo kladem</w:t>
      </w:r>
      <w:r w:rsidR="00D7119F">
        <w:t xml:space="preserve"> této</w:t>
      </w:r>
      <w:r w:rsidR="003451C1">
        <w:t xml:space="preserve"> novely</w:t>
      </w:r>
      <w:r w:rsidR="00FD12E7">
        <w:t>,</w:t>
      </w:r>
      <w:r w:rsidR="003451C1">
        <w:t xml:space="preserve"> a je možno ho považovat za r</w:t>
      </w:r>
      <w:r w:rsidR="00FD12E7">
        <w:t>ozumný krok. P</w:t>
      </w:r>
      <w:r w:rsidR="003451C1">
        <w:t xml:space="preserve">řed přijetím novely se </w:t>
      </w:r>
      <w:r w:rsidR="009D458A">
        <w:t xml:space="preserve">totiž </w:t>
      </w:r>
      <w:r w:rsidR="003451C1">
        <w:t>vydědění</w:t>
      </w:r>
      <w:r w:rsidR="00FD12E7">
        <w:t xml:space="preserve"> </w:t>
      </w:r>
      <w:r w:rsidR="003451C1">
        <w:t xml:space="preserve">často zneužívalo. V dobových pramenech stálo, že zůstavitel mohl být nesprávně ovlivněn některými členy rodiny a vydědil svého potomka, ač si to nezasloužil. </w:t>
      </w:r>
      <w:r w:rsidR="003451C1" w:rsidRPr="00CA6F9C">
        <w:t xml:space="preserve">Díky </w:t>
      </w:r>
      <w:r w:rsidR="003451C1">
        <w:t>novele</w:t>
      </w:r>
      <w:r w:rsidR="003451C1" w:rsidRPr="00CA6F9C">
        <w:t xml:space="preserve"> se</w:t>
      </w:r>
      <w:r w:rsidR="003451C1">
        <w:t xml:space="preserve"> takovému jednání zůstavitele mělo předcházet a vnést do testovací svobody trochu řádu a spravedlnosti. </w:t>
      </w:r>
      <w:r w:rsidR="00844686" w:rsidRPr="00844686">
        <w:t xml:space="preserve">Touto novelou </w:t>
      </w:r>
      <w:r w:rsidR="00844686">
        <w:t xml:space="preserve">navíc </w:t>
      </w:r>
      <w:r w:rsidR="00844686" w:rsidRPr="00844686">
        <w:t>došlo ke sjednocení důvodů pro vyloučení potomka z práva na povinný díl, které byly v předchozí době upraveny v několika pramenech.</w:t>
      </w:r>
    </w:p>
    <w:p w:rsidR="00026AE6" w:rsidRDefault="00026AE6" w:rsidP="00843B47">
      <w:pPr>
        <w:spacing w:line="360" w:lineRule="auto"/>
        <w:contextualSpacing/>
      </w:pPr>
    </w:p>
    <w:p w:rsidR="00E567D2" w:rsidRPr="00D7119F" w:rsidRDefault="006D7D3A" w:rsidP="00D7119F">
      <w:pPr>
        <w:spacing w:line="360" w:lineRule="auto"/>
        <w:contextualSpacing/>
      </w:pPr>
      <w:r>
        <w:tab/>
      </w:r>
    </w:p>
    <w:p w:rsidR="00714776" w:rsidRDefault="00CB62A4" w:rsidP="00F02F43">
      <w:pPr>
        <w:pStyle w:val="Nadpis1"/>
        <w:spacing w:line="360" w:lineRule="auto"/>
      </w:pPr>
      <w:bookmarkStart w:id="12" w:name="_Toc449513900"/>
      <w:r>
        <w:lastRenderedPageBreak/>
        <w:t xml:space="preserve">2. Posloupnost proti testamentu podle rakouského </w:t>
      </w:r>
      <w:r w:rsidR="00D51530">
        <w:t>obecného</w:t>
      </w:r>
      <w:r>
        <w:t xml:space="preserve"> zákoníku občanského</w:t>
      </w:r>
      <w:r w:rsidR="00E8050D">
        <w:t xml:space="preserve"> a vládního návrhu občanského zákoníku z roku 1937</w:t>
      </w:r>
      <w:bookmarkEnd w:id="12"/>
    </w:p>
    <w:p w:rsidR="00714776" w:rsidRDefault="00714776" w:rsidP="00F02F43">
      <w:pPr>
        <w:pStyle w:val="Nadpis2"/>
        <w:spacing w:line="360" w:lineRule="auto"/>
      </w:pPr>
      <w:bookmarkStart w:id="13" w:name="_Toc449513901"/>
      <w:r>
        <w:t xml:space="preserve">2.1 </w:t>
      </w:r>
      <w:r w:rsidR="007C5735">
        <w:t>Vývoj právní úpravy</w:t>
      </w:r>
      <w:bookmarkEnd w:id="13"/>
    </w:p>
    <w:p w:rsidR="00714776" w:rsidRDefault="00714776" w:rsidP="00F02F43">
      <w:pPr>
        <w:spacing w:line="360" w:lineRule="auto"/>
        <w:contextualSpacing/>
      </w:pPr>
      <w:r>
        <w:tab/>
      </w:r>
      <w:r w:rsidR="00F02F43">
        <w:t xml:space="preserve">Středověké právo se vyznačovalo svým rozsáhlým partikularismem, kdy jednotlivé právní systémy byly roztříštěny a neexistovaly žádné souhrnné právní texty, které by jednotlivé </w:t>
      </w:r>
      <w:r w:rsidR="0069763E">
        <w:t>odvětví</w:t>
      </w:r>
      <w:r w:rsidR="00F02F43">
        <w:t xml:space="preserve"> ucelovaly.</w:t>
      </w:r>
      <w:r w:rsidR="0069763E">
        <w:t xml:space="preserve"> To způsobovalo celkovou nepřehlednost </w:t>
      </w:r>
      <w:r w:rsidR="00983DB1">
        <w:t xml:space="preserve">a </w:t>
      </w:r>
      <w:r w:rsidR="00273124">
        <w:t>nesrozumitelnost práva</w:t>
      </w:r>
      <w:r w:rsidR="0069763E">
        <w:t xml:space="preserve">. </w:t>
      </w:r>
      <w:r w:rsidR="00400877">
        <w:t xml:space="preserve">Z toho důvodu se velice brzy začalo usilovat o </w:t>
      </w:r>
      <w:r w:rsidR="00983DB1">
        <w:t>vytvoření jednotného právního systému.</w:t>
      </w:r>
    </w:p>
    <w:p w:rsidR="003664E0" w:rsidRDefault="003664E0" w:rsidP="00F02F43">
      <w:pPr>
        <w:spacing w:line="360" w:lineRule="auto"/>
        <w:contextualSpacing/>
      </w:pPr>
      <w:r>
        <w:tab/>
      </w:r>
      <w:r w:rsidR="00990831">
        <w:t xml:space="preserve">Jedny z prvních snah o </w:t>
      </w:r>
      <w:r w:rsidR="008851AC">
        <w:t xml:space="preserve">unifikaci práva proběhly za vlády Marie Terezie, jejichž výsledkem mělo být vytvoření společného zákoníku pro české a rakouské země, nesoucí označení </w:t>
      </w:r>
      <w:r w:rsidR="008851AC" w:rsidRPr="0030153F">
        <w:rPr>
          <w:i/>
        </w:rPr>
        <w:t>Codex Theresianus</w:t>
      </w:r>
      <w:r w:rsidR="008851AC">
        <w:t>.</w:t>
      </w:r>
      <w:r w:rsidR="00D64970">
        <w:t xml:space="preserve"> </w:t>
      </w:r>
      <w:r w:rsidR="0030153F">
        <w:t>Po jeho zpracování</w:t>
      </w:r>
      <w:r w:rsidR="00273124">
        <w:t xml:space="preserve"> bylo zřejmé, že byť se jednalo</w:t>
      </w:r>
      <w:r w:rsidR="00D64970">
        <w:t xml:space="preserve"> o dílo velikého rozsahu a kvality, pro právní praxi byl kodex nepoužitelný. V jeho době mu byla vytýkána zejména absence všeobecnosti, která je pro právní předpis nepostradatelná.</w:t>
      </w:r>
      <w:r w:rsidR="00E153D7">
        <w:t xml:space="preserve"> Panovnicí bylo nařízeno přepracovat kodex, ale po několika letech snah</w:t>
      </w:r>
      <w:r w:rsidR="00273124">
        <w:t>,</w:t>
      </w:r>
      <w:r w:rsidR="00E153D7">
        <w:t xml:space="preserve"> práce na kodexu ustaly.</w:t>
      </w:r>
    </w:p>
    <w:p w:rsidR="00E153D7" w:rsidRDefault="00E153D7" w:rsidP="00F02F43">
      <w:pPr>
        <w:spacing w:line="360" w:lineRule="auto"/>
        <w:contextualSpacing/>
      </w:pPr>
      <w:r>
        <w:tab/>
      </w:r>
      <w:r w:rsidR="00E46C59">
        <w:t>Ve šlépějích své matky se vydal i Josef II., který zvolil odlišný způsob</w:t>
      </w:r>
      <w:r w:rsidR="00182DFF">
        <w:t>. Rozhodl se, že bude dílčí části kodifikace vydávat</w:t>
      </w:r>
      <w:r w:rsidR="00184AAD">
        <w:t xml:space="preserve"> jednotlivě.</w:t>
      </w:r>
      <w:r w:rsidR="00E46C59">
        <w:t xml:space="preserve"> </w:t>
      </w:r>
      <w:r w:rsidR="00184AAD">
        <w:t>První část jeho kodifikace byla přijata v roce 1785 a v roce následujícím byla vyhlášena jako platn</w:t>
      </w:r>
      <w:r w:rsidR="00693066">
        <w:t>ý</w:t>
      </w:r>
      <w:r w:rsidR="00184AAD">
        <w:t xml:space="preserve"> zákoník pod názvem </w:t>
      </w:r>
      <w:r w:rsidR="00983DB1">
        <w:t>„</w:t>
      </w:r>
      <w:r w:rsidR="00184AAD" w:rsidRPr="00983DB1">
        <w:rPr>
          <w:i/>
        </w:rPr>
        <w:t>Všeobecná práva městská, díl první</w:t>
      </w:r>
      <w:r w:rsidR="00983DB1">
        <w:t>“</w:t>
      </w:r>
      <w:r w:rsidR="00184AAD">
        <w:t>.</w:t>
      </w:r>
      <w:r w:rsidR="00693066">
        <w:t xml:space="preserve"> Po smrti Josefa II. pokračoval jeho nástupce v</w:t>
      </w:r>
      <w:r w:rsidR="00A94B54">
        <w:t> další kodifikaci. Jeho úsilí však bylo bráněno snahami ostatních zemí, které se chtěly rovněž podílet na legislativních pracích.</w:t>
      </w:r>
      <w:r w:rsidR="002D6E32">
        <w:t xml:space="preserve"> </w:t>
      </w:r>
    </w:p>
    <w:p w:rsidR="00005960" w:rsidRDefault="00983DB1" w:rsidP="00005960">
      <w:pPr>
        <w:spacing w:line="360" w:lineRule="auto"/>
        <w:contextualSpacing/>
      </w:pPr>
      <w:r>
        <w:tab/>
        <w:t>Kodifikace práva byla završena</w:t>
      </w:r>
      <w:r w:rsidR="002D6E32">
        <w:t xml:space="preserve"> z</w:t>
      </w:r>
      <w:r w:rsidR="004412EF">
        <w:t>a císaře Františka Habsburského. V roce</w:t>
      </w:r>
      <w:r w:rsidR="002D6E32">
        <w:t xml:space="preserve"> 1808 </w:t>
      </w:r>
      <w:r w:rsidR="004412EF">
        <w:t xml:space="preserve">byla </w:t>
      </w:r>
      <w:r w:rsidR="000C1FF7">
        <w:t>komisí</w:t>
      </w:r>
      <w:r w:rsidR="004412EF">
        <w:t xml:space="preserve"> předložena</w:t>
      </w:r>
      <w:r w:rsidR="0033733E">
        <w:t xml:space="preserve"> finální</w:t>
      </w:r>
      <w:r w:rsidR="000C1FF7">
        <w:t xml:space="preserve"> </w:t>
      </w:r>
      <w:r w:rsidR="002D6E32">
        <w:t>osnova občanského zákoníku. Ta byla vytvořena n</w:t>
      </w:r>
      <w:r w:rsidR="000B2D4F">
        <w:t xml:space="preserve">a základě prvků římského práva </w:t>
      </w:r>
      <w:r w:rsidR="002D6E32">
        <w:t>s</w:t>
      </w:r>
      <w:r w:rsidR="000B2D4F">
        <w:t> ohledem na</w:t>
      </w:r>
      <w:r w:rsidR="002D6E32">
        <w:t xml:space="preserve"> </w:t>
      </w:r>
      <w:r w:rsidR="000B2D4F">
        <w:t>francouzsk</w:t>
      </w:r>
      <w:r w:rsidR="0033733E">
        <w:t>é a pruské právo</w:t>
      </w:r>
      <w:r w:rsidR="000B2D4F">
        <w:t>.</w:t>
      </w:r>
      <w:r w:rsidR="00376BC5">
        <w:t xml:space="preserve"> </w:t>
      </w:r>
      <w:r w:rsidR="00977893">
        <w:t xml:space="preserve">Osnova byla s konečnou platností schválena císařem roku 1811 a byla vyhlášena pod názvem </w:t>
      </w:r>
      <w:r>
        <w:t>„</w:t>
      </w:r>
      <w:r w:rsidR="00977893" w:rsidRPr="00983DB1">
        <w:rPr>
          <w:i/>
        </w:rPr>
        <w:t>Všeobecný zákoník občanský</w:t>
      </w:r>
      <w:r>
        <w:t>“</w:t>
      </w:r>
      <w:r w:rsidR="00977893">
        <w:t xml:space="preserve"> patentem 1. června 1811</w:t>
      </w:r>
      <w:r w:rsidR="00F575EF">
        <w:t>. Platila pro veškeré rakouské země, s výjimkou Uher.</w:t>
      </w:r>
      <w:r w:rsidR="009061FE" w:rsidRPr="009061FE">
        <w:rPr>
          <w:rStyle w:val="Znakapoznpodarou"/>
        </w:rPr>
        <w:t xml:space="preserve"> </w:t>
      </w:r>
      <w:r w:rsidR="009061FE">
        <w:rPr>
          <w:rStyle w:val="Znakapoznpodarou"/>
        </w:rPr>
        <w:footnoteReference w:id="97"/>
      </w:r>
    </w:p>
    <w:p w:rsidR="00005960" w:rsidRDefault="00005960" w:rsidP="00005960">
      <w:pPr>
        <w:spacing w:line="360" w:lineRule="auto"/>
        <w:contextualSpacing/>
      </w:pPr>
      <w:r>
        <w:tab/>
      </w:r>
      <w:r w:rsidRPr="00005960">
        <w:t>Zvláštní význam měl zákoník též pro Československou republiku, kde byl zákon roku 1918 recipován</w:t>
      </w:r>
      <w:r>
        <w:t xml:space="preserve"> </w:t>
      </w:r>
      <w:r w:rsidRPr="00005960">
        <w:t>do československého právní řádu</w:t>
      </w:r>
      <w:r>
        <w:t xml:space="preserve"> </w:t>
      </w:r>
      <w:r w:rsidRPr="00005960">
        <w:t xml:space="preserve">zákonem č. 11/1918 Sb. z. a n., a s menšími </w:t>
      </w:r>
      <w:r w:rsidRPr="00005960">
        <w:lastRenderedPageBreak/>
        <w:t xml:space="preserve">obměnami platil </w:t>
      </w:r>
      <w:r w:rsidR="00983DB1">
        <w:t xml:space="preserve">v zemi </w:t>
      </w:r>
      <w:r w:rsidRPr="00005960">
        <w:t>až do vydání tzv. středního zákoníku.</w:t>
      </w:r>
      <w:r w:rsidR="00FC28FB">
        <w:t xml:space="preserve"> </w:t>
      </w:r>
      <w:r w:rsidR="006B16B4">
        <w:rPr>
          <w:rStyle w:val="Znakapoznpodarou"/>
        </w:rPr>
        <w:footnoteReference w:id="98"/>
      </w:r>
      <w:r w:rsidR="00FC28FB">
        <w:t xml:space="preserve"> Převzetím ABGB do právního řádu Československé republ</w:t>
      </w:r>
      <w:r w:rsidR="00AE0C25">
        <w:t>iky však došlo k dualismu práva. N</w:t>
      </w:r>
      <w:r w:rsidR="00FC28FB">
        <w:t>a území Čech a Moravy, kde dříve platilo rakouské právo, se po recepci používaly recipované rakouské zákony, a n</w:t>
      </w:r>
      <w:r w:rsidR="00AE0C25">
        <w:t xml:space="preserve">aproti tomu na území Slovenska </w:t>
      </w:r>
      <w:r w:rsidR="00FC28FB">
        <w:t>se dále vycházelo z práva obyčejového a uherského.</w:t>
      </w:r>
      <w:r w:rsidR="00FC28FB">
        <w:rPr>
          <w:rStyle w:val="Znakapoznpodarou"/>
        </w:rPr>
        <w:footnoteReference w:id="99"/>
      </w:r>
      <w:r>
        <w:tab/>
      </w:r>
    </w:p>
    <w:p w:rsidR="00005960" w:rsidRDefault="00005960" w:rsidP="00005960">
      <w:pPr>
        <w:spacing w:line="360" w:lineRule="auto"/>
        <w:ind w:firstLine="708"/>
        <w:contextualSpacing/>
      </w:pPr>
    </w:p>
    <w:p w:rsidR="000E17C7" w:rsidRDefault="00005960" w:rsidP="00536B1A">
      <w:pPr>
        <w:pStyle w:val="Nadpis2"/>
        <w:spacing w:line="360" w:lineRule="auto"/>
      </w:pPr>
      <w:bookmarkStart w:id="14" w:name="_Toc449513902"/>
      <w:r>
        <w:t>2. 2 Právní úprava dle ABGB</w:t>
      </w:r>
      <w:bookmarkEnd w:id="14"/>
    </w:p>
    <w:p w:rsidR="0082456A" w:rsidRDefault="008C1593" w:rsidP="00536B1A">
      <w:pPr>
        <w:spacing w:line="360" w:lineRule="auto"/>
        <w:contextualSpacing/>
      </w:pPr>
      <w:r>
        <w:tab/>
        <w:t>Rakouský občanský z</w:t>
      </w:r>
      <w:r w:rsidR="00005960">
        <w:t>á</w:t>
      </w:r>
      <w:r>
        <w:t xml:space="preserve">koník </w:t>
      </w:r>
      <w:r w:rsidR="00005960" w:rsidRPr="00005960">
        <w:t>byl rozdělen do tř</w:t>
      </w:r>
      <w:r>
        <w:t>í systematických částí</w:t>
      </w:r>
      <w:r w:rsidR="0065366A">
        <w:t>. Dědické</w:t>
      </w:r>
      <w:r>
        <w:t xml:space="preserve"> právo </w:t>
      </w:r>
      <w:r w:rsidR="000E6648">
        <w:t>bylo</w:t>
      </w:r>
      <w:r>
        <w:t xml:space="preserve"> obsaženo v </w:t>
      </w:r>
      <w:r w:rsidR="0065366A">
        <w:t xml:space="preserve">části </w:t>
      </w:r>
      <w:r>
        <w:t xml:space="preserve">druhé, která </w:t>
      </w:r>
      <w:r w:rsidR="000E6648">
        <w:t>byla</w:t>
      </w:r>
      <w:r>
        <w:t xml:space="preserve"> rozsahem největší a pojedná</w:t>
      </w:r>
      <w:r w:rsidR="000E6648">
        <w:t xml:space="preserve">vala </w:t>
      </w:r>
      <w:r>
        <w:t xml:space="preserve">o právech k věcem. </w:t>
      </w:r>
      <w:r w:rsidR="00D534EF">
        <w:t>Co se týče volnosti zůstavitele ohledně nakládání se svým majetkem, tak na rozdíl od středověké společnosti, kde převl</w:t>
      </w:r>
      <w:r w:rsidR="00A17F1D">
        <w:t>ádalo dědění</w:t>
      </w:r>
      <w:r w:rsidR="00D534EF">
        <w:t xml:space="preserve"> na základě tzv. </w:t>
      </w:r>
      <w:r w:rsidR="000E6648">
        <w:t xml:space="preserve">rodinných </w:t>
      </w:r>
      <w:r w:rsidR="00D534EF">
        <w:t>nedílů</w:t>
      </w:r>
      <w:r w:rsidR="00D534EF">
        <w:rPr>
          <w:rStyle w:val="Znakapoznpodarou"/>
        </w:rPr>
        <w:footnoteReference w:id="100"/>
      </w:r>
      <w:r w:rsidR="00D534EF">
        <w:t xml:space="preserve"> a zůstavitel mohl kšaftovat pouze se souhlasem panovníka</w:t>
      </w:r>
      <w:r w:rsidR="00D534EF">
        <w:rPr>
          <w:rStyle w:val="Znakapoznpodarou"/>
        </w:rPr>
        <w:footnoteReference w:id="101"/>
      </w:r>
      <w:r w:rsidR="00D534EF">
        <w:t xml:space="preserve">, se rakouský zákoník opět vrátil k </w:t>
      </w:r>
      <w:r w:rsidR="00B3494A">
        <w:t>možnosti</w:t>
      </w:r>
      <w:r w:rsidR="00D534EF">
        <w:t xml:space="preserve"> zůstavitel</w:t>
      </w:r>
      <w:r w:rsidR="00B3494A">
        <w:t>e</w:t>
      </w:r>
      <w:r w:rsidR="00D534EF">
        <w:t xml:space="preserve"> nakládat se svým majetkem dle </w:t>
      </w:r>
      <w:r w:rsidR="00F85F89">
        <w:t>jeho</w:t>
      </w:r>
      <w:r w:rsidR="00D534EF">
        <w:t xml:space="preserve"> vůle. Mohl tedy část svých aktiv přenechat testamentem ve prospěch další osoby. </w:t>
      </w:r>
      <w:r w:rsidR="000E6648">
        <w:t xml:space="preserve">Druhým dědickým titulem bylo v ABGB dědění </w:t>
      </w:r>
      <w:r w:rsidR="00317D7B">
        <w:t>dle</w:t>
      </w:r>
      <w:r w:rsidR="000E6648">
        <w:t xml:space="preserve"> zákonné posloupnosti</w:t>
      </w:r>
      <w:r w:rsidR="00CF2EBB">
        <w:t>, která byla rozlišována do šesti dědických tříd.</w:t>
      </w:r>
    </w:p>
    <w:p w:rsidR="00B3494A" w:rsidRPr="00005960" w:rsidRDefault="00CA1B6D" w:rsidP="00B3494A">
      <w:pPr>
        <w:spacing w:line="360" w:lineRule="auto"/>
        <w:contextualSpacing/>
      </w:pPr>
      <w:r>
        <w:tab/>
        <w:t xml:space="preserve">Inspirace římským právem se </w:t>
      </w:r>
      <w:r w:rsidR="0065366A">
        <w:t xml:space="preserve">tu mimo jiné </w:t>
      </w:r>
      <w:r>
        <w:t xml:space="preserve">projevila </w:t>
      </w:r>
      <w:r w:rsidR="0065366A">
        <w:t>tak</w:t>
      </w:r>
      <w:r>
        <w:t>, že zde našla místo i „posloupnost proti testamentu“, přičemž jen ve směru materiálních práv nepominut</w:t>
      </w:r>
      <w:r w:rsidR="00AE7F85">
        <w:t>elných dědiců. Nebylo tedy nikde</w:t>
      </w:r>
      <w:r w:rsidR="0065366A">
        <w:t xml:space="preserve"> v zákoně </w:t>
      </w:r>
      <w:r>
        <w:t>stanoveno, že zůstavitel je povinen označit nejbližší potomky za své dědice</w:t>
      </w:r>
      <w:r w:rsidR="00F64204">
        <w:t xml:space="preserve"> </w:t>
      </w:r>
      <w:r w:rsidR="00AE7F85">
        <w:t>tak,</w:t>
      </w:r>
      <w:r w:rsidR="00F64204">
        <w:t xml:space="preserve"> </w:t>
      </w:r>
      <w:r w:rsidR="00AE7F85">
        <w:t>a</w:t>
      </w:r>
      <w:r w:rsidR="00F64204">
        <w:t>by naplňoval podmínky formální povinnosti zůstavitele dle římského práva</w:t>
      </w:r>
      <w:r>
        <w:t xml:space="preserve">. Zákon </w:t>
      </w:r>
      <w:r w:rsidR="00F64204">
        <w:t>nejbližší příbuzné</w:t>
      </w:r>
      <w:r>
        <w:t xml:space="preserve"> automaticky stavěl do pozice tzv. nepominutelných dědiců a předurčoval jim právo na povinný díl z pozůstalosti. </w:t>
      </w:r>
    </w:p>
    <w:p w:rsidR="009061FE" w:rsidRDefault="009061FE" w:rsidP="00F02F43">
      <w:pPr>
        <w:spacing w:line="360" w:lineRule="auto"/>
        <w:contextualSpacing/>
        <w:rPr>
          <w:sz w:val="20"/>
          <w:szCs w:val="20"/>
        </w:rPr>
      </w:pPr>
    </w:p>
    <w:p w:rsidR="00D347F5" w:rsidRDefault="00D347F5" w:rsidP="002E59E5">
      <w:pPr>
        <w:pStyle w:val="Nadpis3"/>
      </w:pPr>
      <w:bookmarkStart w:id="15" w:name="_Toc449513903"/>
      <w:r>
        <w:t>2.</w:t>
      </w:r>
      <w:r w:rsidR="00043D0E">
        <w:t xml:space="preserve"> </w:t>
      </w:r>
      <w:r>
        <w:t>2.</w:t>
      </w:r>
      <w:r w:rsidR="00816EA4">
        <w:t xml:space="preserve"> 1</w:t>
      </w:r>
      <w:r w:rsidR="00005960">
        <w:t xml:space="preserve"> </w:t>
      </w:r>
      <w:r w:rsidR="00114116">
        <w:t>Nepominutelný dědic</w:t>
      </w:r>
      <w:r w:rsidR="001C52F7">
        <w:t xml:space="preserve"> a jeho vydědění</w:t>
      </w:r>
      <w:bookmarkEnd w:id="15"/>
    </w:p>
    <w:p w:rsidR="00A73DBB" w:rsidRDefault="00043D0E" w:rsidP="00A73DBB">
      <w:pPr>
        <w:spacing w:line="360" w:lineRule="auto"/>
        <w:contextualSpacing/>
      </w:pPr>
      <w:r>
        <w:tab/>
      </w:r>
      <w:r w:rsidR="0049156E">
        <w:t>Nepominutelným</w:t>
      </w:r>
      <w:r w:rsidR="006A6E5A">
        <w:t>i dědici byly</w:t>
      </w:r>
      <w:r w:rsidR="0078020D">
        <w:t xml:space="preserve"> podle § 762 ABGB </w:t>
      </w:r>
      <w:r w:rsidR="00DF0BFB">
        <w:t>zůstavitelo</w:t>
      </w:r>
      <w:r w:rsidR="0049156E">
        <w:t xml:space="preserve">vy děti, a pokud zůstavitel žádné neměl, tak jeho rodiče. </w:t>
      </w:r>
      <w:r w:rsidR="00751011">
        <w:t xml:space="preserve">Zákon tyto pojmy </w:t>
      </w:r>
      <w:r w:rsidR="0078020D">
        <w:t>v § 763 ABGB</w:t>
      </w:r>
      <w:r w:rsidR="00751011">
        <w:t xml:space="preserve"> </w:t>
      </w:r>
      <w:r w:rsidR="0078020D">
        <w:t xml:space="preserve">rozvinul </w:t>
      </w:r>
      <w:r w:rsidR="00751011">
        <w:t>tak, že dětmi se mysl</w:t>
      </w:r>
      <w:r w:rsidR="002F5405">
        <w:t>eli</w:t>
      </w:r>
      <w:r w:rsidR="00751011">
        <w:t xml:space="preserve"> též vnuci i pravnuci, a termínem rodiče všechny staré rodiče, tedy i prarodiče.</w:t>
      </w:r>
      <w:r w:rsidR="00E86663">
        <w:t xml:space="preserve"> Tato charakteristika byla zavedena </w:t>
      </w:r>
      <w:r w:rsidR="006A6E5A">
        <w:t xml:space="preserve">nejspíš </w:t>
      </w:r>
      <w:r w:rsidR="00AE7F85">
        <w:t>proto</w:t>
      </w:r>
      <w:r w:rsidR="00E86663">
        <w:t>, že</w:t>
      </w:r>
      <w:r w:rsidR="008A227E">
        <w:t xml:space="preserve"> v případě,</w:t>
      </w:r>
      <w:r w:rsidR="00E86663">
        <w:t xml:space="preserve"> </w:t>
      </w:r>
      <w:r w:rsidR="00AE7F85">
        <w:t>že</w:t>
      </w:r>
      <w:r w:rsidR="0072704D">
        <w:t xml:space="preserve"> </w:t>
      </w:r>
      <w:r w:rsidR="00E86663">
        <w:t xml:space="preserve">nemohl dědit </w:t>
      </w:r>
      <w:r w:rsidR="0072704D">
        <w:t xml:space="preserve">z důvodu nezpůsobilosti nebo nevhodnosti </w:t>
      </w:r>
      <w:r w:rsidR="00E86663">
        <w:t>nejbližší nepominutelný dědic, tak aby na jeho mís</w:t>
      </w:r>
      <w:r w:rsidR="0072704D">
        <w:t>t</w:t>
      </w:r>
      <w:r w:rsidR="00E86663">
        <w:t>o mohl nastoupit příbuzný vzdále</w:t>
      </w:r>
      <w:r w:rsidR="0072704D">
        <w:t>n</w:t>
      </w:r>
      <w:r w:rsidR="00E86663">
        <w:t>ější</w:t>
      </w:r>
      <w:r w:rsidR="0072704D">
        <w:t>.</w:t>
      </w:r>
      <w:r w:rsidR="002F5405">
        <w:t xml:space="preserve"> </w:t>
      </w:r>
      <w:r w:rsidR="00E86663">
        <w:t xml:space="preserve">Nebylo </w:t>
      </w:r>
      <w:r w:rsidR="009116E4">
        <w:t xml:space="preserve">přitom </w:t>
      </w:r>
      <w:r w:rsidR="00E86663">
        <w:t xml:space="preserve">podstatné, zda šlo o dědice pohlaví </w:t>
      </w:r>
      <w:r w:rsidR="00E86663">
        <w:lastRenderedPageBreak/>
        <w:t>mužského nebo ženského</w:t>
      </w:r>
      <w:r w:rsidR="00DE3E61">
        <w:t>.</w:t>
      </w:r>
      <w:r w:rsidR="00E86663">
        <w:t xml:space="preserve"> </w:t>
      </w:r>
      <w:r w:rsidR="00BD5A1F">
        <w:t>Z výše uvedeného vyplývá, že se za nepominutelného dědice nepovažoval manžel zůstavitele, ani jeho sourozenci.</w:t>
      </w:r>
      <w:r w:rsidR="00A73DBB">
        <w:rPr>
          <w:rStyle w:val="Znakapoznpodarou"/>
        </w:rPr>
        <w:footnoteReference w:id="102"/>
      </w:r>
      <w:r w:rsidR="00BD5A1F">
        <w:t xml:space="preserve"> </w:t>
      </w:r>
      <w:r w:rsidR="00125403">
        <w:t xml:space="preserve">S ohledem na určování práva na povinný díl dle </w:t>
      </w:r>
      <w:r w:rsidR="00F554C9">
        <w:t xml:space="preserve">zákonné </w:t>
      </w:r>
      <w:r w:rsidR="00125403">
        <w:t>dědické posloupnosti měl</w:t>
      </w:r>
      <w:r w:rsidR="00F95219">
        <w:t>y</w:t>
      </w:r>
      <w:r w:rsidR="00125403">
        <w:t xml:space="preserve"> právo na povinný díl vůči své matce a jejím rodičům též </w:t>
      </w:r>
      <w:r w:rsidR="00F95219">
        <w:t>děti</w:t>
      </w:r>
      <w:r w:rsidR="00125403">
        <w:t xml:space="preserve"> nemanželské. Děti adoptované mě</w:t>
      </w:r>
      <w:r w:rsidR="00F95219">
        <w:t>ly</w:t>
      </w:r>
      <w:r w:rsidR="00125403">
        <w:t xml:space="preserve"> právo na povinný díl jak vůči svým rodičům, tak vůči rodičům ado</w:t>
      </w:r>
      <w:r w:rsidR="00F1479E">
        <w:t>ptivním</w:t>
      </w:r>
      <w:r w:rsidR="00F95219">
        <w:t>.</w:t>
      </w:r>
      <w:r w:rsidR="00F1479E">
        <w:t xml:space="preserve"> </w:t>
      </w:r>
      <w:r w:rsidR="00F95219">
        <w:t>D</w:t>
      </w:r>
      <w:r w:rsidR="00F1479E">
        <w:t xml:space="preserve">ěti legitimované </w:t>
      </w:r>
      <w:r w:rsidR="00F95219">
        <w:t xml:space="preserve">měly právo na povinný díl </w:t>
      </w:r>
      <w:r w:rsidR="00F1479E">
        <w:t>v</w:t>
      </w:r>
      <w:r w:rsidR="00F554C9">
        <w:t>ůči těm předkům, po kterých měly</w:t>
      </w:r>
      <w:r w:rsidR="00F1479E">
        <w:t xml:space="preserve"> právo dědické.</w:t>
      </w:r>
      <w:r w:rsidR="00FB6001">
        <w:rPr>
          <w:rStyle w:val="Znakapoznpodarou"/>
        </w:rPr>
        <w:footnoteReference w:id="103"/>
      </w:r>
      <w:r w:rsidR="00F1479E">
        <w:t xml:space="preserve"> </w:t>
      </w:r>
    </w:p>
    <w:p w:rsidR="00351E0A" w:rsidRDefault="00351E0A" w:rsidP="006C7543">
      <w:pPr>
        <w:spacing w:line="360" w:lineRule="auto"/>
        <w:contextualSpacing/>
      </w:pPr>
      <w:r>
        <w:tab/>
        <w:t>Vedle pozitivního vymezení pojmu nepominutelný dědic, bylo obsahem rakouského zákoníku rovněž vymezení negativní</w:t>
      </w:r>
      <w:r w:rsidR="006A6E5A">
        <w:t xml:space="preserve"> v §767 ABGB</w:t>
      </w:r>
      <w:r>
        <w:t xml:space="preserve">. </w:t>
      </w:r>
      <w:r w:rsidR="006523C5">
        <w:t>Nepominu</w:t>
      </w:r>
      <w:r w:rsidR="00F40B93">
        <w:t xml:space="preserve">telným dědicem </w:t>
      </w:r>
      <w:r w:rsidR="006523C5">
        <w:t xml:space="preserve">nebyla osoba, která se zřekla svého dědického práva (platilo i pro potomky takové osoby), osoba </w:t>
      </w:r>
      <w:r w:rsidR="006523C5" w:rsidRPr="00594A3C">
        <w:t>ne</w:t>
      </w:r>
      <w:r w:rsidR="00F449F4" w:rsidRPr="00594A3C">
        <w:t>způsobilá nebo nehodná k dědění, a dále osoba, která byla po právu zůstavitelem vyděděna.</w:t>
      </w:r>
      <w:r w:rsidR="00293C22" w:rsidRPr="00594A3C">
        <w:t xml:space="preserve"> Taková osoba </w:t>
      </w:r>
      <w:r w:rsidR="00012999" w:rsidRPr="00594A3C">
        <w:t>neměla</w:t>
      </w:r>
      <w:r w:rsidR="00293C22" w:rsidRPr="00594A3C">
        <w:t xml:space="preserve"> nárok na povinný díl a při jeho výpočtu se na ní </w:t>
      </w:r>
      <w:r w:rsidR="00B40BF7" w:rsidRPr="00594A3C">
        <w:t>hledělo</w:t>
      </w:r>
      <w:r w:rsidR="00293C22" w:rsidRPr="00594A3C">
        <w:t>, jako by neexistovala.</w:t>
      </w:r>
      <w:r w:rsidR="00293C22">
        <w:t xml:space="preserve"> </w:t>
      </w:r>
    </w:p>
    <w:p w:rsidR="00006902" w:rsidRDefault="00012999" w:rsidP="006C7543">
      <w:pPr>
        <w:spacing w:line="360" w:lineRule="auto"/>
        <w:contextualSpacing/>
      </w:pPr>
      <w:r>
        <w:tab/>
      </w:r>
      <w:r w:rsidR="00314255">
        <w:t>Vydědění</w:t>
      </w:r>
      <w:r w:rsidR="00F554C9">
        <w:t>,</w:t>
      </w:r>
      <w:r w:rsidR="00314255">
        <w:t xml:space="preserve"> ja</w:t>
      </w:r>
      <w:r w:rsidR="00F554C9">
        <w:t xml:space="preserve">kožto další projev zůstavitele </w:t>
      </w:r>
      <w:r w:rsidR="00314255">
        <w:t>regulovat svůj pozůstalostní majetek</w:t>
      </w:r>
      <w:r w:rsidR="00F554C9">
        <w:t>,</w:t>
      </w:r>
      <w:r w:rsidR="00314255">
        <w:t xml:space="preserve"> byl</w:t>
      </w:r>
      <w:r w:rsidR="00F554C9">
        <w:t>o</w:t>
      </w:r>
      <w:r w:rsidR="00314255">
        <w:t xml:space="preserve"> upraven</w:t>
      </w:r>
      <w:r w:rsidR="00F554C9">
        <w:t>o</w:t>
      </w:r>
      <w:r w:rsidR="00314255">
        <w:t xml:space="preserve"> v § 768 an. ABGB. Vydědění </w:t>
      </w:r>
      <w:r w:rsidR="003B4822">
        <w:t xml:space="preserve">je jednostranný projev vůle zůstavitele, kterým odjímá nepominutelnému dědici </w:t>
      </w:r>
      <w:r w:rsidR="00B32FD8">
        <w:t xml:space="preserve">zcela nebo zčásti </w:t>
      </w:r>
      <w:r w:rsidR="003B4822">
        <w:t xml:space="preserve">právo na povinný díl nebo právo na dědický podíl, včetně práva na povinný díl. </w:t>
      </w:r>
      <w:r w:rsidR="00AD465B">
        <w:t>Bylo</w:t>
      </w:r>
      <w:r w:rsidR="003B4822">
        <w:t xml:space="preserve"> nutné, aby bylo právo odejmuto právě osobě, která </w:t>
      </w:r>
      <w:r w:rsidR="00AD465B">
        <w:t>byla</w:t>
      </w:r>
      <w:r w:rsidR="003B4822">
        <w:t xml:space="preserve"> způsobilá být nepomi</w:t>
      </w:r>
      <w:r w:rsidR="00BE1587">
        <w:t>n</w:t>
      </w:r>
      <w:r w:rsidR="003B4822">
        <w:t>utelným dědi</w:t>
      </w:r>
      <w:r w:rsidR="00B32FD8">
        <w:t>c</w:t>
      </w:r>
      <w:r w:rsidR="003B4822">
        <w:t>em. Pokud by tak bylo učiněno příbuznému vzdálenějšímu, nešlo by o vydědění.</w:t>
      </w:r>
      <w:r w:rsidR="009E7D26">
        <w:rPr>
          <w:rStyle w:val="Znakapoznpodarou"/>
        </w:rPr>
        <w:footnoteReference w:id="104"/>
      </w:r>
      <w:r w:rsidR="00530C16">
        <w:t xml:space="preserve"> Právním následkem </w:t>
      </w:r>
      <w:r w:rsidR="007B02D9">
        <w:t xml:space="preserve">vydědění po právu </w:t>
      </w:r>
      <w:r w:rsidR="00530C16">
        <w:t xml:space="preserve">bylo pozbytí práva na povinný díl, přičemž </w:t>
      </w:r>
      <w:r w:rsidR="007B02D9">
        <w:t>na potomky vyděděného</w:t>
      </w:r>
      <w:r w:rsidR="00B40BF7">
        <w:t xml:space="preserve"> přecházelo jeho právo</w:t>
      </w:r>
      <w:r w:rsidR="007A0EE5">
        <w:t xml:space="preserve"> na povinný díl</w:t>
      </w:r>
      <w:r w:rsidR="00B40BF7">
        <w:t>. Vyděděný</w:t>
      </w:r>
      <w:r w:rsidR="007B02D9">
        <w:t xml:space="preserve"> sice přišel o svůj povinný díl, bylo mu však zachováno právo na nutnou výživu</w:t>
      </w:r>
      <w:r w:rsidR="004D0AB8">
        <w:t>,</w:t>
      </w:r>
      <w:r w:rsidR="004D0AB8">
        <w:rPr>
          <w:rStyle w:val="Znakapoznpodarou"/>
        </w:rPr>
        <w:footnoteReference w:id="105"/>
      </w:r>
      <w:r w:rsidR="004D0AB8">
        <w:t xml:space="preserve"> a to jen v situaci, kdy se v</w:t>
      </w:r>
      <w:r w:rsidR="00F554C9">
        <w:t>yděděnému nutná výživa nedostávala a ve výši, která nepřevyšovala</w:t>
      </w:r>
      <w:r w:rsidR="004D0AB8">
        <w:t xml:space="preserve"> částku povinného dílu.</w:t>
      </w:r>
      <w:r w:rsidR="004D0AB8">
        <w:rPr>
          <w:rStyle w:val="Znakapoznpodarou"/>
        </w:rPr>
        <w:footnoteReference w:id="106"/>
      </w:r>
    </w:p>
    <w:p w:rsidR="00565019" w:rsidRDefault="002F1F4F" w:rsidP="002E270E">
      <w:pPr>
        <w:spacing w:line="360" w:lineRule="auto"/>
        <w:contextualSpacing/>
      </w:pPr>
      <w:r>
        <w:tab/>
        <w:t xml:space="preserve">Zůstavitel mohl dědice vydědit jen ze zákonem </w:t>
      </w:r>
      <w:r w:rsidR="00782D53">
        <w:t>stanovených důvodů</w:t>
      </w:r>
      <w:r w:rsidR="0009424D">
        <w:t xml:space="preserve"> uvedených v § 768 an</w:t>
      </w:r>
      <w:r w:rsidR="00F554C9">
        <w:t>.</w:t>
      </w:r>
      <w:r w:rsidR="0009424D">
        <w:t xml:space="preserve"> ABGB</w:t>
      </w:r>
      <w:r w:rsidR="00782D53">
        <w:t xml:space="preserve">, přičemž k tomu mohl přistoupit výslovně nebo mlčky. Výslovně šlo vydědit dědice přímo v závěti nebo ve zvláštním </w:t>
      </w:r>
      <w:r w:rsidR="00A36DFE">
        <w:t>pořízení</w:t>
      </w:r>
      <w:r w:rsidR="00782D53">
        <w:t xml:space="preserve"> u</w:t>
      </w:r>
      <w:r w:rsidR="00314255">
        <w:t xml:space="preserve">činěném pouze za účelem vydědění. </w:t>
      </w:r>
      <w:r w:rsidR="00A36DFE">
        <w:t>Pokud zůstavitel pořídil závěť o c</w:t>
      </w:r>
      <w:r w:rsidR="00F554C9">
        <w:t xml:space="preserve">elém svém majetku a </w:t>
      </w:r>
      <w:r w:rsidR="00A36DFE">
        <w:t>ani v nejmenším nepamatoval na nepominutelného dědice, dopustil se vydědění mlčky.</w:t>
      </w:r>
      <w:r w:rsidR="00A36DFE">
        <w:rPr>
          <w:rStyle w:val="Znakapoznpodarou"/>
        </w:rPr>
        <w:footnoteReference w:id="107"/>
      </w:r>
    </w:p>
    <w:p w:rsidR="002E270E" w:rsidRDefault="002E270E" w:rsidP="002E270E">
      <w:pPr>
        <w:spacing w:line="360" w:lineRule="auto"/>
        <w:contextualSpacing/>
      </w:pPr>
      <w:r>
        <w:lastRenderedPageBreak/>
        <w:tab/>
        <w:t>Důvod vydědění</w:t>
      </w:r>
      <w:r w:rsidR="003F45EF">
        <w:t xml:space="preserve"> mohl</w:t>
      </w:r>
      <w:r>
        <w:t xml:space="preserve"> zůstavitel uvést</w:t>
      </w:r>
      <w:r w:rsidR="003F45EF">
        <w:t xml:space="preserve"> přímo</w:t>
      </w:r>
      <w:r w:rsidR="00F554C9">
        <w:t>, ale nebylo</w:t>
      </w:r>
      <w:r>
        <w:t xml:space="preserve"> to jeho povinností. V případě, kdy došlo po smrti zůstavitele ke sporu, zda bylo vydědění dědice důvodné či ne, </w:t>
      </w:r>
      <w:r w:rsidR="00B40BF7">
        <w:t>bylo</w:t>
      </w:r>
      <w:r>
        <w:t xml:space="preserve"> na ostatních </w:t>
      </w:r>
      <w:r w:rsidR="003F45EF">
        <w:t>dědicích, proti kterým byla podána žaloba na doplnění povinného dílu, aby dokázali, že vydědění důvodné</w:t>
      </w:r>
      <w:r w:rsidR="00F554C9">
        <w:t xml:space="preserve"> bylo</w:t>
      </w:r>
      <w:r w:rsidR="003F45EF">
        <w:t>.</w:t>
      </w:r>
      <w:r w:rsidR="00E1518B">
        <w:rPr>
          <w:rStyle w:val="Znakapoznpodarou"/>
        </w:rPr>
        <w:footnoteReference w:id="108"/>
      </w:r>
    </w:p>
    <w:p w:rsidR="005F5F22" w:rsidRDefault="005F5F22" w:rsidP="005F5F22">
      <w:pPr>
        <w:spacing w:line="360" w:lineRule="auto"/>
        <w:ind w:firstLine="708"/>
        <w:contextualSpacing/>
      </w:pPr>
      <w:r>
        <w:t xml:space="preserve">Zákon sám uváděl několik důvodů vydědění, přičemž </w:t>
      </w:r>
      <w:r w:rsidR="00F554C9">
        <w:t xml:space="preserve">hned první z uvedených – </w:t>
      </w:r>
      <w:r w:rsidR="00E47542">
        <w:t>vydědění z důvodu odpadnutí od křesťanství, byl</w:t>
      </w:r>
      <w:r w:rsidR="00D451F1">
        <w:t xml:space="preserve"> ještě v druhé polovině 19. století</w:t>
      </w:r>
      <w:r w:rsidR="00E47542">
        <w:t xml:space="preserve"> zrušen zákonem upravujícím interkonfesní poměry státních občanů.</w:t>
      </w:r>
      <w:r w:rsidR="00E47542">
        <w:rPr>
          <w:rStyle w:val="Znakapoznpodarou"/>
        </w:rPr>
        <w:footnoteReference w:id="109"/>
      </w:r>
      <w:r w:rsidR="007B3137">
        <w:t xml:space="preserve"> </w:t>
      </w:r>
      <w:r w:rsidR="00B624B3">
        <w:t>Zůstavitel mohl vydědit svého dědice v případě, kdy jej opustil v n</w:t>
      </w:r>
      <w:r w:rsidR="003836E7">
        <w:t>ouzi. Pojem nouze byl</w:t>
      </w:r>
      <w:r w:rsidR="000911AD">
        <w:t xml:space="preserve"> poté pře</w:t>
      </w:r>
      <w:r w:rsidR="00B624B3">
        <w:t>dmětem několika soudních rozhodnutí. Nouzí se primárně myslel</w:t>
      </w:r>
      <w:r w:rsidR="00C35666">
        <w:t>o</w:t>
      </w:r>
      <w:r w:rsidR="00B624B3">
        <w:t xml:space="preserve"> zanechání zůstavitele bez pomoci, přičemž </w:t>
      </w:r>
      <w:r w:rsidR="00C35666">
        <w:t xml:space="preserve">ta </w:t>
      </w:r>
      <w:r w:rsidR="00B624B3">
        <w:t>nemusela být pouze finančního rázu.</w:t>
      </w:r>
      <w:r w:rsidR="00553410">
        <w:t xml:space="preserve"> Dalším důležitým aspektem bylo, že dědic musel být schopen takovou pomoc poskytnout. Nemohl být vyděděn v</w:t>
      </w:r>
      <w:r w:rsidR="00290F16">
        <w:t> </w:t>
      </w:r>
      <w:r w:rsidR="00553410">
        <w:t>případě</w:t>
      </w:r>
      <w:r w:rsidR="00290F16">
        <w:t xml:space="preserve">, kdy pomoc neposkytl z důvodu, že </w:t>
      </w:r>
      <w:r w:rsidR="00553410">
        <w:t>i on sám trpěl nouzí.</w:t>
      </w:r>
      <w:r w:rsidR="0009424D">
        <w:rPr>
          <w:rStyle w:val="Znakapoznpodarou"/>
        </w:rPr>
        <w:footnoteReference w:id="110"/>
      </w:r>
    </w:p>
    <w:p w:rsidR="00553410" w:rsidRDefault="002D3E8C" w:rsidP="005F5F22">
      <w:pPr>
        <w:spacing w:line="360" w:lineRule="auto"/>
        <w:ind w:firstLine="708"/>
        <w:contextualSpacing/>
      </w:pPr>
      <w:r>
        <w:t>Zůstavitel mohl vydědit potomka</w:t>
      </w:r>
      <w:r w:rsidR="003836E7">
        <w:t xml:space="preserve"> i</w:t>
      </w:r>
      <w:r>
        <w:t xml:space="preserve"> v případě, kdy byl potomek odsouzen k doživotnímu nebo dvacetiletému žaláři. </w:t>
      </w:r>
      <w:r w:rsidR="00F15A81">
        <w:t>Totéž platilo i v situaci, kdy byl dědic odsouzen k trestu smrti.</w:t>
      </w:r>
      <w:r w:rsidR="00ED3F0A">
        <w:t xml:space="preserve"> Nepominutelný </w:t>
      </w:r>
      <w:r w:rsidR="00FE2B9E">
        <w:t>dědic mohl být vyděděn i proto</w:t>
      </w:r>
      <w:r w:rsidR="00ED3F0A">
        <w:t xml:space="preserve">, </w:t>
      </w:r>
      <w:r w:rsidR="00FE2B9E">
        <w:t>že</w:t>
      </w:r>
      <w:r w:rsidR="00ED3F0A">
        <w:t xml:space="preserve"> dle zůstavitele vedl bez ustání život urážející veřejnou mravnost</w:t>
      </w:r>
      <w:r w:rsidR="00873F1B">
        <w:t>,</w:t>
      </w:r>
      <w:r w:rsidR="00894A19">
        <w:rPr>
          <w:rStyle w:val="Znakapoznpodarou"/>
        </w:rPr>
        <w:footnoteReference w:id="111"/>
      </w:r>
      <w:r w:rsidR="00894A19">
        <w:t xml:space="preserve"> přičemž takové jednání bylo třeba posoudit podle </w:t>
      </w:r>
      <w:r w:rsidR="004E13A2">
        <w:t>všeobecně platného mínění</w:t>
      </w:r>
      <w:r w:rsidR="00894A19">
        <w:t>, a nikoli podle kritérií tamního trestního zákona</w:t>
      </w:r>
      <w:r w:rsidR="004E5794">
        <w:t>.</w:t>
      </w:r>
      <w:r w:rsidR="004E13A2">
        <w:rPr>
          <w:rStyle w:val="Znakapoznpodarou"/>
        </w:rPr>
        <w:footnoteReference w:id="112"/>
      </w:r>
      <w:r w:rsidR="00873F1B">
        <w:t xml:space="preserve"> Zároveň nebylo podstatné, zda chování dědice vyvolalo veřejné pohoršení. Postačilo, když bylo způsobilé takové pohoršení vyvolat.</w:t>
      </w:r>
      <w:r w:rsidR="00894A19">
        <w:rPr>
          <w:rStyle w:val="Znakapoznpodarou"/>
        </w:rPr>
        <w:footnoteReference w:id="113"/>
      </w:r>
    </w:p>
    <w:p w:rsidR="00FE2B9E" w:rsidRPr="007A0EE5" w:rsidRDefault="00FE2B9E" w:rsidP="005F5F22">
      <w:pPr>
        <w:spacing w:line="360" w:lineRule="auto"/>
        <w:ind w:firstLine="708"/>
        <w:contextualSpacing/>
      </w:pPr>
      <w:r w:rsidRPr="007A0EE5">
        <w:t>V zákoně byl</w:t>
      </w:r>
      <w:r w:rsidR="009B1FB1" w:rsidRPr="007A0EE5">
        <w:t>a</w:t>
      </w:r>
      <w:r w:rsidRPr="007A0EE5">
        <w:t xml:space="preserve"> </w:t>
      </w:r>
      <w:r w:rsidR="0009424D" w:rsidRPr="007A0EE5">
        <w:t xml:space="preserve">v § 770 ABGB </w:t>
      </w:r>
      <w:r w:rsidRPr="007A0EE5">
        <w:t xml:space="preserve">dalším důvodem pro vydědění </w:t>
      </w:r>
      <w:r w:rsidR="009B1FB1" w:rsidRPr="007A0EE5">
        <w:t xml:space="preserve">skutečnost, </w:t>
      </w:r>
      <w:r w:rsidR="00500950" w:rsidRPr="007A0EE5">
        <w:t xml:space="preserve">která dědice činila nehodným dědického práva. Takovou skutečností bylo </w:t>
      </w:r>
      <w:r w:rsidR="005F5188" w:rsidRPr="007A0EE5">
        <w:t xml:space="preserve">dle § 540 a § 542 ABGB </w:t>
      </w:r>
      <w:r w:rsidR="00500950" w:rsidRPr="007A0EE5">
        <w:t>dopuštění se zločinu proti zůstaviteli nebo takového jednání, k</w:t>
      </w:r>
      <w:r w:rsidR="000F20A1" w:rsidRPr="007A0EE5">
        <w:t>dy zůstavitel pořizoval závěť pod nátlakem nebo byla jeho vůle ovlivněna jiným způsobem.</w:t>
      </w:r>
      <w:r w:rsidR="00B2360D" w:rsidRPr="007A0EE5">
        <w:t xml:space="preserve"> Zákon však též stanovil, že právním důsledkem nehodnosti dědického práva je to, že dědic nemá vůbec právo na pozůstalost, tedy v tom případě nemá právo ani na povinný díl.</w:t>
      </w:r>
      <w:r w:rsidR="00B26875" w:rsidRPr="007A0EE5">
        <w:t xml:space="preserve"> Ustanovení § 541 ABGB </w:t>
      </w:r>
      <w:r w:rsidR="005F5188" w:rsidRPr="007A0EE5">
        <w:t xml:space="preserve">dále </w:t>
      </w:r>
      <w:r w:rsidR="008F62C1" w:rsidRPr="007A0EE5">
        <w:t>uvádělo</w:t>
      </w:r>
      <w:r w:rsidR="00B26875" w:rsidRPr="007A0EE5">
        <w:t>, že potomek nezpů</w:t>
      </w:r>
      <w:r w:rsidR="007A0EE5">
        <w:t>sobilého dědice nastupuju v dědi</w:t>
      </w:r>
      <w:r w:rsidR="00B26875" w:rsidRPr="007A0EE5">
        <w:t>ckém právu na místo nezpůsobilého jen, když nezpůsobilý přežil zůstavitele.</w:t>
      </w:r>
      <w:r w:rsidR="000F20A1" w:rsidRPr="007A0EE5">
        <w:rPr>
          <w:rStyle w:val="Znakapoznpodarou"/>
        </w:rPr>
        <w:footnoteReference w:id="114"/>
      </w:r>
      <w:r w:rsidR="00B2360D" w:rsidRPr="007A0EE5">
        <w:t xml:space="preserve"> Je </w:t>
      </w:r>
      <w:r w:rsidR="00AE7F85" w:rsidRPr="007A0EE5">
        <w:t>otázkou</w:t>
      </w:r>
      <w:r w:rsidR="00B2360D" w:rsidRPr="007A0EE5">
        <w:t xml:space="preserve">, zda toto ustanovení </w:t>
      </w:r>
      <w:r w:rsidR="00B2360D" w:rsidRPr="007A0EE5">
        <w:lastRenderedPageBreak/>
        <w:t>nebylo nezbytné</w:t>
      </w:r>
      <w:r w:rsidR="001D5ACB">
        <w:t xml:space="preserve"> v dikci zákona. Z</w:t>
      </w:r>
      <w:r w:rsidR="00FC6434" w:rsidRPr="007A0EE5">
        <w:t>ůstavitel</w:t>
      </w:r>
      <w:r w:rsidR="007A0EE5">
        <w:t xml:space="preserve">, který z důvodu nehodnosti vydědil svého potomka, tak ho </w:t>
      </w:r>
      <w:r w:rsidR="00473ADF" w:rsidRPr="007A0EE5">
        <w:t>nejen, že „nepotrestal“</w:t>
      </w:r>
      <w:r w:rsidR="001D5ACB">
        <w:t>,</w:t>
      </w:r>
      <w:r w:rsidR="00473ADF" w:rsidRPr="007A0EE5">
        <w:t xml:space="preserve"> ale spíš tímto připravil o nástupnické dědické právo potomky vyděděného</w:t>
      </w:r>
      <w:r w:rsidR="00EC4541" w:rsidRPr="007A0EE5">
        <w:t xml:space="preserve">, kteří dle zákona </w:t>
      </w:r>
      <w:r w:rsidR="005B3C99" w:rsidRPr="007A0EE5">
        <w:t>měli nastoupit</w:t>
      </w:r>
      <w:r w:rsidR="00EC4541" w:rsidRPr="007A0EE5">
        <w:t xml:space="preserve"> na místo</w:t>
      </w:r>
      <w:r w:rsidR="001D5ACB">
        <w:t xml:space="preserve"> přeživšího</w:t>
      </w:r>
      <w:r w:rsidR="00EC4541" w:rsidRPr="007A0EE5">
        <w:t xml:space="preserve"> </w:t>
      </w:r>
      <w:r w:rsidR="005B3C99" w:rsidRPr="007A0EE5">
        <w:t>dědice nehodného dědického práva</w:t>
      </w:r>
      <w:r w:rsidR="00473ADF" w:rsidRPr="007A0EE5">
        <w:t>.</w:t>
      </w:r>
      <w:r w:rsidR="005B3C99" w:rsidRPr="007A0EE5">
        <w:t xml:space="preserve"> Po vyděděném mají potomci právo pouze na jeho povinný díl, nikoli už na dědický podíl.</w:t>
      </w:r>
    </w:p>
    <w:p w:rsidR="00981305" w:rsidRDefault="00926101" w:rsidP="00107758">
      <w:pPr>
        <w:spacing w:line="360" w:lineRule="auto"/>
        <w:ind w:firstLine="709"/>
        <w:contextualSpacing/>
      </w:pPr>
      <w:r w:rsidRPr="007A0EE5">
        <w:t xml:space="preserve">Další důvod pro vydědění byl ryze ekonomické povahy a vztahoval se jak na potomky, tak i na předky. Zůstavitel mohl </w:t>
      </w:r>
      <w:r w:rsidR="00AA71C3" w:rsidRPr="007A0EE5">
        <w:t xml:space="preserve">dle § 773 ABGB </w:t>
      </w:r>
      <w:r w:rsidRPr="007A0EE5">
        <w:t xml:space="preserve">vydědit dědice, který byl zadlužený nebo marnotratný, </w:t>
      </w:r>
      <w:r w:rsidR="006420A6" w:rsidRPr="007A0EE5">
        <w:t>kvůli důvodné obavě</w:t>
      </w:r>
      <w:r w:rsidRPr="007A0EE5">
        <w:t>, že by jemu připadlý povinný díl byl rozházen. Aby zůstavitel mohl vydědit z tohoto dův</w:t>
      </w:r>
      <w:r>
        <w:t>odu, musel povinný díl zůstavit dětem nepominutelného dědice</w:t>
      </w:r>
      <w:r w:rsidR="00AA71C3">
        <w:t>. P</w:t>
      </w:r>
      <w:r w:rsidR="004D3133">
        <w:t>roto se občas tento důvod nazýval</w:t>
      </w:r>
      <w:r w:rsidR="000C5CB4">
        <w:t xml:space="preserve"> vyděděním k dobru potomků (</w:t>
      </w:r>
      <w:r w:rsidR="000C5CB4">
        <w:rPr>
          <w:i/>
        </w:rPr>
        <w:t>exheredatio bona mente facta)</w:t>
      </w:r>
      <w:r>
        <w:t>.</w:t>
      </w:r>
      <w:r w:rsidR="000C5CB4">
        <w:rPr>
          <w:rStyle w:val="Znakapoznpodarou"/>
        </w:rPr>
        <w:footnoteReference w:id="115"/>
      </w:r>
      <w:r>
        <w:t xml:space="preserve"> </w:t>
      </w:r>
      <w:r w:rsidR="00137CE0">
        <w:t>Marnotratnost dědice byl oprávněn posoudit soud.</w:t>
      </w:r>
      <w:r w:rsidR="00137CE0">
        <w:rPr>
          <w:rStyle w:val="Znakapoznpodarou"/>
        </w:rPr>
        <w:footnoteReference w:id="116"/>
      </w:r>
      <w:r w:rsidR="00137CE0">
        <w:t xml:space="preserve"> Nebylo podstatné, zda nepominutelný dědic již stihl utratit to, co by mu připadlo jako povinný díl. Pro rozhodnutí zůstavitele postačilo, když bylo z dosavadního chování dědice zřejmé, že se tak může stát.</w:t>
      </w:r>
      <w:r w:rsidR="00137CE0">
        <w:rPr>
          <w:rStyle w:val="Znakapoznpodarou"/>
        </w:rPr>
        <w:footnoteReference w:id="117"/>
      </w:r>
      <w:r w:rsidR="00406F77">
        <w:t xml:space="preserve"> </w:t>
      </w:r>
      <w:r w:rsidR="001E7526">
        <w:t xml:space="preserve">Předek mohl být </w:t>
      </w:r>
      <w:r w:rsidR="00885281">
        <w:t xml:space="preserve">dle § 769 ABGB </w:t>
      </w:r>
      <w:r w:rsidR="00406F77">
        <w:t xml:space="preserve">dále </w:t>
      </w:r>
      <w:r w:rsidR="001E7526">
        <w:t xml:space="preserve">vyloučen z dědického práva v případě, kdy zcela zanedbal potomkovu výchovu. </w:t>
      </w:r>
    </w:p>
    <w:p w:rsidR="00407E5C" w:rsidRDefault="001F6E05" w:rsidP="00107758">
      <w:pPr>
        <w:spacing w:line="360" w:lineRule="auto"/>
        <w:ind w:firstLine="709"/>
        <w:contextualSpacing/>
      </w:pPr>
      <w:r>
        <w:t xml:space="preserve">V případě, kdy zůstavitel platně vydědil svého dědice a rozhodl se, že mu chce nakonec povinný díl ponechat, </w:t>
      </w:r>
      <w:r w:rsidR="00671F76">
        <w:t>mohl</w:t>
      </w:r>
      <w:r>
        <w:t xml:space="preserve"> své rozhodnutí zvrátit tím, že vydědění o</w:t>
      </w:r>
      <w:r w:rsidR="00671F76">
        <w:t>dvolal</w:t>
      </w:r>
      <w:r>
        <w:t xml:space="preserve">. </w:t>
      </w:r>
      <w:r w:rsidR="00A22D16">
        <w:t xml:space="preserve">Tak </w:t>
      </w:r>
      <w:r w:rsidR="00671F76">
        <w:t>mohl</w:t>
      </w:r>
      <w:r w:rsidR="001D5ACB">
        <w:t xml:space="preserve"> učinit formou pořízení nebo </w:t>
      </w:r>
      <w:r w:rsidR="00A22D16">
        <w:t xml:space="preserve">mlčky. Mlčky </w:t>
      </w:r>
      <w:r w:rsidR="00671F76">
        <w:t>mohl</w:t>
      </w:r>
      <w:r w:rsidR="00A22D16">
        <w:t xml:space="preserve"> odvolat pořízení tím způsobem, že </w:t>
      </w:r>
      <w:r w:rsidR="00671F76">
        <w:t>zničil</w:t>
      </w:r>
      <w:r w:rsidR="00A22D16">
        <w:t xml:space="preserve"> poslední závěť o</w:t>
      </w:r>
      <w:r w:rsidR="00671F76">
        <w:t>bsahující vydědění, anebo pořídil</w:t>
      </w:r>
      <w:r w:rsidR="00A22D16">
        <w:t xml:space="preserve"> pořízení nové s ohledem na vyděděného dědice.</w:t>
      </w:r>
      <w:r w:rsidR="00407CFB">
        <w:t xml:space="preserve"> Z výše uvedeného vyplývá, že pro odvolání </w:t>
      </w:r>
      <w:r w:rsidR="00671F76">
        <w:t>nepostačovalo</w:t>
      </w:r>
      <w:r w:rsidR="00407CFB">
        <w:t xml:space="preserve"> odpadnutí důvodu nebo prominutí zůstavitelem.</w:t>
      </w:r>
      <w:r w:rsidR="00671F76">
        <w:rPr>
          <w:rStyle w:val="Znakapoznpodarou"/>
        </w:rPr>
        <w:footnoteReference w:id="118"/>
      </w:r>
    </w:p>
    <w:p w:rsidR="00407CFB" w:rsidRDefault="00407CFB" w:rsidP="00407CFB">
      <w:pPr>
        <w:spacing w:line="360" w:lineRule="auto"/>
        <w:ind w:firstLine="708"/>
        <w:contextualSpacing/>
      </w:pPr>
    </w:p>
    <w:p w:rsidR="006420A6" w:rsidRPr="006420A6" w:rsidRDefault="00005960" w:rsidP="002E59E5">
      <w:pPr>
        <w:pStyle w:val="Nadpis3"/>
      </w:pPr>
      <w:bookmarkStart w:id="16" w:name="_Toc449513904"/>
      <w:r>
        <w:t>2. 2</w:t>
      </w:r>
      <w:r w:rsidR="00114116">
        <w:t>.</w:t>
      </w:r>
      <w:r w:rsidR="00816EA4">
        <w:t xml:space="preserve"> 2</w:t>
      </w:r>
      <w:r w:rsidR="00114116">
        <w:t xml:space="preserve"> </w:t>
      </w:r>
      <w:r w:rsidR="00D974DA">
        <w:t xml:space="preserve">Povinný díl a jeho výše, právo na </w:t>
      </w:r>
      <w:r w:rsidR="000057D2">
        <w:t>povinný díl</w:t>
      </w:r>
      <w:bookmarkEnd w:id="16"/>
    </w:p>
    <w:p w:rsidR="00ED351C" w:rsidRDefault="00C21A4B" w:rsidP="0024342B">
      <w:pPr>
        <w:spacing w:line="360" w:lineRule="auto"/>
        <w:contextualSpacing/>
      </w:pPr>
      <w:r>
        <w:tab/>
      </w:r>
      <w:r w:rsidR="00204E4D">
        <w:t xml:space="preserve">Zákon </w:t>
      </w:r>
      <w:r w:rsidR="00757241">
        <w:t xml:space="preserve">v § 764 ABGB </w:t>
      </w:r>
      <w:r w:rsidR="00204E4D">
        <w:t>stanovil, že</w:t>
      </w:r>
      <w:r w:rsidR="00D6329F">
        <w:t xml:space="preserve"> nepominutelní dědici</w:t>
      </w:r>
      <w:r w:rsidR="00ED351C">
        <w:t xml:space="preserve"> </w:t>
      </w:r>
      <w:r w:rsidR="00204E4D">
        <w:t>měli</w:t>
      </w:r>
      <w:r w:rsidR="00ED351C">
        <w:t xml:space="preserve"> po zůstavitelově smrti právo na </w:t>
      </w:r>
      <w:r w:rsidR="00204E4D">
        <w:t>povinný díl z pozůstalosti</w:t>
      </w:r>
      <w:r w:rsidR="00ED351C">
        <w:t xml:space="preserve">. </w:t>
      </w:r>
      <w:r w:rsidR="00204E4D">
        <w:t xml:space="preserve">Povinným dílem </w:t>
      </w:r>
      <w:r w:rsidR="006420A6">
        <w:t>byla</w:t>
      </w:r>
      <w:r w:rsidR="00204E4D">
        <w:t xml:space="preserve"> </w:t>
      </w:r>
      <w:r w:rsidR="00C23322">
        <w:t>ur</w:t>
      </w:r>
      <w:r w:rsidR="006420A6">
        <w:t>čitá část pozůstalosti, kterou byl</w:t>
      </w:r>
      <w:r w:rsidR="00C23322">
        <w:t xml:space="preserve"> zůstavitel povinen zanechat svým nejbližším dědicům. </w:t>
      </w:r>
      <w:r w:rsidR="00D21A73">
        <w:t>Výše povinného dílu se odvíjela</w:t>
      </w:r>
      <w:r w:rsidR="0024342B">
        <w:t xml:space="preserve"> od celkové výše pozůstalostního majetku s ohledem na jednotlivé dědické podíly zákonných dědiců.</w:t>
      </w:r>
    </w:p>
    <w:p w:rsidR="0024342B" w:rsidRDefault="00450631" w:rsidP="0024342B">
      <w:pPr>
        <w:spacing w:line="360" w:lineRule="auto"/>
        <w:contextualSpacing/>
      </w:pPr>
      <w:r>
        <w:tab/>
        <w:t>Výše povinného dílu byla</w:t>
      </w:r>
      <w:r w:rsidR="0024342B">
        <w:t xml:space="preserve"> stanovena zákonem </w:t>
      </w:r>
      <w:r w:rsidR="00757241">
        <w:t>v § 765 a § 766 ABGB. V</w:t>
      </w:r>
      <w:r w:rsidR="0024342B">
        <w:t> případ</w:t>
      </w:r>
      <w:r w:rsidR="007E2FE8">
        <w:t>ě</w:t>
      </w:r>
      <w:r w:rsidR="0024342B">
        <w:t xml:space="preserve"> descendentů</w:t>
      </w:r>
      <w:r w:rsidR="007E2FE8">
        <w:t xml:space="preserve"> to</w:t>
      </w:r>
      <w:r>
        <w:t xml:space="preserve"> byla</w:t>
      </w:r>
      <w:r w:rsidR="007E2FE8">
        <w:t xml:space="preserve"> polovina zákonného </w:t>
      </w:r>
      <w:r w:rsidR="0083194F">
        <w:t>dědického podílu potomka</w:t>
      </w:r>
      <w:r w:rsidR="007E2FE8">
        <w:t xml:space="preserve">. U ascendentů </w:t>
      </w:r>
      <w:r>
        <w:t>byla</w:t>
      </w:r>
      <w:r w:rsidR="007E2FE8">
        <w:t xml:space="preserve"> výše </w:t>
      </w:r>
      <w:r w:rsidR="007E2FE8">
        <w:lastRenderedPageBreak/>
        <w:t>stanovena menší částkou, a to na jednu třetinu z dědického podílu, kterou by předek dostal v rámci intestátní posloupnosti.</w:t>
      </w:r>
    </w:p>
    <w:p w:rsidR="00E57A91" w:rsidRDefault="00F17031" w:rsidP="0024342B">
      <w:pPr>
        <w:spacing w:line="360" w:lineRule="auto"/>
        <w:contextualSpacing/>
      </w:pPr>
      <w:r>
        <w:tab/>
        <w:t xml:space="preserve">Pro výpočet povinného dílu </w:t>
      </w:r>
      <w:r w:rsidR="00CA42ED">
        <w:t xml:space="preserve">bylo důležité brát zřetel na všechny osoby, které by měly v daném případě </w:t>
      </w:r>
      <w:r w:rsidR="00CA42ED" w:rsidRPr="00D6329F">
        <w:t xml:space="preserve">právo na dědický podíl z pozůstalosti, včetně osob, které samy právo na povinný díl </w:t>
      </w:r>
      <w:r w:rsidR="00D21A73" w:rsidRPr="00D6329F">
        <w:t>neměly</w:t>
      </w:r>
      <w:r w:rsidR="00CA42ED" w:rsidRPr="00D6329F">
        <w:t xml:space="preserve">. Takovým případem </w:t>
      </w:r>
      <w:r w:rsidR="0083194F" w:rsidRPr="00D6329F">
        <w:t>byl</w:t>
      </w:r>
      <w:r w:rsidR="00CA42ED" w:rsidRPr="00D6329F">
        <w:t xml:space="preserve"> dě</w:t>
      </w:r>
      <w:r w:rsidR="00D6329F" w:rsidRPr="00D6329F">
        <w:t>dický podíl pozůstalého manžela. Ten sice právo na povinný díl neměl, ale</w:t>
      </w:r>
      <w:r w:rsidR="007578DB" w:rsidRPr="00D6329F">
        <w:t xml:space="preserve"> existence jeho osob</w:t>
      </w:r>
      <w:r w:rsidR="0083194F" w:rsidRPr="00D6329F">
        <w:t>y</w:t>
      </w:r>
      <w:r w:rsidR="007578DB" w:rsidRPr="00D6329F">
        <w:t xml:space="preserve"> </w:t>
      </w:r>
      <w:r w:rsidR="0083194F" w:rsidRPr="00D6329F">
        <w:t>měla</w:t>
      </w:r>
      <w:r w:rsidR="007578DB" w:rsidRPr="00D6329F">
        <w:t xml:space="preserve"> vliv na poměrné zmenšení všech ostatních dědických podílů, včetně dílu povinného.</w:t>
      </w:r>
      <w:r w:rsidR="00CA42ED" w:rsidRPr="00D6329F">
        <w:rPr>
          <w:rStyle w:val="Znakapoznpodarou"/>
        </w:rPr>
        <w:footnoteReference w:id="119"/>
      </w:r>
      <w:r w:rsidR="00E46A12">
        <w:t xml:space="preserve"> </w:t>
      </w:r>
    </w:p>
    <w:p w:rsidR="00E57A91" w:rsidRDefault="00E57A91" w:rsidP="0024342B">
      <w:pPr>
        <w:spacing w:line="360" w:lineRule="auto"/>
        <w:contextualSpacing/>
      </w:pPr>
      <w:r>
        <w:tab/>
      </w:r>
      <w:r w:rsidR="00E46A12">
        <w:t xml:space="preserve">Mezi osoby důležité pro výpočet povinného dílu se </w:t>
      </w:r>
      <w:r w:rsidR="00757241">
        <w:t>dle § 767 ABGB</w:t>
      </w:r>
      <w:r w:rsidR="00E46A12">
        <w:t xml:space="preserve"> nezapočítávali ti,</w:t>
      </w:r>
      <w:r w:rsidR="004416B4">
        <w:t xml:space="preserve"> </w:t>
      </w:r>
      <w:r w:rsidR="00E46A12">
        <w:t xml:space="preserve">co </w:t>
      </w:r>
      <w:r w:rsidR="00D21A73">
        <w:t>nebyli dle zákona povoláni</w:t>
      </w:r>
      <w:r w:rsidR="004416B4">
        <w:t xml:space="preserve">. </w:t>
      </w:r>
      <w:r w:rsidR="00112504">
        <w:t xml:space="preserve">Těmi </w:t>
      </w:r>
      <w:r w:rsidR="004416B4">
        <w:t>byly osoby nehodné dědického práva</w:t>
      </w:r>
      <w:r w:rsidR="00A427F9">
        <w:t>, osoby vyděděné,</w:t>
      </w:r>
      <w:r w:rsidR="004416B4">
        <w:t xml:space="preserve"> a ti, co se svého dědického práva </w:t>
      </w:r>
      <w:r w:rsidR="00AB434A">
        <w:t>zřekli</w:t>
      </w:r>
      <w:r w:rsidR="004416B4">
        <w:t xml:space="preserve"> smlouvou se zůstavitelem</w:t>
      </w:r>
      <w:r w:rsidR="00054E17">
        <w:t xml:space="preserve">, přičemž pokud se dědic zřekl jen práva na povinný díl a nikoli dědického práva, </w:t>
      </w:r>
      <w:r w:rsidR="005F7D05">
        <w:t>počítalo</w:t>
      </w:r>
      <w:r w:rsidR="00054E17">
        <w:t xml:space="preserve"> se s jeho osobou </w:t>
      </w:r>
      <w:r w:rsidR="00A427F9">
        <w:t xml:space="preserve">normálně </w:t>
      </w:r>
      <w:r w:rsidR="00054E17">
        <w:t>při výpočtu povinného dílu.</w:t>
      </w:r>
      <w:r w:rsidR="00054E17">
        <w:rPr>
          <w:rStyle w:val="Znakapoznpodarou"/>
        </w:rPr>
        <w:footnoteReference w:id="120"/>
      </w:r>
      <w:r w:rsidR="00A427F9">
        <w:t xml:space="preserve"> </w:t>
      </w:r>
      <w:r w:rsidR="009470A1">
        <w:t xml:space="preserve">Zákon se tímto ve svém ustanovení odchýlil od staré římské zásady </w:t>
      </w:r>
      <w:r w:rsidR="009470A1" w:rsidRPr="009470A1">
        <w:t>„</w:t>
      </w:r>
      <w:r w:rsidR="009470A1" w:rsidRPr="009470A1">
        <w:rPr>
          <w:i/>
        </w:rPr>
        <w:t>exheredatus partem facit ad minuendam</w:t>
      </w:r>
      <w:r w:rsidR="009470A1" w:rsidRPr="009470A1">
        <w:t>“</w:t>
      </w:r>
      <w:r w:rsidR="009470A1">
        <w:t xml:space="preserve">, </w:t>
      </w:r>
      <w:r w:rsidR="009470A1" w:rsidRPr="009470A1">
        <w:t>která znamen</w:t>
      </w:r>
      <w:r w:rsidR="00112504">
        <w:t>ala, že podíl vyděděného způsobuje</w:t>
      </w:r>
      <w:r w:rsidR="009470A1" w:rsidRPr="009470A1">
        <w:t xml:space="preserve"> zmenšení povinného dílu.</w:t>
      </w:r>
      <w:r w:rsidR="009470A1">
        <w:t xml:space="preserve"> V </w:t>
      </w:r>
      <w:r w:rsidR="003E3D99">
        <w:t>tomto</w:t>
      </w:r>
      <w:r w:rsidR="009470A1">
        <w:t xml:space="preserve"> případě se</w:t>
      </w:r>
      <w:r w:rsidR="003E3D99">
        <w:t xml:space="preserve"> dle zákonné úpravy</w:t>
      </w:r>
      <w:r w:rsidR="009470A1">
        <w:t xml:space="preserve"> naopak</w:t>
      </w:r>
      <w:r w:rsidR="003E3D99">
        <w:t xml:space="preserve"> vyděděním zvětšil podíl ostatní</w:t>
      </w:r>
      <w:r w:rsidR="009470A1">
        <w:t>ch nepominutelných dědiců.</w:t>
      </w:r>
      <w:r w:rsidR="00EA27A2" w:rsidRPr="00EA27A2">
        <w:rPr>
          <w:rStyle w:val="Znakapoznpodarou"/>
        </w:rPr>
        <w:t xml:space="preserve"> </w:t>
      </w:r>
      <w:r w:rsidR="00EA27A2">
        <w:rPr>
          <w:rStyle w:val="Znakapoznpodarou"/>
        </w:rPr>
        <w:footnoteReference w:id="121"/>
      </w:r>
      <w:r w:rsidR="009470A1">
        <w:t xml:space="preserve"> Je otázka, zda taková úprava byla vhodná vzhledem k rodinným vztahům po smrti zůstavitele</w:t>
      </w:r>
      <w:r w:rsidR="0010052C">
        <w:t>, jelikož v tom případě mohli mí</w:t>
      </w:r>
      <w:r w:rsidR="00112504">
        <w:t>t ostatní nepominutelní dědici</w:t>
      </w:r>
      <w:r w:rsidR="0010052C">
        <w:t xml:space="preserve"> větší zájem na vydědění ostatních.</w:t>
      </w:r>
    </w:p>
    <w:p w:rsidR="00E95745" w:rsidRPr="00F124BE" w:rsidRDefault="00A427F9" w:rsidP="00E95745">
      <w:pPr>
        <w:spacing w:line="360" w:lineRule="auto"/>
        <w:ind w:firstLine="708"/>
        <w:contextualSpacing/>
        <w:rPr>
          <w:highlight w:val="lightGray"/>
        </w:rPr>
      </w:pPr>
      <w:r>
        <w:t xml:space="preserve">Při stanovení výše </w:t>
      </w:r>
      <w:r w:rsidR="00C26E11">
        <w:t>bylo</w:t>
      </w:r>
      <w:r>
        <w:t xml:space="preserve"> nutno pamatovat</w:t>
      </w:r>
      <w:r w:rsidR="006420A6">
        <w:t xml:space="preserve"> i na to, že některé osoby mohly</w:t>
      </w:r>
      <w:r>
        <w:t xml:space="preserve"> ještě za života zůstavitele dostat svůj povinný díl </w:t>
      </w:r>
      <w:r w:rsidRPr="003E3D99">
        <w:t>předem</w:t>
      </w:r>
      <w:r w:rsidR="0023177D" w:rsidRPr="003E3D99">
        <w:t>,</w:t>
      </w:r>
      <w:r w:rsidRPr="003E3D99">
        <w:t xml:space="preserve"> a učiněné dary</w:t>
      </w:r>
      <w:r w:rsidR="006E6621" w:rsidRPr="003E3D99">
        <w:t xml:space="preserve"> tak</w:t>
      </w:r>
      <w:r w:rsidRPr="003E3D99">
        <w:t xml:space="preserve"> </w:t>
      </w:r>
      <w:r w:rsidR="00C26E11" w:rsidRPr="003E3D99">
        <w:t>bylo</w:t>
      </w:r>
      <w:r w:rsidRPr="003E3D99">
        <w:t xml:space="preserve"> třeba započítat do celkové hodnoty pozůstalosti.</w:t>
      </w:r>
      <w:r w:rsidR="008A671C" w:rsidRPr="003E3D99">
        <w:t xml:space="preserve"> </w:t>
      </w:r>
      <w:r w:rsidR="00C26E11" w:rsidRPr="003E3D99">
        <w:t>Tomu sloužil</w:t>
      </w:r>
      <w:r w:rsidR="003E3D99">
        <w:t xml:space="preserve"> stejně jako v římském právu</w:t>
      </w:r>
      <w:r w:rsidR="00C26E11" w:rsidRPr="003E3D99">
        <w:t xml:space="preserve"> institut započtení (</w:t>
      </w:r>
      <w:r w:rsidR="00C26E11" w:rsidRPr="003E3D99">
        <w:rPr>
          <w:i/>
        </w:rPr>
        <w:t>kollace</w:t>
      </w:r>
      <w:r w:rsidR="00F21CC4" w:rsidRPr="003E3D99">
        <w:t>)</w:t>
      </w:r>
      <w:r w:rsidR="00EA27A2" w:rsidRPr="003E3D99">
        <w:t>, upravený v § 787 an ABGB</w:t>
      </w:r>
      <w:r w:rsidR="00E968AA" w:rsidRPr="003E3D99">
        <w:t>, který měl vyrovnat rozdíly ve výši majetku, který obdrželi jednotliví dědici</w:t>
      </w:r>
      <w:r w:rsidR="00F21CC4" w:rsidRPr="003E3D99">
        <w:t>. Do povinnéh</w:t>
      </w:r>
      <w:r w:rsidR="00E95745" w:rsidRPr="003E3D99">
        <w:t>o dílu descendentů se započítávalo</w:t>
      </w:r>
      <w:r w:rsidR="00F21CC4" w:rsidRPr="003E3D99">
        <w:t xml:space="preserve"> to, co předem dostali, ale též to, c</w:t>
      </w:r>
      <w:r w:rsidR="00BA1CC8" w:rsidRPr="003E3D99">
        <w:t>o dostali napřed jejich rodiči</w:t>
      </w:r>
      <w:r w:rsidR="00F21CC4" w:rsidRPr="003E3D99">
        <w:t xml:space="preserve"> a oni to zdědili v rámci dědického nástupnictví. </w:t>
      </w:r>
      <w:r w:rsidR="00105EA7" w:rsidRPr="003E3D99">
        <w:t xml:space="preserve">Totéž platilo i </w:t>
      </w:r>
      <w:r w:rsidR="009F1C0D" w:rsidRPr="003E3D99">
        <w:t xml:space="preserve">o </w:t>
      </w:r>
      <w:r w:rsidR="00105EA7" w:rsidRPr="003E3D99">
        <w:t>tom, co dostali jako zálohu na dědický podíl nebo povinný díl. Na druhou stranu to</w:t>
      </w:r>
      <w:r w:rsidR="006420A6" w:rsidRPr="003E3D99">
        <w:t>,</w:t>
      </w:r>
      <w:r w:rsidR="00105EA7" w:rsidRPr="003E3D99">
        <w:t xml:space="preserve"> co dostali předci od svých potomků, </w:t>
      </w:r>
      <w:r w:rsidR="00E82578" w:rsidRPr="003E3D99">
        <w:t>nebylo</w:t>
      </w:r>
      <w:r w:rsidR="00105EA7" w:rsidRPr="003E3D99">
        <w:t xml:space="preserve"> nikdy započítáváno na povinný díl, jelikož se takové jednání </w:t>
      </w:r>
      <w:r w:rsidR="00E82578" w:rsidRPr="003E3D99">
        <w:t>považovalo</w:t>
      </w:r>
      <w:r w:rsidR="00105EA7" w:rsidRPr="003E3D99">
        <w:t xml:space="preserve"> za darování nebo dluh.</w:t>
      </w:r>
      <w:r w:rsidR="00C26E11" w:rsidRPr="003E3D99">
        <w:t xml:space="preserve"> </w:t>
      </w:r>
      <w:r w:rsidR="00105EA7" w:rsidRPr="003E3D99">
        <w:t xml:space="preserve">Darování se však </w:t>
      </w:r>
      <w:r w:rsidR="00E82578" w:rsidRPr="003E3D99">
        <w:t>započítávalo</w:t>
      </w:r>
      <w:r w:rsidR="00105EA7" w:rsidRPr="003E3D99">
        <w:t xml:space="preserve"> na povinný díl v případě, kdy nebylo </w:t>
      </w:r>
      <w:r w:rsidR="009F1C0D" w:rsidRPr="003E3D99">
        <w:t>poskytnuto za účelem zákonné podpory.</w:t>
      </w:r>
    </w:p>
    <w:p w:rsidR="00E95745" w:rsidRPr="003E3D99" w:rsidRDefault="00FE17C1" w:rsidP="00E95745">
      <w:pPr>
        <w:spacing w:line="360" w:lineRule="auto"/>
        <w:ind w:firstLine="708"/>
        <w:contextualSpacing/>
      </w:pPr>
      <w:r w:rsidRPr="003E3D99">
        <w:lastRenderedPageBreak/>
        <w:t>Zápočet takového darování nebo jiného odkazu zmenšoval povinný díl nepominutelného dědice</w:t>
      </w:r>
      <w:r w:rsidR="001F58C0" w:rsidRPr="003E3D99">
        <w:t>, přičemž toto započtení zároveň zvětšovalo povinný díl j</w:t>
      </w:r>
      <w:r w:rsidRPr="003E3D99">
        <w:t>iných nepominutelných dědiců</w:t>
      </w:r>
      <w:r w:rsidR="001F58C0" w:rsidRPr="003E3D99">
        <w:t>, včetně všech dědických podílů.</w:t>
      </w:r>
      <w:r w:rsidR="009F1C0D" w:rsidRPr="003E3D99">
        <w:rPr>
          <w:rStyle w:val="Znakapoznpodarou"/>
        </w:rPr>
        <w:footnoteReference w:id="122"/>
      </w:r>
      <w:r w:rsidR="009F1C0D" w:rsidRPr="003E3D99">
        <w:t xml:space="preserve"> </w:t>
      </w:r>
    </w:p>
    <w:p w:rsidR="0024342B" w:rsidRDefault="00391400" w:rsidP="0024342B">
      <w:pPr>
        <w:spacing w:line="360" w:lineRule="auto"/>
        <w:contextualSpacing/>
      </w:pPr>
      <w:r w:rsidRPr="003E3D99">
        <w:tab/>
      </w:r>
      <w:r w:rsidR="00FF358E" w:rsidRPr="003E3D99">
        <w:t xml:space="preserve">Způsoby zanechání povinného dílu byly různé. Zůstavitel tak mohl učinit </w:t>
      </w:r>
      <w:r w:rsidR="003E456A" w:rsidRPr="003E3D99">
        <w:t>ve formě dědického podílu</w:t>
      </w:r>
      <w:r w:rsidR="003E456A">
        <w:t xml:space="preserve">, kdy povinný díl byl součástí </w:t>
      </w:r>
      <w:r w:rsidR="00237827">
        <w:t>tohoto</w:t>
      </w:r>
      <w:r w:rsidR="003E456A">
        <w:t xml:space="preserve"> dědického p</w:t>
      </w:r>
      <w:r w:rsidR="00100E15">
        <w:t>odílu, který připadal na dědice dle zákonné posloupnosti,</w:t>
      </w:r>
      <w:r w:rsidR="003E456A">
        <w:t xml:space="preserve"> </w:t>
      </w:r>
      <w:r w:rsidR="00100E15">
        <w:t>a</w:t>
      </w:r>
      <w:r w:rsidR="004C4C9A">
        <w:t>nebo byl určen v </w:t>
      </w:r>
      <w:r w:rsidR="00100E15">
        <w:t>rámci dědického podílu v závěti. Další možností bylo zanechání povinného dílu odkazem</w:t>
      </w:r>
      <w:r w:rsidR="00B26BF1">
        <w:t xml:space="preserve">. V případě, kdy odkaz </w:t>
      </w:r>
      <w:r w:rsidR="00237827">
        <w:t>nedosahoval</w:t>
      </w:r>
      <w:r w:rsidR="00B26BF1">
        <w:t xml:space="preserve"> výše hodnoty povinného dílu, </w:t>
      </w:r>
      <w:r w:rsidR="00237827">
        <w:t>měl</w:t>
      </w:r>
      <w:r w:rsidR="00B26BF1">
        <w:t xml:space="preserve"> nepominutelný dědic právo požadovat doplnění povinného dílu po dědicích.</w:t>
      </w:r>
    </w:p>
    <w:p w:rsidR="00237827" w:rsidRDefault="00237827" w:rsidP="0024342B">
      <w:pPr>
        <w:spacing w:line="360" w:lineRule="auto"/>
        <w:contextualSpacing/>
      </w:pPr>
      <w:r>
        <w:tab/>
        <w:t>V rámci testovací volnosti zůstavitele, mohly být k závěti připojeny rovněž vedlejší doložky. Avšak v případě, že souvisely s</w:t>
      </w:r>
      <w:r w:rsidR="00D7229D">
        <w:t xml:space="preserve"> povinným dílem, jejich platnost závisela na tom, zda svým obsahem </w:t>
      </w:r>
      <w:r w:rsidR="00BE2ADD">
        <w:t>omezovaly</w:t>
      </w:r>
      <w:r w:rsidR="00D7229D">
        <w:t xml:space="preserve"> povinný díl</w:t>
      </w:r>
      <w:r w:rsidR="00C42920">
        <w:t xml:space="preserve"> či nikoli</w:t>
      </w:r>
      <w:r w:rsidR="00D7229D">
        <w:t xml:space="preserve">. </w:t>
      </w:r>
      <w:r w:rsidR="00583436">
        <w:t>Když zůstavitel odkázal dědici hodnotu v</w:t>
      </w:r>
      <w:r w:rsidR="00CE344A">
        <w:t>e</w:t>
      </w:r>
      <w:r w:rsidR="00583436">
        <w:t> výši povinného dílu nebo menší</w:t>
      </w:r>
      <w:r w:rsidR="00CE344A">
        <w:t>,</w:t>
      </w:r>
      <w:r w:rsidR="00583436">
        <w:t xml:space="preserve"> a </w:t>
      </w:r>
      <w:r w:rsidR="00CE344A">
        <w:t>ta byla</w:t>
      </w:r>
      <w:r w:rsidR="00583436">
        <w:t xml:space="preserve"> zatížena vedlejším ustanovením, </w:t>
      </w:r>
      <w:r w:rsidR="002A0150">
        <w:t>bylo</w:t>
      </w:r>
      <w:r w:rsidR="00583436">
        <w:t xml:space="preserve"> takové ustanovení automaticky neplatné. </w:t>
      </w:r>
      <w:r w:rsidR="00D7229D">
        <w:t>Pokud</w:t>
      </w:r>
      <w:r w:rsidR="00583436">
        <w:t xml:space="preserve"> však</w:t>
      </w:r>
      <w:r w:rsidR="00D7229D">
        <w:t xml:space="preserve"> </w:t>
      </w:r>
      <w:r w:rsidR="00E93526" w:rsidRPr="00EA27A2">
        <w:t>zůstavitel odká</w:t>
      </w:r>
      <w:r w:rsidR="0040734A">
        <w:t>zal nepominutelnému dědici více</w:t>
      </w:r>
      <w:r w:rsidR="00E93526" w:rsidRPr="00EA27A2">
        <w:t xml:space="preserve"> než byl </w:t>
      </w:r>
      <w:r w:rsidR="0040734A">
        <w:t xml:space="preserve">jeho </w:t>
      </w:r>
      <w:r w:rsidR="00E93526" w:rsidRPr="00EA27A2">
        <w:t xml:space="preserve">povinný díl, a zároveň byl tento odkaz zatížen vedlejším ujednáním, </w:t>
      </w:r>
      <w:r w:rsidR="002A0150" w:rsidRPr="00EA27A2">
        <w:t>mohl</w:t>
      </w:r>
      <w:r w:rsidR="00E93526" w:rsidRPr="00EA27A2">
        <w:t xml:space="preserve"> nepominutelný dědic požadovat bez dalšího poskytnutí svého povinného dílu</w:t>
      </w:r>
      <w:r w:rsidR="00CE344A" w:rsidRPr="00EA27A2">
        <w:t xml:space="preserve">, </w:t>
      </w:r>
      <w:r w:rsidR="00E93526" w:rsidRPr="00EA27A2">
        <w:t xml:space="preserve">a ohledně zbytku se </w:t>
      </w:r>
      <w:r w:rsidR="002A0150" w:rsidRPr="00EA27A2">
        <w:t>mohl</w:t>
      </w:r>
      <w:r w:rsidR="00E93526" w:rsidRPr="00EA27A2">
        <w:t xml:space="preserve"> rozhodnout, zda chce splnit vedlejší ustanovení</w:t>
      </w:r>
      <w:r w:rsidR="00E93526">
        <w:t xml:space="preserve"> či nikoli.</w:t>
      </w:r>
      <w:r w:rsidR="00130578">
        <w:rPr>
          <w:rStyle w:val="Znakapoznpodarou"/>
        </w:rPr>
        <w:footnoteReference w:id="123"/>
      </w:r>
      <w:r w:rsidR="00E93526">
        <w:t xml:space="preserve"> </w:t>
      </w:r>
    </w:p>
    <w:p w:rsidR="00FB4928" w:rsidRDefault="00B26BF1" w:rsidP="002A0150">
      <w:pPr>
        <w:spacing w:line="360" w:lineRule="auto"/>
        <w:contextualSpacing/>
      </w:pPr>
      <w:r>
        <w:tab/>
      </w:r>
      <w:r w:rsidR="002A0150">
        <w:t>Samotné právo na povinný díl nebylo považováno za právo dědické. Zůstavitel i přesto, že měl jistou testovací volnost, byl za svého života omezen tím, že musel brát ohled na své potomky či před</w:t>
      </w:r>
      <w:r w:rsidR="0040734A">
        <w:t>ky při rozdělení pozůstalosti. P</w:t>
      </w:r>
      <w:r w:rsidR="002A0150">
        <w:t>roto bylo právo na povinný díl považováno za právo obligační. V případě, kdy bylo toto právo porušeno, vznikal dědici nárok</w:t>
      </w:r>
      <w:r w:rsidR="003D4B2E">
        <w:t xml:space="preserve"> na povinný díl, který však </w:t>
      </w:r>
      <w:r w:rsidR="00E36F02">
        <w:t>spadal do pozůstalostních dluhů.</w:t>
      </w:r>
      <w:r w:rsidR="00E36F02">
        <w:rPr>
          <w:rStyle w:val="Znakapoznpodarou"/>
        </w:rPr>
        <w:footnoteReference w:id="124"/>
      </w:r>
    </w:p>
    <w:p w:rsidR="002A0150" w:rsidRPr="001C52F7" w:rsidRDefault="002A0150" w:rsidP="002A0150">
      <w:pPr>
        <w:spacing w:line="360" w:lineRule="auto"/>
        <w:contextualSpacing/>
      </w:pPr>
    </w:p>
    <w:p w:rsidR="006420A6" w:rsidRPr="006420A6" w:rsidRDefault="00005960" w:rsidP="002E59E5">
      <w:pPr>
        <w:pStyle w:val="Nadpis3"/>
      </w:pPr>
      <w:bookmarkStart w:id="17" w:name="_Toc449513905"/>
      <w:r>
        <w:t>2. 2</w:t>
      </w:r>
      <w:r w:rsidR="00307D6F">
        <w:t>.</w:t>
      </w:r>
      <w:r w:rsidR="00D51530">
        <w:t xml:space="preserve"> 3</w:t>
      </w:r>
      <w:r w:rsidR="00307D6F">
        <w:t xml:space="preserve"> Ochrana nepominutelného dědice</w:t>
      </w:r>
      <w:r w:rsidR="00CB2DBA">
        <w:t xml:space="preserve"> a právo na nutnou výživu</w:t>
      </w:r>
      <w:bookmarkEnd w:id="17"/>
      <w:r w:rsidR="00CB2DBA">
        <w:t xml:space="preserve"> </w:t>
      </w:r>
    </w:p>
    <w:p w:rsidR="000E43EB" w:rsidRDefault="00F01DEE" w:rsidP="00F01DEE">
      <w:pPr>
        <w:spacing w:line="360" w:lineRule="auto"/>
        <w:contextualSpacing/>
      </w:pPr>
      <w:r>
        <w:tab/>
        <w:t>Stejně jako zákon zakotvil právo na povinný díl, tak i rovněž garantoval prostředky právní ochrany patřící nepominutelným dědicům pro případ, že jejich právo nebude zcela nebo zčásti uspokojeno.</w:t>
      </w:r>
      <w:r w:rsidR="00DC5367">
        <w:t xml:space="preserve"> Dikce zákona stanovila</w:t>
      </w:r>
      <w:r w:rsidR="004E0D8E">
        <w:t xml:space="preserve"> v § 775 an. ABGB</w:t>
      </w:r>
      <w:r w:rsidR="00DC5367">
        <w:t>, že právní prostředek je poskytován tomu nepominutelnému dědici, který byl nesprávně vyděděn, zkrácen na svém povinném díle anebo opomenut v závěti</w:t>
      </w:r>
      <w:r w:rsidR="00FF52FA">
        <w:t>.</w:t>
      </w:r>
    </w:p>
    <w:p w:rsidR="00FF52FA" w:rsidRDefault="00FF52FA" w:rsidP="00017A55">
      <w:pPr>
        <w:spacing w:line="360" w:lineRule="auto"/>
        <w:contextualSpacing/>
      </w:pPr>
      <w:r>
        <w:tab/>
        <w:t>Hlavním prostředkem ochrany nepominutelného dědice byla žaloba na vyplacení nebo doplnění povinného dílu.</w:t>
      </w:r>
      <w:r w:rsidR="00EE4262">
        <w:t xml:space="preserve"> Žalobcem na vyplacení povinného dílu byl dědic, který měl </w:t>
      </w:r>
      <w:r w:rsidR="00EE4262">
        <w:lastRenderedPageBreak/>
        <w:t>postavení nepominutelného, případně jeho dědicové.</w:t>
      </w:r>
      <w:r w:rsidR="00EE4262">
        <w:rPr>
          <w:rStyle w:val="Znakapoznpodarou"/>
        </w:rPr>
        <w:footnoteReference w:id="125"/>
      </w:r>
      <w:r w:rsidR="00EE4262">
        <w:t xml:space="preserve"> </w:t>
      </w:r>
      <w:r w:rsidR="00EE4262" w:rsidRPr="00A73001">
        <w:t>Opačný názor se objevil v tamní judikatuře, kde bylo stanoveno, že nárok na povinný díl nepřechází na dědice osoby oprávněné požadovat povinný díl.</w:t>
      </w:r>
      <w:r w:rsidR="00EE4262" w:rsidRPr="00A73001">
        <w:rPr>
          <w:rStyle w:val="Znakapoznpodarou"/>
        </w:rPr>
        <w:footnoteReference w:id="126"/>
      </w:r>
      <w:r w:rsidR="00EE4262" w:rsidRPr="00A73001">
        <w:t xml:space="preserve"> </w:t>
      </w:r>
      <w:r w:rsidR="00887157" w:rsidRPr="00A73001">
        <w:t>K tomuto názoru dospěl</w:t>
      </w:r>
      <w:r w:rsidR="00887157">
        <w:t xml:space="preserve"> soud jistě s přihlédnutím k obligační povaze práva na povinný díl, jak bylo vyloženo již výše. Při výkladu však měl vzít v potaz </w:t>
      </w:r>
      <w:r w:rsidR="00127A2E">
        <w:t xml:space="preserve">též </w:t>
      </w:r>
      <w:r w:rsidR="00887157">
        <w:t>další ustanovení zákona, kde</w:t>
      </w:r>
      <w:r w:rsidR="00042F0D">
        <w:t xml:space="preserve"> byl</w:t>
      </w:r>
      <w:r w:rsidR="00017A55">
        <w:t xml:space="preserve"> konkrétně v  §</w:t>
      </w:r>
      <w:r w:rsidR="00390EC4">
        <w:t xml:space="preserve"> </w:t>
      </w:r>
      <w:r w:rsidR="00017A55">
        <w:t>779 ABGB zakotven princip reprezentace</w:t>
      </w:r>
      <w:r w:rsidR="006420A6">
        <w:t xml:space="preserve">, který určoval, </w:t>
      </w:r>
      <w:r w:rsidR="00017A55">
        <w:t>že potomci v případě dědění vstupují na místo svých předků, kteří z nějakého důvodu nemohou být sami dědici. Takové osoby poté požívají stejných práv jako by měli samotní nepominutelní dědicové.</w:t>
      </w:r>
      <w:r w:rsidR="00A73001">
        <w:rPr>
          <w:rStyle w:val="Znakapoznpodarou"/>
        </w:rPr>
        <w:footnoteReference w:id="127"/>
      </w:r>
    </w:p>
    <w:p w:rsidR="00070456" w:rsidRDefault="00435063" w:rsidP="00F01DEE">
      <w:pPr>
        <w:spacing w:line="360" w:lineRule="auto"/>
        <w:contextualSpacing/>
      </w:pPr>
      <w:r>
        <w:tab/>
        <w:t>Žalova</w:t>
      </w:r>
      <w:r w:rsidR="004E0D8E">
        <w:t>nými byli v tomto sporu dědici</w:t>
      </w:r>
      <w:r>
        <w:t xml:space="preserve"> a odkazovníci</w:t>
      </w:r>
      <w:r w:rsidR="006420A6">
        <w:t>, kteří</w:t>
      </w:r>
      <w:r>
        <w:t xml:space="preserve"> byli povin</w:t>
      </w:r>
      <w:r w:rsidR="00EC1F4D">
        <w:t>n</w:t>
      </w:r>
      <w:r>
        <w:t>i</w:t>
      </w:r>
      <w:r w:rsidR="00EC1F4D">
        <w:t xml:space="preserve"> k</w:t>
      </w:r>
      <w:r>
        <w:t xml:space="preserve"> </w:t>
      </w:r>
      <w:r w:rsidR="00EC1F4D">
        <w:t>plnění</w:t>
      </w:r>
      <w:r>
        <w:t xml:space="preserve"> na základě soudního rozhodnutí</w:t>
      </w:r>
      <w:r w:rsidR="00EC1F4D">
        <w:t xml:space="preserve"> poměrně dle výše svých dědických podílů a odkazů. </w:t>
      </w:r>
      <w:r w:rsidR="00FE34E4">
        <w:t>Rozhodnutí bylo vydáno na základě žaloby</w:t>
      </w:r>
      <w:r w:rsidR="00054A59">
        <w:t>,</w:t>
      </w:r>
      <w:r w:rsidR="00FE34E4">
        <w:t xml:space="preserve"> jejíž petit musel obsahovat </w:t>
      </w:r>
      <w:r w:rsidR="003756E9">
        <w:t>požadavek zaplacení nebo doplnění povinného dílu. Nebylo možné</w:t>
      </w:r>
      <w:r w:rsidR="008314E2">
        <w:t xml:space="preserve"> požadovat vydání konkrétní věci</w:t>
      </w:r>
      <w:r w:rsidR="003756E9">
        <w:t xml:space="preserve"> z pozůstalosti. </w:t>
      </w:r>
      <w:r w:rsidR="00070456">
        <w:t>Žaloba musela být podána do tří let od vyhlášení testamentu.</w:t>
      </w:r>
      <w:r w:rsidR="008F6958">
        <w:rPr>
          <w:rStyle w:val="Znakapoznpodarou"/>
        </w:rPr>
        <w:footnoteReference w:id="128"/>
      </w:r>
      <w:r w:rsidR="00070456">
        <w:t xml:space="preserve"> Po uplynutí této doby mohla protistr</w:t>
      </w:r>
      <w:r w:rsidR="006420A6">
        <w:t xml:space="preserve">ana namítnout promlčení nároku. To by </w:t>
      </w:r>
      <w:r w:rsidR="00070456">
        <w:t>znamenalo</w:t>
      </w:r>
      <w:r w:rsidR="00EA3DA2">
        <w:t>, že by straně již nemohla být soudem uložena povinnost k výplatě nebo doplnění povinného dílu</w:t>
      </w:r>
      <w:r w:rsidR="00B73A87">
        <w:t>, jelikož promlčením právo zaniklo</w:t>
      </w:r>
      <w:r w:rsidR="00EA3DA2">
        <w:t>.</w:t>
      </w:r>
      <w:r w:rsidR="008F6958">
        <w:rPr>
          <w:rStyle w:val="Znakapoznpodarou"/>
        </w:rPr>
        <w:footnoteReference w:id="129"/>
      </w:r>
      <w:r w:rsidR="00EA3DA2">
        <w:t xml:space="preserve"> </w:t>
      </w:r>
    </w:p>
    <w:p w:rsidR="00464D74" w:rsidRDefault="0078038D" w:rsidP="00F01DEE">
      <w:pPr>
        <w:spacing w:line="360" w:lineRule="auto"/>
        <w:contextualSpacing/>
      </w:pPr>
      <w:r>
        <w:tab/>
        <w:t>Nároky jednotlivých nepominutelných dědiců s</w:t>
      </w:r>
      <w:r w:rsidR="00FE2D39">
        <w:t>e lišily</w:t>
      </w:r>
      <w:r w:rsidR="008F6958">
        <w:t xml:space="preserve"> s</w:t>
      </w:r>
      <w:r>
        <w:t> ohlede</w:t>
      </w:r>
      <w:r w:rsidR="008F6958">
        <w:t>m</w:t>
      </w:r>
      <w:r>
        <w:t xml:space="preserve"> na jejich počet a způsob opomenutí</w:t>
      </w:r>
      <w:r w:rsidR="008F6958">
        <w:t xml:space="preserve">. </w:t>
      </w:r>
      <w:r w:rsidR="001E2B36">
        <w:t xml:space="preserve">V § 776 ABGB </w:t>
      </w:r>
      <w:r w:rsidR="00996358">
        <w:t>byl</w:t>
      </w:r>
      <w:r w:rsidR="001E2B36">
        <w:t xml:space="preserve"> upraven případ vědomého opomenutí nepominutelného potomka.</w:t>
      </w:r>
      <w:r w:rsidR="00996358">
        <w:t xml:space="preserve"> Zůstavitel zde věděl o existenci svého potomka a i přesto se z nějakého důvodu rozhodl jej do svého pořízení nezahrnout. </w:t>
      </w:r>
      <w:r w:rsidR="00470F96">
        <w:t>Opomenutý dědic mohl v takovém případě požadovat vyplacení částky ve výši povinného dílu.</w:t>
      </w:r>
    </w:p>
    <w:p w:rsidR="00CB423B" w:rsidRDefault="00614122" w:rsidP="00B156F8">
      <w:pPr>
        <w:spacing w:line="360" w:lineRule="auto"/>
        <w:ind w:firstLine="708"/>
        <w:contextualSpacing/>
      </w:pPr>
      <w:r>
        <w:t>V jiném pos</w:t>
      </w:r>
      <w:r w:rsidR="008314E2">
        <w:t>tavení byli nepominutelní dědici</w:t>
      </w:r>
      <w:r w:rsidR="007237DF">
        <w:t>, kteří byli opomenuti omylem. Š</w:t>
      </w:r>
      <w:r>
        <w:t xml:space="preserve">lo </w:t>
      </w:r>
      <w:r w:rsidR="007237DF">
        <w:t xml:space="preserve">zde </w:t>
      </w:r>
      <w:r>
        <w:t xml:space="preserve">o případ tzv. omylné </w:t>
      </w:r>
      <w:r w:rsidRPr="007D7949">
        <w:rPr>
          <w:i/>
        </w:rPr>
        <w:t>praeterice</w:t>
      </w:r>
      <w:r w:rsidR="00FE2D39">
        <w:t>, upravené v §</w:t>
      </w:r>
      <w:r w:rsidR="00390EC4">
        <w:t xml:space="preserve"> 7</w:t>
      </w:r>
      <w:r w:rsidR="00FE2D39">
        <w:t>77 ABGB</w:t>
      </w:r>
      <w:r>
        <w:t>.</w:t>
      </w:r>
      <w:r w:rsidR="00FE2D39">
        <w:t xml:space="preserve"> Omyl zůstavitele zde spočív</w:t>
      </w:r>
      <w:r w:rsidR="00B156F8">
        <w:t>al v tom, že zůstavitel vůbec ne</w:t>
      </w:r>
      <w:r w:rsidR="00FE2D39">
        <w:t>věděl o existenci nepominutelného dědice.</w:t>
      </w:r>
      <w:r w:rsidR="00B156F8">
        <w:tab/>
      </w:r>
      <w:r w:rsidR="00A30F99">
        <w:t>To, zda se jednalo o vědomé či nevědomé opomenutí se posuzovalo k době, kdy byl testament pořízen</w:t>
      </w:r>
      <w:r w:rsidR="00F1169F">
        <w:t>.</w:t>
      </w:r>
      <w:r w:rsidR="00A30F99">
        <w:rPr>
          <w:rStyle w:val="Znakapoznpodarou"/>
        </w:rPr>
        <w:footnoteReference w:id="130"/>
      </w:r>
      <w:r w:rsidR="003B7519">
        <w:t xml:space="preserve"> </w:t>
      </w:r>
      <w:r w:rsidR="00F1169F">
        <w:t>Důkazní břemeno zde nesl opomenutý nepominutelný dědic, který</w:t>
      </w:r>
      <w:r w:rsidR="001915D7">
        <w:t xml:space="preserve"> </w:t>
      </w:r>
      <w:r w:rsidR="003B7519">
        <w:t>měl v takovém př</w:t>
      </w:r>
      <w:r w:rsidR="001915D7">
        <w:t>ípadě celkem obtížné postavení.</w:t>
      </w:r>
      <w:r w:rsidR="001915D7">
        <w:rPr>
          <w:rStyle w:val="Znakapoznpodarou"/>
        </w:rPr>
        <w:footnoteReference w:id="131"/>
      </w:r>
      <w:r w:rsidR="001915D7">
        <w:t xml:space="preserve"> P</w:t>
      </w:r>
      <w:r w:rsidR="00BB2975">
        <w:t xml:space="preserve">ři podání žaloby </w:t>
      </w:r>
      <w:r w:rsidR="003B7519">
        <w:t xml:space="preserve">musel dokazovat spoustu podmínek, které musely být </w:t>
      </w:r>
      <w:r w:rsidR="003B7519">
        <w:lastRenderedPageBreak/>
        <w:t xml:space="preserve">splněny ve prospěch jeho práva. </w:t>
      </w:r>
      <w:r w:rsidR="003454BE">
        <w:t>Těmito podmínkami</w:t>
      </w:r>
      <w:r w:rsidR="003B7519">
        <w:t xml:space="preserve"> byl</w:t>
      </w:r>
      <w:r w:rsidR="0061419E">
        <w:t xml:space="preserve"> v první řadě</w:t>
      </w:r>
      <w:r w:rsidR="003B7519">
        <w:t xml:space="preserve"> důkaz zůstavitelovy nevědomosti o jeho existenci</w:t>
      </w:r>
      <w:r w:rsidR="003454BE">
        <w:t xml:space="preserve"> v době zřízení posledního pořízení, opomenutí ho závětí a toto opomenutí se </w:t>
      </w:r>
      <w:r w:rsidR="0061419E">
        <w:t>muselo týkat</w:t>
      </w:r>
      <w:r w:rsidR="003454BE">
        <w:t xml:space="preserve"> descendenta</w:t>
      </w:r>
      <w:r w:rsidR="0061419E">
        <w:t xml:space="preserve"> a nikoli ascendenta</w:t>
      </w:r>
      <w:r w:rsidR="003454BE">
        <w:t xml:space="preserve">. </w:t>
      </w:r>
    </w:p>
    <w:p w:rsidR="0078038D" w:rsidRPr="0078733F" w:rsidRDefault="00CB423B" w:rsidP="00CB423B">
      <w:pPr>
        <w:spacing w:line="360" w:lineRule="auto"/>
        <w:ind w:firstLine="708"/>
        <w:contextualSpacing/>
      </w:pPr>
      <w:r w:rsidRPr="0078733F">
        <w:t>Nutno zmínit, že znění §</w:t>
      </w:r>
      <w:r w:rsidR="00390EC4" w:rsidRPr="0078733F">
        <w:t xml:space="preserve"> </w:t>
      </w:r>
      <w:r w:rsidRPr="0078733F">
        <w:t xml:space="preserve">777 ABGB se vztahovalo pouze na přímé potomky zůstavitele a nikoli </w:t>
      </w:r>
      <w:r w:rsidR="00814D9D" w:rsidRPr="0078733F">
        <w:t xml:space="preserve">generálně </w:t>
      </w:r>
      <w:r w:rsidRPr="0078733F">
        <w:t>na</w:t>
      </w:r>
      <w:r w:rsidR="001E0CE0" w:rsidRPr="0078733F">
        <w:t xml:space="preserve"> všechny</w:t>
      </w:r>
      <w:r w:rsidRPr="0078733F">
        <w:t xml:space="preserve"> vzdálen</w:t>
      </w:r>
      <w:r w:rsidR="00814D9D" w:rsidRPr="0078733F">
        <w:t>ější descendenty, kteří se stali nepominutelnými dědici z důvodu odpadnutí jejich předka po zřízení závěti.</w:t>
      </w:r>
      <w:r w:rsidR="0061290E" w:rsidRPr="0078733F">
        <w:rPr>
          <w:rStyle w:val="Znakapoznpodarou"/>
        </w:rPr>
        <w:footnoteReference w:id="132"/>
      </w:r>
      <w:r w:rsidR="000A43D2" w:rsidRPr="0078733F">
        <w:t xml:space="preserve"> Naproti tomu</w:t>
      </w:r>
      <w:r w:rsidR="00814D9D" w:rsidRPr="0078733F">
        <w:t xml:space="preserve"> </w:t>
      </w:r>
      <w:r w:rsidR="000A43D2" w:rsidRPr="0078733F">
        <w:t>v</w:t>
      </w:r>
      <w:r w:rsidR="00103D3A" w:rsidRPr="0078733F">
        <w:t xml:space="preserve"> §</w:t>
      </w:r>
      <w:r w:rsidR="006420A6" w:rsidRPr="0078733F">
        <w:t xml:space="preserve"> </w:t>
      </w:r>
      <w:r w:rsidR="00103D3A" w:rsidRPr="0078733F">
        <w:t xml:space="preserve">781 ABGB bylo stanoveno právo opomenutých předků na povinný díl bez ohledu na to, zda byli opomenuti vědomě či nevědomě. </w:t>
      </w:r>
    </w:p>
    <w:p w:rsidR="001B3C48" w:rsidRDefault="001173B0" w:rsidP="008C2776">
      <w:pPr>
        <w:spacing w:line="360" w:lineRule="auto"/>
        <w:ind w:firstLine="708"/>
        <w:contextualSpacing/>
      </w:pPr>
      <w:r w:rsidRPr="0078733F">
        <w:t>Právní důsledky</w:t>
      </w:r>
      <w:r>
        <w:t xml:space="preserve"> nevědomého opomenutí byly řešeny </w:t>
      </w:r>
      <w:r w:rsidR="003A0857">
        <w:t>v ustanovení §</w:t>
      </w:r>
      <w:r w:rsidR="006420A6">
        <w:t xml:space="preserve"> </w:t>
      </w:r>
      <w:r w:rsidR="003A0857">
        <w:t>778 ABGB</w:t>
      </w:r>
      <w:r>
        <w:t>.</w:t>
      </w:r>
      <w:r w:rsidR="00387252">
        <w:t xml:space="preserve"> Lze konstatovat, že nevědomě opominutý dědic se nemusel spokojit pouze s povinným dílem. Pokud zůstavitel ustanovil za dědice svého jediného potomka, o kterém v době zřízení pořízení věděl, </w:t>
      </w:r>
      <w:r w:rsidR="00F81CFD">
        <w:t>a</w:t>
      </w:r>
      <w:r w:rsidR="00387252">
        <w:t xml:space="preserve">nebo svůj majetek rozdělil rovnoměrně mezi několik svých nepominutelných dědiců, </w:t>
      </w:r>
      <w:r w:rsidR="001E6944">
        <w:t>pak</w:t>
      </w:r>
      <w:r w:rsidR="00F81CFD">
        <w:t xml:space="preserve"> měl</w:t>
      </w:r>
      <w:r w:rsidR="001E6944">
        <w:t xml:space="preserve"> </w:t>
      </w:r>
      <w:r w:rsidR="00F81CFD">
        <w:t xml:space="preserve">v takovém případě </w:t>
      </w:r>
      <w:r w:rsidR="008C2776">
        <w:t xml:space="preserve">nevědomě opomenutý </w:t>
      </w:r>
      <w:r w:rsidR="008D77FD">
        <w:t>dědic právo na dědický podíl stejný jako z</w:t>
      </w:r>
      <w:r w:rsidR="00F81CFD">
        <w:t>ůstavitelem neopomenutí dědici</w:t>
      </w:r>
      <w:r w:rsidR="008D77FD">
        <w:t>.</w:t>
      </w:r>
      <w:r w:rsidR="0034517F">
        <w:t xml:space="preserve"> </w:t>
      </w:r>
      <w:r w:rsidR="00FC7EFE">
        <w:t>V případě, kdy zůstavitel pořízením pamatoval na další nepominutelné dědice větší</w:t>
      </w:r>
      <w:r w:rsidR="001B3C48">
        <w:t xml:space="preserve"> hodnotou, než byla hodnota jejich povinného dílu, opominutý dědic </w:t>
      </w:r>
      <w:r w:rsidR="001E6944">
        <w:t>měl</w:t>
      </w:r>
      <w:r w:rsidR="001B3C48">
        <w:t xml:space="preserve"> právo požadovat tolik, kolik dostal nejméně obdarovaný z nepominutelných dědiců, který dostal více než svůj povinný díl.</w:t>
      </w:r>
    </w:p>
    <w:p w:rsidR="00966E2D" w:rsidRDefault="00E407AA" w:rsidP="008C2776">
      <w:pPr>
        <w:spacing w:line="360" w:lineRule="auto"/>
        <w:ind w:firstLine="708"/>
        <w:contextualSpacing/>
      </w:pPr>
      <w:r>
        <w:t>Poslední situací, která mohla nastat při nevědomém opomenutí, bylo opomenutí jediného nepominutelného dědice zůstavitelem</w:t>
      </w:r>
      <w:r w:rsidR="00505F7B">
        <w:t>, jak dokládalo ustanovení §</w:t>
      </w:r>
      <w:r w:rsidR="006420A6">
        <w:t xml:space="preserve"> </w:t>
      </w:r>
      <w:r w:rsidR="00505F7B">
        <w:t>778 ABGB</w:t>
      </w:r>
      <w:r>
        <w:t xml:space="preserve">. Zde zůstavitel platně zřídil pořízení, </w:t>
      </w:r>
      <w:r w:rsidR="00215971">
        <w:t>kdy</w:t>
      </w:r>
      <w:r>
        <w:t xml:space="preserve"> si myslel, že nemá žádného potomka, kterému by byl povinen něco odkázat.</w:t>
      </w:r>
      <w:r w:rsidR="00740930">
        <w:rPr>
          <w:rStyle w:val="Znakapoznpodarou"/>
        </w:rPr>
        <w:footnoteReference w:id="133"/>
      </w:r>
      <w:r w:rsidR="00DF2F90">
        <w:t xml:space="preserve"> V takovém případě </w:t>
      </w:r>
      <w:r w:rsidR="008B36BA">
        <w:t>mohl</w:t>
      </w:r>
      <w:r w:rsidR="00DF2F90">
        <w:t xml:space="preserve"> opomenutý dědic požadovat prohláše</w:t>
      </w:r>
      <w:r w:rsidR="008B36BA">
        <w:t>ní takového pořízení za neplatné</w:t>
      </w:r>
      <w:r w:rsidR="00215971">
        <w:t>. P</w:t>
      </w:r>
      <w:r w:rsidR="00DF2F90">
        <w:t xml:space="preserve">okud tak soud rozhodl, nastávala zákonná dědická posloupnost. </w:t>
      </w:r>
      <w:r w:rsidR="009B3F6D">
        <w:t>Neplatnost byla povahy relativní, jelikož bylo pouz</w:t>
      </w:r>
      <w:r w:rsidR="00505F7B">
        <w:t>e n</w:t>
      </w:r>
      <w:r w:rsidR="004A3168">
        <w:t>a</w:t>
      </w:r>
      <w:r w:rsidR="009B3F6D">
        <w:t xml:space="preserve"> zvážení nepominutelného dědice, zda se chce neplatnosti pořízení domáhat.</w:t>
      </w:r>
      <w:r w:rsidR="00CB1FC7">
        <w:rPr>
          <w:rStyle w:val="Znakapoznpodarou"/>
        </w:rPr>
        <w:footnoteReference w:id="134"/>
      </w:r>
      <w:r w:rsidR="00505F7B">
        <w:t xml:space="preserve"> </w:t>
      </w:r>
      <w:r w:rsidR="00040E7A">
        <w:t xml:space="preserve">Právě toto ustanovení je pro nás významné z hlediska komparace s římským právem, jelikož úspěšná obrana nepominutelného dědice měla stejný </w:t>
      </w:r>
      <w:r w:rsidR="00AC5D4E">
        <w:t>následek</w:t>
      </w:r>
      <w:r w:rsidR="00040E7A">
        <w:t>, jako mělo podání žaloby proti nespravedlivé závěti v římském právu</w:t>
      </w:r>
      <w:r w:rsidR="00215971">
        <w:t>.</w:t>
      </w:r>
    </w:p>
    <w:p w:rsidR="001173B0" w:rsidRDefault="00505F7B" w:rsidP="008C2776">
      <w:pPr>
        <w:spacing w:line="360" w:lineRule="auto"/>
        <w:ind w:firstLine="708"/>
        <w:contextualSpacing/>
      </w:pPr>
      <w:r>
        <w:t>Záko</w:t>
      </w:r>
      <w:r w:rsidR="0004434D">
        <w:t xml:space="preserve">n </w:t>
      </w:r>
      <w:r>
        <w:t xml:space="preserve">stanovil, že v případě prohlášení </w:t>
      </w:r>
      <w:r w:rsidR="004A3168">
        <w:t xml:space="preserve">pořízení za neplatné, pozbývají platnosti všechna ustanovení posledního pořízení, kromě </w:t>
      </w:r>
      <w:r w:rsidR="00542412">
        <w:t xml:space="preserve">odkazů </w:t>
      </w:r>
      <w:r w:rsidR="005B0501">
        <w:t xml:space="preserve">určených pro veřejné ústavy a odkazů </w:t>
      </w:r>
      <w:r w:rsidR="00542412">
        <w:t>k odměně konaných služeb</w:t>
      </w:r>
      <w:r w:rsidR="005B0501">
        <w:t xml:space="preserve"> nebo ke zbožným účelům, </w:t>
      </w:r>
      <w:r w:rsidR="00215971">
        <w:t xml:space="preserve">a to </w:t>
      </w:r>
      <w:r w:rsidR="005B0501">
        <w:t xml:space="preserve">pokud nepřevyšují čtvrtinu </w:t>
      </w:r>
      <w:r w:rsidR="005B0501">
        <w:lastRenderedPageBreak/>
        <w:t>pozůstalosti.</w:t>
      </w:r>
      <w:r w:rsidR="00C12600">
        <w:t xml:space="preserve"> V případě, kdy nepominutelný dědic, který zapříčinil prohlášení neplatnosti pořízení, zemřel ještě před zůstavitelem, zneplatněné pořízení </w:t>
      </w:r>
      <w:r w:rsidR="00215971">
        <w:t>nabylo</w:t>
      </w:r>
      <w:r w:rsidR="00C12600">
        <w:t xml:space="preserve"> opět platnosti.</w:t>
      </w:r>
      <w:r w:rsidR="0004434D">
        <w:rPr>
          <w:rStyle w:val="Znakapoznpodarou"/>
        </w:rPr>
        <w:footnoteReference w:id="135"/>
      </w:r>
      <w:r w:rsidR="00C12600">
        <w:t xml:space="preserve"> </w:t>
      </w:r>
    </w:p>
    <w:p w:rsidR="00273F7B" w:rsidRDefault="00CB22E4" w:rsidP="008C2776">
      <w:pPr>
        <w:spacing w:line="360" w:lineRule="auto"/>
        <w:ind w:firstLine="708"/>
        <w:contextualSpacing/>
      </w:pPr>
      <w:r>
        <w:t xml:space="preserve">Jak bylo již výše zmíněno, vyděděný nepominutelný dědic </w:t>
      </w:r>
      <w:r w:rsidR="004142F5">
        <w:t>ztratil vyděděním</w:t>
      </w:r>
      <w:r>
        <w:t xml:space="preserve"> právo na svůj povinný díl</w:t>
      </w:r>
      <w:r w:rsidR="004142F5">
        <w:t xml:space="preserve"> a toto </w:t>
      </w:r>
      <w:r>
        <w:t xml:space="preserve">právo </w:t>
      </w:r>
      <w:r w:rsidR="004142F5">
        <w:t>přešlo</w:t>
      </w:r>
      <w:r>
        <w:t xml:space="preserve"> </w:t>
      </w:r>
      <w:r w:rsidR="00ED2030">
        <w:t>na jeho potomky</w:t>
      </w:r>
      <w:r w:rsidR="004142F5">
        <w:t>.</w:t>
      </w:r>
      <w:r w:rsidR="00771287">
        <w:t xml:space="preserve"> Pokud byli tito potomci mlčky opomenuti, ať již vědomě či nevědomě, </w:t>
      </w:r>
      <w:r w:rsidR="00273F7B">
        <w:t>měli</w:t>
      </w:r>
      <w:r w:rsidR="00771287">
        <w:t xml:space="preserve"> právo žádat po dědicích či odkazovnících vyplacení povinného dílu</w:t>
      </w:r>
      <w:r w:rsidR="000E4FBF">
        <w:t xml:space="preserve">. </w:t>
      </w:r>
      <w:r w:rsidR="00A00884">
        <w:t xml:space="preserve">V případě, kdy byl dědic vyděděn po právu, tedy </w:t>
      </w:r>
      <w:r w:rsidR="00F36071">
        <w:t>bylo</w:t>
      </w:r>
      <w:r w:rsidR="00A00884">
        <w:t xml:space="preserve"> možné </w:t>
      </w:r>
      <w:r w:rsidR="00F36071">
        <w:t>dokázat důvod vydědění, vstoupili potomci vyděděného na jeho místo bez ohledu na to, zda vyděděný přežil zůstavitele či nikoli. Pokud nebylo možno dokázat důvod vydědění, vstoupil</w:t>
      </w:r>
      <w:r w:rsidR="00273F7B">
        <w:t>i</w:t>
      </w:r>
      <w:r w:rsidR="00F36071">
        <w:t xml:space="preserve"> potomci na místo svého předka jen v případě, kdy vyděděný</w:t>
      </w:r>
      <w:r w:rsidR="00273F7B">
        <w:t xml:space="preserve"> </w:t>
      </w:r>
      <w:r w:rsidR="00F36071">
        <w:t>zem</w:t>
      </w:r>
      <w:r w:rsidR="00273F7B">
        <w:t>ře</w:t>
      </w:r>
      <w:r w:rsidR="00F36071">
        <w:t>l před zůstavitelem.</w:t>
      </w:r>
      <w:r w:rsidR="00273F7B">
        <w:rPr>
          <w:rStyle w:val="Znakapoznpodarou"/>
        </w:rPr>
        <w:footnoteReference w:id="136"/>
      </w:r>
    </w:p>
    <w:p w:rsidR="003F7AB2" w:rsidRDefault="00BD4530" w:rsidP="00F257A4">
      <w:pPr>
        <w:spacing w:line="360" w:lineRule="auto"/>
        <w:ind w:firstLine="708"/>
        <w:contextualSpacing/>
      </w:pPr>
      <w:r>
        <w:t xml:space="preserve"> </w:t>
      </w:r>
      <w:r w:rsidR="006A1FFC">
        <w:t>Kromě uvedené žaloby na vyplacení či doplnění povinného dílu v penězích, měl nepominutelný d</w:t>
      </w:r>
      <w:r w:rsidR="009D67AE">
        <w:t>ědic ještě další přidružené právní prostředky</w:t>
      </w:r>
      <w:r w:rsidR="00A0609F">
        <w:t xml:space="preserve"> ke své obraně</w:t>
      </w:r>
      <w:r w:rsidR="00A27D8E">
        <w:t xml:space="preserve">. Mohl si zažádat o soupis inventáře, </w:t>
      </w:r>
      <w:r w:rsidR="008D00A7">
        <w:t xml:space="preserve">oddělení pozůstalosti, domáhat se vrácení daru a dalších. První dva zmíněné prostředky měly význam spíše </w:t>
      </w:r>
      <w:r w:rsidR="00EA6846">
        <w:t>v rámci procesního práva.</w:t>
      </w:r>
      <w:r w:rsidR="00EA6846">
        <w:rPr>
          <w:rStyle w:val="Znakapoznpodarou"/>
        </w:rPr>
        <w:footnoteReference w:id="137"/>
      </w:r>
      <w:r w:rsidR="00EA6846">
        <w:t xml:space="preserve"> </w:t>
      </w:r>
    </w:p>
    <w:p w:rsidR="001A7706" w:rsidRDefault="00A923AB" w:rsidP="00F257A4">
      <w:pPr>
        <w:spacing w:line="360" w:lineRule="auto"/>
        <w:ind w:firstLine="708"/>
        <w:contextualSpacing/>
      </w:pPr>
      <w:r>
        <w:t>Dalším z právních prostředků ochrany některých dědiců, kteří byli ze svého práva na povinný díl vyloučeni</w:t>
      </w:r>
      <w:r w:rsidR="003A353D">
        <w:t>,</w:t>
      </w:r>
      <w:r>
        <w:t xml:space="preserve"> byl</w:t>
      </w:r>
      <w:r w:rsidR="003A353D">
        <w:t xml:space="preserve"> nárok dědice na jeho zaopatření </w:t>
      </w:r>
      <w:r>
        <w:t>dle §</w:t>
      </w:r>
      <w:r w:rsidR="001E6944">
        <w:t xml:space="preserve"> </w:t>
      </w:r>
      <w:r>
        <w:t xml:space="preserve">795 </w:t>
      </w:r>
      <w:r w:rsidR="003A353D">
        <w:t>a §</w:t>
      </w:r>
      <w:r w:rsidR="001E6944">
        <w:t xml:space="preserve"> </w:t>
      </w:r>
      <w:r w:rsidR="003A353D">
        <w:t xml:space="preserve">796 </w:t>
      </w:r>
      <w:r>
        <w:t xml:space="preserve">ABGB. </w:t>
      </w:r>
      <w:r w:rsidR="003A353D">
        <w:t>Jednalo se o právo</w:t>
      </w:r>
      <w:r w:rsidR="00D37D90">
        <w:t xml:space="preserve"> dědice</w:t>
      </w:r>
      <w:r w:rsidR="003A353D">
        <w:t xml:space="preserve"> na nutnou výživu a právo manžela na slušnou výživu</w:t>
      </w:r>
      <w:r w:rsidR="00213B4F">
        <w:t xml:space="preserve">. </w:t>
      </w:r>
      <w:r w:rsidR="00D37D90">
        <w:t>Pro úspěšné uplatnění</w:t>
      </w:r>
      <w:r w:rsidR="00213B4F">
        <w:t xml:space="preserve"> </w:t>
      </w:r>
      <w:r w:rsidR="00D37D90">
        <w:t xml:space="preserve">těchto </w:t>
      </w:r>
      <w:r w:rsidR="00213B4F">
        <w:t>dědick</w:t>
      </w:r>
      <w:r w:rsidR="00D37D90">
        <w:t>ých</w:t>
      </w:r>
      <w:r w:rsidR="00213B4F">
        <w:t xml:space="preserve"> nárok</w:t>
      </w:r>
      <w:r w:rsidR="00D37D90">
        <w:t>ů</w:t>
      </w:r>
      <w:r w:rsidR="00213B4F">
        <w:t xml:space="preserve">, které </w:t>
      </w:r>
      <w:r w:rsidR="00B1300B">
        <w:t>měly</w:t>
      </w:r>
      <w:r w:rsidR="00213B4F">
        <w:t xml:space="preserve"> svůj původ v rodinném právu</w:t>
      </w:r>
      <w:r w:rsidR="00CC7231">
        <w:t>,</w:t>
      </w:r>
      <w:r w:rsidR="00213B4F">
        <w:rPr>
          <w:rStyle w:val="Znakapoznpodarou"/>
        </w:rPr>
        <w:footnoteReference w:id="138"/>
      </w:r>
      <w:r w:rsidR="00CC7231">
        <w:t xml:space="preserve"> mus</w:t>
      </w:r>
      <w:r w:rsidR="001E6944">
        <w:t>ely</w:t>
      </w:r>
      <w:r w:rsidR="00D37D90">
        <w:t xml:space="preserve"> být splněny </w:t>
      </w:r>
      <w:r w:rsidR="00F3758A">
        <w:t xml:space="preserve">některé </w:t>
      </w:r>
      <w:r w:rsidR="00D37D90">
        <w:t>podmínky.</w:t>
      </w:r>
      <w:r w:rsidR="007557B5">
        <w:t xml:space="preserve"> Na nutnou výživu měl nárok ten nepominutelný dědic, který byl vyloučen ze svého povinného dílu, nedostáv</w:t>
      </w:r>
      <w:r w:rsidR="00ED4EC0">
        <w:t>alo</w:t>
      </w:r>
      <w:r w:rsidR="007557B5">
        <w:t xml:space="preserve"> se mu výživy a celková částk</w:t>
      </w:r>
      <w:r w:rsidR="00493DBF">
        <w:t>a</w:t>
      </w:r>
      <w:r w:rsidR="007557B5">
        <w:t xml:space="preserve"> </w:t>
      </w:r>
      <w:r w:rsidR="00ED4EC0">
        <w:t>je</w:t>
      </w:r>
      <w:r w:rsidR="007557B5">
        <w:t xml:space="preserve">mu poskytnuté výživy </w:t>
      </w:r>
      <w:r w:rsidR="00ED4EC0">
        <w:t>nesměla</w:t>
      </w:r>
      <w:r w:rsidR="007557B5">
        <w:t xml:space="preserve"> přesáhnou</w:t>
      </w:r>
      <w:r w:rsidR="00DE2A30">
        <w:t>t</w:t>
      </w:r>
      <w:r w:rsidR="007557B5">
        <w:t xml:space="preserve"> výši, kterou by měl </w:t>
      </w:r>
      <w:r w:rsidR="00493DBF">
        <w:t xml:space="preserve">jinak </w:t>
      </w:r>
      <w:r w:rsidR="007557B5">
        <w:t xml:space="preserve">jeho povinný díl. </w:t>
      </w:r>
    </w:p>
    <w:p w:rsidR="002E7217" w:rsidRDefault="00E64BB8" w:rsidP="00F257A4">
      <w:pPr>
        <w:spacing w:line="360" w:lineRule="auto"/>
        <w:ind w:firstLine="708"/>
        <w:contextualSpacing/>
      </w:pPr>
      <w:r>
        <w:t>Naproti tomu pozůstalý manžel mohl</w:t>
      </w:r>
      <w:r w:rsidR="00262753">
        <w:t xml:space="preserve"> dle §</w:t>
      </w:r>
      <w:r w:rsidR="001E6944">
        <w:t xml:space="preserve"> </w:t>
      </w:r>
      <w:r w:rsidR="00262753">
        <w:t>796 ABGB</w:t>
      </w:r>
      <w:r>
        <w:t xml:space="preserve"> požadovat slušnou výživu </w:t>
      </w:r>
      <w:r w:rsidR="00FE737D">
        <w:t>jen v případě, kdy manželství zaniklo smrtí zůstavitele</w:t>
      </w:r>
      <w:r w:rsidR="002E7217">
        <w:t xml:space="preserve">, </w:t>
      </w:r>
      <w:r w:rsidR="00760CFB">
        <w:t>vdovec</w:t>
      </w:r>
      <w:r w:rsidR="00493DBF">
        <w:t xml:space="preserve"> znovu neuzavřel sňatek</w:t>
      </w:r>
      <w:r w:rsidR="002E7217">
        <w:t xml:space="preserve"> a nedostáv</w:t>
      </w:r>
      <w:r w:rsidR="00262753">
        <w:t>alo</w:t>
      </w:r>
      <w:r w:rsidR="002E7217">
        <w:t xml:space="preserve"> se mu slušné výživy</w:t>
      </w:r>
      <w:r w:rsidR="00760CFB">
        <w:t xml:space="preserve">. </w:t>
      </w:r>
      <w:r w:rsidR="006F722A">
        <w:t>V případě, kd</w:t>
      </w:r>
      <w:r w:rsidR="00262753">
        <w:t xml:space="preserve">y pozůstalý manžel obdržel dostatečný zákonný podíl nebo jiné zaopatření, neměl již právo požadovat po dědicích služnou výživu. </w:t>
      </w:r>
      <w:r w:rsidR="002E7217">
        <w:t>Na</w:t>
      </w:r>
      <w:r w:rsidR="004C2C12">
        <w:t xml:space="preserve"> </w:t>
      </w:r>
      <w:r w:rsidR="002E7217">
        <w:t>rozdí</w:t>
      </w:r>
      <w:r w:rsidR="004C2C12">
        <w:t xml:space="preserve">l od nároku na nutnou výživu, </w:t>
      </w:r>
      <w:r w:rsidR="002E7217">
        <w:t xml:space="preserve">zde </w:t>
      </w:r>
      <w:r w:rsidR="004C2C12">
        <w:t xml:space="preserve">byla </w:t>
      </w:r>
      <w:r w:rsidR="002E7217">
        <w:t>odlišná</w:t>
      </w:r>
      <w:r w:rsidR="00760CFB">
        <w:t xml:space="preserve"> výše výživy, která </w:t>
      </w:r>
      <w:r w:rsidR="004C2C12">
        <w:t>mohla</w:t>
      </w:r>
      <w:r w:rsidR="00760CFB">
        <w:t xml:space="preserve"> být nárokována. </w:t>
      </w:r>
      <w:r w:rsidR="00C05056">
        <w:t xml:space="preserve">Manžel </w:t>
      </w:r>
      <w:r w:rsidR="004C2C12">
        <w:t>mohl</w:t>
      </w:r>
      <w:r w:rsidR="00C05056">
        <w:t xml:space="preserve"> požadovat </w:t>
      </w:r>
      <w:r w:rsidR="00485CBA">
        <w:t xml:space="preserve">slušnou výživu ve výši, která </w:t>
      </w:r>
      <w:r w:rsidR="004C2C12">
        <w:t>mohla</w:t>
      </w:r>
      <w:r w:rsidR="00485CBA">
        <w:t xml:space="preserve"> zároveň převyšovat povinný díl i zákonný podíl</w:t>
      </w:r>
      <w:r w:rsidR="00083C1E">
        <w:t xml:space="preserve">, ale </w:t>
      </w:r>
      <w:r w:rsidR="004C2C12">
        <w:t>nesměla přitom</w:t>
      </w:r>
      <w:r w:rsidR="00083C1E">
        <w:t xml:space="preserve"> převýšit celkovou částku pozůstalosti.</w:t>
      </w:r>
      <w:r w:rsidR="00485CBA">
        <w:rPr>
          <w:rStyle w:val="Znakapoznpodarou"/>
        </w:rPr>
        <w:footnoteReference w:id="139"/>
      </w:r>
      <w:r w:rsidR="008A1C2E">
        <w:t xml:space="preserve"> Zvláštním případem zaopatření bylo zaopatření vdovy, která měla po smrti manžela nárok na dosavadní výši zaopatření, a to po dobu šesti neděl pro smrti manžela.</w:t>
      </w:r>
      <w:r w:rsidR="008A1C2E">
        <w:rPr>
          <w:rStyle w:val="Znakapoznpodarou"/>
        </w:rPr>
        <w:footnoteReference w:id="140"/>
      </w:r>
    </w:p>
    <w:p w:rsidR="00EF5FB3" w:rsidRDefault="00CD0082" w:rsidP="00F257A4">
      <w:pPr>
        <w:spacing w:line="360" w:lineRule="auto"/>
        <w:ind w:firstLine="708"/>
        <w:contextualSpacing/>
      </w:pPr>
      <w:r>
        <w:lastRenderedPageBreak/>
        <w:t>Právo dle §</w:t>
      </w:r>
      <w:r w:rsidR="00390EC4">
        <w:t xml:space="preserve"> </w:t>
      </w:r>
      <w:r>
        <w:t xml:space="preserve">796 </w:t>
      </w:r>
      <w:r w:rsidR="00655D9E">
        <w:t xml:space="preserve">ABGB </w:t>
      </w:r>
      <w:r>
        <w:t xml:space="preserve">neměl ten pozůstalý manžel, který </w:t>
      </w:r>
      <w:r w:rsidR="00AC5D4E">
        <w:t xml:space="preserve">s ním </w:t>
      </w:r>
      <w:r w:rsidR="00EF5FB3">
        <w:t>byl v době smrti zůstavitele</w:t>
      </w:r>
      <w:r w:rsidR="00AC5D4E">
        <w:t xml:space="preserve"> rozvedený</w:t>
      </w:r>
      <w:r w:rsidR="00422CBE">
        <w:t xml:space="preserve"> ze své vlastní viny</w:t>
      </w:r>
      <w:r w:rsidR="0023186B">
        <w:t>,</w:t>
      </w:r>
      <w:r w:rsidR="00BA5AAF">
        <w:rPr>
          <w:rStyle w:val="Znakapoznpodarou"/>
        </w:rPr>
        <w:footnoteReference w:id="141"/>
      </w:r>
      <w:r w:rsidR="0023186B">
        <w:t xml:space="preserve"> přičem</w:t>
      </w:r>
      <w:r w:rsidR="00655D9E">
        <w:t>ž dle znění zmíněného ustanovení</w:t>
      </w:r>
      <w:r w:rsidR="0023186B">
        <w:t xml:space="preserve"> postačilo, že v době smrti zůstavitele byl podán návrh na rozvod manželství </w:t>
      </w:r>
      <w:r w:rsidR="00655D9E">
        <w:t>zůstavitelem,</w:t>
      </w:r>
      <w:r w:rsidR="0023186B">
        <w:t xml:space="preserve"> a tomuto návrhu bylo po jeho smrti vyhověno</w:t>
      </w:r>
      <w:r w:rsidR="00655D9E">
        <w:t>.</w:t>
      </w:r>
    </w:p>
    <w:p w:rsidR="007A7F92" w:rsidRDefault="007A7F92" w:rsidP="002E59E5">
      <w:pPr>
        <w:pStyle w:val="Nadpis3"/>
      </w:pPr>
    </w:p>
    <w:p w:rsidR="003C5F37" w:rsidRPr="00536B1A" w:rsidRDefault="003C5F37" w:rsidP="002E59E5">
      <w:pPr>
        <w:pStyle w:val="Nadpis3"/>
      </w:pPr>
      <w:bookmarkStart w:id="18" w:name="_Toc449513906"/>
      <w:r>
        <w:t>2. 2. 4 Srovnání právní úpravy</w:t>
      </w:r>
      <w:bookmarkEnd w:id="18"/>
    </w:p>
    <w:p w:rsidR="003C5F37" w:rsidRDefault="003C5F37" w:rsidP="00536B1A">
      <w:pPr>
        <w:spacing w:line="360" w:lineRule="auto"/>
        <w:contextualSpacing/>
      </w:pPr>
      <w:r>
        <w:tab/>
      </w:r>
      <w:r w:rsidRPr="003C5F37">
        <w:t>Právní úprava rakouského občanskéh</w:t>
      </w:r>
      <w:r w:rsidR="00D94B25">
        <w:t>o zákoníku ve velké míře vycházela</w:t>
      </w:r>
      <w:r w:rsidRPr="003C5F37">
        <w:t xml:space="preserve"> právě z římského práva. </w:t>
      </w:r>
      <w:r w:rsidR="00D94B25">
        <w:t xml:space="preserve">Byť v zákonné úpravě nebyla přímo stanovena povinnost zůstavitele ke jmenování či vydědění dědice, bylo počítáno s tím, že zde budou osoby </w:t>
      </w:r>
      <w:r w:rsidR="00E44654">
        <w:t xml:space="preserve">zůstaviteli blízké, které budou mít </w:t>
      </w:r>
      <w:r w:rsidR="00646EA5">
        <w:t>výsadní postavení vůči všem ostatním a budou mít právo na část pozůstalosti.</w:t>
      </w:r>
    </w:p>
    <w:p w:rsidR="000A053E" w:rsidRDefault="00AC2B65" w:rsidP="00ED6A73">
      <w:pPr>
        <w:spacing w:line="360" w:lineRule="auto"/>
        <w:contextualSpacing/>
      </w:pPr>
      <w:r>
        <w:tab/>
      </w:r>
      <w:r w:rsidR="0023321E">
        <w:t xml:space="preserve">Za nepominutelné dědice ABGB stanovil stejně jako v římském právu potomky a předky zůstavitele. Je logické, že tvůrci zákona </w:t>
      </w:r>
      <w:r w:rsidR="00E75F7E">
        <w:t>přikročil</w:t>
      </w:r>
      <w:r w:rsidR="001E6944">
        <w:t>i</w:t>
      </w:r>
      <w:r w:rsidR="00E75F7E">
        <w:t xml:space="preserve"> k tomuto kroku, protože kdo jiný </w:t>
      </w:r>
      <w:r w:rsidR="00ED6A73">
        <w:t>než nejbližší pokrevn</w:t>
      </w:r>
      <w:r w:rsidR="0047702E">
        <w:t>í příbuzní zůstavitele, by měl</w:t>
      </w:r>
      <w:r w:rsidR="001E6944">
        <w:t>i</w:t>
      </w:r>
      <w:r w:rsidR="0047702E">
        <w:t xml:space="preserve"> mít </w:t>
      </w:r>
      <w:r w:rsidR="000014FB">
        <w:t>právo na část pozůstalosti garantovanou zákonem.</w:t>
      </w:r>
      <w:r w:rsidR="003A4941">
        <w:t xml:space="preserve"> Silnou inspiraci </w:t>
      </w:r>
      <w:r w:rsidR="00CC376E">
        <w:t xml:space="preserve">římským právem </w:t>
      </w:r>
      <w:r w:rsidR="003A4941">
        <w:t>lze spatřit</w:t>
      </w:r>
      <w:r w:rsidR="00CC376E">
        <w:t xml:space="preserve"> též</w:t>
      </w:r>
      <w:r w:rsidR="003A4941">
        <w:t xml:space="preserve"> v uvedených důvodech pro vydědění potomka. Naproti tomu došlo dle ABGB ke zvolnění formálních požadavků u exheredace</w:t>
      </w:r>
      <w:r w:rsidR="002E4ADF">
        <w:t>, kdy zůstavitel nemusel uvést důvod</w:t>
      </w:r>
      <w:r w:rsidR="00CC376E">
        <w:t>, proč se rozhodl potomka zbavit práva na povinný díl.</w:t>
      </w:r>
      <w:r w:rsidR="00BE3D6C">
        <w:t xml:space="preserve"> To vedlo svým způsobem k horšímu postavení ostatních dědiců, kteří byli nuceni důvod vydědění prokázat při následném projednání dědictví.</w:t>
      </w:r>
      <w:r w:rsidR="0010052C">
        <w:t xml:space="preserve"> Výrazný vliv na další dědice měl </w:t>
      </w:r>
      <w:r w:rsidR="00E564B3">
        <w:t xml:space="preserve">též </w:t>
      </w:r>
      <w:r w:rsidR="0010052C">
        <w:t>odklon od zásady „</w:t>
      </w:r>
      <w:r w:rsidR="0010052C" w:rsidRPr="0010052C">
        <w:rPr>
          <w:i/>
        </w:rPr>
        <w:t>exheredatus partem facit ad minuendam</w:t>
      </w:r>
      <w:r w:rsidR="0010052C" w:rsidRPr="0010052C">
        <w:t>“</w:t>
      </w:r>
      <w:r w:rsidR="00251532">
        <w:t>, jejíž aplikace v zákoně vedla</w:t>
      </w:r>
      <w:r w:rsidR="0010052C">
        <w:t xml:space="preserve"> ke zvyšování povinného dílu ostatních.</w:t>
      </w:r>
    </w:p>
    <w:p w:rsidR="00BE3D6C" w:rsidRDefault="00A54A55" w:rsidP="00ED6A73">
      <w:pPr>
        <w:spacing w:line="360" w:lineRule="auto"/>
        <w:contextualSpacing/>
      </w:pPr>
      <w:r>
        <w:tab/>
        <w:t>Materiální práva nepominutelných dědiců</w:t>
      </w:r>
      <w:r w:rsidR="00E30788">
        <w:t>,</w:t>
      </w:r>
      <w:r>
        <w:t xml:space="preserve"> představovaná právem na povinný díl a procesní obranou </w:t>
      </w:r>
      <w:r w:rsidR="00251532">
        <w:t>před zásahem do něj</w:t>
      </w:r>
      <w:r w:rsidR="00E30788">
        <w:t>,</w:t>
      </w:r>
      <w:r>
        <w:t xml:space="preserve"> čítala rovněž mno</w:t>
      </w:r>
      <w:r w:rsidR="008A2381">
        <w:t>ho podobností s</w:t>
      </w:r>
      <w:r w:rsidR="00251532">
        <w:t> </w:t>
      </w:r>
      <w:r w:rsidR="008A2381">
        <w:t>římským</w:t>
      </w:r>
      <w:r w:rsidR="00251532">
        <w:t xml:space="preserve"> právem</w:t>
      </w:r>
      <w:r w:rsidR="00195060">
        <w:t>.</w:t>
      </w:r>
      <w:r w:rsidR="008A2381">
        <w:t xml:space="preserve"> Jednalo se jednak o</w:t>
      </w:r>
      <w:r w:rsidR="00195060">
        <w:t xml:space="preserve"> podobnou úpravu výše povinné dílu,</w:t>
      </w:r>
      <w:r w:rsidR="008A2381">
        <w:t xml:space="preserve"> způsoby </w:t>
      </w:r>
      <w:r w:rsidR="00195060">
        <w:t xml:space="preserve">jeho </w:t>
      </w:r>
      <w:r w:rsidR="008A2381">
        <w:t>zanechání, úpravu vedlejších ustanovení týkajících se povinného dílu</w:t>
      </w:r>
      <w:r w:rsidR="00195060">
        <w:t>,</w:t>
      </w:r>
      <w:r w:rsidR="008A2381">
        <w:t xml:space="preserve"> a též bylo možno se proti zásahu bránit žalobou </w:t>
      </w:r>
      <w:r w:rsidR="00195060">
        <w:t>směřovanou proti</w:t>
      </w:r>
      <w:r w:rsidR="008A2381">
        <w:t xml:space="preserve"> ostatním dědicům.</w:t>
      </w:r>
    </w:p>
    <w:p w:rsidR="00E61024" w:rsidRDefault="00E61024" w:rsidP="00ED6A73">
      <w:pPr>
        <w:spacing w:line="360" w:lineRule="auto"/>
        <w:contextualSpacing/>
      </w:pPr>
      <w:r>
        <w:tab/>
        <w:t xml:space="preserve">Jak lze vidět, většina aspektů posloupnosti proti testamentu se </w:t>
      </w:r>
      <w:r w:rsidR="007B21C0">
        <w:t>zachovala</w:t>
      </w:r>
      <w:r>
        <w:t xml:space="preserve"> až do </w:t>
      </w:r>
      <w:r w:rsidR="008908DB">
        <w:t>19. století, přičemž hlavní důsledek posloupnosti</w:t>
      </w:r>
      <w:r w:rsidR="00251532">
        <w:t>, kdy nepominutelný dědic docílil</w:t>
      </w:r>
      <w:r w:rsidR="008908DB">
        <w:t xml:space="preserve"> </w:t>
      </w:r>
      <w:r w:rsidR="007B21C0">
        <w:t xml:space="preserve">zrušení testamentu s následným nástupem intestátní posloupnosti </w:t>
      </w:r>
      <w:r w:rsidR="009551BD">
        <w:t>lze</w:t>
      </w:r>
      <w:r w:rsidR="007B21C0">
        <w:t xml:space="preserve"> najít v §778 ABGB</w:t>
      </w:r>
      <w:r w:rsidR="005D26DE">
        <w:t xml:space="preserve">, byť se takto v dobových spisech </w:t>
      </w:r>
      <w:r w:rsidR="009551BD">
        <w:t>neoznačoval</w:t>
      </w:r>
      <w:r w:rsidR="005D26DE">
        <w:t>.</w:t>
      </w:r>
    </w:p>
    <w:p w:rsidR="00E452ED" w:rsidRDefault="00E452ED" w:rsidP="00B3494A"/>
    <w:p w:rsidR="00E452ED" w:rsidRDefault="002120BD" w:rsidP="00536B1A">
      <w:pPr>
        <w:pStyle w:val="Nadpis2"/>
        <w:spacing w:line="360" w:lineRule="auto"/>
      </w:pPr>
      <w:bookmarkStart w:id="19" w:name="_Toc449513907"/>
      <w:r>
        <w:lastRenderedPageBreak/>
        <w:t>2. 3</w:t>
      </w:r>
      <w:r w:rsidR="00E452ED">
        <w:t xml:space="preserve"> Právní úprava dle vládního návrhu občanského zákoníku z roku 1937</w:t>
      </w:r>
      <w:bookmarkEnd w:id="19"/>
    </w:p>
    <w:p w:rsidR="008D3A1B" w:rsidRDefault="00997527" w:rsidP="00536B1A">
      <w:pPr>
        <w:spacing w:line="360" w:lineRule="auto"/>
        <w:contextualSpacing/>
      </w:pPr>
      <w:r>
        <w:tab/>
        <w:t xml:space="preserve">Po recipování rakouského práva a </w:t>
      </w:r>
      <w:r w:rsidR="00B7164A">
        <w:t xml:space="preserve">jeho </w:t>
      </w:r>
      <w:r>
        <w:t>nastalém dualismu v Čechách a na Slovensku vyvstaly první problémy s aplikací právních norem.</w:t>
      </w:r>
      <w:r w:rsidR="008D3A1B">
        <w:t xml:space="preserve"> Stát </w:t>
      </w:r>
      <w:r w:rsidR="00976E00">
        <w:t>jako jednotný celek</w:t>
      </w:r>
      <w:r w:rsidR="008D3A1B">
        <w:t xml:space="preserve"> potřeboval jednotný právní systém.</w:t>
      </w:r>
      <w:r>
        <w:t xml:space="preserve"> </w:t>
      </w:r>
      <w:r w:rsidR="00976E00">
        <w:t>Tato skutečnost</w:t>
      </w:r>
      <w:r w:rsidR="008D3A1B">
        <w:t xml:space="preserve"> a čím dál č</w:t>
      </w:r>
      <w:r w:rsidR="00F82994">
        <w:t>astější konflikty dvou právních</w:t>
      </w:r>
      <w:r w:rsidR="008D3A1B">
        <w:t xml:space="preserve"> úprav</w:t>
      </w:r>
      <w:r w:rsidR="00866227">
        <w:t xml:space="preserve"> brzy vyústily ve snahu </w:t>
      </w:r>
      <w:r w:rsidR="00B7164A">
        <w:t xml:space="preserve">o </w:t>
      </w:r>
      <w:r w:rsidR="00866227">
        <w:t xml:space="preserve">sjednocení práva a jeho opětovnou kodifikaci. </w:t>
      </w:r>
      <w:r w:rsidR="00E37190">
        <w:rPr>
          <w:rStyle w:val="Znakapoznpodarou"/>
        </w:rPr>
        <w:footnoteReference w:id="142"/>
      </w:r>
    </w:p>
    <w:p w:rsidR="00E917D4" w:rsidRPr="00E917D4" w:rsidRDefault="00E917D4" w:rsidP="00E917D4">
      <w:pPr>
        <w:spacing w:line="360" w:lineRule="auto"/>
        <w:contextualSpacing/>
      </w:pPr>
      <w:r>
        <w:tab/>
      </w:r>
      <w:r w:rsidRPr="00E917D4">
        <w:t>Hlavním inspiračním zdrojem byl rakouský z</w:t>
      </w:r>
      <w:r w:rsidR="00145506">
        <w:t xml:space="preserve">ákoník. </w:t>
      </w:r>
      <w:r w:rsidRPr="00E917D4">
        <w:t xml:space="preserve">Důvodem bylo, aby se nová úprava co nejblíže přizpůsobila stávajícímu právnímu stavu v zemi. Navíc byl </w:t>
      </w:r>
      <w:r w:rsidR="000E7E32">
        <w:t xml:space="preserve">kladně </w:t>
      </w:r>
      <w:r w:rsidRPr="00E917D4">
        <w:t>hodnocen fakt, že by případně mohla být při aplikaci nového práva použita stará literatura a judikatura.</w:t>
      </w:r>
      <w:r w:rsidR="00A327E8">
        <w:rPr>
          <w:rStyle w:val="Znakapoznpodarou"/>
        </w:rPr>
        <w:footnoteReference w:id="143"/>
      </w:r>
      <w:r w:rsidRPr="00E917D4">
        <w:t xml:space="preserve"> </w:t>
      </w:r>
    </w:p>
    <w:p w:rsidR="00E917D4" w:rsidRDefault="00E917D4" w:rsidP="00E917D4">
      <w:pPr>
        <w:spacing w:line="360" w:lineRule="auto"/>
        <w:contextualSpacing/>
      </w:pPr>
      <w:r>
        <w:tab/>
      </w:r>
      <w:r w:rsidRPr="00E917D4">
        <w:t>První návrh nové úpravy soukromého práva</w:t>
      </w:r>
      <w:r>
        <w:t>, spočívající jen v překladu a modernizaci textu rakouského zákona,</w:t>
      </w:r>
      <w:r w:rsidRPr="00E917D4">
        <w:t xml:space="preserve"> byl předložen v roce 1931 a s</w:t>
      </w:r>
      <w:r>
        <w:t>etkal se s četnou kritikou</w:t>
      </w:r>
      <w:r w:rsidRPr="00E917D4">
        <w:t xml:space="preserve">. </w:t>
      </w:r>
      <w:r w:rsidR="008E61CA">
        <w:t>Lépe hodnoceným v</w:t>
      </w:r>
      <w:r w:rsidRPr="00E917D4">
        <w:t xml:space="preserve">ýsledkem </w:t>
      </w:r>
      <w:r w:rsidR="008E61CA">
        <w:t>kodifikačních</w:t>
      </w:r>
      <w:r w:rsidRPr="00E917D4">
        <w:t xml:space="preserve"> snah byl</w:t>
      </w:r>
      <w:r w:rsidR="008E61CA">
        <w:t xml:space="preserve"> až</w:t>
      </w:r>
      <w:r w:rsidRPr="00E917D4">
        <w:t xml:space="preserve"> „</w:t>
      </w:r>
      <w:r w:rsidRPr="00E917D4">
        <w:rPr>
          <w:i/>
        </w:rPr>
        <w:t>Vládní návrh zákona, kterým se vydával občanský zákoník</w:t>
      </w:r>
      <w:r w:rsidRPr="00E917D4">
        <w:t xml:space="preserve">“, </w:t>
      </w:r>
      <w:r w:rsidR="0011522D">
        <w:t>předložený</w:t>
      </w:r>
      <w:r w:rsidRPr="00E917D4">
        <w:t xml:space="preserve"> Poslanecké sněmovně Národního shromáždění jako tisk č. 844. Kvůli nepříznivé politické sit</w:t>
      </w:r>
      <w:r w:rsidR="00DF1711">
        <w:t xml:space="preserve">uaci v zemi však již nedošlo k jeho </w:t>
      </w:r>
      <w:r w:rsidRPr="00E917D4">
        <w:t>schválení</w:t>
      </w:r>
      <w:r w:rsidR="00A327E8">
        <w:t xml:space="preserve">. </w:t>
      </w:r>
    </w:p>
    <w:p w:rsidR="00E37190" w:rsidRDefault="00013E80" w:rsidP="00425140">
      <w:pPr>
        <w:spacing w:line="360" w:lineRule="auto"/>
        <w:contextualSpacing/>
      </w:pPr>
      <w:r>
        <w:tab/>
        <w:t xml:space="preserve">Tuto úpravu je třeba zmínit proto, že </w:t>
      </w:r>
      <w:r w:rsidR="00843CD1">
        <w:t>byla významným zdrojem při poslední rekodifikaci soukromého práva v České republice a tvůrci se jí v převážně většině u</w:t>
      </w:r>
      <w:r w:rsidR="00145506">
        <w:t xml:space="preserve">stanovení obsahově inspirovali. V některých </w:t>
      </w:r>
      <w:r w:rsidR="00843CD1">
        <w:t>případech bylo převzato i doslovné znění.</w:t>
      </w:r>
      <w:r w:rsidR="00843CD1">
        <w:rPr>
          <w:rStyle w:val="Znakapoznpodarou"/>
        </w:rPr>
        <w:footnoteReference w:id="144"/>
      </w:r>
    </w:p>
    <w:p w:rsidR="008E61CA" w:rsidRDefault="00444BE0" w:rsidP="00425140">
      <w:pPr>
        <w:spacing w:line="360" w:lineRule="auto"/>
        <w:contextualSpacing/>
      </w:pPr>
      <w:r>
        <w:tab/>
      </w:r>
      <w:r w:rsidR="00241BD9">
        <w:t>Z obsahového i formálního hlediska návrhu je zřejmé, že inspirace rakou</w:t>
      </w:r>
      <w:r w:rsidR="00BB1611">
        <w:t>s</w:t>
      </w:r>
      <w:r w:rsidR="00241BD9">
        <w:t xml:space="preserve">kým zákoníkem byla skutečně veliká. Již úvodní ustanovení zákona o definování nepominutelných dědiců byla takřka shodná. </w:t>
      </w:r>
      <w:r w:rsidR="00EE0614">
        <w:t>V novém návrhu byla vypuštěna pouze zmínka o rovnoprávnosti ženského a mužského pohlaví, což bylo v době vzniku návrhu naprosto samozřejmé.</w:t>
      </w:r>
      <w:r w:rsidR="001D3255">
        <w:rPr>
          <w:rStyle w:val="Znakapoznpodarou"/>
        </w:rPr>
        <w:footnoteReference w:id="145"/>
      </w:r>
    </w:p>
    <w:p w:rsidR="005D5390" w:rsidRDefault="003509C9" w:rsidP="00425140">
      <w:pPr>
        <w:spacing w:line="360" w:lineRule="auto"/>
        <w:contextualSpacing/>
      </w:pPr>
      <w:r>
        <w:tab/>
        <w:t>Podstatná změna se týkala výpočtu povin</w:t>
      </w:r>
      <w:r w:rsidR="0071437B">
        <w:t>n</w:t>
      </w:r>
      <w:r>
        <w:t>ého dí</w:t>
      </w:r>
      <w:r w:rsidR="006E3A38">
        <w:t xml:space="preserve">lu v případě, kdy se ho nepominutelný dědic zřekl, byl z něj vyloučen nebo byl vyděděn. </w:t>
      </w:r>
      <w:r w:rsidR="00F57DA0">
        <w:t xml:space="preserve">Návrh zákona </w:t>
      </w:r>
      <w:r w:rsidR="00951212">
        <w:t>se v §577 opětovně vrátil k zásadě „</w:t>
      </w:r>
      <w:r w:rsidR="00951212" w:rsidRPr="00951212">
        <w:rPr>
          <w:i/>
        </w:rPr>
        <w:t>exheredatus partem facit ad minuendam</w:t>
      </w:r>
      <w:r w:rsidR="00951212">
        <w:t>“</w:t>
      </w:r>
      <w:r w:rsidR="009470A1">
        <w:t xml:space="preserve">. </w:t>
      </w:r>
      <w:r w:rsidR="001D3255">
        <w:t>Osnova se vrátila k této zásadě zřejmě z toho důvodu, aby žádný z případných dalších nepominutelných dědiců neměl výhodu z vydědění jiného kvůli zvětšení jeho povinného dílu.</w:t>
      </w:r>
    </w:p>
    <w:p w:rsidR="00FA25F7" w:rsidRDefault="005D5390" w:rsidP="00344A36">
      <w:pPr>
        <w:spacing w:line="360" w:lineRule="auto"/>
        <w:contextualSpacing/>
      </w:pPr>
      <w:r>
        <w:tab/>
        <w:t>Původní úprava v ABGB mohla vést ostatní nepominutelné dědice k tomu, že se více snažili prokázat důvod vydědění mlčky učiněného v dědickém řízení, a tím tak mohlo docházet k narušování vazeb v rodině po zůstaviteli.</w:t>
      </w:r>
      <w:r w:rsidR="001D3255">
        <w:rPr>
          <w:rStyle w:val="Znakapoznpodarou"/>
        </w:rPr>
        <w:footnoteReference w:id="146"/>
      </w:r>
      <w:r w:rsidR="001D3255">
        <w:t xml:space="preserve"> </w:t>
      </w:r>
      <w:r>
        <w:t xml:space="preserve">Lze tedy považovat tento krok </w:t>
      </w:r>
      <w:r>
        <w:lastRenderedPageBreak/>
        <w:t>zákonodárců za vstřícný</w:t>
      </w:r>
      <w:r w:rsidR="00FA25F7">
        <w:t xml:space="preserve"> vzhledem k následkům smrti zůstavitele</w:t>
      </w:r>
      <w:r w:rsidR="00E57A91">
        <w:t xml:space="preserve"> a je s podivem, že se při tvorbě rakouského zákoníku rozhodli odklonit právě od této římské zásady.</w:t>
      </w:r>
    </w:p>
    <w:p w:rsidR="00D43F74" w:rsidRDefault="00D43F74" w:rsidP="00344A36">
      <w:pPr>
        <w:spacing w:line="360" w:lineRule="auto"/>
        <w:contextualSpacing/>
      </w:pPr>
      <w:r>
        <w:tab/>
      </w:r>
      <w:r w:rsidR="00DB5988">
        <w:t>Návrh zákona se držel osnovy ABGB</w:t>
      </w:r>
      <w:r w:rsidR="00E7622D">
        <w:t xml:space="preserve"> rovněž v případě úpravy způsobů</w:t>
      </w:r>
      <w:r w:rsidR="00DB5988">
        <w:t xml:space="preserve"> vydědění a jeho důvodů. Novinkou byl</w:t>
      </w:r>
      <w:r w:rsidR="00161861">
        <w:t>a</w:t>
      </w:r>
      <w:r w:rsidR="00841C76">
        <w:t xml:space="preserve"> </w:t>
      </w:r>
      <w:r w:rsidR="00DB5988">
        <w:t>možnost pominutí účinků vydědění v případě, kdy se dítě p</w:t>
      </w:r>
      <w:r w:rsidR="00841C76">
        <w:t>o</w:t>
      </w:r>
      <w:r w:rsidR="00DB5988">
        <w:t>lepší</w:t>
      </w:r>
      <w:r w:rsidR="00841C76">
        <w:t>, jak stálo v §</w:t>
      </w:r>
      <w:r w:rsidR="00390EC4">
        <w:t xml:space="preserve"> </w:t>
      </w:r>
      <w:r w:rsidR="00841C76">
        <w:t xml:space="preserve">579 VN 37. Pokud by </w:t>
      </w:r>
      <w:r w:rsidR="00E7622D">
        <w:t xml:space="preserve">byl </w:t>
      </w:r>
      <w:r w:rsidR="00841C76">
        <w:t xml:space="preserve">vládní návrh zákona schválen a nabyl své účinnosti, bylo by jistě toto ustanovení předmětem výkladu mnohých soudních rozhodnutí. Důvodová zpráva za termín „polepšení dítěte“ považovala </w:t>
      </w:r>
      <w:r w:rsidR="00350429">
        <w:t>takové chování vyděděného dědice, které vykazovalo zlepšení po s</w:t>
      </w:r>
      <w:r w:rsidR="00FC34FD">
        <w:t>tránce morální.</w:t>
      </w:r>
      <w:r w:rsidR="00350429">
        <w:t xml:space="preserve"> </w:t>
      </w:r>
      <w:r w:rsidR="00FC34FD">
        <w:t>N</w:t>
      </w:r>
      <w:r w:rsidR="00161861">
        <w:t>emělo se jednat</w:t>
      </w:r>
      <w:r w:rsidR="00350429">
        <w:t xml:space="preserve"> o zánik či jiný důsledek trestního odsouzení. Z výše uvedeného vyplývá, že aplikace ustanovení §</w:t>
      </w:r>
      <w:r w:rsidR="00390EC4">
        <w:t xml:space="preserve"> </w:t>
      </w:r>
      <w:r w:rsidR="00350429">
        <w:t>579 VN 37 se nejvíce hodila na vydědění z důvodu trestního odsouzení.</w:t>
      </w:r>
      <w:r w:rsidR="00350429">
        <w:rPr>
          <w:rStyle w:val="Znakapoznpodarou"/>
        </w:rPr>
        <w:footnoteReference w:id="147"/>
      </w:r>
      <w:r w:rsidR="00350429">
        <w:t xml:space="preserve"> </w:t>
      </w:r>
    </w:p>
    <w:p w:rsidR="00161861" w:rsidRDefault="00161861" w:rsidP="00344A36">
      <w:pPr>
        <w:spacing w:line="360" w:lineRule="auto"/>
        <w:contextualSpacing/>
      </w:pPr>
      <w:r>
        <w:tab/>
        <w:t>Úprava materiálních práv</w:t>
      </w:r>
      <w:r w:rsidR="00356F04">
        <w:t>,</w:t>
      </w:r>
      <w:r>
        <w:t xml:space="preserve"> spojená s právem na povinný díl</w:t>
      </w:r>
      <w:r w:rsidR="006A5FD8">
        <w:t>, započte</w:t>
      </w:r>
      <w:r w:rsidR="00E60AF4">
        <w:t>n</w:t>
      </w:r>
      <w:r w:rsidR="006A5FD8">
        <w:t>ím</w:t>
      </w:r>
      <w:r>
        <w:t xml:space="preserve"> a procesní obranou nepominutelných dědiců</w:t>
      </w:r>
      <w:r w:rsidR="00356F04">
        <w:t>,</w:t>
      </w:r>
      <w:r>
        <w:t xml:space="preserve"> </w:t>
      </w:r>
      <w:r w:rsidR="002120BD">
        <w:t>byla</w:t>
      </w:r>
      <w:r w:rsidR="00E60AF4">
        <w:t xml:space="preserve"> </w:t>
      </w:r>
      <w:r>
        <w:t xml:space="preserve">takřka stejná s úpravou v ABGB. </w:t>
      </w:r>
      <w:r w:rsidR="00E37094">
        <w:t>N</w:t>
      </w:r>
      <w:r w:rsidR="005C387C">
        <w:t>ovinkou oproti předchozí úpravě byla možnost zřízení svěřenského nástupnictví dítěti, které se týkalo též omezení jeho povinného dílu.</w:t>
      </w:r>
      <w:r w:rsidR="005C387C">
        <w:rPr>
          <w:rStyle w:val="Znakapoznpodarou"/>
        </w:rPr>
        <w:footnoteReference w:id="148"/>
      </w:r>
      <w:r w:rsidR="005C387C">
        <w:t xml:space="preserve"> Dříve by se takové jednání považovalo zřejmě za neplatné omezení povinného dílu a nepominutelný dědic </w:t>
      </w:r>
      <w:r w:rsidR="00635065">
        <w:t xml:space="preserve">by </w:t>
      </w:r>
      <w:r w:rsidR="005C387C">
        <w:t>měl právo na celý svůj povinný díl.</w:t>
      </w:r>
      <w:r w:rsidR="00635065">
        <w:t xml:space="preserve"> </w:t>
      </w:r>
    </w:p>
    <w:p w:rsidR="00340A01" w:rsidRDefault="00340A01" w:rsidP="00344A36">
      <w:pPr>
        <w:spacing w:line="360" w:lineRule="auto"/>
        <w:contextualSpacing/>
      </w:pPr>
      <w:r>
        <w:tab/>
        <w:t>Naví</w:t>
      </w:r>
      <w:r w:rsidR="00E60AF4">
        <w:t xml:space="preserve">c </w:t>
      </w:r>
      <w:r w:rsidR="00145506">
        <w:t>návrh</w:t>
      </w:r>
      <w:r w:rsidR="00E60AF4">
        <w:t xml:space="preserve"> v §</w:t>
      </w:r>
      <w:r w:rsidR="00390EC4">
        <w:t xml:space="preserve"> </w:t>
      </w:r>
      <w:r w:rsidR="00E60AF4">
        <w:t>584</w:t>
      </w:r>
      <w:r>
        <w:t xml:space="preserve"> VN 37 </w:t>
      </w:r>
      <w:r w:rsidR="00780145">
        <w:t>umožňoval zůstaviteli, aby svým pořízením nechal</w:t>
      </w:r>
      <w:r>
        <w:t xml:space="preserve"> nepominutelné</w:t>
      </w:r>
      <w:r w:rsidR="00AE3C79">
        <w:t xml:space="preserve">mu </w:t>
      </w:r>
      <w:r>
        <w:t>dědic</w:t>
      </w:r>
      <w:r w:rsidR="00AE3C79">
        <w:t>i</w:t>
      </w:r>
      <w:r w:rsidR="00780145">
        <w:t xml:space="preserve"> možnost volby</w:t>
      </w:r>
      <w:r w:rsidR="00AE3C79">
        <w:t>. Nepominutelný dědic si mohl zvolit, zda dá přednost dědictví, které mu bylo zůstavitelem zůstaveno s jistým omezením, nebo zda si ponechá jen svůj povinný díl.</w:t>
      </w:r>
      <w:r w:rsidR="00C22943">
        <w:t xml:space="preserve"> </w:t>
      </w:r>
      <w:r w:rsidR="00E60AF4">
        <w:rPr>
          <w:rStyle w:val="Znakapoznpodarou"/>
        </w:rPr>
        <w:footnoteReference w:id="149"/>
      </w:r>
      <w:r w:rsidR="00E60AF4">
        <w:t xml:space="preserve"> </w:t>
      </w:r>
      <w:r w:rsidR="00C22943">
        <w:t xml:space="preserve">Taková úprava v rakouském zákoníku obsažena nebyla a nutno dodat, že </w:t>
      </w:r>
      <w:r w:rsidR="00AE3C79">
        <w:t>zde dal návrh opět více prostoru vůli zůstavitele</w:t>
      </w:r>
      <w:r w:rsidR="00F62A70">
        <w:t>.</w:t>
      </w:r>
    </w:p>
    <w:p w:rsidR="00CF121D" w:rsidRDefault="008B31C1" w:rsidP="00344A36">
      <w:pPr>
        <w:spacing w:line="360" w:lineRule="auto"/>
        <w:contextualSpacing/>
      </w:pPr>
      <w:r>
        <w:tab/>
        <w:t>Samosta</w:t>
      </w:r>
      <w:r w:rsidR="00FC34FD">
        <w:t>tný oddíl si v návrhu zasloužila</w:t>
      </w:r>
      <w:r>
        <w:t xml:space="preserve"> práva spojená s nutnou výživ</w:t>
      </w:r>
      <w:r w:rsidR="00FC34FD">
        <w:t>o</w:t>
      </w:r>
      <w:r>
        <w:t xml:space="preserve">u a zaopatřením. </w:t>
      </w:r>
      <w:r w:rsidR="00B01D74">
        <w:t>Dle autora se t</w:t>
      </w:r>
      <w:r>
        <w:t>vůrci návrhu rozhodl</w:t>
      </w:r>
      <w:r w:rsidR="00FC34FD">
        <w:t>i k tomuto kro</w:t>
      </w:r>
      <w:r w:rsidR="00B01D74">
        <w:t>ku</w:t>
      </w:r>
      <w:r>
        <w:t xml:space="preserve"> zřejmě z toho důvodu, že </w:t>
      </w:r>
      <w:r w:rsidR="00BE4148">
        <w:t>zmíněná</w:t>
      </w:r>
      <w:r>
        <w:t xml:space="preserve"> práva, dá se říci, stojí na pomezí práva dědického a rodinného, a jejich účelem </w:t>
      </w:r>
      <w:r w:rsidR="00042D84">
        <w:t>bylo</w:t>
      </w:r>
      <w:r>
        <w:t xml:space="preserve"> spíše doplňovat právní úpravu nepominutelných dědiců.</w:t>
      </w:r>
    </w:p>
    <w:p w:rsidR="001F2310" w:rsidRDefault="00042D84" w:rsidP="00344A36">
      <w:pPr>
        <w:spacing w:line="360" w:lineRule="auto"/>
        <w:contextualSpacing/>
      </w:pPr>
      <w:r>
        <w:tab/>
      </w:r>
      <w:r w:rsidR="00FC34FD">
        <w:t>VN 37</w:t>
      </w:r>
      <w:r w:rsidR="00301D9A">
        <w:t xml:space="preserve"> vycházel ohledně nutné výživy ze stejných principů jako ABGB, nově však v </w:t>
      </w:r>
      <w:r w:rsidR="00E04047">
        <w:t>§</w:t>
      </w:r>
      <w:r w:rsidR="00FC34FD">
        <w:t xml:space="preserve"> </w:t>
      </w:r>
      <w:r w:rsidR="00E04047">
        <w:t>608</w:t>
      </w:r>
      <w:r w:rsidR="00301D9A">
        <w:t xml:space="preserve"> stanovil podmínku </w:t>
      </w:r>
      <w:r w:rsidR="00E04047">
        <w:t>poskytnutí nutné výživy jen v rozsahu dědicova povinného dílu.</w:t>
      </w:r>
      <w:r w:rsidR="003D0B57">
        <w:rPr>
          <w:rStyle w:val="Znakapoznpodarou"/>
        </w:rPr>
        <w:footnoteReference w:id="150"/>
      </w:r>
      <w:r w:rsidR="00E04047">
        <w:t xml:space="preserve"> Mělo se tak předcházet maření účelu vydědění, kdy </w:t>
      </w:r>
      <w:r w:rsidR="00B07EE5">
        <w:t xml:space="preserve">by </w:t>
      </w:r>
      <w:r w:rsidR="00E04047">
        <w:t>v případě pozůstalosti malého rozsahu vyděděný získal nutnou výživu podobné či dokonce vyšší hodnoty, než by byl jeho povinný díl.</w:t>
      </w:r>
      <w:r w:rsidR="001F2310">
        <w:rPr>
          <w:rStyle w:val="Znakapoznpodarou"/>
        </w:rPr>
        <w:footnoteReference w:id="151"/>
      </w:r>
      <w:r w:rsidR="002265C0">
        <w:t xml:space="preserve"> Dále návrh více rozváděl práva pozůstalého manžela a vdovy</w:t>
      </w:r>
      <w:r w:rsidR="0011522D">
        <w:t>,</w:t>
      </w:r>
      <w:r w:rsidR="002265C0">
        <w:t xml:space="preserve"> a rovněž způsob </w:t>
      </w:r>
      <w:r w:rsidR="002265C0">
        <w:lastRenderedPageBreak/>
        <w:t>rozděl</w:t>
      </w:r>
      <w:r w:rsidR="0011522D">
        <w:t>ení povinného dílu mezi potomky</w:t>
      </w:r>
      <w:r w:rsidR="002265C0">
        <w:t xml:space="preserve"> a manžela. Novinkou oproti ABGB bylo zaopatření poskytnuté osobám bezplatně požívajícím společnou domácnost se zůstavitelem</w:t>
      </w:r>
      <w:r w:rsidR="00E60AF4">
        <w:t>.</w:t>
      </w:r>
      <w:r w:rsidR="002265C0">
        <w:rPr>
          <w:rStyle w:val="Znakapoznpodarou"/>
        </w:rPr>
        <w:footnoteReference w:id="152"/>
      </w:r>
      <w:r w:rsidR="002265C0">
        <w:t xml:space="preserve"> Toto ustanovení mohlo m</w:t>
      </w:r>
      <w:r w:rsidR="00E60AF4">
        <w:t>ířit zejména na osoby nesezdané, kde by partner neměl právo na povinný díl.</w:t>
      </w:r>
    </w:p>
    <w:p w:rsidR="001E368B" w:rsidRDefault="001E368B" w:rsidP="00344A36">
      <w:pPr>
        <w:spacing w:line="360" w:lineRule="auto"/>
        <w:contextualSpacing/>
      </w:pPr>
      <w:r>
        <w:tab/>
        <w:t>Lze tedy shrnout, že vládní návrh občanského zákoníku ve většině případů týkajících se práv nepominutelných dědiců vycházel ze staré právní úpravy recipovaného rakouského zákoníku. V mnoha případech došlo k formálním změnám textu, kdy byly vypuštěny nebo pozměny slova a k přeřazení či sloučení některých ustanovení</w:t>
      </w:r>
      <w:r w:rsidR="002434CC">
        <w:t>. Za přínos návrhu lze považovat návrat římské zásady u vydědění nepominutelného potomka.</w:t>
      </w:r>
    </w:p>
    <w:p w:rsidR="00E8050D" w:rsidRDefault="00BE4148" w:rsidP="00A6586E">
      <w:pPr>
        <w:spacing w:line="360" w:lineRule="auto"/>
        <w:contextualSpacing/>
      </w:pPr>
      <w:r>
        <w:tab/>
      </w:r>
    </w:p>
    <w:p w:rsidR="00145506" w:rsidRDefault="00145506">
      <w:pPr>
        <w:jc w:val="left"/>
        <w:rPr>
          <w:rFonts w:eastAsiaTheme="majorEastAsia" w:cstheme="majorBidi"/>
          <w:b/>
          <w:bCs/>
          <w:sz w:val="32"/>
          <w:szCs w:val="28"/>
        </w:rPr>
      </w:pPr>
      <w:r>
        <w:br w:type="page"/>
      </w:r>
    </w:p>
    <w:p w:rsidR="00E8050D" w:rsidRDefault="00E8050D" w:rsidP="00E8050D">
      <w:pPr>
        <w:pStyle w:val="Nadpis1"/>
      </w:pPr>
      <w:bookmarkStart w:id="20" w:name="_Toc449513908"/>
      <w:r>
        <w:lastRenderedPageBreak/>
        <w:t>3. Posloupnost proti testamentu podle občanského zákoníku z roku 1950 a občanského zákoníku z roku 1964</w:t>
      </w:r>
      <w:bookmarkEnd w:id="20"/>
    </w:p>
    <w:p w:rsidR="00E8050D" w:rsidRDefault="00E8050D" w:rsidP="00E8050D"/>
    <w:p w:rsidR="007C5735" w:rsidRDefault="007C5735" w:rsidP="00073E26">
      <w:pPr>
        <w:pStyle w:val="Nadpis2"/>
        <w:spacing w:line="360" w:lineRule="auto"/>
      </w:pPr>
      <w:bookmarkStart w:id="21" w:name="_Toc449513909"/>
      <w:r>
        <w:t>3. 1 Vývoj právní úpravy</w:t>
      </w:r>
      <w:bookmarkEnd w:id="21"/>
    </w:p>
    <w:p w:rsidR="00F62A70" w:rsidRDefault="004D5DA6" w:rsidP="00073E26">
      <w:pPr>
        <w:spacing w:line="360" w:lineRule="auto"/>
        <w:contextualSpacing/>
      </w:pPr>
      <w:r>
        <w:tab/>
        <w:t xml:space="preserve">I přes snahy právních teoretiků a zákonodárců v první polovině 20. století, se nepodařilo </w:t>
      </w:r>
      <w:r w:rsidR="007B2D35">
        <w:t>právní řád</w:t>
      </w:r>
      <w:r w:rsidR="00955D04">
        <w:t xml:space="preserve"> zbavit dualismu</w:t>
      </w:r>
      <w:r w:rsidR="007B2D35">
        <w:t xml:space="preserve"> práva</w:t>
      </w:r>
      <w:r w:rsidR="00955D04">
        <w:t xml:space="preserve">, nastoleného recepcí rakouské právní úpravy. Ke změně došlo </w:t>
      </w:r>
      <w:r w:rsidR="007575EC">
        <w:t xml:space="preserve">až po revolučním únoru 1948, kdy se dostala k moci v Československu komunistická </w:t>
      </w:r>
      <w:r w:rsidR="00E11889">
        <w:t>strana</w:t>
      </w:r>
      <w:r w:rsidR="007575EC">
        <w:t>. Ta si zavdala</w:t>
      </w:r>
      <w:r w:rsidR="00E11889">
        <w:t xml:space="preserve"> za</w:t>
      </w:r>
      <w:r w:rsidR="007575EC">
        <w:t xml:space="preserve"> úkol</w:t>
      </w:r>
      <w:r w:rsidR="00E11889">
        <w:t xml:space="preserve"> připravit</w:t>
      </w:r>
      <w:r w:rsidR="007575EC">
        <w:t xml:space="preserve"> do dvou let kodifikaci československého práva, která by se svým </w:t>
      </w:r>
      <w:r w:rsidR="00A97E47">
        <w:t>obsahem</w:t>
      </w:r>
      <w:r w:rsidR="007575EC">
        <w:t xml:space="preserve"> ideově přiblížila budování socialismu.</w:t>
      </w:r>
      <w:r w:rsidR="009C4598">
        <w:t xml:space="preserve"> </w:t>
      </w:r>
      <w:r w:rsidR="007A33D3">
        <w:t>Výsledkem kodifikace byl o</w:t>
      </w:r>
      <w:r w:rsidR="007C4808">
        <w:t>bčanský zákoník č. 141/</w:t>
      </w:r>
      <w:r w:rsidR="009C4598">
        <w:t>1950 Sb.</w:t>
      </w:r>
      <w:r w:rsidR="007A33D3">
        <w:t>, který</w:t>
      </w:r>
      <w:r w:rsidR="009C4598">
        <w:t xml:space="preserve"> nabyl účinnosti 1. ledna 1951 a platil pro území celého Československa.</w:t>
      </w:r>
      <w:r w:rsidR="009C4598">
        <w:rPr>
          <w:rStyle w:val="Znakapoznpodarou"/>
        </w:rPr>
        <w:footnoteReference w:id="153"/>
      </w:r>
    </w:p>
    <w:p w:rsidR="00350429" w:rsidRDefault="009C4598" w:rsidP="007575EC">
      <w:pPr>
        <w:spacing w:line="360" w:lineRule="auto"/>
        <w:contextualSpacing/>
      </w:pPr>
      <w:r>
        <w:tab/>
      </w:r>
      <w:r w:rsidR="004F7D5B">
        <w:t xml:space="preserve">Nové právo mělo být jakýmsi </w:t>
      </w:r>
      <w:r w:rsidR="003B3501">
        <w:t xml:space="preserve">pozvolným </w:t>
      </w:r>
      <w:r w:rsidR="004F7D5B">
        <w:t xml:space="preserve">přechodem od kapitalismu k socialistickému smýšlení a vedení státu. </w:t>
      </w:r>
      <w:r w:rsidR="003B3501">
        <w:t>Při tvorbě zákona musela být brána v potaz ekonomická a politická situace v zemi</w:t>
      </w:r>
      <w:r w:rsidR="007B2D35">
        <w:t>,</w:t>
      </w:r>
      <w:r w:rsidR="003B3501">
        <w:t xml:space="preserve"> a rovněž musela být ustanovení zákoníku použitelná jak na sektor národního hospodářství, nový socialistický sektor, tak i na přetrvávající oblast kapitali</w:t>
      </w:r>
      <w:r w:rsidR="00A97E47">
        <w:t>s</w:t>
      </w:r>
      <w:r w:rsidR="003B3501">
        <w:t>tických právních vztahů. Proto bylo při tvorbě navázáno na dosavadní platnou právní úpravu</w:t>
      </w:r>
      <w:r w:rsidR="007B2D35">
        <w:t xml:space="preserve"> systematiky zákona a </w:t>
      </w:r>
      <w:r w:rsidR="003B3501">
        <w:t>docházelo k přizpůsobování starých institutů novému obč</w:t>
      </w:r>
      <w:r w:rsidR="00C60B1B">
        <w:t>anskému právu</w:t>
      </w:r>
      <w:r w:rsidR="007B2D35">
        <w:t>. V</w:t>
      </w:r>
      <w:r w:rsidR="00C60B1B">
        <w:t>edle toho byla tvořena</w:t>
      </w:r>
      <w:r w:rsidR="00A97E47">
        <w:t xml:space="preserve"> nová ustanovení s</w:t>
      </w:r>
      <w:r w:rsidR="003B3501">
        <w:t xml:space="preserve"> právními instituty ryze socialistického ladění.</w:t>
      </w:r>
      <w:r w:rsidR="003B3501">
        <w:rPr>
          <w:rStyle w:val="Znakapoznpodarou"/>
        </w:rPr>
        <w:footnoteReference w:id="154"/>
      </w:r>
    </w:p>
    <w:p w:rsidR="0069319D" w:rsidRDefault="00B52037" w:rsidP="007575EC">
      <w:pPr>
        <w:spacing w:line="360" w:lineRule="auto"/>
        <w:contextualSpacing/>
      </w:pPr>
      <w:r>
        <w:tab/>
      </w:r>
    </w:p>
    <w:p w:rsidR="0069319D" w:rsidRDefault="0069319D" w:rsidP="00073E26">
      <w:pPr>
        <w:pStyle w:val="Nadpis2"/>
        <w:spacing w:line="360" w:lineRule="auto"/>
      </w:pPr>
      <w:bookmarkStart w:id="22" w:name="_Toc449513910"/>
      <w:r>
        <w:t xml:space="preserve">3. 2 Právní úprava dle </w:t>
      </w:r>
      <w:r w:rsidR="000D3544">
        <w:t>občanského zákoníku z roku 1950</w:t>
      </w:r>
      <w:bookmarkEnd w:id="22"/>
    </w:p>
    <w:p w:rsidR="00073E26" w:rsidRPr="00073E26" w:rsidRDefault="00073E26" w:rsidP="00073E26">
      <w:pPr>
        <w:spacing w:line="360" w:lineRule="auto"/>
        <w:contextualSpacing/>
      </w:pPr>
      <w:r>
        <w:tab/>
        <w:t>V</w:t>
      </w:r>
      <w:r w:rsidRPr="00073E26">
        <w:t>ývoj dědického práva byl ovlivněn zejména socialistickým rodinným právem. Jedním ze základních pilířů socialistické společnosti byla rodina, ze které se dle dobových pramenů odvíjelo vše ostatní. Z toho důvodu, a za účelem posílení jednoty rodiny, preferovalo tamn</w:t>
      </w:r>
      <w:r w:rsidR="00183485">
        <w:t>í dědické právo jako přední dědi</w:t>
      </w:r>
      <w:r w:rsidRPr="00073E26">
        <w:t>cký titul zákonnou posloupnost před posloupností testamentární. Intestátní posloupnost měla být všeobecnou úpravou, sloužící k zachování rodiny jak</w:t>
      </w:r>
      <w:r w:rsidR="007A33D3">
        <w:t>o celku, posílení jejích vztahů</w:t>
      </w:r>
      <w:r w:rsidRPr="00073E26">
        <w:t xml:space="preserve"> a trvalosti.</w:t>
      </w:r>
      <w:r w:rsidRPr="00073E26">
        <w:rPr>
          <w:vertAlign w:val="superscript"/>
        </w:rPr>
        <w:footnoteReference w:id="155"/>
      </w:r>
      <w:r w:rsidRPr="00073E26">
        <w:t xml:space="preserve"> Jak se k dané problematice vyjádřil i doc. Mikeš, tato familiarizace dědického práva vedla k omezení testovací volnosti zůstavitele, </w:t>
      </w:r>
      <w:r w:rsidRPr="00073E26">
        <w:lastRenderedPageBreak/>
        <w:t>což se projevilo v celkové úpravě testamentární posloupnosti</w:t>
      </w:r>
      <w:r w:rsidR="00F74671">
        <w:t>,</w:t>
      </w:r>
      <w:r w:rsidRPr="00073E26">
        <w:t xml:space="preserve"> a rovněž v některých právech nepominutelných dědiců.</w:t>
      </w:r>
      <w:r w:rsidRPr="00073E26">
        <w:rPr>
          <w:vertAlign w:val="superscript"/>
        </w:rPr>
        <w:footnoteReference w:id="156"/>
      </w:r>
    </w:p>
    <w:p w:rsidR="00AB693E" w:rsidRDefault="00AB693E" w:rsidP="007575EC">
      <w:pPr>
        <w:spacing w:line="360" w:lineRule="auto"/>
        <w:contextualSpacing/>
      </w:pPr>
    </w:p>
    <w:p w:rsidR="00073E26" w:rsidRPr="00073E26" w:rsidRDefault="0079632E" w:rsidP="002E59E5">
      <w:pPr>
        <w:pStyle w:val="Nadpis3"/>
      </w:pPr>
      <w:bookmarkStart w:id="23" w:name="_Toc449513911"/>
      <w:r>
        <w:t>3. 2</w:t>
      </w:r>
      <w:r w:rsidR="00073E26">
        <w:t>. 1 Nepominutelný dědic a jeho vydědění</w:t>
      </w:r>
      <w:bookmarkEnd w:id="23"/>
    </w:p>
    <w:p w:rsidR="00FB7699" w:rsidRDefault="00FB7699" w:rsidP="000D3544">
      <w:pPr>
        <w:spacing w:line="360" w:lineRule="auto"/>
        <w:contextualSpacing/>
      </w:pPr>
      <w:r>
        <w:tab/>
        <w:t>S ohledem na téma práce a formální práva nepominutelných dědiců</w:t>
      </w:r>
      <w:r w:rsidR="009A7DE1">
        <w:t xml:space="preserve"> tak</w:t>
      </w:r>
      <w:r>
        <w:t>,</w:t>
      </w:r>
      <w:r w:rsidR="00136C20">
        <w:t xml:space="preserve"> jak jsou nám známa již z předchozích kapitol</w:t>
      </w:r>
      <w:r w:rsidR="009A7DE1">
        <w:t xml:space="preserve">, musíme konstatovat, </w:t>
      </w:r>
      <w:r>
        <w:t>že o</w:t>
      </w:r>
      <w:r w:rsidR="004E48A3">
        <w:t xml:space="preserve">proti předchozím právním úpravám </w:t>
      </w:r>
      <w:r w:rsidR="00136C20">
        <w:t>došlo</w:t>
      </w:r>
      <w:r w:rsidR="002E14F8">
        <w:t xml:space="preserve"> v OZ 50 </w:t>
      </w:r>
      <w:r w:rsidR="00136C20">
        <w:t xml:space="preserve">k mnohým </w:t>
      </w:r>
      <w:r w:rsidR="009A7DE1">
        <w:t>změnám. Právní úprava problematiky týkajíc</w:t>
      </w:r>
      <w:r w:rsidR="00232003">
        <w:t>í</w:t>
      </w:r>
      <w:r w:rsidR="009A7DE1">
        <w:t xml:space="preserve"> se nepominutelných dědiců se v zákoně </w:t>
      </w:r>
      <w:r w:rsidR="00232003">
        <w:t xml:space="preserve">zúžila </w:t>
      </w:r>
      <w:r w:rsidR="009A7DE1">
        <w:t xml:space="preserve">na </w:t>
      </w:r>
      <w:r w:rsidR="006E65A0">
        <w:t>pouhých pár</w:t>
      </w:r>
      <w:r w:rsidR="008255BC">
        <w:t xml:space="preserve"> ustanovení. </w:t>
      </w:r>
      <w:r w:rsidR="009A7DE1">
        <w:t>Dalo by se očekávat, že v případě, kdy se zákoník obrací z ideových důvodů k rodině, bude v zákoně obsažena definice pojmu nepomi</w:t>
      </w:r>
      <w:r w:rsidR="006E65A0">
        <w:t>nutelný dědic tak, jak jsme byli</w:t>
      </w:r>
      <w:r w:rsidR="009A7DE1">
        <w:t xml:space="preserve"> zvykl</w:t>
      </w:r>
      <w:r w:rsidR="007A33D3">
        <w:t>í</w:t>
      </w:r>
      <w:r w:rsidR="009A7DE1">
        <w:t xml:space="preserve"> z předchozích úprav. Střední zákoník však nikde v samostatné kapitole tento </w:t>
      </w:r>
      <w:r w:rsidR="00C72F2B">
        <w:t xml:space="preserve">pojem nestanovil. Jeho význam </w:t>
      </w:r>
      <w:r w:rsidR="009A7DE1">
        <w:t>můžeme dovozovat z ustanov</w:t>
      </w:r>
      <w:r w:rsidR="00343BF0">
        <w:t>en</w:t>
      </w:r>
      <w:r w:rsidR="00183485">
        <w:t>í § 551 OZ 50, které upravuje neplatnosti</w:t>
      </w:r>
      <w:r w:rsidR="009A7DE1">
        <w:t xml:space="preserve"> závěti z důvodu opomenutí osob blízkých zůstaviteli</w:t>
      </w:r>
      <w:r w:rsidR="00FB0F42">
        <w:t>,</w:t>
      </w:r>
      <w:r w:rsidR="00233411">
        <w:t xml:space="preserve"> v kombinaci s §</w:t>
      </w:r>
      <w:r w:rsidR="00183485">
        <w:t xml:space="preserve"> </w:t>
      </w:r>
      <w:r w:rsidR="00233411">
        <w:t xml:space="preserve">526 </w:t>
      </w:r>
      <w:r w:rsidR="007A33D3">
        <w:t>a §</w:t>
      </w:r>
      <w:r w:rsidR="007C4808">
        <w:t xml:space="preserve"> </w:t>
      </w:r>
      <w:r w:rsidR="007A33D3">
        <w:t xml:space="preserve">528 </w:t>
      </w:r>
      <w:r w:rsidR="00233411">
        <w:t xml:space="preserve">OZ 50, kde </w:t>
      </w:r>
      <w:r w:rsidR="007A33D3">
        <w:t>jsou popsán</w:t>
      </w:r>
      <w:r w:rsidR="00183485">
        <w:t>y první</w:t>
      </w:r>
      <w:r w:rsidR="007A33D3">
        <w:t xml:space="preserve"> dvě dědické</w:t>
      </w:r>
      <w:r w:rsidR="00233411">
        <w:t xml:space="preserve"> tříd</w:t>
      </w:r>
      <w:r w:rsidR="007A33D3">
        <w:t>y</w:t>
      </w:r>
      <w:r w:rsidR="00233411">
        <w:t xml:space="preserve"> zákonné dědické posloupnosti</w:t>
      </w:r>
      <w:r w:rsidR="009A7DE1">
        <w:t>.</w:t>
      </w:r>
      <w:r w:rsidR="00232003">
        <w:rPr>
          <w:rStyle w:val="Znakapoznpodarou"/>
        </w:rPr>
        <w:footnoteReference w:id="157"/>
      </w:r>
    </w:p>
    <w:p w:rsidR="008A726D" w:rsidRDefault="00232003" w:rsidP="007575EC">
      <w:pPr>
        <w:spacing w:line="360" w:lineRule="auto"/>
        <w:contextualSpacing/>
      </w:pPr>
      <w:r>
        <w:tab/>
      </w:r>
      <w:r w:rsidR="009335D2">
        <w:t>Aby závěť byla pl</w:t>
      </w:r>
      <w:r w:rsidR="008B68E3">
        <w:t xml:space="preserve">atná, muselo být </w:t>
      </w:r>
      <w:r w:rsidR="004E7500">
        <w:t>dle §</w:t>
      </w:r>
      <w:r w:rsidR="007C4808">
        <w:t xml:space="preserve"> </w:t>
      </w:r>
      <w:r w:rsidR="004E7500">
        <w:t xml:space="preserve">551 OZ 50 </w:t>
      </w:r>
      <w:r w:rsidR="008B68E3">
        <w:t>nezletilým potom</w:t>
      </w:r>
      <w:r w:rsidR="009335D2">
        <w:t>kům a jiným potomkům zůstavitele zůstaveno tolik</w:t>
      </w:r>
      <w:r w:rsidR="008B68E3">
        <w:t>, kolik činila</w:t>
      </w:r>
      <w:r w:rsidR="009335D2">
        <w:t xml:space="preserve"> hodnota jejich celého zákonného podílu. </w:t>
      </w:r>
      <w:r w:rsidR="00183485">
        <w:t>Z toho vyplývá</w:t>
      </w:r>
      <w:r w:rsidR="009335D2">
        <w:t xml:space="preserve">, že nepominutelnými dědici </w:t>
      </w:r>
      <w:r w:rsidR="008B68E3">
        <w:t>byli</w:t>
      </w:r>
      <w:r w:rsidR="009335D2">
        <w:t xml:space="preserve"> potomci zůstavitele. „Jinými potomky“ v zákoně uvedenými zákonodárce myslel </w:t>
      </w:r>
      <w:r w:rsidR="006E65A0">
        <w:t>nejspíš potomky vzdálené, kteří by dědili v případě, že by nemohl dědit potomek přímý</w:t>
      </w:r>
      <w:r w:rsidR="00887C6E">
        <w:t>. K tomu závěru se</w:t>
      </w:r>
      <w:r w:rsidR="004E7500">
        <w:t xml:space="preserve"> ve své judikatuře </w:t>
      </w:r>
      <w:r w:rsidR="00887C6E">
        <w:t xml:space="preserve">přiklonil </w:t>
      </w:r>
      <w:r w:rsidR="004E7500">
        <w:t xml:space="preserve">i krajský soud, který navíc upřesnil, že zůstavitelovi vnuci nastupují na místo svého předka jako zákonní dědicové </w:t>
      </w:r>
      <w:r w:rsidR="00887C6E">
        <w:t>dle §</w:t>
      </w:r>
      <w:r w:rsidR="00183485">
        <w:t xml:space="preserve"> </w:t>
      </w:r>
      <w:r w:rsidR="00887C6E">
        <w:t>527 OZ 50 v případě, kdy v době smrti zůstavitele již jeho potomek zemřel.</w:t>
      </w:r>
      <w:r w:rsidR="00887C6E">
        <w:rPr>
          <w:rStyle w:val="Znakapoznpodarou"/>
        </w:rPr>
        <w:footnoteReference w:id="158"/>
      </w:r>
    </w:p>
    <w:p w:rsidR="00232003" w:rsidRDefault="007A33D3" w:rsidP="007575EC">
      <w:pPr>
        <w:spacing w:line="360" w:lineRule="auto"/>
        <w:contextualSpacing/>
      </w:pPr>
      <w:r>
        <w:tab/>
        <w:t>Dále zákon v §</w:t>
      </w:r>
      <w:r w:rsidR="00183485">
        <w:t xml:space="preserve"> </w:t>
      </w:r>
      <w:r>
        <w:t xml:space="preserve">551 OZ 50 </w:t>
      </w:r>
      <w:r w:rsidR="00183485">
        <w:t>označoval</w:t>
      </w:r>
      <w:r w:rsidR="008A726D">
        <w:t xml:space="preserve"> </w:t>
      </w:r>
      <w:r w:rsidR="00AB553F">
        <w:t xml:space="preserve">za nepominutelné dědice </w:t>
      </w:r>
      <w:r w:rsidR="008A726D">
        <w:t xml:space="preserve">rodiče nebo staré rodiče, kteří byli v době smrti zůstavitele v nouzi a neschopni pracovat. Stejně jako v případě descendentů, se starými rodiči </w:t>
      </w:r>
      <w:r w:rsidR="000B7A3A">
        <w:t xml:space="preserve">zřejmě </w:t>
      </w:r>
      <w:r w:rsidR="008A726D">
        <w:t>mysl</w:t>
      </w:r>
      <w:r w:rsidR="00FB0F42">
        <w:t>eli</w:t>
      </w:r>
      <w:r w:rsidR="008A726D">
        <w:t xml:space="preserve"> prarodiče a vzdálenější ascendenti</w:t>
      </w:r>
      <w:r w:rsidR="00246204">
        <w:t xml:space="preserve"> zůstavitele</w:t>
      </w:r>
      <w:r w:rsidR="000B7A3A">
        <w:t>.</w:t>
      </w:r>
      <w:r w:rsidR="00C65A7A">
        <w:t xml:space="preserve"> </w:t>
      </w:r>
      <w:r w:rsidR="00CD2851" w:rsidRPr="00CD2851">
        <w:t xml:space="preserve">Nově byla vedle nouze přidána </w:t>
      </w:r>
      <w:r w:rsidR="00FB0F42">
        <w:t>u</w:t>
      </w:r>
      <w:r w:rsidR="00F74671">
        <w:t xml:space="preserve"> </w:t>
      </w:r>
      <w:r w:rsidR="00FB0F42">
        <w:t>předků</w:t>
      </w:r>
      <w:r w:rsidR="00F74671">
        <w:t xml:space="preserve"> </w:t>
      </w:r>
      <w:r w:rsidR="00CD2851" w:rsidRPr="00CD2851">
        <w:t>podmínka neschopnosti pracovat</w:t>
      </w:r>
      <w:r>
        <w:t>,</w:t>
      </w:r>
      <w:r w:rsidR="005532A2">
        <w:t xml:space="preserve"> a to z jakéhokoli důvodu. Překážkou </w:t>
      </w:r>
      <w:r w:rsidR="00526750">
        <w:t>mohl</w:t>
      </w:r>
      <w:r w:rsidR="005532A2">
        <w:t xml:space="preserve"> být </w:t>
      </w:r>
      <w:r w:rsidR="00183485">
        <w:t>na</w:t>
      </w:r>
      <w:r w:rsidR="00AB553F">
        <w:t xml:space="preserve">příklad </w:t>
      </w:r>
      <w:r w:rsidR="005532A2">
        <w:t>věk nebo duševní stav</w:t>
      </w:r>
      <w:r>
        <w:t xml:space="preserve"> rodiče</w:t>
      </w:r>
      <w:r w:rsidR="005532A2">
        <w:t xml:space="preserve">. Důležité </w:t>
      </w:r>
      <w:r w:rsidR="00526750">
        <w:t>bylo</w:t>
      </w:r>
      <w:r w:rsidR="005532A2">
        <w:t>, aby nouze i nescho</w:t>
      </w:r>
      <w:r w:rsidR="00FB0F42">
        <w:t>pnost vykonávat práci existovaly</w:t>
      </w:r>
      <w:r w:rsidR="005532A2">
        <w:t xml:space="preserve"> v době smrti zůstavitele</w:t>
      </w:r>
      <w:r>
        <w:t xml:space="preserve"> zároveň</w:t>
      </w:r>
      <w:r w:rsidR="005532A2">
        <w:t xml:space="preserve">. </w:t>
      </w:r>
      <w:r w:rsidR="000B7A3A">
        <w:t>Další podmínkou práva na zákonný podíl bylo</w:t>
      </w:r>
      <w:r w:rsidR="00C65A7A">
        <w:t>, že předek byl povolán k</w:t>
      </w:r>
      <w:r w:rsidR="000B7A3A">
        <w:t xml:space="preserve"> dědění dle zákonné </w:t>
      </w:r>
      <w:r w:rsidR="000B7A3A">
        <w:lastRenderedPageBreak/>
        <w:t>posloupnosti.</w:t>
      </w:r>
      <w:r w:rsidR="00C65A7A">
        <w:t xml:space="preserve"> To znamenalo, že zde nebyl žádný potomek, který by mohl dědit dle první dědické třídy.</w:t>
      </w:r>
      <w:r w:rsidR="005532A2">
        <w:rPr>
          <w:rStyle w:val="Znakapoznpodarou"/>
        </w:rPr>
        <w:footnoteReference w:id="159"/>
      </w:r>
    </w:p>
    <w:p w:rsidR="00526750" w:rsidRDefault="00526750" w:rsidP="007575EC">
      <w:pPr>
        <w:spacing w:line="360" w:lineRule="auto"/>
        <w:contextualSpacing/>
      </w:pPr>
      <w:r>
        <w:tab/>
        <w:t xml:space="preserve">Na ostatní dědice se hledělo jako na pominutelné. Byli jimi pozůstalý manžel z první dědické skupiny nebo třeba zůstavitelovi sourozenci, kteří nespadali do žádné dědické třídy. Důvod, proč nebyl manžel považován za nepominutelného dědice, byť byl osobě zůstavitele velmi blízký, byl ten, že jeho postavení po smrti manžela upravovalo rodinné právo, které mu </w:t>
      </w:r>
      <w:r w:rsidR="00FB0F42">
        <w:t xml:space="preserve">dle dobové literatury </w:t>
      </w:r>
      <w:r>
        <w:t>poskytovalo dostatečné záruky pro zabezpečení jeho zájmů</w:t>
      </w:r>
      <w:r w:rsidR="001710AE">
        <w:t>, zejména institutem majetkového společenství</w:t>
      </w:r>
      <w:r>
        <w:t>.</w:t>
      </w:r>
      <w:r>
        <w:rPr>
          <w:rStyle w:val="Znakapoznpodarou"/>
        </w:rPr>
        <w:footnoteReference w:id="160"/>
      </w:r>
    </w:p>
    <w:p w:rsidR="00AB553F" w:rsidRDefault="00327081" w:rsidP="007575EC">
      <w:pPr>
        <w:spacing w:line="360" w:lineRule="auto"/>
        <w:contextualSpacing/>
      </w:pPr>
      <w:r>
        <w:tab/>
        <w:t xml:space="preserve">Dalším projevem formálních práv nepominutelných dědiců, lépe řečeno právem zůstavitele, bylo </w:t>
      </w:r>
      <w:r w:rsidR="000C74FA">
        <w:t>právo vydědit</w:t>
      </w:r>
      <w:r>
        <w:t xml:space="preserve"> svého potomka. Vydědit mohl zůstavitel pouze dědice nepominutelného. Stejně jako v předchozích úpravách musel mít k takovému jednání vážný důvod. </w:t>
      </w:r>
      <w:r w:rsidR="004E0B49">
        <w:t>Zákon uváděl tři důvody vydědění, přičemž jeden z nich byl nový, typický pro socialistické právo. Zůstavitel mohl dle §</w:t>
      </w:r>
      <w:r w:rsidR="007C4808">
        <w:t xml:space="preserve"> </w:t>
      </w:r>
      <w:r w:rsidR="004E0B49">
        <w:t>552 OZ 50 vydědit svého potomka v případě, kdy trvale odpíral pracovat.</w:t>
      </w:r>
      <w:r w:rsidR="00A22E6E">
        <w:t xml:space="preserve"> Muselo se jednat o tzv. zaviněné odpírání, tedy situaci, kdy se dědic úmyslně vyhýbal práci. Důvod vydědění nebyl naplněn v případě, kd</w:t>
      </w:r>
      <w:r w:rsidR="00183485">
        <w:t>y dědic nemohl být zaměstnán na</w:t>
      </w:r>
      <w:r w:rsidR="00A22E6E">
        <w:t>příklad následkem nemoci.</w:t>
      </w:r>
      <w:r w:rsidR="005D145A">
        <w:t xml:space="preserve"> </w:t>
      </w:r>
      <w:r w:rsidR="005D145A" w:rsidRPr="005D145A">
        <w:t>Oproti předchozí právní úpravě nebylo umožněno vydědění mlčky. Důvod vyděd</w:t>
      </w:r>
      <w:r w:rsidR="003F66DE">
        <w:t>ě</w:t>
      </w:r>
      <w:r w:rsidR="005D145A" w:rsidRPr="005D145A">
        <w:t xml:space="preserve">ní musel být v listině </w:t>
      </w:r>
      <w:r w:rsidR="00183485">
        <w:t xml:space="preserve">kvůli usnadnění dokazování v dědickém řízení </w:t>
      </w:r>
      <w:r w:rsidR="005D145A" w:rsidRPr="005D145A">
        <w:t>vždy uveden</w:t>
      </w:r>
      <w:r w:rsidR="00183485">
        <w:t>.</w:t>
      </w:r>
      <w:r w:rsidR="00A22E6E">
        <w:rPr>
          <w:rStyle w:val="Znakapoznpodarou"/>
        </w:rPr>
        <w:footnoteReference w:id="161"/>
      </w:r>
    </w:p>
    <w:p w:rsidR="00A22E6E" w:rsidRDefault="00453FCD" w:rsidP="007575EC">
      <w:pPr>
        <w:spacing w:line="360" w:lineRule="auto"/>
        <w:contextualSpacing/>
      </w:pPr>
      <w:r>
        <w:tab/>
      </w:r>
      <w:r w:rsidR="005D145A">
        <w:t xml:space="preserve">Zákon dále stanovil, že potomek vyděděného nastupuje v dědění na jeho místo a nabývá tak jeho podíl. Důležité je zmínit, že výpočet dědického podílu se neřídil dle věku nových dědiců, nýbrž dle věku vyděděného </w:t>
      </w:r>
      <w:r w:rsidR="004F4286">
        <w:t>potomka. Byl-</w:t>
      </w:r>
      <w:r w:rsidR="005D145A">
        <w:t xml:space="preserve">li vyděděný potomek nezletilý, měli noví </w:t>
      </w:r>
      <w:r w:rsidR="002E14F8">
        <w:t>dědici</w:t>
      </w:r>
      <w:r w:rsidR="005D145A">
        <w:t xml:space="preserve"> právo na celý zákonný podíl </w:t>
      </w:r>
      <w:r w:rsidR="00183485">
        <w:t>svého předka. Pokud byl vyděděný</w:t>
      </w:r>
      <w:r w:rsidR="005D145A">
        <w:t xml:space="preserve"> zletilým potomkem, obdrželi jeho potomci jakožto </w:t>
      </w:r>
      <w:r w:rsidR="002E14F8">
        <w:t>dědici</w:t>
      </w:r>
      <w:r w:rsidR="005D145A">
        <w:t xml:space="preserve"> pouze </w:t>
      </w:r>
      <w:r w:rsidR="002E14F8">
        <w:t>3/4</w:t>
      </w:r>
      <w:r w:rsidR="005D145A">
        <w:t xml:space="preserve"> jeho zákonného podílu. V případě, kdy vyděděný neměl žádného potomka, hledělo se na něho při výpočtu povinného dílu jako by nebyl</w:t>
      </w:r>
      <w:r w:rsidR="000C74FA">
        <w:t>.</w:t>
      </w:r>
      <w:r w:rsidR="009C13BB">
        <w:rPr>
          <w:rFonts w:cs="Times New Roman"/>
          <w:szCs w:val="24"/>
        </w:rPr>
        <w:t xml:space="preserve"> </w:t>
      </w:r>
      <w:r w:rsidR="005D145A">
        <w:rPr>
          <w:rStyle w:val="Znakapoznpodarou"/>
        </w:rPr>
        <w:footnoteReference w:id="162"/>
      </w:r>
      <w:r w:rsidR="000C74FA">
        <w:rPr>
          <w:rFonts w:cs="Times New Roman"/>
          <w:szCs w:val="24"/>
        </w:rPr>
        <w:t xml:space="preserve"> V</w:t>
      </w:r>
      <w:r w:rsidR="005D145A">
        <w:t xml:space="preserve"> </w:t>
      </w:r>
      <w:r w:rsidR="000C74FA" w:rsidRPr="000C74FA">
        <w:t xml:space="preserve">tomto případě zůstal střední zákoník opět odkloněn od římské zásady „podíl vyděděného způsobí zmenšení povinného dílu“, o jejíž návrat do právního řádu se pokusil </w:t>
      </w:r>
      <w:r w:rsidR="002E14F8">
        <w:t>VN 37</w:t>
      </w:r>
      <w:r w:rsidR="000C74FA">
        <w:t>.</w:t>
      </w:r>
    </w:p>
    <w:p w:rsidR="009A7DE1" w:rsidRDefault="008255BC" w:rsidP="007575EC">
      <w:pPr>
        <w:spacing w:line="360" w:lineRule="auto"/>
        <w:contextualSpacing/>
      </w:pPr>
      <w:r>
        <w:tab/>
        <w:t xml:space="preserve">Závěrem je třeba zopakovat, že právě již zmiňovaný § 551 OZ 50 </w:t>
      </w:r>
      <w:r w:rsidR="000C74FA">
        <w:t>byl</w:t>
      </w:r>
      <w:r>
        <w:t xml:space="preserve"> klíčovým pro úpravu posloupnosti proti testamentu</w:t>
      </w:r>
      <w:r w:rsidR="000C74FA">
        <w:t xml:space="preserve"> z formálního i materiálního hlediska</w:t>
      </w:r>
      <w:r>
        <w:t xml:space="preserve">, jelikož i sám autor komentáře ke střednímu zákoníku </w:t>
      </w:r>
      <w:r w:rsidR="000C74FA">
        <w:t>zdůraznil</w:t>
      </w:r>
      <w:r>
        <w:t xml:space="preserve">, že splnění podmínek podle § 551 OZ 50 </w:t>
      </w:r>
      <w:r w:rsidR="000C74FA">
        <w:t>je</w:t>
      </w:r>
      <w:r>
        <w:t xml:space="preserve"> </w:t>
      </w:r>
      <w:r>
        <w:lastRenderedPageBreak/>
        <w:t>důležité pro dědění nepominutelných dědiců proti testamentu. Byla j</w:t>
      </w:r>
      <w:r w:rsidR="006B5928">
        <w:t>i</w:t>
      </w:r>
      <w:r>
        <w:t>m tímto ustanovením poskytnuta ochrana,</w:t>
      </w:r>
      <w:r w:rsidR="00183485">
        <w:t xml:space="preserve"> která zaručila, že pokud nebyli</w:t>
      </w:r>
      <w:r>
        <w:t xml:space="preserve"> nějakým způsobem platně vyloučeni z dědického práva, budou mít vždy</w:t>
      </w:r>
      <w:r w:rsidR="006B5928">
        <w:t xml:space="preserve"> za s</w:t>
      </w:r>
      <w:r w:rsidR="00183485">
        <w:t>plně</w:t>
      </w:r>
      <w:r w:rsidR="006B5928">
        <w:t>ní uvedených podmínek</w:t>
      </w:r>
      <w:r>
        <w:t xml:space="preserve"> právo na zákonný podíl.</w:t>
      </w:r>
      <w:r w:rsidR="00F349C5">
        <w:rPr>
          <w:rStyle w:val="Znakapoznpodarou"/>
        </w:rPr>
        <w:footnoteReference w:id="163"/>
      </w:r>
    </w:p>
    <w:p w:rsidR="000D3544" w:rsidRDefault="000D3544" w:rsidP="007575EC">
      <w:pPr>
        <w:spacing w:line="360" w:lineRule="auto"/>
        <w:contextualSpacing/>
      </w:pPr>
    </w:p>
    <w:p w:rsidR="000D3544" w:rsidRPr="000D3544" w:rsidRDefault="0079632E" w:rsidP="002E59E5">
      <w:pPr>
        <w:pStyle w:val="Nadpis3"/>
      </w:pPr>
      <w:bookmarkStart w:id="24" w:name="_Toc449513912"/>
      <w:r>
        <w:t>3. 2</w:t>
      </w:r>
      <w:r w:rsidR="001946CB">
        <w:t>. 2</w:t>
      </w:r>
      <w:r w:rsidR="00B11626">
        <w:t xml:space="preserve"> P</w:t>
      </w:r>
      <w:r w:rsidR="0040625E">
        <w:t xml:space="preserve">ovinný díl a </w:t>
      </w:r>
      <w:r w:rsidR="00451CEF">
        <w:t xml:space="preserve">jeho </w:t>
      </w:r>
      <w:r w:rsidR="0040625E">
        <w:t>výše,</w:t>
      </w:r>
      <w:r w:rsidR="00451CEF">
        <w:t xml:space="preserve"> práv</w:t>
      </w:r>
      <w:r w:rsidR="00B11626">
        <w:t>o na povinný díl</w:t>
      </w:r>
      <w:bookmarkEnd w:id="24"/>
    </w:p>
    <w:p w:rsidR="00B11626" w:rsidRPr="00B11626" w:rsidRDefault="005F6710" w:rsidP="006D3184">
      <w:pPr>
        <w:spacing w:line="360" w:lineRule="auto"/>
        <w:contextualSpacing/>
      </w:pPr>
      <w:r>
        <w:tab/>
      </w:r>
      <w:r w:rsidR="006D3184">
        <w:t>Střední zákoník se odklonil od zažitého pojmu povinný díl nepominutelného dědice, jakožto vymezené hodnoty odvislé od velikosti zákonn</w:t>
      </w:r>
      <w:r w:rsidR="00FF7E4E">
        <w:t>ého</w:t>
      </w:r>
      <w:r w:rsidR="006D3184">
        <w:t xml:space="preserve"> podílu. </w:t>
      </w:r>
      <w:r w:rsidR="00FF7E4E">
        <w:t xml:space="preserve"> Místo toho užíval v dikci zákona pojem „zákonný podíl“ a pro vyjádření hodnoty zákonné posloupnosti pojem „</w:t>
      </w:r>
      <w:r w:rsidR="00CF3C09">
        <w:t>podíl dědický</w:t>
      </w:r>
      <w:r w:rsidR="00FF7E4E">
        <w:t xml:space="preserve">“. Zároveň </w:t>
      </w:r>
      <w:r w:rsidR="00CF3C09">
        <w:t xml:space="preserve">u </w:t>
      </w:r>
      <w:r w:rsidR="00FF7E4E">
        <w:t xml:space="preserve">nezletilců </w:t>
      </w:r>
      <w:r w:rsidR="00CF3C09">
        <w:t xml:space="preserve">velikost jejich zákonného podílu </w:t>
      </w:r>
      <w:r w:rsidR="00F90352">
        <w:t>obsahově splýv</w:t>
      </w:r>
      <w:r w:rsidR="00CF3C09">
        <w:t>ala</w:t>
      </w:r>
      <w:r w:rsidR="00F90352">
        <w:t xml:space="preserve"> s</w:t>
      </w:r>
      <w:r w:rsidR="00FF7E4E">
        <w:t xml:space="preserve"> dědi</w:t>
      </w:r>
      <w:r w:rsidR="00CF3C09">
        <w:t>c</w:t>
      </w:r>
      <w:r w:rsidR="00FF7E4E">
        <w:t>kým</w:t>
      </w:r>
      <w:r w:rsidR="006D3184">
        <w:t xml:space="preserve"> podíl</w:t>
      </w:r>
      <w:r w:rsidR="00F90352">
        <w:t>em</w:t>
      </w:r>
      <w:r w:rsidR="005440CF">
        <w:t>. N</w:t>
      </w:r>
      <w:r w:rsidR="00CF3C09">
        <w:t>ávo</w:t>
      </w:r>
      <w:r w:rsidR="00F01541">
        <w:t>d k jeho výpočtu podával §</w:t>
      </w:r>
      <w:r w:rsidR="007C4808">
        <w:t xml:space="preserve"> </w:t>
      </w:r>
      <w:r w:rsidR="00F01541">
        <w:t xml:space="preserve">526 a </w:t>
      </w:r>
      <w:r w:rsidR="007C4808">
        <w:t xml:space="preserve">§ </w:t>
      </w:r>
      <w:r w:rsidR="00F01541">
        <w:t>527 OZ 50 pro potomky zůstavitele</w:t>
      </w:r>
      <w:r w:rsidR="00451CEF">
        <w:t>,</w:t>
      </w:r>
      <w:r w:rsidR="00F01541">
        <w:t xml:space="preserve"> §</w:t>
      </w:r>
      <w:r w:rsidR="005440CF">
        <w:t xml:space="preserve"> </w:t>
      </w:r>
      <w:r w:rsidR="00F01541">
        <w:t xml:space="preserve">528 a </w:t>
      </w:r>
      <w:r w:rsidR="007C4808">
        <w:t xml:space="preserve">§ </w:t>
      </w:r>
      <w:r w:rsidR="00F01541">
        <w:t xml:space="preserve">529 OZ 50 pro </w:t>
      </w:r>
      <w:r w:rsidR="00F03F13">
        <w:t>zůstavitelovy</w:t>
      </w:r>
      <w:r w:rsidR="00E35EAC">
        <w:t xml:space="preserve"> </w:t>
      </w:r>
      <w:r w:rsidR="00F01541">
        <w:t>rodiče.</w:t>
      </w:r>
      <w:r w:rsidR="00CF3C09">
        <w:rPr>
          <w:rStyle w:val="Znakapoznpodarou"/>
        </w:rPr>
        <w:footnoteReference w:id="164"/>
      </w:r>
    </w:p>
    <w:p w:rsidR="00BF2EB2" w:rsidRDefault="00CF3C09" w:rsidP="00052BBD">
      <w:pPr>
        <w:spacing w:line="360" w:lineRule="auto"/>
        <w:contextualSpacing/>
      </w:pPr>
      <w:r>
        <w:tab/>
      </w:r>
      <w:r w:rsidR="005F6710">
        <w:t>Právo na zákonný podíl bylo garantováno ustanovením §</w:t>
      </w:r>
      <w:r w:rsidR="007C4808">
        <w:t xml:space="preserve"> </w:t>
      </w:r>
      <w:r w:rsidR="005F6710">
        <w:t>551 OZ 50</w:t>
      </w:r>
      <w:r w:rsidR="00A64FA2">
        <w:t>. V případě nezletilců zákon přiznáv</w:t>
      </w:r>
      <w:r w:rsidR="009439DB">
        <w:t>al</w:t>
      </w:r>
      <w:r w:rsidR="004B6FDD">
        <w:t xml:space="preserve"> právo na podíl ve výši </w:t>
      </w:r>
      <w:r w:rsidR="00A64FA2">
        <w:t xml:space="preserve">jejich </w:t>
      </w:r>
      <w:r w:rsidR="004B6FDD">
        <w:t>dědického</w:t>
      </w:r>
      <w:r w:rsidR="00A64FA2">
        <w:t xml:space="preserve"> podílu</w:t>
      </w:r>
      <w:r w:rsidR="00E35EAC">
        <w:t>,</w:t>
      </w:r>
      <w:r w:rsidR="00A64FA2">
        <w:t xml:space="preserve"> u </w:t>
      </w:r>
      <w:r w:rsidR="00B73DD8">
        <w:t xml:space="preserve">zletilých potomků, </w:t>
      </w:r>
      <w:r w:rsidR="00A64FA2">
        <w:t>rodičů a vzdálenějších ascendentů cenu 3/4 jejich dědického podílu.</w:t>
      </w:r>
      <w:r w:rsidR="00E35EAC">
        <w:t xml:space="preserve"> I přesto, že byl</w:t>
      </w:r>
      <w:r w:rsidR="009439DB">
        <w:t xml:space="preserve"> v zákoně uveden </w:t>
      </w:r>
      <w:r w:rsidR="005440CF">
        <w:t>pod označením</w:t>
      </w:r>
      <w:r w:rsidR="009439DB">
        <w:t xml:space="preserve"> „cena“, nebyl zákonný podíl pouze peněžitého rázu. Krajský soud v Praze dovodil, že neopominutelný dědic se může domáhat svého podílu též in natura. </w:t>
      </w:r>
      <w:r w:rsidR="00CB4AA5">
        <w:t>Dědici m</w:t>
      </w:r>
      <w:r w:rsidR="009439DB">
        <w:t>ěli tedy</w:t>
      </w:r>
      <w:r w:rsidR="00CB4AA5">
        <w:t xml:space="preserve"> </w:t>
      </w:r>
      <w:r w:rsidR="009439DB">
        <w:t>právo i na majetek movitý či nemovitý.</w:t>
      </w:r>
      <w:r w:rsidR="009439DB">
        <w:rPr>
          <w:rStyle w:val="Znakapoznpodarou"/>
        </w:rPr>
        <w:footnoteReference w:id="165"/>
      </w:r>
      <w:r w:rsidR="00711704">
        <w:t xml:space="preserve"> Lze se domnívat, že tento krok nebyl úplně vhodný, jelikož jak se později projevilo v praxi, tak zakládal majetková společenství mezi pozůstalými dědici a to mnohdy vedlo k rodinným svárům.</w:t>
      </w:r>
      <w:r w:rsidR="00451CEF">
        <w:t xml:space="preserve"> </w:t>
      </w:r>
    </w:p>
    <w:p w:rsidR="004F1307" w:rsidRDefault="004F1307" w:rsidP="00052BBD">
      <w:pPr>
        <w:spacing w:line="360" w:lineRule="auto"/>
        <w:contextualSpacing/>
      </w:pPr>
      <w:r>
        <w:tab/>
        <w:t xml:space="preserve">Zákon upravoval výslovně problematiku započtení na zákonný podíl v § 533 OZ 50. Oproti předchozí úpravě se </w:t>
      </w:r>
      <w:r w:rsidRPr="004F1307">
        <w:t xml:space="preserve">základní principy </w:t>
      </w:r>
      <w:r>
        <w:t>nezměnily.</w:t>
      </w:r>
      <w:r w:rsidR="006B27FA">
        <w:t xml:space="preserve"> V případě dědění ze zákona bylo započtení povinné. V případě dědění na základě závěti docházelo k</w:t>
      </w:r>
      <w:r>
        <w:t xml:space="preserve"> </w:t>
      </w:r>
      <w:r w:rsidR="006B27FA">
        <w:t>z</w:t>
      </w:r>
      <w:r w:rsidR="00AF006D">
        <w:t xml:space="preserve">apočtení většinou na návrh dědice, který měl zájem, aby se do celkové hodnoty pozůstalosti započetlo to, co nepominutelný dědic obdržet za života zůstavitele. </w:t>
      </w:r>
      <w:r>
        <w:t>Za zmínku však stojí, že u nesvéprávných dědiců bylo započtení provedeno z úřední povinnosti.</w:t>
      </w:r>
      <w:r w:rsidR="00AF006D">
        <w:rPr>
          <w:rStyle w:val="Znakapoznpodarou"/>
        </w:rPr>
        <w:footnoteReference w:id="166"/>
      </w:r>
    </w:p>
    <w:p w:rsidR="00711704" w:rsidRDefault="006D460A" w:rsidP="007575EC">
      <w:pPr>
        <w:spacing w:line="360" w:lineRule="auto"/>
        <w:contextualSpacing/>
      </w:pPr>
      <w:r>
        <w:tab/>
        <w:t xml:space="preserve">Další změnou </w:t>
      </w:r>
      <w:r w:rsidR="0014684A">
        <w:t>bylo</w:t>
      </w:r>
      <w:r>
        <w:t xml:space="preserve"> obecné pohlížení na </w:t>
      </w:r>
      <w:r w:rsidR="00451CEF">
        <w:t xml:space="preserve">povahu práva </w:t>
      </w:r>
      <w:r>
        <w:t xml:space="preserve">na zákonný podíl. Dříve bylo považováno za obligační nárok, který měl nepominutelný dědic vůči dědicům ze závěti. Střední zákoník však změnil pohlížení na toto právo </w:t>
      </w:r>
      <w:r w:rsidR="0014684A">
        <w:t>tak</w:t>
      </w:r>
      <w:r>
        <w:t xml:space="preserve">, že </w:t>
      </w:r>
      <w:r w:rsidR="0014684A">
        <w:t>pokud nepominutelný dědic napadl úspěšně závěť podle §</w:t>
      </w:r>
      <w:r w:rsidR="007C4808">
        <w:t xml:space="preserve"> </w:t>
      </w:r>
      <w:r w:rsidR="0014684A">
        <w:t>551 OZ 50</w:t>
      </w:r>
      <w:r w:rsidR="002867BE">
        <w:t xml:space="preserve"> a bylo ro</w:t>
      </w:r>
      <w:r w:rsidR="005440CF">
        <w:t>z</w:t>
      </w:r>
      <w:r w:rsidR="002867BE">
        <w:t>hodnuto o její neplatnosti</w:t>
      </w:r>
      <w:r w:rsidR="0014684A">
        <w:t>, došlo poté k zákonné posloupnosti</w:t>
      </w:r>
      <w:r w:rsidR="002867BE">
        <w:t xml:space="preserve">. Pokud by byla neplatná jen část závěti, stali by se </w:t>
      </w:r>
      <w:r w:rsidR="00DE7D71">
        <w:t>nepomi</w:t>
      </w:r>
      <w:r w:rsidR="00CB4AA5">
        <w:t xml:space="preserve">nutelní dědici </w:t>
      </w:r>
      <w:r w:rsidR="002867BE">
        <w:lastRenderedPageBreak/>
        <w:t xml:space="preserve">zákonnými dědici jen v rozsahu </w:t>
      </w:r>
      <w:r w:rsidR="00CB4AA5">
        <w:t xml:space="preserve">té </w:t>
      </w:r>
      <w:r w:rsidR="002867BE">
        <w:t>neplatnosti vedle dědiců testamentárních.</w:t>
      </w:r>
      <w:r w:rsidR="002867BE">
        <w:rPr>
          <w:rStyle w:val="Znakapoznpodarou"/>
        </w:rPr>
        <w:footnoteReference w:id="167"/>
      </w:r>
      <w:r w:rsidR="00E26DFA">
        <w:t xml:space="preserve"> I tamní judikatura se přiklonila k závěru, že nepominutelný dědic se stal zákonným dědicem a tím pádem měl právo se podílet na dědictví.</w:t>
      </w:r>
      <w:r w:rsidR="00E26DFA">
        <w:rPr>
          <w:rStyle w:val="Znakapoznpodarou"/>
        </w:rPr>
        <w:footnoteReference w:id="168"/>
      </w:r>
      <w:r w:rsidR="00451CEF">
        <w:t xml:space="preserve"> Závěrem tedy lze dodat, že právo na zákonný podíl bylo řazen</w:t>
      </w:r>
      <w:r w:rsidR="00EB7482">
        <w:t>o mezi práva dědická a</w:t>
      </w:r>
      <w:r w:rsidR="00451CEF">
        <w:t xml:space="preserve"> na nepominutelné dědice </w:t>
      </w:r>
      <w:r w:rsidR="005440CF">
        <w:t>se tak pohlíželo</w:t>
      </w:r>
      <w:r w:rsidR="00451CEF">
        <w:t xml:space="preserve"> jako na dědice zákonné posloupnosti</w:t>
      </w:r>
      <w:r w:rsidR="00B909B4">
        <w:t>.</w:t>
      </w:r>
      <w:r w:rsidR="00451CEF">
        <w:t xml:space="preserve"> </w:t>
      </w:r>
    </w:p>
    <w:p w:rsidR="0047386E" w:rsidRDefault="006560BF" w:rsidP="002E59E5">
      <w:pPr>
        <w:pStyle w:val="Nadpis3"/>
      </w:pPr>
      <w:bookmarkStart w:id="25" w:name="_Toc449513913"/>
      <w:r>
        <w:t xml:space="preserve">3. </w:t>
      </w:r>
      <w:r w:rsidR="0079632E">
        <w:t>2</w:t>
      </w:r>
      <w:r>
        <w:t>. 3 Ochrana nepominutelného dědice</w:t>
      </w:r>
      <w:r w:rsidR="00563C27">
        <w:t xml:space="preserve"> a zaopatření dalších osob</w:t>
      </w:r>
      <w:bookmarkEnd w:id="25"/>
    </w:p>
    <w:p w:rsidR="00563C27" w:rsidRDefault="00230B22" w:rsidP="00230B22">
      <w:pPr>
        <w:spacing w:line="360" w:lineRule="auto"/>
        <w:contextualSpacing/>
      </w:pPr>
      <w:r>
        <w:tab/>
        <w:t xml:space="preserve">V případě, </w:t>
      </w:r>
      <w:r w:rsidR="005440CF">
        <w:t xml:space="preserve">že </w:t>
      </w:r>
      <w:r>
        <w:t xml:space="preserve">byl nepominutelný dědic opomenut závětí, mohl se </w:t>
      </w:r>
      <w:r w:rsidR="00271649">
        <w:t>dovolávat</w:t>
      </w:r>
      <w:r>
        <w:t xml:space="preserve"> prohlášení neplatnosti takové závěti vůči státnímu notářství.</w:t>
      </w:r>
      <w:r w:rsidR="00C175C9">
        <w:t xml:space="preserve"> Judikatura v té době řešila, zda neplatnost závěti lze </w:t>
      </w:r>
      <w:r w:rsidR="00AF7495">
        <w:t>považovat</w:t>
      </w:r>
      <w:r w:rsidR="00C175C9">
        <w:t xml:space="preserve"> za absolutní či relativní. </w:t>
      </w:r>
      <w:r w:rsidR="00271649">
        <w:t>Při</w:t>
      </w:r>
      <w:r w:rsidR="005440CF">
        <w:t>klonila se spíše k závěru</w:t>
      </w:r>
      <w:r w:rsidR="00C175C9">
        <w:t xml:space="preserve"> druhému, </w:t>
      </w:r>
      <w:r w:rsidR="005440CF">
        <w:t xml:space="preserve">dle kterého namítnout </w:t>
      </w:r>
      <w:r w:rsidR="00EB7482">
        <w:t>neplatnost</w:t>
      </w:r>
      <w:r w:rsidR="005440CF">
        <w:t xml:space="preserve"> může pouze nepominutelný</w:t>
      </w:r>
      <w:r w:rsidR="00C175C9">
        <w:t xml:space="preserve"> dědic</w:t>
      </w:r>
      <w:r w:rsidR="005440CF">
        <w:t>, popř. jeho zá</w:t>
      </w:r>
      <w:r w:rsidR="00EB7482">
        <w:t>konný</w:t>
      </w:r>
      <w:r w:rsidR="005440CF">
        <w:t xml:space="preserve"> zástupce</w:t>
      </w:r>
      <w:r w:rsidR="00B909B4">
        <w:t xml:space="preserve"> nebo zmocněn</w:t>
      </w:r>
      <w:r w:rsidR="005440CF">
        <w:t>ec.</w:t>
      </w:r>
      <w:r w:rsidR="00AF7495">
        <w:rPr>
          <w:rStyle w:val="Znakapoznpodarou"/>
        </w:rPr>
        <w:footnoteReference w:id="169"/>
      </w:r>
      <w:r w:rsidR="00B909B4">
        <w:t xml:space="preserve"> </w:t>
      </w:r>
    </w:p>
    <w:p w:rsidR="00821560" w:rsidRDefault="00821560" w:rsidP="00230B22">
      <w:pPr>
        <w:spacing w:line="360" w:lineRule="auto"/>
        <w:contextualSpacing/>
      </w:pPr>
      <w:r>
        <w:tab/>
        <w:t>Otázka relativní či absolutní nepl</w:t>
      </w:r>
      <w:r w:rsidR="005440CF">
        <w:t xml:space="preserve">atnosti souvisela </w:t>
      </w:r>
      <w:r>
        <w:t xml:space="preserve">s </w:t>
      </w:r>
      <w:r w:rsidR="005440CF">
        <w:t>otázkou</w:t>
      </w:r>
      <w:r>
        <w:t>, zda j</w:t>
      </w:r>
      <w:r w:rsidR="005440CF">
        <w:t>e soud (státní notářství) povin</w:t>
      </w:r>
      <w:r w:rsidR="00271649">
        <w:t xml:space="preserve">en </w:t>
      </w:r>
      <w:r>
        <w:t xml:space="preserve">zkoumat tuto neplatnost z úřední povinnosti. Vzhledem k </w:t>
      </w:r>
      <w:r w:rsidR="005440CF">
        <w:t>příklonu judikatury k relativní neplatnosti převládl názor</w:t>
      </w:r>
      <w:r>
        <w:t>, že</w:t>
      </w:r>
      <w:r w:rsidRPr="00821560">
        <w:t xml:space="preserve"> státní notářství není povinno zkoumat platnost závěti z úřední povinnosti, ale jen v případě námitky dědice</w:t>
      </w:r>
      <w:r w:rsidR="0058396B">
        <w:t>.</w:t>
      </w:r>
      <w:r w:rsidR="0058396B">
        <w:rPr>
          <w:rStyle w:val="Znakapoznpodarou"/>
        </w:rPr>
        <w:footnoteReference w:id="170"/>
      </w:r>
      <w:r w:rsidR="00271649">
        <w:t xml:space="preserve"> K tomuto</w:t>
      </w:r>
      <w:r w:rsidR="0058396B">
        <w:t xml:space="preserve"> názoru se lze přiklonit</w:t>
      </w:r>
      <w:r w:rsidR="005440CF">
        <w:t xml:space="preserve"> kvůli tomu, že kdy</w:t>
      </w:r>
      <w:r w:rsidR="0058396B">
        <w:t>by nepominutelný dědic neměl žádných námitek vůči závěti</w:t>
      </w:r>
      <w:r w:rsidR="007D7B38">
        <w:t xml:space="preserve"> i když byl opominut,</w:t>
      </w:r>
      <w:r w:rsidR="0058396B">
        <w:t xml:space="preserve"> </w:t>
      </w:r>
      <w:r w:rsidR="005440CF">
        <w:t>nebyl by zde důvod k tomu,</w:t>
      </w:r>
      <w:r w:rsidR="0058396B">
        <w:t xml:space="preserve"> aby se soud závětí zabýval.</w:t>
      </w:r>
    </w:p>
    <w:p w:rsidR="00082A85" w:rsidRDefault="00082A85" w:rsidP="00230B22">
      <w:pPr>
        <w:spacing w:line="360" w:lineRule="auto"/>
        <w:contextualSpacing/>
      </w:pPr>
      <w:r>
        <w:tab/>
        <w:t xml:space="preserve">Odlišný postoj bylo třeba zaujmout v případě, kdy šlo o nepominutelného dědice nezletilého a nesvéprávného. Tam bylo nutné, aby soud schválil prohlášení zákonného zástupce ohledně platnosti závěti. V případě, pokud by nebylo přihlédnuto k platnosti závěti </w:t>
      </w:r>
      <w:r w:rsidRPr="00082A85">
        <w:rPr>
          <w:i/>
        </w:rPr>
        <w:t>ex offo</w:t>
      </w:r>
      <w:r>
        <w:t>, jednalo by se o neplatnost absolutní.</w:t>
      </w:r>
      <w:r>
        <w:rPr>
          <w:rStyle w:val="Znakapoznpodarou"/>
        </w:rPr>
        <w:footnoteReference w:id="171"/>
      </w:r>
    </w:p>
    <w:p w:rsidR="002808C0" w:rsidRDefault="00AF7495" w:rsidP="00921090">
      <w:pPr>
        <w:spacing w:line="360" w:lineRule="auto"/>
        <w:contextualSpacing/>
      </w:pPr>
      <w:r>
        <w:tab/>
      </w:r>
      <w:r w:rsidR="003D7921">
        <w:t xml:space="preserve">Namítnout neplatnost závěti </w:t>
      </w:r>
      <w:r w:rsidR="00157625">
        <w:t>mohl</w:t>
      </w:r>
      <w:r w:rsidR="003D7921">
        <w:t xml:space="preserve"> nepominutelný dědic jen sám za sebe. Podání námitky </w:t>
      </w:r>
      <w:r w:rsidR="00157625">
        <w:t>nemělo</w:t>
      </w:r>
      <w:r w:rsidR="003D7921">
        <w:t xml:space="preserve"> účinky vůči ostatním dědicům.</w:t>
      </w:r>
      <w:r w:rsidR="00157625">
        <w:t xml:space="preserve"> Pro uplatnění neplatnosti u orgánu nebyla stanovena žádná lhůta. Nepominutelný dědic tak mohl učinit až do okamžiku </w:t>
      </w:r>
      <w:r w:rsidR="00BB6F3F">
        <w:t>vydání potvrzení o nabytí dědictví. Napadnou</w:t>
      </w:r>
      <w:r w:rsidR="005440CF">
        <w:t>t</w:t>
      </w:r>
      <w:r w:rsidR="00BB6F3F">
        <w:t xml:space="preserve"> závěť po této době bylo pak možné už jen žalobou.</w:t>
      </w:r>
      <w:r w:rsidR="002808C0">
        <w:t xml:space="preserve"> </w:t>
      </w:r>
      <w:r w:rsidR="00921090">
        <w:t>Důsledkem uplatnění námitky neplatnosti bylo projednání závěti státním notářstvím</w:t>
      </w:r>
      <w:r w:rsidR="00DE5339">
        <w:t xml:space="preserve"> a posouzení platnosti závěti</w:t>
      </w:r>
      <w:r w:rsidR="00921090">
        <w:t>. V případě, kdy byla závěť shledána neplatnou, nastupovali opomenutí dědici k dědickému právu dle jejich zákonné posloupnosti.</w:t>
      </w:r>
      <w:r w:rsidR="008A2182">
        <w:rPr>
          <w:rStyle w:val="Znakapoznpodarou"/>
        </w:rPr>
        <w:footnoteReference w:id="172"/>
      </w:r>
      <w:r w:rsidR="002808C0">
        <w:t xml:space="preserve"> </w:t>
      </w:r>
    </w:p>
    <w:p w:rsidR="007C4808" w:rsidRDefault="007C4808" w:rsidP="00921090">
      <w:pPr>
        <w:spacing w:line="360" w:lineRule="auto"/>
        <w:contextualSpacing/>
      </w:pPr>
      <w:r>
        <w:lastRenderedPageBreak/>
        <w:tab/>
      </w:r>
      <w:r w:rsidR="00E424A1">
        <w:t xml:space="preserve">Na druhou stranu mohl nepominutelný dědic </w:t>
      </w:r>
      <w:r>
        <w:t>také prohlásit, že nenamítá neplatnost závěti nebo se k ní nevyjádřit žádným způsobem. V takové situaci by došlo k běžnému projednání závěti</w:t>
      </w:r>
      <w:r w:rsidR="00E424A1">
        <w:t>.</w:t>
      </w:r>
      <w:r>
        <w:t xml:space="preserve"> </w:t>
      </w:r>
      <w:r w:rsidR="0023637D">
        <w:t>Toto</w:t>
      </w:r>
      <w:r>
        <w:t xml:space="preserve"> svoje prohlášení již nemohl v budoucnu odvolat.</w:t>
      </w:r>
      <w:r>
        <w:rPr>
          <w:rStyle w:val="Znakapoznpodarou"/>
        </w:rPr>
        <w:footnoteReference w:id="173"/>
      </w:r>
    </w:p>
    <w:p w:rsidR="009470A1" w:rsidRDefault="00CA52AB" w:rsidP="00344A36">
      <w:pPr>
        <w:spacing w:line="360" w:lineRule="auto"/>
        <w:contextualSpacing/>
      </w:pPr>
      <w:r>
        <w:tab/>
        <w:t xml:space="preserve">Zákon neobsahoval žádná ustanovení týkající se zaopatření jiných osob. </w:t>
      </w:r>
      <w:r w:rsidR="00690046">
        <w:t>Zákonní dědicové, kteří byli vzdálenějšími příbuznými</w:t>
      </w:r>
      <w:r w:rsidR="005440CF">
        <w:t>,</w:t>
      </w:r>
      <w:r w:rsidR="00690046">
        <w:t xml:space="preserve"> neměli jiná dědická práva, než která stanovil zákon pro intestátní posloupnost.</w:t>
      </w:r>
      <w:r w:rsidR="00690046">
        <w:rPr>
          <w:rStyle w:val="Znakapoznpodarou"/>
        </w:rPr>
        <w:footnoteReference w:id="174"/>
      </w:r>
    </w:p>
    <w:p w:rsidR="00E452ED" w:rsidRDefault="00E452ED" w:rsidP="00425140">
      <w:pPr>
        <w:spacing w:line="360" w:lineRule="auto"/>
        <w:rPr>
          <w:rFonts w:cs="Times New Roman"/>
          <w:sz w:val="20"/>
          <w:szCs w:val="20"/>
        </w:rPr>
      </w:pPr>
    </w:p>
    <w:p w:rsidR="004452F4" w:rsidRDefault="004452F4" w:rsidP="002E59E5">
      <w:pPr>
        <w:pStyle w:val="Nadpis3"/>
      </w:pPr>
      <w:bookmarkStart w:id="26" w:name="_Toc449513914"/>
      <w:r>
        <w:t>3. 2. 4 Shrnutí právní úpravy</w:t>
      </w:r>
      <w:bookmarkEnd w:id="26"/>
    </w:p>
    <w:p w:rsidR="004452F4" w:rsidRDefault="00AA5A7B" w:rsidP="00D058A0">
      <w:pPr>
        <w:spacing w:line="360" w:lineRule="auto"/>
        <w:contextualSpacing/>
      </w:pPr>
      <w:r>
        <w:tab/>
        <w:t>Prvotním cílem kodifikace bylo co nejvíce zjednodušit právní úpravu. Z formálního hlediska došlo ke zúžení rozsahu zákoníku a to tím stylem, že byl co nejvíce zkrácen jeho obsah a některá ustanovení byla vynechána. Celá úprava nepominutelných dědiců byla víceméně závislá na jediném ustanovení § 551 OZ 50, které bylo výsledkem doplnění zásady v §</w:t>
      </w:r>
      <w:r w:rsidR="007C4808">
        <w:t xml:space="preserve"> </w:t>
      </w:r>
      <w:r>
        <w:t>512 OZ 50, ž</w:t>
      </w:r>
      <w:r w:rsidR="007D7B38">
        <w:t>e zůstavitel nemůže zmařit svojí</w:t>
      </w:r>
      <w:r>
        <w:t xml:space="preserve"> vůlí základní zásady intestátního dědění.</w:t>
      </w:r>
      <w:r>
        <w:rPr>
          <w:rStyle w:val="Znakapoznpodarou"/>
        </w:rPr>
        <w:footnoteReference w:id="175"/>
      </w:r>
      <w:r w:rsidR="00D058A0">
        <w:t xml:space="preserve"> </w:t>
      </w:r>
      <w:r w:rsidR="00442E16">
        <w:t xml:space="preserve">Je otázkou, zda takto stručná právní úprava dědickému právu spíše neuškodila. Přikláníme se k názoru, že ano, </w:t>
      </w:r>
      <w:r w:rsidR="00D058A0">
        <w:t xml:space="preserve">jelikož i přesto, že bylo prvotním cílem přiblížit zákon veřejnosti, tak se lze domnívat, že kvůli přílišné stručnosti spíše podněcovala k dalším otázkám, které mohly být řešeny přímo zákonem. </w:t>
      </w:r>
    </w:p>
    <w:p w:rsidR="007047EA" w:rsidRDefault="00A25AF4" w:rsidP="00D058A0">
      <w:pPr>
        <w:spacing w:line="360" w:lineRule="auto"/>
        <w:contextualSpacing/>
      </w:pPr>
      <w:r>
        <w:tab/>
      </w:r>
      <w:r w:rsidR="007047EA">
        <w:t>V rámci formálních práv nepominutelných dědiců došlo oproti předchozímu platnému právu k odlišení mezi potomky zletilými a nezletilými, kdy nezletilým byla poskytnuta vyšší míra ochrany v podobě většího zákonného podílu.</w:t>
      </w:r>
    </w:p>
    <w:p w:rsidR="00534A7F" w:rsidRDefault="007047EA" w:rsidP="006B493B">
      <w:pPr>
        <w:spacing w:line="360" w:lineRule="auto"/>
        <w:contextualSpacing/>
      </w:pPr>
      <w:r>
        <w:tab/>
      </w:r>
      <w:r w:rsidR="00A25AF4">
        <w:t>Změny týkající se nepominutelných dědiců se projevily zejména v oblasti jejich materiálních práv, ať již se jednalo o celkovou terminologi</w:t>
      </w:r>
      <w:r w:rsidR="006B493B">
        <w:t>i</w:t>
      </w:r>
      <w:r w:rsidR="007D7B38">
        <w:t xml:space="preserve"> povinného dílu</w:t>
      </w:r>
      <w:r w:rsidR="00E252B5">
        <w:t xml:space="preserve"> </w:t>
      </w:r>
      <w:r w:rsidR="006B493B">
        <w:t xml:space="preserve">nebo </w:t>
      </w:r>
      <w:r w:rsidR="007D7B38">
        <w:t>důsledků</w:t>
      </w:r>
      <w:r w:rsidR="00F03F13">
        <w:t xml:space="preserve"> napadení</w:t>
      </w:r>
      <w:r w:rsidR="00A25AF4">
        <w:t xml:space="preserve"> závěti. </w:t>
      </w:r>
      <w:r w:rsidR="001D385C">
        <w:t>Samotné namítnutí neplatnosti</w:t>
      </w:r>
      <w:r w:rsidR="006B493B">
        <w:t>, včetně</w:t>
      </w:r>
      <w:r w:rsidR="001D385C">
        <w:t xml:space="preserve"> </w:t>
      </w:r>
      <w:r w:rsidR="006B493B">
        <w:t xml:space="preserve">jeho </w:t>
      </w:r>
      <w:r w:rsidR="001D385C">
        <w:t>následné</w:t>
      </w:r>
      <w:r w:rsidR="006B493B">
        <w:t>ho</w:t>
      </w:r>
      <w:r w:rsidR="001D385C">
        <w:t xml:space="preserve"> uznání za pravdivé</w:t>
      </w:r>
      <w:r w:rsidR="006B493B">
        <w:t>,</w:t>
      </w:r>
      <w:r w:rsidR="001D385C">
        <w:t xml:space="preserve"> totiž nevedlo ke zrušení závěti. Pouze umožňovalo nepominutelnému dědici mít právo na svůj zákonný podíl, o jehož hodnotu se </w:t>
      </w:r>
      <w:r w:rsidR="00326B6D">
        <w:t xml:space="preserve">v samém závěru </w:t>
      </w:r>
      <w:r w:rsidR="000A2A13">
        <w:t>z</w:t>
      </w:r>
      <w:r w:rsidR="001D385C">
        <w:t>krát</w:t>
      </w:r>
      <w:r w:rsidR="00A502C7">
        <w:t>ily</w:t>
      </w:r>
      <w:r w:rsidR="001D385C">
        <w:t xml:space="preserve"> podíly </w:t>
      </w:r>
      <w:r w:rsidR="00326B6D">
        <w:t xml:space="preserve">dědiců </w:t>
      </w:r>
      <w:r w:rsidR="001D385C">
        <w:t>zůstavené závětí.</w:t>
      </w:r>
      <w:r w:rsidR="006B493B">
        <w:t xml:space="preserve"> </w:t>
      </w:r>
      <w:r w:rsidR="00A160A6">
        <w:t>Tento</w:t>
      </w:r>
      <w:r w:rsidR="006B493B">
        <w:t xml:space="preserve"> důsledek neplatnosti můžeme považovat </w:t>
      </w:r>
      <w:r w:rsidR="00A160A6">
        <w:t>za přínosný</w:t>
      </w:r>
      <w:r w:rsidR="006B493B">
        <w:t>, jelikož fakticky umožňovalo povolání dě</w:t>
      </w:r>
      <w:r w:rsidR="00B96ACC">
        <w:t>dice proti závět</w:t>
      </w:r>
      <w:r w:rsidR="00A92479">
        <w:t>i, pokud namítl její neplatnost, byť nedošlo k</w:t>
      </w:r>
      <w:r w:rsidR="00A160A6">
        <w:t>e zrušení testamentu.</w:t>
      </w:r>
    </w:p>
    <w:p w:rsidR="00077B05" w:rsidRDefault="00077B05" w:rsidP="00D058A0">
      <w:pPr>
        <w:spacing w:line="360" w:lineRule="auto"/>
        <w:contextualSpacing/>
      </w:pPr>
    </w:p>
    <w:p w:rsidR="00077B05" w:rsidRDefault="00077B05" w:rsidP="00556C27">
      <w:pPr>
        <w:pStyle w:val="Nadpis2"/>
        <w:spacing w:line="360" w:lineRule="auto"/>
      </w:pPr>
      <w:bookmarkStart w:id="27" w:name="_Toc449513915"/>
      <w:r>
        <w:lastRenderedPageBreak/>
        <w:t>3. 3 Právní úprava dle občanského zákoníku z roku 1964</w:t>
      </w:r>
      <w:bookmarkEnd w:id="27"/>
    </w:p>
    <w:p w:rsidR="00515FF6" w:rsidRDefault="00556C27" w:rsidP="00EF6D22">
      <w:pPr>
        <w:spacing w:line="360" w:lineRule="auto"/>
        <w:contextualSpacing/>
      </w:pPr>
      <w:r>
        <w:tab/>
        <w:t xml:space="preserve">Přijetí občanského zákoníku z roku 1950 bylo základním krokem k nastolení socialismu v právním řádu Československa. Po </w:t>
      </w:r>
      <w:r w:rsidR="00CF06EF">
        <w:t xml:space="preserve">takřka </w:t>
      </w:r>
      <w:r>
        <w:t>deseti letech aplikace tohoto právního předpisu se mělo za to, že přechod od kapitalismu k socialismu je dokončen. Tuto skutečnost deklarovala i nová socialistická ústava, která byla přijata v roce 1960.</w:t>
      </w:r>
      <w:r w:rsidR="00515FF6">
        <w:t xml:space="preserve"> Se změnou, která ovlivnila většinu občanskoprávních vztahů ve </w:t>
      </w:r>
      <w:r w:rsidR="001E4C7A">
        <w:t>společnosti</w:t>
      </w:r>
      <w:r w:rsidR="00515FF6">
        <w:t>, se objevila nová potřeba zdokonalení úpravy občanského práva</w:t>
      </w:r>
      <w:r w:rsidR="00564901">
        <w:t>,</w:t>
      </w:r>
      <w:r w:rsidR="00515FF6">
        <w:t xml:space="preserve"> a proto se přistoupilo k přípravě nového zákoníku. Ten nabyl účinnosti 1. dubna 1964.</w:t>
      </w:r>
      <w:r w:rsidR="00515FF6">
        <w:rPr>
          <w:rStyle w:val="Znakapoznpodarou"/>
        </w:rPr>
        <w:footnoteReference w:id="176"/>
      </w:r>
    </w:p>
    <w:p w:rsidR="00CE1CEC" w:rsidRDefault="00EF6D22" w:rsidP="00556C27">
      <w:pPr>
        <w:spacing w:line="360" w:lineRule="auto"/>
        <w:contextualSpacing/>
      </w:pPr>
      <w:r>
        <w:tab/>
        <w:t xml:space="preserve">Nový občanský zákoník (dále jen „OZ 64“) pokračoval </w:t>
      </w:r>
      <w:r w:rsidR="00564901">
        <w:t>v dalším</w:t>
      </w:r>
      <w:r>
        <w:t xml:space="preserve"> zjednodušování práva. To bylo zřejmé i z textu zákona, kde došlo k dalšímu zúžení rozsahu. </w:t>
      </w:r>
      <w:r w:rsidR="00564901">
        <w:t>Nová úprava i</w:t>
      </w:r>
      <w:r>
        <w:t>deově vycházel</w:t>
      </w:r>
      <w:r w:rsidR="00564901">
        <w:t>a</w:t>
      </w:r>
      <w:r>
        <w:t xml:space="preserve"> z předešlého zákoníku, byla tedy dána opět přednost zákonné dědické posloupnosti před testamentární.</w:t>
      </w:r>
      <w:r>
        <w:rPr>
          <w:rStyle w:val="Znakapoznpodarou"/>
        </w:rPr>
        <w:footnoteReference w:id="177"/>
      </w:r>
      <w:r w:rsidR="00163470">
        <w:t xml:space="preserve"> Původní obsah zákoníku však v průběhu let pozměnilo podstatným způsobem několik novel, které v rámci výkladu zmíníme.</w:t>
      </w:r>
    </w:p>
    <w:p w:rsidR="00EF6D22" w:rsidRPr="00CE1CEC" w:rsidRDefault="00EF6D22" w:rsidP="00556C27">
      <w:pPr>
        <w:spacing w:line="360" w:lineRule="auto"/>
        <w:contextualSpacing/>
      </w:pPr>
    </w:p>
    <w:p w:rsidR="00CE1CEC" w:rsidRPr="00CE1CEC" w:rsidRDefault="00CE1CEC" w:rsidP="002E59E5">
      <w:pPr>
        <w:pStyle w:val="Nadpis3"/>
      </w:pPr>
      <w:bookmarkStart w:id="28" w:name="_Toc449513916"/>
      <w:r w:rsidRPr="00CE1CEC">
        <w:t>3. 3. 1 Nepominutelný dědic a jeho vydědění</w:t>
      </w:r>
      <w:bookmarkEnd w:id="28"/>
    </w:p>
    <w:p w:rsidR="00CE1CEC" w:rsidRDefault="002E59E5" w:rsidP="002B09E7">
      <w:pPr>
        <w:spacing w:line="360" w:lineRule="auto"/>
        <w:contextualSpacing/>
      </w:pPr>
      <w:r>
        <w:tab/>
        <w:t xml:space="preserve">Zůstavitelova volnost pořídit testament byla i úpravou OZ 64 značně omezená. V původním znění zákoníku </w:t>
      </w:r>
      <w:r w:rsidR="00E252B5">
        <w:t>došlo v rámci formálních práv k</w:t>
      </w:r>
      <w:r w:rsidR="002B09E7">
        <w:t xml:space="preserve"> zúžení rozsahu nepominutelných dědiců. Rodiče </w:t>
      </w:r>
      <w:r w:rsidR="00E776E8">
        <w:t xml:space="preserve">a prarodiče </w:t>
      </w:r>
      <w:r w:rsidR="002B09E7">
        <w:t>zůstavitele již nebyli na</w:t>
      </w:r>
      <w:r w:rsidR="00E252B5">
        <w:t xml:space="preserve"> </w:t>
      </w:r>
      <w:r w:rsidR="002B09E7">
        <w:t>rozdíl od OZ 50 řazeni mezi nepominutelné dědice.</w:t>
      </w:r>
      <w:r w:rsidR="00D82E21">
        <w:t xml:space="preserve"> Mezi ty zákon řadil pouze potomky zůstavitele</w:t>
      </w:r>
      <w:r w:rsidR="0098318D">
        <w:t>, nezletilé i zletilé.</w:t>
      </w:r>
      <w:r w:rsidR="00D82E21">
        <w:rPr>
          <w:rStyle w:val="Znakapoznpodarou"/>
        </w:rPr>
        <w:footnoteReference w:id="178"/>
      </w:r>
      <w:r w:rsidR="00252398">
        <w:t xml:space="preserve"> Tímto došlo ke zlepšení postavení zůstavitele, kdy jeho vůle již nebyla natolik omezena</w:t>
      </w:r>
      <w:r w:rsidR="00387E62">
        <w:t xml:space="preserve"> širším okruhem nepominutelných </w:t>
      </w:r>
      <w:r w:rsidR="00E776E8">
        <w:t>dědiců.</w:t>
      </w:r>
    </w:p>
    <w:p w:rsidR="00B12396" w:rsidRDefault="00387E62" w:rsidP="0098318D">
      <w:pPr>
        <w:spacing w:line="360" w:lineRule="auto"/>
        <w:contextualSpacing/>
      </w:pPr>
      <w:r>
        <w:tab/>
      </w:r>
      <w:r w:rsidR="00860FBC">
        <w:t xml:space="preserve">Lze se stavět kriticky k </w:t>
      </w:r>
      <w:r w:rsidR="0098318D">
        <w:t>tomu</w:t>
      </w:r>
      <w:r w:rsidR="00860FBC">
        <w:t xml:space="preserve">, že </w:t>
      </w:r>
      <w:r w:rsidR="0098318D">
        <w:t>zákon neřadil mezi nepominutelné dědice taky pozůstalého manž</w:t>
      </w:r>
      <w:r w:rsidR="00A75BE2">
        <w:t>ela. Tento jev se vyskytl již v OZ 50</w:t>
      </w:r>
      <w:r w:rsidR="007B018C">
        <w:t xml:space="preserve">. </w:t>
      </w:r>
      <w:r w:rsidR="0098318D">
        <w:t>Přitom oba zákoníky</w:t>
      </w:r>
      <w:r w:rsidR="00FF4B0B">
        <w:t xml:space="preserve"> vycházel</w:t>
      </w:r>
      <w:r w:rsidR="0098318D">
        <w:t xml:space="preserve">y </w:t>
      </w:r>
      <w:r w:rsidR="00FF4B0B">
        <w:t>ze stejné idey prosazovat rodinu jakožto základní pilíř společnosti. K</w:t>
      </w:r>
      <w:r w:rsidR="00A75BE2">
        <w:t>do jiný by tedy měl mít spolu s</w:t>
      </w:r>
      <w:r w:rsidR="00FF4B0B">
        <w:t xml:space="preserve"> potomky zůstavitele právo na zvýšenou ochranu než manžel. </w:t>
      </w:r>
      <w:r w:rsidR="006D2204">
        <w:t>Tomu dle zákona svědčila ochrana opět pouze dle rodinného práva</w:t>
      </w:r>
      <w:r w:rsidR="007B018C">
        <w:t xml:space="preserve"> v rámci </w:t>
      </w:r>
      <w:r w:rsidR="00E71287">
        <w:t>institutu bezpodílového spoluvlastni</w:t>
      </w:r>
      <w:r w:rsidR="007B018C">
        <w:t>ctví manželů, později přejmenovaného na podílové spoluvlastnictví manželů. V případě smrti měl druhý manžel právo pouze na vypořádací podíl ze společného majetku.</w:t>
      </w:r>
      <w:r w:rsidR="007B018C">
        <w:rPr>
          <w:rStyle w:val="Znakapoznpodarou"/>
        </w:rPr>
        <w:footnoteReference w:id="179"/>
      </w:r>
    </w:p>
    <w:p w:rsidR="007B018C" w:rsidRPr="00323E09" w:rsidRDefault="00E776E8" w:rsidP="00CE3B93">
      <w:pPr>
        <w:spacing w:line="360" w:lineRule="auto"/>
        <w:contextualSpacing/>
      </w:pPr>
      <w:r>
        <w:tab/>
        <w:t>Občanský zákoník ve svém původním znění dále nepočítal s</w:t>
      </w:r>
      <w:r w:rsidR="00CE3B93">
        <w:t xml:space="preserve">e </w:t>
      </w:r>
      <w:r>
        <w:t xml:space="preserve">zavedeným institutem vydědění. </w:t>
      </w:r>
      <w:r w:rsidR="00CE3B93">
        <w:t>Dle dobové literatury měl pro společnost větší význam fakt, že se zůstavitelův</w:t>
      </w:r>
      <w:r w:rsidR="000D0D61">
        <w:t xml:space="preserve"> </w:t>
      </w:r>
      <w:r w:rsidR="00CE3B93">
        <w:lastRenderedPageBreak/>
        <w:t>majetek dostal do ruky jeho zák</w:t>
      </w:r>
      <w:r w:rsidR="00C45A58">
        <w:t>onným dědicům a nedošlo k rozvrá</w:t>
      </w:r>
      <w:r w:rsidR="00CE3B93">
        <w:t>cení rodinných vztahů než to, že nebyla zohledněna vůle zůstavitele.</w:t>
      </w:r>
      <w:r w:rsidR="000F30CB">
        <w:t xml:space="preserve"> Při zákonné absenci vydědění tedy nemohl zůstavitel své nepominutelné dědice žádným způsobem obejít.</w:t>
      </w:r>
      <w:r w:rsidR="00CE3B93">
        <w:rPr>
          <w:rStyle w:val="Znakapoznpodarou"/>
        </w:rPr>
        <w:footnoteReference w:id="180"/>
      </w:r>
      <w:r w:rsidR="00C86306">
        <w:t xml:space="preserve"> Vydědění bylo vráceno do občanského zákoníku až novelou z roku 1982. </w:t>
      </w:r>
      <w:r w:rsidR="000F30CB">
        <w:t>Dle</w:t>
      </w:r>
      <w:r w:rsidR="00C86306">
        <w:t xml:space="preserve"> § 469a OZ 64</w:t>
      </w:r>
      <w:r w:rsidR="000F30CB">
        <w:t xml:space="preserve"> mohl zůstavitel vydědit své potomky v případě, kdy „</w:t>
      </w:r>
      <w:r w:rsidR="000F30CB">
        <w:rPr>
          <w:i/>
        </w:rPr>
        <w:t xml:space="preserve">v rozporu </w:t>
      </w:r>
      <w:r w:rsidR="000F30CB" w:rsidRPr="000F30CB">
        <w:rPr>
          <w:i/>
        </w:rPr>
        <w:t>s pravidly socialistického soužití neposkytl zůstavitelovi potřebnou pomoc v nemoci, ve stáří nebo v jiných závažných případech</w:t>
      </w:r>
      <w:r w:rsidR="000F30CB">
        <w:rPr>
          <w:i/>
        </w:rPr>
        <w:t>“.</w:t>
      </w:r>
      <w:r w:rsidR="000F30CB">
        <w:rPr>
          <w:rStyle w:val="Znakapoznpodarou"/>
          <w:i/>
        </w:rPr>
        <w:footnoteReference w:id="181"/>
      </w:r>
      <w:r w:rsidR="00323E09">
        <w:t xml:space="preserve"> Jednalo se tedy o obvyklý důvod</w:t>
      </w:r>
      <w:r w:rsidR="00A75BE2">
        <w:t xml:space="preserve"> vydědění</w:t>
      </w:r>
      <w:r w:rsidR="00323E09">
        <w:t xml:space="preserve">, který </w:t>
      </w:r>
      <w:r w:rsidR="00A75BE2">
        <w:t>byl</w:t>
      </w:r>
      <w:r w:rsidR="00323E09">
        <w:t xml:space="preserve"> znám</w:t>
      </w:r>
      <w:r w:rsidR="00A75BE2">
        <w:t>ý</w:t>
      </w:r>
      <w:r w:rsidR="00323E09">
        <w:t xml:space="preserve"> z předchozích právních úprav. </w:t>
      </w:r>
    </w:p>
    <w:p w:rsidR="00A85841" w:rsidRDefault="004B3CBD" w:rsidP="002B09E7">
      <w:pPr>
        <w:spacing w:line="360" w:lineRule="auto"/>
        <w:contextualSpacing/>
      </w:pPr>
      <w:r>
        <w:tab/>
        <w:t>Změna politické situace po roce 1989, která nahradila tolik prosazované socialistické zásady, s sebou přinesla jednu z mnoha novel občanského zákoníku.</w:t>
      </w:r>
      <w:r w:rsidR="00323E09">
        <w:t xml:space="preserve"> Ta navrátila do dikce zákona další důvody pro vydědění, stejné jako byly známy před jeho vyloučením ze zákona. Zůstavitel mohl dle § 469a  OZ 64 vydědit nepominutelné potomky v případě, kdy mu za jeho života neposkytl</w:t>
      </w:r>
      <w:r w:rsidR="005976F6">
        <w:t>i</w:t>
      </w:r>
      <w:r w:rsidR="00323E09">
        <w:t xml:space="preserve"> pomoc,</w:t>
      </w:r>
      <w:r w:rsidR="005976F6">
        <w:t xml:space="preserve"> neprojevovali o něj zájem, byli</w:t>
      </w:r>
      <w:r w:rsidR="00323E09">
        <w:t xml:space="preserve"> odsouzeni pro úmyslný trestný čin k trestu odnětí svobody na dobu jednoho roku n</w:t>
      </w:r>
      <w:r w:rsidR="005976F6">
        <w:t>ebo vedli</w:t>
      </w:r>
      <w:r w:rsidR="00323E09">
        <w:t xml:space="preserve"> nezřízený život.</w:t>
      </w:r>
      <w:r w:rsidR="008C06E3">
        <w:rPr>
          <w:rStyle w:val="Znakapoznpodarou"/>
        </w:rPr>
        <w:footnoteReference w:id="182"/>
      </w:r>
    </w:p>
    <w:p w:rsidR="00FE0D53" w:rsidRDefault="00FE0D53" w:rsidP="002B09E7">
      <w:pPr>
        <w:spacing w:line="360" w:lineRule="auto"/>
        <w:contextualSpacing/>
      </w:pPr>
      <w:r>
        <w:tab/>
      </w:r>
      <w:r w:rsidR="00E65782">
        <w:t>Pro vydědění byly stanoveny stejné náležitosti jako pro sepsání závěti. Zůstavitel musel uvést jeden z důvodu vydědění nabízených zákonem, přičemž bylo stanoveno, že tento výčet je taxativní a</w:t>
      </w:r>
      <w:r w:rsidR="001960DE">
        <w:t xml:space="preserve"> nelze ho extenzivně rozšiřovat. Pokud by zůstavitel uvedl jiný důvod, sankcí by byla neplanost takové listiny.</w:t>
      </w:r>
      <w:r w:rsidR="001960DE">
        <w:rPr>
          <w:rStyle w:val="Znakapoznpodarou"/>
        </w:rPr>
        <w:footnoteReference w:id="183"/>
      </w:r>
      <w:r w:rsidR="00E65782">
        <w:t xml:space="preserve"> Dále zákon</w:t>
      </w:r>
      <w:r w:rsidR="00A75BE2">
        <w:t xml:space="preserve"> zůstaviteli</w:t>
      </w:r>
      <w:r w:rsidR="00E65782">
        <w:t xml:space="preserve"> nově umožňoval, aby vydědění výslovně vztáhl i na potomky vyděděného. Ti však obsah důvodu</w:t>
      </w:r>
      <w:r w:rsidR="00E076E2">
        <w:t xml:space="preserve"> vydědění</w:t>
      </w:r>
      <w:r w:rsidR="00E65782">
        <w:t xml:space="preserve"> naplňovat nemuseli. Postačilo, když byl naplněn u přímého potomka.</w:t>
      </w:r>
      <w:r w:rsidR="00E65782">
        <w:rPr>
          <w:rStyle w:val="Znakapoznpodarou"/>
        </w:rPr>
        <w:footnoteReference w:id="184"/>
      </w:r>
      <w:r w:rsidR="00914827">
        <w:t xml:space="preserve"> </w:t>
      </w:r>
    </w:p>
    <w:p w:rsidR="00B36CF7" w:rsidRPr="00E076E2" w:rsidRDefault="00B36CF7" w:rsidP="002B09E7">
      <w:pPr>
        <w:spacing w:line="360" w:lineRule="auto"/>
        <w:contextualSpacing/>
      </w:pPr>
      <w:r>
        <w:tab/>
        <w:t xml:space="preserve">Důsledkem platného vydědění potomka bylo, že se </w:t>
      </w:r>
      <w:r w:rsidRPr="00E076E2">
        <w:t>na něj hledělo, jako by se nedožil smrti zůstavitele.</w:t>
      </w:r>
      <w:r w:rsidR="005B4CE8" w:rsidRPr="00E076E2">
        <w:rPr>
          <w:rStyle w:val="Znakapoznpodarou"/>
        </w:rPr>
        <w:footnoteReference w:id="185"/>
      </w:r>
      <w:r w:rsidRPr="00E076E2">
        <w:t xml:space="preserve"> Nepočítalo se s ním tedy při výpočtu povinného díl</w:t>
      </w:r>
      <w:r w:rsidR="005B4CE8" w:rsidRPr="00E076E2">
        <w:t xml:space="preserve">u. Došlo zde k návratu úpravy zavedené rakouským ABGB, která spočívala v tom, že vyděděním se zvětšovaly podíly ostatních nepominutelných dědiců. </w:t>
      </w:r>
    </w:p>
    <w:p w:rsidR="0040625E" w:rsidRDefault="000A08A2" w:rsidP="002B09E7">
      <w:pPr>
        <w:spacing w:line="360" w:lineRule="auto"/>
        <w:contextualSpacing/>
      </w:pPr>
      <w:r w:rsidRPr="00E076E2">
        <w:tab/>
        <w:t>Jak můžeme vypozorovat z ustálené praxe soudů, tak nejen, že byla oproti předchozí úpravě zůstavitelova vůle liberalizována ohledně možnosti vydědit</w:t>
      </w:r>
      <w:r>
        <w:t xml:space="preserve"> potomka, ale nově mohl zůstavitel rozhodnout i o rozsahu vydědění. Zůstavitel mohl nepominutelného dědic</w:t>
      </w:r>
      <w:r w:rsidR="00E076E2">
        <w:t>e</w:t>
      </w:r>
      <w:r>
        <w:t xml:space="preserve"> připravit o celý jeho povinný díl nebo jen o jeho část.</w:t>
      </w:r>
      <w:r>
        <w:rPr>
          <w:rStyle w:val="Znakapoznpodarou"/>
        </w:rPr>
        <w:footnoteReference w:id="186"/>
      </w:r>
    </w:p>
    <w:p w:rsidR="0040625E" w:rsidRDefault="0040625E" w:rsidP="0040625E">
      <w:pPr>
        <w:pStyle w:val="Nadpis3"/>
      </w:pPr>
      <w:bookmarkStart w:id="29" w:name="_Toc449513917"/>
      <w:r>
        <w:lastRenderedPageBreak/>
        <w:t xml:space="preserve">3. 3. 2 </w:t>
      </w:r>
      <w:r w:rsidRPr="0040625E">
        <w:t>Povinný díl a jeho výše, právo na povinný díl</w:t>
      </w:r>
      <w:bookmarkEnd w:id="29"/>
    </w:p>
    <w:p w:rsidR="0098318D" w:rsidRDefault="0098318D" w:rsidP="0098318D">
      <w:pPr>
        <w:spacing w:line="360" w:lineRule="auto"/>
        <w:contextualSpacing/>
      </w:pPr>
      <w:r>
        <w:tab/>
      </w:r>
      <w:r w:rsidR="00666C0D">
        <w:t xml:space="preserve">Na první pohled je zřejmá podoba </w:t>
      </w:r>
      <w:r w:rsidR="006D1F4F">
        <w:t xml:space="preserve">úpravy </w:t>
      </w:r>
      <w:r w:rsidR="00666C0D">
        <w:t xml:space="preserve">povinného dílu </w:t>
      </w:r>
      <w:r w:rsidR="00E076E2">
        <w:t>OZ 50</w:t>
      </w:r>
      <w:r w:rsidR="006D1F4F">
        <w:t xml:space="preserve"> a jeho nástupce.</w:t>
      </w:r>
      <w:r w:rsidR="00666C0D">
        <w:t xml:space="preserve"> </w:t>
      </w:r>
      <w:r w:rsidR="00E076E2">
        <w:t>OZ 64</w:t>
      </w:r>
      <w:r w:rsidR="006D1F4F">
        <w:t xml:space="preserve"> rozlišova</w:t>
      </w:r>
      <w:r w:rsidR="00666C0D">
        <w:t xml:space="preserve">l </w:t>
      </w:r>
      <w:r w:rsidR="006D1F4F">
        <w:t xml:space="preserve">stejně </w:t>
      </w:r>
      <w:r w:rsidR="00666C0D">
        <w:t>mezi</w:t>
      </w:r>
      <w:r w:rsidRPr="0098318D">
        <w:t xml:space="preserve"> úpravou </w:t>
      </w:r>
      <w:r w:rsidR="00666C0D">
        <w:t>nezletilých a zletilých potomků</w:t>
      </w:r>
      <w:r w:rsidRPr="0098318D">
        <w:t>. Původní úprava OZ 64 přiznávala nezletilým potomkům právo na jejich celý dědický podíl ze zákona, zletilí potomci měli právo na menší podíl, a to na 3/4 dědického podílu.</w:t>
      </w:r>
      <w:r w:rsidRPr="0098318D">
        <w:rPr>
          <w:vertAlign w:val="superscript"/>
        </w:rPr>
        <w:footnoteReference w:id="187"/>
      </w:r>
      <w:r w:rsidRPr="0098318D">
        <w:t xml:space="preserve"> Novela občanského zákoníku z roku 1991 však </w:t>
      </w:r>
      <w:r>
        <w:t>zmenšila</w:t>
      </w:r>
      <w:r w:rsidRPr="0098318D">
        <w:t xml:space="preserve"> </w:t>
      </w:r>
      <w:r>
        <w:t>povinný</w:t>
      </w:r>
      <w:r w:rsidRPr="0098318D">
        <w:t xml:space="preserve"> díl</w:t>
      </w:r>
      <w:r w:rsidR="00666C0D">
        <w:t xml:space="preserve"> </w:t>
      </w:r>
      <w:r w:rsidRPr="0098318D">
        <w:t>u zletilých potomků na polovinu jejich dědického podílu.</w:t>
      </w:r>
      <w:r w:rsidRPr="0098318D">
        <w:rPr>
          <w:vertAlign w:val="superscript"/>
        </w:rPr>
        <w:footnoteReference w:id="188"/>
      </w:r>
      <w:r>
        <w:t xml:space="preserve"> </w:t>
      </w:r>
      <w:r w:rsidR="006D1F4F">
        <w:t xml:space="preserve">Záměrem zákonodárce zde možná bylo poskytnutí ještě </w:t>
      </w:r>
      <w:r w:rsidR="00E076E2">
        <w:t>větší míry volnosti zůstaviteli</w:t>
      </w:r>
      <w:r w:rsidR="006D1F4F">
        <w:t xml:space="preserve"> při nakládání se svým majetkem. To bylo podníceno i změnou politické situace v zemi, která </w:t>
      </w:r>
      <w:r w:rsidR="001E4C7A">
        <w:t>ovlivnila změny v celé</w:t>
      </w:r>
      <w:r w:rsidR="006D1F4F">
        <w:t xml:space="preserve"> právní sféře.</w:t>
      </w:r>
    </w:p>
    <w:p w:rsidR="00D921D0" w:rsidRDefault="00D921D0" w:rsidP="0098318D">
      <w:pPr>
        <w:spacing w:line="360" w:lineRule="auto"/>
        <w:contextualSpacing/>
      </w:pPr>
      <w:r>
        <w:tab/>
      </w:r>
      <w:r w:rsidR="00B74272">
        <w:t xml:space="preserve">Výše povinného dílu se odvíjela </w:t>
      </w:r>
      <w:r w:rsidR="00DC1A00">
        <w:t>nejdříve</w:t>
      </w:r>
      <w:r w:rsidR="00B74272">
        <w:t xml:space="preserve"> od velikosti zákonného dědického podílu, který připad</w:t>
      </w:r>
      <w:r w:rsidR="008C1C51">
        <w:t>al</w:t>
      </w:r>
      <w:r w:rsidR="00B74272">
        <w:t xml:space="preserve"> na jednotlivé dědice</w:t>
      </w:r>
      <w:r w:rsidR="006B0270">
        <w:t>. Z toho</w:t>
      </w:r>
      <w:r w:rsidR="008C1C51">
        <w:t xml:space="preserve"> se </w:t>
      </w:r>
      <w:r w:rsidR="009862E7">
        <w:t xml:space="preserve">dále </w:t>
      </w:r>
      <w:r w:rsidR="008C1C51">
        <w:t xml:space="preserve">vypočítávaly </w:t>
      </w:r>
      <w:r w:rsidR="009862E7">
        <w:t>konkrétní velikosti zákonného podílu. Při výpočtu se musely zohledňovat osoby</w:t>
      </w:r>
      <w:r w:rsidR="00C3054D">
        <w:t>, které by měly dědit dle zákonné posl</w:t>
      </w:r>
      <w:r w:rsidR="006B0270">
        <w:t>oupnosti, od</w:t>
      </w:r>
      <w:r w:rsidR="002B2B34">
        <w:t>mítly dědictví, byly vyděděné</w:t>
      </w:r>
      <w:r w:rsidR="000A2A13">
        <w:t>, a</w:t>
      </w:r>
      <w:r w:rsidR="006B0270">
        <w:t>nebo byly</w:t>
      </w:r>
      <w:r w:rsidR="002B2B34">
        <w:t xml:space="preserve"> nezpůsobilé k dědění</w:t>
      </w:r>
      <w:r w:rsidR="00C3054D">
        <w:t>.</w:t>
      </w:r>
      <w:r w:rsidR="00C3054D">
        <w:rPr>
          <w:rStyle w:val="Znakapoznpodarou"/>
        </w:rPr>
        <w:footnoteReference w:id="189"/>
      </w:r>
      <w:r w:rsidR="00666E08">
        <w:t xml:space="preserve"> Pro určení dědického podílu jako takového byl rozhodující stav v době zůstavitelovy smrti, a nikoli doba sepsání testamentu.</w:t>
      </w:r>
      <w:r w:rsidR="00666E08">
        <w:rPr>
          <w:rStyle w:val="Znakapoznpodarou"/>
        </w:rPr>
        <w:footnoteReference w:id="190"/>
      </w:r>
    </w:p>
    <w:p w:rsidR="00CC1786" w:rsidRPr="002B2B34" w:rsidRDefault="009E5E56" w:rsidP="0098318D">
      <w:pPr>
        <w:spacing w:line="360" w:lineRule="auto"/>
        <w:contextualSpacing/>
      </w:pPr>
      <w:r>
        <w:tab/>
      </w:r>
      <w:r w:rsidR="008D2ABD" w:rsidRPr="002B2B34">
        <w:t>Zůstavitel mohl výši povinného dílu nepominutelných dědiců regulovat i dle této úpravy započtení</w:t>
      </w:r>
      <w:r w:rsidR="00282BD3" w:rsidRPr="002B2B34">
        <w:t>m</w:t>
      </w:r>
      <w:r w:rsidR="008D2ABD" w:rsidRPr="002B2B34">
        <w:t>. Ustanovení § 484 OZ 64 stanovilo obligatorní započtení bezplatných darů, které dědic obdržel od zůstavitele</w:t>
      </w:r>
      <w:r w:rsidR="00282BD3" w:rsidRPr="002B2B34">
        <w:t>,</w:t>
      </w:r>
      <w:r w:rsidR="008D2ABD" w:rsidRPr="002B2B34">
        <w:t xml:space="preserve"> a nejednalo se o obvyklé darování. V případě dědění ze závěti mohl dát k započtení zůstavitel příkaz. Smyslem takového příkazu bylo spravedlivě urovnat dědické poměry mezi dědici.</w:t>
      </w:r>
      <w:r w:rsidR="008D2ABD" w:rsidRPr="002B2B34">
        <w:rPr>
          <w:rStyle w:val="Znakapoznpodarou"/>
        </w:rPr>
        <w:footnoteReference w:id="191"/>
      </w:r>
    </w:p>
    <w:p w:rsidR="00CC1786" w:rsidRPr="002B2B34" w:rsidRDefault="00B80A2B" w:rsidP="0098318D">
      <w:pPr>
        <w:spacing w:line="360" w:lineRule="auto"/>
        <w:contextualSpacing/>
      </w:pPr>
      <w:r w:rsidRPr="002B2B34">
        <w:tab/>
        <w:t xml:space="preserve">Právo na povinný díl si po vzoru </w:t>
      </w:r>
      <w:r w:rsidR="002B2B34">
        <w:t>OZ 50</w:t>
      </w:r>
      <w:r w:rsidRPr="002B2B34">
        <w:t xml:space="preserve"> zachovalo povahu práva, které předurčovalo nepominutelnému dědici nárok na dědění na základě zákonem stanovené výše.</w:t>
      </w:r>
      <w:r w:rsidR="006A70A3" w:rsidRPr="002B2B34">
        <w:t xml:space="preserve"> Dle Fialy se dalo dokonce považovat za součást celkového dědického práva.</w:t>
      </w:r>
      <w:r w:rsidRPr="002B2B34">
        <w:t xml:space="preserve"> </w:t>
      </w:r>
      <w:r w:rsidR="00B844BE" w:rsidRPr="002B2B34">
        <w:t>Důsledkem toho mohl být nepominutelný dědic účastníkem řízení.</w:t>
      </w:r>
      <w:r w:rsidR="006A70A3" w:rsidRPr="002B2B34">
        <w:rPr>
          <w:rStyle w:val="Znakapoznpodarou"/>
        </w:rPr>
        <w:footnoteReference w:id="192"/>
      </w:r>
    </w:p>
    <w:p w:rsidR="009E5E56" w:rsidRPr="002B2B34" w:rsidRDefault="009E5E56" w:rsidP="00981F6E">
      <w:pPr>
        <w:pStyle w:val="Nadpis3"/>
      </w:pPr>
      <w:bookmarkStart w:id="30" w:name="_Toc449513918"/>
      <w:r w:rsidRPr="002B2B34">
        <w:t>3. 3. 3 Ochrana nepominutelného dědice</w:t>
      </w:r>
      <w:bookmarkEnd w:id="30"/>
    </w:p>
    <w:p w:rsidR="00A729E6" w:rsidRDefault="009E5E56" w:rsidP="00FB38E0">
      <w:pPr>
        <w:spacing w:line="360" w:lineRule="auto"/>
        <w:contextualSpacing/>
      </w:pPr>
      <w:r w:rsidRPr="002B2B34">
        <w:tab/>
        <w:t>Zákon v ustanoven</w:t>
      </w:r>
      <w:r w:rsidR="001B6990" w:rsidRPr="002B2B34">
        <w:t>í § 479 OZ 64 stanovil</w:t>
      </w:r>
      <w:r w:rsidRPr="002B2B34">
        <w:t xml:space="preserve"> nejen kdo je nepominutelným dědicem, ale rovněž i důsledek neakceptování zůsta</w:t>
      </w:r>
      <w:r>
        <w:t xml:space="preserve">vitelovy </w:t>
      </w:r>
      <w:r w:rsidR="001B6990">
        <w:t>povinnosti</w:t>
      </w:r>
      <w:r w:rsidR="006B0270">
        <w:t xml:space="preserve"> </w:t>
      </w:r>
      <w:r w:rsidR="006D1F4F">
        <w:t>zan</w:t>
      </w:r>
      <w:r w:rsidR="001B6990">
        <w:t>echat potomkům část majetku, na který mají právo</w:t>
      </w:r>
      <w:r>
        <w:t>.</w:t>
      </w:r>
      <w:r w:rsidR="001B6990">
        <w:t xml:space="preserve"> V případě, kdy tak zůstavitel neučin</w:t>
      </w:r>
      <w:r w:rsidR="00D444A5">
        <w:t>i</w:t>
      </w:r>
      <w:r w:rsidR="001B6990">
        <w:t>l, byla dle zákona uvedená část závěti neplatná.</w:t>
      </w:r>
      <w:r w:rsidR="00FB38E0">
        <w:t xml:space="preserve"> Již krátce po přijetí občanského zákoníku byl přijat Nejvyšším soudem závěr, </w:t>
      </w:r>
      <w:r w:rsidR="00FB38E0">
        <w:lastRenderedPageBreak/>
        <w:t>že se jedná o neplatnost relativní</w:t>
      </w:r>
      <w:r w:rsidR="00B92648">
        <w:t>.</w:t>
      </w:r>
      <w:r w:rsidR="00FB38E0">
        <w:rPr>
          <w:rStyle w:val="Znakapoznpodarou"/>
        </w:rPr>
        <w:footnoteReference w:id="193"/>
      </w:r>
      <w:r w:rsidR="001B6990">
        <w:t xml:space="preserve"> </w:t>
      </w:r>
      <w:r w:rsidR="00966094">
        <w:t>K takovému závěru se poté přik</w:t>
      </w:r>
      <w:r w:rsidR="008738DA">
        <w:t xml:space="preserve">lonili i zákonodárci, kdy roku 1983 včlenili </w:t>
      </w:r>
      <w:r w:rsidR="00182C21">
        <w:t xml:space="preserve">novelou </w:t>
      </w:r>
      <w:r w:rsidR="008738DA">
        <w:t>do občanského zákoníku § 40a OZ 64, který obsahoval taxativní výčet situací stižených relativní neplatností.</w:t>
      </w:r>
      <w:r w:rsidR="00D444A5">
        <w:rPr>
          <w:rStyle w:val="Znakapoznpodarou"/>
        </w:rPr>
        <w:footnoteReference w:id="194"/>
      </w:r>
      <w:r w:rsidR="00D444A5">
        <w:t xml:space="preserve"> </w:t>
      </w:r>
      <w:r w:rsidR="008738DA">
        <w:t>Tímto</w:t>
      </w:r>
      <w:r w:rsidR="00D444A5">
        <w:t xml:space="preserve"> </w:t>
      </w:r>
      <w:r w:rsidR="008738DA">
        <w:t xml:space="preserve">novým </w:t>
      </w:r>
      <w:r w:rsidR="00D444A5">
        <w:t>výčtem</w:t>
      </w:r>
      <w:r w:rsidR="008738DA">
        <w:t xml:space="preserve"> ustanovení </w:t>
      </w:r>
      <w:r w:rsidR="00D444A5">
        <w:t xml:space="preserve">se tak v mnohých případech odstranila nejistota, která </w:t>
      </w:r>
      <w:r w:rsidR="00182C21">
        <w:t>do té doby</w:t>
      </w:r>
      <w:r w:rsidR="00D444A5">
        <w:t xml:space="preserve"> vyvstávala ohledně otázek</w:t>
      </w:r>
      <w:r w:rsidR="008738DA">
        <w:t xml:space="preserve"> spojených s povahou neplatnosti právních úkonů.</w:t>
      </w:r>
    </w:p>
    <w:p w:rsidR="00560938" w:rsidRDefault="00560938" w:rsidP="00FB38E0">
      <w:pPr>
        <w:spacing w:line="360" w:lineRule="auto"/>
        <w:contextualSpacing/>
      </w:pPr>
      <w:r>
        <w:tab/>
      </w:r>
      <w:r w:rsidR="00301DE2">
        <w:t xml:space="preserve">Pokud byl </w:t>
      </w:r>
      <w:r>
        <w:t>nepominutelný dědic opomenut závětí, mohl se zachovat dvěma způsoby. V prvním případě mohl namítnout</w:t>
      </w:r>
      <w:r w:rsidR="00A72EF8">
        <w:t xml:space="preserve"> před notářem</w:t>
      </w:r>
      <w:r>
        <w:t xml:space="preserve"> neplatnost </w:t>
      </w:r>
      <w:r w:rsidR="00966094">
        <w:t>závěti</w:t>
      </w:r>
      <w:r>
        <w:t xml:space="preserve">. Závěť totiž zůstávala až do okamžiku námitky neplatnosti platnou. V případě, kdy vznesl v rámci dědického řízení námitku neplatnosti, vznikl nepominutelnému dědici nárok na povinný díl a mohl být povolán </w:t>
      </w:r>
      <w:r w:rsidR="00966094">
        <w:t xml:space="preserve">jako účastník řízení </w:t>
      </w:r>
      <w:r>
        <w:t>k dědění v rozsahu omezeném svým dílem.</w:t>
      </w:r>
      <w:r w:rsidR="00B92648">
        <w:t xml:space="preserve"> Uznáním jeho žaloby nedocházelo</w:t>
      </w:r>
      <w:r w:rsidR="003A503C">
        <w:t xml:space="preserve"> k celkové neplatnosti závěti, ale pouze k neplatnosti ohle</w:t>
      </w:r>
      <w:r w:rsidR="00B92648">
        <w:t>dně části závěti, která zasahovala</w:t>
      </w:r>
      <w:r w:rsidR="003A503C">
        <w:t xml:space="preserve"> do jeho práva na povinný díl.</w:t>
      </w:r>
      <w:r>
        <w:rPr>
          <w:rStyle w:val="Znakapoznpodarou"/>
        </w:rPr>
        <w:footnoteReference w:id="195"/>
      </w:r>
      <w:r>
        <w:t xml:space="preserve"> </w:t>
      </w:r>
    </w:p>
    <w:p w:rsidR="00B16C1D" w:rsidRDefault="00B16C1D" w:rsidP="00FB38E0">
      <w:pPr>
        <w:spacing w:line="360" w:lineRule="auto"/>
        <w:contextualSpacing/>
      </w:pPr>
      <w:r>
        <w:tab/>
        <w:t>V druhém případě mohl nepominutelný dědic prohlásit v rámci řízení o pozůstalosti, že se nedovolává relativní neplatnosti a uznává závěť za platnou.</w:t>
      </w:r>
      <w:r w:rsidR="00F40CDE">
        <w:t xml:space="preserve"> Důsledkem takového prohlášení bylo, že se s ním dále nepočítalo jako s účastníkem řízení, pokud neměl i přes neplatnost dědit na základě závěti</w:t>
      </w:r>
      <w:r w:rsidR="002B2B34">
        <w:t xml:space="preserve"> nebo zákona</w:t>
      </w:r>
      <w:r w:rsidR="00F40CDE">
        <w:t>.</w:t>
      </w:r>
      <w:r>
        <w:t xml:space="preserve"> Judikatura stanovila, že </w:t>
      </w:r>
      <w:r w:rsidR="00C80C80">
        <w:t xml:space="preserve">uznání takové závěti za </w:t>
      </w:r>
      <w:r w:rsidR="00F40CDE">
        <w:t xml:space="preserve">platnou není neodvolatelným právním úkonem. Nepominutelný dědic mohl vzít své stanovisko zpět do vydání </w:t>
      </w:r>
      <w:r w:rsidR="00EA7253">
        <w:t>pravomocného rozhodnutí o dědictví</w:t>
      </w:r>
      <w:r w:rsidR="00F40CDE">
        <w:t>. Pokud tak učinil, jednalo se s ním znovu jako s účastníkem řízení.</w:t>
      </w:r>
      <w:r w:rsidR="00F40CDE">
        <w:rPr>
          <w:rStyle w:val="Znakapoznpodarou"/>
        </w:rPr>
        <w:footnoteReference w:id="196"/>
      </w:r>
    </w:p>
    <w:p w:rsidR="00182C21" w:rsidRDefault="008738DA" w:rsidP="00666E08">
      <w:pPr>
        <w:spacing w:line="360" w:lineRule="auto"/>
        <w:contextualSpacing/>
      </w:pPr>
      <w:r>
        <w:tab/>
      </w:r>
      <w:r w:rsidR="00182C21">
        <w:t xml:space="preserve">Osobou, která se </w:t>
      </w:r>
      <w:r w:rsidR="009B6A60">
        <w:t>mohla</w:t>
      </w:r>
      <w:r w:rsidR="00182C21">
        <w:t xml:space="preserve"> domáhat neplatnosti závěti</w:t>
      </w:r>
      <w:r w:rsidR="007D6A65">
        <w:t>,</w:t>
      </w:r>
      <w:r w:rsidR="00182C21">
        <w:t xml:space="preserve"> </w:t>
      </w:r>
      <w:r w:rsidR="009B6A60">
        <w:t>byl</w:t>
      </w:r>
      <w:r w:rsidR="00182C21">
        <w:t xml:space="preserve"> samotný nepominutelný dědic. </w:t>
      </w:r>
      <w:r w:rsidR="009B6A60">
        <w:t>Musel</w:t>
      </w:r>
      <w:r w:rsidR="00182C21">
        <w:t xml:space="preserve"> to být ten, koho se daná neplatnost přímo </w:t>
      </w:r>
      <w:r w:rsidR="009B6A60">
        <w:t>dotýkala</w:t>
      </w:r>
      <w:r w:rsidR="00182C21">
        <w:t xml:space="preserve">. </w:t>
      </w:r>
      <w:r w:rsidR="009B6A60">
        <w:t>Nebylo</w:t>
      </w:r>
      <w:r w:rsidR="00182C21">
        <w:t xml:space="preserve"> možné, aby </w:t>
      </w:r>
      <w:r w:rsidR="009B6A60">
        <w:t>se neplatnosti dovolávali</w:t>
      </w:r>
      <w:r w:rsidR="00182C21">
        <w:t xml:space="preserve"> jeho potomci</w:t>
      </w:r>
      <w:r w:rsidR="00560938">
        <w:t>.</w:t>
      </w:r>
      <w:r w:rsidR="00560938">
        <w:rPr>
          <w:rStyle w:val="Znakapoznpodarou"/>
        </w:rPr>
        <w:footnoteReference w:id="197"/>
      </w:r>
      <w:r w:rsidR="00560938">
        <w:t xml:space="preserve"> </w:t>
      </w:r>
    </w:p>
    <w:p w:rsidR="00210D25" w:rsidRDefault="0011663B" w:rsidP="00666E08">
      <w:pPr>
        <w:spacing w:line="360" w:lineRule="auto"/>
        <w:contextualSpacing/>
      </w:pPr>
      <w:r>
        <w:tab/>
        <w:t>Povinný díl, kterého se mohl dožadovat nepomi</w:t>
      </w:r>
      <w:r w:rsidR="00EA7253">
        <w:t>n</w:t>
      </w:r>
      <w:r>
        <w:t xml:space="preserve">utelný dědic, spočíval v hodnotě jeho zákonného podílu na všech věcech spadajících do pozůstalosti. Zákonodárce </w:t>
      </w:r>
      <w:r w:rsidR="008A23AF">
        <w:t xml:space="preserve">zde </w:t>
      </w:r>
      <w:r w:rsidR="00EA7253">
        <w:t>myslel termínem</w:t>
      </w:r>
      <w:r>
        <w:t xml:space="preserve"> „podíl“ ideální podíl</w:t>
      </w:r>
      <w:r>
        <w:rPr>
          <w:rStyle w:val="Znakapoznpodarou"/>
        </w:rPr>
        <w:footnoteReference w:id="198"/>
      </w:r>
      <w:r>
        <w:t xml:space="preserve"> dědice na celém majetku</w:t>
      </w:r>
      <w:r w:rsidR="008A23AF">
        <w:t>, který dříve patřil zůstaviteli</w:t>
      </w:r>
      <w:r>
        <w:t>. Nepominutelný dědic měl tím pádem n</w:t>
      </w:r>
      <w:r w:rsidR="00B01686">
        <w:t xml:space="preserve">árok na každou věc </w:t>
      </w:r>
      <w:r>
        <w:t>včetně finanční</w:t>
      </w:r>
      <w:r w:rsidR="008A23AF">
        <w:t>ho</w:t>
      </w:r>
      <w:r>
        <w:t xml:space="preserve"> obnosu, která po </w:t>
      </w:r>
      <w:r>
        <w:lastRenderedPageBreak/>
        <w:t>zůstaviteli zůstala.</w:t>
      </w:r>
      <w:r w:rsidR="008A23AF">
        <w:rPr>
          <w:rStyle w:val="Znakapoznpodarou"/>
        </w:rPr>
        <w:footnoteReference w:id="199"/>
      </w:r>
      <w:r w:rsidR="00210D25">
        <w:t xml:space="preserve"> </w:t>
      </w:r>
      <w:r w:rsidR="00875640">
        <w:t>Proto nebylo vždy možné,</w:t>
      </w:r>
      <w:r w:rsidR="00210D25">
        <w:t xml:space="preserve"> aby byla dědici vyplacena hodnota jeho povinného dílu. </w:t>
      </w:r>
      <w:r w:rsidR="00EA7253">
        <w:t>Často</w:t>
      </w:r>
      <w:r w:rsidR="00875640">
        <w:t xml:space="preserve"> tak</w:t>
      </w:r>
      <w:r w:rsidR="00210D25">
        <w:t xml:space="preserve"> docházelo ke vzniku spoluvlastnic</w:t>
      </w:r>
      <w:r w:rsidR="00875640">
        <w:t>kého práva k</w:t>
      </w:r>
      <w:r w:rsidR="00210D25">
        <w:t xml:space="preserve"> movitým </w:t>
      </w:r>
      <w:r w:rsidR="00875640">
        <w:t>a</w:t>
      </w:r>
      <w:r w:rsidR="00210D25">
        <w:t xml:space="preserve"> nemovitým věcem, což se dělo už za účinnosti předchozího zákoníku.</w:t>
      </w:r>
      <w:r w:rsidR="00A06D11">
        <w:t xml:space="preserve"> </w:t>
      </w:r>
      <w:r w:rsidR="007D6A65">
        <w:t>To mohlo vést často k znehodnocování</w:t>
      </w:r>
      <w:r w:rsidR="00A06D11">
        <w:t xml:space="preserve"> samotného majetku, kdy</w:t>
      </w:r>
      <w:r w:rsidR="00875640">
        <w:t xml:space="preserve"> se </w:t>
      </w:r>
      <w:r w:rsidR="00A06D11">
        <w:t>dědici nemohli domluvit na uspořádání svých práv a snažili se vyřeši</w:t>
      </w:r>
      <w:r w:rsidR="00EA7253">
        <w:t>t problém rychlým prodejem věcí</w:t>
      </w:r>
      <w:r w:rsidR="00875640">
        <w:t xml:space="preserve"> s</w:t>
      </w:r>
      <w:r w:rsidR="00DC1A00">
        <w:t xml:space="preserve"> </w:t>
      </w:r>
      <w:r w:rsidR="00A06D11">
        <w:t>následným rozdělením peněz z prodeje.</w:t>
      </w:r>
      <w:r w:rsidR="00875640">
        <w:rPr>
          <w:rStyle w:val="Znakapoznpodarou"/>
        </w:rPr>
        <w:footnoteReference w:id="200"/>
      </w:r>
    </w:p>
    <w:p w:rsidR="009E5E56" w:rsidRDefault="00301DE2" w:rsidP="0098318D">
      <w:pPr>
        <w:spacing w:line="360" w:lineRule="auto"/>
        <w:contextualSpacing/>
      </w:pPr>
      <w:r>
        <w:tab/>
      </w:r>
    </w:p>
    <w:p w:rsidR="009E5E56" w:rsidRDefault="00A07413" w:rsidP="00A07413">
      <w:pPr>
        <w:pStyle w:val="Nadpis3"/>
      </w:pPr>
      <w:bookmarkStart w:id="31" w:name="_Toc449513919"/>
      <w:r>
        <w:t>3. 3. 4 Shrnutí právní úpravy</w:t>
      </w:r>
      <w:bookmarkEnd w:id="31"/>
    </w:p>
    <w:p w:rsidR="00A07413" w:rsidRDefault="00F11917" w:rsidP="00B9539F">
      <w:pPr>
        <w:spacing w:line="360" w:lineRule="auto"/>
        <w:contextualSpacing/>
      </w:pPr>
      <w:r>
        <w:tab/>
        <w:t xml:space="preserve">Jak již bylo výše řečeno, </w:t>
      </w:r>
      <w:r w:rsidR="007D6A65">
        <w:t>OZ 64</w:t>
      </w:r>
      <w:r>
        <w:t xml:space="preserve"> pokračoval v podobných </w:t>
      </w:r>
      <w:r w:rsidR="006B493B">
        <w:t>rysech</w:t>
      </w:r>
      <w:r>
        <w:t xml:space="preserve"> jako jeho předchůdce. Snahu o maximální zjednodušení práva pocítila také část sedmá OZ 64, kde bylo obsaženo dědické právo. </w:t>
      </w:r>
      <w:r w:rsidR="00006E86">
        <w:t>Z</w:t>
      </w:r>
      <w:r w:rsidR="00B9539F">
        <w:t>jednodušen</w:t>
      </w:r>
      <w:r w:rsidR="00006E86">
        <w:t>ý</w:t>
      </w:r>
      <w:r w:rsidR="00B9539F">
        <w:t xml:space="preserve"> text zákona</w:t>
      </w:r>
      <w:r w:rsidR="00DC1A00">
        <w:t xml:space="preserve"> sice</w:t>
      </w:r>
      <w:r w:rsidR="00006E86">
        <w:t xml:space="preserve"> dával větší pros</w:t>
      </w:r>
      <w:r w:rsidR="00DC1A00">
        <w:t>tor pro výklad práva judikatuře, ale nebylo toho využito vždy moudře.</w:t>
      </w:r>
    </w:p>
    <w:p w:rsidR="002B3BC1" w:rsidRDefault="00B9539F" w:rsidP="00B9539F">
      <w:pPr>
        <w:spacing w:line="360" w:lineRule="auto"/>
        <w:contextualSpacing/>
      </w:pPr>
      <w:r>
        <w:tab/>
      </w:r>
      <w:r w:rsidR="00D47C0E">
        <w:t>V rámci formálních práv došlo ke zúžení rozsahu nepominutelných dědiců na úkor ascendentů zůstavitele. Můžeme si zde klást otázku, jakým způsobem se snažil zákonodárce vynahradit rodičům zůstavitele zmenšení jejich ochrany</w:t>
      </w:r>
      <w:r w:rsidR="002B3BC1">
        <w:t xml:space="preserve"> a zda případné dědění na základě druhé dědické třídy </w:t>
      </w:r>
      <w:r w:rsidR="001236DF">
        <w:t>bylo</w:t>
      </w:r>
      <w:r w:rsidR="002B3BC1">
        <w:t xml:space="preserve"> postačující. </w:t>
      </w:r>
      <w:r w:rsidR="00D47C0E">
        <w:t xml:space="preserve">V textu zákona </w:t>
      </w:r>
      <w:r w:rsidR="002B3BC1">
        <w:t>chyběla</w:t>
      </w:r>
      <w:r w:rsidR="00D47C0E">
        <w:t xml:space="preserve"> zmínka o práv</w:t>
      </w:r>
      <w:r w:rsidR="002B3BC1">
        <w:t>u</w:t>
      </w:r>
      <w:r w:rsidR="00D47C0E">
        <w:t xml:space="preserve"> na zaopatření některých osob, kterým by se dalo posílit posta</w:t>
      </w:r>
      <w:r w:rsidR="007D6A65">
        <w:t>vení takto blízkých osob zůstavi</w:t>
      </w:r>
      <w:r w:rsidR="00D47C0E">
        <w:t>tele.</w:t>
      </w:r>
      <w:r w:rsidR="002B3BC1">
        <w:tab/>
      </w:r>
    </w:p>
    <w:p w:rsidR="001236DF" w:rsidRDefault="001236DF" w:rsidP="00210D25">
      <w:pPr>
        <w:spacing w:line="360" w:lineRule="auto"/>
        <w:contextualSpacing/>
      </w:pPr>
      <w:r>
        <w:tab/>
        <w:t>V případě materiálních práv nedošlo rovněž k revolučním změnám. Občanský zákoník převzal terminologii z předešlé právní úpravy, pov</w:t>
      </w:r>
      <w:r w:rsidR="007D6A65">
        <w:t>inný díl mohl spočívat v plnění</w:t>
      </w:r>
      <w:r>
        <w:t xml:space="preserve"> naturálním i peněžitém, a povaha práva na povinný díl</w:t>
      </w:r>
      <w:r w:rsidR="007D6A65">
        <w:t xml:space="preserve"> zůstala rovněž stejná. Obranou</w:t>
      </w:r>
      <w:r>
        <w:t xml:space="preserve"> proti zásahu do práva na povinný díl bylo namítnutí neplatnosti závěti, což mělo vliv na účastenství dědice v dědickém řízení. </w:t>
      </w:r>
      <w:r w:rsidR="003A503C" w:rsidRPr="003A503C">
        <w:t>V případě, kdy dědic namítl neplatnost závěti</w:t>
      </w:r>
      <w:r w:rsidR="003A503C">
        <w:t xml:space="preserve"> a měl úspěch, tak byla zneplatněna ta část závěti, která zkracovala jeho povinný díl.</w:t>
      </w:r>
      <w:r w:rsidR="003A503C" w:rsidRPr="003A503C">
        <w:t xml:space="preserve"> </w:t>
      </w:r>
      <w:r>
        <w:t xml:space="preserve">Odlišností </w:t>
      </w:r>
      <w:r w:rsidR="003A503C">
        <w:t>oproti předchozí úpravě</w:t>
      </w:r>
      <w:r w:rsidR="00927C7F">
        <w:t xml:space="preserve"> bylo</w:t>
      </w:r>
      <w:r w:rsidR="003A503C">
        <w:t xml:space="preserve"> opr</w:t>
      </w:r>
      <w:r>
        <w:t>á</w:t>
      </w:r>
      <w:r w:rsidR="003A503C">
        <w:t>v</w:t>
      </w:r>
      <w:r w:rsidR="00927C7F">
        <w:t>nění dědice</w:t>
      </w:r>
      <w:r>
        <w:t xml:space="preserve"> vzít zpět prohlášení o uznání platnosti. </w:t>
      </w:r>
    </w:p>
    <w:p w:rsidR="00DC1A00" w:rsidRDefault="00DC1A00" w:rsidP="00210D25">
      <w:pPr>
        <w:spacing w:line="360" w:lineRule="auto"/>
        <w:contextualSpacing/>
      </w:pPr>
      <w:r>
        <w:tab/>
      </w:r>
    </w:p>
    <w:p w:rsidR="00A06D11" w:rsidRDefault="00A06D11">
      <w:pPr>
        <w:jc w:val="left"/>
        <w:rPr>
          <w:rFonts w:eastAsiaTheme="majorEastAsia" w:cstheme="majorBidi"/>
          <w:b/>
          <w:bCs/>
          <w:sz w:val="32"/>
          <w:szCs w:val="28"/>
        </w:rPr>
      </w:pPr>
      <w:r>
        <w:br w:type="page"/>
      </w:r>
    </w:p>
    <w:p w:rsidR="00AB5A93" w:rsidRDefault="00AB5A93" w:rsidP="00AB5A93">
      <w:pPr>
        <w:pStyle w:val="Nadpis1"/>
      </w:pPr>
      <w:bookmarkStart w:id="32" w:name="_Toc449513920"/>
      <w:r>
        <w:lastRenderedPageBreak/>
        <w:t>4. Posloupnost proti testamentu podle občanského zákoníku z roku 2012</w:t>
      </w:r>
      <w:bookmarkEnd w:id="32"/>
    </w:p>
    <w:p w:rsidR="00AB5A93" w:rsidRDefault="00547753" w:rsidP="002A1E6B">
      <w:pPr>
        <w:spacing w:line="360" w:lineRule="auto"/>
        <w:contextualSpacing/>
      </w:pPr>
      <w:r>
        <w:tab/>
      </w:r>
      <w:r w:rsidR="00B234E9">
        <w:t xml:space="preserve">Občanský zákoník z roku 1964 prošel v době své účinnosti celou řadou novel. </w:t>
      </w:r>
      <w:r w:rsidR="002A1E6B">
        <w:t>Zejména t</w:t>
      </w:r>
      <w:r w:rsidR="00B234E9">
        <w:t>y</w:t>
      </w:r>
      <w:r w:rsidR="002A1E6B">
        <w:t>, které byly přijaty po roce 1989, měly za úkol zbavit zákoník ustanovení</w:t>
      </w:r>
      <w:r w:rsidR="004D7683">
        <w:t xml:space="preserve"> odporujících novým hodnotám společnosti</w:t>
      </w:r>
      <w:r w:rsidR="00D9271F">
        <w:t xml:space="preserve">. </w:t>
      </w:r>
      <w:r w:rsidR="007F7E8D">
        <w:t xml:space="preserve">I přesto, že byl zákon několikrát novelizován, nepodařilo se opravit a odstranit veškeré nedostatky předchozí úpravy. </w:t>
      </w:r>
      <w:r w:rsidR="00D9271F">
        <w:t>Byl</w:t>
      </w:r>
      <w:r w:rsidR="006F24C1">
        <w:t>o</w:t>
      </w:r>
      <w:r w:rsidR="00D9271F">
        <w:t xml:space="preserve"> krit</w:t>
      </w:r>
      <w:r w:rsidR="00B42025">
        <w:t>i</w:t>
      </w:r>
      <w:r w:rsidR="004D7683">
        <w:t>zováno podřizování zájmu</w:t>
      </w:r>
      <w:r w:rsidR="00D9271F">
        <w:t xml:space="preserve"> jednotlivce </w:t>
      </w:r>
      <w:r w:rsidR="004D7683">
        <w:t xml:space="preserve">zájmu </w:t>
      </w:r>
      <w:r w:rsidR="00D9271F">
        <w:t>společnost</w:t>
      </w:r>
      <w:r w:rsidR="004D7683">
        <w:t>i</w:t>
      </w:r>
      <w:r w:rsidR="00E924DF">
        <w:t>,</w:t>
      </w:r>
      <w:r w:rsidR="00D9271F">
        <w:t xml:space="preserve"> přednostní </w:t>
      </w:r>
      <w:r w:rsidR="00B42025">
        <w:t>úprava věcí a majetku před osobami</w:t>
      </w:r>
      <w:r w:rsidR="00E924DF">
        <w:t>, a zbytečné zjednodušování právní úpravy</w:t>
      </w:r>
      <w:r w:rsidR="007F7E8D">
        <w:t xml:space="preserve"> tam, kde by se hodila úprava rozsáhlejší</w:t>
      </w:r>
      <w:r w:rsidR="00E924DF">
        <w:t>.</w:t>
      </w:r>
      <w:r w:rsidR="00B42025">
        <w:t xml:space="preserve"> V neposlední řadě byl</w:t>
      </w:r>
      <w:r w:rsidR="00FE409E">
        <w:t>a</w:t>
      </w:r>
      <w:r w:rsidR="00B42025">
        <w:t xml:space="preserve"> předmětem kritiky i rozdrobenost právní úpravy jednotlivých odvětví </w:t>
      </w:r>
      <w:r w:rsidR="00E924DF">
        <w:t>do</w:t>
      </w:r>
      <w:r w:rsidR="00B42025">
        <w:t xml:space="preserve"> více záko</w:t>
      </w:r>
      <w:r w:rsidR="00E924DF">
        <w:t>nů</w:t>
      </w:r>
      <w:r w:rsidR="00B42025">
        <w:t>.</w:t>
      </w:r>
      <w:r w:rsidR="00FE409E">
        <w:t xml:space="preserve"> Kvůli těmto a dalším nedostatkům právní úpravy se přikročilo k rekodifikac</w:t>
      </w:r>
      <w:r w:rsidR="007F7E8D">
        <w:t>i</w:t>
      </w:r>
      <w:r w:rsidR="00FE409E">
        <w:t xml:space="preserve"> soukromého práva, která započala na zač</w:t>
      </w:r>
      <w:r w:rsidR="00E924DF">
        <w:t>á</w:t>
      </w:r>
      <w:r w:rsidR="00FE409E">
        <w:t>tk</w:t>
      </w:r>
      <w:r w:rsidR="00E924DF">
        <w:t>u</w:t>
      </w:r>
      <w:r w:rsidR="00FE409E">
        <w:t xml:space="preserve"> roku 2000.</w:t>
      </w:r>
      <w:r w:rsidR="007F7E8D">
        <w:t xml:space="preserve"> Ve finální podobě </w:t>
      </w:r>
      <w:r w:rsidR="004D7683">
        <w:t>nabyl</w:t>
      </w:r>
      <w:r w:rsidR="007F7E8D">
        <w:t xml:space="preserve"> nový občanský zákoník platnosti dne 22. března 2012 jako zákon č</w:t>
      </w:r>
      <w:r w:rsidR="00600547">
        <w:t>. 89/2012 Sb., občanský zákoník</w:t>
      </w:r>
      <w:r w:rsidR="00F512C7">
        <w:t>,</w:t>
      </w:r>
      <w:r w:rsidR="00600547">
        <w:t xml:space="preserve"> </w:t>
      </w:r>
      <w:r w:rsidR="007F7E8D">
        <w:t>s účinností od 1. ledna 2014.</w:t>
      </w:r>
      <w:r w:rsidR="00B42025">
        <w:rPr>
          <w:rStyle w:val="Znakapoznpodarou"/>
        </w:rPr>
        <w:footnoteReference w:id="201"/>
      </w:r>
    </w:p>
    <w:p w:rsidR="00600547" w:rsidRDefault="007F7E8D" w:rsidP="002A1E6B">
      <w:pPr>
        <w:spacing w:line="360" w:lineRule="auto"/>
        <w:contextualSpacing/>
      </w:pPr>
      <w:r>
        <w:tab/>
      </w:r>
      <w:r w:rsidR="004D7683">
        <w:t>Cílem</w:t>
      </w:r>
      <w:r w:rsidR="005925F1">
        <w:t xml:space="preserve"> na počátku rekodifikace bylo vytvoření zákoníku, který by svou </w:t>
      </w:r>
      <w:r w:rsidR="004D7683">
        <w:t>kvalitou</w:t>
      </w:r>
      <w:r w:rsidR="005925F1">
        <w:t xml:space="preserve"> dosáhl úrovně evro</w:t>
      </w:r>
      <w:r w:rsidR="004D7683">
        <w:t>p</w:t>
      </w:r>
      <w:r w:rsidR="005925F1">
        <w:t xml:space="preserve">ských kodexů. Inspiračních zdrojů pro jeho sestavení bylo </w:t>
      </w:r>
      <w:r w:rsidR="000A2A13">
        <w:t>mnoho</w:t>
      </w:r>
      <w:r w:rsidR="005925F1">
        <w:t xml:space="preserve">. V potaz byl brán německý občanský zákoník i nizozemský kodex. Hlavním východiskem finální osnovy občanského zákoníku se </w:t>
      </w:r>
      <w:r w:rsidR="004D7683">
        <w:t xml:space="preserve">však </w:t>
      </w:r>
      <w:r w:rsidR="005925F1">
        <w:t xml:space="preserve">stal vládní návrh občanského zákoníku z roku 1937, </w:t>
      </w:r>
      <w:r w:rsidR="004D7683">
        <w:t>přičemž při tvorbě zákona mělo být přihlédnuto k aktuálním hodnotám a potřebám společnosti.</w:t>
      </w:r>
      <w:r w:rsidR="004D7683">
        <w:rPr>
          <w:rStyle w:val="Znakapoznpodarou"/>
        </w:rPr>
        <w:footnoteReference w:id="202"/>
      </w:r>
    </w:p>
    <w:p w:rsidR="007F7E8D" w:rsidRDefault="00600547" w:rsidP="002A1E6B">
      <w:pPr>
        <w:spacing w:line="360" w:lineRule="auto"/>
        <w:contextualSpacing/>
      </w:pPr>
      <w:r>
        <w:tab/>
      </w:r>
      <w:r w:rsidR="00F512C7">
        <w:t>NOZ</w:t>
      </w:r>
      <w:r>
        <w:t xml:space="preserve"> výrazně pozměnil i dědické právo. Došlo k návratu řady institutů</w:t>
      </w:r>
      <w:r w:rsidR="00EC78CC">
        <w:t>, které byly předchozí úpravou vypuštěny. Zároveň byly zavedeny i nové možnosti pro zůstavitele, jak má pořídit se svým majetkem.</w:t>
      </w:r>
      <w:r w:rsidR="003D61F3">
        <w:t xml:space="preserve"> Stěžejní myšlenkou nového zákona v dědickém právu bylo vyzdvižení zůstavitelovy vůle. V předchozí právní úpravě byla často dávána přednost dědicům tím, že si mohli smluvně ujednat rozdělení pozůstalosti. Podle </w:t>
      </w:r>
      <w:r w:rsidR="006F24C1">
        <w:t>aktuáln</w:t>
      </w:r>
      <w:r w:rsidR="00F512C7">
        <w:t>í</w:t>
      </w:r>
      <w:r w:rsidR="003D61F3">
        <w:t xml:space="preserve"> právní úpravy však bude rozhodující </w:t>
      </w:r>
      <w:r w:rsidR="004D7683">
        <w:t xml:space="preserve">hlavně </w:t>
      </w:r>
      <w:r w:rsidR="003D61F3">
        <w:t xml:space="preserve">přání zůstavitele. </w:t>
      </w:r>
      <w:r w:rsidR="004D7683">
        <w:t>Z</w:t>
      </w:r>
      <w:r w:rsidR="003D61F3">
        <w:t>ákonem došlo k posílení všech pořízení pro případ smrti na úkor zákonné posloupnosti.</w:t>
      </w:r>
      <w:r w:rsidR="00C95FD2">
        <w:rPr>
          <w:rStyle w:val="Znakapoznpodarou"/>
        </w:rPr>
        <w:footnoteReference w:id="203"/>
      </w:r>
    </w:p>
    <w:p w:rsidR="004D7683" w:rsidRDefault="004D7683" w:rsidP="002A1E6B">
      <w:pPr>
        <w:spacing w:line="360" w:lineRule="auto"/>
        <w:contextualSpacing/>
      </w:pPr>
    </w:p>
    <w:p w:rsidR="004D7683" w:rsidRDefault="008A2354" w:rsidP="008A2354">
      <w:pPr>
        <w:pStyle w:val="Nadpis3"/>
      </w:pPr>
      <w:bookmarkStart w:id="33" w:name="_Toc449513921"/>
      <w:r>
        <w:t>4. 1 Nepominutelný dědic a jeho vydědění</w:t>
      </w:r>
      <w:bookmarkEnd w:id="33"/>
    </w:p>
    <w:p w:rsidR="006E2C62" w:rsidRDefault="00130BAB" w:rsidP="006F0B88">
      <w:pPr>
        <w:spacing w:line="360" w:lineRule="auto"/>
        <w:contextualSpacing/>
      </w:pPr>
      <w:r>
        <w:tab/>
      </w:r>
      <w:r w:rsidR="00F512C7">
        <w:t>NOZ</w:t>
      </w:r>
      <w:r w:rsidR="00806562">
        <w:t xml:space="preserve"> sice dává přednost zůstavitelově vůli rozhodovat o svém majetku dle libosti, nezapomíná však na nepominutelné dědice. </w:t>
      </w:r>
      <w:r>
        <w:t>Oproti předchoz</w:t>
      </w:r>
      <w:r w:rsidR="00D07EDF">
        <w:t xml:space="preserve">ímu zákoníku </w:t>
      </w:r>
      <w:r>
        <w:t xml:space="preserve">se nepominutelní dědici a jejich právo na povinný díl dočkali rozsáhlejší právní úpravy, včetně samostatného </w:t>
      </w:r>
      <w:r>
        <w:lastRenderedPageBreak/>
        <w:t>dílu.</w:t>
      </w:r>
      <w:r w:rsidR="00D07EDF">
        <w:t xml:space="preserve">  Zákon převzal ze staré úpravy okruh nepominutelných dědiců, kterými jsou dle § 1643 odst.</w:t>
      </w:r>
      <w:r w:rsidR="007446F9">
        <w:t xml:space="preserve"> </w:t>
      </w:r>
      <w:r w:rsidR="00D07EDF">
        <w:t xml:space="preserve">1 NOZ </w:t>
      </w:r>
      <w:r w:rsidR="0050792B">
        <w:t>děti</w:t>
      </w:r>
      <w:r w:rsidR="00D07EDF">
        <w:t xml:space="preserve"> zůstavitele</w:t>
      </w:r>
      <w:r w:rsidR="0050792B">
        <w:t>, popř. jejich potomci.</w:t>
      </w:r>
      <w:r w:rsidR="00C57296">
        <w:t xml:space="preserve"> </w:t>
      </w:r>
      <w:r w:rsidR="00AB4D93">
        <w:t xml:space="preserve">Právní úprava opět neřadila do výčtu nepominutelných dědiců manžela zůstavitele, ani jeho rodiče. </w:t>
      </w:r>
    </w:p>
    <w:p w:rsidR="006F0B88" w:rsidRDefault="006E2C62" w:rsidP="006F0B88">
      <w:pPr>
        <w:spacing w:line="360" w:lineRule="auto"/>
        <w:contextualSpacing/>
      </w:pPr>
      <w:r>
        <w:tab/>
      </w:r>
      <w:r w:rsidR="00806562">
        <w:t>Zákon nově</w:t>
      </w:r>
      <w:r w:rsidR="006F0B88">
        <w:t xml:space="preserve"> </w:t>
      </w:r>
      <w:r>
        <w:t>pamatuje</w:t>
      </w:r>
      <w:r w:rsidR="006F0B88">
        <w:t xml:space="preserve"> na pozůstalého manžela a další osoby, které </w:t>
      </w:r>
      <w:r w:rsidR="007446F9">
        <w:t>nemají postavení nepominutelných dědiců</w:t>
      </w:r>
      <w:r w:rsidR="006F0B88">
        <w:t xml:space="preserve">, byť měli se zůstavitelem velice blízký vztah, v </w:t>
      </w:r>
      <w:r w:rsidR="00AB4D93">
        <w:t>ustanovení</w:t>
      </w:r>
      <w:r w:rsidR="00806562">
        <w:t xml:space="preserve"> §1665 an. NOZ týkajících se zaopatření některých osob. </w:t>
      </w:r>
      <w:r>
        <w:t>Právo na zaopatření má ten, kdo by byl nepominutelným dědicem, ale nemá právo na povinný díl</w:t>
      </w:r>
      <w:r>
        <w:rPr>
          <w:rStyle w:val="Znakapoznpodarou"/>
        </w:rPr>
        <w:footnoteReference w:id="204"/>
      </w:r>
      <w:r>
        <w:t>, pozůstalý</w:t>
      </w:r>
      <w:r w:rsidR="007446F9">
        <w:t xml:space="preserve"> manžel a pozůstalý rodič zůst</w:t>
      </w:r>
      <w:r>
        <w:t xml:space="preserve">avitele. </w:t>
      </w:r>
      <w:r w:rsidR="00FC76FA">
        <w:t xml:space="preserve">Předmětem </w:t>
      </w:r>
      <w:r>
        <w:t>práva na zaopatření je poskytnutí výživy odstupňované dle osob, uplatňujících nároky na toto právo.</w:t>
      </w:r>
    </w:p>
    <w:p w:rsidR="0050792B" w:rsidRDefault="006F0B88" w:rsidP="00FE3A81">
      <w:pPr>
        <w:spacing w:line="360" w:lineRule="auto"/>
        <w:contextualSpacing/>
      </w:pPr>
      <w:r>
        <w:tab/>
      </w:r>
      <w:r w:rsidR="00FC76FA">
        <w:t>Právo na zaopatření má být jedním z nástrojů, které mají být nápomocny vymezenému okruhu osob v období krátce po zůstavitelově smrti. Nejedná se o uspořádání majetkových poměrů s dlouhodobými důsledky</w:t>
      </w:r>
      <w:r w:rsidR="008F62C1">
        <w:t xml:space="preserve"> a není schopno zcela vynahradit majetkovou ztrátu po smrti blízké osoby</w:t>
      </w:r>
      <w:r w:rsidR="00FC76FA">
        <w:t>.</w:t>
      </w:r>
      <w:r w:rsidR="006E2C62">
        <w:t xml:space="preserve"> I přesto, že je tato úprava vhodná, je třeba upozornit na fakt, že v praxi </w:t>
      </w:r>
      <w:r w:rsidR="006D6512">
        <w:t>bude možná představovat často problémy kvůli odmítnutí dědiců vydat takovým osobám zaopatření.</w:t>
      </w:r>
      <w:r w:rsidR="006D6512">
        <w:rPr>
          <w:rStyle w:val="Znakapoznpodarou"/>
        </w:rPr>
        <w:footnoteReference w:id="205"/>
      </w:r>
      <w:r w:rsidR="00AB4D93">
        <w:t xml:space="preserve"> </w:t>
      </w:r>
      <w:r w:rsidR="00BA6B91">
        <w:t>Ohledně pozůstalého manžela, se tedy v případě p</w:t>
      </w:r>
      <w:r w:rsidR="00352630">
        <w:t>r</w:t>
      </w:r>
      <w:r w:rsidR="00BA6B91">
        <w:t xml:space="preserve">áva na zaopatření jedná jen o doplnění </w:t>
      </w:r>
      <w:r w:rsidR="00806562">
        <w:t xml:space="preserve">již dříve poskytované </w:t>
      </w:r>
      <w:r w:rsidR="00BA6B91">
        <w:t xml:space="preserve">ochrany rodinným právem. </w:t>
      </w:r>
    </w:p>
    <w:p w:rsidR="00BC7AE1" w:rsidRDefault="00352630" w:rsidP="00FE3A81">
      <w:pPr>
        <w:spacing w:line="360" w:lineRule="auto"/>
        <w:contextualSpacing/>
      </w:pPr>
      <w:r>
        <w:tab/>
      </w:r>
      <w:r w:rsidR="00806562">
        <w:t>Stejně jako v předchozích kapitolách, se i zde budeme věnovat institutu vydědění.</w:t>
      </w:r>
      <w:r w:rsidR="00BC7AE1">
        <w:t xml:space="preserve"> Zákon v úvodním ustanovení § 1646 NOZ</w:t>
      </w:r>
      <w:r w:rsidR="001117BD">
        <w:t xml:space="preserve"> nově</w:t>
      </w:r>
      <w:r w:rsidR="00BC7AE1">
        <w:t xml:space="preserve"> stanovuje, že vydědit nepominutelného dědice je možné zcela nebo částečně. Tato problematika byla doposud upravena pouze judikaturou nebo odbornou literaturou.</w:t>
      </w:r>
    </w:p>
    <w:p w:rsidR="000F00A1" w:rsidRDefault="000F00A1" w:rsidP="00FE3A81">
      <w:pPr>
        <w:spacing w:line="360" w:lineRule="auto"/>
        <w:contextualSpacing/>
      </w:pPr>
      <w:r>
        <w:tab/>
        <w:t>Právo vydědit svého potomka je právem osobním. Je možno, aby tak učinil pouze zůstavitel, kterého se také konkrétně týkají důvody, které jeho rozhodnutí podnítili. Předmětem vydědění může být jen nepominutelný dědic. Je otázkou, zda zůstavitel může platně vydědit i nezletilého potomka. Je možné se přiklonit k názoru, že určitě. Jak ale stanovil Klička a další, tak i v případě nezletilého budou muset být pro vydědění naplněny zákonné důvody. K tomu však v případě nezletilého může dojít obtížněji než u plně svéprávné osoby. Museli bychom při hodnocení splnění konkrétního důvodu pro vydědění přihlédnout k věku a rozumové vyspělosti nezletilého.</w:t>
      </w:r>
      <w:r>
        <w:rPr>
          <w:rStyle w:val="Znakapoznpodarou"/>
        </w:rPr>
        <w:footnoteReference w:id="206"/>
      </w:r>
    </w:p>
    <w:p w:rsidR="00F27A53" w:rsidRDefault="00AC08D1" w:rsidP="00F92CA8">
      <w:pPr>
        <w:spacing w:line="360" w:lineRule="auto"/>
        <w:contextualSpacing/>
      </w:pPr>
      <w:r>
        <w:tab/>
        <w:t>Taxativní výčet důvodů pro vydědění je doplněn o dva nové</w:t>
      </w:r>
      <w:r w:rsidR="007C5744">
        <w:t xml:space="preserve"> důvody,</w:t>
      </w:r>
      <w:r>
        <w:t xml:space="preserve"> a v jednom ze stávajících byla pozměněna formulace. Prvním z nově zavedených důvodů je vydědění pro </w:t>
      </w:r>
      <w:r>
        <w:lastRenderedPageBreak/>
        <w:t>nezpůsobilost</w:t>
      </w:r>
      <w:r w:rsidR="00C11A01">
        <w:t xml:space="preserve"> dědit</w:t>
      </w:r>
      <w:r w:rsidR="008566B1">
        <w:t>. Zákon stanoví, že zůstavitel může vydědit potomka pro některý z důvodů, které naplňují dědickou nezpůsobilost</w:t>
      </w:r>
      <w:r w:rsidR="008566B1">
        <w:rPr>
          <w:rStyle w:val="Znakapoznpodarou"/>
        </w:rPr>
        <w:footnoteReference w:id="207"/>
      </w:r>
      <w:r w:rsidR="008566B1">
        <w:t>. Problematický může být rozpor ustanovení upravujících dědické nástupnictví v případě dědické nezpůsobilosti a vydědění.</w:t>
      </w:r>
      <w:r w:rsidR="003C1E47">
        <w:t xml:space="preserve"> V případě nezpůsobilého dědice nastupuje na jeho místo jeho potomek i v případě, kdy vyloučený přežije zůstavitele. U vyděděného dědice je tomu naopak.</w:t>
      </w:r>
      <w:r w:rsidR="00861C19">
        <w:t xml:space="preserve"> Pokud vyděděný potomek přežije zůstavitele, nedědí dle § 1646 odst. 3 NOZ ani jeho potomci.</w:t>
      </w:r>
      <w:r w:rsidR="002E1186">
        <w:t xml:space="preserve"> Dle komentáře lze tuto situaci vyřešit tak, že v případě, kdy se zůstavitel rozhodl pro vydědění, aplikuje se na část týkající se </w:t>
      </w:r>
      <w:r w:rsidR="002E1186" w:rsidRPr="00BC0D40">
        <w:t xml:space="preserve">právního nástupnictví </w:t>
      </w:r>
      <w:r w:rsidR="003F3168" w:rsidRPr="00BC0D40">
        <w:t xml:space="preserve">nezpůsobilého </w:t>
      </w:r>
      <w:r w:rsidR="002E1186" w:rsidRPr="00BC0D40">
        <w:t>potomka ustanovení upravující potomky vyděděného v rámci vydědění.</w:t>
      </w:r>
      <w:r w:rsidR="002E1186" w:rsidRPr="00BC0D40">
        <w:rPr>
          <w:rStyle w:val="Znakapoznpodarou"/>
        </w:rPr>
        <w:footnoteReference w:id="208"/>
      </w:r>
      <w:r w:rsidR="003F3168" w:rsidRPr="00BC0D40">
        <w:t xml:space="preserve"> Tím pádem b</w:t>
      </w:r>
      <w:r w:rsidR="00861C19" w:rsidRPr="00BC0D40">
        <w:t>ude potomek nezpůsobilého přeživšího dědice bez práva</w:t>
      </w:r>
      <w:r w:rsidR="001117BD">
        <w:t xml:space="preserve"> na</w:t>
      </w:r>
      <w:r w:rsidR="00861C19" w:rsidRPr="00BC0D40">
        <w:t xml:space="preserve"> </w:t>
      </w:r>
      <w:r w:rsidR="001117BD">
        <w:t>povinný</w:t>
      </w:r>
      <w:r w:rsidR="008C6798" w:rsidRPr="00BC0D40">
        <w:t xml:space="preserve"> podíl</w:t>
      </w:r>
      <w:r w:rsidR="00861C19" w:rsidRPr="00BC0D40">
        <w:t>, nestanoví</w:t>
      </w:r>
      <w:r w:rsidR="00861C19">
        <w:t xml:space="preserve">-li zůstavitel </w:t>
      </w:r>
      <w:r w:rsidR="00F27A53">
        <w:t>ze</w:t>
      </w:r>
      <w:r w:rsidR="007446F9">
        <w:t xml:space="preserve"> své vůle</w:t>
      </w:r>
      <w:r w:rsidR="00861C19">
        <w:t xml:space="preserve"> jinak.</w:t>
      </w:r>
      <w:r w:rsidR="00F27A53">
        <w:t xml:space="preserve"> </w:t>
      </w:r>
    </w:p>
    <w:p w:rsidR="00F27A53" w:rsidRDefault="003F04AA" w:rsidP="00FE3A81">
      <w:pPr>
        <w:spacing w:line="360" w:lineRule="auto"/>
        <w:contextualSpacing/>
      </w:pPr>
      <w:r>
        <w:tab/>
        <w:t>Dalším nově zav</w:t>
      </w:r>
      <w:r w:rsidR="008C6798">
        <w:t>e</w:t>
      </w:r>
      <w:r>
        <w:t xml:space="preserve">deným důvodem </w:t>
      </w:r>
      <w:r w:rsidR="001117BD">
        <w:t>je</w:t>
      </w:r>
      <w:r>
        <w:t xml:space="preserve"> vydědění pro zadlužení nebo marnotratnost dědice v</w:t>
      </w:r>
      <w:r w:rsidR="008C6798">
        <w:t xml:space="preserve"> § 1647 NOZ. Tento důvod byl stejně jako předchozí zakotven i v ABGB. Proto je dobré zmínit, že v praxi </w:t>
      </w:r>
      <w:r w:rsidR="006579E3">
        <w:t xml:space="preserve">bude možno </w:t>
      </w:r>
      <w:r w:rsidR="008C6798">
        <w:t>při posuzování naplnění podmínek</w:t>
      </w:r>
      <w:r w:rsidR="007446F9">
        <w:t xml:space="preserve"> pro vydědění </w:t>
      </w:r>
      <w:r w:rsidR="001117BD">
        <w:t>použít</w:t>
      </w:r>
      <w:r w:rsidR="008C6798">
        <w:t xml:space="preserve"> starou literaturu a judikaturu, která se danému tématu věnovala.</w:t>
      </w:r>
      <w:r w:rsidR="00571FCE">
        <w:t xml:space="preserve"> Podmínkou pro použití tohoto důvodu vydědění je zůstavení daného povinné</w:t>
      </w:r>
      <w:r w:rsidR="001117BD">
        <w:t>ho</w:t>
      </w:r>
      <w:r w:rsidR="00571FCE">
        <w:t xml:space="preserve"> dílu potomkům vyděděného dědice, popř. jejich dalším potomkům.</w:t>
      </w:r>
      <w:r w:rsidR="000C26CB">
        <w:t xml:space="preserve"> I přesto, že byl tento důvod vydědění dříve používán rakouským právem, naskýtá se několik otázek.</w:t>
      </w:r>
    </w:p>
    <w:p w:rsidR="00571FCE" w:rsidRDefault="00571FCE" w:rsidP="00FE3A81">
      <w:pPr>
        <w:spacing w:line="360" w:lineRule="auto"/>
        <w:contextualSpacing/>
      </w:pPr>
      <w:r>
        <w:tab/>
        <w:t xml:space="preserve">Zajímavou otázkou se zabýval komentář, kdy řešil, co se stane v případě, kdy zůstavitel v pořízení neodkáže povinný díl potomkům vyděděného. </w:t>
      </w:r>
      <w:r w:rsidR="002B0D72">
        <w:t>Stanovil názor, že se neb</w:t>
      </w:r>
      <w:r w:rsidR="007416E3">
        <w:t xml:space="preserve">ude jednat o platné vydědění a </w:t>
      </w:r>
      <w:r w:rsidR="002B0D72">
        <w:t>vyděděný potomek se bude moci domáhat svého povinného dílu.</w:t>
      </w:r>
      <w:r w:rsidR="002B0D72">
        <w:rPr>
          <w:rStyle w:val="Znakapoznpodarou"/>
        </w:rPr>
        <w:footnoteReference w:id="209"/>
      </w:r>
      <w:r w:rsidR="00A149A6">
        <w:t xml:space="preserve"> Je možné se přiklonit k danému názoru, jelikož dle literatury i zákona lze považovat ustanovení dalšího dědice povinného dílu jako podmínku. V případě nenaplnění by tedy mohlo dojít k neplatnosti.</w:t>
      </w:r>
    </w:p>
    <w:p w:rsidR="00861C19" w:rsidRDefault="007C5744" w:rsidP="00DE4C96">
      <w:pPr>
        <w:spacing w:line="360" w:lineRule="auto"/>
        <w:contextualSpacing/>
      </w:pPr>
      <w:r>
        <w:tab/>
        <w:t>Dále komentář uvádí, že</w:t>
      </w:r>
      <w:r w:rsidR="00A149A6">
        <w:t xml:space="preserve"> </w:t>
      </w:r>
      <w:r>
        <w:t>u</w:t>
      </w:r>
      <w:r w:rsidR="00A149A6">
        <w:t xml:space="preserve"> </w:t>
      </w:r>
      <w:r w:rsidR="005D5B84">
        <w:t>vyděděného</w:t>
      </w:r>
      <w:r w:rsidR="00A149A6">
        <w:t xml:space="preserve"> bez potomků</w:t>
      </w:r>
      <w:r w:rsidR="000C26CB">
        <w:t xml:space="preserve"> odpadá </w:t>
      </w:r>
      <w:r w:rsidR="00DE4C96">
        <w:t xml:space="preserve">obecně </w:t>
      </w:r>
      <w:r w:rsidR="000C26CB">
        <w:t>zůstaviteli možnost použít tento důvod pro vydědění.</w:t>
      </w:r>
      <w:r w:rsidR="000C26CB">
        <w:rPr>
          <w:rStyle w:val="Znakapoznpodarou"/>
        </w:rPr>
        <w:footnoteReference w:id="210"/>
      </w:r>
      <w:r w:rsidR="005D5B84">
        <w:t xml:space="preserve"> </w:t>
      </w:r>
      <w:r w:rsidR="00DE4C96">
        <w:t xml:space="preserve">Opět se lze přiklonit k tomuto závěru, jelikož zůstavení povinného dílu potomkům bylo stanoveno jako podmínka pro použití tohoto důvodu, sloužící k ochraně právě nově „pamatovaným“ dědicům. Na druhou stranu bychom v tomto </w:t>
      </w:r>
      <w:r w:rsidR="005D5B84">
        <w:t>mohli spatřovat určité omezení zůstavitele, kdy by mu bylo znemožněno naplno projevit svoji vůli</w:t>
      </w:r>
      <w:r w:rsidR="00430DEB">
        <w:t xml:space="preserve"> vyděděním osoby, o které má za to, že znehodnotí část pozůstalosti po něm</w:t>
      </w:r>
      <w:r w:rsidR="006579E3">
        <w:t xml:space="preserve"> zbylé</w:t>
      </w:r>
      <w:r w:rsidR="005D5B84">
        <w:t>.</w:t>
      </w:r>
    </w:p>
    <w:p w:rsidR="00861C19" w:rsidRDefault="00DE4C96" w:rsidP="00FE3A81">
      <w:pPr>
        <w:spacing w:line="360" w:lineRule="auto"/>
        <w:contextualSpacing/>
      </w:pPr>
      <w:r>
        <w:lastRenderedPageBreak/>
        <w:tab/>
      </w:r>
      <w:r w:rsidR="00692007">
        <w:t>Zákon oproti předchozí úpravě poupravil důvod vydědění v § 1646 odst. 1 písm. c) NOZ.</w:t>
      </w:r>
      <w:r w:rsidR="00FC4A72">
        <w:t xml:space="preserve"> Dřívější ustanovení § 469a odst. 1 písm. c) OZ 64 bylo právní prax</w:t>
      </w:r>
      <w:r w:rsidR="0085539B">
        <w:t>í krit</w:t>
      </w:r>
      <w:r w:rsidR="00B57BB7">
        <w:t>i</w:t>
      </w:r>
      <w:r w:rsidR="0085539B">
        <w:t>zováno pro svoji přísnost</w:t>
      </w:r>
      <w:r w:rsidR="00FC4A72">
        <w:t xml:space="preserve"> a vztahování se na je</w:t>
      </w:r>
      <w:r w:rsidR="0085539B">
        <w:t>dnání dědice zakládající trestné</w:t>
      </w:r>
      <w:r w:rsidR="00FC4A72">
        <w:t xml:space="preserve"> čin</w:t>
      </w:r>
      <w:r w:rsidR="0085539B">
        <w:t>y</w:t>
      </w:r>
      <w:r w:rsidR="00FC4A72">
        <w:t>, které</w:t>
      </w:r>
      <w:r w:rsidR="0085539B">
        <w:t xml:space="preserve"> </w:t>
      </w:r>
      <w:r w:rsidR="00FC4A72">
        <w:t>svým způsobem ani nemusel</w:t>
      </w:r>
      <w:r w:rsidR="0085539B">
        <w:t>i</w:t>
      </w:r>
      <w:r w:rsidR="00FC4A72">
        <w:t xml:space="preserve"> ovlivnit </w:t>
      </w:r>
      <w:r w:rsidR="0085539B">
        <w:t xml:space="preserve">život </w:t>
      </w:r>
      <w:r w:rsidR="00FC4A72">
        <w:t>zůstavitele a jeho rodin</w:t>
      </w:r>
      <w:r w:rsidR="0085539B">
        <w:t>y</w:t>
      </w:r>
      <w:r w:rsidR="00FC4A72">
        <w:t>.</w:t>
      </w:r>
      <w:r w:rsidR="0085539B">
        <w:t xml:space="preserve"> Předmětem tohoto trestného činu mohl být objekt naprosto odlišný od zůstavitele</w:t>
      </w:r>
      <w:r w:rsidR="00F74094">
        <w:t>.</w:t>
      </w:r>
      <w:r w:rsidR="00F74094">
        <w:rPr>
          <w:rStyle w:val="Znakapoznpodarou"/>
        </w:rPr>
        <w:footnoteReference w:id="211"/>
      </w:r>
      <w:r w:rsidR="00F74094">
        <w:t xml:space="preserve"> </w:t>
      </w:r>
      <w:r w:rsidR="00FC4A72">
        <w:t xml:space="preserve">Nyní bylo místo podmínky délky trestní sazby stanoveno, že se musí jednat </w:t>
      </w:r>
      <w:r w:rsidR="00FC4A72" w:rsidRPr="00FC4A72">
        <w:rPr>
          <w:i/>
        </w:rPr>
        <w:t xml:space="preserve">„o trestný </w:t>
      </w:r>
      <w:r w:rsidR="00B57BB7">
        <w:rPr>
          <w:i/>
        </w:rPr>
        <w:t>čin</w:t>
      </w:r>
      <w:r w:rsidR="00FC4A72" w:rsidRPr="00FC4A72">
        <w:rPr>
          <w:i/>
        </w:rPr>
        <w:t xml:space="preserve"> spáchaný za oko</w:t>
      </w:r>
      <w:r w:rsidR="00365FA9">
        <w:rPr>
          <w:i/>
        </w:rPr>
        <w:t>ln</w:t>
      </w:r>
      <w:r w:rsidR="00FC4A72" w:rsidRPr="00FC4A72">
        <w:rPr>
          <w:i/>
        </w:rPr>
        <w:t>ostí svědčících o jeho zvrhlé povaze“</w:t>
      </w:r>
      <w:r w:rsidR="00FC4A72">
        <w:t>.</w:t>
      </w:r>
      <w:r w:rsidR="00700CBD">
        <w:t xml:space="preserve"> Zůstavitel bude moc</w:t>
      </w:r>
      <w:r w:rsidR="0085539B">
        <w:t xml:space="preserve">i vydědit jen takové potomky, které se svým jednáním dopustili činu, který je svým způsobem pro společnost nebezpečný. </w:t>
      </w:r>
      <w:r w:rsidR="00D8657C">
        <w:t>O jaké činy se jedná, b</w:t>
      </w:r>
      <w:r w:rsidR="007416E3">
        <w:t>ude bez pochyb předmětem mnoha</w:t>
      </w:r>
      <w:r w:rsidR="00D8657C">
        <w:t xml:space="preserve"> soudních rozhodnutí. Už ale nyní můžem</w:t>
      </w:r>
      <w:r w:rsidR="007416E3">
        <w:t>e</w:t>
      </w:r>
      <w:r w:rsidR="00D8657C">
        <w:t xml:space="preserve"> říci, že příkladem takového trestného činu bude například znásilnění, týrání svěřené osoby nebo kuplířství.</w:t>
      </w:r>
      <w:r w:rsidR="00D8657C">
        <w:rPr>
          <w:rStyle w:val="Znakapoznpodarou"/>
        </w:rPr>
        <w:footnoteReference w:id="212"/>
      </w:r>
    </w:p>
    <w:p w:rsidR="006E02ED" w:rsidRDefault="00BB793C" w:rsidP="00FE3A81">
      <w:pPr>
        <w:spacing w:line="360" w:lineRule="auto"/>
        <w:contextualSpacing/>
      </w:pPr>
      <w:r>
        <w:tab/>
      </w:r>
      <w:r w:rsidR="00C70CF7">
        <w:t>Forma vydědění zůstává nezměněná oproti předchozí úpravě. Prohlášení o vydědění může být podle § 1648 učiněno stejnou formou jako závěť a totéž platí pro jeho zrušení. Nově nemusí být uveden prohlášením důvod vydědění. Důvodem tohoto rozhodnutí je fakt, že ve většině případů je jak zůstaviteli, tak i samotnému nepominutelnému dědici a ostatním rodinným dědicům důvod vydědění znám.</w:t>
      </w:r>
      <w:r w:rsidR="00407130">
        <w:t xml:space="preserve"> Není pro</w:t>
      </w:r>
      <w:r w:rsidR="007416E3">
        <w:t>to důvodné ho znovu připomínat, když k činu podně</w:t>
      </w:r>
      <w:r w:rsidR="00E307BD">
        <w:t>cujícímu vydědění mohlo dojít před několika desítkami let. Účelem</w:t>
      </w:r>
      <w:r w:rsidR="00407130">
        <w:t xml:space="preserve"> vydědění není připomínat společnosti dědicovi protiprávní činy, ale připravit ho o jeho povinný díl.</w:t>
      </w:r>
      <w:r w:rsidR="00E307BD">
        <w:rPr>
          <w:rStyle w:val="Znakapoznpodarou"/>
        </w:rPr>
        <w:footnoteReference w:id="213"/>
      </w:r>
      <w:r w:rsidR="00E307BD">
        <w:t xml:space="preserve"> V takovém případě bude poté na ostatních dědicích, aby v dědickém řízení prokázali důvod vydědění.</w:t>
      </w:r>
    </w:p>
    <w:p w:rsidR="00E307BD" w:rsidRDefault="00BB4C85" w:rsidP="00FE3A81">
      <w:pPr>
        <w:spacing w:line="360" w:lineRule="auto"/>
        <w:contextualSpacing/>
      </w:pPr>
      <w:r>
        <w:tab/>
        <w:t>Zmíněn musí být následek vydědění při výpočtu povinného dílu. Zde došlo oproti předchozí úpravě k další změně, kdy</w:t>
      </w:r>
      <w:r w:rsidR="003043AC">
        <w:t xml:space="preserve"> se</w:t>
      </w:r>
      <w:r>
        <w:t xml:space="preserve"> tvůrci zákona </w:t>
      </w:r>
      <w:r w:rsidR="007416E3">
        <w:t xml:space="preserve">po několika letech </w:t>
      </w:r>
      <w:r w:rsidR="003043AC">
        <w:t>vrátili v § 1645 NOZ</w:t>
      </w:r>
      <w:r w:rsidR="005F7A33">
        <w:t xml:space="preserve"> </w:t>
      </w:r>
      <w:r w:rsidR="003043AC">
        <w:t>k římské zásadě „</w:t>
      </w:r>
      <w:r w:rsidR="003043AC" w:rsidRPr="003043AC">
        <w:rPr>
          <w:i/>
        </w:rPr>
        <w:t>exheredatus partem facit ad minuendam</w:t>
      </w:r>
      <w:r w:rsidR="002D20D0">
        <w:t>“. To</w:t>
      </w:r>
      <w:r w:rsidR="003043AC">
        <w:t xml:space="preserve"> znamená, že se při výpočtu povinného dílu bude přihlížet i k dílu vyděděného tak, jako kdyby vyloučen nebyl. T</w:t>
      </w:r>
      <w:r w:rsidR="003043AC" w:rsidRPr="003043AC">
        <w:t>ím pádem nebude docházet ke zvětšování podílů ostatních dědiců.</w:t>
      </w:r>
      <w:r w:rsidR="003043AC" w:rsidRPr="003043AC">
        <w:rPr>
          <w:rStyle w:val="Znakapoznpodarou"/>
        </w:rPr>
        <w:t xml:space="preserve"> </w:t>
      </w:r>
      <w:r w:rsidR="003043AC">
        <w:rPr>
          <w:rStyle w:val="Znakapoznpodarou"/>
        </w:rPr>
        <w:footnoteReference w:id="214"/>
      </w:r>
      <w:r w:rsidR="003043AC" w:rsidRPr="003043AC">
        <w:t xml:space="preserve"> </w:t>
      </w:r>
    </w:p>
    <w:p w:rsidR="003043AC" w:rsidRDefault="003043AC" w:rsidP="00FE3A81">
      <w:pPr>
        <w:spacing w:line="360" w:lineRule="auto"/>
        <w:contextualSpacing/>
      </w:pPr>
      <w:r>
        <w:tab/>
      </w:r>
      <w:r w:rsidR="007416E3">
        <w:t>Zák</w:t>
      </w:r>
      <w:r w:rsidR="007724D4">
        <w:t>on zůstavitelovi výslovně uvádí</w:t>
      </w:r>
      <w:r>
        <w:t xml:space="preserve"> možnost zbavit dědického práva i dědice, kteří nespadají mezi nepominutelné. Je tak stanoveno v § 1649 NOZ a oproti vydědění se odlišuje tím, že zůstavitel toto své jednání nemusí žádným způsobem odůvodnit.</w:t>
      </w:r>
      <w:r>
        <w:rPr>
          <w:rStyle w:val="Znakapoznpodarou"/>
        </w:rPr>
        <w:footnoteReference w:id="215"/>
      </w:r>
      <w:r w:rsidR="007724D4">
        <w:t xml:space="preserve"> Zákonodá</w:t>
      </w:r>
      <w:r>
        <w:t>rce tímto zakotvil opět další institut, kterým posíli</w:t>
      </w:r>
      <w:r w:rsidR="00D916BD">
        <w:t>l vůli zůstavitele. Dříve negati</w:t>
      </w:r>
      <w:r>
        <w:t xml:space="preserve">vní závěť upravena nebyla. </w:t>
      </w:r>
    </w:p>
    <w:p w:rsidR="003043AC" w:rsidRDefault="003043AC" w:rsidP="00FE3A81">
      <w:pPr>
        <w:spacing w:line="360" w:lineRule="auto"/>
        <w:contextualSpacing/>
      </w:pPr>
      <w:r>
        <w:lastRenderedPageBreak/>
        <w:tab/>
      </w:r>
      <w:r w:rsidR="00677C8D">
        <w:t>Nakonec je třeba v této části zmínit změnu postavení nepominutelného dědice, kde došlo k návratu ke koncepci rakouského ABGB. N</w:t>
      </w:r>
      <w:r w:rsidR="00E56EEC">
        <w:t xml:space="preserve">epominutelný dědic se již nepovažuje za zákonného dědice, ale pouze </w:t>
      </w:r>
      <w:r w:rsidR="007416E3">
        <w:t>za</w:t>
      </w:r>
      <w:r w:rsidR="00E56EEC">
        <w:t xml:space="preserve"> dědice majícího práva na povinný díl, jak stanoví výslovně § 1642 NOZ. Odlišení od předchozí úpravy spočívá v tom, že nepominutelný dědic již nemá</w:t>
      </w:r>
      <w:r w:rsidR="00E367ED">
        <w:t xml:space="preserve"> právo na ideální podíl z pozůs</w:t>
      </w:r>
      <w:r w:rsidR="007724D4">
        <w:t>talosti, ale jen na peněžitou hodno</w:t>
      </w:r>
      <w:r w:rsidR="00E56EEC">
        <w:t xml:space="preserve">tu svého povinného dílu. Z toho důvodu na něj nepohlížíme jako na dědice, ale spíše jako </w:t>
      </w:r>
      <w:r w:rsidR="007416E3">
        <w:t xml:space="preserve">na </w:t>
      </w:r>
      <w:r w:rsidR="00E56EEC">
        <w:t>odkazovníka, který se svého dílu může dovolávat, ale také nemusí.</w:t>
      </w:r>
      <w:r w:rsidR="00E56EEC">
        <w:rPr>
          <w:rStyle w:val="Znakapoznpodarou"/>
        </w:rPr>
        <w:footnoteReference w:id="216"/>
      </w:r>
    </w:p>
    <w:p w:rsidR="0098318D" w:rsidRPr="0098318D" w:rsidRDefault="0098318D" w:rsidP="00FE3A81">
      <w:pPr>
        <w:spacing w:line="360" w:lineRule="auto"/>
        <w:contextualSpacing/>
      </w:pPr>
      <w:r>
        <w:tab/>
      </w:r>
    </w:p>
    <w:p w:rsidR="00584D4B" w:rsidRDefault="00D07EDF" w:rsidP="0089728B">
      <w:pPr>
        <w:pStyle w:val="Nadpis3"/>
      </w:pPr>
      <w:bookmarkStart w:id="34" w:name="_Toc449513922"/>
      <w:r>
        <w:t>4. 2 Povinný díl a jeho výše</w:t>
      </w:r>
      <w:bookmarkEnd w:id="34"/>
    </w:p>
    <w:p w:rsidR="00AD3257" w:rsidRDefault="0089728B" w:rsidP="0089728B">
      <w:pPr>
        <w:spacing w:line="360" w:lineRule="auto"/>
        <w:contextualSpacing/>
      </w:pPr>
      <w:r>
        <w:tab/>
        <w:t>Pov</w:t>
      </w:r>
      <w:r w:rsidR="00E367ED">
        <w:t>i</w:t>
      </w:r>
      <w:r>
        <w:t>nný díl je upraven výslovně v zákonné úpravě, kdy je stanoveno, že nepominutelnému dědici náleží povinný díl z pozůstalosti. Nově je v § 1654 NOZ stanoveno, že má hodnotu peněžité částky, která je rovna výši povinného dílu z pozůstalosti.</w:t>
      </w:r>
      <w:r w:rsidR="001C354A">
        <w:t xml:space="preserve"> </w:t>
      </w:r>
      <w:r>
        <w:t>Tímto krokem se mělo zamezit negativním důsledkům vzniku spoluvlastnictví, jak se běžně stávalo za účinnosti starého zákona. I přesto, že je nově preferován povinný díl peněžité povahy, nebrání to dědicům ze závěti a dědicům nepominutelným, aby si na základě § 1654 odst. 2 NOZ sjednali jiný způsob vypořádání.</w:t>
      </w:r>
      <w:r w:rsidR="0061171D">
        <w:t xml:space="preserve"> Ten však nesmí být k tíži věřitelům pohledávek z pozůstalosti</w:t>
      </w:r>
      <w:r w:rsidR="009A21A0">
        <w:t>.</w:t>
      </w:r>
      <w:r w:rsidR="00464E49">
        <w:t xml:space="preserve"> Vysoká míra dispozitivity se projevila i v možnosti nepominutelného dědice dohodnout se s ostatními dědici jen na jakési formě odbytného, jak uvádí § 1657 NOZ.</w:t>
      </w:r>
    </w:p>
    <w:p w:rsidR="00E7705E" w:rsidRDefault="00E7705E" w:rsidP="0089728B">
      <w:pPr>
        <w:spacing w:line="360" w:lineRule="auto"/>
        <w:contextualSpacing/>
      </w:pPr>
      <w:r>
        <w:tab/>
        <w:t xml:space="preserve">Výše povinného dílu byla oproti předchozí úpravě změněna. </w:t>
      </w:r>
      <w:r w:rsidR="00AF2D19">
        <w:t>Zákon stanovil v § 1643 odst. 2 NOZ povinný díl pro nezletilého dědice ve v</w:t>
      </w:r>
      <w:r w:rsidR="00F74643">
        <w:t>ýši 3/4 jeho zákonného dědického</w:t>
      </w:r>
      <w:r w:rsidR="00AF2D19">
        <w:t xml:space="preserve"> </w:t>
      </w:r>
      <w:r w:rsidR="007724D4">
        <w:t>po</w:t>
      </w:r>
      <w:r w:rsidR="00AF2D19">
        <w:t xml:space="preserve">dílu a v případě </w:t>
      </w:r>
      <w:r w:rsidR="00605F7A">
        <w:t>zletilého potomka se jednalo o 1/4</w:t>
      </w:r>
      <w:r w:rsidR="00AF2D19">
        <w:t xml:space="preserve">. </w:t>
      </w:r>
      <w:r w:rsidR="00B84838">
        <w:t xml:space="preserve">Dle autorů zákona byla stará úprava </w:t>
      </w:r>
      <w:r w:rsidR="00464E49">
        <w:t xml:space="preserve">pro zůstavitele </w:t>
      </w:r>
      <w:r w:rsidR="00B84838">
        <w:t>příliš omezující. Zůstavitel, který neměl manželku a měl jediné nezletilé dítě, prakticky nemohl</w:t>
      </w:r>
      <w:r w:rsidR="00464E49">
        <w:t xml:space="preserve"> </w:t>
      </w:r>
      <w:r w:rsidR="00464E49" w:rsidRPr="00464E49">
        <w:t>naložit se svou pozůstalostí</w:t>
      </w:r>
      <w:r w:rsidR="00B84838">
        <w:t xml:space="preserve"> jiným způsobem</w:t>
      </w:r>
      <w:r w:rsidR="00464E49">
        <w:t>, než ji</w:t>
      </w:r>
      <w:r w:rsidR="00B84838">
        <w:t xml:space="preserve"> odkázat jemu. Stejně nadsazená byla dle Eliáše polovina dědického podílu pro zletilého potomka, který si již dávno mohl vydělávat a být zaopatřen bez pomoci zůstavitele.</w:t>
      </w:r>
      <w:r w:rsidR="00B84838">
        <w:rPr>
          <w:rStyle w:val="Znakapoznpodarou"/>
        </w:rPr>
        <w:footnoteReference w:id="217"/>
      </w:r>
      <w:r w:rsidR="00955CC7">
        <w:t xml:space="preserve"> Proto se přistoupilo ke z</w:t>
      </w:r>
      <w:r w:rsidR="008871FB">
        <w:t>krácení povinných díl</w:t>
      </w:r>
      <w:r w:rsidR="00605F7A">
        <w:t>ů</w:t>
      </w:r>
      <w:r w:rsidR="008871FB">
        <w:t xml:space="preserve"> nepominutelných dědiců.</w:t>
      </w:r>
    </w:p>
    <w:p w:rsidR="001B5EC0" w:rsidRPr="006A5B45" w:rsidRDefault="006773BF" w:rsidP="00464E49">
      <w:pPr>
        <w:spacing w:line="360" w:lineRule="auto"/>
        <w:contextualSpacing/>
      </w:pPr>
      <w:r>
        <w:tab/>
        <w:t>Do zákona se vrátila ustanovení o povinném dílu, která dávají zůstaviteli návod, jak může povinný díl zane</w:t>
      </w:r>
      <w:r w:rsidR="00605F7A">
        <w:t>chat a jaké jsou následk</w:t>
      </w:r>
      <w:r>
        <w:t xml:space="preserve">y jeho zatížení. Dříve byla </w:t>
      </w:r>
      <w:r w:rsidR="00605F7A">
        <w:t>tato úprava obsažena v ABGB i ve VN 37</w:t>
      </w:r>
      <w:r>
        <w:t xml:space="preserve">, s jejichž zněním se NOZ víceméně obsahově </w:t>
      </w:r>
      <w:r w:rsidRPr="006A5B45">
        <w:t xml:space="preserve">shoduje. </w:t>
      </w:r>
    </w:p>
    <w:p w:rsidR="00464E49" w:rsidRPr="006A5B45" w:rsidRDefault="001B5EC0" w:rsidP="0047530D">
      <w:pPr>
        <w:spacing w:line="360" w:lineRule="auto"/>
        <w:contextualSpacing/>
      </w:pPr>
      <w:r w:rsidRPr="006A5B45">
        <w:tab/>
      </w:r>
      <w:r w:rsidR="00B3580B" w:rsidRPr="006A5B45">
        <w:t xml:space="preserve">Zůstavitel může regulovat výši povinného dílu nepominutelných dědiců institutem započtení i v nové úpravě. </w:t>
      </w:r>
      <w:r w:rsidRPr="006A5B45">
        <w:t xml:space="preserve">Ta je systematicky rozlišena na započtení na povinný díl, který se </w:t>
      </w:r>
      <w:r w:rsidRPr="006A5B45">
        <w:lastRenderedPageBreak/>
        <w:t>týká nepominutelných dědiců, a dále započtení na dědický podíl, které se může uplatnit jen na návrh zůstavitele u osob</w:t>
      </w:r>
      <w:r w:rsidR="00464E49" w:rsidRPr="006A5B45">
        <w:t xml:space="preserve"> odlišných</w:t>
      </w:r>
      <w:r w:rsidRPr="006A5B45">
        <w:t xml:space="preserve">. V rámci započtení na povinný díl došlo ke změně </w:t>
      </w:r>
      <w:r w:rsidR="0047530D" w:rsidRPr="006A5B45">
        <w:t xml:space="preserve">v §1660 NOZ, kde byla zúžena doba, za kterou se mělo nepominutelným dědicům započíst bezplatné darování zůstavitelem. V předchozí </w:t>
      </w:r>
      <w:r w:rsidR="00464E49" w:rsidRPr="006A5B45">
        <w:t>úpravě</w:t>
      </w:r>
      <w:r w:rsidR="0047530D" w:rsidRPr="006A5B45">
        <w:t xml:space="preserve"> nebyl</w:t>
      </w:r>
      <w:r w:rsidR="00605F7A">
        <w:t>a</w:t>
      </w:r>
      <w:r w:rsidR="0047530D" w:rsidRPr="006A5B45">
        <w:t xml:space="preserve"> zákonem stanovena žádná časová limitace.</w:t>
      </w:r>
      <w:r w:rsidR="008E724D" w:rsidRPr="006A5B45">
        <w:rPr>
          <w:rStyle w:val="Znakapoznpodarou"/>
        </w:rPr>
        <w:footnoteReference w:id="218"/>
      </w:r>
      <w:r w:rsidR="008E724D" w:rsidRPr="006A5B45">
        <w:t xml:space="preserve"> </w:t>
      </w:r>
    </w:p>
    <w:p w:rsidR="0047530D" w:rsidRPr="00AD3257" w:rsidRDefault="00464E49" w:rsidP="0047530D">
      <w:pPr>
        <w:spacing w:line="360" w:lineRule="auto"/>
        <w:contextualSpacing/>
      </w:pPr>
      <w:r w:rsidRPr="006A5B45">
        <w:tab/>
      </w:r>
      <w:r w:rsidR="00CC14EE" w:rsidRPr="006A5B45">
        <w:t>Zákon dále v § 1661 NOZ nově stanoví, že se nepominute</w:t>
      </w:r>
      <w:r w:rsidR="00605F7A">
        <w:t>l</w:t>
      </w:r>
      <w:r w:rsidR="00CC14EE" w:rsidRPr="006A5B45">
        <w:t>nému dědici zapo</w:t>
      </w:r>
      <w:r w:rsidR="00605F7A">
        <w:t>čte i to, co mu dal zůstavitel</w:t>
      </w:r>
      <w:r w:rsidR="00CC14EE" w:rsidRPr="006A5B45">
        <w:t xml:space="preserve"> do života</w:t>
      </w:r>
      <w:r w:rsidR="001576F5">
        <w:t xml:space="preserve">, a </w:t>
      </w:r>
      <w:r w:rsidR="008E724D" w:rsidRPr="006A5B45">
        <w:t>co zůstavitel vynaložil na úhradu dluhů svého zletilého potomka</w:t>
      </w:r>
      <w:r w:rsidR="00CC14EE" w:rsidRPr="006A5B45">
        <w:t>.</w:t>
      </w:r>
      <w:r w:rsidR="008E724D" w:rsidRPr="006A5B45">
        <w:t xml:space="preserve"> Od započtení obvyklého se liší tím, že se toto započtení provádí za celou dobu života zůstavitele, který však může stanovit lhůtu jinou.</w:t>
      </w:r>
      <w:r w:rsidR="00CB55EB" w:rsidRPr="006A5B45">
        <w:t xml:space="preserve"> NOZ obsahuje v § 1664 NOZ zmínku o možnosti započtení z iniciativy soudu, ke kterému by mohlo dojít v případě znevýhodňování nepominutelného dědice.</w:t>
      </w:r>
    </w:p>
    <w:p w:rsidR="00AD3257" w:rsidRDefault="00AD3257" w:rsidP="001B5EC0">
      <w:pPr>
        <w:spacing w:line="360" w:lineRule="auto"/>
      </w:pPr>
    </w:p>
    <w:p w:rsidR="00CB55EB" w:rsidRDefault="00CB55EB" w:rsidP="00CB55EB">
      <w:pPr>
        <w:pStyle w:val="Nadpis3"/>
      </w:pPr>
      <w:bookmarkStart w:id="35" w:name="_Toc449513923"/>
      <w:r>
        <w:t>4. 3 Ochrana nepominutelného dědice</w:t>
      </w:r>
      <w:bookmarkEnd w:id="35"/>
    </w:p>
    <w:p w:rsidR="00C57296" w:rsidRDefault="00BE4B63" w:rsidP="00BE4B63">
      <w:pPr>
        <w:spacing w:line="360" w:lineRule="auto"/>
        <w:contextualSpacing/>
      </w:pPr>
      <w:r>
        <w:tab/>
        <w:t xml:space="preserve">Zůstavitel, který se rozhodne pořídit závěť nebo jiné poslední pořízení na případ smrti, bude v ideálním případě na své nepominutelné dědice v pořízení pamatovat. Pokud se tak nestane, zákon nově po vzoru ABGB a </w:t>
      </w:r>
      <w:r w:rsidR="001576F5">
        <w:t>VN 37</w:t>
      </w:r>
      <w:r>
        <w:t xml:space="preserve"> přehledně upravuje případy, kdy může být nepominutelnému dědici poskytnuta ochrana.</w:t>
      </w:r>
      <w:r w:rsidR="0092341C">
        <w:t xml:space="preserve"> Právě v tomto oddíle je podle názoru autora </w:t>
      </w:r>
      <w:r w:rsidR="00FC0B91">
        <w:t xml:space="preserve">nejvíce </w:t>
      </w:r>
      <w:r w:rsidR="0092341C">
        <w:t>zřetelná inspirace starou právní úpravou.</w:t>
      </w:r>
    </w:p>
    <w:p w:rsidR="0092341C" w:rsidRDefault="0092341C" w:rsidP="00BE4B63">
      <w:pPr>
        <w:spacing w:line="360" w:lineRule="auto"/>
        <w:contextualSpacing/>
      </w:pPr>
      <w:r>
        <w:tab/>
      </w:r>
      <w:r w:rsidR="001576F5">
        <w:t>Zákoník stanovil</w:t>
      </w:r>
      <w:r w:rsidR="003A3D2E">
        <w:t xml:space="preserve"> v § 1650 NOZ právo nepominutelného dědice na povinný díl v případě, kdy byl neplatně vyděděn. </w:t>
      </w:r>
      <w:r w:rsidR="004B061B">
        <w:t xml:space="preserve">Pokud byl na svém povinném díle pouze zkrácen, má právo dožadovat se jeho doplnění. Komentář toto ustanovení dovykládá v tom směru, že právo garantované zmíněným ustanovením má nepominutelný dědic jen v případě, kdy zůstavitel sepsal závěť nebo jiné pořízení. </w:t>
      </w:r>
      <w:r w:rsidR="00676D86">
        <w:t>Pokud bude v prohlášení o vydědění uveden jeho důvod, ža</w:t>
      </w:r>
      <w:r w:rsidR="00E12B9C">
        <w:t>loba</w:t>
      </w:r>
      <w:r w:rsidR="00676D86">
        <w:t xml:space="preserve"> na neplatnost vydědění bude příslušet nepominutelnému dědici. Pokud důvod vydědění stanoven nebude, bude k žalobě odkázána osoba, která má nastoupit na jeho místo.</w:t>
      </w:r>
      <w:r w:rsidR="00676D86">
        <w:rPr>
          <w:rStyle w:val="Znakapoznpodarou"/>
        </w:rPr>
        <w:footnoteReference w:id="219"/>
      </w:r>
    </w:p>
    <w:p w:rsidR="004D25CC" w:rsidRDefault="00676D86" w:rsidP="004D25CC">
      <w:pPr>
        <w:spacing w:line="360" w:lineRule="auto"/>
        <w:contextualSpacing/>
      </w:pPr>
      <w:r>
        <w:tab/>
        <w:t xml:space="preserve">Dále zákon upravuje případy opomenutí nepominutelného dědice závětí, přičemž </w:t>
      </w:r>
      <w:r w:rsidR="00976772">
        <w:t>důsledky opomenut</w:t>
      </w:r>
      <w:r w:rsidR="00060FF2">
        <w:t>í se liší pro opomenutí vědomé a</w:t>
      </w:r>
      <w:r w:rsidR="00976772">
        <w:t xml:space="preserve"> nevědomé. </w:t>
      </w:r>
      <w:r w:rsidR="00D916BD">
        <w:t xml:space="preserve">V § 1651 odst. 1 </w:t>
      </w:r>
      <w:r w:rsidR="00E12B9C">
        <w:t>NOZ</w:t>
      </w:r>
      <w:r w:rsidR="00D916BD">
        <w:t xml:space="preserve"> je upravena situace, kdy zůstavitel věděl o tom, že má potomka, kterému by přísluš</w:t>
      </w:r>
      <w:r w:rsidR="00060FF2">
        <w:t>e</w:t>
      </w:r>
      <w:r w:rsidR="00D916BD">
        <w:t xml:space="preserve">lo právo na </w:t>
      </w:r>
      <w:r w:rsidR="00D916BD">
        <w:lastRenderedPageBreak/>
        <w:t>povinný díl</w:t>
      </w:r>
      <w:r w:rsidR="00E12B9C">
        <w:t>,</w:t>
      </w:r>
      <w:r w:rsidR="00D916BD">
        <w:t xml:space="preserve"> a přesto ho opominul závětí. </w:t>
      </w:r>
      <w:r w:rsidR="004D25CC">
        <w:t>Následkem takového opominutí není na</w:t>
      </w:r>
      <w:r w:rsidR="00E12B9C">
        <w:t xml:space="preserve"> </w:t>
      </w:r>
      <w:r w:rsidR="004D25CC">
        <w:t>rozdíl od staré právní úpravy neplatnost dané části závěti, ale vznik práva na povinný díl.</w:t>
      </w:r>
      <w:r w:rsidR="004D25CC">
        <w:rPr>
          <w:rStyle w:val="Znakapoznpodarou"/>
        </w:rPr>
        <w:footnoteReference w:id="220"/>
      </w:r>
    </w:p>
    <w:p w:rsidR="00676D86" w:rsidRDefault="004D25CC" w:rsidP="004D25CC">
      <w:pPr>
        <w:spacing w:line="360" w:lineRule="auto"/>
        <w:contextualSpacing/>
      </w:pPr>
      <w:r>
        <w:tab/>
      </w:r>
      <w:r w:rsidR="00A01FCF">
        <w:t>Vědomé opomenutí je dále specifikováno v odstavci druhém. Tam stojí, že v případě, kdy</w:t>
      </w:r>
      <w:r w:rsidR="00D93187">
        <w:t xml:space="preserve">ž </w:t>
      </w:r>
      <w:r w:rsidR="00A01FCF">
        <w:t xml:space="preserve">by existoval důvod pro vydědění opominutého dědice, mohlo by se pohlížet na takové opomenutí jako </w:t>
      </w:r>
      <w:r w:rsidR="00A61C9F">
        <w:t>na</w:t>
      </w:r>
      <w:r w:rsidR="00FC0B91">
        <w:t xml:space="preserve"> </w:t>
      </w:r>
      <w:r w:rsidR="00A01FCF">
        <w:t xml:space="preserve">„vydědění mlčky a po právu“. Není přitom podstatné, zda zůstavitel o důvodu vydědění věděl a proto se rozhodl dědice opomenout. </w:t>
      </w:r>
      <w:r>
        <w:t>Dokázat důvod vydědění bude náležet ostatním dědicům, kteří by v takovém případě byli od</w:t>
      </w:r>
      <w:r w:rsidR="00060FF2">
        <w:t>k</w:t>
      </w:r>
      <w:r>
        <w:t>ázáni soudem podat žalobu proti nepominutelnému dědici na určení vydědění mlčky a po právu.</w:t>
      </w:r>
      <w:r w:rsidR="00024F6E">
        <w:t xml:space="preserve"> Pokud by byl důvod vydědění prokázán, nepominutelný dědic by ztratil právo na povinný díl.</w:t>
      </w:r>
      <w:r w:rsidR="00024F6E">
        <w:rPr>
          <w:rStyle w:val="Znakapoznpodarou"/>
        </w:rPr>
        <w:footnoteReference w:id="221"/>
      </w:r>
      <w:r w:rsidR="00060FF2">
        <w:t xml:space="preserve"> </w:t>
      </w:r>
      <w:r w:rsidR="00E91A70">
        <w:t>Naopak pokud nebude prokázán důvod vydědění, zůstane nepominutelnému dědici právo na povinný díl. Toho se bude moci domáhat proti ostatním dědicům a odkazovníkům, kteří jsou povinni plnit poměrně.</w:t>
      </w:r>
      <w:r w:rsidR="00E91A70">
        <w:rPr>
          <w:rStyle w:val="Znakapoznpodarou"/>
        </w:rPr>
        <w:footnoteReference w:id="222"/>
      </w:r>
    </w:p>
    <w:p w:rsidR="00BE4B63" w:rsidRDefault="00BE4B63" w:rsidP="00BE4B63">
      <w:pPr>
        <w:spacing w:line="360" w:lineRule="auto"/>
        <w:contextualSpacing/>
      </w:pPr>
      <w:r>
        <w:tab/>
      </w:r>
      <w:r w:rsidR="00E91A70">
        <w:t>Poslední situací řešenou zákonem je tzv. nevědomé opomenutí nepominutelného dědice.</w:t>
      </w:r>
      <w:r w:rsidR="00AC6878">
        <w:t xml:space="preserve"> Jedná se o situaci, kdy zůstavitel nevěděl o existenci takového dědice, nebo se domníval, že tento dědic již nežije. Tento případ byl řešen </w:t>
      </w:r>
      <w:r w:rsidR="00060FF2">
        <w:t>shodně v ABGB i</w:t>
      </w:r>
      <w:r w:rsidR="00AC6878">
        <w:t xml:space="preserve"> </w:t>
      </w:r>
      <w:r w:rsidR="00D93187">
        <w:t>ve VN 37</w:t>
      </w:r>
      <w:r w:rsidR="00AC6878">
        <w:t xml:space="preserve">. V obou úpravách bylo takovému </w:t>
      </w:r>
      <w:r w:rsidR="00AC6878" w:rsidRPr="0099276E">
        <w:t xml:space="preserve">dědici přiznáno právo na dědický podíl, který obdržel dědic </w:t>
      </w:r>
      <w:r w:rsidR="00060FF2">
        <w:t>s nejmenší výhodou</w:t>
      </w:r>
      <w:r w:rsidR="00AC6878" w:rsidRPr="0099276E">
        <w:t xml:space="preserve"> z pozůstalosti. Dle důvodové zprávy náš zákoník nemohl převzít toto řešení, jelikož naše dědické právo zná pouze jednu skupinu nepominutelných dědiců. Proto je opominutému dědici</w:t>
      </w:r>
      <w:r w:rsidR="00AC6878">
        <w:t xml:space="preserve"> přiznáno ustanovením § 1652 NOZ opět právo na </w:t>
      </w:r>
      <w:r w:rsidR="00EA274C">
        <w:t xml:space="preserve">celý jeho </w:t>
      </w:r>
      <w:r w:rsidR="00AC6878">
        <w:t>povinný díl v zákonném rozsahu.</w:t>
      </w:r>
    </w:p>
    <w:p w:rsidR="00187B1E" w:rsidRDefault="00187B1E" w:rsidP="00BE4B63">
      <w:pPr>
        <w:spacing w:line="360" w:lineRule="auto"/>
        <w:contextualSpacing/>
      </w:pPr>
    </w:p>
    <w:p w:rsidR="006A5B45" w:rsidRDefault="006A5B45" w:rsidP="006A5B45">
      <w:pPr>
        <w:pStyle w:val="Nadpis3"/>
        <w:rPr>
          <w:u w:val="single"/>
        </w:rPr>
      </w:pPr>
      <w:bookmarkStart w:id="36" w:name="_Toc449513924"/>
      <w:r>
        <w:t>4. 4 Shrnutí právní úpravy</w:t>
      </w:r>
      <w:bookmarkEnd w:id="36"/>
    </w:p>
    <w:p w:rsidR="00076155" w:rsidRDefault="006A5B45" w:rsidP="00FC0B91">
      <w:pPr>
        <w:spacing w:line="360" w:lineRule="auto"/>
        <w:contextualSpacing/>
      </w:pPr>
      <w:r>
        <w:tab/>
        <w:t xml:space="preserve">Novou právní </w:t>
      </w:r>
      <w:r w:rsidR="00076155">
        <w:t xml:space="preserve">úpravou </w:t>
      </w:r>
      <w:r>
        <w:t>došlo v první řadě k</w:t>
      </w:r>
      <w:r w:rsidR="00BC0BD9">
        <w:t>e</w:t>
      </w:r>
      <w:r>
        <w:t xml:space="preserve"> </w:t>
      </w:r>
      <w:r w:rsidR="00BC0BD9">
        <w:t>zlepšení</w:t>
      </w:r>
      <w:r>
        <w:t xml:space="preserve"> postavení zůstavitele při pořízení závěti. Ač okruh nepominutelných dědiců zůstal stejný jako v předchozí úpravě, byla zkrácena výše povinného dílu jak u dědice nezletilého, tak i dědice zletilého. Zůstavitel </w:t>
      </w:r>
      <w:r w:rsidR="007E723D">
        <w:t xml:space="preserve">tak </w:t>
      </w:r>
      <w:r w:rsidR="00B516B8">
        <w:t>je</w:t>
      </w:r>
      <w:r>
        <w:t xml:space="preserve"> při pořizování </w:t>
      </w:r>
      <w:r w:rsidR="00076155">
        <w:t xml:space="preserve">méně vázán zákonem a </w:t>
      </w:r>
      <w:r w:rsidR="00B516B8">
        <w:t>může</w:t>
      </w:r>
      <w:r w:rsidR="00076155">
        <w:t xml:space="preserve"> s větší částí pozůstalosti naložit dle svého. Kladně můžeme hodnotit též fakt, že v rámci formálních práv došlo k rozšíření důvodů pro vydědění. Zůstavitel má tak ještě větší možnost docílit testamentu dle vlastní vůle. </w:t>
      </w:r>
      <w:r w:rsidR="00FC0B91">
        <w:t>Nemusí dále</w:t>
      </w:r>
      <w:r w:rsidR="00BC0BD9">
        <w:t xml:space="preserve"> v prohlášení o vydědění uvádět důvod, což lze považovat za klad spíše ve prospěch dědiců, kterým tak nebude připomínáno, čeho se v minulosti dopustil</w:t>
      </w:r>
      <w:r w:rsidR="00DB3F82">
        <w:t>i.</w:t>
      </w:r>
      <w:r w:rsidR="00C735FE">
        <w:t xml:space="preserve"> Změny dostálo i </w:t>
      </w:r>
      <w:r w:rsidR="00C735FE">
        <w:lastRenderedPageBreak/>
        <w:t>postavení samotného nepominutelného dědice, který je nově opět považován za obligačního věřitele a nikoli za zákonného dědice.</w:t>
      </w:r>
    </w:p>
    <w:p w:rsidR="00C735FE" w:rsidRPr="00C735FE" w:rsidRDefault="00C735FE" w:rsidP="00FC0B91">
      <w:pPr>
        <w:spacing w:line="360" w:lineRule="auto"/>
        <w:contextualSpacing/>
      </w:pPr>
      <w:r>
        <w:tab/>
        <w:t>Občanský zákon</w:t>
      </w:r>
      <w:r w:rsidR="00FC0B91">
        <w:t>ík</w:t>
      </w:r>
      <w:r>
        <w:t xml:space="preserve"> se v rámci ochrany nepominutelných dědiců vrátil ke stejné úpravě vědomého a nevědomého opomenutí zůstavitele, jak bylo upraveno v AB</w:t>
      </w:r>
      <w:r w:rsidR="00FC0B91">
        <w:t xml:space="preserve">GB a </w:t>
      </w:r>
      <w:r w:rsidR="00B516B8">
        <w:t>VN 37. N</w:t>
      </w:r>
      <w:r w:rsidR="00FC0B91">
        <w:t xml:space="preserve">OZ se </w:t>
      </w:r>
      <w:r w:rsidR="007E723D">
        <w:t xml:space="preserve">však </w:t>
      </w:r>
      <w:r w:rsidR="00FC0B91">
        <w:t>od staré úpravy liší tím, že již dále nepočítá s neplatností závěti jako důsledkem věcně napadené závěti. Důsledkem je vznik práva na povinný díl, který nepom</w:t>
      </w:r>
      <w:r w:rsidR="007E723D">
        <w:t>inutelný dědic nemá automaticky, ale jen po uplatnění svého práva.</w:t>
      </w:r>
    </w:p>
    <w:p w:rsidR="00BC0BD9" w:rsidRPr="00BC0BD9" w:rsidRDefault="00BC0BD9" w:rsidP="00BC0BD9">
      <w:r>
        <w:tab/>
      </w:r>
    </w:p>
    <w:p w:rsidR="00187B1E" w:rsidRDefault="00076155" w:rsidP="006A5B45">
      <w:pPr>
        <w:pStyle w:val="Nadpis3"/>
      </w:pPr>
      <w:r>
        <w:rPr>
          <w:b w:val="0"/>
        </w:rPr>
        <w:tab/>
      </w:r>
      <w:r w:rsidR="00187B1E">
        <w:br w:type="page"/>
      </w:r>
    </w:p>
    <w:p w:rsidR="00187B1E" w:rsidRDefault="00187B1E" w:rsidP="00187B1E">
      <w:pPr>
        <w:pStyle w:val="Nadpis1"/>
      </w:pPr>
      <w:bookmarkStart w:id="37" w:name="_Toc449513925"/>
      <w:r>
        <w:lastRenderedPageBreak/>
        <w:t>Závěr</w:t>
      </w:r>
      <w:bookmarkEnd w:id="37"/>
    </w:p>
    <w:p w:rsidR="00064BEC" w:rsidRDefault="00064BEC" w:rsidP="00064BEC">
      <w:pPr>
        <w:spacing w:line="360" w:lineRule="auto"/>
        <w:contextualSpacing/>
        <w:rPr>
          <w:szCs w:val="24"/>
        </w:rPr>
      </w:pPr>
      <w:r>
        <w:rPr>
          <w:szCs w:val="24"/>
        </w:rPr>
        <w:tab/>
      </w:r>
      <w:r w:rsidRPr="00B777C8">
        <w:rPr>
          <w:szCs w:val="24"/>
        </w:rPr>
        <w:t xml:space="preserve">Ve své diplomové práci jsem se </w:t>
      </w:r>
      <w:r w:rsidR="004352C8">
        <w:rPr>
          <w:szCs w:val="24"/>
        </w:rPr>
        <w:t>zabývala problematikou</w:t>
      </w:r>
      <w:r w:rsidRPr="00B777C8">
        <w:rPr>
          <w:szCs w:val="24"/>
        </w:rPr>
        <w:t xml:space="preserve"> „Posloupnosti proti testamentu“. Cílem této práce bylo nastínit vývoj formálních a materiáln</w:t>
      </w:r>
      <w:r w:rsidR="00B516B8">
        <w:rPr>
          <w:szCs w:val="24"/>
        </w:rPr>
        <w:t>ích práv nepominutelných dědiců</w:t>
      </w:r>
      <w:r w:rsidRPr="00B777C8">
        <w:rPr>
          <w:szCs w:val="24"/>
        </w:rPr>
        <w:t xml:space="preserve"> od římského práva po současnou právní úpravu. Vzhledem k po</w:t>
      </w:r>
      <w:r w:rsidR="00594A3C">
        <w:rPr>
          <w:szCs w:val="24"/>
        </w:rPr>
        <w:t>stupné změně podoby společnosti</w:t>
      </w:r>
      <w:r w:rsidRPr="00B777C8">
        <w:rPr>
          <w:szCs w:val="24"/>
        </w:rPr>
        <w:t xml:space="preserve"> i jednotlivých právních systémů, </w:t>
      </w:r>
      <w:r>
        <w:rPr>
          <w:szCs w:val="24"/>
        </w:rPr>
        <w:t xml:space="preserve">jsem se </w:t>
      </w:r>
      <w:r w:rsidRPr="00B777C8">
        <w:rPr>
          <w:szCs w:val="24"/>
        </w:rPr>
        <w:t xml:space="preserve">zaměřila u posloupnosti v jednotlivých kapitolách na charakteristiku pojmů s touto problematikou související. </w:t>
      </w:r>
    </w:p>
    <w:p w:rsidR="001B1C42" w:rsidRDefault="001B1C42" w:rsidP="001B1C42">
      <w:pPr>
        <w:spacing w:line="360" w:lineRule="auto"/>
        <w:ind w:firstLine="708"/>
        <w:contextualSpacing/>
      </w:pPr>
      <w:r>
        <w:t>Vzhledem k omezenému rozsahu diplomové práce jsem se nemohla zabývat vývojem posloupnosti proti testamentu ve středověkém právu, ač je to problematika neméně zajímavá. Zvolila jsem proto pro komparaci ty zákonné úpravy, které dle mého názoru nejvíce ovlivnily současný kodex soukromého práva.</w:t>
      </w:r>
    </w:p>
    <w:p w:rsidR="001B1C42" w:rsidRPr="001B1C42" w:rsidRDefault="001B1C42" w:rsidP="001B1C42">
      <w:pPr>
        <w:spacing w:line="360" w:lineRule="auto"/>
        <w:ind w:firstLine="708"/>
        <w:contextualSpacing/>
      </w:pPr>
      <w:r>
        <w:t>Více prostoru by si jistě zasloužila i problematika započtení na povinný díl a dědický podíl, která souvisí s právy nepominutelných dědiců. Kvůli omezenému rozsahu práce jsem ale bohužel nastínila jen základní otázky s tímto spojené v rámci římského práva i všech následujících právních úprav.</w:t>
      </w:r>
    </w:p>
    <w:p w:rsidR="00064BEC" w:rsidRPr="00B777C8" w:rsidRDefault="00064BEC" w:rsidP="00064BEC">
      <w:pPr>
        <w:spacing w:line="360" w:lineRule="auto"/>
        <w:contextualSpacing/>
        <w:rPr>
          <w:szCs w:val="24"/>
        </w:rPr>
      </w:pPr>
      <w:r w:rsidRPr="00B777C8">
        <w:rPr>
          <w:szCs w:val="24"/>
        </w:rPr>
        <w:tab/>
        <w:t xml:space="preserve">Diplomová práce obsahuje úvod, 4 kapitoly, </w:t>
      </w:r>
      <w:r>
        <w:rPr>
          <w:szCs w:val="24"/>
        </w:rPr>
        <w:t>přičemž</w:t>
      </w:r>
      <w:r w:rsidRPr="00B777C8">
        <w:rPr>
          <w:szCs w:val="24"/>
        </w:rPr>
        <w:t xml:space="preserve"> každá z nich je složena z dalších podkapitol, které vymezují danou problematiku, a závěr. V jednotlivých podkapitolách jsou předmětem komparace stejné pojmy. Dle mého n</w:t>
      </w:r>
      <w:r w:rsidR="006530AD">
        <w:rPr>
          <w:szCs w:val="24"/>
        </w:rPr>
        <w:t>ázoru takové uspořádání posloužilo</w:t>
      </w:r>
      <w:r w:rsidRPr="00B777C8">
        <w:rPr>
          <w:szCs w:val="24"/>
        </w:rPr>
        <w:t xml:space="preserve"> k větší přehlednosti práce.</w:t>
      </w:r>
    </w:p>
    <w:p w:rsidR="00064BEC" w:rsidRDefault="00064BEC" w:rsidP="00064BEC">
      <w:pPr>
        <w:spacing w:line="360" w:lineRule="auto"/>
        <w:contextualSpacing/>
        <w:rPr>
          <w:szCs w:val="24"/>
        </w:rPr>
      </w:pPr>
      <w:r w:rsidRPr="00B777C8">
        <w:rPr>
          <w:szCs w:val="24"/>
        </w:rPr>
        <w:tab/>
        <w:t xml:space="preserve">Formální práva v takové podobě, která byla známa již v římském právu, se v kodexech soukromého práva nadále </w:t>
      </w:r>
      <w:r w:rsidR="00E219CE">
        <w:rPr>
          <w:szCs w:val="24"/>
        </w:rPr>
        <w:t>nezachovala</w:t>
      </w:r>
      <w:r>
        <w:rPr>
          <w:szCs w:val="24"/>
        </w:rPr>
        <w:t>. Zachovaly se pouze jedno</w:t>
      </w:r>
      <w:r w:rsidR="00DB2963">
        <w:rPr>
          <w:szCs w:val="24"/>
        </w:rPr>
        <w:t xml:space="preserve">tlivé aspekty. </w:t>
      </w:r>
      <w:r w:rsidRPr="00B777C8">
        <w:rPr>
          <w:szCs w:val="24"/>
        </w:rPr>
        <w:t xml:space="preserve">Jedním z </w:t>
      </w:r>
      <w:r>
        <w:rPr>
          <w:szCs w:val="24"/>
        </w:rPr>
        <w:t>těchto aspektů</w:t>
      </w:r>
      <w:r w:rsidRPr="00B777C8">
        <w:rPr>
          <w:szCs w:val="24"/>
        </w:rPr>
        <w:t xml:space="preserve"> byla povinnost zůstavitele, který se rozhodl pořídit závěť, pamatovat </w:t>
      </w:r>
      <w:r>
        <w:rPr>
          <w:szCs w:val="24"/>
        </w:rPr>
        <w:t>závětí</w:t>
      </w:r>
      <w:r w:rsidRPr="00B777C8">
        <w:rPr>
          <w:szCs w:val="24"/>
        </w:rPr>
        <w:t xml:space="preserve"> na úzký okruh osob, který každý zákoník určoval jinak. Odlišností </w:t>
      </w:r>
      <w:r>
        <w:rPr>
          <w:szCs w:val="24"/>
        </w:rPr>
        <w:t xml:space="preserve">od římského práva </w:t>
      </w:r>
      <w:r w:rsidRPr="00B777C8">
        <w:rPr>
          <w:szCs w:val="24"/>
        </w:rPr>
        <w:t xml:space="preserve">bylo, že zůstavitel neměl </w:t>
      </w:r>
      <w:r>
        <w:rPr>
          <w:szCs w:val="24"/>
        </w:rPr>
        <w:t>nikde</w:t>
      </w:r>
      <w:r w:rsidRPr="00B777C8">
        <w:rPr>
          <w:szCs w:val="24"/>
        </w:rPr>
        <w:t xml:space="preserve"> stanovenou povinnost </w:t>
      </w:r>
      <w:r>
        <w:rPr>
          <w:szCs w:val="24"/>
        </w:rPr>
        <w:t>nepominutelné dědice</w:t>
      </w:r>
      <w:r w:rsidRPr="00B777C8">
        <w:rPr>
          <w:szCs w:val="24"/>
        </w:rPr>
        <w:t xml:space="preserve"> v </w:t>
      </w:r>
      <w:r>
        <w:rPr>
          <w:szCs w:val="24"/>
        </w:rPr>
        <w:t xml:space="preserve">závěti jmenovat. </w:t>
      </w:r>
      <w:r w:rsidRPr="00B777C8">
        <w:rPr>
          <w:szCs w:val="24"/>
        </w:rPr>
        <w:t>Postačilo, když jím například zákonem uznanou část pozůstalosti nechal nezatíženou. Pokud rozhodl o svém majetku v neprospěch nepominutelného dědice, zákon takovému dědici poskytoval prostředek obrany proti takovému jednání. V rámci své práce jsem se zaměřila na vymezení okruhu nepominutelných dědiců v jednotlivých právních úpravách a nadále jsem se snažila přiblížit postavení takových osob, které jim dále předurčovalo i další možnost</w:t>
      </w:r>
      <w:r w:rsidR="00187C2A">
        <w:rPr>
          <w:szCs w:val="24"/>
        </w:rPr>
        <w:t>i</w:t>
      </w:r>
      <w:r w:rsidRPr="00B777C8">
        <w:rPr>
          <w:szCs w:val="24"/>
        </w:rPr>
        <w:t>, zejména v procesním právu.</w:t>
      </w:r>
      <w:r>
        <w:rPr>
          <w:szCs w:val="24"/>
        </w:rPr>
        <w:t xml:space="preserve"> </w:t>
      </w:r>
    </w:p>
    <w:p w:rsidR="00064BEC" w:rsidRPr="00B777C8" w:rsidRDefault="00064BEC" w:rsidP="00064BEC">
      <w:pPr>
        <w:spacing w:line="360" w:lineRule="auto"/>
        <w:contextualSpacing/>
        <w:rPr>
          <w:szCs w:val="24"/>
        </w:rPr>
      </w:pPr>
      <w:r>
        <w:rPr>
          <w:szCs w:val="24"/>
        </w:rPr>
        <w:tab/>
        <w:t>Ze zjištěných poznatků lze konstatovat, že okruh nepominute</w:t>
      </w:r>
      <w:r w:rsidR="006530AD">
        <w:rPr>
          <w:szCs w:val="24"/>
        </w:rPr>
        <w:t>lných dědiců se postupem času zu</w:t>
      </w:r>
      <w:r>
        <w:rPr>
          <w:szCs w:val="24"/>
        </w:rPr>
        <w:t>žoval. V římském právu byli za nepominutelné dědice považováni descendenti, ascendenti a v některých případech sourozenci zůstavitele. ABGB, vládní návrh z roku 1937 i střední zákoník se</w:t>
      </w:r>
      <w:r w:rsidR="006530AD">
        <w:rPr>
          <w:szCs w:val="24"/>
        </w:rPr>
        <w:t xml:space="preserve"> nechaly</w:t>
      </w:r>
      <w:r>
        <w:rPr>
          <w:szCs w:val="24"/>
        </w:rPr>
        <w:t xml:space="preserve"> v okruhu osob římským právem inspirovat, přičemž </w:t>
      </w:r>
      <w:r w:rsidR="006530AD">
        <w:rPr>
          <w:szCs w:val="24"/>
        </w:rPr>
        <w:lastRenderedPageBreak/>
        <w:t>neřadily</w:t>
      </w:r>
      <w:r>
        <w:rPr>
          <w:szCs w:val="24"/>
        </w:rPr>
        <w:t xml:space="preserve"> mezi takové dědice sourozence. Novější právní úprava představovaná občanským zákoníkem z roku 1964 a zákoníkem z roku 2012 mezi tyto dědice zařadila pouze potomky zůstavitele.</w:t>
      </w:r>
    </w:p>
    <w:p w:rsidR="00064BEC" w:rsidRPr="00B777C8" w:rsidRDefault="00064BEC" w:rsidP="00064BEC">
      <w:pPr>
        <w:spacing w:line="360" w:lineRule="auto"/>
        <w:contextualSpacing/>
        <w:rPr>
          <w:szCs w:val="24"/>
        </w:rPr>
      </w:pPr>
      <w:r w:rsidRPr="00B777C8">
        <w:rPr>
          <w:szCs w:val="24"/>
        </w:rPr>
        <w:tab/>
        <w:t>V novodobých zákonících nebyla rovněž stanovena povinnost zůstavitele vydědit svého potomka. Této možnosti mohl zůstavitel využít jen v zákonem omezených případech a ve většině případů pro to musel mít vážný důvod. Víceméně všechny mnou porov</w:t>
      </w:r>
      <w:r w:rsidR="00DB2963">
        <w:rPr>
          <w:szCs w:val="24"/>
        </w:rPr>
        <w:t>n</w:t>
      </w:r>
      <w:r w:rsidRPr="00B777C8">
        <w:rPr>
          <w:szCs w:val="24"/>
        </w:rPr>
        <w:t xml:space="preserve">ávané zákoníky vymezovaly </w:t>
      </w:r>
      <w:r>
        <w:rPr>
          <w:szCs w:val="24"/>
        </w:rPr>
        <w:t>jednotlivé důvody pro vydědění</w:t>
      </w:r>
      <w:r w:rsidRPr="00B777C8">
        <w:rPr>
          <w:szCs w:val="24"/>
        </w:rPr>
        <w:t xml:space="preserve"> velice striktně a nebylo možné se od nich odchýlit. </w:t>
      </w:r>
      <w:r>
        <w:rPr>
          <w:szCs w:val="24"/>
        </w:rPr>
        <w:t>Určitou volnost při vydědění p</w:t>
      </w:r>
      <w:r w:rsidR="00694B0C">
        <w:rPr>
          <w:szCs w:val="24"/>
        </w:rPr>
        <w:t>ředstavoval</w:t>
      </w:r>
      <w:r>
        <w:rPr>
          <w:szCs w:val="24"/>
        </w:rPr>
        <w:t xml:space="preserve"> ABGB, vládní návrh 1937 a současná právní úprava, </w:t>
      </w:r>
      <w:r w:rsidR="00DB2963">
        <w:rPr>
          <w:szCs w:val="24"/>
        </w:rPr>
        <w:t>kde nebylo a není požadováno</w:t>
      </w:r>
      <w:r>
        <w:rPr>
          <w:szCs w:val="24"/>
        </w:rPr>
        <w:t xml:space="preserve"> uvedení důvodu v listině o vydědění.</w:t>
      </w:r>
      <w:r w:rsidR="00DB2963">
        <w:rPr>
          <w:szCs w:val="24"/>
        </w:rPr>
        <w:t xml:space="preserve"> </w:t>
      </w:r>
      <w:r w:rsidRPr="00B777C8">
        <w:rPr>
          <w:szCs w:val="24"/>
        </w:rPr>
        <w:t>Významem vydědění bylo ve všech případech porovnáv</w:t>
      </w:r>
      <w:r>
        <w:rPr>
          <w:szCs w:val="24"/>
        </w:rPr>
        <w:t>aných právních úprav</w:t>
      </w:r>
      <w:r w:rsidRPr="00B777C8">
        <w:rPr>
          <w:szCs w:val="24"/>
        </w:rPr>
        <w:t xml:space="preserve"> </w:t>
      </w:r>
      <w:r>
        <w:rPr>
          <w:szCs w:val="24"/>
        </w:rPr>
        <w:t>odejmout nepominutelnému dědi</w:t>
      </w:r>
      <w:r w:rsidR="00C513F7">
        <w:rPr>
          <w:szCs w:val="24"/>
        </w:rPr>
        <w:t>ci jeho právo</w:t>
      </w:r>
      <w:r w:rsidRPr="00B777C8">
        <w:rPr>
          <w:szCs w:val="24"/>
        </w:rPr>
        <w:t xml:space="preserve"> na povinný díl. V římském právu bylo vydědění </w:t>
      </w:r>
      <w:r w:rsidR="00520854">
        <w:rPr>
          <w:szCs w:val="24"/>
        </w:rPr>
        <w:t>zpočátku mimo jiné bráno i jako</w:t>
      </w:r>
      <w:r w:rsidRPr="00B777C8">
        <w:rPr>
          <w:szCs w:val="24"/>
        </w:rPr>
        <w:t xml:space="preserve"> prostředek, kterým zůstavitel mohl zamezit zneplatnění závěti po jeho smr</w:t>
      </w:r>
      <w:r w:rsidR="00DB2963">
        <w:rPr>
          <w:szCs w:val="24"/>
        </w:rPr>
        <w:t>t</w:t>
      </w:r>
      <w:r w:rsidRPr="00B777C8">
        <w:rPr>
          <w:szCs w:val="24"/>
        </w:rPr>
        <w:t>i. Až později byly stanoveny důvody, které se příliš neodlišovaly od stávajících důvodů pro vydědění.</w:t>
      </w:r>
    </w:p>
    <w:p w:rsidR="00064BEC" w:rsidRDefault="00064BEC" w:rsidP="00064BEC">
      <w:pPr>
        <w:spacing w:line="360" w:lineRule="auto"/>
        <w:contextualSpacing/>
        <w:rPr>
          <w:szCs w:val="24"/>
        </w:rPr>
      </w:pPr>
      <w:r w:rsidRPr="00B777C8">
        <w:rPr>
          <w:szCs w:val="24"/>
        </w:rPr>
        <w:tab/>
        <w:t>Materiální práva nepominutelných dědiců se svým obsahem dochovala až do dnešní doby. Patřilo do nich právo na povinný díl a obrana nepominutelného dědice proti zásahu do jeho práva. Právo na povinný díl bylo součástí všech právních úprav porovnávaných zákoní</w:t>
      </w:r>
      <w:r>
        <w:rPr>
          <w:szCs w:val="24"/>
        </w:rPr>
        <w:t xml:space="preserve">ků, byť se </w:t>
      </w:r>
      <w:r w:rsidR="00C513F7">
        <w:rPr>
          <w:szCs w:val="24"/>
        </w:rPr>
        <w:t>mnohdy</w:t>
      </w:r>
      <w:r>
        <w:rPr>
          <w:szCs w:val="24"/>
        </w:rPr>
        <w:t xml:space="preserve"> svým označením</w:t>
      </w:r>
      <w:r w:rsidR="00C513F7">
        <w:rPr>
          <w:szCs w:val="24"/>
        </w:rPr>
        <w:t xml:space="preserve"> a výší lišilo</w:t>
      </w:r>
      <w:r w:rsidRPr="00B777C8">
        <w:rPr>
          <w:szCs w:val="24"/>
        </w:rPr>
        <w:t xml:space="preserve">. Obsahově bylo stále stejné a předurčovalo nepominutelnému dědici právo na zákonem stanovený díl z pozůstalosti. </w:t>
      </w:r>
      <w:r>
        <w:rPr>
          <w:szCs w:val="24"/>
        </w:rPr>
        <w:tab/>
      </w:r>
      <w:r w:rsidRPr="00B777C8">
        <w:rPr>
          <w:szCs w:val="24"/>
        </w:rPr>
        <w:t xml:space="preserve">Všechny </w:t>
      </w:r>
      <w:r>
        <w:rPr>
          <w:szCs w:val="24"/>
        </w:rPr>
        <w:t xml:space="preserve">mnou porovnávané </w:t>
      </w:r>
      <w:r w:rsidRPr="00B777C8">
        <w:rPr>
          <w:szCs w:val="24"/>
        </w:rPr>
        <w:t>právní úpravy poskytovaly též po vz</w:t>
      </w:r>
      <w:r>
        <w:rPr>
          <w:szCs w:val="24"/>
        </w:rPr>
        <w:t>oru římského práva n</w:t>
      </w:r>
      <w:r w:rsidRPr="00B777C8">
        <w:rPr>
          <w:szCs w:val="24"/>
        </w:rPr>
        <w:t>e</w:t>
      </w:r>
      <w:r>
        <w:rPr>
          <w:szCs w:val="24"/>
        </w:rPr>
        <w:t>p</w:t>
      </w:r>
      <w:r w:rsidRPr="00B777C8">
        <w:rPr>
          <w:szCs w:val="24"/>
        </w:rPr>
        <w:t>ominutelnému dědici možnost</w:t>
      </w:r>
      <w:r w:rsidR="00C513F7">
        <w:rPr>
          <w:szCs w:val="24"/>
        </w:rPr>
        <w:t xml:space="preserve"> bránit se žalobou proti nespravedlivé</w:t>
      </w:r>
      <w:r w:rsidRPr="00B777C8">
        <w:rPr>
          <w:szCs w:val="24"/>
        </w:rPr>
        <w:t xml:space="preserve"> </w:t>
      </w:r>
      <w:r>
        <w:rPr>
          <w:szCs w:val="24"/>
        </w:rPr>
        <w:t>závěti, která</w:t>
      </w:r>
      <w:r w:rsidRPr="00B777C8">
        <w:rPr>
          <w:szCs w:val="24"/>
        </w:rPr>
        <w:t xml:space="preserve"> ho </w:t>
      </w:r>
      <w:r>
        <w:rPr>
          <w:szCs w:val="24"/>
        </w:rPr>
        <w:t xml:space="preserve">připravila </w:t>
      </w:r>
      <w:r w:rsidRPr="00B777C8">
        <w:rPr>
          <w:szCs w:val="24"/>
        </w:rPr>
        <w:t xml:space="preserve">o jeho </w:t>
      </w:r>
      <w:r>
        <w:rPr>
          <w:szCs w:val="24"/>
        </w:rPr>
        <w:t>podíl na dědictví</w:t>
      </w:r>
      <w:r w:rsidRPr="00B777C8">
        <w:rPr>
          <w:szCs w:val="24"/>
        </w:rPr>
        <w:t xml:space="preserve">. Soukromoprávní kodexy se v tomto případě odlišovaly zejména důsledky podání </w:t>
      </w:r>
      <w:r>
        <w:rPr>
          <w:szCs w:val="24"/>
        </w:rPr>
        <w:t>žaloby, které souvisely s postavením nepominutelného dědice v právu.</w:t>
      </w:r>
    </w:p>
    <w:p w:rsidR="00064BEC" w:rsidRPr="00B777C8" w:rsidRDefault="00064BEC" w:rsidP="00064BEC">
      <w:pPr>
        <w:spacing w:line="360" w:lineRule="auto"/>
        <w:contextualSpacing/>
        <w:rPr>
          <w:szCs w:val="24"/>
        </w:rPr>
      </w:pPr>
      <w:r>
        <w:rPr>
          <w:szCs w:val="24"/>
        </w:rPr>
        <w:tab/>
        <w:t>Docílit úplného zrušení testamentu pro jeho neplatnost s následným děděním dle zákonné posloupnosti umožňovalo jen ABGB a vládní návrh z roku 1937. Zbylé právní úpravy uplatnění žaloby na neplatnost nespojovaly s jejím zrušením. Úspěšným namítnutím neplatnosti došlo pouze ke zneplat</w:t>
      </w:r>
      <w:r w:rsidR="00DB2963">
        <w:rPr>
          <w:szCs w:val="24"/>
        </w:rPr>
        <w:t>n</w:t>
      </w:r>
      <w:r>
        <w:rPr>
          <w:szCs w:val="24"/>
        </w:rPr>
        <w:t>ění závěti v rozsahu odpovídajícímu povinnému dílu</w:t>
      </w:r>
      <w:r w:rsidR="000C4EB5">
        <w:rPr>
          <w:szCs w:val="24"/>
        </w:rPr>
        <w:t xml:space="preserve"> nepominutelného dědice, kdy on sám pak </w:t>
      </w:r>
      <w:r>
        <w:rPr>
          <w:szCs w:val="24"/>
        </w:rPr>
        <w:t>získa</w:t>
      </w:r>
      <w:r w:rsidR="000C4EB5">
        <w:rPr>
          <w:szCs w:val="24"/>
        </w:rPr>
        <w:t>l</w:t>
      </w:r>
      <w:r>
        <w:rPr>
          <w:szCs w:val="24"/>
        </w:rPr>
        <w:t xml:space="preserve"> možnost dostát svého práva na povinný díl.</w:t>
      </w:r>
    </w:p>
    <w:p w:rsidR="00064BEC" w:rsidRDefault="00064BEC" w:rsidP="00064BEC">
      <w:pPr>
        <w:spacing w:line="360" w:lineRule="auto"/>
        <w:contextualSpacing/>
        <w:rPr>
          <w:szCs w:val="24"/>
        </w:rPr>
      </w:pPr>
      <w:r>
        <w:rPr>
          <w:szCs w:val="24"/>
        </w:rPr>
        <w:tab/>
      </w:r>
      <w:r w:rsidRPr="007368E2">
        <w:rPr>
          <w:szCs w:val="24"/>
        </w:rPr>
        <w:t xml:space="preserve">Shrneme-li výše zjištěné poznatky, můžeme s ohledem na osobu zůstavitele konstatovat, že došlo v průběhu vývoje práv nepominutelných dědiců k čím dál většímu zvolňování požadavků </w:t>
      </w:r>
      <w:r>
        <w:rPr>
          <w:szCs w:val="24"/>
        </w:rPr>
        <w:t xml:space="preserve">na něj </w:t>
      </w:r>
      <w:r w:rsidR="000C4EB5">
        <w:rPr>
          <w:szCs w:val="24"/>
        </w:rPr>
        <w:t>kladených. Oc</w:t>
      </w:r>
      <w:r>
        <w:rPr>
          <w:szCs w:val="24"/>
        </w:rPr>
        <w:t xml:space="preserve">hranu a </w:t>
      </w:r>
      <w:r w:rsidR="008F7C69">
        <w:rPr>
          <w:szCs w:val="24"/>
        </w:rPr>
        <w:t>zdůraznění</w:t>
      </w:r>
      <w:r w:rsidR="00DB2963">
        <w:rPr>
          <w:szCs w:val="24"/>
        </w:rPr>
        <w:t xml:space="preserve"> </w:t>
      </w:r>
      <w:r>
        <w:rPr>
          <w:szCs w:val="24"/>
        </w:rPr>
        <w:t>význam</w:t>
      </w:r>
      <w:r w:rsidR="00DB2963">
        <w:rPr>
          <w:szCs w:val="24"/>
        </w:rPr>
        <w:t>u</w:t>
      </w:r>
      <w:r>
        <w:rPr>
          <w:szCs w:val="24"/>
        </w:rPr>
        <w:t xml:space="preserve"> jeho poslední vůle můžeme shledat</w:t>
      </w:r>
      <w:r w:rsidRPr="007368E2">
        <w:rPr>
          <w:szCs w:val="24"/>
        </w:rPr>
        <w:t xml:space="preserve"> i v tom, že </w:t>
      </w:r>
      <w:r>
        <w:rPr>
          <w:szCs w:val="24"/>
        </w:rPr>
        <w:t xml:space="preserve">v rámci vývoje práv </w:t>
      </w:r>
      <w:r w:rsidRPr="007368E2">
        <w:rPr>
          <w:szCs w:val="24"/>
        </w:rPr>
        <w:t xml:space="preserve">docházelo obtížněji k celkovému zrušení </w:t>
      </w:r>
      <w:r w:rsidRPr="007368E2">
        <w:rPr>
          <w:szCs w:val="24"/>
        </w:rPr>
        <w:lastRenderedPageBreak/>
        <w:t>testamentu jako takového</w:t>
      </w:r>
      <w:r w:rsidR="00915D0E">
        <w:rPr>
          <w:szCs w:val="24"/>
        </w:rPr>
        <w:t xml:space="preserve">, což </w:t>
      </w:r>
      <w:r w:rsidR="0086122B">
        <w:rPr>
          <w:szCs w:val="24"/>
        </w:rPr>
        <w:t>ne</w:t>
      </w:r>
      <w:r w:rsidR="00915D0E">
        <w:rPr>
          <w:szCs w:val="24"/>
        </w:rPr>
        <w:t xml:space="preserve">bylo v římském právu </w:t>
      </w:r>
      <w:r w:rsidR="0086122B">
        <w:rPr>
          <w:szCs w:val="24"/>
        </w:rPr>
        <w:t>neobvyklé. Novější právní úpravy</w:t>
      </w:r>
      <w:r w:rsidR="00915D0E">
        <w:rPr>
          <w:szCs w:val="24"/>
        </w:rPr>
        <w:t xml:space="preserve"> </w:t>
      </w:r>
      <w:r w:rsidR="0086122B">
        <w:rPr>
          <w:szCs w:val="24"/>
        </w:rPr>
        <w:t>kladou</w:t>
      </w:r>
      <w:r w:rsidR="00915D0E">
        <w:rPr>
          <w:szCs w:val="24"/>
        </w:rPr>
        <w:t xml:space="preserve"> důraz spíše na </w:t>
      </w:r>
      <w:r w:rsidR="0086122B">
        <w:rPr>
          <w:szCs w:val="24"/>
        </w:rPr>
        <w:t>zachování testamentu a poslední vůle zemřelého zůstavitele.</w:t>
      </w:r>
    </w:p>
    <w:p w:rsidR="007A3ED6" w:rsidRPr="007368E2" w:rsidRDefault="007A3ED6" w:rsidP="00064BEC">
      <w:pPr>
        <w:spacing w:line="360" w:lineRule="auto"/>
        <w:contextualSpacing/>
        <w:rPr>
          <w:szCs w:val="24"/>
        </w:rPr>
      </w:pPr>
    </w:p>
    <w:p w:rsidR="00064BEC" w:rsidRPr="007368E2" w:rsidRDefault="00064BEC" w:rsidP="00064BEC">
      <w:pPr>
        <w:spacing w:line="360" w:lineRule="auto"/>
        <w:contextualSpacing/>
        <w:rPr>
          <w:szCs w:val="24"/>
        </w:rPr>
      </w:pPr>
      <w:r w:rsidRPr="007368E2">
        <w:rPr>
          <w:szCs w:val="24"/>
        </w:rPr>
        <w:tab/>
      </w:r>
    </w:p>
    <w:p w:rsidR="00064BEC" w:rsidRPr="00B777C8" w:rsidRDefault="00064BEC" w:rsidP="00064BEC">
      <w:pPr>
        <w:spacing w:line="360" w:lineRule="auto"/>
        <w:contextualSpacing/>
        <w:rPr>
          <w:szCs w:val="24"/>
        </w:rPr>
      </w:pPr>
    </w:p>
    <w:p w:rsidR="00BC1DA5" w:rsidRDefault="00BC1DA5">
      <w:pPr>
        <w:jc w:val="left"/>
      </w:pPr>
      <w:r>
        <w:br w:type="page"/>
      </w:r>
    </w:p>
    <w:p w:rsidR="00187B1E" w:rsidRDefault="00BC1DA5" w:rsidP="00BC1DA5">
      <w:pPr>
        <w:pStyle w:val="Nadpis1"/>
      </w:pPr>
      <w:bookmarkStart w:id="38" w:name="_Toc449513926"/>
      <w:r>
        <w:lastRenderedPageBreak/>
        <w:t>Seznam použitých zdrojů</w:t>
      </w:r>
      <w:bookmarkEnd w:id="38"/>
    </w:p>
    <w:p w:rsidR="00BC0D40" w:rsidRDefault="00BC0D40" w:rsidP="00BC0D40">
      <w:pPr>
        <w:rPr>
          <w:b/>
          <w:szCs w:val="24"/>
        </w:rPr>
      </w:pPr>
    </w:p>
    <w:p w:rsidR="00BC0D40" w:rsidRPr="003E7602" w:rsidRDefault="00BC0D40" w:rsidP="00BC0D40">
      <w:pPr>
        <w:rPr>
          <w:b/>
          <w:szCs w:val="24"/>
        </w:rPr>
      </w:pPr>
      <w:r w:rsidRPr="003E7602">
        <w:rPr>
          <w:b/>
          <w:szCs w:val="24"/>
        </w:rPr>
        <w:t>KOMENTÁŘOVÁ LITERATURA</w:t>
      </w:r>
    </w:p>
    <w:p w:rsidR="00997F43" w:rsidRPr="003E7602" w:rsidRDefault="00997F43" w:rsidP="00BC0D40">
      <w:pPr>
        <w:rPr>
          <w:szCs w:val="24"/>
        </w:rPr>
      </w:pPr>
      <w:r w:rsidRPr="003E7602">
        <w:rPr>
          <w:szCs w:val="24"/>
        </w:rPr>
        <w:t xml:space="preserve">FIALA, Josef a kol. </w:t>
      </w:r>
      <w:r w:rsidRPr="003E7602">
        <w:rPr>
          <w:i/>
          <w:szCs w:val="24"/>
        </w:rPr>
        <w:t>Občanský zákoník: poznámkové vydání s judikaturou a literaturou</w:t>
      </w:r>
      <w:r>
        <w:rPr>
          <w:szCs w:val="24"/>
        </w:rPr>
        <w:t xml:space="preserve">. 12. </w:t>
      </w:r>
      <w:r w:rsidR="008818F5">
        <w:rPr>
          <w:szCs w:val="24"/>
        </w:rPr>
        <w:t>vydání. Praha: Linde, 2006.</w:t>
      </w:r>
      <w:r w:rsidRPr="003E7602">
        <w:rPr>
          <w:szCs w:val="24"/>
        </w:rPr>
        <w:t xml:space="preserve"> 871</w:t>
      </w:r>
      <w:r w:rsidR="00300D50">
        <w:rPr>
          <w:szCs w:val="24"/>
        </w:rPr>
        <w:t xml:space="preserve"> s</w:t>
      </w:r>
      <w:r w:rsidRPr="003E7602">
        <w:rPr>
          <w:szCs w:val="24"/>
        </w:rPr>
        <w:t>.</w:t>
      </w:r>
    </w:p>
    <w:p w:rsidR="00997F43" w:rsidRPr="003E7602" w:rsidRDefault="00997F43" w:rsidP="00BC0D40">
      <w:pPr>
        <w:rPr>
          <w:szCs w:val="24"/>
        </w:rPr>
      </w:pPr>
      <w:r w:rsidRPr="003E7602">
        <w:rPr>
          <w:szCs w:val="24"/>
        </w:rPr>
        <w:t xml:space="preserve">HOLUB, Rudolf. </w:t>
      </w:r>
      <w:r w:rsidRPr="003E7602">
        <w:rPr>
          <w:i/>
          <w:szCs w:val="24"/>
        </w:rPr>
        <w:t>Komentář k občanskému zákoníku: právo dědické.</w:t>
      </w:r>
      <w:r w:rsidR="00300D50">
        <w:rPr>
          <w:szCs w:val="24"/>
        </w:rPr>
        <w:t xml:space="preserve"> Praha: Orbis, 1957.</w:t>
      </w:r>
      <w:r w:rsidRPr="003E7602">
        <w:rPr>
          <w:szCs w:val="24"/>
        </w:rPr>
        <w:t xml:space="preserve"> 381</w:t>
      </w:r>
      <w:r w:rsidR="00300D50">
        <w:rPr>
          <w:szCs w:val="24"/>
        </w:rPr>
        <w:t xml:space="preserve"> s</w:t>
      </w:r>
      <w:r w:rsidRPr="003E7602">
        <w:rPr>
          <w:szCs w:val="24"/>
        </w:rPr>
        <w:t>.</w:t>
      </w:r>
    </w:p>
    <w:p w:rsidR="00997F43" w:rsidRPr="003E7602" w:rsidRDefault="00997F43" w:rsidP="00BC0D40">
      <w:pPr>
        <w:rPr>
          <w:szCs w:val="24"/>
        </w:rPr>
      </w:pPr>
      <w:r w:rsidRPr="003E7602">
        <w:rPr>
          <w:szCs w:val="24"/>
        </w:rPr>
        <w:t xml:space="preserve">ROUČEK, František, SEDLÁČEK, Jaromír. </w:t>
      </w:r>
      <w:r w:rsidRPr="003E7602">
        <w:rPr>
          <w:i/>
          <w:szCs w:val="24"/>
        </w:rPr>
        <w:t>Komentář k československému obecnému zákoníku občanskému a občanské právo platné na Slovensku a v Podkarpatské Rusi</w:t>
      </w:r>
      <w:r w:rsidRPr="003E7602">
        <w:rPr>
          <w:szCs w:val="24"/>
        </w:rPr>
        <w:t xml:space="preserve">. </w:t>
      </w:r>
      <w:r w:rsidRPr="003E7602">
        <w:rPr>
          <w:i/>
          <w:szCs w:val="24"/>
        </w:rPr>
        <w:t>Díl 6, (§§ 1342 až 1502).</w:t>
      </w:r>
      <w:r w:rsidR="00300D50">
        <w:rPr>
          <w:szCs w:val="24"/>
        </w:rPr>
        <w:t xml:space="preserve"> Praha: V. Linhart, 1937. </w:t>
      </w:r>
      <w:r w:rsidRPr="003E7602">
        <w:rPr>
          <w:szCs w:val="24"/>
        </w:rPr>
        <w:t>600</w:t>
      </w:r>
      <w:r w:rsidR="00300D50">
        <w:rPr>
          <w:szCs w:val="24"/>
        </w:rPr>
        <w:t xml:space="preserve"> s</w:t>
      </w:r>
      <w:r w:rsidRPr="003E7602">
        <w:rPr>
          <w:szCs w:val="24"/>
        </w:rPr>
        <w:t>.</w:t>
      </w:r>
    </w:p>
    <w:p w:rsidR="00997F43" w:rsidRPr="003E7602" w:rsidRDefault="00997F43" w:rsidP="00BC0D40">
      <w:pPr>
        <w:rPr>
          <w:szCs w:val="24"/>
        </w:rPr>
      </w:pPr>
      <w:r w:rsidRPr="003E7602">
        <w:rPr>
          <w:iCs/>
          <w:szCs w:val="24"/>
        </w:rPr>
        <w:t xml:space="preserve">ROUČEK, František, SEDLÁČEK, Jaromír. </w:t>
      </w:r>
      <w:r w:rsidRPr="003E7602">
        <w:rPr>
          <w:i/>
          <w:iCs/>
          <w:szCs w:val="24"/>
        </w:rPr>
        <w:t>Komentář k československému obecnému zákoníku občanskému a občanské právo platné na Slovensku a v Podkarpatské Rusi. Díl 1, (§§ 1 až 284)</w:t>
      </w:r>
      <w:r w:rsidR="00300D50">
        <w:rPr>
          <w:szCs w:val="24"/>
        </w:rPr>
        <w:t xml:space="preserve">. Praha: V. Linhart, 1935. </w:t>
      </w:r>
      <w:r w:rsidRPr="003E7602">
        <w:rPr>
          <w:szCs w:val="24"/>
        </w:rPr>
        <w:t>1192</w:t>
      </w:r>
      <w:r w:rsidR="00300D50">
        <w:rPr>
          <w:szCs w:val="24"/>
        </w:rPr>
        <w:t xml:space="preserve"> s</w:t>
      </w:r>
      <w:r w:rsidRPr="003E7602">
        <w:rPr>
          <w:szCs w:val="24"/>
        </w:rPr>
        <w:t>.</w:t>
      </w:r>
    </w:p>
    <w:p w:rsidR="00997F43" w:rsidRPr="003E7602" w:rsidRDefault="00997F43" w:rsidP="00BC0D40">
      <w:pPr>
        <w:rPr>
          <w:szCs w:val="24"/>
        </w:rPr>
      </w:pPr>
      <w:r w:rsidRPr="003E7602">
        <w:rPr>
          <w:iCs/>
          <w:szCs w:val="24"/>
        </w:rPr>
        <w:t xml:space="preserve">ROUČEK, František, SEDLÁČEK, Jaromír. </w:t>
      </w:r>
      <w:r w:rsidRPr="003E7602">
        <w:rPr>
          <w:i/>
          <w:iCs/>
          <w:szCs w:val="24"/>
        </w:rPr>
        <w:t>Komentář k československému obecnému zákoníku občanskému a občanské právo platné na Slovensku a v Podkarpatské Rusi. Díl 3, (§§ 531 až 858)</w:t>
      </w:r>
      <w:r w:rsidR="00300D50">
        <w:rPr>
          <w:szCs w:val="24"/>
        </w:rPr>
        <w:t>. Praha: V. Linhart, 1936.</w:t>
      </w:r>
      <w:r w:rsidRPr="003E7602">
        <w:rPr>
          <w:szCs w:val="24"/>
        </w:rPr>
        <w:t xml:space="preserve"> 680</w:t>
      </w:r>
      <w:r w:rsidR="00300D50">
        <w:rPr>
          <w:szCs w:val="24"/>
        </w:rPr>
        <w:t xml:space="preserve"> s</w:t>
      </w:r>
      <w:r w:rsidRPr="003E7602">
        <w:rPr>
          <w:szCs w:val="24"/>
        </w:rPr>
        <w:t>.</w:t>
      </w:r>
    </w:p>
    <w:p w:rsidR="00997F43" w:rsidRPr="003E7602" w:rsidRDefault="00997F43" w:rsidP="00BC0D40">
      <w:pPr>
        <w:rPr>
          <w:szCs w:val="24"/>
        </w:rPr>
      </w:pPr>
      <w:r w:rsidRPr="003E7602">
        <w:rPr>
          <w:szCs w:val="24"/>
        </w:rPr>
        <w:t xml:space="preserve">ŠVESTKA, Jiří a kol. </w:t>
      </w:r>
      <w:r w:rsidRPr="003E7602">
        <w:rPr>
          <w:i/>
          <w:szCs w:val="24"/>
        </w:rPr>
        <w:t>Občanský zákoník: komentář I</w:t>
      </w:r>
      <w:r w:rsidRPr="003E7602">
        <w:rPr>
          <w:szCs w:val="24"/>
        </w:rPr>
        <w:t>. 2. vydá</w:t>
      </w:r>
      <w:r w:rsidR="00300D50">
        <w:rPr>
          <w:szCs w:val="24"/>
        </w:rPr>
        <w:t xml:space="preserve">ní. Praha: C. H. Beck, 2009. </w:t>
      </w:r>
      <w:r w:rsidRPr="003E7602">
        <w:rPr>
          <w:szCs w:val="24"/>
        </w:rPr>
        <w:t>1373</w:t>
      </w:r>
      <w:r w:rsidR="00300D50">
        <w:rPr>
          <w:szCs w:val="24"/>
        </w:rPr>
        <w:t xml:space="preserve"> s</w:t>
      </w:r>
      <w:r w:rsidRPr="003E7602">
        <w:rPr>
          <w:szCs w:val="24"/>
        </w:rPr>
        <w:t>.</w:t>
      </w:r>
    </w:p>
    <w:p w:rsidR="00997F43" w:rsidRPr="003E7602" w:rsidRDefault="00997F43" w:rsidP="00BC0D40">
      <w:pPr>
        <w:rPr>
          <w:szCs w:val="24"/>
        </w:rPr>
      </w:pPr>
      <w:r w:rsidRPr="003E7602">
        <w:rPr>
          <w:szCs w:val="24"/>
        </w:rPr>
        <w:t xml:space="preserve">ŠVESTKA, Jiří a kol. </w:t>
      </w:r>
      <w:r w:rsidRPr="003E7602">
        <w:rPr>
          <w:i/>
          <w:szCs w:val="24"/>
        </w:rPr>
        <w:t>Občanský zákoník: komentář II</w:t>
      </w:r>
      <w:r w:rsidRPr="003E7602">
        <w:rPr>
          <w:szCs w:val="24"/>
        </w:rPr>
        <w:t>. 2. vy</w:t>
      </w:r>
      <w:r w:rsidR="00300D50">
        <w:rPr>
          <w:szCs w:val="24"/>
        </w:rPr>
        <w:t>dání. Praha: C. H. Beck, 2009</w:t>
      </w:r>
      <w:r w:rsidRPr="003E7602">
        <w:rPr>
          <w:szCs w:val="24"/>
        </w:rPr>
        <w:t>. 1375-2471</w:t>
      </w:r>
      <w:r w:rsidR="00300D50">
        <w:rPr>
          <w:szCs w:val="24"/>
        </w:rPr>
        <w:t xml:space="preserve"> s</w:t>
      </w:r>
      <w:r w:rsidRPr="003E7602">
        <w:rPr>
          <w:szCs w:val="24"/>
        </w:rPr>
        <w:t>.</w:t>
      </w:r>
    </w:p>
    <w:p w:rsidR="00997F43" w:rsidRPr="003E7602" w:rsidRDefault="00997F43" w:rsidP="00BC0D40">
      <w:pPr>
        <w:rPr>
          <w:szCs w:val="24"/>
        </w:rPr>
      </w:pPr>
      <w:r w:rsidRPr="003E7602">
        <w:rPr>
          <w:szCs w:val="24"/>
        </w:rPr>
        <w:t xml:space="preserve">ŠVESTKA, Jiří a kol. </w:t>
      </w:r>
      <w:r w:rsidRPr="003E7602">
        <w:rPr>
          <w:i/>
          <w:szCs w:val="24"/>
        </w:rPr>
        <w:t>Občanský zákoník: komentář. Svazek IV (§ 1475 až 1720).</w:t>
      </w:r>
      <w:r w:rsidRPr="003E7602">
        <w:rPr>
          <w:szCs w:val="24"/>
        </w:rPr>
        <w:t xml:space="preserve"> Praha: Wolters Kluwer ČR, 2014</w:t>
      </w:r>
      <w:r w:rsidR="00300D50">
        <w:rPr>
          <w:szCs w:val="24"/>
        </w:rPr>
        <w:t>.</w:t>
      </w:r>
      <w:r w:rsidRPr="003E7602">
        <w:rPr>
          <w:szCs w:val="24"/>
        </w:rPr>
        <w:t xml:space="preserve"> 696</w:t>
      </w:r>
      <w:r w:rsidR="00300D50">
        <w:rPr>
          <w:szCs w:val="24"/>
        </w:rPr>
        <w:t xml:space="preserve"> s</w:t>
      </w:r>
      <w:r w:rsidRPr="003E7602">
        <w:rPr>
          <w:szCs w:val="24"/>
        </w:rPr>
        <w:t>.</w:t>
      </w:r>
    </w:p>
    <w:p w:rsidR="007C0736" w:rsidRDefault="007C0736" w:rsidP="00BC0D40">
      <w:pPr>
        <w:rPr>
          <w:b/>
          <w:szCs w:val="24"/>
        </w:rPr>
      </w:pPr>
    </w:p>
    <w:p w:rsidR="00BC0D40" w:rsidRPr="003E7602" w:rsidRDefault="00BC0D40" w:rsidP="00BC0D40">
      <w:pPr>
        <w:rPr>
          <w:b/>
          <w:szCs w:val="24"/>
        </w:rPr>
      </w:pPr>
      <w:r w:rsidRPr="003E7602">
        <w:rPr>
          <w:b/>
          <w:szCs w:val="24"/>
        </w:rPr>
        <w:t>MONOGRAFIE</w:t>
      </w:r>
    </w:p>
    <w:p w:rsidR="003C2242" w:rsidRPr="003E7602" w:rsidRDefault="003C2242" w:rsidP="00BC0D40">
      <w:pPr>
        <w:rPr>
          <w:rStyle w:val="apple-converted-space"/>
          <w:rFonts w:ascii="Arial" w:hAnsi="Arial" w:cs="Arial"/>
          <w:color w:val="222222"/>
          <w:szCs w:val="24"/>
          <w:shd w:val="clear" w:color="auto" w:fill="FFFFFF"/>
        </w:rPr>
      </w:pPr>
      <w:r w:rsidRPr="003E7602">
        <w:rPr>
          <w:rFonts w:cs="Times New Roman"/>
          <w:color w:val="222222"/>
          <w:szCs w:val="24"/>
          <w:shd w:val="clear" w:color="auto" w:fill="FFFFFF"/>
        </w:rPr>
        <w:t>BARTOŠEK, Milan.</w:t>
      </w:r>
      <w:r w:rsidRPr="003E7602">
        <w:rPr>
          <w:rStyle w:val="apple-converted-space"/>
          <w:rFonts w:cs="Times New Roman"/>
          <w:color w:val="222222"/>
          <w:szCs w:val="24"/>
          <w:shd w:val="clear" w:color="auto" w:fill="FFFFFF"/>
        </w:rPr>
        <w:t> </w:t>
      </w:r>
      <w:r w:rsidRPr="003E7602">
        <w:rPr>
          <w:rFonts w:cs="Times New Roman"/>
          <w:i/>
          <w:iCs/>
          <w:color w:val="222222"/>
          <w:szCs w:val="24"/>
          <w:bdr w:val="none" w:sz="0" w:space="0" w:color="auto" w:frame="1"/>
          <w:shd w:val="clear" w:color="auto" w:fill="FFFFFF"/>
        </w:rPr>
        <w:t>Encyklopedie římského práva</w:t>
      </w:r>
      <w:r w:rsidRPr="003E7602">
        <w:rPr>
          <w:rFonts w:cs="Times New Roman"/>
          <w:color w:val="222222"/>
          <w:szCs w:val="24"/>
          <w:shd w:val="clear" w:color="auto" w:fill="FFFFFF"/>
        </w:rPr>
        <w:t xml:space="preserve">. 2. přeprac. vyd., 1. vyd. v </w:t>
      </w:r>
      <w:r>
        <w:rPr>
          <w:rFonts w:cs="Times New Roman"/>
          <w:color w:val="222222"/>
          <w:szCs w:val="24"/>
          <w:shd w:val="clear" w:color="auto" w:fill="FFFFFF"/>
        </w:rPr>
        <w:t>Academii. Praha: Academia, 1994.</w:t>
      </w:r>
      <w:r w:rsidRPr="003E7602">
        <w:rPr>
          <w:rFonts w:cs="Times New Roman"/>
          <w:color w:val="222222"/>
          <w:szCs w:val="24"/>
          <w:shd w:val="clear" w:color="auto" w:fill="FFFFFF"/>
        </w:rPr>
        <w:t xml:space="preserve"> 471</w:t>
      </w:r>
      <w:r>
        <w:rPr>
          <w:rFonts w:cs="Times New Roman"/>
          <w:color w:val="222222"/>
          <w:szCs w:val="24"/>
          <w:shd w:val="clear" w:color="auto" w:fill="FFFFFF"/>
        </w:rPr>
        <w:t xml:space="preserve"> s</w:t>
      </w:r>
      <w:r w:rsidRPr="003E7602">
        <w:rPr>
          <w:rFonts w:cs="Times New Roman"/>
          <w:color w:val="222222"/>
          <w:szCs w:val="24"/>
          <w:shd w:val="clear" w:color="auto" w:fill="FFFFFF"/>
        </w:rPr>
        <w:t>.</w:t>
      </w:r>
    </w:p>
    <w:p w:rsidR="003C2242" w:rsidRPr="003E7602" w:rsidRDefault="003C2242" w:rsidP="00BC0D40">
      <w:pPr>
        <w:rPr>
          <w:rFonts w:cs="Times New Roman"/>
          <w:szCs w:val="24"/>
        </w:rPr>
      </w:pPr>
      <w:r w:rsidRPr="003E7602">
        <w:rPr>
          <w:rFonts w:cs="Times New Roman"/>
          <w:szCs w:val="24"/>
        </w:rPr>
        <w:t xml:space="preserve">BEDNÁŘ, Václav. </w:t>
      </w:r>
      <w:r w:rsidRPr="003E7602">
        <w:rPr>
          <w:rFonts w:cs="Times New Roman"/>
          <w:i/>
          <w:szCs w:val="24"/>
        </w:rPr>
        <w:t>Testamentární dědická posloupnost.</w:t>
      </w:r>
      <w:r w:rsidRPr="003E7602">
        <w:rPr>
          <w:rFonts w:cs="Times New Roman"/>
          <w:szCs w:val="24"/>
        </w:rPr>
        <w:t xml:space="preserve"> Plzeň: Aleš Čeněk, 2011. 301 s.</w:t>
      </w:r>
    </w:p>
    <w:p w:rsidR="003C2242" w:rsidRPr="003E7602" w:rsidRDefault="003C2242" w:rsidP="00BC0D40">
      <w:pPr>
        <w:spacing w:line="360" w:lineRule="auto"/>
        <w:rPr>
          <w:rFonts w:cs="Times New Roman"/>
          <w:color w:val="222222"/>
          <w:szCs w:val="24"/>
          <w:shd w:val="clear" w:color="auto" w:fill="FFFFFF"/>
        </w:rPr>
      </w:pPr>
      <w:r w:rsidRPr="003E7602">
        <w:rPr>
          <w:rFonts w:cs="Times New Roman"/>
          <w:color w:val="222222"/>
          <w:szCs w:val="24"/>
          <w:shd w:val="clear" w:color="auto" w:fill="FFFFFF"/>
        </w:rPr>
        <w:t xml:space="preserve">BLAHO, Peter a kol. </w:t>
      </w:r>
      <w:r w:rsidRPr="003E7602">
        <w:rPr>
          <w:rFonts w:cs="Times New Roman"/>
          <w:i/>
          <w:color w:val="222222"/>
          <w:szCs w:val="24"/>
          <w:shd w:val="clear" w:color="auto" w:fill="FFFFFF"/>
        </w:rPr>
        <w:t>Základy rímského práva.</w:t>
      </w:r>
      <w:r w:rsidRPr="003E7602">
        <w:rPr>
          <w:rFonts w:cs="Times New Roman"/>
          <w:color w:val="222222"/>
          <w:szCs w:val="24"/>
          <w:shd w:val="clear" w:color="auto" w:fill="FFFFFF"/>
        </w:rPr>
        <w:t xml:space="preserve"> Bratislava: Manz: Vydavateľské oddelenie Právnickej fakulty </w:t>
      </w:r>
      <w:r>
        <w:rPr>
          <w:rFonts w:cs="Times New Roman"/>
          <w:color w:val="222222"/>
          <w:szCs w:val="24"/>
          <w:shd w:val="clear" w:color="auto" w:fill="FFFFFF"/>
        </w:rPr>
        <w:t xml:space="preserve">Univerzity Komenského, 1997. </w:t>
      </w:r>
      <w:r w:rsidRPr="003E7602">
        <w:rPr>
          <w:rFonts w:cs="Times New Roman"/>
          <w:color w:val="222222"/>
          <w:szCs w:val="24"/>
          <w:shd w:val="clear" w:color="auto" w:fill="FFFFFF"/>
        </w:rPr>
        <w:t>483</w:t>
      </w:r>
      <w:r>
        <w:rPr>
          <w:rFonts w:cs="Times New Roman"/>
          <w:color w:val="222222"/>
          <w:szCs w:val="24"/>
          <w:shd w:val="clear" w:color="auto" w:fill="FFFFFF"/>
        </w:rPr>
        <w:t xml:space="preserve"> s</w:t>
      </w:r>
      <w:r w:rsidRPr="003E7602">
        <w:rPr>
          <w:rFonts w:cs="Times New Roman"/>
          <w:color w:val="222222"/>
          <w:szCs w:val="24"/>
          <w:shd w:val="clear" w:color="auto" w:fill="FFFFFF"/>
        </w:rPr>
        <w:t>.</w:t>
      </w:r>
    </w:p>
    <w:p w:rsidR="003C2242" w:rsidRPr="003E7602" w:rsidRDefault="003C2242" w:rsidP="00BC0D40">
      <w:pPr>
        <w:spacing w:line="360" w:lineRule="auto"/>
        <w:rPr>
          <w:rFonts w:cs="Times New Roman"/>
          <w:color w:val="222222"/>
          <w:szCs w:val="24"/>
          <w:shd w:val="clear" w:color="auto" w:fill="FFFFFF"/>
        </w:rPr>
      </w:pPr>
      <w:r w:rsidRPr="003E7602">
        <w:rPr>
          <w:rFonts w:cs="Times New Roman"/>
          <w:color w:val="222222"/>
          <w:szCs w:val="24"/>
          <w:shd w:val="clear" w:color="auto" w:fill="FFFFFF"/>
        </w:rPr>
        <w:t xml:space="preserve">BONFANTE, Pietro. </w:t>
      </w:r>
      <w:r w:rsidRPr="003E7602">
        <w:rPr>
          <w:rFonts w:cs="Times New Roman"/>
          <w:i/>
          <w:color w:val="222222"/>
          <w:szCs w:val="24"/>
          <w:shd w:val="clear" w:color="auto" w:fill="FFFFFF"/>
        </w:rPr>
        <w:t>Instituce římského práva</w:t>
      </w:r>
      <w:r w:rsidRPr="003E7602">
        <w:rPr>
          <w:rFonts w:cs="Times New Roman"/>
          <w:color w:val="222222"/>
          <w:szCs w:val="24"/>
          <w:shd w:val="clear" w:color="auto" w:fill="FFFFFF"/>
        </w:rPr>
        <w:t>. 9. vyd. Přeložil</w:t>
      </w:r>
      <w:r>
        <w:rPr>
          <w:rFonts w:cs="Times New Roman"/>
          <w:color w:val="222222"/>
          <w:szCs w:val="24"/>
          <w:shd w:val="clear" w:color="auto" w:fill="FFFFFF"/>
        </w:rPr>
        <w:t xml:space="preserve"> Jan Vážný. Brno: Právník, 1932.</w:t>
      </w:r>
      <w:r w:rsidRPr="003E7602">
        <w:rPr>
          <w:rFonts w:cs="Times New Roman"/>
          <w:color w:val="222222"/>
          <w:szCs w:val="24"/>
          <w:shd w:val="clear" w:color="auto" w:fill="FFFFFF"/>
        </w:rPr>
        <w:t xml:space="preserve"> 745</w:t>
      </w:r>
      <w:r>
        <w:rPr>
          <w:rFonts w:cs="Times New Roman"/>
          <w:color w:val="222222"/>
          <w:szCs w:val="24"/>
          <w:shd w:val="clear" w:color="auto" w:fill="FFFFFF"/>
        </w:rPr>
        <w:t xml:space="preserve"> s</w:t>
      </w:r>
      <w:r w:rsidRPr="003E7602">
        <w:rPr>
          <w:rFonts w:cs="Times New Roman"/>
          <w:color w:val="222222"/>
          <w:szCs w:val="24"/>
          <w:shd w:val="clear" w:color="auto" w:fill="FFFFFF"/>
        </w:rPr>
        <w:t>.</w:t>
      </w:r>
    </w:p>
    <w:p w:rsidR="003C2242" w:rsidRPr="003E7602" w:rsidRDefault="003C2242" w:rsidP="00BC0D40">
      <w:pPr>
        <w:rPr>
          <w:rFonts w:cs="Times New Roman"/>
          <w:color w:val="222222"/>
          <w:szCs w:val="24"/>
          <w:shd w:val="clear" w:color="auto" w:fill="FFFFFF"/>
        </w:rPr>
      </w:pPr>
      <w:r w:rsidRPr="003E7602">
        <w:rPr>
          <w:rFonts w:cs="Times New Roman"/>
          <w:color w:val="222222"/>
          <w:szCs w:val="24"/>
          <w:shd w:val="clear" w:color="auto" w:fill="FFFFFF"/>
        </w:rPr>
        <w:lastRenderedPageBreak/>
        <w:t xml:space="preserve">DAJCZAK, Wojtiech a kol. </w:t>
      </w:r>
      <w:r w:rsidRPr="003E7602">
        <w:rPr>
          <w:rFonts w:cs="Times New Roman"/>
          <w:i/>
          <w:color w:val="222222"/>
          <w:szCs w:val="24"/>
          <w:shd w:val="clear" w:color="auto" w:fill="FFFFFF"/>
        </w:rPr>
        <w:t>Právo římské. Základy soukromého práva.</w:t>
      </w:r>
      <w:r w:rsidRPr="003E7602">
        <w:rPr>
          <w:rFonts w:cs="Times New Roman"/>
          <w:color w:val="222222"/>
          <w:szCs w:val="24"/>
          <w:shd w:val="clear" w:color="auto" w:fill="FFFFFF"/>
        </w:rPr>
        <w:t xml:space="preserve"> 1. vydání. Přeložil Petr Dostalík. Olomouc: </w:t>
      </w:r>
      <w:r>
        <w:rPr>
          <w:rFonts w:cs="Times New Roman"/>
          <w:color w:val="222222"/>
          <w:szCs w:val="24"/>
          <w:shd w:val="clear" w:color="auto" w:fill="FFFFFF"/>
        </w:rPr>
        <w:t xml:space="preserve">Iuridicum Olomoucense, 2013. </w:t>
      </w:r>
      <w:r w:rsidRPr="003E7602">
        <w:rPr>
          <w:rFonts w:cs="Times New Roman"/>
          <w:color w:val="222222"/>
          <w:szCs w:val="24"/>
          <w:shd w:val="clear" w:color="auto" w:fill="FFFFFF"/>
        </w:rPr>
        <w:t>423</w:t>
      </w:r>
      <w:r>
        <w:rPr>
          <w:rFonts w:cs="Times New Roman"/>
          <w:color w:val="222222"/>
          <w:szCs w:val="24"/>
          <w:shd w:val="clear" w:color="auto" w:fill="FFFFFF"/>
        </w:rPr>
        <w:t xml:space="preserve"> s</w:t>
      </w:r>
      <w:r w:rsidRPr="003E7602">
        <w:rPr>
          <w:rFonts w:cs="Times New Roman"/>
          <w:color w:val="222222"/>
          <w:szCs w:val="24"/>
          <w:shd w:val="clear" w:color="auto" w:fill="FFFFFF"/>
        </w:rPr>
        <w:t>.</w:t>
      </w:r>
    </w:p>
    <w:p w:rsidR="003C2242" w:rsidRPr="003E7602" w:rsidRDefault="003C2242" w:rsidP="00BC0D40">
      <w:pPr>
        <w:rPr>
          <w:rFonts w:cs="Times New Roman"/>
          <w:szCs w:val="24"/>
        </w:rPr>
      </w:pPr>
      <w:r w:rsidRPr="003E7602">
        <w:rPr>
          <w:rFonts w:cs="Times New Roman"/>
          <w:color w:val="222222"/>
          <w:szCs w:val="24"/>
          <w:shd w:val="clear" w:color="auto" w:fill="FFFFFF"/>
        </w:rPr>
        <w:t>DVOŘÁK, Jan, ŠVESTKA, Jiří, ZUKLÍNOVÁ, Michaela.</w:t>
      </w:r>
      <w:r w:rsidRPr="003E7602">
        <w:rPr>
          <w:rStyle w:val="apple-converted-space"/>
          <w:rFonts w:cs="Times New Roman"/>
          <w:color w:val="222222"/>
          <w:szCs w:val="24"/>
          <w:shd w:val="clear" w:color="auto" w:fill="FFFFFF"/>
        </w:rPr>
        <w:t> </w:t>
      </w:r>
      <w:r w:rsidRPr="003E7602">
        <w:rPr>
          <w:rFonts w:cs="Times New Roman"/>
          <w:i/>
          <w:iCs/>
          <w:color w:val="222222"/>
          <w:szCs w:val="24"/>
          <w:bdr w:val="none" w:sz="0" w:space="0" w:color="auto" w:frame="1"/>
          <w:shd w:val="clear" w:color="auto" w:fill="FFFFFF"/>
        </w:rPr>
        <w:t>Občanské právo hmotné</w:t>
      </w:r>
      <w:r w:rsidRPr="003E7602">
        <w:rPr>
          <w:rFonts w:cs="Times New Roman"/>
          <w:color w:val="222222"/>
          <w:szCs w:val="24"/>
          <w:shd w:val="clear" w:color="auto" w:fill="FFFFFF"/>
        </w:rPr>
        <w:t xml:space="preserve">. Vydání 1. Praha: Wolters Kluwer </w:t>
      </w:r>
      <w:r w:rsidRPr="003E7602">
        <w:rPr>
          <w:rFonts w:cs="Times New Roman"/>
          <w:szCs w:val="24"/>
        </w:rPr>
        <w:t xml:space="preserve">Česká republika, 2013. 429 s.  </w:t>
      </w:r>
    </w:p>
    <w:p w:rsidR="003C2242" w:rsidRPr="003E7602" w:rsidRDefault="003C2242" w:rsidP="00BC0D40">
      <w:pPr>
        <w:rPr>
          <w:rFonts w:cs="Times New Roman"/>
          <w:color w:val="222222"/>
          <w:szCs w:val="24"/>
          <w:shd w:val="clear" w:color="auto" w:fill="FFFFFF"/>
        </w:rPr>
      </w:pPr>
      <w:r w:rsidRPr="003E7602">
        <w:rPr>
          <w:rFonts w:cs="Times New Roman"/>
          <w:color w:val="222222"/>
          <w:szCs w:val="24"/>
          <w:shd w:val="clear" w:color="auto" w:fill="FFFFFF"/>
        </w:rPr>
        <w:t xml:space="preserve">ELIÁŠ, Karel a kol. </w:t>
      </w:r>
      <w:r w:rsidRPr="003E7602">
        <w:rPr>
          <w:rFonts w:cs="Times New Roman"/>
          <w:i/>
          <w:color w:val="222222"/>
          <w:szCs w:val="24"/>
          <w:shd w:val="clear" w:color="auto" w:fill="FFFFFF"/>
        </w:rPr>
        <w:t>Občanské právo pro každého.</w:t>
      </w:r>
      <w:r w:rsidRPr="003E7602">
        <w:rPr>
          <w:rFonts w:cs="Times New Roman"/>
          <w:color w:val="222222"/>
          <w:szCs w:val="24"/>
          <w:shd w:val="clear" w:color="auto" w:fill="FFFFFF"/>
        </w:rPr>
        <w:t xml:space="preserve"> Prah</w:t>
      </w:r>
      <w:r>
        <w:rPr>
          <w:rFonts w:cs="Times New Roman"/>
          <w:color w:val="222222"/>
          <w:szCs w:val="24"/>
          <w:shd w:val="clear" w:color="auto" w:fill="FFFFFF"/>
        </w:rPr>
        <w:t xml:space="preserve">a: Wolterts Kluwer ČR, 2013. </w:t>
      </w:r>
      <w:r w:rsidRPr="003E7602">
        <w:rPr>
          <w:rFonts w:cs="Times New Roman"/>
          <w:color w:val="222222"/>
          <w:szCs w:val="24"/>
          <w:shd w:val="clear" w:color="auto" w:fill="FFFFFF"/>
        </w:rPr>
        <w:t>315</w:t>
      </w:r>
      <w:r>
        <w:rPr>
          <w:rFonts w:cs="Times New Roman"/>
          <w:color w:val="222222"/>
          <w:szCs w:val="24"/>
          <w:shd w:val="clear" w:color="auto" w:fill="FFFFFF"/>
        </w:rPr>
        <w:t xml:space="preserve"> s</w:t>
      </w:r>
      <w:r w:rsidRPr="003E7602">
        <w:rPr>
          <w:rFonts w:cs="Times New Roman"/>
          <w:color w:val="222222"/>
          <w:szCs w:val="24"/>
          <w:shd w:val="clear" w:color="auto" w:fill="FFFFFF"/>
        </w:rPr>
        <w:t>.</w:t>
      </w:r>
    </w:p>
    <w:p w:rsidR="003C2242" w:rsidRPr="003E7602" w:rsidRDefault="003C2242" w:rsidP="00BC0D40">
      <w:pPr>
        <w:rPr>
          <w:szCs w:val="24"/>
        </w:rPr>
      </w:pPr>
      <w:r w:rsidRPr="003E7602">
        <w:rPr>
          <w:szCs w:val="24"/>
        </w:rPr>
        <w:t xml:space="preserve">FIALA, Roman. </w:t>
      </w:r>
      <w:r w:rsidRPr="003E7602">
        <w:rPr>
          <w:i/>
          <w:szCs w:val="24"/>
        </w:rPr>
        <w:t xml:space="preserve">Přehled judikatury ve věcech dědických. </w:t>
      </w:r>
      <w:r>
        <w:rPr>
          <w:szCs w:val="24"/>
        </w:rPr>
        <w:t>Praha: ASPI, 2006.</w:t>
      </w:r>
      <w:r w:rsidRPr="003E7602">
        <w:rPr>
          <w:szCs w:val="24"/>
        </w:rPr>
        <w:t xml:space="preserve"> 494</w:t>
      </w:r>
      <w:r>
        <w:rPr>
          <w:szCs w:val="24"/>
        </w:rPr>
        <w:t xml:space="preserve"> s</w:t>
      </w:r>
      <w:r w:rsidRPr="003E7602">
        <w:rPr>
          <w:szCs w:val="24"/>
        </w:rPr>
        <w:t>.</w:t>
      </w:r>
    </w:p>
    <w:p w:rsidR="003C2242" w:rsidRPr="003E7602" w:rsidRDefault="003C2242" w:rsidP="00BC0D40">
      <w:pPr>
        <w:rPr>
          <w:rFonts w:cs="Times New Roman"/>
          <w:color w:val="222222"/>
          <w:szCs w:val="24"/>
          <w:shd w:val="clear" w:color="auto" w:fill="FFFFFF"/>
        </w:rPr>
      </w:pPr>
      <w:r w:rsidRPr="003E7602">
        <w:rPr>
          <w:rFonts w:cs="Times New Roman"/>
          <w:color w:val="222222"/>
          <w:szCs w:val="24"/>
          <w:shd w:val="clear" w:color="auto" w:fill="FFFFFF"/>
        </w:rPr>
        <w:t>HEYROVSKÝ, Leopold.</w:t>
      </w:r>
      <w:r w:rsidRPr="003E7602">
        <w:rPr>
          <w:rStyle w:val="apple-converted-space"/>
          <w:rFonts w:cs="Times New Roman"/>
          <w:color w:val="222222"/>
          <w:szCs w:val="24"/>
          <w:shd w:val="clear" w:color="auto" w:fill="FFFFFF"/>
        </w:rPr>
        <w:t> </w:t>
      </w:r>
      <w:r w:rsidRPr="003E7602">
        <w:rPr>
          <w:rFonts w:cs="Times New Roman"/>
          <w:i/>
          <w:iCs/>
          <w:color w:val="222222"/>
          <w:szCs w:val="24"/>
          <w:bdr w:val="none" w:sz="0" w:space="0" w:color="auto" w:frame="1"/>
          <w:shd w:val="clear" w:color="auto" w:fill="FFFFFF"/>
        </w:rPr>
        <w:t>Dějiny a systém soukromého práva římského</w:t>
      </w:r>
      <w:r w:rsidRPr="003E7602">
        <w:rPr>
          <w:rFonts w:cs="Times New Roman"/>
          <w:color w:val="222222"/>
          <w:szCs w:val="24"/>
          <w:shd w:val="clear" w:color="auto" w:fill="FFFFFF"/>
        </w:rPr>
        <w:t>. 4. opr. vyd. V Praze: J. Otto knihkupec</w:t>
      </w:r>
      <w:r>
        <w:rPr>
          <w:rFonts w:cs="Times New Roman"/>
          <w:color w:val="222222"/>
          <w:szCs w:val="24"/>
          <w:shd w:val="clear" w:color="auto" w:fill="FFFFFF"/>
        </w:rPr>
        <w:t>, 1910.</w:t>
      </w:r>
      <w:r w:rsidRPr="003E7602">
        <w:rPr>
          <w:rFonts w:cs="Times New Roman"/>
          <w:color w:val="222222"/>
          <w:szCs w:val="24"/>
          <w:shd w:val="clear" w:color="auto" w:fill="FFFFFF"/>
        </w:rPr>
        <w:t xml:space="preserve"> 1243 s. </w:t>
      </w:r>
    </w:p>
    <w:p w:rsidR="003C2242" w:rsidRPr="003E7602" w:rsidRDefault="003C2242" w:rsidP="00BC0D40">
      <w:pPr>
        <w:rPr>
          <w:rFonts w:cs="Times New Roman"/>
          <w:color w:val="222222"/>
          <w:szCs w:val="24"/>
          <w:shd w:val="clear" w:color="auto" w:fill="FFFFFF"/>
        </w:rPr>
      </w:pPr>
      <w:r w:rsidRPr="003E7602">
        <w:rPr>
          <w:rFonts w:cs="Times New Roman"/>
          <w:color w:val="222222"/>
          <w:szCs w:val="24"/>
          <w:shd w:val="clear" w:color="auto" w:fill="FFFFFF"/>
        </w:rPr>
        <w:t xml:space="preserve">HURDÍK, Jan. </w:t>
      </w:r>
      <w:r w:rsidRPr="003E7602">
        <w:rPr>
          <w:rFonts w:cs="Times New Roman"/>
          <w:i/>
          <w:color w:val="222222"/>
          <w:szCs w:val="24"/>
          <w:shd w:val="clear" w:color="auto" w:fill="FFFFFF"/>
        </w:rPr>
        <w:t>Občanské právo hmotné. Obecná část. Absolutní majetková práva.</w:t>
      </w:r>
      <w:r>
        <w:rPr>
          <w:rFonts w:cs="Times New Roman"/>
          <w:color w:val="222222"/>
          <w:szCs w:val="24"/>
          <w:shd w:val="clear" w:color="auto" w:fill="FFFFFF"/>
        </w:rPr>
        <w:t xml:space="preserve"> Plzeň: Aleš Čeněk, 2013.</w:t>
      </w:r>
      <w:r w:rsidRPr="003E7602">
        <w:rPr>
          <w:rFonts w:cs="Times New Roman"/>
          <w:color w:val="222222"/>
          <w:szCs w:val="24"/>
          <w:shd w:val="clear" w:color="auto" w:fill="FFFFFF"/>
        </w:rPr>
        <w:t xml:space="preserve"> 308</w:t>
      </w:r>
      <w:r>
        <w:rPr>
          <w:rFonts w:cs="Times New Roman"/>
          <w:color w:val="222222"/>
          <w:szCs w:val="24"/>
          <w:shd w:val="clear" w:color="auto" w:fill="FFFFFF"/>
        </w:rPr>
        <w:t xml:space="preserve"> s.</w:t>
      </w:r>
    </w:p>
    <w:p w:rsidR="003C2242" w:rsidRPr="003E7602" w:rsidRDefault="003C2242" w:rsidP="00BC0D40">
      <w:pPr>
        <w:rPr>
          <w:rFonts w:cs="Times New Roman"/>
          <w:color w:val="222222"/>
          <w:szCs w:val="24"/>
          <w:shd w:val="clear" w:color="auto" w:fill="FFFFFF"/>
        </w:rPr>
      </w:pPr>
      <w:r>
        <w:rPr>
          <w:rFonts w:cs="Times New Roman"/>
          <w:color w:val="222222"/>
          <w:szCs w:val="24"/>
          <w:shd w:val="clear" w:color="auto" w:fill="FFFFFF"/>
        </w:rPr>
        <w:t>KADLECOVÁ, Marta, a kol</w:t>
      </w:r>
      <w:r w:rsidRPr="003E7602">
        <w:rPr>
          <w:rFonts w:cs="Times New Roman"/>
          <w:color w:val="222222"/>
          <w:szCs w:val="24"/>
          <w:shd w:val="clear" w:color="auto" w:fill="FFFFFF"/>
        </w:rPr>
        <w:t>. </w:t>
      </w:r>
      <w:r w:rsidRPr="003E7602">
        <w:rPr>
          <w:rFonts w:cs="Times New Roman"/>
          <w:i/>
          <w:iCs/>
          <w:color w:val="222222"/>
          <w:szCs w:val="24"/>
          <w:shd w:val="clear" w:color="auto" w:fill="FFFFFF"/>
        </w:rPr>
        <w:t>Dějiny českého soukromého práva</w:t>
      </w:r>
      <w:r w:rsidRPr="003E7602">
        <w:rPr>
          <w:rFonts w:cs="Times New Roman"/>
          <w:color w:val="222222"/>
          <w:szCs w:val="24"/>
          <w:shd w:val="clear" w:color="auto" w:fill="FFFFFF"/>
        </w:rPr>
        <w:t>. Plzeň: Vydavatelství a nak</w:t>
      </w:r>
      <w:r>
        <w:rPr>
          <w:rFonts w:cs="Times New Roman"/>
          <w:color w:val="222222"/>
          <w:szCs w:val="24"/>
          <w:shd w:val="clear" w:color="auto" w:fill="FFFFFF"/>
        </w:rPr>
        <w:t>ladatelství Aleš Čeněk, 2007.</w:t>
      </w:r>
      <w:r w:rsidRPr="003E7602">
        <w:rPr>
          <w:rFonts w:cs="Times New Roman"/>
          <w:color w:val="222222"/>
          <w:szCs w:val="24"/>
          <w:shd w:val="clear" w:color="auto" w:fill="FFFFFF"/>
        </w:rPr>
        <w:t xml:space="preserve"> 272</w:t>
      </w:r>
      <w:r>
        <w:rPr>
          <w:rFonts w:cs="Times New Roman"/>
          <w:color w:val="222222"/>
          <w:szCs w:val="24"/>
          <w:shd w:val="clear" w:color="auto" w:fill="FFFFFF"/>
        </w:rPr>
        <w:t xml:space="preserve"> s</w:t>
      </w:r>
      <w:r w:rsidRPr="003E7602">
        <w:rPr>
          <w:rFonts w:cs="Times New Roman"/>
          <w:color w:val="222222"/>
          <w:szCs w:val="24"/>
          <w:shd w:val="clear" w:color="auto" w:fill="FFFFFF"/>
        </w:rPr>
        <w:t>.</w:t>
      </w:r>
    </w:p>
    <w:p w:rsidR="003C2242" w:rsidRPr="003E7602" w:rsidRDefault="003C2242" w:rsidP="00BC0D40">
      <w:pPr>
        <w:rPr>
          <w:rFonts w:cs="Times New Roman"/>
          <w:szCs w:val="24"/>
        </w:rPr>
      </w:pPr>
      <w:r w:rsidRPr="003E7602">
        <w:rPr>
          <w:rFonts w:cs="Times New Roman"/>
          <w:color w:val="222222"/>
          <w:szCs w:val="24"/>
          <w:shd w:val="clear" w:color="auto" w:fill="FFFFFF"/>
        </w:rPr>
        <w:t>KINCL, Jaromír, URFUS, Valentin, SKŘEJPEK, Michal.</w:t>
      </w:r>
      <w:r w:rsidRPr="003E7602">
        <w:rPr>
          <w:rStyle w:val="apple-converted-space"/>
          <w:rFonts w:cs="Times New Roman"/>
          <w:color w:val="222222"/>
          <w:szCs w:val="24"/>
          <w:shd w:val="clear" w:color="auto" w:fill="FFFFFF"/>
        </w:rPr>
        <w:t> </w:t>
      </w:r>
      <w:r w:rsidRPr="003E7602">
        <w:rPr>
          <w:rFonts w:cs="Times New Roman"/>
          <w:i/>
          <w:iCs/>
          <w:color w:val="222222"/>
          <w:szCs w:val="24"/>
          <w:bdr w:val="none" w:sz="0" w:space="0" w:color="auto" w:frame="1"/>
          <w:shd w:val="clear" w:color="auto" w:fill="FFFFFF"/>
        </w:rPr>
        <w:t>Římské právo</w:t>
      </w:r>
      <w:r w:rsidRPr="003E7602">
        <w:rPr>
          <w:rFonts w:cs="Times New Roman"/>
          <w:color w:val="222222"/>
          <w:szCs w:val="24"/>
          <w:shd w:val="clear" w:color="auto" w:fill="FFFFFF"/>
        </w:rPr>
        <w:t>. 2. vydání. Praha: C.H. Beck, 1995. 386 s</w:t>
      </w:r>
    </w:p>
    <w:p w:rsidR="003C2242" w:rsidRPr="003E7602" w:rsidRDefault="003C2242" w:rsidP="00BC0D40">
      <w:pPr>
        <w:rPr>
          <w:rFonts w:cs="Times New Roman"/>
          <w:color w:val="222222"/>
          <w:szCs w:val="24"/>
          <w:shd w:val="clear" w:color="auto" w:fill="FFFFFF"/>
        </w:rPr>
      </w:pPr>
      <w:r w:rsidRPr="003E7602">
        <w:rPr>
          <w:rFonts w:cs="Times New Roman"/>
          <w:color w:val="222222"/>
          <w:szCs w:val="24"/>
          <w:shd w:val="clear" w:color="auto" w:fill="FFFFFF"/>
        </w:rPr>
        <w:t xml:space="preserve">KNAPP, Viktor, PLANK, Karol. </w:t>
      </w:r>
      <w:r w:rsidRPr="003E7602">
        <w:rPr>
          <w:rFonts w:cs="Times New Roman"/>
          <w:i/>
          <w:color w:val="222222"/>
          <w:szCs w:val="24"/>
          <w:shd w:val="clear" w:color="auto" w:fill="FFFFFF"/>
        </w:rPr>
        <w:t>Učebnice československého občanského práva.</w:t>
      </w:r>
      <w:r>
        <w:rPr>
          <w:rFonts w:cs="Times New Roman"/>
          <w:color w:val="222222"/>
          <w:szCs w:val="24"/>
          <w:shd w:val="clear" w:color="auto" w:fill="FFFFFF"/>
        </w:rPr>
        <w:t xml:space="preserve"> Praha: Orbis, 1965. </w:t>
      </w:r>
      <w:r w:rsidRPr="003E7602">
        <w:rPr>
          <w:rFonts w:cs="Times New Roman"/>
          <w:color w:val="222222"/>
          <w:szCs w:val="24"/>
          <w:shd w:val="clear" w:color="auto" w:fill="FFFFFF"/>
        </w:rPr>
        <w:t>572</w:t>
      </w:r>
      <w:r>
        <w:rPr>
          <w:rFonts w:cs="Times New Roman"/>
          <w:color w:val="222222"/>
          <w:szCs w:val="24"/>
          <w:shd w:val="clear" w:color="auto" w:fill="FFFFFF"/>
        </w:rPr>
        <w:t xml:space="preserve"> s</w:t>
      </w:r>
      <w:r w:rsidRPr="003E7602">
        <w:rPr>
          <w:rFonts w:cs="Times New Roman"/>
          <w:color w:val="222222"/>
          <w:szCs w:val="24"/>
          <w:shd w:val="clear" w:color="auto" w:fill="FFFFFF"/>
        </w:rPr>
        <w:t>.</w:t>
      </w:r>
    </w:p>
    <w:p w:rsidR="003C2242" w:rsidRPr="003E7602" w:rsidRDefault="003C2242" w:rsidP="00BC0D40">
      <w:pPr>
        <w:rPr>
          <w:rFonts w:cs="Times New Roman"/>
          <w:color w:val="222222"/>
          <w:szCs w:val="24"/>
          <w:shd w:val="clear" w:color="auto" w:fill="FFFFFF"/>
        </w:rPr>
      </w:pPr>
      <w:r w:rsidRPr="003E7602">
        <w:rPr>
          <w:rFonts w:cs="Times New Roman"/>
          <w:color w:val="222222"/>
          <w:szCs w:val="24"/>
          <w:shd w:val="clear" w:color="auto" w:fill="FFFFFF"/>
        </w:rPr>
        <w:t xml:space="preserve">KRATOCHVÍL, Zdeněk. </w:t>
      </w:r>
      <w:r w:rsidRPr="003E7602">
        <w:rPr>
          <w:rFonts w:cs="Times New Roman"/>
          <w:i/>
          <w:color w:val="222222"/>
          <w:szCs w:val="24"/>
          <w:shd w:val="clear" w:color="auto" w:fill="FFFFFF"/>
        </w:rPr>
        <w:t>Nové občanské právo</w:t>
      </w:r>
      <w:r w:rsidRPr="003E7602">
        <w:rPr>
          <w:rFonts w:cs="Times New Roman"/>
          <w:color w:val="222222"/>
          <w:szCs w:val="24"/>
          <w:shd w:val="clear" w:color="auto" w:fill="FFFFFF"/>
        </w:rPr>
        <w:t>. Praha: Orbis, 196</w:t>
      </w:r>
      <w:r>
        <w:rPr>
          <w:rFonts w:cs="Times New Roman"/>
          <w:color w:val="222222"/>
          <w:szCs w:val="24"/>
          <w:shd w:val="clear" w:color="auto" w:fill="FFFFFF"/>
        </w:rPr>
        <w:t xml:space="preserve">5. </w:t>
      </w:r>
      <w:r w:rsidRPr="003E7602">
        <w:rPr>
          <w:rFonts w:cs="Times New Roman"/>
          <w:color w:val="222222"/>
          <w:szCs w:val="24"/>
          <w:shd w:val="clear" w:color="auto" w:fill="FFFFFF"/>
        </w:rPr>
        <w:t>717</w:t>
      </w:r>
      <w:r>
        <w:rPr>
          <w:rFonts w:cs="Times New Roman"/>
          <w:color w:val="222222"/>
          <w:szCs w:val="24"/>
          <w:shd w:val="clear" w:color="auto" w:fill="FFFFFF"/>
        </w:rPr>
        <w:t xml:space="preserve"> s</w:t>
      </w:r>
      <w:r w:rsidRPr="003E7602">
        <w:rPr>
          <w:rFonts w:cs="Times New Roman"/>
          <w:color w:val="222222"/>
          <w:szCs w:val="24"/>
          <w:shd w:val="clear" w:color="auto" w:fill="FFFFFF"/>
        </w:rPr>
        <w:t>.</w:t>
      </w:r>
    </w:p>
    <w:p w:rsidR="003C2242" w:rsidRPr="003E7602" w:rsidRDefault="003C2242" w:rsidP="00BC0D40">
      <w:pPr>
        <w:rPr>
          <w:rFonts w:cs="Times New Roman"/>
          <w:color w:val="222222"/>
          <w:szCs w:val="24"/>
          <w:shd w:val="clear" w:color="auto" w:fill="FFFFFF"/>
        </w:rPr>
      </w:pPr>
      <w:r w:rsidRPr="003E7602">
        <w:rPr>
          <w:rFonts w:cs="Times New Roman"/>
          <w:color w:val="222222"/>
          <w:szCs w:val="24"/>
          <w:shd w:val="clear" w:color="auto" w:fill="FFFFFF"/>
        </w:rPr>
        <w:t xml:space="preserve">KRČMÁŘ, Jan. </w:t>
      </w:r>
      <w:r w:rsidRPr="003E7602">
        <w:rPr>
          <w:rFonts w:cs="Times New Roman"/>
          <w:i/>
          <w:color w:val="222222"/>
          <w:szCs w:val="24"/>
          <w:shd w:val="clear" w:color="auto" w:fill="FFFFFF"/>
        </w:rPr>
        <w:t>Právo občanské. [Díl] 5, Právo dědické.</w:t>
      </w:r>
      <w:r w:rsidRPr="003E7602">
        <w:rPr>
          <w:rFonts w:cs="Times New Roman"/>
          <w:color w:val="222222"/>
          <w:szCs w:val="24"/>
          <w:shd w:val="clear" w:color="auto" w:fill="FFFFFF"/>
        </w:rPr>
        <w:t xml:space="preserve"> 2. dop</w:t>
      </w:r>
      <w:r>
        <w:rPr>
          <w:rFonts w:cs="Times New Roman"/>
          <w:color w:val="222222"/>
          <w:szCs w:val="24"/>
          <w:shd w:val="clear" w:color="auto" w:fill="FFFFFF"/>
        </w:rPr>
        <w:t xml:space="preserve">l. vyd. Praha: VŠEHRD, 1933. </w:t>
      </w:r>
      <w:r w:rsidRPr="003E7602">
        <w:rPr>
          <w:rFonts w:cs="Times New Roman"/>
          <w:color w:val="222222"/>
          <w:szCs w:val="24"/>
          <w:shd w:val="clear" w:color="auto" w:fill="FFFFFF"/>
        </w:rPr>
        <w:t>139</w:t>
      </w:r>
      <w:r>
        <w:rPr>
          <w:rFonts w:cs="Times New Roman"/>
          <w:color w:val="222222"/>
          <w:szCs w:val="24"/>
          <w:shd w:val="clear" w:color="auto" w:fill="FFFFFF"/>
        </w:rPr>
        <w:t xml:space="preserve"> s</w:t>
      </w:r>
      <w:r w:rsidRPr="003E7602">
        <w:rPr>
          <w:rFonts w:cs="Times New Roman"/>
          <w:color w:val="222222"/>
          <w:szCs w:val="24"/>
          <w:shd w:val="clear" w:color="auto" w:fill="FFFFFF"/>
        </w:rPr>
        <w:t>.</w:t>
      </w:r>
    </w:p>
    <w:p w:rsidR="003C2242" w:rsidRPr="003E7602" w:rsidRDefault="003C2242" w:rsidP="00BC0D40">
      <w:pPr>
        <w:rPr>
          <w:rFonts w:cs="Times New Roman"/>
          <w:color w:val="222222"/>
          <w:szCs w:val="24"/>
          <w:shd w:val="clear" w:color="auto" w:fill="FFFFFF"/>
        </w:rPr>
      </w:pPr>
      <w:r w:rsidRPr="003E7602">
        <w:rPr>
          <w:rFonts w:cs="Times New Roman"/>
          <w:color w:val="222222"/>
          <w:szCs w:val="24"/>
          <w:shd w:val="clear" w:color="auto" w:fill="FFFFFF"/>
        </w:rPr>
        <w:t xml:space="preserve">MAYR, Robert von. </w:t>
      </w:r>
      <w:r w:rsidRPr="003E7602">
        <w:rPr>
          <w:rFonts w:cs="Times New Roman"/>
          <w:i/>
          <w:color w:val="222222"/>
          <w:szCs w:val="24"/>
          <w:shd w:val="clear" w:color="auto" w:fill="FFFFFF"/>
        </w:rPr>
        <w:t>Soustava občanského práva. Kniha pátá, Právo dědické.</w:t>
      </w:r>
      <w:r w:rsidRPr="003E7602">
        <w:rPr>
          <w:rFonts w:cs="Times New Roman"/>
          <w:color w:val="222222"/>
          <w:szCs w:val="24"/>
          <w:shd w:val="clear" w:color="auto" w:fill="FFFFFF"/>
        </w:rPr>
        <w:t xml:space="preserve"> B</w:t>
      </w:r>
      <w:r>
        <w:rPr>
          <w:rFonts w:cs="Times New Roman"/>
          <w:color w:val="222222"/>
          <w:szCs w:val="24"/>
          <w:shd w:val="clear" w:color="auto" w:fill="FFFFFF"/>
        </w:rPr>
        <w:t xml:space="preserve">rno: Barvič a Novotný, 1928. </w:t>
      </w:r>
      <w:r w:rsidRPr="003E7602">
        <w:rPr>
          <w:rFonts w:cs="Times New Roman"/>
          <w:color w:val="222222"/>
          <w:szCs w:val="24"/>
          <w:shd w:val="clear" w:color="auto" w:fill="FFFFFF"/>
        </w:rPr>
        <w:t>143</w:t>
      </w:r>
      <w:r>
        <w:rPr>
          <w:rFonts w:cs="Times New Roman"/>
          <w:color w:val="222222"/>
          <w:szCs w:val="24"/>
          <w:shd w:val="clear" w:color="auto" w:fill="FFFFFF"/>
        </w:rPr>
        <w:t xml:space="preserve"> s.</w:t>
      </w:r>
    </w:p>
    <w:p w:rsidR="003C2242" w:rsidRPr="003E7602" w:rsidRDefault="003C2242" w:rsidP="00BC0D40">
      <w:pPr>
        <w:rPr>
          <w:rStyle w:val="apple-converted-space"/>
          <w:rFonts w:ascii="Arial" w:hAnsi="Arial" w:cs="Arial"/>
          <w:color w:val="222222"/>
          <w:szCs w:val="24"/>
          <w:shd w:val="clear" w:color="auto" w:fill="FFFFFF"/>
        </w:rPr>
      </w:pPr>
      <w:r w:rsidRPr="003E7602">
        <w:rPr>
          <w:szCs w:val="24"/>
        </w:rPr>
        <w:t xml:space="preserve">MIKEŠ, Jiří, MUZIKÁŘ, Ladislav. </w:t>
      </w:r>
      <w:r w:rsidRPr="003E7602">
        <w:rPr>
          <w:i/>
          <w:szCs w:val="24"/>
        </w:rPr>
        <w:t xml:space="preserve">Dědické právo v teorii a praxi. </w:t>
      </w:r>
      <w:r>
        <w:rPr>
          <w:szCs w:val="24"/>
        </w:rPr>
        <w:t xml:space="preserve">Praha: Leges, 2011. </w:t>
      </w:r>
      <w:r w:rsidRPr="003E7602">
        <w:rPr>
          <w:szCs w:val="24"/>
        </w:rPr>
        <w:t>432</w:t>
      </w:r>
      <w:r>
        <w:rPr>
          <w:szCs w:val="24"/>
        </w:rPr>
        <w:t xml:space="preserve"> s</w:t>
      </w:r>
      <w:r w:rsidRPr="003E7602">
        <w:rPr>
          <w:szCs w:val="24"/>
        </w:rPr>
        <w:t>.</w:t>
      </w:r>
    </w:p>
    <w:p w:rsidR="003C2242" w:rsidRPr="003E7602" w:rsidRDefault="003C2242" w:rsidP="00BC0D40">
      <w:pPr>
        <w:rPr>
          <w:rFonts w:cs="Times New Roman"/>
          <w:color w:val="222222"/>
          <w:szCs w:val="24"/>
          <w:shd w:val="clear" w:color="auto" w:fill="FFFFFF"/>
        </w:rPr>
      </w:pPr>
      <w:r w:rsidRPr="003E7602">
        <w:rPr>
          <w:rFonts w:cs="Times New Roman"/>
          <w:color w:val="222222"/>
          <w:szCs w:val="24"/>
          <w:shd w:val="clear" w:color="auto" w:fill="FFFFFF"/>
        </w:rPr>
        <w:t xml:space="preserve">NESNÍDAL, Jiří. </w:t>
      </w:r>
      <w:r w:rsidRPr="003E7602">
        <w:rPr>
          <w:rFonts w:cs="Times New Roman"/>
          <w:i/>
          <w:color w:val="222222"/>
          <w:szCs w:val="24"/>
          <w:shd w:val="clear" w:color="auto" w:fill="FFFFFF"/>
        </w:rPr>
        <w:t>Občanský zákoník I. s komentářem</w:t>
      </w:r>
      <w:r w:rsidRPr="003E7602">
        <w:rPr>
          <w:rFonts w:cs="Times New Roman"/>
          <w:color w:val="222222"/>
          <w:szCs w:val="24"/>
          <w:shd w:val="clear" w:color="auto" w:fill="FFFFFF"/>
        </w:rPr>
        <w:t xml:space="preserve">. Český </w:t>
      </w:r>
      <w:r>
        <w:rPr>
          <w:rFonts w:cs="Times New Roman"/>
          <w:color w:val="222222"/>
          <w:szCs w:val="24"/>
          <w:shd w:val="clear" w:color="auto" w:fill="FFFFFF"/>
        </w:rPr>
        <w:t xml:space="preserve">Těšín: Poradce, s. r. o, 2012. </w:t>
      </w:r>
      <w:r w:rsidRPr="003E7602">
        <w:rPr>
          <w:rFonts w:cs="Times New Roman"/>
          <w:color w:val="222222"/>
          <w:szCs w:val="24"/>
          <w:shd w:val="clear" w:color="auto" w:fill="FFFFFF"/>
        </w:rPr>
        <w:t>320</w:t>
      </w:r>
      <w:r>
        <w:rPr>
          <w:rFonts w:cs="Times New Roman"/>
          <w:color w:val="222222"/>
          <w:szCs w:val="24"/>
          <w:shd w:val="clear" w:color="auto" w:fill="FFFFFF"/>
        </w:rPr>
        <w:t xml:space="preserve"> s</w:t>
      </w:r>
      <w:r w:rsidRPr="003E7602">
        <w:rPr>
          <w:rFonts w:cs="Times New Roman"/>
          <w:color w:val="222222"/>
          <w:szCs w:val="24"/>
          <w:shd w:val="clear" w:color="auto" w:fill="FFFFFF"/>
        </w:rPr>
        <w:t>.</w:t>
      </w:r>
    </w:p>
    <w:p w:rsidR="003C2242" w:rsidRPr="003E7602" w:rsidRDefault="003C2242" w:rsidP="00BC0D40">
      <w:pPr>
        <w:rPr>
          <w:rFonts w:cs="Times New Roman"/>
          <w:color w:val="222222"/>
          <w:szCs w:val="24"/>
          <w:shd w:val="clear" w:color="auto" w:fill="FFFFFF"/>
        </w:rPr>
      </w:pPr>
      <w:r w:rsidRPr="003E7602">
        <w:rPr>
          <w:rFonts w:cs="Times New Roman"/>
          <w:color w:val="222222"/>
          <w:szCs w:val="24"/>
          <w:shd w:val="clear" w:color="auto" w:fill="FFFFFF"/>
        </w:rPr>
        <w:t xml:space="preserve">SCHELLE, Karel, TAUCHEN, Jaromír. </w:t>
      </w:r>
      <w:r w:rsidRPr="003E7602">
        <w:rPr>
          <w:rFonts w:cs="Times New Roman"/>
          <w:i/>
          <w:color w:val="222222"/>
          <w:szCs w:val="24"/>
          <w:shd w:val="clear" w:color="auto" w:fill="FFFFFF"/>
        </w:rPr>
        <w:t>Občanské zákoníky: kompletní sbírka občanských zákoníků, důvodových zpráv a dobových komentářů</w:t>
      </w:r>
      <w:r w:rsidRPr="003E7602">
        <w:rPr>
          <w:rFonts w:cs="Times New Roman"/>
          <w:color w:val="222222"/>
          <w:szCs w:val="24"/>
          <w:shd w:val="clear" w:color="auto" w:fill="FFFFFF"/>
        </w:rPr>
        <w:t>. Vyd. 1</w:t>
      </w:r>
      <w:r>
        <w:rPr>
          <w:rFonts w:cs="Times New Roman"/>
          <w:color w:val="222222"/>
          <w:szCs w:val="24"/>
          <w:shd w:val="clear" w:color="auto" w:fill="FFFFFF"/>
        </w:rPr>
        <w:t>. Ostrava: Key Publishing, 2012.</w:t>
      </w:r>
      <w:r w:rsidRPr="003E7602">
        <w:rPr>
          <w:rFonts w:cs="Times New Roman"/>
          <w:color w:val="222222"/>
          <w:szCs w:val="24"/>
          <w:shd w:val="clear" w:color="auto" w:fill="FFFFFF"/>
        </w:rPr>
        <w:t xml:space="preserve"> </w:t>
      </w:r>
      <w:r>
        <w:rPr>
          <w:rFonts w:cs="Times New Roman"/>
          <w:color w:val="222222"/>
          <w:szCs w:val="24"/>
          <w:shd w:val="clear" w:color="auto" w:fill="FFFFFF"/>
        </w:rPr>
        <w:t>1</w:t>
      </w:r>
      <w:r w:rsidRPr="003E7602">
        <w:rPr>
          <w:rFonts w:cs="Times New Roman"/>
          <w:color w:val="222222"/>
          <w:szCs w:val="24"/>
          <w:shd w:val="clear" w:color="auto" w:fill="FFFFFF"/>
        </w:rPr>
        <w:t>019</w:t>
      </w:r>
      <w:r>
        <w:rPr>
          <w:rFonts w:cs="Times New Roman"/>
          <w:color w:val="222222"/>
          <w:szCs w:val="24"/>
          <w:shd w:val="clear" w:color="auto" w:fill="FFFFFF"/>
        </w:rPr>
        <w:t xml:space="preserve"> s</w:t>
      </w:r>
      <w:r w:rsidRPr="003E7602">
        <w:rPr>
          <w:rFonts w:cs="Times New Roman"/>
          <w:color w:val="222222"/>
          <w:szCs w:val="24"/>
          <w:shd w:val="clear" w:color="auto" w:fill="FFFFFF"/>
        </w:rPr>
        <w:t>.</w:t>
      </w:r>
    </w:p>
    <w:p w:rsidR="003C2242" w:rsidRPr="003E7602" w:rsidRDefault="003C2242" w:rsidP="00BC0D40">
      <w:pPr>
        <w:rPr>
          <w:rFonts w:cs="Times New Roman"/>
          <w:color w:val="222222"/>
          <w:szCs w:val="24"/>
          <w:shd w:val="clear" w:color="auto" w:fill="FFFFFF"/>
        </w:rPr>
      </w:pPr>
      <w:r w:rsidRPr="003E7602">
        <w:rPr>
          <w:rFonts w:cs="Times New Roman"/>
          <w:color w:val="222222"/>
          <w:szCs w:val="24"/>
          <w:shd w:val="clear" w:color="auto" w:fill="FFFFFF"/>
        </w:rPr>
        <w:t xml:space="preserve">SCHELLEOVÁ, Ilona, SCHELLE, Karel. </w:t>
      </w:r>
      <w:r w:rsidRPr="003E7602">
        <w:rPr>
          <w:rFonts w:cs="Times New Roman"/>
          <w:i/>
          <w:color w:val="222222"/>
          <w:szCs w:val="24"/>
          <w:shd w:val="clear" w:color="auto" w:fill="FFFFFF"/>
        </w:rPr>
        <w:t>Dědické právo podle nového občanského zákoník</w:t>
      </w:r>
      <w:r>
        <w:rPr>
          <w:rFonts w:cs="Times New Roman"/>
          <w:i/>
          <w:color w:val="222222"/>
          <w:szCs w:val="24"/>
          <w:shd w:val="clear" w:color="auto" w:fill="FFFFFF"/>
        </w:rPr>
        <w:t xml:space="preserve">u. </w:t>
      </w:r>
      <w:r>
        <w:rPr>
          <w:rFonts w:cs="Times New Roman"/>
          <w:color w:val="222222"/>
          <w:szCs w:val="24"/>
          <w:shd w:val="clear" w:color="auto" w:fill="FFFFFF"/>
        </w:rPr>
        <w:t xml:space="preserve">Praha: Linde Praha, a.s., 2013. </w:t>
      </w:r>
      <w:r w:rsidRPr="003E7602">
        <w:rPr>
          <w:rFonts w:cs="Times New Roman"/>
          <w:color w:val="222222"/>
          <w:szCs w:val="24"/>
          <w:shd w:val="clear" w:color="auto" w:fill="FFFFFF"/>
        </w:rPr>
        <w:t>152</w:t>
      </w:r>
      <w:r>
        <w:rPr>
          <w:rFonts w:cs="Times New Roman"/>
          <w:color w:val="222222"/>
          <w:szCs w:val="24"/>
          <w:shd w:val="clear" w:color="auto" w:fill="FFFFFF"/>
        </w:rPr>
        <w:t xml:space="preserve"> s</w:t>
      </w:r>
      <w:r w:rsidRPr="003E7602">
        <w:rPr>
          <w:rFonts w:cs="Times New Roman"/>
          <w:color w:val="222222"/>
          <w:szCs w:val="24"/>
          <w:shd w:val="clear" w:color="auto" w:fill="FFFFFF"/>
        </w:rPr>
        <w:t>.</w:t>
      </w:r>
    </w:p>
    <w:p w:rsidR="003C2242" w:rsidRPr="003E7602" w:rsidRDefault="003C2242" w:rsidP="00BC0D40">
      <w:pPr>
        <w:rPr>
          <w:rFonts w:cs="Times New Roman"/>
          <w:color w:val="222222"/>
          <w:szCs w:val="24"/>
          <w:shd w:val="clear" w:color="auto" w:fill="FFFFFF"/>
        </w:rPr>
      </w:pPr>
      <w:r w:rsidRPr="003E7602">
        <w:rPr>
          <w:rFonts w:cs="Times New Roman"/>
          <w:color w:val="222222"/>
          <w:szCs w:val="24"/>
          <w:shd w:val="clear" w:color="auto" w:fill="FFFFFF"/>
        </w:rPr>
        <w:t>SKŘEJPEK, Michal.</w:t>
      </w:r>
      <w:r w:rsidRPr="003E7602">
        <w:rPr>
          <w:rStyle w:val="apple-converted-space"/>
          <w:rFonts w:cs="Times New Roman"/>
          <w:color w:val="222222"/>
          <w:szCs w:val="24"/>
          <w:shd w:val="clear" w:color="auto" w:fill="FFFFFF"/>
        </w:rPr>
        <w:t> </w:t>
      </w:r>
      <w:r w:rsidRPr="003E7602">
        <w:rPr>
          <w:rFonts w:cs="Times New Roman"/>
          <w:i/>
          <w:iCs/>
          <w:color w:val="222222"/>
          <w:szCs w:val="24"/>
          <w:bdr w:val="none" w:sz="0" w:space="0" w:color="auto" w:frame="1"/>
          <w:shd w:val="clear" w:color="auto" w:fill="FFFFFF"/>
        </w:rPr>
        <w:t>Texty ke studiu římského práva</w:t>
      </w:r>
      <w:r w:rsidRPr="003E7602">
        <w:rPr>
          <w:rFonts w:cs="Times New Roman"/>
          <w:color w:val="222222"/>
          <w:szCs w:val="24"/>
          <w:shd w:val="clear" w:color="auto" w:fill="FFFFFF"/>
        </w:rPr>
        <w:t>. 1. vyd. Praha: O</w:t>
      </w:r>
      <w:r>
        <w:rPr>
          <w:rFonts w:cs="Times New Roman"/>
          <w:color w:val="222222"/>
          <w:szCs w:val="24"/>
          <w:shd w:val="clear" w:color="auto" w:fill="FFFFFF"/>
        </w:rPr>
        <w:t xml:space="preserve">rac, 2001. </w:t>
      </w:r>
      <w:r w:rsidRPr="003E7602">
        <w:rPr>
          <w:rFonts w:cs="Times New Roman"/>
          <w:color w:val="222222"/>
          <w:szCs w:val="24"/>
          <w:shd w:val="clear" w:color="auto" w:fill="FFFFFF"/>
        </w:rPr>
        <w:t xml:space="preserve">279 s. </w:t>
      </w:r>
    </w:p>
    <w:p w:rsidR="003C2242" w:rsidRPr="003E7602" w:rsidRDefault="003C2242" w:rsidP="00BC0D40">
      <w:pPr>
        <w:rPr>
          <w:rFonts w:cs="Times New Roman"/>
          <w:color w:val="222222"/>
          <w:szCs w:val="24"/>
          <w:shd w:val="clear" w:color="auto" w:fill="FFFFFF"/>
        </w:rPr>
      </w:pPr>
      <w:r w:rsidRPr="003E7602">
        <w:rPr>
          <w:rFonts w:cs="Times New Roman"/>
          <w:color w:val="222222"/>
          <w:szCs w:val="24"/>
          <w:shd w:val="clear" w:color="auto" w:fill="FFFFFF"/>
        </w:rPr>
        <w:t>SOMMER, Otakar.</w:t>
      </w:r>
      <w:r w:rsidRPr="003E7602">
        <w:rPr>
          <w:rStyle w:val="apple-converted-space"/>
          <w:rFonts w:cs="Times New Roman"/>
          <w:color w:val="222222"/>
          <w:szCs w:val="24"/>
          <w:shd w:val="clear" w:color="auto" w:fill="FFFFFF"/>
        </w:rPr>
        <w:t> </w:t>
      </w:r>
      <w:r w:rsidRPr="003E7602">
        <w:rPr>
          <w:rFonts w:cs="Times New Roman"/>
          <w:i/>
          <w:iCs/>
          <w:color w:val="222222"/>
          <w:szCs w:val="24"/>
          <w:bdr w:val="none" w:sz="0" w:space="0" w:color="auto" w:frame="1"/>
          <w:shd w:val="clear" w:color="auto" w:fill="FFFFFF"/>
        </w:rPr>
        <w:t>Učebnice soukromého práva římského</w:t>
      </w:r>
      <w:r w:rsidRPr="003E7602">
        <w:rPr>
          <w:rFonts w:cs="Times New Roman"/>
          <w:color w:val="222222"/>
          <w:szCs w:val="24"/>
          <w:shd w:val="clear" w:color="auto" w:fill="FFFFFF"/>
        </w:rPr>
        <w:t xml:space="preserve">. </w:t>
      </w:r>
      <w:r w:rsidRPr="003E7602">
        <w:rPr>
          <w:rFonts w:cs="Times New Roman"/>
          <w:i/>
          <w:color w:val="222222"/>
          <w:szCs w:val="24"/>
          <w:shd w:val="clear" w:color="auto" w:fill="FFFFFF"/>
        </w:rPr>
        <w:t>Dil II, Právo majetkové</w:t>
      </w:r>
      <w:r w:rsidRPr="003E7602">
        <w:rPr>
          <w:rFonts w:cs="Times New Roman"/>
          <w:color w:val="222222"/>
          <w:szCs w:val="24"/>
          <w:shd w:val="clear" w:color="auto" w:fill="FFFFFF"/>
        </w:rPr>
        <w:t>. V</w:t>
      </w:r>
      <w:r>
        <w:rPr>
          <w:rFonts w:cs="Times New Roman"/>
          <w:color w:val="222222"/>
          <w:szCs w:val="24"/>
          <w:shd w:val="clear" w:color="auto" w:fill="FFFFFF"/>
        </w:rPr>
        <w:t xml:space="preserve"> Praze: Nákladem vlastním, 1935.</w:t>
      </w:r>
      <w:r w:rsidRPr="003E7602">
        <w:rPr>
          <w:rFonts w:cs="Times New Roman"/>
          <w:color w:val="222222"/>
          <w:szCs w:val="24"/>
          <w:shd w:val="clear" w:color="auto" w:fill="FFFFFF"/>
        </w:rPr>
        <w:t xml:space="preserve"> 356 s.</w:t>
      </w:r>
    </w:p>
    <w:p w:rsidR="003C2242" w:rsidRPr="003E7602" w:rsidRDefault="003C2242" w:rsidP="00BC0D40">
      <w:pPr>
        <w:rPr>
          <w:rFonts w:cs="Times New Roman"/>
          <w:color w:val="222222"/>
          <w:szCs w:val="24"/>
          <w:shd w:val="clear" w:color="auto" w:fill="FFFFFF"/>
        </w:rPr>
      </w:pPr>
      <w:r w:rsidRPr="003E7602">
        <w:rPr>
          <w:rFonts w:cs="Times New Roman"/>
          <w:color w:val="222222"/>
          <w:szCs w:val="24"/>
          <w:shd w:val="clear" w:color="auto" w:fill="FFFFFF"/>
        </w:rPr>
        <w:lastRenderedPageBreak/>
        <w:t xml:space="preserve">SVOBODA, Emil. </w:t>
      </w:r>
      <w:r w:rsidRPr="003E7602">
        <w:rPr>
          <w:rFonts w:cs="Times New Roman"/>
          <w:i/>
          <w:color w:val="222222"/>
          <w:szCs w:val="24"/>
          <w:shd w:val="clear" w:color="auto" w:fill="FFFFFF"/>
        </w:rPr>
        <w:t>Dědické právo</w:t>
      </w:r>
      <w:r>
        <w:rPr>
          <w:rFonts w:cs="Times New Roman"/>
          <w:color w:val="222222"/>
          <w:szCs w:val="24"/>
          <w:shd w:val="clear" w:color="auto" w:fill="FFFFFF"/>
        </w:rPr>
        <w:t>. Praha: Vesmír, 1921.</w:t>
      </w:r>
      <w:r w:rsidRPr="003E7602">
        <w:rPr>
          <w:rFonts w:cs="Times New Roman"/>
          <w:color w:val="222222"/>
          <w:szCs w:val="24"/>
          <w:shd w:val="clear" w:color="auto" w:fill="FFFFFF"/>
        </w:rPr>
        <w:t xml:space="preserve"> 104</w:t>
      </w:r>
      <w:r>
        <w:rPr>
          <w:rFonts w:cs="Times New Roman"/>
          <w:color w:val="222222"/>
          <w:szCs w:val="24"/>
          <w:shd w:val="clear" w:color="auto" w:fill="FFFFFF"/>
        </w:rPr>
        <w:t xml:space="preserve"> s</w:t>
      </w:r>
      <w:r w:rsidRPr="003E7602">
        <w:rPr>
          <w:rFonts w:cs="Times New Roman"/>
          <w:color w:val="222222"/>
          <w:szCs w:val="24"/>
          <w:shd w:val="clear" w:color="auto" w:fill="FFFFFF"/>
        </w:rPr>
        <w:t>.</w:t>
      </w:r>
    </w:p>
    <w:p w:rsidR="003C2242" w:rsidRPr="003E7602" w:rsidRDefault="003C2242" w:rsidP="00BC0D40">
      <w:pPr>
        <w:rPr>
          <w:rFonts w:cs="Times New Roman"/>
          <w:color w:val="222222"/>
          <w:szCs w:val="24"/>
          <w:shd w:val="clear" w:color="auto" w:fill="FFFFFF"/>
        </w:rPr>
      </w:pPr>
      <w:r w:rsidRPr="003E7602">
        <w:rPr>
          <w:rFonts w:cs="Times New Roman"/>
          <w:color w:val="222222"/>
          <w:szCs w:val="24"/>
          <w:shd w:val="clear" w:color="auto" w:fill="FFFFFF"/>
        </w:rPr>
        <w:t xml:space="preserve">SVOBODA, Jiří, KLIČKA, Ondřej. </w:t>
      </w:r>
      <w:r w:rsidRPr="003E7602">
        <w:rPr>
          <w:rFonts w:cs="Times New Roman"/>
          <w:i/>
          <w:color w:val="222222"/>
          <w:szCs w:val="24"/>
          <w:shd w:val="clear" w:color="auto" w:fill="FFFFFF"/>
        </w:rPr>
        <w:t>Dědické právo v praxi.</w:t>
      </w:r>
      <w:r w:rsidRPr="003E7602">
        <w:rPr>
          <w:rFonts w:cs="Times New Roman"/>
          <w:color w:val="222222"/>
          <w:szCs w:val="24"/>
          <w:shd w:val="clear" w:color="auto" w:fill="FFFFFF"/>
        </w:rPr>
        <w:t xml:space="preserve"> Praha:</w:t>
      </w:r>
      <w:r>
        <w:rPr>
          <w:rFonts w:cs="Times New Roman"/>
          <w:color w:val="222222"/>
          <w:szCs w:val="24"/>
          <w:shd w:val="clear" w:color="auto" w:fill="FFFFFF"/>
        </w:rPr>
        <w:t xml:space="preserve"> C. H. Beck, 2014.</w:t>
      </w:r>
      <w:r w:rsidRPr="003E7602">
        <w:rPr>
          <w:rFonts w:cs="Times New Roman"/>
          <w:color w:val="222222"/>
          <w:szCs w:val="24"/>
          <w:shd w:val="clear" w:color="auto" w:fill="FFFFFF"/>
        </w:rPr>
        <w:t xml:space="preserve"> 377</w:t>
      </w:r>
      <w:r>
        <w:rPr>
          <w:rFonts w:cs="Times New Roman"/>
          <w:color w:val="222222"/>
          <w:szCs w:val="24"/>
          <w:shd w:val="clear" w:color="auto" w:fill="FFFFFF"/>
        </w:rPr>
        <w:t xml:space="preserve"> s</w:t>
      </w:r>
      <w:r w:rsidRPr="003E7602">
        <w:rPr>
          <w:rFonts w:cs="Times New Roman"/>
          <w:color w:val="222222"/>
          <w:szCs w:val="24"/>
          <w:shd w:val="clear" w:color="auto" w:fill="FFFFFF"/>
        </w:rPr>
        <w:t>.</w:t>
      </w:r>
    </w:p>
    <w:p w:rsidR="003C2242" w:rsidRPr="003E7602" w:rsidRDefault="003C2242" w:rsidP="00BC0D40">
      <w:pPr>
        <w:rPr>
          <w:rFonts w:cs="Times New Roman"/>
          <w:color w:val="222222"/>
          <w:szCs w:val="24"/>
          <w:shd w:val="clear" w:color="auto" w:fill="FFFFFF"/>
        </w:rPr>
      </w:pPr>
      <w:r w:rsidRPr="003E7602">
        <w:rPr>
          <w:rFonts w:cs="Times New Roman"/>
          <w:color w:val="222222"/>
          <w:szCs w:val="24"/>
          <w:shd w:val="clear" w:color="auto" w:fill="FFFFFF"/>
        </w:rPr>
        <w:t xml:space="preserve">ŠVESTKA, Jiří a kol. </w:t>
      </w:r>
      <w:r w:rsidRPr="003E7602">
        <w:rPr>
          <w:rFonts w:cs="Times New Roman"/>
          <w:i/>
          <w:color w:val="222222"/>
          <w:szCs w:val="24"/>
          <w:shd w:val="clear" w:color="auto" w:fill="FFFFFF"/>
        </w:rPr>
        <w:t xml:space="preserve">Občanské právo hmotné 3. </w:t>
      </w:r>
      <w:r w:rsidRPr="003E7602">
        <w:rPr>
          <w:rFonts w:cs="Times New Roman"/>
          <w:color w:val="222222"/>
          <w:szCs w:val="24"/>
          <w:shd w:val="clear" w:color="auto" w:fill="FFFFFF"/>
        </w:rPr>
        <w:t>5. vydání.</w:t>
      </w:r>
      <w:r>
        <w:rPr>
          <w:rFonts w:cs="Times New Roman"/>
          <w:color w:val="222222"/>
          <w:szCs w:val="24"/>
          <w:shd w:val="clear" w:color="auto" w:fill="FFFFFF"/>
        </w:rPr>
        <w:t xml:space="preserve"> Praha: Wolters Kluwer ČR, 2009. </w:t>
      </w:r>
      <w:r w:rsidRPr="003E7602">
        <w:rPr>
          <w:rFonts w:cs="Times New Roman"/>
          <w:color w:val="222222"/>
          <w:szCs w:val="24"/>
          <w:shd w:val="clear" w:color="auto" w:fill="FFFFFF"/>
        </w:rPr>
        <w:t>306</w:t>
      </w:r>
      <w:r>
        <w:rPr>
          <w:rFonts w:cs="Times New Roman"/>
          <w:color w:val="222222"/>
          <w:szCs w:val="24"/>
          <w:shd w:val="clear" w:color="auto" w:fill="FFFFFF"/>
        </w:rPr>
        <w:t xml:space="preserve"> s</w:t>
      </w:r>
      <w:r w:rsidRPr="003E7602">
        <w:rPr>
          <w:rFonts w:cs="Times New Roman"/>
          <w:color w:val="222222"/>
          <w:szCs w:val="24"/>
          <w:shd w:val="clear" w:color="auto" w:fill="FFFFFF"/>
        </w:rPr>
        <w:t>.</w:t>
      </w:r>
    </w:p>
    <w:p w:rsidR="00BC0D40" w:rsidRPr="003E7602" w:rsidRDefault="00BC0D40" w:rsidP="00BC0D40">
      <w:pPr>
        <w:rPr>
          <w:b/>
          <w:szCs w:val="24"/>
        </w:rPr>
      </w:pPr>
    </w:p>
    <w:p w:rsidR="00BC0D40" w:rsidRPr="003E7602" w:rsidRDefault="00BC0D40" w:rsidP="00BC0D40">
      <w:pPr>
        <w:rPr>
          <w:szCs w:val="24"/>
        </w:rPr>
      </w:pPr>
      <w:r w:rsidRPr="003E7602">
        <w:rPr>
          <w:b/>
          <w:szCs w:val="24"/>
        </w:rPr>
        <w:t>ODBORNÉ ČLÁNKY</w:t>
      </w:r>
    </w:p>
    <w:p w:rsidR="009B10F1" w:rsidRPr="003E7602" w:rsidRDefault="009B10F1" w:rsidP="00BC0D40">
      <w:pPr>
        <w:rPr>
          <w:szCs w:val="24"/>
        </w:rPr>
      </w:pPr>
      <w:r w:rsidRPr="003E7602">
        <w:rPr>
          <w:szCs w:val="24"/>
        </w:rPr>
        <w:t xml:space="preserve">ELIÁŠ, Karel. Rekodifikace občanského práva v postmoderní době. </w:t>
      </w:r>
      <w:r w:rsidRPr="003E7602">
        <w:rPr>
          <w:i/>
          <w:szCs w:val="24"/>
        </w:rPr>
        <w:t>Právní rozhledy</w:t>
      </w:r>
      <w:r w:rsidRPr="003E7602">
        <w:rPr>
          <w:szCs w:val="24"/>
        </w:rPr>
        <w:t>, 2008, roč.</w:t>
      </w:r>
      <w:r>
        <w:rPr>
          <w:szCs w:val="24"/>
        </w:rPr>
        <w:t xml:space="preserve"> </w:t>
      </w:r>
      <w:r w:rsidRPr="003E7602">
        <w:rPr>
          <w:szCs w:val="24"/>
        </w:rPr>
        <w:t>16, č. 1, s. 1.</w:t>
      </w:r>
    </w:p>
    <w:p w:rsidR="009B10F1" w:rsidRPr="003E7602" w:rsidRDefault="009B10F1" w:rsidP="009B10F1">
      <w:pPr>
        <w:rPr>
          <w:szCs w:val="24"/>
        </w:rPr>
      </w:pPr>
      <w:r w:rsidRPr="003E7602">
        <w:rPr>
          <w:rFonts w:cs="Times New Roman"/>
          <w:szCs w:val="24"/>
        </w:rPr>
        <w:t xml:space="preserve">ELIÁŠ, Karel. Základní pojetí návrhu úpravy dědického práva pro nový občanský zákoník. </w:t>
      </w:r>
      <w:r w:rsidRPr="003E7602">
        <w:rPr>
          <w:rFonts w:cs="Times New Roman"/>
          <w:i/>
          <w:iCs/>
          <w:szCs w:val="24"/>
        </w:rPr>
        <w:t xml:space="preserve">Ad Notam, </w:t>
      </w:r>
      <w:r w:rsidRPr="003E7602">
        <w:rPr>
          <w:rFonts w:cs="Times New Roman"/>
          <w:szCs w:val="24"/>
        </w:rPr>
        <w:t>roč. 9, č. 5, s. 97.</w:t>
      </w:r>
    </w:p>
    <w:p w:rsidR="009B10F1" w:rsidRPr="003E7602" w:rsidRDefault="009B10F1" w:rsidP="00BC0D40">
      <w:pPr>
        <w:rPr>
          <w:szCs w:val="24"/>
        </w:rPr>
      </w:pPr>
      <w:r w:rsidRPr="003E7602">
        <w:rPr>
          <w:szCs w:val="24"/>
        </w:rPr>
        <w:t xml:space="preserve">HORÁK, Ondřej, DADUOVÁ, Martina. Nové dědické právo a meziválečná rekodifikace. </w:t>
      </w:r>
      <w:r w:rsidRPr="003E7602">
        <w:rPr>
          <w:i/>
          <w:szCs w:val="24"/>
        </w:rPr>
        <w:t xml:space="preserve">Ad Notam, </w:t>
      </w:r>
      <w:r w:rsidRPr="003E7602">
        <w:rPr>
          <w:szCs w:val="24"/>
        </w:rPr>
        <w:t>2016, roč. 22, č. 1, s. 8 – 12.</w:t>
      </w:r>
    </w:p>
    <w:p w:rsidR="009B10F1" w:rsidRPr="003E7602" w:rsidRDefault="009B10F1" w:rsidP="00BC0D40">
      <w:pPr>
        <w:rPr>
          <w:szCs w:val="24"/>
        </w:rPr>
      </w:pPr>
      <w:r w:rsidRPr="003E7602">
        <w:rPr>
          <w:szCs w:val="24"/>
        </w:rPr>
        <w:t xml:space="preserve">HORÁK, Ondřej. Tzv. nepominutelný dědic v novém občanském zákoníku. </w:t>
      </w:r>
      <w:r w:rsidRPr="003E7602">
        <w:rPr>
          <w:i/>
          <w:szCs w:val="24"/>
        </w:rPr>
        <w:t xml:space="preserve">Právní rozhledy, </w:t>
      </w:r>
      <w:r w:rsidRPr="003E7602">
        <w:rPr>
          <w:szCs w:val="24"/>
        </w:rPr>
        <w:t>2014, roč. 22, č. 11, s. 381.</w:t>
      </w:r>
    </w:p>
    <w:p w:rsidR="009B10F1" w:rsidRPr="003E7602" w:rsidRDefault="009B10F1" w:rsidP="00BC0D40">
      <w:pPr>
        <w:rPr>
          <w:szCs w:val="24"/>
        </w:rPr>
      </w:pPr>
      <w:r w:rsidRPr="003E7602">
        <w:rPr>
          <w:szCs w:val="24"/>
        </w:rPr>
        <w:t xml:space="preserve">KARHANOVÁ, Martina. Dědická nezpůsobilost a vydědění vs. přečiny a zločiny. </w:t>
      </w:r>
      <w:r w:rsidRPr="003E7602">
        <w:rPr>
          <w:i/>
          <w:szCs w:val="24"/>
        </w:rPr>
        <w:t xml:space="preserve">Ad Notam, </w:t>
      </w:r>
      <w:r w:rsidRPr="003E7602">
        <w:rPr>
          <w:szCs w:val="24"/>
        </w:rPr>
        <w:t>2011, roč. 17, č. 4, s. 7.</w:t>
      </w:r>
    </w:p>
    <w:p w:rsidR="009B10F1" w:rsidRPr="003E7602" w:rsidRDefault="009B10F1" w:rsidP="00BC0D40">
      <w:pPr>
        <w:rPr>
          <w:szCs w:val="24"/>
        </w:rPr>
      </w:pPr>
      <w:r w:rsidRPr="003E7602">
        <w:rPr>
          <w:szCs w:val="24"/>
        </w:rPr>
        <w:t xml:space="preserve">KITTEL, David. Nepominutelný dědic není dědic. </w:t>
      </w:r>
      <w:r w:rsidRPr="003E7602">
        <w:rPr>
          <w:i/>
          <w:szCs w:val="24"/>
        </w:rPr>
        <w:t>Ad Notam</w:t>
      </w:r>
      <w:r w:rsidRPr="003E7602">
        <w:rPr>
          <w:szCs w:val="24"/>
        </w:rPr>
        <w:t>, 2011, roč. 17, č. 2, s. 14.</w:t>
      </w:r>
    </w:p>
    <w:p w:rsidR="009B10F1" w:rsidRPr="003E7602" w:rsidRDefault="009B10F1" w:rsidP="00BC0D40">
      <w:pPr>
        <w:rPr>
          <w:szCs w:val="24"/>
        </w:rPr>
      </w:pPr>
      <w:r w:rsidRPr="003E7602">
        <w:rPr>
          <w:szCs w:val="24"/>
        </w:rPr>
        <w:t xml:space="preserve">MIKEŠ, Jiří. Jak dál s úpravou dědického práva? </w:t>
      </w:r>
      <w:r w:rsidRPr="003E7602">
        <w:rPr>
          <w:i/>
          <w:szCs w:val="24"/>
        </w:rPr>
        <w:t>Ad Notam,</w:t>
      </w:r>
      <w:r w:rsidRPr="003E7602">
        <w:rPr>
          <w:szCs w:val="24"/>
        </w:rPr>
        <w:t xml:space="preserve"> 1998, roč. 4, č. 2, s. 25.</w:t>
      </w:r>
    </w:p>
    <w:p w:rsidR="009B10F1" w:rsidRPr="003E7602" w:rsidRDefault="009B10F1" w:rsidP="00BC0D40">
      <w:pPr>
        <w:rPr>
          <w:szCs w:val="24"/>
        </w:rPr>
      </w:pPr>
      <w:r w:rsidRPr="003E7602">
        <w:rPr>
          <w:szCs w:val="24"/>
        </w:rPr>
        <w:t xml:space="preserve">SEŠINA, Martin. Diskuse o návrhu nového občanského zákoníku IV. </w:t>
      </w:r>
      <w:r w:rsidRPr="003E7602">
        <w:rPr>
          <w:i/>
          <w:szCs w:val="24"/>
        </w:rPr>
        <w:t>Ad Notam</w:t>
      </w:r>
      <w:r w:rsidRPr="003E7602">
        <w:rPr>
          <w:szCs w:val="24"/>
        </w:rPr>
        <w:t>, 2006, roč. 12, č.</w:t>
      </w:r>
      <w:r w:rsidR="00DF60DC">
        <w:rPr>
          <w:szCs w:val="24"/>
        </w:rPr>
        <w:t xml:space="preserve"> </w:t>
      </w:r>
      <w:r w:rsidRPr="003E7602">
        <w:rPr>
          <w:szCs w:val="24"/>
        </w:rPr>
        <w:t>1, s. 12</w:t>
      </w:r>
    </w:p>
    <w:p w:rsidR="007C0736" w:rsidRDefault="007C0736" w:rsidP="00BC0D40">
      <w:pPr>
        <w:rPr>
          <w:b/>
          <w:szCs w:val="24"/>
        </w:rPr>
      </w:pPr>
    </w:p>
    <w:p w:rsidR="00BC0D40" w:rsidRPr="003E7602" w:rsidRDefault="00BC0D40" w:rsidP="00BC0D40">
      <w:pPr>
        <w:rPr>
          <w:b/>
          <w:szCs w:val="24"/>
        </w:rPr>
      </w:pPr>
      <w:r w:rsidRPr="003E7602">
        <w:rPr>
          <w:b/>
          <w:szCs w:val="24"/>
        </w:rPr>
        <w:t>PRAMENY ŘÍMSKÉHO PRÁVA</w:t>
      </w:r>
    </w:p>
    <w:p w:rsidR="00BC0D40" w:rsidRPr="003E7602" w:rsidRDefault="00BC0D40" w:rsidP="00BC0D40">
      <w:pPr>
        <w:rPr>
          <w:szCs w:val="24"/>
        </w:rPr>
      </w:pPr>
      <w:r w:rsidRPr="003E7602">
        <w:rPr>
          <w:szCs w:val="24"/>
        </w:rPr>
        <w:t xml:space="preserve">BLAHO, Peter, SKŘEJPEK, Michal. </w:t>
      </w:r>
      <w:r w:rsidRPr="003E7602">
        <w:rPr>
          <w:i/>
          <w:szCs w:val="24"/>
        </w:rPr>
        <w:t>Iustiniani Institutiones: Justiniánské instituce.</w:t>
      </w:r>
      <w:r w:rsidR="009B10F1">
        <w:rPr>
          <w:szCs w:val="24"/>
        </w:rPr>
        <w:t xml:space="preserve"> Praha: Karolinum, 2010.</w:t>
      </w:r>
      <w:r w:rsidRPr="003E7602">
        <w:rPr>
          <w:szCs w:val="24"/>
        </w:rPr>
        <w:t xml:space="preserve"> 411</w:t>
      </w:r>
      <w:r w:rsidR="009B10F1">
        <w:rPr>
          <w:szCs w:val="24"/>
        </w:rPr>
        <w:t xml:space="preserve"> s</w:t>
      </w:r>
      <w:r w:rsidRPr="003E7602">
        <w:rPr>
          <w:szCs w:val="24"/>
        </w:rPr>
        <w:t xml:space="preserve">. </w:t>
      </w:r>
    </w:p>
    <w:p w:rsidR="00BC0D40" w:rsidRPr="003E7602" w:rsidRDefault="00BC0D40" w:rsidP="00BC0D40">
      <w:pPr>
        <w:rPr>
          <w:szCs w:val="24"/>
        </w:rPr>
      </w:pPr>
      <w:r w:rsidRPr="003E7602">
        <w:rPr>
          <w:szCs w:val="24"/>
        </w:rPr>
        <w:t>GAIUS. </w:t>
      </w:r>
      <w:r w:rsidRPr="003E7602">
        <w:rPr>
          <w:i/>
          <w:iCs/>
          <w:szCs w:val="24"/>
        </w:rPr>
        <w:t>Učebnice práva ve čtyřech knihách</w:t>
      </w:r>
      <w:r w:rsidRPr="003E7602">
        <w:rPr>
          <w:szCs w:val="24"/>
        </w:rPr>
        <w:t xml:space="preserve">. Plzeň: Vydavatelství a </w:t>
      </w:r>
      <w:r w:rsidR="009B10F1">
        <w:rPr>
          <w:szCs w:val="24"/>
        </w:rPr>
        <w:t>nakladatelství Aleš Čeněk, 2007.</w:t>
      </w:r>
      <w:r w:rsidRPr="003E7602">
        <w:rPr>
          <w:szCs w:val="24"/>
        </w:rPr>
        <w:t xml:space="preserve"> 326 s. </w:t>
      </w:r>
    </w:p>
    <w:p w:rsidR="00BC0D40" w:rsidRPr="003E7602" w:rsidRDefault="00BC0D40" w:rsidP="00BC0D40">
      <w:pPr>
        <w:rPr>
          <w:szCs w:val="24"/>
        </w:rPr>
      </w:pPr>
      <w:r w:rsidRPr="003E7602">
        <w:rPr>
          <w:szCs w:val="24"/>
        </w:rPr>
        <w:t xml:space="preserve">KRÜGER, Paul, MOMMSEN, Theodor. </w:t>
      </w:r>
      <w:r w:rsidRPr="003E7602">
        <w:rPr>
          <w:i/>
          <w:szCs w:val="24"/>
          <w:lang w:val="la-Latn"/>
        </w:rPr>
        <w:t>Corpus iuris civilis</w:t>
      </w:r>
      <w:r w:rsidRPr="003E7602">
        <w:rPr>
          <w:i/>
          <w:szCs w:val="24"/>
        </w:rPr>
        <w:t>.</w:t>
      </w:r>
      <w:r w:rsidRPr="003E7602">
        <w:rPr>
          <w:szCs w:val="24"/>
          <w:lang w:val="en-US"/>
        </w:rPr>
        <w:t xml:space="preserve"> Berlin:</w:t>
      </w:r>
      <w:r w:rsidRPr="003E7602">
        <w:rPr>
          <w:szCs w:val="24"/>
          <w:lang w:val="la-Latn"/>
        </w:rPr>
        <w:t xml:space="preserve"> Apud Weidmannos</w:t>
      </w:r>
      <w:r w:rsidRPr="003E7602">
        <w:rPr>
          <w:szCs w:val="24"/>
        </w:rPr>
        <w:t xml:space="preserve">, 1872. 1075 s. Přístupné též na: </w:t>
      </w:r>
      <w:r w:rsidRPr="003E7602">
        <w:rPr>
          <w:szCs w:val="24"/>
          <w:lang w:val="la-Latn"/>
        </w:rPr>
        <w:t xml:space="preserve">The Latin Library. </w:t>
      </w:r>
      <w:r w:rsidRPr="003E7602">
        <w:rPr>
          <w:i/>
          <w:szCs w:val="24"/>
          <w:lang w:val="la-Latn"/>
        </w:rPr>
        <w:t>Imperatoris Iustiniani opera: Institutiones, Codex, Digesta</w:t>
      </w:r>
      <w:r w:rsidR="009B10F1">
        <w:rPr>
          <w:i/>
          <w:szCs w:val="24"/>
        </w:rPr>
        <w:t xml:space="preserve"> </w:t>
      </w:r>
      <w:r w:rsidRPr="003E7602">
        <w:rPr>
          <w:szCs w:val="24"/>
        </w:rPr>
        <w:t>[online]. thelatinlibrary.com, [cit. 10. únor 2016]. Dostupné na &lt;http://www.thelatinlibrary.com/justinian.html&gt;.</w:t>
      </w:r>
    </w:p>
    <w:p w:rsidR="00BC0D40" w:rsidRPr="003E7602" w:rsidRDefault="00BC0D40" w:rsidP="00BC0D40">
      <w:pPr>
        <w:rPr>
          <w:szCs w:val="24"/>
        </w:rPr>
      </w:pPr>
      <w:r w:rsidRPr="003E7602">
        <w:rPr>
          <w:szCs w:val="24"/>
        </w:rPr>
        <w:lastRenderedPageBreak/>
        <w:t xml:space="preserve">SCOTT P., Samuel. </w:t>
      </w:r>
      <w:r w:rsidRPr="003E7602">
        <w:rPr>
          <w:i/>
          <w:szCs w:val="24"/>
        </w:rPr>
        <w:t>The Code of Justinian</w:t>
      </w:r>
      <w:r w:rsidRPr="003E7602">
        <w:rPr>
          <w:szCs w:val="24"/>
        </w:rPr>
        <w:t xml:space="preserve"> [online]. droitromain.upmf-grenoble.fr, according to the translation published 1932 in Cincinnati [cit. 19. února 2016]. Dostupné na &lt;http://droitromain.upmf-grenoble.fr/Anglica/digest_Scott.htm&gt;.</w:t>
      </w:r>
    </w:p>
    <w:p w:rsidR="00BC0D40" w:rsidRPr="003E7602" w:rsidRDefault="00BC0D40" w:rsidP="00BC0D40">
      <w:pPr>
        <w:rPr>
          <w:szCs w:val="24"/>
        </w:rPr>
      </w:pPr>
      <w:r w:rsidRPr="003E7602">
        <w:rPr>
          <w:szCs w:val="24"/>
        </w:rPr>
        <w:t xml:space="preserve">SCOTT P., Samuel. </w:t>
      </w:r>
      <w:r w:rsidRPr="003E7602">
        <w:rPr>
          <w:i/>
          <w:szCs w:val="24"/>
        </w:rPr>
        <w:t>The Enactments of Justinian. The novels. CXV.</w:t>
      </w:r>
      <w:r w:rsidR="00772246">
        <w:rPr>
          <w:i/>
          <w:szCs w:val="24"/>
        </w:rPr>
        <w:t xml:space="preserve"> </w:t>
      </w:r>
      <w:r w:rsidRPr="003E7602">
        <w:rPr>
          <w:szCs w:val="24"/>
        </w:rPr>
        <w:t>[online]. droitromain.upmf-grenoble.fr, according to the translation published 1932 in Cincinnati [cit. 27. února 2016]. Dostupné na &lt;http://droitromain.upmf-grenoble.fr/Anglica/N115_Scott.htm &gt;.</w:t>
      </w:r>
    </w:p>
    <w:p w:rsidR="00BC0D40" w:rsidRPr="003E7602" w:rsidRDefault="00BC0D40" w:rsidP="00BC0D40">
      <w:pPr>
        <w:rPr>
          <w:b/>
          <w:szCs w:val="24"/>
        </w:rPr>
      </w:pPr>
      <w:r w:rsidRPr="003E7602">
        <w:rPr>
          <w:b/>
          <w:szCs w:val="24"/>
        </w:rPr>
        <w:t>INTERNETOVÉ ZDROJE</w:t>
      </w:r>
    </w:p>
    <w:p w:rsidR="00BC0D40" w:rsidRPr="003E7602" w:rsidRDefault="00BC0D40" w:rsidP="00BC0D40">
      <w:pPr>
        <w:rPr>
          <w:szCs w:val="24"/>
        </w:rPr>
      </w:pPr>
      <w:r w:rsidRPr="003E7602">
        <w:rPr>
          <w:szCs w:val="24"/>
        </w:rPr>
        <w:t>Důvodová zpráva k návrhu vládního zákona, kterým se vydává občanský zákoník, [online]. psp.cz, 16. 4. 1937, [cit</w:t>
      </w:r>
      <w:r w:rsidR="0008143B">
        <w:rPr>
          <w:szCs w:val="24"/>
        </w:rPr>
        <w:t>ováno 3. 4. 2016]. Dostupné na: &lt;</w:t>
      </w:r>
      <w:hyperlink r:id="rId8" w:history="1">
        <w:r w:rsidRPr="003E7602">
          <w:rPr>
            <w:rStyle w:val="Hypertextovodkaz"/>
            <w:szCs w:val="24"/>
          </w:rPr>
          <w:t>http://www.psp.cz/eknih/1935ns/ps/tisky/t0844_13.htm</w:t>
        </w:r>
      </w:hyperlink>
      <w:r w:rsidR="0008143B">
        <w:t>&gt;.</w:t>
      </w:r>
    </w:p>
    <w:p w:rsidR="00BC0D40" w:rsidRPr="003E7602" w:rsidRDefault="00BC0D40" w:rsidP="00BC0D40">
      <w:pPr>
        <w:rPr>
          <w:szCs w:val="24"/>
        </w:rPr>
      </w:pPr>
      <w:r w:rsidRPr="003E7602">
        <w:rPr>
          <w:szCs w:val="24"/>
        </w:rPr>
        <w:t xml:space="preserve">Důvodová zpráva k zákonu č. 141/1950 Sb., občanský zákoník [online]. psp.cz, 19. 9. 1950, [citováno 7. 4. 2016]. Dostupné na: &lt; </w:t>
      </w:r>
      <w:hyperlink r:id="rId9" w:history="1">
        <w:r w:rsidRPr="003E7602">
          <w:rPr>
            <w:rStyle w:val="Hypertextovodkaz"/>
            <w:szCs w:val="24"/>
          </w:rPr>
          <w:t>http://psp.cz/eknih/1948ns/tisky/t0509_07.htm</w:t>
        </w:r>
      </w:hyperlink>
      <w:r w:rsidRPr="003E7602">
        <w:rPr>
          <w:szCs w:val="24"/>
        </w:rPr>
        <w:t>&gt;</w:t>
      </w:r>
      <w:r w:rsidR="0008143B">
        <w:rPr>
          <w:szCs w:val="24"/>
        </w:rPr>
        <w:t>.</w:t>
      </w:r>
    </w:p>
    <w:p w:rsidR="00BC0D40" w:rsidRPr="003E7602" w:rsidRDefault="00BC0D40" w:rsidP="00BC0D40">
      <w:pPr>
        <w:rPr>
          <w:szCs w:val="24"/>
        </w:rPr>
      </w:pPr>
      <w:r w:rsidRPr="003E7602">
        <w:rPr>
          <w:szCs w:val="24"/>
        </w:rPr>
        <w:t xml:space="preserve">KOVÁŘOVÁ, Daniela. </w:t>
      </w:r>
      <w:r w:rsidRPr="003E7602">
        <w:rPr>
          <w:i/>
          <w:szCs w:val="24"/>
        </w:rPr>
        <w:t xml:space="preserve">Právo na zaopatření </w:t>
      </w:r>
      <w:r w:rsidRPr="003E7602">
        <w:rPr>
          <w:szCs w:val="24"/>
        </w:rPr>
        <w:t>[online]. Epravo.cz, 23. dubna. 2015 [citováno 13. 4. 2016]. Dostupné na: &lt;</w:t>
      </w:r>
      <w:hyperlink r:id="rId10" w:history="1">
        <w:r w:rsidRPr="003E7602">
          <w:rPr>
            <w:rStyle w:val="Hypertextovodkaz"/>
            <w:szCs w:val="24"/>
          </w:rPr>
          <w:t>http://www.epravo.cz/top/efocus/pravo-na-zaopatreni-97678.html</w:t>
        </w:r>
      </w:hyperlink>
      <w:r w:rsidRPr="003E7602">
        <w:rPr>
          <w:szCs w:val="24"/>
        </w:rPr>
        <w:t>&gt;</w:t>
      </w:r>
      <w:r w:rsidR="0008143B">
        <w:rPr>
          <w:szCs w:val="24"/>
        </w:rPr>
        <w:t>.</w:t>
      </w:r>
    </w:p>
    <w:p w:rsidR="00BC0D40" w:rsidRPr="003E7602" w:rsidRDefault="00BC0D40" w:rsidP="00BC0D40">
      <w:pPr>
        <w:rPr>
          <w:szCs w:val="24"/>
        </w:rPr>
      </w:pPr>
    </w:p>
    <w:p w:rsidR="00BC0D40" w:rsidRPr="003E7602" w:rsidRDefault="00BC0D40" w:rsidP="00BC0D40">
      <w:pPr>
        <w:rPr>
          <w:b/>
          <w:szCs w:val="24"/>
        </w:rPr>
      </w:pPr>
      <w:r w:rsidRPr="003E7602">
        <w:rPr>
          <w:b/>
          <w:szCs w:val="24"/>
        </w:rPr>
        <w:t>PŘÍSPĚVKY VE SBORNÍKU</w:t>
      </w:r>
    </w:p>
    <w:p w:rsidR="00BC0D40" w:rsidRPr="003E7602" w:rsidRDefault="00BC0D40" w:rsidP="00BC0D40">
      <w:pPr>
        <w:rPr>
          <w:szCs w:val="24"/>
        </w:rPr>
      </w:pPr>
      <w:r w:rsidRPr="003E7602">
        <w:rPr>
          <w:szCs w:val="24"/>
        </w:rPr>
        <w:t xml:space="preserve">BEDNÁŘ, Václav. Nepominutelný dědic. In HAVEL, Bohumil, PIHERA, Vlastimil. </w:t>
      </w:r>
      <w:r w:rsidRPr="003E7602">
        <w:rPr>
          <w:i/>
          <w:szCs w:val="24"/>
        </w:rPr>
        <w:t>Soukromé právo na cestě: eseje a jiné texty k jubileu Karla Eliáše.</w:t>
      </w:r>
      <w:r w:rsidR="006C2771">
        <w:rPr>
          <w:szCs w:val="24"/>
        </w:rPr>
        <w:t xml:space="preserve"> Plzeň: Aleš Čeněk, 2010.</w:t>
      </w:r>
      <w:r w:rsidRPr="003E7602">
        <w:rPr>
          <w:szCs w:val="24"/>
        </w:rPr>
        <w:t xml:space="preserve"> 396</w:t>
      </w:r>
      <w:r w:rsidR="006C2771">
        <w:rPr>
          <w:szCs w:val="24"/>
        </w:rPr>
        <w:t xml:space="preserve"> s</w:t>
      </w:r>
      <w:r w:rsidRPr="003E7602">
        <w:rPr>
          <w:szCs w:val="24"/>
        </w:rPr>
        <w:t>.</w:t>
      </w:r>
    </w:p>
    <w:p w:rsidR="00BC0D40" w:rsidRPr="003E7602" w:rsidRDefault="00BC0D40" w:rsidP="00BC0D40">
      <w:pPr>
        <w:rPr>
          <w:szCs w:val="24"/>
        </w:rPr>
      </w:pPr>
      <w:r w:rsidRPr="003E7602">
        <w:rPr>
          <w:szCs w:val="24"/>
        </w:rPr>
        <w:t xml:space="preserve">PETRŽELKA, Karel. Nové československé právo dědické. In KNAPP, Viktor a kol. </w:t>
      </w:r>
      <w:r w:rsidRPr="003E7602">
        <w:rPr>
          <w:i/>
          <w:szCs w:val="24"/>
        </w:rPr>
        <w:t>K otázkám nového občanského práva</w:t>
      </w:r>
      <w:r w:rsidR="006C2771">
        <w:rPr>
          <w:szCs w:val="24"/>
        </w:rPr>
        <w:t xml:space="preserve">. Praha: Orbis, 1950. </w:t>
      </w:r>
      <w:r w:rsidRPr="003E7602">
        <w:rPr>
          <w:szCs w:val="24"/>
        </w:rPr>
        <w:t>95</w:t>
      </w:r>
      <w:r w:rsidR="006C2771">
        <w:rPr>
          <w:szCs w:val="24"/>
        </w:rPr>
        <w:t xml:space="preserve"> s</w:t>
      </w:r>
      <w:r w:rsidRPr="003E7602">
        <w:rPr>
          <w:szCs w:val="24"/>
        </w:rPr>
        <w:t>.</w:t>
      </w:r>
    </w:p>
    <w:p w:rsidR="00BC0D40" w:rsidRPr="003E7602" w:rsidRDefault="00BC0D40" w:rsidP="00BC0D40">
      <w:pPr>
        <w:rPr>
          <w:szCs w:val="24"/>
        </w:rPr>
      </w:pPr>
    </w:p>
    <w:p w:rsidR="00BC0D40" w:rsidRPr="003E7602" w:rsidRDefault="00BC0D40" w:rsidP="00BC0D40">
      <w:pPr>
        <w:rPr>
          <w:b/>
          <w:szCs w:val="24"/>
        </w:rPr>
      </w:pPr>
      <w:r w:rsidRPr="003E7602">
        <w:rPr>
          <w:b/>
          <w:szCs w:val="24"/>
        </w:rPr>
        <w:t>PRÁVNÍ PŘEDPISY</w:t>
      </w:r>
    </w:p>
    <w:p w:rsidR="00BC0D40" w:rsidRPr="003E7602" w:rsidRDefault="00BC0D40" w:rsidP="00BC0D40">
      <w:pPr>
        <w:rPr>
          <w:szCs w:val="24"/>
        </w:rPr>
      </w:pPr>
      <w:r w:rsidRPr="003E7602">
        <w:rPr>
          <w:szCs w:val="24"/>
        </w:rPr>
        <w:t>Zákon č. 946/1811 Sb., obecný zákoník občanský, ve znění pozdějších předpisů.</w:t>
      </w:r>
    </w:p>
    <w:p w:rsidR="00BC0D40" w:rsidRPr="003E7602" w:rsidRDefault="00BC0D40" w:rsidP="00BC0D40">
      <w:pPr>
        <w:rPr>
          <w:szCs w:val="24"/>
        </w:rPr>
      </w:pPr>
      <w:r w:rsidRPr="003E7602">
        <w:rPr>
          <w:szCs w:val="24"/>
        </w:rPr>
        <w:t>Zákon č. 141/1950 Sb., občanský zákoník, ve znění pozdějších předpisů.</w:t>
      </w:r>
    </w:p>
    <w:p w:rsidR="00BC0D40" w:rsidRPr="003E7602" w:rsidRDefault="00BC0D40" w:rsidP="00BC0D40">
      <w:pPr>
        <w:rPr>
          <w:szCs w:val="24"/>
        </w:rPr>
      </w:pPr>
      <w:r w:rsidRPr="003E7602">
        <w:rPr>
          <w:szCs w:val="24"/>
        </w:rPr>
        <w:t>Zákon č. 40/1964 Sb., občanský zákoník, ve znění ke dni 1. 1. 1965.</w:t>
      </w:r>
    </w:p>
    <w:p w:rsidR="00BC0D40" w:rsidRPr="003E7602" w:rsidRDefault="00BC0D40" w:rsidP="00BC0D40">
      <w:pPr>
        <w:rPr>
          <w:szCs w:val="24"/>
        </w:rPr>
      </w:pPr>
      <w:r w:rsidRPr="003E7602">
        <w:rPr>
          <w:szCs w:val="24"/>
        </w:rPr>
        <w:t>Zákon č. 509/1991 Sb., kterým se mění, doplňuje a upravuje občanský zákoník.</w:t>
      </w:r>
    </w:p>
    <w:p w:rsidR="00BC0D40" w:rsidRPr="003E7602" w:rsidRDefault="00BC0D40" w:rsidP="00BC0D40">
      <w:pPr>
        <w:rPr>
          <w:szCs w:val="24"/>
        </w:rPr>
      </w:pPr>
      <w:r w:rsidRPr="003E7602">
        <w:rPr>
          <w:szCs w:val="24"/>
        </w:rPr>
        <w:t>Zákon č. 131/1982 Sb., kterým se mění, doplňuje a upravuje občanský zákoník.</w:t>
      </w:r>
    </w:p>
    <w:p w:rsidR="00BC0D40" w:rsidRPr="003E7602" w:rsidRDefault="00BC0D40" w:rsidP="00BC0D40">
      <w:pPr>
        <w:rPr>
          <w:szCs w:val="24"/>
        </w:rPr>
      </w:pPr>
      <w:r w:rsidRPr="003E7602">
        <w:rPr>
          <w:szCs w:val="24"/>
        </w:rPr>
        <w:t>Zákon č. 89/2012 Sb., občanský zákoník, ve znění pozdějších předpisů.</w:t>
      </w:r>
    </w:p>
    <w:p w:rsidR="00812A0A" w:rsidRPr="003E7602" w:rsidRDefault="00812A0A" w:rsidP="00BC0D40">
      <w:pPr>
        <w:rPr>
          <w:szCs w:val="24"/>
        </w:rPr>
      </w:pPr>
    </w:p>
    <w:p w:rsidR="00BC0D40" w:rsidRPr="003E7602" w:rsidRDefault="00BC0D40" w:rsidP="00BC0D40">
      <w:pPr>
        <w:rPr>
          <w:szCs w:val="24"/>
        </w:rPr>
      </w:pPr>
      <w:r w:rsidRPr="003E7602">
        <w:rPr>
          <w:b/>
          <w:szCs w:val="24"/>
        </w:rPr>
        <w:lastRenderedPageBreak/>
        <w:t>JUDIKATURA</w:t>
      </w:r>
    </w:p>
    <w:p w:rsidR="00BC0D40" w:rsidRPr="003E7602" w:rsidRDefault="00BC0D40" w:rsidP="00BC0D40">
      <w:pPr>
        <w:rPr>
          <w:iCs/>
          <w:szCs w:val="24"/>
        </w:rPr>
      </w:pPr>
    </w:p>
    <w:p w:rsidR="00BD78C1" w:rsidRPr="003E7602" w:rsidRDefault="00BD78C1" w:rsidP="00BC0D40">
      <w:pPr>
        <w:rPr>
          <w:szCs w:val="24"/>
        </w:rPr>
      </w:pPr>
      <w:r w:rsidRPr="003E7602">
        <w:rPr>
          <w:szCs w:val="24"/>
        </w:rPr>
        <w:t xml:space="preserve">Rozhodnutí Krajského soudu v Českých Budějovicích 6 Ok 168/52 z 13. července 1952, citováno dle HOLUB, Rudolf. </w:t>
      </w:r>
      <w:r w:rsidRPr="003E7602">
        <w:rPr>
          <w:i/>
          <w:szCs w:val="24"/>
        </w:rPr>
        <w:t>Komentář k občanskému zákoníku: právo dědické.</w:t>
      </w:r>
      <w:r w:rsidRPr="003E7602">
        <w:rPr>
          <w:szCs w:val="24"/>
        </w:rPr>
        <w:t xml:space="preserve"> Praha: Orbis, 1957, s. 188.</w:t>
      </w:r>
    </w:p>
    <w:p w:rsidR="00BD78C1" w:rsidRPr="003E7602" w:rsidRDefault="00BD78C1" w:rsidP="00BC0D40">
      <w:pPr>
        <w:rPr>
          <w:iCs/>
          <w:szCs w:val="24"/>
        </w:rPr>
      </w:pPr>
      <w:r w:rsidRPr="003E7602">
        <w:rPr>
          <w:iCs/>
          <w:szCs w:val="24"/>
        </w:rPr>
        <w:t xml:space="preserve">Rozhodnutí Krajského soudu v Praze 17 OK 256/52 z 23. října 1952, citováno dle HOLUB, Rudolf. </w:t>
      </w:r>
      <w:r w:rsidRPr="003E7602">
        <w:rPr>
          <w:i/>
          <w:iCs/>
          <w:szCs w:val="24"/>
        </w:rPr>
        <w:t>Komentář k občanskému zákoníku: právo dědické.</w:t>
      </w:r>
      <w:r w:rsidRPr="003E7602">
        <w:rPr>
          <w:iCs/>
          <w:szCs w:val="24"/>
        </w:rPr>
        <w:t xml:space="preserve"> Praha: Orbis, 1957, s. 206.</w:t>
      </w:r>
    </w:p>
    <w:p w:rsidR="00BD78C1" w:rsidRPr="003E7602" w:rsidRDefault="00BD78C1" w:rsidP="00BC0D40">
      <w:pPr>
        <w:rPr>
          <w:iCs/>
          <w:szCs w:val="24"/>
        </w:rPr>
      </w:pPr>
      <w:r w:rsidRPr="003E7602">
        <w:rPr>
          <w:iCs/>
          <w:szCs w:val="24"/>
        </w:rPr>
        <w:t>Rozhodnutí Krajského soudu v Praze 21 Co 390/53 z 28. října 1953, citováno dle HOLUB, Rudolf. Komentář k občanskému zákoníku: právo dědické. Praha: Orbis, 1957, s. 206.</w:t>
      </w:r>
    </w:p>
    <w:p w:rsidR="00BD78C1" w:rsidRDefault="00BD78C1" w:rsidP="00BC0D40">
      <w:pPr>
        <w:rPr>
          <w:iCs/>
          <w:szCs w:val="24"/>
        </w:rPr>
      </w:pPr>
      <w:r w:rsidRPr="003E7602">
        <w:rPr>
          <w:iCs/>
          <w:szCs w:val="24"/>
        </w:rPr>
        <w:t>Rozhodnutí Nejvyššího soudu  ze</w:t>
      </w:r>
      <w:r>
        <w:rPr>
          <w:iCs/>
          <w:szCs w:val="24"/>
        </w:rPr>
        <w:t xml:space="preserve"> dne</w:t>
      </w:r>
      <w:r w:rsidRPr="003E7602">
        <w:rPr>
          <w:iCs/>
          <w:szCs w:val="24"/>
        </w:rPr>
        <w:t xml:space="preserve"> 29. 5. 1997, sp. zn. 2 Cdon 176/96.</w:t>
      </w:r>
    </w:p>
    <w:p w:rsidR="00BD78C1" w:rsidRPr="003E7602" w:rsidRDefault="00BD78C1" w:rsidP="00BC0D40">
      <w:pPr>
        <w:rPr>
          <w:iCs/>
          <w:szCs w:val="24"/>
        </w:rPr>
      </w:pPr>
      <w:r w:rsidRPr="003E7602">
        <w:rPr>
          <w:iCs/>
          <w:szCs w:val="24"/>
        </w:rPr>
        <w:t>Rozhodnutí Nejvyššího soudu 107/1954, citováno dle HOLUB, Rudolf. Komentář k občanskému zákoníku: právo dědické. Praha: Orbis, 1957, s. 195.</w:t>
      </w:r>
    </w:p>
    <w:p w:rsidR="00BD78C1" w:rsidRPr="003E7602" w:rsidRDefault="00BD78C1" w:rsidP="00BC0D40">
      <w:pPr>
        <w:rPr>
          <w:iCs/>
          <w:szCs w:val="24"/>
        </w:rPr>
      </w:pPr>
      <w:r w:rsidRPr="003E7602">
        <w:rPr>
          <w:szCs w:val="24"/>
        </w:rPr>
        <w:t xml:space="preserve">Rozhodnutí Nejvyššího soudu 3459, citováno dle </w:t>
      </w:r>
      <w:r>
        <w:rPr>
          <w:iCs/>
          <w:szCs w:val="24"/>
        </w:rPr>
        <w:t>ROUČEK</w:t>
      </w:r>
      <w:r w:rsidRPr="00267C8A">
        <w:rPr>
          <w:szCs w:val="24"/>
        </w:rPr>
        <w:t xml:space="preserve">, František, SEDLÁČEK, Jaromír. </w:t>
      </w:r>
      <w:r w:rsidRPr="00267C8A">
        <w:rPr>
          <w:i/>
          <w:szCs w:val="24"/>
        </w:rPr>
        <w:t xml:space="preserve">Komentář k československému obecnému zákoníku občanskému a občanské právo platné na Slovensku a v Podkarpatské Rusi. Díl 3. </w:t>
      </w:r>
      <w:r>
        <w:rPr>
          <w:szCs w:val="24"/>
        </w:rPr>
        <w:t>Praha: Codex Bohemia, 1998,</w:t>
      </w:r>
      <w:r w:rsidRPr="003E7602">
        <w:rPr>
          <w:iCs/>
          <w:szCs w:val="24"/>
        </w:rPr>
        <w:t xml:space="preserve"> s. 485.</w:t>
      </w:r>
    </w:p>
    <w:p w:rsidR="00BD78C1" w:rsidRPr="003E7602" w:rsidRDefault="00BD78C1" w:rsidP="00BC0D40">
      <w:pPr>
        <w:rPr>
          <w:iCs/>
          <w:szCs w:val="24"/>
        </w:rPr>
      </w:pPr>
      <w:r w:rsidRPr="003E7602">
        <w:rPr>
          <w:szCs w:val="24"/>
        </w:rPr>
        <w:t xml:space="preserve">Rozhodnutí Nejvyššího soudu Gl. U. 12. 990. Now. III., 119, citováno dle </w:t>
      </w:r>
      <w:r w:rsidRPr="003E7602">
        <w:rPr>
          <w:iCs/>
          <w:szCs w:val="24"/>
        </w:rPr>
        <w:t>ROUČEK</w:t>
      </w:r>
      <w:r w:rsidRPr="00267C8A">
        <w:rPr>
          <w:szCs w:val="24"/>
        </w:rPr>
        <w:t xml:space="preserve">, František, SEDLÁČEK, Jaromír. </w:t>
      </w:r>
      <w:r w:rsidRPr="00267C8A">
        <w:rPr>
          <w:i/>
          <w:szCs w:val="24"/>
        </w:rPr>
        <w:t xml:space="preserve">Komentář k československému obecnému zákoníku občanskému a občanské právo platné na Slovensku a v Podkarpatské Rusi. Díl 3. </w:t>
      </w:r>
      <w:r w:rsidRPr="00267C8A">
        <w:rPr>
          <w:szCs w:val="24"/>
        </w:rPr>
        <w:t xml:space="preserve">Praha: Codex Bohemia, 1998, </w:t>
      </w:r>
      <w:r w:rsidRPr="003E7602">
        <w:rPr>
          <w:iCs/>
          <w:szCs w:val="24"/>
        </w:rPr>
        <w:t>s. 443.</w:t>
      </w:r>
    </w:p>
    <w:p w:rsidR="00BD78C1" w:rsidRPr="003E7602" w:rsidRDefault="00BD78C1" w:rsidP="00BC0D40">
      <w:pPr>
        <w:rPr>
          <w:iCs/>
          <w:szCs w:val="24"/>
        </w:rPr>
      </w:pPr>
      <w:r w:rsidRPr="003E7602">
        <w:rPr>
          <w:szCs w:val="24"/>
        </w:rPr>
        <w:t xml:space="preserve">Rozhodnutí Nejvyššího soudu Gl. U. 13.770, citováno dle </w:t>
      </w:r>
      <w:r>
        <w:rPr>
          <w:iCs/>
          <w:szCs w:val="24"/>
        </w:rPr>
        <w:t>ROUČEK</w:t>
      </w:r>
      <w:r w:rsidRPr="00267C8A">
        <w:rPr>
          <w:szCs w:val="24"/>
        </w:rPr>
        <w:t xml:space="preserve">, František, SEDLÁČEK, Jaromír. </w:t>
      </w:r>
      <w:r w:rsidRPr="00267C8A">
        <w:rPr>
          <w:i/>
          <w:szCs w:val="24"/>
        </w:rPr>
        <w:t xml:space="preserve">Komentář k československému obecnému zákoníku občanskému a občanské právo platné na Slovensku a v Podkarpatské Rusi. Díl 3. </w:t>
      </w:r>
      <w:r w:rsidRPr="00267C8A">
        <w:rPr>
          <w:szCs w:val="24"/>
        </w:rPr>
        <w:t xml:space="preserve">Praha: Codex Bohemia, 1998, </w:t>
      </w:r>
      <w:r w:rsidRPr="003E7602">
        <w:rPr>
          <w:iCs/>
          <w:szCs w:val="24"/>
        </w:rPr>
        <w:t>s. 433.</w:t>
      </w:r>
    </w:p>
    <w:p w:rsidR="00BD78C1" w:rsidRPr="003E7602" w:rsidRDefault="00BD78C1" w:rsidP="00BC0D40">
      <w:pPr>
        <w:rPr>
          <w:iCs/>
          <w:szCs w:val="24"/>
        </w:rPr>
      </w:pPr>
      <w:r w:rsidRPr="003E7602">
        <w:rPr>
          <w:szCs w:val="24"/>
        </w:rPr>
        <w:t xml:space="preserve">Rozhodnutí Nejvyššího soudu Gl. U. 206, citováno dle </w:t>
      </w:r>
      <w:r>
        <w:rPr>
          <w:iCs/>
          <w:szCs w:val="24"/>
        </w:rPr>
        <w:t>ROUČEK</w:t>
      </w:r>
      <w:r w:rsidRPr="00267C8A">
        <w:rPr>
          <w:szCs w:val="24"/>
        </w:rPr>
        <w:t xml:space="preserve">, František, SEDLÁČEK, Jaromír. </w:t>
      </w:r>
      <w:r w:rsidRPr="00267C8A">
        <w:rPr>
          <w:i/>
          <w:szCs w:val="24"/>
        </w:rPr>
        <w:t xml:space="preserve">Komentář k československému obecnému zákoníku občanskému a občanské právo platné na Slovensku a v Podkarpatské Rusi. Díl 3. </w:t>
      </w:r>
      <w:r>
        <w:rPr>
          <w:szCs w:val="24"/>
        </w:rPr>
        <w:t>Praha: Codex Bohemia, 1998,</w:t>
      </w:r>
      <w:r w:rsidRPr="003E7602">
        <w:rPr>
          <w:iCs/>
          <w:szCs w:val="24"/>
        </w:rPr>
        <w:t xml:space="preserve"> s. 450.</w:t>
      </w:r>
    </w:p>
    <w:p w:rsidR="00BD78C1" w:rsidRPr="003E7602" w:rsidRDefault="00BD78C1" w:rsidP="00BC0D40">
      <w:pPr>
        <w:rPr>
          <w:iCs/>
          <w:szCs w:val="24"/>
        </w:rPr>
      </w:pPr>
      <w:r w:rsidRPr="003E7602">
        <w:rPr>
          <w:szCs w:val="24"/>
        </w:rPr>
        <w:t xml:space="preserve">Rozhodnutí Nejvyššího soudu Gl. U. 4523, citováno dle </w:t>
      </w:r>
      <w:r>
        <w:rPr>
          <w:iCs/>
          <w:szCs w:val="24"/>
        </w:rPr>
        <w:t>ROUČEK</w:t>
      </w:r>
      <w:r w:rsidRPr="00267C8A">
        <w:rPr>
          <w:szCs w:val="24"/>
        </w:rPr>
        <w:t xml:space="preserve">, František, SEDLÁČEK, Jaromír. </w:t>
      </w:r>
      <w:r w:rsidRPr="00267C8A">
        <w:rPr>
          <w:i/>
          <w:szCs w:val="24"/>
        </w:rPr>
        <w:t xml:space="preserve">Komentář k československému obecnému zákoníku občanskému a občanské právo platné na Slovensku a v Podkarpatské Rusi. Díl 3. </w:t>
      </w:r>
      <w:r>
        <w:rPr>
          <w:szCs w:val="24"/>
        </w:rPr>
        <w:t>Praha: Codex Bohemia, 1998,</w:t>
      </w:r>
      <w:r w:rsidRPr="003E7602">
        <w:rPr>
          <w:iCs/>
          <w:szCs w:val="24"/>
        </w:rPr>
        <w:t xml:space="preserve"> s. 453.</w:t>
      </w:r>
    </w:p>
    <w:p w:rsidR="00BD78C1" w:rsidRPr="003E7602" w:rsidRDefault="00BD78C1" w:rsidP="00BC0D40">
      <w:pPr>
        <w:rPr>
          <w:iCs/>
          <w:szCs w:val="24"/>
        </w:rPr>
      </w:pPr>
      <w:r w:rsidRPr="003E7602">
        <w:rPr>
          <w:szCs w:val="24"/>
        </w:rPr>
        <w:t xml:space="preserve">Rozhodnutí Nejvyššího soudu Gl. U. N. F. 2241, citováno dle </w:t>
      </w:r>
      <w:r w:rsidRPr="003E7602">
        <w:rPr>
          <w:iCs/>
          <w:szCs w:val="24"/>
        </w:rPr>
        <w:t>ROUČEK</w:t>
      </w:r>
      <w:r>
        <w:rPr>
          <w:szCs w:val="24"/>
        </w:rPr>
        <w:t xml:space="preserve">, </w:t>
      </w:r>
      <w:r w:rsidRPr="00267C8A">
        <w:rPr>
          <w:szCs w:val="24"/>
        </w:rPr>
        <w:t xml:space="preserve">František, SEDLÁČEK, Jaromír. </w:t>
      </w:r>
      <w:r w:rsidRPr="00267C8A">
        <w:rPr>
          <w:i/>
          <w:szCs w:val="24"/>
        </w:rPr>
        <w:t xml:space="preserve">Komentář k československému obecnému zákoníku občanskému a občanské právo platné na Slovensku a v Podkarpatské Rusi. Díl 3. </w:t>
      </w:r>
      <w:r w:rsidRPr="00267C8A">
        <w:rPr>
          <w:szCs w:val="24"/>
        </w:rPr>
        <w:t xml:space="preserve">Praha: Codex Bohemia, 1998, </w:t>
      </w:r>
      <w:r w:rsidRPr="003E7602">
        <w:rPr>
          <w:iCs/>
          <w:szCs w:val="24"/>
        </w:rPr>
        <w:t>s. 435.</w:t>
      </w:r>
    </w:p>
    <w:p w:rsidR="00BD78C1" w:rsidRPr="003E7602" w:rsidRDefault="00BD78C1" w:rsidP="00BC0D40">
      <w:pPr>
        <w:rPr>
          <w:iCs/>
          <w:szCs w:val="24"/>
        </w:rPr>
      </w:pPr>
      <w:r w:rsidRPr="003E7602">
        <w:rPr>
          <w:szCs w:val="24"/>
        </w:rPr>
        <w:t xml:space="preserve">Rozhodnutí Nejvyššího soudu Gl. U. N. F. 2931, citováno dle </w:t>
      </w:r>
      <w:r w:rsidRPr="003E7602">
        <w:rPr>
          <w:iCs/>
          <w:szCs w:val="24"/>
        </w:rPr>
        <w:t>ROUČEK</w:t>
      </w:r>
      <w:r w:rsidRPr="00267C8A">
        <w:rPr>
          <w:szCs w:val="24"/>
        </w:rPr>
        <w:t xml:space="preserve">, František, SEDLÁČEK, Jaromír. </w:t>
      </w:r>
      <w:r w:rsidRPr="00267C8A">
        <w:rPr>
          <w:i/>
          <w:szCs w:val="24"/>
        </w:rPr>
        <w:t xml:space="preserve">Komentář k československému obecnému zákoníku občanskému a občanské právo platné na Slovensku a v Podkarpatské Rusi. Díl 3. </w:t>
      </w:r>
      <w:r w:rsidRPr="00267C8A">
        <w:rPr>
          <w:szCs w:val="24"/>
        </w:rPr>
        <w:t xml:space="preserve">Praha: Codex Bohemia, 1998, </w:t>
      </w:r>
      <w:r w:rsidRPr="003E7602">
        <w:rPr>
          <w:iCs/>
          <w:szCs w:val="24"/>
        </w:rPr>
        <w:t>s. 449.</w:t>
      </w:r>
    </w:p>
    <w:p w:rsidR="00BD78C1" w:rsidRPr="003E7602" w:rsidRDefault="00BD78C1" w:rsidP="00BC0D40">
      <w:pPr>
        <w:rPr>
          <w:iCs/>
          <w:szCs w:val="24"/>
        </w:rPr>
      </w:pPr>
      <w:r w:rsidRPr="003E7602">
        <w:rPr>
          <w:szCs w:val="24"/>
        </w:rPr>
        <w:lastRenderedPageBreak/>
        <w:t xml:space="preserve">Rozhodnutí Nejvyššího soudu Gl. U. n. ř. 3251, citováno dle </w:t>
      </w:r>
      <w:r w:rsidRPr="003E7602">
        <w:rPr>
          <w:iCs/>
          <w:szCs w:val="24"/>
        </w:rPr>
        <w:t>ROUČEK</w:t>
      </w:r>
      <w:r w:rsidRPr="00267C8A">
        <w:rPr>
          <w:szCs w:val="24"/>
        </w:rPr>
        <w:t xml:space="preserve">, František, SEDLÁČEK, Jaromír. </w:t>
      </w:r>
      <w:r w:rsidRPr="00267C8A">
        <w:rPr>
          <w:i/>
          <w:szCs w:val="24"/>
        </w:rPr>
        <w:t xml:space="preserve">Komentář k československému obecnému zákoníku občanskému a občanské právo platné na Slovensku a v Podkarpatské Rusi. Díl 3. </w:t>
      </w:r>
      <w:r w:rsidRPr="00267C8A">
        <w:rPr>
          <w:szCs w:val="24"/>
        </w:rPr>
        <w:t xml:space="preserve">Praha: Codex Bohemia, 1998, </w:t>
      </w:r>
      <w:r w:rsidRPr="003E7602">
        <w:rPr>
          <w:iCs/>
          <w:szCs w:val="24"/>
        </w:rPr>
        <w:t>s. 485.</w:t>
      </w:r>
    </w:p>
    <w:p w:rsidR="00BD78C1" w:rsidRPr="003E7602" w:rsidRDefault="00BD78C1" w:rsidP="00BC0D40">
      <w:pPr>
        <w:rPr>
          <w:iCs/>
          <w:szCs w:val="24"/>
        </w:rPr>
      </w:pPr>
      <w:r w:rsidRPr="003E7602">
        <w:rPr>
          <w:szCs w:val="24"/>
        </w:rPr>
        <w:t xml:space="preserve">Rozhodnutí Nejvyššího soudu Gl. U. n.ř. 2241, citováno dle </w:t>
      </w:r>
      <w:r>
        <w:rPr>
          <w:iCs/>
          <w:szCs w:val="24"/>
        </w:rPr>
        <w:t>ROUČEK</w:t>
      </w:r>
      <w:r w:rsidRPr="00267C8A">
        <w:rPr>
          <w:szCs w:val="24"/>
        </w:rPr>
        <w:t xml:space="preserve">, František, SEDLÁČEK, Jaromír. </w:t>
      </w:r>
      <w:r w:rsidRPr="00267C8A">
        <w:rPr>
          <w:i/>
          <w:szCs w:val="24"/>
        </w:rPr>
        <w:t xml:space="preserve">Komentář k československému obecnému zákoníku občanskému a občanské právo platné na Slovensku a v Podkarpatské Rusi. Díl 3. </w:t>
      </w:r>
      <w:r w:rsidRPr="00267C8A">
        <w:rPr>
          <w:szCs w:val="24"/>
        </w:rPr>
        <w:t xml:space="preserve">Praha: Codex Bohemia, 1998, </w:t>
      </w:r>
      <w:r w:rsidRPr="003E7602">
        <w:rPr>
          <w:iCs/>
          <w:szCs w:val="24"/>
        </w:rPr>
        <w:t>s. 440.</w:t>
      </w:r>
    </w:p>
    <w:p w:rsidR="00BD78C1" w:rsidRPr="003E7602" w:rsidRDefault="00BD78C1" w:rsidP="00BC0D40">
      <w:pPr>
        <w:rPr>
          <w:iCs/>
          <w:szCs w:val="24"/>
        </w:rPr>
      </w:pPr>
      <w:r w:rsidRPr="003E7602">
        <w:rPr>
          <w:szCs w:val="24"/>
        </w:rPr>
        <w:t xml:space="preserve">Rozhodnutí Nejvyššího soudu NZ. 1917, str. 333, RS. 1789, citováno dle </w:t>
      </w:r>
      <w:r w:rsidRPr="003E7602">
        <w:rPr>
          <w:iCs/>
          <w:szCs w:val="24"/>
        </w:rPr>
        <w:t>ROUČEK</w:t>
      </w:r>
      <w:r w:rsidRPr="00267C8A">
        <w:rPr>
          <w:szCs w:val="24"/>
        </w:rPr>
        <w:t xml:space="preserve">, František, SEDLÁČEK, Jaromír. </w:t>
      </w:r>
      <w:r w:rsidRPr="00267C8A">
        <w:rPr>
          <w:i/>
          <w:szCs w:val="24"/>
        </w:rPr>
        <w:t xml:space="preserve">Komentář k československému obecnému zákoníku občanskému a občanské právo platné na Slovensku a v Podkarpatské Rusi. Díl 3. </w:t>
      </w:r>
      <w:r w:rsidRPr="00267C8A">
        <w:rPr>
          <w:szCs w:val="24"/>
        </w:rPr>
        <w:t xml:space="preserve">Praha: Codex Bohemia, 1998, </w:t>
      </w:r>
      <w:r w:rsidRPr="003E7602">
        <w:rPr>
          <w:iCs/>
          <w:szCs w:val="24"/>
        </w:rPr>
        <w:t>s. 431.</w:t>
      </w:r>
    </w:p>
    <w:p w:rsidR="00BD78C1" w:rsidRPr="003E7602" w:rsidRDefault="00BD78C1" w:rsidP="00BC0D40">
      <w:pPr>
        <w:rPr>
          <w:iCs/>
          <w:szCs w:val="24"/>
        </w:rPr>
      </w:pPr>
      <w:r w:rsidRPr="003E7602">
        <w:rPr>
          <w:iCs/>
          <w:szCs w:val="24"/>
        </w:rPr>
        <w:t xml:space="preserve">Rozhodnutí Nejvyššího soudu V/67, citováno dle BEDNÁŘ, Václav. </w:t>
      </w:r>
      <w:r w:rsidRPr="003E7602">
        <w:rPr>
          <w:i/>
          <w:iCs/>
          <w:szCs w:val="24"/>
        </w:rPr>
        <w:t xml:space="preserve">Testamentární dědická posloupnost. </w:t>
      </w:r>
      <w:r w:rsidRPr="003E7602">
        <w:rPr>
          <w:iCs/>
          <w:szCs w:val="24"/>
        </w:rPr>
        <w:t>Plzeň: Aleš Čeněk, 2011, s. 96.</w:t>
      </w:r>
    </w:p>
    <w:p w:rsidR="00BD78C1" w:rsidRPr="003E7602" w:rsidRDefault="00BD78C1" w:rsidP="00BC0D40">
      <w:pPr>
        <w:rPr>
          <w:iCs/>
          <w:szCs w:val="24"/>
        </w:rPr>
      </w:pPr>
      <w:r w:rsidRPr="003E7602">
        <w:rPr>
          <w:szCs w:val="24"/>
        </w:rPr>
        <w:t xml:space="preserve">Rozhodnutí Nejvyššího soudu, Gl. U. 4707, citováno dle </w:t>
      </w:r>
      <w:r>
        <w:rPr>
          <w:iCs/>
          <w:szCs w:val="24"/>
        </w:rPr>
        <w:t>ROUČEK,</w:t>
      </w:r>
      <w:r w:rsidRPr="00267C8A">
        <w:rPr>
          <w:szCs w:val="24"/>
        </w:rPr>
        <w:t xml:space="preserve"> František, SEDLÁČEK, Jaromír. </w:t>
      </w:r>
      <w:r w:rsidRPr="00267C8A">
        <w:rPr>
          <w:i/>
          <w:szCs w:val="24"/>
        </w:rPr>
        <w:t xml:space="preserve">Komentář k československému obecnému zákoníku občanskému a občanské právo platné na Slovensku a v Podkarpatské Rusi. Díl 3. </w:t>
      </w:r>
      <w:r w:rsidRPr="00267C8A">
        <w:rPr>
          <w:szCs w:val="24"/>
        </w:rPr>
        <w:t xml:space="preserve">Praha: Codex Bohemia, 1998, </w:t>
      </w:r>
      <w:r w:rsidRPr="003E7602">
        <w:rPr>
          <w:iCs/>
          <w:szCs w:val="24"/>
        </w:rPr>
        <w:t>s. 438.</w:t>
      </w:r>
    </w:p>
    <w:p w:rsidR="00BD78C1" w:rsidRPr="003E7602" w:rsidRDefault="00BD78C1" w:rsidP="00BC0D40">
      <w:pPr>
        <w:rPr>
          <w:iCs/>
          <w:szCs w:val="24"/>
        </w:rPr>
      </w:pPr>
      <w:r w:rsidRPr="008F7C69">
        <w:rPr>
          <w:rFonts w:cs="Times New Roman"/>
        </w:rPr>
        <w:t xml:space="preserve">Rozhodnutí soudu 50/1985, citováno dle FIALA, Roman. </w:t>
      </w:r>
      <w:r w:rsidRPr="008F7C69">
        <w:rPr>
          <w:rFonts w:cs="Times New Roman"/>
          <w:i/>
        </w:rPr>
        <w:t xml:space="preserve">Přehled judikatury ve věcech dědických. </w:t>
      </w:r>
      <w:r w:rsidRPr="008F7C69">
        <w:rPr>
          <w:rFonts w:cs="Times New Roman"/>
        </w:rPr>
        <w:t>Praha: ASPI, 2006, s. 355.</w:t>
      </w:r>
    </w:p>
    <w:p w:rsidR="00BD78C1" w:rsidRPr="003E7602" w:rsidRDefault="00BD78C1" w:rsidP="00BC0D40">
      <w:pPr>
        <w:rPr>
          <w:iCs/>
          <w:szCs w:val="24"/>
        </w:rPr>
      </w:pPr>
      <w:r w:rsidRPr="003E7602">
        <w:rPr>
          <w:szCs w:val="24"/>
        </w:rPr>
        <w:t>Rozhod</w:t>
      </w:r>
      <w:r>
        <w:rPr>
          <w:szCs w:val="24"/>
        </w:rPr>
        <w:t>n</w:t>
      </w:r>
      <w:r w:rsidRPr="003E7602">
        <w:rPr>
          <w:szCs w:val="24"/>
        </w:rPr>
        <w:t xml:space="preserve">utí Nejvyššího soudu Gl. U. 6715, citováno dle </w:t>
      </w:r>
      <w:r>
        <w:rPr>
          <w:iCs/>
          <w:szCs w:val="24"/>
        </w:rPr>
        <w:t>ROUČEK,</w:t>
      </w:r>
      <w:r w:rsidRPr="00267C8A">
        <w:rPr>
          <w:szCs w:val="24"/>
        </w:rPr>
        <w:t xml:space="preserve"> František, SEDLÁČEK, Jaromír. </w:t>
      </w:r>
      <w:r w:rsidRPr="00267C8A">
        <w:rPr>
          <w:i/>
          <w:szCs w:val="24"/>
        </w:rPr>
        <w:t xml:space="preserve">Komentář k československému obecnému zákoníku občanskému a občanské právo platné na Slovensku a v Podkarpatské Rusi. Díl 3. </w:t>
      </w:r>
      <w:r w:rsidRPr="00267C8A">
        <w:rPr>
          <w:szCs w:val="24"/>
        </w:rPr>
        <w:t xml:space="preserve">Praha: Codex Bohemia, 1998, </w:t>
      </w:r>
      <w:r w:rsidRPr="003E7602">
        <w:rPr>
          <w:iCs/>
          <w:szCs w:val="24"/>
        </w:rPr>
        <w:t>s. 386.</w:t>
      </w:r>
    </w:p>
    <w:p w:rsidR="00BD78C1" w:rsidRPr="003E7602" w:rsidRDefault="00BD78C1" w:rsidP="00BC0D40">
      <w:pPr>
        <w:rPr>
          <w:iCs/>
          <w:szCs w:val="24"/>
        </w:rPr>
      </w:pPr>
      <w:r w:rsidRPr="003E7602">
        <w:rPr>
          <w:iCs/>
          <w:szCs w:val="24"/>
        </w:rPr>
        <w:t>Spisy komise pro jednotný výklad zákona č. 43/51, citováno dle HOLUB, Rudolf. Komentář k občanskému zákoníku: právo dědické. Praha: Orbis, 1957, s. 205.</w:t>
      </w:r>
    </w:p>
    <w:p w:rsidR="00BD78C1" w:rsidRPr="003E7602" w:rsidRDefault="00BD78C1" w:rsidP="00BC0D40">
      <w:pPr>
        <w:rPr>
          <w:iCs/>
          <w:szCs w:val="24"/>
        </w:rPr>
      </w:pPr>
      <w:r w:rsidRPr="003E7602">
        <w:rPr>
          <w:iCs/>
          <w:szCs w:val="24"/>
        </w:rPr>
        <w:t xml:space="preserve">Usnesení Městského soudu v Praze z 28. 6. 1996, sp. zn. 24 Co 160/96 – 47, citováno dle </w:t>
      </w:r>
      <w:r w:rsidRPr="003E7602">
        <w:rPr>
          <w:i/>
          <w:iCs/>
          <w:szCs w:val="24"/>
        </w:rPr>
        <w:t xml:space="preserve">Ad Notam, </w:t>
      </w:r>
      <w:r w:rsidRPr="003E7602">
        <w:rPr>
          <w:iCs/>
          <w:szCs w:val="24"/>
        </w:rPr>
        <w:t>1996, roč. 2, č. 5, s. 118 an.</w:t>
      </w:r>
    </w:p>
    <w:p w:rsidR="00AA6DF9" w:rsidRDefault="00AA6DF9">
      <w:pPr>
        <w:jc w:val="left"/>
      </w:pPr>
    </w:p>
    <w:p w:rsidR="00AA6DF9" w:rsidRDefault="00AA6DF9">
      <w:pPr>
        <w:jc w:val="left"/>
      </w:pPr>
      <w:r>
        <w:rPr>
          <w:b/>
        </w:rPr>
        <w:t>OSTATNÍ ZDROJE</w:t>
      </w:r>
    </w:p>
    <w:p w:rsidR="00BC0D40" w:rsidRDefault="00AA6DF9">
      <w:pPr>
        <w:jc w:val="left"/>
      </w:pPr>
      <w:r w:rsidRPr="00AA6DF9">
        <w:t xml:space="preserve">Důvodová zpráva k zákonu č. 89/2012 Sb., občanský zákoník. Olomouc: Anag, 2012, s. 7 – 11. </w:t>
      </w:r>
      <w:r w:rsidR="00BC0D40">
        <w:br w:type="page"/>
      </w:r>
    </w:p>
    <w:p w:rsidR="00BC0D40" w:rsidRDefault="00BC0D40" w:rsidP="00BC0D40">
      <w:pPr>
        <w:pStyle w:val="Nadpis1"/>
      </w:pPr>
      <w:bookmarkStart w:id="39" w:name="_Toc449513927"/>
      <w:r>
        <w:lastRenderedPageBreak/>
        <w:t>Shrnutí</w:t>
      </w:r>
      <w:bookmarkEnd w:id="39"/>
    </w:p>
    <w:p w:rsidR="0013141A" w:rsidRDefault="004906FF" w:rsidP="004906FF">
      <w:pPr>
        <w:spacing w:line="360" w:lineRule="auto"/>
        <w:contextualSpacing/>
      </w:pPr>
      <w:r>
        <w:tab/>
        <w:t>Tato diplomová práce se zabývá otázkami so</w:t>
      </w:r>
      <w:r w:rsidR="00E84A77">
        <w:t>uvisejícími s</w:t>
      </w:r>
      <w:r>
        <w:t xml:space="preserve"> právy nepominutelných dědiců, možností jejich vydědění a dále </w:t>
      </w:r>
      <w:r w:rsidR="0013141A">
        <w:t xml:space="preserve">jejich </w:t>
      </w:r>
      <w:r>
        <w:t>procesní obranou. Tyto pojmy m</w:t>
      </w:r>
      <w:r w:rsidR="00E84A77">
        <w:t>ají svůj</w:t>
      </w:r>
      <w:r w:rsidR="0013141A">
        <w:t xml:space="preserve"> původ v římském právu. Tam </w:t>
      </w:r>
      <w:r>
        <w:t>se vyvinula posloupnost proti testamentu</w:t>
      </w:r>
      <w:r w:rsidR="0013141A">
        <w:t>, jakožto způsob výkladu závěti, která měla za následek zrušení poslední vůle zůstavitele a nástup zákonné dědické posloupnosti</w:t>
      </w:r>
      <w:r w:rsidR="00E84A77">
        <w:t xml:space="preserve">. </w:t>
      </w:r>
    </w:p>
    <w:p w:rsidR="00677E7F" w:rsidRDefault="0013141A" w:rsidP="004906FF">
      <w:pPr>
        <w:spacing w:line="360" w:lineRule="auto"/>
        <w:contextualSpacing/>
      </w:pPr>
      <w:r>
        <w:tab/>
        <w:t xml:space="preserve">Diplomová práce je tvořena úvodem, 4 kapitolami a závěrem. První kapitola je rozdělena do dvou </w:t>
      </w:r>
      <w:r w:rsidR="00677E7F">
        <w:t>podk</w:t>
      </w:r>
      <w:r>
        <w:t>apitol</w:t>
      </w:r>
      <w:r w:rsidR="00677E7F">
        <w:t xml:space="preserve"> a zbylé tři se člení </w:t>
      </w:r>
      <w:r w:rsidR="00711B5F">
        <w:t xml:space="preserve">do dalších </w:t>
      </w:r>
      <w:r w:rsidR="00677E7F">
        <w:t>4 podkapitol.</w:t>
      </w:r>
    </w:p>
    <w:p w:rsidR="00E84A77" w:rsidRDefault="00E84A77" w:rsidP="004906FF">
      <w:pPr>
        <w:spacing w:line="360" w:lineRule="auto"/>
        <w:contextualSpacing/>
      </w:pPr>
      <w:r>
        <w:tab/>
        <w:t xml:space="preserve">Jednotlivé kapitoly jsou seřazeny </w:t>
      </w:r>
      <w:r w:rsidR="000A6740">
        <w:t>chronol</w:t>
      </w:r>
      <w:r w:rsidR="00C93B21">
        <w:t>ogicky dle historických období.</w:t>
      </w:r>
      <w:r w:rsidR="000A6740">
        <w:t xml:space="preserve"> Úvodní kapitola se zabývá posloupností proti testamentu dle římského práva. V dalších kapitolách </w:t>
      </w:r>
      <w:r w:rsidR="00505CE1">
        <w:t xml:space="preserve">se pojednává o pojmech s posloupností souvisejících v rámci zákonné úpravy rakouského obecného zákoníku občanského z roku 1811, </w:t>
      </w:r>
      <w:r w:rsidR="000A6740">
        <w:t>vládního návrh občanského zákoníku z roku 1937, občanského zákoníku z roku 1950, občanského zákoníku z roku 1964 a</w:t>
      </w:r>
      <w:r w:rsidR="00505CE1">
        <w:t>ž po aktuálně platné právo představované občanským zákoníkem přijatým v roce 2012.</w:t>
      </w:r>
    </w:p>
    <w:p w:rsidR="00505CE1" w:rsidRDefault="00AE7185" w:rsidP="004906FF">
      <w:pPr>
        <w:spacing w:line="360" w:lineRule="auto"/>
        <w:contextualSpacing/>
      </w:pPr>
      <w:r>
        <w:tab/>
        <w:t>Úvodní kapitola týkající se římského práva vymezuje rozdíl mezi formálními a materiálními právy posloupnosti proti testamentu ve dvou po sobě následujících období římského práva. V dalších kapitolách týkajících se již novějšího práva jsou vždy v rámci každé podk</w:t>
      </w:r>
      <w:r w:rsidR="009852E6">
        <w:t>apitoly srovnávány stejné pojmy související s posloupností.</w:t>
      </w:r>
    </w:p>
    <w:p w:rsidR="00AE7185" w:rsidRDefault="008670C2" w:rsidP="004906FF">
      <w:pPr>
        <w:spacing w:line="360" w:lineRule="auto"/>
      </w:pPr>
      <w:r>
        <w:tab/>
        <w:t>Na závěr práce je shrnuta podstata posloupnosti proti testamentu, která obsahuje vymezení základních prvků, které zůstaly z posloupnosti zachovány do dnešní doby.</w:t>
      </w:r>
    </w:p>
    <w:p w:rsidR="00BC0D40" w:rsidRDefault="00677E7F" w:rsidP="004906FF">
      <w:pPr>
        <w:spacing w:line="360" w:lineRule="auto"/>
        <w:rPr>
          <w:rFonts w:eastAsiaTheme="majorEastAsia" w:cstheme="majorBidi"/>
          <w:b/>
          <w:bCs/>
          <w:sz w:val="32"/>
          <w:szCs w:val="28"/>
        </w:rPr>
      </w:pPr>
      <w:r>
        <w:tab/>
      </w:r>
      <w:r w:rsidR="00BC0D40">
        <w:br w:type="page"/>
      </w:r>
    </w:p>
    <w:p w:rsidR="00BC0D40" w:rsidRDefault="00BC0D40" w:rsidP="00BC0D40">
      <w:pPr>
        <w:pStyle w:val="Nadpis1"/>
      </w:pPr>
      <w:bookmarkStart w:id="40" w:name="_Toc449513928"/>
      <w:r>
        <w:lastRenderedPageBreak/>
        <w:t>Summary</w:t>
      </w:r>
      <w:bookmarkEnd w:id="40"/>
    </w:p>
    <w:p w:rsidR="00DE57B7" w:rsidRDefault="00DD0153" w:rsidP="00DE57B7">
      <w:pPr>
        <w:spacing w:line="360" w:lineRule="auto"/>
        <w:ind w:firstLine="708"/>
        <w:contextualSpacing/>
      </w:pPr>
      <w:r>
        <w:t>This M</w:t>
      </w:r>
      <w:r w:rsidR="00DE57B7">
        <w:t xml:space="preserve">aster´s thesis deals with some problems related </w:t>
      </w:r>
      <w:r>
        <w:t>to</w:t>
      </w:r>
      <w:r w:rsidR="00DE57B7">
        <w:t xml:space="preserve"> the rights of the forced heirs, </w:t>
      </w:r>
      <w:r w:rsidR="00DE57B7" w:rsidRPr="008E3FDD">
        <w:t>disinheritance</w:t>
      </w:r>
      <w:r w:rsidR="00DE57B7">
        <w:t xml:space="preserve"> and procedural defense. These terms </w:t>
      </w:r>
      <w:r w:rsidR="009A1C95">
        <w:t>have their origin in the Roman l</w:t>
      </w:r>
      <w:r w:rsidR="00DE57B7">
        <w:t xml:space="preserve">aw. The succession against the testament has </w:t>
      </w:r>
      <w:r>
        <w:t>developed</w:t>
      </w:r>
      <w:r w:rsidR="00DE57B7">
        <w:t xml:space="preserve"> in the Roman law as a way of interpretation of the testator´s will, which resulted in cancellation of the last will of testator and </w:t>
      </w:r>
      <w:r w:rsidR="00DE57B7" w:rsidRPr="00AC7B5C">
        <w:t>the onset of legal succession</w:t>
      </w:r>
      <w:r w:rsidR="00DE57B7">
        <w:t>.</w:t>
      </w:r>
    </w:p>
    <w:p w:rsidR="00DE57B7" w:rsidRDefault="00DE57B7" w:rsidP="00DE57B7">
      <w:pPr>
        <w:spacing w:line="360" w:lineRule="auto"/>
        <w:ind w:firstLine="708"/>
        <w:contextualSpacing/>
      </w:pPr>
      <w:r>
        <w:t>Th</w:t>
      </w:r>
      <w:r w:rsidR="00DD260B">
        <w:t>is thesis consists of</w:t>
      </w:r>
      <w:r>
        <w:t xml:space="preserve"> an introduction, 4 chapters and conclusion.</w:t>
      </w:r>
      <w:r w:rsidR="00DD260B">
        <w:t xml:space="preserve"> The first chapter is divide</w:t>
      </w:r>
      <w:r>
        <w:t>d into 2 subchapters, and the next three chapters are divided into 4 subchapters.</w:t>
      </w:r>
    </w:p>
    <w:p w:rsidR="00DE57B7" w:rsidRDefault="00DE57B7" w:rsidP="00DE57B7">
      <w:pPr>
        <w:spacing w:line="360" w:lineRule="auto"/>
        <w:ind w:firstLine="708"/>
        <w:contextualSpacing/>
      </w:pPr>
      <w:r>
        <w:t>All</w:t>
      </w:r>
      <w:r w:rsidRPr="00E642C6">
        <w:t xml:space="preserve"> chapters are arranged chronologically according to historical periods.</w:t>
      </w:r>
      <w:r>
        <w:t xml:space="preserve"> </w:t>
      </w:r>
      <w:r w:rsidRPr="004F6FEE">
        <w:t xml:space="preserve">The </w:t>
      </w:r>
      <w:r>
        <w:t>first</w:t>
      </w:r>
      <w:r w:rsidRPr="004F6FEE">
        <w:t xml:space="preserve"> chapter deals with succession</w:t>
      </w:r>
      <w:r>
        <w:t xml:space="preserve"> against </w:t>
      </w:r>
      <w:r w:rsidRPr="00E74CC3">
        <w:t xml:space="preserve">the testament according to the Roman law. In other chapters </w:t>
      </w:r>
      <w:r w:rsidR="001F5F1C">
        <w:t xml:space="preserve">the </w:t>
      </w:r>
      <w:r w:rsidRPr="00E74CC3">
        <w:t xml:space="preserve">thesis discusses the concepts related </w:t>
      </w:r>
      <w:r w:rsidR="001F5F1C">
        <w:t>to</w:t>
      </w:r>
      <w:r w:rsidRPr="00E74CC3">
        <w:t xml:space="preserve"> the topic through the the General Civil Code of 1811, governmental proposal of the Civil Code of 1937, the Civil Code of 1950, the Civil Code of 1964 up to</w:t>
      </w:r>
      <w:r>
        <w:t xml:space="preserve"> the </w:t>
      </w:r>
      <w:r w:rsidR="001F5F1C">
        <w:t xml:space="preserve">currently </w:t>
      </w:r>
      <w:r>
        <w:t xml:space="preserve">valid and effective law represented by the Civil Code of 2012. </w:t>
      </w:r>
    </w:p>
    <w:p w:rsidR="00DE57B7" w:rsidRDefault="00DE57B7" w:rsidP="00DE57B7">
      <w:pPr>
        <w:spacing w:line="360" w:lineRule="auto"/>
        <w:ind w:firstLine="708"/>
        <w:contextualSpacing/>
      </w:pPr>
      <w:r>
        <w:t xml:space="preserve">The introductory chapter about the Roman law defines the differences between the formal and material rights of the succession against the testament </w:t>
      </w:r>
      <w:r w:rsidRPr="008D7CC4">
        <w:t>of two consecutive periods of Roman law.</w:t>
      </w:r>
      <w:r>
        <w:t xml:space="preserve"> In other chapters </w:t>
      </w:r>
      <w:r w:rsidR="00160678">
        <w:t>related</w:t>
      </w:r>
      <w:r>
        <w:t xml:space="preserve"> to the civil codes the same terms </w:t>
      </w:r>
      <w:r w:rsidR="009A1C95">
        <w:t>are always compared in each sepa</w:t>
      </w:r>
      <w:r>
        <w:t>rate subchapter.</w:t>
      </w:r>
    </w:p>
    <w:p w:rsidR="00DE57B7" w:rsidRDefault="00DE57B7" w:rsidP="00DE57B7">
      <w:pPr>
        <w:spacing w:line="360" w:lineRule="auto"/>
        <w:ind w:firstLine="708"/>
        <w:contextualSpacing/>
      </w:pPr>
      <w:r w:rsidRPr="006C38F6">
        <w:t xml:space="preserve">The final part </w:t>
      </w:r>
      <w:r>
        <w:t xml:space="preserve">of thesis </w:t>
      </w:r>
      <w:r w:rsidRPr="006C38F6">
        <w:t xml:space="preserve">summarizes the essence of succession </w:t>
      </w:r>
      <w:r>
        <w:t>against</w:t>
      </w:r>
      <w:r w:rsidRPr="006C38F6">
        <w:t xml:space="preserve"> the testament, which contains the definition of basic elements that remain </w:t>
      </w:r>
      <w:r>
        <w:t xml:space="preserve">from the </w:t>
      </w:r>
      <w:r w:rsidRPr="006C38F6">
        <w:t xml:space="preserve"> succession </w:t>
      </w:r>
      <w:r>
        <w:t xml:space="preserve">and which were </w:t>
      </w:r>
      <w:r w:rsidRPr="006C38F6">
        <w:t>preserved until today.</w:t>
      </w:r>
    </w:p>
    <w:p w:rsidR="00DE57B7" w:rsidRDefault="00DE57B7" w:rsidP="00DE57B7">
      <w:pPr>
        <w:spacing w:line="360" w:lineRule="auto"/>
        <w:contextualSpacing/>
      </w:pPr>
    </w:p>
    <w:p w:rsidR="00DE57B7" w:rsidRDefault="00DE57B7" w:rsidP="00DE57B7">
      <w:pPr>
        <w:spacing w:line="360" w:lineRule="auto"/>
        <w:contextualSpacing/>
      </w:pPr>
    </w:p>
    <w:p w:rsidR="00256A61" w:rsidRDefault="00256A61">
      <w:pPr>
        <w:jc w:val="left"/>
      </w:pPr>
    </w:p>
    <w:p w:rsidR="00BC0D40" w:rsidRDefault="00BC0D40">
      <w:pPr>
        <w:jc w:val="left"/>
        <w:rPr>
          <w:rFonts w:eastAsiaTheme="majorEastAsia" w:cstheme="majorBidi"/>
          <w:b/>
          <w:bCs/>
          <w:sz w:val="32"/>
          <w:szCs w:val="28"/>
        </w:rPr>
      </w:pPr>
      <w:r>
        <w:br w:type="page"/>
      </w:r>
    </w:p>
    <w:p w:rsidR="00AA6EAC" w:rsidRDefault="00BC0D40" w:rsidP="00BC0D40">
      <w:pPr>
        <w:pStyle w:val="Nadpis1"/>
      </w:pPr>
      <w:bookmarkStart w:id="41" w:name="_Toc449513929"/>
      <w:r>
        <w:lastRenderedPageBreak/>
        <w:t>Klíčová slova</w:t>
      </w:r>
      <w:bookmarkEnd w:id="41"/>
    </w:p>
    <w:p w:rsidR="00BC1DA5" w:rsidRDefault="00BC0D40" w:rsidP="00AA6EAC">
      <w:r>
        <w:tab/>
      </w:r>
    </w:p>
    <w:p w:rsidR="00AA6EAC" w:rsidRDefault="00AA6EAC" w:rsidP="00AA6EAC">
      <w:r>
        <w:t>dědické právo / law of succession</w:t>
      </w:r>
    </w:p>
    <w:p w:rsidR="00AA6EAC" w:rsidRDefault="00AA6EAC" w:rsidP="00AA6EAC">
      <w:r>
        <w:t>závěť / testament</w:t>
      </w:r>
    </w:p>
    <w:p w:rsidR="00AA6EAC" w:rsidRDefault="00AA6EAC" w:rsidP="00AA6EAC">
      <w:r>
        <w:t xml:space="preserve">dědění ze zákona / </w:t>
      </w:r>
      <w:r w:rsidR="00E1510E" w:rsidRPr="00E1510E">
        <w:t>law succe</w:t>
      </w:r>
      <w:r w:rsidR="00E1510E">
        <w:t>s</w:t>
      </w:r>
      <w:r w:rsidR="00E1510E" w:rsidRPr="00E1510E">
        <w:t>sion</w:t>
      </w:r>
    </w:p>
    <w:p w:rsidR="00AA6EAC" w:rsidRDefault="00AA6EAC" w:rsidP="00AA6EAC">
      <w:r>
        <w:t>dědění ze závěti /</w:t>
      </w:r>
      <w:r w:rsidR="00E1510E">
        <w:t xml:space="preserve"> testate succession</w:t>
      </w:r>
    </w:p>
    <w:p w:rsidR="00AA6EAC" w:rsidRDefault="00AA6EAC" w:rsidP="00AA6EAC">
      <w:r>
        <w:t>dědění proti závěti /</w:t>
      </w:r>
      <w:r w:rsidR="00E1510E">
        <w:t xml:space="preserve"> succession against the testament</w:t>
      </w:r>
    </w:p>
    <w:p w:rsidR="00AA6EAC" w:rsidRDefault="00AA6EAC" w:rsidP="00AA6EAC">
      <w:r>
        <w:t>zůstavitel / testator</w:t>
      </w:r>
    </w:p>
    <w:p w:rsidR="00AA6EAC" w:rsidRDefault="00AA6EAC" w:rsidP="00AA6EAC">
      <w:r>
        <w:t>dědic / heir</w:t>
      </w:r>
    </w:p>
    <w:p w:rsidR="00AA6EAC" w:rsidRDefault="00AA6EAC" w:rsidP="00AA6EAC">
      <w:r>
        <w:t xml:space="preserve">nepominutelný dědic / </w:t>
      </w:r>
      <w:r w:rsidR="00E1510E">
        <w:t>forced</w:t>
      </w:r>
      <w:r>
        <w:t xml:space="preserve"> heir</w:t>
      </w:r>
    </w:p>
    <w:p w:rsidR="00AA6EAC" w:rsidRDefault="00AA6EAC" w:rsidP="00AA6EAC">
      <w:r>
        <w:t xml:space="preserve">vydědění / </w:t>
      </w:r>
      <w:r w:rsidR="00E1510E">
        <w:t>disinheritance</w:t>
      </w:r>
    </w:p>
    <w:p w:rsidR="00AA6EAC" w:rsidRDefault="00AA6EAC" w:rsidP="00AA6EAC">
      <w:r>
        <w:t>povinný díl /</w:t>
      </w:r>
      <w:r w:rsidR="00E1510E">
        <w:t xml:space="preserve"> forced share</w:t>
      </w:r>
    </w:p>
    <w:p w:rsidR="00AA6EAC" w:rsidRDefault="00AA6EAC" w:rsidP="00AA6EAC">
      <w:r>
        <w:t>římské právo /</w:t>
      </w:r>
      <w:r w:rsidR="00E1510E">
        <w:t xml:space="preserve"> Roman law</w:t>
      </w:r>
    </w:p>
    <w:p w:rsidR="00AA6EAC" w:rsidRDefault="00AA6EAC" w:rsidP="00AA6EAC">
      <w:r>
        <w:t xml:space="preserve">občanský zákoník / </w:t>
      </w:r>
      <w:r w:rsidR="00E1510E">
        <w:t>civil code</w:t>
      </w:r>
    </w:p>
    <w:p w:rsidR="00AA6EAC" w:rsidRPr="00BC1DA5" w:rsidRDefault="00AA6EAC" w:rsidP="00AA6EAC"/>
    <w:sectPr w:rsidR="00AA6EAC" w:rsidRPr="00BC1DA5" w:rsidSect="008D02FE">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FAB" w:rsidRDefault="00015FAB" w:rsidP="005C4673">
      <w:pPr>
        <w:spacing w:after="0" w:line="240" w:lineRule="auto"/>
      </w:pPr>
      <w:r>
        <w:separator/>
      </w:r>
    </w:p>
  </w:endnote>
  <w:endnote w:type="continuationSeparator" w:id="1">
    <w:p w:rsidR="00015FAB" w:rsidRDefault="00015FAB" w:rsidP="005C4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2285"/>
      <w:docPartObj>
        <w:docPartGallery w:val="Page Numbers (Bottom of Page)"/>
        <w:docPartUnique/>
      </w:docPartObj>
    </w:sdtPr>
    <w:sdtContent>
      <w:p w:rsidR="004C272C" w:rsidRDefault="004C272C">
        <w:pPr>
          <w:pStyle w:val="Zpat"/>
          <w:jc w:val="center"/>
        </w:pPr>
        <w:fldSimple w:instr=" PAGE   \* MERGEFORMAT ">
          <w:r w:rsidR="00D62119">
            <w:rPr>
              <w:noProof/>
            </w:rPr>
            <w:t>5</w:t>
          </w:r>
        </w:fldSimple>
      </w:p>
    </w:sdtContent>
  </w:sdt>
  <w:p w:rsidR="004C272C" w:rsidRDefault="004C272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FAB" w:rsidRDefault="00015FAB" w:rsidP="005C4673">
      <w:pPr>
        <w:spacing w:after="0" w:line="240" w:lineRule="auto"/>
      </w:pPr>
      <w:r>
        <w:separator/>
      </w:r>
    </w:p>
  </w:footnote>
  <w:footnote w:type="continuationSeparator" w:id="1">
    <w:p w:rsidR="00015FAB" w:rsidRDefault="00015FAB" w:rsidP="005C4673">
      <w:pPr>
        <w:spacing w:after="0" w:line="240" w:lineRule="auto"/>
      </w:pPr>
      <w:r>
        <w:continuationSeparator/>
      </w:r>
    </w:p>
  </w:footnote>
  <w:footnote w:id="2">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DAJCZAK, Wojtiech a kol. </w:t>
      </w:r>
      <w:r w:rsidRPr="008F7C69">
        <w:rPr>
          <w:rFonts w:cs="Times New Roman"/>
          <w:i/>
        </w:rPr>
        <w:t>Právo římské. Základy soukromého práva.</w:t>
      </w:r>
      <w:r w:rsidRPr="008F7C69">
        <w:rPr>
          <w:rFonts w:cs="Times New Roman"/>
        </w:rPr>
        <w:t xml:space="preserve"> 1. vydání. Přeložil Petr Dostalík. Olomouc: Iuridicum Olomoucense, 2013, s. 138.</w:t>
      </w:r>
    </w:p>
  </w:footnote>
  <w:footnote w:id="3">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Zákon č. 89/2012 Sb., občanský zákoník, ve znění pozdějších předpisů.</w:t>
      </w:r>
    </w:p>
  </w:footnote>
  <w:footnote w:id="4">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BLAHO, Peter a kol. </w:t>
      </w:r>
      <w:r w:rsidRPr="008F7C69">
        <w:rPr>
          <w:rFonts w:cs="Times New Roman"/>
          <w:i/>
        </w:rPr>
        <w:t>Základy rímského práva.</w:t>
      </w:r>
      <w:r w:rsidRPr="008F7C69">
        <w:rPr>
          <w:rFonts w:cs="Times New Roman"/>
        </w:rPr>
        <w:t xml:space="preserve"> Bratislava: Manz: Vydavateľské oddelenie Právnickej fakulty Univerzity Komenského, 1997, s. 147.</w:t>
      </w:r>
    </w:p>
  </w:footnote>
  <w:footnote w:id="5">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KRÜGER, Paul, MOMMSEN, Theodor. </w:t>
      </w:r>
      <w:r w:rsidRPr="008F7C69">
        <w:rPr>
          <w:rFonts w:cs="Times New Roman"/>
          <w:i/>
          <w:lang w:val="la-Latn"/>
        </w:rPr>
        <w:t>Corpus iuris civilis</w:t>
      </w:r>
      <w:r w:rsidRPr="008F7C69">
        <w:rPr>
          <w:rFonts w:cs="Times New Roman"/>
          <w:i/>
        </w:rPr>
        <w:t>.</w:t>
      </w:r>
      <w:r w:rsidRPr="008F7C69">
        <w:rPr>
          <w:rFonts w:cs="Times New Roman"/>
          <w:lang w:val="en-US"/>
        </w:rPr>
        <w:t xml:space="preserve"> Berlin:</w:t>
      </w:r>
      <w:r w:rsidRPr="008F7C69">
        <w:rPr>
          <w:rFonts w:cs="Times New Roman"/>
          <w:lang w:val="la-Latn"/>
        </w:rPr>
        <w:t xml:space="preserve"> Apud Weidmannos</w:t>
      </w:r>
      <w:r w:rsidRPr="008F7C69">
        <w:rPr>
          <w:rFonts w:cs="Times New Roman"/>
        </w:rPr>
        <w:t xml:space="preserve">, 1872. 1075 s. Přístupné též na: </w:t>
      </w:r>
      <w:r w:rsidRPr="008F7C69">
        <w:rPr>
          <w:rFonts w:cs="Times New Roman"/>
          <w:lang w:val="la-Latn"/>
        </w:rPr>
        <w:t xml:space="preserve">The Latin Library. </w:t>
      </w:r>
      <w:r w:rsidRPr="008F7C69">
        <w:rPr>
          <w:rFonts w:cs="Times New Roman"/>
          <w:i/>
          <w:lang w:val="la-Latn"/>
        </w:rPr>
        <w:t>Imperatoris Iustiniani opera: Institutiones, Codex, Digesta</w:t>
      </w:r>
      <w:r>
        <w:rPr>
          <w:rFonts w:cs="Times New Roman"/>
          <w:i/>
        </w:rPr>
        <w:t xml:space="preserve"> </w:t>
      </w:r>
      <w:r w:rsidRPr="008F7C69">
        <w:rPr>
          <w:rFonts w:cs="Times New Roman"/>
        </w:rPr>
        <w:t>[online]. thelatinlibrary.com, [cit. 10. únor 2016]. Dostupné na &lt;http://www.thelatinlibrary.com/justinian.html&gt;.</w:t>
      </w:r>
    </w:p>
  </w:footnote>
  <w:footnote w:id="6">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SCOTT P., Samuel. </w:t>
      </w:r>
      <w:r w:rsidRPr="008F7C69">
        <w:rPr>
          <w:rFonts w:cs="Times New Roman"/>
          <w:i/>
        </w:rPr>
        <w:t>The Enactments of Justinian. The novels. CXV.</w:t>
      </w:r>
      <w:r w:rsidRPr="008F7C69">
        <w:rPr>
          <w:rFonts w:cs="Times New Roman"/>
        </w:rPr>
        <w:t>[online]. droitromain.upmf-grenoble.fr, according to the translation published 1932 in Cincinnati [cit. 27. února 2016]. Dostupné na &lt;http://droitromain.upmf-grenoble.fr/Anglica/N115_Scott.htm &gt;.</w:t>
      </w:r>
    </w:p>
  </w:footnote>
  <w:footnote w:id="7">
    <w:p w:rsidR="004C272C" w:rsidRPr="008F7C69" w:rsidRDefault="004C272C" w:rsidP="00DB4181">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color w:val="222222"/>
          <w:shd w:val="clear" w:color="auto" w:fill="FFFFFF"/>
        </w:rPr>
        <w:t>DVOŘÁK, Jan, ŠVESTKA, Jiří, ZUKLÍNOVÁ, Michaela.</w:t>
      </w:r>
      <w:r w:rsidRPr="008F7C69">
        <w:rPr>
          <w:rStyle w:val="apple-converted-space"/>
          <w:rFonts w:cs="Times New Roman"/>
          <w:color w:val="222222"/>
          <w:shd w:val="clear" w:color="auto" w:fill="FFFFFF"/>
        </w:rPr>
        <w:t> </w:t>
      </w:r>
      <w:r w:rsidRPr="008F7C69">
        <w:rPr>
          <w:rFonts w:cs="Times New Roman"/>
          <w:i/>
          <w:iCs/>
          <w:color w:val="222222"/>
          <w:bdr w:val="none" w:sz="0" w:space="0" w:color="auto" w:frame="1"/>
          <w:shd w:val="clear" w:color="auto" w:fill="FFFFFF"/>
        </w:rPr>
        <w:t>Občanské právo hmotné</w:t>
      </w:r>
      <w:r w:rsidRPr="008F7C69">
        <w:rPr>
          <w:rFonts w:cs="Times New Roman"/>
          <w:color w:val="222222"/>
          <w:shd w:val="clear" w:color="auto" w:fill="FFFFFF"/>
        </w:rPr>
        <w:t xml:space="preserve">. Vydání 1. Praha: Wolters Kluwer </w:t>
      </w:r>
      <w:r w:rsidRPr="008F7C69">
        <w:rPr>
          <w:rFonts w:cs="Times New Roman"/>
        </w:rPr>
        <w:t>Česká republika, 2013, s. 202 – 203.</w:t>
      </w:r>
    </w:p>
  </w:footnote>
  <w:footnote w:id="8">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HEYROVSKÝ, Leopold. </w:t>
      </w:r>
      <w:r w:rsidRPr="008F7C69">
        <w:rPr>
          <w:rFonts w:cs="Times New Roman"/>
          <w:i/>
          <w:iCs/>
        </w:rPr>
        <w:t>Dějiny a systém soukromého práva římského</w:t>
      </w:r>
      <w:r w:rsidRPr="008F7C69">
        <w:rPr>
          <w:rFonts w:cs="Times New Roman"/>
        </w:rPr>
        <w:t>. 4. opr. vyd. Praha: J. Otto knihkupec, 1910, s. 974</w:t>
      </w:r>
    </w:p>
  </w:footnote>
  <w:footnote w:id="9">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color w:val="222222"/>
          <w:shd w:val="clear" w:color="auto" w:fill="FFFFFF"/>
        </w:rPr>
        <w:t>SOMMER, Otakar.</w:t>
      </w:r>
      <w:r w:rsidRPr="008F7C69">
        <w:rPr>
          <w:rStyle w:val="apple-converted-space"/>
          <w:rFonts w:cs="Times New Roman"/>
          <w:color w:val="222222"/>
          <w:shd w:val="clear" w:color="auto" w:fill="FFFFFF"/>
        </w:rPr>
        <w:t> </w:t>
      </w:r>
      <w:r w:rsidRPr="008F7C69">
        <w:rPr>
          <w:rFonts w:cs="Times New Roman"/>
          <w:i/>
          <w:iCs/>
          <w:color w:val="222222"/>
          <w:bdr w:val="none" w:sz="0" w:space="0" w:color="auto" w:frame="1"/>
          <w:shd w:val="clear" w:color="auto" w:fill="FFFFFF"/>
        </w:rPr>
        <w:t>Učebnice soukromého práva římského</w:t>
      </w:r>
      <w:r w:rsidRPr="008F7C69">
        <w:rPr>
          <w:rFonts w:cs="Times New Roman"/>
          <w:color w:val="222222"/>
          <w:shd w:val="clear" w:color="auto" w:fill="FFFFFF"/>
        </w:rPr>
        <w:t xml:space="preserve">. </w:t>
      </w:r>
      <w:r w:rsidRPr="008F7C69">
        <w:rPr>
          <w:rFonts w:cs="Times New Roman"/>
          <w:i/>
          <w:color w:val="222222"/>
          <w:shd w:val="clear" w:color="auto" w:fill="FFFFFF"/>
        </w:rPr>
        <w:t>Dil II, Právo majetkové</w:t>
      </w:r>
      <w:r w:rsidRPr="008F7C69">
        <w:rPr>
          <w:rFonts w:cs="Times New Roman"/>
          <w:color w:val="222222"/>
          <w:shd w:val="clear" w:color="auto" w:fill="FFFFFF"/>
        </w:rPr>
        <w:t>. V Praze: Nákladem vlastním, 1935, s. 260.</w:t>
      </w:r>
    </w:p>
  </w:footnote>
  <w:footnote w:id="10">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color w:val="222222"/>
          <w:shd w:val="clear" w:color="auto" w:fill="FFFFFF"/>
        </w:rPr>
        <w:t>Tamtéž</w:t>
      </w:r>
    </w:p>
  </w:footnote>
  <w:footnote w:id="11">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color w:val="222222"/>
          <w:shd w:val="clear" w:color="auto" w:fill="FFFFFF"/>
        </w:rPr>
        <w:t>HEYROVSKÝ: </w:t>
      </w:r>
      <w:r w:rsidRPr="008F7C69">
        <w:rPr>
          <w:rFonts w:cs="Times New Roman"/>
          <w:i/>
          <w:iCs/>
          <w:color w:val="222222"/>
          <w:shd w:val="clear" w:color="auto" w:fill="FFFFFF"/>
        </w:rPr>
        <w:t xml:space="preserve">Dějiny a systém…, </w:t>
      </w:r>
      <w:r w:rsidRPr="008F7C69">
        <w:rPr>
          <w:rFonts w:cs="Times New Roman"/>
          <w:color w:val="222222"/>
          <w:shd w:val="clear" w:color="auto" w:fill="FFFFFF"/>
        </w:rPr>
        <w:t>s. 990</w:t>
      </w:r>
      <w:r>
        <w:rPr>
          <w:rFonts w:cs="Times New Roman"/>
          <w:color w:val="222222"/>
          <w:shd w:val="clear" w:color="auto" w:fill="FFFFFF"/>
        </w:rPr>
        <w:t xml:space="preserve"> – 991.</w:t>
      </w:r>
    </w:p>
  </w:footnote>
  <w:footnote w:id="12">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color w:val="222222"/>
          <w:shd w:val="clear" w:color="auto" w:fill="FFFFFF"/>
        </w:rPr>
        <w:t>Tamtéž, s. 1035.</w:t>
      </w:r>
    </w:p>
  </w:footnote>
  <w:footnote w:id="13">
    <w:p w:rsidR="004C272C" w:rsidRDefault="004C272C" w:rsidP="00AA7FC0">
      <w:pPr>
        <w:pStyle w:val="Textpoznpodarou"/>
      </w:pPr>
      <w:r>
        <w:rPr>
          <w:rStyle w:val="Znakapoznpodarou"/>
        </w:rPr>
        <w:footnoteRef/>
      </w:r>
      <w:r>
        <w:t xml:space="preserve"> Tamtéž, s. 979.</w:t>
      </w:r>
    </w:p>
  </w:footnote>
  <w:footnote w:id="14">
    <w:p w:rsidR="004C272C" w:rsidRDefault="004C272C" w:rsidP="00AA7FC0">
      <w:pPr>
        <w:pStyle w:val="Textpoznpodarou"/>
      </w:pPr>
      <w:r>
        <w:rPr>
          <w:rStyle w:val="Znakapoznpodarou"/>
        </w:rPr>
        <w:footnoteRef/>
      </w:r>
      <w:r>
        <w:t xml:space="preserve"> </w:t>
      </w:r>
      <w:r w:rsidRPr="002C75B0">
        <w:t xml:space="preserve">KINCL, Jaromír, URFUS, Valentin, SKŘEJPEK, Michal. </w:t>
      </w:r>
      <w:r w:rsidRPr="002C75B0">
        <w:rPr>
          <w:i/>
        </w:rPr>
        <w:t>Římské právo.</w:t>
      </w:r>
      <w:r w:rsidRPr="002C75B0">
        <w:t xml:space="preserve"> 2. vydání. Praha: C.H. Beck, 1995</w:t>
      </w:r>
      <w:r>
        <w:t>, s. 302.</w:t>
      </w:r>
    </w:p>
  </w:footnote>
  <w:footnote w:id="15">
    <w:p w:rsidR="004C272C" w:rsidRPr="008F7C69" w:rsidRDefault="004C272C" w:rsidP="00AA7FC0">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color w:val="222222"/>
          <w:shd w:val="clear" w:color="auto" w:fill="FFFFFF"/>
        </w:rPr>
        <w:t xml:space="preserve">SOMMER: </w:t>
      </w:r>
      <w:r w:rsidRPr="008F7C69">
        <w:rPr>
          <w:rFonts w:cs="Times New Roman"/>
          <w:i/>
          <w:iCs/>
          <w:color w:val="222222"/>
          <w:bdr w:val="none" w:sz="0" w:space="0" w:color="auto" w:frame="1"/>
          <w:shd w:val="clear" w:color="auto" w:fill="FFFFFF"/>
        </w:rPr>
        <w:t>Učebnice soukromého…, s.260.</w:t>
      </w:r>
    </w:p>
  </w:footnote>
  <w:footnote w:id="16">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color w:val="222222"/>
          <w:shd w:val="clear" w:color="auto" w:fill="FFFFFF"/>
        </w:rPr>
        <w:t>SKŘEJPEK, Michal.</w:t>
      </w:r>
      <w:r w:rsidRPr="008F7C69">
        <w:rPr>
          <w:rStyle w:val="apple-converted-space"/>
          <w:rFonts w:cs="Times New Roman"/>
          <w:color w:val="222222"/>
          <w:shd w:val="clear" w:color="auto" w:fill="FFFFFF"/>
        </w:rPr>
        <w:t> </w:t>
      </w:r>
      <w:r w:rsidRPr="008F7C69">
        <w:rPr>
          <w:rFonts w:cs="Times New Roman"/>
          <w:i/>
          <w:iCs/>
          <w:color w:val="222222"/>
          <w:bdr w:val="none" w:sz="0" w:space="0" w:color="auto" w:frame="1"/>
          <w:shd w:val="clear" w:color="auto" w:fill="FFFFFF"/>
        </w:rPr>
        <w:t>Texty ke studiu římského práva</w:t>
      </w:r>
      <w:r w:rsidRPr="008F7C69">
        <w:rPr>
          <w:rFonts w:cs="Times New Roman"/>
          <w:color w:val="222222"/>
          <w:shd w:val="clear" w:color="auto" w:fill="FFFFFF"/>
        </w:rPr>
        <w:t>. 1. vyd. Praha: Orac, 2001, s. 34 – 35.</w:t>
      </w:r>
    </w:p>
  </w:footnote>
  <w:footnote w:id="17">
    <w:p w:rsidR="004C272C" w:rsidRPr="008F7C69" w:rsidRDefault="004C272C" w:rsidP="00354A85">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color w:val="222222"/>
          <w:shd w:val="clear" w:color="auto" w:fill="FFFFFF"/>
        </w:rPr>
        <w:t>HEYROVSKÝ:</w:t>
      </w:r>
      <w:r w:rsidRPr="008F7C69">
        <w:rPr>
          <w:rStyle w:val="apple-converted-space"/>
          <w:rFonts w:cs="Times New Roman"/>
          <w:color w:val="222222"/>
          <w:shd w:val="clear" w:color="auto" w:fill="FFFFFF"/>
        </w:rPr>
        <w:t> </w:t>
      </w:r>
      <w:r w:rsidRPr="008F7C69">
        <w:rPr>
          <w:rFonts w:cs="Times New Roman"/>
          <w:i/>
          <w:iCs/>
          <w:color w:val="222222"/>
          <w:bdr w:val="none" w:sz="0" w:space="0" w:color="auto" w:frame="1"/>
          <w:shd w:val="clear" w:color="auto" w:fill="FFFFFF"/>
        </w:rPr>
        <w:t xml:space="preserve">Dějiny a systém…, </w:t>
      </w:r>
      <w:r w:rsidRPr="008F7C69">
        <w:rPr>
          <w:rFonts w:cs="Times New Roman"/>
          <w:color w:val="222222"/>
          <w:shd w:val="clear" w:color="auto" w:fill="FFFFFF"/>
        </w:rPr>
        <w:t>s. 1055.</w:t>
      </w:r>
    </w:p>
  </w:footnote>
  <w:footnote w:id="18">
    <w:p w:rsidR="004C272C" w:rsidRPr="008F7C69" w:rsidRDefault="004C272C">
      <w:pPr>
        <w:pStyle w:val="Textpoznpodarou"/>
        <w:contextualSpacing/>
        <w:rPr>
          <w:rFonts w:cs="Times New Roman"/>
        </w:rPr>
      </w:pPr>
      <w:r w:rsidRPr="008F7C69">
        <w:rPr>
          <w:rStyle w:val="Znakapoznpodarou"/>
          <w:rFonts w:cs="Times New Roman"/>
        </w:rPr>
        <w:footnoteRef/>
      </w:r>
      <w:r w:rsidRPr="008F7C69">
        <w:rPr>
          <w:rFonts w:cs="Times New Roman"/>
        </w:rPr>
        <w:t xml:space="preserve"> Dig. 28. 2. 30. KRÜGER, Paul, MOMMSEN, Theodor. </w:t>
      </w:r>
      <w:r w:rsidRPr="008F7C69">
        <w:rPr>
          <w:rFonts w:cs="Times New Roman"/>
          <w:i/>
          <w:lang w:val="la-Latn"/>
        </w:rPr>
        <w:t>Corpus iuris civilis</w:t>
      </w:r>
      <w:r w:rsidRPr="008F7C69">
        <w:rPr>
          <w:rFonts w:cs="Times New Roman"/>
          <w:i/>
        </w:rPr>
        <w:t>.</w:t>
      </w:r>
      <w:r w:rsidRPr="008F7C69">
        <w:rPr>
          <w:rFonts w:cs="Times New Roman"/>
          <w:lang w:val="en-US"/>
        </w:rPr>
        <w:t xml:space="preserve"> Berlin:</w:t>
      </w:r>
      <w:r w:rsidRPr="008F7C69">
        <w:rPr>
          <w:rFonts w:cs="Times New Roman"/>
          <w:lang w:val="la-Latn"/>
        </w:rPr>
        <w:t xml:space="preserve"> Apud Weidmannos</w:t>
      </w:r>
      <w:r w:rsidRPr="008F7C69">
        <w:rPr>
          <w:rFonts w:cs="Times New Roman"/>
        </w:rPr>
        <w:t xml:space="preserve">, 1872. 1075 s. Přístupné též na: </w:t>
      </w:r>
      <w:r w:rsidRPr="008F7C69">
        <w:rPr>
          <w:rFonts w:cs="Times New Roman"/>
          <w:lang w:val="la-Latn"/>
        </w:rPr>
        <w:t xml:space="preserve">The Latin Library. </w:t>
      </w:r>
      <w:r w:rsidRPr="008F7C69">
        <w:rPr>
          <w:rFonts w:cs="Times New Roman"/>
          <w:i/>
          <w:lang w:val="la-Latn"/>
        </w:rPr>
        <w:t>Imperatoris Iustiniani opera: Institutiones, Codex, Digesta</w:t>
      </w:r>
      <w:r>
        <w:rPr>
          <w:rFonts w:cs="Times New Roman"/>
          <w:i/>
        </w:rPr>
        <w:t xml:space="preserve"> </w:t>
      </w:r>
      <w:r w:rsidRPr="008F7C69">
        <w:rPr>
          <w:rFonts w:cs="Times New Roman"/>
        </w:rPr>
        <w:t>[online]. thelatinlibrary.com, [cit. 10. únor 2016]. Dostupné na &lt;http://www.thelatinlibrary.com/justinian.html&gt;.</w:t>
      </w:r>
    </w:p>
  </w:footnote>
  <w:footnote w:id="19">
    <w:p w:rsidR="004C272C" w:rsidRPr="008F7C69" w:rsidRDefault="004C272C" w:rsidP="00DE3E6B">
      <w:pPr>
        <w:spacing w:after="0" w:line="240" w:lineRule="auto"/>
        <w:rPr>
          <w:rFonts w:cs="Times New Roman"/>
          <w:szCs w:val="24"/>
        </w:rPr>
      </w:pPr>
      <w:r w:rsidRPr="008F7C69">
        <w:rPr>
          <w:rStyle w:val="Znakapoznpodarou"/>
          <w:rFonts w:cs="Times New Roman"/>
          <w:sz w:val="20"/>
          <w:szCs w:val="20"/>
        </w:rPr>
        <w:footnoteRef/>
      </w:r>
      <w:r w:rsidRPr="008F7C69">
        <w:rPr>
          <w:rFonts w:cs="Times New Roman"/>
          <w:sz w:val="20"/>
          <w:szCs w:val="20"/>
        </w:rPr>
        <w:t xml:space="preserve"> Gai, Inst. 2, 123. KINCL, Jaromír. </w:t>
      </w:r>
      <w:r w:rsidRPr="008F7C69">
        <w:rPr>
          <w:rFonts w:cs="Times New Roman"/>
          <w:i/>
          <w:color w:val="222222"/>
          <w:sz w:val="20"/>
          <w:szCs w:val="20"/>
          <w:shd w:val="clear" w:color="auto" w:fill="FFFFFF"/>
        </w:rPr>
        <w:t>Gaius:</w:t>
      </w:r>
      <w:r w:rsidRPr="008F7C69">
        <w:rPr>
          <w:rStyle w:val="apple-converted-space"/>
          <w:rFonts w:cs="Times New Roman"/>
          <w:color w:val="222222"/>
          <w:sz w:val="20"/>
          <w:szCs w:val="20"/>
          <w:shd w:val="clear" w:color="auto" w:fill="FFFFFF"/>
        </w:rPr>
        <w:t> </w:t>
      </w:r>
      <w:r w:rsidRPr="008F7C69">
        <w:rPr>
          <w:rFonts w:cs="Times New Roman"/>
          <w:i/>
          <w:iCs/>
          <w:color w:val="222222"/>
          <w:sz w:val="20"/>
          <w:szCs w:val="20"/>
          <w:bdr w:val="none" w:sz="0" w:space="0" w:color="auto" w:frame="1"/>
          <w:shd w:val="clear" w:color="auto" w:fill="FFFFFF"/>
        </w:rPr>
        <w:t>Učebnice práva ve čtyřech knihách</w:t>
      </w:r>
      <w:r w:rsidRPr="008F7C69">
        <w:rPr>
          <w:rFonts w:cs="Times New Roman"/>
          <w:color w:val="222222"/>
          <w:sz w:val="20"/>
          <w:szCs w:val="20"/>
          <w:shd w:val="clear" w:color="auto" w:fill="FFFFFF"/>
        </w:rPr>
        <w:t>. Plzeň: Vydavatelství a nakladatelství Aleš Čeněk, 2007, s. 127.</w:t>
      </w:r>
    </w:p>
  </w:footnote>
  <w:footnote w:id="20">
    <w:p w:rsidR="004C272C" w:rsidRPr="008F7C69" w:rsidRDefault="004C272C" w:rsidP="006A779B">
      <w:pPr>
        <w:pStyle w:val="Textpoznpodarou"/>
        <w:rPr>
          <w:rFonts w:cs="Times New Roman"/>
        </w:rPr>
      </w:pPr>
      <w:r w:rsidRPr="008F7C69">
        <w:rPr>
          <w:rStyle w:val="Znakapoznpodarou"/>
          <w:rFonts w:cs="Times New Roman"/>
        </w:rPr>
        <w:footnoteRef/>
      </w:r>
      <w:r w:rsidRPr="008F7C69">
        <w:rPr>
          <w:rFonts w:cs="Times New Roman"/>
        </w:rPr>
        <w:t xml:space="preserve"> Dig. 28. 2. 30. KRÜGER, Paul, MOMMSEN, Theodor. </w:t>
      </w:r>
      <w:r w:rsidRPr="008F7C69">
        <w:rPr>
          <w:rFonts w:cs="Times New Roman"/>
          <w:i/>
          <w:lang w:val="la-Latn"/>
        </w:rPr>
        <w:t>Corpus iuris civilis</w:t>
      </w:r>
      <w:r w:rsidRPr="008F7C69">
        <w:rPr>
          <w:rFonts w:cs="Times New Roman"/>
          <w:i/>
        </w:rPr>
        <w:t>.</w:t>
      </w:r>
      <w:r w:rsidRPr="008F7C69">
        <w:rPr>
          <w:rFonts w:cs="Times New Roman"/>
          <w:lang w:val="en-US"/>
        </w:rPr>
        <w:t xml:space="preserve"> Berlin:</w:t>
      </w:r>
      <w:r w:rsidRPr="008F7C69">
        <w:rPr>
          <w:rFonts w:cs="Times New Roman"/>
          <w:lang w:val="la-Latn"/>
        </w:rPr>
        <w:t xml:space="preserve"> Apud Weidmannos</w:t>
      </w:r>
      <w:r w:rsidRPr="008F7C69">
        <w:rPr>
          <w:rFonts w:cs="Times New Roman"/>
        </w:rPr>
        <w:t xml:space="preserve">, 1872. 1075 s. Přístupné též na: </w:t>
      </w:r>
      <w:r w:rsidRPr="008F7C69">
        <w:rPr>
          <w:rFonts w:cs="Times New Roman"/>
          <w:lang w:val="la-Latn"/>
        </w:rPr>
        <w:t xml:space="preserve">The Latin Library. </w:t>
      </w:r>
      <w:r w:rsidRPr="008F7C69">
        <w:rPr>
          <w:rFonts w:cs="Times New Roman"/>
          <w:i/>
          <w:lang w:val="la-Latn"/>
        </w:rPr>
        <w:t>Imperatoris Iustiniani opera: Institutiones, Codex, Digesta</w:t>
      </w:r>
      <w:r>
        <w:rPr>
          <w:rFonts w:cs="Times New Roman"/>
          <w:i/>
        </w:rPr>
        <w:t xml:space="preserve"> </w:t>
      </w:r>
      <w:r w:rsidRPr="008F7C69">
        <w:rPr>
          <w:rFonts w:cs="Times New Roman"/>
        </w:rPr>
        <w:t>[online]. thelatinlibrary.com, [cit. 10. únor 2016]. Dostupné na &lt;http://www.thelatinlibrary.com/justinian.html&gt;.</w:t>
      </w:r>
    </w:p>
  </w:footnote>
  <w:footnote w:id="21">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Dig.28. 2. 17. Tamtéž.</w:t>
      </w:r>
    </w:p>
  </w:footnote>
  <w:footnote w:id="22">
    <w:p w:rsidR="004C272C" w:rsidRPr="008F7C69" w:rsidRDefault="004C272C" w:rsidP="00AA0368">
      <w:pPr>
        <w:pStyle w:val="Textpoznpodarou"/>
        <w:contextualSpacing/>
        <w:rPr>
          <w:rFonts w:cs="Times New Roman"/>
        </w:rPr>
      </w:pPr>
      <w:r w:rsidRPr="008F7C69">
        <w:rPr>
          <w:rStyle w:val="Znakapoznpodarou"/>
          <w:rFonts w:cs="Times New Roman"/>
        </w:rPr>
        <w:footnoteRef/>
      </w:r>
      <w:r w:rsidRPr="008F7C69">
        <w:rPr>
          <w:rFonts w:cs="Times New Roman"/>
        </w:rPr>
        <w:t xml:space="preserve"> Dig. 28. 2. 1. Tamtéž.</w:t>
      </w:r>
    </w:p>
  </w:footnote>
  <w:footnote w:id="23">
    <w:p w:rsidR="004C272C" w:rsidRPr="008F7C69" w:rsidRDefault="004C272C">
      <w:pPr>
        <w:pStyle w:val="Textpoznpodarou"/>
        <w:rPr>
          <w:rFonts w:cs="Times New Roman"/>
          <w:highlight w:val="yellow"/>
        </w:rPr>
      </w:pPr>
      <w:r w:rsidRPr="008F7C69">
        <w:rPr>
          <w:rStyle w:val="Znakapoznpodarou"/>
          <w:rFonts w:cs="Times New Roman"/>
        </w:rPr>
        <w:footnoteRef/>
      </w:r>
      <w:r w:rsidRPr="008F7C69">
        <w:rPr>
          <w:rFonts w:cs="Times New Roman"/>
        </w:rPr>
        <w:t xml:space="preserve"> Dig. 28. 2. 2. Tamtéž</w:t>
      </w:r>
      <w:r w:rsidRPr="008F7C69">
        <w:rPr>
          <w:rFonts w:cs="Times New Roman"/>
          <w:i/>
        </w:rPr>
        <w:t>.</w:t>
      </w:r>
    </w:p>
  </w:footnote>
  <w:footnote w:id="24">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Dig. 28. 3. 1. Tamtéž.</w:t>
      </w:r>
    </w:p>
  </w:footnote>
  <w:footnote w:id="25">
    <w:p w:rsidR="004C272C" w:rsidRPr="008F7C69" w:rsidRDefault="004C272C" w:rsidP="00BF1B6E">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color w:val="222222"/>
          <w:shd w:val="clear" w:color="auto" w:fill="FFFFFF"/>
        </w:rPr>
        <w:t>HEYROVSKÝ:</w:t>
      </w:r>
      <w:r w:rsidRPr="008F7C69">
        <w:rPr>
          <w:rStyle w:val="apple-converted-space"/>
          <w:rFonts w:cs="Times New Roman"/>
          <w:color w:val="222222"/>
          <w:shd w:val="clear" w:color="auto" w:fill="FFFFFF"/>
        </w:rPr>
        <w:t> </w:t>
      </w:r>
      <w:r w:rsidRPr="008F7C69">
        <w:rPr>
          <w:rFonts w:cs="Times New Roman"/>
          <w:i/>
          <w:iCs/>
          <w:color w:val="222222"/>
          <w:bdr w:val="none" w:sz="0" w:space="0" w:color="auto" w:frame="1"/>
          <w:shd w:val="clear" w:color="auto" w:fill="FFFFFF"/>
        </w:rPr>
        <w:t xml:space="preserve">Dějiny a systém…, </w:t>
      </w:r>
      <w:r w:rsidRPr="008F7C69">
        <w:rPr>
          <w:rFonts w:cs="Times New Roman"/>
          <w:color w:val="222222"/>
          <w:shd w:val="clear" w:color="auto" w:fill="FFFFFF"/>
        </w:rPr>
        <w:t>s. 1058.</w:t>
      </w:r>
    </w:p>
  </w:footnote>
  <w:footnote w:id="26">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Dig. 28. 2. 7. KRÜGER, Paul, MOMMSEN, Theodor. </w:t>
      </w:r>
      <w:r w:rsidRPr="008F7C69">
        <w:rPr>
          <w:rFonts w:cs="Times New Roman"/>
          <w:i/>
          <w:lang w:val="la-Latn"/>
        </w:rPr>
        <w:t>Corpus iuris civilis</w:t>
      </w:r>
      <w:r w:rsidRPr="008F7C69">
        <w:rPr>
          <w:rFonts w:cs="Times New Roman"/>
          <w:i/>
        </w:rPr>
        <w:t>.</w:t>
      </w:r>
      <w:r w:rsidRPr="008F7C69">
        <w:rPr>
          <w:rFonts w:cs="Times New Roman"/>
          <w:lang w:val="en-US"/>
        </w:rPr>
        <w:t xml:space="preserve"> Berlin:</w:t>
      </w:r>
      <w:r w:rsidRPr="008F7C69">
        <w:rPr>
          <w:rFonts w:cs="Times New Roman"/>
          <w:lang w:val="la-Latn"/>
        </w:rPr>
        <w:t xml:space="preserve"> Apud Weidmannos</w:t>
      </w:r>
      <w:r w:rsidRPr="008F7C69">
        <w:rPr>
          <w:rFonts w:cs="Times New Roman"/>
        </w:rPr>
        <w:t xml:space="preserve">, 1872. 1075 s. Přístupné též na: </w:t>
      </w:r>
      <w:r w:rsidRPr="008F7C69">
        <w:rPr>
          <w:rFonts w:cs="Times New Roman"/>
          <w:lang w:val="la-Latn"/>
        </w:rPr>
        <w:t xml:space="preserve">The Latin Library. </w:t>
      </w:r>
      <w:r w:rsidRPr="008F7C69">
        <w:rPr>
          <w:rFonts w:cs="Times New Roman"/>
          <w:i/>
          <w:lang w:val="la-Latn"/>
        </w:rPr>
        <w:t>Imperatoris Iustiniani opera: Institutiones, Codex, Digesta</w:t>
      </w:r>
      <w:r>
        <w:rPr>
          <w:rFonts w:cs="Times New Roman"/>
          <w:i/>
        </w:rPr>
        <w:t xml:space="preserve"> </w:t>
      </w:r>
      <w:r w:rsidRPr="008F7C69">
        <w:rPr>
          <w:rFonts w:cs="Times New Roman"/>
        </w:rPr>
        <w:t>[online]. thelatinlibrary.com, [cit. 10. únor 2016]. Dostupné na &lt;http://www.thelatinlibrary.com/justinian.html&gt;.</w:t>
      </w:r>
    </w:p>
  </w:footnote>
  <w:footnote w:id="27">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Dig. 28. 3. 1. Tamtéž.</w:t>
      </w:r>
    </w:p>
  </w:footnote>
  <w:footnote w:id="28">
    <w:p w:rsidR="004C272C" w:rsidRPr="008F7C69" w:rsidRDefault="004C272C" w:rsidP="00FD7F59">
      <w:pPr>
        <w:pStyle w:val="Textpoznpodarou"/>
        <w:rPr>
          <w:rFonts w:cs="Times New Roman"/>
          <w:highlight w:val="yellow"/>
        </w:rPr>
      </w:pPr>
      <w:r w:rsidRPr="008F7C69">
        <w:rPr>
          <w:rStyle w:val="Znakapoznpodarou"/>
          <w:rFonts w:cs="Times New Roman"/>
        </w:rPr>
        <w:footnoteRef/>
      </w:r>
      <w:r w:rsidRPr="008F7C69">
        <w:rPr>
          <w:rFonts w:cs="Times New Roman"/>
        </w:rPr>
        <w:t xml:space="preserve"> Dig 28. 2. 18. Tamtéž.</w:t>
      </w:r>
    </w:p>
  </w:footnote>
  <w:footnote w:id="29">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Gai. Inst. 2, 124. KINCL: </w:t>
      </w:r>
      <w:r w:rsidRPr="008F7C69">
        <w:rPr>
          <w:rFonts w:cs="Times New Roman"/>
          <w:i/>
        </w:rPr>
        <w:t>Gaius: Učebnice práva</w:t>
      </w:r>
      <w:r w:rsidRPr="008F7C69">
        <w:rPr>
          <w:rFonts w:cs="Times New Roman"/>
        </w:rPr>
        <w:t>…, s. 127.</w:t>
      </w:r>
    </w:p>
  </w:footnote>
  <w:footnote w:id="30">
    <w:p w:rsidR="004C272C" w:rsidRPr="00E0657B" w:rsidRDefault="004C272C">
      <w:pPr>
        <w:pStyle w:val="Textpoznpodarou"/>
        <w:rPr>
          <w:rFonts w:cs="Times New Roman"/>
        </w:rPr>
      </w:pPr>
      <w:r w:rsidRPr="00E0657B">
        <w:rPr>
          <w:rStyle w:val="Znakapoznpodarou"/>
          <w:rFonts w:cs="Times New Roman"/>
        </w:rPr>
        <w:footnoteRef/>
      </w:r>
      <w:r w:rsidRPr="00E0657B">
        <w:rPr>
          <w:rFonts w:cs="Times New Roman"/>
        </w:rPr>
        <w:t xml:space="preserve"> Dig. 28. 2. 4. KRÜGER, Paul, MOMMSEN, Theodor. </w:t>
      </w:r>
      <w:r w:rsidRPr="00E0657B">
        <w:rPr>
          <w:rFonts w:cs="Times New Roman"/>
          <w:i/>
          <w:lang w:val="la-Latn"/>
        </w:rPr>
        <w:t>Corpus iuris civilis</w:t>
      </w:r>
      <w:r w:rsidRPr="00E0657B">
        <w:rPr>
          <w:rFonts w:cs="Times New Roman"/>
          <w:i/>
        </w:rPr>
        <w:t>.</w:t>
      </w:r>
      <w:r w:rsidRPr="00E0657B">
        <w:rPr>
          <w:rFonts w:cs="Times New Roman"/>
          <w:lang w:val="en-US"/>
        </w:rPr>
        <w:t xml:space="preserve"> Berlin:</w:t>
      </w:r>
      <w:r w:rsidRPr="00E0657B">
        <w:rPr>
          <w:rFonts w:cs="Times New Roman"/>
          <w:lang w:val="la-Latn"/>
        </w:rPr>
        <w:t xml:space="preserve"> Apud Weidmannos</w:t>
      </w:r>
      <w:r w:rsidRPr="00E0657B">
        <w:rPr>
          <w:rFonts w:cs="Times New Roman"/>
        </w:rPr>
        <w:t xml:space="preserve">, 1872. 1075 s. Přístupné též na: </w:t>
      </w:r>
      <w:r w:rsidRPr="00E0657B">
        <w:rPr>
          <w:rFonts w:cs="Times New Roman"/>
          <w:lang w:val="la-Latn"/>
        </w:rPr>
        <w:t xml:space="preserve">The Latin Library. </w:t>
      </w:r>
      <w:r w:rsidRPr="00E0657B">
        <w:rPr>
          <w:rFonts w:cs="Times New Roman"/>
          <w:i/>
          <w:lang w:val="la-Latn"/>
        </w:rPr>
        <w:t>Imperatoris Iustiniani opera: Institutiones, Codex, Digesta</w:t>
      </w:r>
      <w:r>
        <w:rPr>
          <w:rFonts w:cs="Times New Roman"/>
          <w:i/>
        </w:rPr>
        <w:t xml:space="preserve"> </w:t>
      </w:r>
      <w:r w:rsidRPr="00E0657B">
        <w:rPr>
          <w:rFonts w:cs="Times New Roman"/>
        </w:rPr>
        <w:t>[online]. thelatinlibrary.com, [cit. 10. únor 2016]. Dostupné na &lt;http://www.thelatinlibrary.com/justinian.html&gt;.</w:t>
      </w:r>
    </w:p>
  </w:footnote>
  <w:footnote w:id="31">
    <w:p w:rsidR="004C272C" w:rsidRPr="00E0657B" w:rsidRDefault="004C272C">
      <w:pPr>
        <w:pStyle w:val="Textpoznpodarou"/>
        <w:rPr>
          <w:rFonts w:cs="Times New Roman"/>
        </w:rPr>
      </w:pPr>
      <w:r w:rsidRPr="00E0657B">
        <w:rPr>
          <w:rStyle w:val="Znakapoznpodarou"/>
          <w:rFonts w:cs="Times New Roman"/>
        </w:rPr>
        <w:footnoteRef/>
      </w:r>
      <w:r w:rsidRPr="00E0657B">
        <w:rPr>
          <w:rFonts w:cs="Times New Roman"/>
        </w:rPr>
        <w:t xml:space="preserve"> Dig. 28. 2. 5. Tamtéž.</w:t>
      </w:r>
    </w:p>
  </w:footnote>
  <w:footnote w:id="32">
    <w:p w:rsidR="004C272C" w:rsidRPr="008F7C69" w:rsidRDefault="004C272C">
      <w:pPr>
        <w:pStyle w:val="Textpoznpodarou"/>
        <w:rPr>
          <w:rFonts w:cs="Times New Roman"/>
        </w:rPr>
      </w:pPr>
      <w:r w:rsidRPr="00E0657B">
        <w:rPr>
          <w:rStyle w:val="Znakapoznpodarou"/>
          <w:rFonts w:cs="Times New Roman"/>
        </w:rPr>
        <w:footnoteRef/>
      </w:r>
      <w:r w:rsidRPr="00E0657B">
        <w:rPr>
          <w:rFonts w:cs="Times New Roman"/>
        </w:rPr>
        <w:t xml:space="preserve"> Dig. 28. 2. 6. Tamtéž.</w:t>
      </w:r>
    </w:p>
  </w:footnote>
  <w:footnote w:id="33">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Gai. Inst. 2, 131. KINCL: </w:t>
      </w:r>
      <w:r w:rsidRPr="008F7C69">
        <w:rPr>
          <w:rFonts w:cs="Times New Roman"/>
          <w:i/>
        </w:rPr>
        <w:t>Gaius: Učebnice práva</w:t>
      </w:r>
      <w:r w:rsidRPr="008F7C69">
        <w:rPr>
          <w:rFonts w:cs="Times New Roman"/>
        </w:rPr>
        <w:t>…, s. 129.</w:t>
      </w:r>
    </w:p>
  </w:footnote>
  <w:footnote w:id="34">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DB145C">
        <w:rPr>
          <w:rFonts w:cs="Times New Roman"/>
        </w:rPr>
        <w:t>Gai. Inst. 2, 130. Tamtéž…, s. 129.</w:t>
      </w:r>
    </w:p>
  </w:footnote>
  <w:footnote w:id="35">
    <w:p w:rsidR="004C272C" w:rsidRPr="008F7C69" w:rsidRDefault="004C272C" w:rsidP="00233261">
      <w:pPr>
        <w:pStyle w:val="Textpoznpodarou"/>
        <w:rPr>
          <w:rFonts w:cs="Times New Roman"/>
        </w:rPr>
      </w:pPr>
      <w:r w:rsidRPr="008F7C69">
        <w:rPr>
          <w:rStyle w:val="Znakapoznpodarou"/>
          <w:rFonts w:cs="Times New Roman"/>
        </w:rPr>
        <w:footnoteRef/>
      </w:r>
      <w:r w:rsidRPr="008F7C69">
        <w:rPr>
          <w:rFonts w:cs="Times New Roman"/>
        </w:rPr>
        <w:t xml:space="preserve"> Dig. 28. 3. 3. KRÜGER, Paul, MOMMSEN, Theodor. </w:t>
      </w:r>
      <w:r w:rsidRPr="008F7C69">
        <w:rPr>
          <w:rFonts w:cs="Times New Roman"/>
          <w:i/>
          <w:lang w:val="la-Latn"/>
        </w:rPr>
        <w:t>Corpus iuris civilis</w:t>
      </w:r>
      <w:r w:rsidRPr="008F7C69">
        <w:rPr>
          <w:rFonts w:cs="Times New Roman"/>
          <w:i/>
        </w:rPr>
        <w:t>.</w:t>
      </w:r>
      <w:r w:rsidRPr="008F7C69">
        <w:rPr>
          <w:rFonts w:cs="Times New Roman"/>
          <w:lang w:val="en-US"/>
        </w:rPr>
        <w:t xml:space="preserve"> Berlin:</w:t>
      </w:r>
      <w:r w:rsidRPr="008F7C69">
        <w:rPr>
          <w:rFonts w:cs="Times New Roman"/>
          <w:lang w:val="la-Latn"/>
        </w:rPr>
        <w:t xml:space="preserve"> Apud Weidmannos</w:t>
      </w:r>
      <w:r w:rsidRPr="008F7C69">
        <w:rPr>
          <w:rFonts w:cs="Times New Roman"/>
        </w:rPr>
        <w:t xml:space="preserve">, 1872. 1075 s. Přístupné též na: </w:t>
      </w:r>
      <w:r w:rsidRPr="008F7C69">
        <w:rPr>
          <w:rFonts w:cs="Times New Roman"/>
          <w:lang w:val="la-Latn"/>
        </w:rPr>
        <w:t xml:space="preserve">The Latin Library. </w:t>
      </w:r>
      <w:r w:rsidRPr="008F7C69">
        <w:rPr>
          <w:rFonts w:cs="Times New Roman"/>
          <w:i/>
          <w:lang w:val="la-Latn"/>
        </w:rPr>
        <w:t>Imperatoris Iustiniani opera: Institutiones, Codex, Digesta</w:t>
      </w:r>
      <w:r>
        <w:rPr>
          <w:rFonts w:cs="Times New Roman"/>
          <w:i/>
        </w:rPr>
        <w:t xml:space="preserve"> </w:t>
      </w:r>
      <w:r w:rsidRPr="008F7C69">
        <w:rPr>
          <w:rFonts w:cs="Times New Roman"/>
        </w:rPr>
        <w:t>[online]. thelatinlibrary.com, [cit. 10. únor 2016]. Dostupné na &lt;http://www.thelatinlibrary.com/justinian.html&gt;.</w:t>
      </w:r>
    </w:p>
  </w:footnote>
  <w:footnote w:id="36">
    <w:p w:rsidR="004C272C" w:rsidRPr="008F7C69" w:rsidRDefault="004C272C" w:rsidP="00681411">
      <w:pPr>
        <w:pStyle w:val="Textpoznpodarou"/>
        <w:rPr>
          <w:rFonts w:cs="Times New Roman"/>
        </w:rPr>
      </w:pPr>
      <w:r w:rsidRPr="008F7C69">
        <w:rPr>
          <w:rStyle w:val="Znakapoznpodarou"/>
          <w:rFonts w:cs="Times New Roman"/>
        </w:rPr>
        <w:footnoteRef/>
      </w:r>
      <w:r w:rsidRPr="008F7C69">
        <w:rPr>
          <w:rFonts w:cs="Times New Roman"/>
        </w:rPr>
        <w:t xml:space="preserve"> Gai. Inst. 2, 132. KINCL: </w:t>
      </w:r>
      <w:r w:rsidRPr="008F7C69">
        <w:rPr>
          <w:rFonts w:cs="Times New Roman"/>
          <w:i/>
        </w:rPr>
        <w:t>Gaius: Učebnice práva</w:t>
      </w:r>
      <w:r w:rsidRPr="008F7C69">
        <w:rPr>
          <w:rFonts w:cs="Times New Roman"/>
        </w:rPr>
        <w:t xml:space="preserve">…, s. </w:t>
      </w:r>
      <w:r w:rsidRPr="008F7C69">
        <w:rPr>
          <w:rFonts w:cs="Times New Roman"/>
          <w:color w:val="222222"/>
          <w:shd w:val="clear" w:color="auto" w:fill="FFFFFF"/>
        </w:rPr>
        <w:t>129.</w:t>
      </w:r>
    </w:p>
  </w:footnote>
  <w:footnote w:id="37">
    <w:p w:rsidR="004C272C" w:rsidRPr="008F7C69" w:rsidRDefault="004C272C">
      <w:pPr>
        <w:pStyle w:val="Textpoznpodarou"/>
        <w:rPr>
          <w:rFonts w:cs="Times New Roman"/>
        </w:rPr>
      </w:pPr>
      <w:r w:rsidRPr="008F7C69">
        <w:rPr>
          <w:rStyle w:val="Znakapoznpodarou"/>
          <w:rFonts w:cs="Times New Roman"/>
        </w:rPr>
        <w:footnoteRef/>
      </w:r>
      <w:r>
        <w:rPr>
          <w:rFonts w:cs="Times New Roman"/>
        </w:rPr>
        <w:t xml:space="preserve"> Gai. Inst. 2, 133. Tamtéž</w:t>
      </w:r>
      <w:r w:rsidRPr="008F7C69">
        <w:rPr>
          <w:rFonts w:cs="Times New Roman"/>
        </w:rPr>
        <w:t xml:space="preserve">, s. </w:t>
      </w:r>
      <w:r w:rsidRPr="008F7C69">
        <w:rPr>
          <w:rFonts w:cs="Times New Roman"/>
          <w:color w:val="222222"/>
          <w:shd w:val="clear" w:color="auto" w:fill="FFFFFF"/>
        </w:rPr>
        <w:t>129</w:t>
      </w:r>
      <w:r w:rsidRPr="008F7C69">
        <w:rPr>
          <w:rFonts w:cs="Times New Roman"/>
        </w:rPr>
        <w:t>.</w:t>
      </w:r>
    </w:p>
  </w:footnote>
  <w:footnote w:id="38">
    <w:p w:rsidR="004C272C" w:rsidRPr="008F7C69" w:rsidRDefault="004C272C" w:rsidP="003B123E">
      <w:pPr>
        <w:pStyle w:val="Textpoznpodarou"/>
        <w:rPr>
          <w:rFonts w:cs="Times New Roman"/>
        </w:rPr>
      </w:pPr>
      <w:r w:rsidRPr="008F7C69">
        <w:rPr>
          <w:rStyle w:val="Znakapoznpodarou"/>
          <w:rFonts w:cs="Times New Roman"/>
        </w:rPr>
        <w:footnoteRef/>
      </w:r>
      <w:r>
        <w:rPr>
          <w:rFonts w:cs="Times New Roman"/>
        </w:rPr>
        <w:t xml:space="preserve"> Gai. Inst. 2, 134. Tamtéž</w:t>
      </w:r>
      <w:r w:rsidRPr="008F7C69">
        <w:rPr>
          <w:rFonts w:cs="Times New Roman"/>
        </w:rPr>
        <w:t xml:space="preserve">, s. </w:t>
      </w:r>
      <w:r w:rsidRPr="008F7C69">
        <w:rPr>
          <w:rFonts w:cs="Times New Roman"/>
          <w:color w:val="222222"/>
          <w:shd w:val="clear" w:color="auto" w:fill="FFFFFF"/>
        </w:rPr>
        <w:t>129 - 130</w:t>
      </w:r>
      <w:r w:rsidRPr="008F7C69">
        <w:rPr>
          <w:rFonts w:cs="Times New Roman"/>
        </w:rPr>
        <w:t>.</w:t>
      </w:r>
    </w:p>
  </w:footnote>
  <w:footnote w:id="39">
    <w:p w:rsidR="004C272C" w:rsidRPr="008F7C69" w:rsidRDefault="004C272C" w:rsidP="00D43D38">
      <w:pPr>
        <w:spacing w:after="0" w:line="240" w:lineRule="auto"/>
        <w:contextualSpacing/>
        <w:rPr>
          <w:rFonts w:cs="Times New Roman"/>
          <w:sz w:val="20"/>
          <w:szCs w:val="20"/>
        </w:rPr>
      </w:pPr>
      <w:r w:rsidRPr="008F7C69">
        <w:rPr>
          <w:rStyle w:val="Znakapoznpodarou"/>
          <w:rFonts w:cs="Times New Roman"/>
          <w:sz w:val="20"/>
          <w:szCs w:val="20"/>
        </w:rPr>
        <w:footnoteRef/>
      </w:r>
      <w:r w:rsidRPr="008F7C69">
        <w:rPr>
          <w:rFonts w:cs="Times New Roman"/>
          <w:sz w:val="20"/>
          <w:szCs w:val="20"/>
        </w:rPr>
        <w:t xml:space="preserve"> </w:t>
      </w:r>
      <w:r w:rsidRPr="008F7C69">
        <w:rPr>
          <w:rFonts w:cs="Times New Roman"/>
          <w:color w:val="222222"/>
          <w:sz w:val="20"/>
          <w:szCs w:val="20"/>
          <w:shd w:val="clear" w:color="auto" w:fill="FFFFFF"/>
        </w:rPr>
        <w:t>BARTOŠEK, Milan.</w:t>
      </w:r>
      <w:r w:rsidRPr="008F7C69">
        <w:rPr>
          <w:rStyle w:val="apple-converted-space"/>
          <w:rFonts w:cs="Times New Roman"/>
          <w:color w:val="222222"/>
          <w:sz w:val="20"/>
          <w:szCs w:val="20"/>
          <w:shd w:val="clear" w:color="auto" w:fill="FFFFFF"/>
        </w:rPr>
        <w:t> </w:t>
      </w:r>
      <w:r w:rsidRPr="008F7C69">
        <w:rPr>
          <w:rFonts w:cs="Times New Roman"/>
          <w:i/>
          <w:iCs/>
          <w:color w:val="222222"/>
          <w:sz w:val="20"/>
          <w:szCs w:val="20"/>
          <w:bdr w:val="none" w:sz="0" w:space="0" w:color="auto" w:frame="1"/>
          <w:shd w:val="clear" w:color="auto" w:fill="FFFFFF"/>
        </w:rPr>
        <w:t>Encyklopedie římského práva</w:t>
      </w:r>
      <w:r w:rsidRPr="008F7C69">
        <w:rPr>
          <w:rFonts w:cs="Times New Roman"/>
          <w:color w:val="222222"/>
          <w:sz w:val="20"/>
          <w:szCs w:val="20"/>
          <w:shd w:val="clear" w:color="auto" w:fill="FFFFFF"/>
        </w:rPr>
        <w:t>. 2. přeprac. vyd. Praha: Academia, 1994, s. 100.</w:t>
      </w:r>
      <w:r w:rsidRPr="008F7C69">
        <w:rPr>
          <w:rStyle w:val="apple-converted-space"/>
          <w:rFonts w:cs="Times New Roman"/>
          <w:color w:val="222222"/>
          <w:sz w:val="19"/>
          <w:szCs w:val="19"/>
          <w:shd w:val="clear" w:color="auto" w:fill="FFFFFF"/>
        </w:rPr>
        <w:t> </w:t>
      </w:r>
    </w:p>
  </w:footnote>
  <w:footnote w:id="40">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Gai. Inst. 2, 135. KINCL: </w:t>
      </w:r>
      <w:r w:rsidRPr="008F7C69">
        <w:rPr>
          <w:rFonts w:cs="Times New Roman"/>
          <w:i/>
        </w:rPr>
        <w:t>Gaius: Učebnice práva</w:t>
      </w:r>
      <w:r w:rsidRPr="008F7C69">
        <w:rPr>
          <w:rFonts w:cs="Times New Roman"/>
        </w:rPr>
        <w:t>…, s. 131.</w:t>
      </w:r>
    </w:p>
  </w:footnote>
  <w:footnote w:id="41">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Dig. 28. 3. 32</w:t>
      </w:r>
      <w:r w:rsidRPr="00E46759">
        <w:rPr>
          <w:rFonts w:cs="Times New Roman"/>
        </w:rPr>
        <w:t xml:space="preserve">. </w:t>
      </w:r>
      <w:r w:rsidRPr="008F7C69">
        <w:rPr>
          <w:rFonts w:cs="Times New Roman"/>
        </w:rPr>
        <w:t xml:space="preserve">KRÜGER, Paul, MOMMSEN, Theodor. </w:t>
      </w:r>
      <w:r w:rsidRPr="008F7C69">
        <w:rPr>
          <w:rFonts w:cs="Times New Roman"/>
          <w:i/>
          <w:lang w:val="la-Latn"/>
        </w:rPr>
        <w:t>Corpus iuris civilis</w:t>
      </w:r>
      <w:r w:rsidRPr="008F7C69">
        <w:rPr>
          <w:rFonts w:cs="Times New Roman"/>
          <w:i/>
        </w:rPr>
        <w:t>.</w:t>
      </w:r>
      <w:r w:rsidRPr="008F7C69">
        <w:rPr>
          <w:rFonts w:cs="Times New Roman"/>
          <w:lang w:val="en-US"/>
        </w:rPr>
        <w:t xml:space="preserve"> Berlin:</w:t>
      </w:r>
      <w:r w:rsidRPr="008F7C69">
        <w:rPr>
          <w:rFonts w:cs="Times New Roman"/>
          <w:lang w:val="la-Latn"/>
        </w:rPr>
        <w:t xml:space="preserve"> Apud Weidmannos</w:t>
      </w:r>
      <w:r w:rsidRPr="008F7C69">
        <w:rPr>
          <w:rFonts w:cs="Times New Roman"/>
        </w:rPr>
        <w:t xml:space="preserve">, 1872. 1075 s. Přístupné též na: </w:t>
      </w:r>
      <w:r w:rsidRPr="008F7C69">
        <w:rPr>
          <w:rFonts w:cs="Times New Roman"/>
          <w:lang w:val="la-Latn"/>
        </w:rPr>
        <w:t xml:space="preserve">The Latin Library. </w:t>
      </w:r>
      <w:r w:rsidRPr="008F7C69">
        <w:rPr>
          <w:rFonts w:cs="Times New Roman"/>
          <w:i/>
          <w:lang w:val="la-Latn"/>
        </w:rPr>
        <w:t>Imperatoris Iustiniani opera: Institutiones, Codex, Digesta</w:t>
      </w:r>
      <w:r>
        <w:rPr>
          <w:rFonts w:cs="Times New Roman"/>
          <w:i/>
        </w:rPr>
        <w:t xml:space="preserve"> </w:t>
      </w:r>
      <w:r w:rsidRPr="008F7C69">
        <w:rPr>
          <w:rFonts w:cs="Times New Roman"/>
        </w:rPr>
        <w:t>[online]. thelatinlibrary.com, [cit. 10. únor 2016]. Dostupné na &lt;http://www.thelatinlibrary.com/justinian.html&gt;.</w:t>
      </w:r>
    </w:p>
  </w:footnote>
  <w:footnote w:id="42">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Gai. Inst. 2, 136. KINCL: </w:t>
      </w:r>
      <w:r w:rsidRPr="008F7C69">
        <w:rPr>
          <w:rFonts w:cs="Times New Roman"/>
          <w:i/>
        </w:rPr>
        <w:t>Gaius: Učebnice práva</w:t>
      </w:r>
      <w:r w:rsidRPr="008F7C69">
        <w:rPr>
          <w:rFonts w:cs="Times New Roman"/>
        </w:rPr>
        <w:t xml:space="preserve">…, s. 131. </w:t>
      </w:r>
    </w:p>
  </w:footnote>
  <w:footnote w:id="43">
    <w:p w:rsidR="004C272C" w:rsidRPr="008F7C69" w:rsidRDefault="004C272C">
      <w:pPr>
        <w:pStyle w:val="Textpoznpodarou"/>
        <w:rPr>
          <w:rFonts w:cs="Times New Roman"/>
        </w:rPr>
      </w:pPr>
      <w:r w:rsidRPr="008F7C69">
        <w:rPr>
          <w:rStyle w:val="Znakapoznpodarou"/>
          <w:rFonts w:cs="Times New Roman"/>
        </w:rPr>
        <w:footnoteRef/>
      </w:r>
      <w:r>
        <w:rPr>
          <w:rFonts w:cs="Times New Roman"/>
        </w:rPr>
        <w:t xml:space="preserve"> Gai. Inst. 2, 141. Tamtéž</w:t>
      </w:r>
      <w:r w:rsidRPr="008F7C69">
        <w:rPr>
          <w:rFonts w:cs="Times New Roman"/>
        </w:rPr>
        <w:t>, s. 131.</w:t>
      </w:r>
    </w:p>
  </w:footnote>
  <w:footnote w:id="44">
    <w:p w:rsidR="004C272C" w:rsidRPr="008F7C69" w:rsidRDefault="004C272C" w:rsidP="00D43D38">
      <w:pPr>
        <w:pStyle w:val="Textpoznpodarou"/>
        <w:contextualSpacing/>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color w:val="222222"/>
          <w:shd w:val="clear" w:color="auto" w:fill="FFFFFF"/>
        </w:rPr>
        <w:t>HEYROVSKÝ:</w:t>
      </w:r>
      <w:r w:rsidRPr="008F7C69">
        <w:rPr>
          <w:rStyle w:val="apple-converted-space"/>
          <w:rFonts w:cs="Times New Roman"/>
          <w:color w:val="222222"/>
          <w:shd w:val="clear" w:color="auto" w:fill="FFFFFF"/>
        </w:rPr>
        <w:t> </w:t>
      </w:r>
      <w:r w:rsidRPr="008F7C69">
        <w:rPr>
          <w:rFonts w:cs="Times New Roman"/>
          <w:i/>
          <w:iCs/>
          <w:color w:val="222222"/>
          <w:bdr w:val="none" w:sz="0" w:space="0" w:color="auto" w:frame="1"/>
          <w:shd w:val="clear" w:color="auto" w:fill="FFFFFF"/>
        </w:rPr>
        <w:t xml:space="preserve">Dějiny a systém…, </w:t>
      </w:r>
      <w:r w:rsidRPr="008F7C69">
        <w:rPr>
          <w:rFonts w:cs="Times New Roman"/>
          <w:color w:val="222222"/>
          <w:shd w:val="clear" w:color="auto" w:fill="FFFFFF"/>
        </w:rPr>
        <w:t>s. 1057.</w:t>
      </w:r>
    </w:p>
  </w:footnote>
  <w:footnote w:id="45">
    <w:p w:rsidR="004C272C" w:rsidRPr="008F7C69" w:rsidRDefault="004C272C" w:rsidP="00EB6DBE">
      <w:pPr>
        <w:spacing w:after="0" w:line="240" w:lineRule="auto"/>
        <w:contextualSpacing/>
        <w:rPr>
          <w:rFonts w:cs="Times New Roman"/>
          <w:sz w:val="20"/>
          <w:szCs w:val="20"/>
        </w:rPr>
      </w:pPr>
      <w:r w:rsidRPr="008F7C69">
        <w:rPr>
          <w:rStyle w:val="Znakapoznpodarou"/>
          <w:rFonts w:cs="Times New Roman"/>
          <w:sz w:val="20"/>
          <w:szCs w:val="20"/>
        </w:rPr>
        <w:footnoteRef/>
      </w:r>
      <w:r w:rsidRPr="008F7C69">
        <w:rPr>
          <w:rFonts w:cs="Times New Roman"/>
          <w:sz w:val="20"/>
          <w:szCs w:val="20"/>
        </w:rPr>
        <w:t xml:space="preserve"> </w:t>
      </w:r>
      <w:r w:rsidRPr="008F7C69">
        <w:rPr>
          <w:rFonts w:cs="Times New Roman"/>
          <w:color w:val="222222"/>
          <w:sz w:val="20"/>
          <w:szCs w:val="20"/>
          <w:shd w:val="clear" w:color="auto" w:fill="FFFFFF"/>
        </w:rPr>
        <w:t xml:space="preserve">KINCL, URFUS, SKŘEJPEK: </w:t>
      </w:r>
      <w:r w:rsidRPr="008F7C69">
        <w:rPr>
          <w:rFonts w:cs="Times New Roman"/>
          <w:i/>
          <w:iCs/>
          <w:color w:val="222222"/>
          <w:sz w:val="20"/>
          <w:szCs w:val="20"/>
          <w:bdr w:val="none" w:sz="0" w:space="0" w:color="auto" w:frame="1"/>
          <w:shd w:val="clear" w:color="auto" w:fill="FFFFFF"/>
        </w:rPr>
        <w:t>Římské právo</w:t>
      </w:r>
      <w:r w:rsidRPr="008F7C69">
        <w:rPr>
          <w:rFonts w:cs="Times New Roman"/>
          <w:color w:val="222222"/>
          <w:sz w:val="20"/>
          <w:szCs w:val="20"/>
          <w:shd w:val="clear" w:color="auto" w:fill="FFFFFF"/>
        </w:rPr>
        <w:t>..., s. 290.</w:t>
      </w:r>
    </w:p>
  </w:footnote>
  <w:footnote w:id="46">
    <w:p w:rsidR="004C272C" w:rsidRPr="008F7C69" w:rsidRDefault="004C272C" w:rsidP="00EB6DBE">
      <w:pPr>
        <w:pStyle w:val="Textpoznpodarou"/>
        <w:contextualSpacing/>
        <w:rPr>
          <w:rFonts w:cs="Times New Roman"/>
        </w:rPr>
      </w:pPr>
      <w:r w:rsidRPr="008F7C69">
        <w:rPr>
          <w:rStyle w:val="Znakapoznpodarou"/>
          <w:rFonts w:cs="Times New Roman"/>
        </w:rPr>
        <w:footnoteRef/>
      </w:r>
      <w:r w:rsidRPr="008F7C69">
        <w:rPr>
          <w:rFonts w:cs="Times New Roman"/>
        </w:rPr>
        <w:t xml:space="preserve"> Tamtéž, s. 267 – 268.</w:t>
      </w:r>
    </w:p>
  </w:footnote>
  <w:footnote w:id="47">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color w:val="222222"/>
          <w:shd w:val="clear" w:color="auto" w:fill="FFFFFF"/>
        </w:rPr>
        <w:t xml:space="preserve">SOMMER: </w:t>
      </w:r>
      <w:r w:rsidRPr="008F7C69">
        <w:rPr>
          <w:rFonts w:cs="Times New Roman"/>
          <w:i/>
          <w:iCs/>
          <w:color w:val="222222"/>
          <w:bdr w:val="none" w:sz="0" w:space="0" w:color="auto" w:frame="1"/>
          <w:shd w:val="clear" w:color="auto" w:fill="FFFFFF"/>
        </w:rPr>
        <w:t>Učebnice soukromého…, s. 308 - 309.</w:t>
      </w:r>
    </w:p>
  </w:footnote>
  <w:footnote w:id="48">
    <w:p w:rsidR="004C272C" w:rsidRPr="00975C1B" w:rsidRDefault="004C272C" w:rsidP="0077466A">
      <w:pPr>
        <w:pStyle w:val="Textpoznpodarou"/>
      </w:pPr>
      <w:r>
        <w:rPr>
          <w:rStyle w:val="Znakapoznpodarou"/>
        </w:rPr>
        <w:footnoteRef/>
      </w:r>
      <w:r>
        <w:rPr>
          <w:rFonts w:cs="Times New Roman"/>
        </w:rPr>
        <w:t xml:space="preserve"> </w:t>
      </w:r>
      <w:r w:rsidRPr="008F7C69">
        <w:rPr>
          <w:rFonts w:cs="Times New Roman"/>
        </w:rPr>
        <w:t xml:space="preserve">BONFANTE, Pietro. </w:t>
      </w:r>
      <w:r w:rsidRPr="008F7C69">
        <w:rPr>
          <w:rFonts w:cs="Times New Roman"/>
          <w:i/>
        </w:rPr>
        <w:t>Instituce římského práva</w:t>
      </w:r>
      <w:r w:rsidRPr="008F7C69">
        <w:rPr>
          <w:rFonts w:cs="Times New Roman"/>
        </w:rPr>
        <w:t>. 9. vyd. Přeložil Ja</w:t>
      </w:r>
      <w:r>
        <w:rPr>
          <w:rFonts w:cs="Times New Roman"/>
        </w:rPr>
        <w:t>n Vážný. Brno: Právník, 1932, s</w:t>
      </w:r>
      <w:r>
        <w:t>. 672 – 673.</w:t>
      </w:r>
    </w:p>
  </w:footnote>
  <w:footnote w:id="49">
    <w:p w:rsidR="004C272C" w:rsidRDefault="004C272C" w:rsidP="0077466A">
      <w:pPr>
        <w:pStyle w:val="Textpoznpodarou"/>
      </w:pPr>
      <w:r>
        <w:rPr>
          <w:rStyle w:val="Znakapoznpodarou"/>
        </w:rPr>
        <w:footnoteRef/>
      </w:r>
      <w:r>
        <w:t xml:space="preserve"> </w:t>
      </w:r>
      <w:r w:rsidRPr="008F7C69">
        <w:rPr>
          <w:rFonts w:cs="Times New Roman"/>
          <w:color w:val="222222"/>
          <w:shd w:val="clear" w:color="auto" w:fill="FFFFFF"/>
        </w:rPr>
        <w:t xml:space="preserve">KINCL, URFUS, SKŘEJPEK: </w:t>
      </w:r>
      <w:r w:rsidRPr="008F7C69">
        <w:rPr>
          <w:rFonts w:cs="Times New Roman"/>
          <w:i/>
          <w:iCs/>
          <w:color w:val="222222"/>
          <w:bdr w:val="none" w:sz="0" w:space="0" w:color="auto" w:frame="1"/>
          <w:shd w:val="clear" w:color="auto" w:fill="FFFFFF"/>
        </w:rPr>
        <w:t>Římské právo</w:t>
      </w:r>
      <w:r>
        <w:rPr>
          <w:rFonts w:cs="Times New Roman"/>
          <w:color w:val="222222"/>
          <w:shd w:val="clear" w:color="auto" w:fill="FFFFFF"/>
        </w:rPr>
        <w:t>..., s. 301.</w:t>
      </w:r>
    </w:p>
  </w:footnote>
  <w:footnote w:id="50">
    <w:p w:rsidR="004C272C" w:rsidRDefault="004C272C" w:rsidP="0077466A">
      <w:pPr>
        <w:pStyle w:val="Textpoznpodarou"/>
      </w:pPr>
      <w:r>
        <w:rPr>
          <w:rStyle w:val="Znakapoznpodarou"/>
        </w:rPr>
        <w:footnoteRef/>
      </w:r>
      <w:r>
        <w:t xml:space="preserve"> </w:t>
      </w:r>
      <w:r w:rsidRPr="008F7C69">
        <w:rPr>
          <w:rFonts w:cs="Times New Roman"/>
        </w:rPr>
        <w:t>HEYROVSKÝ: </w:t>
      </w:r>
      <w:r w:rsidRPr="008F7C69">
        <w:rPr>
          <w:rFonts w:cs="Times New Roman"/>
          <w:i/>
          <w:iCs/>
        </w:rPr>
        <w:t xml:space="preserve">Dějiny a systém…, </w:t>
      </w:r>
      <w:r>
        <w:rPr>
          <w:rFonts w:cs="Times New Roman"/>
        </w:rPr>
        <w:t>s. 1112 – 1113.</w:t>
      </w:r>
    </w:p>
  </w:footnote>
  <w:footnote w:id="51">
    <w:p w:rsidR="004C272C" w:rsidRDefault="004C272C" w:rsidP="0077466A">
      <w:pPr>
        <w:pStyle w:val="Textpoznpodarou"/>
      </w:pPr>
      <w:r>
        <w:rPr>
          <w:rStyle w:val="Znakapoznpodarou"/>
        </w:rPr>
        <w:footnoteRef/>
      </w:r>
      <w:r>
        <w:t xml:space="preserve"> </w:t>
      </w:r>
      <w:r w:rsidRPr="008F7C69">
        <w:rPr>
          <w:rFonts w:cs="Times New Roman"/>
        </w:rPr>
        <w:t xml:space="preserve">SOMMER: </w:t>
      </w:r>
      <w:r w:rsidRPr="008F7C69">
        <w:rPr>
          <w:rFonts w:cs="Times New Roman"/>
          <w:i/>
          <w:iCs/>
        </w:rPr>
        <w:t>Učebnice soukromého</w:t>
      </w:r>
      <w:r w:rsidRPr="008F7C69">
        <w:rPr>
          <w:rFonts w:cs="Times New Roman"/>
          <w:iCs/>
        </w:rPr>
        <w:t>…, s.</w:t>
      </w:r>
      <w:r>
        <w:rPr>
          <w:rFonts w:cs="Times New Roman"/>
          <w:iCs/>
        </w:rPr>
        <w:t xml:space="preserve"> 302.</w:t>
      </w:r>
    </w:p>
  </w:footnote>
  <w:footnote w:id="52">
    <w:p w:rsidR="004C272C" w:rsidRDefault="004C272C" w:rsidP="0077466A">
      <w:pPr>
        <w:pStyle w:val="Textpoznpodarou"/>
      </w:pPr>
      <w:r>
        <w:rPr>
          <w:rStyle w:val="Znakapoznpodarou"/>
        </w:rPr>
        <w:footnoteRef/>
      </w:r>
      <w:r>
        <w:t xml:space="preserve"> </w:t>
      </w:r>
      <w:r w:rsidRPr="008F7C69">
        <w:rPr>
          <w:rFonts w:cs="Times New Roman"/>
        </w:rPr>
        <w:t>HEYROVSKÝ: </w:t>
      </w:r>
      <w:r w:rsidRPr="008F7C69">
        <w:rPr>
          <w:rFonts w:cs="Times New Roman"/>
          <w:i/>
          <w:iCs/>
        </w:rPr>
        <w:t xml:space="preserve">Dějiny a systém…, </w:t>
      </w:r>
      <w:r>
        <w:rPr>
          <w:rFonts w:cs="Times New Roman"/>
        </w:rPr>
        <w:t>s. 1113.</w:t>
      </w:r>
    </w:p>
  </w:footnote>
  <w:footnote w:id="53">
    <w:p w:rsidR="004C272C" w:rsidRDefault="004C272C" w:rsidP="0077466A">
      <w:pPr>
        <w:pStyle w:val="Textpoznpodarou"/>
      </w:pPr>
      <w:r>
        <w:rPr>
          <w:rStyle w:val="Znakapoznpodarou"/>
        </w:rPr>
        <w:footnoteRef/>
      </w:r>
      <w:r>
        <w:t xml:space="preserve"> </w:t>
      </w:r>
      <w:r w:rsidRPr="008F7C69">
        <w:rPr>
          <w:rFonts w:cs="Times New Roman"/>
          <w:color w:val="222222"/>
          <w:shd w:val="clear" w:color="auto" w:fill="FFFFFF"/>
        </w:rPr>
        <w:t xml:space="preserve">KINCL, URFUS, SKŘEJPEK: </w:t>
      </w:r>
      <w:r w:rsidRPr="008F7C69">
        <w:rPr>
          <w:rFonts w:cs="Times New Roman"/>
          <w:i/>
          <w:iCs/>
          <w:color w:val="222222"/>
          <w:bdr w:val="none" w:sz="0" w:space="0" w:color="auto" w:frame="1"/>
          <w:shd w:val="clear" w:color="auto" w:fill="FFFFFF"/>
        </w:rPr>
        <w:t>Římské právo</w:t>
      </w:r>
      <w:r>
        <w:rPr>
          <w:rFonts w:cs="Times New Roman"/>
          <w:color w:val="222222"/>
          <w:shd w:val="clear" w:color="auto" w:fill="FFFFFF"/>
        </w:rPr>
        <w:t>..., s. 302.</w:t>
      </w:r>
      <w:r>
        <w:t xml:space="preserve"> </w:t>
      </w:r>
    </w:p>
  </w:footnote>
  <w:footnote w:id="54">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Pr>
          <w:rFonts w:cs="Times New Roman"/>
        </w:rPr>
        <w:t>Tamtéž</w:t>
      </w:r>
      <w:r w:rsidRPr="008F7C69">
        <w:rPr>
          <w:rFonts w:cs="Times New Roman"/>
        </w:rPr>
        <w:t xml:space="preserve"> s. 291.</w:t>
      </w:r>
    </w:p>
  </w:footnote>
  <w:footnote w:id="55">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Gai. Inst. 3, 32. KINCL: </w:t>
      </w:r>
      <w:r w:rsidRPr="008F7C69">
        <w:rPr>
          <w:rFonts w:cs="Times New Roman"/>
          <w:i/>
        </w:rPr>
        <w:t>Gaius: Učebnice práva</w:t>
      </w:r>
      <w:r w:rsidRPr="008F7C69">
        <w:rPr>
          <w:rFonts w:cs="Times New Roman"/>
        </w:rPr>
        <w:t>…, s. 181.</w:t>
      </w:r>
    </w:p>
  </w:footnote>
  <w:footnote w:id="56">
    <w:p w:rsidR="004C272C" w:rsidRPr="008F7C69" w:rsidRDefault="004C272C" w:rsidP="00E13DF7">
      <w:pPr>
        <w:pStyle w:val="Textpoznpodarou"/>
        <w:rPr>
          <w:rFonts w:cs="Times New Roman"/>
        </w:rPr>
      </w:pPr>
      <w:r w:rsidRPr="008F7C69">
        <w:rPr>
          <w:rStyle w:val="Znakapoznpodarou"/>
          <w:rFonts w:cs="Times New Roman"/>
        </w:rPr>
        <w:footnoteRef/>
      </w:r>
      <w:r w:rsidRPr="008F7C69">
        <w:rPr>
          <w:rFonts w:cs="Times New Roman"/>
        </w:rPr>
        <w:t xml:space="preserve"> KINCL, URFUS, SKŘEJPEK:  </w:t>
      </w:r>
      <w:r w:rsidRPr="008F7C69">
        <w:rPr>
          <w:rFonts w:cs="Times New Roman"/>
          <w:i/>
        </w:rPr>
        <w:t>Římské právo</w:t>
      </w:r>
      <w:r w:rsidRPr="008F7C69">
        <w:rPr>
          <w:rFonts w:cs="Times New Roman"/>
        </w:rPr>
        <w:t>..., s. 291.</w:t>
      </w:r>
    </w:p>
  </w:footnote>
  <w:footnote w:id="57">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color w:val="222222"/>
          <w:shd w:val="clear" w:color="auto" w:fill="FFFFFF"/>
        </w:rPr>
        <w:t>HEYROVSKÝ:</w:t>
      </w:r>
      <w:r w:rsidRPr="008F7C69">
        <w:rPr>
          <w:rStyle w:val="apple-converted-space"/>
          <w:rFonts w:cs="Times New Roman"/>
          <w:color w:val="222222"/>
          <w:shd w:val="clear" w:color="auto" w:fill="FFFFFF"/>
        </w:rPr>
        <w:t> </w:t>
      </w:r>
      <w:r w:rsidRPr="008F7C69">
        <w:rPr>
          <w:rFonts w:cs="Times New Roman"/>
          <w:i/>
          <w:iCs/>
          <w:color w:val="222222"/>
          <w:bdr w:val="none" w:sz="0" w:space="0" w:color="auto" w:frame="1"/>
          <w:shd w:val="clear" w:color="auto" w:fill="FFFFFF"/>
        </w:rPr>
        <w:t xml:space="preserve">Dějiny a systém…, </w:t>
      </w:r>
      <w:r w:rsidRPr="008F7C69">
        <w:rPr>
          <w:rFonts w:cs="Times New Roman"/>
          <w:color w:val="222222"/>
          <w:shd w:val="clear" w:color="auto" w:fill="FFFFFF"/>
        </w:rPr>
        <w:t>s. 1064 – 1065.</w:t>
      </w:r>
    </w:p>
  </w:footnote>
  <w:footnote w:id="58">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KINCL, URFUS, SKŘEJPEK: </w:t>
      </w:r>
      <w:r w:rsidRPr="008F7C69">
        <w:rPr>
          <w:rFonts w:cs="Times New Roman"/>
          <w:i/>
        </w:rPr>
        <w:t>Římské právo</w:t>
      </w:r>
      <w:r>
        <w:rPr>
          <w:rFonts w:cs="Times New Roman"/>
        </w:rPr>
        <w:t xml:space="preserve">…, </w:t>
      </w:r>
      <w:r w:rsidRPr="008F7C69">
        <w:rPr>
          <w:rFonts w:cs="Times New Roman"/>
        </w:rPr>
        <w:t>s. 291.</w:t>
      </w:r>
    </w:p>
  </w:footnote>
  <w:footnote w:id="59">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HEYROVSKÝ: </w:t>
      </w:r>
      <w:r w:rsidRPr="008F7C69">
        <w:rPr>
          <w:rFonts w:cs="Times New Roman"/>
          <w:i/>
          <w:iCs/>
        </w:rPr>
        <w:t xml:space="preserve">Dějiny a systém…, </w:t>
      </w:r>
      <w:r w:rsidRPr="008F7C69">
        <w:rPr>
          <w:rFonts w:cs="Times New Roman"/>
        </w:rPr>
        <w:t>s. 1065</w:t>
      </w:r>
    </w:p>
  </w:footnote>
  <w:footnote w:id="60">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Tamtéž,</w:t>
      </w:r>
      <w:r w:rsidRPr="008F7C69">
        <w:rPr>
          <w:rFonts w:cs="Times New Roman"/>
          <w:i/>
          <w:iCs/>
        </w:rPr>
        <w:t xml:space="preserve"> </w:t>
      </w:r>
      <w:r w:rsidRPr="008F7C69">
        <w:rPr>
          <w:rFonts w:cs="Times New Roman"/>
        </w:rPr>
        <w:t>s. 1065.</w:t>
      </w:r>
    </w:p>
  </w:footnote>
  <w:footnote w:id="61">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color w:val="222222"/>
          <w:shd w:val="clear" w:color="auto" w:fill="FFFFFF"/>
        </w:rPr>
        <w:t>Tamtéž,</w:t>
      </w:r>
      <w:r w:rsidRPr="008F7C69">
        <w:rPr>
          <w:rFonts w:cs="Times New Roman"/>
          <w:i/>
          <w:iCs/>
          <w:color w:val="222222"/>
          <w:bdr w:val="none" w:sz="0" w:space="0" w:color="auto" w:frame="1"/>
          <w:shd w:val="clear" w:color="auto" w:fill="FFFFFF"/>
        </w:rPr>
        <w:t xml:space="preserve"> </w:t>
      </w:r>
      <w:r w:rsidRPr="008F7C69">
        <w:rPr>
          <w:rFonts w:cs="Times New Roman"/>
          <w:color w:val="222222"/>
          <w:shd w:val="clear" w:color="auto" w:fill="FFFFFF"/>
        </w:rPr>
        <w:t>s. 1066.</w:t>
      </w:r>
    </w:p>
  </w:footnote>
  <w:footnote w:id="62">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color w:val="222222"/>
          <w:shd w:val="clear" w:color="auto" w:fill="FFFFFF"/>
        </w:rPr>
        <w:t xml:space="preserve">SOMMER: </w:t>
      </w:r>
      <w:r w:rsidRPr="008F7C69">
        <w:rPr>
          <w:rFonts w:cs="Times New Roman"/>
          <w:i/>
          <w:iCs/>
          <w:color w:val="222222"/>
          <w:bdr w:val="none" w:sz="0" w:space="0" w:color="auto" w:frame="1"/>
          <w:shd w:val="clear" w:color="auto" w:fill="FFFFFF"/>
        </w:rPr>
        <w:t>Učebnice soukromého</w:t>
      </w:r>
      <w:r w:rsidRPr="008F7C69">
        <w:rPr>
          <w:rFonts w:cs="Times New Roman"/>
          <w:iCs/>
          <w:color w:val="222222"/>
          <w:bdr w:val="none" w:sz="0" w:space="0" w:color="auto" w:frame="1"/>
          <w:shd w:val="clear" w:color="auto" w:fill="FFFFFF"/>
        </w:rPr>
        <w:t>…, s. 310.</w:t>
      </w:r>
    </w:p>
  </w:footnote>
  <w:footnote w:id="63">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color w:val="222222"/>
          <w:shd w:val="clear" w:color="auto" w:fill="FFFFFF"/>
        </w:rPr>
        <w:t>HEYROVSKÝ:</w:t>
      </w:r>
      <w:r w:rsidRPr="008F7C69">
        <w:rPr>
          <w:rStyle w:val="apple-converted-space"/>
          <w:rFonts w:cs="Times New Roman"/>
          <w:color w:val="222222"/>
          <w:shd w:val="clear" w:color="auto" w:fill="FFFFFF"/>
        </w:rPr>
        <w:t> </w:t>
      </w:r>
      <w:r w:rsidRPr="008F7C69">
        <w:rPr>
          <w:rFonts w:cs="Times New Roman"/>
          <w:i/>
          <w:iCs/>
          <w:color w:val="222222"/>
          <w:bdr w:val="none" w:sz="0" w:space="0" w:color="auto" w:frame="1"/>
          <w:shd w:val="clear" w:color="auto" w:fill="FFFFFF"/>
        </w:rPr>
        <w:t xml:space="preserve">Dějiny a systém…, </w:t>
      </w:r>
      <w:r w:rsidRPr="008F7C69">
        <w:rPr>
          <w:rFonts w:cs="Times New Roman"/>
          <w:color w:val="222222"/>
          <w:shd w:val="clear" w:color="auto" w:fill="FFFFFF"/>
        </w:rPr>
        <w:t>s. 1067.</w:t>
      </w:r>
    </w:p>
  </w:footnote>
  <w:footnote w:id="64">
    <w:p w:rsidR="004C272C" w:rsidRPr="008F7C69" w:rsidRDefault="004C272C">
      <w:pPr>
        <w:pStyle w:val="Textpoznpodarou"/>
        <w:rPr>
          <w:rFonts w:cs="Times New Roman"/>
          <w:i/>
        </w:rPr>
      </w:pPr>
      <w:r w:rsidRPr="008F7C69">
        <w:rPr>
          <w:rStyle w:val="Znakapoznpodarou"/>
          <w:rFonts w:cs="Times New Roman"/>
        </w:rPr>
        <w:footnoteRef/>
      </w:r>
      <w:r w:rsidRPr="008F7C69">
        <w:rPr>
          <w:rFonts w:cs="Times New Roman"/>
        </w:rPr>
        <w:t xml:space="preserve"> DAJCZAK: </w:t>
      </w:r>
      <w:r w:rsidRPr="008F7C69">
        <w:rPr>
          <w:rFonts w:cs="Times New Roman"/>
          <w:i/>
        </w:rPr>
        <w:t xml:space="preserve">Právo rímské..., </w:t>
      </w:r>
      <w:r w:rsidRPr="008F7C69">
        <w:rPr>
          <w:rFonts w:cs="Times New Roman"/>
        </w:rPr>
        <w:t>s. 138.</w:t>
      </w:r>
    </w:p>
  </w:footnote>
  <w:footnote w:id="65">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color w:val="222222"/>
          <w:shd w:val="clear" w:color="auto" w:fill="FFFFFF"/>
        </w:rPr>
        <w:t xml:space="preserve">SOMMER: </w:t>
      </w:r>
      <w:r w:rsidRPr="008F7C69">
        <w:rPr>
          <w:rFonts w:cs="Times New Roman"/>
          <w:i/>
          <w:iCs/>
          <w:color w:val="222222"/>
          <w:bdr w:val="none" w:sz="0" w:space="0" w:color="auto" w:frame="1"/>
          <w:shd w:val="clear" w:color="auto" w:fill="FFFFFF"/>
        </w:rPr>
        <w:t>Učebnice soukromého</w:t>
      </w:r>
      <w:r w:rsidRPr="008F7C69">
        <w:rPr>
          <w:rFonts w:cs="Times New Roman"/>
          <w:iCs/>
          <w:color w:val="222222"/>
          <w:bdr w:val="none" w:sz="0" w:space="0" w:color="auto" w:frame="1"/>
          <w:shd w:val="clear" w:color="auto" w:fill="FFFFFF"/>
        </w:rPr>
        <w:t xml:space="preserve">…, s. 310 – 311. </w:t>
      </w:r>
    </w:p>
  </w:footnote>
  <w:footnote w:id="66">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KINCL, URFUS, SKŘEJPEK: </w:t>
      </w:r>
      <w:r w:rsidRPr="008F7C69">
        <w:rPr>
          <w:rFonts w:cs="Times New Roman"/>
          <w:i/>
        </w:rPr>
        <w:t>Římské právo</w:t>
      </w:r>
      <w:r>
        <w:rPr>
          <w:rFonts w:cs="Times New Roman"/>
        </w:rPr>
        <w:t xml:space="preserve"> …, </w:t>
      </w:r>
      <w:r w:rsidRPr="008F7C69">
        <w:rPr>
          <w:rFonts w:cs="Times New Roman"/>
        </w:rPr>
        <w:t>s. 42 – 43.</w:t>
      </w:r>
    </w:p>
  </w:footnote>
  <w:footnote w:id="67">
    <w:p w:rsidR="004C272C" w:rsidRPr="008F7C69" w:rsidRDefault="004C272C" w:rsidP="00FF61B8">
      <w:pPr>
        <w:pStyle w:val="Textpoznpodarou"/>
        <w:rPr>
          <w:rFonts w:cs="Times New Roman"/>
        </w:rPr>
      </w:pPr>
      <w:r w:rsidRPr="008F7C69">
        <w:rPr>
          <w:rStyle w:val="Znakapoznpodarou"/>
          <w:rFonts w:cs="Times New Roman"/>
        </w:rPr>
        <w:footnoteRef/>
      </w:r>
      <w:r w:rsidRPr="008F7C69">
        <w:rPr>
          <w:rFonts w:cs="Times New Roman"/>
        </w:rPr>
        <w:t xml:space="preserve"> Just. Inst. 2, 13. BLAHO, Peter, SKŘEJPEK, Michal. </w:t>
      </w:r>
      <w:r w:rsidRPr="008F7C69">
        <w:rPr>
          <w:rFonts w:cs="Times New Roman"/>
          <w:i/>
        </w:rPr>
        <w:t>Iustiniani Institutiones: Justiniánské instituce.</w:t>
      </w:r>
      <w:r w:rsidRPr="008F7C69">
        <w:rPr>
          <w:rFonts w:cs="Times New Roman"/>
        </w:rPr>
        <w:t xml:space="preserve"> Praha: Karolinum, 2010, s. 145.</w:t>
      </w:r>
    </w:p>
  </w:footnote>
  <w:footnote w:id="68">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Just. Inst. 2, 13. 7. BLAHO, SKŘEJPEK: </w:t>
      </w:r>
      <w:r w:rsidRPr="008F7C69">
        <w:rPr>
          <w:rFonts w:cs="Times New Roman"/>
          <w:i/>
        </w:rPr>
        <w:t>Iustiniani Institutiones</w:t>
      </w:r>
      <w:r w:rsidRPr="008F7C69">
        <w:rPr>
          <w:rFonts w:cs="Times New Roman"/>
        </w:rPr>
        <w:t>…, s. 149.</w:t>
      </w:r>
    </w:p>
  </w:footnote>
  <w:footnote w:id="69">
    <w:p w:rsidR="004C272C" w:rsidRPr="008F7C69" w:rsidRDefault="004C272C" w:rsidP="00FF61B8">
      <w:pPr>
        <w:pStyle w:val="Textpoznpodarou"/>
        <w:rPr>
          <w:rFonts w:cs="Times New Roman"/>
        </w:rPr>
      </w:pPr>
      <w:r w:rsidRPr="008F7C69">
        <w:rPr>
          <w:rStyle w:val="Znakapoznpodarou"/>
          <w:rFonts w:cs="Times New Roman"/>
        </w:rPr>
        <w:footnoteRef/>
      </w:r>
      <w:r w:rsidRPr="008F7C69">
        <w:rPr>
          <w:rFonts w:cs="Times New Roman"/>
        </w:rPr>
        <w:t xml:space="preserve"> Just. Inst. 2, 13. 1. Tamtéž…, s. 145 – 146.</w:t>
      </w:r>
    </w:p>
  </w:footnote>
  <w:footnote w:id="70">
    <w:p w:rsidR="004C272C" w:rsidRPr="008F7C69" w:rsidRDefault="004C272C">
      <w:pPr>
        <w:pStyle w:val="Textpoznpodarou"/>
        <w:rPr>
          <w:rFonts w:cs="Times New Roman"/>
        </w:rPr>
      </w:pPr>
      <w:r w:rsidRPr="008F7C69">
        <w:rPr>
          <w:rStyle w:val="Znakapoznpodarou"/>
          <w:rFonts w:cs="Times New Roman"/>
        </w:rPr>
        <w:footnoteRef/>
      </w:r>
      <w:r>
        <w:rPr>
          <w:rFonts w:cs="Times New Roman"/>
        </w:rPr>
        <w:t xml:space="preserve"> Just. Inst. 2, 13. 2. Tamtéž</w:t>
      </w:r>
      <w:r w:rsidRPr="008F7C69">
        <w:rPr>
          <w:rFonts w:cs="Times New Roman"/>
        </w:rPr>
        <w:t>, s. 147.</w:t>
      </w:r>
    </w:p>
  </w:footnote>
  <w:footnote w:id="71">
    <w:p w:rsidR="004C272C" w:rsidRPr="008F7C69" w:rsidRDefault="004C272C">
      <w:pPr>
        <w:pStyle w:val="Textpoznpodarou"/>
        <w:rPr>
          <w:rFonts w:cs="Times New Roman"/>
        </w:rPr>
      </w:pPr>
      <w:r w:rsidRPr="008F7C69">
        <w:rPr>
          <w:rStyle w:val="Znakapoznpodarou"/>
          <w:rFonts w:cs="Times New Roman"/>
        </w:rPr>
        <w:footnoteRef/>
      </w:r>
      <w:r>
        <w:rPr>
          <w:rFonts w:cs="Times New Roman"/>
        </w:rPr>
        <w:t xml:space="preserve"> Just. Inst. 2, 13. 4. Tamtéž</w:t>
      </w:r>
      <w:r w:rsidRPr="008F7C69">
        <w:rPr>
          <w:rFonts w:cs="Times New Roman"/>
        </w:rPr>
        <w:t>, s. 147.</w:t>
      </w:r>
    </w:p>
  </w:footnote>
  <w:footnote w:id="72">
    <w:p w:rsidR="004C272C" w:rsidRPr="008F7C69" w:rsidRDefault="004C272C">
      <w:pPr>
        <w:pStyle w:val="Textpoznpodarou"/>
        <w:rPr>
          <w:rFonts w:cs="Times New Roman"/>
        </w:rPr>
      </w:pPr>
      <w:r w:rsidRPr="008F7C69">
        <w:rPr>
          <w:rStyle w:val="Znakapoznpodarou"/>
          <w:rFonts w:cs="Times New Roman"/>
        </w:rPr>
        <w:footnoteRef/>
      </w:r>
      <w:r>
        <w:rPr>
          <w:rFonts w:cs="Times New Roman"/>
        </w:rPr>
        <w:t xml:space="preserve"> Just. Inst. 2, 13. 3. Tamtéž</w:t>
      </w:r>
      <w:r w:rsidRPr="008F7C69">
        <w:rPr>
          <w:rFonts w:cs="Times New Roman"/>
        </w:rPr>
        <w:t>, s. 147.</w:t>
      </w:r>
    </w:p>
  </w:footnote>
  <w:footnote w:id="73">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C. 6, 28, 4. SCOTT P., Samuel. </w:t>
      </w:r>
      <w:r w:rsidRPr="008F7C69">
        <w:rPr>
          <w:rFonts w:cs="Times New Roman"/>
          <w:i/>
        </w:rPr>
        <w:t>The Code of Justinian</w:t>
      </w:r>
      <w:r w:rsidRPr="008F7C69">
        <w:rPr>
          <w:rFonts w:cs="Times New Roman"/>
        </w:rPr>
        <w:t xml:space="preserve"> [online]. droitromain.upmf-grenoble.fr, according to the translation published 1932 in Cincinnati [cit. 19. února 2016]. Dostupné na &lt;http://droitromain.upmf-grenoble.fr/Anglica/digest_Scott.htm&gt;.</w:t>
      </w:r>
    </w:p>
  </w:footnote>
  <w:footnote w:id="74">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Tamtéž.</w:t>
      </w:r>
    </w:p>
  </w:footnote>
  <w:footnote w:id="75">
    <w:p w:rsidR="004C272C" w:rsidRPr="008F7C69" w:rsidRDefault="004C272C">
      <w:pPr>
        <w:pStyle w:val="Textpoznpodarou"/>
        <w:rPr>
          <w:rFonts w:cs="Times New Roman"/>
          <w:i/>
        </w:rPr>
      </w:pPr>
      <w:r w:rsidRPr="008F7C69">
        <w:rPr>
          <w:rStyle w:val="Znakapoznpodarou"/>
          <w:rFonts w:cs="Times New Roman"/>
        </w:rPr>
        <w:footnoteRef/>
      </w:r>
      <w:r w:rsidRPr="008F7C69">
        <w:rPr>
          <w:rFonts w:cs="Times New Roman"/>
        </w:rPr>
        <w:t xml:space="preserve"> C. 8, 4</w:t>
      </w:r>
      <w:r w:rsidRPr="00C32F7C">
        <w:rPr>
          <w:rFonts w:cs="Times New Roman"/>
        </w:rPr>
        <w:t xml:space="preserve">, 10. </w:t>
      </w:r>
      <w:r>
        <w:rPr>
          <w:rFonts w:cs="Times New Roman"/>
        </w:rPr>
        <w:t>Tamtéž.</w:t>
      </w:r>
    </w:p>
  </w:footnote>
  <w:footnote w:id="76">
    <w:p w:rsidR="004C272C" w:rsidRPr="008F7C69" w:rsidRDefault="004C272C" w:rsidP="006F6B21">
      <w:pPr>
        <w:pStyle w:val="Textpoznpodarou"/>
        <w:rPr>
          <w:rFonts w:cs="Times New Roman"/>
        </w:rPr>
      </w:pPr>
      <w:r w:rsidRPr="008F7C69">
        <w:rPr>
          <w:rStyle w:val="Znakapoznpodarou"/>
          <w:rFonts w:cs="Times New Roman"/>
        </w:rPr>
        <w:footnoteRef/>
      </w:r>
      <w:r w:rsidRPr="008F7C69">
        <w:rPr>
          <w:rFonts w:cs="Times New Roman"/>
        </w:rPr>
        <w:t xml:space="preserve"> C. 8, 4, 10. Tamtéž.</w:t>
      </w:r>
    </w:p>
  </w:footnote>
  <w:footnote w:id="77">
    <w:p w:rsidR="004C272C" w:rsidRPr="008F7C69" w:rsidRDefault="004C272C" w:rsidP="0018036A">
      <w:pPr>
        <w:pStyle w:val="Textpoznpodarou"/>
        <w:rPr>
          <w:rFonts w:cs="Times New Roman"/>
        </w:rPr>
      </w:pPr>
      <w:r w:rsidRPr="008F7C69">
        <w:rPr>
          <w:rStyle w:val="Znakapoznpodarou"/>
          <w:rFonts w:cs="Times New Roman"/>
        </w:rPr>
        <w:footnoteRef/>
      </w:r>
      <w:r w:rsidRPr="008F7C69">
        <w:rPr>
          <w:rFonts w:cs="Times New Roman"/>
        </w:rPr>
        <w:t xml:space="preserve"> C. 8, 4, 10. Tamtéž.</w:t>
      </w:r>
    </w:p>
  </w:footnote>
  <w:footnote w:id="78">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C. 8, 4, 10. 1. Tamtéž.</w:t>
      </w:r>
    </w:p>
  </w:footnote>
  <w:footnote w:id="79">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C. 8, 4, 10. 4. Tamtéž.</w:t>
      </w:r>
    </w:p>
  </w:footnote>
  <w:footnote w:id="80">
    <w:p w:rsidR="004C272C" w:rsidRPr="008F7C69" w:rsidRDefault="004C272C">
      <w:pPr>
        <w:pStyle w:val="Textpoznpodarou"/>
        <w:rPr>
          <w:rFonts w:cs="Times New Roman"/>
        </w:rPr>
      </w:pPr>
      <w:r w:rsidRPr="008F7C69">
        <w:rPr>
          <w:rStyle w:val="Znakapoznpodarou"/>
          <w:rFonts w:cs="Times New Roman"/>
        </w:rPr>
        <w:footnoteRef/>
      </w:r>
      <w:r>
        <w:rPr>
          <w:rFonts w:cs="Times New Roman"/>
        </w:rPr>
        <w:t xml:space="preserve"> BONFANTE:</w:t>
      </w:r>
      <w:r w:rsidRPr="008F7C69">
        <w:rPr>
          <w:rFonts w:cs="Times New Roman"/>
        </w:rPr>
        <w:t xml:space="preserve"> </w:t>
      </w:r>
      <w:r w:rsidRPr="008F7C69">
        <w:rPr>
          <w:rFonts w:cs="Times New Roman"/>
          <w:i/>
        </w:rPr>
        <w:t>Instituce římského</w:t>
      </w:r>
      <w:r>
        <w:rPr>
          <w:rFonts w:cs="Times New Roman"/>
          <w:i/>
        </w:rPr>
        <w:t xml:space="preserve">…, </w:t>
      </w:r>
      <w:r w:rsidRPr="008F7C69">
        <w:rPr>
          <w:rFonts w:cs="Times New Roman"/>
        </w:rPr>
        <w:t>s. 678.</w:t>
      </w:r>
    </w:p>
  </w:footnote>
  <w:footnote w:id="81">
    <w:p w:rsidR="004C272C" w:rsidRPr="008F7C69" w:rsidRDefault="004C272C">
      <w:pPr>
        <w:pStyle w:val="Textpoznpodarou"/>
        <w:rPr>
          <w:rFonts w:cs="Times New Roman"/>
        </w:rPr>
      </w:pPr>
      <w:r w:rsidRPr="00681706">
        <w:rPr>
          <w:rStyle w:val="Znakapoznpodarou"/>
          <w:rFonts w:cs="Times New Roman"/>
        </w:rPr>
        <w:footnoteRef/>
      </w:r>
      <w:r w:rsidRPr="00681706">
        <w:rPr>
          <w:rFonts w:cs="Times New Roman"/>
        </w:rPr>
        <w:t xml:space="preserve"> SOMMER: </w:t>
      </w:r>
      <w:r w:rsidRPr="00681706">
        <w:rPr>
          <w:rFonts w:cs="Times New Roman"/>
          <w:i/>
          <w:iCs/>
        </w:rPr>
        <w:t>Učebnice soukromého</w:t>
      </w:r>
      <w:r w:rsidRPr="00681706">
        <w:rPr>
          <w:rFonts w:cs="Times New Roman"/>
          <w:iCs/>
        </w:rPr>
        <w:t>…, s 309.</w:t>
      </w:r>
    </w:p>
  </w:footnote>
  <w:footnote w:id="82">
    <w:p w:rsidR="004C272C" w:rsidRPr="008F7C69" w:rsidRDefault="004C272C" w:rsidP="00B1678B">
      <w:pPr>
        <w:pStyle w:val="Textpoznpodarou"/>
        <w:rPr>
          <w:rFonts w:cs="Times New Roman"/>
        </w:rPr>
      </w:pPr>
      <w:r w:rsidRPr="008F7C69">
        <w:rPr>
          <w:rStyle w:val="Znakapoznpodarou"/>
          <w:rFonts w:cs="Times New Roman"/>
        </w:rPr>
        <w:footnoteRef/>
      </w:r>
      <w:r w:rsidRPr="008F7C69">
        <w:rPr>
          <w:rFonts w:cs="Times New Roman"/>
        </w:rPr>
        <w:t xml:space="preserve"> Tzv. úplná adopce (adoptio plena) je adopce učiněná některým ascendentem potomka. Jakákoli jiná adopce je adopce neúplná (adoptio minus plena). KINCL, URFUS, SKŘEJPEK: </w:t>
      </w:r>
      <w:r w:rsidRPr="008F7C69">
        <w:rPr>
          <w:rFonts w:cs="Times New Roman"/>
          <w:i/>
        </w:rPr>
        <w:t>Římské právo</w:t>
      </w:r>
      <w:r w:rsidRPr="008F7C69">
        <w:rPr>
          <w:rFonts w:cs="Times New Roman"/>
        </w:rPr>
        <w:t>..., s. 148.</w:t>
      </w:r>
    </w:p>
  </w:footnote>
  <w:footnote w:id="83">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HEYROVSKÝ: </w:t>
      </w:r>
      <w:r w:rsidRPr="008F7C69">
        <w:rPr>
          <w:rFonts w:cs="Times New Roman"/>
          <w:i/>
          <w:iCs/>
        </w:rPr>
        <w:t xml:space="preserve">Dějiny a systém…, </w:t>
      </w:r>
      <w:r w:rsidRPr="008F7C69">
        <w:rPr>
          <w:rFonts w:cs="Times New Roman"/>
        </w:rPr>
        <w:t>s. 1064.</w:t>
      </w:r>
    </w:p>
  </w:footnote>
  <w:footnote w:id="84">
    <w:p w:rsidR="004C272C" w:rsidRPr="008F7C69" w:rsidRDefault="004C272C">
      <w:pPr>
        <w:pStyle w:val="Textpoznpodarou"/>
        <w:rPr>
          <w:rFonts w:cs="Times New Roman"/>
        </w:rPr>
      </w:pPr>
      <w:r w:rsidRPr="008F7C69">
        <w:rPr>
          <w:rStyle w:val="Znakapoznpodarou"/>
          <w:rFonts w:cs="Times New Roman"/>
        </w:rPr>
        <w:footnoteRef/>
      </w:r>
      <w:r w:rsidR="00D90C8A">
        <w:rPr>
          <w:rFonts w:cs="Times New Roman"/>
        </w:rPr>
        <w:t xml:space="preserve"> Tamtéž</w:t>
      </w:r>
      <w:r w:rsidRPr="008F7C69">
        <w:rPr>
          <w:rFonts w:cs="Times New Roman"/>
        </w:rPr>
        <w:t>, s. 1065.</w:t>
      </w:r>
    </w:p>
  </w:footnote>
  <w:footnote w:id="85">
    <w:p w:rsidR="004C272C" w:rsidRPr="008674FC" w:rsidRDefault="004C272C">
      <w:pPr>
        <w:pStyle w:val="Textpoznpodarou"/>
        <w:rPr>
          <w:rFonts w:cs="Times New Roman"/>
        </w:rPr>
      </w:pPr>
      <w:r w:rsidRPr="008674FC">
        <w:rPr>
          <w:rStyle w:val="Znakapoznpodarou"/>
          <w:rFonts w:cs="Times New Roman"/>
        </w:rPr>
        <w:footnoteRef/>
      </w:r>
      <w:r w:rsidRPr="008674FC">
        <w:rPr>
          <w:rFonts w:cs="Times New Roman"/>
        </w:rPr>
        <w:t xml:space="preserve"> </w:t>
      </w:r>
      <w:r>
        <w:rPr>
          <w:rFonts w:cs="Times New Roman"/>
        </w:rPr>
        <w:t>BONFANTE:</w:t>
      </w:r>
      <w:r w:rsidRPr="008674FC">
        <w:rPr>
          <w:rFonts w:cs="Times New Roman"/>
        </w:rPr>
        <w:t xml:space="preserve"> </w:t>
      </w:r>
      <w:r w:rsidRPr="008674FC">
        <w:rPr>
          <w:rFonts w:cs="Times New Roman"/>
          <w:i/>
        </w:rPr>
        <w:t xml:space="preserve">Instituce </w:t>
      </w:r>
      <w:r w:rsidRPr="0033736A">
        <w:rPr>
          <w:rFonts w:cs="Times New Roman"/>
          <w:i/>
        </w:rPr>
        <w:t>římského</w:t>
      </w:r>
      <w:r>
        <w:rPr>
          <w:rFonts w:cs="Times New Roman"/>
        </w:rPr>
        <w:t xml:space="preserve">…, </w:t>
      </w:r>
      <w:r w:rsidRPr="0033736A">
        <w:rPr>
          <w:rFonts w:cs="Times New Roman"/>
        </w:rPr>
        <w:t>s. 680</w:t>
      </w:r>
      <w:r w:rsidRPr="0033736A">
        <w:rPr>
          <w:rFonts w:cs="Times New Roman"/>
          <w:iCs/>
        </w:rPr>
        <w:t>.</w:t>
      </w:r>
    </w:p>
  </w:footnote>
  <w:footnote w:id="86">
    <w:p w:rsidR="004C272C" w:rsidRPr="008674FC" w:rsidRDefault="004C272C">
      <w:pPr>
        <w:pStyle w:val="Textpoznpodarou"/>
      </w:pPr>
      <w:r w:rsidRPr="008674FC">
        <w:rPr>
          <w:rStyle w:val="Znakapoznpodarou"/>
        </w:rPr>
        <w:footnoteRef/>
      </w:r>
      <w:r w:rsidRPr="008674FC">
        <w:t xml:space="preserve"> </w:t>
      </w:r>
      <w:r w:rsidRPr="008674FC">
        <w:rPr>
          <w:rFonts w:cs="Times New Roman"/>
        </w:rPr>
        <w:t xml:space="preserve">SOMMER: </w:t>
      </w:r>
      <w:r w:rsidRPr="008674FC">
        <w:rPr>
          <w:rFonts w:cs="Times New Roman"/>
          <w:i/>
          <w:iCs/>
        </w:rPr>
        <w:t>Učebnice soukromého</w:t>
      </w:r>
      <w:r w:rsidRPr="008674FC">
        <w:rPr>
          <w:rFonts w:cs="Times New Roman"/>
          <w:iCs/>
        </w:rPr>
        <w:t>…, s. 304.</w:t>
      </w:r>
    </w:p>
  </w:footnote>
  <w:footnote w:id="87">
    <w:p w:rsidR="004C272C" w:rsidRDefault="004C272C">
      <w:pPr>
        <w:pStyle w:val="Textpoznpodarou"/>
      </w:pPr>
      <w:r w:rsidRPr="008674FC">
        <w:rPr>
          <w:rStyle w:val="Znakapoznpodarou"/>
        </w:rPr>
        <w:footnoteRef/>
      </w:r>
      <w:r w:rsidRPr="008674FC">
        <w:t xml:space="preserve"> </w:t>
      </w:r>
      <w:r w:rsidRPr="008674FC">
        <w:rPr>
          <w:rFonts w:cs="Times New Roman"/>
        </w:rPr>
        <w:t>HEYROVSKÝ: </w:t>
      </w:r>
      <w:r w:rsidRPr="008674FC">
        <w:rPr>
          <w:rFonts w:cs="Times New Roman"/>
          <w:i/>
          <w:iCs/>
        </w:rPr>
        <w:t xml:space="preserve">Dějiny a systém…, </w:t>
      </w:r>
      <w:r w:rsidRPr="008674FC">
        <w:rPr>
          <w:rFonts w:cs="Times New Roman"/>
        </w:rPr>
        <w:t>s. 1115.</w:t>
      </w:r>
    </w:p>
  </w:footnote>
  <w:footnote w:id="88">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Pr>
          <w:rFonts w:cs="Times New Roman"/>
        </w:rPr>
        <w:t>Tamtéž,</w:t>
      </w:r>
      <w:r w:rsidRPr="008F7C69">
        <w:rPr>
          <w:rFonts w:cs="Times New Roman"/>
          <w:i/>
          <w:iCs/>
        </w:rPr>
        <w:t xml:space="preserve"> </w:t>
      </w:r>
      <w:r w:rsidRPr="008F7C69">
        <w:rPr>
          <w:rFonts w:cs="Times New Roman"/>
        </w:rPr>
        <w:t>s. 1067.</w:t>
      </w:r>
    </w:p>
  </w:footnote>
  <w:footnote w:id="89">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Just. Inst. 2, 18. BLAHO, SKŘEJPEK: </w:t>
      </w:r>
      <w:r w:rsidRPr="008F7C69">
        <w:rPr>
          <w:rFonts w:cs="Times New Roman"/>
          <w:i/>
        </w:rPr>
        <w:t>Iustiniani Institutiones</w:t>
      </w:r>
      <w:r w:rsidRPr="008F7C69">
        <w:rPr>
          <w:rFonts w:cs="Times New Roman"/>
        </w:rPr>
        <w:t>…, s. 165.</w:t>
      </w:r>
    </w:p>
  </w:footnote>
  <w:footnote w:id="90">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Jus</w:t>
      </w:r>
      <w:r w:rsidR="00D90C8A">
        <w:rPr>
          <w:rFonts w:cs="Times New Roman"/>
        </w:rPr>
        <w:t xml:space="preserve">t. Inst. 2. 18. 1. Tamtéž, </w:t>
      </w:r>
      <w:r w:rsidRPr="008F7C69">
        <w:rPr>
          <w:rFonts w:cs="Times New Roman"/>
        </w:rPr>
        <w:t>s. 165.</w:t>
      </w:r>
    </w:p>
  </w:footnote>
  <w:footnote w:id="91">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J</w:t>
      </w:r>
      <w:r w:rsidR="00D90C8A">
        <w:rPr>
          <w:rFonts w:cs="Times New Roman"/>
        </w:rPr>
        <w:t xml:space="preserve">ust. Inst. 2. 18. 3. Tamtéž, </w:t>
      </w:r>
      <w:r w:rsidRPr="008F7C69">
        <w:rPr>
          <w:rFonts w:cs="Times New Roman"/>
        </w:rPr>
        <w:t>s. 167.</w:t>
      </w:r>
    </w:p>
  </w:footnote>
  <w:footnote w:id="92">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HEYROVSKÝ: </w:t>
      </w:r>
      <w:r w:rsidRPr="008F7C69">
        <w:rPr>
          <w:rFonts w:cs="Times New Roman"/>
          <w:i/>
          <w:iCs/>
        </w:rPr>
        <w:t xml:space="preserve">Dějiny a systém…, </w:t>
      </w:r>
      <w:r w:rsidRPr="008F7C69">
        <w:rPr>
          <w:rFonts w:cs="Times New Roman"/>
        </w:rPr>
        <w:t>s. 1071.</w:t>
      </w:r>
    </w:p>
  </w:footnote>
  <w:footnote w:id="93">
    <w:p w:rsidR="004C272C" w:rsidRPr="008F7C69" w:rsidRDefault="004C272C" w:rsidP="00B733D2">
      <w:pPr>
        <w:pStyle w:val="Textpoznpodarou"/>
        <w:rPr>
          <w:rFonts w:cs="Times New Roman"/>
        </w:rPr>
      </w:pPr>
      <w:r w:rsidRPr="008F7C69">
        <w:rPr>
          <w:rStyle w:val="Znakapoznpodarou"/>
          <w:rFonts w:cs="Times New Roman"/>
        </w:rPr>
        <w:footnoteRef/>
      </w:r>
      <w:r>
        <w:rPr>
          <w:rFonts w:cs="Times New Roman"/>
        </w:rPr>
        <w:t xml:space="preserve"> </w:t>
      </w:r>
      <w:r w:rsidRPr="008F7C69">
        <w:rPr>
          <w:rFonts w:cs="Times New Roman"/>
        </w:rPr>
        <w:t xml:space="preserve">Nov. 115, cap. 3. SCOTT P., Samuel. </w:t>
      </w:r>
      <w:r w:rsidRPr="008F7C69">
        <w:rPr>
          <w:rFonts w:cs="Times New Roman"/>
          <w:i/>
        </w:rPr>
        <w:t>The Enactments of Justinian. The novels. CXV.</w:t>
      </w:r>
      <w:r>
        <w:rPr>
          <w:rFonts w:cs="Times New Roman"/>
          <w:i/>
        </w:rPr>
        <w:t xml:space="preserve"> </w:t>
      </w:r>
      <w:r w:rsidRPr="008F7C69">
        <w:rPr>
          <w:rFonts w:cs="Times New Roman"/>
        </w:rPr>
        <w:t>[online]. droitromain.upmf-grenoble.fr, according to the translation published 1932 in Cincinnati [cit. 27. února 2016]. Dostupné na &lt;http://droitromain.upmf-grenoble.fr/Anglica/N115_Scott.htm&gt;.</w:t>
      </w:r>
    </w:p>
  </w:footnote>
  <w:footnote w:id="94">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HEYROVSKÝ: </w:t>
      </w:r>
      <w:r w:rsidRPr="008F7C69">
        <w:rPr>
          <w:rFonts w:cs="Times New Roman"/>
          <w:i/>
          <w:iCs/>
        </w:rPr>
        <w:t xml:space="preserve">Dějiny a systém…, </w:t>
      </w:r>
      <w:r w:rsidRPr="008F7C69">
        <w:rPr>
          <w:rFonts w:cs="Times New Roman"/>
        </w:rPr>
        <w:t>s. 1074.</w:t>
      </w:r>
    </w:p>
  </w:footnote>
  <w:footnote w:id="95">
    <w:p w:rsidR="004C272C" w:rsidRPr="008F7C69" w:rsidRDefault="004C272C" w:rsidP="0020285B">
      <w:pPr>
        <w:pStyle w:val="Textpoznpodarou"/>
        <w:rPr>
          <w:rFonts w:cs="Times New Roman"/>
        </w:rPr>
      </w:pPr>
      <w:r w:rsidRPr="008F7C69">
        <w:rPr>
          <w:rStyle w:val="Znakapoznpodarou"/>
          <w:rFonts w:cs="Times New Roman"/>
        </w:rPr>
        <w:footnoteRef/>
      </w:r>
      <w:r w:rsidRPr="008F7C69">
        <w:rPr>
          <w:rFonts w:cs="Times New Roman"/>
        </w:rPr>
        <w:t xml:space="preserve"> Nov. 115, cap. 3. SCOTT P., Samuel. </w:t>
      </w:r>
      <w:r w:rsidRPr="008F7C69">
        <w:rPr>
          <w:rFonts w:cs="Times New Roman"/>
          <w:i/>
        </w:rPr>
        <w:t>The Enactments of Justinian. The novels. CXV.</w:t>
      </w:r>
      <w:r>
        <w:rPr>
          <w:rFonts w:cs="Times New Roman"/>
          <w:i/>
        </w:rPr>
        <w:t xml:space="preserve"> </w:t>
      </w:r>
      <w:r w:rsidRPr="008F7C69">
        <w:rPr>
          <w:rFonts w:cs="Times New Roman"/>
        </w:rPr>
        <w:t>[online]. droitromain.upmf-grenoble.fr, according to the translation published 1932 in Cincinnati [cit. 27. února 2016]. Dostupné na &lt;http://droitromain.upmf-grenoble.fr/Anglica/N115_Scott.htm&gt;.</w:t>
      </w:r>
    </w:p>
  </w:footnote>
  <w:footnote w:id="96">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Nov. 115, cap. 4. Tamtéž.</w:t>
      </w:r>
    </w:p>
  </w:footnote>
  <w:footnote w:id="97">
    <w:p w:rsidR="004C272C" w:rsidRPr="008F7C69" w:rsidRDefault="004C272C" w:rsidP="00AB7DBC">
      <w:pPr>
        <w:spacing w:line="240" w:lineRule="auto"/>
        <w:contextualSpacing/>
        <w:rPr>
          <w:rFonts w:cs="Times New Roman"/>
          <w:sz w:val="20"/>
          <w:szCs w:val="20"/>
        </w:rPr>
      </w:pPr>
      <w:r w:rsidRPr="008F7C69">
        <w:rPr>
          <w:rStyle w:val="Znakapoznpodarou"/>
          <w:rFonts w:cs="Times New Roman"/>
        </w:rPr>
        <w:footnoteRef/>
      </w:r>
      <w:r w:rsidRPr="008F7C69">
        <w:rPr>
          <w:rFonts w:cs="Times New Roman"/>
        </w:rPr>
        <w:t xml:space="preserve"> </w:t>
      </w:r>
      <w:r w:rsidRPr="008F7C69">
        <w:rPr>
          <w:rFonts w:cs="Times New Roman"/>
          <w:sz w:val="20"/>
          <w:szCs w:val="20"/>
        </w:rPr>
        <w:t xml:space="preserve">SCHELLE, Karel, TAUCHEN, Jaromír. </w:t>
      </w:r>
      <w:r w:rsidRPr="008F7C69">
        <w:rPr>
          <w:rFonts w:cs="Times New Roman"/>
          <w:i/>
          <w:sz w:val="20"/>
          <w:szCs w:val="20"/>
        </w:rPr>
        <w:t>Občanské zákoníky: kompletní sbírka občanských zákoníků, důvodových zpráv a dobových komentářů</w:t>
      </w:r>
      <w:r w:rsidRPr="008F7C69">
        <w:rPr>
          <w:rFonts w:cs="Times New Roman"/>
          <w:sz w:val="20"/>
          <w:szCs w:val="20"/>
        </w:rPr>
        <w:t>. Vyd. 1. Ostrava: Key Publishing, 2012, s. 8 – 16.</w:t>
      </w:r>
    </w:p>
  </w:footnote>
  <w:footnote w:id="98">
    <w:p w:rsidR="004C272C" w:rsidRPr="008F7C69" w:rsidRDefault="004C272C" w:rsidP="00D534EF">
      <w:pPr>
        <w:pStyle w:val="Textpoznpodarou"/>
        <w:contextualSpacing/>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iCs/>
        </w:rPr>
        <w:t xml:space="preserve">ROUČEK, František, SEDLÁČEK, Jaromír. </w:t>
      </w:r>
      <w:r w:rsidRPr="008F7C69">
        <w:rPr>
          <w:rFonts w:cs="Times New Roman"/>
          <w:i/>
          <w:iCs/>
        </w:rPr>
        <w:t>Komentář k československému obecnému zákoníku občanskému a občanské právo platné na Slovensku a v Podkarpatské Rusi. Díl 1, (§§ 1 až 284)</w:t>
      </w:r>
      <w:r w:rsidRPr="008F7C69">
        <w:rPr>
          <w:rFonts w:cs="Times New Roman"/>
        </w:rPr>
        <w:t>. Praha: V. Linhart, 1935, s. 28.</w:t>
      </w:r>
    </w:p>
  </w:footnote>
  <w:footnote w:id="99">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KADLECOVÁ, Marta, a kol. </w:t>
      </w:r>
      <w:r w:rsidRPr="008F7C69">
        <w:rPr>
          <w:rFonts w:cs="Times New Roman"/>
          <w:i/>
          <w:iCs/>
        </w:rPr>
        <w:t>Dějiny českého soukromého práva</w:t>
      </w:r>
      <w:r w:rsidRPr="008F7C69">
        <w:rPr>
          <w:rFonts w:cs="Times New Roman"/>
        </w:rPr>
        <w:t>. Plzeň: Aleš Čeněk, 2007, s. 106</w:t>
      </w:r>
    </w:p>
  </w:footnote>
  <w:footnote w:id="100">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Nedíl byl majetkoprávní rodinné společenství pokrevně příbuzných osob, kde rodinný majetek tvořil bezpodílové spoluvlastnictví všech členů nedílu. KADLECOVÁ: </w:t>
      </w:r>
      <w:r w:rsidRPr="008F7C69">
        <w:rPr>
          <w:rFonts w:cs="Times New Roman"/>
          <w:i/>
          <w:iCs/>
        </w:rPr>
        <w:t>Dějiny českého …</w:t>
      </w:r>
      <w:r w:rsidRPr="008F7C69">
        <w:rPr>
          <w:rFonts w:cs="Times New Roman"/>
        </w:rPr>
        <w:t>, s. 88.</w:t>
      </w:r>
    </w:p>
  </w:footnote>
  <w:footnote w:id="101">
    <w:p w:rsidR="004C272C" w:rsidRPr="008F7C69" w:rsidRDefault="004C272C" w:rsidP="00D534EF">
      <w:pPr>
        <w:pStyle w:val="Textpoznpodarou"/>
        <w:contextualSpacing/>
        <w:rPr>
          <w:rFonts w:cs="Times New Roman"/>
        </w:rPr>
      </w:pPr>
      <w:r w:rsidRPr="008F7C69">
        <w:rPr>
          <w:rStyle w:val="Znakapoznpodarou"/>
          <w:rFonts w:cs="Times New Roman"/>
        </w:rPr>
        <w:footnoteRef/>
      </w:r>
      <w:r w:rsidRPr="008F7C69">
        <w:rPr>
          <w:rFonts w:cs="Times New Roman"/>
        </w:rPr>
        <w:t xml:space="preserve"> KADLECOVÁ: </w:t>
      </w:r>
      <w:r w:rsidRPr="008F7C69">
        <w:rPr>
          <w:rFonts w:cs="Times New Roman"/>
          <w:i/>
          <w:iCs/>
        </w:rPr>
        <w:t>Dějiny českého …</w:t>
      </w:r>
      <w:r w:rsidRPr="008F7C69">
        <w:rPr>
          <w:rFonts w:cs="Times New Roman"/>
        </w:rPr>
        <w:t>, s. 87.</w:t>
      </w:r>
    </w:p>
  </w:footnote>
  <w:footnote w:id="102">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iCs/>
        </w:rPr>
        <w:t xml:space="preserve">ROUČEK, František, SEDLÁČEK, Jaromír. </w:t>
      </w:r>
      <w:r w:rsidRPr="008F7C69">
        <w:rPr>
          <w:rFonts w:cs="Times New Roman"/>
          <w:i/>
          <w:iCs/>
        </w:rPr>
        <w:t>Komentář k československému obecnému zákoníku občanskému a občanské právo platné na Slovensku a v Podkarpatské Rusi. Díl 3, (§§ 531 až 858)</w:t>
      </w:r>
      <w:r w:rsidRPr="008F7C69">
        <w:rPr>
          <w:rFonts w:cs="Times New Roman"/>
        </w:rPr>
        <w:t>. Praha: V. Linhart, 1936, s. 428 – 429.</w:t>
      </w:r>
    </w:p>
  </w:footnote>
  <w:footnote w:id="103">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MAYR, Robert von. </w:t>
      </w:r>
      <w:r w:rsidRPr="008F7C69">
        <w:rPr>
          <w:rFonts w:cs="Times New Roman"/>
          <w:i/>
        </w:rPr>
        <w:t>Soustava občanského práva. Kniha pátá, Právo dědické.</w:t>
      </w:r>
      <w:r w:rsidRPr="008F7C69">
        <w:rPr>
          <w:rFonts w:cs="Times New Roman"/>
        </w:rPr>
        <w:t xml:space="preserve"> Brno: Barvič a Novotný, 1928, s. 126.</w:t>
      </w:r>
    </w:p>
  </w:footnote>
  <w:footnote w:id="104">
    <w:p w:rsidR="004C272C" w:rsidRPr="008F7C69" w:rsidRDefault="004C272C">
      <w:pPr>
        <w:pStyle w:val="Textpoznpodarou"/>
        <w:rPr>
          <w:rFonts w:cs="Times New Roman"/>
          <w:i/>
        </w:rPr>
      </w:pPr>
      <w:r w:rsidRPr="008F7C69">
        <w:rPr>
          <w:rStyle w:val="Znakapoznpodarou"/>
          <w:rFonts w:cs="Times New Roman"/>
        </w:rPr>
        <w:footnoteRef/>
      </w:r>
      <w:r w:rsidRPr="008F7C69">
        <w:rPr>
          <w:rFonts w:cs="Times New Roman"/>
        </w:rPr>
        <w:t xml:space="preserve"> </w:t>
      </w:r>
      <w:r w:rsidRPr="008F7C69">
        <w:rPr>
          <w:rFonts w:cs="Times New Roman"/>
          <w:iCs/>
        </w:rPr>
        <w:t xml:space="preserve">ROUČEK, SEDLÁČEK: </w:t>
      </w:r>
      <w:r w:rsidRPr="008F7C69">
        <w:rPr>
          <w:rFonts w:cs="Times New Roman"/>
          <w:i/>
          <w:iCs/>
        </w:rPr>
        <w:t>Komentář… Díl 3</w:t>
      </w:r>
      <w:r w:rsidRPr="008F7C69">
        <w:rPr>
          <w:rFonts w:cs="Times New Roman"/>
          <w:iCs/>
        </w:rPr>
        <w:t>…, s. 438</w:t>
      </w:r>
      <w:r w:rsidRPr="008F7C69">
        <w:rPr>
          <w:rFonts w:cs="Times New Roman"/>
          <w:i/>
          <w:iCs/>
        </w:rPr>
        <w:t>.</w:t>
      </w:r>
    </w:p>
  </w:footnote>
  <w:footnote w:id="105">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MAYR, Robert von. </w:t>
      </w:r>
      <w:r w:rsidRPr="008F7C69">
        <w:rPr>
          <w:rFonts w:cs="Times New Roman"/>
          <w:i/>
        </w:rPr>
        <w:t xml:space="preserve">Soustava občanského práva…., </w:t>
      </w:r>
      <w:r w:rsidRPr="008F7C69">
        <w:rPr>
          <w:rFonts w:cs="Times New Roman"/>
        </w:rPr>
        <w:t>s. 135.</w:t>
      </w:r>
    </w:p>
  </w:footnote>
  <w:footnote w:id="106">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iCs/>
        </w:rPr>
        <w:t xml:space="preserve">ROUČEK, SEDLÁČEK: </w:t>
      </w:r>
      <w:r w:rsidRPr="008F7C69">
        <w:rPr>
          <w:rFonts w:cs="Times New Roman"/>
          <w:i/>
          <w:iCs/>
        </w:rPr>
        <w:t>Komentář… Díl 3</w:t>
      </w:r>
      <w:r w:rsidRPr="008F7C69">
        <w:rPr>
          <w:rFonts w:cs="Times New Roman"/>
          <w:iCs/>
        </w:rPr>
        <w:t>…, s. 484.</w:t>
      </w:r>
    </w:p>
  </w:footnote>
  <w:footnote w:id="107">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KRČMÁŘ, Jan. </w:t>
      </w:r>
      <w:r w:rsidRPr="008F7C69">
        <w:rPr>
          <w:rFonts w:cs="Times New Roman"/>
          <w:i/>
        </w:rPr>
        <w:t>Právo občanské. [Díl] 5, Právo dědické.</w:t>
      </w:r>
      <w:r w:rsidRPr="008F7C69">
        <w:rPr>
          <w:rFonts w:cs="Times New Roman"/>
        </w:rPr>
        <w:t xml:space="preserve"> 2. dopl. vyd. Praha: VŠEHRD, 1933, s. 124.</w:t>
      </w:r>
    </w:p>
  </w:footnote>
  <w:footnote w:id="108">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Rozhodnutí Nejvyššího soudu, Gl. U. 4707, citováno dle </w:t>
      </w:r>
      <w:r w:rsidRPr="008F7C69">
        <w:rPr>
          <w:rFonts w:cs="Times New Roman"/>
          <w:iCs/>
        </w:rPr>
        <w:t xml:space="preserve">ROUČEK, SEDLÁČEK: </w:t>
      </w:r>
      <w:r w:rsidRPr="008F7C69">
        <w:rPr>
          <w:rFonts w:cs="Times New Roman"/>
          <w:i/>
          <w:iCs/>
        </w:rPr>
        <w:t>Komentář… Díl 3</w:t>
      </w:r>
      <w:r w:rsidRPr="008F7C69">
        <w:rPr>
          <w:rFonts w:cs="Times New Roman"/>
          <w:iCs/>
        </w:rPr>
        <w:t>…, s. 438.</w:t>
      </w:r>
    </w:p>
  </w:footnote>
  <w:footnote w:id="109">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SCHELLE, TAUCHEN: </w:t>
      </w:r>
      <w:r w:rsidRPr="008F7C69">
        <w:rPr>
          <w:rFonts w:cs="Times New Roman"/>
          <w:i/>
        </w:rPr>
        <w:t>Občanské zákoníky…</w:t>
      </w:r>
      <w:r w:rsidRPr="008F7C69">
        <w:rPr>
          <w:rFonts w:cs="Times New Roman"/>
        </w:rPr>
        <w:t>, s. 271.</w:t>
      </w:r>
    </w:p>
  </w:footnote>
  <w:footnote w:id="110">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iCs/>
        </w:rPr>
        <w:t xml:space="preserve">ROUČEK, SEDLÁČEK: </w:t>
      </w:r>
      <w:r w:rsidRPr="008F7C69">
        <w:rPr>
          <w:rFonts w:cs="Times New Roman"/>
          <w:i/>
          <w:iCs/>
        </w:rPr>
        <w:t>Komentář… Díl 3</w:t>
      </w:r>
      <w:r>
        <w:rPr>
          <w:rFonts w:cs="Times New Roman"/>
          <w:iCs/>
        </w:rPr>
        <w:t>…, s. 442.</w:t>
      </w:r>
    </w:p>
  </w:footnote>
  <w:footnote w:id="111">
    <w:p w:rsidR="004C272C" w:rsidRPr="008F7C69" w:rsidRDefault="004C272C" w:rsidP="00894A19">
      <w:pPr>
        <w:pStyle w:val="Textpoznpodarou"/>
        <w:rPr>
          <w:rFonts w:cs="Times New Roman"/>
        </w:rPr>
      </w:pPr>
      <w:r w:rsidRPr="008F7C69">
        <w:rPr>
          <w:rStyle w:val="Znakapoznpodarou"/>
          <w:rFonts w:cs="Times New Roman"/>
        </w:rPr>
        <w:footnoteRef/>
      </w:r>
      <w:r w:rsidRPr="008F7C69">
        <w:rPr>
          <w:rFonts w:cs="Times New Roman"/>
        </w:rPr>
        <w:t xml:space="preserve"> KRČMÁŘ: </w:t>
      </w:r>
      <w:r w:rsidRPr="008F7C69">
        <w:rPr>
          <w:rFonts w:cs="Times New Roman"/>
          <w:i/>
        </w:rPr>
        <w:t xml:space="preserve">Právo občanské…, </w:t>
      </w:r>
      <w:r w:rsidRPr="008F7C69">
        <w:rPr>
          <w:rFonts w:cs="Times New Roman"/>
        </w:rPr>
        <w:t>s. 122.</w:t>
      </w:r>
    </w:p>
  </w:footnote>
  <w:footnote w:id="112">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Rozhodnutí Nejvyššího soudu Gl. U. N. F. 2241, citováno dle </w:t>
      </w:r>
      <w:r w:rsidRPr="008F7C69">
        <w:rPr>
          <w:rFonts w:cs="Times New Roman"/>
          <w:iCs/>
        </w:rPr>
        <w:t xml:space="preserve">ROUČEK, SEDLÁČEK: </w:t>
      </w:r>
      <w:r w:rsidRPr="008F7C69">
        <w:rPr>
          <w:rFonts w:cs="Times New Roman"/>
          <w:i/>
          <w:iCs/>
        </w:rPr>
        <w:t>Komentář… Díl 3</w:t>
      </w:r>
      <w:r w:rsidRPr="008F7C69">
        <w:rPr>
          <w:rFonts w:cs="Times New Roman"/>
          <w:iCs/>
        </w:rPr>
        <w:t>…, s. 435.</w:t>
      </w:r>
    </w:p>
  </w:footnote>
  <w:footnote w:id="113">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Rozhodnutí Nejvyššího soudu Gl. U. n.ř. 2241, citováno dle </w:t>
      </w:r>
      <w:r w:rsidRPr="008F7C69">
        <w:rPr>
          <w:rFonts w:cs="Times New Roman"/>
          <w:iCs/>
        </w:rPr>
        <w:t xml:space="preserve">ROUČEK, SEDLÁČEK: </w:t>
      </w:r>
      <w:r w:rsidRPr="008F7C69">
        <w:rPr>
          <w:rFonts w:cs="Times New Roman"/>
          <w:i/>
          <w:iCs/>
        </w:rPr>
        <w:t>Komentář… Díl 3</w:t>
      </w:r>
      <w:r w:rsidRPr="008F7C69">
        <w:rPr>
          <w:rFonts w:cs="Times New Roman"/>
          <w:iCs/>
        </w:rPr>
        <w:t>…, s. 440.</w:t>
      </w:r>
    </w:p>
  </w:footnote>
  <w:footnote w:id="114">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Zákon č. 946/1811 Sb., obecný zákoník občanský, ve znění pozdějších předpisů.</w:t>
      </w:r>
    </w:p>
  </w:footnote>
  <w:footnote w:id="115">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iCs/>
        </w:rPr>
        <w:t xml:space="preserve">ROUČEK, SEDLÁČEK: </w:t>
      </w:r>
      <w:r w:rsidRPr="008F7C69">
        <w:rPr>
          <w:rFonts w:cs="Times New Roman"/>
          <w:i/>
          <w:iCs/>
        </w:rPr>
        <w:t>Komentář… Díl 3</w:t>
      </w:r>
      <w:r w:rsidRPr="008F7C69">
        <w:rPr>
          <w:rFonts w:cs="Times New Roman"/>
          <w:iCs/>
        </w:rPr>
        <w:t>…, s. 443.</w:t>
      </w:r>
    </w:p>
  </w:footnote>
  <w:footnote w:id="116">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KRČMÁŘ: </w:t>
      </w:r>
      <w:r w:rsidRPr="008F7C69">
        <w:rPr>
          <w:rFonts w:cs="Times New Roman"/>
          <w:i/>
        </w:rPr>
        <w:t xml:space="preserve">Právo občanské…, </w:t>
      </w:r>
      <w:r w:rsidRPr="008F7C69">
        <w:rPr>
          <w:rFonts w:cs="Times New Roman"/>
        </w:rPr>
        <w:t>s. 123.</w:t>
      </w:r>
    </w:p>
  </w:footnote>
  <w:footnote w:id="117">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Rozhodnutí Nejvyššího soudu Gl. U. 12. 990. Now. III., 119, citováno dle </w:t>
      </w:r>
      <w:r w:rsidRPr="008F7C69">
        <w:rPr>
          <w:rFonts w:cs="Times New Roman"/>
          <w:iCs/>
        </w:rPr>
        <w:t xml:space="preserve">ROUČEK, SEDLÁČEK: </w:t>
      </w:r>
      <w:r w:rsidRPr="008F7C69">
        <w:rPr>
          <w:rFonts w:cs="Times New Roman"/>
          <w:i/>
          <w:iCs/>
        </w:rPr>
        <w:t>Komentář… Díl 3</w:t>
      </w:r>
      <w:r w:rsidRPr="008F7C69">
        <w:rPr>
          <w:rFonts w:cs="Times New Roman"/>
          <w:iCs/>
        </w:rPr>
        <w:t>…, s. 443.</w:t>
      </w:r>
    </w:p>
  </w:footnote>
  <w:footnote w:id="118">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iCs/>
        </w:rPr>
        <w:t xml:space="preserve">ROUČEK, SEDLÁČEK: </w:t>
      </w:r>
      <w:r w:rsidRPr="008F7C69">
        <w:rPr>
          <w:rFonts w:cs="Times New Roman"/>
          <w:i/>
          <w:iCs/>
        </w:rPr>
        <w:t>Komentář… Díl 3</w:t>
      </w:r>
      <w:r w:rsidRPr="008F7C69">
        <w:rPr>
          <w:rFonts w:cs="Times New Roman"/>
          <w:iCs/>
        </w:rPr>
        <w:t>…, s. 440.</w:t>
      </w:r>
    </w:p>
  </w:footnote>
  <w:footnote w:id="119">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Rozhodnutí Nejvyššího soudu NZ. 1917, str. 333, RS. 1789, citováno dle </w:t>
      </w:r>
      <w:r w:rsidRPr="008F7C69">
        <w:rPr>
          <w:rFonts w:cs="Times New Roman"/>
          <w:iCs/>
        </w:rPr>
        <w:t xml:space="preserve">ROUČEK, SEDLÁČEK: </w:t>
      </w:r>
      <w:r w:rsidRPr="008F7C69">
        <w:rPr>
          <w:rFonts w:cs="Times New Roman"/>
          <w:i/>
          <w:iCs/>
        </w:rPr>
        <w:t>Komentář… Díl 3</w:t>
      </w:r>
      <w:r w:rsidRPr="008F7C69">
        <w:rPr>
          <w:rFonts w:cs="Times New Roman"/>
          <w:iCs/>
        </w:rPr>
        <w:t>…, s. 431.</w:t>
      </w:r>
    </w:p>
  </w:footnote>
  <w:footnote w:id="120">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Rozhodnutí Nejvyššího soudu Gl. U. 13.770, citováno dle </w:t>
      </w:r>
      <w:r w:rsidRPr="008F7C69">
        <w:rPr>
          <w:rFonts w:cs="Times New Roman"/>
          <w:iCs/>
        </w:rPr>
        <w:t xml:space="preserve">ROUČEK, SEDLÁČEK: </w:t>
      </w:r>
      <w:r w:rsidRPr="008F7C69">
        <w:rPr>
          <w:rFonts w:cs="Times New Roman"/>
          <w:i/>
          <w:iCs/>
        </w:rPr>
        <w:t>Komentář… Díl 3</w:t>
      </w:r>
      <w:r w:rsidRPr="008F7C69">
        <w:rPr>
          <w:rFonts w:cs="Times New Roman"/>
          <w:iCs/>
        </w:rPr>
        <w:t>…, s. 433.</w:t>
      </w:r>
    </w:p>
  </w:footnote>
  <w:footnote w:id="121">
    <w:p w:rsidR="004C272C" w:rsidRPr="008F7C69" w:rsidRDefault="004C272C" w:rsidP="00EA27A2">
      <w:pPr>
        <w:pStyle w:val="Textpoznpodarou"/>
        <w:rPr>
          <w:rFonts w:cs="Times New Roman"/>
        </w:rPr>
      </w:pPr>
      <w:r w:rsidRPr="008F7C69">
        <w:rPr>
          <w:rStyle w:val="Znakapoznpodarou"/>
          <w:rFonts w:cs="Times New Roman"/>
        </w:rPr>
        <w:footnoteRef/>
      </w:r>
      <w:r w:rsidRPr="008F7C69">
        <w:rPr>
          <w:rFonts w:cs="Times New Roman"/>
        </w:rPr>
        <w:t xml:space="preserve"> SEŠINA, Martin. Diskuse o návrhu nového občanského zákoníku IV. </w:t>
      </w:r>
      <w:r w:rsidRPr="008F7C69">
        <w:rPr>
          <w:rFonts w:cs="Times New Roman"/>
          <w:i/>
        </w:rPr>
        <w:t xml:space="preserve">Ad Notam, </w:t>
      </w:r>
      <w:r w:rsidRPr="008F7C69">
        <w:rPr>
          <w:rFonts w:cs="Times New Roman"/>
        </w:rPr>
        <w:t>2006,</w:t>
      </w:r>
      <w:r w:rsidRPr="008F7C69">
        <w:rPr>
          <w:rFonts w:cs="Times New Roman"/>
          <w:i/>
        </w:rPr>
        <w:t xml:space="preserve"> </w:t>
      </w:r>
      <w:r w:rsidRPr="008F7C69">
        <w:rPr>
          <w:rFonts w:cs="Times New Roman"/>
        </w:rPr>
        <w:t>roč. 12, č.1, s. 12.</w:t>
      </w:r>
    </w:p>
  </w:footnote>
  <w:footnote w:id="122">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MAYR: </w:t>
      </w:r>
      <w:r w:rsidRPr="008F7C69">
        <w:rPr>
          <w:rFonts w:cs="Times New Roman"/>
          <w:i/>
        </w:rPr>
        <w:t xml:space="preserve">Soustava občanského práva…., </w:t>
      </w:r>
      <w:r w:rsidRPr="008F7C69">
        <w:rPr>
          <w:rFonts w:cs="Times New Roman"/>
        </w:rPr>
        <w:t>s. 129.</w:t>
      </w:r>
    </w:p>
  </w:footnote>
  <w:footnote w:id="123">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KRČMÁŘ: </w:t>
      </w:r>
      <w:r w:rsidRPr="008F7C69">
        <w:rPr>
          <w:rFonts w:cs="Times New Roman"/>
          <w:i/>
        </w:rPr>
        <w:t xml:space="preserve">Právo občanské…, </w:t>
      </w:r>
      <w:r w:rsidRPr="008F7C69">
        <w:rPr>
          <w:rFonts w:cs="Times New Roman"/>
        </w:rPr>
        <w:t>s. 125 – 126.</w:t>
      </w:r>
    </w:p>
  </w:footnote>
  <w:footnote w:id="124">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iCs/>
        </w:rPr>
        <w:t xml:space="preserve">ROUČEK, SEDLÁČEK: </w:t>
      </w:r>
      <w:r w:rsidRPr="008F7C69">
        <w:rPr>
          <w:rFonts w:cs="Times New Roman"/>
          <w:i/>
          <w:iCs/>
        </w:rPr>
        <w:t>Komentář… Díl 3</w:t>
      </w:r>
      <w:r w:rsidRPr="008F7C69">
        <w:rPr>
          <w:rFonts w:cs="Times New Roman"/>
          <w:iCs/>
        </w:rPr>
        <w:t>…, s. 430.</w:t>
      </w:r>
    </w:p>
  </w:footnote>
  <w:footnote w:id="125">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iCs/>
        </w:rPr>
        <w:t xml:space="preserve">ROUČEK, SEDLÁČEK: </w:t>
      </w:r>
      <w:r w:rsidRPr="008F7C69">
        <w:rPr>
          <w:rFonts w:cs="Times New Roman"/>
          <w:i/>
          <w:iCs/>
        </w:rPr>
        <w:t>Komentář… Díl 3</w:t>
      </w:r>
      <w:r w:rsidRPr="008F7C69">
        <w:rPr>
          <w:rFonts w:cs="Times New Roman"/>
          <w:iCs/>
        </w:rPr>
        <w:t>…, s. 449.</w:t>
      </w:r>
    </w:p>
  </w:footnote>
  <w:footnote w:id="126">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Rozhodnutí Nejvyššího soudu Gl. U. N. F. 2931, citováno dle </w:t>
      </w:r>
      <w:r w:rsidRPr="008F7C69">
        <w:rPr>
          <w:rFonts w:cs="Times New Roman"/>
          <w:iCs/>
        </w:rPr>
        <w:t xml:space="preserve">ROUČEK, SEDLÁČEK: </w:t>
      </w:r>
      <w:r w:rsidRPr="008F7C69">
        <w:rPr>
          <w:rFonts w:cs="Times New Roman"/>
          <w:i/>
          <w:iCs/>
        </w:rPr>
        <w:t>Komentář… Díl 3</w:t>
      </w:r>
      <w:r w:rsidRPr="008F7C69">
        <w:rPr>
          <w:rFonts w:cs="Times New Roman"/>
          <w:iCs/>
        </w:rPr>
        <w:t>…, s. 449.</w:t>
      </w:r>
    </w:p>
  </w:footnote>
  <w:footnote w:id="127">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iCs/>
        </w:rPr>
        <w:t xml:space="preserve">ROUČEK, SEDLÁČEK: </w:t>
      </w:r>
      <w:r w:rsidRPr="008F7C69">
        <w:rPr>
          <w:rFonts w:cs="Times New Roman"/>
          <w:i/>
          <w:iCs/>
        </w:rPr>
        <w:t>Komentář… Díl 3</w:t>
      </w:r>
      <w:r w:rsidRPr="008F7C69">
        <w:rPr>
          <w:rFonts w:cs="Times New Roman"/>
          <w:iCs/>
        </w:rPr>
        <w:t>…, s. 454.</w:t>
      </w:r>
    </w:p>
  </w:footnote>
  <w:footnote w:id="128">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iCs/>
        </w:rPr>
        <w:t xml:space="preserve">ROUČEK, SEDLÁČEK: </w:t>
      </w:r>
      <w:r w:rsidRPr="008F7C69">
        <w:rPr>
          <w:rFonts w:cs="Times New Roman"/>
          <w:i/>
          <w:iCs/>
        </w:rPr>
        <w:t>Komentář… Díl 3</w:t>
      </w:r>
      <w:r w:rsidRPr="008F7C69">
        <w:rPr>
          <w:rFonts w:cs="Times New Roman"/>
          <w:iCs/>
        </w:rPr>
        <w:t>…, s. 449.</w:t>
      </w:r>
    </w:p>
  </w:footnote>
  <w:footnote w:id="129">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ROUČEK, František, SEDLÁČEK, Jaromír. </w:t>
      </w:r>
      <w:r w:rsidRPr="008F7C69">
        <w:rPr>
          <w:rFonts w:cs="Times New Roman"/>
          <w:i/>
        </w:rPr>
        <w:t>Komentář k československému obecnému zákoníku občanskému a občanské právo platné na Slovensku a v Podkarpatské Rusi</w:t>
      </w:r>
      <w:r w:rsidRPr="008F7C69">
        <w:rPr>
          <w:rFonts w:cs="Times New Roman"/>
        </w:rPr>
        <w:t xml:space="preserve">. </w:t>
      </w:r>
      <w:r w:rsidRPr="008F7C69">
        <w:rPr>
          <w:rFonts w:cs="Times New Roman"/>
          <w:i/>
        </w:rPr>
        <w:t>Díl 6, (§§ 1342 až 1502).</w:t>
      </w:r>
      <w:r w:rsidRPr="008F7C69">
        <w:rPr>
          <w:rFonts w:cs="Times New Roman"/>
        </w:rPr>
        <w:t xml:space="preserve"> Praha: V. Linhart, 1937, s. 540.</w:t>
      </w:r>
    </w:p>
  </w:footnote>
  <w:footnote w:id="130">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Rozhodnutí Nejvyššího soudu Gl. U. 206, citováno dle </w:t>
      </w:r>
      <w:r w:rsidRPr="008F7C69">
        <w:rPr>
          <w:rFonts w:cs="Times New Roman"/>
          <w:iCs/>
        </w:rPr>
        <w:t xml:space="preserve">ROUČEK, SEDLÁČEK: </w:t>
      </w:r>
      <w:r w:rsidRPr="008F7C69">
        <w:rPr>
          <w:rFonts w:cs="Times New Roman"/>
          <w:i/>
          <w:iCs/>
        </w:rPr>
        <w:t>Komentář… Díl 3</w:t>
      </w:r>
      <w:r w:rsidRPr="008F7C69">
        <w:rPr>
          <w:rFonts w:cs="Times New Roman"/>
          <w:iCs/>
        </w:rPr>
        <w:t>…, s. 450.</w:t>
      </w:r>
    </w:p>
  </w:footnote>
  <w:footnote w:id="131">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Rozhodnutí Nejvyššího soudu Gl. U. 4523, citováno dle </w:t>
      </w:r>
      <w:r w:rsidRPr="008F7C69">
        <w:rPr>
          <w:rFonts w:cs="Times New Roman"/>
          <w:iCs/>
        </w:rPr>
        <w:t xml:space="preserve">ROUČEK, SEDLÁČEK: </w:t>
      </w:r>
      <w:r w:rsidRPr="008F7C69">
        <w:rPr>
          <w:rFonts w:cs="Times New Roman"/>
          <w:i/>
          <w:iCs/>
        </w:rPr>
        <w:t>Komentář… Díl 3</w:t>
      </w:r>
      <w:r w:rsidRPr="008F7C69">
        <w:rPr>
          <w:rFonts w:cs="Times New Roman"/>
          <w:iCs/>
        </w:rPr>
        <w:t>…, s. 453.</w:t>
      </w:r>
    </w:p>
  </w:footnote>
  <w:footnote w:id="132">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iCs/>
        </w:rPr>
        <w:t xml:space="preserve">ROUČEK, SEDLÁČEK: </w:t>
      </w:r>
      <w:r w:rsidRPr="008F7C69">
        <w:rPr>
          <w:rFonts w:cs="Times New Roman"/>
          <w:i/>
          <w:iCs/>
        </w:rPr>
        <w:t>Komentář… Díl 3</w:t>
      </w:r>
      <w:r w:rsidRPr="008F7C69">
        <w:rPr>
          <w:rFonts w:cs="Times New Roman"/>
          <w:iCs/>
        </w:rPr>
        <w:t>…, s. 449.</w:t>
      </w:r>
    </w:p>
  </w:footnote>
  <w:footnote w:id="133">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SVOBODA, Emil. </w:t>
      </w:r>
      <w:r w:rsidRPr="008F7C69">
        <w:rPr>
          <w:rFonts w:cs="Times New Roman"/>
          <w:i/>
        </w:rPr>
        <w:t>Dědické právo</w:t>
      </w:r>
      <w:r w:rsidRPr="008F7C69">
        <w:rPr>
          <w:rFonts w:cs="Times New Roman"/>
        </w:rPr>
        <w:t>. Praha: Vesmír, 1921, s. 76.</w:t>
      </w:r>
    </w:p>
  </w:footnote>
  <w:footnote w:id="134">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iCs/>
        </w:rPr>
        <w:t xml:space="preserve">ROUČEK, SEDLÁČEK: </w:t>
      </w:r>
      <w:r w:rsidRPr="008F7C69">
        <w:rPr>
          <w:rFonts w:cs="Times New Roman"/>
          <w:i/>
          <w:iCs/>
        </w:rPr>
        <w:t>Komentář… Díl 3</w:t>
      </w:r>
      <w:r w:rsidRPr="008F7C69">
        <w:rPr>
          <w:rFonts w:cs="Times New Roman"/>
          <w:iCs/>
        </w:rPr>
        <w:t>…, s. 453.</w:t>
      </w:r>
    </w:p>
  </w:footnote>
  <w:footnote w:id="135">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Zákon č. 946/1811 Sb., obecný zákoník občanský, ve znění pozdějších předpisů.</w:t>
      </w:r>
    </w:p>
  </w:footnote>
  <w:footnote w:id="136">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w:t>
      </w:r>
      <w:r w:rsidRPr="008F7C69">
        <w:rPr>
          <w:rFonts w:cs="Times New Roman"/>
          <w:iCs/>
        </w:rPr>
        <w:t xml:space="preserve">ROUČEK, SEDLÁČEK: </w:t>
      </w:r>
      <w:r w:rsidRPr="008F7C69">
        <w:rPr>
          <w:rFonts w:cs="Times New Roman"/>
          <w:i/>
          <w:iCs/>
        </w:rPr>
        <w:t>Komentář… Díl 3</w:t>
      </w:r>
      <w:r w:rsidRPr="008F7C69">
        <w:rPr>
          <w:rFonts w:cs="Times New Roman"/>
          <w:iCs/>
        </w:rPr>
        <w:t>…, s. 456.</w:t>
      </w:r>
    </w:p>
  </w:footnote>
  <w:footnote w:id="137">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Tamtéž, s. 449. </w:t>
      </w:r>
    </w:p>
  </w:footnote>
  <w:footnote w:id="138">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Rozhodnutí Nejvyššího soudu 3459, citováno dle </w:t>
      </w:r>
      <w:r w:rsidRPr="008F7C69">
        <w:rPr>
          <w:rFonts w:cs="Times New Roman"/>
          <w:iCs/>
        </w:rPr>
        <w:t xml:space="preserve">ROUČEK, SEDLÁČEK: </w:t>
      </w:r>
      <w:r w:rsidRPr="008F7C69">
        <w:rPr>
          <w:rFonts w:cs="Times New Roman"/>
          <w:i/>
          <w:iCs/>
        </w:rPr>
        <w:t>Komentář… Díl 3</w:t>
      </w:r>
      <w:r w:rsidRPr="008F7C69">
        <w:rPr>
          <w:rFonts w:cs="Times New Roman"/>
          <w:iCs/>
        </w:rPr>
        <w:t>…, s. 485.</w:t>
      </w:r>
    </w:p>
  </w:footnote>
  <w:footnote w:id="139">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Rozhodnutí Nejvyššího soudu Gl. U. n. ř. 3251, citováno dle </w:t>
      </w:r>
      <w:r w:rsidRPr="008F7C69">
        <w:rPr>
          <w:rFonts w:cs="Times New Roman"/>
          <w:iCs/>
        </w:rPr>
        <w:t xml:space="preserve">ROUČEK, SEDLÁČEK: </w:t>
      </w:r>
      <w:r w:rsidRPr="008F7C69">
        <w:rPr>
          <w:rFonts w:cs="Times New Roman"/>
          <w:i/>
          <w:iCs/>
        </w:rPr>
        <w:t>Komentář… Díl 3</w:t>
      </w:r>
      <w:r w:rsidRPr="008F7C69">
        <w:rPr>
          <w:rFonts w:cs="Times New Roman"/>
          <w:iCs/>
        </w:rPr>
        <w:t>…, s. 485.</w:t>
      </w:r>
    </w:p>
  </w:footnote>
  <w:footnote w:id="140">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SVOBODA: </w:t>
      </w:r>
      <w:r w:rsidRPr="008F7C69">
        <w:rPr>
          <w:rFonts w:cs="Times New Roman"/>
          <w:i/>
        </w:rPr>
        <w:t>Dědické právo</w:t>
      </w:r>
      <w:r w:rsidRPr="008F7C69">
        <w:rPr>
          <w:rFonts w:cs="Times New Roman"/>
        </w:rPr>
        <w:t xml:space="preserve"> ..., s. 77.</w:t>
      </w:r>
    </w:p>
  </w:footnote>
  <w:footnote w:id="141">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w:t>
      </w:r>
      <w:r>
        <w:rPr>
          <w:rFonts w:cs="Times New Roman"/>
        </w:rPr>
        <w:t>n</w:t>
      </w:r>
      <w:r w:rsidRPr="008F7C69">
        <w:rPr>
          <w:rFonts w:cs="Times New Roman"/>
        </w:rPr>
        <w:t xml:space="preserve">utí Nejvyššího soudu Gl. U. 6715, citováno dle </w:t>
      </w:r>
      <w:r w:rsidRPr="008F7C69">
        <w:rPr>
          <w:rFonts w:cs="Times New Roman"/>
          <w:iCs/>
        </w:rPr>
        <w:t xml:space="preserve">ROUČE, SEDLÁČEK: </w:t>
      </w:r>
      <w:r w:rsidRPr="008F7C69">
        <w:rPr>
          <w:rFonts w:cs="Times New Roman"/>
          <w:i/>
          <w:iCs/>
        </w:rPr>
        <w:t>Komentář… Díl 3</w:t>
      </w:r>
      <w:r w:rsidRPr="008F7C69">
        <w:rPr>
          <w:rFonts w:cs="Times New Roman"/>
          <w:iCs/>
        </w:rPr>
        <w:t>…, s. 386.</w:t>
      </w:r>
    </w:p>
  </w:footnote>
  <w:footnote w:id="142">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SCHELLE, TAUCHEN: </w:t>
      </w:r>
      <w:r w:rsidRPr="008F7C69">
        <w:rPr>
          <w:rFonts w:cs="Times New Roman"/>
          <w:i/>
        </w:rPr>
        <w:t>Občanské zákoníky</w:t>
      </w:r>
      <w:r w:rsidRPr="008F7C69">
        <w:rPr>
          <w:rFonts w:cs="Times New Roman"/>
        </w:rPr>
        <w:t>..., s. 18 – 20.</w:t>
      </w:r>
      <w:r w:rsidRPr="008F7C69">
        <w:rPr>
          <w:rFonts w:cs="Times New Roman"/>
          <w:i/>
        </w:rPr>
        <w:t xml:space="preserve"> </w:t>
      </w:r>
    </w:p>
  </w:footnote>
  <w:footnote w:id="143">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Důvodová zpráva k návrhu vládního zákona, kterým se vydává občanský zákoník [online]. psp.cz, 16. 4. 1937, [citováno 3. 4. 2016]. Dostupné na: &lt;http://www.psp.cz/eknih/1935ns/ps/tisky/t0844_13.html&gt;.</w:t>
      </w:r>
    </w:p>
  </w:footnote>
  <w:footnote w:id="144">
    <w:p w:rsidR="004C272C" w:rsidRPr="008F7C69" w:rsidRDefault="004C272C">
      <w:pPr>
        <w:pStyle w:val="Textpoznpodarou"/>
        <w:rPr>
          <w:rFonts w:cs="Times New Roman"/>
          <w:i/>
        </w:rPr>
      </w:pPr>
      <w:r w:rsidRPr="008F7C69">
        <w:rPr>
          <w:rStyle w:val="Znakapoznpodarou"/>
          <w:rFonts w:cs="Times New Roman"/>
        </w:rPr>
        <w:footnoteRef/>
      </w:r>
      <w:r w:rsidRPr="008F7C69">
        <w:rPr>
          <w:rFonts w:cs="Times New Roman"/>
        </w:rPr>
        <w:t xml:space="preserve"> HORÁK, Ondřej, DADUOVÁ, Martina. Nové dědické právo a meziválečná rekodifikace. </w:t>
      </w:r>
      <w:r w:rsidRPr="008F7C69">
        <w:rPr>
          <w:rFonts w:cs="Times New Roman"/>
          <w:i/>
        </w:rPr>
        <w:t xml:space="preserve">Ad Notam, </w:t>
      </w:r>
      <w:r w:rsidRPr="008F7C69">
        <w:rPr>
          <w:rFonts w:cs="Times New Roman"/>
        </w:rPr>
        <w:t xml:space="preserve">2016, roč. 22, č. 1, s. 8 – 12. </w:t>
      </w:r>
    </w:p>
  </w:footnote>
  <w:footnote w:id="145">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SCHELLE, TAUCHEN: </w:t>
      </w:r>
      <w:r w:rsidRPr="008F7C69">
        <w:rPr>
          <w:rFonts w:cs="Times New Roman"/>
          <w:i/>
        </w:rPr>
        <w:t>Občanské zákoníky</w:t>
      </w:r>
      <w:r w:rsidRPr="008F7C69">
        <w:rPr>
          <w:rFonts w:cs="Times New Roman"/>
        </w:rPr>
        <w:t>..., s. 384.</w:t>
      </w:r>
    </w:p>
  </w:footnote>
  <w:footnote w:id="146">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SEŠINA, Martin. Diskuse o návrhu nového občanského zákoníku IV. </w:t>
      </w:r>
      <w:r w:rsidRPr="008F7C69">
        <w:rPr>
          <w:rFonts w:cs="Times New Roman"/>
          <w:i/>
        </w:rPr>
        <w:t xml:space="preserve">Ad Notam, </w:t>
      </w:r>
      <w:r w:rsidRPr="008F7C69">
        <w:rPr>
          <w:rFonts w:cs="Times New Roman"/>
        </w:rPr>
        <w:t>2006,</w:t>
      </w:r>
      <w:r w:rsidRPr="008F7C69">
        <w:rPr>
          <w:rFonts w:cs="Times New Roman"/>
          <w:i/>
        </w:rPr>
        <w:t xml:space="preserve"> </w:t>
      </w:r>
      <w:r w:rsidRPr="008F7C69">
        <w:rPr>
          <w:rFonts w:cs="Times New Roman"/>
        </w:rPr>
        <w:t>roč. 12, č. 1, s. 12.</w:t>
      </w:r>
    </w:p>
  </w:footnote>
  <w:footnote w:id="147">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Důvodová zpráva k návrhu vládního zákona, kterým se vydává občanský zákoník [online]. psp.cz, 16. 4. 1937, [citováno 3. 4. 2016]. Dostupné na: &lt;http://www.psp.cz/eknih/1935ns/ps/tisky/t0844_13.htm&gt;.</w:t>
      </w:r>
    </w:p>
  </w:footnote>
  <w:footnote w:id="148">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Tamtéž.</w:t>
      </w:r>
    </w:p>
  </w:footnote>
  <w:footnote w:id="149">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SCHELLE, TAUCHEN: </w:t>
      </w:r>
      <w:r w:rsidRPr="008F7C69">
        <w:rPr>
          <w:rFonts w:cs="Times New Roman"/>
          <w:i/>
        </w:rPr>
        <w:t>Občanské zákoníky</w:t>
      </w:r>
      <w:r w:rsidRPr="008F7C69">
        <w:rPr>
          <w:rFonts w:cs="Times New Roman"/>
        </w:rPr>
        <w:t>..., s. 385.</w:t>
      </w:r>
    </w:p>
  </w:footnote>
  <w:footnote w:id="150">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Tamtéž, s. 386.</w:t>
      </w:r>
    </w:p>
  </w:footnote>
  <w:footnote w:id="151">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Důvodová zpráva k návrhu vládního zákona, kterým se vydává občanský zákoník [online]. psp.cz, 16. 4. 1937, [citováno 3. 4. 2016]. Dostupné na: &lt;http://www.psp.cz/eknih/1935ns/ps/tisky/t0844_13.htm&gt;.</w:t>
      </w:r>
    </w:p>
  </w:footnote>
  <w:footnote w:id="152">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SCHELLE, TAUCHEN: </w:t>
      </w:r>
      <w:r w:rsidRPr="008F7C69">
        <w:rPr>
          <w:rFonts w:cs="Times New Roman"/>
          <w:i/>
        </w:rPr>
        <w:t>Občanské zákoníky</w:t>
      </w:r>
      <w:r w:rsidRPr="008F7C69">
        <w:rPr>
          <w:rFonts w:cs="Times New Roman"/>
        </w:rPr>
        <w:t>..., s. 387.</w:t>
      </w:r>
    </w:p>
  </w:footnote>
  <w:footnote w:id="153">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ŠVESTKA, Jiří, DVOŘÁK, Jan, a kol. </w:t>
      </w:r>
      <w:r w:rsidRPr="008F7C69">
        <w:rPr>
          <w:rFonts w:cs="Times New Roman"/>
          <w:i/>
        </w:rPr>
        <w:t xml:space="preserve">Občanské právo hmotné 1. </w:t>
      </w:r>
      <w:r w:rsidRPr="008F7C69">
        <w:rPr>
          <w:rFonts w:cs="Times New Roman"/>
        </w:rPr>
        <w:t xml:space="preserve">5. aktualiz. vyd. Praha: Wolters Kluwer ČR, 2009, s. 60 – 61. </w:t>
      </w:r>
    </w:p>
  </w:footnote>
  <w:footnote w:id="154">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KRATOCHVÍL, Zdeněk. </w:t>
      </w:r>
      <w:r w:rsidRPr="008F7C69">
        <w:rPr>
          <w:rFonts w:cs="Times New Roman"/>
          <w:i/>
        </w:rPr>
        <w:t>Nové občanské právo</w:t>
      </w:r>
      <w:r w:rsidRPr="008F7C69">
        <w:rPr>
          <w:rFonts w:cs="Times New Roman"/>
        </w:rPr>
        <w:t>. Praha: Orbis, 1965, s. 7 – 8.</w:t>
      </w:r>
    </w:p>
  </w:footnote>
  <w:footnote w:id="155">
    <w:p w:rsidR="004C272C" w:rsidRPr="008F7C69" w:rsidRDefault="004C272C" w:rsidP="00073E26">
      <w:pPr>
        <w:pStyle w:val="Textpoznpodarou"/>
        <w:rPr>
          <w:rFonts w:cs="Times New Roman"/>
        </w:rPr>
      </w:pPr>
      <w:r w:rsidRPr="008F7C69">
        <w:rPr>
          <w:rStyle w:val="Znakapoznpodarou"/>
          <w:rFonts w:cs="Times New Roman"/>
        </w:rPr>
        <w:footnoteRef/>
      </w:r>
      <w:r w:rsidRPr="008F7C69">
        <w:rPr>
          <w:rFonts w:cs="Times New Roman"/>
        </w:rPr>
        <w:t xml:space="preserve"> PETRŽELKA, Karel. Nové československé právo dědické. In KNAPP, Viktor a kol. </w:t>
      </w:r>
      <w:r w:rsidRPr="008F7C69">
        <w:rPr>
          <w:rFonts w:cs="Times New Roman"/>
          <w:i/>
        </w:rPr>
        <w:t>K otázkám nového občanského práva</w:t>
      </w:r>
      <w:r w:rsidRPr="008F7C69">
        <w:rPr>
          <w:rFonts w:cs="Times New Roman"/>
        </w:rPr>
        <w:t>. Praha: Orbis, 1950, s. 62.</w:t>
      </w:r>
    </w:p>
  </w:footnote>
  <w:footnote w:id="156">
    <w:p w:rsidR="004C272C" w:rsidRPr="008F7C69" w:rsidRDefault="004C272C" w:rsidP="00073E26">
      <w:pPr>
        <w:pStyle w:val="Textpoznpodarou"/>
        <w:rPr>
          <w:rFonts w:cs="Times New Roman"/>
        </w:rPr>
      </w:pPr>
      <w:r w:rsidRPr="008F7C69">
        <w:rPr>
          <w:rStyle w:val="Znakapoznpodarou"/>
          <w:rFonts w:cs="Times New Roman"/>
        </w:rPr>
        <w:footnoteRef/>
      </w:r>
      <w:r w:rsidRPr="008F7C69">
        <w:rPr>
          <w:rFonts w:cs="Times New Roman"/>
        </w:rPr>
        <w:t xml:space="preserve"> MIKEŠ, Jiří. Jak dál s úpravou dědického práva? </w:t>
      </w:r>
      <w:r w:rsidRPr="008F7C69">
        <w:rPr>
          <w:rFonts w:cs="Times New Roman"/>
          <w:i/>
        </w:rPr>
        <w:t>Ad Notam,</w:t>
      </w:r>
      <w:r w:rsidRPr="008F7C69">
        <w:rPr>
          <w:rFonts w:cs="Times New Roman"/>
        </w:rPr>
        <w:t xml:space="preserve"> 1998, roč. 4, č. 2, s. 25.</w:t>
      </w:r>
    </w:p>
  </w:footnote>
  <w:footnote w:id="157">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Zákon č. 141/1950 Sb., občanský zákoník, ve znění pozdějších předpisů. </w:t>
      </w:r>
    </w:p>
  </w:footnote>
  <w:footnote w:id="158">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Rozhodnutí Krajského soudu v Českých Budějovicích 6 Ok 168/52 z 13. července 1952, citováno dle HOLUB, Rudolf. </w:t>
      </w:r>
      <w:r w:rsidRPr="008F7C69">
        <w:rPr>
          <w:rFonts w:cs="Times New Roman"/>
          <w:i/>
        </w:rPr>
        <w:t>Komentář k občanskému zákoníku: právo dědické.</w:t>
      </w:r>
      <w:r w:rsidRPr="008F7C69">
        <w:rPr>
          <w:rFonts w:cs="Times New Roman"/>
        </w:rPr>
        <w:t xml:space="preserve"> Praha: Orbis, 1957, s. 188.</w:t>
      </w:r>
    </w:p>
  </w:footnote>
  <w:footnote w:id="159">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HOLUB: </w:t>
      </w:r>
      <w:r w:rsidRPr="008F7C69">
        <w:rPr>
          <w:rFonts w:cs="Times New Roman"/>
          <w:i/>
        </w:rPr>
        <w:t>Komentář k občanskému...</w:t>
      </w:r>
      <w:r w:rsidRPr="008F7C69">
        <w:rPr>
          <w:rFonts w:cs="Times New Roman"/>
        </w:rPr>
        <w:t>, s. 192 – 193.</w:t>
      </w:r>
    </w:p>
  </w:footnote>
  <w:footnote w:id="160">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Důvodová zpráva k zákonu č. 141/1950 Sb. , občanský zákoník [online]. psp.cz, 19. 9. 1950, [citováno 7. 4. 2016]. Dostupné na: &lt; http://psp.cz/eknih/1948ns/tisky/t0509_07.htm&gt;.</w:t>
      </w:r>
    </w:p>
  </w:footnote>
  <w:footnote w:id="161">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HOLUB: </w:t>
      </w:r>
      <w:r>
        <w:rPr>
          <w:rFonts w:cs="Times New Roman"/>
          <w:i/>
        </w:rPr>
        <w:t xml:space="preserve">Komentář k občanskému…, </w:t>
      </w:r>
      <w:r w:rsidRPr="008F7C69">
        <w:rPr>
          <w:rFonts w:cs="Times New Roman"/>
        </w:rPr>
        <w:t>s. 211.</w:t>
      </w:r>
    </w:p>
  </w:footnote>
  <w:footnote w:id="162">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Tamtéž, s. 186 – 187.</w:t>
      </w:r>
    </w:p>
  </w:footnote>
  <w:footnote w:id="163">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Tamtéž, s. 182.</w:t>
      </w:r>
    </w:p>
  </w:footnote>
  <w:footnote w:id="164">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Zákon č. 141/1950 Sb., občanský zákoník, ve znění pozdějších předpisů.</w:t>
      </w:r>
    </w:p>
  </w:footnote>
  <w:footnote w:id="165">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Rozhodnutí Krajského soudu v Praze 17 OK 256/52 z 23. října 1952, citováno dle HOLUB: </w:t>
      </w:r>
      <w:r w:rsidRPr="008F7C69">
        <w:rPr>
          <w:rFonts w:cs="Times New Roman"/>
          <w:i/>
        </w:rPr>
        <w:t>Komentář k občanskému</w:t>
      </w:r>
      <w:r w:rsidRPr="008F7C69">
        <w:rPr>
          <w:rFonts w:cs="Times New Roman"/>
        </w:rPr>
        <w:t>..., s. 206.</w:t>
      </w:r>
    </w:p>
  </w:footnote>
  <w:footnote w:id="166">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BEDNÁŘ, Václav. </w:t>
      </w:r>
      <w:r w:rsidRPr="008F7C69">
        <w:rPr>
          <w:rFonts w:cs="Times New Roman"/>
          <w:i/>
        </w:rPr>
        <w:t xml:space="preserve">Testamentární dědická posloupnost. </w:t>
      </w:r>
      <w:r w:rsidRPr="008F7C69">
        <w:rPr>
          <w:rFonts w:cs="Times New Roman"/>
        </w:rPr>
        <w:t>Plzeň: Aleš Čeněk, 2011, s. 61.</w:t>
      </w:r>
    </w:p>
  </w:footnote>
  <w:footnote w:id="167">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HOLUB: </w:t>
      </w:r>
      <w:r>
        <w:rPr>
          <w:rFonts w:cs="Times New Roman"/>
          <w:i/>
        </w:rPr>
        <w:t xml:space="preserve">Komentář k občanskému…, </w:t>
      </w:r>
      <w:r w:rsidRPr="008F7C69">
        <w:rPr>
          <w:rFonts w:cs="Times New Roman"/>
        </w:rPr>
        <w:t xml:space="preserve"> s. 193 – 194. </w:t>
      </w:r>
    </w:p>
  </w:footnote>
  <w:footnote w:id="168">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Rozhodnutí Krajského soudu v Praze 21 Co 390/53 z 28. října 1953, citováno dle HOLUB: </w:t>
      </w:r>
      <w:r w:rsidRPr="008F7C69">
        <w:rPr>
          <w:rFonts w:cs="Times New Roman"/>
          <w:i/>
        </w:rPr>
        <w:t>Komentář k</w:t>
      </w:r>
      <w:r w:rsidRPr="008F7C69">
        <w:rPr>
          <w:rFonts w:cs="Times New Roman"/>
        </w:rPr>
        <w:t xml:space="preserve"> </w:t>
      </w:r>
      <w:r w:rsidRPr="008F7C69">
        <w:rPr>
          <w:rFonts w:cs="Times New Roman"/>
          <w:i/>
        </w:rPr>
        <w:t xml:space="preserve">občanskému </w:t>
      </w:r>
      <w:r>
        <w:rPr>
          <w:rFonts w:cs="Times New Roman"/>
        </w:rPr>
        <w:t xml:space="preserve">…, </w:t>
      </w:r>
      <w:r w:rsidRPr="008F7C69">
        <w:rPr>
          <w:rFonts w:cs="Times New Roman"/>
        </w:rPr>
        <w:t>s. 206.</w:t>
      </w:r>
    </w:p>
  </w:footnote>
  <w:footnote w:id="169">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Rozhodnutí Nejvyššího soudu 107/1954, citováno dle HOLUB: </w:t>
      </w:r>
      <w:r w:rsidRPr="008F7C69">
        <w:rPr>
          <w:rFonts w:cs="Times New Roman"/>
          <w:i/>
        </w:rPr>
        <w:t xml:space="preserve">Komentář k občanskému </w:t>
      </w:r>
      <w:r>
        <w:rPr>
          <w:rFonts w:cs="Times New Roman"/>
        </w:rPr>
        <w:t xml:space="preserve">…, </w:t>
      </w:r>
      <w:r w:rsidRPr="008F7C69">
        <w:rPr>
          <w:rFonts w:cs="Times New Roman"/>
        </w:rPr>
        <w:t>s. 195.</w:t>
      </w:r>
    </w:p>
  </w:footnote>
  <w:footnote w:id="170">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Spisy komise pro jednotný výklad zákona č. 43/51, citováno dle HOLUB: </w:t>
      </w:r>
      <w:r w:rsidRPr="008F7C69">
        <w:rPr>
          <w:rFonts w:cs="Times New Roman"/>
          <w:i/>
        </w:rPr>
        <w:t>Komentář</w:t>
      </w:r>
      <w:r w:rsidRPr="008F7C69">
        <w:rPr>
          <w:rFonts w:cs="Times New Roman"/>
        </w:rPr>
        <w:t xml:space="preserve"> </w:t>
      </w:r>
      <w:r w:rsidRPr="008F7C69">
        <w:rPr>
          <w:rFonts w:cs="Times New Roman"/>
          <w:i/>
        </w:rPr>
        <w:t>k občanskému</w:t>
      </w:r>
      <w:r>
        <w:rPr>
          <w:rFonts w:cs="Times New Roman"/>
        </w:rPr>
        <w:t xml:space="preserve">…, </w:t>
      </w:r>
      <w:r w:rsidRPr="008F7C69">
        <w:rPr>
          <w:rFonts w:cs="Times New Roman"/>
        </w:rPr>
        <w:t>s. 205.</w:t>
      </w:r>
    </w:p>
  </w:footnote>
  <w:footnote w:id="171">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BEDNÁŘ: </w:t>
      </w:r>
      <w:r>
        <w:rPr>
          <w:rFonts w:cs="Times New Roman"/>
          <w:i/>
        </w:rPr>
        <w:t xml:space="preserve">Testamentární dědická…, </w:t>
      </w:r>
      <w:r w:rsidRPr="008F7C69">
        <w:rPr>
          <w:rFonts w:cs="Times New Roman"/>
        </w:rPr>
        <w:t>s. 57.</w:t>
      </w:r>
    </w:p>
  </w:footnote>
  <w:footnote w:id="172">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HOLUB: </w:t>
      </w:r>
      <w:r>
        <w:rPr>
          <w:rFonts w:cs="Times New Roman"/>
          <w:i/>
        </w:rPr>
        <w:t xml:space="preserve">Komentář k občanskému…, </w:t>
      </w:r>
      <w:r w:rsidRPr="008F7C69">
        <w:rPr>
          <w:rFonts w:cs="Times New Roman"/>
        </w:rPr>
        <w:t>s. 195 – 197.</w:t>
      </w:r>
    </w:p>
  </w:footnote>
  <w:footnote w:id="173">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BEDNÁŘ: </w:t>
      </w:r>
      <w:r w:rsidRPr="008F7C69">
        <w:rPr>
          <w:rFonts w:cs="Times New Roman"/>
          <w:i/>
        </w:rPr>
        <w:t>Testamentární dědická ...</w:t>
      </w:r>
      <w:r w:rsidRPr="008F7C69">
        <w:rPr>
          <w:rFonts w:cs="Times New Roman"/>
        </w:rPr>
        <w:t>, s. 60.</w:t>
      </w:r>
    </w:p>
  </w:footnote>
  <w:footnote w:id="174">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Zákon č. 141/1950 Sb., občanský zákoník, ve znění pozdějších předpisů.</w:t>
      </w:r>
    </w:p>
  </w:footnote>
  <w:footnote w:id="175">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Důvodová </w:t>
      </w:r>
      <w:r>
        <w:rPr>
          <w:rFonts w:cs="Times New Roman"/>
        </w:rPr>
        <w:t xml:space="preserve">zpráva k zákonu č. 141/1950 Sb., </w:t>
      </w:r>
      <w:r w:rsidRPr="008F7C69">
        <w:rPr>
          <w:rFonts w:cs="Times New Roman"/>
        </w:rPr>
        <w:t>občanský zákoník [online]. psp.cz, 19. 9. 1950, [citováno 7. 4. 2016]. Dostupné na: &lt; http://psp.cz/eknih/1948ns/tisky/t0509_07.htm&gt;.</w:t>
      </w:r>
    </w:p>
  </w:footnote>
  <w:footnote w:id="176">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KNAPP, Viktor, PLANK, Karol. </w:t>
      </w:r>
      <w:r w:rsidRPr="008F7C69">
        <w:rPr>
          <w:rFonts w:cs="Times New Roman"/>
          <w:i/>
        </w:rPr>
        <w:t>Učebnice československého občanského práva.</w:t>
      </w:r>
      <w:r w:rsidRPr="008F7C69">
        <w:rPr>
          <w:rFonts w:cs="Times New Roman"/>
        </w:rPr>
        <w:t xml:space="preserve"> Praha: Orbis, 1965, s. 480 – 482. </w:t>
      </w:r>
    </w:p>
  </w:footnote>
  <w:footnote w:id="177">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BEDNÁŘ: </w:t>
      </w:r>
      <w:r w:rsidRPr="008F7C69">
        <w:rPr>
          <w:rFonts w:cs="Times New Roman"/>
          <w:i/>
        </w:rPr>
        <w:t>Testamentární dědická ...</w:t>
      </w:r>
      <w:r w:rsidRPr="008F7C69">
        <w:rPr>
          <w:rFonts w:cs="Times New Roman"/>
        </w:rPr>
        <w:t>, s. 69 – 70.</w:t>
      </w:r>
    </w:p>
  </w:footnote>
  <w:footnote w:id="178">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Zákon č. 40/1964 Sb., občanský zákoník, ve znění ke dni 1. 1. 1965.</w:t>
      </w:r>
    </w:p>
  </w:footnote>
  <w:footnote w:id="179">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Zákon č. 40/1964 Sb., občanský zákoník, ve znění pozdějších předpisů.</w:t>
      </w:r>
    </w:p>
  </w:footnote>
  <w:footnote w:id="180">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KNAPP, PLANK: </w:t>
      </w:r>
      <w:r>
        <w:rPr>
          <w:rFonts w:cs="Times New Roman"/>
          <w:i/>
        </w:rPr>
        <w:t xml:space="preserve">Učebnice československého…, </w:t>
      </w:r>
      <w:r w:rsidRPr="008F7C69">
        <w:rPr>
          <w:rFonts w:cs="Times New Roman"/>
        </w:rPr>
        <w:t>s. 517 – 518.</w:t>
      </w:r>
    </w:p>
  </w:footnote>
  <w:footnote w:id="181">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Zákon č. 131/1982 Sb., kterým se mění, doplňuje a upravuje občanský zákoník.</w:t>
      </w:r>
    </w:p>
  </w:footnote>
  <w:footnote w:id="182">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Zákon č. 509/1991 Sb., kterým se mění, doplňuje a upravuje občanský zákoník.</w:t>
      </w:r>
    </w:p>
  </w:footnote>
  <w:footnote w:id="183">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Rozhodnutí soudu 50/1985, citováno dle FIALA, Roman. </w:t>
      </w:r>
      <w:r w:rsidRPr="008F7C69">
        <w:rPr>
          <w:rFonts w:cs="Times New Roman"/>
          <w:i/>
        </w:rPr>
        <w:t xml:space="preserve">Přehled judikatury ve věcech dědických. </w:t>
      </w:r>
      <w:r w:rsidRPr="008F7C69">
        <w:rPr>
          <w:rFonts w:cs="Times New Roman"/>
        </w:rPr>
        <w:t>Praha: ASPI, 2006, s. 355.</w:t>
      </w:r>
    </w:p>
  </w:footnote>
  <w:footnote w:id="184">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ŠVESTKA, Jiří a kol. </w:t>
      </w:r>
      <w:r w:rsidRPr="008F7C69">
        <w:rPr>
          <w:rFonts w:cs="Times New Roman"/>
          <w:i/>
        </w:rPr>
        <w:t>Občanský zákoník: komentář II.</w:t>
      </w:r>
      <w:r w:rsidRPr="008F7C69">
        <w:rPr>
          <w:rFonts w:cs="Times New Roman"/>
        </w:rPr>
        <w:t xml:space="preserve"> 2. vydání. Praha: C. H. Beck, 2009, s. 1415.</w:t>
      </w:r>
    </w:p>
  </w:footnote>
  <w:footnote w:id="185">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Tamtéž., s. 1415.</w:t>
      </w:r>
    </w:p>
  </w:footnote>
  <w:footnote w:id="186">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Rozhodnutí Nejvyššího soudu  ze </w:t>
      </w:r>
      <w:r>
        <w:rPr>
          <w:rFonts w:cs="Times New Roman"/>
        </w:rPr>
        <w:t xml:space="preserve">dne </w:t>
      </w:r>
      <w:r w:rsidRPr="008F7C69">
        <w:rPr>
          <w:rFonts w:cs="Times New Roman"/>
        </w:rPr>
        <w:t>29. 5. 1997, sp. zn. 2 Cdon 176/96.</w:t>
      </w:r>
    </w:p>
  </w:footnote>
  <w:footnote w:id="187">
    <w:p w:rsidR="004C272C" w:rsidRPr="008F7C69" w:rsidRDefault="004C272C" w:rsidP="0098318D">
      <w:pPr>
        <w:pStyle w:val="Textpoznpodarou"/>
        <w:rPr>
          <w:rFonts w:cs="Times New Roman"/>
        </w:rPr>
      </w:pPr>
      <w:r w:rsidRPr="008F7C69">
        <w:rPr>
          <w:rStyle w:val="Znakapoznpodarou"/>
          <w:rFonts w:cs="Times New Roman"/>
        </w:rPr>
        <w:footnoteRef/>
      </w:r>
      <w:r w:rsidRPr="008F7C69">
        <w:rPr>
          <w:rFonts w:cs="Times New Roman"/>
        </w:rPr>
        <w:t xml:space="preserve"> Zákon č. 40/1964 Sb., občanský zákoník, ve znění ke dni 1. 1. 1965.</w:t>
      </w:r>
    </w:p>
  </w:footnote>
  <w:footnote w:id="188">
    <w:p w:rsidR="004C272C" w:rsidRPr="008F7C69" w:rsidRDefault="004C272C" w:rsidP="0098318D">
      <w:pPr>
        <w:pStyle w:val="Textpoznpodarou"/>
        <w:rPr>
          <w:rFonts w:cs="Times New Roman"/>
        </w:rPr>
      </w:pPr>
      <w:r w:rsidRPr="008F7C69">
        <w:rPr>
          <w:rStyle w:val="Znakapoznpodarou"/>
          <w:rFonts w:cs="Times New Roman"/>
        </w:rPr>
        <w:footnoteRef/>
      </w:r>
      <w:r w:rsidRPr="008F7C69">
        <w:rPr>
          <w:rFonts w:cs="Times New Roman"/>
        </w:rPr>
        <w:t xml:space="preserve"> Zákon č. 509/1991 Sb., kterým se mění, doplňuje a upravuje občanský zákoník.</w:t>
      </w:r>
    </w:p>
  </w:footnote>
  <w:footnote w:id="189">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MIKEŠ, Jiří, MUZIKÁŘ, Ladislav. </w:t>
      </w:r>
      <w:r w:rsidRPr="008F7C69">
        <w:rPr>
          <w:rFonts w:cs="Times New Roman"/>
          <w:i/>
        </w:rPr>
        <w:t xml:space="preserve">Dědické právo v teorii a praxi. </w:t>
      </w:r>
      <w:r w:rsidRPr="008F7C69">
        <w:rPr>
          <w:rFonts w:cs="Times New Roman"/>
        </w:rPr>
        <w:t>Praha: Leges, 2011, s. 92.</w:t>
      </w:r>
    </w:p>
  </w:footnote>
  <w:footnote w:id="190">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BEDNÁŘ: </w:t>
      </w:r>
      <w:r>
        <w:rPr>
          <w:rFonts w:cs="Times New Roman"/>
          <w:i/>
        </w:rPr>
        <w:t xml:space="preserve">Testamentární dědická…, </w:t>
      </w:r>
      <w:r w:rsidRPr="008F7C69">
        <w:rPr>
          <w:rFonts w:cs="Times New Roman"/>
        </w:rPr>
        <w:t>s. 96.</w:t>
      </w:r>
    </w:p>
  </w:footnote>
  <w:footnote w:id="191">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ŠVESTKA, Jiří a kol. </w:t>
      </w:r>
      <w:r w:rsidRPr="008F7C69">
        <w:rPr>
          <w:rFonts w:cs="Times New Roman"/>
          <w:i/>
        </w:rPr>
        <w:t xml:space="preserve">Občanské právo hmotné 3. </w:t>
      </w:r>
      <w:r w:rsidRPr="008F7C69">
        <w:rPr>
          <w:rFonts w:cs="Times New Roman"/>
        </w:rPr>
        <w:t>5. vydání. Praha: Wolters Kluwer ČR, 2009, s. 276 – 277.</w:t>
      </w:r>
    </w:p>
  </w:footnote>
  <w:footnote w:id="192">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FIALA, Josef a kol. </w:t>
      </w:r>
      <w:r w:rsidRPr="008F7C69">
        <w:rPr>
          <w:rFonts w:cs="Times New Roman"/>
          <w:i/>
        </w:rPr>
        <w:t>Občanský zákoník: poznámkové vydání s judikaturou a literaturou (včetně věcného rejstříku</w:t>
      </w:r>
      <w:r w:rsidRPr="008F7C69">
        <w:rPr>
          <w:rFonts w:cs="Times New Roman"/>
        </w:rPr>
        <w:t>. 12. vydání. Praha: Linde, 2006, s. 434.</w:t>
      </w:r>
    </w:p>
  </w:footnote>
  <w:footnote w:id="193">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Rozhodnutí Nejvyššího soudu V/67, citováno dle BEDNÁŘ: </w:t>
      </w:r>
      <w:r>
        <w:rPr>
          <w:rFonts w:cs="Times New Roman"/>
          <w:i/>
        </w:rPr>
        <w:t xml:space="preserve">Testamentární dědická…, </w:t>
      </w:r>
      <w:r w:rsidRPr="008F7C69">
        <w:rPr>
          <w:rFonts w:cs="Times New Roman"/>
        </w:rPr>
        <w:t>s. 96.</w:t>
      </w:r>
    </w:p>
  </w:footnote>
  <w:footnote w:id="194">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Zákon č. 131/1982 Sb., kterým se mění, doplňuje a upravuje občanský zákoník.</w:t>
      </w:r>
    </w:p>
  </w:footnote>
  <w:footnote w:id="195">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KITTEL, David. Nepominutelný dědic není dědic. </w:t>
      </w:r>
      <w:r w:rsidRPr="008F7C69">
        <w:rPr>
          <w:rFonts w:cs="Times New Roman"/>
          <w:i/>
        </w:rPr>
        <w:t>Ad Notam</w:t>
      </w:r>
      <w:r w:rsidRPr="008F7C69">
        <w:rPr>
          <w:rFonts w:cs="Times New Roman"/>
        </w:rPr>
        <w:t>, 2011, roč. 17, č. 2, s. 14.</w:t>
      </w:r>
    </w:p>
  </w:footnote>
  <w:footnote w:id="196">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Usnesení Městského soudu v Praze z 28. 6. 1996, sp. zn. 24 Co 160/96 – 47, citováno dle </w:t>
      </w:r>
      <w:r w:rsidRPr="008F7C69">
        <w:rPr>
          <w:rFonts w:cs="Times New Roman"/>
          <w:i/>
        </w:rPr>
        <w:t xml:space="preserve">Ad Notam, </w:t>
      </w:r>
      <w:r w:rsidRPr="008F7C69">
        <w:rPr>
          <w:rFonts w:cs="Times New Roman"/>
        </w:rPr>
        <w:t>1996, roč. 2, č. 5, s. 118 an.</w:t>
      </w:r>
    </w:p>
  </w:footnote>
  <w:footnote w:id="197">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ŠVESTKA: </w:t>
      </w:r>
      <w:r w:rsidRPr="008F7C69">
        <w:rPr>
          <w:rFonts w:cs="Times New Roman"/>
          <w:i/>
        </w:rPr>
        <w:t xml:space="preserve">Občanský zákoník: komentář II...., </w:t>
      </w:r>
      <w:r w:rsidRPr="008F7C69">
        <w:rPr>
          <w:rFonts w:cs="Times New Roman"/>
        </w:rPr>
        <w:t>s. 1460.</w:t>
      </w:r>
    </w:p>
  </w:footnote>
  <w:footnote w:id="198">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Ideální</w:t>
      </w:r>
      <w:r>
        <w:rPr>
          <w:rFonts w:cs="Times New Roman"/>
        </w:rPr>
        <w:t>m</w:t>
      </w:r>
      <w:r w:rsidRPr="008F7C69">
        <w:rPr>
          <w:rFonts w:cs="Times New Roman"/>
        </w:rPr>
        <w:t xml:space="preserve"> podílem se myslí podíl, kdy každý ze spoludědiců nemá právo na konkrétní částku z dědictví, ale spolu s ostatními má poměrné právo na dědictví jako celek. Každý z dědiců je ve svém právu omezen dědickým právem dalšího dědice. ŠVESTKA, Jiří a kol. </w:t>
      </w:r>
      <w:r w:rsidRPr="008F7C69">
        <w:rPr>
          <w:rFonts w:cs="Times New Roman"/>
          <w:i/>
        </w:rPr>
        <w:t>Občanský zákoník: komentář I.</w:t>
      </w:r>
      <w:r w:rsidRPr="008F7C69">
        <w:rPr>
          <w:rFonts w:cs="Times New Roman"/>
        </w:rPr>
        <w:t xml:space="preserve"> 2. vydání. Praha: C. H. Beck, 2009, s. 820 – 821.</w:t>
      </w:r>
    </w:p>
  </w:footnote>
  <w:footnote w:id="199">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SCHELLEOVÁ, Ilona, SCHELLE, Karel. </w:t>
      </w:r>
      <w:r w:rsidRPr="008F7C69">
        <w:rPr>
          <w:rFonts w:cs="Times New Roman"/>
          <w:i/>
        </w:rPr>
        <w:t xml:space="preserve">Dědické právo podle nového občanského zákoníku. </w:t>
      </w:r>
      <w:r w:rsidRPr="008F7C69">
        <w:rPr>
          <w:rFonts w:cs="Times New Roman"/>
        </w:rPr>
        <w:t>Praha: Linde Praha, a.s., 2013, s. 85 – 86.</w:t>
      </w:r>
    </w:p>
  </w:footnote>
  <w:footnote w:id="200">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BEDNÁŘ, Václav. Nepominutelný dědic. In HAVEL, Bohumil, PIHERA, Vlastimil. </w:t>
      </w:r>
      <w:r w:rsidRPr="008F7C69">
        <w:rPr>
          <w:rFonts w:cs="Times New Roman"/>
          <w:i/>
        </w:rPr>
        <w:t>Soukromé právo na cestě: eseje a jiné texty k jubileu Karla Eliáše.</w:t>
      </w:r>
      <w:r w:rsidRPr="008F7C69">
        <w:rPr>
          <w:rFonts w:cs="Times New Roman"/>
        </w:rPr>
        <w:t xml:space="preserve"> Plzeň: Aleš Čeněk, 2010, s. 25.</w:t>
      </w:r>
    </w:p>
  </w:footnote>
  <w:footnote w:id="201">
    <w:p w:rsidR="004C272C" w:rsidRPr="000A2A13" w:rsidRDefault="004C272C">
      <w:pPr>
        <w:pStyle w:val="Textpoznpodarou"/>
        <w:rPr>
          <w:rFonts w:cs="Times New Roman"/>
        </w:rPr>
      </w:pPr>
      <w:r w:rsidRPr="000A2A13">
        <w:rPr>
          <w:rStyle w:val="Znakapoznpodarou"/>
          <w:rFonts w:cs="Times New Roman"/>
        </w:rPr>
        <w:footnoteRef/>
      </w:r>
      <w:r w:rsidRPr="000A2A13">
        <w:rPr>
          <w:rFonts w:cs="Times New Roman"/>
        </w:rPr>
        <w:t xml:space="preserve"> Důvodová zpráva k zákonu č. 89/2012 Sb., občanský zákoník. Olomouc: Anag, 2012, s. 7 – 11. </w:t>
      </w:r>
    </w:p>
  </w:footnote>
  <w:footnote w:id="202">
    <w:p w:rsidR="004C272C" w:rsidRPr="000A2A13" w:rsidRDefault="004C272C">
      <w:pPr>
        <w:pStyle w:val="Textpoznpodarou"/>
        <w:rPr>
          <w:rFonts w:cs="Times New Roman"/>
        </w:rPr>
      </w:pPr>
      <w:r w:rsidRPr="000A2A13">
        <w:rPr>
          <w:rStyle w:val="Znakapoznpodarou"/>
          <w:rFonts w:cs="Times New Roman"/>
        </w:rPr>
        <w:footnoteRef/>
      </w:r>
      <w:r w:rsidRPr="000A2A13">
        <w:rPr>
          <w:rFonts w:cs="Times New Roman"/>
        </w:rPr>
        <w:t xml:space="preserve"> ELIÁŠ, Karel. Rekodifikace občanského práva v postmoderní době. </w:t>
      </w:r>
      <w:r w:rsidRPr="000A2A13">
        <w:rPr>
          <w:rFonts w:cs="Times New Roman"/>
          <w:i/>
        </w:rPr>
        <w:t>Právní rozhledy</w:t>
      </w:r>
      <w:r w:rsidRPr="000A2A13">
        <w:rPr>
          <w:rFonts w:cs="Times New Roman"/>
        </w:rPr>
        <w:t>, 2008, roč. 16, č. 1, s. 1.</w:t>
      </w:r>
    </w:p>
  </w:footnote>
  <w:footnote w:id="203">
    <w:p w:rsidR="004C272C" w:rsidRPr="008F7C69" w:rsidRDefault="004C272C">
      <w:pPr>
        <w:pStyle w:val="Textpoznpodarou"/>
        <w:rPr>
          <w:rFonts w:cs="Times New Roman"/>
        </w:rPr>
      </w:pPr>
      <w:r w:rsidRPr="000A2A13">
        <w:rPr>
          <w:rStyle w:val="Znakapoznpodarou"/>
          <w:rFonts w:cs="Times New Roman"/>
        </w:rPr>
        <w:footnoteRef/>
      </w:r>
      <w:r w:rsidRPr="000A2A13">
        <w:rPr>
          <w:rFonts w:cs="Times New Roman"/>
        </w:rPr>
        <w:t xml:space="preserve"> ŠVESTKA, Jiří a kol. </w:t>
      </w:r>
      <w:r w:rsidRPr="000A2A13">
        <w:rPr>
          <w:rFonts w:cs="Times New Roman"/>
          <w:i/>
        </w:rPr>
        <w:t>Občanský zákoník: komentář. Svazek IV (§ 1475 až 1720).</w:t>
      </w:r>
      <w:r w:rsidRPr="000A2A13">
        <w:rPr>
          <w:rFonts w:cs="Times New Roman"/>
        </w:rPr>
        <w:t xml:space="preserve"> Praha</w:t>
      </w:r>
      <w:r w:rsidRPr="008F7C69">
        <w:rPr>
          <w:rFonts w:cs="Times New Roman"/>
        </w:rPr>
        <w:t>: Wolters Kluwer ČR, 2014, s. XXI – XXII.</w:t>
      </w:r>
    </w:p>
  </w:footnote>
  <w:footnote w:id="204">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Nepominutelným dědicem nemající právo na povinný díl bude dědic, který naplnil některý z důvodů pro dědickou nezpůsobilost v §1481 a §1482 NOZ. </w:t>
      </w:r>
    </w:p>
  </w:footnote>
  <w:footnote w:id="205">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KOVÁŘOVÁ, Daniela. </w:t>
      </w:r>
      <w:r w:rsidRPr="008F7C69">
        <w:rPr>
          <w:rFonts w:cs="Times New Roman"/>
          <w:i/>
        </w:rPr>
        <w:t xml:space="preserve">Právo na zaopatření </w:t>
      </w:r>
      <w:r w:rsidRPr="008F7C69">
        <w:rPr>
          <w:rFonts w:cs="Times New Roman"/>
        </w:rPr>
        <w:t>[online]. Epravo.cz, 23. dubna. 2015 [citováno 13. 4. 2016]. Dostupné na: &lt; http://www.epravo.cz/top/efocus/pravo-na-zaopatreni-97678.html&gt;.</w:t>
      </w:r>
    </w:p>
  </w:footnote>
  <w:footnote w:id="206">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SVOBODA, Jiří, KLIČKA, Ondřej. </w:t>
      </w:r>
      <w:r w:rsidRPr="008F7C69">
        <w:rPr>
          <w:rFonts w:cs="Times New Roman"/>
          <w:i/>
        </w:rPr>
        <w:t>Dědické právo v praxi.</w:t>
      </w:r>
      <w:r w:rsidRPr="008F7C69">
        <w:rPr>
          <w:rFonts w:cs="Times New Roman"/>
        </w:rPr>
        <w:t xml:space="preserve"> Praha: C. H. Beck, 2014, s. 10.</w:t>
      </w:r>
    </w:p>
  </w:footnote>
  <w:footnote w:id="207">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Takovým důvodem může být dle § 1481 NOZ například to, že se dědic dopustí vůči zůstaviteli činu povahy úmyslného trestného činu nebo zavrženíhodného jednání proti zůstavitelově poslední vůli. Další důvody jsou vymezeny v §1482 NOZ.</w:t>
      </w:r>
    </w:p>
  </w:footnote>
  <w:footnote w:id="208">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ŠVESTKA: </w:t>
      </w:r>
      <w:r w:rsidRPr="008F7C69">
        <w:rPr>
          <w:rFonts w:cs="Times New Roman"/>
          <w:i/>
        </w:rPr>
        <w:t>Občanský zákoník: komentář. Svazek IV...</w:t>
      </w:r>
      <w:r w:rsidRPr="008F7C69">
        <w:rPr>
          <w:rFonts w:cs="Times New Roman"/>
        </w:rPr>
        <w:t>, s. 362.</w:t>
      </w:r>
    </w:p>
  </w:footnote>
  <w:footnote w:id="209">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Tamtéž, s. 368. </w:t>
      </w:r>
    </w:p>
  </w:footnote>
  <w:footnote w:id="210">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Tamtéž, s. 368.</w:t>
      </w:r>
    </w:p>
  </w:footnote>
  <w:footnote w:id="211">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KARHANOVÁ, Martina. Dědická nezpůsobilost a vydědění vs. přečiny a zločiny. </w:t>
      </w:r>
      <w:r w:rsidRPr="008F7C69">
        <w:rPr>
          <w:rFonts w:cs="Times New Roman"/>
          <w:i/>
        </w:rPr>
        <w:t xml:space="preserve">Ad Notam, </w:t>
      </w:r>
      <w:r w:rsidRPr="008F7C69">
        <w:rPr>
          <w:rFonts w:cs="Times New Roman"/>
        </w:rPr>
        <w:t xml:space="preserve">2011, roč. 17, č. 4, s. 7. </w:t>
      </w:r>
    </w:p>
  </w:footnote>
  <w:footnote w:id="212">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ELIÁŠ, Karel a kol. </w:t>
      </w:r>
      <w:r w:rsidRPr="008F7C69">
        <w:rPr>
          <w:rFonts w:cs="Times New Roman"/>
          <w:i/>
        </w:rPr>
        <w:t>Občanské právo pro každého.</w:t>
      </w:r>
      <w:r w:rsidRPr="008F7C69">
        <w:rPr>
          <w:rFonts w:cs="Times New Roman"/>
        </w:rPr>
        <w:t xml:space="preserve"> Praha: Wolterts Kluwer ČR, 2013, s. 295. </w:t>
      </w:r>
    </w:p>
  </w:footnote>
  <w:footnote w:id="213">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ŠVESTKA: </w:t>
      </w:r>
      <w:r w:rsidRPr="008F7C69">
        <w:rPr>
          <w:rFonts w:cs="Times New Roman"/>
          <w:i/>
        </w:rPr>
        <w:t xml:space="preserve">Občanský zákoník: komentář. Svazek IV...., </w:t>
      </w:r>
      <w:r w:rsidRPr="008F7C69">
        <w:rPr>
          <w:rFonts w:cs="Times New Roman"/>
        </w:rPr>
        <w:t>s. 369.</w:t>
      </w:r>
    </w:p>
  </w:footnote>
  <w:footnote w:id="214">
    <w:p w:rsidR="004C272C" w:rsidRPr="008F7C69" w:rsidRDefault="004C272C" w:rsidP="003043AC">
      <w:pPr>
        <w:pStyle w:val="Textpoznpodarou"/>
        <w:rPr>
          <w:rFonts w:cs="Times New Roman"/>
        </w:rPr>
      </w:pPr>
      <w:r w:rsidRPr="008F7C69">
        <w:rPr>
          <w:rStyle w:val="Znakapoznpodarou"/>
          <w:rFonts w:cs="Times New Roman"/>
        </w:rPr>
        <w:footnoteRef/>
      </w:r>
      <w:r w:rsidRPr="008F7C69">
        <w:rPr>
          <w:rFonts w:cs="Times New Roman"/>
        </w:rPr>
        <w:t xml:space="preserve"> NESNÍDAL, Jiří. </w:t>
      </w:r>
      <w:r w:rsidRPr="008F7C69">
        <w:rPr>
          <w:rFonts w:cs="Times New Roman"/>
          <w:i/>
        </w:rPr>
        <w:t xml:space="preserve">Občanský zákoník I. s komentářem. </w:t>
      </w:r>
      <w:r w:rsidRPr="008F7C69">
        <w:rPr>
          <w:rFonts w:cs="Times New Roman"/>
        </w:rPr>
        <w:t>Český Těšín: Poradce, s. r. o, 2012, s. 306.</w:t>
      </w:r>
    </w:p>
  </w:footnote>
  <w:footnote w:id="215">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ELIÁŠ: </w:t>
      </w:r>
      <w:r w:rsidRPr="008F7C69">
        <w:rPr>
          <w:rFonts w:cs="Times New Roman"/>
          <w:i/>
        </w:rPr>
        <w:t xml:space="preserve">Občanské právo...., </w:t>
      </w:r>
      <w:r w:rsidRPr="008F7C69">
        <w:rPr>
          <w:rFonts w:cs="Times New Roman"/>
        </w:rPr>
        <w:t>s. 294.</w:t>
      </w:r>
    </w:p>
  </w:footnote>
  <w:footnote w:id="216">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HORÁK, Ondřej. Tzv. nepominutelný dědic v novém občanském zákoníku. </w:t>
      </w:r>
      <w:r w:rsidRPr="008F7C69">
        <w:rPr>
          <w:rFonts w:cs="Times New Roman"/>
          <w:i/>
        </w:rPr>
        <w:t xml:space="preserve">Právní rozhledy, </w:t>
      </w:r>
      <w:r w:rsidRPr="008F7C69">
        <w:rPr>
          <w:rFonts w:cs="Times New Roman"/>
        </w:rPr>
        <w:t>2014, roč. 22, č. 11, s. 381.</w:t>
      </w:r>
    </w:p>
  </w:footnote>
  <w:footnote w:id="217">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ELIÁŠ: </w:t>
      </w:r>
      <w:r w:rsidRPr="008F7C69">
        <w:rPr>
          <w:rFonts w:cs="Times New Roman"/>
          <w:i/>
        </w:rPr>
        <w:t xml:space="preserve">Občanské právo...., </w:t>
      </w:r>
      <w:r w:rsidRPr="008F7C69">
        <w:rPr>
          <w:rFonts w:cs="Times New Roman"/>
        </w:rPr>
        <w:t>s. 291 – 292.</w:t>
      </w:r>
    </w:p>
  </w:footnote>
  <w:footnote w:id="218">
    <w:p w:rsidR="004C272C" w:rsidRPr="008F7C69" w:rsidRDefault="004C272C" w:rsidP="008E724D">
      <w:pPr>
        <w:pStyle w:val="Textpoznpodarou"/>
        <w:rPr>
          <w:rFonts w:cs="Times New Roman"/>
        </w:rPr>
      </w:pPr>
      <w:r w:rsidRPr="008F7C69">
        <w:rPr>
          <w:rStyle w:val="Znakapoznpodarou"/>
          <w:rFonts w:cs="Times New Roman"/>
        </w:rPr>
        <w:footnoteRef/>
      </w:r>
      <w:r w:rsidRPr="008F7C69">
        <w:rPr>
          <w:rFonts w:cs="Times New Roman"/>
        </w:rPr>
        <w:t xml:space="preserve"> HURDÍK, Jan. </w:t>
      </w:r>
      <w:r w:rsidRPr="008F7C69">
        <w:rPr>
          <w:rFonts w:cs="Times New Roman"/>
          <w:i/>
        </w:rPr>
        <w:t>Občanské právo hmotné. Obecná část. Absolutní majetková práva.</w:t>
      </w:r>
      <w:r w:rsidRPr="008F7C69">
        <w:rPr>
          <w:rFonts w:cs="Times New Roman"/>
        </w:rPr>
        <w:t xml:space="preserve"> Plzeň: Aleš Čeněk, 2013, s. 296.</w:t>
      </w:r>
    </w:p>
  </w:footnote>
  <w:footnote w:id="219">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ŠVESTKA: </w:t>
      </w:r>
      <w:r w:rsidRPr="008F7C69">
        <w:rPr>
          <w:rFonts w:cs="Times New Roman"/>
          <w:i/>
        </w:rPr>
        <w:t xml:space="preserve">Občanský zákoník: komentář. Svazek IV...., </w:t>
      </w:r>
      <w:r w:rsidRPr="008F7C69">
        <w:rPr>
          <w:rFonts w:cs="Times New Roman"/>
        </w:rPr>
        <w:t>s. 375.</w:t>
      </w:r>
    </w:p>
  </w:footnote>
  <w:footnote w:id="220">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ELIÁŠ, Karel. Základní pojetí návrhu úpravy dědického práva pro nový občanský zákoník. </w:t>
      </w:r>
      <w:r w:rsidRPr="008F7C69">
        <w:rPr>
          <w:rFonts w:cs="Times New Roman"/>
          <w:i/>
        </w:rPr>
        <w:t xml:space="preserve">Ad Notam, </w:t>
      </w:r>
      <w:r w:rsidRPr="008F7C69">
        <w:rPr>
          <w:rFonts w:cs="Times New Roman"/>
        </w:rPr>
        <w:t>roč. 9, č. 5, s. 97.</w:t>
      </w:r>
    </w:p>
  </w:footnote>
  <w:footnote w:id="221">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ŠVESTKA: </w:t>
      </w:r>
      <w:r w:rsidRPr="008F7C69">
        <w:rPr>
          <w:rFonts w:cs="Times New Roman"/>
          <w:i/>
        </w:rPr>
        <w:t xml:space="preserve">Občanský zákoník: komentář. Svazek IV...., </w:t>
      </w:r>
      <w:r w:rsidRPr="008F7C69">
        <w:rPr>
          <w:rFonts w:cs="Times New Roman"/>
        </w:rPr>
        <w:t>s. 377.</w:t>
      </w:r>
    </w:p>
  </w:footnote>
  <w:footnote w:id="222">
    <w:p w:rsidR="004C272C" w:rsidRPr="008F7C69" w:rsidRDefault="004C272C">
      <w:pPr>
        <w:pStyle w:val="Textpoznpodarou"/>
        <w:rPr>
          <w:rFonts w:cs="Times New Roman"/>
        </w:rPr>
      </w:pPr>
      <w:r w:rsidRPr="008F7C69">
        <w:rPr>
          <w:rStyle w:val="Znakapoznpodarou"/>
          <w:rFonts w:cs="Times New Roman"/>
        </w:rPr>
        <w:footnoteRef/>
      </w:r>
      <w:r w:rsidRPr="008F7C69">
        <w:rPr>
          <w:rFonts w:cs="Times New Roman"/>
        </w:rPr>
        <w:t xml:space="preserve"> SVOBODA: </w:t>
      </w:r>
      <w:r w:rsidRPr="008F7C69">
        <w:rPr>
          <w:rFonts w:cs="Times New Roman"/>
          <w:i/>
        </w:rPr>
        <w:t>Dědické právo...,</w:t>
      </w:r>
      <w:r w:rsidRPr="008F7C69">
        <w:rPr>
          <w:rFonts w:cs="Times New Roman"/>
        </w:rPr>
        <w:t xml:space="preserve"> s. 25.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D69"/>
    <w:multiLevelType w:val="hybridMultilevel"/>
    <w:tmpl w:val="25DCA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47FAB"/>
    <w:rsid w:val="000014FB"/>
    <w:rsid w:val="000020AC"/>
    <w:rsid w:val="00004159"/>
    <w:rsid w:val="000057D2"/>
    <w:rsid w:val="00005960"/>
    <w:rsid w:val="00006127"/>
    <w:rsid w:val="00006902"/>
    <w:rsid w:val="00006E86"/>
    <w:rsid w:val="00007BA6"/>
    <w:rsid w:val="0001055D"/>
    <w:rsid w:val="000107B6"/>
    <w:rsid w:val="00012999"/>
    <w:rsid w:val="00013E80"/>
    <w:rsid w:val="000148C8"/>
    <w:rsid w:val="00014939"/>
    <w:rsid w:val="00015237"/>
    <w:rsid w:val="00015FAB"/>
    <w:rsid w:val="000162B3"/>
    <w:rsid w:val="00017A55"/>
    <w:rsid w:val="00020EDC"/>
    <w:rsid w:val="00021023"/>
    <w:rsid w:val="00024F6E"/>
    <w:rsid w:val="00025FFA"/>
    <w:rsid w:val="00026AE6"/>
    <w:rsid w:val="0003101E"/>
    <w:rsid w:val="00031654"/>
    <w:rsid w:val="00032D36"/>
    <w:rsid w:val="00040E7A"/>
    <w:rsid w:val="00042215"/>
    <w:rsid w:val="000425E6"/>
    <w:rsid w:val="00042D84"/>
    <w:rsid w:val="00042F0D"/>
    <w:rsid w:val="00043565"/>
    <w:rsid w:val="00043D0E"/>
    <w:rsid w:val="0004434D"/>
    <w:rsid w:val="000447DA"/>
    <w:rsid w:val="000449AE"/>
    <w:rsid w:val="00044C09"/>
    <w:rsid w:val="00044EC6"/>
    <w:rsid w:val="00046AE5"/>
    <w:rsid w:val="00046CD0"/>
    <w:rsid w:val="00050FD7"/>
    <w:rsid w:val="00052BBD"/>
    <w:rsid w:val="000531F9"/>
    <w:rsid w:val="00054A59"/>
    <w:rsid w:val="00054E17"/>
    <w:rsid w:val="000579D1"/>
    <w:rsid w:val="00057D2C"/>
    <w:rsid w:val="00060FF2"/>
    <w:rsid w:val="000613CA"/>
    <w:rsid w:val="00061919"/>
    <w:rsid w:val="00061A9F"/>
    <w:rsid w:val="00061B2A"/>
    <w:rsid w:val="000620A5"/>
    <w:rsid w:val="00063F3F"/>
    <w:rsid w:val="00064BEC"/>
    <w:rsid w:val="00065175"/>
    <w:rsid w:val="00065A33"/>
    <w:rsid w:val="00067077"/>
    <w:rsid w:val="0006763C"/>
    <w:rsid w:val="00070456"/>
    <w:rsid w:val="00070D7D"/>
    <w:rsid w:val="00073E26"/>
    <w:rsid w:val="00076155"/>
    <w:rsid w:val="00077B05"/>
    <w:rsid w:val="00080EA3"/>
    <w:rsid w:val="0008143B"/>
    <w:rsid w:val="00081B8F"/>
    <w:rsid w:val="00082A85"/>
    <w:rsid w:val="0008373D"/>
    <w:rsid w:val="00083C1E"/>
    <w:rsid w:val="00083C83"/>
    <w:rsid w:val="00085A54"/>
    <w:rsid w:val="00085D17"/>
    <w:rsid w:val="000865BF"/>
    <w:rsid w:val="00086D4F"/>
    <w:rsid w:val="000911AD"/>
    <w:rsid w:val="0009238D"/>
    <w:rsid w:val="000924BE"/>
    <w:rsid w:val="00092881"/>
    <w:rsid w:val="00092CE2"/>
    <w:rsid w:val="0009424D"/>
    <w:rsid w:val="00096EDD"/>
    <w:rsid w:val="00097EC9"/>
    <w:rsid w:val="000A031A"/>
    <w:rsid w:val="000A053E"/>
    <w:rsid w:val="000A08A2"/>
    <w:rsid w:val="000A1322"/>
    <w:rsid w:val="000A2A13"/>
    <w:rsid w:val="000A322F"/>
    <w:rsid w:val="000A3902"/>
    <w:rsid w:val="000A429F"/>
    <w:rsid w:val="000A43D2"/>
    <w:rsid w:val="000A6017"/>
    <w:rsid w:val="000A6740"/>
    <w:rsid w:val="000A6F2E"/>
    <w:rsid w:val="000A73DC"/>
    <w:rsid w:val="000B2D4F"/>
    <w:rsid w:val="000B2E9C"/>
    <w:rsid w:val="000B35EA"/>
    <w:rsid w:val="000B4B56"/>
    <w:rsid w:val="000B5164"/>
    <w:rsid w:val="000B5371"/>
    <w:rsid w:val="000B6F7C"/>
    <w:rsid w:val="000B7A3A"/>
    <w:rsid w:val="000C11C7"/>
    <w:rsid w:val="000C1663"/>
    <w:rsid w:val="000C1FF7"/>
    <w:rsid w:val="000C26CB"/>
    <w:rsid w:val="000C34C9"/>
    <w:rsid w:val="000C3BAF"/>
    <w:rsid w:val="000C4AB6"/>
    <w:rsid w:val="000C4EB5"/>
    <w:rsid w:val="000C4ED4"/>
    <w:rsid w:val="000C5CB4"/>
    <w:rsid w:val="000C74FA"/>
    <w:rsid w:val="000D0D61"/>
    <w:rsid w:val="000D0EBC"/>
    <w:rsid w:val="000D190C"/>
    <w:rsid w:val="000D2831"/>
    <w:rsid w:val="000D3544"/>
    <w:rsid w:val="000D4B1A"/>
    <w:rsid w:val="000D6DF5"/>
    <w:rsid w:val="000E0EF0"/>
    <w:rsid w:val="000E17C7"/>
    <w:rsid w:val="000E2456"/>
    <w:rsid w:val="000E42C0"/>
    <w:rsid w:val="000E43EB"/>
    <w:rsid w:val="000E4FBF"/>
    <w:rsid w:val="000E541D"/>
    <w:rsid w:val="000E6648"/>
    <w:rsid w:val="000E7225"/>
    <w:rsid w:val="000E7E32"/>
    <w:rsid w:val="000F00A1"/>
    <w:rsid w:val="000F0DDB"/>
    <w:rsid w:val="000F124A"/>
    <w:rsid w:val="000F20A1"/>
    <w:rsid w:val="000F30CB"/>
    <w:rsid w:val="000F443E"/>
    <w:rsid w:val="000F4539"/>
    <w:rsid w:val="000F567A"/>
    <w:rsid w:val="000F7E71"/>
    <w:rsid w:val="0010052C"/>
    <w:rsid w:val="00100E15"/>
    <w:rsid w:val="00101BB3"/>
    <w:rsid w:val="00102D55"/>
    <w:rsid w:val="0010372D"/>
    <w:rsid w:val="00103A26"/>
    <w:rsid w:val="00103D3A"/>
    <w:rsid w:val="00105335"/>
    <w:rsid w:val="00105EA7"/>
    <w:rsid w:val="00106FAA"/>
    <w:rsid w:val="00107758"/>
    <w:rsid w:val="001077D0"/>
    <w:rsid w:val="001117BD"/>
    <w:rsid w:val="00111CCB"/>
    <w:rsid w:val="00112504"/>
    <w:rsid w:val="00114116"/>
    <w:rsid w:val="001142B5"/>
    <w:rsid w:val="001143E2"/>
    <w:rsid w:val="00114498"/>
    <w:rsid w:val="001144DF"/>
    <w:rsid w:val="00114EF5"/>
    <w:rsid w:val="0011522D"/>
    <w:rsid w:val="0011544C"/>
    <w:rsid w:val="0011663B"/>
    <w:rsid w:val="001173B0"/>
    <w:rsid w:val="0011782F"/>
    <w:rsid w:val="00117E8F"/>
    <w:rsid w:val="001201E7"/>
    <w:rsid w:val="001236DF"/>
    <w:rsid w:val="00125403"/>
    <w:rsid w:val="00127A2E"/>
    <w:rsid w:val="00130578"/>
    <w:rsid w:val="00130BAB"/>
    <w:rsid w:val="001312AF"/>
    <w:rsid w:val="0013141A"/>
    <w:rsid w:val="00131C8F"/>
    <w:rsid w:val="00132B91"/>
    <w:rsid w:val="00132C39"/>
    <w:rsid w:val="0013466D"/>
    <w:rsid w:val="001346C5"/>
    <w:rsid w:val="00136C20"/>
    <w:rsid w:val="00137CE0"/>
    <w:rsid w:val="00137D52"/>
    <w:rsid w:val="00144114"/>
    <w:rsid w:val="001444C7"/>
    <w:rsid w:val="00145506"/>
    <w:rsid w:val="00146753"/>
    <w:rsid w:val="0014684A"/>
    <w:rsid w:val="00147169"/>
    <w:rsid w:val="00150F9A"/>
    <w:rsid w:val="00152F56"/>
    <w:rsid w:val="001535B4"/>
    <w:rsid w:val="0015605E"/>
    <w:rsid w:val="00157625"/>
    <w:rsid w:val="001576F5"/>
    <w:rsid w:val="0016043E"/>
    <w:rsid w:val="0016062C"/>
    <w:rsid w:val="00160678"/>
    <w:rsid w:val="001610F1"/>
    <w:rsid w:val="0016124D"/>
    <w:rsid w:val="00161861"/>
    <w:rsid w:val="00162593"/>
    <w:rsid w:val="00163470"/>
    <w:rsid w:val="00163E69"/>
    <w:rsid w:val="0016428A"/>
    <w:rsid w:val="0016454A"/>
    <w:rsid w:val="001710AE"/>
    <w:rsid w:val="001713B7"/>
    <w:rsid w:val="001724B5"/>
    <w:rsid w:val="0018036A"/>
    <w:rsid w:val="0018181A"/>
    <w:rsid w:val="00182296"/>
    <w:rsid w:val="00182C21"/>
    <w:rsid w:val="00182DFF"/>
    <w:rsid w:val="00183485"/>
    <w:rsid w:val="001842C3"/>
    <w:rsid w:val="00184AAD"/>
    <w:rsid w:val="0018680B"/>
    <w:rsid w:val="00187B1E"/>
    <w:rsid w:val="00187B49"/>
    <w:rsid w:val="00187C2A"/>
    <w:rsid w:val="00187D11"/>
    <w:rsid w:val="00187DFB"/>
    <w:rsid w:val="00190EA4"/>
    <w:rsid w:val="001915D7"/>
    <w:rsid w:val="00193536"/>
    <w:rsid w:val="001937E5"/>
    <w:rsid w:val="00194128"/>
    <w:rsid w:val="001946CB"/>
    <w:rsid w:val="00195060"/>
    <w:rsid w:val="00195FCE"/>
    <w:rsid w:val="001960DE"/>
    <w:rsid w:val="0019622C"/>
    <w:rsid w:val="00197E72"/>
    <w:rsid w:val="001A095A"/>
    <w:rsid w:val="001A1006"/>
    <w:rsid w:val="001A162C"/>
    <w:rsid w:val="001A1A61"/>
    <w:rsid w:val="001A2AE3"/>
    <w:rsid w:val="001A3398"/>
    <w:rsid w:val="001A57C3"/>
    <w:rsid w:val="001A673F"/>
    <w:rsid w:val="001A7706"/>
    <w:rsid w:val="001B0309"/>
    <w:rsid w:val="001B06DB"/>
    <w:rsid w:val="001B1C42"/>
    <w:rsid w:val="001B2707"/>
    <w:rsid w:val="001B2E2D"/>
    <w:rsid w:val="001B39CC"/>
    <w:rsid w:val="001B3C48"/>
    <w:rsid w:val="001B5173"/>
    <w:rsid w:val="001B5528"/>
    <w:rsid w:val="001B5EC0"/>
    <w:rsid w:val="001B6990"/>
    <w:rsid w:val="001B70C8"/>
    <w:rsid w:val="001B7E8D"/>
    <w:rsid w:val="001C354A"/>
    <w:rsid w:val="001C374E"/>
    <w:rsid w:val="001C52F7"/>
    <w:rsid w:val="001C667F"/>
    <w:rsid w:val="001C73EB"/>
    <w:rsid w:val="001D2BEE"/>
    <w:rsid w:val="001D3255"/>
    <w:rsid w:val="001D385C"/>
    <w:rsid w:val="001D38F0"/>
    <w:rsid w:val="001D39BF"/>
    <w:rsid w:val="001D3AE8"/>
    <w:rsid w:val="001D5A07"/>
    <w:rsid w:val="001D5ACB"/>
    <w:rsid w:val="001D6C15"/>
    <w:rsid w:val="001E0CE0"/>
    <w:rsid w:val="001E2B36"/>
    <w:rsid w:val="001E368B"/>
    <w:rsid w:val="001E3BD8"/>
    <w:rsid w:val="001E4817"/>
    <w:rsid w:val="001E4C7A"/>
    <w:rsid w:val="001E6944"/>
    <w:rsid w:val="001E6EFC"/>
    <w:rsid w:val="001E7526"/>
    <w:rsid w:val="001F0839"/>
    <w:rsid w:val="001F187B"/>
    <w:rsid w:val="001F2310"/>
    <w:rsid w:val="001F4040"/>
    <w:rsid w:val="001F5118"/>
    <w:rsid w:val="001F58C0"/>
    <w:rsid w:val="001F5F1C"/>
    <w:rsid w:val="001F640F"/>
    <w:rsid w:val="001F6D97"/>
    <w:rsid w:val="001F6E05"/>
    <w:rsid w:val="00200F66"/>
    <w:rsid w:val="00201BB9"/>
    <w:rsid w:val="0020240A"/>
    <w:rsid w:val="0020285B"/>
    <w:rsid w:val="00204E4D"/>
    <w:rsid w:val="002056A0"/>
    <w:rsid w:val="00206AC5"/>
    <w:rsid w:val="00206ECB"/>
    <w:rsid w:val="00207F5D"/>
    <w:rsid w:val="00210297"/>
    <w:rsid w:val="002105BD"/>
    <w:rsid w:val="00210CA3"/>
    <w:rsid w:val="00210D25"/>
    <w:rsid w:val="00211783"/>
    <w:rsid w:val="002120BD"/>
    <w:rsid w:val="00213920"/>
    <w:rsid w:val="00213B4F"/>
    <w:rsid w:val="00215156"/>
    <w:rsid w:val="00215971"/>
    <w:rsid w:val="002175A4"/>
    <w:rsid w:val="00220719"/>
    <w:rsid w:val="00224E39"/>
    <w:rsid w:val="002253D9"/>
    <w:rsid w:val="002262E3"/>
    <w:rsid w:val="002265C0"/>
    <w:rsid w:val="00226974"/>
    <w:rsid w:val="0022797D"/>
    <w:rsid w:val="00230959"/>
    <w:rsid w:val="00230B22"/>
    <w:rsid w:val="0023177D"/>
    <w:rsid w:val="0023186B"/>
    <w:rsid w:val="00232003"/>
    <w:rsid w:val="00232407"/>
    <w:rsid w:val="00232FB5"/>
    <w:rsid w:val="0023321E"/>
    <w:rsid w:val="00233261"/>
    <w:rsid w:val="00233411"/>
    <w:rsid w:val="002339F2"/>
    <w:rsid w:val="00233ED1"/>
    <w:rsid w:val="0023451E"/>
    <w:rsid w:val="00234B69"/>
    <w:rsid w:val="0023637D"/>
    <w:rsid w:val="00236FF2"/>
    <w:rsid w:val="00237827"/>
    <w:rsid w:val="00241BD9"/>
    <w:rsid w:val="00241BFF"/>
    <w:rsid w:val="00242D08"/>
    <w:rsid w:val="0024310D"/>
    <w:rsid w:val="0024342B"/>
    <w:rsid w:val="002434CC"/>
    <w:rsid w:val="0024543A"/>
    <w:rsid w:val="002459A0"/>
    <w:rsid w:val="00245B18"/>
    <w:rsid w:val="00246204"/>
    <w:rsid w:val="002476D1"/>
    <w:rsid w:val="00250CFE"/>
    <w:rsid w:val="00251532"/>
    <w:rsid w:val="00251595"/>
    <w:rsid w:val="00251A99"/>
    <w:rsid w:val="00252398"/>
    <w:rsid w:val="00252FB3"/>
    <w:rsid w:val="00253884"/>
    <w:rsid w:val="00254725"/>
    <w:rsid w:val="0025696A"/>
    <w:rsid w:val="00256A61"/>
    <w:rsid w:val="00257A3E"/>
    <w:rsid w:val="00262753"/>
    <w:rsid w:val="00262DDB"/>
    <w:rsid w:val="00264E76"/>
    <w:rsid w:val="0026610C"/>
    <w:rsid w:val="00270FE8"/>
    <w:rsid w:val="00271649"/>
    <w:rsid w:val="00271C6A"/>
    <w:rsid w:val="00273124"/>
    <w:rsid w:val="00273398"/>
    <w:rsid w:val="00273F7B"/>
    <w:rsid w:val="002761F1"/>
    <w:rsid w:val="0027688A"/>
    <w:rsid w:val="002770F4"/>
    <w:rsid w:val="0027762B"/>
    <w:rsid w:val="002808C0"/>
    <w:rsid w:val="0028122C"/>
    <w:rsid w:val="00281815"/>
    <w:rsid w:val="00281CF0"/>
    <w:rsid w:val="00282819"/>
    <w:rsid w:val="0028294F"/>
    <w:rsid w:val="00282BD3"/>
    <w:rsid w:val="0028393A"/>
    <w:rsid w:val="00283E2D"/>
    <w:rsid w:val="00285034"/>
    <w:rsid w:val="002867BE"/>
    <w:rsid w:val="00290F16"/>
    <w:rsid w:val="00293C22"/>
    <w:rsid w:val="002949E9"/>
    <w:rsid w:val="00294A9B"/>
    <w:rsid w:val="00295A1B"/>
    <w:rsid w:val="00296F39"/>
    <w:rsid w:val="002A0150"/>
    <w:rsid w:val="002A1E6B"/>
    <w:rsid w:val="002A216D"/>
    <w:rsid w:val="002A26E8"/>
    <w:rsid w:val="002A587B"/>
    <w:rsid w:val="002A5E32"/>
    <w:rsid w:val="002A6BD4"/>
    <w:rsid w:val="002A702D"/>
    <w:rsid w:val="002A713E"/>
    <w:rsid w:val="002B0318"/>
    <w:rsid w:val="002B07FD"/>
    <w:rsid w:val="002B09E7"/>
    <w:rsid w:val="002B0D72"/>
    <w:rsid w:val="002B2B34"/>
    <w:rsid w:val="002B2C06"/>
    <w:rsid w:val="002B33BC"/>
    <w:rsid w:val="002B3522"/>
    <w:rsid w:val="002B3BC1"/>
    <w:rsid w:val="002B5D7C"/>
    <w:rsid w:val="002B616E"/>
    <w:rsid w:val="002B63E1"/>
    <w:rsid w:val="002B7043"/>
    <w:rsid w:val="002B7581"/>
    <w:rsid w:val="002C045A"/>
    <w:rsid w:val="002C0D72"/>
    <w:rsid w:val="002C1A62"/>
    <w:rsid w:val="002C3A00"/>
    <w:rsid w:val="002C662F"/>
    <w:rsid w:val="002C73A5"/>
    <w:rsid w:val="002D20D0"/>
    <w:rsid w:val="002D2EF5"/>
    <w:rsid w:val="002D32A1"/>
    <w:rsid w:val="002D3E8C"/>
    <w:rsid w:val="002D54FB"/>
    <w:rsid w:val="002D6E32"/>
    <w:rsid w:val="002E024B"/>
    <w:rsid w:val="002E1186"/>
    <w:rsid w:val="002E14F8"/>
    <w:rsid w:val="002E270E"/>
    <w:rsid w:val="002E4ADF"/>
    <w:rsid w:val="002E59E5"/>
    <w:rsid w:val="002E5B73"/>
    <w:rsid w:val="002E6909"/>
    <w:rsid w:val="002E6FD2"/>
    <w:rsid w:val="002E7217"/>
    <w:rsid w:val="002F12C3"/>
    <w:rsid w:val="002F18F0"/>
    <w:rsid w:val="002F1F4F"/>
    <w:rsid w:val="002F2598"/>
    <w:rsid w:val="002F2788"/>
    <w:rsid w:val="002F2E4D"/>
    <w:rsid w:val="002F3878"/>
    <w:rsid w:val="002F5405"/>
    <w:rsid w:val="002F685B"/>
    <w:rsid w:val="0030006D"/>
    <w:rsid w:val="00300D50"/>
    <w:rsid w:val="00300E56"/>
    <w:rsid w:val="0030153F"/>
    <w:rsid w:val="00301681"/>
    <w:rsid w:val="00301D9A"/>
    <w:rsid w:val="00301DE2"/>
    <w:rsid w:val="003043AC"/>
    <w:rsid w:val="00304871"/>
    <w:rsid w:val="003059AF"/>
    <w:rsid w:val="00305A44"/>
    <w:rsid w:val="00305F35"/>
    <w:rsid w:val="00306E41"/>
    <w:rsid w:val="003076C5"/>
    <w:rsid w:val="00307927"/>
    <w:rsid w:val="00307D6F"/>
    <w:rsid w:val="00310A5B"/>
    <w:rsid w:val="00313F98"/>
    <w:rsid w:val="00314255"/>
    <w:rsid w:val="00314FC0"/>
    <w:rsid w:val="00317298"/>
    <w:rsid w:val="0031738C"/>
    <w:rsid w:val="00317D7B"/>
    <w:rsid w:val="00320137"/>
    <w:rsid w:val="00320456"/>
    <w:rsid w:val="00321100"/>
    <w:rsid w:val="00322AD3"/>
    <w:rsid w:val="00323E09"/>
    <w:rsid w:val="00325025"/>
    <w:rsid w:val="00326B6D"/>
    <w:rsid w:val="00327081"/>
    <w:rsid w:val="00330C9B"/>
    <w:rsid w:val="00334767"/>
    <w:rsid w:val="00334B3B"/>
    <w:rsid w:val="003350E6"/>
    <w:rsid w:val="0033733E"/>
    <w:rsid w:val="0033736A"/>
    <w:rsid w:val="00337686"/>
    <w:rsid w:val="00340A01"/>
    <w:rsid w:val="003435F0"/>
    <w:rsid w:val="00343BF0"/>
    <w:rsid w:val="00344A36"/>
    <w:rsid w:val="0034517F"/>
    <w:rsid w:val="003451C1"/>
    <w:rsid w:val="003454BE"/>
    <w:rsid w:val="00345D22"/>
    <w:rsid w:val="00347FAB"/>
    <w:rsid w:val="00350429"/>
    <w:rsid w:val="003509C9"/>
    <w:rsid w:val="00351A7E"/>
    <w:rsid w:val="00351E0A"/>
    <w:rsid w:val="00352630"/>
    <w:rsid w:val="00354942"/>
    <w:rsid w:val="00354A85"/>
    <w:rsid w:val="0035519A"/>
    <w:rsid w:val="00355A55"/>
    <w:rsid w:val="00356F04"/>
    <w:rsid w:val="00361A90"/>
    <w:rsid w:val="00363614"/>
    <w:rsid w:val="003637DA"/>
    <w:rsid w:val="003656B5"/>
    <w:rsid w:val="00365FA9"/>
    <w:rsid w:val="003664E0"/>
    <w:rsid w:val="00366DC0"/>
    <w:rsid w:val="003670B9"/>
    <w:rsid w:val="003702D1"/>
    <w:rsid w:val="00371C61"/>
    <w:rsid w:val="003720CC"/>
    <w:rsid w:val="00373220"/>
    <w:rsid w:val="00373F57"/>
    <w:rsid w:val="003756E9"/>
    <w:rsid w:val="00376BC5"/>
    <w:rsid w:val="003818A5"/>
    <w:rsid w:val="00382CD9"/>
    <w:rsid w:val="003836E7"/>
    <w:rsid w:val="003839F5"/>
    <w:rsid w:val="00386AF4"/>
    <w:rsid w:val="00387252"/>
    <w:rsid w:val="00387E62"/>
    <w:rsid w:val="00390047"/>
    <w:rsid w:val="003909E3"/>
    <w:rsid w:val="00390C7D"/>
    <w:rsid w:val="00390EC4"/>
    <w:rsid w:val="00391400"/>
    <w:rsid w:val="00391852"/>
    <w:rsid w:val="00392095"/>
    <w:rsid w:val="0039272B"/>
    <w:rsid w:val="00394314"/>
    <w:rsid w:val="003969B0"/>
    <w:rsid w:val="00396B4C"/>
    <w:rsid w:val="003972FA"/>
    <w:rsid w:val="003A0857"/>
    <w:rsid w:val="003A13CD"/>
    <w:rsid w:val="003A1458"/>
    <w:rsid w:val="003A1989"/>
    <w:rsid w:val="003A2151"/>
    <w:rsid w:val="003A2408"/>
    <w:rsid w:val="003A353D"/>
    <w:rsid w:val="003A3D2E"/>
    <w:rsid w:val="003A3F6D"/>
    <w:rsid w:val="003A46BB"/>
    <w:rsid w:val="003A4941"/>
    <w:rsid w:val="003A503C"/>
    <w:rsid w:val="003A601A"/>
    <w:rsid w:val="003B0194"/>
    <w:rsid w:val="003B123E"/>
    <w:rsid w:val="003B1D58"/>
    <w:rsid w:val="003B1E28"/>
    <w:rsid w:val="003B3501"/>
    <w:rsid w:val="003B369B"/>
    <w:rsid w:val="003B3CF3"/>
    <w:rsid w:val="003B4822"/>
    <w:rsid w:val="003B50A8"/>
    <w:rsid w:val="003B5F52"/>
    <w:rsid w:val="003B7519"/>
    <w:rsid w:val="003C06F2"/>
    <w:rsid w:val="003C1E47"/>
    <w:rsid w:val="003C2242"/>
    <w:rsid w:val="003C28AF"/>
    <w:rsid w:val="003C4FD8"/>
    <w:rsid w:val="003C5460"/>
    <w:rsid w:val="003C5F37"/>
    <w:rsid w:val="003D0548"/>
    <w:rsid w:val="003D05F0"/>
    <w:rsid w:val="003D0B57"/>
    <w:rsid w:val="003D136E"/>
    <w:rsid w:val="003D3268"/>
    <w:rsid w:val="003D4B2E"/>
    <w:rsid w:val="003D5A57"/>
    <w:rsid w:val="003D61F3"/>
    <w:rsid w:val="003D629E"/>
    <w:rsid w:val="003D6EA9"/>
    <w:rsid w:val="003D7921"/>
    <w:rsid w:val="003E1DB1"/>
    <w:rsid w:val="003E3D99"/>
    <w:rsid w:val="003E41AC"/>
    <w:rsid w:val="003E456A"/>
    <w:rsid w:val="003E5580"/>
    <w:rsid w:val="003F04AA"/>
    <w:rsid w:val="003F3168"/>
    <w:rsid w:val="003F3C78"/>
    <w:rsid w:val="003F45EF"/>
    <w:rsid w:val="003F5A78"/>
    <w:rsid w:val="003F62E8"/>
    <w:rsid w:val="003F6633"/>
    <w:rsid w:val="003F66DE"/>
    <w:rsid w:val="003F6A55"/>
    <w:rsid w:val="003F7AB2"/>
    <w:rsid w:val="004005F3"/>
    <w:rsid w:val="00400877"/>
    <w:rsid w:val="00401007"/>
    <w:rsid w:val="004018F0"/>
    <w:rsid w:val="00401D0E"/>
    <w:rsid w:val="00403E43"/>
    <w:rsid w:val="004058D1"/>
    <w:rsid w:val="00405E5A"/>
    <w:rsid w:val="0040625E"/>
    <w:rsid w:val="00406F77"/>
    <w:rsid w:val="00407130"/>
    <w:rsid w:val="0040734A"/>
    <w:rsid w:val="00407CFB"/>
    <w:rsid w:val="00407E5C"/>
    <w:rsid w:val="004120FB"/>
    <w:rsid w:val="00412183"/>
    <w:rsid w:val="00413558"/>
    <w:rsid w:val="00414071"/>
    <w:rsid w:val="004142F5"/>
    <w:rsid w:val="00421120"/>
    <w:rsid w:val="00422CBE"/>
    <w:rsid w:val="00425140"/>
    <w:rsid w:val="004261D4"/>
    <w:rsid w:val="00430DEB"/>
    <w:rsid w:val="0043169D"/>
    <w:rsid w:val="00433604"/>
    <w:rsid w:val="00434530"/>
    <w:rsid w:val="00435063"/>
    <w:rsid w:val="004352C8"/>
    <w:rsid w:val="0043543A"/>
    <w:rsid w:val="004373C2"/>
    <w:rsid w:val="00437CA4"/>
    <w:rsid w:val="00440D40"/>
    <w:rsid w:val="004412EF"/>
    <w:rsid w:val="004416B4"/>
    <w:rsid w:val="00441AE3"/>
    <w:rsid w:val="00441DD9"/>
    <w:rsid w:val="00442E16"/>
    <w:rsid w:val="00443209"/>
    <w:rsid w:val="00444A62"/>
    <w:rsid w:val="00444BE0"/>
    <w:rsid w:val="004452F4"/>
    <w:rsid w:val="00450391"/>
    <w:rsid w:val="00450631"/>
    <w:rsid w:val="004513E2"/>
    <w:rsid w:val="00451C50"/>
    <w:rsid w:val="00451CEF"/>
    <w:rsid w:val="00452A40"/>
    <w:rsid w:val="00453FCD"/>
    <w:rsid w:val="00456269"/>
    <w:rsid w:val="00460C64"/>
    <w:rsid w:val="004632D0"/>
    <w:rsid w:val="00464729"/>
    <w:rsid w:val="0046497F"/>
    <w:rsid w:val="00464D74"/>
    <w:rsid w:val="00464E49"/>
    <w:rsid w:val="00465028"/>
    <w:rsid w:val="0046612D"/>
    <w:rsid w:val="00467F38"/>
    <w:rsid w:val="00467F56"/>
    <w:rsid w:val="00470F96"/>
    <w:rsid w:val="00471797"/>
    <w:rsid w:val="004723C3"/>
    <w:rsid w:val="0047386E"/>
    <w:rsid w:val="00473ADF"/>
    <w:rsid w:val="0047437C"/>
    <w:rsid w:val="00474898"/>
    <w:rsid w:val="0047530D"/>
    <w:rsid w:val="00475347"/>
    <w:rsid w:val="0047702E"/>
    <w:rsid w:val="00480167"/>
    <w:rsid w:val="0048159F"/>
    <w:rsid w:val="00481A18"/>
    <w:rsid w:val="004824DF"/>
    <w:rsid w:val="0048444F"/>
    <w:rsid w:val="00484AB7"/>
    <w:rsid w:val="0048574E"/>
    <w:rsid w:val="004858D9"/>
    <w:rsid w:val="00485CBA"/>
    <w:rsid w:val="004906FF"/>
    <w:rsid w:val="00490DEC"/>
    <w:rsid w:val="0049156E"/>
    <w:rsid w:val="004917EF"/>
    <w:rsid w:val="00492929"/>
    <w:rsid w:val="00493A4B"/>
    <w:rsid w:val="00493DBF"/>
    <w:rsid w:val="00494783"/>
    <w:rsid w:val="00494AE0"/>
    <w:rsid w:val="004A0274"/>
    <w:rsid w:val="004A03FF"/>
    <w:rsid w:val="004A3168"/>
    <w:rsid w:val="004A6D4B"/>
    <w:rsid w:val="004B061B"/>
    <w:rsid w:val="004B11F5"/>
    <w:rsid w:val="004B12FB"/>
    <w:rsid w:val="004B1873"/>
    <w:rsid w:val="004B18DD"/>
    <w:rsid w:val="004B3CBD"/>
    <w:rsid w:val="004B486B"/>
    <w:rsid w:val="004B50CD"/>
    <w:rsid w:val="004B6DA1"/>
    <w:rsid w:val="004B6FDD"/>
    <w:rsid w:val="004B7C89"/>
    <w:rsid w:val="004B7D60"/>
    <w:rsid w:val="004C08FA"/>
    <w:rsid w:val="004C272C"/>
    <w:rsid w:val="004C2C12"/>
    <w:rsid w:val="004C3CB5"/>
    <w:rsid w:val="004C4302"/>
    <w:rsid w:val="004C4C9A"/>
    <w:rsid w:val="004C789F"/>
    <w:rsid w:val="004D0818"/>
    <w:rsid w:val="004D0AB8"/>
    <w:rsid w:val="004D121E"/>
    <w:rsid w:val="004D2038"/>
    <w:rsid w:val="004D25CC"/>
    <w:rsid w:val="004D2B69"/>
    <w:rsid w:val="004D2E15"/>
    <w:rsid w:val="004D3133"/>
    <w:rsid w:val="004D4C2D"/>
    <w:rsid w:val="004D5753"/>
    <w:rsid w:val="004D5DA6"/>
    <w:rsid w:val="004D644A"/>
    <w:rsid w:val="004D6776"/>
    <w:rsid w:val="004D7683"/>
    <w:rsid w:val="004E0B49"/>
    <w:rsid w:val="004E0D64"/>
    <w:rsid w:val="004E0D8E"/>
    <w:rsid w:val="004E13A2"/>
    <w:rsid w:val="004E3110"/>
    <w:rsid w:val="004E3780"/>
    <w:rsid w:val="004E3F6C"/>
    <w:rsid w:val="004E48A3"/>
    <w:rsid w:val="004E51B2"/>
    <w:rsid w:val="004E5794"/>
    <w:rsid w:val="004E62C3"/>
    <w:rsid w:val="004E7500"/>
    <w:rsid w:val="004E7ACC"/>
    <w:rsid w:val="004F1307"/>
    <w:rsid w:val="004F3ABB"/>
    <w:rsid w:val="004F4286"/>
    <w:rsid w:val="004F56C4"/>
    <w:rsid w:val="004F5AE2"/>
    <w:rsid w:val="004F5B35"/>
    <w:rsid w:val="004F7105"/>
    <w:rsid w:val="004F7590"/>
    <w:rsid w:val="004F7D5B"/>
    <w:rsid w:val="00500671"/>
    <w:rsid w:val="00500950"/>
    <w:rsid w:val="00502211"/>
    <w:rsid w:val="00502544"/>
    <w:rsid w:val="00502CE1"/>
    <w:rsid w:val="0050541A"/>
    <w:rsid w:val="00505CE1"/>
    <w:rsid w:val="00505F7B"/>
    <w:rsid w:val="0050792B"/>
    <w:rsid w:val="00507A22"/>
    <w:rsid w:val="005120AC"/>
    <w:rsid w:val="00514269"/>
    <w:rsid w:val="00514B5A"/>
    <w:rsid w:val="00515FF6"/>
    <w:rsid w:val="005169FF"/>
    <w:rsid w:val="00516C61"/>
    <w:rsid w:val="00520146"/>
    <w:rsid w:val="00520854"/>
    <w:rsid w:val="00521FC5"/>
    <w:rsid w:val="00523D6D"/>
    <w:rsid w:val="005255D8"/>
    <w:rsid w:val="00526750"/>
    <w:rsid w:val="00526C0C"/>
    <w:rsid w:val="00530C16"/>
    <w:rsid w:val="005320AA"/>
    <w:rsid w:val="00534310"/>
    <w:rsid w:val="00534A7F"/>
    <w:rsid w:val="00536014"/>
    <w:rsid w:val="00536B1A"/>
    <w:rsid w:val="00536D35"/>
    <w:rsid w:val="00540D56"/>
    <w:rsid w:val="00542412"/>
    <w:rsid w:val="00543149"/>
    <w:rsid w:val="00543782"/>
    <w:rsid w:val="005440CF"/>
    <w:rsid w:val="00545056"/>
    <w:rsid w:val="00545AD1"/>
    <w:rsid w:val="00546CE7"/>
    <w:rsid w:val="00547753"/>
    <w:rsid w:val="0054798D"/>
    <w:rsid w:val="005532A2"/>
    <w:rsid w:val="00553410"/>
    <w:rsid w:val="0055457B"/>
    <w:rsid w:val="005549D9"/>
    <w:rsid w:val="00556C27"/>
    <w:rsid w:val="00557394"/>
    <w:rsid w:val="005573DA"/>
    <w:rsid w:val="0055792E"/>
    <w:rsid w:val="00560938"/>
    <w:rsid w:val="005618C4"/>
    <w:rsid w:val="00562C6B"/>
    <w:rsid w:val="0056347C"/>
    <w:rsid w:val="00563C27"/>
    <w:rsid w:val="00564901"/>
    <w:rsid w:val="00565019"/>
    <w:rsid w:val="00567C25"/>
    <w:rsid w:val="0057018B"/>
    <w:rsid w:val="00570FA8"/>
    <w:rsid w:val="00571FCE"/>
    <w:rsid w:val="00574A5F"/>
    <w:rsid w:val="00574F88"/>
    <w:rsid w:val="005759E9"/>
    <w:rsid w:val="005760DB"/>
    <w:rsid w:val="00577E3D"/>
    <w:rsid w:val="00580CAB"/>
    <w:rsid w:val="0058221C"/>
    <w:rsid w:val="00583436"/>
    <w:rsid w:val="0058396B"/>
    <w:rsid w:val="00583BE0"/>
    <w:rsid w:val="00584D4B"/>
    <w:rsid w:val="00584DBB"/>
    <w:rsid w:val="00587FE6"/>
    <w:rsid w:val="0059198D"/>
    <w:rsid w:val="005925F1"/>
    <w:rsid w:val="00594A3C"/>
    <w:rsid w:val="00594D0E"/>
    <w:rsid w:val="00596F5F"/>
    <w:rsid w:val="005975AF"/>
    <w:rsid w:val="005976F6"/>
    <w:rsid w:val="005A0BAD"/>
    <w:rsid w:val="005A187E"/>
    <w:rsid w:val="005A4957"/>
    <w:rsid w:val="005A4CE1"/>
    <w:rsid w:val="005A4F90"/>
    <w:rsid w:val="005B01FA"/>
    <w:rsid w:val="005B0501"/>
    <w:rsid w:val="005B0B31"/>
    <w:rsid w:val="005B1D6A"/>
    <w:rsid w:val="005B294A"/>
    <w:rsid w:val="005B3C99"/>
    <w:rsid w:val="005B4CE8"/>
    <w:rsid w:val="005B6E67"/>
    <w:rsid w:val="005C2353"/>
    <w:rsid w:val="005C387C"/>
    <w:rsid w:val="005C4023"/>
    <w:rsid w:val="005C4673"/>
    <w:rsid w:val="005C5794"/>
    <w:rsid w:val="005C5FBC"/>
    <w:rsid w:val="005D145A"/>
    <w:rsid w:val="005D17D9"/>
    <w:rsid w:val="005D26DE"/>
    <w:rsid w:val="005D300A"/>
    <w:rsid w:val="005D4B91"/>
    <w:rsid w:val="005D530D"/>
    <w:rsid w:val="005D5390"/>
    <w:rsid w:val="005D58D1"/>
    <w:rsid w:val="005D5B84"/>
    <w:rsid w:val="005D5EE9"/>
    <w:rsid w:val="005E1241"/>
    <w:rsid w:val="005E1C52"/>
    <w:rsid w:val="005E20D1"/>
    <w:rsid w:val="005E40EF"/>
    <w:rsid w:val="005E52EA"/>
    <w:rsid w:val="005E5685"/>
    <w:rsid w:val="005E5EE4"/>
    <w:rsid w:val="005E6237"/>
    <w:rsid w:val="005E6812"/>
    <w:rsid w:val="005E7494"/>
    <w:rsid w:val="005E7E32"/>
    <w:rsid w:val="005F44EB"/>
    <w:rsid w:val="005F500F"/>
    <w:rsid w:val="005F5188"/>
    <w:rsid w:val="005F5F22"/>
    <w:rsid w:val="005F6710"/>
    <w:rsid w:val="005F6DD4"/>
    <w:rsid w:val="005F70CA"/>
    <w:rsid w:val="005F790E"/>
    <w:rsid w:val="005F7A33"/>
    <w:rsid w:val="005F7D05"/>
    <w:rsid w:val="00600547"/>
    <w:rsid w:val="00600852"/>
    <w:rsid w:val="006017EA"/>
    <w:rsid w:val="0060269F"/>
    <w:rsid w:val="00602D47"/>
    <w:rsid w:val="00603F61"/>
    <w:rsid w:val="00604313"/>
    <w:rsid w:val="00605692"/>
    <w:rsid w:val="00605F7A"/>
    <w:rsid w:val="00606190"/>
    <w:rsid w:val="00606F02"/>
    <w:rsid w:val="00607200"/>
    <w:rsid w:val="00607439"/>
    <w:rsid w:val="0061171D"/>
    <w:rsid w:val="0061290E"/>
    <w:rsid w:val="00614122"/>
    <w:rsid w:val="0061419E"/>
    <w:rsid w:val="0061597C"/>
    <w:rsid w:val="00616955"/>
    <w:rsid w:val="00616C05"/>
    <w:rsid w:val="00617A99"/>
    <w:rsid w:val="006211D3"/>
    <w:rsid w:val="0062291D"/>
    <w:rsid w:val="0062518E"/>
    <w:rsid w:val="00625840"/>
    <w:rsid w:val="0062797F"/>
    <w:rsid w:val="00630E15"/>
    <w:rsid w:val="00630F2A"/>
    <w:rsid w:val="00632DE5"/>
    <w:rsid w:val="00634F66"/>
    <w:rsid w:val="00635065"/>
    <w:rsid w:val="006355B2"/>
    <w:rsid w:val="0063570A"/>
    <w:rsid w:val="006371D2"/>
    <w:rsid w:val="006371EB"/>
    <w:rsid w:val="006420A6"/>
    <w:rsid w:val="00642527"/>
    <w:rsid w:val="00646EA5"/>
    <w:rsid w:val="006523C5"/>
    <w:rsid w:val="00652BB3"/>
    <w:rsid w:val="00652EE8"/>
    <w:rsid w:val="006530AD"/>
    <w:rsid w:val="0065366A"/>
    <w:rsid w:val="00653BFB"/>
    <w:rsid w:val="006550B4"/>
    <w:rsid w:val="00655457"/>
    <w:rsid w:val="00655C19"/>
    <w:rsid w:val="00655D9E"/>
    <w:rsid w:val="006560BF"/>
    <w:rsid w:val="006561DF"/>
    <w:rsid w:val="006579E3"/>
    <w:rsid w:val="00657C01"/>
    <w:rsid w:val="006632FB"/>
    <w:rsid w:val="006652DD"/>
    <w:rsid w:val="00665901"/>
    <w:rsid w:val="00666C0D"/>
    <w:rsid w:val="00666E08"/>
    <w:rsid w:val="00667581"/>
    <w:rsid w:val="0066763C"/>
    <w:rsid w:val="0067005E"/>
    <w:rsid w:val="006714EB"/>
    <w:rsid w:val="0067150A"/>
    <w:rsid w:val="00671A85"/>
    <w:rsid w:val="00671F43"/>
    <w:rsid w:val="00671F76"/>
    <w:rsid w:val="0067590D"/>
    <w:rsid w:val="00676D86"/>
    <w:rsid w:val="006773BF"/>
    <w:rsid w:val="00677919"/>
    <w:rsid w:val="00677C8D"/>
    <w:rsid w:val="00677E7F"/>
    <w:rsid w:val="00680163"/>
    <w:rsid w:val="00681411"/>
    <w:rsid w:val="00681706"/>
    <w:rsid w:val="006836A5"/>
    <w:rsid w:val="0068392A"/>
    <w:rsid w:val="00684D68"/>
    <w:rsid w:val="00685EFB"/>
    <w:rsid w:val="00686170"/>
    <w:rsid w:val="00687653"/>
    <w:rsid w:val="00690046"/>
    <w:rsid w:val="00690557"/>
    <w:rsid w:val="00690567"/>
    <w:rsid w:val="006906D1"/>
    <w:rsid w:val="00692007"/>
    <w:rsid w:val="00693066"/>
    <w:rsid w:val="0069319D"/>
    <w:rsid w:val="00693755"/>
    <w:rsid w:val="0069399F"/>
    <w:rsid w:val="00693F07"/>
    <w:rsid w:val="00694B0C"/>
    <w:rsid w:val="0069510D"/>
    <w:rsid w:val="006962E3"/>
    <w:rsid w:val="00697250"/>
    <w:rsid w:val="0069763E"/>
    <w:rsid w:val="006A1FFC"/>
    <w:rsid w:val="006A2172"/>
    <w:rsid w:val="006A235F"/>
    <w:rsid w:val="006A2B98"/>
    <w:rsid w:val="006A44CB"/>
    <w:rsid w:val="006A5092"/>
    <w:rsid w:val="006A5B45"/>
    <w:rsid w:val="006A5FD8"/>
    <w:rsid w:val="006A6E5A"/>
    <w:rsid w:val="006A6EDF"/>
    <w:rsid w:val="006A70A3"/>
    <w:rsid w:val="006A74A6"/>
    <w:rsid w:val="006A779B"/>
    <w:rsid w:val="006B0270"/>
    <w:rsid w:val="006B1095"/>
    <w:rsid w:val="006B130A"/>
    <w:rsid w:val="006B16B4"/>
    <w:rsid w:val="006B1ECC"/>
    <w:rsid w:val="006B2172"/>
    <w:rsid w:val="006B27FA"/>
    <w:rsid w:val="006B3631"/>
    <w:rsid w:val="006B41B8"/>
    <w:rsid w:val="006B493B"/>
    <w:rsid w:val="006B5928"/>
    <w:rsid w:val="006C0372"/>
    <w:rsid w:val="006C1AE2"/>
    <w:rsid w:val="006C1CFB"/>
    <w:rsid w:val="006C1D70"/>
    <w:rsid w:val="006C2771"/>
    <w:rsid w:val="006C2A38"/>
    <w:rsid w:val="006C3A88"/>
    <w:rsid w:val="006C52BB"/>
    <w:rsid w:val="006C6BF2"/>
    <w:rsid w:val="006C7543"/>
    <w:rsid w:val="006D1F4F"/>
    <w:rsid w:val="006D2204"/>
    <w:rsid w:val="006D3184"/>
    <w:rsid w:val="006D44F6"/>
    <w:rsid w:val="006D460A"/>
    <w:rsid w:val="006D6512"/>
    <w:rsid w:val="006D7CF3"/>
    <w:rsid w:val="006D7D3A"/>
    <w:rsid w:val="006E02ED"/>
    <w:rsid w:val="006E0350"/>
    <w:rsid w:val="006E16E7"/>
    <w:rsid w:val="006E20F8"/>
    <w:rsid w:val="006E2C62"/>
    <w:rsid w:val="006E3159"/>
    <w:rsid w:val="006E3A38"/>
    <w:rsid w:val="006E48EF"/>
    <w:rsid w:val="006E65A0"/>
    <w:rsid w:val="006E6621"/>
    <w:rsid w:val="006E7A39"/>
    <w:rsid w:val="006F0B88"/>
    <w:rsid w:val="006F19BA"/>
    <w:rsid w:val="006F22CD"/>
    <w:rsid w:val="006F24C1"/>
    <w:rsid w:val="006F3ED3"/>
    <w:rsid w:val="006F4046"/>
    <w:rsid w:val="006F4389"/>
    <w:rsid w:val="006F5714"/>
    <w:rsid w:val="006F6B21"/>
    <w:rsid w:val="006F6FCB"/>
    <w:rsid w:val="006F722A"/>
    <w:rsid w:val="0070047F"/>
    <w:rsid w:val="00700CBD"/>
    <w:rsid w:val="00702156"/>
    <w:rsid w:val="00702838"/>
    <w:rsid w:val="007032D6"/>
    <w:rsid w:val="007047EA"/>
    <w:rsid w:val="00704FF9"/>
    <w:rsid w:val="00705A78"/>
    <w:rsid w:val="00710551"/>
    <w:rsid w:val="00711704"/>
    <w:rsid w:val="00711B5F"/>
    <w:rsid w:val="0071437B"/>
    <w:rsid w:val="00714776"/>
    <w:rsid w:val="00715A6C"/>
    <w:rsid w:val="00717C98"/>
    <w:rsid w:val="00717DD8"/>
    <w:rsid w:val="0072201D"/>
    <w:rsid w:val="007237DF"/>
    <w:rsid w:val="0072704D"/>
    <w:rsid w:val="00727300"/>
    <w:rsid w:val="007333B1"/>
    <w:rsid w:val="00733581"/>
    <w:rsid w:val="00734BA9"/>
    <w:rsid w:val="00735835"/>
    <w:rsid w:val="00736441"/>
    <w:rsid w:val="0073795D"/>
    <w:rsid w:val="00740930"/>
    <w:rsid w:val="007416E3"/>
    <w:rsid w:val="00743314"/>
    <w:rsid w:val="0074357B"/>
    <w:rsid w:val="007446F9"/>
    <w:rsid w:val="007502FE"/>
    <w:rsid w:val="00751011"/>
    <w:rsid w:val="0075142A"/>
    <w:rsid w:val="00752875"/>
    <w:rsid w:val="00753F29"/>
    <w:rsid w:val="00753F61"/>
    <w:rsid w:val="007557B5"/>
    <w:rsid w:val="00756381"/>
    <w:rsid w:val="0075646F"/>
    <w:rsid w:val="0075684A"/>
    <w:rsid w:val="00757241"/>
    <w:rsid w:val="007575EC"/>
    <w:rsid w:val="007578DB"/>
    <w:rsid w:val="00760CFB"/>
    <w:rsid w:val="00762154"/>
    <w:rsid w:val="00762533"/>
    <w:rsid w:val="007651D3"/>
    <w:rsid w:val="00770149"/>
    <w:rsid w:val="00771287"/>
    <w:rsid w:val="007719FD"/>
    <w:rsid w:val="00771DA7"/>
    <w:rsid w:val="00772246"/>
    <w:rsid w:val="007724D4"/>
    <w:rsid w:val="00772FC0"/>
    <w:rsid w:val="0077466A"/>
    <w:rsid w:val="00774B92"/>
    <w:rsid w:val="00774FD8"/>
    <w:rsid w:val="00780145"/>
    <w:rsid w:val="0078020D"/>
    <w:rsid w:val="0078038D"/>
    <w:rsid w:val="007807CE"/>
    <w:rsid w:val="0078094C"/>
    <w:rsid w:val="007819B0"/>
    <w:rsid w:val="00782087"/>
    <w:rsid w:val="00782723"/>
    <w:rsid w:val="00782D53"/>
    <w:rsid w:val="0078733F"/>
    <w:rsid w:val="007878C2"/>
    <w:rsid w:val="00791384"/>
    <w:rsid w:val="00791AA4"/>
    <w:rsid w:val="0079344A"/>
    <w:rsid w:val="0079355F"/>
    <w:rsid w:val="00794749"/>
    <w:rsid w:val="00795FCB"/>
    <w:rsid w:val="0079632E"/>
    <w:rsid w:val="007A0810"/>
    <w:rsid w:val="007A0894"/>
    <w:rsid w:val="007A0A3B"/>
    <w:rsid w:val="007A0EE5"/>
    <w:rsid w:val="007A33D3"/>
    <w:rsid w:val="007A3B10"/>
    <w:rsid w:val="007A3ED6"/>
    <w:rsid w:val="007A4F14"/>
    <w:rsid w:val="007A65DE"/>
    <w:rsid w:val="007A6658"/>
    <w:rsid w:val="007A7F92"/>
    <w:rsid w:val="007B018C"/>
    <w:rsid w:val="007B02D9"/>
    <w:rsid w:val="007B1189"/>
    <w:rsid w:val="007B21C0"/>
    <w:rsid w:val="007B2D35"/>
    <w:rsid w:val="007B2E70"/>
    <w:rsid w:val="007B3137"/>
    <w:rsid w:val="007B4FD4"/>
    <w:rsid w:val="007B4FE7"/>
    <w:rsid w:val="007C0736"/>
    <w:rsid w:val="007C0A4D"/>
    <w:rsid w:val="007C200A"/>
    <w:rsid w:val="007C4808"/>
    <w:rsid w:val="007C554F"/>
    <w:rsid w:val="007C5735"/>
    <w:rsid w:val="007C5744"/>
    <w:rsid w:val="007C5E91"/>
    <w:rsid w:val="007C6167"/>
    <w:rsid w:val="007C6A1F"/>
    <w:rsid w:val="007D03E3"/>
    <w:rsid w:val="007D3134"/>
    <w:rsid w:val="007D36F1"/>
    <w:rsid w:val="007D41A1"/>
    <w:rsid w:val="007D5C12"/>
    <w:rsid w:val="007D652F"/>
    <w:rsid w:val="007D68EA"/>
    <w:rsid w:val="007D6A65"/>
    <w:rsid w:val="007D77E1"/>
    <w:rsid w:val="007D7949"/>
    <w:rsid w:val="007D7B38"/>
    <w:rsid w:val="007E1F70"/>
    <w:rsid w:val="007E2573"/>
    <w:rsid w:val="007E2F51"/>
    <w:rsid w:val="007E2FE8"/>
    <w:rsid w:val="007E723D"/>
    <w:rsid w:val="007E762B"/>
    <w:rsid w:val="007E7F21"/>
    <w:rsid w:val="007F0AF0"/>
    <w:rsid w:val="007F129A"/>
    <w:rsid w:val="007F1926"/>
    <w:rsid w:val="007F1F96"/>
    <w:rsid w:val="007F3E0A"/>
    <w:rsid w:val="007F688A"/>
    <w:rsid w:val="007F7C0E"/>
    <w:rsid w:val="007F7E8D"/>
    <w:rsid w:val="00800802"/>
    <w:rsid w:val="008050EC"/>
    <w:rsid w:val="00805A7B"/>
    <w:rsid w:val="00806562"/>
    <w:rsid w:val="00806C1D"/>
    <w:rsid w:val="00807FE8"/>
    <w:rsid w:val="00810050"/>
    <w:rsid w:val="008108E0"/>
    <w:rsid w:val="00811FE4"/>
    <w:rsid w:val="00812A0A"/>
    <w:rsid w:val="00813538"/>
    <w:rsid w:val="00814D9D"/>
    <w:rsid w:val="00815E4B"/>
    <w:rsid w:val="008166A0"/>
    <w:rsid w:val="00816EA4"/>
    <w:rsid w:val="0081708C"/>
    <w:rsid w:val="008202D3"/>
    <w:rsid w:val="00821560"/>
    <w:rsid w:val="00822A00"/>
    <w:rsid w:val="0082456A"/>
    <w:rsid w:val="008255BC"/>
    <w:rsid w:val="0082569A"/>
    <w:rsid w:val="00825BA2"/>
    <w:rsid w:val="00826607"/>
    <w:rsid w:val="008273BB"/>
    <w:rsid w:val="008314E2"/>
    <w:rsid w:val="0083194F"/>
    <w:rsid w:val="0083322F"/>
    <w:rsid w:val="00833610"/>
    <w:rsid w:val="0083549D"/>
    <w:rsid w:val="00835761"/>
    <w:rsid w:val="008368C0"/>
    <w:rsid w:val="00837315"/>
    <w:rsid w:val="00837703"/>
    <w:rsid w:val="008377F0"/>
    <w:rsid w:val="008377F5"/>
    <w:rsid w:val="00841A62"/>
    <w:rsid w:val="00841C76"/>
    <w:rsid w:val="00841D36"/>
    <w:rsid w:val="008421C1"/>
    <w:rsid w:val="008428A3"/>
    <w:rsid w:val="00843B47"/>
    <w:rsid w:val="00843CD1"/>
    <w:rsid w:val="00844686"/>
    <w:rsid w:val="008476D2"/>
    <w:rsid w:val="0084772B"/>
    <w:rsid w:val="00851B69"/>
    <w:rsid w:val="00851EE4"/>
    <w:rsid w:val="0085539B"/>
    <w:rsid w:val="00855DFB"/>
    <w:rsid w:val="00855E2D"/>
    <w:rsid w:val="008566B1"/>
    <w:rsid w:val="00857EDC"/>
    <w:rsid w:val="00860FBC"/>
    <w:rsid w:val="0086122B"/>
    <w:rsid w:val="00861C19"/>
    <w:rsid w:val="00865CA7"/>
    <w:rsid w:val="00866227"/>
    <w:rsid w:val="0086662E"/>
    <w:rsid w:val="008667D2"/>
    <w:rsid w:val="008670C2"/>
    <w:rsid w:val="008674FC"/>
    <w:rsid w:val="00867B8E"/>
    <w:rsid w:val="00870F31"/>
    <w:rsid w:val="00872A60"/>
    <w:rsid w:val="008738DA"/>
    <w:rsid w:val="00873D2B"/>
    <w:rsid w:val="00873F1B"/>
    <w:rsid w:val="00874BD9"/>
    <w:rsid w:val="00875640"/>
    <w:rsid w:val="00877134"/>
    <w:rsid w:val="00880D0B"/>
    <w:rsid w:val="008818F5"/>
    <w:rsid w:val="00882150"/>
    <w:rsid w:val="00882A9A"/>
    <w:rsid w:val="008834EF"/>
    <w:rsid w:val="008851AC"/>
    <w:rsid w:val="00885281"/>
    <w:rsid w:val="0088574E"/>
    <w:rsid w:val="008858B7"/>
    <w:rsid w:val="00886CB9"/>
    <w:rsid w:val="00887157"/>
    <w:rsid w:val="008871FB"/>
    <w:rsid w:val="00887C6E"/>
    <w:rsid w:val="00890625"/>
    <w:rsid w:val="008908DB"/>
    <w:rsid w:val="00891021"/>
    <w:rsid w:val="00893008"/>
    <w:rsid w:val="00894A19"/>
    <w:rsid w:val="008959F0"/>
    <w:rsid w:val="00896B2A"/>
    <w:rsid w:val="0089728B"/>
    <w:rsid w:val="008A1C2E"/>
    <w:rsid w:val="008A2182"/>
    <w:rsid w:val="008A227E"/>
    <w:rsid w:val="008A2354"/>
    <w:rsid w:val="008A2381"/>
    <w:rsid w:val="008A23AF"/>
    <w:rsid w:val="008A343F"/>
    <w:rsid w:val="008A5A23"/>
    <w:rsid w:val="008A5BE7"/>
    <w:rsid w:val="008A671C"/>
    <w:rsid w:val="008A726D"/>
    <w:rsid w:val="008A771A"/>
    <w:rsid w:val="008A7750"/>
    <w:rsid w:val="008A780F"/>
    <w:rsid w:val="008B2051"/>
    <w:rsid w:val="008B2A06"/>
    <w:rsid w:val="008B31C1"/>
    <w:rsid w:val="008B36BA"/>
    <w:rsid w:val="008B4675"/>
    <w:rsid w:val="008B4C6A"/>
    <w:rsid w:val="008B5C94"/>
    <w:rsid w:val="008B62F2"/>
    <w:rsid w:val="008B66F3"/>
    <w:rsid w:val="008B68E3"/>
    <w:rsid w:val="008B70FB"/>
    <w:rsid w:val="008B7336"/>
    <w:rsid w:val="008C06E3"/>
    <w:rsid w:val="008C1182"/>
    <w:rsid w:val="008C1593"/>
    <w:rsid w:val="008C1730"/>
    <w:rsid w:val="008C1862"/>
    <w:rsid w:val="008C1C51"/>
    <w:rsid w:val="008C2776"/>
    <w:rsid w:val="008C5242"/>
    <w:rsid w:val="008C55B8"/>
    <w:rsid w:val="008C5953"/>
    <w:rsid w:val="008C6798"/>
    <w:rsid w:val="008C7B06"/>
    <w:rsid w:val="008D00A7"/>
    <w:rsid w:val="008D02FE"/>
    <w:rsid w:val="008D1003"/>
    <w:rsid w:val="008D2ABD"/>
    <w:rsid w:val="008D3A1B"/>
    <w:rsid w:val="008D3B5D"/>
    <w:rsid w:val="008D59E4"/>
    <w:rsid w:val="008D62A8"/>
    <w:rsid w:val="008D73EF"/>
    <w:rsid w:val="008D77FD"/>
    <w:rsid w:val="008E19FE"/>
    <w:rsid w:val="008E61CA"/>
    <w:rsid w:val="008E724D"/>
    <w:rsid w:val="008E7E7D"/>
    <w:rsid w:val="008F0028"/>
    <w:rsid w:val="008F2E6A"/>
    <w:rsid w:val="008F62C1"/>
    <w:rsid w:val="008F6958"/>
    <w:rsid w:val="008F7741"/>
    <w:rsid w:val="008F7C69"/>
    <w:rsid w:val="008F7D12"/>
    <w:rsid w:val="00900C25"/>
    <w:rsid w:val="00903A82"/>
    <w:rsid w:val="00904F9F"/>
    <w:rsid w:val="009061FE"/>
    <w:rsid w:val="0090780E"/>
    <w:rsid w:val="009116E4"/>
    <w:rsid w:val="00913353"/>
    <w:rsid w:val="00914331"/>
    <w:rsid w:val="00914827"/>
    <w:rsid w:val="009155EC"/>
    <w:rsid w:val="00915824"/>
    <w:rsid w:val="00915D0E"/>
    <w:rsid w:val="00916985"/>
    <w:rsid w:val="00916B94"/>
    <w:rsid w:val="00921090"/>
    <w:rsid w:val="00922637"/>
    <w:rsid w:val="0092341C"/>
    <w:rsid w:val="009252B5"/>
    <w:rsid w:val="00925DFB"/>
    <w:rsid w:val="00926101"/>
    <w:rsid w:val="00927779"/>
    <w:rsid w:val="00927C7F"/>
    <w:rsid w:val="009305F9"/>
    <w:rsid w:val="0093074E"/>
    <w:rsid w:val="009308C3"/>
    <w:rsid w:val="00930BE0"/>
    <w:rsid w:val="009313A9"/>
    <w:rsid w:val="009323C9"/>
    <w:rsid w:val="00932BC6"/>
    <w:rsid w:val="00932D91"/>
    <w:rsid w:val="009335D2"/>
    <w:rsid w:val="0093704D"/>
    <w:rsid w:val="00937EF5"/>
    <w:rsid w:val="009400D3"/>
    <w:rsid w:val="009439DB"/>
    <w:rsid w:val="009446D3"/>
    <w:rsid w:val="00945626"/>
    <w:rsid w:val="009470A1"/>
    <w:rsid w:val="009471ED"/>
    <w:rsid w:val="00951212"/>
    <w:rsid w:val="00951C1B"/>
    <w:rsid w:val="009551BD"/>
    <w:rsid w:val="00955CC7"/>
    <w:rsid w:val="00955D04"/>
    <w:rsid w:val="00960831"/>
    <w:rsid w:val="00960A5E"/>
    <w:rsid w:val="00963504"/>
    <w:rsid w:val="00966094"/>
    <w:rsid w:val="00966E2D"/>
    <w:rsid w:val="00967F73"/>
    <w:rsid w:val="00972FF3"/>
    <w:rsid w:val="00975DF7"/>
    <w:rsid w:val="00976772"/>
    <w:rsid w:val="00976E00"/>
    <w:rsid w:val="00977132"/>
    <w:rsid w:val="009771AA"/>
    <w:rsid w:val="00977893"/>
    <w:rsid w:val="0098044B"/>
    <w:rsid w:val="00980997"/>
    <w:rsid w:val="00981305"/>
    <w:rsid w:val="00981F6E"/>
    <w:rsid w:val="0098318D"/>
    <w:rsid w:val="0098337E"/>
    <w:rsid w:val="00983C15"/>
    <w:rsid w:val="00983DB1"/>
    <w:rsid w:val="009852E6"/>
    <w:rsid w:val="009862E7"/>
    <w:rsid w:val="00990831"/>
    <w:rsid w:val="009912A1"/>
    <w:rsid w:val="00992309"/>
    <w:rsid w:val="0099276E"/>
    <w:rsid w:val="00993F53"/>
    <w:rsid w:val="00995C4E"/>
    <w:rsid w:val="0099618E"/>
    <w:rsid w:val="00996358"/>
    <w:rsid w:val="0099635E"/>
    <w:rsid w:val="0099684C"/>
    <w:rsid w:val="00997156"/>
    <w:rsid w:val="00997527"/>
    <w:rsid w:val="00997F43"/>
    <w:rsid w:val="009A02D7"/>
    <w:rsid w:val="009A1C95"/>
    <w:rsid w:val="009A21A0"/>
    <w:rsid w:val="009A795A"/>
    <w:rsid w:val="009A7B46"/>
    <w:rsid w:val="009A7DE1"/>
    <w:rsid w:val="009B0AF9"/>
    <w:rsid w:val="009B10F1"/>
    <w:rsid w:val="009B1FB1"/>
    <w:rsid w:val="009B22D3"/>
    <w:rsid w:val="009B2388"/>
    <w:rsid w:val="009B26D9"/>
    <w:rsid w:val="009B3F6D"/>
    <w:rsid w:val="009B4C40"/>
    <w:rsid w:val="009B6A60"/>
    <w:rsid w:val="009B79B3"/>
    <w:rsid w:val="009C13BB"/>
    <w:rsid w:val="009C1ED5"/>
    <w:rsid w:val="009C4598"/>
    <w:rsid w:val="009D0007"/>
    <w:rsid w:val="009D0200"/>
    <w:rsid w:val="009D116E"/>
    <w:rsid w:val="009D458A"/>
    <w:rsid w:val="009D4B9A"/>
    <w:rsid w:val="009D67AE"/>
    <w:rsid w:val="009D6E4F"/>
    <w:rsid w:val="009E07CC"/>
    <w:rsid w:val="009E2249"/>
    <w:rsid w:val="009E43FE"/>
    <w:rsid w:val="009E4480"/>
    <w:rsid w:val="009E575D"/>
    <w:rsid w:val="009E5E56"/>
    <w:rsid w:val="009E5EE6"/>
    <w:rsid w:val="009E6390"/>
    <w:rsid w:val="009E69DB"/>
    <w:rsid w:val="009E7D26"/>
    <w:rsid w:val="009F1AAA"/>
    <w:rsid w:val="009F1C0D"/>
    <w:rsid w:val="009F511D"/>
    <w:rsid w:val="009F56D3"/>
    <w:rsid w:val="009F5776"/>
    <w:rsid w:val="009F691E"/>
    <w:rsid w:val="009F6EEF"/>
    <w:rsid w:val="009F7BCA"/>
    <w:rsid w:val="009F7DD1"/>
    <w:rsid w:val="00A00884"/>
    <w:rsid w:val="00A01FCF"/>
    <w:rsid w:val="00A030A3"/>
    <w:rsid w:val="00A038C0"/>
    <w:rsid w:val="00A05F4A"/>
    <w:rsid w:val="00A0609F"/>
    <w:rsid w:val="00A06D11"/>
    <w:rsid w:val="00A073CB"/>
    <w:rsid w:val="00A07413"/>
    <w:rsid w:val="00A1038F"/>
    <w:rsid w:val="00A11B77"/>
    <w:rsid w:val="00A149A6"/>
    <w:rsid w:val="00A156A4"/>
    <w:rsid w:val="00A15CA1"/>
    <w:rsid w:val="00A15E91"/>
    <w:rsid w:val="00A160A6"/>
    <w:rsid w:val="00A17F1D"/>
    <w:rsid w:val="00A20A8D"/>
    <w:rsid w:val="00A21B9A"/>
    <w:rsid w:val="00A22D16"/>
    <w:rsid w:val="00A22E6E"/>
    <w:rsid w:val="00A23E22"/>
    <w:rsid w:val="00A25AF4"/>
    <w:rsid w:val="00A27D8E"/>
    <w:rsid w:val="00A30F99"/>
    <w:rsid w:val="00A327E8"/>
    <w:rsid w:val="00A32A84"/>
    <w:rsid w:val="00A3362B"/>
    <w:rsid w:val="00A339AC"/>
    <w:rsid w:val="00A3453F"/>
    <w:rsid w:val="00A354C8"/>
    <w:rsid w:val="00A36DFE"/>
    <w:rsid w:val="00A40818"/>
    <w:rsid w:val="00A4116B"/>
    <w:rsid w:val="00A427F9"/>
    <w:rsid w:val="00A42BFD"/>
    <w:rsid w:val="00A43A10"/>
    <w:rsid w:val="00A45568"/>
    <w:rsid w:val="00A45693"/>
    <w:rsid w:val="00A4593A"/>
    <w:rsid w:val="00A46729"/>
    <w:rsid w:val="00A474CD"/>
    <w:rsid w:val="00A47505"/>
    <w:rsid w:val="00A5000A"/>
    <w:rsid w:val="00A502C7"/>
    <w:rsid w:val="00A528FF"/>
    <w:rsid w:val="00A5388E"/>
    <w:rsid w:val="00A54040"/>
    <w:rsid w:val="00A54701"/>
    <w:rsid w:val="00A54A55"/>
    <w:rsid w:val="00A6148B"/>
    <w:rsid w:val="00A61C9F"/>
    <w:rsid w:val="00A629BC"/>
    <w:rsid w:val="00A636BC"/>
    <w:rsid w:val="00A63A9C"/>
    <w:rsid w:val="00A64FA2"/>
    <w:rsid w:val="00A6586E"/>
    <w:rsid w:val="00A66218"/>
    <w:rsid w:val="00A70663"/>
    <w:rsid w:val="00A71215"/>
    <w:rsid w:val="00A729E6"/>
    <w:rsid w:val="00A72EF8"/>
    <w:rsid w:val="00A73001"/>
    <w:rsid w:val="00A73DBB"/>
    <w:rsid w:val="00A7528D"/>
    <w:rsid w:val="00A75BE2"/>
    <w:rsid w:val="00A777EC"/>
    <w:rsid w:val="00A77820"/>
    <w:rsid w:val="00A80AC9"/>
    <w:rsid w:val="00A81E1F"/>
    <w:rsid w:val="00A8347F"/>
    <w:rsid w:val="00A83808"/>
    <w:rsid w:val="00A848DC"/>
    <w:rsid w:val="00A85841"/>
    <w:rsid w:val="00A923AB"/>
    <w:rsid w:val="00A92479"/>
    <w:rsid w:val="00A94B54"/>
    <w:rsid w:val="00A95229"/>
    <w:rsid w:val="00A970D4"/>
    <w:rsid w:val="00A97E47"/>
    <w:rsid w:val="00AA02C5"/>
    <w:rsid w:val="00AA0368"/>
    <w:rsid w:val="00AA03FB"/>
    <w:rsid w:val="00AA0829"/>
    <w:rsid w:val="00AA2595"/>
    <w:rsid w:val="00AA3FA6"/>
    <w:rsid w:val="00AA5A7B"/>
    <w:rsid w:val="00AA61B3"/>
    <w:rsid w:val="00AA6DF9"/>
    <w:rsid w:val="00AA6EAC"/>
    <w:rsid w:val="00AA71C3"/>
    <w:rsid w:val="00AA72E8"/>
    <w:rsid w:val="00AA7D86"/>
    <w:rsid w:val="00AA7FC0"/>
    <w:rsid w:val="00AB087C"/>
    <w:rsid w:val="00AB0B5D"/>
    <w:rsid w:val="00AB382B"/>
    <w:rsid w:val="00AB3C12"/>
    <w:rsid w:val="00AB41BF"/>
    <w:rsid w:val="00AB434A"/>
    <w:rsid w:val="00AB44F8"/>
    <w:rsid w:val="00AB4748"/>
    <w:rsid w:val="00AB4D93"/>
    <w:rsid w:val="00AB553F"/>
    <w:rsid w:val="00AB5A93"/>
    <w:rsid w:val="00AB693E"/>
    <w:rsid w:val="00AB7DBC"/>
    <w:rsid w:val="00AC016B"/>
    <w:rsid w:val="00AC08D1"/>
    <w:rsid w:val="00AC1A0E"/>
    <w:rsid w:val="00AC2825"/>
    <w:rsid w:val="00AC2B65"/>
    <w:rsid w:val="00AC5D4E"/>
    <w:rsid w:val="00AC6878"/>
    <w:rsid w:val="00AC713D"/>
    <w:rsid w:val="00AD1D52"/>
    <w:rsid w:val="00AD3257"/>
    <w:rsid w:val="00AD465B"/>
    <w:rsid w:val="00AD50CA"/>
    <w:rsid w:val="00AD59F9"/>
    <w:rsid w:val="00AD67F6"/>
    <w:rsid w:val="00AD6FD6"/>
    <w:rsid w:val="00AE0C25"/>
    <w:rsid w:val="00AE2E2D"/>
    <w:rsid w:val="00AE3BF5"/>
    <w:rsid w:val="00AE3C79"/>
    <w:rsid w:val="00AE4050"/>
    <w:rsid w:val="00AE450C"/>
    <w:rsid w:val="00AE52C4"/>
    <w:rsid w:val="00AE5687"/>
    <w:rsid w:val="00AE56EB"/>
    <w:rsid w:val="00AE5B7A"/>
    <w:rsid w:val="00AE7185"/>
    <w:rsid w:val="00AE757C"/>
    <w:rsid w:val="00AE7A9A"/>
    <w:rsid w:val="00AE7EC6"/>
    <w:rsid w:val="00AE7F85"/>
    <w:rsid w:val="00AF006D"/>
    <w:rsid w:val="00AF0A85"/>
    <w:rsid w:val="00AF24A2"/>
    <w:rsid w:val="00AF2D19"/>
    <w:rsid w:val="00AF3BB4"/>
    <w:rsid w:val="00AF57EE"/>
    <w:rsid w:val="00AF7495"/>
    <w:rsid w:val="00B003F1"/>
    <w:rsid w:val="00B01686"/>
    <w:rsid w:val="00B01708"/>
    <w:rsid w:val="00B01D74"/>
    <w:rsid w:val="00B02A72"/>
    <w:rsid w:val="00B02AB7"/>
    <w:rsid w:val="00B04502"/>
    <w:rsid w:val="00B06346"/>
    <w:rsid w:val="00B07EE5"/>
    <w:rsid w:val="00B11626"/>
    <w:rsid w:val="00B12396"/>
    <w:rsid w:val="00B12567"/>
    <w:rsid w:val="00B128DB"/>
    <w:rsid w:val="00B1300B"/>
    <w:rsid w:val="00B149B9"/>
    <w:rsid w:val="00B15345"/>
    <w:rsid w:val="00B156F8"/>
    <w:rsid w:val="00B16336"/>
    <w:rsid w:val="00B1678B"/>
    <w:rsid w:val="00B16AB5"/>
    <w:rsid w:val="00B16C1D"/>
    <w:rsid w:val="00B1758A"/>
    <w:rsid w:val="00B20A6E"/>
    <w:rsid w:val="00B234E9"/>
    <w:rsid w:val="00B2360D"/>
    <w:rsid w:val="00B25067"/>
    <w:rsid w:val="00B2670C"/>
    <w:rsid w:val="00B26875"/>
    <w:rsid w:val="00B26BF1"/>
    <w:rsid w:val="00B30496"/>
    <w:rsid w:val="00B30DF0"/>
    <w:rsid w:val="00B31FD3"/>
    <w:rsid w:val="00B32119"/>
    <w:rsid w:val="00B32FD8"/>
    <w:rsid w:val="00B3494A"/>
    <w:rsid w:val="00B35289"/>
    <w:rsid w:val="00B3580B"/>
    <w:rsid w:val="00B36C3D"/>
    <w:rsid w:val="00B36CF7"/>
    <w:rsid w:val="00B372BD"/>
    <w:rsid w:val="00B40951"/>
    <w:rsid w:val="00B40BF7"/>
    <w:rsid w:val="00B42025"/>
    <w:rsid w:val="00B42BC4"/>
    <w:rsid w:val="00B432D6"/>
    <w:rsid w:val="00B43E12"/>
    <w:rsid w:val="00B448A3"/>
    <w:rsid w:val="00B45BEF"/>
    <w:rsid w:val="00B46279"/>
    <w:rsid w:val="00B47102"/>
    <w:rsid w:val="00B4734A"/>
    <w:rsid w:val="00B50646"/>
    <w:rsid w:val="00B511FB"/>
    <w:rsid w:val="00B514E3"/>
    <w:rsid w:val="00B516B8"/>
    <w:rsid w:val="00B51739"/>
    <w:rsid w:val="00B52037"/>
    <w:rsid w:val="00B5331B"/>
    <w:rsid w:val="00B533D2"/>
    <w:rsid w:val="00B5568B"/>
    <w:rsid w:val="00B56B55"/>
    <w:rsid w:val="00B57BB7"/>
    <w:rsid w:val="00B60017"/>
    <w:rsid w:val="00B615D6"/>
    <w:rsid w:val="00B61E9D"/>
    <w:rsid w:val="00B624B3"/>
    <w:rsid w:val="00B62B01"/>
    <w:rsid w:val="00B62E0C"/>
    <w:rsid w:val="00B6317B"/>
    <w:rsid w:val="00B636A8"/>
    <w:rsid w:val="00B6436B"/>
    <w:rsid w:val="00B64726"/>
    <w:rsid w:val="00B64EFC"/>
    <w:rsid w:val="00B65494"/>
    <w:rsid w:val="00B6623A"/>
    <w:rsid w:val="00B67612"/>
    <w:rsid w:val="00B70FBC"/>
    <w:rsid w:val="00B7164A"/>
    <w:rsid w:val="00B719A7"/>
    <w:rsid w:val="00B733D2"/>
    <w:rsid w:val="00B737E5"/>
    <w:rsid w:val="00B73A87"/>
    <w:rsid w:val="00B73DD8"/>
    <w:rsid w:val="00B74272"/>
    <w:rsid w:val="00B7458B"/>
    <w:rsid w:val="00B75A83"/>
    <w:rsid w:val="00B76566"/>
    <w:rsid w:val="00B80A2B"/>
    <w:rsid w:val="00B80A6F"/>
    <w:rsid w:val="00B827B6"/>
    <w:rsid w:val="00B83B04"/>
    <w:rsid w:val="00B844BE"/>
    <w:rsid w:val="00B84838"/>
    <w:rsid w:val="00B84DEA"/>
    <w:rsid w:val="00B85C2C"/>
    <w:rsid w:val="00B86D12"/>
    <w:rsid w:val="00B90886"/>
    <w:rsid w:val="00B909B4"/>
    <w:rsid w:val="00B91A82"/>
    <w:rsid w:val="00B92648"/>
    <w:rsid w:val="00B9539F"/>
    <w:rsid w:val="00B96063"/>
    <w:rsid w:val="00B964B3"/>
    <w:rsid w:val="00B96ACC"/>
    <w:rsid w:val="00B970D8"/>
    <w:rsid w:val="00BA1CC8"/>
    <w:rsid w:val="00BA1E02"/>
    <w:rsid w:val="00BA4FBC"/>
    <w:rsid w:val="00BA5AAF"/>
    <w:rsid w:val="00BA6B91"/>
    <w:rsid w:val="00BB0079"/>
    <w:rsid w:val="00BB1444"/>
    <w:rsid w:val="00BB1492"/>
    <w:rsid w:val="00BB1611"/>
    <w:rsid w:val="00BB2975"/>
    <w:rsid w:val="00BB34FB"/>
    <w:rsid w:val="00BB4C85"/>
    <w:rsid w:val="00BB555B"/>
    <w:rsid w:val="00BB604E"/>
    <w:rsid w:val="00BB6873"/>
    <w:rsid w:val="00BB6F3F"/>
    <w:rsid w:val="00BB793C"/>
    <w:rsid w:val="00BB7E9B"/>
    <w:rsid w:val="00BC0BD9"/>
    <w:rsid w:val="00BC0D40"/>
    <w:rsid w:val="00BC14FA"/>
    <w:rsid w:val="00BC1833"/>
    <w:rsid w:val="00BC1DA5"/>
    <w:rsid w:val="00BC26DD"/>
    <w:rsid w:val="00BC3B32"/>
    <w:rsid w:val="00BC6870"/>
    <w:rsid w:val="00BC7AE1"/>
    <w:rsid w:val="00BD2531"/>
    <w:rsid w:val="00BD2820"/>
    <w:rsid w:val="00BD4530"/>
    <w:rsid w:val="00BD4870"/>
    <w:rsid w:val="00BD4B07"/>
    <w:rsid w:val="00BD5920"/>
    <w:rsid w:val="00BD5A1F"/>
    <w:rsid w:val="00BD6640"/>
    <w:rsid w:val="00BD724B"/>
    <w:rsid w:val="00BD78C1"/>
    <w:rsid w:val="00BE03B3"/>
    <w:rsid w:val="00BE0787"/>
    <w:rsid w:val="00BE09F1"/>
    <w:rsid w:val="00BE1587"/>
    <w:rsid w:val="00BE2ADD"/>
    <w:rsid w:val="00BE2C1E"/>
    <w:rsid w:val="00BE3D6C"/>
    <w:rsid w:val="00BE4148"/>
    <w:rsid w:val="00BE4B63"/>
    <w:rsid w:val="00BE57A1"/>
    <w:rsid w:val="00BE6455"/>
    <w:rsid w:val="00BE64A4"/>
    <w:rsid w:val="00BE6C82"/>
    <w:rsid w:val="00BE73BE"/>
    <w:rsid w:val="00BF1B6E"/>
    <w:rsid w:val="00BF2EB2"/>
    <w:rsid w:val="00BF3546"/>
    <w:rsid w:val="00BF508A"/>
    <w:rsid w:val="00BF69B8"/>
    <w:rsid w:val="00C02B93"/>
    <w:rsid w:val="00C04B07"/>
    <w:rsid w:val="00C05056"/>
    <w:rsid w:val="00C06A40"/>
    <w:rsid w:val="00C10681"/>
    <w:rsid w:val="00C11A01"/>
    <w:rsid w:val="00C12600"/>
    <w:rsid w:val="00C1293B"/>
    <w:rsid w:val="00C1562C"/>
    <w:rsid w:val="00C175C9"/>
    <w:rsid w:val="00C17B81"/>
    <w:rsid w:val="00C20CF6"/>
    <w:rsid w:val="00C21A4B"/>
    <w:rsid w:val="00C21AE8"/>
    <w:rsid w:val="00C21C88"/>
    <w:rsid w:val="00C22943"/>
    <w:rsid w:val="00C23322"/>
    <w:rsid w:val="00C24D60"/>
    <w:rsid w:val="00C26E11"/>
    <w:rsid w:val="00C3054D"/>
    <w:rsid w:val="00C32001"/>
    <w:rsid w:val="00C3246A"/>
    <w:rsid w:val="00C32F7C"/>
    <w:rsid w:val="00C336CC"/>
    <w:rsid w:val="00C33D7A"/>
    <w:rsid w:val="00C35666"/>
    <w:rsid w:val="00C36283"/>
    <w:rsid w:val="00C3730B"/>
    <w:rsid w:val="00C40AD1"/>
    <w:rsid w:val="00C40CEB"/>
    <w:rsid w:val="00C4202B"/>
    <w:rsid w:val="00C42920"/>
    <w:rsid w:val="00C42922"/>
    <w:rsid w:val="00C43B05"/>
    <w:rsid w:val="00C458DB"/>
    <w:rsid w:val="00C45A58"/>
    <w:rsid w:val="00C468C1"/>
    <w:rsid w:val="00C46E3B"/>
    <w:rsid w:val="00C47298"/>
    <w:rsid w:val="00C47CDA"/>
    <w:rsid w:val="00C5101E"/>
    <w:rsid w:val="00C513F7"/>
    <w:rsid w:val="00C54E06"/>
    <w:rsid w:val="00C54F0D"/>
    <w:rsid w:val="00C57296"/>
    <w:rsid w:val="00C57344"/>
    <w:rsid w:val="00C601EF"/>
    <w:rsid w:val="00C60B1B"/>
    <w:rsid w:val="00C60D9C"/>
    <w:rsid w:val="00C6437C"/>
    <w:rsid w:val="00C651F7"/>
    <w:rsid w:val="00C65A7A"/>
    <w:rsid w:val="00C663EE"/>
    <w:rsid w:val="00C671C8"/>
    <w:rsid w:val="00C67A23"/>
    <w:rsid w:val="00C700B9"/>
    <w:rsid w:val="00C70CF7"/>
    <w:rsid w:val="00C714F0"/>
    <w:rsid w:val="00C71571"/>
    <w:rsid w:val="00C72F2B"/>
    <w:rsid w:val="00C735FE"/>
    <w:rsid w:val="00C74605"/>
    <w:rsid w:val="00C748E5"/>
    <w:rsid w:val="00C80C80"/>
    <w:rsid w:val="00C81723"/>
    <w:rsid w:val="00C82B1B"/>
    <w:rsid w:val="00C8313A"/>
    <w:rsid w:val="00C86306"/>
    <w:rsid w:val="00C86378"/>
    <w:rsid w:val="00C8674D"/>
    <w:rsid w:val="00C87AE4"/>
    <w:rsid w:val="00C9076A"/>
    <w:rsid w:val="00C9098D"/>
    <w:rsid w:val="00C90CDA"/>
    <w:rsid w:val="00C90FE1"/>
    <w:rsid w:val="00C93B21"/>
    <w:rsid w:val="00C94507"/>
    <w:rsid w:val="00C94ED9"/>
    <w:rsid w:val="00C950BD"/>
    <w:rsid w:val="00C95EF1"/>
    <w:rsid w:val="00C95FD2"/>
    <w:rsid w:val="00C962EB"/>
    <w:rsid w:val="00C97AF5"/>
    <w:rsid w:val="00CA1207"/>
    <w:rsid w:val="00CA1B6D"/>
    <w:rsid w:val="00CA1CA2"/>
    <w:rsid w:val="00CA2095"/>
    <w:rsid w:val="00CA2F16"/>
    <w:rsid w:val="00CA3A57"/>
    <w:rsid w:val="00CA3B29"/>
    <w:rsid w:val="00CA42ED"/>
    <w:rsid w:val="00CA50A6"/>
    <w:rsid w:val="00CA52AB"/>
    <w:rsid w:val="00CA626D"/>
    <w:rsid w:val="00CA6F9C"/>
    <w:rsid w:val="00CB0F9B"/>
    <w:rsid w:val="00CB1557"/>
    <w:rsid w:val="00CB1FC7"/>
    <w:rsid w:val="00CB22E4"/>
    <w:rsid w:val="00CB2B2D"/>
    <w:rsid w:val="00CB2DBA"/>
    <w:rsid w:val="00CB3A1E"/>
    <w:rsid w:val="00CB3CE6"/>
    <w:rsid w:val="00CB423B"/>
    <w:rsid w:val="00CB4921"/>
    <w:rsid w:val="00CB4AA5"/>
    <w:rsid w:val="00CB5024"/>
    <w:rsid w:val="00CB55EB"/>
    <w:rsid w:val="00CB62A4"/>
    <w:rsid w:val="00CC084E"/>
    <w:rsid w:val="00CC14EE"/>
    <w:rsid w:val="00CC1786"/>
    <w:rsid w:val="00CC294A"/>
    <w:rsid w:val="00CC376E"/>
    <w:rsid w:val="00CC5574"/>
    <w:rsid w:val="00CC7231"/>
    <w:rsid w:val="00CC72C7"/>
    <w:rsid w:val="00CC7A30"/>
    <w:rsid w:val="00CD0082"/>
    <w:rsid w:val="00CD04A6"/>
    <w:rsid w:val="00CD2438"/>
    <w:rsid w:val="00CD2851"/>
    <w:rsid w:val="00CD2C91"/>
    <w:rsid w:val="00CD44C6"/>
    <w:rsid w:val="00CD51D7"/>
    <w:rsid w:val="00CD6098"/>
    <w:rsid w:val="00CD62CB"/>
    <w:rsid w:val="00CE1CEC"/>
    <w:rsid w:val="00CE2BFF"/>
    <w:rsid w:val="00CE3146"/>
    <w:rsid w:val="00CE344A"/>
    <w:rsid w:val="00CE3B93"/>
    <w:rsid w:val="00CE43B6"/>
    <w:rsid w:val="00CE45D7"/>
    <w:rsid w:val="00CE55CA"/>
    <w:rsid w:val="00CE6C9A"/>
    <w:rsid w:val="00CE72B4"/>
    <w:rsid w:val="00CF06EF"/>
    <w:rsid w:val="00CF121D"/>
    <w:rsid w:val="00CF20F0"/>
    <w:rsid w:val="00CF2B35"/>
    <w:rsid w:val="00CF2EBB"/>
    <w:rsid w:val="00CF3C09"/>
    <w:rsid w:val="00CF4438"/>
    <w:rsid w:val="00CF509B"/>
    <w:rsid w:val="00CF6D99"/>
    <w:rsid w:val="00D00C7E"/>
    <w:rsid w:val="00D02F3C"/>
    <w:rsid w:val="00D03BB7"/>
    <w:rsid w:val="00D04627"/>
    <w:rsid w:val="00D0545D"/>
    <w:rsid w:val="00D058A0"/>
    <w:rsid w:val="00D06036"/>
    <w:rsid w:val="00D07EDF"/>
    <w:rsid w:val="00D102DC"/>
    <w:rsid w:val="00D10D4D"/>
    <w:rsid w:val="00D13719"/>
    <w:rsid w:val="00D15982"/>
    <w:rsid w:val="00D16E46"/>
    <w:rsid w:val="00D2085C"/>
    <w:rsid w:val="00D214E3"/>
    <w:rsid w:val="00D21A73"/>
    <w:rsid w:val="00D240F2"/>
    <w:rsid w:val="00D245FF"/>
    <w:rsid w:val="00D2489E"/>
    <w:rsid w:val="00D25BF9"/>
    <w:rsid w:val="00D26489"/>
    <w:rsid w:val="00D30762"/>
    <w:rsid w:val="00D31AB7"/>
    <w:rsid w:val="00D31E98"/>
    <w:rsid w:val="00D31FEB"/>
    <w:rsid w:val="00D33BC2"/>
    <w:rsid w:val="00D34241"/>
    <w:rsid w:val="00D347F5"/>
    <w:rsid w:val="00D356B8"/>
    <w:rsid w:val="00D37D90"/>
    <w:rsid w:val="00D421E8"/>
    <w:rsid w:val="00D4224C"/>
    <w:rsid w:val="00D43D38"/>
    <w:rsid w:val="00D43F74"/>
    <w:rsid w:val="00D444A5"/>
    <w:rsid w:val="00D44FE8"/>
    <w:rsid w:val="00D45008"/>
    <w:rsid w:val="00D451F1"/>
    <w:rsid w:val="00D4630E"/>
    <w:rsid w:val="00D46409"/>
    <w:rsid w:val="00D46880"/>
    <w:rsid w:val="00D46C8D"/>
    <w:rsid w:val="00D47C0E"/>
    <w:rsid w:val="00D50965"/>
    <w:rsid w:val="00D5141D"/>
    <w:rsid w:val="00D51530"/>
    <w:rsid w:val="00D51755"/>
    <w:rsid w:val="00D52A05"/>
    <w:rsid w:val="00D534EF"/>
    <w:rsid w:val="00D537BC"/>
    <w:rsid w:val="00D547A0"/>
    <w:rsid w:val="00D5729C"/>
    <w:rsid w:val="00D62119"/>
    <w:rsid w:val="00D62CB0"/>
    <w:rsid w:val="00D62DDF"/>
    <w:rsid w:val="00D6305C"/>
    <w:rsid w:val="00D6329F"/>
    <w:rsid w:val="00D64970"/>
    <w:rsid w:val="00D6558A"/>
    <w:rsid w:val="00D65C39"/>
    <w:rsid w:val="00D676E4"/>
    <w:rsid w:val="00D70D73"/>
    <w:rsid w:val="00D7119F"/>
    <w:rsid w:val="00D712BA"/>
    <w:rsid w:val="00D7152D"/>
    <w:rsid w:val="00D7229D"/>
    <w:rsid w:val="00D73352"/>
    <w:rsid w:val="00D734DE"/>
    <w:rsid w:val="00D76601"/>
    <w:rsid w:val="00D76A8F"/>
    <w:rsid w:val="00D81CA3"/>
    <w:rsid w:val="00D82E21"/>
    <w:rsid w:val="00D83A08"/>
    <w:rsid w:val="00D841A1"/>
    <w:rsid w:val="00D85994"/>
    <w:rsid w:val="00D8657C"/>
    <w:rsid w:val="00D90425"/>
    <w:rsid w:val="00D90C8A"/>
    <w:rsid w:val="00D916BD"/>
    <w:rsid w:val="00D921D0"/>
    <w:rsid w:val="00D9271F"/>
    <w:rsid w:val="00D9292B"/>
    <w:rsid w:val="00D93187"/>
    <w:rsid w:val="00D93B79"/>
    <w:rsid w:val="00D94B25"/>
    <w:rsid w:val="00D974DA"/>
    <w:rsid w:val="00D97A1D"/>
    <w:rsid w:val="00DA070C"/>
    <w:rsid w:val="00DA1A93"/>
    <w:rsid w:val="00DA1DC6"/>
    <w:rsid w:val="00DA26CD"/>
    <w:rsid w:val="00DA3449"/>
    <w:rsid w:val="00DA4A1C"/>
    <w:rsid w:val="00DA5B64"/>
    <w:rsid w:val="00DB0598"/>
    <w:rsid w:val="00DB0A09"/>
    <w:rsid w:val="00DB0D4F"/>
    <w:rsid w:val="00DB145C"/>
    <w:rsid w:val="00DB262C"/>
    <w:rsid w:val="00DB2963"/>
    <w:rsid w:val="00DB3F82"/>
    <w:rsid w:val="00DB4181"/>
    <w:rsid w:val="00DB4E6F"/>
    <w:rsid w:val="00DB5988"/>
    <w:rsid w:val="00DC0829"/>
    <w:rsid w:val="00DC088C"/>
    <w:rsid w:val="00DC0E52"/>
    <w:rsid w:val="00DC1A00"/>
    <w:rsid w:val="00DC22BF"/>
    <w:rsid w:val="00DC3440"/>
    <w:rsid w:val="00DC4B3A"/>
    <w:rsid w:val="00DC5367"/>
    <w:rsid w:val="00DD0153"/>
    <w:rsid w:val="00DD260B"/>
    <w:rsid w:val="00DD3596"/>
    <w:rsid w:val="00DD4C46"/>
    <w:rsid w:val="00DD7B5C"/>
    <w:rsid w:val="00DE1838"/>
    <w:rsid w:val="00DE1F2F"/>
    <w:rsid w:val="00DE1F81"/>
    <w:rsid w:val="00DE2A30"/>
    <w:rsid w:val="00DE2FD1"/>
    <w:rsid w:val="00DE3E61"/>
    <w:rsid w:val="00DE3E6B"/>
    <w:rsid w:val="00DE4C96"/>
    <w:rsid w:val="00DE5339"/>
    <w:rsid w:val="00DE57B7"/>
    <w:rsid w:val="00DE7D71"/>
    <w:rsid w:val="00DE7FA0"/>
    <w:rsid w:val="00DF0BFB"/>
    <w:rsid w:val="00DF1711"/>
    <w:rsid w:val="00DF2326"/>
    <w:rsid w:val="00DF2F90"/>
    <w:rsid w:val="00DF3235"/>
    <w:rsid w:val="00DF4795"/>
    <w:rsid w:val="00DF60DC"/>
    <w:rsid w:val="00DF6791"/>
    <w:rsid w:val="00DF698D"/>
    <w:rsid w:val="00DF6E95"/>
    <w:rsid w:val="00DF7406"/>
    <w:rsid w:val="00E0040B"/>
    <w:rsid w:val="00E00868"/>
    <w:rsid w:val="00E00E03"/>
    <w:rsid w:val="00E014AE"/>
    <w:rsid w:val="00E04047"/>
    <w:rsid w:val="00E0546B"/>
    <w:rsid w:val="00E05859"/>
    <w:rsid w:val="00E0592B"/>
    <w:rsid w:val="00E0657B"/>
    <w:rsid w:val="00E07040"/>
    <w:rsid w:val="00E076E2"/>
    <w:rsid w:val="00E0789E"/>
    <w:rsid w:val="00E11889"/>
    <w:rsid w:val="00E12661"/>
    <w:rsid w:val="00E12B9C"/>
    <w:rsid w:val="00E13216"/>
    <w:rsid w:val="00E137CE"/>
    <w:rsid w:val="00E13BD6"/>
    <w:rsid w:val="00E13DF7"/>
    <w:rsid w:val="00E1440E"/>
    <w:rsid w:val="00E14B57"/>
    <w:rsid w:val="00E1510E"/>
    <w:rsid w:val="00E1518B"/>
    <w:rsid w:val="00E153D7"/>
    <w:rsid w:val="00E15469"/>
    <w:rsid w:val="00E17A80"/>
    <w:rsid w:val="00E17EE9"/>
    <w:rsid w:val="00E20769"/>
    <w:rsid w:val="00E219CE"/>
    <w:rsid w:val="00E21E66"/>
    <w:rsid w:val="00E22A6E"/>
    <w:rsid w:val="00E233C1"/>
    <w:rsid w:val="00E2375B"/>
    <w:rsid w:val="00E23891"/>
    <w:rsid w:val="00E252B5"/>
    <w:rsid w:val="00E26CDB"/>
    <w:rsid w:val="00E26DFA"/>
    <w:rsid w:val="00E27531"/>
    <w:rsid w:val="00E30788"/>
    <w:rsid w:val="00E307BD"/>
    <w:rsid w:val="00E30D49"/>
    <w:rsid w:val="00E35EAC"/>
    <w:rsid w:val="00E367ED"/>
    <w:rsid w:val="00E36F02"/>
    <w:rsid w:val="00E37094"/>
    <w:rsid w:val="00E37190"/>
    <w:rsid w:val="00E37679"/>
    <w:rsid w:val="00E377B2"/>
    <w:rsid w:val="00E407AA"/>
    <w:rsid w:val="00E418A2"/>
    <w:rsid w:val="00E424A1"/>
    <w:rsid w:val="00E42745"/>
    <w:rsid w:val="00E44024"/>
    <w:rsid w:val="00E44654"/>
    <w:rsid w:val="00E44D30"/>
    <w:rsid w:val="00E452ED"/>
    <w:rsid w:val="00E458F8"/>
    <w:rsid w:val="00E46759"/>
    <w:rsid w:val="00E46A12"/>
    <w:rsid w:val="00E46C59"/>
    <w:rsid w:val="00E47542"/>
    <w:rsid w:val="00E475CC"/>
    <w:rsid w:val="00E5294E"/>
    <w:rsid w:val="00E537D3"/>
    <w:rsid w:val="00E54208"/>
    <w:rsid w:val="00E547C5"/>
    <w:rsid w:val="00E54ED0"/>
    <w:rsid w:val="00E561CF"/>
    <w:rsid w:val="00E564B3"/>
    <w:rsid w:val="00E567D2"/>
    <w:rsid w:val="00E56EEC"/>
    <w:rsid w:val="00E57A91"/>
    <w:rsid w:val="00E60872"/>
    <w:rsid w:val="00E60AF4"/>
    <w:rsid w:val="00E60BA8"/>
    <w:rsid w:val="00E61024"/>
    <w:rsid w:val="00E61098"/>
    <w:rsid w:val="00E61FC6"/>
    <w:rsid w:val="00E632C8"/>
    <w:rsid w:val="00E63A64"/>
    <w:rsid w:val="00E63B55"/>
    <w:rsid w:val="00E64BB8"/>
    <w:rsid w:val="00E65782"/>
    <w:rsid w:val="00E66313"/>
    <w:rsid w:val="00E7124C"/>
    <w:rsid w:val="00E71287"/>
    <w:rsid w:val="00E72FCC"/>
    <w:rsid w:val="00E74601"/>
    <w:rsid w:val="00E75F7E"/>
    <w:rsid w:val="00E7605E"/>
    <w:rsid w:val="00E7622D"/>
    <w:rsid w:val="00E76687"/>
    <w:rsid w:val="00E7705E"/>
    <w:rsid w:val="00E776E8"/>
    <w:rsid w:val="00E77F34"/>
    <w:rsid w:val="00E80452"/>
    <w:rsid w:val="00E8050D"/>
    <w:rsid w:val="00E807D4"/>
    <w:rsid w:val="00E80906"/>
    <w:rsid w:val="00E81288"/>
    <w:rsid w:val="00E8256F"/>
    <w:rsid w:val="00E82578"/>
    <w:rsid w:val="00E84784"/>
    <w:rsid w:val="00E84A77"/>
    <w:rsid w:val="00E856F7"/>
    <w:rsid w:val="00E85AE2"/>
    <w:rsid w:val="00E861E2"/>
    <w:rsid w:val="00E865BF"/>
    <w:rsid w:val="00E86663"/>
    <w:rsid w:val="00E86A8F"/>
    <w:rsid w:val="00E903E6"/>
    <w:rsid w:val="00E917D4"/>
    <w:rsid w:val="00E91A70"/>
    <w:rsid w:val="00E924DF"/>
    <w:rsid w:val="00E93526"/>
    <w:rsid w:val="00E938D8"/>
    <w:rsid w:val="00E93E61"/>
    <w:rsid w:val="00E95024"/>
    <w:rsid w:val="00E95745"/>
    <w:rsid w:val="00E96238"/>
    <w:rsid w:val="00E968AA"/>
    <w:rsid w:val="00EA2381"/>
    <w:rsid w:val="00EA274C"/>
    <w:rsid w:val="00EA27A2"/>
    <w:rsid w:val="00EA3DA2"/>
    <w:rsid w:val="00EA6846"/>
    <w:rsid w:val="00EA6B11"/>
    <w:rsid w:val="00EA7253"/>
    <w:rsid w:val="00EB2C43"/>
    <w:rsid w:val="00EB42F6"/>
    <w:rsid w:val="00EB42FB"/>
    <w:rsid w:val="00EB6DBE"/>
    <w:rsid w:val="00EB7482"/>
    <w:rsid w:val="00EB79D1"/>
    <w:rsid w:val="00EC020E"/>
    <w:rsid w:val="00EC1F4D"/>
    <w:rsid w:val="00EC2C0C"/>
    <w:rsid w:val="00EC4541"/>
    <w:rsid w:val="00EC59A1"/>
    <w:rsid w:val="00EC679B"/>
    <w:rsid w:val="00EC78CC"/>
    <w:rsid w:val="00EC7921"/>
    <w:rsid w:val="00ED02E4"/>
    <w:rsid w:val="00ED2030"/>
    <w:rsid w:val="00ED351C"/>
    <w:rsid w:val="00ED3F0A"/>
    <w:rsid w:val="00ED4225"/>
    <w:rsid w:val="00ED4614"/>
    <w:rsid w:val="00ED4EC0"/>
    <w:rsid w:val="00ED5400"/>
    <w:rsid w:val="00ED6A73"/>
    <w:rsid w:val="00ED7F61"/>
    <w:rsid w:val="00EE0395"/>
    <w:rsid w:val="00EE0614"/>
    <w:rsid w:val="00EE100C"/>
    <w:rsid w:val="00EE11A5"/>
    <w:rsid w:val="00EE1242"/>
    <w:rsid w:val="00EE3382"/>
    <w:rsid w:val="00EE4262"/>
    <w:rsid w:val="00EE4305"/>
    <w:rsid w:val="00EE5D43"/>
    <w:rsid w:val="00EE7CA6"/>
    <w:rsid w:val="00EF05F9"/>
    <w:rsid w:val="00EF14FF"/>
    <w:rsid w:val="00EF15D2"/>
    <w:rsid w:val="00EF3400"/>
    <w:rsid w:val="00EF5FB3"/>
    <w:rsid w:val="00EF6119"/>
    <w:rsid w:val="00EF6D22"/>
    <w:rsid w:val="00EF70DE"/>
    <w:rsid w:val="00F01541"/>
    <w:rsid w:val="00F01DEE"/>
    <w:rsid w:val="00F02B0B"/>
    <w:rsid w:val="00F02BF4"/>
    <w:rsid w:val="00F02F43"/>
    <w:rsid w:val="00F03F13"/>
    <w:rsid w:val="00F07E83"/>
    <w:rsid w:val="00F10C01"/>
    <w:rsid w:val="00F1169F"/>
    <w:rsid w:val="00F11917"/>
    <w:rsid w:val="00F124BE"/>
    <w:rsid w:val="00F125C6"/>
    <w:rsid w:val="00F12EA6"/>
    <w:rsid w:val="00F13DC4"/>
    <w:rsid w:val="00F14372"/>
    <w:rsid w:val="00F1479E"/>
    <w:rsid w:val="00F1510B"/>
    <w:rsid w:val="00F15A81"/>
    <w:rsid w:val="00F17031"/>
    <w:rsid w:val="00F21812"/>
    <w:rsid w:val="00F21AF8"/>
    <w:rsid w:val="00F21CC4"/>
    <w:rsid w:val="00F2232E"/>
    <w:rsid w:val="00F23207"/>
    <w:rsid w:val="00F23E3B"/>
    <w:rsid w:val="00F2499A"/>
    <w:rsid w:val="00F257A4"/>
    <w:rsid w:val="00F27230"/>
    <w:rsid w:val="00F27A53"/>
    <w:rsid w:val="00F30A8A"/>
    <w:rsid w:val="00F31084"/>
    <w:rsid w:val="00F33FD9"/>
    <w:rsid w:val="00F342BB"/>
    <w:rsid w:val="00F347F4"/>
    <w:rsid w:val="00F349C5"/>
    <w:rsid w:val="00F36071"/>
    <w:rsid w:val="00F3758A"/>
    <w:rsid w:val="00F40B30"/>
    <w:rsid w:val="00F40B93"/>
    <w:rsid w:val="00F40CDE"/>
    <w:rsid w:val="00F41A63"/>
    <w:rsid w:val="00F42B70"/>
    <w:rsid w:val="00F43317"/>
    <w:rsid w:val="00F4343E"/>
    <w:rsid w:val="00F449F4"/>
    <w:rsid w:val="00F44DF2"/>
    <w:rsid w:val="00F4741F"/>
    <w:rsid w:val="00F512C7"/>
    <w:rsid w:val="00F53041"/>
    <w:rsid w:val="00F553F0"/>
    <w:rsid w:val="00F554C9"/>
    <w:rsid w:val="00F575EF"/>
    <w:rsid w:val="00F57DA0"/>
    <w:rsid w:val="00F61729"/>
    <w:rsid w:val="00F61BE3"/>
    <w:rsid w:val="00F61DBF"/>
    <w:rsid w:val="00F62A70"/>
    <w:rsid w:val="00F63DC1"/>
    <w:rsid w:val="00F6407A"/>
    <w:rsid w:val="00F64204"/>
    <w:rsid w:val="00F64EAB"/>
    <w:rsid w:val="00F664BB"/>
    <w:rsid w:val="00F6724A"/>
    <w:rsid w:val="00F67D11"/>
    <w:rsid w:val="00F71C38"/>
    <w:rsid w:val="00F735FE"/>
    <w:rsid w:val="00F74094"/>
    <w:rsid w:val="00F74297"/>
    <w:rsid w:val="00F7441C"/>
    <w:rsid w:val="00F74643"/>
    <w:rsid w:val="00F74671"/>
    <w:rsid w:val="00F74D07"/>
    <w:rsid w:val="00F77CBE"/>
    <w:rsid w:val="00F77E6E"/>
    <w:rsid w:val="00F81CFD"/>
    <w:rsid w:val="00F82994"/>
    <w:rsid w:val="00F82A2F"/>
    <w:rsid w:val="00F85086"/>
    <w:rsid w:val="00F85F89"/>
    <w:rsid w:val="00F90352"/>
    <w:rsid w:val="00F9236A"/>
    <w:rsid w:val="00F92CA8"/>
    <w:rsid w:val="00F92DFB"/>
    <w:rsid w:val="00F95219"/>
    <w:rsid w:val="00F972B0"/>
    <w:rsid w:val="00F97D0B"/>
    <w:rsid w:val="00FA03ED"/>
    <w:rsid w:val="00FA1001"/>
    <w:rsid w:val="00FA25B1"/>
    <w:rsid w:val="00FA25F7"/>
    <w:rsid w:val="00FA4EBE"/>
    <w:rsid w:val="00FA52E5"/>
    <w:rsid w:val="00FA7104"/>
    <w:rsid w:val="00FA7B21"/>
    <w:rsid w:val="00FB02F5"/>
    <w:rsid w:val="00FB055B"/>
    <w:rsid w:val="00FB087C"/>
    <w:rsid w:val="00FB0F42"/>
    <w:rsid w:val="00FB2104"/>
    <w:rsid w:val="00FB38E0"/>
    <w:rsid w:val="00FB4928"/>
    <w:rsid w:val="00FB4B2E"/>
    <w:rsid w:val="00FB4F77"/>
    <w:rsid w:val="00FB6001"/>
    <w:rsid w:val="00FB7699"/>
    <w:rsid w:val="00FB77A0"/>
    <w:rsid w:val="00FC0B91"/>
    <w:rsid w:val="00FC174C"/>
    <w:rsid w:val="00FC23D3"/>
    <w:rsid w:val="00FC28FB"/>
    <w:rsid w:val="00FC30AC"/>
    <w:rsid w:val="00FC34FD"/>
    <w:rsid w:val="00FC4A72"/>
    <w:rsid w:val="00FC55C9"/>
    <w:rsid w:val="00FC6434"/>
    <w:rsid w:val="00FC76FA"/>
    <w:rsid w:val="00FC7EFE"/>
    <w:rsid w:val="00FD12E7"/>
    <w:rsid w:val="00FD14EB"/>
    <w:rsid w:val="00FD3FD7"/>
    <w:rsid w:val="00FD58EA"/>
    <w:rsid w:val="00FD78C1"/>
    <w:rsid w:val="00FD7F59"/>
    <w:rsid w:val="00FE0964"/>
    <w:rsid w:val="00FE0A42"/>
    <w:rsid w:val="00FE0D53"/>
    <w:rsid w:val="00FE17C1"/>
    <w:rsid w:val="00FE2B9E"/>
    <w:rsid w:val="00FE2D39"/>
    <w:rsid w:val="00FE34E4"/>
    <w:rsid w:val="00FE3A81"/>
    <w:rsid w:val="00FE4039"/>
    <w:rsid w:val="00FE409E"/>
    <w:rsid w:val="00FE6A3D"/>
    <w:rsid w:val="00FE737D"/>
    <w:rsid w:val="00FF036B"/>
    <w:rsid w:val="00FF13C4"/>
    <w:rsid w:val="00FF2040"/>
    <w:rsid w:val="00FF33A2"/>
    <w:rsid w:val="00FF358E"/>
    <w:rsid w:val="00FF4B0B"/>
    <w:rsid w:val="00FF52FA"/>
    <w:rsid w:val="00FF5647"/>
    <w:rsid w:val="00FF61B8"/>
    <w:rsid w:val="00FF7E4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4673"/>
    <w:pPr>
      <w:jc w:val="both"/>
    </w:pPr>
    <w:rPr>
      <w:rFonts w:ascii="Times New Roman" w:hAnsi="Times New Roman"/>
      <w:sz w:val="24"/>
    </w:rPr>
  </w:style>
  <w:style w:type="paragraph" w:styleId="Nadpis1">
    <w:name w:val="heading 1"/>
    <w:basedOn w:val="Normln"/>
    <w:next w:val="Normln"/>
    <w:link w:val="Nadpis1Char"/>
    <w:autoRedefine/>
    <w:uiPriority w:val="9"/>
    <w:qFormat/>
    <w:rsid w:val="00B2670C"/>
    <w:pPr>
      <w:keepNext/>
      <w:keepLines/>
      <w:spacing w:before="480" w:after="0"/>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690557"/>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autoRedefine/>
    <w:uiPriority w:val="9"/>
    <w:unhideWhenUsed/>
    <w:qFormat/>
    <w:rsid w:val="002E59E5"/>
    <w:pPr>
      <w:keepNext/>
      <w:keepLines/>
      <w:spacing w:before="200" w:after="0" w:line="360" w:lineRule="auto"/>
      <w:outlineLvl w:val="2"/>
    </w:pPr>
    <w:rPr>
      <w:rFonts w:eastAsiaTheme="majorEastAsia" w:cstheme="majorBidi"/>
      <w:b/>
      <w:bCs/>
    </w:rPr>
  </w:style>
  <w:style w:type="paragraph" w:styleId="Nadpis4">
    <w:name w:val="heading 4"/>
    <w:basedOn w:val="Normln"/>
    <w:next w:val="Normln"/>
    <w:link w:val="Nadpis4Char"/>
    <w:uiPriority w:val="9"/>
    <w:unhideWhenUsed/>
    <w:qFormat/>
    <w:rsid w:val="00CB55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2670C"/>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690557"/>
    <w:rPr>
      <w:rFonts w:ascii="Times New Roman" w:eastAsiaTheme="majorEastAsia" w:hAnsi="Times New Roman" w:cstheme="majorBidi"/>
      <w:b/>
      <w:bCs/>
      <w:sz w:val="28"/>
      <w:szCs w:val="26"/>
    </w:rPr>
  </w:style>
  <w:style w:type="paragraph" w:styleId="Textpoznpodarou">
    <w:name w:val="footnote text"/>
    <w:basedOn w:val="Normln"/>
    <w:link w:val="TextpoznpodarouChar"/>
    <w:uiPriority w:val="99"/>
    <w:semiHidden/>
    <w:unhideWhenUsed/>
    <w:rsid w:val="005C467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C4673"/>
    <w:rPr>
      <w:rFonts w:ascii="Times New Roman" w:hAnsi="Times New Roman"/>
      <w:sz w:val="20"/>
      <w:szCs w:val="20"/>
    </w:rPr>
  </w:style>
  <w:style w:type="character" w:styleId="Znakapoznpodarou">
    <w:name w:val="footnote reference"/>
    <w:basedOn w:val="Standardnpsmoodstavce"/>
    <w:uiPriority w:val="99"/>
    <w:semiHidden/>
    <w:unhideWhenUsed/>
    <w:rsid w:val="005C4673"/>
    <w:rPr>
      <w:vertAlign w:val="superscript"/>
    </w:rPr>
  </w:style>
  <w:style w:type="character" w:customStyle="1" w:styleId="apple-converted-space">
    <w:name w:val="apple-converted-space"/>
    <w:basedOn w:val="Standardnpsmoodstavce"/>
    <w:rsid w:val="00201BB9"/>
  </w:style>
  <w:style w:type="character" w:customStyle="1" w:styleId="Nadpis3Char">
    <w:name w:val="Nadpis 3 Char"/>
    <w:basedOn w:val="Standardnpsmoodstavce"/>
    <w:link w:val="Nadpis3"/>
    <w:uiPriority w:val="9"/>
    <w:rsid w:val="002E59E5"/>
    <w:rPr>
      <w:rFonts w:ascii="Times New Roman" w:eastAsiaTheme="majorEastAsia" w:hAnsi="Times New Roman" w:cstheme="majorBidi"/>
      <w:b/>
      <w:bCs/>
      <w:sz w:val="24"/>
    </w:rPr>
  </w:style>
  <w:style w:type="paragraph" w:styleId="Nadpisobsahu">
    <w:name w:val="TOC Heading"/>
    <w:basedOn w:val="Nadpis1"/>
    <w:next w:val="Normln"/>
    <w:uiPriority w:val="39"/>
    <w:semiHidden/>
    <w:unhideWhenUsed/>
    <w:qFormat/>
    <w:rsid w:val="00E7605E"/>
    <w:pPr>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E7605E"/>
    <w:pPr>
      <w:spacing w:after="100"/>
    </w:pPr>
  </w:style>
  <w:style w:type="paragraph" w:styleId="Obsah2">
    <w:name w:val="toc 2"/>
    <w:basedOn w:val="Normln"/>
    <w:next w:val="Normln"/>
    <w:autoRedefine/>
    <w:uiPriority w:val="39"/>
    <w:unhideWhenUsed/>
    <w:rsid w:val="00E7605E"/>
    <w:pPr>
      <w:spacing w:after="100"/>
      <w:ind w:left="240"/>
    </w:pPr>
  </w:style>
  <w:style w:type="paragraph" w:styleId="Obsah3">
    <w:name w:val="toc 3"/>
    <w:basedOn w:val="Normln"/>
    <w:next w:val="Normln"/>
    <w:autoRedefine/>
    <w:uiPriority w:val="39"/>
    <w:unhideWhenUsed/>
    <w:rsid w:val="00E7605E"/>
    <w:pPr>
      <w:spacing w:after="100"/>
      <w:ind w:left="480"/>
    </w:pPr>
  </w:style>
  <w:style w:type="character" w:styleId="Hypertextovodkaz">
    <w:name w:val="Hyperlink"/>
    <w:basedOn w:val="Standardnpsmoodstavce"/>
    <w:uiPriority w:val="99"/>
    <w:unhideWhenUsed/>
    <w:rsid w:val="00E7605E"/>
    <w:rPr>
      <w:color w:val="0000FF" w:themeColor="hyperlink"/>
      <w:u w:val="single"/>
    </w:rPr>
  </w:style>
  <w:style w:type="paragraph" w:styleId="Textbubliny">
    <w:name w:val="Balloon Text"/>
    <w:basedOn w:val="Normln"/>
    <w:link w:val="TextbublinyChar"/>
    <w:uiPriority w:val="99"/>
    <w:semiHidden/>
    <w:unhideWhenUsed/>
    <w:rsid w:val="00E760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605E"/>
    <w:rPr>
      <w:rFonts w:ascii="Tahoma" w:hAnsi="Tahoma" w:cs="Tahoma"/>
      <w:sz w:val="16"/>
      <w:szCs w:val="16"/>
    </w:rPr>
  </w:style>
  <w:style w:type="paragraph" w:styleId="Zhlav">
    <w:name w:val="header"/>
    <w:basedOn w:val="Normln"/>
    <w:link w:val="ZhlavChar"/>
    <w:uiPriority w:val="99"/>
    <w:unhideWhenUsed/>
    <w:rsid w:val="000B4B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4B56"/>
    <w:rPr>
      <w:rFonts w:ascii="Times New Roman" w:hAnsi="Times New Roman"/>
      <w:sz w:val="24"/>
    </w:rPr>
  </w:style>
  <w:style w:type="paragraph" w:styleId="Zpat">
    <w:name w:val="footer"/>
    <w:basedOn w:val="Normln"/>
    <w:link w:val="ZpatChar"/>
    <w:uiPriority w:val="99"/>
    <w:unhideWhenUsed/>
    <w:rsid w:val="000B4B56"/>
    <w:pPr>
      <w:tabs>
        <w:tab w:val="center" w:pos="4536"/>
        <w:tab w:val="right" w:pos="9072"/>
      </w:tabs>
      <w:spacing w:after="0" w:line="240" w:lineRule="auto"/>
    </w:pPr>
  </w:style>
  <w:style w:type="character" w:customStyle="1" w:styleId="ZpatChar">
    <w:name w:val="Zápatí Char"/>
    <w:basedOn w:val="Standardnpsmoodstavce"/>
    <w:link w:val="Zpat"/>
    <w:uiPriority w:val="99"/>
    <w:rsid w:val="000B4B56"/>
    <w:rPr>
      <w:rFonts w:ascii="Times New Roman" w:hAnsi="Times New Roman"/>
      <w:sz w:val="24"/>
    </w:rPr>
  </w:style>
  <w:style w:type="paragraph" w:styleId="Rozvrendokumentu">
    <w:name w:val="Document Map"/>
    <w:basedOn w:val="Normln"/>
    <w:link w:val="RozvrendokumentuChar"/>
    <w:uiPriority w:val="99"/>
    <w:semiHidden/>
    <w:unhideWhenUsed/>
    <w:rsid w:val="00995C4E"/>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995C4E"/>
    <w:rPr>
      <w:rFonts w:ascii="Tahoma" w:hAnsi="Tahoma" w:cs="Tahoma"/>
      <w:sz w:val="16"/>
      <w:szCs w:val="16"/>
    </w:rPr>
  </w:style>
  <w:style w:type="paragraph" w:styleId="Odstavecseseznamem">
    <w:name w:val="List Paragraph"/>
    <w:basedOn w:val="Normln"/>
    <w:uiPriority w:val="34"/>
    <w:qFormat/>
    <w:rsid w:val="00EC7921"/>
    <w:pPr>
      <w:ind w:left="720"/>
      <w:contextualSpacing/>
    </w:pPr>
  </w:style>
  <w:style w:type="character" w:customStyle="1" w:styleId="Nadpis4Char">
    <w:name w:val="Nadpis 4 Char"/>
    <w:basedOn w:val="Standardnpsmoodstavce"/>
    <w:link w:val="Nadpis4"/>
    <w:uiPriority w:val="9"/>
    <w:rsid w:val="00CB55EB"/>
    <w:rPr>
      <w:rFonts w:asciiTheme="majorHAnsi" w:eastAsiaTheme="majorEastAsia" w:hAnsiTheme="majorHAnsi" w:cstheme="majorBidi"/>
      <w:b/>
      <w:bCs/>
      <w:i/>
      <w:i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540746362">
      <w:bodyDiv w:val="1"/>
      <w:marLeft w:val="0"/>
      <w:marRight w:val="0"/>
      <w:marTop w:val="0"/>
      <w:marBottom w:val="0"/>
      <w:divBdr>
        <w:top w:val="none" w:sz="0" w:space="0" w:color="auto"/>
        <w:left w:val="none" w:sz="0" w:space="0" w:color="auto"/>
        <w:bottom w:val="none" w:sz="0" w:space="0" w:color="auto"/>
        <w:right w:val="none" w:sz="0" w:space="0" w:color="auto"/>
      </w:divBdr>
    </w:div>
    <w:div w:id="1206139944">
      <w:bodyDiv w:val="1"/>
      <w:marLeft w:val="0"/>
      <w:marRight w:val="0"/>
      <w:marTop w:val="0"/>
      <w:marBottom w:val="0"/>
      <w:divBdr>
        <w:top w:val="none" w:sz="0" w:space="0" w:color="auto"/>
        <w:left w:val="none" w:sz="0" w:space="0" w:color="auto"/>
        <w:bottom w:val="none" w:sz="0" w:space="0" w:color="auto"/>
        <w:right w:val="none" w:sz="0" w:space="0" w:color="auto"/>
      </w:divBdr>
    </w:div>
    <w:div w:id="1519390991">
      <w:bodyDiv w:val="1"/>
      <w:marLeft w:val="0"/>
      <w:marRight w:val="0"/>
      <w:marTop w:val="0"/>
      <w:marBottom w:val="0"/>
      <w:divBdr>
        <w:top w:val="none" w:sz="0" w:space="0" w:color="auto"/>
        <w:left w:val="none" w:sz="0" w:space="0" w:color="auto"/>
        <w:bottom w:val="none" w:sz="0" w:space="0" w:color="auto"/>
        <w:right w:val="none" w:sz="0" w:space="0" w:color="auto"/>
      </w:divBdr>
    </w:div>
    <w:div w:id="18628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z/eknih/1935ns/ps/tisky/t0844_1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pravo.cz/top/efocus/pravo-na-zaopatreni-97678.html" TargetMode="External"/><Relationship Id="rId4" Type="http://schemas.openxmlformats.org/officeDocument/2006/relationships/settings" Target="settings.xml"/><Relationship Id="rId9" Type="http://schemas.openxmlformats.org/officeDocument/2006/relationships/hyperlink" Target="http://psp.cz/eknih/1948ns/tisky/t0509_07.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BE90-1A76-4F84-BA42-5CA7896B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11071</TotalTime>
  <Pages>1</Pages>
  <Words>20261</Words>
  <Characters>119540</Characters>
  <Application>Microsoft Office Word</Application>
  <DocSecurity>0</DocSecurity>
  <Lines>996</Lines>
  <Paragraphs>279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dc:creator>
  <cp:lastModifiedBy>Míša</cp:lastModifiedBy>
  <cp:revision>1036</cp:revision>
  <cp:lastPrinted>2016-04-27T07:50:00Z</cp:lastPrinted>
  <dcterms:created xsi:type="dcterms:W3CDTF">2016-03-30T16:07:00Z</dcterms:created>
  <dcterms:modified xsi:type="dcterms:W3CDTF">2016-04-27T07:54:00Z</dcterms:modified>
</cp:coreProperties>
</file>